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Pr="0036554A" w:rsidRDefault="00165C15" w:rsidP="00F603F4">
            <w:pPr>
              <w:spacing w:after="80"/>
              <w:rPr>
                <w:lang w:val="es-ES"/>
              </w:rPr>
            </w:pPr>
            <w:bookmarkStart w:id="0" w:name="_GoBack"/>
            <w:bookmarkEnd w:id="0"/>
          </w:p>
        </w:tc>
        <w:tc>
          <w:tcPr>
            <w:tcW w:w="2268" w:type="dxa"/>
            <w:tcBorders>
              <w:bottom w:val="single" w:sz="4" w:space="0" w:color="auto"/>
            </w:tcBorders>
            <w:vAlign w:val="bottom"/>
          </w:tcPr>
          <w:p w14:paraId="5572A416" w14:textId="559D9546"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5572A417" w14:textId="3DB8084B" w:rsidR="00165C15" w:rsidRPr="0036554A" w:rsidRDefault="006A31AE" w:rsidP="00F603F4">
            <w:pPr>
              <w:suppressAutoHyphens w:val="0"/>
              <w:spacing w:after="20"/>
              <w:jc w:val="right"/>
              <w:rPr>
                <w:sz w:val="40"/>
                <w:lang w:val="es-ES"/>
              </w:rPr>
            </w:pPr>
            <w:proofErr w:type="spellStart"/>
            <w:r w:rsidRPr="0036554A">
              <w:rPr>
                <w:sz w:val="40"/>
                <w:lang w:val="es-ES"/>
              </w:rPr>
              <w:t>CCPR</w:t>
            </w:r>
            <w:proofErr w:type="spellEnd"/>
            <w:r w:rsidRPr="0036554A">
              <w:rPr>
                <w:lang w:val="es-ES"/>
              </w:rPr>
              <w:t>/C/</w:t>
            </w:r>
            <w:r w:rsidR="004D300F">
              <w:rPr>
                <w:lang w:val="es-ES"/>
              </w:rPr>
              <w:t>12</w:t>
            </w:r>
            <w:r w:rsidR="001F1A91">
              <w:rPr>
                <w:lang w:val="es-ES"/>
              </w:rPr>
              <w:t>7</w:t>
            </w:r>
            <w:r w:rsidRPr="0036554A">
              <w:rPr>
                <w:lang w:val="es-ES"/>
              </w:rPr>
              <w:t>/D/</w:t>
            </w:r>
            <w:r w:rsidR="00D31A3E">
              <w:rPr>
                <w:lang w:val="es-ES"/>
              </w:rPr>
              <w:t>276</w:t>
            </w:r>
            <w:r w:rsidR="004D300F">
              <w:rPr>
                <w:lang w:val="es-ES"/>
              </w:rPr>
              <w:t>0</w:t>
            </w:r>
            <w:r w:rsidRPr="0036554A">
              <w:rPr>
                <w:lang w:val="es-ES"/>
              </w:rPr>
              <w:t>/</w:t>
            </w:r>
            <w:r w:rsidR="004D300F">
              <w:rPr>
                <w:lang w:val="es-ES"/>
              </w:rPr>
              <w:t>2016</w:t>
            </w:r>
          </w:p>
        </w:tc>
      </w:tr>
      <w:tr w:rsidR="0036554A" w:rsidRPr="00E97578" w14:paraId="5572A420" w14:textId="77777777" w:rsidTr="004A72F6">
        <w:trPr>
          <w:cantSplit/>
          <w:trHeight w:hRule="exact" w:val="2835"/>
        </w:trPr>
        <w:tc>
          <w:tcPr>
            <w:tcW w:w="1276" w:type="dxa"/>
            <w:tcBorders>
              <w:top w:val="single" w:sz="4" w:space="0" w:color="auto"/>
              <w:bottom w:val="single" w:sz="12" w:space="0" w:color="auto"/>
            </w:tcBorders>
          </w:tcPr>
          <w:p w14:paraId="5572A419" w14:textId="77777777" w:rsidR="00165C15" w:rsidRPr="0036554A" w:rsidRDefault="00165C15" w:rsidP="00F603F4">
            <w:pPr>
              <w:spacing w:before="120"/>
              <w:rPr>
                <w:lang w:val="es-ES"/>
              </w:rPr>
            </w:pPr>
            <w:r w:rsidRPr="0036554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72A41A" w14:textId="5825BAB5" w:rsidR="0045465C" w:rsidRPr="007B1BCB" w:rsidRDefault="003A3F12" w:rsidP="00F603F4">
            <w:pPr>
              <w:spacing w:before="120" w:line="380" w:lineRule="exact"/>
              <w:rPr>
                <w:sz w:val="34"/>
                <w:lang w:val="es-ES"/>
              </w:rPr>
            </w:pPr>
            <w:r w:rsidRPr="00280BCD">
              <w:rPr>
                <w:b/>
                <w:sz w:val="34"/>
                <w:szCs w:val="34"/>
                <w:lang w:val="es-ES"/>
              </w:rPr>
              <w:t>Pacto Internacional de Derechos</w:t>
            </w:r>
            <w:r w:rsidRPr="00280BCD">
              <w:rPr>
                <w:b/>
                <w:sz w:val="34"/>
                <w:szCs w:val="34"/>
                <w:lang w:val="es-ES"/>
              </w:rPr>
              <w:br/>
              <w:t>Civiles y Políticos</w:t>
            </w:r>
          </w:p>
        </w:tc>
        <w:tc>
          <w:tcPr>
            <w:tcW w:w="2835" w:type="dxa"/>
            <w:tcBorders>
              <w:top w:val="single" w:sz="4" w:space="0" w:color="auto"/>
              <w:bottom w:val="single" w:sz="12" w:space="0" w:color="auto"/>
            </w:tcBorders>
          </w:tcPr>
          <w:p w14:paraId="5572A41B" w14:textId="11D4B8D4"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00175184">
              <w:rPr>
                <w:lang w:val="es-ES"/>
              </w:rPr>
              <w:t>.</w:t>
            </w:r>
            <w:r w:rsidR="00175184" w:rsidRPr="00175184">
              <w:rPr>
                <w:lang w:val="es-ES"/>
              </w:rPr>
              <w:t xml:space="preserve"> </w:t>
            </w:r>
            <w:r w:rsidR="008948D2">
              <w:rPr>
                <w:lang w:val="es-ES"/>
              </w:rPr>
              <w:t>general</w:t>
            </w:r>
          </w:p>
          <w:p w14:paraId="5572A41C" w14:textId="1030345C" w:rsidR="006A31AE" w:rsidRPr="0036554A" w:rsidRDefault="00311D86" w:rsidP="00F603F4">
            <w:pPr>
              <w:suppressAutoHyphens w:val="0"/>
              <w:rPr>
                <w:lang w:val="es-ES"/>
              </w:rPr>
            </w:pPr>
            <w:r>
              <w:rPr>
                <w:lang w:val="es-ES"/>
              </w:rPr>
              <w:t>1</w:t>
            </w:r>
            <w:r w:rsidR="004E3C18">
              <w:rPr>
                <w:lang w:val="es-ES"/>
              </w:rPr>
              <w:t>6</w:t>
            </w:r>
            <w:r w:rsidR="008948D2">
              <w:rPr>
                <w:lang w:val="es-ES"/>
              </w:rPr>
              <w:t xml:space="preserve"> </w:t>
            </w:r>
            <w:r w:rsidR="00A4230D" w:rsidRPr="0036554A">
              <w:rPr>
                <w:lang w:val="es-ES"/>
              </w:rPr>
              <w:t xml:space="preserve">de </w:t>
            </w:r>
            <w:r w:rsidR="0062244D">
              <w:rPr>
                <w:lang w:val="es-ES"/>
              </w:rPr>
              <w:t>diciembre</w:t>
            </w:r>
            <w:r w:rsidR="008948D2">
              <w:rPr>
                <w:lang w:val="es-ES"/>
              </w:rPr>
              <w:t xml:space="preserve"> </w:t>
            </w:r>
            <w:r w:rsidR="00856798">
              <w:rPr>
                <w:lang w:val="es-ES"/>
              </w:rPr>
              <w:t>de 2019</w:t>
            </w:r>
          </w:p>
          <w:p w14:paraId="5572A41D" w14:textId="77777777" w:rsidR="006A31AE" w:rsidRPr="00280BCD" w:rsidRDefault="006A31AE" w:rsidP="00F603F4">
            <w:pPr>
              <w:suppressAutoHyphens w:val="0"/>
              <w:rPr>
                <w:lang w:val="es-ES"/>
              </w:rPr>
            </w:pPr>
          </w:p>
          <w:p w14:paraId="3AA07F55" w14:textId="77777777" w:rsidR="006A31AE" w:rsidRDefault="006A31AE" w:rsidP="003A3F12">
            <w:pPr>
              <w:suppressAutoHyphens w:val="0"/>
              <w:rPr>
                <w:lang w:val="es-ES"/>
              </w:rPr>
            </w:pPr>
            <w:r w:rsidRPr="0036554A">
              <w:rPr>
                <w:lang w:val="es-ES"/>
              </w:rPr>
              <w:t xml:space="preserve">Original: </w:t>
            </w:r>
            <w:r w:rsidR="003A3F12" w:rsidRPr="0036554A">
              <w:rPr>
                <w:lang w:val="es-ES"/>
              </w:rPr>
              <w:t>español</w:t>
            </w:r>
          </w:p>
          <w:p w14:paraId="5572A41F" w14:textId="24556DCA" w:rsidR="0052543D" w:rsidRPr="0052543D" w:rsidRDefault="0052543D" w:rsidP="003A3F12">
            <w:pPr>
              <w:suppressAutoHyphens w:val="0"/>
              <w:rPr>
                <w:lang w:val="es-ES"/>
              </w:rPr>
            </w:pPr>
          </w:p>
        </w:tc>
      </w:tr>
    </w:tbl>
    <w:p w14:paraId="09E6D82B"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16C918AB" w14:textId="304E453A" w:rsidR="004E3C18" w:rsidRDefault="006A31AE" w:rsidP="00531919">
      <w:pPr>
        <w:pStyle w:val="HChG"/>
        <w:rPr>
          <w:lang w:val="es-ES"/>
        </w:rPr>
      </w:pPr>
      <w:r w:rsidRPr="0036554A">
        <w:rPr>
          <w:lang w:val="es-ES"/>
        </w:rPr>
        <w:tab/>
      </w:r>
      <w:r w:rsidRPr="0036554A">
        <w:rPr>
          <w:lang w:val="es-ES"/>
        </w:rPr>
        <w:tab/>
      </w:r>
      <w:r w:rsidR="008948D2" w:rsidRPr="008948D2">
        <w:rPr>
          <w:lang w:val="es-ES"/>
        </w:rPr>
        <w:t>Di</w:t>
      </w:r>
      <w:r w:rsidR="008948D2">
        <w:rPr>
          <w:lang w:val="es-ES"/>
        </w:rPr>
        <w:t>ctamen aprobado por el Comité a</w:t>
      </w:r>
      <w:r w:rsidR="008948D2" w:rsidRPr="008948D2">
        <w:rPr>
          <w:lang w:val="es-ES"/>
        </w:rPr>
        <w:t xml:space="preserve"> tenor del artículo 5, párrafo 4, del Protocolo Facultativo, respecto de la </w:t>
      </w:r>
      <w:r w:rsidR="008948D2">
        <w:rPr>
          <w:lang w:val="es-ES"/>
        </w:rPr>
        <w:t>c</w:t>
      </w:r>
      <w:r w:rsidR="00F40CA5" w:rsidRPr="0036554A">
        <w:rPr>
          <w:lang w:val="es-ES"/>
        </w:rPr>
        <w:t>omunicación</w:t>
      </w:r>
      <w:r w:rsidR="00FD6BC0">
        <w:rPr>
          <w:lang w:val="es-ES"/>
        </w:rPr>
        <w:t xml:space="preserve"> n</w:t>
      </w:r>
      <w:r w:rsidR="0036554A">
        <w:rPr>
          <w:lang w:val="es-ES"/>
        </w:rPr>
        <w:t>úm</w:t>
      </w:r>
      <w:r w:rsidRPr="0036554A">
        <w:rPr>
          <w:lang w:val="es-ES"/>
        </w:rPr>
        <w:t xml:space="preserve">. </w:t>
      </w:r>
      <w:r w:rsidR="00E43987">
        <w:rPr>
          <w:lang w:val="es-ES"/>
        </w:rPr>
        <w:t>276</w:t>
      </w:r>
      <w:r w:rsidR="000D4558">
        <w:rPr>
          <w:lang w:val="es-ES"/>
        </w:rPr>
        <w:t>0</w:t>
      </w:r>
      <w:r w:rsidRPr="0036554A">
        <w:rPr>
          <w:lang w:val="es-ES"/>
        </w:rPr>
        <w:t>/</w:t>
      </w:r>
      <w:r w:rsidR="000D4558">
        <w:rPr>
          <w:lang w:val="es-ES"/>
        </w:rPr>
        <w:t>2016</w:t>
      </w:r>
      <w:r w:rsidR="004E3C18" w:rsidRPr="00531919">
        <w:rPr>
          <w:rStyle w:val="Refdenotaalpie"/>
          <w:b w:val="0"/>
          <w:sz w:val="20"/>
          <w:vertAlign w:val="baseline"/>
          <w:lang w:val="es-ES"/>
        </w:rPr>
        <w:footnoteReference w:customMarkFollows="1" w:id="1"/>
        <w:t xml:space="preserve">* </w:t>
      </w:r>
      <w:r w:rsidR="004E3C18" w:rsidRPr="00531919">
        <w:rPr>
          <w:rStyle w:val="Refdenotaalpie"/>
          <w:b w:val="0"/>
          <w:sz w:val="20"/>
          <w:vertAlign w:val="baseline"/>
          <w:lang w:val="es-ES"/>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4E3C18" w:rsidRPr="00943DD7" w14:paraId="66A2C71D" w14:textId="77777777" w:rsidTr="00531919">
        <w:tc>
          <w:tcPr>
            <w:tcW w:w="2694" w:type="dxa"/>
          </w:tcPr>
          <w:p w14:paraId="00689BAD" w14:textId="4AD3E516" w:rsidR="004E3C18" w:rsidRPr="00531919" w:rsidRDefault="004E3C18">
            <w:pPr>
              <w:pStyle w:val="SingleTxtG"/>
              <w:ind w:left="0" w:right="0"/>
              <w:jc w:val="left"/>
              <w:rPr>
                <w:i/>
                <w:lang w:val="es-ES_tradnl"/>
              </w:rPr>
            </w:pPr>
            <w:r w:rsidRPr="00531919">
              <w:rPr>
                <w:i/>
                <w:lang w:val="es-ES_tradnl"/>
              </w:rPr>
              <w:t>Comunicación presentada por:</w:t>
            </w:r>
          </w:p>
        </w:tc>
        <w:tc>
          <w:tcPr>
            <w:tcW w:w="4111" w:type="dxa"/>
          </w:tcPr>
          <w:p w14:paraId="4828F744" w14:textId="58AA975E" w:rsidR="004E3C18" w:rsidRPr="00531919" w:rsidRDefault="004E3C18">
            <w:pPr>
              <w:pStyle w:val="SingleTxtG"/>
              <w:ind w:left="0" w:right="0"/>
              <w:jc w:val="left"/>
              <w:rPr>
                <w:lang w:val="es-ES_tradnl"/>
              </w:rPr>
            </w:pPr>
            <w:r w:rsidRPr="00D31A3E">
              <w:rPr>
                <w:lang w:val="es-ES"/>
              </w:rPr>
              <w:t>Carlos Moreno Zamora, María Enriqueta Pérez Barrera y Areli Moreno Pérez, en nombre propio y en nombre de Jesús Israel Moreno Pérez, hijo y hermano desaparecido (</w:t>
            </w:r>
            <w:r w:rsidRPr="00D31A3E">
              <w:rPr>
                <w:spacing w:val="-2"/>
                <w:lang w:val="es-ES"/>
              </w:rPr>
              <w:t xml:space="preserve">representados </w:t>
            </w:r>
            <w:r w:rsidRPr="0036554A">
              <w:rPr>
                <w:spacing w:val="-2"/>
                <w:lang w:val="es-ES"/>
              </w:rPr>
              <w:t xml:space="preserve">por </w:t>
            </w:r>
            <w:r w:rsidRPr="009C67B2">
              <w:rPr>
                <w:spacing w:val="-2"/>
                <w:lang w:val="es-ES"/>
              </w:rPr>
              <w:t>I(</w:t>
            </w:r>
            <w:proofErr w:type="spellStart"/>
            <w:r w:rsidRPr="009C67B2">
              <w:rPr>
                <w:spacing w:val="-2"/>
                <w:lang w:val="es-ES"/>
              </w:rPr>
              <w:t>DH</w:t>
            </w:r>
            <w:proofErr w:type="spellEnd"/>
            <w:r w:rsidRPr="009C67B2">
              <w:rPr>
                <w:spacing w:val="-2"/>
                <w:lang w:val="es-ES"/>
              </w:rPr>
              <w:t>)</w:t>
            </w:r>
            <w:proofErr w:type="spellStart"/>
            <w:r w:rsidRPr="009C67B2">
              <w:rPr>
                <w:spacing w:val="-2"/>
                <w:lang w:val="es-ES"/>
              </w:rPr>
              <w:t>EAS</w:t>
            </w:r>
            <w:proofErr w:type="spellEnd"/>
            <w:r w:rsidRPr="009C67B2">
              <w:rPr>
                <w:spacing w:val="-2"/>
                <w:lang w:val="es-ES"/>
              </w:rPr>
              <w:t xml:space="preserve"> Litigio Estratégico en Derechos Humanos</w:t>
            </w:r>
            <w:r>
              <w:rPr>
                <w:spacing w:val="-2"/>
                <w:lang w:val="es-ES"/>
              </w:rPr>
              <w:t xml:space="preserve">, y </w:t>
            </w:r>
            <w:r w:rsidRPr="009C67B2">
              <w:rPr>
                <w:spacing w:val="-2"/>
                <w:lang w:val="es-ES"/>
              </w:rPr>
              <w:t>Comisión Mexicana de Defensa y Promoción de los Derechos Humanos</w:t>
            </w:r>
            <w:r w:rsidRPr="0036554A">
              <w:rPr>
                <w:lang w:val="es-ES"/>
              </w:rPr>
              <w:t>)</w:t>
            </w:r>
          </w:p>
        </w:tc>
      </w:tr>
      <w:tr w:rsidR="004E3C18" w:rsidRPr="00943DD7" w14:paraId="5152AE94" w14:textId="77777777" w:rsidTr="00531919">
        <w:tc>
          <w:tcPr>
            <w:tcW w:w="2694" w:type="dxa"/>
          </w:tcPr>
          <w:p w14:paraId="0DBDA2D7" w14:textId="5F33F2A6" w:rsidR="004E3C18" w:rsidRPr="00531919" w:rsidRDefault="004E3C18">
            <w:pPr>
              <w:pStyle w:val="SingleTxtG"/>
              <w:ind w:left="0" w:right="0"/>
              <w:jc w:val="left"/>
              <w:rPr>
                <w:i/>
                <w:lang w:val="es-ES_tradnl"/>
              </w:rPr>
            </w:pPr>
            <w:r w:rsidRPr="00531919">
              <w:rPr>
                <w:i/>
                <w:lang w:val="es-ES_tradnl"/>
              </w:rPr>
              <w:t>Presunta</w:t>
            </w:r>
            <w:r>
              <w:rPr>
                <w:i/>
                <w:lang w:val="es-ES_tradnl"/>
              </w:rPr>
              <w:t>s</w:t>
            </w:r>
            <w:r w:rsidRPr="00531919">
              <w:rPr>
                <w:i/>
                <w:lang w:val="es-ES_tradnl"/>
              </w:rPr>
              <w:t xml:space="preserve"> víctima</w:t>
            </w:r>
            <w:r>
              <w:rPr>
                <w:i/>
                <w:lang w:val="es-ES_tradnl"/>
              </w:rPr>
              <w:t>s</w:t>
            </w:r>
            <w:r w:rsidRPr="00531919">
              <w:rPr>
                <w:i/>
                <w:lang w:val="es-ES_tradnl"/>
              </w:rPr>
              <w:t>:</w:t>
            </w:r>
          </w:p>
        </w:tc>
        <w:tc>
          <w:tcPr>
            <w:tcW w:w="4111" w:type="dxa"/>
          </w:tcPr>
          <w:p w14:paraId="3F1CDCE2" w14:textId="6E400058" w:rsidR="004E3C18" w:rsidRPr="00531919" w:rsidRDefault="004E3C18">
            <w:pPr>
              <w:pStyle w:val="SingleTxtG"/>
              <w:ind w:left="0" w:right="0"/>
              <w:jc w:val="left"/>
              <w:rPr>
                <w:lang w:val="es-ES_tradnl"/>
              </w:rPr>
            </w:pPr>
            <w:r>
              <w:rPr>
                <w:lang w:val="es-ES"/>
              </w:rPr>
              <w:t xml:space="preserve">Los </w:t>
            </w:r>
            <w:r w:rsidRPr="00D31A3E">
              <w:rPr>
                <w:lang w:val="es-ES"/>
              </w:rPr>
              <w:t>autores y Jesús Israel Moreno Pérez (hijo y hermano de los autores)</w:t>
            </w:r>
          </w:p>
        </w:tc>
      </w:tr>
      <w:tr w:rsidR="004E3C18" w:rsidRPr="004E3C18" w14:paraId="3CD6342D" w14:textId="77777777" w:rsidTr="00531919">
        <w:tc>
          <w:tcPr>
            <w:tcW w:w="2694" w:type="dxa"/>
          </w:tcPr>
          <w:p w14:paraId="6C0053DB" w14:textId="77777777" w:rsidR="004E3C18" w:rsidRPr="00531919" w:rsidRDefault="004E3C18">
            <w:pPr>
              <w:pStyle w:val="SingleTxtG"/>
              <w:ind w:left="0" w:right="0"/>
              <w:jc w:val="left"/>
              <w:rPr>
                <w:i/>
                <w:lang w:val="es-ES_tradnl"/>
              </w:rPr>
            </w:pPr>
            <w:r w:rsidRPr="00531919">
              <w:rPr>
                <w:i/>
                <w:lang w:val="es-ES_tradnl"/>
              </w:rPr>
              <w:t>Estado parte:</w:t>
            </w:r>
          </w:p>
        </w:tc>
        <w:tc>
          <w:tcPr>
            <w:tcW w:w="4111" w:type="dxa"/>
          </w:tcPr>
          <w:p w14:paraId="639DEE92" w14:textId="44306E3D" w:rsidR="004E3C18" w:rsidRPr="00531919" w:rsidRDefault="004E3C18">
            <w:pPr>
              <w:pStyle w:val="SingleTxtG"/>
              <w:ind w:left="0" w:right="0"/>
              <w:jc w:val="left"/>
              <w:rPr>
                <w:lang w:val="es-ES_tradnl"/>
              </w:rPr>
            </w:pPr>
            <w:r>
              <w:rPr>
                <w:lang w:val="es-ES_tradnl"/>
              </w:rPr>
              <w:t>México</w:t>
            </w:r>
          </w:p>
        </w:tc>
      </w:tr>
      <w:tr w:rsidR="004E3C18" w:rsidRPr="004E3C18" w14:paraId="431CC0EB" w14:textId="77777777" w:rsidTr="00531919">
        <w:tc>
          <w:tcPr>
            <w:tcW w:w="2694" w:type="dxa"/>
          </w:tcPr>
          <w:p w14:paraId="009C73B9" w14:textId="77777777" w:rsidR="004E3C18" w:rsidRPr="00531919" w:rsidRDefault="004E3C18">
            <w:pPr>
              <w:pStyle w:val="SingleTxtG"/>
              <w:ind w:left="0" w:right="0"/>
              <w:jc w:val="left"/>
              <w:rPr>
                <w:i/>
                <w:lang w:val="es-ES_tradnl"/>
              </w:rPr>
            </w:pPr>
            <w:r w:rsidRPr="00531919">
              <w:rPr>
                <w:i/>
                <w:lang w:val="es-ES_tradnl"/>
              </w:rPr>
              <w:t>Fecha de la comunicación:</w:t>
            </w:r>
          </w:p>
        </w:tc>
        <w:tc>
          <w:tcPr>
            <w:tcW w:w="4111" w:type="dxa"/>
          </w:tcPr>
          <w:p w14:paraId="0D103DBA" w14:textId="1750B531" w:rsidR="004E3C18" w:rsidRPr="00531919" w:rsidRDefault="004E3C18">
            <w:pPr>
              <w:pStyle w:val="SingleTxtG"/>
              <w:ind w:left="0" w:right="0"/>
              <w:jc w:val="left"/>
              <w:rPr>
                <w:lang w:val="es-ES_tradnl"/>
              </w:rPr>
            </w:pPr>
            <w:r>
              <w:rPr>
                <w:lang w:val="es-ES"/>
              </w:rPr>
              <w:t>10</w:t>
            </w:r>
            <w:r w:rsidRPr="0036554A">
              <w:rPr>
                <w:lang w:val="es-ES"/>
              </w:rPr>
              <w:t xml:space="preserve"> de </w:t>
            </w:r>
            <w:r>
              <w:rPr>
                <w:lang w:val="es-ES"/>
              </w:rPr>
              <w:t>noviembre</w:t>
            </w:r>
            <w:r w:rsidRPr="0036554A">
              <w:rPr>
                <w:lang w:val="es-ES"/>
              </w:rPr>
              <w:t xml:space="preserve"> de 2015</w:t>
            </w:r>
          </w:p>
        </w:tc>
      </w:tr>
      <w:tr w:rsidR="004E3C18" w:rsidRPr="00943DD7" w14:paraId="1C24932B" w14:textId="77777777" w:rsidTr="00531919">
        <w:tc>
          <w:tcPr>
            <w:tcW w:w="2694" w:type="dxa"/>
          </w:tcPr>
          <w:p w14:paraId="4121CD20" w14:textId="77777777" w:rsidR="004E3C18" w:rsidRPr="00531919" w:rsidRDefault="004E3C18">
            <w:pPr>
              <w:pStyle w:val="SingleTxtG"/>
              <w:ind w:left="0" w:right="0"/>
              <w:jc w:val="left"/>
              <w:rPr>
                <w:i/>
                <w:lang w:val="es-ES_tradnl"/>
              </w:rPr>
            </w:pPr>
            <w:r w:rsidRPr="00531919">
              <w:rPr>
                <w:i/>
                <w:lang w:val="es-ES_tradnl"/>
              </w:rPr>
              <w:t>Referencia:</w:t>
            </w:r>
          </w:p>
        </w:tc>
        <w:tc>
          <w:tcPr>
            <w:tcW w:w="4111" w:type="dxa"/>
            <w:vAlign w:val="bottom"/>
          </w:tcPr>
          <w:p w14:paraId="48C72D60" w14:textId="6364D542" w:rsidR="004E3C18" w:rsidRPr="00531919" w:rsidRDefault="004E3C18">
            <w:pPr>
              <w:pStyle w:val="SingleTxtG"/>
              <w:ind w:left="0" w:right="0"/>
              <w:jc w:val="left"/>
              <w:rPr>
                <w:lang w:val="es-ES_tradnl"/>
              </w:rPr>
            </w:pPr>
            <w:r w:rsidRPr="00363DEA">
              <w:rPr>
                <w:lang w:val="es-ES"/>
              </w:rPr>
              <w:t xml:space="preserve">Decisión </w:t>
            </w:r>
            <w:r>
              <w:rPr>
                <w:lang w:val="es-ES"/>
              </w:rPr>
              <w:t xml:space="preserve">adoptada </w:t>
            </w:r>
            <w:r w:rsidRPr="00363DEA">
              <w:rPr>
                <w:lang w:val="es-ES"/>
              </w:rPr>
              <w:t>con arreglo al artículo 92 del reglamento</w:t>
            </w:r>
            <w:r>
              <w:rPr>
                <w:lang w:val="es-ES"/>
              </w:rPr>
              <w:t xml:space="preserve"> del Comité</w:t>
            </w:r>
            <w:r w:rsidRPr="00363DEA">
              <w:rPr>
                <w:lang w:val="es-ES"/>
              </w:rPr>
              <w:t>, transmitida al Estado parte el 6 de abril de 2016 (no se publicó como documento)</w:t>
            </w:r>
          </w:p>
        </w:tc>
      </w:tr>
      <w:tr w:rsidR="004E3C18" w:rsidRPr="004E3C18" w14:paraId="018D7949" w14:textId="77777777" w:rsidTr="00531919">
        <w:tc>
          <w:tcPr>
            <w:tcW w:w="2694" w:type="dxa"/>
          </w:tcPr>
          <w:p w14:paraId="422EA38D" w14:textId="19B53279" w:rsidR="004E3C18" w:rsidRPr="00531919" w:rsidRDefault="004E3C18">
            <w:pPr>
              <w:pStyle w:val="SingleTxtG"/>
              <w:ind w:left="0" w:right="0"/>
              <w:jc w:val="left"/>
              <w:rPr>
                <w:i/>
                <w:lang w:val="es-ES_tradnl"/>
              </w:rPr>
            </w:pPr>
            <w:r w:rsidRPr="00531919">
              <w:rPr>
                <w:i/>
                <w:lang w:val="es-ES_tradnl"/>
              </w:rPr>
              <w:t>Fecha de adopción</w:t>
            </w:r>
            <w:r w:rsidRPr="00531919">
              <w:rPr>
                <w:i/>
                <w:lang w:val="es-ES_tradnl"/>
              </w:rPr>
              <w:br/>
              <w:t>del d</w:t>
            </w:r>
            <w:r>
              <w:rPr>
                <w:i/>
                <w:lang w:val="es-ES_tradnl"/>
              </w:rPr>
              <w:t>ictamen</w:t>
            </w:r>
            <w:r w:rsidRPr="00531919">
              <w:rPr>
                <w:i/>
                <w:lang w:val="es-ES_tradnl"/>
              </w:rPr>
              <w:t>:</w:t>
            </w:r>
          </w:p>
        </w:tc>
        <w:tc>
          <w:tcPr>
            <w:tcW w:w="4111" w:type="dxa"/>
            <w:vAlign w:val="bottom"/>
          </w:tcPr>
          <w:p w14:paraId="12452447" w14:textId="1A384EA4" w:rsidR="004E3C18" w:rsidRPr="00531919" w:rsidRDefault="004E3C18">
            <w:pPr>
              <w:pStyle w:val="SingleTxtG"/>
              <w:ind w:left="0" w:right="0"/>
              <w:jc w:val="left"/>
              <w:rPr>
                <w:lang w:val="es-ES_tradnl"/>
              </w:rPr>
            </w:pPr>
            <w:r>
              <w:rPr>
                <w:lang w:val="es-ES"/>
              </w:rPr>
              <w:t>5</w:t>
            </w:r>
            <w:r w:rsidRPr="001B0D22">
              <w:rPr>
                <w:lang w:val="es-ES"/>
              </w:rPr>
              <w:t xml:space="preserve"> </w:t>
            </w:r>
            <w:r>
              <w:rPr>
                <w:lang w:val="es-ES"/>
              </w:rPr>
              <w:t>de noviembre de 2019</w:t>
            </w:r>
          </w:p>
        </w:tc>
      </w:tr>
      <w:tr w:rsidR="004E3C18" w:rsidRPr="004E3C18" w14:paraId="685BDD5D" w14:textId="77777777" w:rsidTr="00531919">
        <w:tc>
          <w:tcPr>
            <w:tcW w:w="2694" w:type="dxa"/>
          </w:tcPr>
          <w:p w14:paraId="2B728F8E" w14:textId="77777777" w:rsidR="004E3C18" w:rsidRPr="00531919" w:rsidRDefault="004E3C18">
            <w:pPr>
              <w:pStyle w:val="SingleTxtG"/>
              <w:ind w:left="0" w:right="0"/>
              <w:jc w:val="left"/>
              <w:rPr>
                <w:i/>
                <w:lang w:val="es-ES_tradnl"/>
              </w:rPr>
            </w:pPr>
            <w:r w:rsidRPr="00531919">
              <w:rPr>
                <w:i/>
                <w:lang w:val="es-ES_tradnl"/>
              </w:rPr>
              <w:t>Asunto:</w:t>
            </w:r>
          </w:p>
        </w:tc>
        <w:tc>
          <w:tcPr>
            <w:tcW w:w="4111" w:type="dxa"/>
            <w:vAlign w:val="bottom"/>
          </w:tcPr>
          <w:p w14:paraId="64FA109A" w14:textId="318B8784" w:rsidR="004E3C18" w:rsidRPr="00531919" w:rsidRDefault="004E3C18">
            <w:pPr>
              <w:pStyle w:val="SingleTxtG"/>
              <w:ind w:left="0" w:right="0"/>
              <w:jc w:val="left"/>
              <w:rPr>
                <w:lang w:val="es-ES_tradnl"/>
              </w:rPr>
            </w:pPr>
            <w:r w:rsidRPr="00B11A5A">
              <w:rPr>
                <w:lang w:val="es-ES"/>
              </w:rPr>
              <w:t>Desaparición</w:t>
            </w:r>
          </w:p>
        </w:tc>
      </w:tr>
      <w:tr w:rsidR="004E3C18" w:rsidRPr="00943DD7" w14:paraId="4A313AF0" w14:textId="77777777" w:rsidTr="00531919">
        <w:tc>
          <w:tcPr>
            <w:tcW w:w="2694" w:type="dxa"/>
          </w:tcPr>
          <w:p w14:paraId="27483338" w14:textId="77777777" w:rsidR="004E3C18" w:rsidRPr="00531919" w:rsidRDefault="004E3C18">
            <w:pPr>
              <w:pStyle w:val="SingleTxtG"/>
              <w:ind w:left="0" w:right="0"/>
              <w:jc w:val="left"/>
              <w:rPr>
                <w:i/>
                <w:lang w:val="es-ES_tradnl"/>
              </w:rPr>
            </w:pPr>
            <w:r w:rsidRPr="00531919">
              <w:rPr>
                <w:i/>
                <w:lang w:val="es-ES_tradnl"/>
              </w:rPr>
              <w:t>Cuestiones de procedimiento:</w:t>
            </w:r>
          </w:p>
        </w:tc>
        <w:tc>
          <w:tcPr>
            <w:tcW w:w="4111" w:type="dxa"/>
            <w:vAlign w:val="bottom"/>
          </w:tcPr>
          <w:p w14:paraId="17E1BD8B" w14:textId="2F81C3D3" w:rsidR="004E3C18" w:rsidRPr="00531919" w:rsidRDefault="004E3C18">
            <w:pPr>
              <w:pStyle w:val="SingleTxtG"/>
              <w:ind w:left="0" w:right="0"/>
              <w:jc w:val="left"/>
              <w:rPr>
                <w:lang w:val="es-ES_tradnl"/>
              </w:rPr>
            </w:pPr>
            <w:r w:rsidRPr="002B31D4">
              <w:rPr>
                <w:lang w:val="es-ES_tradnl"/>
              </w:rPr>
              <w:t>Agotamiento de los recursos internos</w:t>
            </w:r>
          </w:p>
        </w:tc>
      </w:tr>
      <w:tr w:rsidR="004E3C18" w:rsidRPr="00943DD7" w14:paraId="7746636E" w14:textId="77777777" w:rsidTr="00531919">
        <w:tc>
          <w:tcPr>
            <w:tcW w:w="2694" w:type="dxa"/>
          </w:tcPr>
          <w:p w14:paraId="5DAEE0ED" w14:textId="77777777" w:rsidR="004E3C18" w:rsidRPr="00531919" w:rsidRDefault="004E3C18">
            <w:pPr>
              <w:pStyle w:val="SingleTxtG"/>
              <w:ind w:left="0" w:right="0"/>
              <w:jc w:val="left"/>
              <w:rPr>
                <w:i/>
                <w:lang w:val="es-ES_tradnl"/>
              </w:rPr>
            </w:pPr>
            <w:r w:rsidRPr="00531919">
              <w:rPr>
                <w:i/>
                <w:lang w:val="es-ES_tradnl"/>
              </w:rPr>
              <w:t>Cuestiones de fondo:</w:t>
            </w:r>
          </w:p>
        </w:tc>
        <w:tc>
          <w:tcPr>
            <w:tcW w:w="4111" w:type="dxa"/>
            <w:vAlign w:val="bottom"/>
          </w:tcPr>
          <w:p w14:paraId="18F7D8D7" w14:textId="325A6970" w:rsidR="004E3C18" w:rsidRPr="00531919" w:rsidRDefault="004E3C18">
            <w:pPr>
              <w:pStyle w:val="SingleTxtG"/>
              <w:ind w:left="0" w:right="0"/>
              <w:jc w:val="left"/>
              <w:rPr>
                <w:lang w:val="es-ES_tradnl"/>
              </w:rPr>
            </w:pPr>
            <w:r w:rsidRPr="0040178F">
              <w:rPr>
                <w:lang w:val="es-ES"/>
              </w:rPr>
              <w:t>Derecho a un recurso efectivo; derecho a la vida; prohibición de la tortura y tratos crueles e inhumanos; derecho a la libertad y a la seguridad personales; reconocimiento de la personalidad jurídica</w:t>
            </w:r>
          </w:p>
        </w:tc>
      </w:tr>
      <w:tr w:rsidR="004E3C18" w:rsidRPr="004E3C18" w14:paraId="318FF51B" w14:textId="77777777" w:rsidTr="00531919">
        <w:tc>
          <w:tcPr>
            <w:tcW w:w="2694" w:type="dxa"/>
          </w:tcPr>
          <w:p w14:paraId="62615D0F" w14:textId="77777777" w:rsidR="004E3C18" w:rsidRPr="00531919" w:rsidRDefault="004E3C18">
            <w:pPr>
              <w:pStyle w:val="SingleTxtG"/>
              <w:ind w:left="0" w:right="0"/>
              <w:jc w:val="left"/>
              <w:rPr>
                <w:i/>
                <w:lang w:val="es-ES_tradnl"/>
              </w:rPr>
            </w:pPr>
            <w:r w:rsidRPr="00531919">
              <w:rPr>
                <w:i/>
                <w:lang w:val="es-ES_tradnl"/>
              </w:rPr>
              <w:t>Artículos del Pacto:</w:t>
            </w:r>
          </w:p>
        </w:tc>
        <w:tc>
          <w:tcPr>
            <w:tcW w:w="4111" w:type="dxa"/>
            <w:vAlign w:val="bottom"/>
          </w:tcPr>
          <w:p w14:paraId="4C3BEA15" w14:textId="7855A99D" w:rsidR="004E3C18" w:rsidRPr="00531919" w:rsidRDefault="004E3C18">
            <w:pPr>
              <w:pStyle w:val="SingleTxtG"/>
              <w:ind w:left="0" w:right="0"/>
              <w:jc w:val="left"/>
              <w:rPr>
                <w:lang w:val="es-ES_tradnl"/>
              </w:rPr>
            </w:pPr>
            <w:r w:rsidRPr="00C91931">
              <w:rPr>
                <w:lang w:val="es-ES"/>
              </w:rPr>
              <w:t>2</w:t>
            </w:r>
            <w:r>
              <w:rPr>
                <w:lang w:val="es-ES"/>
              </w:rPr>
              <w:t xml:space="preserve">, párr. </w:t>
            </w:r>
            <w:r w:rsidRPr="00C91931">
              <w:rPr>
                <w:lang w:val="es-ES"/>
              </w:rPr>
              <w:t>3</w:t>
            </w:r>
            <w:r>
              <w:rPr>
                <w:lang w:val="es-ES"/>
              </w:rPr>
              <w:t>,</w:t>
            </w:r>
            <w:r w:rsidRPr="00C91931">
              <w:rPr>
                <w:lang w:val="es-ES"/>
              </w:rPr>
              <w:t xml:space="preserve"> 6</w:t>
            </w:r>
            <w:r>
              <w:rPr>
                <w:lang w:val="es-ES"/>
              </w:rPr>
              <w:t>, párr. 1,</w:t>
            </w:r>
            <w:r w:rsidRPr="00C91931">
              <w:rPr>
                <w:lang w:val="es-ES"/>
              </w:rPr>
              <w:t xml:space="preserve"> 7</w:t>
            </w:r>
            <w:r>
              <w:rPr>
                <w:lang w:val="es-ES"/>
              </w:rPr>
              <w:t>,</w:t>
            </w:r>
            <w:r w:rsidRPr="00C91931">
              <w:rPr>
                <w:lang w:val="es-ES"/>
              </w:rPr>
              <w:t xml:space="preserve"> </w:t>
            </w:r>
            <w:r w:rsidRPr="002B31D4">
              <w:rPr>
                <w:lang w:val="es-ES"/>
              </w:rPr>
              <w:t>9</w:t>
            </w:r>
            <w:r>
              <w:rPr>
                <w:lang w:val="es-ES"/>
              </w:rPr>
              <w:t>,</w:t>
            </w:r>
            <w:r w:rsidRPr="002B31D4">
              <w:rPr>
                <w:lang w:val="es-ES"/>
              </w:rPr>
              <w:t xml:space="preserve"> 16</w:t>
            </w:r>
          </w:p>
        </w:tc>
      </w:tr>
      <w:tr w:rsidR="004E3C18" w:rsidRPr="004E3C18" w14:paraId="04DB517E" w14:textId="77777777" w:rsidTr="00531919">
        <w:tc>
          <w:tcPr>
            <w:tcW w:w="2694" w:type="dxa"/>
          </w:tcPr>
          <w:p w14:paraId="7ABADF9A" w14:textId="77777777" w:rsidR="004E3C18" w:rsidRPr="00531919" w:rsidRDefault="004E3C18">
            <w:pPr>
              <w:pStyle w:val="SingleTxtG"/>
              <w:ind w:left="0" w:right="0"/>
              <w:jc w:val="left"/>
              <w:rPr>
                <w:i/>
                <w:lang w:val="es-ES_tradnl"/>
              </w:rPr>
            </w:pPr>
            <w:r w:rsidRPr="00531919">
              <w:rPr>
                <w:i/>
                <w:lang w:val="es-ES_tradnl"/>
              </w:rPr>
              <w:t>Artículos del Protocolo</w:t>
            </w:r>
            <w:r w:rsidRPr="00531919">
              <w:rPr>
                <w:i/>
                <w:lang w:val="es-ES_tradnl"/>
              </w:rPr>
              <w:br/>
              <w:t>Facultativo:</w:t>
            </w:r>
          </w:p>
        </w:tc>
        <w:tc>
          <w:tcPr>
            <w:tcW w:w="4111" w:type="dxa"/>
            <w:vAlign w:val="bottom"/>
          </w:tcPr>
          <w:p w14:paraId="6E210C21" w14:textId="03AF9D94" w:rsidR="004E3C18" w:rsidRPr="00531919" w:rsidRDefault="004E3C18">
            <w:pPr>
              <w:pStyle w:val="SingleTxtG"/>
              <w:ind w:left="0" w:right="0"/>
              <w:jc w:val="left"/>
              <w:rPr>
                <w:lang w:val="es-ES_tradnl"/>
              </w:rPr>
            </w:pPr>
            <w:r w:rsidRPr="0040178F">
              <w:rPr>
                <w:lang w:val="es-ES"/>
              </w:rPr>
              <w:t>5</w:t>
            </w:r>
            <w:r>
              <w:rPr>
                <w:lang w:val="es-ES"/>
              </w:rPr>
              <w:t xml:space="preserve">, párr. </w:t>
            </w:r>
            <w:r w:rsidRPr="0040178F">
              <w:rPr>
                <w:lang w:val="es-ES"/>
              </w:rPr>
              <w:t>2</w:t>
            </w:r>
            <w:r>
              <w:rPr>
                <w:lang w:val="es-ES"/>
              </w:rPr>
              <w:t>,</w:t>
            </w:r>
            <w:r w:rsidRPr="0040178F">
              <w:rPr>
                <w:lang w:val="es-ES"/>
              </w:rPr>
              <w:t xml:space="preserve"> </w:t>
            </w:r>
            <w:r>
              <w:rPr>
                <w:lang w:val="es-ES"/>
              </w:rPr>
              <w:t xml:space="preserve">apdo. </w:t>
            </w:r>
            <w:r w:rsidRPr="0040178F">
              <w:rPr>
                <w:lang w:val="es-ES"/>
              </w:rPr>
              <w:t>b</w:t>
            </w:r>
            <w:r>
              <w:rPr>
                <w:lang w:val="es-ES"/>
              </w:rPr>
              <w:t>)</w:t>
            </w:r>
          </w:p>
        </w:tc>
      </w:tr>
    </w:tbl>
    <w:p w14:paraId="57A8BAFE" w14:textId="6F4F3B73" w:rsidR="00AB46A3" w:rsidRPr="00025907" w:rsidRDefault="000D4140" w:rsidP="00531919">
      <w:pPr>
        <w:pStyle w:val="SingleTxtG"/>
        <w:spacing w:before="240"/>
        <w:rPr>
          <w:lang w:val="es-ES"/>
        </w:rPr>
      </w:pPr>
      <w:r w:rsidRPr="00025907">
        <w:rPr>
          <w:lang w:val="es-ES"/>
        </w:rPr>
        <w:lastRenderedPageBreak/>
        <w:t>1.</w:t>
      </w:r>
      <w:r w:rsidRPr="00025907">
        <w:rPr>
          <w:lang w:val="es-ES"/>
        </w:rPr>
        <w:tab/>
      </w:r>
      <w:r w:rsidR="00AB46A3" w:rsidRPr="00025907">
        <w:rPr>
          <w:lang w:val="es-ES"/>
        </w:rPr>
        <w:t xml:space="preserve">Los autores de la comunicación, de fecha 10 de noviembre de 2015, son </w:t>
      </w:r>
      <w:r w:rsidR="00E959CE" w:rsidRPr="00E959CE">
        <w:rPr>
          <w:lang w:val="es-ES"/>
        </w:rPr>
        <w:t>Carlos</w:t>
      </w:r>
      <w:r w:rsidR="00963B70">
        <w:rPr>
          <w:lang w:val="es-ES"/>
        </w:rPr>
        <w:t xml:space="preserve"> </w:t>
      </w:r>
      <w:r w:rsidR="00E959CE" w:rsidRPr="00E959CE">
        <w:rPr>
          <w:lang w:val="es-ES"/>
        </w:rPr>
        <w:t xml:space="preserve">Moreno Zamora, María Enriqueta Pérez Barrera y Areli Moreno Pérez, </w:t>
      </w:r>
      <w:r w:rsidR="00614EB5">
        <w:rPr>
          <w:lang w:val="es-ES"/>
        </w:rPr>
        <w:t xml:space="preserve">todos </w:t>
      </w:r>
      <w:r w:rsidR="00E959CE" w:rsidRPr="00025907">
        <w:rPr>
          <w:lang w:val="es-ES"/>
        </w:rPr>
        <w:t xml:space="preserve">ciudadanos </w:t>
      </w:r>
      <w:r w:rsidR="00E959CE" w:rsidRPr="00614EB5">
        <w:rPr>
          <w:lang w:val="es-ES"/>
        </w:rPr>
        <w:t xml:space="preserve">mexicanos </w:t>
      </w:r>
      <w:r w:rsidR="00614EB5" w:rsidRPr="00614EB5">
        <w:rPr>
          <w:lang w:val="es-ES"/>
        </w:rPr>
        <w:t>y mayores de edad</w:t>
      </w:r>
      <w:r w:rsidR="00E959CE" w:rsidRPr="00614EB5">
        <w:rPr>
          <w:lang w:val="es-ES"/>
        </w:rPr>
        <w:t>.</w:t>
      </w:r>
      <w:r w:rsidR="00E959CE" w:rsidRPr="00025907">
        <w:rPr>
          <w:lang w:val="es-ES"/>
        </w:rPr>
        <w:t xml:space="preserve"> Los autores actúan en nombre propio y en nombre de </w:t>
      </w:r>
      <w:r w:rsidR="00E959CE" w:rsidRPr="00E959CE">
        <w:rPr>
          <w:lang w:val="es-ES"/>
        </w:rPr>
        <w:t>Jesús Israel Moreno Pérez,</w:t>
      </w:r>
      <w:r w:rsidR="00E959CE" w:rsidRPr="00025907">
        <w:rPr>
          <w:lang w:val="es-ES"/>
        </w:rPr>
        <w:t xml:space="preserve"> </w:t>
      </w:r>
      <w:r w:rsidR="009F61AD" w:rsidRPr="00025907">
        <w:rPr>
          <w:lang w:val="es-ES"/>
        </w:rPr>
        <w:t xml:space="preserve">hijo </w:t>
      </w:r>
      <w:r w:rsidR="009F61AD">
        <w:rPr>
          <w:lang w:val="es-ES"/>
        </w:rPr>
        <w:t xml:space="preserve">de los dos primeros autores </w:t>
      </w:r>
      <w:r w:rsidR="009F61AD" w:rsidRPr="00025907">
        <w:rPr>
          <w:lang w:val="es-ES"/>
        </w:rPr>
        <w:t xml:space="preserve">y hermano de </w:t>
      </w:r>
      <w:r w:rsidR="009F61AD">
        <w:rPr>
          <w:lang w:val="es-ES"/>
        </w:rPr>
        <w:t>la tercera,</w:t>
      </w:r>
      <w:r w:rsidR="009F61AD" w:rsidRPr="00607CAA">
        <w:rPr>
          <w:lang w:val="es-ES"/>
        </w:rPr>
        <w:t xml:space="preserve"> </w:t>
      </w:r>
      <w:r w:rsidR="00E959CE" w:rsidRPr="00025907">
        <w:rPr>
          <w:lang w:val="es-ES"/>
        </w:rPr>
        <w:t>también de nac</w:t>
      </w:r>
      <w:r w:rsidR="00E959CE">
        <w:rPr>
          <w:lang w:val="es-ES"/>
        </w:rPr>
        <w:t>ionalidad mexicana, nacido el 23</w:t>
      </w:r>
      <w:r w:rsidR="00E959CE" w:rsidRPr="00025907">
        <w:rPr>
          <w:lang w:val="es-ES"/>
        </w:rPr>
        <w:t xml:space="preserve"> de </w:t>
      </w:r>
      <w:r w:rsidR="00E959CE">
        <w:rPr>
          <w:lang w:val="es-ES"/>
        </w:rPr>
        <w:t>noviembre de 1991</w:t>
      </w:r>
      <w:r w:rsidR="00254363">
        <w:rPr>
          <w:lang w:val="es-ES"/>
        </w:rPr>
        <w:t xml:space="preserve"> y desaparecido </w:t>
      </w:r>
      <w:r w:rsidR="00254363" w:rsidRPr="003624C1">
        <w:rPr>
          <w:lang w:val="es-ES"/>
        </w:rPr>
        <w:t xml:space="preserve">desde el </w:t>
      </w:r>
      <w:r w:rsidR="00254363">
        <w:rPr>
          <w:lang w:val="es-ES"/>
        </w:rPr>
        <w:t>8</w:t>
      </w:r>
      <w:r w:rsidR="00254363" w:rsidRPr="003624C1">
        <w:rPr>
          <w:lang w:val="es-ES"/>
        </w:rPr>
        <w:t xml:space="preserve"> de julio de 2011</w:t>
      </w:r>
      <w:r w:rsidR="00E959CE" w:rsidRPr="003624C1">
        <w:rPr>
          <w:lang w:val="es-ES"/>
        </w:rPr>
        <w:t>.</w:t>
      </w:r>
      <w:r w:rsidR="00DD2CCF" w:rsidRPr="003624C1">
        <w:rPr>
          <w:lang w:val="es-ES"/>
        </w:rPr>
        <w:t xml:space="preserve"> </w:t>
      </w:r>
      <w:r w:rsidR="00AB46A3" w:rsidRPr="003624C1">
        <w:rPr>
          <w:lang w:val="es-ES"/>
        </w:rPr>
        <w:t>Los</w:t>
      </w:r>
      <w:r w:rsidR="00AB46A3" w:rsidRPr="00166AD6">
        <w:rPr>
          <w:lang w:val="es-ES"/>
        </w:rPr>
        <w:t xml:space="preserve"> autores alegan que el Estado parte ha violado los derechos de</w:t>
      </w:r>
      <w:r w:rsidR="001B4455">
        <w:rPr>
          <w:lang w:val="es-ES"/>
        </w:rPr>
        <w:t>l Sr.</w:t>
      </w:r>
      <w:r w:rsidR="00AB46A3" w:rsidRPr="00166AD6">
        <w:rPr>
          <w:lang w:val="es-ES"/>
        </w:rPr>
        <w:t xml:space="preserve"> </w:t>
      </w:r>
      <w:r w:rsidR="00166AD6" w:rsidRPr="00166AD6">
        <w:rPr>
          <w:lang w:val="es-ES"/>
        </w:rPr>
        <w:t xml:space="preserve">Moreno Pérez </w:t>
      </w:r>
      <w:r w:rsidR="0067692C">
        <w:rPr>
          <w:lang w:val="es-ES"/>
        </w:rPr>
        <w:t xml:space="preserve">en virtud de </w:t>
      </w:r>
      <w:r w:rsidR="00AB46A3" w:rsidRPr="00166AD6">
        <w:rPr>
          <w:lang w:val="es-ES"/>
        </w:rPr>
        <w:t>los artículos 6</w:t>
      </w:r>
      <w:r w:rsidR="00607CAA">
        <w:rPr>
          <w:lang w:val="es-ES"/>
        </w:rPr>
        <w:t>,</w:t>
      </w:r>
      <w:r w:rsidR="00AB46A3" w:rsidRPr="00166AD6">
        <w:rPr>
          <w:lang w:val="es-ES"/>
        </w:rPr>
        <w:t xml:space="preserve"> </w:t>
      </w:r>
      <w:r w:rsidR="00025907" w:rsidRPr="00166AD6">
        <w:rPr>
          <w:lang w:val="es-ES"/>
        </w:rPr>
        <w:t xml:space="preserve">párrafo </w:t>
      </w:r>
      <w:r w:rsidR="00AB46A3" w:rsidRPr="00166AD6">
        <w:rPr>
          <w:lang w:val="es-ES"/>
        </w:rPr>
        <w:t>1, 7, 9</w:t>
      </w:r>
      <w:r w:rsidR="00166AD6" w:rsidRPr="00166AD6">
        <w:rPr>
          <w:lang w:val="es-ES"/>
        </w:rPr>
        <w:t xml:space="preserve"> </w:t>
      </w:r>
      <w:r w:rsidR="00AB46A3" w:rsidRPr="00166AD6">
        <w:rPr>
          <w:lang w:val="es-ES"/>
        </w:rPr>
        <w:t>y 16</w:t>
      </w:r>
      <w:r w:rsidR="00EF1918">
        <w:rPr>
          <w:lang w:val="es-ES"/>
        </w:rPr>
        <w:t xml:space="preserve"> del Pacto</w:t>
      </w:r>
      <w:r w:rsidR="00AB46A3" w:rsidRPr="00166AD6">
        <w:rPr>
          <w:lang w:val="es-ES"/>
        </w:rPr>
        <w:t xml:space="preserve">, leídos </w:t>
      </w:r>
      <w:r w:rsidR="00D008C7">
        <w:rPr>
          <w:lang w:val="es-ES"/>
        </w:rPr>
        <w:t xml:space="preserve">solos y </w:t>
      </w:r>
      <w:proofErr w:type="gramStart"/>
      <w:r w:rsidR="00952F5C" w:rsidRPr="00166AD6">
        <w:rPr>
          <w:lang w:val="es-ES"/>
        </w:rPr>
        <w:t>conjuntamente</w:t>
      </w:r>
      <w:r w:rsidR="00AB46A3" w:rsidRPr="00166AD6">
        <w:rPr>
          <w:lang w:val="es-ES"/>
        </w:rPr>
        <w:t xml:space="preserve"> con</w:t>
      </w:r>
      <w:proofErr w:type="gramEnd"/>
      <w:r w:rsidR="00AB46A3" w:rsidRPr="00166AD6">
        <w:rPr>
          <w:lang w:val="es-ES"/>
        </w:rPr>
        <w:t xml:space="preserve"> el artículo 2</w:t>
      </w:r>
      <w:r w:rsidR="00952F5C" w:rsidRPr="00166AD6">
        <w:rPr>
          <w:lang w:val="es-ES"/>
        </w:rPr>
        <w:t>,</w:t>
      </w:r>
      <w:r w:rsidR="00AB46A3" w:rsidRPr="00166AD6">
        <w:rPr>
          <w:lang w:val="es-ES"/>
        </w:rPr>
        <w:t xml:space="preserve"> </w:t>
      </w:r>
      <w:r w:rsidR="00025907" w:rsidRPr="00166AD6">
        <w:rPr>
          <w:lang w:val="es-ES"/>
        </w:rPr>
        <w:t xml:space="preserve">párrafo </w:t>
      </w:r>
      <w:r w:rsidR="00AB46A3" w:rsidRPr="00166AD6">
        <w:rPr>
          <w:lang w:val="es-ES"/>
        </w:rPr>
        <w:t xml:space="preserve">3. Los autores alegan también ser víctimas de una violación por el Estado parte de sus derechos contenidos en </w:t>
      </w:r>
      <w:r w:rsidR="00607CAA">
        <w:rPr>
          <w:lang w:val="es-ES"/>
        </w:rPr>
        <w:t>el</w:t>
      </w:r>
      <w:r w:rsidR="00AB46A3" w:rsidRPr="00166AD6">
        <w:rPr>
          <w:lang w:val="es-ES"/>
        </w:rPr>
        <w:t xml:space="preserve"> artículo 7 del Pacto</w:t>
      </w:r>
      <w:r w:rsidR="003E580A">
        <w:rPr>
          <w:lang w:val="es-ES"/>
        </w:rPr>
        <w:t>,</w:t>
      </w:r>
      <w:r w:rsidR="00AB46A3" w:rsidRPr="00166AD6">
        <w:rPr>
          <w:lang w:val="es-ES"/>
        </w:rPr>
        <w:t xml:space="preserve"> leído </w:t>
      </w:r>
      <w:r w:rsidR="00D008C7">
        <w:rPr>
          <w:lang w:val="es-ES"/>
        </w:rPr>
        <w:t xml:space="preserve">solo y </w:t>
      </w:r>
      <w:proofErr w:type="gramStart"/>
      <w:r w:rsidR="00DE035A" w:rsidRPr="00166AD6">
        <w:rPr>
          <w:lang w:val="es-ES"/>
        </w:rPr>
        <w:t xml:space="preserve">conjuntamente </w:t>
      </w:r>
      <w:r w:rsidR="00AB46A3" w:rsidRPr="00166AD6">
        <w:rPr>
          <w:lang w:val="es-ES"/>
        </w:rPr>
        <w:t>con</w:t>
      </w:r>
      <w:proofErr w:type="gramEnd"/>
      <w:r w:rsidR="00AB46A3" w:rsidRPr="00166AD6">
        <w:rPr>
          <w:lang w:val="es-ES"/>
        </w:rPr>
        <w:t xml:space="preserve"> el artíc</w:t>
      </w:r>
      <w:r w:rsidR="00EC1768" w:rsidRPr="00166AD6">
        <w:rPr>
          <w:lang w:val="es-ES"/>
        </w:rPr>
        <w:t>ulo 2</w:t>
      </w:r>
      <w:r w:rsidR="00607CAA">
        <w:rPr>
          <w:lang w:val="es-ES"/>
        </w:rPr>
        <w:t>,</w:t>
      </w:r>
      <w:r w:rsidR="00EC1768" w:rsidRPr="00166AD6">
        <w:rPr>
          <w:lang w:val="es-ES"/>
        </w:rPr>
        <w:t xml:space="preserve"> </w:t>
      </w:r>
      <w:r w:rsidR="00025907" w:rsidRPr="00166AD6">
        <w:rPr>
          <w:lang w:val="es-ES"/>
        </w:rPr>
        <w:t xml:space="preserve">párrafo </w:t>
      </w:r>
      <w:r w:rsidR="00CF7CB3" w:rsidRPr="00166AD6">
        <w:rPr>
          <w:lang w:val="es-ES"/>
        </w:rPr>
        <w:t xml:space="preserve">3. </w:t>
      </w:r>
      <w:r w:rsidR="00AB46A3" w:rsidRPr="00025907">
        <w:rPr>
          <w:lang w:val="es-ES"/>
        </w:rPr>
        <w:t xml:space="preserve">El Protocolo Facultativo entró en vigor para el Estado parte el </w:t>
      </w:r>
      <w:r w:rsidR="00AB46A3" w:rsidRPr="00511C87">
        <w:rPr>
          <w:lang w:val="es-ES"/>
        </w:rPr>
        <w:t>15 de junio de 2002</w:t>
      </w:r>
      <w:r w:rsidR="00AB46A3" w:rsidRPr="00025907">
        <w:rPr>
          <w:lang w:val="es-ES"/>
        </w:rPr>
        <w:t>. L</w:t>
      </w:r>
      <w:r w:rsidR="004B14BB" w:rsidRPr="00025907">
        <w:rPr>
          <w:lang w:val="es-ES"/>
        </w:rPr>
        <w:t>os autores están representados.</w:t>
      </w:r>
    </w:p>
    <w:p w14:paraId="5F16F1DC" w14:textId="6500A10D" w:rsidR="00532065" w:rsidRPr="00173CF5" w:rsidRDefault="00824F80">
      <w:pPr>
        <w:pStyle w:val="H23G"/>
        <w:rPr>
          <w:rFonts w:eastAsia="Calibri"/>
          <w:lang w:val="es-ES_tradnl"/>
        </w:rPr>
      </w:pPr>
      <w:r>
        <w:rPr>
          <w:rFonts w:eastAsia="Calibri"/>
          <w:lang w:val="es-ES_tradnl"/>
        </w:rPr>
        <w:tab/>
      </w:r>
      <w:r>
        <w:rPr>
          <w:rFonts w:eastAsia="Calibri"/>
          <w:lang w:val="es-ES_tradnl"/>
        </w:rPr>
        <w:tab/>
      </w:r>
      <w:r w:rsidR="00610CC3">
        <w:rPr>
          <w:rFonts w:eastAsia="Calibri"/>
          <w:lang w:val="es-ES_tradnl"/>
        </w:rPr>
        <w:t>Antecedentes de</w:t>
      </w:r>
      <w:r w:rsidR="00B95840">
        <w:rPr>
          <w:rFonts w:eastAsia="Calibri"/>
          <w:lang w:val="es-ES_tradnl"/>
        </w:rPr>
        <w:t xml:space="preserve"> hecho</w:t>
      </w:r>
      <w:r w:rsidR="00610CC3">
        <w:rPr>
          <w:rFonts w:eastAsia="Calibri"/>
          <w:lang w:val="es-ES_tradnl"/>
        </w:rPr>
        <w:t>s</w:t>
      </w:r>
    </w:p>
    <w:p w14:paraId="4D4E9110" w14:textId="77777777" w:rsidR="00D52B7C" w:rsidRPr="006779A2" w:rsidRDefault="00175184">
      <w:pPr>
        <w:pStyle w:val="H4G"/>
        <w:rPr>
          <w:rFonts w:eastAsia="SimSun"/>
          <w:lang w:val="es-ES_tradnl" w:eastAsia="zh-CN"/>
        </w:rPr>
      </w:pPr>
      <w:r>
        <w:rPr>
          <w:rFonts w:eastAsia="Calibri"/>
          <w:lang w:val="es-ES_tradnl"/>
        </w:rPr>
        <w:tab/>
      </w:r>
      <w:r>
        <w:rPr>
          <w:rFonts w:eastAsia="Calibri"/>
          <w:lang w:val="es-ES_tradnl"/>
        </w:rPr>
        <w:tab/>
      </w:r>
      <w:r w:rsidR="00D52B7C" w:rsidRPr="006779A2">
        <w:rPr>
          <w:rFonts w:eastAsia="SimSun"/>
          <w:lang w:val="es-ES_tradnl" w:eastAsia="zh-CN"/>
        </w:rPr>
        <w:t>Contexto</w:t>
      </w:r>
    </w:p>
    <w:p w14:paraId="5A1FF8CA" w14:textId="71904619" w:rsidR="00D52B7C" w:rsidRPr="006779A2" w:rsidRDefault="00D52B7C" w:rsidP="00D52B7C">
      <w:pPr>
        <w:spacing w:after="120"/>
        <w:ind w:left="1134" w:right="1134"/>
        <w:jc w:val="both"/>
        <w:rPr>
          <w:rFonts w:eastAsia="Calibri"/>
          <w:lang w:val="es-ES_tradnl" w:eastAsia="zh-CN"/>
        </w:rPr>
      </w:pPr>
      <w:r>
        <w:rPr>
          <w:rFonts w:eastAsia="Calibri"/>
          <w:lang w:val="es-ES_tradnl" w:eastAsia="zh-CN"/>
        </w:rPr>
        <w:t>2.1</w:t>
      </w:r>
      <w:r>
        <w:rPr>
          <w:rFonts w:eastAsia="Calibri"/>
          <w:lang w:val="es-ES_tradnl" w:eastAsia="zh-CN"/>
        </w:rPr>
        <w:tab/>
      </w:r>
      <w:r w:rsidRPr="006779A2">
        <w:rPr>
          <w:rFonts w:eastAsia="Calibri"/>
          <w:lang w:val="es-ES_tradnl" w:eastAsia="zh-CN"/>
        </w:rPr>
        <w:t>Los autores afirman que los hechos del presente caso se produjeron en un contexto de graves violaciones a derechos humanos que tiene su origen en la política de seguridad iniciada por el Estado parte en 2006, llamada “</w:t>
      </w:r>
      <w:r w:rsidR="00A07A9D">
        <w:rPr>
          <w:rFonts w:eastAsia="Calibri"/>
          <w:lang w:val="es-ES_tradnl" w:eastAsia="zh-CN"/>
        </w:rPr>
        <w:t>g</w:t>
      </w:r>
      <w:r w:rsidRPr="006779A2">
        <w:rPr>
          <w:rFonts w:eastAsia="Calibri"/>
          <w:lang w:val="es-ES_tradnl" w:eastAsia="zh-CN"/>
        </w:rPr>
        <w:t xml:space="preserve">uerra contra el narcotráfico”, orientada a una confrontación directa </w:t>
      </w:r>
      <w:r>
        <w:rPr>
          <w:rFonts w:eastAsia="Calibri"/>
          <w:lang w:val="es-ES_tradnl" w:eastAsia="zh-CN"/>
        </w:rPr>
        <w:t xml:space="preserve">de </w:t>
      </w:r>
      <w:r w:rsidRPr="006779A2">
        <w:rPr>
          <w:rFonts w:eastAsia="Calibri"/>
          <w:lang w:val="es-ES_tradnl" w:eastAsia="zh-CN"/>
        </w:rPr>
        <w:t xml:space="preserve">fuerzas policiales y armadas </w:t>
      </w:r>
      <w:r>
        <w:rPr>
          <w:rFonts w:eastAsia="Calibri"/>
          <w:lang w:val="es-ES_tradnl" w:eastAsia="zh-CN"/>
        </w:rPr>
        <w:t xml:space="preserve">en </w:t>
      </w:r>
      <w:r w:rsidRPr="006779A2">
        <w:rPr>
          <w:rFonts w:eastAsia="Calibri"/>
          <w:lang w:val="es-ES_tradnl" w:eastAsia="zh-CN"/>
        </w:rPr>
        <w:t xml:space="preserve">contra </w:t>
      </w:r>
      <w:r>
        <w:rPr>
          <w:rFonts w:eastAsia="Calibri"/>
          <w:lang w:val="es-ES_tradnl" w:eastAsia="zh-CN"/>
        </w:rPr>
        <w:t>de grupos del crimen organizado</w:t>
      </w:r>
      <w:r w:rsidRPr="006779A2">
        <w:rPr>
          <w:rFonts w:eastAsia="Calibri"/>
          <w:lang w:val="es-ES_tradnl" w:eastAsia="zh-CN"/>
        </w:rPr>
        <w:t xml:space="preserve">, </w:t>
      </w:r>
      <w:r>
        <w:rPr>
          <w:rFonts w:eastAsia="Calibri"/>
          <w:lang w:val="es-ES_tradnl" w:eastAsia="zh-CN"/>
        </w:rPr>
        <w:t xml:space="preserve">resultando en </w:t>
      </w:r>
      <w:r w:rsidRPr="006779A2">
        <w:rPr>
          <w:rFonts w:eastAsia="Calibri"/>
          <w:lang w:val="es-ES_tradnl" w:eastAsia="zh-CN"/>
        </w:rPr>
        <w:t>un incremento drástico de las violaciones graves de derechos humanos, que casi nunca se investigar</w:t>
      </w:r>
      <w:r w:rsidR="00665DAB">
        <w:rPr>
          <w:rFonts w:eastAsia="Calibri"/>
          <w:lang w:val="es-ES_tradnl" w:eastAsia="zh-CN"/>
        </w:rPr>
        <w:t>on</w:t>
      </w:r>
      <w:r w:rsidRPr="006779A2">
        <w:rPr>
          <w:rFonts w:eastAsia="Calibri"/>
          <w:lang w:val="es-ES_tradnl" w:eastAsia="zh-CN"/>
        </w:rPr>
        <w:t xml:space="preserve"> adecuadamente</w:t>
      </w:r>
      <w:r w:rsidRPr="0026662F">
        <w:rPr>
          <w:rFonts w:eastAsia="Calibri"/>
          <w:sz w:val="18"/>
          <w:szCs w:val="18"/>
          <w:vertAlign w:val="superscript"/>
          <w:lang w:val="es-ES_tradnl" w:eastAsia="zh-CN"/>
        </w:rPr>
        <w:footnoteReference w:id="3"/>
      </w:r>
      <w:r w:rsidR="00A07A9D">
        <w:rPr>
          <w:rFonts w:eastAsia="Calibri"/>
          <w:lang w:val="es-ES_tradnl" w:eastAsia="zh-CN"/>
        </w:rPr>
        <w:t>.</w:t>
      </w:r>
      <w:r w:rsidRPr="00815287">
        <w:rPr>
          <w:rFonts w:eastAsia="Calibri"/>
          <w:lang w:val="es-ES_tradnl" w:eastAsia="zh-CN"/>
        </w:rPr>
        <w:t xml:space="preserve"> </w:t>
      </w:r>
      <w:r>
        <w:rPr>
          <w:rFonts w:eastAsia="Calibri"/>
          <w:lang w:val="es-ES_tradnl" w:eastAsia="zh-CN"/>
        </w:rPr>
        <w:t>E</w:t>
      </w:r>
      <w:r w:rsidRPr="006779A2">
        <w:rPr>
          <w:rFonts w:eastAsia="Calibri"/>
          <w:lang w:val="es-ES_tradnl" w:eastAsia="zh-CN"/>
        </w:rPr>
        <w:t xml:space="preserve">l contexto aplica </w:t>
      </w:r>
      <w:r>
        <w:rPr>
          <w:rFonts w:eastAsia="Calibri"/>
          <w:lang w:val="es-ES_tradnl" w:eastAsia="zh-CN"/>
        </w:rPr>
        <w:t xml:space="preserve">al estado de Oaxaca, </w:t>
      </w:r>
      <w:r w:rsidRPr="006779A2">
        <w:rPr>
          <w:rFonts w:eastAsia="Calibri"/>
          <w:lang w:val="es-ES_tradnl" w:eastAsia="zh-CN"/>
        </w:rPr>
        <w:t>octava entidad del país con el mayor número de denuncias por viola</w:t>
      </w:r>
      <w:r>
        <w:rPr>
          <w:rFonts w:eastAsia="Calibri"/>
          <w:lang w:val="es-ES_tradnl" w:eastAsia="zh-CN"/>
        </w:rPr>
        <w:t>ciones a derechos humanos</w:t>
      </w:r>
      <w:r w:rsidRPr="006779A2">
        <w:rPr>
          <w:rFonts w:eastAsia="Calibri"/>
          <w:lang w:val="es-ES_tradnl" w:eastAsia="zh-CN"/>
        </w:rPr>
        <w:t>.</w:t>
      </w:r>
    </w:p>
    <w:p w14:paraId="17983F64" w14:textId="651F7BAB" w:rsidR="00D52B7C" w:rsidRPr="006779A2" w:rsidRDefault="00D52B7C" w:rsidP="00D52B7C">
      <w:pPr>
        <w:spacing w:after="120"/>
        <w:ind w:left="1134" w:right="1134"/>
        <w:jc w:val="both"/>
        <w:rPr>
          <w:rFonts w:eastAsia="Calibri"/>
          <w:lang w:val="es-ES_tradnl" w:eastAsia="zh-CN"/>
        </w:rPr>
      </w:pPr>
      <w:r>
        <w:rPr>
          <w:rFonts w:eastAsia="Calibri"/>
          <w:lang w:val="es-ES_tradnl" w:eastAsia="zh-CN"/>
        </w:rPr>
        <w:t>2.2</w:t>
      </w:r>
      <w:r>
        <w:rPr>
          <w:rFonts w:eastAsia="Calibri"/>
          <w:lang w:val="es-ES_tradnl" w:eastAsia="zh-CN"/>
        </w:rPr>
        <w:tab/>
      </w:r>
      <w:r w:rsidRPr="006779A2">
        <w:rPr>
          <w:rFonts w:eastAsia="Calibri"/>
          <w:lang w:val="es-ES_tradnl" w:eastAsia="zh-CN"/>
        </w:rPr>
        <w:t>Los autores mencionan también las observacion</w:t>
      </w:r>
      <w:r>
        <w:rPr>
          <w:rFonts w:eastAsia="Calibri"/>
          <w:lang w:val="es-ES_tradnl" w:eastAsia="zh-CN"/>
        </w:rPr>
        <w:t xml:space="preserve">es finales </w:t>
      </w:r>
      <w:r w:rsidRPr="006779A2">
        <w:rPr>
          <w:rFonts w:eastAsia="Calibri"/>
          <w:lang w:val="es-ES_tradnl" w:eastAsia="zh-CN"/>
        </w:rPr>
        <w:t>sobre México</w:t>
      </w:r>
      <w:r>
        <w:rPr>
          <w:rFonts w:eastAsia="Calibri"/>
          <w:lang w:val="es-ES_tradnl" w:eastAsia="zh-CN"/>
        </w:rPr>
        <w:t xml:space="preserve"> del Comité contra la</w:t>
      </w:r>
      <w:r w:rsidRPr="006779A2">
        <w:rPr>
          <w:rFonts w:eastAsia="Calibri"/>
          <w:lang w:val="es-ES_tradnl" w:eastAsia="zh-CN"/>
        </w:rPr>
        <w:t xml:space="preserve"> Desaparición Forzada, </w:t>
      </w:r>
      <w:r w:rsidR="005A06DC">
        <w:rPr>
          <w:rFonts w:eastAsia="Calibri"/>
          <w:lang w:val="es-ES_tradnl" w:eastAsia="zh-CN"/>
        </w:rPr>
        <w:t xml:space="preserve">que </w:t>
      </w:r>
      <w:r>
        <w:rPr>
          <w:rFonts w:eastAsia="Calibri"/>
          <w:lang w:val="es-ES_tradnl" w:eastAsia="zh-CN"/>
        </w:rPr>
        <w:t>relatan</w:t>
      </w:r>
      <w:r w:rsidRPr="006779A2">
        <w:rPr>
          <w:rFonts w:eastAsia="Calibri"/>
          <w:lang w:val="es-ES_tradnl" w:eastAsia="zh-CN"/>
        </w:rPr>
        <w:t xml:space="preserve"> un contexto de desapariciones generalizadas en gran</w:t>
      </w:r>
      <w:r>
        <w:rPr>
          <w:rFonts w:eastAsia="Calibri"/>
          <w:lang w:val="es-ES_tradnl" w:eastAsia="zh-CN"/>
        </w:rPr>
        <w:t xml:space="preserve"> parte del territorio del país</w:t>
      </w:r>
      <w:r w:rsidRPr="006779A2">
        <w:rPr>
          <w:rFonts w:eastAsia="Calibri"/>
          <w:lang w:val="es-ES_tradnl" w:eastAsia="zh-CN"/>
        </w:rPr>
        <w:t xml:space="preserve">. </w:t>
      </w:r>
      <w:r>
        <w:rPr>
          <w:rFonts w:eastAsia="Calibri"/>
          <w:lang w:val="es-ES_tradnl" w:eastAsia="zh-CN"/>
        </w:rPr>
        <w:t>E</w:t>
      </w:r>
      <w:r w:rsidRPr="006779A2">
        <w:rPr>
          <w:rFonts w:eastAsia="Calibri"/>
          <w:lang w:val="es-ES_tradnl" w:eastAsia="zh-CN"/>
        </w:rPr>
        <w:t>l Comité observó la existencia de una serie de obstáculos que no permitirían que las investigaciones se realicen</w:t>
      </w:r>
      <w:r w:rsidR="00D93EBD">
        <w:rPr>
          <w:rFonts w:eastAsia="Calibri"/>
          <w:lang w:val="es-ES_tradnl" w:eastAsia="zh-CN"/>
        </w:rPr>
        <w:t>. E</w:t>
      </w:r>
      <w:r w:rsidRPr="006779A2">
        <w:rPr>
          <w:rFonts w:eastAsia="Calibri"/>
          <w:lang w:val="es-ES_tradnl" w:eastAsia="zh-CN"/>
        </w:rPr>
        <w:t>n varios casos</w:t>
      </w:r>
      <w:r>
        <w:rPr>
          <w:rFonts w:eastAsia="Calibri"/>
          <w:lang w:val="es-ES_tradnl" w:eastAsia="zh-CN"/>
        </w:rPr>
        <w:t>,</w:t>
      </w:r>
      <w:r w:rsidRPr="006779A2">
        <w:rPr>
          <w:rFonts w:eastAsia="Calibri"/>
          <w:lang w:val="es-ES_tradnl" w:eastAsia="zh-CN"/>
        </w:rPr>
        <w:t xml:space="preserve"> las autoridades competentes</w:t>
      </w:r>
      <w:r>
        <w:rPr>
          <w:rFonts w:eastAsia="Calibri"/>
          <w:lang w:val="es-ES_tradnl" w:eastAsia="zh-CN"/>
        </w:rPr>
        <w:t>:</w:t>
      </w:r>
      <w:r w:rsidRPr="006779A2">
        <w:rPr>
          <w:rFonts w:eastAsia="Calibri"/>
          <w:lang w:val="es-ES_tradnl" w:eastAsia="zh-CN"/>
        </w:rPr>
        <w:t xml:space="preserve"> a) no habrían iniciado las investigaciones con la debida celeridad; b) </w:t>
      </w:r>
      <w:r>
        <w:rPr>
          <w:rFonts w:eastAsia="Calibri"/>
          <w:lang w:val="es-ES_tradnl" w:eastAsia="zh-CN"/>
        </w:rPr>
        <w:t>habían calificado</w:t>
      </w:r>
      <w:r w:rsidRPr="006779A2">
        <w:rPr>
          <w:rFonts w:eastAsia="Calibri"/>
          <w:lang w:val="es-ES_tradnl" w:eastAsia="zh-CN"/>
        </w:rPr>
        <w:t xml:space="preserve"> los hechos con base </w:t>
      </w:r>
      <w:r w:rsidR="00D93EBD">
        <w:rPr>
          <w:rFonts w:eastAsia="Calibri"/>
          <w:lang w:val="es-ES_tradnl" w:eastAsia="zh-CN"/>
        </w:rPr>
        <w:t>en</w:t>
      </w:r>
      <w:r w:rsidRPr="006779A2">
        <w:rPr>
          <w:rFonts w:eastAsia="Calibri"/>
          <w:lang w:val="es-ES_tradnl" w:eastAsia="zh-CN"/>
        </w:rPr>
        <w:t xml:space="preserve"> otros delitos, c) </w:t>
      </w:r>
      <w:r>
        <w:rPr>
          <w:rFonts w:eastAsia="Calibri"/>
          <w:lang w:val="es-ES_tradnl" w:eastAsia="zh-CN"/>
        </w:rPr>
        <w:t>habían destruido y alterado</w:t>
      </w:r>
      <w:r w:rsidRPr="006779A2">
        <w:rPr>
          <w:rFonts w:eastAsia="Calibri"/>
          <w:lang w:val="es-ES_tradnl" w:eastAsia="zh-CN"/>
        </w:rPr>
        <w:t xml:space="preserve"> evidencias</w:t>
      </w:r>
      <w:r w:rsidRPr="006779A2">
        <w:rPr>
          <w:rFonts w:eastAsia="Calibri"/>
          <w:sz w:val="18"/>
          <w:vertAlign w:val="superscript"/>
          <w:lang w:val="es-ES_tradnl" w:eastAsia="zh-CN"/>
        </w:rPr>
        <w:footnoteReference w:id="4"/>
      </w:r>
      <w:r w:rsidR="000769CF">
        <w:rPr>
          <w:rFonts w:eastAsia="Calibri"/>
          <w:lang w:val="es-ES_tradnl" w:eastAsia="zh-CN"/>
        </w:rPr>
        <w:t>.</w:t>
      </w:r>
    </w:p>
    <w:p w14:paraId="46C4A948" w14:textId="5B473926" w:rsidR="00D52B7C" w:rsidRPr="006779A2" w:rsidRDefault="00D52B7C" w:rsidP="00D52B7C">
      <w:pPr>
        <w:spacing w:after="120"/>
        <w:ind w:left="1134" w:right="1134"/>
        <w:jc w:val="both"/>
        <w:rPr>
          <w:rFonts w:eastAsia="Calibri"/>
          <w:lang w:val="es-ES_tradnl" w:eastAsia="zh-CN"/>
        </w:rPr>
      </w:pPr>
      <w:r>
        <w:rPr>
          <w:rFonts w:eastAsia="Calibri"/>
          <w:lang w:val="es-ES_tradnl" w:eastAsia="zh-CN"/>
        </w:rPr>
        <w:t>2.3</w:t>
      </w:r>
      <w:r>
        <w:rPr>
          <w:rFonts w:eastAsia="Calibri"/>
          <w:lang w:val="es-ES_tradnl" w:eastAsia="zh-CN"/>
        </w:rPr>
        <w:tab/>
      </w:r>
      <w:r w:rsidRPr="006779A2">
        <w:rPr>
          <w:rFonts w:eastAsia="Calibri"/>
          <w:lang w:val="es-ES_tradnl" w:eastAsia="zh-CN"/>
        </w:rPr>
        <w:t>Los autores retoman también el informe de la Comisión Interamericana de Derechos Humanos despué</w:t>
      </w:r>
      <w:r>
        <w:rPr>
          <w:rFonts w:eastAsia="Calibri"/>
          <w:lang w:val="es-ES_tradnl" w:eastAsia="zh-CN"/>
        </w:rPr>
        <w:t>s de su visita a México en 2015,</w:t>
      </w:r>
      <w:r w:rsidRPr="006779A2">
        <w:rPr>
          <w:rFonts w:eastAsia="Calibri"/>
          <w:lang w:val="es-ES_tradnl" w:eastAsia="zh-CN"/>
        </w:rPr>
        <w:t xml:space="preserve"> confirmando el carácter generalizado de las desapariciones forzadas</w:t>
      </w:r>
      <w:r w:rsidRPr="006779A2">
        <w:rPr>
          <w:rFonts w:eastAsia="Calibri"/>
          <w:sz w:val="18"/>
          <w:vertAlign w:val="superscript"/>
          <w:lang w:val="es-ES_tradnl" w:eastAsia="zh-CN"/>
        </w:rPr>
        <w:footnoteReference w:id="5"/>
      </w:r>
      <w:r w:rsidR="00776941">
        <w:rPr>
          <w:rFonts w:eastAsia="Calibri"/>
          <w:lang w:val="es-ES_tradnl" w:eastAsia="zh-CN"/>
        </w:rPr>
        <w:t>,</w:t>
      </w:r>
      <w:r w:rsidRPr="006779A2">
        <w:rPr>
          <w:rFonts w:eastAsia="Calibri"/>
          <w:lang w:val="es-ES_tradnl" w:eastAsia="zh-CN"/>
        </w:rPr>
        <w:t xml:space="preserve"> </w:t>
      </w:r>
      <w:r>
        <w:rPr>
          <w:rFonts w:eastAsia="Calibri"/>
          <w:lang w:val="es-ES_tradnl" w:eastAsia="zh-CN"/>
        </w:rPr>
        <w:t>y</w:t>
      </w:r>
      <w:r w:rsidRPr="006779A2">
        <w:rPr>
          <w:rFonts w:eastAsia="Calibri"/>
          <w:lang w:val="es-ES_tradnl" w:eastAsia="zh-CN"/>
        </w:rPr>
        <w:t xml:space="preserve"> la declaración del Alto Comisionado de la</w:t>
      </w:r>
      <w:r w:rsidR="008E465E">
        <w:rPr>
          <w:rFonts w:eastAsia="Calibri"/>
          <w:lang w:val="es-ES_tradnl" w:eastAsia="zh-CN"/>
        </w:rPr>
        <w:t xml:space="preserve">s Naciones Unidas </w:t>
      </w:r>
      <w:r w:rsidRPr="006779A2">
        <w:rPr>
          <w:rFonts w:eastAsia="Calibri"/>
          <w:lang w:val="es-ES_tradnl" w:eastAsia="zh-CN"/>
        </w:rPr>
        <w:t xml:space="preserve">para los Derechos Humanos luego de su visita a México </w:t>
      </w:r>
      <w:r>
        <w:rPr>
          <w:rFonts w:eastAsia="Calibri"/>
          <w:lang w:val="es-ES_tradnl" w:eastAsia="zh-CN"/>
        </w:rPr>
        <w:t>el mismo año, mencionando una</w:t>
      </w:r>
      <w:r w:rsidRPr="006779A2">
        <w:rPr>
          <w:rFonts w:eastAsia="Calibri"/>
          <w:lang w:val="es-ES_tradnl" w:eastAsia="zh-CN"/>
        </w:rPr>
        <w:t xml:space="preserve"> “implacable ola de violaciones de derechos humanos”</w:t>
      </w:r>
      <w:r w:rsidRPr="006779A2">
        <w:rPr>
          <w:rFonts w:eastAsia="Calibri"/>
          <w:sz w:val="18"/>
          <w:vertAlign w:val="superscript"/>
          <w:lang w:val="es-ES_tradnl" w:eastAsia="zh-CN"/>
        </w:rPr>
        <w:footnoteReference w:id="6"/>
      </w:r>
      <w:r w:rsidRPr="006779A2">
        <w:rPr>
          <w:rFonts w:eastAsia="Calibri"/>
          <w:lang w:val="es-ES_tradnl" w:eastAsia="zh-CN"/>
        </w:rPr>
        <w:t>.</w:t>
      </w:r>
    </w:p>
    <w:p w14:paraId="0D33AFCA" w14:textId="5668430A" w:rsidR="00532065" w:rsidRPr="00173CF5" w:rsidRDefault="00D52B7C">
      <w:pPr>
        <w:pStyle w:val="H4G"/>
        <w:rPr>
          <w:rFonts w:eastAsia="Calibri"/>
          <w:lang w:val="es-ES_tradnl"/>
        </w:rPr>
      </w:pPr>
      <w:r>
        <w:rPr>
          <w:rFonts w:eastAsia="Calibri"/>
          <w:lang w:val="es-ES_tradnl"/>
        </w:rPr>
        <w:tab/>
      </w:r>
      <w:r>
        <w:rPr>
          <w:rFonts w:eastAsia="Calibri"/>
          <w:lang w:val="es-ES_tradnl"/>
        </w:rPr>
        <w:tab/>
      </w:r>
      <w:r w:rsidR="009300B8" w:rsidRPr="00173CF5">
        <w:rPr>
          <w:rFonts w:eastAsia="Calibri"/>
          <w:lang w:val="es-ES_tradnl"/>
        </w:rPr>
        <w:t>Desaparición de</w:t>
      </w:r>
      <w:r w:rsidR="00D93EBD">
        <w:rPr>
          <w:rFonts w:eastAsia="Calibri"/>
          <w:lang w:val="es-ES_tradnl"/>
        </w:rPr>
        <w:t>l Sr.</w:t>
      </w:r>
      <w:r w:rsidR="009300B8" w:rsidRPr="00173CF5">
        <w:rPr>
          <w:rFonts w:eastAsia="Calibri"/>
          <w:lang w:val="es-ES_tradnl"/>
        </w:rPr>
        <w:t xml:space="preserve"> </w:t>
      </w:r>
      <w:r w:rsidR="001537E6" w:rsidRPr="001537E6">
        <w:rPr>
          <w:rFonts w:eastAsia="Calibri"/>
          <w:lang w:val="es-ES_tradnl"/>
        </w:rPr>
        <w:t>Moreno Pérez</w:t>
      </w:r>
      <w:r w:rsidR="003151E9">
        <w:rPr>
          <w:rFonts w:eastAsia="Calibri"/>
          <w:lang w:val="es-ES_tradnl"/>
        </w:rPr>
        <w:t xml:space="preserve"> y denuncias</w:t>
      </w:r>
      <w:r w:rsidR="003151E9" w:rsidRPr="003151E9">
        <w:rPr>
          <w:lang w:val="es-ES_tradnl"/>
        </w:rPr>
        <w:t xml:space="preserve"> presentadas</w:t>
      </w:r>
      <w:r w:rsidR="003E1A6D">
        <w:rPr>
          <w:lang w:val="es-ES_tradnl"/>
        </w:rPr>
        <w:t xml:space="preserve"> por este hecho</w:t>
      </w:r>
    </w:p>
    <w:p w14:paraId="7074D936" w14:textId="62515BED" w:rsidR="00025562" w:rsidRDefault="009300B8" w:rsidP="003D64AB">
      <w:pPr>
        <w:pStyle w:val="SingleTxtG"/>
        <w:rPr>
          <w:rFonts w:eastAsia="Calibri"/>
          <w:lang w:val="es-ES_tradnl"/>
        </w:rPr>
      </w:pPr>
      <w:r w:rsidRPr="00173CF5">
        <w:rPr>
          <w:rFonts w:eastAsia="Calibri"/>
          <w:lang w:val="es-ES_tradnl"/>
        </w:rPr>
        <w:t>2</w:t>
      </w:r>
      <w:r w:rsidRPr="00563665">
        <w:rPr>
          <w:rFonts w:eastAsia="Calibri"/>
          <w:lang w:val="es-ES_tradnl"/>
        </w:rPr>
        <w:t>.</w:t>
      </w:r>
      <w:r w:rsidR="00D52B7C">
        <w:rPr>
          <w:rFonts w:eastAsia="Calibri"/>
          <w:lang w:val="es-ES_tradnl"/>
        </w:rPr>
        <w:t>4</w:t>
      </w:r>
      <w:r w:rsidRPr="00563665">
        <w:rPr>
          <w:rFonts w:eastAsia="Calibri"/>
          <w:lang w:val="es-ES_tradnl"/>
        </w:rPr>
        <w:tab/>
        <w:t xml:space="preserve">El </w:t>
      </w:r>
      <w:r w:rsidR="006516C3" w:rsidRPr="00563665">
        <w:rPr>
          <w:rFonts w:eastAsia="Calibri"/>
          <w:lang w:val="es-ES_tradnl"/>
        </w:rPr>
        <w:t>4 de julio</w:t>
      </w:r>
      <w:r w:rsidRPr="00563665">
        <w:rPr>
          <w:rFonts w:eastAsia="Calibri"/>
          <w:lang w:val="es-ES_tradnl"/>
        </w:rPr>
        <w:t xml:space="preserve"> de 201</w:t>
      </w:r>
      <w:r w:rsidR="003624C1" w:rsidRPr="00563665">
        <w:rPr>
          <w:rFonts w:eastAsia="Calibri"/>
          <w:lang w:val="es-ES_tradnl"/>
        </w:rPr>
        <w:t>1</w:t>
      </w:r>
      <w:r w:rsidRPr="00563665">
        <w:rPr>
          <w:rFonts w:eastAsia="Calibri"/>
          <w:lang w:val="es-ES_tradnl"/>
        </w:rPr>
        <w:t xml:space="preserve">, </w:t>
      </w:r>
      <w:r w:rsidR="00B97FD3">
        <w:rPr>
          <w:rFonts w:eastAsia="Calibri"/>
          <w:lang w:val="es-ES_tradnl"/>
        </w:rPr>
        <w:t xml:space="preserve">el Sr. </w:t>
      </w:r>
      <w:r w:rsidR="00FF0CDD" w:rsidRPr="00FF0CDD">
        <w:rPr>
          <w:rFonts w:eastAsia="Calibri"/>
          <w:lang w:val="es-ES_tradnl"/>
        </w:rPr>
        <w:t xml:space="preserve">Moreno Pérez </w:t>
      </w:r>
      <w:r w:rsidRPr="00173CF5">
        <w:rPr>
          <w:rFonts w:eastAsia="Calibri"/>
          <w:lang w:val="es-ES_tradnl"/>
        </w:rPr>
        <w:t xml:space="preserve">(quien tenía </w:t>
      </w:r>
      <w:r w:rsidR="006B5541" w:rsidRPr="006B5541">
        <w:rPr>
          <w:rFonts w:eastAsia="Calibri"/>
          <w:lang w:val="es-ES_tradnl"/>
        </w:rPr>
        <w:t>19</w:t>
      </w:r>
      <w:r w:rsidRPr="006B5541">
        <w:rPr>
          <w:rFonts w:eastAsia="Calibri"/>
          <w:lang w:val="es-ES_tradnl"/>
        </w:rPr>
        <w:t xml:space="preserve"> </w:t>
      </w:r>
      <w:r w:rsidRPr="00173CF5">
        <w:rPr>
          <w:rFonts w:eastAsia="Calibri"/>
          <w:lang w:val="es-ES_tradnl"/>
        </w:rPr>
        <w:t xml:space="preserve">años </w:t>
      </w:r>
      <w:r w:rsidR="006B5541">
        <w:rPr>
          <w:rFonts w:eastAsia="Calibri"/>
          <w:lang w:val="es-ES_tradnl"/>
        </w:rPr>
        <w:t>en el momento de los hechos</w:t>
      </w:r>
      <w:r w:rsidR="006B5541" w:rsidRPr="00173CF5">
        <w:rPr>
          <w:rFonts w:eastAsia="Calibri"/>
          <w:lang w:val="es-ES_tradnl"/>
        </w:rPr>
        <w:t xml:space="preserve"> </w:t>
      </w:r>
      <w:r w:rsidRPr="00173CF5">
        <w:rPr>
          <w:rFonts w:eastAsia="Calibri"/>
          <w:lang w:val="es-ES_tradnl"/>
        </w:rPr>
        <w:t xml:space="preserve">y </w:t>
      </w:r>
      <w:r w:rsidR="00200CDD">
        <w:rPr>
          <w:rFonts w:eastAsia="Calibri"/>
          <w:lang w:val="es-ES_tradnl"/>
        </w:rPr>
        <w:t>estudiaba</w:t>
      </w:r>
      <w:r w:rsidRPr="00173CF5">
        <w:rPr>
          <w:rFonts w:eastAsia="Calibri"/>
          <w:lang w:val="es-ES_tradnl"/>
        </w:rPr>
        <w:t xml:space="preserve"> </w:t>
      </w:r>
      <w:r w:rsidR="00CA448F">
        <w:rPr>
          <w:rFonts w:eastAsia="Calibri"/>
          <w:lang w:val="es-ES_tradnl"/>
        </w:rPr>
        <w:t>geografía</w:t>
      </w:r>
      <w:r w:rsidRPr="00173CF5">
        <w:rPr>
          <w:rFonts w:eastAsia="Calibri"/>
          <w:lang w:val="es-ES_tradnl"/>
        </w:rPr>
        <w:t xml:space="preserve"> en la Universidad </w:t>
      </w:r>
      <w:r w:rsidR="00CA448F">
        <w:rPr>
          <w:rFonts w:eastAsia="Calibri"/>
          <w:lang w:val="es-ES_tradnl"/>
        </w:rPr>
        <w:t>Nacional Autónoma</w:t>
      </w:r>
      <w:r w:rsidR="00F4370F">
        <w:rPr>
          <w:rFonts w:eastAsia="Calibri"/>
          <w:lang w:val="es-ES_tradnl"/>
        </w:rPr>
        <w:t xml:space="preserve"> </w:t>
      </w:r>
      <w:r w:rsidR="00FF0CDD">
        <w:rPr>
          <w:rFonts w:eastAsia="Calibri"/>
          <w:lang w:val="es-ES_tradnl"/>
        </w:rPr>
        <w:t>de México</w:t>
      </w:r>
      <w:r w:rsidRPr="00173CF5">
        <w:rPr>
          <w:rFonts w:eastAsia="Calibri"/>
          <w:lang w:val="es-ES_tradnl"/>
        </w:rPr>
        <w:t>)</w:t>
      </w:r>
      <w:r w:rsidR="00AC119A">
        <w:rPr>
          <w:rFonts w:eastAsia="Calibri"/>
          <w:lang w:val="es-ES_tradnl"/>
        </w:rPr>
        <w:t xml:space="preserve"> </w:t>
      </w:r>
      <w:r w:rsidR="00AC119A" w:rsidRPr="00AC119A">
        <w:rPr>
          <w:rFonts w:eastAsia="Calibri"/>
          <w:lang w:val="es-ES_tradnl"/>
        </w:rPr>
        <w:t>viaj</w:t>
      </w:r>
      <w:r w:rsidR="003A0CD4">
        <w:rPr>
          <w:rFonts w:eastAsia="Calibri"/>
          <w:lang w:val="es-ES_tradnl"/>
        </w:rPr>
        <w:t>ó</w:t>
      </w:r>
      <w:r w:rsidR="00025562">
        <w:rPr>
          <w:rFonts w:eastAsia="Calibri"/>
          <w:lang w:val="es-ES_tradnl"/>
        </w:rPr>
        <w:t xml:space="preserve"> </w:t>
      </w:r>
      <w:r w:rsidR="00E61EC0">
        <w:rPr>
          <w:rFonts w:eastAsia="Calibri"/>
          <w:lang w:val="es-ES_tradnl"/>
        </w:rPr>
        <w:t xml:space="preserve">desde </w:t>
      </w:r>
      <w:r w:rsidR="00E61EC0" w:rsidRPr="00AB0C33">
        <w:rPr>
          <w:rFonts w:eastAsia="Calibri"/>
          <w:lang w:val="es-ES_tradnl"/>
        </w:rPr>
        <w:t>la ciudad de México</w:t>
      </w:r>
      <w:r w:rsidR="00CA3EBD">
        <w:rPr>
          <w:rFonts w:eastAsia="Calibri"/>
          <w:lang w:val="es-ES_tradnl"/>
        </w:rPr>
        <w:t>,</w:t>
      </w:r>
      <w:r w:rsidR="00E61EC0" w:rsidRPr="00AB0C33">
        <w:rPr>
          <w:rFonts w:eastAsia="Calibri"/>
          <w:lang w:val="es-ES_tradnl"/>
        </w:rPr>
        <w:t xml:space="preserve"> </w:t>
      </w:r>
      <w:r w:rsidR="00E61EC0">
        <w:rPr>
          <w:rFonts w:eastAsia="Calibri"/>
          <w:lang w:val="es-ES_tradnl"/>
        </w:rPr>
        <w:t xml:space="preserve">donde residía, </w:t>
      </w:r>
      <w:r w:rsidR="00D31867">
        <w:rPr>
          <w:rFonts w:eastAsia="Calibri"/>
          <w:lang w:val="es-ES_tradnl"/>
        </w:rPr>
        <w:t>al estado de</w:t>
      </w:r>
      <w:r w:rsidR="00D31867" w:rsidRPr="00173CF5">
        <w:rPr>
          <w:rFonts w:eastAsia="Calibri"/>
          <w:lang w:val="es-ES_tradnl"/>
        </w:rPr>
        <w:t xml:space="preserve"> </w:t>
      </w:r>
      <w:r w:rsidR="00D31867">
        <w:rPr>
          <w:rFonts w:eastAsia="Calibri"/>
          <w:lang w:val="es-ES_tradnl"/>
        </w:rPr>
        <w:t>Oaxaca</w:t>
      </w:r>
      <w:r w:rsidR="002A6519">
        <w:rPr>
          <w:rFonts w:eastAsia="Calibri"/>
          <w:lang w:val="es-ES_tradnl"/>
        </w:rPr>
        <w:t>,</w:t>
      </w:r>
      <w:r w:rsidR="00D31867">
        <w:rPr>
          <w:rFonts w:eastAsia="Calibri"/>
          <w:lang w:val="es-ES_tradnl"/>
        </w:rPr>
        <w:t xml:space="preserve"> </w:t>
      </w:r>
      <w:r w:rsidR="0031219D">
        <w:rPr>
          <w:rFonts w:eastAsia="Calibri"/>
          <w:lang w:val="es-ES_tradnl"/>
        </w:rPr>
        <w:t>donde planeaba pasar</w:t>
      </w:r>
      <w:r w:rsidR="00025562">
        <w:rPr>
          <w:rFonts w:eastAsia="Calibri"/>
          <w:lang w:val="es-ES_tradnl"/>
        </w:rPr>
        <w:t xml:space="preserve"> </w:t>
      </w:r>
      <w:r w:rsidR="00966C07">
        <w:rPr>
          <w:rFonts w:eastAsia="Calibri"/>
          <w:lang w:val="es-ES_tradnl"/>
        </w:rPr>
        <w:t>un mes de</w:t>
      </w:r>
      <w:r w:rsidR="00AC119A" w:rsidRPr="00AC119A">
        <w:rPr>
          <w:rFonts w:eastAsia="Calibri"/>
          <w:lang w:val="es-ES_tradnl"/>
        </w:rPr>
        <w:t xml:space="preserve"> vacaciones</w:t>
      </w:r>
      <w:r w:rsidR="00E31A89">
        <w:rPr>
          <w:rFonts w:eastAsia="Calibri"/>
          <w:lang w:val="es-ES_tradnl"/>
        </w:rPr>
        <w:t xml:space="preserve"> conociendo playas de la zona</w:t>
      </w:r>
      <w:r w:rsidR="0031219D">
        <w:rPr>
          <w:rFonts w:eastAsia="Calibri"/>
          <w:lang w:val="es-ES_tradnl"/>
        </w:rPr>
        <w:t>.</w:t>
      </w:r>
      <w:r w:rsidR="00AC119A" w:rsidRPr="00AC119A">
        <w:rPr>
          <w:rFonts w:eastAsia="Calibri"/>
          <w:lang w:val="es-ES_tradnl"/>
        </w:rPr>
        <w:t xml:space="preserve"> </w:t>
      </w:r>
      <w:r w:rsidR="00521D26">
        <w:rPr>
          <w:rFonts w:eastAsia="Calibri"/>
          <w:lang w:val="es-ES_tradnl"/>
        </w:rPr>
        <w:t>Sus familiares</w:t>
      </w:r>
      <w:r w:rsidR="00521D26" w:rsidRPr="00AC119A">
        <w:rPr>
          <w:rFonts w:eastAsia="Calibri"/>
          <w:lang w:val="es-ES_tradnl"/>
        </w:rPr>
        <w:t xml:space="preserve"> </w:t>
      </w:r>
      <w:r w:rsidR="00521D26">
        <w:rPr>
          <w:rFonts w:eastAsia="Calibri"/>
          <w:lang w:val="es-ES_tradnl"/>
        </w:rPr>
        <w:t>se comunicaron con él por última vez e</w:t>
      </w:r>
      <w:r w:rsidR="001D4196">
        <w:rPr>
          <w:rFonts w:eastAsia="Calibri"/>
          <w:lang w:val="es-ES_tradnl"/>
        </w:rPr>
        <w:t>l 8 de julio de 2011,</w:t>
      </w:r>
      <w:r w:rsidR="00CA3EBD">
        <w:rPr>
          <w:rFonts w:eastAsia="Calibri"/>
          <w:lang w:val="es-ES_tradnl"/>
        </w:rPr>
        <w:t xml:space="preserve"> </w:t>
      </w:r>
      <w:r w:rsidR="00F06DF2">
        <w:rPr>
          <w:rFonts w:eastAsia="Calibri"/>
          <w:lang w:val="es-ES_tradnl"/>
        </w:rPr>
        <w:t xml:space="preserve">intercambiando </w:t>
      </w:r>
      <w:r w:rsidR="0031219D" w:rsidRPr="0031219D">
        <w:rPr>
          <w:rFonts w:eastAsia="Calibri"/>
          <w:lang w:val="es-ES_tradnl"/>
        </w:rPr>
        <w:t>mensaje</w:t>
      </w:r>
      <w:r w:rsidR="00F06DF2">
        <w:rPr>
          <w:rFonts w:eastAsia="Calibri"/>
          <w:lang w:val="es-ES_tradnl"/>
        </w:rPr>
        <w:t>s</w:t>
      </w:r>
      <w:r w:rsidR="0031219D" w:rsidRPr="0031219D">
        <w:rPr>
          <w:rFonts w:eastAsia="Calibri"/>
          <w:lang w:val="es-ES_tradnl"/>
        </w:rPr>
        <w:t xml:space="preserve"> de texto </w:t>
      </w:r>
      <w:r w:rsidR="00F06DF2">
        <w:rPr>
          <w:rFonts w:eastAsia="Calibri"/>
          <w:lang w:val="es-ES_tradnl"/>
        </w:rPr>
        <w:t>a su llegada</w:t>
      </w:r>
      <w:r w:rsidR="0031219D" w:rsidRPr="0031219D">
        <w:rPr>
          <w:rFonts w:eastAsia="Calibri"/>
          <w:lang w:val="es-ES_tradnl"/>
        </w:rPr>
        <w:t xml:space="preserve"> a una playa </w:t>
      </w:r>
      <w:r w:rsidR="0031219D">
        <w:rPr>
          <w:rFonts w:eastAsia="Calibri"/>
          <w:lang w:val="es-ES_tradnl"/>
        </w:rPr>
        <w:t>de</w:t>
      </w:r>
      <w:r w:rsidR="0031219D" w:rsidRPr="0031219D">
        <w:rPr>
          <w:rFonts w:eastAsia="Calibri"/>
          <w:lang w:val="es-ES_tradnl"/>
        </w:rPr>
        <w:t xml:space="preserve"> Chacahua</w:t>
      </w:r>
      <w:r w:rsidR="00CA3EBD">
        <w:rPr>
          <w:rFonts w:eastAsia="Calibri"/>
          <w:lang w:val="es-ES_tradnl"/>
        </w:rPr>
        <w:t>,</w:t>
      </w:r>
      <w:r w:rsidR="0031219D" w:rsidRPr="0031219D">
        <w:rPr>
          <w:rFonts w:eastAsia="Calibri"/>
          <w:lang w:val="es-ES_tradnl"/>
        </w:rPr>
        <w:t xml:space="preserve"> </w:t>
      </w:r>
      <w:r w:rsidR="0085240F">
        <w:rPr>
          <w:rFonts w:eastAsia="Calibri"/>
          <w:lang w:val="es-ES_tradnl"/>
        </w:rPr>
        <w:t xml:space="preserve">en </w:t>
      </w:r>
      <w:r w:rsidR="0031219D" w:rsidRPr="0031219D">
        <w:rPr>
          <w:rFonts w:eastAsia="Calibri"/>
          <w:lang w:val="es-ES_tradnl"/>
        </w:rPr>
        <w:t>el estado de Oaxaca</w:t>
      </w:r>
      <w:r w:rsidR="004A2990">
        <w:rPr>
          <w:rFonts w:eastAsia="Calibri"/>
          <w:lang w:val="es-ES_tradnl"/>
        </w:rPr>
        <w:t>.</w:t>
      </w:r>
    </w:p>
    <w:p w14:paraId="7ACDF6A8" w14:textId="3B8DC0A8" w:rsidR="0049470A" w:rsidRDefault="0085240F" w:rsidP="003D64AB">
      <w:pPr>
        <w:pStyle w:val="SingleTxtG"/>
        <w:rPr>
          <w:rFonts w:eastAsia="Calibri"/>
          <w:lang w:val="es-ES_tradnl"/>
        </w:rPr>
      </w:pPr>
      <w:r>
        <w:rPr>
          <w:rFonts w:eastAsia="Calibri"/>
          <w:lang w:val="es-ES_tradnl"/>
        </w:rPr>
        <w:lastRenderedPageBreak/>
        <w:t>2.</w:t>
      </w:r>
      <w:r w:rsidR="00D52B7C">
        <w:rPr>
          <w:rFonts w:eastAsia="Calibri"/>
          <w:lang w:val="es-ES_tradnl"/>
        </w:rPr>
        <w:t>5</w:t>
      </w:r>
      <w:r>
        <w:rPr>
          <w:rFonts w:eastAsia="Calibri"/>
          <w:lang w:val="es-ES_tradnl"/>
        </w:rPr>
        <w:tab/>
        <w:t>E</w:t>
      </w:r>
      <w:r w:rsidRPr="00B61890">
        <w:rPr>
          <w:rFonts w:eastAsia="Calibri"/>
          <w:lang w:val="es-ES_tradnl"/>
        </w:rPr>
        <w:t>l 8 de agosto de 2011</w:t>
      </w:r>
      <w:r w:rsidR="000D0ECE">
        <w:rPr>
          <w:rFonts w:eastAsia="Calibri"/>
          <w:lang w:val="es-ES_tradnl"/>
        </w:rPr>
        <w:t>,</w:t>
      </w:r>
      <w:r w:rsidRPr="00B61890">
        <w:rPr>
          <w:rFonts w:eastAsia="Calibri"/>
          <w:lang w:val="es-ES_tradnl"/>
        </w:rPr>
        <w:t xml:space="preserve"> </w:t>
      </w:r>
      <w:r w:rsidR="00B17B77">
        <w:rPr>
          <w:rFonts w:eastAsia="Calibri"/>
          <w:lang w:val="es-ES_tradnl"/>
        </w:rPr>
        <w:t>frente a la imposibilidad de comunicarse con su hijo,</w:t>
      </w:r>
      <w:r w:rsidR="00B17B77" w:rsidRPr="0078268F">
        <w:rPr>
          <w:rFonts w:eastAsia="Calibri"/>
          <w:lang w:val="es-ES_tradnl"/>
        </w:rPr>
        <w:t xml:space="preserve"> </w:t>
      </w:r>
      <w:r w:rsidR="005A06DC">
        <w:rPr>
          <w:rFonts w:eastAsia="Calibri"/>
          <w:lang w:val="es-ES_tradnl"/>
        </w:rPr>
        <w:t xml:space="preserve">el Sr. </w:t>
      </w:r>
      <w:r w:rsidR="00B61890" w:rsidRPr="00B61890">
        <w:rPr>
          <w:rFonts w:eastAsia="Calibri"/>
          <w:lang w:val="es-ES_tradnl"/>
        </w:rPr>
        <w:t xml:space="preserve">Moreno Zamora presentó </w:t>
      </w:r>
      <w:r w:rsidR="000D0ECE">
        <w:rPr>
          <w:rFonts w:eastAsia="Calibri"/>
          <w:lang w:val="es-ES_tradnl"/>
        </w:rPr>
        <w:t xml:space="preserve">una </w:t>
      </w:r>
      <w:r w:rsidR="00B61890" w:rsidRPr="00B61890">
        <w:rPr>
          <w:rFonts w:eastAsia="Calibri"/>
          <w:lang w:val="es-ES_tradnl"/>
        </w:rPr>
        <w:t>denuncia en el Centro de Personas Extraviadas y Ausentes de la Procuraduría General de Justicia del Distrito Federal</w:t>
      </w:r>
      <w:r w:rsidR="000E120F">
        <w:rPr>
          <w:rStyle w:val="Refdenotaalpie"/>
          <w:rFonts w:eastAsia="Calibri"/>
          <w:lang w:val="es-ES_tradnl"/>
        </w:rPr>
        <w:footnoteReference w:id="7"/>
      </w:r>
      <w:r w:rsidR="00764E6F">
        <w:rPr>
          <w:rFonts w:eastAsia="Calibri"/>
          <w:lang w:val="es-ES_tradnl"/>
        </w:rPr>
        <w:t>.</w:t>
      </w:r>
    </w:p>
    <w:p w14:paraId="6F0654E9" w14:textId="751EF030" w:rsidR="0051373C" w:rsidRDefault="0049470A" w:rsidP="00ED087C">
      <w:pPr>
        <w:pStyle w:val="SingleTxtG"/>
        <w:rPr>
          <w:lang w:val="es-ES_tradnl"/>
        </w:rPr>
      </w:pPr>
      <w:r>
        <w:rPr>
          <w:rFonts w:eastAsia="Calibri"/>
          <w:lang w:val="es-ES_tradnl"/>
        </w:rPr>
        <w:t>2.</w:t>
      </w:r>
      <w:r w:rsidR="00D52B7C">
        <w:rPr>
          <w:rFonts w:eastAsia="Calibri"/>
          <w:lang w:val="es-ES_tradnl"/>
        </w:rPr>
        <w:t>6</w:t>
      </w:r>
      <w:r>
        <w:rPr>
          <w:rFonts w:eastAsia="Calibri"/>
          <w:lang w:val="es-ES_tradnl"/>
        </w:rPr>
        <w:tab/>
      </w:r>
      <w:r w:rsidR="00D85D46">
        <w:rPr>
          <w:rFonts w:eastAsia="Calibri"/>
          <w:lang w:val="es-ES_tradnl"/>
        </w:rPr>
        <w:t>E</w:t>
      </w:r>
      <w:r w:rsidR="00B61890" w:rsidRPr="00B61890">
        <w:rPr>
          <w:rFonts w:eastAsia="Calibri"/>
          <w:lang w:val="es-ES_tradnl"/>
        </w:rPr>
        <w:t xml:space="preserve">l 10 de agosto de 2011, </w:t>
      </w:r>
      <w:r w:rsidR="00D85D46">
        <w:rPr>
          <w:rFonts w:eastAsia="Calibri"/>
          <w:lang w:val="es-ES_tradnl"/>
        </w:rPr>
        <w:t xml:space="preserve">después de haber viajado </w:t>
      </w:r>
      <w:r w:rsidR="00D85D46" w:rsidRPr="00AB0C33">
        <w:rPr>
          <w:rFonts w:eastAsia="Calibri"/>
          <w:lang w:val="es-ES_tradnl"/>
        </w:rPr>
        <w:t>de la ciudad de México a la ciudad de Oaxaca</w:t>
      </w:r>
      <w:r w:rsidR="00D85D46">
        <w:rPr>
          <w:rFonts w:eastAsia="Calibri"/>
          <w:lang w:val="es-ES_tradnl"/>
        </w:rPr>
        <w:t>,</w:t>
      </w:r>
      <w:r w:rsidR="00D85D46" w:rsidRPr="00AB0C33">
        <w:rPr>
          <w:rFonts w:eastAsia="Calibri"/>
          <w:lang w:val="es-ES_tradnl"/>
        </w:rPr>
        <w:t xml:space="preserve"> </w:t>
      </w:r>
      <w:r w:rsidR="00690354">
        <w:rPr>
          <w:rFonts w:eastAsia="Calibri"/>
          <w:lang w:val="es-ES_tradnl"/>
        </w:rPr>
        <w:t xml:space="preserve">el Sr. </w:t>
      </w:r>
      <w:r w:rsidR="00690354" w:rsidRPr="00B61890">
        <w:rPr>
          <w:rFonts w:eastAsia="Calibri"/>
          <w:lang w:val="es-ES_tradnl"/>
        </w:rPr>
        <w:t xml:space="preserve">Moreno Zamora </w:t>
      </w:r>
      <w:r w:rsidR="00B61890" w:rsidRPr="00B61890">
        <w:rPr>
          <w:rFonts w:eastAsia="Calibri"/>
          <w:lang w:val="es-ES_tradnl"/>
        </w:rPr>
        <w:t xml:space="preserve">presentó </w:t>
      </w:r>
      <w:r w:rsidR="00483D5A">
        <w:rPr>
          <w:rFonts w:eastAsia="Calibri"/>
          <w:lang w:val="es-ES_tradnl"/>
        </w:rPr>
        <w:t>una</w:t>
      </w:r>
      <w:r w:rsidR="007761C5">
        <w:rPr>
          <w:rFonts w:eastAsia="Calibri"/>
          <w:lang w:val="es-ES_tradnl"/>
        </w:rPr>
        <w:t xml:space="preserve"> </w:t>
      </w:r>
      <w:r w:rsidR="00B61890" w:rsidRPr="00B61890">
        <w:rPr>
          <w:rFonts w:eastAsia="Calibri"/>
          <w:lang w:val="es-ES_tradnl"/>
        </w:rPr>
        <w:t xml:space="preserve">denuncia </w:t>
      </w:r>
      <w:r w:rsidR="00790BCF">
        <w:rPr>
          <w:rFonts w:eastAsia="Calibri"/>
          <w:lang w:val="es-ES_tradnl"/>
        </w:rPr>
        <w:t>ante</w:t>
      </w:r>
      <w:r w:rsidR="00B61890" w:rsidRPr="00B61890">
        <w:rPr>
          <w:rFonts w:eastAsia="Calibri"/>
          <w:lang w:val="es-ES_tradnl"/>
        </w:rPr>
        <w:t xml:space="preserve"> </w:t>
      </w:r>
      <w:r w:rsidR="007761C5">
        <w:rPr>
          <w:rFonts w:eastAsia="Calibri"/>
          <w:lang w:val="es-ES_tradnl"/>
        </w:rPr>
        <w:t>el</w:t>
      </w:r>
      <w:r w:rsidR="00B61890" w:rsidRPr="00B61890">
        <w:rPr>
          <w:rFonts w:eastAsia="Calibri"/>
          <w:lang w:val="es-ES_tradnl"/>
        </w:rPr>
        <w:t xml:space="preserve"> Ministerio Público de San Pedro Tututepec</w:t>
      </w:r>
      <w:r w:rsidR="007761C5">
        <w:rPr>
          <w:rFonts w:eastAsia="Calibri"/>
          <w:lang w:val="es-ES_tradnl"/>
        </w:rPr>
        <w:t xml:space="preserve"> (</w:t>
      </w:r>
      <w:r w:rsidR="00790BCF">
        <w:rPr>
          <w:rFonts w:eastAsia="Calibri"/>
          <w:lang w:val="es-ES_tradnl"/>
        </w:rPr>
        <w:t>donde</w:t>
      </w:r>
      <w:r w:rsidR="007761C5" w:rsidRPr="00AB0C33">
        <w:rPr>
          <w:rFonts w:eastAsia="Calibri"/>
          <w:lang w:val="es-ES_tradnl"/>
        </w:rPr>
        <w:t xml:space="preserve"> se encuentra ubicado el poblado de Chacahua</w:t>
      </w:r>
      <w:r w:rsidR="007761C5">
        <w:rPr>
          <w:rFonts w:eastAsia="Calibri"/>
          <w:lang w:val="es-ES_tradnl"/>
        </w:rPr>
        <w:t>)</w:t>
      </w:r>
      <w:r w:rsidR="00B61890" w:rsidRPr="00B61890">
        <w:rPr>
          <w:rFonts w:eastAsia="Calibri"/>
          <w:lang w:val="es-ES_tradnl"/>
        </w:rPr>
        <w:t xml:space="preserve">, </w:t>
      </w:r>
      <w:r w:rsidR="002C3810" w:rsidRPr="002C3810">
        <w:rPr>
          <w:rFonts w:eastAsia="Calibri"/>
          <w:lang w:val="es-ES_tradnl"/>
        </w:rPr>
        <w:t xml:space="preserve">dándose inicio a </w:t>
      </w:r>
      <w:r w:rsidR="00F40EAB">
        <w:rPr>
          <w:rFonts w:eastAsia="Calibri"/>
          <w:lang w:val="es-ES_tradnl"/>
        </w:rPr>
        <w:t>una</w:t>
      </w:r>
      <w:r w:rsidR="002C3810" w:rsidRPr="002C3810">
        <w:rPr>
          <w:rFonts w:eastAsia="Calibri"/>
          <w:lang w:val="es-ES_tradnl"/>
        </w:rPr>
        <w:t xml:space="preserve"> averiguación previa</w:t>
      </w:r>
      <w:r w:rsidR="00F40EAB" w:rsidRPr="00531919">
        <w:rPr>
          <w:rStyle w:val="Refdenotaalpie"/>
          <w:rFonts w:eastAsia="Calibri"/>
          <w:szCs w:val="18"/>
          <w:lang w:val="es-ES_tradnl"/>
        </w:rPr>
        <w:footnoteReference w:id="8"/>
      </w:r>
      <w:r w:rsidR="00764E6F">
        <w:rPr>
          <w:rFonts w:eastAsia="Calibri"/>
          <w:lang w:val="es-ES_tradnl"/>
        </w:rPr>
        <w:t>.</w:t>
      </w:r>
      <w:r w:rsidR="00B61890" w:rsidRPr="002C3810">
        <w:rPr>
          <w:rFonts w:eastAsia="Calibri"/>
          <w:lang w:val="es-ES_tradnl"/>
        </w:rPr>
        <w:t xml:space="preserve"> </w:t>
      </w:r>
      <w:r w:rsidR="00D10B53">
        <w:rPr>
          <w:rFonts w:eastAsia="Calibri"/>
          <w:lang w:val="es-ES_tradnl"/>
        </w:rPr>
        <w:t>A</w:t>
      </w:r>
      <w:r w:rsidR="00C068D2" w:rsidRPr="00684372">
        <w:rPr>
          <w:rFonts w:eastAsia="Calibri"/>
          <w:lang w:val="es-ES_tradnl"/>
        </w:rPr>
        <w:t>nte la inactividad de las autoridades</w:t>
      </w:r>
      <w:r w:rsidR="00C068D2">
        <w:rPr>
          <w:rFonts w:eastAsia="Calibri"/>
          <w:lang w:val="es-ES_tradnl"/>
        </w:rPr>
        <w:t xml:space="preserve">, y después de escuchar </w:t>
      </w:r>
      <w:r w:rsidR="00C068D2" w:rsidRPr="00413F02">
        <w:rPr>
          <w:rFonts w:eastAsia="Calibri"/>
          <w:lang w:val="es-ES_tradnl"/>
        </w:rPr>
        <w:t xml:space="preserve">del responsable de la averiguación </w:t>
      </w:r>
      <w:r w:rsidR="00C068D2">
        <w:rPr>
          <w:rFonts w:eastAsia="Calibri"/>
          <w:lang w:val="es-ES_tradnl"/>
        </w:rPr>
        <w:t>que</w:t>
      </w:r>
      <w:r w:rsidR="00157813" w:rsidRPr="00157813">
        <w:rPr>
          <w:rFonts w:eastAsia="Calibri"/>
          <w:lang w:val="es-ES_tradnl"/>
        </w:rPr>
        <w:t xml:space="preserve"> </w:t>
      </w:r>
      <w:r w:rsidR="00157813">
        <w:rPr>
          <w:rFonts w:eastAsia="Calibri"/>
          <w:lang w:val="es-ES_tradnl"/>
        </w:rPr>
        <w:t xml:space="preserve">no se </w:t>
      </w:r>
      <w:r w:rsidR="00157813" w:rsidRPr="00AA37D1">
        <w:rPr>
          <w:rFonts w:eastAsia="Calibri"/>
          <w:lang w:val="es-ES_tradnl"/>
        </w:rPr>
        <w:t xml:space="preserve">había </w:t>
      </w:r>
      <w:r w:rsidR="00157813">
        <w:rPr>
          <w:rFonts w:eastAsia="Calibri"/>
          <w:lang w:val="es-ES_tradnl"/>
        </w:rPr>
        <w:t xml:space="preserve">podido </w:t>
      </w:r>
      <w:r w:rsidR="00157813" w:rsidRPr="00AA37D1">
        <w:rPr>
          <w:rFonts w:eastAsia="Calibri"/>
          <w:lang w:val="es-ES_tradnl"/>
        </w:rPr>
        <w:t>inicia</w:t>
      </w:r>
      <w:r w:rsidR="00157813">
        <w:rPr>
          <w:rFonts w:eastAsia="Calibri"/>
          <w:lang w:val="es-ES_tradnl"/>
        </w:rPr>
        <w:t>r</w:t>
      </w:r>
      <w:r w:rsidR="00157813" w:rsidRPr="00AA37D1">
        <w:rPr>
          <w:rFonts w:eastAsia="Calibri"/>
          <w:lang w:val="es-ES_tradnl"/>
        </w:rPr>
        <w:t xml:space="preserve"> la investigación</w:t>
      </w:r>
      <w:r w:rsidR="00C068D2">
        <w:rPr>
          <w:rFonts w:eastAsia="Calibri"/>
          <w:lang w:val="es-ES_tradnl"/>
        </w:rPr>
        <w:t xml:space="preserve"> por </w:t>
      </w:r>
      <w:r w:rsidR="00C068D2" w:rsidRPr="00413F02">
        <w:rPr>
          <w:rFonts w:eastAsia="Calibri"/>
          <w:lang w:val="es-ES_tradnl"/>
        </w:rPr>
        <w:t>falta de dinero para la gasolina</w:t>
      </w:r>
      <w:r w:rsidR="00214D21">
        <w:rPr>
          <w:rFonts w:eastAsia="Calibri"/>
          <w:lang w:val="es-ES_tradnl"/>
        </w:rPr>
        <w:t>,</w:t>
      </w:r>
      <w:r w:rsidR="00C068D2" w:rsidRPr="00AA37D1">
        <w:rPr>
          <w:rFonts w:eastAsia="Calibri"/>
          <w:lang w:val="es-ES_tradnl"/>
        </w:rPr>
        <w:t xml:space="preserve"> </w:t>
      </w:r>
      <w:r w:rsidR="00C068D2">
        <w:rPr>
          <w:rFonts w:eastAsia="Calibri"/>
          <w:lang w:val="es-ES_tradnl"/>
        </w:rPr>
        <w:t>el</w:t>
      </w:r>
      <w:r w:rsidR="00C068D2" w:rsidRPr="00C068D2">
        <w:rPr>
          <w:rFonts w:eastAsia="Calibri"/>
          <w:lang w:val="es-ES_tradnl"/>
        </w:rPr>
        <w:t xml:space="preserve"> </w:t>
      </w:r>
      <w:r w:rsidR="000B2525">
        <w:rPr>
          <w:rFonts w:eastAsia="Calibri"/>
          <w:lang w:val="es-ES_tradnl"/>
        </w:rPr>
        <w:t>Sr.</w:t>
      </w:r>
      <w:r w:rsidR="000B2525" w:rsidRPr="00B61890">
        <w:rPr>
          <w:rFonts w:eastAsia="Calibri"/>
          <w:lang w:val="es-ES_tradnl"/>
        </w:rPr>
        <w:t xml:space="preserve"> </w:t>
      </w:r>
      <w:r w:rsidR="00C068D2" w:rsidRPr="00B61890">
        <w:rPr>
          <w:rFonts w:eastAsia="Calibri"/>
          <w:lang w:val="es-ES_tradnl"/>
        </w:rPr>
        <w:t>Moreno Zamora</w:t>
      </w:r>
      <w:r w:rsidR="00C068D2" w:rsidRPr="00C068D2">
        <w:rPr>
          <w:rFonts w:eastAsia="Calibri"/>
          <w:lang w:val="es-ES_tradnl"/>
        </w:rPr>
        <w:t xml:space="preserve"> </w:t>
      </w:r>
      <w:r w:rsidR="00C068D2">
        <w:rPr>
          <w:rFonts w:eastAsia="Calibri"/>
          <w:lang w:val="es-ES_tradnl"/>
        </w:rPr>
        <w:t>emprendió</w:t>
      </w:r>
      <w:r w:rsidR="00C068D2" w:rsidRPr="00AA37D1">
        <w:rPr>
          <w:rFonts w:eastAsia="Calibri"/>
          <w:lang w:val="es-ES_tradnl"/>
        </w:rPr>
        <w:t xml:space="preserve"> </w:t>
      </w:r>
      <w:r w:rsidR="00C068D2">
        <w:rPr>
          <w:rFonts w:eastAsia="Calibri"/>
          <w:lang w:val="es-ES_tradnl"/>
        </w:rPr>
        <w:t xml:space="preserve">él mismo </w:t>
      </w:r>
      <w:r w:rsidR="00C068D2" w:rsidRPr="00AA37D1">
        <w:rPr>
          <w:rFonts w:eastAsia="Calibri"/>
          <w:lang w:val="es-ES_tradnl"/>
        </w:rPr>
        <w:t>la búsqueda de su hijo</w:t>
      </w:r>
      <w:r w:rsidR="00C068D2">
        <w:rPr>
          <w:rFonts w:eastAsia="Calibri"/>
          <w:lang w:val="es-ES_tradnl"/>
        </w:rPr>
        <w:t xml:space="preserve">. </w:t>
      </w:r>
      <w:r w:rsidR="00214D21">
        <w:rPr>
          <w:rFonts w:eastAsia="Calibri"/>
          <w:lang w:val="es-ES_tradnl"/>
        </w:rPr>
        <w:t>Así, e</w:t>
      </w:r>
      <w:r w:rsidR="00483D5A" w:rsidRPr="00914254">
        <w:rPr>
          <w:rFonts w:eastAsia="Calibri"/>
          <w:lang w:val="es-ES_tradnl"/>
        </w:rPr>
        <w:t>l 1 de septiembre de 2011 logró ubicar el celular de su hijo</w:t>
      </w:r>
      <w:r w:rsidR="00AD1163">
        <w:rPr>
          <w:rFonts w:eastAsia="Calibri"/>
          <w:lang w:val="es-ES_tradnl"/>
        </w:rPr>
        <w:t xml:space="preserve">, </w:t>
      </w:r>
      <w:r w:rsidR="00483D5A" w:rsidRPr="00914254">
        <w:rPr>
          <w:rFonts w:eastAsia="Calibri"/>
          <w:lang w:val="es-ES_tradnl"/>
        </w:rPr>
        <w:t>que aún portaba la misma tarjeta SIM</w:t>
      </w:r>
      <w:r w:rsidR="006674BD">
        <w:rPr>
          <w:rFonts w:eastAsia="Calibri"/>
          <w:lang w:val="es-ES_tradnl"/>
        </w:rPr>
        <w:t>.</w:t>
      </w:r>
      <w:r w:rsidR="001006E4">
        <w:rPr>
          <w:rFonts w:eastAsia="Calibri"/>
          <w:lang w:val="es-ES_tradnl"/>
        </w:rPr>
        <w:t xml:space="preserve"> </w:t>
      </w:r>
      <w:r w:rsidR="00D10B53">
        <w:rPr>
          <w:rFonts w:eastAsia="Calibri"/>
          <w:lang w:val="es-ES_tradnl"/>
        </w:rPr>
        <w:t xml:space="preserve">El mismo </w:t>
      </w:r>
      <w:r w:rsidR="00062F11" w:rsidRPr="00914254">
        <w:rPr>
          <w:rFonts w:eastAsia="Calibri"/>
          <w:lang w:val="es-ES_tradnl"/>
        </w:rPr>
        <w:t xml:space="preserve">había </w:t>
      </w:r>
      <w:r w:rsidR="00D10B53">
        <w:rPr>
          <w:rFonts w:eastAsia="Calibri"/>
          <w:lang w:val="es-ES_tradnl"/>
        </w:rPr>
        <w:t xml:space="preserve">sido </w:t>
      </w:r>
      <w:r w:rsidR="00062F11" w:rsidRPr="00914254">
        <w:rPr>
          <w:rFonts w:eastAsia="Calibri"/>
          <w:lang w:val="es-ES_tradnl"/>
        </w:rPr>
        <w:t xml:space="preserve">encontrado </w:t>
      </w:r>
      <w:r w:rsidR="00062F11">
        <w:rPr>
          <w:rFonts w:eastAsia="Calibri"/>
          <w:lang w:val="es-ES_tradnl"/>
        </w:rPr>
        <w:t>junto al cargador</w:t>
      </w:r>
      <w:r w:rsidR="007572B6">
        <w:rPr>
          <w:rFonts w:eastAsia="Calibri"/>
          <w:lang w:val="es-ES_tradnl"/>
        </w:rPr>
        <w:t xml:space="preserve"> </w:t>
      </w:r>
      <w:r w:rsidR="00062F11">
        <w:rPr>
          <w:rFonts w:eastAsia="Calibri"/>
          <w:lang w:val="es-ES_tradnl"/>
        </w:rPr>
        <w:t>en</w:t>
      </w:r>
      <w:r w:rsidR="00062F11" w:rsidRPr="00914254">
        <w:rPr>
          <w:rFonts w:eastAsia="Calibri"/>
          <w:lang w:val="es-ES_tradnl"/>
        </w:rPr>
        <w:t xml:space="preserve"> </w:t>
      </w:r>
      <w:r w:rsidR="00062F11">
        <w:rPr>
          <w:rFonts w:eastAsia="Calibri"/>
          <w:lang w:val="es-ES_tradnl"/>
        </w:rPr>
        <w:t>el basurero municipal</w:t>
      </w:r>
      <w:r w:rsidR="00062F11" w:rsidRPr="00914254">
        <w:rPr>
          <w:rFonts w:eastAsia="Calibri"/>
          <w:lang w:val="es-ES_tradnl"/>
        </w:rPr>
        <w:t xml:space="preserve"> de Jamiltepec</w:t>
      </w:r>
      <w:r w:rsidR="00062F11">
        <w:rPr>
          <w:rFonts w:eastAsia="Calibri"/>
          <w:lang w:val="es-ES_tradnl"/>
        </w:rPr>
        <w:t xml:space="preserve"> (un </w:t>
      </w:r>
      <w:r w:rsidR="00062F11" w:rsidRPr="00914254">
        <w:rPr>
          <w:rFonts w:eastAsia="Calibri"/>
          <w:lang w:val="es-ES_tradnl"/>
        </w:rPr>
        <w:t xml:space="preserve">poblado distante </w:t>
      </w:r>
      <w:r w:rsidR="00764E6F">
        <w:rPr>
          <w:rFonts w:eastAsia="Calibri"/>
          <w:lang w:val="es-ES_tradnl"/>
        </w:rPr>
        <w:t>dos</w:t>
      </w:r>
      <w:r w:rsidR="00062F11" w:rsidRPr="00914254">
        <w:rPr>
          <w:rFonts w:eastAsia="Calibri"/>
          <w:lang w:val="es-ES_tradnl"/>
        </w:rPr>
        <w:t xml:space="preserve"> horas</w:t>
      </w:r>
      <w:r w:rsidR="00062F11">
        <w:rPr>
          <w:rFonts w:eastAsia="Calibri"/>
          <w:lang w:val="es-ES_tradnl"/>
        </w:rPr>
        <w:t xml:space="preserve"> </w:t>
      </w:r>
      <w:r w:rsidR="00062F11" w:rsidRPr="00914254">
        <w:rPr>
          <w:rFonts w:eastAsia="Calibri"/>
          <w:lang w:val="es-ES_tradnl"/>
        </w:rPr>
        <w:t>de Chaca</w:t>
      </w:r>
      <w:r w:rsidR="00062F11">
        <w:rPr>
          <w:rFonts w:eastAsia="Calibri"/>
          <w:lang w:val="es-ES_tradnl"/>
        </w:rPr>
        <w:t>h</w:t>
      </w:r>
      <w:r w:rsidR="00062F11" w:rsidRPr="00914254">
        <w:rPr>
          <w:rFonts w:eastAsia="Calibri"/>
          <w:lang w:val="es-ES_tradnl"/>
        </w:rPr>
        <w:t>ua</w:t>
      </w:r>
      <w:r w:rsidR="00062F11">
        <w:rPr>
          <w:rFonts w:eastAsia="Calibri"/>
          <w:lang w:val="es-ES_tradnl"/>
        </w:rPr>
        <w:t>)</w:t>
      </w:r>
      <w:r w:rsidR="00483D5A">
        <w:rPr>
          <w:rFonts w:eastAsia="Calibri"/>
          <w:lang w:val="es-ES_tradnl"/>
        </w:rPr>
        <w:t xml:space="preserve">. </w:t>
      </w:r>
      <w:r w:rsidR="00D729B3">
        <w:rPr>
          <w:lang w:val="es-ES_tradnl"/>
        </w:rPr>
        <w:t>Además</w:t>
      </w:r>
      <w:r w:rsidR="00ED087C">
        <w:rPr>
          <w:lang w:val="es-ES_tradnl"/>
        </w:rPr>
        <w:t>, el</w:t>
      </w:r>
      <w:r w:rsidR="00CE3787">
        <w:rPr>
          <w:lang w:val="es-ES_tradnl"/>
        </w:rPr>
        <w:t xml:space="preserve"> </w:t>
      </w:r>
      <w:r w:rsidR="00CE3787" w:rsidRPr="00931BC9">
        <w:rPr>
          <w:lang w:val="es-ES_tradnl"/>
        </w:rPr>
        <w:t>10 de septiembre de</w:t>
      </w:r>
      <w:r w:rsidR="00E77CDF">
        <w:rPr>
          <w:lang w:val="es-ES_tradnl"/>
        </w:rPr>
        <w:t> </w:t>
      </w:r>
      <w:r w:rsidR="00CE3787" w:rsidRPr="00931BC9">
        <w:rPr>
          <w:lang w:val="es-ES_tradnl"/>
        </w:rPr>
        <w:t>2011,</w:t>
      </w:r>
      <w:r w:rsidR="00CE3787">
        <w:rPr>
          <w:lang w:val="es-ES_tradnl"/>
        </w:rPr>
        <w:t xml:space="preserve"> el</w:t>
      </w:r>
      <w:r w:rsidR="00CE3787" w:rsidRPr="00931BC9">
        <w:rPr>
          <w:lang w:val="es-ES_tradnl"/>
        </w:rPr>
        <w:t xml:space="preserve"> padre </w:t>
      </w:r>
      <w:r w:rsidR="00CE3787">
        <w:rPr>
          <w:lang w:val="es-ES_tradnl"/>
        </w:rPr>
        <w:t>de</w:t>
      </w:r>
      <w:r w:rsidR="00D65564">
        <w:rPr>
          <w:lang w:val="es-ES_tradnl"/>
        </w:rPr>
        <w:t>l</w:t>
      </w:r>
      <w:r w:rsidR="00CE3787" w:rsidRPr="00F63F6D">
        <w:rPr>
          <w:lang w:val="es-ES_tradnl"/>
        </w:rPr>
        <w:t xml:space="preserve"> </w:t>
      </w:r>
      <w:r w:rsidR="00D65564">
        <w:rPr>
          <w:lang w:val="es-ES_tradnl"/>
        </w:rPr>
        <w:t>Sr.</w:t>
      </w:r>
      <w:r w:rsidR="00CE3787" w:rsidRPr="00F63F6D">
        <w:rPr>
          <w:lang w:val="es-ES_tradnl"/>
        </w:rPr>
        <w:t xml:space="preserve"> Moreno Pérez</w:t>
      </w:r>
      <w:r w:rsidR="00CE3787" w:rsidRPr="00914254">
        <w:rPr>
          <w:rFonts w:eastAsia="Calibri"/>
          <w:lang w:val="es-ES_tradnl"/>
        </w:rPr>
        <w:t xml:space="preserve"> </w:t>
      </w:r>
      <w:r w:rsidR="00CE3787" w:rsidRPr="00931BC9">
        <w:rPr>
          <w:lang w:val="es-ES_tradnl"/>
        </w:rPr>
        <w:t>localiz</w:t>
      </w:r>
      <w:r w:rsidR="00CE3787">
        <w:rPr>
          <w:lang w:val="es-ES_tradnl"/>
        </w:rPr>
        <w:t>ó</w:t>
      </w:r>
      <w:r w:rsidR="00CE3787" w:rsidRPr="00931BC9">
        <w:rPr>
          <w:lang w:val="es-ES_tradnl"/>
        </w:rPr>
        <w:t xml:space="preserve"> </w:t>
      </w:r>
      <w:r w:rsidR="00CE3787">
        <w:rPr>
          <w:lang w:val="es-ES_tradnl"/>
        </w:rPr>
        <w:t>la</w:t>
      </w:r>
      <w:r w:rsidR="00CE3787" w:rsidRPr="00931BC9">
        <w:rPr>
          <w:lang w:val="es-ES_tradnl"/>
        </w:rPr>
        <w:t xml:space="preserve"> mochila</w:t>
      </w:r>
      <w:r w:rsidR="00CE3787">
        <w:rPr>
          <w:lang w:val="es-ES_tradnl"/>
        </w:rPr>
        <w:t xml:space="preserve"> de su hijo</w:t>
      </w:r>
      <w:r w:rsidR="00CE3787" w:rsidRPr="00931BC9">
        <w:rPr>
          <w:lang w:val="es-ES_tradnl"/>
        </w:rPr>
        <w:t xml:space="preserve"> </w:t>
      </w:r>
      <w:r w:rsidR="00CE3787">
        <w:rPr>
          <w:lang w:val="es-ES_tradnl"/>
        </w:rPr>
        <w:t xml:space="preserve">en el hostal </w:t>
      </w:r>
      <w:r w:rsidR="00CE3787">
        <w:rPr>
          <w:rFonts w:eastAsia="Calibri"/>
          <w:lang w:val="es-ES_tradnl"/>
        </w:rPr>
        <w:t>d</w:t>
      </w:r>
      <w:r w:rsidR="00764E6F">
        <w:rPr>
          <w:rFonts w:eastAsia="Calibri"/>
          <w:lang w:val="es-ES_tradnl"/>
        </w:rPr>
        <w:t>o</w:t>
      </w:r>
      <w:r w:rsidR="00CE3787">
        <w:rPr>
          <w:rFonts w:eastAsia="Calibri"/>
          <w:lang w:val="es-ES_tradnl"/>
        </w:rPr>
        <w:t>nde</w:t>
      </w:r>
      <w:r w:rsidR="00CE3787" w:rsidRPr="00C068D2">
        <w:rPr>
          <w:rFonts w:eastAsia="Calibri"/>
          <w:lang w:val="es-ES_tradnl"/>
        </w:rPr>
        <w:t xml:space="preserve"> </w:t>
      </w:r>
      <w:r w:rsidR="00CE3787" w:rsidRPr="00AA37D1">
        <w:rPr>
          <w:rFonts w:eastAsia="Calibri"/>
          <w:lang w:val="es-ES_tradnl"/>
        </w:rPr>
        <w:t>se había alojado</w:t>
      </w:r>
      <w:r w:rsidR="00D729B3">
        <w:rPr>
          <w:rFonts w:eastAsia="Calibri"/>
          <w:lang w:val="es-ES_tradnl"/>
        </w:rPr>
        <w:t>. Los elementos encontrados fueron entregados a</w:t>
      </w:r>
      <w:r w:rsidR="00CE3787" w:rsidRPr="00931BC9">
        <w:rPr>
          <w:lang w:val="es-ES_tradnl"/>
        </w:rPr>
        <w:t xml:space="preserve"> las autoridades</w:t>
      </w:r>
      <w:r w:rsidR="00CE3787">
        <w:rPr>
          <w:lang w:val="es-ES_tradnl"/>
        </w:rPr>
        <w:t>.</w:t>
      </w:r>
    </w:p>
    <w:p w14:paraId="399A5D4C" w14:textId="4C9220F5" w:rsidR="00266D57" w:rsidRDefault="00266D57" w:rsidP="00266D57">
      <w:pPr>
        <w:pStyle w:val="SingleTxtG"/>
        <w:rPr>
          <w:rFonts w:eastAsia="Calibri"/>
          <w:lang w:val="es-ES_tradnl"/>
        </w:rPr>
      </w:pPr>
      <w:r>
        <w:rPr>
          <w:lang w:val="es-ES_tradnl"/>
        </w:rPr>
        <w:t>2.</w:t>
      </w:r>
      <w:r w:rsidR="00D52B7C">
        <w:rPr>
          <w:lang w:val="es-ES_tradnl"/>
        </w:rPr>
        <w:t>7</w:t>
      </w:r>
      <w:r>
        <w:rPr>
          <w:lang w:val="es-ES_tradnl"/>
        </w:rPr>
        <w:tab/>
      </w:r>
      <w:r>
        <w:rPr>
          <w:rFonts w:eastAsia="Calibri"/>
          <w:lang w:val="es-ES_tradnl"/>
        </w:rPr>
        <w:t>E</w:t>
      </w:r>
      <w:r w:rsidRPr="00B61890">
        <w:rPr>
          <w:rFonts w:eastAsia="Calibri"/>
          <w:lang w:val="es-ES_tradnl"/>
        </w:rPr>
        <w:t>l 8 de octubre de 2011</w:t>
      </w:r>
      <w:r>
        <w:rPr>
          <w:rFonts w:eastAsia="Calibri"/>
          <w:lang w:val="es-ES_tradnl"/>
        </w:rPr>
        <w:t xml:space="preserve">, al desconfiar del </w:t>
      </w:r>
      <w:r w:rsidRPr="00B61890">
        <w:rPr>
          <w:rFonts w:eastAsia="Calibri"/>
          <w:lang w:val="es-ES_tradnl"/>
        </w:rPr>
        <w:t>Ministerio Público de San Pedro Tututepec</w:t>
      </w:r>
      <w:r w:rsidR="00CA4657">
        <w:rPr>
          <w:rFonts w:eastAsia="Calibri"/>
          <w:lang w:val="es-ES_tradnl"/>
        </w:rPr>
        <w:t xml:space="preserve"> por su falta de investigación,</w:t>
      </w:r>
      <w:r>
        <w:rPr>
          <w:rFonts w:eastAsia="Calibri"/>
          <w:lang w:val="es-ES_tradnl"/>
        </w:rPr>
        <w:t xml:space="preserve"> el Sr. </w:t>
      </w:r>
      <w:r w:rsidRPr="00B61890">
        <w:rPr>
          <w:rFonts w:eastAsia="Calibri"/>
          <w:lang w:val="es-ES_tradnl"/>
        </w:rPr>
        <w:t>Moreno Zamora</w:t>
      </w:r>
      <w:r>
        <w:rPr>
          <w:rFonts w:eastAsia="Calibri"/>
          <w:lang w:val="es-ES_tradnl"/>
        </w:rPr>
        <w:t xml:space="preserve"> presentó </w:t>
      </w:r>
      <w:r w:rsidR="002327CB">
        <w:rPr>
          <w:rFonts w:eastAsia="Calibri"/>
          <w:lang w:val="es-ES_tradnl"/>
        </w:rPr>
        <w:t>otra</w:t>
      </w:r>
      <w:r>
        <w:rPr>
          <w:rFonts w:eastAsia="Calibri"/>
          <w:lang w:val="es-ES_tradnl"/>
        </w:rPr>
        <w:t xml:space="preserve"> denuncia</w:t>
      </w:r>
      <w:r w:rsidR="00787673">
        <w:rPr>
          <w:lang w:val="es-ES_tradnl"/>
        </w:rPr>
        <w:t xml:space="preserve"> </w:t>
      </w:r>
      <w:r w:rsidR="002327CB">
        <w:rPr>
          <w:rFonts w:eastAsia="Calibri"/>
          <w:lang w:val="es-ES_tradnl"/>
        </w:rPr>
        <w:t xml:space="preserve">ante </w:t>
      </w:r>
      <w:r>
        <w:rPr>
          <w:rFonts w:eastAsia="Calibri"/>
          <w:lang w:val="es-ES_tradnl"/>
        </w:rPr>
        <w:t xml:space="preserve">el </w:t>
      </w:r>
      <w:r w:rsidR="00B61890" w:rsidRPr="00B61890">
        <w:rPr>
          <w:rFonts w:eastAsia="Calibri"/>
          <w:lang w:val="es-ES_tradnl"/>
        </w:rPr>
        <w:t xml:space="preserve">Ministerio Público de Puerto Escondido </w:t>
      </w:r>
      <w:r w:rsidR="00C95BFC">
        <w:rPr>
          <w:rFonts w:eastAsia="Calibri"/>
          <w:lang w:val="es-ES_tradnl"/>
        </w:rPr>
        <w:t>(</w:t>
      </w:r>
      <w:r w:rsidR="00787673">
        <w:rPr>
          <w:rFonts w:eastAsia="Calibri"/>
          <w:lang w:val="es-ES_tradnl"/>
        </w:rPr>
        <w:t>otro m</w:t>
      </w:r>
      <w:r w:rsidR="00787673" w:rsidRPr="00BE14EE">
        <w:rPr>
          <w:rFonts w:eastAsia="Calibri"/>
          <w:lang w:val="es-ES_tradnl"/>
        </w:rPr>
        <w:t xml:space="preserve">unicipio </w:t>
      </w:r>
      <w:r w:rsidR="00787673">
        <w:rPr>
          <w:rFonts w:eastAsia="Calibri"/>
          <w:lang w:val="es-ES_tradnl"/>
        </w:rPr>
        <w:t>d</w:t>
      </w:r>
      <w:r>
        <w:rPr>
          <w:rFonts w:eastAsia="Calibri"/>
          <w:lang w:val="es-ES_tradnl"/>
        </w:rPr>
        <w:t>el estado de</w:t>
      </w:r>
      <w:r w:rsidRPr="00BE14EE">
        <w:rPr>
          <w:rFonts w:eastAsia="Calibri"/>
          <w:lang w:val="es-ES_tradnl"/>
        </w:rPr>
        <w:t xml:space="preserve"> Oaxaca</w:t>
      </w:r>
      <w:r w:rsidR="00787673">
        <w:rPr>
          <w:rFonts w:eastAsia="Calibri"/>
          <w:lang w:val="es-ES_tradnl"/>
        </w:rPr>
        <w:t xml:space="preserve"> </w:t>
      </w:r>
      <w:r w:rsidRPr="00BE14EE">
        <w:rPr>
          <w:rFonts w:eastAsia="Calibri"/>
          <w:lang w:val="es-ES_tradnl"/>
        </w:rPr>
        <w:t xml:space="preserve">ubicado a </w:t>
      </w:r>
      <w:r w:rsidR="00254363">
        <w:rPr>
          <w:rFonts w:eastAsia="Calibri"/>
          <w:lang w:val="es-ES_tradnl"/>
        </w:rPr>
        <w:t>dos</w:t>
      </w:r>
      <w:r w:rsidR="00254363" w:rsidRPr="00BE14EE">
        <w:rPr>
          <w:rFonts w:eastAsia="Calibri"/>
          <w:lang w:val="es-ES_tradnl"/>
        </w:rPr>
        <w:t xml:space="preserve"> </w:t>
      </w:r>
      <w:r w:rsidRPr="00BE14EE">
        <w:rPr>
          <w:rFonts w:eastAsia="Calibri"/>
          <w:lang w:val="es-ES_tradnl"/>
        </w:rPr>
        <w:t xml:space="preserve">horas de </w:t>
      </w:r>
      <w:r w:rsidR="00C95BFC">
        <w:rPr>
          <w:rFonts w:eastAsia="Calibri"/>
          <w:lang w:val="es-ES_tradnl"/>
        </w:rPr>
        <w:t>Chacahua)</w:t>
      </w:r>
      <w:r w:rsidR="002B0840">
        <w:rPr>
          <w:rFonts w:eastAsia="Calibri"/>
          <w:lang w:val="es-ES_tradnl"/>
        </w:rPr>
        <w:t>.</w:t>
      </w:r>
      <w:r w:rsidR="00C95BFC">
        <w:rPr>
          <w:rFonts w:eastAsia="Calibri"/>
          <w:lang w:val="es-ES_tradnl"/>
        </w:rPr>
        <w:t xml:space="preserve"> </w:t>
      </w:r>
      <w:r w:rsidR="002B0840">
        <w:rPr>
          <w:rFonts w:eastAsia="Calibri"/>
          <w:lang w:val="es-ES_tradnl"/>
        </w:rPr>
        <w:t>Se dio</w:t>
      </w:r>
      <w:r w:rsidR="00C95BFC">
        <w:rPr>
          <w:rFonts w:eastAsia="Calibri"/>
          <w:lang w:val="es-ES_tradnl"/>
        </w:rPr>
        <w:t xml:space="preserve"> inicio</w:t>
      </w:r>
      <w:r w:rsidRPr="00787673">
        <w:rPr>
          <w:rFonts w:eastAsia="Calibri"/>
          <w:lang w:val="es-ES_tradnl"/>
        </w:rPr>
        <w:t xml:space="preserve"> </w:t>
      </w:r>
      <w:r w:rsidR="00C95BFC">
        <w:rPr>
          <w:rFonts w:eastAsia="Calibri"/>
          <w:lang w:val="es-ES_tradnl"/>
        </w:rPr>
        <w:t>a otra</w:t>
      </w:r>
      <w:r w:rsidRPr="00787673">
        <w:rPr>
          <w:rFonts w:eastAsia="Calibri"/>
          <w:lang w:val="es-ES_tradnl"/>
        </w:rPr>
        <w:t xml:space="preserve"> averiguación previa</w:t>
      </w:r>
      <w:r w:rsidR="00C95BFC">
        <w:rPr>
          <w:rStyle w:val="Refdenotaalpie"/>
          <w:rFonts w:eastAsia="Calibri"/>
          <w:lang w:val="es-ES_tradnl"/>
        </w:rPr>
        <w:footnoteReference w:id="9"/>
      </w:r>
      <w:r w:rsidR="00B97FD3">
        <w:rPr>
          <w:rFonts w:eastAsia="Calibri"/>
          <w:lang w:val="es-ES_tradnl"/>
        </w:rPr>
        <w:t>,</w:t>
      </w:r>
      <w:r w:rsidR="00C95BFC">
        <w:rPr>
          <w:rFonts w:eastAsia="Calibri"/>
          <w:lang w:val="es-ES_tradnl"/>
        </w:rPr>
        <w:t xml:space="preserve"> a</w:t>
      </w:r>
      <w:r w:rsidR="00787673">
        <w:rPr>
          <w:rFonts w:eastAsia="Calibri"/>
          <w:lang w:val="es-ES_tradnl"/>
        </w:rPr>
        <w:t xml:space="preserve"> la que</w:t>
      </w:r>
      <w:r w:rsidR="00787673" w:rsidRPr="00787673">
        <w:rPr>
          <w:rFonts w:eastAsia="Calibri"/>
          <w:lang w:val="es-ES_tradnl"/>
        </w:rPr>
        <w:t xml:space="preserve"> </w:t>
      </w:r>
      <w:r w:rsidR="00787673" w:rsidRPr="00B61890">
        <w:rPr>
          <w:rFonts w:eastAsia="Calibri"/>
          <w:lang w:val="es-ES_tradnl"/>
        </w:rPr>
        <w:t xml:space="preserve">se acumuló la </w:t>
      </w:r>
      <w:r w:rsidR="00C95BFC">
        <w:rPr>
          <w:rFonts w:eastAsia="Calibri"/>
          <w:lang w:val="es-ES_tradnl"/>
        </w:rPr>
        <w:t>anterior</w:t>
      </w:r>
      <w:r w:rsidR="004A2990">
        <w:rPr>
          <w:rFonts w:eastAsia="Calibri"/>
          <w:lang w:val="es-ES_tradnl"/>
        </w:rPr>
        <w:t>.</w:t>
      </w:r>
    </w:p>
    <w:p w14:paraId="1010D0D6" w14:textId="78ECDD44" w:rsidR="00EC3CB8" w:rsidRDefault="00EC3CB8" w:rsidP="00D00BA3">
      <w:pPr>
        <w:spacing w:after="120"/>
        <w:ind w:left="1134" w:right="1134"/>
        <w:jc w:val="both"/>
        <w:rPr>
          <w:rFonts w:eastAsia="Calibri"/>
          <w:lang w:val="es-ES_tradnl"/>
        </w:rPr>
      </w:pPr>
      <w:r w:rsidRPr="00B5060B">
        <w:rPr>
          <w:rFonts w:eastAsia="Calibri"/>
          <w:lang w:val="es-ES_tradnl"/>
        </w:rPr>
        <w:t>2.</w:t>
      </w:r>
      <w:r w:rsidR="00D52B7C">
        <w:rPr>
          <w:rFonts w:eastAsia="Calibri"/>
          <w:lang w:val="es-ES_tradnl"/>
        </w:rPr>
        <w:t>8</w:t>
      </w:r>
      <w:r w:rsidRPr="00B5060B">
        <w:rPr>
          <w:rFonts w:eastAsia="Calibri"/>
          <w:lang w:val="es-ES_tradnl"/>
        </w:rPr>
        <w:tab/>
      </w:r>
      <w:r w:rsidR="003115CE">
        <w:rPr>
          <w:rFonts w:eastAsia="Calibri"/>
          <w:lang w:val="es-ES_tradnl"/>
        </w:rPr>
        <w:t>Posteriormente</w:t>
      </w:r>
      <w:r w:rsidRPr="00B5060B">
        <w:rPr>
          <w:rFonts w:eastAsia="Calibri"/>
          <w:lang w:val="es-ES_tradnl"/>
        </w:rPr>
        <w:t>, el padre de</w:t>
      </w:r>
      <w:r w:rsidR="00FE7AA7">
        <w:rPr>
          <w:rFonts w:eastAsia="Calibri"/>
          <w:lang w:val="es-ES_tradnl"/>
        </w:rPr>
        <w:t>l</w:t>
      </w:r>
      <w:r w:rsidRPr="00B5060B">
        <w:rPr>
          <w:rFonts w:eastAsia="Calibri"/>
          <w:lang w:val="es-ES_tradnl"/>
        </w:rPr>
        <w:t xml:space="preserve"> </w:t>
      </w:r>
      <w:r w:rsidR="00FE7AA7">
        <w:rPr>
          <w:rFonts w:eastAsia="Calibri"/>
          <w:lang w:val="es-ES_tradnl"/>
        </w:rPr>
        <w:t>Sr.</w:t>
      </w:r>
      <w:r w:rsidRPr="00B5060B">
        <w:rPr>
          <w:rFonts w:eastAsia="Calibri"/>
          <w:lang w:val="es-ES_tradnl"/>
        </w:rPr>
        <w:t xml:space="preserve"> Moreno Pérez también denunció la desaparición ante la Subprocuraduría de Investigación Especializada en Delincuencia Organizada</w:t>
      </w:r>
      <w:r w:rsidR="00B5060B" w:rsidRPr="00B5060B">
        <w:rPr>
          <w:rFonts w:eastAsia="Calibri"/>
          <w:lang w:val="es-ES_tradnl"/>
        </w:rPr>
        <w:t>,</w:t>
      </w:r>
      <w:r w:rsidRPr="00B5060B">
        <w:rPr>
          <w:rFonts w:eastAsia="Calibri"/>
          <w:lang w:val="es-ES_tradnl"/>
        </w:rPr>
        <w:t xml:space="preserve"> de la Procuraduría General de la República, abriéndose </w:t>
      </w:r>
      <w:r w:rsidR="00015A06">
        <w:rPr>
          <w:rFonts w:eastAsia="Calibri"/>
          <w:lang w:val="es-ES_tradnl"/>
        </w:rPr>
        <w:t>otra</w:t>
      </w:r>
      <w:r w:rsidRPr="00B5060B">
        <w:rPr>
          <w:rFonts w:eastAsia="Calibri"/>
          <w:lang w:val="es-ES_tradnl"/>
        </w:rPr>
        <w:t xml:space="preserve"> averiguación </w:t>
      </w:r>
      <w:r w:rsidRPr="00D45C0B">
        <w:rPr>
          <w:rFonts w:eastAsia="Calibri"/>
          <w:lang w:val="es-ES_tradnl"/>
        </w:rPr>
        <w:t>previa</w:t>
      </w:r>
      <w:r w:rsidR="00EE7201" w:rsidRPr="00531919">
        <w:rPr>
          <w:rStyle w:val="Refdenotaalpie"/>
          <w:rFonts w:eastAsia="Calibri"/>
          <w:szCs w:val="18"/>
          <w:lang w:val="es-ES_tradnl"/>
        </w:rPr>
        <w:footnoteReference w:id="10"/>
      </w:r>
      <w:r w:rsidR="00B97FD3">
        <w:rPr>
          <w:rFonts w:eastAsia="Calibri"/>
          <w:lang w:val="es-ES_tradnl"/>
        </w:rPr>
        <w:t>.</w:t>
      </w:r>
    </w:p>
    <w:p w14:paraId="595AB823" w14:textId="5F3C00D6" w:rsidR="004157D2" w:rsidRPr="00B05FF2" w:rsidRDefault="00B12B35">
      <w:pPr>
        <w:pStyle w:val="H4G"/>
        <w:rPr>
          <w:lang w:val="es-ES_tradnl"/>
        </w:rPr>
      </w:pPr>
      <w:r>
        <w:rPr>
          <w:lang w:val="es-ES_tradnl"/>
        </w:rPr>
        <w:tab/>
      </w:r>
      <w:r>
        <w:rPr>
          <w:lang w:val="es-ES_tradnl"/>
        </w:rPr>
        <w:tab/>
      </w:r>
      <w:r w:rsidR="004157D2" w:rsidRPr="004D274D">
        <w:rPr>
          <w:lang w:val="es-ES_tradnl"/>
        </w:rPr>
        <w:t>Irregularidades en las investigaciones</w:t>
      </w:r>
      <w:r w:rsidR="00343DCC">
        <w:rPr>
          <w:lang w:val="es-ES_tradnl"/>
        </w:rPr>
        <w:t xml:space="preserve"> </w:t>
      </w:r>
      <w:r w:rsidR="00D42047">
        <w:rPr>
          <w:lang w:val="es-ES_tradnl"/>
        </w:rPr>
        <w:t>por parte de</w:t>
      </w:r>
      <w:r w:rsidR="00CE648A">
        <w:rPr>
          <w:lang w:val="es-ES_tradnl"/>
        </w:rPr>
        <w:t xml:space="preserve"> </w:t>
      </w:r>
      <w:r w:rsidR="00E02E5E">
        <w:rPr>
          <w:lang w:val="es-ES_tradnl"/>
        </w:rPr>
        <w:t xml:space="preserve">la </w:t>
      </w:r>
      <w:r w:rsidR="00D42047" w:rsidRPr="00D42047">
        <w:rPr>
          <w:lang w:val="es-ES_tradnl"/>
        </w:rPr>
        <w:t>Procuraduría General de Justicia</w:t>
      </w:r>
      <w:r w:rsidR="004E3C18">
        <w:rPr>
          <w:lang w:val="es-ES_tradnl"/>
        </w:rPr>
        <w:t> </w:t>
      </w:r>
      <w:r w:rsidR="00D42047" w:rsidRPr="00D42047">
        <w:rPr>
          <w:lang w:val="es-ES_tradnl"/>
        </w:rPr>
        <w:t xml:space="preserve">del </w:t>
      </w:r>
      <w:r w:rsidR="00B728E9">
        <w:rPr>
          <w:lang w:val="es-ES_tradnl"/>
        </w:rPr>
        <w:t>E</w:t>
      </w:r>
      <w:r w:rsidR="00D42047" w:rsidRPr="00D42047">
        <w:rPr>
          <w:lang w:val="es-ES_tradnl"/>
        </w:rPr>
        <w:t>stado de Oaxaca</w:t>
      </w:r>
      <w:r w:rsidR="002D7E42">
        <w:rPr>
          <w:lang w:val="es-ES_tradnl"/>
        </w:rPr>
        <w:t xml:space="preserve"> (</w:t>
      </w:r>
      <w:r w:rsidR="002D7E42" w:rsidRPr="002D7E42">
        <w:rPr>
          <w:lang w:val="es-ES_tradnl"/>
        </w:rPr>
        <w:t xml:space="preserve">hoy Fiscalía General del </w:t>
      </w:r>
      <w:r w:rsidR="00B728E9">
        <w:rPr>
          <w:lang w:val="es-ES_tradnl"/>
        </w:rPr>
        <w:t>E</w:t>
      </w:r>
      <w:r w:rsidR="002D7E42" w:rsidRPr="002D7E42">
        <w:rPr>
          <w:lang w:val="es-ES_tradnl"/>
        </w:rPr>
        <w:t>stado de Oaxaca</w:t>
      </w:r>
      <w:r w:rsidR="002D7E42">
        <w:rPr>
          <w:lang w:val="es-ES_tradnl"/>
        </w:rPr>
        <w:t>)</w:t>
      </w:r>
    </w:p>
    <w:p w14:paraId="0B985616" w14:textId="1BF90CB4" w:rsidR="001B176D" w:rsidRPr="00413F02" w:rsidRDefault="00BF3BB0" w:rsidP="001B176D">
      <w:pPr>
        <w:pStyle w:val="SingleTxtG"/>
        <w:rPr>
          <w:rFonts w:eastAsia="Calibri"/>
          <w:lang w:val="es-ES_tradnl"/>
        </w:rPr>
      </w:pPr>
      <w:r>
        <w:rPr>
          <w:lang w:val="es-ES_tradnl"/>
        </w:rPr>
        <w:t>2.</w:t>
      </w:r>
      <w:r w:rsidR="00D52B7C">
        <w:rPr>
          <w:lang w:val="es-ES_tradnl"/>
        </w:rPr>
        <w:t>9</w:t>
      </w:r>
      <w:r>
        <w:rPr>
          <w:lang w:val="es-ES_tradnl"/>
        </w:rPr>
        <w:tab/>
      </w:r>
      <w:r w:rsidR="001B176D">
        <w:rPr>
          <w:lang w:val="es-ES_tradnl"/>
        </w:rPr>
        <w:t>L</w:t>
      </w:r>
      <w:r w:rsidR="00D05C0D">
        <w:rPr>
          <w:lang w:val="es-ES_tradnl"/>
        </w:rPr>
        <w:t>os autores sostienen</w:t>
      </w:r>
      <w:r w:rsidR="001B176D">
        <w:rPr>
          <w:lang w:val="es-ES_tradnl"/>
        </w:rPr>
        <w:t xml:space="preserve"> </w:t>
      </w:r>
      <w:r w:rsidR="00D05C0D">
        <w:rPr>
          <w:lang w:val="es-ES_tradnl"/>
        </w:rPr>
        <w:t xml:space="preserve">que </w:t>
      </w:r>
      <w:r w:rsidR="00047000">
        <w:rPr>
          <w:lang w:val="es-ES_tradnl"/>
        </w:rPr>
        <w:t>una primera</w:t>
      </w:r>
      <w:r w:rsidR="00D05C0D">
        <w:rPr>
          <w:lang w:val="es-ES_tradnl"/>
        </w:rPr>
        <w:t xml:space="preserve"> irregularidad en las investigaciones </w:t>
      </w:r>
      <w:r w:rsidR="00047000">
        <w:rPr>
          <w:lang w:val="es-ES_tradnl"/>
        </w:rPr>
        <w:t xml:space="preserve">fue </w:t>
      </w:r>
      <w:r w:rsidR="005D0DF9">
        <w:rPr>
          <w:lang w:val="es-ES_tradnl"/>
        </w:rPr>
        <w:t xml:space="preserve">la sustitución por </w:t>
      </w:r>
      <w:r w:rsidR="00886154">
        <w:rPr>
          <w:lang w:val="es-ES_tradnl"/>
        </w:rPr>
        <w:t>l</w:t>
      </w:r>
      <w:r w:rsidR="00D05C0D">
        <w:rPr>
          <w:lang w:val="es-ES_tradnl"/>
        </w:rPr>
        <w:t xml:space="preserve">as autoridades </w:t>
      </w:r>
      <w:r w:rsidR="00D76EB3">
        <w:rPr>
          <w:lang w:val="es-ES_tradnl"/>
        </w:rPr>
        <w:t xml:space="preserve">del teléfono del desaparecido </w:t>
      </w:r>
      <w:r w:rsidR="001B176D" w:rsidRPr="002868F2">
        <w:rPr>
          <w:lang w:val="es-ES_tradnl"/>
        </w:rPr>
        <w:t xml:space="preserve">por otro de </w:t>
      </w:r>
      <w:r w:rsidR="005D0DF9">
        <w:rPr>
          <w:lang w:val="es-ES_tradnl"/>
        </w:rPr>
        <w:t xml:space="preserve">la </w:t>
      </w:r>
      <w:r w:rsidR="001B176D" w:rsidRPr="002868F2">
        <w:rPr>
          <w:lang w:val="es-ES_tradnl"/>
        </w:rPr>
        <w:t>misma marca</w:t>
      </w:r>
      <w:r w:rsidR="001B176D">
        <w:rPr>
          <w:lang w:val="es-ES_tradnl"/>
        </w:rPr>
        <w:t xml:space="preserve"> y modelo</w:t>
      </w:r>
      <w:r w:rsidR="00D05C0D">
        <w:rPr>
          <w:lang w:val="es-ES_tradnl"/>
        </w:rPr>
        <w:t xml:space="preserve">, </w:t>
      </w:r>
      <w:r w:rsidR="001B176D">
        <w:rPr>
          <w:lang w:val="es-ES_tradnl"/>
        </w:rPr>
        <w:t>permitiendo así la destrucción de</w:t>
      </w:r>
      <w:r w:rsidR="001B176D" w:rsidRPr="002868F2">
        <w:rPr>
          <w:lang w:val="es-ES_tradnl"/>
        </w:rPr>
        <w:t xml:space="preserve"> una prueba important</w:t>
      </w:r>
      <w:r w:rsidR="001B176D">
        <w:rPr>
          <w:lang w:val="es-ES_tradnl"/>
        </w:rPr>
        <w:t>e</w:t>
      </w:r>
      <w:r w:rsidR="001B176D" w:rsidRPr="002868F2">
        <w:rPr>
          <w:lang w:val="es-ES_tradnl"/>
        </w:rPr>
        <w:t xml:space="preserve"> para </w:t>
      </w:r>
      <w:r w:rsidR="001B176D">
        <w:rPr>
          <w:lang w:val="es-ES_tradnl"/>
        </w:rPr>
        <w:t>la investigación</w:t>
      </w:r>
      <w:r w:rsidR="001B176D" w:rsidRPr="002868F2">
        <w:rPr>
          <w:lang w:val="es-ES_tradnl"/>
        </w:rPr>
        <w:t>.</w:t>
      </w:r>
    </w:p>
    <w:p w14:paraId="20697A8B" w14:textId="48C7DE11" w:rsidR="00B32CA8" w:rsidRPr="004F2338" w:rsidRDefault="00B32CA8" w:rsidP="00B32CA8">
      <w:pPr>
        <w:pStyle w:val="SingleTxtG"/>
        <w:rPr>
          <w:lang w:val="es-ES_tradnl"/>
        </w:rPr>
      </w:pPr>
      <w:r>
        <w:rPr>
          <w:lang w:val="es-ES_tradnl"/>
        </w:rPr>
        <w:t>2.</w:t>
      </w:r>
      <w:r w:rsidR="00D52B7C">
        <w:rPr>
          <w:lang w:val="es-ES_tradnl"/>
        </w:rPr>
        <w:t>10</w:t>
      </w:r>
      <w:r>
        <w:rPr>
          <w:lang w:val="es-ES_tradnl"/>
        </w:rPr>
        <w:tab/>
      </w:r>
      <w:r w:rsidR="003029A1">
        <w:rPr>
          <w:lang w:val="es-ES_tradnl"/>
        </w:rPr>
        <w:t xml:space="preserve">Una segunda irregularidad consiste en el valor dado por las autoridades a </w:t>
      </w:r>
      <w:r w:rsidR="00A81D7B">
        <w:rPr>
          <w:lang w:val="es-ES_tradnl"/>
        </w:rPr>
        <w:t>una</w:t>
      </w:r>
      <w:r w:rsidR="00AD3927">
        <w:rPr>
          <w:lang w:val="es-ES_tradnl"/>
        </w:rPr>
        <w:t xml:space="preserve"> descripción del </w:t>
      </w:r>
      <w:r w:rsidR="00A81D7B">
        <w:rPr>
          <w:lang w:val="es-ES_tradnl"/>
        </w:rPr>
        <w:t xml:space="preserve">supuesto </w:t>
      </w:r>
      <w:r w:rsidR="00AD3927">
        <w:rPr>
          <w:lang w:val="es-ES_tradnl"/>
        </w:rPr>
        <w:t>cuerpo de</w:t>
      </w:r>
      <w:r w:rsidR="000949C9">
        <w:rPr>
          <w:lang w:val="es-ES_tradnl"/>
        </w:rPr>
        <w:t>l</w:t>
      </w:r>
      <w:r w:rsidR="00AD3927">
        <w:rPr>
          <w:lang w:val="es-ES_tradnl"/>
        </w:rPr>
        <w:t xml:space="preserve"> </w:t>
      </w:r>
      <w:r w:rsidR="000949C9">
        <w:rPr>
          <w:lang w:val="es-ES_tradnl"/>
        </w:rPr>
        <w:t xml:space="preserve">Sr. </w:t>
      </w:r>
      <w:r w:rsidR="00AD3927" w:rsidRPr="00A87E05">
        <w:rPr>
          <w:lang w:val="es-ES_tradnl"/>
        </w:rPr>
        <w:t>Moreno Pérez</w:t>
      </w:r>
      <w:r w:rsidR="00160415">
        <w:rPr>
          <w:lang w:val="es-ES_tradnl"/>
        </w:rPr>
        <w:t xml:space="preserve"> </w:t>
      </w:r>
      <w:r w:rsidR="00E60119">
        <w:rPr>
          <w:lang w:val="es-ES_tradnl"/>
        </w:rPr>
        <w:t>hecha</w:t>
      </w:r>
      <w:r w:rsidR="00AD3927" w:rsidRPr="00A87E05">
        <w:rPr>
          <w:lang w:val="es-ES_tradnl"/>
        </w:rPr>
        <w:t xml:space="preserve"> </w:t>
      </w:r>
      <w:r w:rsidR="00160415">
        <w:rPr>
          <w:lang w:val="es-ES_tradnl"/>
        </w:rPr>
        <w:t>por</w:t>
      </w:r>
      <w:r w:rsidR="003029A1">
        <w:rPr>
          <w:lang w:val="es-ES_tradnl"/>
        </w:rPr>
        <w:t xml:space="preserve"> un</w:t>
      </w:r>
      <w:r w:rsidR="003029A1" w:rsidRPr="00A87E05">
        <w:rPr>
          <w:lang w:val="es-ES_tradnl"/>
        </w:rPr>
        <w:t xml:space="preserve"> pescador</w:t>
      </w:r>
      <w:r w:rsidR="00200D25">
        <w:rPr>
          <w:lang w:val="es-ES_tradnl"/>
        </w:rPr>
        <w:t xml:space="preserve"> que habría visto su cadáver flotando</w:t>
      </w:r>
      <w:r w:rsidR="003029A1">
        <w:rPr>
          <w:lang w:val="es-ES_tradnl"/>
        </w:rPr>
        <w:t xml:space="preserve"> </w:t>
      </w:r>
      <w:r w:rsidRPr="00DE17E1">
        <w:rPr>
          <w:lang w:val="es-ES_tradnl"/>
        </w:rPr>
        <w:t>el 20 de julio de 2011</w:t>
      </w:r>
      <w:r>
        <w:rPr>
          <w:lang w:val="es-ES_tradnl"/>
        </w:rPr>
        <w:t xml:space="preserve">, </w:t>
      </w:r>
      <w:r w:rsidR="003029A1" w:rsidRPr="00DE17E1">
        <w:rPr>
          <w:lang w:val="es-ES_tradnl"/>
        </w:rPr>
        <w:t xml:space="preserve">robusto, </w:t>
      </w:r>
      <w:r w:rsidR="000949C9">
        <w:rPr>
          <w:lang w:val="es-ES_tradnl"/>
        </w:rPr>
        <w:t>1,</w:t>
      </w:r>
      <w:r w:rsidR="003029A1" w:rsidRPr="00DE17E1">
        <w:rPr>
          <w:lang w:val="es-ES_tradnl"/>
        </w:rPr>
        <w:t>50</w:t>
      </w:r>
      <w:r w:rsidR="000949C9">
        <w:rPr>
          <w:lang w:val="es-ES_tradnl"/>
        </w:rPr>
        <w:t xml:space="preserve"> m</w:t>
      </w:r>
      <w:r w:rsidR="003029A1">
        <w:rPr>
          <w:lang w:val="es-ES_tradnl"/>
        </w:rPr>
        <w:t xml:space="preserve">, </w:t>
      </w:r>
      <w:r w:rsidR="003029A1" w:rsidRPr="004F2338">
        <w:rPr>
          <w:lang w:val="es-ES_tradnl"/>
        </w:rPr>
        <w:t>aparentemente calvo, de</w:t>
      </w:r>
      <w:r w:rsidR="003029A1">
        <w:rPr>
          <w:lang w:val="es-ES_tradnl"/>
        </w:rPr>
        <w:t xml:space="preserve"> una edad aproximada de 35 años</w:t>
      </w:r>
      <w:r w:rsidR="004D44EE" w:rsidRPr="004F2338">
        <w:rPr>
          <w:rStyle w:val="Refdenotaalpie"/>
          <w:lang w:val="es-ES_tradnl"/>
        </w:rPr>
        <w:footnoteReference w:id="11"/>
      </w:r>
      <w:r w:rsidR="000949C9">
        <w:rPr>
          <w:lang w:val="es-ES_tradnl"/>
        </w:rPr>
        <w:t>,</w:t>
      </w:r>
      <w:r w:rsidR="003029A1">
        <w:rPr>
          <w:lang w:val="es-ES_tradnl"/>
        </w:rPr>
        <w:t xml:space="preserve"> cuando</w:t>
      </w:r>
      <w:r w:rsidR="00200D25">
        <w:rPr>
          <w:lang w:val="es-ES_tradnl"/>
        </w:rPr>
        <w:t>,</w:t>
      </w:r>
      <w:r w:rsidR="003029A1">
        <w:rPr>
          <w:lang w:val="es-ES_tradnl"/>
        </w:rPr>
        <w:t xml:space="preserve"> </w:t>
      </w:r>
      <w:r w:rsidR="00160415">
        <w:rPr>
          <w:lang w:val="es-ES_tradnl"/>
        </w:rPr>
        <w:t>en realidad</w:t>
      </w:r>
      <w:r w:rsidR="00200D25">
        <w:rPr>
          <w:lang w:val="es-ES_tradnl"/>
        </w:rPr>
        <w:t>,</w:t>
      </w:r>
      <w:r w:rsidR="00160415">
        <w:rPr>
          <w:lang w:val="es-ES_tradnl"/>
        </w:rPr>
        <w:t xml:space="preserve"> </w:t>
      </w:r>
      <w:r w:rsidR="003029A1">
        <w:rPr>
          <w:lang w:val="es-ES_tradnl"/>
        </w:rPr>
        <w:t xml:space="preserve">es </w:t>
      </w:r>
      <w:r w:rsidRPr="00A87E05">
        <w:rPr>
          <w:lang w:val="es-ES_tradnl"/>
        </w:rPr>
        <w:t xml:space="preserve">delgado, </w:t>
      </w:r>
      <w:r w:rsidR="000949C9">
        <w:rPr>
          <w:lang w:val="es-ES_tradnl"/>
        </w:rPr>
        <w:t>1,</w:t>
      </w:r>
      <w:r w:rsidRPr="00A87E05">
        <w:rPr>
          <w:lang w:val="es-ES_tradnl"/>
        </w:rPr>
        <w:t>70</w:t>
      </w:r>
      <w:r w:rsidR="000949C9">
        <w:rPr>
          <w:lang w:val="es-ES_tradnl"/>
        </w:rPr>
        <w:t xml:space="preserve"> m</w:t>
      </w:r>
      <w:r w:rsidRPr="00A87E05">
        <w:rPr>
          <w:lang w:val="es-ES_tradnl"/>
        </w:rPr>
        <w:t>, con cabello largo y rizado</w:t>
      </w:r>
      <w:r w:rsidRPr="004F2338">
        <w:rPr>
          <w:lang w:val="es-ES_tradnl"/>
        </w:rPr>
        <w:t>.</w:t>
      </w:r>
    </w:p>
    <w:p w14:paraId="0D330ED9" w14:textId="42875392" w:rsidR="007F1689" w:rsidRDefault="00B32CA8" w:rsidP="006974E8">
      <w:pPr>
        <w:pStyle w:val="SingleTxtG"/>
        <w:rPr>
          <w:rFonts w:eastAsia="Calibri"/>
          <w:lang w:val="es-ES_tradnl"/>
        </w:rPr>
      </w:pPr>
      <w:r>
        <w:rPr>
          <w:rFonts w:eastAsia="Calibri"/>
          <w:lang w:val="es-ES_tradnl"/>
        </w:rPr>
        <w:t>2.</w:t>
      </w:r>
      <w:r w:rsidR="00D52B7C">
        <w:rPr>
          <w:rFonts w:eastAsia="Calibri"/>
          <w:lang w:val="es-ES_tradnl"/>
        </w:rPr>
        <w:t>11</w:t>
      </w:r>
      <w:r w:rsidR="00487AEF">
        <w:rPr>
          <w:rFonts w:eastAsia="Calibri"/>
          <w:lang w:val="es-ES_tradnl"/>
        </w:rPr>
        <w:tab/>
      </w:r>
      <w:r w:rsidR="00CA485C">
        <w:rPr>
          <w:rFonts w:eastAsia="Calibri"/>
          <w:lang w:val="es-ES_tradnl"/>
        </w:rPr>
        <w:t>L</w:t>
      </w:r>
      <w:r w:rsidR="00487AEF">
        <w:rPr>
          <w:rFonts w:eastAsia="Calibri"/>
          <w:lang w:val="es-ES_tradnl"/>
        </w:rPr>
        <w:t xml:space="preserve">os autores </w:t>
      </w:r>
      <w:r w:rsidR="00232AA9">
        <w:rPr>
          <w:rFonts w:eastAsia="Calibri"/>
          <w:lang w:val="es-ES_tradnl"/>
        </w:rPr>
        <w:t>subrayan</w:t>
      </w:r>
      <w:r w:rsidR="00487AEF">
        <w:rPr>
          <w:rFonts w:eastAsia="Calibri"/>
          <w:lang w:val="es-ES_tradnl"/>
        </w:rPr>
        <w:t xml:space="preserve"> que</w:t>
      </w:r>
      <w:r w:rsidR="00E54711">
        <w:rPr>
          <w:rFonts w:eastAsia="Calibri"/>
          <w:lang w:val="es-ES_tradnl"/>
        </w:rPr>
        <w:t xml:space="preserve"> </w:t>
      </w:r>
      <w:r w:rsidR="00726C8D">
        <w:rPr>
          <w:rFonts w:eastAsia="Calibri"/>
          <w:lang w:val="es-ES_tradnl"/>
        </w:rPr>
        <w:t xml:space="preserve">las autoridades construyeron una versión falsa de los hechos </w:t>
      </w:r>
      <w:r w:rsidR="000852E9">
        <w:rPr>
          <w:rFonts w:eastAsia="Calibri"/>
          <w:lang w:val="es-ES_tradnl"/>
        </w:rPr>
        <w:t>sobre</w:t>
      </w:r>
      <w:r w:rsidR="00E54711">
        <w:rPr>
          <w:rFonts w:eastAsia="Calibri"/>
          <w:lang w:val="es-ES_tradnl"/>
        </w:rPr>
        <w:t xml:space="preserve"> declaraciones </w:t>
      </w:r>
      <w:r w:rsidR="005D0DF9">
        <w:rPr>
          <w:rFonts w:eastAsia="Calibri"/>
          <w:lang w:val="es-ES_tradnl"/>
        </w:rPr>
        <w:t>contradictorias</w:t>
      </w:r>
      <w:r w:rsidR="00EA25FF">
        <w:rPr>
          <w:rFonts w:eastAsia="Calibri"/>
          <w:lang w:val="es-ES_tradnl"/>
        </w:rPr>
        <w:t xml:space="preserve">. Al respecto, </w:t>
      </w:r>
      <w:r w:rsidR="00640FE3">
        <w:rPr>
          <w:rFonts w:eastAsia="Calibri"/>
          <w:lang w:val="es-ES_tradnl"/>
        </w:rPr>
        <w:t>e</w:t>
      </w:r>
      <w:r w:rsidR="008935E5" w:rsidRPr="00482FD6">
        <w:rPr>
          <w:rFonts w:eastAsia="Calibri"/>
          <w:lang w:val="es-ES_tradnl"/>
        </w:rPr>
        <w:t xml:space="preserve">l </w:t>
      </w:r>
      <w:r w:rsidR="008935E5" w:rsidRPr="00B37FE5">
        <w:rPr>
          <w:rFonts w:eastAsia="Calibri"/>
          <w:lang w:val="es-ES_tradnl"/>
        </w:rPr>
        <w:t>2 de diciembre de 2011</w:t>
      </w:r>
      <w:r w:rsidR="008935E5" w:rsidRPr="00482FD6">
        <w:rPr>
          <w:rFonts w:eastAsia="Calibri"/>
          <w:lang w:val="es-ES_tradnl"/>
        </w:rPr>
        <w:t xml:space="preserve">, </w:t>
      </w:r>
      <w:r w:rsidR="00726C8D">
        <w:rPr>
          <w:rFonts w:eastAsia="Calibri"/>
          <w:lang w:val="es-ES_tradnl"/>
        </w:rPr>
        <w:t xml:space="preserve">las autoridades arrestaron a </w:t>
      </w:r>
      <w:r w:rsidR="008935E5" w:rsidRPr="00B37FE5">
        <w:rPr>
          <w:rFonts w:eastAsia="Calibri"/>
          <w:lang w:val="es-ES_tradnl"/>
        </w:rPr>
        <w:t>Javier Rodríguez</w:t>
      </w:r>
      <w:r w:rsidR="008935E5">
        <w:rPr>
          <w:rFonts w:eastAsia="Calibri"/>
          <w:lang w:val="es-ES_tradnl"/>
        </w:rPr>
        <w:t xml:space="preserve"> </w:t>
      </w:r>
      <w:r w:rsidR="008935E5" w:rsidRPr="009F0A5B">
        <w:rPr>
          <w:rFonts w:eastAsia="Calibri"/>
          <w:lang w:val="es-ES_tradnl"/>
        </w:rPr>
        <w:t>Peña</w:t>
      </w:r>
      <w:r w:rsidR="008935E5">
        <w:rPr>
          <w:rFonts w:eastAsia="Calibri"/>
          <w:lang w:val="es-ES_tradnl"/>
        </w:rPr>
        <w:t xml:space="preserve"> </w:t>
      </w:r>
      <w:r w:rsidR="000949C9">
        <w:rPr>
          <w:rFonts w:eastAsia="Calibri"/>
          <w:lang w:val="es-ES_tradnl"/>
        </w:rPr>
        <w:t>—</w:t>
      </w:r>
      <w:r w:rsidR="00726C8D">
        <w:rPr>
          <w:rFonts w:eastAsia="Calibri"/>
          <w:lang w:val="es-ES_tradnl"/>
        </w:rPr>
        <w:t xml:space="preserve">un pescador y campesino originario </w:t>
      </w:r>
      <w:r w:rsidR="00726C8D" w:rsidRPr="00482FD6">
        <w:rPr>
          <w:rFonts w:eastAsia="Calibri"/>
          <w:lang w:val="es-ES_tradnl"/>
        </w:rPr>
        <w:t>de Chacahua</w:t>
      </w:r>
      <w:r w:rsidR="008973D3">
        <w:rPr>
          <w:rFonts w:eastAsia="Calibri"/>
          <w:lang w:val="es-ES_tradnl"/>
        </w:rPr>
        <w:t>,</w:t>
      </w:r>
      <w:r w:rsidR="00726C8D">
        <w:rPr>
          <w:rFonts w:eastAsia="Calibri"/>
          <w:lang w:val="es-ES_tradnl"/>
        </w:rPr>
        <w:t xml:space="preserve"> </w:t>
      </w:r>
      <w:r w:rsidR="00CB678E">
        <w:rPr>
          <w:rFonts w:eastAsia="Calibri"/>
          <w:lang w:val="es-ES_tradnl"/>
        </w:rPr>
        <w:t>de 22 años</w:t>
      </w:r>
      <w:r w:rsidR="008973D3">
        <w:rPr>
          <w:rFonts w:eastAsia="Calibri"/>
          <w:lang w:val="es-ES_tradnl"/>
        </w:rPr>
        <w:t xml:space="preserve"> y</w:t>
      </w:r>
      <w:r w:rsidR="008935E5">
        <w:rPr>
          <w:rFonts w:eastAsia="Calibri"/>
          <w:lang w:val="es-ES_tradnl"/>
        </w:rPr>
        <w:t xml:space="preserve"> </w:t>
      </w:r>
      <w:r w:rsidR="00EC607D">
        <w:rPr>
          <w:rFonts w:eastAsia="Calibri"/>
          <w:lang w:val="es-ES_tradnl"/>
        </w:rPr>
        <w:t>con nivel de estudios de primaria</w:t>
      </w:r>
      <w:r w:rsidR="000949C9">
        <w:rPr>
          <w:rFonts w:eastAsia="Calibri"/>
          <w:lang w:val="es-ES_tradnl"/>
        </w:rPr>
        <w:t>—</w:t>
      </w:r>
      <w:r w:rsidR="009F6227">
        <w:rPr>
          <w:rFonts w:eastAsia="Calibri"/>
          <w:lang w:val="es-ES_tradnl"/>
        </w:rPr>
        <w:t xml:space="preserve"> </w:t>
      </w:r>
      <w:r w:rsidR="00640FE3">
        <w:rPr>
          <w:rFonts w:eastAsia="Calibri"/>
          <w:lang w:val="es-ES_tradnl"/>
        </w:rPr>
        <w:t>que</w:t>
      </w:r>
      <w:r w:rsidR="009F6227">
        <w:rPr>
          <w:rFonts w:eastAsia="Calibri"/>
          <w:lang w:val="es-ES_tradnl"/>
        </w:rPr>
        <w:t xml:space="preserve"> declaró que</w:t>
      </w:r>
      <w:r w:rsidR="00640FE3">
        <w:rPr>
          <w:rFonts w:eastAsia="Calibri"/>
          <w:lang w:val="es-ES_tradnl"/>
        </w:rPr>
        <w:t>,</w:t>
      </w:r>
      <w:r w:rsidR="00F90398">
        <w:rPr>
          <w:rFonts w:eastAsia="Calibri"/>
          <w:lang w:val="es-ES_tradnl"/>
        </w:rPr>
        <w:t xml:space="preserve"> el 9</w:t>
      </w:r>
      <w:r w:rsidR="008935E5" w:rsidRPr="00482FD6">
        <w:rPr>
          <w:rFonts w:eastAsia="Calibri"/>
          <w:lang w:val="es-ES_tradnl"/>
        </w:rPr>
        <w:t xml:space="preserve"> de julio de 2011</w:t>
      </w:r>
      <w:r w:rsidR="008935E5">
        <w:rPr>
          <w:rFonts w:eastAsia="Calibri"/>
          <w:lang w:val="es-ES_tradnl"/>
        </w:rPr>
        <w:t>,</w:t>
      </w:r>
      <w:r w:rsidR="008935E5" w:rsidRPr="00482FD6">
        <w:rPr>
          <w:rFonts w:eastAsia="Calibri"/>
          <w:lang w:val="es-ES_tradnl"/>
        </w:rPr>
        <w:t xml:space="preserve"> </w:t>
      </w:r>
      <w:r w:rsidR="00C472E1">
        <w:rPr>
          <w:rFonts w:eastAsia="Calibri"/>
          <w:lang w:val="es-ES_tradnl"/>
        </w:rPr>
        <w:t>junto a</w:t>
      </w:r>
      <w:r w:rsidR="00F90398">
        <w:rPr>
          <w:rFonts w:eastAsia="Calibri"/>
          <w:lang w:val="es-ES_tradnl"/>
        </w:rPr>
        <w:t xml:space="preserve"> otras tres personas de la zona</w:t>
      </w:r>
      <w:r w:rsidR="00F90398" w:rsidRPr="00B37FE5">
        <w:rPr>
          <w:rFonts w:eastAsia="Calibri"/>
          <w:lang w:val="es-ES_tradnl"/>
        </w:rPr>
        <w:t xml:space="preserve"> </w:t>
      </w:r>
      <w:r w:rsidR="00F90398">
        <w:rPr>
          <w:rFonts w:eastAsia="Calibri"/>
          <w:lang w:val="es-ES_tradnl"/>
        </w:rPr>
        <w:t>(</w:t>
      </w:r>
      <w:r w:rsidR="008935E5" w:rsidRPr="00B37FE5">
        <w:rPr>
          <w:rFonts w:eastAsia="Calibri"/>
          <w:lang w:val="es-ES_tradnl"/>
        </w:rPr>
        <w:t>Honorio Corcuera</w:t>
      </w:r>
      <w:r w:rsidR="00F90398">
        <w:rPr>
          <w:rFonts w:eastAsia="Calibri"/>
          <w:lang w:val="es-ES_tradnl"/>
        </w:rPr>
        <w:t xml:space="preserve">, </w:t>
      </w:r>
      <w:r w:rsidR="008935E5" w:rsidRPr="00B37FE5">
        <w:rPr>
          <w:rFonts w:eastAsia="Calibri"/>
          <w:lang w:val="es-ES_tradnl"/>
        </w:rPr>
        <w:t xml:space="preserve">Félix </w:t>
      </w:r>
      <w:proofErr w:type="spellStart"/>
      <w:r w:rsidR="008935E5" w:rsidRPr="00B37FE5">
        <w:rPr>
          <w:rFonts w:eastAsia="Calibri"/>
          <w:lang w:val="es-ES_tradnl"/>
        </w:rPr>
        <w:t>Gallardo</w:t>
      </w:r>
      <w:proofErr w:type="spellEnd"/>
      <w:r w:rsidR="008935E5" w:rsidRPr="00B37FE5">
        <w:rPr>
          <w:rFonts w:eastAsia="Calibri"/>
          <w:lang w:val="es-ES_tradnl"/>
        </w:rPr>
        <w:t xml:space="preserve"> y Ramiro Serrano</w:t>
      </w:r>
      <w:r w:rsidR="008935E5">
        <w:rPr>
          <w:rFonts w:eastAsia="Calibri"/>
          <w:lang w:val="es-ES_tradnl"/>
        </w:rPr>
        <w:t xml:space="preserve">), </w:t>
      </w:r>
      <w:r w:rsidR="007C4734">
        <w:rPr>
          <w:rFonts w:eastAsia="Calibri"/>
          <w:lang w:val="es-ES_tradnl"/>
        </w:rPr>
        <w:t>mataron</w:t>
      </w:r>
      <w:r w:rsidR="00F90398">
        <w:rPr>
          <w:rFonts w:eastAsia="Calibri"/>
          <w:lang w:val="es-ES_tradnl"/>
        </w:rPr>
        <w:t xml:space="preserve"> a</w:t>
      </w:r>
      <w:r w:rsidR="00C472E1">
        <w:rPr>
          <w:rFonts w:eastAsia="Calibri"/>
          <w:lang w:val="es-ES_tradnl"/>
        </w:rPr>
        <w:t>l</w:t>
      </w:r>
      <w:r w:rsidR="00F90398">
        <w:rPr>
          <w:rFonts w:eastAsia="Calibri"/>
          <w:lang w:val="es-ES_tradnl"/>
        </w:rPr>
        <w:t xml:space="preserve"> </w:t>
      </w:r>
      <w:r w:rsidR="00C472E1">
        <w:rPr>
          <w:rFonts w:eastAsia="Calibri"/>
          <w:lang w:val="es-ES_tradnl"/>
        </w:rPr>
        <w:t>Sr.</w:t>
      </w:r>
      <w:r w:rsidR="00F90398">
        <w:rPr>
          <w:rFonts w:eastAsia="Calibri"/>
          <w:lang w:val="es-ES_tradnl"/>
        </w:rPr>
        <w:t xml:space="preserve"> Moreno Pérez</w:t>
      </w:r>
      <w:r w:rsidR="008935E5" w:rsidRPr="00482FD6">
        <w:rPr>
          <w:rFonts w:eastAsia="Calibri"/>
          <w:lang w:val="es-ES_tradnl"/>
        </w:rPr>
        <w:t xml:space="preserve"> </w:t>
      </w:r>
      <w:r w:rsidR="00F90398">
        <w:rPr>
          <w:rFonts w:eastAsia="Calibri"/>
          <w:lang w:val="es-ES_tradnl"/>
        </w:rPr>
        <w:t xml:space="preserve">en </w:t>
      </w:r>
      <w:r w:rsidR="00F90398" w:rsidRPr="0023040D">
        <w:rPr>
          <w:rFonts w:eastAsia="Calibri"/>
          <w:lang w:val="es-ES_tradnl"/>
        </w:rPr>
        <w:t>la playa</w:t>
      </w:r>
      <w:r w:rsidR="00F90398" w:rsidRPr="00482FD6">
        <w:rPr>
          <w:rFonts w:eastAsia="Calibri"/>
          <w:lang w:val="es-ES_tradnl"/>
        </w:rPr>
        <w:t xml:space="preserve"> </w:t>
      </w:r>
      <w:r w:rsidR="00F90398">
        <w:rPr>
          <w:rFonts w:eastAsia="Calibri"/>
          <w:lang w:val="es-ES_tradnl"/>
        </w:rPr>
        <w:t>al robarle</w:t>
      </w:r>
      <w:r w:rsidR="008935E5" w:rsidRPr="00482FD6">
        <w:rPr>
          <w:rFonts w:eastAsia="Calibri"/>
          <w:lang w:val="es-ES_tradnl"/>
        </w:rPr>
        <w:t xml:space="preserve"> </w:t>
      </w:r>
      <w:r w:rsidR="00F90398">
        <w:rPr>
          <w:rFonts w:eastAsia="Calibri"/>
          <w:lang w:val="es-ES_tradnl"/>
        </w:rPr>
        <w:t>su</w:t>
      </w:r>
      <w:r w:rsidR="008935E5" w:rsidRPr="00482FD6">
        <w:rPr>
          <w:rFonts w:eastAsia="Calibri"/>
          <w:lang w:val="es-ES_tradnl"/>
        </w:rPr>
        <w:t xml:space="preserve"> celular, cámara </w:t>
      </w:r>
      <w:r w:rsidR="000949C9">
        <w:rPr>
          <w:rFonts w:eastAsia="Calibri"/>
          <w:lang w:val="es-ES_tradnl"/>
        </w:rPr>
        <w:t>e</w:t>
      </w:r>
      <w:r w:rsidR="008935E5" w:rsidRPr="00482FD6">
        <w:rPr>
          <w:rFonts w:eastAsia="Calibri"/>
          <w:lang w:val="es-ES_tradnl"/>
        </w:rPr>
        <w:t xml:space="preserve"> </w:t>
      </w:r>
      <w:proofErr w:type="spellStart"/>
      <w:r w:rsidR="008935E5" w:rsidRPr="00482FD6">
        <w:rPr>
          <w:rFonts w:eastAsia="Calibri"/>
          <w:lang w:val="es-ES_tradnl"/>
        </w:rPr>
        <w:t>Ipod</w:t>
      </w:r>
      <w:proofErr w:type="spellEnd"/>
      <w:r w:rsidR="000949C9">
        <w:rPr>
          <w:rFonts w:eastAsia="Calibri"/>
          <w:lang w:val="es-ES_tradnl"/>
        </w:rPr>
        <w:t>. L</w:t>
      </w:r>
      <w:r w:rsidR="007A457C">
        <w:rPr>
          <w:rFonts w:eastAsia="Calibri"/>
          <w:lang w:val="es-ES_tradnl"/>
        </w:rPr>
        <w:t xml:space="preserve">os autores precisan que </w:t>
      </w:r>
      <w:r w:rsidR="000949C9">
        <w:rPr>
          <w:rFonts w:eastAsia="Calibri"/>
          <w:lang w:val="es-ES_tradnl"/>
        </w:rPr>
        <w:t xml:space="preserve">el Sr. </w:t>
      </w:r>
      <w:r w:rsidR="007A457C" w:rsidRPr="006974E8">
        <w:rPr>
          <w:lang w:val="es-ES_tradnl"/>
        </w:rPr>
        <w:t>Moreno Pérez</w:t>
      </w:r>
      <w:r w:rsidR="007A457C" w:rsidRPr="006974E8">
        <w:rPr>
          <w:rFonts w:eastAsia="Calibri"/>
          <w:lang w:val="es-ES_tradnl"/>
        </w:rPr>
        <w:t xml:space="preserve"> nunca tuvo </w:t>
      </w:r>
      <w:proofErr w:type="spellStart"/>
      <w:r w:rsidR="007A457C" w:rsidRPr="006974E8">
        <w:rPr>
          <w:rFonts w:eastAsia="Calibri"/>
          <w:lang w:val="es-ES_tradnl"/>
        </w:rPr>
        <w:t>Ipod</w:t>
      </w:r>
      <w:proofErr w:type="spellEnd"/>
      <w:r w:rsidR="007A457C" w:rsidRPr="006974E8">
        <w:rPr>
          <w:rFonts w:eastAsia="Calibri"/>
          <w:lang w:val="es-ES_tradnl"/>
        </w:rPr>
        <w:t xml:space="preserve"> ni cámara</w:t>
      </w:r>
      <w:r w:rsidR="007A457C">
        <w:rPr>
          <w:rFonts w:eastAsia="Calibri"/>
          <w:lang w:val="es-ES_tradnl"/>
        </w:rPr>
        <w:t>, y que estos</w:t>
      </w:r>
      <w:r w:rsidR="007A457C" w:rsidRPr="00B52E8D">
        <w:rPr>
          <w:rFonts w:eastAsia="Calibri"/>
          <w:lang w:val="es-ES_tradnl"/>
        </w:rPr>
        <w:t xml:space="preserve"> objetos nunca fueron encontrados</w:t>
      </w:r>
      <w:r w:rsidR="007C4734">
        <w:rPr>
          <w:rFonts w:eastAsia="Calibri"/>
          <w:lang w:val="es-ES_tradnl"/>
        </w:rPr>
        <w:t>.</w:t>
      </w:r>
      <w:r w:rsidR="00F90398">
        <w:rPr>
          <w:rFonts w:eastAsia="Calibri"/>
          <w:lang w:val="es-ES_tradnl"/>
        </w:rPr>
        <w:t xml:space="preserve"> </w:t>
      </w:r>
      <w:r w:rsidR="007C4734">
        <w:rPr>
          <w:rFonts w:eastAsia="Calibri"/>
          <w:lang w:val="es-ES_tradnl"/>
        </w:rPr>
        <w:t>Según la declaración,</w:t>
      </w:r>
      <w:r w:rsidR="007C4734" w:rsidRPr="00430CB5">
        <w:rPr>
          <w:lang w:val="es-ES"/>
        </w:rPr>
        <w:t xml:space="preserve"> </w:t>
      </w:r>
      <w:r w:rsidR="00D40540" w:rsidRPr="00D40540">
        <w:rPr>
          <w:lang w:val="es-ES"/>
        </w:rPr>
        <w:t xml:space="preserve">Honorio Corcuera </w:t>
      </w:r>
      <w:r w:rsidR="00D40540">
        <w:rPr>
          <w:lang w:val="es-ES"/>
        </w:rPr>
        <w:t xml:space="preserve">lo </w:t>
      </w:r>
      <w:r w:rsidR="00D40540">
        <w:rPr>
          <w:rFonts w:eastAsia="Calibri"/>
          <w:lang w:val="es-ES_tradnl"/>
        </w:rPr>
        <w:t>apuñaló</w:t>
      </w:r>
      <w:r w:rsidR="00F90398">
        <w:rPr>
          <w:rFonts w:eastAsia="Calibri"/>
          <w:lang w:val="es-ES_tradnl"/>
        </w:rPr>
        <w:t xml:space="preserve"> </w:t>
      </w:r>
      <w:r w:rsidR="008935E5" w:rsidRPr="0023040D">
        <w:rPr>
          <w:rFonts w:eastAsia="Calibri"/>
          <w:lang w:val="es-ES_tradnl"/>
        </w:rPr>
        <w:t>en el pecho</w:t>
      </w:r>
      <w:r w:rsidR="0080180D">
        <w:rPr>
          <w:rFonts w:eastAsia="Calibri"/>
          <w:lang w:val="es-ES_tradnl"/>
        </w:rPr>
        <w:t>,</w:t>
      </w:r>
      <w:r w:rsidR="0008060A">
        <w:rPr>
          <w:rFonts w:eastAsia="Calibri"/>
          <w:lang w:val="es-ES_tradnl"/>
        </w:rPr>
        <w:t xml:space="preserve"> </w:t>
      </w:r>
      <w:r w:rsidR="007C4734">
        <w:rPr>
          <w:rFonts w:eastAsia="Calibri"/>
          <w:lang w:val="es-ES_tradnl"/>
        </w:rPr>
        <w:t>lo enterraron,</w:t>
      </w:r>
      <w:r w:rsidR="0008060A">
        <w:rPr>
          <w:rFonts w:eastAsia="Calibri"/>
          <w:lang w:val="es-ES_tradnl"/>
        </w:rPr>
        <w:t xml:space="preserve"> y,</w:t>
      </w:r>
      <w:r w:rsidR="0008060A" w:rsidRPr="0008060A">
        <w:rPr>
          <w:rFonts w:eastAsia="Calibri"/>
          <w:lang w:val="es-ES_tradnl"/>
        </w:rPr>
        <w:t xml:space="preserve"> </w:t>
      </w:r>
      <w:r w:rsidR="0008060A">
        <w:rPr>
          <w:rFonts w:eastAsia="Calibri"/>
          <w:lang w:val="es-ES_tradnl"/>
        </w:rPr>
        <w:t xml:space="preserve">dos días después, </w:t>
      </w:r>
      <w:r w:rsidR="007C4734">
        <w:rPr>
          <w:rFonts w:eastAsia="Calibri"/>
          <w:lang w:val="es-ES_tradnl"/>
        </w:rPr>
        <w:t>lo desenterraron</w:t>
      </w:r>
      <w:r w:rsidR="0008060A" w:rsidRPr="0023040D">
        <w:rPr>
          <w:rFonts w:eastAsia="Calibri"/>
          <w:lang w:val="es-ES_tradnl"/>
        </w:rPr>
        <w:t xml:space="preserve"> </w:t>
      </w:r>
      <w:r w:rsidR="0008060A">
        <w:rPr>
          <w:rFonts w:eastAsia="Calibri"/>
          <w:lang w:val="es-ES_tradnl"/>
        </w:rPr>
        <w:t xml:space="preserve">para </w:t>
      </w:r>
      <w:r w:rsidR="0008060A" w:rsidRPr="0023040D">
        <w:rPr>
          <w:rFonts w:eastAsia="Calibri"/>
          <w:lang w:val="es-ES_tradnl"/>
        </w:rPr>
        <w:t>echar</w:t>
      </w:r>
      <w:r w:rsidR="0008060A">
        <w:rPr>
          <w:rFonts w:eastAsia="Calibri"/>
          <w:lang w:val="es-ES_tradnl"/>
        </w:rPr>
        <w:t>lo al mar</w:t>
      </w:r>
      <w:r w:rsidR="008935E5">
        <w:rPr>
          <w:rStyle w:val="Refdenotaalpie"/>
          <w:rFonts w:eastAsia="Calibri"/>
          <w:lang w:val="es-ES_tradnl"/>
        </w:rPr>
        <w:footnoteReference w:id="12"/>
      </w:r>
      <w:r w:rsidR="00AE7880">
        <w:rPr>
          <w:rFonts w:eastAsia="Calibri"/>
          <w:lang w:val="es-ES_tradnl"/>
        </w:rPr>
        <w:t>.</w:t>
      </w:r>
      <w:r w:rsidR="008553E9">
        <w:rPr>
          <w:rFonts w:eastAsia="Calibri"/>
          <w:lang w:val="es-ES_tradnl"/>
        </w:rPr>
        <w:t xml:space="preserve"> </w:t>
      </w:r>
      <w:r w:rsidR="00FA4AD9">
        <w:rPr>
          <w:rFonts w:eastAsia="Calibri"/>
          <w:lang w:val="es-ES_tradnl"/>
        </w:rPr>
        <w:t xml:space="preserve">El 5 de diciembre de 2011, </w:t>
      </w:r>
      <w:r w:rsidR="00C44373" w:rsidRPr="009F0A5B">
        <w:rPr>
          <w:rFonts w:eastAsia="Calibri"/>
          <w:lang w:val="es-ES_tradnl"/>
        </w:rPr>
        <w:t>Javier Rodríguez</w:t>
      </w:r>
      <w:r w:rsidR="00C44373" w:rsidRPr="001A7A04">
        <w:rPr>
          <w:lang w:val="es-ES"/>
        </w:rPr>
        <w:t xml:space="preserve"> </w:t>
      </w:r>
      <w:r w:rsidR="00C44373" w:rsidRPr="009F0A5B">
        <w:rPr>
          <w:rFonts w:eastAsia="Calibri"/>
          <w:lang w:val="es-ES_tradnl"/>
        </w:rPr>
        <w:t>Peña</w:t>
      </w:r>
      <w:r w:rsidR="00C44373" w:rsidRPr="00B52E8D">
        <w:rPr>
          <w:rFonts w:eastAsia="Calibri"/>
          <w:lang w:val="es-ES_tradnl"/>
        </w:rPr>
        <w:t xml:space="preserve"> volvió a declarar</w:t>
      </w:r>
      <w:r w:rsidR="008553E9">
        <w:rPr>
          <w:rFonts w:eastAsia="Calibri"/>
          <w:lang w:val="es-ES_tradnl"/>
        </w:rPr>
        <w:t xml:space="preserve"> en calidad de arr</w:t>
      </w:r>
      <w:r w:rsidR="00963B70">
        <w:rPr>
          <w:rFonts w:eastAsia="Calibri"/>
          <w:lang w:val="es-ES_tradnl"/>
        </w:rPr>
        <w:t>aigado</w:t>
      </w:r>
      <w:r w:rsidR="008553E9">
        <w:rPr>
          <w:rFonts w:eastAsia="Calibri"/>
          <w:lang w:val="es-ES_tradnl"/>
        </w:rPr>
        <w:t>,</w:t>
      </w:r>
      <w:r w:rsidR="00566865" w:rsidRPr="00B52E8D">
        <w:rPr>
          <w:rFonts w:eastAsia="Calibri"/>
          <w:lang w:val="es-ES_tradnl"/>
        </w:rPr>
        <w:t xml:space="preserve"> </w:t>
      </w:r>
      <w:r w:rsidR="00C44373">
        <w:rPr>
          <w:rFonts w:eastAsia="Calibri"/>
          <w:lang w:val="es-ES_tradnl"/>
        </w:rPr>
        <w:t>cambiando de versión</w:t>
      </w:r>
      <w:r w:rsidR="001D2BD8">
        <w:rPr>
          <w:rFonts w:eastAsia="Calibri"/>
          <w:lang w:val="es-ES_tradnl"/>
        </w:rPr>
        <w:t xml:space="preserve"> al</w:t>
      </w:r>
      <w:r w:rsidR="00C44373">
        <w:rPr>
          <w:rFonts w:eastAsia="Calibri"/>
          <w:lang w:val="es-ES_tradnl"/>
        </w:rPr>
        <w:t xml:space="preserve"> indic</w:t>
      </w:r>
      <w:r w:rsidR="008A5BD5">
        <w:rPr>
          <w:rFonts w:eastAsia="Calibri"/>
          <w:lang w:val="es-ES_tradnl"/>
        </w:rPr>
        <w:t>ar</w:t>
      </w:r>
      <w:r w:rsidR="00083285">
        <w:rPr>
          <w:rFonts w:eastAsia="Calibri"/>
          <w:lang w:val="es-ES_tradnl"/>
        </w:rPr>
        <w:t xml:space="preserve"> </w:t>
      </w:r>
      <w:r w:rsidR="00566865" w:rsidRPr="00B52E8D">
        <w:rPr>
          <w:rFonts w:eastAsia="Calibri"/>
          <w:lang w:val="es-ES_tradnl"/>
        </w:rPr>
        <w:t>que</w:t>
      </w:r>
      <w:r w:rsidR="00D56999">
        <w:rPr>
          <w:rFonts w:eastAsia="Calibri"/>
          <w:lang w:val="es-ES_tradnl"/>
        </w:rPr>
        <w:t xml:space="preserve"> </w:t>
      </w:r>
      <w:r w:rsidR="00083285">
        <w:rPr>
          <w:rFonts w:eastAsia="Calibri"/>
          <w:lang w:val="es-ES_tradnl"/>
        </w:rPr>
        <w:t>el homicidio tuvo</w:t>
      </w:r>
      <w:r w:rsidR="00566865" w:rsidRPr="00B52E8D">
        <w:rPr>
          <w:rFonts w:eastAsia="Calibri"/>
          <w:lang w:val="es-ES_tradnl"/>
        </w:rPr>
        <w:t xml:space="preserve"> lugar el 10 de julio de 2011 </w:t>
      </w:r>
      <w:r w:rsidR="00083285">
        <w:rPr>
          <w:rFonts w:eastAsia="Calibri"/>
          <w:lang w:val="es-ES_tradnl"/>
        </w:rPr>
        <w:t>en una lancha verde</w:t>
      </w:r>
      <w:r w:rsidR="00D40540">
        <w:rPr>
          <w:rFonts w:eastAsia="Calibri"/>
          <w:lang w:val="es-ES_tradnl"/>
        </w:rPr>
        <w:t>,</w:t>
      </w:r>
      <w:r w:rsidR="00083285">
        <w:rPr>
          <w:rFonts w:eastAsia="Calibri"/>
          <w:lang w:val="es-ES_tradnl"/>
        </w:rPr>
        <w:t xml:space="preserve"> </w:t>
      </w:r>
      <w:r w:rsidR="000C5D02" w:rsidRPr="00B52E8D">
        <w:rPr>
          <w:rFonts w:eastAsia="Calibri"/>
          <w:lang w:val="es-ES_tradnl"/>
        </w:rPr>
        <w:t xml:space="preserve">en la </w:t>
      </w:r>
      <w:r w:rsidR="000C5D02">
        <w:rPr>
          <w:rFonts w:eastAsia="Calibri"/>
          <w:lang w:val="es-ES_tradnl"/>
        </w:rPr>
        <w:t>l</w:t>
      </w:r>
      <w:r w:rsidR="000C5D02" w:rsidRPr="00B52E8D">
        <w:rPr>
          <w:rFonts w:eastAsia="Calibri"/>
          <w:lang w:val="es-ES_tradnl"/>
        </w:rPr>
        <w:t>aguna de Chacahua</w:t>
      </w:r>
      <w:r w:rsidR="00D40540">
        <w:rPr>
          <w:rFonts w:eastAsia="Calibri"/>
          <w:lang w:val="es-ES_tradnl"/>
        </w:rPr>
        <w:t>, en la cual iba</w:t>
      </w:r>
      <w:r w:rsidR="00141955">
        <w:rPr>
          <w:rFonts w:eastAsia="Calibri"/>
          <w:lang w:val="es-ES_tradnl"/>
        </w:rPr>
        <w:t xml:space="preserve"> </w:t>
      </w:r>
      <w:r w:rsidR="00D40540">
        <w:rPr>
          <w:rFonts w:eastAsia="Calibri"/>
          <w:lang w:val="es-ES_tradnl"/>
        </w:rPr>
        <w:t>junto a</w:t>
      </w:r>
      <w:r w:rsidR="00141955">
        <w:rPr>
          <w:rFonts w:eastAsia="Calibri"/>
          <w:lang w:val="es-ES_tradnl"/>
        </w:rPr>
        <w:t xml:space="preserve"> </w:t>
      </w:r>
      <w:r w:rsidR="00D56999" w:rsidRPr="00B37FE5">
        <w:rPr>
          <w:rFonts w:eastAsia="Calibri"/>
          <w:lang w:val="es-ES_tradnl"/>
        </w:rPr>
        <w:t>Honorio Corcuera</w:t>
      </w:r>
      <w:r w:rsidR="00D56999">
        <w:rPr>
          <w:rFonts w:eastAsia="Calibri"/>
          <w:lang w:val="es-ES_tradnl"/>
        </w:rPr>
        <w:t>,</w:t>
      </w:r>
      <w:r w:rsidR="00D56999" w:rsidRPr="00B52E8D">
        <w:rPr>
          <w:rFonts w:eastAsia="Calibri"/>
          <w:lang w:val="es-ES_tradnl"/>
        </w:rPr>
        <w:t xml:space="preserve"> Margarito González </w:t>
      </w:r>
      <w:r w:rsidR="00D56999">
        <w:rPr>
          <w:rFonts w:eastAsia="Calibri"/>
          <w:lang w:val="es-ES_tradnl"/>
        </w:rPr>
        <w:t xml:space="preserve">e </w:t>
      </w:r>
      <w:r w:rsidR="00394339" w:rsidRPr="00B52E8D">
        <w:rPr>
          <w:rFonts w:eastAsia="Calibri"/>
          <w:lang w:val="es-ES_tradnl"/>
        </w:rPr>
        <w:t>Irene Méndez Graf</w:t>
      </w:r>
      <w:r w:rsidR="00D40540">
        <w:rPr>
          <w:rFonts w:eastAsia="Calibri"/>
          <w:lang w:val="es-ES_tradnl"/>
        </w:rPr>
        <w:t xml:space="preserve">. </w:t>
      </w:r>
      <w:r w:rsidR="00D40540" w:rsidRPr="00D40540">
        <w:rPr>
          <w:rFonts w:eastAsia="Calibri"/>
          <w:lang w:val="es-ES_tradnl"/>
        </w:rPr>
        <w:t xml:space="preserve">Honorio Corcuera </w:t>
      </w:r>
      <w:r w:rsidR="00D40540">
        <w:rPr>
          <w:rFonts w:eastAsia="Calibri"/>
          <w:lang w:val="es-ES_tradnl"/>
        </w:rPr>
        <w:t>golpeó</w:t>
      </w:r>
      <w:r w:rsidR="00566865" w:rsidRPr="00B52E8D">
        <w:rPr>
          <w:rFonts w:eastAsia="Calibri"/>
          <w:lang w:val="es-ES_tradnl"/>
        </w:rPr>
        <w:t xml:space="preserve"> a</w:t>
      </w:r>
      <w:r w:rsidR="00AE7880">
        <w:rPr>
          <w:rFonts w:eastAsia="Calibri"/>
          <w:lang w:val="es-ES_tradnl"/>
        </w:rPr>
        <w:t xml:space="preserve">l Sr. Moreno Pérez </w:t>
      </w:r>
      <w:r w:rsidR="002C7359">
        <w:rPr>
          <w:rFonts w:eastAsia="Calibri"/>
          <w:lang w:val="es-ES_tradnl"/>
        </w:rPr>
        <w:t xml:space="preserve">para robarle su </w:t>
      </w:r>
      <w:r w:rsidR="002C7359" w:rsidRPr="00B52E8D">
        <w:rPr>
          <w:rFonts w:eastAsia="Calibri"/>
          <w:lang w:val="es-ES_tradnl"/>
        </w:rPr>
        <w:t>celular</w:t>
      </w:r>
      <w:r w:rsidR="002C7359">
        <w:rPr>
          <w:rFonts w:eastAsia="Calibri"/>
          <w:lang w:val="es-ES_tradnl"/>
        </w:rPr>
        <w:t>,</w:t>
      </w:r>
      <w:r w:rsidR="002C7359" w:rsidRPr="00B52E8D">
        <w:rPr>
          <w:rFonts w:eastAsia="Calibri"/>
          <w:lang w:val="es-ES_tradnl"/>
        </w:rPr>
        <w:t xml:space="preserve"> cámara</w:t>
      </w:r>
      <w:r w:rsidR="002C7359">
        <w:rPr>
          <w:rFonts w:eastAsia="Calibri"/>
          <w:lang w:val="es-ES_tradnl"/>
        </w:rPr>
        <w:t xml:space="preserve"> </w:t>
      </w:r>
      <w:r w:rsidR="00AE7880">
        <w:rPr>
          <w:rFonts w:eastAsia="Calibri"/>
          <w:lang w:val="es-ES_tradnl"/>
        </w:rPr>
        <w:t>e</w:t>
      </w:r>
      <w:r w:rsidR="002C7359">
        <w:rPr>
          <w:rFonts w:eastAsia="Calibri"/>
          <w:lang w:val="es-ES_tradnl"/>
        </w:rPr>
        <w:t xml:space="preserve"> </w:t>
      </w:r>
      <w:proofErr w:type="spellStart"/>
      <w:r w:rsidR="002C7359" w:rsidRPr="00B52E8D">
        <w:rPr>
          <w:rFonts w:eastAsia="Calibri"/>
          <w:lang w:val="es-ES_tradnl"/>
        </w:rPr>
        <w:t>Ipod</w:t>
      </w:r>
      <w:proofErr w:type="spellEnd"/>
      <w:r w:rsidR="002C7359">
        <w:rPr>
          <w:rFonts w:eastAsia="Calibri"/>
          <w:lang w:val="es-ES_tradnl"/>
        </w:rPr>
        <w:t xml:space="preserve">, </w:t>
      </w:r>
      <w:r w:rsidR="00394339">
        <w:rPr>
          <w:rFonts w:eastAsia="Calibri"/>
          <w:lang w:val="es-ES_tradnl"/>
        </w:rPr>
        <w:t>y</w:t>
      </w:r>
      <w:r w:rsidR="00D40540">
        <w:rPr>
          <w:rFonts w:eastAsia="Calibri"/>
          <w:lang w:val="es-ES_tradnl"/>
        </w:rPr>
        <w:t xml:space="preserve"> lo apuñaló</w:t>
      </w:r>
      <w:r w:rsidR="00566865" w:rsidRPr="00B52E8D">
        <w:rPr>
          <w:rFonts w:eastAsia="Calibri"/>
          <w:lang w:val="es-ES_tradnl"/>
        </w:rPr>
        <w:t xml:space="preserve"> en los costados</w:t>
      </w:r>
      <w:r w:rsidR="00394339">
        <w:rPr>
          <w:rFonts w:eastAsia="Calibri"/>
          <w:lang w:val="es-ES_tradnl"/>
        </w:rPr>
        <w:t>,</w:t>
      </w:r>
      <w:r w:rsidR="00566865" w:rsidRPr="00B52E8D">
        <w:rPr>
          <w:rFonts w:eastAsia="Calibri"/>
          <w:lang w:val="es-ES_tradnl"/>
        </w:rPr>
        <w:t xml:space="preserve"> a la altura de las costillas</w:t>
      </w:r>
      <w:r w:rsidR="00394339">
        <w:rPr>
          <w:rFonts w:eastAsia="Calibri"/>
          <w:lang w:val="es-ES_tradnl"/>
        </w:rPr>
        <w:t xml:space="preserve">, </w:t>
      </w:r>
      <w:r w:rsidR="0026011C">
        <w:rPr>
          <w:rFonts w:eastAsia="Calibri"/>
          <w:lang w:val="es-ES_tradnl"/>
        </w:rPr>
        <w:t xml:space="preserve">y en el pecho, </w:t>
      </w:r>
      <w:r w:rsidR="00394339">
        <w:rPr>
          <w:rFonts w:eastAsia="Calibri"/>
          <w:lang w:val="es-ES_tradnl"/>
        </w:rPr>
        <w:t xml:space="preserve">antes de </w:t>
      </w:r>
      <w:r w:rsidR="00566865" w:rsidRPr="00B52E8D">
        <w:rPr>
          <w:rFonts w:eastAsia="Calibri"/>
          <w:lang w:val="es-ES_tradnl"/>
        </w:rPr>
        <w:t>echar</w:t>
      </w:r>
      <w:r w:rsidR="00394339">
        <w:rPr>
          <w:rFonts w:eastAsia="Calibri"/>
          <w:lang w:val="es-ES_tradnl"/>
        </w:rPr>
        <w:t>lo</w:t>
      </w:r>
      <w:r w:rsidR="00566865" w:rsidRPr="00B52E8D">
        <w:rPr>
          <w:rFonts w:eastAsia="Calibri"/>
          <w:lang w:val="es-ES_tradnl"/>
        </w:rPr>
        <w:t xml:space="preserve"> a</w:t>
      </w:r>
      <w:r w:rsidR="00394339">
        <w:rPr>
          <w:rFonts w:eastAsia="Calibri"/>
          <w:lang w:val="es-ES_tradnl"/>
        </w:rPr>
        <w:t>l agua</w:t>
      </w:r>
      <w:r w:rsidR="00060010">
        <w:rPr>
          <w:rStyle w:val="Refdenotaalpie"/>
          <w:rFonts w:eastAsia="Calibri"/>
          <w:lang w:val="es-ES_tradnl"/>
        </w:rPr>
        <w:footnoteReference w:id="13"/>
      </w:r>
      <w:r w:rsidR="00AE7880">
        <w:rPr>
          <w:rFonts w:eastAsia="Calibri"/>
          <w:lang w:val="es-ES_tradnl"/>
        </w:rPr>
        <w:t>.</w:t>
      </w:r>
      <w:r w:rsidR="00D27414">
        <w:rPr>
          <w:rFonts w:eastAsia="Calibri"/>
          <w:lang w:val="es-ES_tradnl"/>
        </w:rPr>
        <w:t xml:space="preserve"> </w:t>
      </w:r>
      <w:r w:rsidR="00940777">
        <w:rPr>
          <w:rFonts w:eastAsia="Calibri"/>
          <w:lang w:val="es-ES_tradnl"/>
        </w:rPr>
        <w:t xml:space="preserve">El mismo </w:t>
      </w:r>
      <w:r w:rsidR="00940777">
        <w:rPr>
          <w:rFonts w:eastAsia="Calibri"/>
          <w:lang w:val="es-ES_tradnl"/>
        </w:rPr>
        <w:lastRenderedPageBreak/>
        <w:t xml:space="preserve">día, </w:t>
      </w:r>
      <w:r w:rsidR="001269D8" w:rsidRPr="006C3929">
        <w:rPr>
          <w:rFonts w:eastAsia="Calibri"/>
          <w:lang w:val="es-ES_tradnl"/>
        </w:rPr>
        <w:t>Honorio Corcuera</w:t>
      </w:r>
      <w:r w:rsidR="00DB4AF9">
        <w:rPr>
          <w:rFonts w:eastAsia="Calibri"/>
          <w:lang w:val="es-ES_tradnl"/>
        </w:rPr>
        <w:t xml:space="preserve"> </w:t>
      </w:r>
      <w:r w:rsidR="001269D8" w:rsidRPr="006C3929">
        <w:rPr>
          <w:rFonts w:eastAsia="Calibri"/>
          <w:lang w:val="es-ES_tradnl"/>
        </w:rPr>
        <w:t xml:space="preserve">declaró </w:t>
      </w:r>
      <w:r w:rsidR="00B05548">
        <w:rPr>
          <w:rFonts w:eastAsia="Calibri"/>
          <w:lang w:val="es-ES_tradnl"/>
        </w:rPr>
        <w:t>que</w:t>
      </w:r>
      <w:r w:rsidR="001269D8" w:rsidRPr="006C3929">
        <w:rPr>
          <w:rFonts w:eastAsia="Calibri"/>
          <w:lang w:val="es-ES_tradnl"/>
        </w:rPr>
        <w:t xml:space="preserve"> </w:t>
      </w:r>
      <w:r w:rsidR="00B05548" w:rsidRPr="00B05548">
        <w:rPr>
          <w:rFonts w:eastAsia="Calibri"/>
          <w:lang w:val="es-ES_tradnl"/>
        </w:rPr>
        <w:t xml:space="preserve">Javier Rodríguez Peña </w:t>
      </w:r>
      <w:r w:rsidR="00B05548">
        <w:rPr>
          <w:rFonts w:eastAsia="Calibri"/>
          <w:lang w:val="es-ES_tradnl"/>
        </w:rPr>
        <w:t>había apuñalado a</w:t>
      </w:r>
      <w:r w:rsidR="0094412B">
        <w:rPr>
          <w:rFonts w:eastAsia="Calibri"/>
          <w:lang w:val="es-ES_tradnl"/>
        </w:rPr>
        <w:t>l</w:t>
      </w:r>
      <w:r w:rsidR="00B05548">
        <w:rPr>
          <w:rFonts w:eastAsia="Calibri"/>
          <w:lang w:val="es-ES_tradnl"/>
        </w:rPr>
        <w:t xml:space="preserve"> </w:t>
      </w:r>
      <w:r w:rsidR="0094412B">
        <w:rPr>
          <w:rFonts w:eastAsia="Calibri"/>
          <w:lang w:val="es-ES_tradnl"/>
        </w:rPr>
        <w:t xml:space="preserve">Sr. </w:t>
      </w:r>
      <w:r w:rsidR="00B05548" w:rsidRPr="00B05548">
        <w:rPr>
          <w:rFonts w:eastAsia="Calibri"/>
          <w:lang w:val="es-ES_tradnl"/>
        </w:rPr>
        <w:t xml:space="preserve">Moreno Pérez </w:t>
      </w:r>
      <w:r w:rsidR="003C0ECE">
        <w:rPr>
          <w:rFonts w:eastAsia="Calibri"/>
          <w:lang w:val="es-ES_tradnl"/>
        </w:rPr>
        <w:t>en una carretera de Chacahua</w:t>
      </w:r>
      <w:r w:rsidR="001269D8">
        <w:rPr>
          <w:rStyle w:val="Refdenotaalpie"/>
          <w:rFonts w:eastAsia="Calibri"/>
          <w:lang w:val="es-ES_tradnl"/>
        </w:rPr>
        <w:footnoteReference w:id="14"/>
      </w:r>
      <w:r w:rsidR="005A06DC">
        <w:rPr>
          <w:rFonts w:eastAsia="Calibri"/>
          <w:lang w:val="es-ES_tradnl"/>
        </w:rPr>
        <w:t>.</w:t>
      </w:r>
    </w:p>
    <w:p w14:paraId="0AF8A0DD" w14:textId="32732971" w:rsidR="008716E8" w:rsidRDefault="00F61546" w:rsidP="008716E8">
      <w:pPr>
        <w:pStyle w:val="SingleTxtG"/>
        <w:rPr>
          <w:rFonts w:eastAsia="Calibri"/>
          <w:lang w:val="es-ES_tradnl"/>
        </w:rPr>
      </w:pPr>
      <w:r>
        <w:rPr>
          <w:rFonts w:eastAsia="Calibri"/>
          <w:lang w:val="es-ES_tradnl"/>
        </w:rPr>
        <w:t>2.</w:t>
      </w:r>
      <w:r w:rsidR="00D52B7C">
        <w:rPr>
          <w:rFonts w:eastAsia="Calibri"/>
          <w:lang w:val="es-ES_tradnl"/>
        </w:rPr>
        <w:t>12</w:t>
      </w:r>
      <w:r>
        <w:rPr>
          <w:rFonts w:eastAsia="Calibri"/>
          <w:lang w:val="es-ES_tradnl"/>
        </w:rPr>
        <w:tab/>
      </w:r>
      <w:r w:rsidR="008716E8" w:rsidRPr="00157E48">
        <w:rPr>
          <w:rFonts w:eastAsia="Calibri"/>
          <w:lang w:val="es-ES_tradnl"/>
        </w:rPr>
        <w:t>El 21 de diciembre de 2011</w:t>
      </w:r>
      <w:r w:rsidR="008716E8">
        <w:rPr>
          <w:rFonts w:eastAsia="Calibri"/>
          <w:lang w:val="es-ES_tradnl"/>
        </w:rPr>
        <w:t>,</w:t>
      </w:r>
      <w:r w:rsidR="008716E8" w:rsidRPr="00157E48">
        <w:rPr>
          <w:rFonts w:eastAsia="Calibri"/>
          <w:lang w:val="es-ES_tradnl"/>
        </w:rPr>
        <w:t xml:space="preserve"> </w:t>
      </w:r>
      <w:r w:rsidR="00AE59BB">
        <w:rPr>
          <w:rFonts w:eastAsia="Calibri"/>
          <w:lang w:val="es-ES_tradnl"/>
        </w:rPr>
        <w:t>la</w:t>
      </w:r>
      <w:r w:rsidR="00E369AB">
        <w:rPr>
          <w:rFonts w:eastAsia="Calibri"/>
          <w:lang w:val="es-ES_tradnl"/>
        </w:rPr>
        <w:t>s</w:t>
      </w:r>
      <w:r w:rsidR="00AE59BB">
        <w:rPr>
          <w:rFonts w:eastAsia="Calibri"/>
          <w:lang w:val="es-ES_tradnl"/>
        </w:rPr>
        <w:t xml:space="preserve"> </w:t>
      </w:r>
      <w:r w:rsidR="00E369AB">
        <w:rPr>
          <w:rFonts w:eastAsia="Calibri"/>
          <w:lang w:val="es-ES_tradnl"/>
        </w:rPr>
        <w:t>autoridades emitieron</w:t>
      </w:r>
      <w:r w:rsidR="008716E8" w:rsidRPr="00157E48">
        <w:rPr>
          <w:rFonts w:eastAsia="Calibri"/>
          <w:lang w:val="es-ES_tradnl"/>
        </w:rPr>
        <w:t xml:space="preserve"> </w:t>
      </w:r>
      <w:r w:rsidR="00AE59BB">
        <w:rPr>
          <w:rFonts w:eastAsia="Calibri"/>
          <w:lang w:val="es-ES_tradnl"/>
        </w:rPr>
        <w:t>un</w:t>
      </w:r>
      <w:r w:rsidR="008716E8" w:rsidRPr="00157E48">
        <w:rPr>
          <w:rFonts w:eastAsia="Calibri"/>
          <w:lang w:val="es-ES_tradnl"/>
        </w:rPr>
        <w:t xml:space="preserve"> dictamen en criminalística de campo</w:t>
      </w:r>
      <w:r w:rsidR="00A3196E">
        <w:rPr>
          <w:rFonts w:eastAsia="Calibri"/>
          <w:lang w:val="es-ES_tradnl"/>
        </w:rPr>
        <w:t xml:space="preserve"> que </w:t>
      </w:r>
      <w:r w:rsidR="0094050C">
        <w:rPr>
          <w:rFonts w:eastAsia="Calibri"/>
          <w:lang w:val="es-ES_tradnl"/>
        </w:rPr>
        <w:t>concluyó</w:t>
      </w:r>
      <w:r w:rsidR="001C7F95">
        <w:rPr>
          <w:rFonts w:eastAsia="Calibri"/>
          <w:lang w:val="es-ES_tradnl"/>
        </w:rPr>
        <w:t xml:space="preserve"> que</w:t>
      </w:r>
      <w:r w:rsidR="00CE2C85" w:rsidRPr="00AC18F6">
        <w:rPr>
          <w:rFonts w:eastAsia="Calibri"/>
          <w:lang w:val="es-ES_tradnl"/>
        </w:rPr>
        <w:t xml:space="preserve"> </w:t>
      </w:r>
      <w:r w:rsidR="00AC18F6" w:rsidRPr="00AC18F6">
        <w:rPr>
          <w:rFonts w:eastAsia="Calibri"/>
          <w:lang w:val="es-ES_tradnl"/>
        </w:rPr>
        <w:t>la muerte</w:t>
      </w:r>
      <w:r w:rsidR="003E4C7F">
        <w:rPr>
          <w:rFonts w:eastAsia="Calibri"/>
          <w:lang w:val="es-ES_tradnl"/>
        </w:rPr>
        <w:t xml:space="preserve"> de</w:t>
      </w:r>
      <w:r w:rsidR="00C435B1">
        <w:rPr>
          <w:rFonts w:eastAsia="Calibri"/>
          <w:lang w:val="es-ES_tradnl"/>
        </w:rPr>
        <w:t>l Sr.</w:t>
      </w:r>
      <w:r w:rsidR="00AC18F6" w:rsidRPr="00AC18F6">
        <w:rPr>
          <w:rFonts w:eastAsia="Calibri"/>
          <w:lang w:val="es-ES_tradnl"/>
        </w:rPr>
        <w:t xml:space="preserve"> </w:t>
      </w:r>
      <w:r w:rsidR="003E4C7F" w:rsidRPr="003E4C7F">
        <w:rPr>
          <w:rFonts w:eastAsia="Calibri"/>
          <w:lang w:val="es-ES_tradnl"/>
        </w:rPr>
        <w:t xml:space="preserve">Moreno Pérez </w:t>
      </w:r>
      <w:r w:rsidR="00AC18F6" w:rsidRPr="00AC18F6">
        <w:rPr>
          <w:rFonts w:eastAsia="Calibri"/>
          <w:lang w:val="es-ES_tradnl"/>
        </w:rPr>
        <w:t xml:space="preserve">fue producida por </w:t>
      </w:r>
      <w:r w:rsidR="000F0899">
        <w:rPr>
          <w:rFonts w:eastAsia="Calibri"/>
          <w:lang w:val="es-ES_tradnl"/>
        </w:rPr>
        <w:t xml:space="preserve">“aplicación de lesiones con objetos contundentes y </w:t>
      </w:r>
      <w:r w:rsidR="008716E8" w:rsidRPr="00AC18F6">
        <w:rPr>
          <w:rFonts w:eastAsia="Calibri"/>
          <w:lang w:val="es-ES_tradnl"/>
        </w:rPr>
        <w:t>punzo</w:t>
      </w:r>
      <w:r w:rsidR="00B218D6" w:rsidRPr="00AC18F6">
        <w:rPr>
          <w:rFonts w:eastAsia="Calibri"/>
          <w:lang w:val="es-ES_tradnl"/>
        </w:rPr>
        <w:t>c</w:t>
      </w:r>
      <w:r w:rsidR="008716E8" w:rsidRPr="00AC18F6">
        <w:rPr>
          <w:rFonts w:eastAsia="Calibri"/>
          <w:lang w:val="es-ES_tradnl"/>
        </w:rPr>
        <w:t>ortante</w:t>
      </w:r>
      <w:r w:rsidR="005A06DC">
        <w:rPr>
          <w:rFonts w:eastAsia="Calibri"/>
          <w:lang w:val="es-ES_tradnl"/>
        </w:rPr>
        <w:t>s</w:t>
      </w:r>
      <w:r w:rsidR="000F0899">
        <w:rPr>
          <w:rFonts w:eastAsia="Calibri"/>
          <w:lang w:val="es-ES_tradnl"/>
        </w:rPr>
        <w:t>, de manera excesiva, además de arrojar el cuerpo al mar”</w:t>
      </w:r>
      <w:r w:rsidR="00B34501">
        <w:rPr>
          <w:rStyle w:val="Refdenotaalpie"/>
          <w:rFonts w:eastAsia="Calibri"/>
          <w:lang w:val="es-ES_tradnl"/>
        </w:rPr>
        <w:footnoteReference w:id="15"/>
      </w:r>
      <w:r w:rsidR="00B218D6" w:rsidRPr="00AC18F6">
        <w:rPr>
          <w:rFonts w:eastAsia="Calibri"/>
          <w:lang w:val="es-ES_tradnl"/>
        </w:rPr>
        <w:t>.</w:t>
      </w:r>
    </w:p>
    <w:p w14:paraId="2FB687C3" w14:textId="7B6DBDA3" w:rsidR="009D73C1" w:rsidRPr="00A87E05" w:rsidRDefault="0094050C" w:rsidP="00A87E05">
      <w:pPr>
        <w:pStyle w:val="SingleTxtG"/>
        <w:rPr>
          <w:rFonts w:eastAsia="Calibri"/>
          <w:lang w:val="es-ES_tradnl"/>
        </w:rPr>
      </w:pPr>
      <w:r>
        <w:rPr>
          <w:rFonts w:eastAsia="Calibri"/>
          <w:lang w:val="es-ES_tradnl"/>
        </w:rPr>
        <w:t>2.1</w:t>
      </w:r>
      <w:r w:rsidR="00D52B7C">
        <w:rPr>
          <w:rFonts w:eastAsia="Calibri"/>
          <w:lang w:val="es-ES_tradnl"/>
        </w:rPr>
        <w:t>3</w:t>
      </w:r>
      <w:r>
        <w:rPr>
          <w:rFonts w:eastAsia="Calibri"/>
          <w:lang w:val="es-ES_tradnl"/>
        </w:rPr>
        <w:tab/>
      </w:r>
      <w:r w:rsidR="008716E8" w:rsidRPr="00C707C3">
        <w:rPr>
          <w:rFonts w:eastAsia="Calibri"/>
          <w:lang w:val="es-ES_tradnl"/>
        </w:rPr>
        <w:t xml:space="preserve">El 22 de diciembre de 2011, el </w:t>
      </w:r>
      <w:r w:rsidR="001C701F">
        <w:rPr>
          <w:rFonts w:eastAsia="Calibri"/>
          <w:lang w:val="es-ES_tradnl"/>
        </w:rPr>
        <w:t>ex</w:t>
      </w:r>
      <w:r w:rsidR="001C701F" w:rsidRPr="00BA4667">
        <w:rPr>
          <w:rFonts w:eastAsia="Calibri"/>
          <w:lang w:val="es-ES_tradnl"/>
        </w:rPr>
        <w:t xml:space="preserve">procurador </w:t>
      </w:r>
      <w:r w:rsidR="001C701F">
        <w:rPr>
          <w:rFonts w:eastAsia="Calibri"/>
          <w:lang w:val="es-ES_tradnl"/>
        </w:rPr>
        <w:t>g</w:t>
      </w:r>
      <w:r w:rsidR="001C701F" w:rsidRPr="00AC119A">
        <w:rPr>
          <w:rFonts w:eastAsia="Calibri"/>
          <w:lang w:val="es-ES_tradnl"/>
        </w:rPr>
        <w:t xml:space="preserve">eneral </w:t>
      </w:r>
      <w:r w:rsidR="001C701F">
        <w:rPr>
          <w:rFonts w:eastAsia="Calibri"/>
          <w:lang w:val="es-ES_tradnl"/>
        </w:rPr>
        <w:t>del e</w:t>
      </w:r>
      <w:r w:rsidR="001C701F" w:rsidRPr="00BA4667">
        <w:rPr>
          <w:rFonts w:eastAsia="Calibri"/>
          <w:lang w:val="es-ES_tradnl"/>
        </w:rPr>
        <w:t>stado de Oaxaca</w:t>
      </w:r>
      <w:r w:rsidR="001C701F">
        <w:rPr>
          <w:rFonts w:eastAsia="Calibri"/>
          <w:lang w:val="es-ES_tradnl"/>
        </w:rPr>
        <w:t xml:space="preserve"> </w:t>
      </w:r>
      <w:r w:rsidR="008716E8" w:rsidRPr="00C707C3">
        <w:rPr>
          <w:rFonts w:eastAsia="Calibri"/>
          <w:lang w:val="es-ES_tradnl"/>
        </w:rPr>
        <w:t xml:space="preserve">y el </w:t>
      </w:r>
      <w:r w:rsidR="001C701F">
        <w:rPr>
          <w:rFonts w:eastAsia="Calibri"/>
          <w:lang w:val="es-ES_tradnl"/>
        </w:rPr>
        <w:t>ex</w:t>
      </w:r>
      <w:r w:rsidR="001C701F" w:rsidRPr="00C707C3">
        <w:rPr>
          <w:rFonts w:eastAsia="Calibri"/>
          <w:lang w:val="es-ES_tradnl"/>
        </w:rPr>
        <w:t>subprocurador</w:t>
      </w:r>
      <w:r w:rsidR="008716E8" w:rsidRPr="00C707C3">
        <w:rPr>
          <w:rFonts w:eastAsia="Calibri"/>
          <w:lang w:val="es-ES_tradnl"/>
        </w:rPr>
        <w:t xml:space="preserve"> para la </w:t>
      </w:r>
      <w:r w:rsidR="00C435B1">
        <w:rPr>
          <w:rFonts w:eastAsia="Calibri"/>
          <w:lang w:val="es-ES_tradnl"/>
        </w:rPr>
        <w:t>a</w:t>
      </w:r>
      <w:r w:rsidR="008716E8" w:rsidRPr="00C707C3">
        <w:rPr>
          <w:rFonts w:eastAsia="Calibri"/>
          <w:lang w:val="es-ES_tradnl"/>
        </w:rPr>
        <w:t xml:space="preserve">tención </w:t>
      </w:r>
      <w:r w:rsidR="009138ED">
        <w:rPr>
          <w:rFonts w:eastAsia="Calibri"/>
          <w:lang w:val="es-ES_tradnl"/>
        </w:rPr>
        <w:t xml:space="preserve">de </w:t>
      </w:r>
      <w:r w:rsidR="00C435B1">
        <w:rPr>
          <w:rFonts w:eastAsia="Calibri"/>
          <w:lang w:val="es-ES_tradnl"/>
        </w:rPr>
        <w:t>d</w:t>
      </w:r>
      <w:r w:rsidR="009138ED">
        <w:rPr>
          <w:rFonts w:eastAsia="Calibri"/>
          <w:lang w:val="es-ES_tradnl"/>
        </w:rPr>
        <w:t xml:space="preserve">elitos de </w:t>
      </w:r>
      <w:r w:rsidR="00C435B1">
        <w:rPr>
          <w:rFonts w:eastAsia="Calibri"/>
          <w:lang w:val="es-ES_tradnl"/>
        </w:rPr>
        <w:t>a</w:t>
      </w:r>
      <w:r w:rsidR="009138ED">
        <w:rPr>
          <w:rFonts w:eastAsia="Calibri"/>
          <w:lang w:val="es-ES_tradnl"/>
        </w:rPr>
        <w:t xml:space="preserve">lto </w:t>
      </w:r>
      <w:r w:rsidR="00C435B1">
        <w:rPr>
          <w:rFonts w:eastAsia="Calibri"/>
          <w:lang w:val="es-ES_tradnl"/>
        </w:rPr>
        <w:t>i</w:t>
      </w:r>
      <w:r w:rsidR="009138ED">
        <w:rPr>
          <w:rFonts w:eastAsia="Calibri"/>
          <w:lang w:val="es-ES_tradnl"/>
        </w:rPr>
        <w:t>mpacto del e</w:t>
      </w:r>
      <w:r w:rsidR="008716E8" w:rsidRPr="00C707C3">
        <w:rPr>
          <w:rFonts w:eastAsia="Calibri"/>
          <w:lang w:val="es-ES_tradnl"/>
        </w:rPr>
        <w:t>stado de Oaxaca informaron a</w:t>
      </w:r>
      <w:r w:rsidR="008716E8">
        <w:rPr>
          <w:rFonts w:eastAsia="Calibri"/>
          <w:lang w:val="es-ES_tradnl"/>
        </w:rPr>
        <w:t>l padre</w:t>
      </w:r>
      <w:r w:rsidR="008716E8" w:rsidRPr="00C707C3">
        <w:rPr>
          <w:rFonts w:eastAsia="Calibri"/>
          <w:lang w:val="es-ES_tradnl"/>
        </w:rPr>
        <w:t xml:space="preserve"> </w:t>
      </w:r>
      <w:r w:rsidR="00645735">
        <w:rPr>
          <w:rFonts w:eastAsia="Calibri"/>
          <w:lang w:val="es-ES_tradnl"/>
        </w:rPr>
        <w:t xml:space="preserve">del desaparecido </w:t>
      </w:r>
      <w:r w:rsidR="008716E8" w:rsidRPr="00C707C3">
        <w:rPr>
          <w:rFonts w:eastAsia="Calibri"/>
          <w:lang w:val="es-ES_tradnl"/>
        </w:rPr>
        <w:t xml:space="preserve">que su hijo había </w:t>
      </w:r>
      <w:r w:rsidR="008716E8">
        <w:rPr>
          <w:rFonts w:eastAsia="Calibri"/>
          <w:lang w:val="es-ES_tradnl"/>
        </w:rPr>
        <w:t>sido asesinado durante un robo</w:t>
      </w:r>
      <w:r w:rsidR="00A87E05">
        <w:rPr>
          <w:rFonts w:eastAsia="Calibri"/>
          <w:lang w:val="es-ES_tradnl"/>
        </w:rPr>
        <w:t>.</w:t>
      </w:r>
    </w:p>
    <w:p w14:paraId="6A96831D" w14:textId="785364A5" w:rsidR="00B218D6" w:rsidRDefault="004710F5" w:rsidP="00782A87">
      <w:pPr>
        <w:pStyle w:val="SingleTxtG"/>
        <w:rPr>
          <w:rFonts w:eastAsia="Calibri"/>
          <w:lang w:val="es-ES_tradnl"/>
        </w:rPr>
      </w:pPr>
      <w:r>
        <w:rPr>
          <w:rFonts w:eastAsia="Calibri"/>
          <w:lang w:val="es-ES_tradnl"/>
        </w:rPr>
        <w:t>2.1</w:t>
      </w:r>
      <w:r w:rsidR="00D52B7C">
        <w:rPr>
          <w:rFonts w:eastAsia="Calibri"/>
          <w:lang w:val="es-ES_tradnl"/>
        </w:rPr>
        <w:t>4</w:t>
      </w:r>
      <w:r>
        <w:rPr>
          <w:rFonts w:eastAsia="Calibri"/>
          <w:lang w:val="es-ES_tradnl"/>
        </w:rPr>
        <w:tab/>
      </w:r>
      <w:r w:rsidR="00520A1F">
        <w:rPr>
          <w:rFonts w:eastAsia="Calibri"/>
          <w:lang w:val="es-ES_tradnl"/>
        </w:rPr>
        <w:t xml:space="preserve">El </w:t>
      </w:r>
      <w:r w:rsidR="00520A1F" w:rsidRPr="00FF02CE">
        <w:rPr>
          <w:rFonts w:eastAsia="Calibri"/>
          <w:lang w:val="es-ES_tradnl"/>
        </w:rPr>
        <w:t>24 de diciembre</w:t>
      </w:r>
      <w:r w:rsidR="00520A1F">
        <w:rPr>
          <w:rFonts w:eastAsia="Calibri"/>
          <w:lang w:val="es-ES_tradnl"/>
        </w:rPr>
        <w:t xml:space="preserve"> de 2011,</w:t>
      </w:r>
      <w:r w:rsidR="00520A1F" w:rsidRPr="00FF02CE">
        <w:rPr>
          <w:rFonts w:eastAsia="Calibri"/>
          <w:lang w:val="es-ES_tradnl"/>
        </w:rPr>
        <w:t xml:space="preserve"> </w:t>
      </w:r>
      <w:r w:rsidR="00520A1F">
        <w:rPr>
          <w:rFonts w:eastAsia="Calibri"/>
          <w:lang w:val="es-ES_tradnl"/>
        </w:rPr>
        <w:t>un</w:t>
      </w:r>
      <w:r w:rsidR="00B218D6" w:rsidRPr="00FF02CE">
        <w:rPr>
          <w:rFonts w:eastAsia="Calibri"/>
          <w:lang w:val="es-ES_tradnl"/>
        </w:rPr>
        <w:t xml:space="preserve"> peritaje químic</w:t>
      </w:r>
      <w:r w:rsidR="00520A1F">
        <w:rPr>
          <w:rFonts w:eastAsia="Calibri"/>
          <w:lang w:val="es-ES_tradnl"/>
        </w:rPr>
        <w:t>o</w:t>
      </w:r>
      <w:r w:rsidR="00B218D6" w:rsidRPr="00FF02CE">
        <w:rPr>
          <w:rFonts w:eastAsia="Calibri"/>
          <w:lang w:val="es-ES_tradnl"/>
        </w:rPr>
        <w:t xml:space="preserve"> forense establec</w:t>
      </w:r>
      <w:r w:rsidR="00520A1F">
        <w:rPr>
          <w:rFonts w:eastAsia="Calibri"/>
          <w:lang w:val="es-ES_tradnl"/>
        </w:rPr>
        <w:t>ió</w:t>
      </w:r>
      <w:r w:rsidR="00B218D6" w:rsidRPr="00FF02CE">
        <w:rPr>
          <w:rFonts w:eastAsia="Calibri"/>
          <w:lang w:val="es-ES_tradnl"/>
        </w:rPr>
        <w:t xml:space="preserve"> que </w:t>
      </w:r>
      <w:r w:rsidR="00B218D6">
        <w:rPr>
          <w:rFonts w:eastAsia="Calibri"/>
          <w:lang w:val="es-ES_tradnl"/>
        </w:rPr>
        <w:t>no</w:t>
      </w:r>
      <w:r w:rsidR="00B218D6" w:rsidRPr="00FF02CE">
        <w:rPr>
          <w:rFonts w:eastAsia="Calibri"/>
          <w:lang w:val="es-ES_tradnl"/>
        </w:rPr>
        <w:t xml:space="preserve"> </w:t>
      </w:r>
      <w:r w:rsidR="00663569">
        <w:rPr>
          <w:rFonts w:eastAsia="Calibri"/>
          <w:lang w:val="es-ES_tradnl"/>
        </w:rPr>
        <w:t>se identificaron</w:t>
      </w:r>
      <w:r w:rsidR="00B218D6" w:rsidRPr="00FF02CE">
        <w:rPr>
          <w:rFonts w:eastAsia="Calibri"/>
          <w:lang w:val="es-ES_tradnl"/>
        </w:rPr>
        <w:t xml:space="preserve"> rastros de tejido hemático en </w:t>
      </w:r>
      <w:r w:rsidR="00B218D6">
        <w:rPr>
          <w:rFonts w:eastAsia="Calibri"/>
          <w:lang w:val="es-ES_tradnl"/>
        </w:rPr>
        <w:t>la lancha</w:t>
      </w:r>
      <w:r w:rsidR="00B218D6">
        <w:rPr>
          <w:rStyle w:val="Refdenotaalpie"/>
          <w:rFonts w:eastAsia="Calibri"/>
          <w:lang w:val="es-ES_tradnl"/>
        </w:rPr>
        <w:footnoteReference w:id="16"/>
      </w:r>
      <w:r w:rsidR="00457269">
        <w:rPr>
          <w:rFonts w:eastAsia="Calibri"/>
          <w:lang w:val="es-ES_tradnl"/>
        </w:rPr>
        <w:t>.</w:t>
      </w:r>
      <w:r w:rsidR="00B218D6" w:rsidRPr="00FF02CE">
        <w:rPr>
          <w:rFonts w:eastAsia="Calibri"/>
          <w:lang w:val="es-ES_tradnl"/>
        </w:rPr>
        <w:t xml:space="preserve"> </w:t>
      </w:r>
      <w:r w:rsidR="00782A87">
        <w:rPr>
          <w:rFonts w:eastAsia="Calibri"/>
          <w:lang w:val="es-ES_tradnl"/>
        </w:rPr>
        <w:t>Ese mismo día, se realizó</w:t>
      </w:r>
      <w:r w:rsidR="00782A87" w:rsidRPr="00782A87">
        <w:rPr>
          <w:lang w:val="es-ES_tradnl"/>
        </w:rPr>
        <w:t xml:space="preserve"> </w:t>
      </w:r>
      <w:r w:rsidR="00782A87" w:rsidRPr="00174EAA">
        <w:rPr>
          <w:lang w:val="es-ES_tradnl"/>
        </w:rPr>
        <w:t>una diligencia de búsqueda del cuerpo</w:t>
      </w:r>
      <w:r w:rsidR="00782A87">
        <w:rPr>
          <w:lang w:val="es-ES_tradnl"/>
        </w:rPr>
        <w:t>,</w:t>
      </w:r>
      <w:r w:rsidR="00782A87" w:rsidRPr="00782A87">
        <w:rPr>
          <w:lang w:val="es-ES_tradnl"/>
        </w:rPr>
        <w:t xml:space="preserve"> </w:t>
      </w:r>
      <w:r w:rsidR="00782A87">
        <w:rPr>
          <w:lang w:val="es-ES_tradnl"/>
        </w:rPr>
        <w:t xml:space="preserve">que </w:t>
      </w:r>
      <w:r w:rsidR="00782A87" w:rsidRPr="00174EAA">
        <w:rPr>
          <w:lang w:val="es-ES_tradnl"/>
        </w:rPr>
        <w:t>no dio resultado</w:t>
      </w:r>
      <w:r w:rsidR="00782A87">
        <w:rPr>
          <w:lang w:val="es-ES_tradnl"/>
        </w:rPr>
        <w:t>.</w:t>
      </w:r>
    </w:p>
    <w:p w14:paraId="56205C83" w14:textId="3C2A6826" w:rsidR="008716E8" w:rsidRDefault="00345BFF" w:rsidP="008716E8">
      <w:pPr>
        <w:pStyle w:val="SingleTxtG"/>
        <w:rPr>
          <w:rFonts w:eastAsia="Calibri"/>
          <w:lang w:val="es-ES_tradnl"/>
        </w:rPr>
      </w:pPr>
      <w:r>
        <w:rPr>
          <w:rFonts w:eastAsia="Calibri"/>
          <w:lang w:val="es-ES_tradnl"/>
        </w:rPr>
        <w:t>2.1</w:t>
      </w:r>
      <w:r w:rsidR="00D52B7C">
        <w:rPr>
          <w:rFonts w:eastAsia="Calibri"/>
          <w:lang w:val="es-ES_tradnl"/>
        </w:rPr>
        <w:t>5</w:t>
      </w:r>
      <w:r>
        <w:rPr>
          <w:rFonts w:eastAsia="Calibri"/>
          <w:lang w:val="es-ES_tradnl"/>
        </w:rPr>
        <w:tab/>
      </w:r>
      <w:r w:rsidR="008716E8">
        <w:rPr>
          <w:rFonts w:eastAsia="Calibri"/>
          <w:lang w:val="es-ES_tradnl"/>
        </w:rPr>
        <w:t>E</w:t>
      </w:r>
      <w:r w:rsidR="008716E8" w:rsidRPr="00F66E0D">
        <w:rPr>
          <w:rFonts w:eastAsia="Calibri"/>
          <w:lang w:val="es-ES_tradnl"/>
        </w:rPr>
        <w:t xml:space="preserve">l 25 de diciembre de 2011, </w:t>
      </w:r>
      <w:r w:rsidR="003A7D67">
        <w:rPr>
          <w:rFonts w:eastAsia="Calibri"/>
          <w:lang w:val="es-ES_tradnl"/>
        </w:rPr>
        <w:t>se</w:t>
      </w:r>
      <w:r w:rsidR="00050A46" w:rsidRPr="00F66E0D">
        <w:rPr>
          <w:rFonts w:eastAsia="Calibri"/>
          <w:lang w:val="es-ES_tradnl"/>
        </w:rPr>
        <w:t xml:space="preserve"> </w:t>
      </w:r>
      <w:r w:rsidR="008716E8" w:rsidRPr="00F66E0D">
        <w:rPr>
          <w:rFonts w:eastAsia="Calibri"/>
          <w:lang w:val="es-ES_tradnl"/>
        </w:rPr>
        <w:t>emiti</w:t>
      </w:r>
      <w:r w:rsidR="00050A46">
        <w:rPr>
          <w:rFonts w:eastAsia="Calibri"/>
          <w:lang w:val="es-ES_tradnl"/>
        </w:rPr>
        <w:t>ó</w:t>
      </w:r>
      <w:r w:rsidR="008716E8" w:rsidRPr="00F66E0D">
        <w:rPr>
          <w:rFonts w:eastAsia="Calibri"/>
          <w:lang w:val="es-ES_tradnl"/>
        </w:rPr>
        <w:t xml:space="preserve"> </w:t>
      </w:r>
      <w:r w:rsidR="008716E8">
        <w:rPr>
          <w:rFonts w:eastAsia="Calibri"/>
          <w:lang w:val="es-ES_tradnl"/>
        </w:rPr>
        <w:t>un</w:t>
      </w:r>
      <w:r w:rsidR="008716E8" w:rsidRPr="00F66E0D">
        <w:rPr>
          <w:rFonts w:eastAsia="Calibri"/>
          <w:lang w:val="es-ES_tradnl"/>
        </w:rPr>
        <w:t xml:space="preserve"> dictamen de </w:t>
      </w:r>
      <w:r w:rsidR="008716E8" w:rsidRPr="00B57535">
        <w:rPr>
          <w:rFonts w:eastAsia="Calibri"/>
          <w:lang w:val="es-ES_tradnl"/>
        </w:rPr>
        <w:t>avalúo virtual</w:t>
      </w:r>
      <w:r w:rsidR="005A2147" w:rsidRPr="00B57535">
        <w:rPr>
          <w:rFonts w:eastAsia="Calibri"/>
          <w:lang w:val="es-ES_tradnl"/>
        </w:rPr>
        <w:t xml:space="preserve"> </w:t>
      </w:r>
      <w:r w:rsidR="00F7681A">
        <w:rPr>
          <w:rFonts w:eastAsia="Calibri"/>
          <w:lang w:val="es-ES_tradnl"/>
        </w:rPr>
        <w:t>de</w:t>
      </w:r>
      <w:r w:rsidR="00B57535" w:rsidRPr="00B57535">
        <w:rPr>
          <w:rFonts w:eastAsia="Calibri"/>
          <w:lang w:val="es-ES_tradnl"/>
        </w:rPr>
        <w:t xml:space="preserve"> los</w:t>
      </w:r>
      <w:r w:rsidR="005A2147" w:rsidRPr="00B57535">
        <w:rPr>
          <w:rFonts w:eastAsia="Calibri"/>
          <w:lang w:val="es-ES_tradnl"/>
        </w:rPr>
        <w:t xml:space="preserve"> </w:t>
      </w:r>
      <w:r w:rsidR="00F7681A">
        <w:rPr>
          <w:rFonts w:eastAsia="Calibri"/>
          <w:lang w:val="es-ES_tradnl"/>
        </w:rPr>
        <w:t xml:space="preserve">supuestos </w:t>
      </w:r>
      <w:r w:rsidR="005A2147" w:rsidRPr="00B57535">
        <w:rPr>
          <w:rFonts w:eastAsia="Calibri"/>
          <w:lang w:val="es-ES_tradnl"/>
        </w:rPr>
        <w:t>objetos</w:t>
      </w:r>
      <w:r w:rsidR="008716E8" w:rsidRPr="00B57535">
        <w:rPr>
          <w:rFonts w:eastAsia="Calibri"/>
          <w:lang w:val="es-ES_tradnl"/>
        </w:rPr>
        <w:t xml:space="preserve"> mo</w:t>
      </w:r>
      <w:r w:rsidR="008716E8" w:rsidRPr="00F66E0D">
        <w:rPr>
          <w:rFonts w:eastAsia="Calibri"/>
          <w:lang w:val="es-ES_tradnl"/>
        </w:rPr>
        <w:t>tivo</w:t>
      </w:r>
      <w:r w:rsidR="00F7681A">
        <w:rPr>
          <w:rFonts w:eastAsia="Calibri"/>
          <w:lang w:val="es-ES_tradnl"/>
        </w:rPr>
        <w:t>s</w:t>
      </w:r>
      <w:r w:rsidR="008716E8" w:rsidRPr="00F66E0D">
        <w:rPr>
          <w:rFonts w:eastAsia="Calibri"/>
          <w:lang w:val="es-ES_tradnl"/>
        </w:rPr>
        <w:t xml:space="preserve"> del </w:t>
      </w:r>
      <w:r w:rsidR="00F7681A">
        <w:rPr>
          <w:rFonts w:eastAsia="Calibri"/>
          <w:lang w:val="es-ES_tradnl"/>
        </w:rPr>
        <w:t xml:space="preserve">supuesto </w:t>
      </w:r>
      <w:r w:rsidR="008716E8" w:rsidRPr="00F66E0D">
        <w:rPr>
          <w:rFonts w:eastAsia="Calibri"/>
          <w:lang w:val="es-ES_tradnl"/>
        </w:rPr>
        <w:t>robo</w:t>
      </w:r>
      <w:r w:rsidR="00B57F9C">
        <w:rPr>
          <w:rFonts w:eastAsia="Calibri"/>
          <w:lang w:val="es-ES_tradnl"/>
        </w:rPr>
        <w:t xml:space="preserve">: </w:t>
      </w:r>
      <w:r w:rsidR="00457269">
        <w:rPr>
          <w:rFonts w:eastAsia="Calibri"/>
          <w:lang w:val="es-ES_tradnl"/>
        </w:rPr>
        <w:t>a</w:t>
      </w:r>
      <w:r w:rsidR="00F7681A" w:rsidRPr="00F66E0D">
        <w:rPr>
          <w:rFonts w:eastAsia="Calibri"/>
          <w:lang w:val="es-ES_tradnl"/>
        </w:rPr>
        <w:t>)</w:t>
      </w:r>
      <w:r w:rsidR="00F7681A">
        <w:rPr>
          <w:rFonts w:eastAsia="Calibri"/>
          <w:lang w:val="es-ES_tradnl"/>
        </w:rPr>
        <w:t xml:space="preserve"> un teléfono celular Sony Eric</w:t>
      </w:r>
      <w:r w:rsidR="00C37534">
        <w:rPr>
          <w:rFonts w:eastAsia="Calibri"/>
          <w:lang w:val="es-ES_tradnl"/>
        </w:rPr>
        <w:t>s</w:t>
      </w:r>
      <w:r w:rsidR="00F7681A">
        <w:rPr>
          <w:rFonts w:eastAsia="Calibri"/>
          <w:lang w:val="es-ES_tradnl"/>
        </w:rPr>
        <w:t>so</w:t>
      </w:r>
      <w:r w:rsidR="00457269">
        <w:rPr>
          <w:rFonts w:eastAsia="Calibri"/>
          <w:lang w:val="es-ES_tradnl"/>
        </w:rPr>
        <w:t>n</w:t>
      </w:r>
      <w:r w:rsidR="00F7681A" w:rsidRPr="00F66E0D">
        <w:rPr>
          <w:rFonts w:eastAsia="Calibri"/>
          <w:lang w:val="es-ES_tradnl"/>
        </w:rPr>
        <w:t xml:space="preserve"> </w:t>
      </w:r>
      <w:r w:rsidR="00F7681A" w:rsidRPr="008F7DD4">
        <w:rPr>
          <w:rFonts w:eastAsia="Calibri"/>
          <w:lang w:val="es-ES_tradnl"/>
        </w:rPr>
        <w:t>con un precio aproximad</w:t>
      </w:r>
      <w:r w:rsidR="00F7681A">
        <w:rPr>
          <w:rFonts w:eastAsia="Calibri"/>
          <w:lang w:val="es-ES_tradnl"/>
        </w:rPr>
        <w:t>o de</w:t>
      </w:r>
      <w:r w:rsidR="00F7681A" w:rsidRPr="008F7DD4">
        <w:rPr>
          <w:rFonts w:eastAsia="Calibri"/>
          <w:lang w:val="es-ES_tradnl"/>
        </w:rPr>
        <w:t xml:space="preserve"> 65 </w:t>
      </w:r>
      <w:r w:rsidR="00457269">
        <w:rPr>
          <w:rFonts w:eastAsia="Calibri"/>
          <w:lang w:val="es-ES_tradnl"/>
        </w:rPr>
        <w:t>dólares de los Estados Unidos</w:t>
      </w:r>
      <w:r w:rsidR="00F7681A">
        <w:rPr>
          <w:rFonts w:eastAsia="Calibri"/>
          <w:lang w:val="es-ES_tradnl"/>
        </w:rPr>
        <w:t>;</w:t>
      </w:r>
      <w:r w:rsidR="00F7681A" w:rsidRPr="00F66E0D">
        <w:rPr>
          <w:rFonts w:eastAsia="Calibri"/>
          <w:lang w:val="es-ES_tradnl"/>
        </w:rPr>
        <w:t xml:space="preserve"> </w:t>
      </w:r>
      <w:r w:rsidR="00457269">
        <w:rPr>
          <w:rFonts w:eastAsia="Calibri"/>
          <w:lang w:val="es-ES_tradnl"/>
        </w:rPr>
        <w:t>b</w:t>
      </w:r>
      <w:r w:rsidR="008716E8" w:rsidRPr="00F66E0D">
        <w:rPr>
          <w:rFonts w:eastAsia="Calibri"/>
          <w:lang w:val="es-ES_tradnl"/>
        </w:rPr>
        <w:t xml:space="preserve">) </w:t>
      </w:r>
      <w:r w:rsidR="008716E8" w:rsidRPr="008F7DD4">
        <w:rPr>
          <w:rFonts w:eastAsia="Calibri"/>
          <w:lang w:val="es-ES_tradnl"/>
        </w:rPr>
        <w:t>una cámara fotogr</w:t>
      </w:r>
      <w:r w:rsidR="00F7681A">
        <w:rPr>
          <w:rFonts w:eastAsia="Calibri"/>
          <w:lang w:val="es-ES_tradnl"/>
        </w:rPr>
        <w:t xml:space="preserve">áfica digital con lente de </w:t>
      </w:r>
      <w:proofErr w:type="gramStart"/>
      <w:r w:rsidR="00F7681A">
        <w:rPr>
          <w:rFonts w:eastAsia="Calibri"/>
          <w:lang w:val="es-ES_tradnl"/>
        </w:rPr>
        <w:t>zoom</w:t>
      </w:r>
      <w:proofErr w:type="gramEnd"/>
      <w:r w:rsidR="008716E8" w:rsidRPr="008F7DD4">
        <w:rPr>
          <w:rFonts w:eastAsia="Calibri"/>
          <w:lang w:val="es-ES_tradnl"/>
        </w:rPr>
        <w:t xml:space="preserve"> con un precio aproximad</w:t>
      </w:r>
      <w:r w:rsidR="008716E8">
        <w:rPr>
          <w:rFonts w:eastAsia="Calibri"/>
          <w:lang w:val="es-ES_tradnl"/>
        </w:rPr>
        <w:t>o de</w:t>
      </w:r>
      <w:r w:rsidR="008716E8" w:rsidRPr="008F7DD4">
        <w:rPr>
          <w:rFonts w:eastAsia="Calibri"/>
          <w:lang w:val="es-ES_tradnl"/>
        </w:rPr>
        <w:t xml:space="preserve"> 650 </w:t>
      </w:r>
      <w:r w:rsidR="00457269">
        <w:rPr>
          <w:rFonts w:eastAsia="Calibri"/>
          <w:lang w:val="es-ES_tradnl"/>
        </w:rPr>
        <w:t>dólares</w:t>
      </w:r>
      <w:r w:rsidR="008716E8">
        <w:rPr>
          <w:rFonts w:eastAsia="Calibri"/>
          <w:lang w:val="es-ES_tradnl"/>
        </w:rPr>
        <w:t xml:space="preserve">; </w:t>
      </w:r>
      <w:r w:rsidR="00457269">
        <w:rPr>
          <w:rFonts w:eastAsia="Calibri"/>
          <w:lang w:val="es-ES_tradnl"/>
        </w:rPr>
        <w:t>c</w:t>
      </w:r>
      <w:r w:rsidR="008716E8" w:rsidRPr="00F66E0D">
        <w:rPr>
          <w:rFonts w:eastAsia="Calibri"/>
          <w:lang w:val="es-ES_tradnl"/>
        </w:rPr>
        <w:t xml:space="preserve">) un </w:t>
      </w:r>
      <w:proofErr w:type="spellStart"/>
      <w:r w:rsidR="008716E8" w:rsidRPr="00F66E0D">
        <w:rPr>
          <w:rFonts w:eastAsia="Calibri"/>
          <w:lang w:val="es-ES_tradnl"/>
        </w:rPr>
        <w:t>Ipod</w:t>
      </w:r>
      <w:proofErr w:type="spellEnd"/>
      <w:r w:rsidR="008716E8" w:rsidRPr="00154388">
        <w:rPr>
          <w:rFonts w:eastAsia="Calibri"/>
          <w:lang w:val="es-ES_tradnl"/>
        </w:rPr>
        <w:t xml:space="preserve"> </w:t>
      </w:r>
      <w:r w:rsidR="008716E8" w:rsidRPr="008F7DD4">
        <w:rPr>
          <w:rFonts w:eastAsia="Calibri"/>
          <w:lang w:val="es-ES_tradnl"/>
        </w:rPr>
        <w:t>con un precio aproximad</w:t>
      </w:r>
      <w:r w:rsidR="008716E8">
        <w:rPr>
          <w:rFonts w:eastAsia="Calibri"/>
          <w:lang w:val="es-ES_tradnl"/>
        </w:rPr>
        <w:t>o de</w:t>
      </w:r>
      <w:r w:rsidR="008716E8" w:rsidRPr="008F7DD4">
        <w:rPr>
          <w:rFonts w:eastAsia="Calibri"/>
          <w:lang w:val="es-ES_tradnl"/>
        </w:rPr>
        <w:t xml:space="preserve"> </w:t>
      </w:r>
      <w:r w:rsidR="008716E8">
        <w:rPr>
          <w:rFonts w:eastAsia="Calibri"/>
          <w:lang w:val="es-ES_tradnl"/>
        </w:rPr>
        <w:t>195</w:t>
      </w:r>
      <w:r w:rsidR="008716E8" w:rsidRPr="008F7DD4">
        <w:rPr>
          <w:rFonts w:eastAsia="Calibri"/>
          <w:lang w:val="es-ES_tradnl"/>
        </w:rPr>
        <w:t xml:space="preserve"> </w:t>
      </w:r>
      <w:r w:rsidR="00457269">
        <w:rPr>
          <w:rFonts w:eastAsia="Calibri"/>
          <w:lang w:val="es-ES_tradnl"/>
        </w:rPr>
        <w:t>dólares</w:t>
      </w:r>
      <w:r w:rsidR="008716E8">
        <w:rPr>
          <w:rStyle w:val="Refdenotaalpie"/>
          <w:rFonts w:eastAsia="Calibri"/>
          <w:lang w:val="es-ES_tradnl"/>
        </w:rPr>
        <w:footnoteReference w:id="17"/>
      </w:r>
      <w:r w:rsidR="00457269">
        <w:rPr>
          <w:rFonts w:eastAsia="Calibri"/>
          <w:lang w:val="es-ES_tradnl"/>
        </w:rPr>
        <w:t>.</w:t>
      </w:r>
    </w:p>
    <w:p w14:paraId="26F559F5" w14:textId="5563F4F1" w:rsidR="00867B6A" w:rsidRPr="00700CD6" w:rsidRDefault="00210461" w:rsidP="00700CD6">
      <w:pPr>
        <w:spacing w:after="120"/>
        <w:ind w:left="1134" w:right="1134"/>
        <w:jc w:val="both"/>
        <w:rPr>
          <w:rFonts w:eastAsia="SimSun"/>
          <w:lang w:val="es-ES_tradnl" w:eastAsia="zh-CN"/>
        </w:rPr>
      </w:pPr>
      <w:r>
        <w:rPr>
          <w:lang w:val="es-ES_tradnl"/>
        </w:rPr>
        <w:t>2.1</w:t>
      </w:r>
      <w:r w:rsidR="00D52B7C">
        <w:rPr>
          <w:lang w:val="es-ES_tradnl"/>
        </w:rPr>
        <w:t>6</w:t>
      </w:r>
      <w:r>
        <w:rPr>
          <w:lang w:val="es-ES_tradnl"/>
        </w:rPr>
        <w:tab/>
      </w:r>
      <w:r w:rsidR="00957676">
        <w:rPr>
          <w:lang w:val="es-ES_tradnl"/>
        </w:rPr>
        <w:t>E</w:t>
      </w:r>
      <w:r w:rsidR="00A8166D" w:rsidRPr="00174EAA">
        <w:rPr>
          <w:lang w:val="es-ES_tradnl"/>
        </w:rPr>
        <w:t xml:space="preserve">l </w:t>
      </w:r>
      <w:r w:rsidR="00A8166D" w:rsidRPr="00DB11C7">
        <w:rPr>
          <w:lang w:val="es-ES_tradnl"/>
        </w:rPr>
        <w:t>29 de diciembre</w:t>
      </w:r>
      <w:r w:rsidR="00AC7BA7" w:rsidRPr="00DB11C7">
        <w:rPr>
          <w:lang w:val="es-ES_tradnl"/>
        </w:rPr>
        <w:t xml:space="preserve"> de 2011,</w:t>
      </w:r>
      <w:r w:rsidR="00A8166D" w:rsidRPr="00174EAA">
        <w:rPr>
          <w:lang w:val="es-ES_tradnl"/>
        </w:rPr>
        <w:t xml:space="preserve"> </w:t>
      </w:r>
      <w:r w:rsidR="003A7D67">
        <w:rPr>
          <w:lang w:val="es-ES_tradnl"/>
        </w:rPr>
        <w:t>se</w:t>
      </w:r>
      <w:r w:rsidR="00274446" w:rsidRPr="00174EAA">
        <w:rPr>
          <w:lang w:val="es-ES_tradnl"/>
        </w:rPr>
        <w:t xml:space="preserve"> </w:t>
      </w:r>
      <w:r w:rsidR="00A8166D" w:rsidRPr="00174EAA">
        <w:rPr>
          <w:lang w:val="es-ES_tradnl"/>
        </w:rPr>
        <w:t xml:space="preserve">emitió </w:t>
      </w:r>
      <w:r w:rsidR="000538BE" w:rsidRPr="00174EAA">
        <w:rPr>
          <w:lang w:val="es-ES_tradnl"/>
        </w:rPr>
        <w:t>un</w:t>
      </w:r>
      <w:r w:rsidR="00A8166D" w:rsidRPr="00174EAA">
        <w:rPr>
          <w:lang w:val="es-ES_tradnl"/>
        </w:rPr>
        <w:t xml:space="preserve"> dictamen de </w:t>
      </w:r>
      <w:r w:rsidR="00A8166D" w:rsidRPr="00DB11C7">
        <w:rPr>
          <w:lang w:val="es-ES_tradnl"/>
        </w:rPr>
        <w:t>“</w:t>
      </w:r>
      <w:r w:rsidR="00174EAA" w:rsidRPr="00DB11C7">
        <w:rPr>
          <w:lang w:val="es-ES_tradnl"/>
        </w:rPr>
        <w:t>a</w:t>
      </w:r>
      <w:r w:rsidR="00A8166D" w:rsidRPr="00DB11C7">
        <w:rPr>
          <w:lang w:val="es-ES_tradnl"/>
        </w:rPr>
        <w:t xml:space="preserve">utopsia </w:t>
      </w:r>
      <w:r w:rsidR="00174EAA" w:rsidRPr="00DB11C7">
        <w:rPr>
          <w:lang w:val="es-ES_tradnl"/>
        </w:rPr>
        <w:t>v</w:t>
      </w:r>
      <w:r w:rsidR="00A8166D" w:rsidRPr="00DB11C7">
        <w:rPr>
          <w:lang w:val="es-ES_tradnl"/>
        </w:rPr>
        <w:t>erbal”</w:t>
      </w:r>
      <w:r w:rsidR="00CD6AB3" w:rsidRPr="00174EAA">
        <w:rPr>
          <w:rStyle w:val="Refdenotaalpie"/>
          <w:lang w:val="es-ES_tradnl"/>
        </w:rPr>
        <w:footnoteReference w:id="18"/>
      </w:r>
      <w:r w:rsidR="002A66AE">
        <w:rPr>
          <w:lang w:val="es-ES_tradnl"/>
        </w:rPr>
        <w:t>,</w:t>
      </w:r>
      <w:r w:rsidR="00CD6AB3" w:rsidRPr="00174EAA">
        <w:rPr>
          <w:lang w:val="es-ES_tradnl"/>
        </w:rPr>
        <w:t xml:space="preserve"> </w:t>
      </w:r>
      <w:r w:rsidR="00A8166D" w:rsidRPr="00174EAA">
        <w:rPr>
          <w:lang w:val="es-ES_tradnl"/>
        </w:rPr>
        <w:t xml:space="preserve">declarando </w:t>
      </w:r>
      <w:r w:rsidR="000C1BFB" w:rsidRPr="00174EAA">
        <w:rPr>
          <w:lang w:val="es-ES_tradnl"/>
        </w:rPr>
        <w:t xml:space="preserve">que </w:t>
      </w:r>
      <w:r w:rsidR="00A8166D" w:rsidRPr="00174EAA">
        <w:rPr>
          <w:lang w:val="es-ES_tradnl"/>
        </w:rPr>
        <w:t>la causa</w:t>
      </w:r>
      <w:r w:rsidR="00807DAE" w:rsidRPr="00174EAA">
        <w:rPr>
          <w:lang w:val="es-ES_tradnl"/>
        </w:rPr>
        <w:t xml:space="preserve"> de la</w:t>
      </w:r>
      <w:r w:rsidR="00CD6AB3" w:rsidRPr="00174EAA">
        <w:rPr>
          <w:lang w:val="es-ES_tradnl"/>
        </w:rPr>
        <w:t xml:space="preserve"> </w:t>
      </w:r>
      <w:r w:rsidR="00807DAE" w:rsidRPr="00174EAA">
        <w:rPr>
          <w:lang w:val="es-ES_tradnl"/>
        </w:rPr>
        <w:t xml:space="preserve">muerte </w:t>
      </w:r>
      <w:r w:rsidR="000C1BFB" w:rsidRPr="00174EAA">
        <w:rPr>
          <w:lang w:val="es-ES_tradnl"/>
        </w:rPr>
        <w:t xml:space="preserve">había sido </w:t>
      </w:r>
      <w:r w:rsidR="00231E6A">
        <w:rPr>
          <w:lang w:val="es-ES_tradnl"/>
        </w:rPr>
        <w:t>“</w:t>
      </w:r>
      <w:r w:rsidR="00CD6AB3" w:rsidRPr="00174EAA">
        <w:rPr>
          <w:lang w:val="es-ES_tradnl"/>
        </w:rPr>
        <w:t>hemorragia interna intensa por lesión de vísceras torácica y abdominales producidas por arma punzocortante</w:t>
      </w:r>
      <w:r w:rsidR="00231E6A">
        <w:rPr>
          <w:lang w:val="es-ES_tradnl"/>
        </w:rPr>
        <w:t>”</w:t>
      </w:r>
      <w:r w:rsidR="002A66AE">
        <w:rPr>
          <w:lang w:val="es-ES_tradnl"/>
        </w:rPr>
        <w:t>;</w:t>
      </w:r>
      <w:r w:rsidR="006D5087">
        <w:rPr>
          <w:lang w:val="es-ES_tradnl"/>
        </w:rPr>
        <w:t xml:space="preserve"> </w:t>
      </w:r>
      <w:r w:rsidR="002A66AE">
        <w:rPr>
          <w:lang w:val="es-ES_tradnl"/>
        </w:rPr>
        <w:t>se</w:t>
      </w:r>
      <w:r w:rsidR="006D5087">
        <w:rPr>
          <w:lang w:val="es-ES_tradnl"/>
        </w:rPr>
        <w:t xml:space="preserve"> </w:t>
      </w:r>
      <w:r w:rsidR="00D23068" w:rsidRPr="00174EAA">
        <w:rPr>
          <w:lang w:val="es-ES_tradnl"/>
        </w:rPr>
        <w:t xml:space="preserve">emitió </w:t>
      </w:r>
      <w:r w:rsidR="005D0DF9">
        <w:rPr>
          <w:lang w:val="es-ES_tradnl"/>
        </w:rPr>
        <w:t xml:space="preserve">asimismo </w:t>
      </w:r>
      <w:r w:rsidR="006D5087">
        <w:rPr>
          <w:lang w:val="es-ES_tradnl"/>
        </w:rPr>
        <w:t>un</w:t>
      </w:r>
      <w:r w:rsidR="00D23068" w:rsidRPr="00174EAA">
        <w:rPr>
          <w:lang w:val="es-ES_tradnl"/>
        </w:rPr>
        <w:t xml:space="preserve"> certificado de defunción</w:t>
      </w:r>
      <w:r w:rsidR="00D23068" w:rsidRPr="00174EAA">
        <w:rPr>
          <w:rStyle w:val="Refdenotaalpie"/>
          <w:lang w:val="es-ES_tradnl"/>
        </w:rPr>
        <w:footnoteReference w:id="19"/>
      </w:r>
      <w:r w:rsidR="005A06DC">
        <w:rPr>
          <w:lang w:val="es-ES_tradnl"/>
        </w:rPr>
        <w:t>.</w:t>
      </w:r>
    </w:p>
    <w:p w14:paraId="24DD6D39" w14:textId="76B89864" w:rsidR="003C3B20" w:rsidRDefault="00D872CF" w:rsidP="00D17F02">
      <w:pPr>
        <w:pStyle w:val="SingleTxtG"/>
        <w:rPr>
          <w:lang w:val="es-ES"/>
        </w:rPr>
      </w:pPr>
      <w:r>
        <w:rPr>
          <w:rFonts w:eastAsia="Calibri"/>
          <w:lang w:val="es-ES_tradnl"/>
        </w:rPr>
        <w:t>2.1</w:t>
      </w:r>
      <w:r w:rsidR="00D52B7C">
        <w:rPr>
          <w:rFonts w:eastAsia="Calibri"/>
          <w:lang w:val="es-ES_tradnl"/>
        </w:rPr>
        <w:t>7</w:t>
      </w:r>
      <w:r>
        <w:rPr>
          <w:rFonts w:eastAsia="Calibri"/>
          <w:lang w:val="es-ES_tradnl"/>
        </w:rPr>
        <w:tab/>
      </w:r>
      <w:r w:rsidR="00D17F02" w:rsidRPr="00FA51D5">
        <w:rPr>
          <w:rFonts w:eastAsia="Calibri"/>
          <w:lang w:val="es-ES_tradnl"/>
        </w:rPr>
        <w:t xml:space="preserve">El </w:t>
      </w:r>
      <w:r w:rsidR="00D17F02">
        <w:rPr>
          <w:rFonts w:eastAsia="Calibri"/>
          <w:lang w:val="es-ES_tradnl"/>
        </w:rPr>
        <w:t>2</w:t>
      </w:r>
      <w:r w:rsidR="00D17F02" w:rsidRPr="00FA51D5">
        <w:rPr>
          <w:rFonts w:eastAsia="Calibri"/>
          <w:lang w:val="es-ES_tradnl"/>
        </w:rPr>
        <w:t xml:space="preserve"> de enero de 2012, </w:t>
      </w:r>
      <w:r w:rsidR="0088436D">
        <w:rPr>
          <w:rFonts w:eastAsia="Calibri"/>
          <w:lang w:val="es-ES_tradnl"/>
        </w:rPr>
        <w:t>se formalizó</w:t>
      </w:r>
      <w:r w:rsidR="003C3B20">
        <w:rPr>
          <w:rFonts w:eastAsia="Calibri"/>
          <w:lang w:val="es-ES_tradnl"/>
        </w:rPr>
        <w:t xml:space="preserve"> la</w:t>
      </w:r>
      <w:r w:rsidR="00D17F02" w:rsidRPr="00FA51D5">
        <w:rPr>
          <w:rFonts w:eastAsia="Calibri"/>
          <w:lang w:val="es-ES_tradnl"/>
        </w:rPr>
        <w:t xml:space="preserve"> detención </w:t>
      </w:r>
      <w:r w:rsidR="00D17F02">
        <w:rPr>
          <w:rFonts w:eastAsia="Calibri"/>
          <w:lang w:val="es-ES_tradnl"/>
        </w:rPr>
        <w:t xml:space="preserve">de </w:t>
      </w:r>
      <w:r w:rsidR="002D2218">
        <w:rPr>
          <w:rFonts w:eastAsia="Calibri"/>
          <w:lang w:val="es-ES_tradnl"/>
        </w:rPr>
        <w:t xml:space="preserve">cuatro </w:t>
      </w:r>
      <w:r w:rsidR="0088436D">
        <w:rPr>
          <w:rFonts w:eastAsia="Calibri"/>
          <w:lang w:val="es-ES_tradnl"/>
        </w:rPr>
        <w:t>inculpados</w:t>
      </w:r>
      <w:r w:rsidR="00D17F02">
        <w:rPr>
          <w:rFonts w:eastAsia="Calibri"/>
          <w:lang w:val="es-ES_tradnl"/>
        </w:rPr>
        <w:t xml:space="preserve"> ya </w:t>
      </w:r>
      <w:r w:rsidR="00D17F02" w:rsidRPr="00FA51D5">
        <w:rPr>
          <w:rFonts w:eastAsia="Calibri"/>
          <w:lang w:val="es-ES_tradnl"/>
        </w:rPr>
        <w:t>detenidos</w:t>
      </w:r>
      <w:r w:rsidR="003C3B20">
        <w:rPr>
          <w:rFonts w:eastAsia="Calibri"/>
          <w:lang w:val="es-ES_tradnl"/>
        </w:rPr>
        <w:t xml:space="preserve"> bajo la figura del arraigo</w:t>
      </w:r>
      <w:r w:rsidR="0088436D" w:rsidRPr="0088436D">
        <w:rPr>
          <w:lang w:val="es-ES"/>
        </w:rPr>
        <w:t xml:space="preserve"> (Javier Rodr</w:t>
      </w:r>
      <w:r w:rsidR="0088436D">
        <w:rPr>
          <w:lang w:val="es-ES"/>
        </w:rPr>
        <w:t xml:space="preserve">íguez Peña, </w:t>
      </w:r>
      <w:r w:rsidR="0088436D" w:rsidRPr="0088436D">
        <w:rPr>
          <w:rFonts w:eastAsia="Calibri"/>
          <w:lang w:val="es-ES_tradnl"/>
        </w:rPr>
        <w:t>Honorio Corcuera, Margarito González e Irene Méndez Graf</w:t>
      </w:r>
      <w:r w:rsidR="0088436D">
        <w:rPr>
          <w:rFonts w:eastAsia="Calibri"/>
          <w:lang w:val="es-ES_tradnl"/>
        </w:rPr>
        <w:t>)</w:t>
      </w:r>
      <w:r w:rsidR="00D17F02">
        <w:rPr>
          <w:rFonts w:eastAsia="Calibri"/>
          <w:lang w:val="es-ES_tradnl"/>
        </w:rPr>
        <w:t>.</w:t>
      </w:r>
    </w:p>
    <w:p w14:paraId="081901BA" w14:textId="22BB222D" w:rsidR="003C3B20" w:rsidRDefault="009C6416" w:rsidP="003C3B20">
      <w:pPr>
        <w:pStyle w:val="SingleTxtG"/>
        <w:rPr>
          <w:rFonts w:eastAsia="Calibri"/>
          <w:lang w:val="es-ES_tradnl"/>
        </w:rPr>
      </w:pPr>
      <w:r>
        <w:rPr>
          <w:rFonts w:eastAsia="Calibri"/>
          <w:lang w:val="es-ES_tradnl"/>
        </w:rPr>
        <w:t>2.1</w:t>
      </w:r>
      <w:r w:rsidR="00D52B7C">
        <w:rPr>
          <w:rFonts w:eastAsia="Calibri"/>
          <w:lang w:val="es-ES_tradnl"/>
        </w:rPr>
        <w:t>8</w:t>
      </w:r>
      <w:r>
        <w:rPr>
          <w:rFonts w:eastAsia="Calibri"/>
          <w:lang w:val="es-ES_tradnl"/>
        </w:rPr>
        <w:tab/>
      </w:r>
      <w:r w:rsidR="003C3B20">
        <w:rPr>
          <w:rFonts w:eastAsia="Calibri"/>
          <w:lang w:val="es-ES_tradnl"/>
        </w:rPr>
        <w:t xml:space="preserve">El </w:t>
      </w:r>
      <w:r w:rsidR="003C3B20" w:rsidRPr="00BA4667">
        <w:rPr>
          <w:rFonts w:eastAsia="Calibri"/>
          <w:lang w:val="es-ES_tradnl"/>
        </w:rPr>
        <w:t>4 de enero de 2012</w:t>
      </w:r>
      <w:r w:rsidR="003C3B20">
        <w:rPr>
          <w:rFonts w:eastAsia="Calibri"/>
          <w:lang w:val="es-ES_tradnl"/>
        </w:rPr>
        <w:t>,</w:t>
      </w:r>
      <w:r w:rsidR="003C3B20" w:rsidRPr="00BA4667">
        <w:rPr>
          <w:rFonts w:eastAsia="Calibri"/>
          <w:lang w:val="es-ES_tradnl"/>
        </w:rPr>
        <w:t xml:space="preserve"> </w:t>
      </w:r>
      <w:r w:rsidR="00F71EBB">
        <w:rPr>
          <w:rFonts w:eastAsia="Calibri"/>
          <w:lang w:val="es-ES_tradnl"/>
        </w:rPr>
        <w:t>las autoridades</w:t>
      </w:r>
      <w:r w:rsidR="003C3B20" w:rsidRPr="00BA4667">
        <w:rPr>
          <w:rFonts w:eastAsia="Calibri"/>
          <w:lang w:val="es-ES_tradnl"/>
        </w:rPr>
        <w:t xml:space="preserve"> anu</w:t>
      </w:r>
      <w:r w:rsidR="003C3B20">
        <w:rPr>
          <w:rFonts w:eastAsia="Calibri"/>
          <w:lang w:val="es-ES_tradnl"/>
        </w:rPr>
        <w:t>nciaron en</w:t>
      </w:r>
      <w:r w:rsidR="003C3B20" w:rsidRPr="00BA4667">
        <w:rPr>
          <w:rFonts w:eastAsia="Calibri"/>
          <w:lang w:val="es-ES_tradnl"/>
        </w:rPr>
        <w:t xml:space="preserve"> conferencia de prensa </w:t>
      </w:r>
      <w:r w:rsidR="003C3B20">
        <w:rPr>
          <w:rFonts w:eastAsia="Calibri"/>
          <w:lang w:val="es-ES_tradnl"/>
        </w:rPr>
        <w:t>la resolu</w:t>
      </w:r>
      <w:r w:rsidR="00A60598">
        <w:rPr>
          <w:rFonts w:eastAsia="Calibri"/>
          <w:lang w:val="es-ES_tradnl"/>
        </w:rPr>
        <w:t>ción del caso</w:t>
      </w:r>
      <w:r w:rsidR="004A2990">
        <w:rPr>
          <w:rFonts w:eastAsia="Calibri"/>
          <w:lang w:val="es-ES_tradnl"/>
        </w:rPr>
        <w:t>.</w:t>
      </w:r>
    </w:p>
    <w:p w14:paraId="16AE60F2" w14:textId="0A58D572" w:rsidR="00817161" w:rsidRPr="001F49D4" w:rsidRDefault="00A60598" w:rsidP="001F49D4">
      <w:pPr>
        <w:spacing w:after="120"/>
        <w:ind w:left="1134" w:right="1134"/>
        <w:jc w:val="both"/>
        <w:rPr>
          <w:rFonts w:eastAsia="SimSun"/>
          <w:lang w:val="es-ES_tradnl" w:eastAsia="zh-CN"/>
        </w:rPr>
      </w:pPr>
      <w:r>
        <w:rPr>
          <w:rFonts w:eastAsia="Calibri"/>
          <w:lang w:val="es-ES_tradnl"/>
        </w:rPr>
        <w:t>2.1</w:t>
      </w:r>
      <w:r w:rsidR="00D52B7C">
        <w:rPr>
          <w:rFonts w:eastAsia="Calibri"/>
          <w:lang w:val="es-ES_tradnl"/>
        </w:rPr>
        <w:t>9</w:t>
      </w:r>
      <w:r>
        <w:rPr>
          <w:rFonts w:eastAsia="Calibri"/>
          <w:lang w:val="es-ES_tradnl"/>
        </w:rPr>
        <w:tab/>
      </w:r>
      <w:r w:rsidR="003C3B20">
        <w:rPr>
          <w:rFonts w:eastAsia="Calibri"/>
          <w:lang w:val="es-ES_tradnl"/>
        </w:rPr>
        <w:t>Ese mismo día</w:t>
      </w:r>
      <w:r w:rsidR="00D17F02" w:rsidRPr="00FA51D5">
        <w:rPr>
          <w:rFonts w:eastAsia="Calibri"/>
          <w:lang w:val="es-ES_tradnl"/>
        </w:rPr>
        <w:t xml:space="preserve">, </w:t>
      </w:r>
      <w:r w:rsidR="003C3B20">
        <w:rPr>
          <w:rFonts w:eastAsia="Calibri"/>
          <w:lang w:val="es-ES_tradnl"/>
        </w:rPr>
        <w:t xml:space="preserve">en </w:t>
      </w:r>
      <w:r w:rsidR="00D66CD9">
        <w:rPr>
          <w:rFonts w:eastAsia="Calibri"/>
          <w:lang w:val="es-ES_tradnl"/>
        </w:rPr>
        <w:t>su primera</w:t>
      </w:r>
      <w:r w:rsidR="003C3B20">
        <w:rPr>
          <w:rFonts w:eastAsia="Calibri"/>
          <w:lang w:val="es-ES_tradnl"/>
        </w:rPr>
        <w:t xml:space="preserve"> declaración</w:t>
      </w:r>
      <w:r w:rsidR="00D66CD9">
        <w:rPr>
          <w:rFonts w:eastAsia="Calibri"/>
          <w:lang w:val="es-ES_tradnl"/>
        </w:rPr>
        <w:t xml:space="preserve"> </w:t>
      </w:r>
      <w:r w:rsidR="00170422">
        <w:rPr>
          <w:rFonts w:eastAsia="Calibri"/>
          <w:lang w:val="es-ES_tradnl"/>
        </w:rPr>
        <w:t xml:space="preserve">ante el </w:t>
      </w:r>
      <w:r w:rsidR="004B4D8C">
        <w:rPr>
          <w:rFonts w:eastAsia="Calibri"/>
          <w:lang w:val="es-ES_tradnl"/>
        </w:rPr>
        <w:t>j</w:t>
      </w:r>
      <w:r w:rsidR="000C18D9">
        <w:rPr>
          <w:rFonts w:eastAsia="Calibri"/>
          <w:lang w:val="es-ES_tradnl"/>
        </w:rPr>
        <w:t>uez</w:t>
      </w:r>
      <w:r w:rsidR="000C18D9" w:rsidRPr="00CE47BD">
        <w:rPr>
          <w:rFonts w:eastAsia="Calibri"/>
          <w:lang w:val="es-ES_tradnl"/>
        </w:rPr>
        <w:t xml:space="preserve"> </w:t>
      </w:r>
      <w:r w:rsidR="004B4D8C">
        <w:rPr>
          <w:rFonts w:eastAsia="Calibri"/>
          <w:lang w:val="es-ES_tradnl"/>
        </w:rPr>
        <w:t>p</w:t>
      </w:r>
      <w:r w:rsidR="000C18D9">
        <w:rPr>
          <w:rFonts w:eastAsia="Calibri"/>
          <w:lang w:val="es-ES_tradnl"/>
        </w:rPr>
        <w:t>enal de Puerto Escondido</w:t>
      </w:r>
      <w:r w:rsidR="003C3B20">
        <w:rPr>
          <w:rFonts w:eastAsia="Calibri"/>
          <w:lang w:val="es-ES_tradnl"/>
        </w:rPr>
        <w:t xml:space="preserve">, </w:t>
      </w:r>
      <w:r w:rsidR="003C3B20" w:rsidRPr="00FA51D5">
        <w:rPr>
          <w:rFonts w:eastAsia="Calibri"/>
          <w:lang w:val="es-ES_tradnl"/>
        </w:rPr>
        <w:t xml:space="preserve">Javier Rodríguez </w:t>
      </w:r>
      <w:r w:rsidR="003C3B20">
        <w:rPr>
          <w:rFonts w:eastAsia="Calibri"/>
          <w:lang w:val="es-ES_tradnl"/>
        </w:rPr>
        <w:t>Peña</w:t>
      </w:r>
      <w:r w:rsidR="003C3B20" w:rsidRPr="00FA51D5">
        <w:rPr>
          <w:rFonts w:eastAsia="Calibri"/>
          <w:lang w:val="es-ES_tradnl"/>
        </w:rPr>
        <w:t xml:space="preserve"> </w:t>
      </w:r>
      <w:r w:rsidR="00182CCC">
        <w:rPr>
          <w:rFonts w:eastAsia="Calibri"/>
          <w:lang w:val="es-ES_tradnl"/>
        </w:rPr>
        <w:t>negó</w:t>
      </w:r>
      <w:r w:rsidR="00D17F02" w:rsidRPr="00FA51D5">
        <w:rPr>
          <w:rFonts w:eastAsia="Calibri"/>
          <w:lang w:val="es-ES_tradnl"/>
        </w:rPr>
        <w:t xml:space="preserve"> los hechos y manif</w:t>
      </w:r>
      <w:r w:rsidR="00182CCC">
        <w:rPr>
          <w:rFonts w:eastAsia="Calibri"/>
          <w:lang w:val="es-ES_tradnl"/>
        </w:rPr>
        <w:t>estó</w:t>
      </w:r>
      <w:r w:rsidR="00D17F02" w:rsidRPr="00FA51D5">
        <w:rPr>
          <w:rFonts w:eastAsia="Calibri"/>
          <w:lang w:val="es-ES_tradnl"/>
        </w:rPr>
        <w:t xml:space="preserve"> que </w:t>
      </w:r>
      <w:r w:rsidR="00D17F02" w:rsidRPr="00E02EC1">
        <w:rPr>
          <w:rFonts w:eastAsia="Calibri"/>
          <w:lang w:val="es-ES_tradnl"/>
        </w:rPr>
        <w:t xml:space="preserve">fue </w:t>
      </w:r>
      <w:r w:rsidR="00B34F65">
        <w:rPr>
          <w:rFonts w:eastAsia="Calibri"/>
          <w:lang w:val="es-ES_tradnl"/>
        </w:rPr>
        <w:t>golpeado</w:t>
      </w:r>
      <w:r w:rsidR="00E02EC1" w:rsidRPr="00396DF2">
        <w:rPr>
          <w:rFonts w:eastAsia="SimSun"/>
          <w:lang w:val="es-ES_tradnl" w:eastAsia="zh-CN"/>
        </w:rPr>
        <w:t xml:space="preserve"> por </w:t>
      </w:r>
      <w:r w:rsidR="00E02EC1">
        <w:rPr>
          <w:rFonts w:eastAsia="Calibri"/>
          <w:lang w:val="es-ES_tradnl"/>
        </w:rPr>
        <w:t>el agente</w:t>
      </w:r>
      <w:r w:rsidR="00E02EC1" w:rsidRPr="00FA51D5">
        <w:rPr>
          <w:rFonts w:eastAsia="Calibri"/>
          <w:lang w:val="es-ES_tradnl"/>
        </w:rPr>
        <w:t xml:space="preserve"> </w:t>
      </w:r>
      <w:r w:rsidR="00E02EC1" w:rsidRPr="00860DFD">
        <w:rPr>
          <w:rFonts w:eastAsia="SimSun"/>
          <w:lang w:val="es-ES_tradnl" w:eastAsia="zh-CN"/>
        </w:rPr>
        <w:t>de la Policía Ministerial de Oaxaca</w:t>
      </w:r>
      <w:r w:rsidR="00E02EC1" w:rsidRPr="00FA51D5">
        <w:rPr>
          <w:rFonts w:eastAsia="Calibri"/>
          <w:lang w:val="es-ES_tradnl"/>
        </w:rPr>
        <w:t xml:space="preserve"> a cargo de la investigación</w:t>
      </w:r>
      <w:r w:rsidR="00E02EC1" w:rsidRPr="00860DFD">
        <w:rPr>
          <w:rFonts w:eastAsia="Calibri"/>
          <w:lang w:val="es-ES_tradnl"/>
        </w:rPr>
        <w:t>, Juan Lu</w:t>
      </w:r>
      <w:r w:rsidR="00E77A6A">
        <w:rPr>
          <w:rFonts w:eastAsia="Calibri"/>
          <w:lang w:val="es-ES_tradnl"/>
        </w:rPr>
        <w:t>i</w:t>
      </w:r>
      <w:r w:rsidR="00E02EC1" w:rsidRPr="00860DFD">
        <w:rPr>
          <w:rFonts w:eastAsia="Calibri"/>
          <w:lang w:val="es-ES_tradnl"/>
        </w:rPr>
        <w:t>s Vásquez Martínez</w:t>
      </w:r>
      <w:r w:rsidR="00E02EC1">
        <w:rPr>
          <w:rFonts w:eastAsia="Calibri"/>
          <w:lang w:val="es-ES_tradnl"/>
        </w:rPr>
        <w:t>,</w:t>
      </w:r>
      <w:r w:rsidR="00E02EC1" w:rsidRPr="002D3DEB">
        <w:rPr>
          <w:rFonts w:eastAsia="SimSun"/>
          <w:lang w:val="es-ES_tradnl" w:eastAsia="zh-CN"/>
        </w:rPr>
        <w:t xml:space="preserve"> </w:t>
      </w:r>
      <w:r w:rsidR="00D17F02" w:rsidRPr="00E02EC1">
        <w:rPr>
          <w:rFonts w:eastAsia="Calibri"/>
          <w:lang w:val="es-ES_tradnl"/>
        </w:rPr>
        <w:t xml:space="preserve">para </w:t>
      </w:r>
      <w:r w:rsidR="005A06DC">
        <w:rPr>
          <w:rFonts w:eastAsia="Calibri"/>
          <w:lang w:val="es-ES_tradnl"/>
        </w:rPr>
        <w:t xml:space="preserve">que diga </w:t>
      </w:r>
      <w:r w:rsidR="00EF77B4">
        <w:rPr>
          <w:rFonts w:eastAsia="Calibri"/>
          <w:lang w:val="es-ES_tradnl"/>
        </w:rPr>
        <w:t>que</w:t>
      </w:r>
      <w:r w:rsidR="00B168CA">
        <w:rPr>
          <w:rFonts w:eastAsia="Calibri"/>
          <w:lang w:val="es-ES_tradnl"/>
        </w:rPr>
        <w:t xml:space="preserve"> </w:t>
      </w:r>
      <w:r w:rsidR="00676497" w:rsidRPr="00676497">
        <w:rPr>
          <w:rFonts w:eastAsia="Calibri"/>
          <w:lang w:val="es-ES_tradnl"/>
        </w:rPr>
        <w:t xml:space="preserve">Honorio Corcuera </w:t>
      </w:r>
      <w:r w:rsidR="00B168CA">
        <w:rPr>
          <w:rFonts w:eastAsia="Calibri"/>
          <w:lang w:val="es-ES_tradnl"/>
        </w:rPr>
        <w:t>había</w:t>
      </w:r>
      <w:r w:rsidR="00E02EC1">
        <w:rPr>
          <w:rFonts w:eastAsia="Calibri"/>
          <w:lang w:val="es-ES_tradnl"/>
        </w:rPr>
        <w:t xml:space="preserve"> </w:t>
      </w:r>
      <w:r w:rsidR="00B168CA" w:rsidRPr="00396DF2">
        <w:rPr>
          <w:rFonts w:eastAsia="SimSun"/>
          <w:lang w:val="es-ES_tradnl" w:eastAsia="zh-CN"/>
        </w:rPr>
        <w:t xml:space="preserve">asesinado </w:t>
      </w:r>
      <w:r w:rsidR="00B168CA">
        <w:rPr>
          <w:rFonts w:eastAsia="SimSun"/>
          <w:lang w:val="es-ES_tradnl" w:eastAsia="zh-CN"/>
        </w:rPr>
        <w:t>a</w:t>
      </w:r>
      <w:r w:rsidR="002D3DEB" w:rsidRPr="00396DF2">
        <w:rPr>
          <w:rFonts w:eastAsia="SimSun"/>
          <w:lang w:val="es-ES_tradnl" w:eastAsia="zh-CN"/>
        </w:rPr>
        <w:t xml:space="preserve">l </w:t>
      </w:r>
      <w:r w:rsidR="00906426">
        <w:rPr>
          <w:rFonts w:eastAsia="SimSun"/>
          <w:lang w:val="es-ES_tradnl" w:eastAsia="zh-CN"/>
        </w:rPr>
        <w:t>Sr.</w:t>
      </w:r>
      <w:r w:rsidR="002D3DEB" w:rsidRPr="00396DF2">
        <w:rPr>
          <w:rFonts w:eastAsia="SimSun"/>
          <w:lang w:val="es-ES_tradnl" w:eastAsia="zh-CN"/>
        </w:rPr>
        <w:t xml:space="preserve"> </w:t>
      </w:r>
      <w:r w:rsidR="00906426" w:rsidRPr="00906426">
        <w:rPr>
          <w:rFonts w:eastAsia="SimSun"/>
          <w:lang w:val="es-ES_tradnl" w:eastAsia="zh-CN"/>
        </w:rPr>
        <w:t>Moreno Pérez</w:t>
      </w:r>
      <w:r w:rsidR="00B168CA">
        <w:rPr>
          <w:rFonts w:eastAsia="SimSun"/>
          <w:lang w:val="es-ES_tradnl" w:eastAsia="zh-CN"/>
        </w:rPr>
        <w:t xml:space="preserve">. </w:t>
      </w:r>
      <w:r w:rsidR="00676497">
        <w:rPr>
          <w:rFonts w:eastAsia="SimSun"/>
          <w:lang w:val="es-ES_tradnl" w:eastAsia="zh-CN"/>
        </w:rPr>
        <w:t>En este sentido</w:t>
      </w:r>
      <w:r w:rsidR="00B168CA">
        <w:rPr>
          <w:rFonts w:eastAsia="SimSun"/>
          <w:lang w:val="es-ES_tradnl" w:eastAsia="zh-CN"/>
        </w:rPr>
        <w:t>, declaró</w:t>
      </w:r>
      <w:r w:rsidR="00364F68">
        <w:rPr>
          <w:rFonts w:eastAsia="SimSun"/>
          <w:lang w:val="es-ES_tradnl" w:eastAsia="zh-CN"/>
        </w:rPr>
        <w:t xml:space="preserve"> </w:t>
      </w:r>
      <w:r w:rsidR="00364F68" w:rsidRPr="00364F68">
        <w:rPr>
          <w:rFonts w:eastAsia="SimSun"/>
          <w:lang w:val="es-ES_tradnl" w:eastAsia="zh-CN"/>
        </w:rPr>
        <w:t xml:space="preserve">“el comandante Juan de Oaxaca, quien me detuvo, </w:t>
      </w:r>
      <w:r w:rsidR="00685792">
        <w:rPr>
          <w:rFonts w:eastAsia="SimSun"/>
          <w:lang w:val="es-ES_tradnl" w:eastAsia="zh-CN"/>
        </w:rPr>
        <w:t xml:space="preserve">me golpeó hasta donde él quiso </w:t>
      </w:r>
      <w:r w:rsidR="000C2893">
        <w:rPr>
          <w:rFonts w:eastAsia="SimSun"/>
          <w:lang w:val="es-ES_tradnl" w:eastAsia="zh-CN"/>
        </w:rPr>
        <w:t xml:space="preserve">y </w:t>
      </w:r>
      <w:r w:rsidR="000C2893" w:rsidRPr="00364F68">
        <w:rPr>
          <w:rFonts w:eastAsia="SimSun"/>
          <w:lang w:val="es-ES_tradnl" w:eastAsia="zh-CN"/>
        </w:rPr>
        <w:t xml:space="preserve">me estaba dando un millón de pesos </w:t>
      </w:r>
      <w:r w:rsidR="000C2893">
        <w:rPr>
          <w:rFonts w:eastAsia="SimSun"/>
          <w:lang w:val="es-ES_tradnl" w:eastAsia="zh-CN"/>
        </w:rPr>
        <w:t>para que</w:t>
      </w:r>
      <w:r w:rsidR="00685792">
        <w:rPr>
          <w:rFonts w:eastAsia="SimSun"/>
          <w:lang w:val="es-ES_tradnl" w:eastAsia="zh-CN"/>
        </w:rPr>
        <w:t xml:space="preserve"> declarara en contra de Honorio</w:t>
      </w:r>
      <w:r w:rsidR="00364F68">
        <w:rPr>
          <w:rFonts w:eastAsia="SimSun"/>
          <w:lang w:val="es-ES_tradnl" w:eastAsia="zh-CN"/>
        </w:rPr>
        <w:t>”</w:t>
      </w:r>
      <w:r w:rsidR="00D17F02" w:rsidRPr="00860DFD">
        <w:rPr>
          <w:rStyle w:val="Refdenotaalpie"/>
          <w:rFonts w:eastAsia="Calibri"/>
          <w:lang w:val="es-ES_tradnl"/>
        </w:rPr>
        <w:footnoteReference w:id="20"/>
      </w:r>
      <w:r w:rsidR="00364F68">
        <w:rPr>
          <w:rFonts w:eastAsia="SimSun"/>
          <w:lang w:val="es-ES_tradnl" w:eastAsia="zh-CN"/>
        </w:rPr>
        <w:t>.</w:t>
      </w:r>
      <w:r w:rsidR="00D17F02" w:rsidRPr="00860DFD">
        <w:rPr>
          <w:lang w:val="es-ES"/>
        </w:rPr>
        <w:t xml:space="preserve"> </w:t>
      </w:r>
      <w:r w:rsidR="00170422">
        <w:rPr>
          <w:rFonts w:eastAsia="SimSun"/>
          <w:lang w:val="es-ES_tradnl" w:eastAsia="zh-CN"/>
        </w:rPr>
        <w:t>Honorio Corcuera declar</w:t>
      </w:r>
      <w:r w:rsidR="00170422" w:rsidRPr="004C2E22">
        <w:rPr>
          <w:rFonts w:eastAsia="SimSun"/>
          <w:lang w:val="es-ES_tradnl" w:eastAsia="zh-CN"/>
        </w:rPr>
        <w:t xml:space="preserve">ó </w:t>
      </w:r>
      <w:r w:rsidR="0037229C">
        <w:rPr>
          <w:rFonts w:eastAsia="SimSun"/>
          <w:lang w:val="es-ES_tradnl" w:eastAsia="zh-CN"/>
        </w:rPr>
        <w:t>ante el juez</w:t>
      </w:r>
      <w:r w:rsidR="00FB0A18">
        <w:rPr>
          <w:rFonts w:eastAsia="SimSun"/>
          <w:lang w:val="es-ES_tradnl" w:eastAsia="zh-CN"/>
        </w:rPr>
        <w:t xml:space="preserve"> que el mismo agente</w:t>
      </w:r>
      <w:r w:rsidR="0037229C">
        <w:rPr>
          <w:rFonts w:eastAsia="SimSun"/>
          <w:lang w:val="es-ES_tradnl" w:eastAsia="zh-CN"/>
        </w:rPr>
        <w:t xml:space="preserve"> </w:t>
      </w:r>
      <w:r w:rsidR="00FB0A18">
        <w:rPr>
          <w:rFonts w:eastAsia="SimSun"/>
          <w:lang w:val="es-ES_tradnl" w:eastAsia="zh-CN"/>
        </w:rPr>
        <w:t>lo</w:t>
      </w:r>
      <w:r w:rsidR="0037229C" w:rsidRPr="004C2E22">
        <w:rPr>
          <w:rFonts w:eastAsia="SimSun"/>
          <w:lang w:val="es-ES_tradnl" w:eastAsia="zh-CN"/>
        </w:rPr>
        <w:t xml:space="preserve"> golpeó </w:t>
      </w:r>
      <w:r w:rsidR="00FB0A18">
        <w:rPr>
          <w:rFonts w:eastAsia="SimSun"/>
          <w:lang w:val="es-ES_tradnl" w:eastAsia="zh-CN"/>
        </w:rPr>
        <w:t>y amenazó con</w:t>
      </w:r>
      <w:r w:rsidR="0037229C" w:rsidRPr="004C2E22">
        <w:rPr>
          <w:rFonts w:eastAsia="SimSun"/>
          <w:lang w:val="es-ES_tradnl" w:eastAsia="zh-CN"/>
        </w:rPr>
        <w:t xml:space="preserve"> detener a </w:t>
      </w:r>
      <w:r w:rsidR="00FB0A18">
        <w:rPr>
          <w:rFonts w:eastAsia="SimSun"/>
          <w:lang w:val="es-ES_tradnl" w:eastAsia="zh-CN"/>
        </w:rPr>
        <w:t>su</w:t>
      </w:r>
      <w:r w:rsidR="0037229C" w:rsidRPr="004C2E22">
        <w:rPr>
          <w:rFonts w:eastAsia="SimSun"/>
          <w:lang w:val="es-ES_tradnl" w:eastAsia="zh-CN"/>
        </w:rPr>
        <w:t xml:space="preserve"> familia</w:t>
      </w:r>
      <w:r w:rsidR="00FB0A18">
        <w:rPr>
          <w:rFonts w:eastAsia="SimSun"/>
          <w:lang w:val="es-ES_tradnl" w:eastAsia="zh-CN"/>
        </w:rPr>
        <w:t>, para que declarar</w:t>
      </w:r>
      <w:r w:rsidR="00751EA1">
        <w:rPr>
          <w:rFonts w:eastAsia="SimSun"/>
          <w:lang w:val="es-ES_tradnl" w:eastAsia="zh-CN"/>
        </w:rPr>
        <w:t>a</w:t>
      </w:r>
      <w:r w:rsidR="00FB0A18">
        <w:rPr>
          <w:rFonts w:eastAsia="SimSun"/>
          <w:lang w:val="es-ES_tradnl" w:eastAsia="zh-CN"/>
        </w:rPr>
        <w:t xml:space="preserve"> en contra de </w:t>
      </w:r>
      <w:r w:rsidR="00FB0A18" w:rsidRPr="00FA51D5">
        <w:rPr>
          <w:rFonts w:eastAsia="Calibri"/>
          <w:lang w:val="es-ES_tradnl"/>
        </w:rPr>
        <w:t xml:space="preserve">Javier Rodríguez </w:t>
      </w:r>
      <w:r w:rsidR="00FB0A18">
        <w:rPr>
          <w:rFonts w:eastAsia="Calibri"/>
          <w:lang w:val="es-ES_tradnl"/>
        </w:rPr>
        <w:t>Peña</w:t>
      </w:r>
      <w:r w:rsidR="00FB0A18">
        <w:rPr>
          <w:rFonts w:eastAsia="SimSun"/>
          <w:lang w:val="es-ES_tradnl" w:eastAsia="zh-CN"/>
        </w:rPr>
        <w:t>:</w:t>
      </w:r>
      <w:r w:rsidR="0037229C" w:rsidRPr="004C2E22">
        <w:rPr>
          <w:rFonts w:eastAsia="SimSun"/>
          <w:lang w:val="es-ES_tradnl" w:eastAsia="zh-CN"/>
        </w:rPr>
        <w:t xml:space="preserve"> </w:t>
      </w:r>
      <w:r w:rsidR="0037229C">
        <w:rPr>
          <w:rFonts w:eastAsia="SimSun"/>
          <w:lang w:val="es-ES_tradnl" w:eastAsia="zh-CN"/>
        </w:rPr>
        <w:t>“me puso</w:t>
      </w:r>
      <w:r w:rsidR="0037229C" w:rsidRPr="004C2E22">
        <w:rPr>
          <w:rFonts w:eastAsia="SimSun"/>
          <w:lang w:val="es-ES_tradnl" w:eastAsia="zh-CN"/>
        </w:rPr>
        <w:t xml:space="preserve"> una bolsa en la cabeza </w:t>
      </w:r>
      <w:r w:rsidR="0037229C">
        <w:rPr>
          <w:rFonts w:eastAsia="SimSun"/>
          <w:lang w:val="es-ES_tradnl" w:eastAsia="zh-CN"/>
        </w:rPr>
        <w:t>y me echaba agua en la cara;</w:t>
      </w:r>
      <w:r w:rsidR="0037229C" w:rsidRPr="004C2E22">
        <w:rPr>
          <w:rFonts w:eastAsia="SimSun"/>
          <w:lang w:val="es-ES_tradnl" w:eastAsia="zh-CN"/>
        </w:rPr>
        <w:t xml:space="preserve"> </w:t>
      </w:r>
      <w:r w:rsidR="0037229C">
        <w:rPr>
          <w:rFonts w:eastAsia="SimSun"/>
          <w:lang w:val="es-ES_tradnl" w:eastAsia="zh-CN"/>
        </w:rPr>
        <w:t xml:space="preserve">me iba a entregar 40.000 pesos”. </w:t>
      </w:r>
      <w:r w:rsidR="00132C59">
        <w:rPr>
          <w:rFonts w:eastAsia="SimSun"/>
          <w:lang w:val="es-ES_tradnl" w:eastAsia="zh-CN"/>
        </w:rPr>
        <w:t xml:space="preserve">El tercer inculpado, </w:t>
      </w:r>
      <w:r w:rsidR="009A5520" w:rsidRPr="009A5520">
        <w:rPr>
          <w:rFonts w:eastAsia="SimSun"/>
          <w:lang w:val="es-ES_tradnl" w:eastAsia="zh-CN"/>
        </w:rPr>
        <w:t>Margarito González</w:t>
      </w:r>
      <w:r w:rsidR="001B10F7">
        <w:rPr>
          <w:rFonts w:eastAsia="SimSun"/>
          <w:lang w:val="es-ES_tradnl" w:eastAsia="zh-CN"/>
        </w:rPr>
        <w:t>,</w:t>
      </w:r>
      <w:r w:rsidR="009A5520" w:rsidRPr="009A5520">
        <w:rPr>
          <w:rFonts w:eastAsia="SimSun"/>
          <w:lang w:val="es-ES_tradnl" w:eastAsia="zh-CN"/>
        </w:rPr>
        <w:t xml:space="preserve"> </w:t>
      </w:r>
      <w:r w:rsidR="0037229C">
        <w:rPr>
          <w:rFonts w:eastAsia="SimSun"/>
          <w:lang w:val="es-ES_tradnl" w:eastAsia="zh-CN"/>
        </w:rPr>
        <w:t xml:space="preserve">declaró </w:t>
      </w:r>
      <w:r w:rsidR="001B10F7">
        <w:rPr>
          <w:rFonts w:eastAsia="SimSun"/>
          <w:lang w:val="es-ES_tradnl" w:eastAsia="zh-CN"/>
        </w:rPr>
        <w:t xml:space="preserve">el mismo día </w:t>
      </w:r>
      <w:r w:rsidR="0037229C">
        <w:rPr>
          <w:rFonts w:eastAsia="SimSun"/>
          <w:lang w:val="es-ES_tradnl" w:eastAsia="zh-CN"/>
        </w:rPr>
        <w:t>ante el juez</w:t>
      </w:r>
      <w:r w:rsidR="00A733EA">
        <w:rPr>
          <w:rFonts w:eastAsia="SimSun"/>
          <w:lang w:val="es-ES_tradnl" w:eastAsia="zh-CN"/>
        </w:rPr>
        <w:t>:</w:t>
      </w:r>
      <w:r w:rsidR="004C2E22" w:rsidRPr="004C2E22">
        <w:rPr>
          <w:rFonts w:eastAsia="SimSun"/>
          <w:lang w:val="es-ES_tradnl" w:eastAsia="zh-CN"/>
        </w:rPr>
        <w:t xml:space="preserve"> </w:t>
      </w:r>
      <w:r w:rsidR="00A733EA" w:rsidRPr="004C2E22">
        <w:rPr>
          <w:rFonts w:eastAsia="SimSun"/>
          <w:lang w:val="es-ES_tradnl" w:eastAsia="zh-CN"/>
        </w:rPr>
        <w:t xml:space="preserve">el agente me </w:t>
      </w:r>
      <w:r w:rsidR="00A733EA">
        <w:rPr>
          <w:rFonts w:eastAsia="SimSun"/>
          <w:lang w:val="es-ES_tradnl" w:eastAsia="zh-CN"/>
        </w:rPr>
        <w:t xml:space="preserve">dijo que </w:t>
      </w:r>
      <w:r w:rsidR="004C2E22" w:rsidRPr="004C2E22">
        <w:rPr>
          <w:rFonts w:eastAsia="SimSun"/>
          <w:lang w:val="es-ES_tradnl" w:eastAsia="zh-CN"/>
        </w:rPr>
        <w:t>“a la buena o a la mala</w:t>
      </w:r>
      <w:r w:rsidR="00A733EA">
        <w:rPr>
          <w:rFonts w:eastAsia="SimSun"/>
          <w:lang w:val="es-ES_tradnl" w:eastAsia="zh-CN"/>
        </w:rPr>
        <w:t>” me</w:t>
      </w:r>
      <w:r w:rsidR="004C2E22" w:rsidRPr="004C2E22">
        <w:rPr>
          <w:rFonts w:eastAsia="SimSun"/>
          <w:lang w:val="es-ES_tradnl" w:eastAsia="zh-CN"/>
        </w:rPr>
        <w:t xml:space="preserve"> </w:t>
      </w:r>
      <w:r w:rsidR="00A733EA">
        <w:rPr>
          <w:rFonts w:eastAsia="SimSun"/>
          <w:lang w:val="es-ES_tradnl" w:eastAsia="zh-CN"/>
        </w:rPr>
        <w:t>iba a llevar con el juez;</w:t>
      </w:r>
      <w:r w:rsidR="004C2E22" w:rsidRPr="004C2E22">
        <w:rPr>
          <w:rFonts w:eastAsia="SimSun"/>
          <w:lang w:val="es-ES_tradnl" w:eastAsia="zh-CN"/>
        </w:rPr>
        <w:t xml:space="preserve"> me </w:t>
      </w:r>
      <w:r w:rsidR="00A733EA">
        <w:rPr>
          <w:rFonts w:eastAsia="SimSun"/>
          <w:lang w:val="es-ES_tradnl" w:eastAsia="zh-CN"/>
        </w:rPr>
        <w:t>dio</w:t>
      </w:r>
      <w:r w:rsidR="004C2E22" w:rsidRPr="004C2E22">
        <w:rPr>
          <w:rFonts w:eastAsia="SimSun"/>
          <w:lang w:val="es-ES_tradnl" w:eastAsia="zh-CN"/>
        </w:rPr>
        <w:t xml:space="preserve"> </w:t>
      </w:r>
      <w:r w:rsidR="00A733EA">
        <w:rPr>
          <w:rFonts w:eastAsia="SimSun"/>
          <w:lang w:val="es-ES_tradnl" w:eastAsia="zh-CN"/>
        </w:rPr>
        <w:t>“un golpe y me llevó</w:t>
      </w:r>
      <w:r w:rsidR="004C2E22" w:rsidRPr="004C2E22">
        <w:rPr>
          <w:rFonts w:eastAsia="SimSun"/>
          <w:lang w:val="es-ES_tradnl" w:eastAsia="zh-CN"/>
        </w:rPr>
        <w:t xml:space="preserve"> diciendo que aceptara que yo anduviera con el muchacho, que me iba a convenir; me subieron a una camioneta, me pusieron unas bolsas en la cabeza para que me descontrolara y firm</w:t>
      </w:r>
      <w:r w:rsidR="000C18D9">
        <w:rPr>
          <w:rFonts w:eastAsia="SimSun"/>
          <w:lang w:val="es-ES_tradnl" w:eastAsia="zh-CN"/>
        </w:rPr>
        <w:t>é</w:t>
      </w:r>
      <w:r w:rsidR="004C2E22" w:rsidRPr="004C2E22">
        <w:rPr>
          <w:rFonts w:eastAsia="SimSun"/>
          <w:lang w:val="es-ES_tradnl" w:eastAsia="zh-CN"/>
        </w:rPr>
        <w:t xml:space="preserve"> unos documentos; después otro me golpeó y me amenazó con decir que era de un cartel, y me amenazaron con mi familia”</w:t>
      </w:r>
      <w:r w:rsidR="00593F27" w:rsidRPr="00396ECD">
        <w:rPr>
          <w:rStyle w:val="Refdenotaalpie"/>
          <w:rFonts w:eastAsia="SimSun"/>
          <w:lang w:val="es-ES_tradnl" w:eastAsia="zh-CN"/>
        </w:rPr>
        <w:footnoteReference w:id="21"/>
      </w:r>
      <w:r w:rsidR="004C2E22">
        <w:rPr>
          <w:rFonts w:eastAsia="SimSun"/>
          <w:lang w:val="es-ES_tradnl" w:eastAsia="zh-CN"/>
        </w:rPr>
        <w:t>.</w:t>
      </w:r>
      <w:r w:rsidR="009A5520" w:rsidRPr="00396ECD">
        <w:rPr>
          <w:rFonts w:eastAsia="SimSun"/>
          <w:lang w:val="es-ES_tradnl" w:eastAsia="zh-CN"/>
        </w:rPr>
        <w:t xml:space="preserve"> </w:t>
      </w:r>
      <w:r w:rsidR="000C18D9">
        <w:rPr>
          <w:rFonts w:eastAsia="Calibri"/>
          <w:lang w:val="es-ES_tradnl"/>
        </w:rPr>
        <w:t>E</w:t>
      </w:r>
      <w:r w:rsidR="00817161" w:rsidRPr="00047145">
        <w:rPr>
          <w:rFonts w:eastAsia="Calibri"/>
          <w:lang w:val="es-ES_tradnl"/>
        </w:rPr>
        <w:t>l</w:t>
      </w:r>
      <w:r w:rsidR="00817161">
        <w:rPr>
          <w:rFonts w:eastAsia="Calibri"/>
          <w:lang w:val="es-ES_tradnl"/>
        </w:rPr>
        <w:t xml:space="preserve"> </w:t>
      </w:r>
      <w:r w:rsidR="000C18D9">
        <w:rPr>
          <w:rFonts w:eastAsia="Calibri"/>
          <w:lang w:val="es-ES_tradnl"/>
        </w:rPr>
        <w:t>j</w:t>
      </w:r>
      <w:r w:rsidR="000C18D9" w:rsidRPr="00D66CD9">
        <w:rPr>
          <w:rFonts w:eastAsia="Calibri"/>
          <w:lang w:val="es-ES_tradnl"/>
        </w:rPr>
        <w:t>uez</w:t>
      </w:r>
      <w:r w:rsidR="000C18D9">
        <w:rPr>
          <w:rFonts w:eastAsia="Calibri"/>
          <w:lang w:val="es-ES_tradnl"/>
        </w:rPr>
        <w:t xml:space="preserve"> </w:t>
      </w:r>
      <w:r w:rsidR="00817161">
        <w:rPr>
          <w:rFonts w:eastAsia="Calibri"/>
          <w:lang w:val="es-ES_tradnl"/>
        </w:rPr>
        <w:t xml:space="preserve">no abrió investigación de oficio por los hechos </w:t>
      </w:r>
      <w:r w:rsidR="001F49D4">
        <w:rPr>
          <w:rFonts w:eastAsia="Calibri"/>
          <w:lang w:val="es-ES_tradnl"/>
        </w:rPr>
        <w:t>denunciados, sino que</w:t>
      </w:r>
      <w:r w:rsidR="00817161">
        <w:rPr>
          <w:rFonts w:eastAsia="Calibri"/>
          <w:lang w:val="es-ES_tradnl"/>
        </w:rPr>
        <w:t xml:space="preserve"> </w:t>
      </w:r>
      <w:r w:rsidR="00817161">
        <w:rPr>
          <w:rFonts w:eastAsia="Calibri"/>
          <w:lang w:val="es-ES_tradnl"/>
        </w:rPr>
        <w:lastRenderedPageBreak/>
        <w:t xml:space="preserve">prosiguió con el proceso penal en contra de los cuatro imputados, por </w:t>
      </w:r>
      <w:r w:rsidR="00817161" w:rsidRPr="00047145">
        <w:rPr>
          <w:rFonts w:eastAsia="Calibri"/>
          <w:lang w:val="es-ES_tradnl"/>
        </w:rPr>
        <w:t xml:space="preserve">robo calificado </w:t>
      </w:r>
      <w:r w:rsidR="00817161">
        <w:rPr>
          <w:rFonts w:eastAsia="Calibri"/>
          <w:lang w:val="es-ES_tradnl"/>
        </w:rPr>
        <w:t>con violencia física, y por</w:t>
      </w:r>
      <w:r w:rsidR="00817161" w:rsidRPr="00047145">
        <w:rPr>
          <w:rFonts w:eastAsia="Calibri"/>
          <w:lang w:val="es-ES_tradnl"/>
        </w:rPr>
        <w:t xml:space="preserve"> </w:t>
      </w:r>
      <w:r w:rsidR="00817161">
        <w:rPr>
          <w:rFonts w:eastAsia="Calibri"/>
          <w:lang w:val="es-ES_tradnl"/>
        </w:rPr>
        <w:t>homicidio calificado</w:t>
      </w:r>
      <w:r w:rsidR="00817161" w:rsidRPr="00047145">
        <w:rPr>
          <w:rFonts w:eastAsia="Calibri"/>
          <w:lang w:val="es-ES_tradnl"/>
        </w:rPr>
        <w:t xml:space="preserve"> con las agrava</w:t>
      </w:r>
      <w:r w:rsidR="00817161">
        <w:rPr>
          <w:rFonts w:eastAsia="Calibri"/>
          <w:lang w:val="es-ES_tradnl"/>
        </w:rPr>
        <w:t>n</w:t>
      </w:r>
      <w:r w:rsidR="004A2990">
        <w:rPr>
          <w:rFonts w:eastAsia="Calibri"/>
          <w:lang w:val="es-ES_tradnl"/>
        </w:rPr>
        <w:t>tes de premeditación y ventaja</w:t>
      </w:r>
      <w:r w:rsidR="00665DAB">
        <w:rPr>
          <w:rStyle w:val="Refdenotaalpie"/>
          <w:rFonts w:eastAsia="Calibri"/>
          <w:lang w:val="es-ES_tradnl"/>
        </w:rPr>
        <w:footnoteReference w:id="22"/>
      </w:r>
      <w:r w:rsidR="00751EA1">
        <w:rPr>
          <w:rFonts w:eastAsia="Calibri"/>
          <w:lang w:val="es-ES_tradnl"/>
        </w:rPr>
        <w:t>.</w:t>
      </w:r>
    </w:p>
    <w:p w14:paraId="3AC9E6FA" w14:textId="55C24F58" w:rsidR="00817161" w:rsidRPr="00855163" w:rsidRDefault="001F49D4" w:rsidP="00817161">
      <w:pPr>
        <w:pStyle w:val="SingleTxtG"/>
        <w:rPr>
          <w:color w:val="000000"/>
          <w:lang w:val="es-ES_tradnl"/>
        </w:rPr>
      </w:pPr>
      <w:r>
        <w:rPr>
          <w:rFonts w:eastAsia="Calibri"/>
          <w:lang w:val="es-ES_tradnl"/>
        </w:rPr>
        <w:t>2.</w:t>
      </w:r>
      <w:r w:rsidR="00D52B7C">
        <w:rPr>
          <w:rFonts w:eastAsia="Calibri"/>
          <w:lang w:val="es-ES_tradnl"/>
        </w:rPr>
        <w:t>20</w:t>
      </w:r>
      <w:r>
        <w:rPr>
          <w:rFonts w:eastAsia="Calibri"/>
          <w:lang w:val="es-ES_tradnl"/>
        </w:rPr>
        <w:tab/>
      </w:r>
      <w:r w:rsidR="007C1B24">
        <w:rPr>
          <w:rFonts w:eastAsia="Calibri"/>
          <w:lang w:val="es-ES_tradnl"/>
        </w:rPr>
        <w:t>E</w:t>
      </w:r>
      <w:r w:rsidR="007C1B24">
        <w:rPr>
          <w:color w:val="000000"/>
          <w:lang w:val="es-ES_tradnl"/>
        </w:rPr>
        <w:t>l 7 de enero de 2012, el j</w:t>
      </w:r>
      <w:r w:rsidR="00817161" w:rsidRPr="00B265DE">
        <w:rPr>
          <w:color w:val="000000"/>
          <w:lang w:val="es-ES_tradnl"/>
        </w:rPr>
        <w:t>uez dictó auto de formal prisión en contra de Javier Rodríguez Peña</w:t>
      </w:r>
      <w:r w:rsidR="004465D8">
        <w:rPr>
          <w:color w:val="000000"/>
          <w:lang w:val="es-ES_tradnl"/>
        </w:rPr>
        <w:t>, confirmado</w:t>
      </w:r>
      <w:r w:rsidR="00817161" w:rsidRPr="00B265DE">
        <w:rPr>
          <w:color w:val="000000"/>
          <w:lang w:val="es-ES_tradnl"/>
        </w:rPr>
        <w:t xml:space="preserve"> </w:t>
      </w:r>
      <w:r w:rsidR="004465D8" w:rsidRPr="00B265DE">
        <w:rPr>
          <w:color w:val="000000"/>
          <w:lang w:val="es-ES_tradnl"/>
        </w:rPr>
        <w:t>el 17 de enero de 2013</w:t>
      </w:r>
      <w:r w:rsidR="004465D8">
        <w:rPr>
          <w:color w:val="000000"/>
          <w:lang w:val="es-ES_tradnl"/>
        </w:rPr>
        <w:t xml:space="preserve"> a</w:t>
      </w:r>
      <w:r w:rsidR="00817161">
        <w:rPr>
          <w:color w:val="000000"/>
          <w:lang w:val="es-ES_tradnl"/>
        </w:rPr>
        <w:t xml:space="preserve"> raíz de un recurso de apelació</w:t>
      </w:r>
      <w:r w:rsidR="004465D8">
        <w:rPr>
          <w:color w:val="000000"/>
          <w:lang w:val="es-ES_tradnl"/>
        </w:rPr>
        <w:t>n</w:t>
      </w:r>
      <w:r w:rsidR="00817161" w:rsidRPr="005F5413">
        <w:rPr>
          <w:color w:val="000000"/>
          <w:lang w:val="es-ES_tradnl"/>
        </w:rPr>
        <w:t>.</w:t>
      </w:r>
      <w:r w:rsidR="00817161">
        <w:rPr>
          <w:color w:val="000000"/>
          <w:lang w:val="es-ES_tradnl"/>
        </w:rPr>
        <w:t xml:space="preserve"> </w:t>
      </w:r>
      <w:r w:rsidR="00D4159B">
        <w:rPr>
          <w:color w:val="000000"/>
          <w:lang w:val="es-ES_tradnl"/>
        </w:rPr>
        <w:t>E</w:t>
      </w:r>
      <w:r w:rsidR="00817161" w:rsidRPr="008D1DF8">
        <w:rPr>
          <w:color w:val="000000"/>
          <w:lang w:val="es-ES_tradnl"/>
        </w:rPr>
        <w:t xml:space="preserve">l 10 de enero de 2012, se dictó auto de formal prisión </w:t>
      </w:r>
      <w:r w:rsidR="00817161">
        <w:rPr>
          <w:color w:val="000000"/>
          <w:lang w:val="es-ES_tradnl"/>
        </w:rPr>
        <w:t>en contra de</w:t>
      </w:r>
      <w:r w:rsidR="00817161" w:rsidRPr="008D1DF8">
        <w:rPr>
          <w:color w:val="000000"/>
          <w:lang w:val="es-ES_tradnl"/>
        </w:rPr>
        <w:t xml:space="preserve"> Honorio Corcuera, Margarito González e Irene Méndez Graf. </w:t>
      </w:r>
      <w:r w:rsidR="00CB013A">
        <w:rPr>
          <w:color w:val="000000"/>
          <w:lang w:val="es-ES_tradnl"/>
        </w:rPr>
        <w:t xml:space="preserve">Los </w:t>
      </w:r>
      <w:r w:rsidR="00CB013A" w:rsidRPr="008D1DF8">
        <w:rPr>
          <w:color w:val="000000"/>
          <w:lang w:val="es-ES_tradnl"/>
        </w:rPr>
        <w:t>dos primeros</w:t>
      </w:r>
      <w:r w:rsidR="00CB013A">
        <w:rPr>
          <w:color w:val="000000"/>
          <w:lang w:val="es-ES_tradnl"/>
        </w:rPr>
        <w:t xml:space="preserve"> presentaron </w:t>
      </w:r>
      <w:r w:rsidR="00817161">
        <w:rPr>
          <w:color w:val="000000"/>
          <w:lang w:val="es-ES_tradnl"/>
        </w:rPr>
        <w:t>un</w:t>
      </w:r>
      <w:r w:rsidR="00817161" w:rsidRPr="008D1DF8">
        <w:rPr>
          <w:color w:val="000000"/>
          <w:lang w:val="es-ES_tradnl"/>
        </w:rPr>
        <w:t xml:space="preserve"> recurso de apelación</w:t>
      </w:r>
      <w:r w:rsidR="00B8182E">
        <w:rPr>
          <w:color w:val="000000"/>
          <w:lang w:val="es-ES_tradnl"/>
        </w:rPr>
        <w:t>;</w:t>
      </w:r>
      <w:r w:rsidR="00CB013A">
        <w:rPr>
          <w:color w:val="000000"/>
          <w:lang w:val="es-ES_tradnl"/>
        </w:rPr>
        <w:t xml:space="preserve"> </w:t>
      </w:r>
      <w:r w:rsidR="00817161">
        <w:rPr>
          <w:color w:val="000000"/>
          <w:lang w:val="es-ES_tradnl"/>
        </w:rPr>
        <w:t>se</w:t>
      </w:r>
      <w:r w:rsidR="00817161" w:rsidRPr="008D1DF8">
        <w:rPr>
          <w:color w:val="000000"/>
          <w:lang w:val="es-ES_tradnl"/>
        </w:rPr>
        <w:t xml:space="preserve"> confirmó </w:t>
      </w:r>
      <w:r w:rsidR="00CB013A" w:rsidRPr="00CB013A">
        <w:rPr>
          <w:color w:val="000000"/>
          <w:lang w:val="es-ES_tradnl"/>
        </w:rPr>
        <w:t>el auto de prisión</w:t>
      </w:r>
      <w:r w:rsidR="00B8182E" w:rsidRPr="00B8182E">
        <w:rPr>
          <w:color w:val="000000"/>
          <w:lang w:val="es-ES_tradnl"/>
        </w:rPr>
        <w:t xml:space="preserve"> </w:t>
      </w:r>
      <w:r w:rsidR="00B8182E" w:rsidRPr="008D1DF8">
        <w:rPr>
          <w:color w:val="000000"/>
          <w:lang w:val="es-ES_tradnl"/>
        </w:rPr>
        <w:t>el 17 de abril de 2013</w:t>
      </w:r>
      <w:r w:rsidR="00817161">
        <w:rPr>
          <w:color w:val="000000"/>
          <w:lang w:val="es-ES_tradnl"/>
        </w:rPr>
        <w:t xml:space="preserve">. </w:t>
      </w:r>
      <w:r w:rsidR="00817161" w:rsidRPr="000C3E5F">
        <w:rPr>
          <w:color w:val="000000"/>
          <w:lang w:val="es-ES_tradnl"/>
        </w:rPr>
        <w:t xml:space="preserve">Irene Méndez Graf </w:t>
      </w:r>
      <w:r w:rsidR="006A37A6">
        <w:rPr>
          <w:color w:val="000000"/>
          <w:lang w:val="es-ES_tradnl"/>
        </w:rPr>
        <w:t xml:space="preserve">contrató un abogado y </w:t>
      </w:r>
      <w:r w:rsidR="00817161">
        <w:rPr>
          <w:color w:val="000000"/>
          <w:lang w:val="es-ES_tradnl"/>
        </w:rPr>
        <w:t>presentó</w:t>
      </w:r>
      <w:r w:rsidR="00817161" w:rsidRPr="000C3E5F">
        <w:rPr>
          <w:color w:val="000000"/>
          <w:lang w:val="es-ES_tradnl"/>
        </w:rPr>
        <w:t xml:space="preserve"> </w:t>
      </w:r>
      <w:r w:rsidR="00817161">
        <w:rPr>
          <w:lang w:val="es-ES"/>
        </w:rPr>
        <w:t>un recurso de amparo</w:t>
      </w:r>
      <w:r w:rsidR="006A37A6" w:rsidRPr="006A37A6">
        <w:rPr>
          <w:lang w:val="es-ES"/>
        </w:rPr>
        <w:t xml:space="preserve"> </w:t>
      </w:r>
      <w:r w:rsidR="006A37A6" w:rsidRPr="00C21B4F">
        <w:rPr>
          <w:lang w:val="es-ES"/>
        </w:rPr>
        <w:t>demostr</w:t>
      </w:r>
      <w:r w:rsidR="006A37A6">
        <w:rPr>
          <w:lang w:val="es-ES"/>
        </w:rPr>
        <w:t>ando</w:t>
      </w:r>
      <w:r w:rsidR="006A37A6" w:rsidRPr="00C21B4F">
        <w:rPr>
          <w:lang w:val="es-ES"/>
        </w:rPr>
        <w:t xml:space="preserve"> que no se encontraba en Chacahua en la fecha del supuesto homicidio</w:t>
      </w:r>
      <w:r w:rsidR="00D8749C">
        <w:rPr>
          <w:color w:val="000000"/>
          <w:lang w:val="es-ES"/>
        </w:rPr>
        <w:t>. E</w:t>
      </w:r>
      <w:r w:rsidR="00817161">
        <w:rPr>
          <w:color w:val="000000"/>
          <w:lang w:val="es-ES_tradnl"/>
        </w:rPr>
        <w:t xml:space="preserve">l </w:t>
      </w:r>
      <w:r w:rsidR="006A37A6">
        <w:rPr>
          <w:color w:val="000000"/>
          <w:lang w:val="es-ES_tradnl"/>
        </w:rPr>
        <w:t>12 de junio de 2012, el j</w:t>
      </w:r>
      <w:r w:rsidR="00817161" w:rsidRPr="00D43CEE">
        <w:rPr>
          <w:color w:val="000000"/>
          <w:lang w:val="es-ES_tradnl"/>
        </w:rPr>
        <w:t xml:space="preserve">uez dejó sin efecto legal el auto de formal prisión </w:t>
      </w:r>
      <w:r w:rsidR="00D8749C">
        <w:rPr>
          <w:color w:val="000000"/>
          <w:lang w:val="es-ES_tradnl"/>
        </w:rPr>
        <w:t>en su contra, y e</w:t>
      </w:r>
      <w:r w:rsidR="00817161" w:rsidRPr="000C3E5F">
        <w:rPr>
          <w:color w:val="000000"/>
          <w:lang w:val="es-ES_tradnl"/>
        </w:rPr>
        <w:t>l 2 de julio de 2012</w:t>
      </w:r>
      <w:r w:rsidR="00817161">
        <w:rPr>
          <w:color w:val="000000"/>
          <w:lang w:val="es-ES_tradnl"/>
        </w:rPr>
        <w:t>,</w:t>
      </w:r>
      <w:r w:rsidR="00817161" w:rsidRPr="000C3E5F">
        <w:rPr>
          <w:color w:val="000000"/>
          <w:lang w:val="es-ES_tradnl"/>
        </w:rPr>
        <w:t xml:space="preserve"> se emitió un auto de libertad en </w:t>
      </w:r>
      <w:r w:rsidR="00817161">
        <w:rPr>
          <w:color w:val="000000"/>
          <w:lang w:val="es-ES_tradnl"/>
        </w:rPr>
        <w:t xml:space="preserve">su </w:t>
      </w:r>
      <w:r w:rsidR="00817161" w:rsidRPr="000C3E5F">
        <w:rPr>
          <w:color w:val="000000"/>
          <w:lang w:val="es-ES_tradnl"/>
        </w:rPr>
        <w:t>favor</w:t>
      </w:r>
      <w:r w:rsidR="00D948E8">
        <w:rPr>
          <w:color w:val="000000"/>
          <w:lang w:val="es-ES_tradnl"/>
        </w:rPr>
        <w:t>,</w:t>
      </w:r>
      <w:r w:rsidR="00817161" w:rsidRPr="000C3E5F">
        <w:rPr>
          <w:color w:val="000000"/>
          <w:lang w:val="es-ES_tradnl"/>
        </w:rPr>
        <w:t xml:space="preserve"> por falta </w:t>
      </w:r>
      <w:r w:rsidR="00817161" w:rsidRPr="00C21B4F">
        <w:rPr>
          <w:lang w:val="es-ES"/>
        </w:rPr>
        <w:t xml:space="preserve">de elementos </w:t>
      </w:r>
      <w:r w:rsidR="00817161">
        <w:rPr>
          <w:lang w:val="es-ES"/>
        </w:rPr>
        <w:t>para procesar</w:t>
      </w:r>
      <w:r w:rsidR="00817161" w:rsidRPr="00C21B4F">
        <w:rPr>
          <w:rStyle w:val="Refdenotaalpie"/>
          <w:sz w:val="20"/>
          <w:lang w:val="es-ES"/>
        </w:rPr>
        <w:footnoteReference w:id="23"/>
      </w:r>
      <w:r w:rsidR="00B44A03">
        <w:rPr>
          <w:lang w:val="es-ES"/>
        </w:rPr>
        <w:t>.</w:t>
      </w:r>
      <w:r w:rsidR="00817161" w:rsidRPr="00C21B4F">
        <w:rPr>
          <w:lang w:val="es-ES"/>
        </w:rPr>
        <w:t xml:space="preserve"> Los otros </w:t>
      </w:r>
      <w:r w:rsidR="00B44A03">
        <w:rPr>
          <w:lang w:val="es-ES"/>
        </w:rPr>
        <w:t>tres</w:t>
      </w:r>
      <w:r w:rsidR="00817161" w:rsidRPr="00C21B4F">
        <w:rPr>
          <w:lang w:val="es-ES"/>
        </w:rPr>
        <w:t xml:space="preserve"> </w:t>
      </w:r>
      <w:r w:rsidR="00817161">
        <w:rPr>
          <w:lang w:val="es-ES"/>
        </w:rPr>
        <w:t xml:space="preserve">imputados </w:t>
      </w:r>
      <w:r w:rsidR="00817161" w:rsidRPr="00C21B4F">
        <w:rPr>
          <w:lang w:val="es-ES"/>
        </w:rPr>
        <w:t>siguen en prisión.</w:t>
      </w:r>
    </w:p>
    <w:p w14:paraId="6BDD0A66" w14:textId="250E6E10" w:rsidR="00396DF2" w:rsidRPr="009B0866" w:rsidRDefault="00180753" w:rsidP="009B0866">
      <w:pPr>
        <w:spacing w:after="120"/>
        <w:ind w:left="1134" w:right="1134"/>
        <w:jc w:val="both"/>
        <w:rPr>
          <w:rFonts w:eastAsia="SimSun"/>
          <w:lang w:val="es-ES_tradnl" w:eastAsia="zh-CN"/>
        </w:rPr>
      </w:pPr>
      <w:r>
        <w:rPr>
          <w:rFonts w:eastAsia="SimSun"/>
          <w:lang w:val="es-ES_tradnl" w:eastAsia="zh-CN"/>
        </w:rPr>
        <w:t>2.</w:t>
      </w:r>
      <w:r w:rsidR="00D52B7C">
        <w:rPr>
          <w:rFonts w:eastAsia="SimSun"/>
          <w:lang w:val="es-ES_tradnl" w:eastAsia="zh-CN"/>
        </w:rPr>
        <w:t>21</w:t>
      </w:r>
      <w:r w:rsidR="00191143">
        <w:rPr>
          <w:rFonts w:eastAsia="SimSun"/>
          <w:lang w:val="es-ES_tradnl" w:eastAsia="zh-CN"/>
        </w:rPr>
        <w:tab/>
      </w:r>
      <w:r w:rsidR="004118DD">
        <w:rPr>
          <w:rFonts w:eastAsia="Calibri"/>
          <w:lang w:val="es-ES_tradnl"/>
        </w:rPr>
        <w:t xml:space="preserve">El padre del desaparecido siguió realizando la búsqueda de su hijo. Conoció a </w:t>
      </w:r>
      <w:r w:rsidR="004118DD" w:rsidRPr="00396DF2">
        <w:rPr>
          <w:rFonts w:eastAsia="SimSun"/>
          <w:lang w:val="es-ES_tradnl" w:eastAsia="zh-CN"/>
        </w:rPr>
        <w:t xml:space="preserve">dos personas que </w:t>
      </w:r>
      <w:r w:rsidR="004118DD">
        <w:rPr>
          <w:rFonts w:eastAsia="SimSun"/>
          <w:lang w:val="es-ES_tradnl" w:eastAsia="zh-CN"/>
        </w:rPr>
        <w:t>le indicaron</w:t>
      </w:r>
      <w:r w:rsidR="004118DD" w:rsidRPr="00396DF2">
        <w:rPr>
          <w:rFonts w:eastAsia="SimSun"/>
          <w:lang w:val="es-ES_tradnl" w:eastAsia="zh-CN"/>
        </w:rPr>
        <w:t xml:space="preserve"> haber visto </w:t>
      </w:r>
      <w:r w:rsidR="004118DD">
        <w:rPr>
          <w:rFonts w:eastAsia="SimSun"/>
          <w:lang w:val="es-ES_tradnl" w:eastAsia="zh-CN"/>
        </w:rPr>
        <w:t>a</w:t>
      </w:r>
      <w:r w:rsidR="004118DD" w:rsidRPr="00396DF2">
        <w:rPr>
          <w:rFonts w:eastAsia="SimSun"/>
          <w:lang w:val="es-ES_tradnl" w:eastAsia="zh-CN"/>
        </w:rPr>
        <w:t xml:space="preserve"> </w:t>
      </w:r>
      <w:r w:rsidR="004118DD">
        <w:rPr>
          <w:rFonts w:eastAsia="SimSun"/>
          <w:lang w:val="es-ES_tradnl" w:eastAsia="zh-CN"/>
        </w:rPr>
        <w:t>su hijo</w:t>
      </w:r>
      <w:r w:rsidR="004118DD" w:rsidRPr="00396DF2">
        <w:rPr>
          <w:rFonts w:eastAsia="SimSun"/>
          <w:lang w:val="es-ES_tradnl" w:eastAsia="zh-CN"/>
        </w:rPr>
        <w:t xml:space="preserve"> en Chacahua </w:t>
      </w:r>
      <w:r w:rsidR="004118DD" w:rsidRPr="00D60E3C">
        <w:rPr>
          <w:rFonts w:eastAsia="Calibri"/>
          <w:lang w:val="es-ES_tradnl"/>
        </w:rPr>
        <w:t>el 6 de agosto de 2011</w:t>
      </w:r>
      <w:r w:rsidR="004118DD">
        <w:rPr>
          <w:rFonts w:eastAsia="Calibri"/>
          <w:lang w:val="es-ES_tradnl"/>
        </w:rPr>
        <w:t xml:space="preserve">, es decir, </w:t>
      </w:r>
      <w:r w:rsidR="004118DD" w:rsidRPr="00396DF2">
        <w:rPr>
          <w:rFonts w:eastAsia="SimSun"/>
          <w:lang w:val="es-ES_tradnl" w:eastAsia="zh-CN"/>
        </w:rPr>
        <w:t>casi un mes</w:t>
      </w:r>
      <w:r w:rsidR="004118DD">
        <w:rPr>
          <w:rFonts w:eastAsia="SimSun"/>
          <w:lang w:val="es-ES_tradnl" w:eastAsia="zh-CN"/>
        </w:rPr>
        <w:t xml:space="preserve"> después del presunto homicidio. E</w:t>
      </w:r>
      <w:r w:rsidR="004118DD" w:rsidRPr="004118DD">
        <w:rPr>
          <w:rFonts w:eastAsia="SimSun"/>
          <w:lang w:val="es-ES_tradnl" w:eastAsia="zh-CN"/>
        </w:rPr>
        <w:t xml:space="preserve">l agente a cargo de la investigación </w:t>
      </w:r>
      <w:r w:rsidR="004118DD">
        <w:rPr>
          <w:rFonts w:eastAsia="SimSun"/>
          <w:lang w:val="es-ES_tradnl" w:eastAsia="zh-CN"/>
        </w:rPr>
        <w:t xml:space="preserve">se negó </w:t>
      </w:r>
      <w:r w:rsidR="004118DD" w:rsidRPr="00396DF2">
        <w:rPr>
          <w:rFonts w:eastAsia="SimSun"/>
          <w:lang w:val="es-ES_tradnl" w:eastAsia="zh-CN"/>
        </w:rPr>
        <w:t>a tomar</w:t>
      </w:r>
      <w:r w:rsidR="004118DD">
        <w:rPr>
          <w:rFonts w:eastAsia="SimSun"/>
          <w:lang w:val="es-ES_tradnl" w:eastAsia="zh-CN"/>
        </w:rPr>
        <w:t>les</w:t>
      </w:r>
      <w:r w:rsidR="004118DD" w:rsidRPr="00396DF2">
        <w:rPr>
          <w:rFonts w:eastAsia="SimSun"/>
          <w:lang w:val="es-ES_tradnl" w:eastAsia="zh-CN"/>
        </w:rPr>
        <w:t xml:space="preserve"> </w:t>
      </w:r>
      <w:r w:rsidR="00817161">
        <w:rPr>
          <w:rFonts w:eastAsia="SimSun"/>
          <w:lang w:val="es-ES_tradnl" w:eastAsia="zh-CN"/>
        </w:rPr>
        <w:t>declaración</w:t>
      </w:r>
      <w:r w:rsidR="004118DD">
        <w:rPr>
          <w:rFonts w:eastAsia="SimSun"/>
          <w:lang w:val="es-ES_tradnl" w:eastAsia="zh-CN"/>
        </w:rPr>
        <w:t>, y</w:t>
      </w:r>
      <w:r w:rsidR="004118DD" w:rsidRPr="00396DF2">
        <w:rPr>
          <w:rFonts w:eastAsia="SimSun"/>
          <w:lang w:val="es-ES_tradnl" w:eastAsia="zh-CN"/>
        </w:rPr>
        <w:t xml:space="preserve"> </w:t>
      </w:r>
      <w:r w:rsidR="00396ECD" w:rsidRPr="00396ECD">
        <w:rPr>
          <w:rFonts w:eastAsia="Calibri"/>
          <w:lang w:val="es-ES_tradnl"/>
        </w:rPr>
        <w:t>am</w:t>
      </w:r>
      <w:r w:rsidR="004118DD">
        <w:rPr>
          <w:rFonts w:eastAsia="Calibri"/>
          <w:lang w:val="es-ES_tradnl"/>
        </w:rPr>
        <w:t>enazó al padre del desaparecido de no regresar</w:t>
      </w:r>
      <w:r w:rsidR="00396ECD" w:rsidRPr="00396ECD">
        <w:rPr>
          <w:rFonts w:eastAsia="Calibri"/>
          <w:lang w:val="es-ES_tradnl"/>
        </w:rPr>
        <w:t xml:space="preserve"> </w:t>
      </w:r>
      <w:r w:rsidR="004118DD">
        <w:rPr>
          <w:rFonts w:eastAsia="Calibri"/>
          <w:lang w:val="es-ES_tradnl"/>
        </w:rPr>
        <w:t>a Oaxaca porque lo iban a matar</w:t>
      </w:r>
      <w:r w:rsidR="00396ECD" w:rsidRPr="00396ECD">
        <w:rPr>
          <w:rStyle w:val="Refdenotaalpie"/>
          <w:rFonts w:eastAsia="Calibri"/>
          <w:lang w:val="es-ES_tradnl"/>
        </w:rPr>
        <w:footnoteReference w:id="24"/>
      </w:r>
      <w:r w:rsidR="0038675D">
        <w:rPr>
          <w:rFonts w:eastAsia="Calibri"/>
          <w:lang w:val="es-ES_tradnl"/>
        </w:rPr>
        <w:t>.</w:t>
      </w:r>
      <w:r w:rsidR="00396ECD">
        <w:rPr>
          <w:rFonts w:eastAsia="Calibri"/>
          <w:lang w:val="es-ES_tradnl"/>
        </w:rPr>
        <w:t xml:space="preserve"> </w:t>
      </w:r>
      <w:r w:rsidR="00F26476">
        <w:rPr>
          <w:rFonts w:eastAsia="SimSun"/>
          <w:lang w:val="es-ES_tradnl" w:eastAsia="zh-CN"/>
        </w:rPr>
        <w:t>E</w:t>
      </w:r>
      <w:r w:rsidR="00E57F73" w:rsidRPr="00396DF2">
        <w:rPr>
          <w:rFonts w:eastAsia="SimSun"/>
          <w:lang w:val="es-ES_tradnl" w:eastAsia="zh-CN"/>
        </w:rPr>
        <w:t xml:space="preserve">ste mismo </w:t>
      </w:r>
      <w:r w:rsidR="00E57F73">
        <w:rPr>
          <w:rFonts w:eastAsia="SimSun"/>
          <w:lang w:val="es-ES_tradnl" w:eastAsia="zh-CN"/>
        </w:rPr>
        <w:t>a</w:t>
      </w:r>
      <w:r w:rsidR="00E57F73" w:rsidRPr="00396DF2">
        <w:rPr>
          <w:rFonts w:eastAsia="SimSun"/>
          <w:lang w:val="es-ES_tradnl" w:eastAsia="zh-CN"/>
        </w:rPr>
        <w:t>gente ofreció dinero a</w:t>
      </w:r>
      <w:r w:rsidR="00DA6485">
        <w:rPr>
          <w:rFonts w:eastAsia="SimSun"/>
          <w:lang w:val="es-ES_tradnl" w:eastAsia="zh-CN"/>
        </w:rPr>
        <w:t>l sobrino</w:t>
      </w:r>
      <w:r w:rsidR="00207F0F">
        <w:rPr>
          <w:rFonts w:eastAsia="SimSun"/>
          <w:lang w:val="es-ES_tradnl" w:eastAsia="zh-CN"/>
        </w:rPr>
        <w:t>,</w:t>
      </w:r>
      <w:r w:rsidR="00E57F73" w:rsidRPr="00396DF2">
        <w:rPr>
          <w:rFonts w:eastAsia="SimSun"/>
          <w:lang w:val="es-ES_tradnl" w:eastAsia="zh-CN"/>
        </w:rPr>
        <w:t xml:space="preserve"> </w:t>
      </w:r>
      <w:r w:rsidR="009B0866">
        <w:rPr>
          <w:rFonts w:eastAsia="SimSun"/>
          <w:lang w:val="es-ES_tradnl" w:eastAsia="zh-CN"/>
        </w:rPr>
        <w:t>menor de edad</w:t>
      </w:r>
      <w:r w:rsidR="00207F0F">
        <w:rPr>
          <w:rFonts w:eastAsia="SimSun"/>
          <w:lang w:val="es-ES_tradnl" w:eastAsia="zh-CN"/>
        </w:rPr>
        <w:t>,</w:t>
      </w:r>
      <w:r w:rsidR="00DA6485">
        <w:rPr>
          <w:rFonts w:eastAsia="SimSun"/>
          <w:lang w:val="es-ES_tradnl" w:eastAsia="zh-CN"/>
        </w:rPr>
        <w:t xml:space="preserve"> de</w:t>
      </w:r>
      <w:r w:rsidR="009B0866">
        <w:rPr>
          <w:rFonts w:eastAsia="SimSun"/>
          <w:lang w:val="es-ES_tradnl" w:eastAsia="zh-CN"/>
        </w:rPr>
        <w:t xml:space="preserve"> </w:t>
      </w:r>
      <w:r w:rsidR="00DA6485" w:rsidRPr="009B0866">
        <w:rPr>
          <w:rFonts w:eastAsia="SimSun"/>
          <w:lang w:val="es-ES_tradnl" w:eastAsia="zh-CN"/>
        </w:rPr>
        <w:t>Javier Rodríguez</w:t>
      </w:r>
      <w:r w:rsidR="00DA6485">
        <w:rPr>
          <w:rFonts w:eastAsia="SimSun"/>
          <w:lang w:val="es-ES_tradnl" w:eastAsia="zh-CN"/>
        </w:rPr>
        <w:t xml:space="preserve"> Peña</w:t>
      </w:r>
      <w:r w:rsidR="00DA6485" w:rsidRPr="009B0866">
        <w:rPr>
          <w:rFonts w:eastAsia="SimSun"/>
          <w:lang w:val="es-ES_tradnl" w:eastAsia="zh-CN"/>
        </w:rPr>
        <w:t xml:space="preserve"> </w:t>
      </w:r>
      <w:r w:rsidR="009B0866">
        <w:rPr>
          <w:rFonts w:eastAsia="SimSun"/>
          <w:lang w:val="es-ES_tradnl" w:eastAsia="zh-CN"/>
        </w:rPr>
        <w:t>para que declarara</w:t>
      </w:r>
      <w:r w:rsidR="00E57F73" w:rsidRPr="00396DF2">
        <w:rPr>
          <w:rFonts w:eastAsia="SimSun"/>
          <w:lang w:val="es-ES_tradnl" w:eastAsia="zh-CN"/>
        </w:rPr>
        <w:t xml:space="preserve"> sobre </w:t>
      </w:r>
      <w:r w:rsidR="00F26476" w:rsidRPr="009B0866">
        <w:rPr>
          <w:rFonts w:eastAsia="SimSun"/>
          <w:lang w:val="es-ES_tradnl" w:eastAsia="zh-CN"/>
        </w:rPr>
        <w:t>la forma en que fue encontrada la credencial de elect</w:t>
      </w:r>
      <w:r w:rsidR="00F26476">
        <w:rPr>
          <w:rFonts w:eastAsia="SimSun"/>
          <w:lang w:val="es-ES_tradnl" w:eastAsia="zh-CN"/>
        </w:rPr>
        <w:t>or de</w:t>
      </w:r>
      <w:r w:rsidR="005A06DC">
        <w:rPr>
          <w:rFonts w:eastAsia="SimSun"/>
          <w:lang w:val="es-ES_tradnl" w:eastAsia="zh-CN"/>
        </w:rPr>
        <w:t>l Sr.</w:t>
      </w:r>
      <w:r w:rsidR="00F26476">
        <w:rPr>
          <w:rFonts w:eastAsia="SimSun"/>
          <w:lang w:val="es-ES_tradnl" w:eastAsia="zh-CN"/>
        </w:rPr>
        <w:t xml:space="preserve"> Moreno Pérez</w:t>
      </w:r>
      <w:r w:rsidR="009B0866" w:rsidRPr="009B0866">
        <w:rPr>
          <w:rFonts w:eastAsia="SimSun"/>
          <w:lang w:val="es-ES_tradnl" w:eastAsia="zh-CN"/>
        </w:rPr>
        <w:t xml:space="preserve">: “el </w:t>
      </w:r>
      <w:r w:rsidR="005A06DC">
        <w:rPr>
          <w:rFonts w:eastAsia="SimSun"/>
          <w:lang w:val="es-ES_tradnl" w:eastAsia="zh-CN"/>
        </w:rPr>
        <w:t>c</w:t>
      </w:r>
      <w:r w:rsidR="009B0866" w:rsidRPr="009B0866">
        <w:rPr>
          <w:rFonts w:eastAsia="SimSun"/>
          <w:lang w:val="es-ES_tradnl" w:eastAsia="zh-CN"/>
        </w:rPr>
        <w:t>omandante Juan me dijo que si yo declaraba que mi mamá la tenía debajo de la cama, él me iba a dar 5</w:t>
      </w:r>
      <w:r w:rsidR="005D0DF9">
        <w:rPr>
          <w:rFonts w:eastAsia="SimSun"/>
          <w:lang w:val="es-ES_tradnl" w:eastAsia="zh-CN"/>
        </w:rPr>
        <w:t>.</w:t>
      </w:r>
      <w:r w:rsidR="009B0866" w:rsidRPr="009B0866">
        <w:rPr>
          <w:rFonts w:eastAsia="SimSun"/>
          <w:lang w:val="es-ES_tradnl" w:eastAsia="zh-CN"/>
        </w:rPr>
        <w:t>000 pesos e iba a sacar a mi tío de la cárcel, me dijo que firmara y pusiera mis huellas, no sé qué firmé”</w:t>
      </w:r>
      <w:r w:rsidR="009B0866">
        <w:rPr>
          <w:rStyle w:val="Refdenotaalpie"/>
          <w:rFonts w:eastAsia="SimSun"/>
          <w:lang w:val="es-ES_tradnl" w:eastAsia="zh-CN"/>
        </w:rPr>
        <w:footnoteReference w:id="25"/>
      </w:r>
      <w:r w:rsidR="009B0866" w:rsidRPr="009B0866">
        <w:rPr>
          <w:rFonts w:eastAsia="SimSun"/>
          <w:lang w:val="es-ES_tradnl" w:eastAsia="zh-CN"/>
        </w:rPr>
        <w:t>.</w:t>
      </w:r>
    </w:p>
    <w:p w14:paraId="799FD8FC" w14:textId="00B18617" w:rsidR="00945C11" w:rsidRPr="00945C11" w:rsidRDefault="00B12B35">
      <w:pPr>
        <w:pStyle w:val="H4G"/>
        <w:rPr>
          <w:rFonts w:eastAsia="SimSun"/>
          <w:lang w:val="es-ES_tradnl" w:eastAsia="zh-CN"/>
        </w:rPr>
      </w:pPr>
      <w:r>
        <w:rPr>
          <w:rFonts w:eastAsia="SimSun"/>
          <w:lang w:val="es-ES_tradnl" w:eastAsia="zh-CN"/>
        </w:rPr>
        <w:tab/>
      </w:r>
      <w:r>
        <w:rPr>
          <w:rFonts w:eastAsia="SimSun"/>
          <w:lang w:val="es-ES_tradnl" w:eastAsia="zh-CN"/>
        </w:rPr>
        <w:tab/>
      </w:r>
      <w:r w:rsidR="00E14542">
        <w:rPr>
          <w:rFonts w:eastAsia="SimSun"/>
          <w:lang w:val="es-ES_tradnl" w:eastAsia="zh-CN"/>
        </w:rPr>
        <w:t xml:space="preserve">Denuncias </w:t>
      </w:r>
      <w:r w:rsidR="005E3371">
        <w:rPr>
          <w:rFonts w:eastAsia="SimSun"/>
          <w:lang w:val="es-ES_tradnl" w:eastAsia="zh-CN"/>
        </w:rPr>
        <w:t xml:space="preserve">y sanciones administrativas </w:t>
      </w:r>
      <w:r w:rsidR="00E14542">
        <w:rPr>
          <w:rFonts w:eastAsia="SimSun"/>
          <w:lang w:val="es-ES_tradnl" w:eastAsia="zh-CN"/>
        </w:rPr>
        <w:t xml:space="preserve">en contra de funcionarios de la </w:t>
      </w:r>
      <w:r w:rsidR="00E14542" w:rsidRPr="00D42047">
        <w:rPr>
          <w:lang w:val="es-ES_tradnl"/>
        </w:rPr>
        <w:t xml:space="preserve">Procuraduría General de Justicia del </w:t>
      </w:r>
      <w:r w:rsidR="003E7FA9">
        <w:rPr>
          <w:lang w:val="es-ES_tradnl"/>
        </w:rPr>
        <w:t>E</w:t>
      </w:r>
      <w:r w:rsidR="00E14542" w:rsidRPr="00D42047">
        <w:rPr>
          <w:lang w:val="es-ES_tradnl"/>
        </w:rPr>
        <w:t>stado de Oaxaca</w:t>
      </w:r>
      <w:r w:rsidR="00E14542">
        <w:rPr>
          <w:lang w:val="es-ES_tradnl"/>
        </w:rPr>
        <w:t xml:space="preserve"> (</w:t>
      </w:r>
      <w:r w:rsidR="00E14542" w:rsidRPr="002D7E42">
        <w:rPr>
          <w:lang w:val="es-ES_tradnl"/>
        </w:rPr>
        <w:t>hoy Fiscalía General del Estado de Oaxaca</w:t>
      </w:r>
      <w:r w:rsidR="00E14542">
        <w:rPr>
          <w:lang w:val="es-ES_tradnl"/>
        </w:rPr>
        <w:t>),</w:t>
      </w:r>
      <w:r w:rsidR="004E3C18">
        <w:rPr>
          <w:lang w:val="es-ES_tradnl"/>
        </w:rPr>
        <w:t> </w:t>
      </w:r>
      <w:r w:rsidR="00E14542" w:rsidRPr="00945C11">
        <w:rPr>
          <w:rFonts w:eastAsia="SimSun"/>
          <w:lang w:val="es-ES_tradnl" w:eastAsia="zh-CN"/>
        </w:rPr>
        <w:t xml:space="preserve">por irregularidades cometidas </w:t>
      </w:r>
      <w:r w:rsidR="00E14542">
        <w:rPr>
          <w:rFonts w:eastAsia="SimSun"/>
          <w:lang w:val="es-ES_tradnl" w:eastAsia="zh-CN"/>
        </w:rPr>
        <w:t>en el marco de la investigación</w:t>
      </w:r>
    </w:p>
    <w:p w14:paraId="6B139DAE" w14:textId="6BBE59B4" w:rsidR="00F718F8" w:rsidRDefault="00E91665" w:rsidP="00860DFD">
      <w:pPr>
        <w:spacing w:after="120"/>
        <w:ind w:left="1134" w:right="1134"/>
        <w:jc w:val="both"/>
        <w:rPr>
          <w:rFonts w:eastAsia="SimSun"/>
          <w:lang w:val="es-ES_tradnl" w:eastAsia="zh-CN"/>
        </w:rPr>
      </w:pPr>
      <w:r>
        <w:rPr>
          <w:rFonts w:eastAsia="SimSun"/>
          <w:lang w:val="es-ES_tradnl" w:eastAsia="zh-CN"/>
        </w:rPr>
        <w:t>2.</w:t>
      </w:r>
      <w:r w:rsidR="00D52B7C">
        <w:rPr>
          <w:rFonts w:eastAsia="SimSun"/>
          <w:lang w:val="es-ES_tradnl" w:eastAsia="zh-CN"/>
        </w:rPr>
        <w:t>22</w:t>
      </w:r>
      <w:r>
        <w:rPr>
          <w:rFonts w:eastAsia="SimSun"/>
          <w:lang w:val="es-ES_tradnl" w:eastAsia="zh-CN"/>
        </w:rPr>
        <w:tab/>
        <w:t>El padre del desaparecido</w:t>
      </w:r>
      <w:r w:rsidRPr="00A77476">
        <w:rPr>
          <w:rFonts w:eastAsia="SimSun"/>
          <w:lang w:val="es-ES_tradnl" w:eastAsia="zh-CN"/>
        </w:rPr>
        <w:t xml:space="preserve"> </w:t>
      </w:r>
      <w:r>
        <w:rPr>
          <w:rFonts w:eastAsia="SimSun"/>
          <w:lang w:val="es-ES_tradnl" w:eastAsia="zh-CN"/>
        </w:rPr>
        <w:t xml:space="preserve">presentó una </w:t>
      </w:r>
      <w:r w:rsidR="00F718F8">
        <w:rPr>
          <w:rFonts w:eastAsia="SimSun"/>
          <w:lang w:val="es-ES_tradnl" w:eastAsia="zh-CN"/>
        </w:rPr>
        <w:t xml:space="preserve">denuncia </w:t>
      </w:r>
      <w:r w:rsidR="00A77476">
        <w:rPr>
          <w:rFonts w:eastAsia="SimSun"/>
          <w:lang w:val="es-ES_tradnl" w:eastAsia="zh-CN"/>
        </w:rPr>
        <w:t xml:space="preserve">en contra de </w:t>
      </w:r>
      <w:r w:rsidR="009E276D">
        <w:rPr>
          <w:rFonts w:eastAsia="SimSun"/>
          <w:lang w:val="es-ES_tradnl" w:eastAsia="zh-CN"/>
        </w:rPr>
        <w:t>diversos</w:t>
      </w:r>
      <w:r w:rsidR="00A77476">
        <w:rPr>
          <w:rFonts w:eastAsia="SimSun"/>
          <w:lang w:val="es-ES_tradnl" w:eastAsia="zh-CN"/>
        </w:rPr>
        <w:t xml:space="preserve"> funcionarios que intervinieron en las investigaciones</w:t>
      </w:r>
      <w:r w:rsidR="00C6339A">
        <w:rPr>
          <w:rFonts w:eastAsia="SimSun"/>
          <w:lang w:val="es-ES_tradnl" w:eastAsia="zh-CN"/>
        </w:rPr>
        <w:t>.</w:t>
      </w:r>
      <w:r w:rsidR="00F718F8">
        <w:rPr>
          <w:rFonts w:eastAsia="SimSun"/>
          <w:lang w:val="es-ES_tradnl" w:eastAsia="zh-CN"/>
        </w:rPr>
        <w:t xml:space="preserve"> </w:t>
      </w:r>
      <w:r w:rsidR="00C6339A">
        <w:rPr>
          <w:rFonts w:eastAsia="SimSun"/>
          <w:lang w:val="es-ES_tradnl" w:eastAsia="zh-CN"/>
        </w:rPr>
        <w:t>E</w:t>
      </w:r>
      <w:r w:rsidR="00B37472">
        <w:rPr>
          <w:rFonts w:eastAsia="SimSun"/>
          <w:lang w:val="es-ES_tradnl" w:eastAsia="zh-CN"/>
        </w:rPr>
        <w:t>l 11 de enero de 2013</w:t>
      </w:r>
      <w:r w:rsidR="00C6339A">
        <w:rPr>
          <w:rFonts w:eastAsia="SimSun"/>
          <w:lang w:val="es-ES_tradnl" w:eastAsia="zh-CN"/>
        </w:rPr>
        <w:t>,</w:t>
      </w:r>
      <w:r w:rsidR="00B37472">
        <w:rPr>
          <w:rFonts w:eastAsia="SimSun"/>
          <w:lang w:val="es-ES_tradnl" w:eastAsia="zh-CN"/>
        </w:rPr>
        <w:t xml:space="preserve"> </w:t>
      </w:r>
      <w:r w:rsidR="00F718F8">
        <w:rPr>
          <w:rFonts w:eastAsia="SimSun"/>
          <w:lang w:val="es-ES_tradnl" w:eastAsia="zh-CN"/>
        </w:rPr>
        <w:t xml:space="preserve">se </w:t>
      </w:r>
      <w:r w:rsidR="00A77476">
        <w:rPr>
          <w:rFonts w:eastAsia="SimSun"/>
          <w:lang w:val="es-ES_tradnl" w:eastAsia="zh-CN"/>
        </w:rPr>
        <w:t xml:space="preserve">inició </w:t>
      </w:r>
      <w:r w:rsidR="00FE5962">
        <w:rPr>
          <w:rFonts w:eastAsia="SimSun"/>
          <w:lang w:val="es-ES_tradnl" w:eastAsia="zh-CN"/>
        </w:rPr>
        <w:t>un e</w:t>
      </w:r>
      <w:r w:rsidR="00FE5962" w:rsidRPr="00F718F8">
        <w:rPr>
          <w:rFonts w:eastAsia="SimSun"/>
          <w:lang w:val="es-ES_tradnl" w:eastAsia="zh-CN"/>
        </w:rPr>
        <w:t xml:space="preserve">xpediente </w:t>
      </w:r>
      <w:r w:rsidR="00FE5962">
        <w:rPr>
          <w:rFonts w:eastAsia="SimSun"/>
          <w:lang w:val="es-ES_tradnl" w:eastAsia="zh-CN"/>
        </w:rPr>
        <w:t>a</w:t>
      </w:r>
      <w:r w:rsidR="00FE5962" w:rsidRPr="00F718F8">
        <w:rPr>
          <w:rFonts w:eastAsia="SimSun"/>
          <w:lang w:val="es-ES_tradnl" w:eastAsia="zh-CN"/>
        </w:rPr>
        <w:t>dministrativo</w:t>
      </w:r>
      <w:r w:rsidR="00B37472">
        <w:rPr>
          <w:rFonts w:eastAsia="SimSun"/>
          <w:lang w:val="es-ES_tradnl" w:eastAsia="zh-CN"/>
        </w:rPr>
        <w:t xml:space="preserve"> ante</w:t>
      </w:r>
      <w:r w:rsidR="00B37472" w:rsidRPr="00B37472">
        <w:rPr>
          <w:lang w:val="es-ES_tradnl"/>
        </w:rPr>
        <w:t xml:space="preserve"> </w:t>
      </w:r>
      <w:r w:rsidR="00B37472">
        <w:rPr>
          <w:lang w:val="es-ES_tradnl"/>
        </w:rPr>
        <w:t>l</w:t>
      </w:r>
      <w:r w:rsidR="00B37472" w:rsidRPr="00885D82">
        <w:rPr>
          <w:lang w:val="es-ES_tradnl"/>
        </w:rPr>
        <w:t>a Fiscalía Especializada de Delitos cometidos por Servidores Públicos</w:t>
      </w:r>
      <w:r w:rsidR="00B37472">
        <w:rPr>
          <w:lang w:val="es-ES_tradnl"/>
        </w:rPr>
        <w:t>,</w:t>
      </w:r>
      <w:r w:rsidR="00B37472" w:rsidRPr="00885D82">
        <w:rPr>
          <w:lang w:val="es-ES_tradnl"/>
        </w:rPr>
        <w:t xml:space="preserve"> de la Procuraduría General de Justicia del Estado de Oaxaca</w:t>
      </w:r>
      <w:r w:rsidR="00FE5962">
        <w:rPr>
          <w:rStyle w:val="Refdenotaalpie"/>
          <w:rFonts w:eastAsia="SimSun"/>
          <w:lang w:val="es-ES_tradnl" w:eastAsia="zh-CN"/>
        </w:rPr>
        <w:footnoteReference w:id="26"/>
      </w:r>
      <w:r w:rsidR="0038675D">
        <w:rPr>
          <w:rFonts w:eastAsia="SimSun"/>
          <w:lang w:val="es-ES_tradnl" w:eastAsia="zh-CN"/>
        </w:rPr>
        <w:t>.</w:t>
      </w:r>
    </w:p>
    <w:p w14:paraId="38DDE281" w14:textId="6D04A358" w:rsidR="00AF63A3" w:rsidRPr="000171EB" w:rsidRDefault="0040343B" w:rsidP="0099286D">
      <w:pPr>
        <w:pStyle w:val="SingleTxtG"/>
        <w:rPr>
          <w:lang w:val="es-ES_tradnl"/>
        </w:rPr>
      </w:pPr>
      <w:r>
        <w:rPr>
          <w:rFonts w:eastAsia="Calibri"/>
          <w:lang w:val="es-ES_tradnl"/>
        </w:rPr>
        <w:t>2.2</w:t>
      </w:r>
      <w:r w:rsidR="00D52B7C">
        <w:rPr>
          <w:rFonts w:eastAsia="Calibri"/>
          <w:lang w:val="es-ES_tradnl"/>
        </w:rPr>
        <w:t>3</w:t>
      </w:r>
      <w:r>
        <w:rPr>
          <w:rFonts w:eastAsia="Calibri"/>
          <w:lang w:val="es-ES_tradnl"/>
        </w:rPr>
        <w:tab/>
      </w:r>
      <w:r w:rsidR="0078497C">
        <w:rPr>
          <w:rFonts w:eastAsia="Calibri"/>
          <w:lang w:val="es-ES_tradnl"/>
        </w:rPr>
        <w:t xml:space="preserve">El 29 de enero de 2014, </w:t>
      </w:r>
      <w:r>
        <w:rPr>
          <w:lang w:val="es-ES_tradnl"/>
        </w:rPr>
        <w:t>la Fiscalía</w:t>
      </w:r>
      <w:r w:rsidR="0078497C" w:rsidRPr="00885D82">
        <w:rPr>
          <w:lang w:val="es-ES_tradnl"/>
        </w:rPr>
        <w:t xml:space="preserve"> </w:t>
      </w:r>
      <w:r w:rsidR="00C47024">
        <w:rPr>
          <w:lang w:val="es-ES_tradnl"/>
        </w:rPr>
        <w:t>calificó la</w:t>
      </w:r>
      <w:r w:rsidR="00AF63A3">
        <w:rPr>
          <w:lang w:val="es-ES_tradnl"/>
        </w:rPr>
        <w:t xml:space="preserve">s </w:t>
      </w:r>
      <w:r w:rsidR="00C47024">
        <w:rPr>
          <w:rFonts w:eastAsia="Calibri"/>
          <w:lang w:val="es-ES_tradnl"/>
        </w:rPr>
        <w:t>omisiones</w:t>
      </w:r>
      <w:r w:rsidR="00C47024" w:rsidRPr="00230C71">
        <w:rPr>
          <w:rFonts w:eastAsia="Calibri"/>
          <w:lang w:val="es-ES_tradnl"/>
        </w:rPr>
        <w:t xml:space="preserve"> de diligencias</w:t>
      </w:r>
      <w:r w:rsidR="00C47024">
        <w:rPr>
          <w:rFonts w:eastAsia="Calibri"/>
          <w:lang w:val="es-ES_tradnl"/>
        </w:rPr>
        <w:t xml:space="preserve">, </w:t>
      </w:r>
      <w:r w:rsidR="00C47024" w:rsidRPr="000171EB">
        <w:rPr>
          <w:rFonts w:eastAsia="Calibri"/>
          <w:lang w:val="es-ES_tradnl"/>
        </w:rPr>
        <w:t>inobservancia</w:t>
      </w:r>
      <w:r w:rsidR="00C47024">
        <w:rPr>
          <w:rFonts w:eastAsia="Calibri"/>
          <w:lang w:val="es-ES_tradnl"/>
        </w:rPr>
        <w:t>s</w:t>
      </w:r>
      <w:r w:rsidR="00C47024" w:rsidRPr="000171EB">
        <w:rPr>
          <w:rFonts w:eastAsia="Calibri"/>
          <w:lang w:val="es-ES_tradnl"/>
        </w:rPr>
        <w:t xml:space="preserve"> de obligaciones de investigar,</w:t>
      </w:r>
      <w:r w:rsidR="00C47024" w:rsidRPr="000171EB">
        <w:rPr>
          <w:lang w:val="es-ES_tradnl"/>
        </w:rPr>
        <w:t xml:space="preserve"> abuso</w:t>
      </w:r>
      <w:r w:rsidR="00C47024">
        <w:rPr>
          <w:lang w:val="es-ES_tradnl"/>
        </w:rPr>
        <w:t>s</w:t>
      </w:r>
      <w:r w:rsidR="00C47024" w:rsidRPr="000171EB">
        <w:rPr>
          <w:lang w:val="es-ES_tradnl"/>
        </w:rPr>
        <w:t xml:space="preserve"> de autoridad, falsedad</w:t>
      </w:r>
      <w:r w:rsidR="00C47024">
        <w:rPr>
          <w:lang w:val="es-ES_tradnl"/>
        </w:rPr>
        <w:t>es</w:t>
      </w:r>
      <w:r w:rsidR="00C47024" w:rsidRPr="000171EB">
        <w:rPr>
          <w:lang w:val="es-ES_tradnl"/>
        </w:rPr>
        <w:t xml:space="preserve"> de declaraciones judiciales, y delitos contra la paz y seguridad de las personas</w:t>
      </w:r>
      <w:r w:rsidR="00C47024">
        <w:rPr>
          <w:lang w:val="es-ES_tradnl"/>
        </w:rPr>
        <w:t xml:space="preserve">, </w:t>
      </w:r>
      <w:r w:rsidR="00AF63A3">
        <w:rPr>
          <w:lang w:val="es-ES_tradnl"/>
        </w:rPr>
        <w:t>de</w:t>
      </w:r>
      <w:r w:rsidR="00AF63A3" w:rsidRPr="00AF63A3">
        <w:rPr>
          <w:lang w:val="es-ES_tradnl"/>
        </w:rPr>
        <w:t xml:space="preserve"> </w:t>
      </w:r>
      <w:r>
        <w:rPr>
          <w:lang w:val="es-ES_tradnl"/>
        </w:rPr>
        <w:t>responsabilidades graves</w:t>
      </w:r>
      <w:r w:rsidR="00C47024">
        <w:rPr>
          <w:lang w:val="es-ES_tradnl"/>
        </w:rPr>
        <w:t>.</w:t>
      </w:r>
      <w:r w:rsidR="00AF63A3">
        <w:rPr>
          <w:lang w:val="es-ES_tradnl"/>
        </w:rPr>
        <w:t xml:space="preserve"> </w:t>
      </w:r>
      <w:r w:rsidR="00C47024">
        <w:rPr>
          <w:lang w:val="es-ES_tradnl"/>
        </w:rPr>
        <w:t>S</w:t>
      </w:r>
      <w:r w:rsidR="00AF63A3">
        <w:rPr>
          <w:lang w:val="es-ES_tradnl"/>
        </w:rPr>
        <w:t>ancionó</w:t>
      </w:r>
      <w:r w:rsidR="00AF63A3" w:rsidRPr="00AF63A3">
        <w:rPr>
          <w:rFonts w:eastAsia="Calibri"/>
          <w:lang w:val="es-ES_tradnl"/>
        </w:rPr>
        <w:t xml:space="preserve"> </w:t>
      </w:r>
      <w:r>
        <w:rPr>
          <w:rFonts w:eastAsia="Calibri"/>
          <w:lang w:val="es-ES_tradnl"/>
        </w:rPr>
        <w:t xml:space="preserve">a </w:t>
      </w:r>
      <w:r w:rsidR="00AF63A3" w:rsidRPr="00230C71">
        <w:rPr>
          <w:rFonts w:eastAsia="Calibri"/>
          <w:lang w:val="es-ES_tradnl"/>
        </w:rPr>
        <w:t xml:space="preserve">diversos </w:t>
      </w:r>
      <w:r w:rsidR="00132E34" w:rsidRPr="00132E34">
        <w:rPr>
          <w:rFonts w:eastAsia="Calibri"/>
          <w:lang w:val="es-ES_tradnl"/>
        </w:rPr>
        <w:t xml:space="preserve">agentes del Ministerio Público y de la Policía Ministerial </w:t>
      </w:r>
      <w:r w:rsidR="00AF63A3">
        <w:rPr>
          <w:rFonts w:eastAsia="Calibri"/>
          <w:lang w:val="es-ES_tradnl"/>
        </w:rPr>
        <w:t xml:space="preserve">con </w:t>
      </w:r>
      <w:r>
        <w:rPr>
          <w:rFonts w:eastAsia="Calibri"/>
          <w:lang w:val="es-ES_tradnl"/>
        </w:rPr>
        <w:t xml:space="preserve">30 y 90 días de </w:t>
      </w:r>
      <w:r w:rsidR="00C47024">
        <w:rPr>
          <w:rFonts w:eastAsia="Calibri"/>
          <w:lang w:val="es-ES_tradnl"/>
        </w:rPr>
        <w:t>suspensión de empleo sin sueldo</w:t>
      </w:r>
      <w:r w:rsidR="00AF63A3" w:rsidRPr="000171EB">
        <w:rPr>
          <w:rStyle w:val="Refdenotaalpie"/>
          <w:lang w:val="es-ES_tradnl"/>
        </w:rPr>
        <w:footnoteReference w:id="27"/>
      </w:r>
      <w:r w:rsidR="0038675D">
        <w:rPr>
          <w:rFonts w:eastAsia="Calibri"/>
          <w:lang w:val="es-ES_tradnl"/>
        </w:rPr>
        <w:t>.</w:t>
      </w:r>
      <w:r w:rsidR="00E52C38" w:rsidRPr="000171EB">
        <w:rPr>
          <w:lang w:val="es-ES_tradnl"/>
        </w:rPr>
        <w:t xml:space="preserve"> </w:t>
      </w:r>
      <w:r w:rsidR="009E276D">
        <w:rPr>
          <w:lang w:val="es-ES_tradnl"/>
        </w:rPr>
        <w:t xml:space="preserve">A raíz de otra </w:t>
      </w:r>
      <w:r w:rsidR="009E276D" w:rsidRPr="000171EB">
        <w:rPr>
          <w:lang w:val="es-ES_tradnl"/>
        </w:rPr>
        <w:t xml:space="preserve">averiguación previa </w:t>
      </w:r>
      <w:r w:rsidR="009E276D">
        <w:rPr>
          <w:lang w:val="es-ES_tradnl"/>
        </w:rPr>
        <w:t>iniciada el</w:t>
      </w:r>
      <w:r w:rsidR="00E52C38" w:rsidRPr="000171EB">
        <w:rPr>
          <w:lang w:val="es-ES_tradnl"/>
        </w:rPr>
        <w:t xml:space="preserve"> 22 de febrero de 2015, </w:t>
      </w:r>
      <w:r w:rsidR="009E276D">
        <w:rPr>
          <w:lang w:val="es-ES_tradnl"/>
        </w:rPr>
        <w:t>la misma</w:t>
      </w:r>
      <w:r w:rsidR="000171EB" w:rsidRPr="000171EB">
        <w:rPr>
          <w:lang w:val="es-ES_tradnl"/>
        </w:rPr>
        <w:t xml:space="preserve"> </w:t>
      </w:r>
      <w:r w:rsidR="009E276D" w:rsidRPr="009E276D">
        <w:rPr>
          <w:lang w:val="es-ES_tradnl"/>
        </w:rPr>
        <w:t xml:space="preserve">Fiscalía </w:t>
      </w:r>
      <w:r w:rsidR="000171EB" w:rsidRPr="000171EB">
        <w:rPr>
          <w:lang w:val="es-ES_tradnl"/>
        </w:rPr>
        <w:t xml:space="preserve">impuso al </w:t>
      </w:r>
      <w:r w:rsidR="0099286D" w:rsidRPr="000171EB">
        <w:rPr>
          <w:lang w:val="es-ES_tradnl"/>
        </w:rPr>
        <w:t xml:space="preserve">entonces subprocurador regional de justicia de la Costa </w:t>
      </w:r>
      <w:r w:rsidR="009E276D">
        <w:rPr>
          <w:lang w:val="es-ES_tradnl"/>
        </w:rPr>
        <w:t>una</w:t>
      </w:r>
      <w:r w:rsidR="0099286D" w:rsidRPr="000171EB">
        <w:rPr>
          <w:lang w:val="es-ES_tradnl"/>
        </w:rPr>
        <w:t xml:space="preserve"> suspensión </w:t>
      </w:r>
      <w:r w:rsidR="009E276D">
        <w:rPr>
          <w:lang w:val="es-ES_tradnl"/>
        </w:rPr>
        <w:t>de</w:t>
      </w:r>
      <w:r w:rsidR="009E276D" w:rsidRPr="000171EB">
        <w:rPr>
          <w:lang w:val="es-ES_tradnl"/>
        </w:rPr>
        <w:t xml:space="preserve"> empleo </w:t>
      </w:r>
      <w:r w:rsidR="009E276D">
        <w:rPr>
          <w:lang w:val="es-ES_tradnl"/>
        </w:rPr>
        <w:t>de</w:t>
      </w:r>
      <w:r w:rsidR="009E276D" w:rsidRPr="000171EB">
        <w:rPr>
          <w:lang w:val="es-ES_tradnl"/>
        </w:rPr>
        <w:t xml:space="preserve"> </w:t>
      </w:r>
      <w:r w:rsidR="009E276D">
        <w:rPr>
          <w:lang w:val="es-ES_tradnl"/>
        </w:rPr>
        <w:t>90</w:t>
      </w:r>
      <w:r w:rsidR="009E276D" w:rsidRPr="000171EB">
        <w:rPr>
          <w:lang w:val="es-ES_tradnl"/>
        </w:rPr>
        <w:t xml:space="preserve"> días </w:t>
      </w:r>
      <w:r w:rsidR="000171EB" w:rsidRPr="000171EB">
        <w:rPr>
          <w:lang w:val="es-ES_tradnl"/>
        </w:rPr>
        <w:t xml:space="preserve">sin goce de sueldo, </w:t>
      </w:r>
      <w:r w:rsidR="00990AD1">
        <w:rPr>
          <w:lang w:val="es-ES_tradnl"/>
        </w:rPr>
        <w:t xml:space="preserve">y </w:t>
      </w:r>
      <w:r w:rsidR="00E3526B">
        <w:rPr>
          <w:lang w:val="es-ES_tradnl"/>
        </w:rPr>
        <w:t>suspensión de</w:t>
      </w:r>
      <w:r w:rsidR="00E3526B" w:rsidRPr="000171EB">
        <w:rPr>
          <w:lang w:val="es-ES_tradnl"/>
        </w:rPr>
        <w:t xml:space="preserve"> empleo </w:t>
      </w:r>
      <w:r w:rsidR="00E3526B">
        <w:rPr>
          <w:lang w:val="es-ES_tradnl"/>
        </w:rPr>
        <w:t xml:space="preserve">de 30 y 90 días </w:t>
      </w:r>
      <w:r w:rsidR="00E3526B" w:rsidRPr="000171EB">
        <w:rPr>
          <w:lang w:val="es-ES_tradnl"/>
        </w:rPr>
        <w:t xml:space="preserve">sin goce de sueldo </w:t>
      </w:r>
      <w:r w:rsidR="000171EB" w:rsidRPr="000171EB">
        <w:rPr>
          <w:lang w:val="es-ES_tradnl"/>
        </w:rPr>
        <w:t xml:space="preserve">a unos </w:t>
      </w:r>
      <w:r w:rsidR="0099286D" w:rsidRPr="000171EB">
        <w:rPr>
          <w:lang w:val="es-ES_tradnl"/>
        </w:rPr>
        <w:t>peritos</w:t>
      </w:r>
      <w:r w:rsidR="000171EB" w:rsidRPr="000171EB">
        <w:rPr>
          <w:lang w:val="es-ES_tradnl"/>
        </w:rPr>
        <w:t>.</w:t>
      </w:r>
    </w:p>
    <w:p w14:paraId="7DDE27FA" w14:textId="5D76C09A" w:rsidR="00073D51" w:rsidRPr="00073D51" w:rsidRDefault="00B12B35">
      <w:pPr>
        <w:pStyle w:val="H23G"/>
        <w:rPr>
          <w:rFonts w:eastAsia="Calibri"/>
          <w:lang w:val="es-ES_tradnl"/>
        </w:rPr>
      </w:pPr>
      <w:r>
        <w:rPr>
          <w:rFonts w:eastAsia="Calibri"/>
          <w:lang w:val="es-ES_tradnl"/>
        </w:rPr>
        <w:tab/>
      </w:r>
      <w:r>
        <w:rPr>
          <w:rFonts w:eastAsia="Calibri"/>
          <w:lang w:val="es-ES_tradnl"/>
        </w:rPr>
        <w:tab/>
      </w:r>
      <w:r w:rsidR="000D16BD">
        <w:rPr>
          <w:rFonts w:eastAsia="Calibri"/>
          <w:lang w:val="es-ES_tradnl"/>
        </w:rPr>
        <w:t>La d</w:t>
      </w:r>
      <w:r w:rsidR="00073D51" w:rsidRPr="00073D51">
        <w:rPr>
          <w:rFonts w:eastAsia="Calibri"/>
          <w:lang w:val="es-ES_tradnl"/>
        </w:rPr>
        <w:t>enuncia</w:t>
      </w:r>
    </w:p>
    <w:p w14:paraId="52055C78" w14:textId="3720A31A" w:rsidR="00664096" w:rsidRPr="00396ECD" w:rsidRDefault="00910BE2" w:rsidP="00396ECD">
      <w:pPr>
        <w:pStyle w:val="SingleTxtG"/>
        <w:rPr>
          <w:rFonts w:eastAsia="Calibri"/>
          <w:lang w:val="es-ES_tradnl"/>
        </w:rPr>
      </w:pPr>
      <w:r>
        <w:rPr>
          <w:rFonts w:eastAsia="Calibri"/>
          <w:lang w:val="es-ES_tradnl"/>
        </w:rPr>
        <w:t>3.1</w:t>
      </w:r>
      <w:r>
        <w:rPr>
          <w:rFonts w:eastAsia="Calibri"/>
          <w:lang w:val="es-ES_tradnl"/>
        </w:rPr>
        <w:tab/>
      </w:r>
      <w:r w:rsidR="00FE2329">
        <w:rPr>
          <w:rFonts w:eastAsia="Calibri"/>
          <w:lang w:val="es-ES_tradnl"/>
        </w:rPr>
        <w:t>Los autores sostienen que s</w:t>
      </w:r>
      <w:r w:rsidR="003F7FD8" w:rsidRPr="003F7FD8">
        <w:rPr>
          <w:rFonts w:eastAsia="Calibri"/>
          <w:lang w:val="es-ES_tradnl"/>
        </w:rPr>
        <w:t xml:space="preserve">e dan las condiciones suficientes para </w:t>
      </w:r>
      <w:r w:rsidR="00FE2329">
        <w:rPr>
          <w:rFonts w:eastAsia="Calibri"/>
          <w:lang w:val="es-ES_tradnl"/>
        </w:rPr>
        <w:t>la aplicación de</w:t>
      </w:r>
      <w:r w:rsidR="003F7FD8" w:rsidRPr="003F7FD8">
        <w:rPr>
          <w:rFonts w:eastAsia="Calibri"/>
          <w:lang w:val="es-ES_tradnl"/>
        </w:rPr>
        <w:t xml:space="preserve"> la regla de</w:t>
      </w:r>
      <w:r w:rsidR="00FE2329">
        <w:rPr>
          <w:rFonts w:eastAsia="Calibri"/>
          <w:lang w:val="es-ES_tradnl"/>
        </w:rPr>
        <w:t xml:space="preserve"> </w:t>
      </w:r>
      <w:r w:rsidR="003F7FD8" w:rsidRPr="003F7FD8">
        <w:rPr>
          <w:rFonts w:eastAsia="Calibri"/>
          <w:lang w:val="es-ES_tradnl"/>
        </w:rPr>
        <w:t>l</w:t>
      </w:r>
      <w:r w:rsidR="00FE2329">
        <w:rPr>
          <w:rFonts w:eastAsia="Calibri"/>
          <w:lang w:val="es-ES_tradnl"/>
        </w:rPr>
        <w:t>a</w:t>
      </w:r>
      <w:r w:rsidR="003F7FD8" w:rsidRPr="003F7FD8">
        <w:rPr>
          <w:rFonts w:eastAsia="Calibri"/>
          <w:lang w:val="es-ES_tradnl"/>
        </w:rPr>
        <w:t xml:space="preserve"> </w:t>
      </w:r>
      <w:r w:rsidR="00FE2329">
        <w:rPr>
          <w:rFonts w:eastAsia="Calibri"/>
          <w:lang w:val="es-ES_tradnl"/>
        </w:rPr>
        <w:t xml:space="preserve">excepción al </w:t>
      </w:r>
      <w:r w:rsidR="003F7FD8" w:rsidRPr="003F7FD8">
        <w:rPr>
          <w:rFonts w:eastAsia="Calibri"/>
          <w:lang w:val="es-ES_tradnl"/>
        </w:rPr>
        <w:t>agotamiento de los recursos intern</w:t>
      </w:r>
      <w:r w:rsidR="008E50B3">
        <w:rPr>
          <w:rFonts w:eastAsia="Calibri"/>
          <w:lang w:val="es-ES_tradnl"/>
        </w:rPr>
        <w:t>os</w:t>
      </w:r>
      <w:r w:rsidR="003F7FD8">
        <w:rPr>
          <w:rFonts w:eastAsia="Calibri"/>
          <w:lang w:val="es-ES_tradnl"/>
        </w:rPr>
        <w:t>,</w:t>
      </w:r>
      <w:r w:rsidR="003F7FD8" w:rsidRPr="003F7FD8">
        <w:rPr>
          <w:rFonts w:eastAsia="Calibri"/>
          <w:lang w:val="es-ES_tradnl"/>
        </w:rPr>
        <w:t xml:space="preserve"> </w:t>
      </w:r>
      <w:r w:rsidR="00FE2329">
        <w:rPr>
          <w:rFonts w:eastAsia="Calibri"/>
          <w:lang w:val="es-ES_tradnl"/>
        </w:rPr>
        <w:t xml:space="preserve">prevista por </w:t>
      </w:r>
      <w:r w:rsidR="003F7FD8" w:rsidRPr="003F7FD8">
        <w:rPr>
          <w:rFonts w:eastAsia="Calibri"/>
          <w:lang w:val="es-ES_tradnl"/>
        </w:rPr>
        <w:t xml:space="preserve">el </w:t>
      </w:r>
      <w:r w:rsidR="00FE2329">
        <w:rPr>
          <w:rFonts w:eastAsia="Calibri"/>
          <w:lang w:val="es-ES_tradnl"/>
        </w:rPr>
        <w:t>a</w:t>
      </w:r>
      <w:r w:rsidR="003F7FD8" w:rsidRPr="003F7FD8">
        <w:rPr>
          <w:rFonts w:eastAsia="Calibri"/>
          <w:lang w:val="es-ES_tradnl"/>
        </w:rPr>
        <w:t>rtículo 5,</w:t>
      </w:r>
      <w:r w:rsidR="00FE2329">
        <w:rPr>
          <w:rFonts w:eastAsia="Calibri"/>
          <w:lang w:val="es-ES_tradnl"/>
        </w:rPr>
        <w:t xml:space="preserve"> párrafo</w:t>
      </w:r>
      <w:r w:rsidR="003F7FD8" w:rsidRPr="003F7FD8">
        <w:rPr>
          <w:rFonts w:eastAsia="Calibri"/>
          <w:lang w:val="es-ES_tradnl"/>
        </w:rPr>
        <w:t xml:space="preserve"> 2</w:t>
      </w:r>
      <w:r w:rsidR="00FE2329">
        <w:rPr>
          <w:rFonts w:eastAsia="Calibri"/>
          <w:lang w:val="es-ES_tradnl"/>
        </w:rPr>
        <w:t xml:space="preserve">, </w:t>
      </w:r>
      <w:r w:rsidR="00574DF8">
        <w:rPr>
          <w:rFonts w:eastAsia="Calibri"/>
          <w:lang w:val="es-ES_tradnl"/>
        </w:rPr>
        <w:t>apartado</w:t>
      </w:r>
      <w:r w:rsidR="003F7FD8" w:rsidRPr="003F7FD8">
        <w:rPr>
          <w:rFonts w:eastAsia="Calibri"/>
          <w:lang w:val="es-ES_tradnl"/>
        </w:rPr>
        <w:t xml:space="preserve"> b)</w:t>
      </w:r>
      <w:r w:rsidR="00FE2329">
        <w:rPr>
          <w:rFonts w:eastAsia="Calibri"/>
          <w:lang w:val="es-ES_tradnl"/>
        </w:rPr>
        <w:t>,</w:t>
      </w:r>
      <w:r w:rsidR="003F7FD8" w:rsidRPr="003F7FD8">
        <w:rPr>
          <w:rFonts w:eastAsia="Calibri"/>
          <w:lang w:val="es-ES_tradnl"/>
        </w:rPr>
        <w:t xml:space="preserve"> del Protocolo Facultativo</w:t>
      </w:r>
      <w:r w:rsidR="006F3470">
        <w:rPr>
          <w:rFonts w:eastAsia="Calibri"/>
          <w:lang w:val="es-ES_tradnl"/>
        </w:rPr>
        <w:t xml:space="preserve">, ya </w:t>
      </w:r>
      <w:r w:rsidR="006F3470" w:rsidRPr="006F3470">
        <w:rPr>
          <w:rFonts w:eastAsia="Calibri"/>
          <w:lang w:val="es-ES_tradnl"/>
        </w:rPr>
        <w:t>que</w:t>
      </w:r>
      <w:r w:rsidR="00FE2329">
        <w:rPr>
          <w:rFonts w:eastAsia="Calibri"/>
          <w:lang w:val="es-ES_tradnl"/>
        </w:rPr>
        <w:t>, a pesar de</w:t>
      </w:r>
      <w:r w:rsidR="006F3470" w:rsidRPr="006F3470">
        <w:rPr>
          <w:rFonts w:eastAsia="Calibri"/>
          <w:lang w:val="es-ES_tradnl"/>
        </w:rPr>
        <w:t xml:space="preserve"> ha</w:t>
      </w:r>
      <w:r w:rsidR="00FE2329">
        <w:rPr>
          <w:rFonts w:eastAsia="Calibri"/>
          <w:lang w:val="es-ES_tradnl"/>
        </w:rPr>
        <w:t>ber</w:t>
      </w:r>
      <w:r w:rsidR="006F3470" w:rsidRPr="006F3470">
        <w:rPr>
          <w:rFonts w:eastAsia="Calibri"/>
          <w:lang w:val="es-ES_tradnl"/>
        </w:rPr>
        <w:t xml:space="preserve"> presentado las denuncias ante las instancias judiciales </w:t>
      </w:r>
      <w:r w:rsidR="00FE2329">
        <w:rPr>
          <w:rFonts w:eastAsia="Calibri"/>
          <w:lang w:val="es-ES_tradnl"/>
        </w:rPr>
        <w:t xml:space="preserve">competentes, </w:t>
      </w:r>
      <w:r w:rsidR="00406AEA">
        <w:rPr>
          <w:lang w:val="es-ES"/>
        </w:rPr>
        <w:t>no</w:t>
      </w:r>
      <w:r w:rsidR="00406AEA" w:rsidRPr="0017192B">
        <w:rPr>
          <w:lang w:val="es-ES"/>
        </w:rPr>
        <w:t xml:space="preserve"> </w:t>
      </w:r>
      <w:r w:rsidR="00406AEA">
        <w:rPr>
          <w:lang w:val="es-ES"/>
        </w:rPr>
        <w:t xml:space="preserve">se ha </w:t>
      </w:r>
      <w:r w:rsidR="00406AEA" w:rsidRPr="0017192B">
        <w:rPr>
          <w:lang w:val="es-ES"/>
        </w:rPr>
        <w:t>emprendido una investigació</w:t>
      </w:r>
      <w:r w:rsidR="00406AEA">
        <w:rPr>
          <w:lang w:val="es-ES"/>
        </w:rPr>
        <w:t xml:space="preserve">n </w:t>
      </w:r>
      <w:r w:rsidR="00406AEA">
        <w:rPr>
          <w:lang w:val="es-ES"/>
        </w:rPr>
        <w:lastRenderedPageBreak/>
        <w:t>pronta, imparcial, exhaustiva e</w:t>
      </w:r>
      <w:r w:rsidR="00406AEA" w:rsidRPr="0017192B">
        <w:rPr>
          <w:lang w:val="es-ES"/>
        </w:rPr>
        <w:t xml:space="preserve"> independiente</w:t>
      </w:r>
      <w:r w:rsidR="00406AEA">
        <w:rPr>
          <w:lang w:val="es-ES"/>
        </w:rPr>
        <w:t>, y</w:t>
      </w:r>
      <w:r w:rsidR="00406AEA" w:rsidRPr="0017192B">
        <w:rPr>
          <w:lang w:val="es-ES"/>
        </w:rPr>
        <w:t xml:space="preserve"> </w:t>
      </w:r>
      <w:r w:rsidR="00FE2329">
        <w:rPr>
          <w:rFonts w:eastAsia="Calibri"/>
          <w:lang w:val="es-ES_tradnl"/>
        </w:rPr>
        <w:t>la investigación se ha</w:t>
      </w:r>
      <w:r w:rsidR="008D53BC">
        <w:rPr>
          <w:rFonts w:eastAsia="Calibri"/>
          <w:lang w:val="es-ES_tradnl"/>
        </w:rPr>
        <w:t xml:space="preserve"> prolonga</w:t>
      </w:r>
      <w:r w:rsidR="00FE2329">
        <w:rPr>
          <w:rFonts w:eastAsia="Calibri"/>
          <w:lang w:val="es-ES_tradnl"/>
        </w:rPr>
        <w:t>do</w:t>
      </w:r>
      <w:r w:rsidR="008D53BC">
        <w:rPr>
          <w:rFonts w:eastAsia="Calibri"/>
          <w:lang w:val="es-ES_tradnl"/>
        </w:rPr>
        <w:t xml:space="preserve"> </w:t>
      </w:r>
      <w:r w:rsidR="00FE2329">
        <w:rPr>
          <w:rFonts w:eastAsia="Calibri"/>
          <w:lang w:val="es-ES_tradnl"/>
        </w:rPr>
        <w:t xml:space="preserve">de manera </w:t>
      </w:r>
      <w:r w:rsidR="008D53BC">
        <w:rPr>
          <w:rFonts w:eastAsia="Calibri"/>
          <w:lang w:val="es-ES_tradnl"/>
        </w:rPr>
        <w:t>injustificada</w:t>
      </w:r>
      <w:r w:rsidR="00396ABC">
        <w:rPr>
          <w:rFonts w:eastAsia="Calibri"/>
          <w:lang w:val="es-ES_tradnl"/>
        </w:rPr>
        <w:t>, por lo que</w:t>
      </w:r>
      <w:r w:rsidR="00FE2329">
        <w:rPr>
          <w:rFonts w:eastAsia="Calibri"/>
          <w:lang w:val="es-ES_tradnl"/>
        </w:rPr>
        <w:t xml:space="preserve"> los </w:t>
      </w:r>
      <w:r w:rsidR="009A2231">
        <w:rPr>
          <w:rFonts w:eastAsia="Calibri"/>
          <w:lang w:val="es-ES_tradnl"/>
        </w:rPr>
        <w:t xml:space="preserve">recursos no </w:t>
      </w:r>
      <w:r w:rsidR="00FE2329">
        <w:rPr>
          <w:rFonts w:eastAsia="Calibri"/>
          <w:lang w:val="es-ES_tradnl"/>
        </w:rPr>
        <w:t xml:space="preserve">han sido </w:t>
      </w:r>
      <w:r w:rsidR="009A2231">
        <w:rPr>
          <w:rFonts w:eastAsia="Calibri"/>
          <w:lang w:val="es-ES_tradnl"/>
        </w:rPr>
        <w:t>eficaces</w:t>
      </w:r>
      <w:r w:rsidR="00406AEA" w:rsidRPr="00406AEA">
        <w:rPr>
          <w:lang w:val="es-ES"/>
        </w:rPr>
        <w:t xml:space="preserve"> </w:t>
      </w:r>
      <w:r w:rsidR="00406AEA">
        <w:rPr>
          <w:lang w:val="es-ES"/>
        </w:rPr>
        <w:t>par</w:t>
      </w:r>
      <w:r w:rsidR="00406AEA" w:rsidRPr="0017192B">
        <w:rPr>
          <w:lang w:val="es-ES"/>
        </w:rPr>
        <w:t xml:space="preserve">a dar con el paradero de la víctima e individualizar a los verdaderos </w:t>
      </w:r>
      <w:r w:rsidR="00406AEA">
        <w:rPr>
          <w:lang w:val="es-ES"/>
        </w:rPr>
        <w:t>responsables</w:t>
      </w:r>
      <w:r w:rsidR="005668E9">
        <w:rPr>
          <w:rStyle w:val="Refdenotaalpie"/>
          <w:rFonts w:eastAsia="Calibri"/>
          <w:lang w:val="es-ES_tradnl"/>
        </w:rPr>
        <w:footnoteReference w:id="28"/>
      </w:r>
      <w:r w:rsidR="0038675D">
        <w:rPr>
          <w:rFonts w:eastAsia="Calibri"/>
          <w:lang w:val="es-ES_tradnl"/>
        </w:rPr>
        <w:t>.</w:t>
      </w:r>
    </w:p>
    <w:p w14:paraId="21395E49" w14:textId="689B35EA" w:rsidR="006528CE" w:rsidRDefault="004763E0" w:rsidP="00EC3258">
      <w:pPr>
        <w:pStyle w:val="SingleTxtG"/>
        <w:rPr>
          <w:rFonts w:eastAsia="Calibri"/>
          <w:lang w:val="es-ES_tradnl"/>
        </w:rPr>
      </w:pPr>
      <w:r>
        <w:rPr>
          <w:rFonts w:eastAsia="Calibri"/>
          <w:lang w:val="es-ES_tradnl"/>
        </w:rPr>
        <w:t>3.2</w:t>
      </w:r>
      <w:r>
        <w:rPr>
          <w:rFonts w:eastAsia="Calibri"/>
          <w:lang w:val="es-ES_tradnl"/>
        </w:rPr>
        <w:tab/>
        <w:t>Los autores alegan la</w:t>
      </w:r>
      <w:r w:rsidR="002E1D5B">
        <w:rPr>
          <w:rFonts w:eastAsia="Calibri"/>
          <w:lang w:val="es-ES_tradnl"/>
        </w:rPr>
        <w:t xml:space="preserve"> violación</w:t>
      </w:r>
      <w:r w:rsidR="00B72606">
        <w:rPr>
          <w:rFonts w:eastAsia="Calibri"/>
          <w:lang w:val="es-ES_tradnl"/>
        </w:rPr>
        <w:t>,</w:t>
      </w:r>
      <w:r w:rsidR="002E1D5B">
        <w:rPr>
          <w:rFonts w:eastAsia="Calibri"/>
          <w:lang w:val="es-ES_tradnl"/>
        </w:rPr>
        <w:t xml:space="preserve"> </w:t>
      </w:r>
      <w:r w:rsidR="00B72606" w:rsidRPr="00BB6A9A">
        <w:rPr>
          <w:rFonts w:eastAsia="Calibri"/>
          <w:lang w:val="es-ES_tradnl"/>
        </w:rPr>
        <w:t xml:space="preserve">en relación con </w:t>
      </w:r>
      <w:r w:rsidR="0038675D">
        <w:rPr>
          <w:rFonts w:eastAsia="Calibri"/>
          <w:lang w:val="es-ES_tradnl"/>
        </w:rPr>
        <w:t xml:space="preserve">el Sr. </w:t>
      </w:r>
      <w:r w:rsidR="00B72606" w:rsidRPr="00BB6A9A">
        <w:rPr>
          <w:rFonts w:eastAsia="Calibri"/>
          <w:lang w:val="es-ES_tradnl"/>
        </w:rPr>
        <w:t>Moreno Pérez</w:t>
      </w:r>
      <w:r w:rsidR="00B72606">
        <w:rPr>
          <w:rFonts w:eastAsia="Calibri"/>
          <w:lang w:val="es-ES_tradnl"/>
        </w:rPr>
        <w:t xml:space="preserve">, </w:t>
      </w:r>
      <w:r w:rsidR="002E1D5B">
        <w:rPr>
          <w:rFonts w:eastAsia="Calibri"/>
          <w:lang w:val="es-ES_tradnl"/>
        </w:rPr>
        <w:t>del artículo 6</w:t>
      </w:r>
      <w:r w:rsidR="00B72606">
        <w:rPr>
          <w:rFonts w:eastAsia="Calibri"/>
          <w:lang w:val="es-ES_tradnl"/>
        </w:rPr>
        <w:t>,</w:t>
      </w:r>
      <w:r w:rsidR="002E1D5B">
        <w:rPr>
          <w:rFonts w:eastAsia="Calibri"/>
          <w:lang w:val="es-ES_tradnl"/>
        </w:rPr>
        <w:t xml:space="preserve"> </w:t>
      </w:r>
      <w:r w:rsidR="00B72606" w:rsidRPr="00BB6A9A">
        <w:rPr>
          <w:rFonts w:eastAsia="Calibri"/>
          <w:lang w:val="es-ES_tradnl"/>
        </w:rPr>
        <w:t xml:space="preserve">párrafo 1, </w:t>
      </w:r>
      <w:r w:rsidR="00D305A5" w:rsidRPr="00BB6A9A">
        <w:rPr>
          <w:rFonts w:eastAsia="Calibri"/>
          <w:lang w:val="es-ES_tradnl"/>
        </w:rPr>
        <w:t>del Pacto</w:t>
      </w:r>
      <w:r w:rsidR="00D305A5">
        <w:rPr>
          <w:rFonts w:eastAsia="Calibri"/>
          <w:lang w:val="es-ES_tradnl"/>
        </w:rPr>
        <w:t>,</w:t>
      </w:r>
      <w:r w:rsidR="00D305A5" w:rsidRPr="00BB6A9A">
        <w:rPr>
          <w:rFonts w:eastAsia="Calibri"/>
          <w:lang w:val="es-ES_tradnl"/>
        </w:rPr>
        <w:t xml:space="preserve"> </w:t>
      </w:r>
      <w:r w:rsidR="00B72606" w:rsidRPr="00BB6A9A">
        <w:rPr>
          <w:rFonts w:eastAsia="Calibri"/>
          <w:lang w:val="es-ES_tradnl"/>
        </w:rPr>
        <w:t xml:space="preserve">leído </w:t>
      </w:r>
      <w:r w:rsidR="0048759E">
        <w:rPr>
          <w:rFonts w:eastAsia="Calibri"/>
          <w:lang w:val="es-ES_tradnl"/>
        </w:rPr>
        <w:t xml:space="preserve">solo y </w:t>
      </w:r>
      <w:proofErr w:type="gramStart"/>
      <w:r w:rsidR="00B72606" w:rsidRPr="00BB6A9A">
        <w:rPr>
          <w:rFonts w:eastAsia="Calibri"/>
          <w:lang w:val="es-ES_tradnl"/>
        </w:rPr>
        <w:t>conjuntament</w:t>
      </w:r>
      <w:r w:rsidR="00D305A5">
        <w:rPr>
          <w:rFonts w:eastAsia="Calibri"/>
          <w:lang w:val="es-ES_tradnl"/>
        </w:rPr>
        <w:t>e con</w:t>
      </w:r>
      <w:proofErr w:type="gramEnd"/>
      <w:r w:rsidR="00D305A5">
        <w:rPr>
          <w:rFonts w:eastAsia="Calibri"/>
          <w:lang w:val="es-ES_tradnl"/>
        </w:rPr>
        <w:t xml:space="preserve"> el artículo 2, párrafo 3,</w:t>
      </w:r>
      <w:r w:rsidR="00B72606">
        <w:rPr>
          <w:rFonts w:eastAsia="Calibri"/>
          <w:lang w:val="es-ES_tradnl"/>
        </w:rPr>
        <w:t xml:space="preserve"> </w:t>
      </w:r>
      <w:r w:rsidR="00D305A5">
        <w:rPr>
          <w:rFonts w:eastAsia="Calibri"/>
          <w:lang w:val="es-ES_tradnl"/>
        </w:rPr>
        <w:t>y</w:t>
      </w:r>
      <w:r w:rsidR="002E1D5B">
        <w:rPr>
          <w:rFonts w:eastAsia="Calibri"/>
          <w:lang w:val="es-ES_tradnl"/>
        </w:rPr>
        <w:t xml:space="preserve"> </w:t>
      </w:r>
      <w:r w:rsidR="00217AAA" w:rsidRPr="00217AAA">
        <w:rPr>
          <w:rFonts w:eastAsia="Calibri"/>
          <w:lang w:val="es-ES_tradnl"/>
        </w:rPr>
        <w:t>solicita</w:t>
      </w:r>
      <w:r w:rsidR="00217AAA">
        <w:rPr>
          <w:rFonts w:eastAsia="Calibri"/>
          <w:lang w:val="es-ES_tradnl"/>
        </w:rPr>
        <w:t>n</w:t>
      </w:r>
      <w:r w:rsidR="00217AAA" w:rsidRPr="00217AAA">
        <w:rPr>
          <w:rFonts w:eastAsia="Calibri"/>
          <w:lang w:val="es-ES_tradnl"/>
        </w:rPr>
        <w:t xml:space="preserve"> al Comité aplicar su jurisprudencia </w:t>
      </w:r>
      <w:r w:rsidR="00D85A63">
        <w:rPr>
          <w:rFonts w:eastAsia="Calibri"/>
          <w:lang w:val="es-ES_tradnl"/>
        </w:rPr>
        <w:t>según la cual</w:t>
      </w:r>
      <w:r w:rsidR="00217AAA" w:rsidRPr="00217AAA">
        <w:rPr>
          <w:rFonts w:eastAsia="Calibri"/>
          <w:lang w:val="es-ES_tradnl"/>
        </w:rPr>
        <w:t xml:space="preserve"> el término </w:t>
      </w:r>
      <w:r w:rsidR="00D85A63">
        <w:rPr>
          <w:rFonts w:eastAsia="Calibri"/>
          <w:lang w:val="es-ES_tradnl"/>
        </w:rPr>
        <w:t>“</w:t>
      </w:r>
      <w:r w:rsidR="00217AAA" w:rsidRPr="00217AAA">
        <w:rPr>
          <w:rFonts w:eastAsia="Calibri"/>
          <w:lang w:val="es-ES_tradnl"/>
        </w:rPr>
        <w:t>desaparición forzada</w:t>
      </w:r>
      <w:r w:rsidR="00D85A63">
        <w:rPr>
          <w:rFonts w:eastAsia="Calibri"/>
          <w:lang w:val="es-ES_tradnl"/>
        </w:rPr>
        <w:t>”</w:t>
      </w:r>
      <w:r w:rsidR="00217AAA" w:rsidRPr="00217AAA">
        <w:rPr>
          <w:rFonts w:eastAsia="Calibri"/>
          <w:lang w:val="es-ES_tradnl"/>
        </w:rPr>
        <w:t xml:space="preserve"> puede utilizarse en sentido </w:t>
      </w:r>
      <w:r w:rsidR="00880DD0" w:rsidRPr="00217AAA">
        <w:rPr>
          <w:rFonts w:eastAsia="Calibri"/>
          <w:lang w:val="es-ES_tradnl"/>
        </w:rPr>
        <w:t>extenso</w:t>
      </w:r>
      <w:r w:rsidR="00217AAA" w:rsidRPr="00217AAA">
        <w:rPr>
          <w:rFonts w:eastAsia="Calibri"/>
          <w:lang w:val="es-ES_tradnl"/>
        </w:rPr>
        <w:t xml:space="preserve"> respecto de las desapariciones que son obra de fuerzas independientes de</w:t>
      </w:r>
      <w:r w:rsidR="00C03A87">
        <w:rPr>
          <w:rFonts w:eastAsia="Calibri"/>
          <w:lang w:val="es-ES_tradnl"/>
        </w:rPr>
        <w:t>l</w:t>
      </w:r>
      <w:r w:rsidR="00217AAA" w:rsidRPr="00217AAA">
        <w:rPr>
          <w:rFonts w:eastAsia="Calibri"/>
          <w:lang w:val="es-ES_tradnl"/>
        </w:rPr>
        <w:t xml:space="preserve"> Estado</w:t>
      </w:r>
      <w:r w:rsidR="00574DF8">
        <w:rPr>
          <w:rFonts w:eastAsia="Calibri"/>
          <w:lang w:val="es-ES_tradnl"/>
        </w:rPr>
        <w:t>.</w:t>
      </w:r>
      <w:r w:rsidR="00C03A87">
        <w:rPr>
          <w:rFonts w:eastAsia="Calibri"/>
          <w:lang w:val="es-ES_tradnl"/>
        </w:rPr>
        <w:t xml:space="preserve"> </w:t>
      </w:r>
      <w:r w:rsidR="00574DF8">
        <w:rPr>
          <w:rFonts w:eastAsia="Calibri"/>
          <w:lang w:val="es-ES_tradnl"/>
        </w:rPr>
        <w:t>R</w:t>
      </w:r>
      <w:r w:rsidR="00C03A87">
        <w:rPr>
          <w:rFonts w:eastAsia="Calibri"/>
          <w:lang w:val="es-ES_tradnl"/>
        </w:rPr>
        <w:t>ecuerdan</w:t>
      </w:r>
      <w:r w:rsidR="00F23D44">
        <w:rPr>
          <w:rFonts w:eastAsia="Calibri"/>
          <w:lang w:val="es-ES_tradnl"/>
        </w:rPr>
        <w:t xml:space="preserve"> </w:t>
      </w:r>
      <w:r w:rsidR="00574DF8">
        <w:rPr>
          <w:rFonts w:eastAsia="Calibri"/>
          <w:lang w:val="es-ES_tradnl"/>
        </w:rPr>
        <w:t xml:space="preserve">también </w:t>
      </w:r>
      <w:r w:rsidR="00F23D44">
        <w:rPr>
          <w:rFonts w:eastAsia="Calibri"/>
          <w:lang w:val="es-ES_tradnl"/>
        </w:rPr>
        <w:t xml:space="preserve">que </w:t>
      </w:r>
      <w:r w:rsidR="001C484E" w:rsidRPr="001C484E">
        <w:rPr>
          <w:rFonts w:eastAsia="Calibri"/>
          <w:lang w:val="es-ES_tradnl"/>
        </w:rPr>
        <w:t>los Estados tienen la obligación de garantizar la protección contra violaciones que cometan particulares</w:t>
      </w:r>
      <w:r w:rsidR="0039252F">
        <w:rPr>
          <w:rStyle w:val="Refdenotaalpie"/>
          <w:rFonts w:eastAsia="Calibri"/>
          <w:lang w:val="es-ES_tradnl"/>
        </w:rPr>
        <w:footnoteReference w:id="29"/>
      </w:r>
      <w:r w:rsidR="0038675D">
        <w:rPr>
          <w:rFonts w:eastAsia="Calibri"/>
          <w:lang w:val="es-ES_tradnl"/>
        </w:rPr>
        <w:t>.</w:t>
      </w:r>
      <w:r w:rsidR="000C050A">
        <w:rPr>
          <w:rFonts w:eastAsia="Calibri"/>
          <w:lang w:val="es-ES_tradnl"/>
        </w:rPr>
        <w:t xml:space="preserve"> Al respecto, sostienen que d</w:t>
      </w:r>
      <w:r w:rsidR="00BB6A9A" w:rsidRPr="00BB6A9A">
        <w:rPr>
          <w:rFonts w:eastAsia="Calibri"/>
          <w:lang w:val="es-ES_tradnl"/>
        </w:rPr>
        <w:t xml:space="preserve">esde el momento en que las autoridades tuvieron </w:t>
      </w:r>
      <w:r w:rsidR="00C10754">
        <w:rPr>
          <w:rFonts w:eastAsia="Calibri"/>
          <w:lang w:val="es-ES_tradnl"/>
        </w:rPr>
        <w:t>conocimiento</w:t>
      </w:r>
      <w:r w:rsidR="00BB6A9A" w:rsidRPr="00BB6A9A">
        <w:rPr>
          <w:rFonts w:eastAsia="Calibri"/>
          <w:lang w:val="es-ES_tradnl"/>
        </w:rPr>
        <w:t xml:space="preserve"> de la desaparición</w:t>
      </w:r>
      <w:r w:rsidR="000C050A">
        <w:rPr>
          <w:rFonts w:eastAsia="Calibri"/>
          <w:lang w:val="es-ES_tradnl"/>
        </w:rPr>
        <w:t xml:space="preserve"> del Sr. Moreno Pérez</w:t>
      </w:r>
      <w:r w:rsidR="00BB6A9A" w:rsidRPr="00BB6A9A">
        <w:rPr>
          <w:rFonts w:eastAsia="Calibri"/>
          <w:lang w:val="es-ES_tradnl"/>
        </w:rPr>
        <w:t>, o</w:t>
      </w:r>
      <w:r w:rsidR="00FB69B6">
        <w:rPr>
          <w:rFonts w:eastAsia="Calibri"/>
          <w:lang w:val="es-ES_tradnl"/>
        </w:rPr>
        <w:t>mitieron su búsqueda inmediata</w:t>
      </w:r>
      <w:r w:rsidR="00BB6A9A" w:rsidRPr="00BB6A9A">
        <w:rPr>
          <w:rFonts w:eastAsia="Calibri"/>
          <w:lang w:val="es-ES_tradnl"/>
        </w:rPr>
        <w:t xml:space="preserve">, alteraron y fabricaron pruebas para desviar la investigación, creando las condiciones que </w:t>
      </w:r>
      <w:r w:rsidR="00FB69B6">
        <w:rPr>
          <w:rFonts w:eastAsia="Calibri"/>
          <w:lang w:val="es-ES_tradnl"/>
        </w:rPr>
        <w:t xml:space="preserve">ponían en riesgo grave su vida, por lo </w:t>
      </w:r>
      <w:r w:rsidR="000C050A">
        <w:rPr>
          <w:rFonts w:eastAsia="Calibri"/>
          <w:lang w:val="es-ES_tradnl"/>
        </w:rPr>
        <w:t xml:space="preserve">que </w:t>
      </w:r>
      <w:r w:rsidR="00BB6A9A" w:rsidRPr="00BB6A9A">
        <w:rPr>
          <w:rFonts w:eastAsia="Calibri"/>
          <w:lang w:val="es-ES_tradnl"/>
        </w:rPr>
        <w:t xml:space="preserve">es razonable presumir que </w:t>
      </w:r>
      <w:r w:rsidR="00FB69B6">
        <w:rPr>
          <w:rFonts w:eastAsia="Calibri"/>
          <w:lang w:val="es-ES_tradnl"/>
        </w:rPr>
        <w:t>el</w:t>
      </w:r>
      <w:r w:rsidR="00BB6A9A" w:rsidRPr="00BB6A9A">
        <w:rPr>
          <w:rFonts w:eastAsia="Calibri"/>
          <w:lang w:val="es-ES_tradnl"/>
        </w:rPr>
        <w:t xml:space="preserve"> derecho a la vida</w:t>
      </w:r>
      <w:r w:rsidR="00FB69B6" w:rsidRPr="00FB69B6">
        <w:rPr>
          <w:lang w:val="es-ES"/>
        </w:rPr>
        <w:t xml:space="preserve"> </w:t>
      </w:r>
      <w:r w:rsidR="00FB69B6" w:rsidRPr="00FB69B6">
        <w:rPr>
          <w:rFonts w:eastAsia="Calibri"/>
          <w:lang w:val="es-ES_tradnl"/>
        </w:rPr>
        <w:t>del Sr. Moreno Pérez</w:t>
      </w:r>
      <w:r w:rsidR="00BB6A9A" w:rsidRPr="00BB6A9A">
        <w:rPr>
          <w:rFonts w:eastAsia="Calibri"/>
          <w:lang w:val="es-ES_tradnl"/>
        </w:rPr>
        <w:t xml:space="preserve"> fue violado</w:t>
      </w:r>
      <w:r w:rsidR="00215169">
        <w:rPr>
          <w:rFonts w:eastAsia="Calibri"/>
          <w:lang w:val="es-ES_tradnl"/>
        </w:rPr>
        <w:t>.</w:t>
      </w:r>
    </w:p>
    <w:p w14:paraId="0D205AC4" w14:textId="33BF184C" w:rsidR="00C57EF1" w:rsidRDefault="0017025A" w:rsidP="004E5C69">
      <w:pPr>
        <w:pStyle w:val="SingleTxtG"/>
        <w:rPr>
          <w:rFonts w:eastAsia="Calibri"/>
          <w:lang w:val="es-ES_tradnl"/>
        </w:rPr>
      </w:pPr>
      <w:r>
        <w:rPr>
          <w:rFonts w:eastAsia="Calibri"/>
          <w:lang w:val="es-ES_tradnl"/>
        </w:rPr>
        <w:t>3.3</w:t>
      </w:r>
      <w:r>
        <w:rPr>
          <w:rFonts w:eastAsia="Calibri"/>
          <w:lang w:val="es-ES_tradnl"/>
        </w:rPr>
        <w:tab/>
      </w:r>
      <w:r w:rsidR="00215169" w:rsidRPr="00215169">
        <w:rPr>
          <w:rFonts w:eastAsia="Calibri"/>
          <w:lang w:val="es-ES_tradnl"/>
        </w:rPr>
        <w:t>Los autores alegan</w:t>
      </w:r>
      <w:r w:rsidR="00215169">
        <w:rPr>
          <w:rFonts w:eastAsia="Calibri"/>
          <w:lang w:val="es-ES_tradnl"/>
        </w:rPr>
        <w:t xml:space="preserve"> también </w:t>
      </w:r>
      <w:r w:rsidR="00215169" w:rsidRPr="00215169">
        <w:rPr>
          <w:rFonts w:eastAsia="Calibri"/>
          <w:lang w:val="es-ES_tradnl"/>
        </w:rPr>
        <w:t xml:space="preserve">la violación, en relación con </w:t>
      </w:r>
      <w:r w:rsidR="0038675D">
        <w:rPr>
          <w:rFonts w:eastAsia="Calibri"/>
          <w:lang w:val="es-ES_tradnl"/>
        </w:rPr>
        <w:t xml:space="preserve">el Sr. </w:t>
      </w:r>
      <w:r w:rsidR="00215169" w:rsidRPr="00215169">
        <w:rPr>
          <w:rFonts w:eastAsia="Calibri"/>
          <w:lang w:val="es-ES_tradnl"/>
        </w:rPr>
        <w:t xml:space="preserve">Moreno Pérez, del artículo </w:t>
      </w:r>
      <w:r w:rsidR="00215169">
        <w:rPr>
          <w:rFonts w:eastAsia="Calibri"/>
          <w:lang w:val="es-ES_tradnl"/>
        </w:rPr>
        <w:t>7</w:t>
      </w:r>
      <w:r w:rsidR="00215169" w:rsidRPr="00215169">
        <w:rPr>
          <w:rFonts w:eastAsia="Calibri"/>
          <w:lang w:val="es-ES_tradnl"/>
        </w:rPr>
        <w:t xml:space="preserve"> del Pacto, leído </w:t>
      </w:r>
      <w:r w:rsidR="00EB6711">
        <w:rPr>
          <w:rFonts w:eastAsia="Calibri"/>
          <w:lang w:val="es-ES_tradnl"/>
        </w:rPr>
        <w:t xml:space="preserve">solo y </w:t>
      </w:r>
      <w:proofErr w:type="gramStart"/>
      <w:r w:rsidR="00215169" w:rsidRPr="00215169">
        <w:rPr>
          <w:rFonts w:eastAsia="Calibri"/>
          <w:lang w:val="es-ES_tradnl"/>
        </w:rPr>
        <w:t>conjuntamente con</w:t>
      </w:r>
      <w:proofErr w:type="gramEnd"/>
      <w:r w:rsidR="00215169" w:rsidRPr="00215169">
        <w:rPr>
          <w:rFonts w:eastAsia="Calibri"/>
          <w:lang w:val="es-ES_tradnl"/>
        </w:rPr>
        <w:t xml:space="preserve"> el artículo 2, párrafo 3, </w:t>
      </w:r>
      <w:r w:rsidR="00215169">
        <w:rPr>
          <w:rFonts w:eastAsia="Calibri"/>
          <w:lang w:val="es-ES_tradnl"/>
        </w:rPr>
        <w:t>al recordar</w:t>
      </w:r>
      <w:r w:rsidR="00A26AB9">
        <w:rPr>
          <w:rFonts w:eastAsia="Calibri"/>
          <w:lang w:val="es-ES_tradnl"/>
        </w:rPr>
        <w:t xml:space="preserve"> </w:t>
      </w:r>
      <w:r w:rsidR="007309D6">
        <w:rPr>
          <w:rFonts w:eastAsia="Calibri"/>
          <w:lang w:val="es-ES_tradnl"/>
        </w:rPr>
        <w:t>la jurisprudencia constante del Comité según la cual</w:t>
      </w:r>
      <w:r w:rsidR="00D4497B" w:rsidRPr="00D4497B">
        <w:rPr>
          <w:rFonts w:eastAsia="Calibri"/>
          <w:lang w:val="es-ES_tradnl"/>
        </w:rPr>
        <w:t xml:space="preserve"> la desaparición de personas constituye en sí misma una forma de tortura</w:t>
      </w:r>
      <w:r w:rsidR="008D467F">
        <w:rPr>
          <w:rFonts w:eastAsia="Calibri"/>
          <w:lang w:val="es-ES_tradnl"/>
        </w:rPr>
        <w:t xml:space="preserve"> para la persona desaparecida</w:t>
      </w:r>
      <w:r w:rsidR="00D4497B" w:rsidRPr="00D4497B">
        <w:rPr>
          <w:rFonts w:eastAsia="Calibri"/>
          <w:lang w:val="es-ES_tradnl"/>
        </w:rPr>
        <w:t>.</w:t>
      </w:r>
      <w:r w:rsidR="002A0277">
        <w:rPr>
          <w:rFonts w:eastAsia="Calibri"/>
          <w:lang w:val="es-ES_tradnl"/>
        </w:rPr>
        <w:t xml:space="preserve"> </w:t>
      </w:r>
      <w:r w:rsidR="008D467F">
        <w:rPr>
          <w:rFonts w:eastAsia="Calibri"/>
          <w:lang w:val="es-ES_tradnl"/>
        </w:rPr>
        <w:t xml:space="preserve">Sostienen que </w:t>
      </w:r>
      <w:r w:rsidR="002A0277" w:rsidRPr="002A0277">
        <w:rPr>
          <w:rFonts w:eastAsia="Calibri"/>
          <w:lang w:val="es-ES_tradnl"/>
        </w:rPr>
        <w:t>es razonable presumir que</w:t>
      </w:r>
      <w:r w:rsidR="008A1272">
        <w:rPr>
          <w:rFonts w:eastAsia="Calibri"/>
          <w:lang w:val="es-ES_tradnl"/>
        </w:rPr>
        <w:t>,</w:t>
      </w:r>
      <w:r w:rsidR="002A0277" w:rsidRPr="002A0277">
        <w:rPr>
          <w:rFonts w:eastAsia="Calibri"/>
          <w:lang w:val="es-ES_tradnl"/>
        </w:rPr>
        <w:t xml:space="preserve"> durante su privación de libertad</w:t>
      </w:r>
      <w:r w:rsidR="008A1272">
        <w:rPr>
          <w:rFonts w:eastAsia="Calibri"/>
          <w:lang w:val="es-ES_tradnl"/>
        </w:rPr>
        <w:t>,</w:t>
      </w:r>
      <w:r w:rsidR="002A0277" w:rsidRPr="002A0277">
        <w:rPr>
          <w:rFonts w:eastAsia="Calibri"/>
          <w:lang w:val="es-ES_tradnl"/>
        </w:rPr>
        <w:t xml:space="preserve"> </w:t>
      </w:r>
      <w:r w:rsidR="008A1272" w:rsidRPr="008A1272">
        <w:rPr>
          <w:rFonts w:eastAsia="Calibri"/>
          <w:lang w:val="es-ES_tradnl"/>
        </w:rPr>
        <w:t xml:space="preserve">el Sr. Moreno Pérez </w:t>
      </w:r>
      <w:r w:rsidR="002A0277" w:rsidRPr="002A0277">
        <w:rPr>
          <w:rFonts w:eastAsia="Calibri"/>
          <w:lang w:val="es-ES_tradnl"/>
        </w:rPr>
        <w:t>permaneció con sentimientos de angustia e indefensión que le produjeron un intenso sufrimiento.</w:t>
      </w:r>
      <w:r w:rsidR="008D467F">
        <w:rPr>
          <w:rFonts w:eastAsia="Calibri"/>
          <w:lang w:val="es-ES_tradnl"/>
        </w:rPr>
        <w:t xml:space="preserve"> </w:t>
      </w:r>
      <w:r w:rsidR="009A1363">
        <w:rPr>
          <w:rFonts w:eastAsia="Calibri"/>
          <w:lang w:val="es-ES_tradnl"/>
        </w:rPr>
        <w:t>L</w:t>
      </w:r>
      <w:r w:rsidR="008D467F">
        <w:rPr>
          <w:rFonts w:eastAsia="Calibri"/>
          <w:lang w:val="es-ES_tradnl"/>
        </w:rPr>
        <w:t xml:space="preserve">os autores alegan </w:t>
      </w:r>
      <w:r w:rsidR="009A1363">
        <w:rPr>
          <w:rFonts w:eastAsia="Calibri"/>
          <w:lang w:val="es-ES_tradnl"/>
        </w:rPr>
        <w:t xml:space="preserve">también, </w:t>
      </w:r>
      <w:r w:rsidR="008D467F">
        <w:rPr>
          <w:rFonts w:eastAsia="Calibri"/>
          <w:lang w:val="es-ES_tradnl"/>
        </w:rPr>
        <w:t xml:space="preserve">en su </w:t>
      </w:r>
      <w:r w:rsidR="009A1363">
        <w:rPr>
          <w:rFonts w:eastAsia="Calibri"/>
          <w:lang w:val="es-ES_tradnl"/>
        </w:rPr>
        <w:t xml:space="preserve">propio </w:t>
      </w:r>
      <w:r w:rsidR="008D467F">
        <w:rPr>
          <w:rFonts w:eastAsia="Calibri"/>
          <w:lang w:val="es-ES_tradnl"/>
        </w:rPr>
        <w:t>perjuicio</w:t>
      </w:r>
      <w:r w:rsidR="009A1363">
        <w:rPr>
          <w:rFonts w:eastAsia="Calibri"/>
          <w:lang w:val="es-ES_tradnl"/>
        </w:rPr>
        <w:t>,</w:t>
      </w:r>
      <w:r w:rsidR="008D467F">
        <w:rPr>
          <w:rFonts w:eastAsia="Calibri"/>
          <w:lang w:val="es-ES_tradnl"/>
        </w:rPr>
        <w:t xml:space="preserve"> la violación del </w:t>
      </w:r>
      <w:r w:rsidR="00A65BBA" w:rsidRPr="00A65BBA">
        <w:rPr>
          <w:rFonts w:eastAsia="Calibri"/>
          <w:lang w:val="es-ES_tradnl"/>
        </w:rPr>
        <w:t xml:space="preserve">artículo 7 </w:t>
      </w:r>
      <w:r w:rsidR="008D467F">
        <w:rPr>
          <w:rFonts w:eastAsia="Calibri"/>
          <w:lang w:val="es-ES_tradnl"/>
        </w:rPr>
        <w:t xml:space="preserve">del Pacto </w:t>
      </w:r>
      <w:r w:rsidR="00A65BBA" w:rsidRPr="00A65BBA">
        <w:rPr>
          <w:rFonts w:eastAsia="Calibri"/>
          <w:lang w:val="es-ES_tradnl"/>
        </w:rPr>
        <w:t xml:space="preserve">leído </w:t>
      </w:r>
      <w:r w:rsidR="00F37833">
        <w:rPr>
          <w:rFonts w:eastAsia="Calibri"/>
          <w:lang w:val="es-ES_tradnl"/>
        </w:rPr>
        <w:t xml:space="preserve">solo y </w:t>
      </w:r>
      <w:proofErr w:type="gramStart"/>
      <w:r w:rsidR="00A65BBA" w:rsidRPr="00A65BBA">
        <w:rPr>
          <w:rFonts w:eastAsia="Calibri"/>
          <w:lang w:val="es-ES_tradnl"/>
        </w:rPr>
        <w:t>conjuntamente con</w:t>
      </w:r>
      <w:proofErr w:type="gramEnd"/>
      <w:r w:rsidR="00A65BBA" w:rsidRPr="00A65BBA">
        <w:rPr>
          <w:rFonts w:eastAsia="Calibri"/>
          <w:lang w:val="es-ES_tradnl"/>
        </w:rPr>
        <w:t xml:space="preserve"> el artículo 2, párrafo 3</w:t>
      </w:r>
      <w:r w:rsidR="008D467F">
        <w:rPr>
          <w:rFonts w:eastAsia="Calibri"/>
          <w:lang w:val="es-ES_tradnl"/>
        </w:rPr>
        <w:t>, mencionan</w:t>
      </w:r>
      <w:r w:rsidR="009A1363">
        <w:rPr>
          <w:rFonts w:eastAsia="Calibri"/>
          <w:lang w:val="es-ES_tradnl"/>
        </w:rPr>
        <w:t>do</w:t>
      </w:r>
      <w:r w:rsidR="008D467F">
        <w:rPr>
          <w:rFonts w:eastAsia="Calibri"/>
          <w:lang w:val="es-ES_tradnl"/>
        </w:rPr>
        <w:t xml:space="preserve"> que </w:t>
      </w:r>
      <w:r w:rsidR="00BC3616" w:rsidRPr="00BC3616">
        <w:rPr>
          <w:rFonts w:eastAsia="Calibri"/>
          <w:lang w:val="es-ES_tradnl"/>
        </w:rPr>
        <w:t xml:space="preserve">se </w:t>
      </w:r>
      <w:r w:rsidR="007B2ADF">
        <w:rPr>
          <w:rFonts w:eastAsia="Calibri"/>
          <w:lang w:val="es-ES_tradnl"/>
        </w:rPr>
        <w:t xml:space="preserve">les </w:t>
      </w:r>
      <w:r w:rsidR="00BC3616" w:rsidRPr="00BC3616">
        <w:rPr>
          <w:rFonts w:eastAsia="Calibri"/>
          <w:lang w:val="es-ES_tradnl"/>
        </w:rPr>
        <w:t xml:space="preserve">intentó obligar a aceptar </w:t>
      </w:r>
      <w:r w:rsidR="007B2ADF">
        <w:rPr>
          <w:rFonts w:eastAsia="Calibri"/>
          <w:lang w:val="es-ES_tradnl"/>
        </w:rPr>
        <w:t>la versión del homicidio</w:t>
      </w:r>
      <w:r w:rsidR="00BC3616" w:rsidRPr="00BC3616">
        <w:rPr>
          <w:rFonts w:eastAsia="Calibri"/>
          <w:lang w:val="es-ES_tradnl"/>
        </w:rPr>
        <w:t xml:space="preserve"> con el objetivo de frenar la búsqueda</w:t>
      </w:r>
      <w:r w:rsidR="00A5690A">
        <w:rPr>
          <w:rFonts w:eastAsia="Calibri"/>
          <w:lang w:val="es-ES_tradnl"/>
        </w:rPr>
        <w:t>,</w:t>
      </w:r>
      <w:r w:rsidR="00BC3616" w:rsidRPr="00BC3616">
        <w:rPr>
          <w:rFonts w:eastAsia="Calibri"/>
          <w:lang w:val="es-ES_tradnl"/>
        </w:rPr>
        <w:t xml:space="preserve"> </w:t>
      </w:r>
      <w:r w:rsidR="00820FC7">
        <w:rPr>
          <w:rFonts w:eastAsia="Calibri"/>
          <w:lang w:val="es-ES_tradnl"/>
        </w:rPr>
        <w:t>y</w:t>
      </w:r>
      <w:r w:rsidR="00CB4C64">
        <w:rPr>
          <w:rFonts w:eastAsia="Calibri"/>
          <w:lang w:val="es-ES_tradnl"/>
        </w:rPr>
        <w:t xml:space="preserve"> que la</w:t>
      </w:r>
      <w:r w:rsidR="007B2ADF">
        <w:rPr>
          <w:rFonts w:eastAsia="Calibri"/>
          <w:lang w:val="es-ES_tradnl"/>
        </w:rPr>
        <w:t>s</w:t>
      </w:r>
      <w:r w:rsidR="00BC3616" w:rsidRPr="00BC3616">
        <w:rPr>
          <w:rFonts w:eastAsia="Calibri"/>
          <w:lang w:val="es-ES_tradnl"/>
        </w:rPr>
        <w:t xml:space="preserve"> </w:t>
      </w:r>
      <w:r w:rsidR="00CB4C64" w:rsidRPr="00FA3706">
        <w:rPr>
          <w:rFonts w:eastAsia="Calibri"/>
          <w:lang w:val="es-ES_tradnl"/>
        </w:rPr>
        <w:t>prisa</w:t>
      </w:r>
      <w:r w:rsidR="007B2ADF">
        <w:rPr>
          <w:rFonts w:eastAsia="Calibri"/>
          <w:lang w:val="es-ES_tradnl"/>
        </w:rPr>
        <w:t>s</w:t>
      </w:r>
      <w:r w:rsidR="00CB4C64" w:rsidRPr="00FA3706">
        <w:rPr>
          <w:rFonts w:eastAsia="Calibri"/>
          <w:lang w:val="es-ES_tradnl"/>
        </w:rPr>
        <w:t xml:space="preserve"> de las autoridades en cerrar el caso </w:t>
      </w:r>
      <w:r w:rsidR="007B2ADF">
        <w:rPr>
          <w:rFonts w:eastAsia="Calibri"/>
          <w:lang w:val="es-ES_tradnl"/>
        </w:rPr>
        <w:t>les provoca</w:t>
      </w:r>
      <w:r w:rsidR="002206FB">
        <w:rPr>
          <w:rFonts w:eastAsia="Calibri"/>
          <w:lang w:val="es-ES_tradnl"/>
        </w:rPr>
        <w:t>n</w:t>
      </w:r>
      <w:r w:rsidR="00CB4C64">
        <w:rPr>
          <w:rFonts w:eastAsia="Calibri"/>
          <w:lang w:val="es-ES_tradnl"/>
        </w:rPr>
        <w:t xml:space="preserve"> un gran </w:t>
      </w:r>
      <w:r w:rsidR="00FA3706" w:rsidRPr="00FA3706">
        <w:rPr>
          <w:rFonts w:eastAsia="Calibri"/>
          <w:lang w:val="es-ES_tradnl"/>
        </w:rPr>
        <w:t>dolor</w:t>
      </w:r>
      <w:r w:rsidR="002206FB">
        <w:rPr>
          <w:rFonts w:eastAsia="Calibri"/>
          <w:lang w:val="es-ES_tradnl"/>
        </w:rPr>
        <w:t>.</w:t>
      </w:r>
      <w:r w:rsidR="00820FC7">
        <w:rPr>
          <w:rFonts w:eastAsia="Calibri"/>
          <w:lang w:val="es-ES_tradnl"/>
        </w:rPr>
        <w:t xml:space="preserve"> Al respecto, e</w:t>
      </w:r>
      <w:r w:rsidR="00820FC7" w:rsidRPr="00D14D19">
        <w:rPr>
          <w:rFonts w:eastAsia="Calibri"/>
          <w:lang w:val="es-ES_tradnl"/>
        </w:rPr>
        <w:t>l padre</w:t>
      </w:r>
      <w:r w:rsidR="00820FC7" w:rsidRPr="00894F4E">
        <w:rPr>
          <w:rFonts w:eastAsia="Calibri"/>
          <w:lang w:val="es-ES_tradnl"/>
        </w:rPr>
        <w:t xml:space="preserve"> </w:t>
      </w:r>
      <w:r w:rsidR="00820FC7">
        <w:rPr>
          <w:rFonts w:eastAsia="Calibri"/>
          <w:lang w:val="es-ES_tradnl"/>
        </w:rPr>
        <w:t xml:space="preserve">del desaparecido </w:t>
      </w:r>
      <w:r w:rsidR="00820FC7" w:rsidRPr="00894F4E">
        <w:rPr>
          <w:rFonts w:eastAsia="Calibri"/>
          <w:lang w:val="es-ES_tradnl"/>
        </w:rPr>
        <w:t>declaró ante los medios de comunicación que estaba en contra de dar por “cerrado” el caso</w:t>
      </w:r>
      <w:r w:rsidR="00820FC7">
        <w:rPr>
          <w:rFonts w:eastAsia="Calibri"/>
          <w:lang w:val="es-ES_tradnl"/>
        </w:rPr>
        <w:t>. L</w:t>
      </w:r>
      <w:r w:rsidR="00820FC7" w:rsidRPr="00C57EF1">
        <w:rPr>
          <w:rFonts w:eastAsia="Calibri"/>
          <w:lang w:val="es-ES_tradnl"/>
        </w:rPr>
        <w:t xml:space="preserve">a continua incertidumbre resultante de la desaparición </w:t>
      </w:r>
      <w:r w:rsidR="00820FC7">
        <w:rPr>
          <w:rFonts w:eastAsia="Calibri"/>
          <w:lang w:val="es-ES_tradnl"/>
        </w:rPr>
        <w:t>de</w:t>
      </w:r>
      <w:r w:rsidR="0038675D">
        <w:rPr>
          <w:rFonts w:eastAsia="Calibri"/>
          <w:lang w:val="es-ES_tradnl"/>
        </w:rPr>
        <w:t>l Sr.</w:t>
      </w:r>
      <w:r w:rsidR="00820FC7">
        <w:rPr>
          <w:rFonts w:eastAsia="Calibri"/>
          <w:lang w:val="es-ES_tradnl"/>
        </w:rPr>
        <w:t xml:space="preserve"> </w:t>
      </w:r>
      <w:r w:rsidR="0038675D">
        <w:rPr>
          <w:rFonts w:eastAsia="Calibri"/>
          <w:lang w:val="es-ES_tradnl"/>
        </w:rPr>
        <w:t xml:space="preserve">Moreno Pérez </w:t>
      </w:r>
      <w:r w:rsidR="00820FC7">
        <w:rPr>
          <w:rFonts w:eastAsia="Calibri"/>
          <w:lang w:val="es-ES_tradnl"/>
        </w:rPr>
        <w:t>les causa angustia,</w:t>
      </w:r>
      <w:r w:rsidR="00820FC7" w:rsidRPr="00A65BBA">
        <w:rPr>
          <w:rFonts w:eastAsia="Calibri"/>
          <w:lang w:val="es-ES_tradnl"/>
        </w:rPr>
        <w:t xml:space="preserve"> estrés</w:t>
      </w:r>
      <w:r w:rsidR="008F0B83">
        <w:rPr>
          <w:rFonts w:eastAsia="Calibri"/>
          <w:lang w:val="es-ES_tradnl"/>
        </w:rPr>
        <w:t xml:space="preserve"> y</w:t>
      </w:r>
      <w:r w:rsidR="00820FC7" w:rsidRPr="00A65BBA">
        <w:rPr>
          <w:rFonts w:eastAsia="Calibri"/>
          <w:lang w:val="es-ES_tradnl"/>
        </w:rPr>
        <w:t xml:space="preserve"> </w:t>
      </w:r>
      <w:r w:rsidR="00320A59">
        <w:rPr>
          <w:rFonts w:eastAsia="Calibri"/>
          <w:lang w:val="es-ES_tradnl"/>
        </w:rPr>
        <w:t>“</w:t>
      </w:r>
      <w:r w:rsidR="008F0B83">
        <w:rPr>
          <w:rFonts w:eastAsia="Calibri"/>
          <w:lang w:val="es-ES_tradnl"/>
        </w:rPr>
        <w:t>mutilación de la vida</w:t>
      </w:r>
      <w:r w:rsidR="00320A59">
        <w:rPr>
          <w:rFonts w:eastAsia="Calibri"/>
          <w:lang w:val="es-ES_tradnl"/>
        </w:rPr>
        <w:t>”</w:t>
      </w:r>
      <w:r w:rsidR="009E1836">
        <w:rPr>
          <w:rFonts w:eastAsia="Calibri"/>
          <w:lang w:val="es-ES_tradnl"/>
        </w:rPr>
        <w:t>.</w:t>
      </w:r>
    </w:p>
    <w:p w14:paraId="1C0CA980" w14:textId="3A0EBF26" w:rsidR="00B53B9F" w:rsidRDefault="00ED4A4B" w:rsidP="005B380E">
      <w:pPr>
        <w:pStyle w:val="SingleTxtG"/>
        <w:rPr>
          <w:rFonts w:eastAsia="Calibri"/>
          <w:lang w:val="es-ES_tradnl"/>
        </w:rPr>
      </w:pPr>
      <w:r>
        <w:rPr>
          <w:rFonts w:eastAsia="Calibri"/>
          <w:lang w:val="es-ES_tradnl"/>
        </w:rPr>
        <w:t>3.4</w:t>
      </w:r>
      <w:r>
        <w:rPr>
          <w:rFonts w:eastAsia="Calibri"/>
          <w:lang w:val="es-ES_tradnl"/>
        </w:rPr>
        <w:tab/>
      </w:r>
      <w:r w:rsidR="00C07B95" w:rsidRPr="00C07B95">
        <w:rPr>
          <w:rFonts w:eastAsia="Calibri"/>
          <w:lang w:val="es-ES_tradnl"/>
        </w:rPr>
        <w:t xml:space="preserve">Los autores alegan también la violación, en relación con </w:t>
      </w:r>
      <w:r w:rsidR="0038675D">
        <w:rPr>
          <w:rFonts w:eastAsia="Calibri"/>
          <w:lang w:val="es-ES_tradnl"/>
        </w:rPr>
        <w:t xml:space="preserve">el Sr. </w:t>
      </w:r>
      <w:r w:rsidR="00C07B95">
        <w:rPr>
          <w:rFonts w:eastAsia="Calibri"/>
          <w:lang w:val="es-ES_tradnl"/>
        </w:rPr>
        <w:t>Moreno Pérez, del artículo 9</w:t>
      </w:r>
      <w:r w:rsidR="00C07B95" w:rsidRPr="00C07B95">
        <w:rPr>
          <w:rFonts w:eastAsia="Calibri"/>
          <w:lang w:val="es-ES_tradnl"/>
        </w:rPr>
        <w:t xml:space="preserve"> del Pacto, leído </w:t>
      </w:r>
      <w:r w:rsidR="00F37833">
        <w:rPr>
          <w:rFonts w:eastAsia="Calibri"/>
          <w:lang w:val="es-ES_tradnl"/>
        </w:rPr>
        <w:t xml:space="preserve">solo y </w:t>
      </w:r>
      <w:r w:rsidR="00C07B95" w:rsidRPr="00C07B95">
        <w:rPr>
          <w:rFonts w:eastAsia="Calibri"/>
          <w:lang w:val="es-ES_tradnl"/>
        </w:rPr>
        <w:t>conjuntamente con el artículo 2, párrafo 3</w:t>
      </w:r>
      <w:r w:rsidR="00921657">
        <w:rPr>
          <w:rFonts w:eastAsia="Calibri"/>
          <w:lang w:val="es-ES_tradnl"/>
        </w:rPr>
        <w:t xml:space="preserve">, </w:t>
      </w:r>
      <w:r w:rsidR="00CD7820">
        <w:rPr>
          <w:rFonts w:eastAsia="Calibri"/>
          <w:lang w:val="es-ES_tradnl"/>
        </w:rPr>
        <w:t>dado</w:t>
      </w:r>
      <w:r w:rsidR="007F000A">
        <w:rPr>
          <w:rFonts w:eastAsia="Calibri"/>
          <w:lang w:val="es-ES_tradnl"/>
        </w:rPr>
        <w:t xml:space="preserve"> que n</w:t>
      </w:r>
      <w:r w:rsidR="00B53B9F" w:rsidRPr="00B53B9F">
        <w:rPr>
          <w:rFonts w:eastAsia="Calibri"/>
          <w:lang w:val="es-ES_tradnl"/>
        </w:rPr>
        <w:t xml:space="preserve">o se ha podido esclarecer </w:t>
      </w:r>
      <w:r w:rsidR="00F5610D">
        <w:rPr>
          <w:rFonts w:eastAsia="Calibri"/>
          <w:lang w:val="es-ES_tradnl"/>
        </w:rPr>
        <w:t>el</w:t>
      </w:r>
      <w:r w:rsidR="00B53B9F" w:rsidRPr="00B53B9F">
        <w:rPr>
          <w:rFonts w:eastAsia="Calibri"/>
          <w:lang w:val="es-ES_tradnl"/>
        </w:rPr>
        <w:t xml:space="preserve"> paradero </w:t>
      </w:r>
      <w:r w:rsidR="00F5610D">
        <w:rPr>
          <w:rFonts w:eastAsia="Calibri"/>
          <w:lang w:val="es-ES_tradnl"/>
        </w:rPr>
        <w:t>y la</w:t>
      </w:r>
      <w:r w:rsidR="00B53B9F" w:rsidRPr="00B53B9F">
        <w:rPr>
          <w:rFonts w:eastAsia="Calibri"/>
          <w:lang w:val="es-ES_tradnl"/>
        </w:rPr>
        <w:t xml:space="preserve"> suerte</w:t>
      </w:r>
      <w:r w:rsidR="00F5610D">
        <w:rPr>
          <w:rFonts w:eastAsia="Calibri"/>
          <w:lang w:val="es-ES_tradnl"/>
        </w:rPr>
        <w:t xml:space="preserve"> del desaparecido</w:t>
      </w:r>
      <w:r w:rsidR="00B53B9F" w:rsidRPr="00B53B9F">
        <w:rPr>
          <w:rFonts w:eastAsia="Calibri"/>
          <w:lang w:val="es-ES_tradnl"/>
        </w:rPr>
        <w:t xml:space="preserve">, ni la forma en que fue privado de </w:t>
      </w:r>
      <w:r w:rsidR="005E44D4">
        <w:rPr>
          <w:rFonts w:eastAsia="Calibri"/>
          <w:lang w:val="es-ES_tradnl"/>
        </w:rPr>
        <w:t>su</w:t>
      </w:r>
      <w:r w:rsidR="00CD7820">
        <w:rPr>
          <w:rFonts w:eastAsia="Calibri"/>
          <w:lang w:val="es-ES_tradnl"/>
        </w:rPr>
        <w:t xml:space="preserve"> libertad, y que l</w:t>
      </w:r>
      <w:r w:rsidR="00B53B9F" w:rsidRPr="00B53B9F">
        <w:rPr>
          <w:rFonts w:eastAsia="Calibri"/>
          <w:lang w:val="es-ES_tradnl"/>
        </w:rPr>
        <w:t>a omisión inicial deliberada de</w:t>
      </w:r>
      <w:r w:rsidR="00CD7820">
        <w:rPr>
          <w:rFonts w:eastAsia="Calibri"/>
          <w:lang w:val="es-ES_tradnl"/>
        </w:rPr>
        <w:t xml:space="preserve"> las autoridades de</w:t>
      </w:r>
      <w:r w:rsidR="00B53B9F" w:rsidRPr="00B53B9F">
        <w:rPr>
          <w:rFonts w:eastAsia="Calibri"/>
          <w:lang w:val="es-ES_tradnl"/>
        </w:rPr>
        <w:t xml:space="preserve"> buscarlo</w:t>
      </w:r>
      <w:r w:rsidR="00680FCA">
        <w:rPr>
          <w:rFonts w:eastAsia="Calibri"/>
          <w:lang w:val="es-ES_tradnl"/>
        </w:rPr>
        <w:t>,</w:t>
      </w:r>
      <w:r w:rsidR="00CD7820">
        <w:rPr>
          <w:rFonts w:eastAsia="Calibri"/>
          <w:lang w:val="es-ES_tradnl"/>
        </w:rPr>
        <w:t xml:space="preserve"> así como</w:t>
      </w:r>
      <w:r w:rsidR="00B53B9F" w:rsidRPr="00B53B9F">
        <w:rPr>
          <w:rFonts w:eastAsia="Calibri"/>
          <w:lang w:val="es-ES_tradnl"/>
        </w:rPr>
        <w:t xml:space="preserve"> la obstrucción posterior de su búsqueda, permiten razonablemente considerar que el </w:t>
      </w:r>
      <w:r w:rsidR="00CF3904">
        <w:rPr>
          <w:rFonts w:eastAsia="Calibri"/>
          <w:lang w:val="es-ES_tradnl"/>
        </w:rPr>
        <w:t>Sr.</w:t>
      </w:r>
      <w:r w:rsidR="00B53B9F" w:rsidRPr="00B53B9F">
        <w:rPr>
          <w:rFonts w:eastAsia="Calibri"/>
          <w:lang w:val="es-ES_tradnl"/>
        </w:rPr>
        <w:t xml:space="preserve"> Moreno Pérez fue privado de su libertad en contra de su voluntad</w:t>
      </w:r>
      <w:r w:rsidR="00A93D94">
        <w:rPr>
          <w:rFonts w:eastAsia="Calibri"/>
          <w:lang w:val="es-ES_tradnl"/>
        </w:rPr>
        <w:t>.</w:t>
      </w:r>
    </w:p>
    <w:p w14:paraId="6F011663" w14:textId="2B8B1C92" w:rsidR="00D60E3C" w:rsidRPr="0010745D" w:rsidRDefault="001B3A16" w:rsidP="00177068">
      <w:pPr>
        <w:pStyle w:val="SingleTxtG"/>
        <w:rPr>
          <w:rFonts w:eastAsia="Calibri"/>
          <w:lang w:val="es-ES_tradnl"/>
        </w:rPr>
      </w:pPr>
      <w:r>
        <w:rPr>
          <w:rFonts w:eastAsia="Calibri"/>
          <w:lang w:val="es-ES_tradnl"/>
        </w:rPr>
        <w:t>3.5</w:t>
      </w:r>
      <w:r>
        <w:rPr>
          <w:rFonts w:eastAsia="Calibri"/>
          <w:lang w:val="es-ES_tradnl"/>
        </w:rPr>
        <w:tab/>
      </w:r>
      <w:r w:rsidR="0090295B" w:rsidRPr="0090295B">
        <w:rPr>
          <w:rFonts w:eastAsia="Calibri"/>
          <w:lang w:val="es-ES_tradnl"/>
        </w:rPr>
        <w:t xml:space="preserve">Los autores alegan también la violación, en relación con </w:t>
      </w:r>
      <w:r w:rsidR="0038675D">
        <w:rPr>
          <w:rFonts w:eastAsia="Calibri"/>
          <w:lang w:val="es-ES_tradnl"/>
        </w:rPr>
        <w:t xml:space="preserve">el Sr. </w:t>
      </w:r>
      <w:r w:rsidR="0090295B">
        <w:rPr>
          <w:rFonts w:eastAsia="Calibri"/>
          <w:lang w:val="es-ES_tradnl"/>
        </w:rPr>
        <w:t>Moreno Pérez, del artículo 16</w:t>
      </w:r>
      <w:r w:rsidR="0090295B" w:rsidRPr="0090295B">
        <w:rPr>
          <w:rFonts w:eastAsia="Calibri"/>
          <w:lang w:val="es-ES_tradnl"/>
        </w:rPr>
        <w:t xml:space="preserve"> del Pacto, leído </w:t>
      </w:r>
      <w:r w:rsidR="00F37833">
        <w:rPr>
          <w:rFonts w:eastAsia="Calibri"/>
          <w:lang w:val="es-ES_tradnl"/>
        </w:rPr>
        <w:t xml:space="preserve">solo y </w:t>
      </w:r>
      <w:proofErr w:type="gramStart"/>
      <w:r w:rsidR="0090295B" w:rsidRPr="0090295B">
        <w:rPr>
          <w:rFonts w:eastAsia="Calibri"/>
          <w:lang w:val="es-ES_tradnl"/>
        </w:rPr>
        <w:t>conjuntamente con</w:t>
      </w:r>
      <w:proofErr w:type="gramEnd"/>
      <w:r w:rsidR="0090295B" w:rsidRPr="0090295B">
        <w:rPr>
          <w:rFonts w:eastAsia="Calibri"/>
          <w:lang w:val="es-ES_tradnl"/>
        </w:rPr>
        <w:t xml:space="preserve"> el artículo 2, párrafo 3, </w:t>
      </w:r>
      <w:r w:rsidR="00A64ECE">
        <w:rPr>
          <w:rFonts w:eastAsia="Calibri"/>
          <w:lang w:val="es-ES_tradnl"/>
        </w:rPr>
        <w:t>por</w:t>
      </w:r>
      <w:r w:rsidR="00177068">
        <w:rPr>
          <w:rFonts w:eastAsia="Calibri"/>
          <w:lang w:val="es-ES_tradnl"/>
        </w:rPr>
        <w:t xml:space="preserve"> </w:t>
      </w:r>
      <w:r w:rsidR="00A64ECE">
        <w:rPr>
          <w:rFonts w:eastAsia="Calibri"/>
          <w:lang w:val="es-ES_tradnl"/>
        </w:rPr>
        <w:t>su</w:t>
      </w:r>
      <w:r w:rsidR="00680FCA" w:rsidRPr="003A24CE">
        <w:rPr>
          <w:rFonts w:eastAsia="Calibri"/>
          <w:lang w:val="es-ES_tradnl"/>
        </w:rPr>
        <w:t xml:space="preserve"> </w:t>
      </w:r>
      <w:r w:rsidR="003A24CE" w:rsidRPr="003A24CE">
        <w:rPr>
          <w:rFonts w:eastAsia="Calibri"/>
          <w:lang w:val="es-ES_tradnl"/>
        </w:rPr>
        <w:t>sustrac</w:t>
      </w:r>
      <w:r w:rsidR="00A64ECE">
        <w:rPr>
          <w:rFonts w:eastAsia="Calibri"/>
          <w:lang w:val="es-ES_tradnl"/>
        </w:rPr>
        <w:t>ción de la protección de la ley</w:t>
      </w:r>
      <w:r w:rsidR="003A24CE" w:rsidRPr="003A24CE">
        <w:rPr>
          <w:rFonts w:eastAsia="Calibri"/>
          <w:lang w:val="es-ES_tradnl"/>
        </w:rPr>
        <w:t xml:space="preserve"> a raíz de su secuestro o privación de libertad y posterior </w:t>
      </w:r>
      <w:r w:rsidR="00177068">
        <w:rPr>
          <w:rFonts w:eastAsia="Calibri"/>
          <w:lang w:val="es-ES_tradnl"/>
        </w:rPr>
        <w:t xml:space="preserve">obstaculización </w:t>
      </w:r>
      <w:r w:rsidR="00D60E3C" w:rsidRPr="00D60E3C">
        <w:rPr>
          <w:rFonts w:eastAsia="Calibri"/>
          <w:lang w:val="es-ES_tradnl"/>
        </w:rPr>
        <w:t>sistemática</w:t>
      </w:r>
      <w:r w:rsidR="00177068">
        <w:rPr>
          <w:rFonts w:eastAsia="Calibri"/>
          <w:lang w:val="es-ES_tradnl"/>
        </w:rPr>
        <w:t xml:space="preserve"> </w:t>
      </w:r>
      <w:r w:rsidR="00A64ECE">
        <w:rPr>
          <w:rFonts w:eastAsia="Calibri"/>
          <w:lang w:val="es-ES_tradnl"/>
        </w:rPr>
        <w:t>a</w:t>
      </w:r>
      <w:r w:rsidR="00D60E3C" w:rsidRPr="00D60E3C">
        <w:rPr>
          <w:rFonts w:eastAsia="Calibri"/>
          <w:lang w:val="es-ES_tradnl"/>
        </w:rPr>
        <w:t xml:space="preserve"> los intentos de </w:t>
      </w:r>
      <w:r w:rsidR="00A64ECE">
        <w:rPr>
          <w:rFonts w:eastAsia="Calibri"/>
          <w:lang w:val="es-ES_tradnl"/>
        </w:rPr>
        <w:t>búsqueda.</w:t>
      </w:r>
    </w:p>
    <w:p w14:paraId="5532BF60" w14:textId="55DF03F1" w:rsidR="00317F4D" w:rsidRPr="00492FFD" w:rsidRDefault="00D63F2F" w:rsidP="00F8632B">
      <w:pPr>
        <w:pStyle w:val="SingleTxtG"/>
        <w:rPr>
          <w:rFonts w:eastAsia="Calibri"/>
          <w:lang w:val="es-ES_tradnl"/>
        </w:rPr>
      </w:pPr>
      <w:r w:rsidRPr="00492FFD">
        <w:rPr>
          <w:rFonts w:eastAsia="Calibri"/>
          <w:lang w:val="es-ES_tradnl"/>
        </w:rPr>
        <w:t>3.6</w:t>
      </w:r>
      <w:r w:rsidRPr="00492FFD">
        <w:rPr>
          <w:rFonts w:eastAsia="Calibri"/>
          <w:lang w:val="es-ES_tradnl"/>
        </w:rPr>
        <w:tab/>
        <w:t>En definitiva, los autores alegan la violación de todos los art</w:t>
      </w:r>
      <w:r w:rsidR="00066F54" w:rsidRPr="00492FFD">
        <w:rPr>
          <w:rFonts w:eastAsia="Calibri"/>
          <w:lang w:val="es-ES_tradnl"/>
        </w:rPr>
        <w:t>ículos mencionados</w:t>
      </w:r>
      <w:r w:rsidR="00456C23">
        <w:rPr>
          <w:rFonts w:eastAsia="Calibri"/>
          <w:lang w:val="es-ES_tradnl"/>
        </w:rPr>
        <w:t xml:space="preserve"> anteriormente</w:t>
      </w:r>
      <w:r w:rsidRPr="00492FFD">
        <w:rPr>
          <w:rFonts w:eastAsia="Calibri"/>
          <w:lang w:val="es-ES_tradnl"/>
        </w:rPr>
        <w:t xml:space="preserve"> </w:t>
      </w:r>
      <w:r w:rsidR="00D74A5F" w:rsidRPr="00492FFD">
        <w:rPr>
          <w:rFonts w:eastAsia="Calibri"/>
          <w:lang w:val="es-ES_tradnl"/>
        </w:rPr>
        <w:t>(6</w:t>
      </w:r>
      <w:r w:rsidR="008C07B6">
        <w:rPr>
          <w:rFonts w:eastAsia="Calibri"/>
          <w:lang w:val="es-ES_tradnl"/>
        </w:rPr>
        <w:t>,</w:t>
      </w:r>
      <w:r w:rsidR="00D74A5F" w:rsidRPr="00492FFD">
        <w:rPr>
          <w:rFonts w:eastAsia="Calibri"/>
          <w:lang w:val="es-ES_tradnl"/>
        </w:rPr>
        <w:t xml:space="preserve"> párrafo 1, 7, 9 y 16) </w:t>
      </w:r>
      <w:r w:rsidRPr="00492FFD">
        <w:rPr>
          <w:rFonts w:eastAsia="Calibri"/>
          <w:lang w:val="es-ES_tradnl"/>
        </w:rPr>
        <w:t>en conjunto con el artículo 2</w:t>
      </w:r>
      <w:r w:rsidR="005458DD">
        <w:rPr>
          <w:rFonts w:eastAsia="Calibri"/>
          <w:lang w:val="es-ES_tradnl"/>
        </w:rPr>
        <w:t xml:space="preserve">, párrafo </w:t>
      </w:r>
      <w:r w:rsidRPr="00492FFD">
        <w:rPr>
          <w:rFonts w:eastAsia="Calibri"/>
          <w:lang w:val="es-ES_tradnl"/>
        </w:rPr>
        <w:t>3</w:t>
      </w:r>
      <w:r w:rsidR="005458DD">
        <w:rPr>
          <w:rFonts w:eastAsia="Calibri"/>
          <w:lang w:val="es-ES_tradnl"/>
        </w:rPr>
        <w:t>,</w:t>
      </w:r>
      <w:r w:rsidRPr="00492FFD">
        <w:rPr>
          <w:rFonts w:eastAsia="Calibri"/>
          <w:lang w:val="es-ES_tradnl"/>
        </w:rPr>
        <w:t xml:space="preserve"> del Pacto, </w:t>
      </w:r>
      <w:r w:rsidR="001D3ADC" w:rsidRPr="00492FFD">
        <w:rPr>
          <w:rFonts w:eastAsia="Calibri"/>
          <w:lang w:val="es-ES_tradnl"/>
        </w:rPr>
        <w:t>por</w:t>
      </w:r>
      <w:r w:rsidR="00215169" w:rsidRPr="00492FFD">
        <w:rPr>
          <w:rFonts w:eastAsia="Calibri"/>
          <w:lang w:val="es-ES_tradnl"/>
        </w:rPr>
        <w:t xml:space="preserve"> las actuaciones de las autoridades destinadas a ocultar la desaparición</w:t>
      </w:r>
      <w:r w:rsidR="00456C23">
        <w:rPr>
          <w:rFonts w:eastAsia="Calibri"/>
          <w:lang w:val="es-ES_tradnl"/>
        </w:rPr>
        <w:t>,</w:t>
      </w:r>
      <w:r w:rsidR="00836E6C" w:rsidRPr="00492FFD">
        <w:rPr>
          <w:rFonts w:eastAsia="Calibri"/>
          <w:lang w:val="es-ES_tradnl"/>
        </w:rPr>
        <w:t xml:space="preserve"> mediante </w:t>
      </w:r>
      <w:r w:rsidR="00533DF6" w:rsidRPr="00492FFD">
        <w:rPr>
          <w:rFonts w:eastAsia="Calibri"/>
          <w:lang w:val="es-ES_tradnl"/>
        </w:rPr>
        <w:t xml:space="preserve">alteraciones probatorias, </w:t>
      </w:r>
      <w:r w:rsidR="00836E6C" w:rsidRPr="00492FFD">
        <w:rPr>
          <w:rFonts w:eastAsia="Calibri"/>
          <w:lang w:val="es-ES_tradnl"/>
        </w:rPr>
        <w:t>fabricación de evidencias, confesiones obtenidas bajo tortura</w:t>
      </w:r>
      <w:r w:rsidR="00456C23">
        <w:rPr>
          <w:rFonts w:eastAsia="Calibri"/>
          <w:lang w:val="es-ES_tradnl"/>
        </w:rPr>
        <w:t>,</w:t>
      </w:r>
      <w:r w:rsidR="00ED2291" w:rsidRPr="00492FFD">
        <w:rPr>
          <w:rFonts w:eastAsia="Calibri"/>
          <w:lang w:val="es-ES_tradnl"/>
        </w:rPr>
        <w:t xml:space="preserve"> y</w:t>
      </w:r>
      <w:r w:rsidR="00836E6C" w:rsidRPr="00492FFD">
        <w:rPr>
          <w:rFonts w:eastAsia="Calibri"/>
          <w:lang w:val="es-ES_tradnl"/>
        </w:rPr>
        <w:t xml:space="preserve"> manipulación de testigos</w:t>
      </w:r>
      <w:r w:rsidR="00F528EA" w:rsidRPr="00492FFD">
        <w:rPr>
          <w:rFonts w:eastAsia="Calibri"/>
          <w:lang w:val="es-ES_tradnl"/>
        </w:rPr>
        <w:t xml:space="preserve">, lo anterior para probar </w:t>
      </w:r>
      <w:r w:rsidR="00456C23">
        <w:rPr>
          <w:rFonts w:eastAsia="Calibri"/>
          <w:lang w:val="es-ES_tradnl"/>
        </w:rPr>
        <w:t>un</w:t>
      </w:r>
      <w:r w:rsidR="00F528EA" w:rsidRPr="00492FFD">
        <w:rPr>
          <w:rFonts w:eastAsia="Calibri"/>
          <w:lang w:val="es-ES_tradnl"/>
        </w:rPr>
        <w:t xml:space="preserve"> supuesto homicidio por robo </w:t>
      </w:r>
      <w:r w:rsidR="00456C23">
        <w:rPr>
          <w:rFonts w:eastAsia="Calibri"/>
          <w:lang w:val="es-ES_tradnl"/>
        </w:rPr>
        <w:t xml:space="preserve">y así </w:t>
      </w:r>
      <w:r w:rsidR="00F528EA" w:rsidRPr="00492FFD">
        <w:rPr>
          <w:rFonts w:eastAsia="Calibri"/>
          <w:lang w:val="es-ES_tradnl"/>
        </w:rPr>
        <w:t>cerrar el caso acusando a personas inocentes</w:t>
      </w:r>
      <w:r w:rsidR="00317F4D" w:rsidRPr="00492FFD">
        <w:rPr>
          <w:rFonts w:eastAsia="Calibri"/>
          <w:lang w:val="es-ES_tradnl"/>
        </w:rPr>
        <w:t xml:space="preserve">. </w:t>
      </w:r>
      <w:r w:rsidR="00F528EA" w:rsidRPr="00492FFD">
        <w:rPr>
          <w:rFonts w:eastAsia="Calibri"/>
          <w:lang w:val="es-ES_tradnl"/>
        </w:rPr>
        <w:t xml:space="preserve">Los autores recuerdan que las declaraciones y confesiones son pruebas que pueden utilizarse dentro de la investigación penal, siempre que </w:t>
      </w:r>
      <w:r w:rsidR="00456C23">
        <w:rPr>
          <w:rFonts w:eastAsia="Calibri"/>
          <w:lang w:val="es-ES_tradnl"/>
        </w:rPr>
        <w:t>puedan inferir</w:t>
      </w:r>
      <w:r w:rsidR="00F528EA" w:rsidRPr="00492FFD">
        <w:rPr>
          <w:rFonts w:eastAsia="Calibri"/>
          <w:lang w:val="es-ES_tradnl"/>
        </w:rPr>
        <w:t xml:space="preserve"> conclusiones </w:t>
      </w:r>
      <w:r w:rsidR="00456C23">
        <w:rPr>
          <w:rFonts w:eastAsia="Calibri"/>
          <w:lang w:val="es-ES_tradnl"/>
        </w:rPr>
        <w:t>consistentes sobre los hechos</w:t>
      </w:r>
      <w:r w:rsidR="001A3DE4">
        <w:rPr>
          <w:rFonts w:eastAsia="Calibri"/>
          <w:lang w:val="es-ES_tradnl"/>
        </w:rPr>
        <w:t>,</w:t>
      </w:r>
      <w:r w:rsidR="00F116B9" w:rsidRPr="00492FFD">
        <w:rPr>
          <w:rFonts w:eastAsia="Calibri"/>
          <w:lang w:val="es-ES_tradnl"/>
        </w:rPr>
        <w:t xml:space="preserve"> pero que cuando fueron obtenidas bajo coacción, tortura o sometimientos a otros tratos inhumanos o degradantes, no pued</w:t>
      </w:r>
      <w:r w:rsidR="00456C23">
        <w:rPr>
          <w:rFonts w:eastAsia="Calibri"/>
          <w:lang w:val="es-ES_tradnl"/>
        </w:rPr>
        <w:t>en ser invocadas como prueb</w:t>
      </w:r>
      <w:r w:rsidR="00533C34">
        <w:rPr>
          <w:rFonts w:eastAsia="Calibri"/>
          <w:lang w:val="es-ES_tradnl"/>
        </w:rPr>
        <w:t>a</w:t>
      </w:r>
      <w:r w:rsidR="00F528EA" w:rsidRPr="00492FFD">
        <w:rPr>
          <w:rStyle w:val="Refdenotaalpie"/>
          <w:rFonts w:eastAsia="Calibri"/>
          <w:lang w:val="es-ES_tradnl"/>
        </w:rPr>
        <w:footnoteReference w:id="30"/>
      </w:r>
      <w:r w:rsidR="00E349B9">
        <w:rPr>
          <w:rFonts w:eastAsia="Calibri"/>
          <w:lang w:val="es-ES_tradnl"/>
        </w:rPr>
        <w:t>.</w:t>
      </w:r>
      <w:r w:rsidR="00F8632B" w:rsidRPr="00492FFD">
        <w:rPr>
          <w:rFonts w:eastAsia="Calibri"/>
          <w:lang w:val="es-ES_tradnl"/>
        </w:rPr>
        <w:t xml:space="preserve"> </w:t>
      </w:r>
      <w:r w:rsidR="00C904DF" w:rsidRPr="00492FFD">
        <w:rPr>
          <w:rFonts w:eastAsia="Calibri"/>
          <w:lang w:val="es-ES_tradnl"/>
        </w:rPr>
        <w:t xml:space="preserve">Los autores recuerdan </w:t>
      </w:r>
      <w:r w:rsidR="00AB07A1">
        <w:rPr>
          <w:rFonts w:eastAsia="Calibri"/>
          <w:lang w:val="es-ES_tradnl"/>
        </w:rPr>
        <w:t xml:space="preserve">también </w:t>
      </w:r>
      <w:r w:rsidR="00C904DF" w:rsidRPr="00492FFD">
        <w:rPr>
          <w:rFonts w:eastAsia="Calibri"/>
          <w:lang w:val="es-ES_tradnl"/>
        </w:rPr>
        <w:t xml:space="preserve">que estas actuaciones han sido </w:t>
      </w:r>
      <w:r w:rsidR="00AB07A1">
        <w:rPr>
          <w:rFonts w:eastAsia="Calibri"/>
          <w:lang w:val="es-ES_tradnl"/>
        </w:rPr>
        <w:t>sancionadas administrativamente</w:t>
      </w:r>
      <w:r w:rsidR="00C904DF" w:rsidRPr="00492FFD">
        <w:rPr>
          <w:rFonts w:eastAsia="Calibri"/>
          <w:lang w:val="es-ES_tradnl"/>
        </w:rPr>
        <w:t xml:space="preserve"> pero no penalmente. </w:t>
      </w:r>
      <w:r w:rsidR="00141ED4">
        <w:rPr>
          <w:rFonts w:eastAsia="Calibri"/>
          <w:lang w:val="es-ES_tradnl"/>
        </w:rPr>
        <w:t>Además, l</w:t>
      </w:r>
      <w:r w:rsidR="00261C42" w:rsidRPr="00492FFD">
        <w:rPr>
          <w:rFonts w:eastAsia="Calibri"/>
          <w:lang w:val="es-ES_tradnl"/>
        </w:rPr>
        <w:t>os autores recuerdan que e</w:t>
      </w:r>
      <w:r w:rsidR="00ED2291" w:rsidRPr="00492FFD">
        <w:rPr>
          <w:rFonts w:eastAsia="Calibri"/>
          <w:lang w:val="es-ES_tradnl"/>
        </w:rPr>
        <w:t xml:space="preserve">l cadáver </w:t>
      </w:r>
      <w:r w:rsidR="00BE5562">
        <w:rPr>
          <w:rFonts w:eastAsia="Calibri"/>
          <w:lang w:val="es-ES_tradnl"/>
        </w:rPr>
        <w:t>de</w:t>
      </w:r>
      <w:r w:rsidR="00E349B9">
        <w:rPr>
          <w:rFonts w:eastAsia="Calibri"/>
          <w:lang w:val="es-ES_tradnl"/>
        </w:rPr>
        <w:t>l Sr.</w:t>
      </w:r>
      <w:r w:rsidR="00BE5562">
        <w:rPr>
          <w:rFonts w:eastAsia="Calibri"/>
          <w:lang w:val="es-ES_tradnl"/>
        </w:rPr>
        <w:t xml:space="preserve"> </w:t>
      </w:r>
      <w:r w:rsidR="00BE5562" w:rsidRPr="00BE5562">
        <w:rPr>
          <w:rFonts w:eastAsia="Calibri"/>
          <w:lang w:val="es-ES_tradnl"/>
        </w:rPr>
        <w:t xml:space="preserve">Moreno Pérez </w:t>
      </w:r>
      <w:r w:rsidR="00ED2291" w:rsidRPr="00492FFD">
        <w:rPr>
          <w:rFonts w:eastAsia="Calibri"/>
          <w:lang w:val="es-ES_tradnl"/>
        </w:rPr>
        <w:t xml:space="preserve">nunca </w:t>
      </w:r>
      <w:r w:rsidR="00141ED4">
        <w:rPr>
          <w:rFonts w:eastAsia="Calibri"/>
          <w:lang w:val="es-ES_tradnl"/>
        </w:rPr>
        <w:t>fue</w:t>
      </w:r>
      <w:r w:rsidR="00ED2291" w:rsidRPr="00492FFD">
        <w:rPr>
          <w:rFonts w:eastAsia="Calibri"/>
          <w:lang w:val="es-ES_tradnl"/>
        </w:rPr>
        <w:t xml:space="preserve"> encontrado, </w:t>
      </w:r>
      <w:r w:rsidR="00141ED4">
        <w:rPr>
          <w:rFonts w:eastAsia="Calibri"/>
          <w:lang w:val="es-ES_tradnl"/>
        </w:rPr>
        <w:t xml:space="preserve">que </w:t>
      </w:r>
      <w:r w:rsidR="00ED2291" w:rsidRPr="00492FFD">
        <w:rPr>
          <w:rFonts w:eastAsia="Calibri"/>
          <w:lang w:val="es-ES_tradnl"/>
        </w:rPr>
        <w:t xml:space="preserve">se realizó un certificado de defunción sin cuerpo, </w:t>
      </w:r>
      <w:r w:rsidR="00141ED4">
        <w:rPr>
          <w:rFonts w:eastAsia="Calibri"/>
          <w:lang w:val="es-ES_tradnl"/>
        </w:rPr>
        <w:t xml:space="preserve">que </w:t>
      </w:r>
      <w:r w:rsidR="00ED2291" w:rsidRPr="00492FFD">
        <w:rPr>
          <w:rFonts w:eastAsia="Calibri"/>
          <w:lang w:val="es-ES_tradnl"/>
        </w:rPr>
        <w:t>se realizó un avalúo virtual de objetos robados inexistentes. A</w:t>
      </w:r>
      <w:r w:rsidR="00492FFD" w:rsidRPr="00492FFD">
        <w:rPr>
          <w:rFonts w:eastAsia="Calibri"/>
          <w:lang w:val="es-ES_tradnl"/>
        </w:rPr>
        <w:t xml:space="preserve">sí, los autores </w:t>
      </w:r>
      <w:r w:rsidR="00141ED4">
        <w:rPr>
          <w:rFonts w:eastAsia="Calibri"/>
          <w:lang w:val="es-ES_tradnl"/>
        </w:rPr>
        <w:t>concluyen</w:t>
      </w:r>
      <w:r w:rsidR="00492FFD" w:rsidRPr="00492FFD">
        <w:rPr>
          <w:rFonts w:eastAsia="Calibri"/>
          <w:lang w:val="es-ES_tradnl"/>
        </w:rPr>
        <w:t xml:space="preserve"> que a</w:t>
      </w:r>
      <w:r w:rsidR="00014A46" w:rsidRPr="00492FFD">
        <w:rPr>
          <w:rFonts w:eastAsia="Calibri"/>
          <w:lang w:val="es-ES_tradnl"/>
        </w:rPr>
        <w:t xml:space="preserve">ún </w:t>
      </w:r>
      <w:r w:rsidR="00D74A5F" w:rsidRPr="00492FFD">
        <w:rPr>
          <w:rFonts w:eastAsia="Calibri"/>
          <w:lang w:val="es-ES_tradnl"/>
        </w:rPr>
        <w:t>no se ha</w:t>
      </w:r>
      <w:r w:rsidR="001D3ADC" w:rsidRPr="00492FFD">
        <w:rPr>
          <w:rFonts w:eastAsia="Calibri"/>
          <w:lang w:val="es-ES_tradnl"/>
        </w:rPr>
        <w:t xml:space="preserve"> </w:t>
      </w:r>
      <w:r w:rsidR="00D74A5F" w:rsidRPr="00492FFD">
        <w:rPr>
          <w:rFonts w:eastAsia="Calibri"/>
          <w:lang w:val="es-ES_tradnl"/>
        </w:rPr>
        <w:t>podido esclarecer</w:t>
      </w:r>
      <w:r w:rsidR="001D3ADC" w:rsidRPr="00492FFD">
        <w:rPr>
          <w:rFonts w:eastAsia="Calibri"/>
          <w:lang w:val="es-ES_tradnl"/>
        </w:rPr>
        <w:t xml:space="preserve"> la suerte y el paradero del desaparecido</w:t>
      </w:r>
      <w:r w:rsidR="00317F4D" w:rsidRPr="00492FFD">
        <w:rPr>
          <w:rFonts w:eastAsia="Calibri"/>
          <w:lang w:val="es-ES_tradnl"/>
        </w:rPr>
        <w:t>.</w:t>
      </w:r>
    </w:p>
    <w:p w14:paraId="04D0349D" w14:textId="73DDCFE7" w:rsidR="00F22B3D" w:rsidRPr="00BC34B4" w:rsidRDefault="00141ED4" w:rsidP="001E4FA6">
      <w:pPr>
        <w:pStyle w:val="SingleTxtG"/>
        <w:rPr>
          <w:rFonts w:eastAsia="Calibri"/>
          <w:lang w:val="es-ES_tradnl"/>
        </w:rPr>
      </w:pPr>
      <w:r>
        <w:rPr>
          <w:rFonts w:eastAsia="Calibri"/>
          <w:lang w:val="es-ES_tradnl"/>
        </w:rPr>
        <w:lastRenderedPageBreak/>
        <w:t>3.7</w:t>
      </w:r>
      <w:r>
        <w:rPr>
          <w:rFonts w:eastAsia="Calibri"/>
          <w:lang w:val="es-ES_tradnl"/>
        </w:rPr>
        <w:tab/>
        <w:t>L</w:t>
      </w:r>
      <w:r w:rsidRPr="00BC34B4">
        <w:rPr>
          <w:rFonts w:eastAsia="Calibri"/>
          <w:lang w:val="es-ES_tradnl"/>
        </w:rPr>
        <w:t>os autores sostienen que</w:t>
      </w:r>
      <w:r>
        <w:rPr>
          <w:rFonts w:eastAsia="Calibri"/>
          <w:lang w:val="es-ES_tradnl"/>
        </w:rPr>
        <w:t>, c</w:t>
      </w:r>
      <w:r w:rsidR="00EC18BA" w:rsidRPr="00BC34B4">
        <w:rPr>
          <w:rFonts w:eastAsia="Calibri"/>
          <w:lang w:val="es-ES_tradnl"/>
        </w:rPr>
        <w:t xml:space="preserve">omo medidas de </w:t>
      </w:r>
      <w:r w:rsidRPr="00BC34B4">
        <w:rPr>
          <w:rFonts w:eastAsia="Calibri"/>
          <w:lang w:val="es-ES_tradnl"/>
        </w:rPr>
        <w:t>r</w:t>
      </w:r>
      <w:r>
        <w:rPr>
          <w:rFonts w:eastAsia="Calibri"/>
          <w:lang w:val="es-ES_tradnl"/>
        </w:rPr>
        <w:t xml:space="preserve">eparación, </w:t>
      </w:r>
      <w:r w:rsidR="001E4FA6" w:rsidRPr="00BC34B4">
        <w:rPr>
          <w:rFonts w:eastAsia="Calibri"/>
          <w:lang w:val="es-ES_tradnl"/>
        </w:rPr>
        <w:t>el Estado parte debe</w:t>
      </w:r>
      <w:r>
        <w:rPr>
          <w:rFonts w:eastAsia="Calibri"/>
          <w:lang w:val="es-ES_tradnl"/>
        </w:rPr>
        <w:t>:</w:t>
      </w:r>
      <w:r w:rsidR="001E4FA6" w:rsidRPr="00BC34B4">
        <w:rPr>
          <w:rFonts w:eastAsia="Calibri"/>
          <w:lang w:val="es-ES_tradnl"/>
        </w:rPr>
        <w:t xml:space="preserve"> </w:t>
      </w:r>
      <w:r w:rsidR="00F22B3D" w:rsidRPr="00BC34B4">
        <w:rPr>
          <w:rFonts w:eastAsia="Calibri"/>
          <w:lang w:val="es-ES_tradnl"/>
        </w:rPr>
        <w:t>a)</w:t>
      </w:r>
      <w:r w:rsidR="00963B70">
        <w:rPr>
          <w:rFonts w:eastAsia="Calibri"/>
          <w:lang w:val="es-ES_tradnl"/>
        </w:rPr>
        <w:t> </w:t>
      </w:r>
      <w:r w:rsidR="001E4FA6" w:rsidRPr="00BC34B4">
        <w:rPr>
          <w:rFonts w:eastAsia="Calibri"/>
          <w:lang w:val="es-ES_tradnl"/>
        </w:rPr>
        <w:t xml:space="preserve">realizar una </w:t>
      </w:r>
      <w:r w:rsidR="00F22B3D" w:rsidRPr="00BC34B4">
        <w:rPr>
          <w:rFonts w:eastAsia="Calibri"/>
          <w:lang w:val="es-ES_tradnl"/>
        </w:rPr>
        <w:t xml:space="preserve">investigación </w:t>
      </w:r>
      <w:r w:rsidR="001E4FA6" w:rsidRPr="00BC34B4">
        <w:rPr>
          <w:rFonts w:eastAsia="Calibri"/>
          <w:lang w:val="es-ES_tradnl"/>
        </w:rPr>
        <w:t xml:space="preserve">imparcial, </w:t>
      </w:r>
      <w:r w:rsidR="00F22B3D" w:rsidRPr="00BC34B4">
        <w:rPr>
          <w:rFonts w:eastAsia="Calibri"/>
          <w:lang w:val="es-ES_tradnl"/>
        </w:rPr>
        <w:t>exhaustiva y rigurosa de</w:t>
      </w:r>
      <w:r w:rsidR="001E4FA6" w:rsidRPr="00BC34B4">
        <w:rPr>
          <w:rFonts w:eastAsia="Calibri"/>
          <w:lang w:val="es-ES_tradnl"/>
        </w:rPr>
        <w:t xml:space="preserve"> los hechos</w:t>
      </w:r>
      <w:r>
        <w:rPr>
          <w:rFonts w:eastAsia="Calibri"/>
          <w:lang w:val="es-ES_tradnl"/>
        </w:rPr>
        <w:t>,</w:t>
      </w:r>
      <w:r w:rsidR="001E4FA6" w:rsidRPr="00BC34B4">
        <w:rPr>
          <w:rFonts w:eastAsia="Calibri"/>
          <w:lang w:val="es-ES_tradnl"/>
        </w:rPr>
        <w:t xml:space="preserve"> considerando el contexto de </w:t>
      </w:r>
      <w:r>
        <w:rPr>
          <w:rFonts w:eastAsia="Calibri"/>
          <w:lang w:val="es-ES_tradnl"/>
        </w:rPr>
        <w:t>desapariciones forzadas</w:t>
      </w:r>
      <w:r w:rsidR="00E349B9">
        <w:rPr>
          <w:rFonts w:eastAsia="Calibri"/>
          <w:lang w:val="es-ES_tradnl"/>
        </w:rPr>
        <w:t>;</w:t>
      </w:r>
      <w:r w:rsidR="00F22B3D" w:rsidRPr="00BC34B4">
        <w:rPr>
          <w:rFonts w:eastAsia="Calibri"/>
          <w:lang w:val="es-ES_tradnl"/>
        </w:rPr>
        <w:t xml:space="preserve"> b) continua</w:t>
      </w:r>
      <w:r w:rsidR="001E4FA6" w:rsidRPr="00BC34B4">
        <w:rPr>
          <w:rFonts w:eastAsia="Calibri"/>
          <w:lang w:val="es-ES_tradnl"/>
        </w:rPr>
        <w:t>r con</w:t>
      </w:r>
      <w:r w:rsidR="00F22B3D" w:rsidRPr="00BC34B4">
        <w:rPr>
          <w:rFonts w:eastAsia="Calibri"/>
          <w:lang w:val="es-ES_tradnl"/>
        </w:rPr>
        <w:t xml:space="preserve"> la búsqueda del paradero del </w:t>
      </w:r>
      <w:r w:rsidR="001E4FA6" w:rsidRPr="00BC34B4">
        <w:rPr>
          <w:rFonts w:eastAsia="Calibri"/>
          <w:lang w:val="es-ES_tradnl"/>
        </w:rPr>
        <w:t>Sr.</w:t>
      </w:r>
      <w:r w:rsidR="00F22B3D" w:rsidRPr="00BC34B4">
        <w:rPr>
          <w:rFonts w:eastAsia="Calibri"/>
          <w:lang w:val="es-ES_tradnl"/>
        </w:rPr>
        <w:t xml:space="preserve"> Moreno Pérez</w:t>
      </w:r>
      <w:r w:rsidR="00E349B9">
        <w:rPr>
          <w:rFonts w:eastAsia="Calibri"/>
          <w:lang w:val="es-ES_tradnl"/>
        </w:rPr>
        <w:t>;</w:t>
      </w:r>
      <w:r w:rsidR="00F22B3D" w:rsidRPr="00BC34B4">
        <w:rPr>
          <w:rFonts w:eastAsia="Calibri"/>
          <w:lang w:val="es-ES_tradnl"/>
        </w:rPr>
        <w:t xml:space="preserve"> c) facilita</w:t>
      </w:r>
      <w:r w:rsidR="001E4FA6" w:rsidRPr="00BC34B4">
        <w:rPr>
          <w:rFonts w:eastAsia="Calibri"/>
          <w:lang w:val="es-ES_tradnl"/>
        </w:rPr>
        <w:t>rles</w:t>
      </w:r>
      <w:r w:rsidR="00F22B3D" w:rsidRPr="00BC34B4">
        <w:rPr>
          <w:rFonts w:eastAsia="Calibri"/>
          <w:lang w:val="es-ES_tradnl"/>
        </w:rPr>
        <w:t xml:space="preserve"> información detallada sobre los resultados de la</w:t>
      </w:r>
      <w:r>
        <w:rPr>
          <w:rFonts w:eastAsia="Calibri"/>
          <w:lang w:val="es-ES_tradnl"/>
        </w:rPr>
        <w:t>s</w:t>
      </w:r>
      <w:r w:rsidR="00F22B3D" w:rsidRPr="00BC34B4">
        <w:rPr>
          <w:rFonts w:eastAsia="Calibri"/>
          <w:lang w:val="es-ES_tradnl"/>
        </w:rPr>
        <w:t xml:space="preserve"> inv</w:t>
      </w:r>
      <w:r>
        <w:rPr>
          <w:rFonts w:eastAsia="Calibri"/>
          <w:lang w:val="es-ES_tradnl"/>
        </w:rPr>
        <w:t>estigaciones</w:t>
      </w:r>
      <w:r w:rsidR="00E349B9">
        <w:rPr>
          <w:rFonts w:eastAsia="Calibri"/>
          <w:lang w:val="es-ES_tradnl"/>
        </w:rPr>
        <w:t>;</w:t>
      </w:r>
      <w:r w:rsidR="00F22B3D" w:rsidRPr="00BC34B4">
        <w:rPr>
          <w:rFonts w:eastAsia="Calibri"/>
          <w:lang w:val="es-ES_tradnl"/>
        </w:rPr>
        <w:t xml:space="preserve"> d) </w:t>
      </w:r>
      <w:r w:rsidR="001E4FA6" w:rsidRPr="00BC34B4">
        <w:rPr>
          <w:rFonts w:eastAsia="Calibri"/>
          <w:lang w:val="es-ES_tradnl"/>
        </w:rPr>
        <w:t>poner</w:t>
      </w:r>
      <w:r w:rsidR="00F22B3D" w:rsidRPr="00BC34B4">
        <w:rPr>
          <w:rFonts w:eastAsia="Calibri"/>
          <w:lang w:val="es-ES_tradnl"/>
        </w:rPr>
        <w:t xml:space="preserve"> en libertad </w:t>
      </w:r>
      <w:r w:rsidR="00E349B9">
        <w:rPr>
          <w:rFonts w:eastAsia="Calibri"/>
          <w:lang w:val="es-ES_tradnl"/>
        </w:rPr>
        <w:t>a</w:t>
      </w:r>
      <w:r w:rsidR="00F22B3D" w:rsidRPr="00BC34B4">
        <w:rPr>
          <w:rFonts w:eastAsia="Calibri"/>
          <w:lang w:val="es-ES_tradnl"/>
        </w:rPr>
        <w:t xml:space="preserve">l </w:t>
      </w:r>
      <w:r w:rsidR="001E4FA6" w:rsidRPr="00BC34B4">
        <w:rPr>
          <w:rFonts w:eastAsia="Calibri"/>
          <w:lang w:val="es-ES_tradnl"/>
        </w:rPr>
        <w:t>Sr.</w:t>
      </w:r>
      <w:r w:rsidR="00F22B3D" w:rsidRPr="00BC34B4">
        <w:rPr>
          <w:rFonts w:eastAsia="Calibri"/>
          <w:lang w:val="es-ES_tradnl"/>
        </w:rPr>
        <w:t xml:space="preserve"> Moreno Pérez, en caso de que aún se encuentre privado de libertad</w:t>
      </w:r>
      <w:r w:rsidR="00E349B9">
        <w:rPr>
          <w:rFonts w:eastAsia="Calibri"/>
          <w:lang w:val="es-ES_tradnl"/>
        </w:rPr>
        <w:t>;</w:t>
      </w:r>
      <w:r w:rsidR="00F22B3D" w:rsidRPr="00BC34B4">
        <w:rPr>
          <w:rFonts w:eastAsia="Calibri"/>
          <w:lang w:val="es-ES_tradnl"/>
        </w:rPr>
        <w:t xml:space="preserve"> e) en el caso de que haya efectivamente fallecido, b</w:t>
      </w:r>
      <w:r w:rsidR="001E4FA6" w:rsidRPr="00BC34B4">
        <w:rPr>
          <w:rFonts w:eastAsia="Calibri"/>
          <w:lang w:val="es-ES_tradnl"/>
        </w:rPr>
        <w:t>u</w:t>
      </w:r>
      <w:r w:rsidR="00F22B3D" w:rsidRPr="00BC34B4">
        <w:rPr>
          <w:rFonts w:eastAsia="Calibri"/>
          <w:lang w:val="es-ES_tradnl"/>
        </w:rPr>
        <w:t>s</w:t>
      </w:r>
      <w:r w:rsidR="001E4FA6" w:rsidRPr="00BC34B4">
        <w:rPr>
          <w:rFonts w:eastAsia="Calibri"/>
          <w:lang w:val="es-ES_tradnl"/>
        </w:rPr>
        <w:t>car</w:t>
      </w:r>
      <w:r w:rsidR="00F22B3D" w:rsidRPr="00BC34B4">
        <w:rPr>
          <w:rFonts w:eastAsia="Calibri"/>
          <w:lang w:val="es-ES_tradnl"/>
        </w:rPr>
        <w:t xml:space="preserve"> </w:t>
      </w:r>
      <w:r w:rsidR="00E349B9">
        <w:rPr>
          <w:rFonts w:eastAsia="Calibri"/>
          <w:lang w:val="es-ES_tradnl"/>
        </w:rPr>
        <w:t>y</w:t>
      </w:r>
      <w:r w:rsidR="00F22B3D" w:rsidRPr="00BC34B4">
        <w:rPr>
          <w:rFonts w:eastAsia="Calibri"/>
          <w:lang w:val="es-ES_tradnl"/>
        </w:rPr>
        <w:t xml:space="preserve"> entrega</w:t>
      </w:r>
      <w:r w:rsidR="001E4FA6" w:rsidRPr="00BC34B4">
        <w:rPr>
          <w:rFonts w:eastAsia="Calibri"/>
          <w:lang w:val="es-ES_tradnl"/>
        </w:rPr>
        <w:t>r</w:t>
      </w:r>
      <w:r w:rsidR="00F22B3D" w:rsidRPr="00BC34B4">
        <w:rPr>
          <w:rFonts w:eastAsia="Calibri"/>
          <w:lang w:val="es-ES_tradnl"/>
        </w:rPr>
        <w:t xml:space="preserve"> sus restos</w:t>
      </w:r>
      <w:r w:rsidR="00E349B9">
        <w:rPr>
          <w:rFonts w:eastAsia="Calibri"/>
          <w:lang w:val="es-ES_tradnl"/>
        </w:rPr>
        <w:t>;</w:t>
      </w:r>
      <w:r w:rsidR="00F22B3D" w:rsidRPr="00BC34B4">
        <w:rPr>
          <w:rFonts w:eastAsia="Calibri"/>
          <w:lang w:val="es-ES_tradnl"/>
        </w:rPr>
        <w:t xml:space="preserve"> f) enjuicia</w:t>
      </w:r>
      <w:r w:rsidR="001E4FA6" w:rsidRPr="00BC34B4">
        <w:rPr>
          <w:rFonts w:eastAsia="Calibri"/>
          <w:lang w:val="es-ES_tradnl"/>
        </w:rPr>
        <w:t>r</w:t>
      </w:r>
      <w:r w:rsidR="00F22B3D" w:rsidRPr="00BC34B4">
        <w:rPr>
          <w:rFonts w:eastAsia="Calibri"/>
          <w:lang w:val="es-ES_tradnl"/>
        </w:rPr>
        <w:t xml:space="preserve"> y castig</w:t>
      </w:r>
      <w:r w:rsidR="001E4FA6" w:rsidRPr="00BC34B4">
        <w:rPr>
          <w:rFonts w:eastAsia="Calibri"/>
          <w:lang w:val="es-ES_tradnl"/>
        </w:rPr>
        <w:t>ar</w:t>
      </w:r>
      <w:r w:rsidR="00F22B3D" w:rsidRPr="00BC34B4">
        <w:rPr>
          <w:rFonts w:eastAsia="Calibri"/>
          <w:lang w:val="es-ES_tradnl"/>
        </w:rPr>
        <w:t xml:space="preserve"> </w:t>
      </w:r>
      <w:r w:rsidR="001E4FA6" w:rsidRPr="00BC34B4">
        <w:rPr>
          <w:rFonts w:eastAsia="Calibri"/>
          <w:lang w:val="es-ES_tradnl"/>
        </w:rPr>
        <w:t>a</w:t>
      </w:r>
      <w:r w:rsidR="00F22B3D" w:rsidRPr="00BC34B4">
        <w:rPr>
          <w:rFonts w:eastAsia="Calibri"/>
          <w:lang w:val="es-ES_tradnl"/>
        </w:rPr>
        <w:t xml:space="preserve"> todos los responsables</w:t>
      </w:r>
      <w:r w:rsidR="00E349B9">
        <w:rPr>
          <w:rFonts w:eastAsia="Calibri"/>
          <w:lang w:val="es-ES_tradnl"/>
        </w:rPr>
        <w:t>;</w:t>
      </w:r>
      <w:r w:rsidR="00F22B3D" w:rsidRPr="00BC34B4">
        <w:rPr>
          <w:rFonts w:eastAsia="Calibri"/>
          <w:lang w:val="es-ES_tradnl"/>
        </w:rPr>
        <w:t xml:space="preserve"> g) </w:t>
      </w:r>
      <w:r>
        <w:rPr>
          <w:rFonts w:eastAsia="Calibri"/>
          <w:lang w:val="es-ES_tradnl"/>
        </w:rPr>
        <w:t>garantizar</w:t>
      </w:r>
      <w:r w:rsidR="001E4FA6" w:rsidRPr="00BC34B4">
        <w:rPr>
          <w:rFonts w:eastAsia="Calibri"/>
          <w:lang w:val="es-ES_tradnl"/>
        </w:rPr>
        <w:t xml:space="preserve"> una reparación integral del daño, y h) </w:t>
      </w:r>
      <w:r w:rsidR="00F22B3D" w:rsidRPr="00BC34B4">
        <w:rPr>
          <w:rFonts w:eastAsia="Calibri"/>
          <w:lang w:val="es-ES_tradnl"/>
        </w:rPr>
        <w:t>adoptar medidas para evitar que se cometan violaciones semejantes en el futuro</w:t>
      </w:r>
      <w:r w:rsidR="001E4FA6" w:rsidRPr="00BC34B4">
        <w:rPr>
          <w:rFonts w:eastAsia="Calibri"/>
          <w:lang w:val="es-ES_tradnl"/>
        </w:rPr>
        <w:t xml:space="preserve">, en particular, revisar la legislación que permitió consumar las violaciones, </w:t>
      </w:r>
      <w:r>
        <w:rPr>
          <w:rFonts w:eastAsia="Calibri"/>
          <w:lang w:val="es-ES_tradnl"/>
        </w:rPr>
        <w:t>como</w:t>
      </w:r>
      <w:r w:rsidR="001E4FA6" w:rsidRPr="00BC34B4">
        <w:rPr>
          <w:rFonts w:eastAsia="Calibri"/>
          <w:lang w:val="es-ES_tradnl"/>
        </w:rPr>
        <w:t xml:space="preserve"> el Código </w:t>
      </w:r>
      <w:r w:rsidR="00631AE7">
        <w:rPr>
          <w:rFonts w:eastAsia="Calibri"/>
          <w:lang w:val="es-ES_tradnl"/>
        </w:rPr>
        <w:t xml:space="preserve">de </w:t>
      </w:r>
      <w:r w:rsidR="001E4FA6" w:rsidRPr="00BC34B4">
        <w:rPr>
          <w:rFonts w:eastAsia="Calibri"/>
          <w:lang w:val="es-ES_tradnl"/>
        </w:rPr>
        <w:t>Proce</w:t>
      </w:r>
      <w:r w:rsidR="00631AE7">
        <w:rPr>
          <w:rFonts w:eastAsia="Calibri"/>
          <w:lang w:val="es-ES_tradnl"/>
        </w:rPr>
        <w:t>dimientos</w:t>
      </w:r>
      <w:r w:rsidR="001E4FA6" w:rsidRPr="00BC34B4">
        <w:rPr>
          <w:rFonts w:eastAsia="Calibri"/>
          <w:lang w:val="es-ES_tradnl"/>
        </w:rPr>
        <w:t xml:space="preserve"> Penal</w:t>
      </w:r>
      <w:r w:rsidR="00631AE7">
        <w:rPr>
          <w:rFonts w:eastAsia="Calibri"/>
          <w:lang w:val="es-ES_tradnl"/>
        </w:rPr>
        <w:t>es</w:t>
      </w:r>
      <w:r w:rsidR="001E4FA6" w:rsidRPr="00BC34B4">
        <w:rPr>
          <w:rFonts w:eastAsia="Calibri"/>
          <w:lang w:val="es-ES_tradnl"/>
        </w:rPr>
        <w:t xml:space="preserve"> del </w:t>
      </w:r>
      <w:r w:rsidR="00631AE7" w:rsidRPr="00BC34B4">
        <w:rPr>
          <w:rFonts w:eastAsia="Calibri"/>
          <w:lang w:val="es-ES_tradnl"/>
        </w:rPr>
        <w:t xml:space="preserve">estado </w:t>
      </w:r>
      <w:r w:rsidR="00631AE7">
        <w:rPr>
          <w:rFonts w:eastAsia="Calibri"/>
          <w:lang w:val="es-ES_tradnl"/>
        </w:rPr>
        <w:t xml:space="preserve">Libre y </w:t>
      </w:r>
      <w:r w:rsidR="001E4FA6" w:rsidRPr="00BC34B4">
        <w:rPr>
          <w:rFonts w:eastAsia="Calibri"/>
          <w:lang w:val="es-ES_tradnl"/>
        </w:rPr>
        <w:t xml:space="preserve">Soberano de Oaxaca </w:t>
      </w:r>
      <w:r>
        <w:rPr>
          <w:rFonts w:eastAsia="Calibri"/>
          <w:lang w:val="es-ES_tradnl"/>
        </w:rPr>
        <w:t xml:space="preserve">que </w:t>
      </w:r>
      <w:r w:rsidR="00BC34B4" w:rsidRPr="00BC34B4">
        <w:rPr>
          <w:rFonts w:eastAsia="Calibri"/>
          <w:lang w:val="es-ES_tradnl"/>
        </w:rPr>
        <w:t>permitió</w:t>
      </w:r>
      <w:r w:rsidR="001E4FA6" w:rsidRPr="00BC34B4">
        <w:rPr>
          <w:rFonts w:eastAsia="Calibri"/>
          <w:lang w:val="es-ES_tradnl"/>
        </w:rPr>
        <w:t xml:space="preserve"> dictaminar la causa de muerte por medio de una autopsia </w:t>
      </w:r>
      <w:r>
        <w:rPr>
          <w:rFonts w:eastAsia="Calibri"/>
          <w:lang w:val="es-ES_tradnl"/>
        </w:rPr>
        <w:t>sin cuerpo</w:t>
      </w:r>
      <w:r w:rsidR="00BC34B4" w:rsidRPr="00BC34B4">
        <w:rPr>
          <w:rFonts w:eastAsia="Calibri"/>
          <w:lang w:val="es-ES_tradnl"/>
        </w:rPr>
        <w:t>, lo que</w:t>
      </w:r>
      <w:r w:rsidR="001E4FA6" w:rsidRPr="00BC34B4">
        <w:rPr>
          <w:rFonts w:eastAsia="Calibri"/>
          <w:lang w:val="es-ES_tradnl"/>
        </w:rPr>
        <w:t xml:space="preserve"> permit</w:t>
      </w:r>
      <w:r w:rsidR="00BC34B4" w:rsidRPr="00BC34B4">
        <w:rPr>
          <w:rFonts w:eastAsia="Calibri"/>
          <w:lang w:val="es-ES_tradnl"/>
        </w:rPr>
        <w:t>ió</w:t>
      </w:r>
      <w:r w:rsidR="001E4FA6" w:rsidRPr="00BC34B4">
        <w:rPr>
          <w:rFonts w:eastAsia="Calibri"/>
          <w:lang w:val="es-ES_tradnl"/>
        </w:rPr>
        <w:t xml:space="preserve"> al Estado </w:t>
      </w:r>
      <w:r>
        <w:rPr>
          <w:rFonts w:eastAsia="Calibri"/>
          <w:lang w:val="es-ES_tradnl"/>
        </w:rPr>
        <w:t xml:space="preserve">parte </w:t>
      </w:r>
      <w:r w:rsidR="001E4FA6" w:rsidRPr="00BC34B4">
        <w:rPr>
          <w:rFonts w:eastAsia="Calibri"/>
          <w:lang w:val="es-ES_tradnl"/>
        </w:rPr>
        <w:t>evadir su obligación de investigación, frustrando el acceso a la justicia.</w:t>
      </w:r>
    </w:p>
    <w:p w14:paraId="1F2BC9A2" w14:textId="33DD2ACB" w:rsidR="001E1CCF" w:rsidRPr="00910BE2" w:rsidRDefault="00824F80">
      <w:pPr>
        <w:pStyle w:val="H23G"/>
        <w:rPr>
          <w:lang w:val="es-ES_tradnl"/>
        </w:rPr>
      </w:pPr>
      <w:r w:rsidRPr="00910BE2">
        <w:rPr>
          <w:lang w:val="es-ES_tradnl"/>
        </w:rPr>
        <w:tab/>
      </w:r>
      <w:r w:rsidRPr="00910BE2">
        <w:rPr>
          <w:lang w:val="es-ES_tradnl"/>
        </w:rPr>
        <w:tab/>
      </w:r>
      <w:r w:rsidR="001E1CCF" w:rsidRPr="00910BE2">
        <w:rPr>
          <w:lang w:val="es-ES_tradnl"/>
        </w:rPr>
        <w:t>Observaciones del Esta</w:t>
      </w:r>
      <w:r w:rsidR="00982CA8" w:rsidRPr="00910BE2">
        <w:rPr>
          <w:lang w:val="es-ES_tradnl"/>
        </w:rPr>
        <w:t>do parte sobre la admisibilidad</w:t>
      </w:r>
    </w:p>
    <w:p w14:paraId="67A036B5" w14:textId="38DD84D5" w:rsidR="004726C0" w:rsidRPr="004726C0" w:rsidRDefault="004726C0" w:rsidP="004726C0">
      <w:pPr>
        <w:pStyle w:val="SingleTxtG"/>
        <w:rPr>
          <w:color w:val="000000"/>
          <w:lang w:val="es-ES_tradnl"/>
        </w:rPr>
      </w:pPr>
      <w:r w:rsidRPr="004726C0">
        <w:rPr>
          <w:color w:val="000000"/>
          <w:lang w:val="es-ES_tradnl"/>
        </w:rPr>
        <w:t>4.1</w:t>
      </w:r>
      <w:r w:rsidRPr="004726C0">
        <w:rPr>
          <w:color w:val="000000"/>
          <w:lang w:val="es-ES_tradnl"/>
        </w:rPr>
        <w:tab/>
        <w:t xml:space="preserve">El </w:t>
      </w:r>
      <w:r w:rsidR="00CB14CF">
        <w:rPr>
          <w:color w:val="000000"/>
          <w:lang w:val="es-ES_tradnl"/>
        </w:rPr>
        <w:t>3</w:t>
      </w:r>
      <w:r w:rsidRPr="004726C0">
        <w:rPr>
          <w:color w:val="000000"/>
          <w:lang w:val="es-ES_tradnl"/>
        </w:rPr>
        <w:t xml:space="preserve"> de </w:t>
      </w:r>
      <w:r w:rsidR="00910BE2">
        <w:rPr>
          <w:color w:val="000000"/>
          <w:lang w:val="es-ES_tradnl"/>
        </w:rPr>
        <w:t>junio</w:t>
      </w:r>
      <w:r w:rsidRPr="004726C0">
        <w:rPr>
          <w:color w:val="000000"/>
          <w:lang w:val="es-ES_tradnl"/>
        </w:rPr>
        <w:t xml:space="preserve"> de 2016, el Estado parte</w:t>
      </w:r>
      <w:r w:rsidRPr="00531919">
        <w:rPr>
          <w:color w:val="000000"/>
          <w:lang w:val="es-ES"/>
        </w:rPr>
        <w:t xml:space="preserve"> </w:t>
      </w:r>
      <w:r w:rsidRPr="004726C0">
        <w:rPr>
          <w:color w:val="000000"/>
          <w:lang w:val="es-ES_tradnl"/>
        </w:rPr>
        <w:t>solicit</w:t>
      </w:r>
      <w:r w:rsidR="0095135A">
        <w:rPr>
          <w:color w:val="000000"/>
          <w:lang w:val="es-ES_tradnl"/>
        </w:rPr>
        <w:t>ó</w:t>
      </w:r>
      <w:r w:rsidRPr="004726C0">
        <w:rPr>
          <w:color w:val="000000"/>
          <w:lang w:val="es-ES_tradnl"/>
        </w:rPr>
        <w:t xml:space="preserve"> al Comité </w:t>
      </w:r>
      <w:r w:rsidR="0009702F">
        <w:rPr>
          <w:color w:val="000000"/>
          <w:lang w:val="es-ES_tradnl"/>
        </w:rPr>
        <w:t>declarar</w:t>
      </w:r>
      <w:r w:rsidR="0009702F" w:rsidRPr="004726C0">
        <w:rPr>
          <w:color w:val="000000"/>
          <w:lang w:val="es-ES_tradnl"/>
        </w:rPr>
        <w:t xml:space="preserve"> </w:t>
      </w:r>
      <w:r w:rsidRPr="004726C0">
        <w:rPr>
          <w:color w:val="000000"/>
          <w:lang w:val="es-ES_tradnl"/>
        </w:rPr>
        <w:t xml:space="preserve">la comunicación inadmisible por falta de agotamiento de los recursos </w:t>
      </w:r>
      <w:r w:rsidR="00A3250E">
        <w:rPr>
          <w:color w:val="000000"/>
          <w:lang w:val="es-ES_tradnl"/>
        </w:rPr>
        <w:t>internos</w:t>
      </w:r>
      <w:r w:rsidR="00B57C99" w:rsidRPr="00B57C99">
        <w:rPr>
          <w:color w:val="000000"/>
          <w:lang w:val="es-ES_tradnl"/>
        </w:rPr>
        <w:t xml:space="preserve"> </w:t>
      </w:r>
      <w:r w:rsidR="00D243A3">
        <w:rPr>
          <w:color w:val="000000"/>
          <w:lang w:val="es-ES_tradnl"/>
        </w:rPr>
        <w:t xml:space="preserve">a los </w:t>
      </w:r>
      <w:r w:rsidR="00B57C99" w:rsidRPr="0039190F">
        <w:rPr>
          <w:color w:val="000000"/>
          <w:lang w:val="es-ES_tradnl"/>
        </w:rPr>
        <w:t>efectos de investigar la supuesta desaparición de</w:t>
      </w:r>
      <w:r w:rsidR="00690D49">
        <w:rPr>
          <w:color w:val="000000"/>
          <w:lang w:val="es-ES_tradnl"/>
        </w:rPr>
        <w:t>l</w:t>
      </w:r>
      <w:r w:rsidR="00486183">
        <w:rPr>
          <w:color w:val="000000"/>
          <w:lang w:val="es-ES_tradnl"/>
        </w:rPr>
        <w:t xml:space="preserve"> </w:t>
      </w:r>
      <w:r w:rsidR="00690D49">
        <w:rPr>
          <w:color w:val="000000"/>
          <w:lang w:val="es-ES_tradnl"/>
        </w:rPr>
        <w:t>Sr.</w:t>
      </w:r>
      <w:r w:rsidR="00B57C99" w:rsidRPr="0039190F">
        <w:rPr>
          <w:color w:val="000000"/>
          <w:lang w:val="es-ES_tradnl"/>
        </w:rPr>
        <w:t xml:space="preserve"> Moreno Pérez</w:t>
      </w:r>
      <w:r w:rsidR="00154297">
        <w:rPr>
          <w:color w:val="000000"/>
          <w:lang w:val="es-ES_tradnl"/>
        </w:rPr>
        <w:t>,</w:t>
      </w:r>
      <w:r w:rsidR="00982CA8">
        <w:rPr>
          <w:color w:val="000000"/>
          <w:lang w:val="es-ES_tradnl"/>
        </w:rPr>
        <w:t xml:space="preserve"> al encontrarse todavía en trámite</w:t>
      </w:r>
      <w:r w:rsidR="00154297">
        <w:rPr>
          <w:color w:val="000000"/>
          <w:lang w:val="es-ES_tradnl"/>
        </w:rPr>
        <w:t xml:space="preserve"> </w:t>
      </w:r>
      <w:r w:rsidR="00C84277">
        <w:rPr>
          <w:color w:val="000000"/>
          <w:lang w:val="es-ES_tradnl"/>
        </w:rPr>
        <w:t>la</w:t>
      </w:r>
      <w:r w:rsidR="00276D5C">
        <w:rPr>
          <w:color w:val="000000"/>
          <w:lang w:val="es-ES_tradnl"/>
        </w:rPr>
        <w:t>s</w:t>
      </w:r>
      <w:r w:rsidR="00C84277">
        <w:rPr>
          <w:color w:val="000000"/>
          <w:lang w:val="es-ES_tradnl"/>
        </w:rPr>
        <w:t xml:space="preserve"> </w:t>
      </w:r>
      <w:r w:rsidR="00276D5C">
        <w:rPr>
          <w:color w:val="000000"/>
          <w:lang w:val="es-ES_tradnl"/>
        </w:rPr>
        <w:t>investigaciones</w:t>
      </w:r>
      <w:r w:rsidRPr="004726C0">
        <w:rPr>
          <w:color w:val="000000"/>
          <w:lang w:val="es-ES_tradnl"/>
        </w:rPr>
        <w:t>.</w:t>
      </w:r>
    </w:p>
    <w:p w14:paraId="0DFA1D7A" w14:textId="253DA7FD" w:rsidR="009F4650" w:rsidRDefault="0009702F" w:rsidP="00232077">
      <w:pPr>
        <w:pStyle w:val="SingleTxtG"/>
        <w:rPr>
          <w:color w:val="000000"/>
          <w:lang w:val="es-ES_tradnl"/>
        </w:rPr>
      </w:pPr>
      <w:r>
        <w:rPr>
          <w:color w:val="000000"/>
          <w:lang w:val="es-ES_tradnl"/>
        </w:rPr>
        <w:t>4.2</w:t>
      </w:r>
      <w:r>
        <w:rPr>
          <w:color w:val="000000"/>
          <w:lang w:val="es-ES_tradnl"/>
        </w:rPr>
        <w:tab/>
      </w:r>
      <w:r w:rsidR="00AE322B">
        <w:rPr>
          <w:color w:val="000000"/>
          <w:lang w:val="es-ES_tradnl"/>
        </w:rPr>
        <w:t>En particular</w:t>
      </w:r>
      <w:r w:rsidR="004C101B">
        <w:rPr>
          <w:color w:val="000000"/>
          <w:lang w:val="es-ES_tradnl"/>
        </w:rPr>
        <w:t xml:space="preserve">, </w:t>
      </w:r>
      <w:r w:rsidR="00AE322B">
        <w:rPr>
          <w:color w:val="000000"/>
          <w:lang w:val="es-ES_tradnl"/>
        </w:rPr>
        <w:t>el Estado</w:t>
      </w:r>
      <w:r w:rsidR="00690D49">
        <w:rPr>
          <w:color w:val="000000"/>
          <w:lang w:val="es-ES_tradnl"/>
        </w:rPr>
        <w:t xml:space="preserve"> parte</w:t>
      </w:r>
      <w:r w:rsidR="00AE322B">
        <w:rPr>
          <w:color w:val="000000"/>
          <w:lang w:val="es-ES_tradnl"/>
        </w:rPr>
        <w:t xml:space="preserve"> indica que la</w:t>
      </w:r>
      <w:r w:rsidR="004C101B">
        <w:rPr>
          <w:color w:val="000000"/>
          <w:lang w:val="es-ES_tradnl"/>
        </w:rPr>
        <w:t xml:space="preserve"> </w:t>
      </w:r>
      <w:r w:rsidR="004C101B" w:rsidRPr="004C101B">
        <w:rPr>
          <w:color w:val="000000"/>
          <w:lang w:val="es-ES_tradnl"/>
        </w:rPr>
        <w:t xml:space="preserve">averiguación previa </w:t>
      </w:r>
      <w:r w:rsidR="00AE322B">
        <w:rPr>
          <w:color w:val="000000"/>
          <w:lang w:val="es-ES_tradnl"/>
        </w:rPr>
        <w:t xml:space="preserve">ante </w:t>
      </w:r>
      <w:r w:rsidR="00AE322B" w:rsidRPr="00B5060B">
        <w:rPr>
          <w:rFonts w:eastAsia="Calibri"/>
          <w:lang w:val="es-ES_tradnl"/>
        </w:rPr>
        <w:t>la Procuraduría General de la República</w:t>
      </w:r>
      <w:r w:rsidR="004C101B" w:rsidRPr="004C101B">
        <w:rPr>
          <w:color w:val="000000"/>
          <w:lang w:val="es-ES_tradnl"/>
        </w:rPr>
        <w:t xml:space="preserve"> </w:t>
      </w:r>
      <w:r w:rsidR="004C101B">
        <w:rPr>
          <w:color w:val="000000"/>
          <w:lang w:val="es-ES_tradnl"/>
        </w:rPr>
        <w:t xml:space="preserve">se </w:t>
      </w:r>
      <w:r w:rsidR="004C101B" w:rsidRPr="004C101B">
        <w:rPr>
          <w:color w:val="000000"/>
          <w:lang w:val="es-ES_tradnl"/>
        </w:rPr>
        <w:t>encuentra en proceso de integración</w:t>
      </w:r>
      <w:r w:rsidR="00E56008" w:rsidRPr="00E56008">
        <w:rPr>
          <w:color w:val="000000"/>
          <w:lang w:val="es-ES_tradnl"/>
        </w:rPr>
        <w:t xml:space="preserve"> </w:t>
      </w:r>
      <w:r w:rsidR="00E56008">
        <w:rPr>
          <w:color w:val="000000"/>
          <w:lang w:val="es-ES_tradnl"/>
        </w:rPr>
        <w:t>y que se</w:t>
      </w:r>
      <w:r w:rsidR="00E56008" w:rsidRPr="00B57C99">
        <w:rPr>
          <w:color w:val="000000"/>
          <w:lang w:val="es-ES_tradnl"/>
        </w:rPr>
        <w:t xml:space="preserve"> </w:t>
      </w:r>
      <w:r w:rsidR="00E56008">
        <w:rPr>
          <w:color w:val="000000"/>
          <w:lang w:val="es-ES_tradnl"/>
        </w:rPr>
        <w:t>está</w:t>
      </w:r>
      <w:r w:rsidR="00E56008" w:rsidRPr="00A918E5">
        <w:rPr>
          <w:color w:val="000000"/>
          <w:lang w:val="es-ES_tradnl"/>
        </w:rPr>
        <w:t xml:space="preserve"> realizando un gran cúmulo de diligencias</w:t>
      </w:r>
      <w:r w:rsidR="00E56008">
        <w:rPr>
          <w:color w:val="000000"/>
          <w:lang w:val="es-ES_tradnl"/>
        </w:rPr>
        <w:t>,</w:t>
      </w:r>
      <w:r w:rsidR="00E56008" w:rsidRPr="00A918E5">
        <w:rPr>
          <w:color w:val="000000"/>
          <w:lang w:val="es-ES_tradnl"/>
        </w:rPr>
        <w:t xml:space="preserve"> en coordinación con las autoridades locales y federales</w:t>
      </w:r>
      <w:r w:rsidR="00E56008">
        <w:rPr>
          <w:color w:val="000000"/>
          <w:lang w:val="es-ES_tradnl"/>
        </w:rPr>
        <w:t>,</w:t>
      </w:r>
      <w:r w:rsidR="00E56008" w:rsidRPr="00A918E5">
        <w:rPr>
          <w:color w:val="000000"/>
          <w:lang w:val="es-ES_tradnl"/>
        </w:rPr>
        <w:t xml:space="preserve"> para dar con el paradero del presunto desaparecido</w:t>
      </w:r>
      <w:r w:rsidR="00F95725">
        <w:rPr>
          <w:color w:val="000000"/>
          <w:lang w:val="es-ES_tradnl"/>
        </w:rPr>
        <w:t>, y que</w:t>
      </w:r>
      <w:r w:rsidR="00E56008">
        <w:rPr>
          <w:color w:val="000000"/>
          <w:lang w:val="es-ES_tradnl"/>
        </w:rPr>
        <w:t>, en</w:t>
      </w:r>
      <w:r w:rsidR="00232077">
        <w:rPr>
          <w:color w:val="000000"/>
          <w:lang w:val="es-ES_tradnl"/>
        </w:rPr>
        <w:t xml:space="preserve"> </w:t>
      </w:r>
      <w:r w:rsidR="00147AAD">
        <w:rPr>
          <w:color w:val="000000"/>
          <w:lang w:val="es-ES_tradnl"/>
        </w:rPr>
        <w:t xml:space="preserve">el </w:t>
      </w:r>
      <w:r w:rsidR="008F4663">
        <w:rPr>
          <w:color w:val="000000"/>
          <w:lang w:val="es-ES_tradnl"/>
        </w:rPr>
        <w:t xml:space="preserve">marco del </w:t>
      </w:r>
      <w:r w:rsidR="00147AAD" w:rsidRPr="00001454">
        <w:rPr>
          <w:color w:val="000000"/>
          <w:lang w:val="es-ES_tradnl"/>
        </w:rPr>
        <w:t>proceso penal</w:t>
      </w:r>
      <w:r w:rsidR="00147AAD">
        <w:rPr>
          <w:color w:val="000000"/>
          <w:lang w:val="es-ES_tradnl"/>
        </w:rPr>
        <w:t xml:space="preserve"> ante el Juzgado de Puerto Escondido </w:t>
      </w:r>
      <w:r w:rsidR="00A52B98">
        <w:rPr>
          <w:color w:val="000000"/>
          <w:lang w:val="es-ES_tradnl"/>
        </w:rPr>
        <w:t>(</w:t>
      </w:r>
      <w:r w:rsidR="00147AAD">
        <w:rPr>
          <w:color w:val="000000"/>
          <w:lang w:val="es-ES_tradnl"/>
        </w:rPr>
        <w:t>Oaxaca</w:t>
      </w:r>
      <w:r w:rsidR="00A52B98">
        <w:rPr>
          <w:color w:val="000000"/>
          <w:lang w:val="es-ES_tradnl"/>
        </w:rPr>
        <w:t>)</w:t>
      </w:r>
      <w:r w:rsidR="00147AAD">
        <w:rPr>
          <w:color w:val="000000"/>
          <w:lang w:val="es-ES_tradnl"/>
        </w:rPr>
        <w:t>,</w:t>
      </w:r>
      <w:r w:rsidR="00147AAD" w:rsidRPr="00F95725">
        <w:rPr>
          <w:color w:val="000000"/>
          <w:lang w:val="es-ES_tradnl"/>
        </w:rPr>
        <w:t xml:space="preserve"> </w:t>
      </w:r>
      <w:r w:rsidR="004339BB">
        <w:rPr>
          <w:color w:val="000000"/>
          <w:lang w:val="es-ES_tradnl"/>
        </w:rPr>
        <w:t xml:space="preserve">aunque </w:t>
      </w:r>
      <w:r w:rsidR="00E56008">
        <w:rPr>
          <w:color w:val="000000"/>
          <w:lang w:val="es-ES_tradnl"/>
        </w:rPr>
        <w:t xml:space="preserve">todavía </w:t>
      </w:r>
      <w:r w:rsidR="004339BB" w:rsidRPr="009A6D8D">
        <w:rPr>
          <w:color w:val="000000"/>
          <w:lang w:val="es-ES_tradnl"/>
        </w:rPr>
        <w:t>no se ha</w:t>
      </w:r>
      <w:r w:rsidR="004339BB">
        <w:rPr>
          <w:color w:val="000000"/>
          <w:lang w:val="es-ES_tradnl"/>
        </w:rPr>
        <w:t>ya</w:t>
      </w:r>
      <w:r w:rsidR="004339BB" w:rsidRPr="009A6D8D">
        <w:rPr>
          <w:color w:val="000000"/>
          <w:lang w:val="es-ES_tradnl"/>
        </w:rPr>
        <w:t xml:space="preserve"> emitido sentencia</w:t>
      </w:r>
      <w:r w:rsidR="004339BB">
        <w:rPr>
          <w:color w:val="000000"/>
          <w:lang w:val="es-ES_tradnl"/>
        </w:rPr>
        <w:t xml:space="preserve"> en contra de los</w:t>
      </w:r>
      <w:r w:rsidR="004339BB" w:rsidRPr="004339BB">
        <w:rPr>
          <w:color w:val="000000"/>
          <w:lang w:val="es-ES_tradnl"/>
        </w:rPr>
        <w:t xml:space="preserve"> </w:t>
      </w:r>
      <w:r w:rsidR="004339BB" w:rsidRPr="00054520">
        <w:rPr>
          <w:color w:val="000000"/>
          <w:lang w:val="es-ES_tradnl"/>
        </w:rPr>
        <w:t>presuntos responsables</w:t>
      </w:r>
      <w:r w:rsidR="004339BB">
        <w:rPr>
          <w:color w:val="000000"/>
          <w:lang w:val="es-ES_tradnl"/>
        </w:rPr>
        <w:t>,</w:t>
      </w:r>
      <w:r w:rsidR="004339BB" w:rsidRPr="00DE043C">
        <w:rPr>
          <w:color w:val="000000"/>
          <w:lang w:val="es-ES_tradnl"/>
        </w:rPr>
        <w:t xml:space="preserve"> </w:t>
      </w:r>
      <w:r w:rsidR="00B716DD" w:rsidRPr="00DE043C">
        <w:rPr>
          <w:color w:val="000000"/>
          <w:lang w:val="es-ES_tradnl"/>
        </w:rPr>
        <w:t>las partes procesales se encuentran ofreciendo y desahogando pruebas</w:t>
      </w:r>
      <w:r w:rsidR="00315DCF">
        <w:rPr>
          <w:color w:val="000000"/>
          <w:lang w:val="es-ES_tradnl"/>
        </w:rPr>
        <w:t>.</w:t>
      </w:r>
      <w:r w:rsidR="00432141" w:rsidRPr="00432141">
        <w:rPr>
          <w:color w:val="000000"/>
          <w:lang w:val="es-ES_tradnl"/>
        </w:rPr>
        <w:t xml:space="preserve"> </w:t>
      </w:r>
      <w:r w:rsidR="00432141">
        <w:rPr>
          <w:color w:val="000000"/>
          <w:lang w:val="es-ES_tradnl"/>
        </w:rPr>
        <w:t xml:space="preserve">El Estado parte precisa </w:t>
      </w:r>
      <w:r w:rsidR="00432141" w:rsidRPr="009E62FF">
        <w:rPr>
          <w:color w:val="000000"/>
          <w:lang w:val="es-ES_tradnl"/>
        </w:rPr>
        <w:t>que no hay dilación dentro del proceso penal</w:t>
      </w:r>
      <w:r w:rsidR="00432141">
        <w:rPr>
          <w:color w:val="000000"/>
          <w:lang w:val="es-ES_tradnl"/>
        </w:rPr>
        <w:t>, sino</w:t>
      </w:r>
      <w:r w:rsidR="00432141" w:rsidRPr="009E62FF">
        <w:rPr>
          <w:color w:val="000000"/>
          <w:lang w:val="es-ES_tradnl"/>
        </w:rPr>
        <w:t xml:space="preserve"> </w:t>
      </w:r>
      <w:r w:rsidR="00432141">
        <w:rPr>
          <w:color w:val="000000"/>
          <w:lang w:val="es-ES_tradnl"/>
        </w:rPr>
        <w:t>que</w:t>
      </w:r>
      <w:r w:rsidR="00432141" w:rsidRPr="009E62FF">
        <w:rPr>
          <w:color w:val="000000"/>
          <w:lang w:val="es-ES_tradnl"/>
        </w:rPr>
        <w:t xml:space="preserve"> los inculpados han interpuesto diversos recursos de apelación </w:t>
      </w:r>
      <w:r w:rsidR="00432141">
        <w:rPr>
          <w:color w:val="000000"/>
          <w:lang w:val="es-ES_tradnl"/>
        </w:rPr>
        <w:t xml:space="preserve">y amparo </w:t>
      </w:r>
      <w:r w:rsidR="00432141" w:rsidRPr="009E62FF">
        <w:rPr>
          <w:color w:val="000000"/>
          <w:lang w:val="es-ES_tradnl"/>
        </w:rPr>
        <w:t>para impugnar las determinaciones del órgano jurisdiccional</w:t>
      </w:r>
      <w:r w:rsidR="00432141">
        <w:rPr>
          <w:color w:val="000000"/>
          <w:lang w:val="es-ES_tradnl"/>
        </w:rPr>
        <w:t>, que fueron</w:t>
      </w:r>
      <w:r w:rsidR="00432141" w:rsidRPr="009E62FF">
        <w:rPr>
          <w:color w:val="000000"/>
          <w:lang w:val="es-ES_tradnl"/>
        </w:rPr>
        <w:t xml:space="preserve"> resueltos de manera fundamentada y motivada, atendiendo a los plazos establecidos por el marco jurídico </w:t>
      </w:r>
      <w:r w:rsidR="00432141">
        <w:rPr>
          <w:color w:val="000000"/>
          <w:lang w:val="es-ES_tradnl"/>
        </w:rPr>
        <w:t>interno</w:t>
      </w:r>
      <w:r w:rsidR="00432141" w:rsidRPr="009E62FF">
        <w:rPr>
          <w:color w:val="000000"/>
          <w:lang w:val="es-ES_tradnl"/>
        </w:rPr>
        <w:t xml:space="preserve">, lo </w:t>
      </w:r>
      <w:r w:rsidR="00432141">
        <w:rPr>
          <w:color w:val="000000"/>
          <w:lang w:val="es-ES_tradnl"/>
        </w:rPr>
        <w:t>que ha demorado el procedimiento</w:t>
      </w:r>
      <w:r w:rsidR="00432141" w:rsidRPr="009E62FF">
        <w:rPr>
          <w:color w:val="000000"/>
          <w:lang w:val="es-ES_tradnl"/>
        </w:rPr>
        <w:t>.</w:t>
      </w:r>
      <w:r w:rsidR="006A73F2" w:rsidRPr="006A73F2">
        <w:rPr>
          <w:color w:val="000000"/>
          <w:lang w:val="es-ES_tradnl"/>
        </w:rPr>
        <w:t xml:space="preserve"> </w:t>
      </w:r>
      <w:r w:rsidR="006A73F2">
        <w:rPr>
          <w:color w:val="000000"/>
          <w:lang w:val="es-ES_tradnl"/>
        </w:rPr>
        <w:t xml:space="preserve">Precisa también el Estado parte que, mediante recurso de apelación, les será posible a los autores </w:t>
      </w:r>
      <w:r w:rsidR="006A73F2" w:rsidRPr="005C3870">
        <w:rPr>
          <w:color w:val="000000"/>
          <w:lang w:val="es-ES_tradnl"/>
        </w:rPr>
        <w:t xml:space="preserve">revertir la sentencia dictada si fuera considerada errónea por </w:t>
      </w:r>
      <w:r w:rsidR="006A73F2">
        <w:rPr>
          <w:color w:val="000000"/>
          <w:lang w:val="es-ES_tradnl"/>
        </w:rPr>
        <w:t>ellos, y que el recurso de amparo será también</w:t>
      </w:r>
      <w:r w:rsidR="006A73F2" w:rsidRPr="00BC01E6">
        <w:rPr>
          <w:color w:val="000000"/>
          <w:lang w:val="es-ES_tradnl"/>
        </w:rPr>
        <w:t xml:space="preserve"> </w:t>
      </w:r>
      <w:r w:rsidR="006A73F2">
        <w:rPr>
          <w:color w:val="000000"/>
          <w:lang w:val="es-ES_tradnl"/>
        </w:rPr>
        <w:t>un recurso de</w:t>
      </w:r>
      <w:r w:rsidR="006A73F2" w:rsidRPr="00BC01E6">
        <w:rPr>
          <w:color w:val="000000"/>
          <w:lang w:val="es-ES_tradnl"/>
        </w:rPr>
        <w:t xml:space="preserve"> carácter adecuado y efectivo</w:t>
      </w:r>
      <w:r w:rsidR="006A73F2">
        <w:rPr>
          <w:color w:val="000000"/>
          <w:lang w:val="es-ES_tradnl"/>
        </w:rPr>
        <w:t>.</w:t>
      </w:r>
    </w:p>
    <w:p w14:paraId="05DA8F6E" w14:textId="64698D10" w:rsidR="005F4740" w:rsidRDefault="000417D8" w:rsidP="008D457C">
      <w:pPr>
        <w:pStyle w:val="SingleTxtG"/>
        <w:rPr>
          <w:color w:val="000000"/>
          <w:lang w:val="es-ES_tradnl"/>
        </w:rPr>
      </w:pPr>
      <w:r>
        <w:rPr>
          <w:color w:val="000000"/>
          <w:lang w:val="es-ES_tradnl"/>
        </w:rPr>
        <w:t>4.3</w:t>
      </w:r>
      <w:r>
        <w:rPr>
          <w:color w:val="000000"/>
          <w:lang w:val="es-ES_tradnl"/>
        </w:rPr>
        <w:tab/>
      </w:r>
      <w:r w:rsidR="005F4740">
        <w:rPr>
          <w:color w:val="000000"/>
          <w:lang w:val="es-ES_tradnl"/>
        </w:rPr>
        <w:t>El Estado</w:t>
      </w:r>
      <w:r w:rsidR="005C08D2">
        <w:rPr>
          <w:color w:val="000000"/>
          <w:lang w:val="es-ES_tradnl"/>
        </w:rPr>
        <w:t xml:space="preserve"> parte</w:t>
      </w:r>
      <w:r w:rsidR="005F4740">
        <w:rPr>
          <w:color w:val="000000"/>
          <w:lang w:val="es-ES_tradnl"/>
        </w:rPr>
        <w:t xml:space="preserve"> </w:t>
      </w:r>
      <w:r>
        <w:rPr>
          <w:color w:val="000000"/>
          <w:lang w:val="es-ES_tradnl"/>
        </w:rPr>
        <w:t>sostiene</w:t>
      </w:r>
      <w:r w:rsidR="005F4740">
        <w:rPr>
          <w:color w:val="000000"/>
          <w:lang w:val="es-ES_tradnl"/>
        </w:rPr>
        <w:t xml:space="preserve"> que </w:t>
      </w:r>
      <w:r w:rsidR="005F4740" w:rsidRPr="00122DD5">
        <w:rPr>
          <w:color w:val="000000"/>
          <w:lang w:val="es-ES_tradnl"/>
        </w:rPr>
        <w:t xml:space="preserve">corresponde a </w:t>
      </w:r>
      <w:r>
        <w:rPr>
          <w:color w:val="000000"/>
          <w:lang w:val="es-ES_tradnl"/>
        </w:rPr>
        <w:t>sus</w:t>
      </w:r>
      <w:r w:rsidR="005F4740" w:rsidRPr="00122DD5">
        <w:rPr>
          <w:color w:val="000000"/>
          <w:lang w:val="es-ES_tradnl"/>
        </w:rPr>
        <w:t xml:space="preserve"> tribunales</w:t>
      </w:r>
      <w:r w:rsidR="006A73F2">
        <w:rPr>
          <w:color w:val="000000"/>
          <w:lang w:val="es-ES_tradnl"/>
        </w:rPr>
        <w:t>,</w:t>
      </w:r>
      <w:r w:rsidR="005F4740" w:rsidRPr="00122DD5">
        <w:rPr>
          <w:color w:val="000000"/>
          <w:lang w:val="es-ES_tradnl"/>
        </w:rPr>
        <w:t xml:space="preserve"> </w:t>
      </w:r>
      <w:r w:rsidR="006A73F2">
        <w:rPr>
          <w:color w:val="000000"/>
          <w:lang w:val="es-ES_tradnl"/>
        </w:rPr>
        <w:t>y no al Comité,</w:t>
      </w:r>
      <w:r w:rsidR="006A73F2" w:rsidRPr="00122DD5">
        <w:rPr>
          <w:color w:val="000000"/>
          <w:lang w:val="es-ES_tradnl"/>
        </w:rPr>
        <w:t xml:space="preserve"> </w:t>
      </w:r>
      <w:r w:rsidR="005F4740" w:rsidRPr="00122DD5">
        <w:rPr>
          <w:color w:val="000000"/>
          <w:lang w:val="es-ES_tradnl"/>
        </w:rPr>
        <w:t>evaluar los hechos y las pruebas</w:t>
      </w:r>
      <w:r w:rsidR="006A73F2">
        <w:rPr>
          <w:color w:val="000000"/>
          <w:lang w:val="es-ES_tradnl"/>
        </w:rPr>
        <w:t>,</w:t>
      </w:r>
      <w:r>
        <w:rPr>
          <w:color w:val="000000"/>
          <w:lang w:val="es-ES_tradnl"/>
        </w:rPr>
        <w:t xml:space="preserve"> ya que la actuación interna no es </w:t>
      </w:r>
      <w:r w:rsidRPr="00122DD5">
        <w:rPr>
          <w:color w:val="000000"/>
          <w:lang w:val="es-ES_tradnl"/>
        </w:rPr>
        <w:t>arbitraria o equivalente a una denegación de justicia</w:t>
      </w:r>
      <w:r w:rsidR="005F4740">
        <w:rPr>
          <w:color w:val="000000"/>
          <w:lang w:val="es-ES_tradnl"/>
        </w:rPr>
        <w:t>.</w:t>
      </w:r>
    </w:p>
    <w:p w14:paraId="610D25EB" w14:textId="496248C3" w:rsidR="004726C0" w:rsidRPr="004726C0" w:rsidRDefault="003864AB">
      <w:pPr>
        <w:pStyle w:val="H23G"/>
        <w:rPr>
          <w:lang w:val="es-ES_tradnl"/>
        </w:rPr>
      </w:pPr>
      <w:r>
        <w:rPr>
          <w:lang w:val="es-ES_tradnl"/>
        </w:rPr>
        <w:tab/>
      </w:r>
      <w:r>
        <w:rPr>
          <w:lang w:val="es-ES_tradnl"/>
        </w:rPr>
        <w:tab/>
      </w:r>
      <w:r w:rsidR="00EA06BC">
        <w:rPr>
          <w:lang w:val="es-ES_tradnl"/>
        </w:rPr>
        <w:t>Comentarios de los</w:t>
      </w:r>
      <w:r w:rsidR="004726C0" w:rsidRPr="004726C0">
        <w:rPr>
          <w:lang w:val="es-ES_tradnl"/>
        </w:rPr>
        <w:t xml:space="preserve"> autor</w:t>
      </w:r>
      <w:r w:rsidR="00EA06BC">
        <w:rPr>
          <w:lang w:val="es-ES_tradnl"/>
        </w:rPr>
        <w:t>es</w:t>
      </w:r>
      <w:r w:rsidR="004726C0" w:rsidRPr="004726C0">
        <w:rPr>
          <w:lang w:val="es-ES_tradnl"/>
        </w:rPr>
        <w:t xml:space="preserve"> </w:t>
      </w:r>
      <w:r w:rsidR="004361D9">
        <w:rPr>
          <w:lang w:val="es-ES_tradnl"/>
        </w:rPr>
        <w:t>a las observaciones</w:t>
      </w:r>
      <w:r w:rsidR="004726C0" w:rsidRPr="004726C0">
        <w:rPr>
          <w:lang w:val="es-ES_tradnl"/>
        </w:rPr>
        <w:t xml:space="preserve"> </w:t>
      </w:r>
      <w:r w:rsidR="004361D9" w:rsidRPr="004361D9">
        <w:rPr>
          <w:lang w:val="es-ES_tradnl"/>
        </w:rPr>
        <w:t>del Estado parte</w:t>
      </w:r>
      <w:r w:rsidR="00963B70">
        <w:rPr>
          <w:lang w:val="es-ES_tradnl"/>
        </w:rPr>
        <w:br/>
      </w:r>
      <w:r w:rsidR="004361D9">
        <w:rPr>
          <w:lang w:val="es-ES_tradnl"/>
        </w:rPr>
        <w:t xml:space="preserve">sobre </w:t>
      </w:r>
      <w:r w:rsidR="004726C0" w:rsidRPr="004726C0">
        <w:rPr>
          <w:lang w:val="es-ES_tradnl"/>
        </w:rPr>
        <w:t>admisibilidad</w:t>
      </w:r>
    </w:p>
    <w:p w14:paraId="609153AF" w14:textId="1BAD8B0F" w:rsidR="00100793" w:rsidRDefault="004726C0" w:rsidP="0001674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sidRPr="004726C0">
        <w:rPr>
          <w:color w:val="000000"/>
          <w:lang w:val="es-ES_tradnl"/>
        </w:rPr>
        <w:t>5.1</w:t>
      </w:r>
      <w:r w:rsidRPr="004726C0">
        <w:rPr>
          <w:color w:val="000000"/>
          <w:lang w:val="es-ES_tradnl"/>
        </w:rPr>
        <w:tab/>
        <w:t xml:space="preserve">El </w:t>
      </w:r>
      <w:r w:rsidR="00F5002B">
        <w:rPr>
          <w:color w:val="000000"/>
          <w:lang w:val="es-ES_tradnl"/>
        </w:rPr>
        <w:t>12</w:t>
      </w:r>
      <w:r w:rsidRPr="004726C0">
        <w:rPr>
          <w:color w:val="000000"/>
          <w:lang w:val="es-ES_tradnl"/>
        </w:rPr>
        <w:t xml:space="preserve"> de </w:t>
      </w:r>
      <w:r w:rsidR="00F5002B">
        <w:rPr>
          <w:color w:val="000000"/>
          <w:lang w:val="es-ES_tradnl"/>
        </w:rPr>
        <w:t>septiembre</w:t>
      </w:r>
      <w:r w:rsidRPr="004726C0">
        <w:rPr>
          <w:color w:val="000000"/>
          <w:lang w:val="es-ES_tradnl"/>
        </w:rPr>
        <w:t xml:space="preserve"> de 2016, los autores presentaron sus comentarios </w:t>
      </w:r>
      <w:r w:rsidR="002B5315">
        <w:rPr>
          <w:color w:val="000000"/>
          <w:lang w:val="es-ES_tradnl"/>
        </w:rPr>
        <w:t xml:space="preserve">a </w:t>
      </w:r>
      <w:r w:rsidR="002B5315" w:rsidRPr="002B5315">
        <w:rPr>
          <w:color w:val="000000"/>
          <w:lang w:val="es-ES_tradnl"/>
        </w:rPr>
        <w:t>las observaciones del Estado parte sobre la admisibilidad</w:t>
      </w:r>
      <w:r w:rsidR="0001674E">
        <w:rPr>
          <w:color w:val="000000"/>
          <w:lang w:val="es-ES_tradnl"/>
        </w:rPr>
        <w:t xml:space="preserve">, en los que insistieron en </w:t>
      </w:r>
      <w:r w:rsidR="0001674E">
        <w:rPr>
          <w:lang w:val="es-ES"/>
        </w:rPr>
        <w:t xml:space="preserve">haber </w:t>
      </w:r>
      <w:r w:rsidR="00100793" w:rsidRPr="00100793">
        <w:rPr>
          <w:lang w:val="es-ES"/>
        </w:rPr>
        <w:t>hecho uso de los recursos internos disponibles</w:t>
      </w:r>
      <w:r w:rsidR="0001674E">
        <w:rPr>
          <w:lang w:val="es-ES"/>
        </w:rPr>
        <w:t xml:space="preserve">, los cuales </w:t>
      </w:r>
      <w:r w:rsidR="005C6549" w:rsidRPr="00100793">
        <w:rPr>
          <w:lang w:val="es-ES"/>
        </w:rPr>
        <w:t>se han prolongado injustificadamente</w:t>
      </w:r>
      <w:r w:rsidR="005C6549">
        <w:rPr>
          <w:lang w:val="es-ES"/>
        </w:rPr>
        <w:t xml:space="preserve"> y </w:t>
      </w:r>
      <w:r w:rsidR="0001674E">
        <w:rPr>
          <w:lang w:val="es-ES"/>
        </w:rPr>
        <w:t xml:space="preserve">se </w:t>
      </w:r>
      <w:r w:rsidR="00100793" w:rsidRPr="00100793">
        <w:rPr>
          <w:lang w:val="es-ES"/>
        </w:rPr>
        <w:t>han mostrado inefectivos para esclarec</w:t>
      </w:r>
      <w:r w:rsidR="005C6549">
        <w:rPr>
          <w:lang w:val="es-ES"/>
        </w:rPr>
        <w:t>er el hecho de la desaparición</w:t>
      </w:r>
      <w:r w:rsidR="00100793" w:rsidRPr="00100793">
        <w:rPr>
          <w:lang w:val="es-ES"/>
        </w:rPr>
        <w:t>.</w:t>
      </w:r>
    </w:p>
    <w:p w14:paraId="66338996" w14:textId="6577C5AC" w:rsidR="000F3C11" w:rsidRDefault="00D20120" w:rsidP="000F3C1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lang w:val="es-ES"/>
        </w:rPr>
        <w:t>5.2</w:t>
      </w:r>
      <w:r>
        <w:rPr>
          <w:lang w:val="es-ES"/>
        </w:rPr>
        <w:tab/>
        <w:t>Los autores r</w:t>
      </w:r>
      <w:r w:rsidR="00665502">
        <w:rPr>
          <w:lang w:val="es-ES"/>
        </w:rPr>
        <w:t xml:space="preserve">ecuerdan </w:t>
      </w:r>
      <w:r>
        <w:rPr>
          <w:lang w:val="es-ES"/>
        </w:rPr>
        <w:t>que</w:t>
      </w:r>
      <w:r w:rsidR="00665502">
        <w:rPr>
          <w:lang w:val="es-ES"/>
        </w:rPr>
        <w:t xml:space="preserve"> </w:t>
      </w:r>
      <w:r w:rsidR="00665502" w:rsidRPr="00100793">
        <w:rPr>
          <w:lang w:val="es-ES"/>
        </w:rPr>
        <w:t xml:space="preserve">corresponde a los tribunales </w:t>
      </w:r>
      <w:r w:rsidR="00665502">
        <w:rPr>
          <w:lang w:val="es-ES"/>
        </w:rPr>
        <w:t>internos</w:t>
      </w:r>
      <w:r w:rsidR="00665502" w:rsidRPr="00100793">
        <w:rPr>
          <w:lang w:val="es-ES"/>
        </w:rPr>
        <w:t xml:space="preserve"> e</w:t>
      </w:r>
      <w:r w:rsidR="001830D6">
        <w:rPr>
          <w:lang w:val="es-ES"/>
        </w:rPr>
        <w:t>valuar los hechos y las pruebas</w:t>
      </w:r>
      <w:r w:rsidR="00665502" w:rsidRPr="00100793">
        <w:rPr>
          <w:lang w:val="es-ES"/>
        </w:rPr>
        <w:t xml:space="preserve"> </w:t>
      </w:r>
      <w:r w:rsidR="00665502">
        <w:rPr>
          <w:lang w:val="es-ES"/>
        </w:rPr>
        <w:t>salvo</w:t>
      </w:r>
      <w:r w:rsidR="00665502" w:rsidRPr="00193511">
        <w:rPr>
          <w:lang w:val="es-ES"/>
        </w:rPr>
        <w:t xml:space="preserve"> que la </w:t>
      </w:r>
      <w:r w:rsidR="00665502">
        <w:rPr>
          <w:lang w:val="es-ES"/>
        </w:rPr>
        <w:t>actuación sea claramente arbitraria,</w:t>
      </w:r>
      <w:r w:rsidR="00665502" w:rsidRPr="00193511">
        <w:rPr>
          <w:lang w:val="es-ES"/>
        </w:rPr>
        <w:t xml:space="preserve"> </w:t>
      </w:r>
      <w:r w:rsidR="001830D6">
        <w:rPr>
          <w:lang w:val="es-ES"/>
        </w:rPr>
        <w:t xml:space="preserve">que </w:t>
      </w:r>
      <w:r w:rsidR="00665502">
        <w:rPr>
          <w:lang w:val="es-ES"/>
        </w:rPr>
        <w:t>haya constituido</w:t>
      </w:r>
      <w:r w:rsidR="00665502" w:rsidRPr="00193511">
        <w:rPr>
          <w:lang w:val="es-ES"/>
        </w:rPr>
        <w:t xml:space="preserve"> una denegación de justicia</w:t>
      </w:r>
      <w:r w:rsidR="001830D6">
        <w:rPr>
          <w:lang w:val="es-ES"/>
        </w:rPr>
        <w:t>,</w:t>
      </w:r>
      <w:r w:rsidR="00665502" w:rsidRPr="00100793">
        <w:rPr>
          <w:lang w:val="es-ES"/>
        </w:rPr>
        <w:t xml:space="preserve"> o </w:t>
      </w:r>
      <w:r w:rsidR="00665502">
        <w:rPr>
          <w:lang w:val="es-ES"/>
        </w:rPr>
        <w:t>incumplido</w:t>
      </w:r>
      <w:r w:rsidR="00665502" w:rsidRPr="00100793">
        <w:rPr>
          <w:lang w:val="es-ES"/>
        </w:rPr>
        <w:t xml:space="preserve"> </w:t>
      </w:r>
      <w:r w:rsidR="00665502">
        <w:rPr>
          <w:lang w:val="es-ES"/>
        </w:rPr>
        <w:t>el</w:t>
      </w:r>
      <w:r w:rsidR="00665502" w:rsidRPr="00100793">
        <w:rPr>
          <w:lang w:val="es-ES"/>
        </w:rPr>
        <w:t xml:space="preserve"> deber de </w:t>
      </w:r>
      <w:r w:rsidR="00665502">
        <w:rPr>
          <w:lang w:val="es-ES"/>
        </w:rPr>
        <w:t>independencia e imparcialidad</w:t>
      </w:r>
      <w:r w:rsidR="00665502" w:rsidRPr="00193511">
        <w:rPr>
          <w:lang w:val="es-ES"/>
        </w:rPr>
        <w:t xml:space="preserve">. </w:t>
      </w:r>
      <w:r w:rsidR="001830D6">
        <w:rPr>
          <w:lang w:val="es-ES"/>
        </w:rPr>
        <w:t>E</w:t>
      </w:r>
      <w:r w:rsidR="00665502">
        <w:rPr>
          <w:lang w:val="es-ES"/>
        </w:rPr>
        <w:t xml:space="preserve">n el caso </w:t>
      </w:r>
      <w:r w:rsidR="001830D6">
        <w:rPr>
          <w:lang w:val="es-ES"/>
        </w:rPr>
        <w:t>presente</w:t>
      </w:r>
      <w:r w:rsidR="00665502">
        <w:rPr>
          <w:lang w:val="es-ES"/>
        </w:rPr>
        <w:t xml:space="preserve">, </w:t>
      </w:r>
      <w:r w:rsidR="00174115">
        <w:rPr>
          <w:lang w:val="es-ES"/>
        </w:rPr>
        <w:t xml:space="preserve">no solamente </w:t>
      </w:r>
      <w:r w:rsidR="00174115" w:rsidRPr="00100793">
        <w:rPr>
          <w:lang w:val="es-ES"/>
        </w:rPr>
        <w:t>se cometieron serias irregularidades</w:t>
      </w:r>
      <w:r w:rsidR="00174115">
        <w:rPr>
          <w:lang w:val="es-ES"/>
        </w:rPr>
        <w:t>,</w:t>
      </w:r>
      <w:r w:rsidR="00174115" w:rsidRPr="00100793">
        <w:rPr>
          <w:lang w:val="es-ES"/>
        </w:rPr>
        <w:t xml:space="preserve"> calificadas por la </w:t>
      </w:r>
      <w:r w:rsidR="00E370B4">
        <w:rPr>
          <w:lang w:val="es-ES"/>
        </w:rPr>
        <w:t xml:space="preserve">autoridad de control </w:t>
      </w:r>
      <w:r w:rsidR="00174115">
        <w:rPr>
          <w:lang w:val="es-ES"/>
        </w:rPr>
        <w:t xml:space="preserve">de “responsabilidades graves”, sino que </w:t>
      </w:r>
      <w:r w:rsidR="0051089E">
        <w:rPr>
          <w:lang w:val="es-ES"/>
        </w:rPr>
        <w:t>el j</w:t>
      </w:r>
      <w:r w:rsidR="00665502" w:rsidRPr="00100793">
        <w:rPr>
          <w:lang w:val="es-ES"/>
        </w:rPr>
        <w:t xml:space="preserve">uez </w:t>
      </w:r>
      <w:r w:rsidR="00665502">
        <w:rPr>
          <w:lang w:val="es-ES"/>
        </w:rPr>
        <w:t xml:space="preserve">no ha investigado </w:t>
      </w:r>
      <w:r w:rsidR="0051089E">
        <w:rPr>
          <w:lang w:val="es-ES"/>
        </w:rPr>
        <w:t>los alegatos de los presuntos inculpados</w:t>
      </w:r>
      <w:r w:rsidR="00174115">
        <w:rPr>
          <w:lang w:val="es-ES"/>
        </w:rPr>
        <w:t xml:space="preserve"> </w:t>
      </w:r>
      <w:r w:rsidR="0051089E">
        <w:rPr>
          <w:lang w:val="es-ES"/>
        </w:rPr>
        <w:t>en cuanto a</w:t>
      </w:r>
      <w:r w:rsidR="00C26BC2">
        <w:rPr>
          <w:lang w:val="es-ES"/>
        </w:rPr>
        <w:t xml:space="preserve"> las falsas declaraciones que fueron forzados a rendir</w:t>
      </w:r>
      <w:r w:rsidR="007755D1">
        <w:rPr>
          <w:lang w:val="es-ES"/>
        </w:rPr>
        <w:t>,</w:t>
      </w:r>
      <w:r w:rsidR="0051089E">
        <w:rPr>
          <w:lang w:val="es-ES"/>
        </w:rPr>
        <w:t xml:space="preserve"> </w:t>
      </w:r>
      <w:r w:rsidR="00C26BC2">
        <w:rPr>
          <w:lang w:val="es-ES"/>
        </w:rPr>
        <w:t>declaraciones</w:t>
      </w:r>
      <w:r w:rsidR="00A70C91">
        <w:rPr>
          <w:lang w:val="es-ES"/>
        </w:rPr>
        <w:t xml:space="preserve"> que </w:t>
      </w:r>
      <w:r w:rsidR="00A70C91" w:rsidRPr="00100793">
        <w:rPr>
          <w:lang w:val="es-ES"/>
        </w:rPr>
        <w:t>se ha</w:t>
      </w:r>
      <w:r w:rsidR="004055C7">
        <w:rPr>
          <w:lang w:val="es-ES"/>
        </w:rPr>
        <w:t>n</w:t>
      </w:r>
      <w:r w:rsidR="00A70C91" w:rsidRPr="00100793">
        <w:rPr>
          <w:lang w:val="es-ES"/>
        </w:rPr>
        <w:t xml:space="preserve"> mantenido como únic</w:t>
      </w:r>
      <w:r w:rsidR="003C5495">
        <w:rPr>
          <w:lang w:val="es-ES"/>
        </w:rPr>
        <w:t>os</w:t>
      </w:r>
      <w:r w:rsidR="00A70C91" w:rsidRPr="00100793">
        <w:rPr>
          <w:lang w:val="es-ES"/>
        </w:rPr>
        <w:t xml:space="preserve"> </w:t>
      </w:r>
      <w:r w:rsidR="003C5495">
        <w:rPr>
          <w:lang w:val="es-ES"/>
        </w:rPr>
        <w:t xml:space="preserve">elementos de </w:t>
      </w:r>
      <w:r w:rsidR="00A70C91" w:rsidRPr="00100793">
        <w:rPr>
          <w:lang w:val="es-ES"/>
        </w:rPr>
        <w:t xml:space="preserve">prueba </w:t>
      </w:r>
      <w:r w:rsidR="00832EE5">
        <w:rPr>
          <w:lang w:val="es-ES"/>
        </w:rPr>
        <w:t xml:space="preserve">en apoyo de </w:t>
      </w:r>
      <w:r w:rsidR="00A70C91" w:rsidRPr="00100793">
        <w:rPr>
          <w:lang w:val="es-ES"/>
        </w:rPr>
        <w:t xml:space="preserve">la versión del </w:t>
      </w:r>
      <w:r w:rsidR="00A70C91">
        <w:rPr>
          <w:lang w:val="es-ES"/>
        </w:rPr>
        <w:t xml:space="preserve">supuesto </w:t>
      </w:r>
      <w:r w:rsidR="00A70C91" w:rsidRPr="00100793">
        <w:rPr>
          <w:lang w:val="es-ES"/>
        </w:rPr>
        <w:t>homicidio</w:t>
      </w:r>
      <w:r w:rsidR="00174115">
        <w:rPr>
          <w:lang w:val="es-ES"/>
        </w:rPr>
        <w:t xml:space="preserve">. </w:t>
      </w:r>
      <w:r w:rsidR="004055C7">
        <w:rPr>
          <w:lang w:val="es-ES"/>
        </w:rPr>
        <w:t>Los autores sostienen que</w:t>
      </w:r>
      <w:r w:rsidR="00174115">
        <w:rPr>
          <w:lang w:val="es-ES"/>
        </w:rPr>
        <w:t xml:space="preserve"> </w:t>
      </w:r>
      <w:r w:rsidR="004055C7">
        <w:rPr>
          <w:lang w:val="es-ES"/>
        </w:rPr>
        <w:t>las alegaciones de</w:t>
      </w:r>
      <w:r w:rsidR="00100793" w:rsidRPr="00100793">
        <w:rPr>
          <w:lang w:val="es-ES"/>
        </w:rPr>
        <w:t xml:space="preserve"> </w:t>
      </w:r>
      <w:r w:rsidR="004055C7">
        <w:rPr>
          <w:lang w:val="es-ES"/>
        </w:rPr>
        <w:t>tratos contrarios al artículo 7</w:t>
      </w:r>
      <w:r w:rsidR="00100793" w:rsidRPr="00100793">
        <w:rPr>
          <w:lang w:val="es-ES"/>
        </w:rPr>
        <w:t xml:space="preserve"> debe</w:t>
      </w:r>
      <w:r w:rsidR="004055C7">
        <w:rPr>
          <w:lang w:val="es-ES"/>
        </w:rPr>
        <w:t>n ser investigadas</w:t>
      </w:r>
      <w:r w:rsidR="00100793" w:rsidRPr="00100793">
        <w:rPr>
          <w:lang w:val="es-ES"/>
        </w:rPr>
        <w:t xml:space="preserve"> </w:t>
      </w:r>
      <w:r w:rsidR="00174115">
        <w:rPr>
          <w:lang w:val="es-ES"/>
        </w:rPr>
        <w:t>con prontitud</w:t>
      </w:r>
      <w:r w:rsidR="00C16910">
        <w:rPr>
          <w:lang w:val="es-ES"/>
        </w:rPr>
        <w:t>,</w:t>
      </w:r>
      <w:r w:rsidR="00174115">
        <w:rPr>
          <w:lang w:val="es-ES"/>
        </w:rPr>
        <w:t xml:space="preserve"> </w:t>
      </w:r>
      <w:r w:rsidR="00D33E9A">
        <w:rPr>
          <w:lang w:val="es-ES"/>
        </w:rPr>
        <w:t xml:space="preserve">y </w:t>
      </w:r>
      <w:r w:rsidR="008B2D46">
        <w:rPr>
          <w:lang w:val="es-ES"/>
        </w:rPr>
        <w:t xml:space="preserve">reiteran </w:t>
      </w:r>
      <w:r w:rsidR="00D33E9A">
        <w:rPr>
          <w:lang w:val="es-ES"/>
        </w:rPr>
        <w:t xml:space="preserve">que la </w:t>
      </w:r>
      <w:r w:rsidR="00D33E9A" w:rsidRPr="00100793">
        <w:rPr>
          <w:lang w:val="es-ES"/>
        </w:rPr>
        <w:t xml:space="preserve">información obtenida </w:t>
      </w:r>
      <w:r w:rsidR="00C16910">
        <w:rPr>
          <w:lang w:val="es-ES"/>
        </w:rPr>
        <w:t xml:space="preserve">bajo </w:t>
      </w:r>
      <w:r w:rsidR="002C3FF1">
        <w:rPr>
          <w:lang w:val="es-ES"/>
        </w:rPr>
        <w:t>tortura</w:t>
      </w:r>
      <w:r w:rsidR="00C16910">
        <w:rPr>
          <w:lang w:val="es-ES"/>
        </w:rPr>
        <w:t xml:space="preserve"> </w:t>
      </w:r>
      <w:r w:rsidR="00D33E9A" w:rsidRPr="00100793">
        <w:rPr>
          <w:lang w:val="es-ES"/>
        </w:rPr>
        <w:t>debe excluirse de las pruebas</w:t>
      </w:r>
      <w:r w:rsidR="00100793" w:rsidRPr="00FF2D41">
        <w:rPr>
          <w:rStyle w:val="Refdenotaalpie"/>
        </w:rPr>
        <w:footnoteReference w:id="31"/>
      </w:r>
      <w:r w:rsidR="00D11DCA">
        <w:rPr>
          <w:lang w:val="es-ES"/>
        </w:rPr>
        <w:t>.</w:t>
      </w:r>
      <w:r w:rsidR="00901310">
        <w:rPr>
          <w:lang w:val="es-ES"/>
        </w:rPr>
        <w:t xml:space="preserve"> En </w:t>
      </w:r>
      <w:r w:rsidR="00434804">
        <w:rPr>
          <w:lang w:val="es-ES"/>
        </w:rPr>
        <w:t>particular</w:t>
      </w:r>
      <w:r w:rsidR="00901310">
        <w:rPr>
          <w:lang w:val="es-ES"/>
        </w:rPr>
        <w:t>, los autores recuerdan que el Comité contra la Tortura</w:t>
      </w:r>
      <w:r w:rsidR="00100793" w:rsidRPr="00100793">
        <w:rPr>
          <w:lang w:val="es-ES"/>
        </w:rPr>
        <w:t xml:space="preserve"> lamentó que</w:t>
      </w:r>
      <w:r w:rsidR="00434804">
        <w:rPr>
          <w:lang w:val="es-ES"/>
        </w:rPr>
        <w:t>, en México,</w:t>
      </w:r>
      <w:r w:rsidR="00100793" w:rsidRPr="00100793">
        <w:rPr>
          <w:lang w:val="es-ES"/>
        </w:rPr>
        <w:t xml:space="preserve"> “ciertos tribunales continúen aceptando confesiones presuntamente obtenidas bajo coacción o tortura</w:t>
      </w:r>
      <w:r w:rsidR="00901310">
        <w:rPr>
          <w:lang w:val="es-ES"/>
        </w:rPr>
        <w:t>”,</w:t>
      </w:r>
      <w:r w:rsidR="00681D18">
        <w:rPr>
          <w:lang w:val="es-ES"/>
        </w:rPr>
        <w:t xml:space="preserve"> </w:t>
      </w:r>
      <w:r w:rsidR="00434804">
        <w:rPr>
          <w:lang w:val="es-ES"/>
        </w:rPr>
        <w:t>y recomendó</w:t>
      </w:r>
      <w:r w:rsidR="00100793" w:rsidRPr="00100793">
        <w:rPr>
          <w:lang w:val="es-ES"/>
        </w:rPr>
        <w:t xml:space="preserve"> al Estado </w:t>
      </w:r>
      <w:r w:rsidR="00681D18">
        <w:rPr>
          <w:lang w:val="es-ES"/>
        </w:rPr>
        <w:t xml:space="preserve">parte </w:t>
      </w:r>
      <w:r w:rsidR="00100793" w:rsidRPr="00100793">
        <w:rPr>
          <w:lang w:val="es-ES"/>
        </w:rPr>
        <w:lastRenderedPageBreak/>
        <w:t>adoptar medidas efectivas para “[g]</w:t>
      </w:r>
      <w:proofErr w:type="spellStart"/>
      <w:r w:rsidR="00100793" w:rsidRPr="00100793">
        <w:rPr>
          <w:lang w:val="es-ES"/>
        </w:rPr>
        <w:t>arantizar</w:t>
      </w:r>
      <w:proofErr w:type="spellEnd"/>
      <w:r w:rsidR="00100793" w:rsidRPr="00100793">
        <w:rPr>
          <w:lang w:val="es-ES"/>
        </w:rPr>
        <w:t xml:space="preserve"> que las confesiones obtenidas mediante actos de tortura y malos tratos no sean utilizadas como </w:t>
      </w:r>
      <w:r w:rsidR="00434804">
        <w:rPr>
          <w:lang w:val="es-ES"/>
        </w:rPr>
        <w:t>prueba en ningún procedimiento”</w:t>
      </w:r>
      <w:r w:rsidR="00100793" w:rsidRPr="00FF2D41">
        <w:rPr>
          <w:rStyle w:val="Refdenotaalpie"/>
        </w:rPr>
        <w:footnoteReference w:id="32"/>
      </w:r>
      <w:r w:rsidR="00434804" w:rsidRPr="00434804">
        <w:rPr>
          <w:lang w:val="es-ES"/>
        </w:rPr>
        <w:t>.</w:t>
      </w:r>
    </w:p>
    <w:p w14:paraId="15DA9E46" w14:textId="3EE74601" w:rsidR="00100793" w:rsidRDefault="00E56008" w:rsidP="000F3C1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lang w:val="es-ES"/>
        </w:rPr>
        <w:t>5.3</w:t>
      </w:r>
      <w:r>
        <w:rPr>
          <w:lang w:val="es-ES"/>
        </w:rPr>
        <w:tab/>
        <w:t xml:space="preserve">Además, los autores sostienen que </w:t>
      </w:r>
      <w:r w:rsidR="000D7E76" w:rsidRPr="000F3C11">
        <w:rPr>
          <w:lang w:val="es-ES"/>
        </w:rPr>
        <w:t xml:space="preserve">el Estado parte </w:t>
      </w:r>
      <w:r w:rsidR="00F6161D" w:rsidRPr="000F3C11">
        <w:rPr>
          <w:lang w:val="es-ES"/>
        </w:rPr>
        <w:t>no facilita información específica y pertinente sobre las medidas adoptadas para</w:t>
      </w:r>
      <w:r w:rsidR="00F6161D">
        <w:rPr>
          <w:lang w:val="es-ES"/>
        </w:rPr>
        <w:t xml:space="preserve"> llevar a cabo la investigación</w:t>
      </w:r>
      <w:r w:rsidR="00D72C35" w:rsidRPr="00D72C35">
        <w:rPr>
          <w:lang w:val="es-ES"/>
        </w:rPr>
        <w:t xml:space="preserve"> </w:t>
      </w:r>
      <w:r w:rsidR="00D72C35">
        <w:rPr>
          <w:lang w:val="es-ES"/>
        </w:rPr>
        <w:t>en</w:t>
      </w:r>
      <w:r w:rsidR="00D72C35" w:rsidRPr="000F3C11">
        <w:rPr>
          <w:lang w:val="es-ES"/>
        </w:rPr>
        <w:t xml:space="preserve"> la averiguación previa</w:t>
      </w:r>
      <w:r w:rsidR="00D72C35" w:rsidRPr="003646B0">
        <w:rPr>
          <w:lang w:val="es-ES"/>
        </w:rPr>
        <w:t xml:space="preserve"> </w:t>
      </w:r>
      <w:r w:rsidR="00D72C35" w:rsidRPr="000D7E76">
        <w:rPr>
          <w:lang w:val="es-ES"/>
        </w:rPr>
        <w:t>ante la Procuraduría General de la República</w:t>
      </w:r>
      <w:r w:rsidR="00F6161D" w:rsidRPr="000F3C11">
        <w:rPr>
          <w:rStyle w:val="Refdenotaalpie"/>
        </w:rPr>
        <w:footnoteReference w:id="33"/>
      </w:r>
      <w:r w:rsidR="001B5C83">
        <w:rPr>
          <w:lang w:val="es-ES"/>
        </w:rPr>
        <w:t>,</w:t>
      </w:r>
      <w:r w:rsidR="00F6161D" w:rsidRPr="00F6161D">
        <w:rPr>
          <w:lang w:val="es-ES"/>
        </w:rPr>
        <w:t xml:space="preserve"> al </w:t>
      </w:r>
      <w:r w:rsidR="000D7E76" w:rsidRPr="000F3C11">
        <w:rPr>
          <w:lang w:val="es-ES"/>
        </w:rPr>
        <w:t>no menciona</w:t>
      </w:r>
      <w:r w:rsidR="00F6161D">
        <w:rPr>
          <w:lang w:val="es-ES"/>
        </w:rPr>
        <w:t>r</w:t>
      </w:r>
      <w:r w:rsidR="000D7E76" w:rsidRPr="000F3C11">
        <w:rPr>
          <w:lang w:val="es-ES"/>
        </w:rPr>
        <w:t xml:space="preserve"> ninguna de las diligencias que </w:t>
      </w:r>
      <w:r w:rsidR="00D72C35">
        <w:rPr>
          <w:lang w:val="es-ES"/>
        </w:rPr>
        <w:t xml:space="preserve">supuestamente </w:t>
      </w:r>
      <w:r w:rsidR="003646B0">
        <w:rPr>
          <w:lang w:val="es-ES"/>
        </w:rPr>
        <w:t>se est</w:t>
      </w:r>
      <w:r w:rsidR="00237BFA">
        <w:rPr>
          <w:lang w:val="es-ES"/>
        </w:rPr>
        <w:t>arían</w:t>
      </w:r>
      <w:r w:rsidR="000D7E76" w:rsidRPr="000F3C11">
        <w:rPr>
          <w:lang w:val="es-ES"/>
        </w:rPr>
        <w:t xml:space="preserve"> realizando</w:t>
      </w:r>
      <w:r w:rsidR="00D72C35">
        <w:rPr>
          <w:lang w:val="es-ES"/>
        </w:rPr>
        <w:t>.</w:t>
      </w:r>
    </w:p>
    <w:p w14:paraId="54BD4764" w14:textId="7AA46664" w:rsidR="00100793" w:rsidRPr="00400E49" w:rsidRDefault="00A62F27" w:rsidP="00400E49">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lang w:val="es-ES"/>
        </w:rPr>
        <w:t>5.4</w:t>
      </w:r>
      <w:r>
        <w:rPr>
          <w:lang w:val="es-ES"/>
        </w:rPr>
        <w:tab/>
        <w:t>Finalmente, e</w:t>
      </w:r>
      <w:r w:rsidR="007E769A">
        <w:rPr>
          <w:lang w:val="es-ES"/>
        </w:rPr>
        <w:t xml:space="preserve">n cuanto al argumento del Estado parte de </w:t>
      </w:r>
      <w:r w:rsidR="00100793" w:rsidRPr="007E769A">
        <w:rPr>
          <w:lang w:val="es-ES"/>
        </w:rPr>
        <w:t>inexistencia de dilación dentro del proceso penal</w:t>
      </w:r>
      <w:r w:rsidR="007E769A">
        <w:rPr>
          <w:lang w:val="es-ES"/>
        </w:rPr>
        <w:t>, los autores recuerdan que</w:t>
      </w:r>
      <w:r w:rsidR="00BD1501">
        <w:rPr>
          <w:lang w:val="es-ES"/>
        </w:rPr>
        <w:t xml:space="preserve"> el mismo</w:t>
      </w:r>
      <w:r w:rsidR="007E769A">
        <w:rPr>
          <w:lang w:val="es-ES"/>
        </w:rPr>
        <w:t xml:space="preserve"> se </w:t>
      </w:r>
      <w:r w:rsidR="00100793" w:rsidRPr="00100793">
        <w:rPr>
          <w:lang w:val="es-ES"/>
        </w:rPr>
        <w:t xml:space="preserve">inició </w:t>
      </w:r>
      <w:r w:rsidR="007E769A">
        <w:rPr>
          <w:lang w:val="es-ES"/>
        </w:rPr>
        <w:t>en</w:t>
      </w:r>
      <w:r w:rsidR="00100793" w:rsidRPr="00100793">
        <w:rPr>
          <w:lang w:val="es-ES"/>
        </w:rPr>
        <w:t xml:space="preserve"> enero de 2012</w:t>
      </w:r>
      <w:r w:rsidR="00BD1501">
        <w:rPr>
          <w:lang w:val="es-ES"/>
        </w:rPr>
        <w:t>,</w:t>
      </w:r>
      <w:r w:rsidR="00100793" w:rsidRPr="00100793">
        <w:rPr>
          <w:lang w:val="es-ES"/>
        </w:rPr>
        <w:t xml:space="preserve"> y </w:t>
      </w:r>
      <w:r w:rsidR="007E769A">
        <w:rPr>
          <w:lang w:val="es-ES"/>
        </w:rPr>
        <w:t>que</w:t>
      </w:r>
      <w:r w:rsidR="00BD1501">
        <w:rPr>
          <w:lang w:val="es-ES"/>
        </w:rPr>
        <w:t>,</w:t>
      </w:r>
      <w:r w:rsidR="007E769A">
        <w:rPr>
          <w:lang w:val="es-ES"/>
        </w:rPr>
        <w:t xml:space="preserve"> </w:t>
      </w:r>
      <w:r w:rsidR="00100793" w:rsidRPr="00100793">
        <w:rPr>
          <w:lang w:val="es-ES"/>
        </w:rPr>
        <w:t>desde esa fecha</w:t>
      </w:r>
      <w:r w:rsidR="00BD1501">
        <w:rPr>
          <w:lang w:val="es-ES"/>
        </w:rPr>
        <w:t>,</w:t>
      </w:r>
      <w:r w:rsidR="00100793" w:rsidRPr="00100793">
        <w:rPr>
          <w:lang w:val="es-ES"/>
        </w:rPr>
        <w:t xml:space="preserve"> </w:t>
      </w:r>
      <w:r w:rsidR="007E769A">
        <w:rPr>
          <w:lang w:val="es-ES"/>
        </w:rPr>
        <w:t>no ha habido avance</w:t>
      </w:r>
      <w:r w:rsidR="00F20E05">
        <w:rPr>
          <w:lang w:val="es-ES"/>
        </w:rPr>
        <w:t>s</w:t>
      </w:r>
      <w:r w:rsidR="00BD1501">
        <w:rPr>
          <w:lang w:val="es-ES"/>
        </w:rPr>
        <w:t>.</w:t>
      </w:r>
    </w:p>
    <w:p w14:paraId="31ED9556" w14:textId="11D3C759" w:rsidR="004726C0" w:rsidRPr="004726C0" w:rsidRDefault="00824F80">
      <w:pPr>
        <w:pStyle w:val="H23G"/>
        <w:rPr>
          <w:lang w:val="es-ES_tradnl"/>
        </w:rPr>
      </w:pPr>
      <w:r>
        <w:rPr>
          <w:lang w:val="es-ES_tradnl"/>
        </w:rPr>
        <w:tab/>
      </w:r>
      <w:r>
        <w:rPr>
          <w:lang w:val="es-ES_tradnl"/>
        </w:rPr>
        <w:tab/>
      </w:r>
      <w:r w:rsidR="004726C0" w:rsidRPr="004726C0">
        <w:rPr>
          <w:lang w:val="es-ES_tradnl"/>
        </w:rPr>
        <w:t>Observaciones del Estado parte sobre el fondo</w:t>
      </w:r>
    </w:p>
    <w:p w14:paraId="0286CAD4" w14:textId="6966451A" w:rsidR="004726C0" w:rsidRPr="004726C0" w:rsidRDefault="004726C0" w:rsidP="004726C0">
      <w:pPr>
        <w:pStyle w:val="SingleTxtG"/>
        <w:rPr>
          <w:color w:val="000000"/>
          <w:lang w:val="es-ES_tradnl"/>
        </w:rPr>
      </w:pPr>
      <w:r w:rsidRPr="004726C0">
        <w:rPr>
          <w:color w:val="000000"/>
          <w:lang w:val="es-ES_tradnl"/>
        </w:rPr>
        <w:t>6.1</w:t>
      </w:r>
      <w:r w:rsidRPr="004726C0">
        <w:rPr>
          <w:color w:val="000000"/>
          <w:lang w:val="es-ES_tradnl"/>
        </w:rPr>
        <w:tab/>
        <w:t xml:space="preserve">En sus observaciones </w:t>
      </w:r>
      <w:r w:rsidR="008C776C" w:rsidRPr="004726C0">
        <w:rPr>
          <w:color w:val="000000"/>
          <w:lang w:val="es-ES_tradnl"/>
        </w:rPr>
        <w:t>de</w:t>
      </w:r>
      <w:r w:rsidR="00B87430">
        <w:rPr>
          <w:color w:val="000000"/>
          <w:lang w:val="es-ES_tradnl"/>
        </w:rPr>
        <w:t xml:space="preserve"> 20 de octubre de 2016</w:t>
      </w:r>
      <w:r w:rsidRPr="004726C0">
        <w:rPr>
          <w:color w:val="000000"/>
          <w:lang w:val="es-ES_tradnl"/>
        </w:rPr>
        <w:t xml:space="preserve">, el Estado parte solicitó al Comité </w:t>
      </w:r>
      <w:r w:rsidR="008715E7">
        <w:rPr>
          <w:color w:val="000000"/>
          <w:lang w:val="es-ES_tradnl"/>
        </w:rPr>
        <w:t>determinar</w:t>
      </w:r>
      <w:r w:rsidRPr="004726C0">
        <w:rPr>
          <w:color w:val="000000"/>
          <w:lang w:val="es-ES_tradnl"/>
        </w:rPr>
        <w:t xml:space="preserve"> que no violó ninguno de los artículos </w:t>
      </w:r>
      <w:r w:rsidR="00CC1AFA">
        <w:rPr>
          <w:color w:val="000000"/>
          <w:lang w:val="es-ES_tradnl"/>
        </w:rPr>
        <w:t>d</w:t>
      </w:r>
      <w:r w:rsidRPr="004726C0">
        <w:rPr>
          <w:color w:val="000000"/>
          <w:lang w:val="es-ES_tradnl"/>
        </w:rPr>
        <w:t>el Pacto.</w:t>
      </w:r>
    </w:p>
    <w:p w14:paraId="0892EAD1" w14:textId="0947B507" w:rsidR="004726C0" w:rsidRDefault="004726C0" w:rsidP="001029B0">
      <w:pPr>
        <w:pStyle w:val="SingleTxtG"/>
        <w:rPr>
          <w:color w:val="000000"/>
          <w:lang w:val="es-ES_tradnl"/>
        </w:rPr>
      </w:pPr>
      <w:r w:rsidRPr="004726C0">
        <w:rPr>
          <w:color w:val="000000"/>
          <w:lang w:val="es-ES_tradnl"/>
        </w:rPr>
        <w:t>6.2</w:t>
      </w:r>
      <w:r w:rsidRPr="004726C0">
        <w:rPr>
          <w:color w:val="000000"/>
          <w:lang w:val="es-ES_tradnl"/>
        </w:rPr>
        <w:tab/>
      </w:r>
      <w:r w:rsidR="00F50241">
        <w:rPr>
          <w:color w:val="000000"/>
          <w:lang w:val="es-ES_tradnl"/>
        </w:rPr>
        <w:t>E</w:t>
      </w:r>
      <w:r w:rsidR="003F4C63">
        <w:rPr>
          <w:color w:val="000000"/>
          <w:lang w:val="es-ES_tradnl"/>
        </w:rPr>
        <w:t>n particular, e</w:t>
      </w:r>
      <w:r w:rsidRPr="004726C0">
        <w:rPr>
          <w:color w:val="000000"/>
          <w:lang w:val="es-ES_tradnl"/>
        </w:rPr>
        <w:t>l Estado parte</w:t>
      </w:r>
      <w:r w:rsidRPr="00531919">
        <w:rPr>
          <w:color w:val="000000"/>
          <w:lang w:val="es-ES"/>
        </w:rPr>
        <w:t xml:space="preserve"> </w:t>
      </w:r>
      <w:r w:rsidR="008558B4">
        <w:rPr>
          <w:color w:val="000000"/>
          <w:lang w:val="es-ES_tradnl"/>
        </w:rPr>
        <w:t>defiende</w:t>
      </w:r>
      <w:r w:rsidR="00B87430">
        <w:rPr>
          <w:color w:val="000000"/>
          <w:lang w:val="es-ES_tradnl"/>
        </w:rPr>
        <w:t xml:space="preserve"> </w:t>
      </w:r>
      <w:r w:rsidRPr="004726C0">
        <w:rPr>
          <w:color w:val="000000"/>
          <w:lang w:val="es-ES_tradnl"/>
        </w:rPr>
        <w:t xml:space="preserve">que </w:t>
      </w:r>
      <w:r w:rsidR="00351556" w:rsidRPr="00B87430">
        <w:rPr>
          <w:color w:val="000000"/>
          <w:lang w:val="es-ES_tradnl"/>
        </w:rPr>
        <w:t>no puede ser considerado responsable por acción</w:t>
      </w:r>
      <w:r w:rsidR="003F4C63">
        <w:rPr>
          <w:color w:val="000000"/>
          <w:lang w:val="es-ES_tradnl"/>
        </w:rPr>
        <w:t>,</w:t>
      </w:r>
      <w:r w:rsidR="00351556" w:rsidRPr="00B87430">
        <w:rPr>
          <w:color w:val="000000"/>
          <w:lang w:val="es-ES_tradnl"/>
        </w:rPr>
        <w:t xml:space="preserve"> </w:t>
      </w:r>
      <w:r w:rsidR="00351556">
        <w:rPr>
          <w:color w:val="000000"/>
          <w:lang w:val="es-ES_tradnl"/>
        </w:rPr>
        <w:t>al no existir</w:t>
      </w:r>
      <w:r w:rsidR="00B87430" w:rsidRPr="00B87430">
        <w:rPr>
          <w:color w:val="000000"/>
          <w:lang w:val="es-ES_tradnl"/>
        </w:rPr>
        <w:t xml:space="preserve"> elementos suficientes para justificar que fueron agentes estatales quienes </w:t>
      </w:r>
      <w:r w:rsidR="005E6EB0">
        <w:rPr>
          <w:color w:val="000000"/>
          <w:lang w:val="es-ES_tradnl"/>
        </w:rPr>
        <w:t>llevaron a cabo la desaparición</w:t>
      </w:r>
      <w:r w:rsidR="000C1E3F">
        <w:rPr>
          <w:color w:val="000000"/>
          <w:lang w:val="es-ES_tradnl"/>
        </w:rPr>
        <w:t>,</w:t>
      </w:r>
      <w:r w:rsidR="00B87430" w:rsidRPr="00B87430">
        <w:rPr>
          <w:color w:val="000000"/>
          <w:lang w:val="es-ES_tradnl"/>
        </w:rPr>
        <w:t xml:space="preserve"> </w:t>
      </w:r>
      <w:r w:rsidR="00634401">
        <w:rPr>
          <w:color w:val="000000"/>
          <w:lang w:val="es-ES_tradnl"/>
        </w:rPr>
        <w:t>y que</w:t>
      </w:r>
      <w:r w:rsidR="00B87430" w:rsidRPr="00B87430">
        <w:rPr>
          <w:color w:val="000000"/>
          <w:lang w:val="es-ES_tradnl"/>
        </w:rPr>
        <w:t xml:space="preserve"> tampoco </w:t>
      </w:r>
      <w:r w:rsidR="00986C92">
        <w:rPr>
          <w:color w:val="000000"/>
          <w:lang w:val="es-ES_tradnl"/>
        </w:rPr>
        <w:t>puede</w:t>
      </w:r>
      <w:r w:rsidR="00B87430" w:rsidRPr="00B87430">
        <w:rPr>
          <w:color w:val="000000"/>
          <w:lang w:val="es-ES_tradnl"/>
        </w:rPr>
        <w:t xml:space="preserve"> ser considera</w:t>
      </w:r>
      <w:r w:rsidR="003A2FA1">
        <w:rPr>
          <w:color w:val="000000"/>
          <w:lang w:val="es-ES_tradnl"/>
        </w:rPr>
        <w:t>do responsable por omisión,</w:t>
      </w:r>
      <w:r w:rsidR="00B87430" w:rsidRPr="00B87430">
        <w:rPr>
          <w:color w:val="000000"/>
          <w:lang w:val="es-ES_tradnl"/>
        </w:rPr>
        <w:t xml:space="preserve"> </w:t>
      </w:r>
      <w:r w:rsidR="005E6EB0">
        <w:rPr>
          <w:color w:val="000000"/>
          <w:lang w:val="es-ES_tradnl"/>
        </w:rPr>
        <w:t>dado</w:t>
      </w:r>
      <w:r w:rsidR="00B87430" w:rsidRPr="00B87430">
        <w:rPr>
          <w:color w:val="000000"/>
          <w:lang w:val="es-ES_tradnl"/>
        </w:rPr>
        <w:t xml:space="preserve"> que</w:t>
      </w:r>
      <w:r w:rsidR="002775C6">
        <w:rPr>
          <w:color w:val="000000"/>
          <w:lang w:val="es-ES_tradnl"/>
        </w:rPr>
        <w:t>, no solamente</w:t>
      </w:r>
      <w:r w:rsidR="00B87430" w:rsidRPr="00B87430">
        <w:rPr>
          <w:color w:val="000000"/>
          <w:lang w:val="es-ES_tradnl"/>
        </w:rPr>
        <w:t xml:space="preserve"> no tiene la obligación de conocer todo </w:t>
      </w:r>
      <w:r w:rsidR="003A2FA1">
        <w:rPr>
          <w:color w:val="000000"/>
          <w:lang w:val="es-ES_tradnl"/>
        </w:rPr>
        <w:t>lo que ocurre</w:t>
      </w:r>
      <w:r w:rsidR="002775C6">
        <w:rPr>
          <w:color w:val="000000"/>
          <w:lang w:val="es-ES_tradnl"/>
        </w:rPr>
        <w:t xml:space="preserve"> en su territorio</w:t>
      </w:r>
      <w:r w:rsidR="00B87430" w:rsidRPr="00B87430">
        <w:rPr>
          <w:color w:val="000000"/>
          <w:lang w:val="es-ES_tradnl"/>
        </w:rPr>
        <w:t>,</w:t>
      </w:r>
      <w:r w:rsidR="002775C6">
        <w:rPr>
          <w:color w:val="000000"/>
          <w:lang w:val="es-ES_tradnl"/>
        </w:rPr>
        <w:t xml:space="preserve"> sino</w:t>
      </w:r>
      <w:r w:rsidR="00B87430" w:rsidRPr="00B87430">
        <w:rPr>
          <w:color w:val="000000"/>
          <w:lang w:val="es-ES_tradnl"/>
        </w:rPr>
        <w:t xml:space="preserve"> que su deber de prevenir la comisión de ilícitos depende de </w:t>
      </w:r>
      <w:r w:rsidR="005E6EB0">
        <w:rPr>
          <w:color w:val="000000"/>
          <w:lang w:val="es-ES_tradnl"/>
        </w:rPr>
        <w:t>su conocimiento</w:t>
      </w:r>
      <w:r w:rsidR="00B87430" w:rsidRPr="00B87430">
        <w:rPr>
          <w:color w:val="000000"/>
          <w:lang w:val="es-ES_tradnl"/>
        </w:rPr>
        <w:t xml:space="preserve"> de la existencia de una situación de riesgo</w:t>
      </w:r>
      <w:r w:rsidR="00603226">
        <w:rPr>
          <w:rStyle w:val="Refdenotaalpie"/>
          <w:color w:val="000000"/>
          <w:lang w:val="es-ES_tradnl"/>
        </w:rPr>
        <w:footnoteReference w:id="34"/>
      </w:r>
      <w:r w:rsidR="008C7FC3">
        <w:rPr>
          <w:color w:val="000000"/>
          <w:lang w:val="es-ES_tradnl"/>
        </w:rPr>
        <w:t>,</w:t>
      </w:r>
      <w:r w:rsidR="002775C6">
        <w:rPr>
          <w:color w:val="000000"/>
          <w:lang w:val="es-ES_tradnl"/>
        </w:rPr>
        <w:t xml:space="preserve"> </w:t>
      </w:r>
      <w:r w:rsidR="003A2FA1">
        <w:rPr>
          <w:color w:val="000000"/>
          <w:lang w:val="es-ES_tradnl"/>
        </w:rPr>
        <w:t xml:space="preserve">lo </w:t>
      </w:r>
      <w:r w:rsidR="002775C6">
        <w:rPr>
          <w:color w:val="000000"/>
          <w:lang w:val="es-ES_tradnl"/>
        </w:rPr>
        <w:t xml:space="preserve">que no </w:t>
      </w:r>
      <w:r w:rsidR="006D0903">
        <w:rPr>
          <w:color w:val="000000"/>
          <w:lang w:val="es-ES_tradnl"/>
        </w:rPr>
        <w:t>es</w:t>
      </w:r>
      <w:r w:rsidR="002775C6">
        <w:rPr>
          <w:color w:val="000000"/>
          <w:lang w:val="es-ES_tradnl"/>
        </w:rPr>
        <w:t xml:space="preserve"> el caso.</w:t>
      </w:r>
    </w:p>
    <w:p w14:paraId="281F9AC3" w14:textId="556AB1F6" w:rsidR="000F26C9" w:rsidRDefault="000F26C9" w:rsidP="001029B0">
      <w:pPr>
        <w:pStyle w:val="SingleTxtG"/>
        <w:rPr>
          <w:color w:val="000000"/>
          <w:lang w:val="es-ES_tradnl"/>
        </w:rPr>
      </w:pPr>
      <w:r>
        <w:rPr>
          <w:color w:val="000000"/>
          <w:lang w:val="es-ES_tradnl"/>
        </w:rPr>
        <w:t>6.3</w:t>
      </w:r>
      <w:r>
        <w:rPr>
          <w:color w:val="000000"/>
          <w:lang w:val="es-ES_tradnl"/>
        </w:rPr>
        <w:tab/>
      </w:r>
      <w:r w:rsidR="00C43008">
        <w:rPr>
          <w:color w:val="000000"/>
          <w:lang w:val="es-ES_tradnl"/>
        </w:rPr>
        <w:t>Además, e</w:t>
      </w:r>
      <w:r>
        <w:rPr>
          <w:color w:val="000000"/>
          <w:lang w:val="es-ES_tradnl"/>
        </w:rPr>
        <w:t xml:space="preserve">l Estado parte </w:t>
      </w:r>
      <w:r w:rsidR="004D5CF9">
        <w:rPr>
          <w:color w:val="000000"/>
          <w:lang w:val="es-ES_tradnl"/>
        </w:rPr>
        <w:t>defiende</w:t>
      </w:r>
      <w:r>
        <w:rPr>
          <w:color w:val="000000"/>
          <w:lang w:val="es-ES_tradnl"/>
        </w:rPr>
        <w:t xml:space="preserve"> que l</w:t>
      </w:r>
      <w:r w:rsidR="0017649D">
        <w:rPr>
          <w:color w:val="000000"/>
          <w:lang w:val="es-ES_tradnl"/>
        </w:rPr>
        <w:t>a</w:t>
      </w:r>
      <w:r>
        <w:rPr>
          <w:color w:val="000000"/>
          <w:lang w:val="es-ES_tradnl"/>
        </w:rPr>
        <w:t>s investigaciones cumplen con los estándares y obligaciones establecidas por el</w:t>
      </w:r>
      <w:r w:rsidR="004D5CF9">
        <w:rPr>
          <w:color w:val="000000"/>
          <w:lang w:val="es-ES_tradnl"/>
        </w:rPr>
        <w:t xml:space="preserve"> Pacto, al ser</w:t>
      </w:r>
      <w:r>
        <w:rPr>
          <w:color w:val="000000"/>
          <w:lang w:val="es-ES_tradnl"/>
        </w:rPr>
        <w:t xml:space="preserve"> </w:t>
      </w:r>
      <w:r w:rsidR="004D5CF9" w:rsidRPr="000F26C9">
        <w:rPr>
          <w:color w:val="000000"/>
          <w:lang w:val="es-ES_tradnl"/>
        </w:rPr>
        <w:t>realizada</w:t>
      </w:r>
      <w:r w:rsidR="004D5CF9">
        <w:rPr>
          <w:color w:val="000000"/>
          <w:lang w:val="es-ES_tradnl"/>
        </w:rPr>
        <w:t>s</w:t>
      </w:r>
      <w:r w:rsidR="004D5CF9" w:rsidRPr="000F26C9">
        <w:rPr>
          <w:color w:val="000000"/>
          <w:lang w:val="es-ES_tradnl"/>
        </w:rPr>
        <w:t xml:space="preserve"> con la debida diligencia, </w:t>
      </w:r>
      <w:r w:rsidR="004D5CF9">
        <w:rPr>
          <w:color w:val="000000"/>
          <w:lang w:val="es-ES_tradnl"/>
        </w:rPr>
        <w:t>de manera</w:t>
      </w:r>
      <w:r w:rsidR="004D5CF9" w:rsidRPr="000F26C9">
        <w:rPr>
          <w:color w:val="000000"/>
          <w:lang w:val="es-ES_tradnl"/>
        </w:rPr>
        <w:t xml:space="preserve"> imparcial y exhaustiva</w:t>
      </w:r>
      <w:r w:rsidR="00C43008">
        <w:rPr>
          <w:color w:val="000000"/>
          <w:lang w:val="es-ES_tradnl"/>
        </w:rPr>
        <w:t>, recordando</w:t>
      </w:r>
      <w:r>
        <w:rPr>
          <w:color w:val="000000"/>
          <w:lang w:val="es-ES_tradnl"/>
        </w:rPr>
        <w:t xml:space="preserve"> que</w:t>
      </w:r>
      <w:r w:rsidRPr="000F26C9">
        <w:rPr>
          <w:lang w:val="es-ES"/>
        </w:rPr>
        <w:t xml:space="preserve"> </w:t>
      </w:r>
      <w:r w:rsidRPr="000F26C9">
        <w:rPr>
          <w:color w:val="000000"/>
          <w:lang w:val="es-ES_tradnl"/>
        </w:rPr>
        <w:t>la obligación de investigar no es una obligaci</w:t>
      </w:r>
      <w:r w:rsidR="004D5CF9">
        <w:rPr>
          <w:color w:val="000000"/>
          <w:lang w:val="es-ES_tradnl"/>
        </w:rPr>
        <w:t>ón de resultado, sino de medios</w:t>
      </w:r>
      <w:r>
        <w:rPr>
          <w:color w:val="000000"/>
          <w:lang w:val="es-ES_tradnl"/>
        </w:rPr>
        <w:t>.</w:t>
      </w:r>
    </w:p>
    <w:p w14:paraId="6182958A" w14:textId="6B14256A" w:rsidR="00221F64" w:rsidRDefault="00221F64" w:rsidP="001029B0">
      <w:pPr>
        <w:pStyle w:val="SingleTxtG"/>
        <w:rPr>
          <w:color w:val="000000"/>
          <w:lang w:val="es-ES_tradnl"/>
        </w:rPr>
      </w:pPr>
      <w:r>
        <w:rPr>
          <w:color w:val="000000"/>
          <w:lang w:val="es-ES_tradnl"/>
        </w:rPr>
        <w:t>6.4</w:t>
      </w:r>
      <w:r>
        <w:rPr>
          <w:color w:val="000000"/>
          <w:lang w:val="es-ES_tradnl"/>
        </w:rPr>
        <w:tab/>
      </w:r>
      <w:r w:rsidR="00904D24">
        <w:rPr>
          <w:color w:val="000000"/>
          <w:lang w:val="es-ES_tradnl"/>
        </w:rPr>
        <w:t>Al respecto</w:t>
      </w:r>
      <w:r>
        <w:rPr>
          <w:color w:val="000000"/>
          <w:lang w:val="es-ES_tradnl"/>
        </w:rPr>
        <w:t xml:space="preserve">, el Estado parte </w:t>
      </w:r>
      <w:r w:rsidR="00961FD2">
        <w:rPr>
          <w:color w:val="000000"/>
          <w:lang w:val="es-ES_tradnl"/>
        </w:rPr>
        <w:t>defiende</w:t>
      </w:r>
      <w:r>
        <w:rPr>
          <w:color w:val="000000"/>
          <w:lang w:val="es-ES_tradnl"/>
        </w:rPr>
        <w:t xml:space="preserve"> que la investigación </w:t>
      </w:r>
      <w:r w:rsidRPr="00221F64">
        <w:rPr>
          <w:color w:val="000000"/>
          <w:lang w:val="es-ES_tradnl"/>
        </w:rPr>
        <w:t>se realizó sin dilación desde el conocimiento de los hechos el 10 de agosto de 2011, al haber iniciado ese mismo día la investigación</w:t>
      </w:r>
      <w:r w:rsidR="009F3FFC">
        <w:rPr>
          <w:color w:val="000000"/>
          <w:lang w:val="es-ES_tradnl"/>
        </w:rPr>
        <w:t xml:space="preserve"> que derivó</w:t>
      </w:r>
      <w:r w:rsidRPr="00221F64">
        <w:rPr>
          <w:color w:val="000000"/>
          <w:lang w:val="es-ES_tradnl"/>
        </w:rPr>
        <w:t xml:space="preserve"> </w:t>
      </w:r>
      <w:r w:rsidR="009F3FFC">
        <w:rPr>
          <w:color w:val="000000"/>
          <w:lang w:val="es-ES_tradnl"/>
        </w:rPr>
        <w:t>en</w:t>
      </w:r>
      <w:r w:rsidRPr="00221F64">
        <w:rPr>
          <w:color w:val="000000"/>
          <w:lang w:val="es-ES_tradnl"/>
        </w:rPr>
        <w:t xml:space="preserve"> acción penal, </w:t>
      </w:r>
      <w:r w:rsidR="009F3FFC">
        <w:rPr>
          <w:color w:val="000000"/>
          <w:lang w:val="es-ES_tradnl"/>
        </w:rPr>
        <w:t xml:space="preserve">con </w:t>
      </w:r>
      <w:r w:rsidR="00E727AE">
        <w:rPr>
          <w:color w:val="000000"/>
          <w:lang w:val="es-ES_tradnl"/>
        </w:rPr>
        <w:t>tres</w:t>
      </w:r>
      <w:r w:rsidRPr="00221F64">
        <w:rPr>
          <w:color w:val="000000"/>
          <w:lang w:val="es-ES_tradnl"/>
        </w:rPr>
        <w:t xml:space="preserve"> personas </w:t>
      </w:r>
      <w:r w:rsidR="009F3FFC">
        <w:rPr>
          <w:color w:val="000000"/>
          <w:lang w:val="es-ES_tradnl"/>
        </w:rPr>
        <w:t xml:space="preserve">actualmente </w:t>
      </w:r>
      <w:r w:rsidRPr="00221F64">
        <w:rPr>
          <w:color w:val="000000"/>
          <w:lang w:val="es-ES_tradnl"/>
        </w:rPr>
        <w:t>procesadas</w:t>
      </w:r>
      <w:r>
        <w:rPr>
          <w:color w:val="000000"/>
          <w:lang w:val="es-ES_tradnl"/>
        </w:rPr>
        <w:t>.</w:t>
      </w:r>
    </w:p>
    <w:p w14:paraId="30897EC1" w14:textId="080FA5F4" w:rsidR="00221F64" w:rsidRDefault="00221F64" w:rsidP="001029B0">
      <w:pPr>
        <w:pStyle w:val="SingleTxtG"/>
        <w:rPr>
          <w:color w:val="000000"/>
          <w:lang w:val="es-ES_tradnl"/>
        </w:rPr>
      </w:pPr>
      <w:r>
        <w:rPr>
          <w:color w:val="000000"/>
          <w:lang w:val="es-ES_tradnl"/>
        </w:rPr>
        <w:t>6.5</w:t>
      </w:r>
      <w:r>
        <w:rPr>
          <w:color w:val="000000"/>
          <w:lang w:val="es-ES_tradnl"/>
        </w:rPr>
        <w:tab/>
      </w:r>
      <w:r w:rsidR="005605DE">
        <w:rPr>
          <w:color w:val="000000"/>
          <w:lang w:val="es-ES_tradnl"/>
        </w:rPr>
        <w:t xml:space="preserve">El Estado parte </w:t>
      </w:r>
      <w:r w:rsidR="00351AF0">
        <w:rPr>
          <w:color w:val="000000"/>
          <w:lang w:val="es-ES_tradnl"/>
        </w:rPr>
        <w:t>defiende</w:t>
      </w:r>
      <w:r w:rsidR="005605DE">
        <w:rPr>
          <w:color w:val="000000"/>
          <w:lang w:val="es-ES_tradnl"/>
        </w:rPr>
        <w:t xml:space="preserve"> también que las </w:t>
      </w:r>
      <w:r w:rsidR="005605DE" w:rsidRPr="005605DE">
        <w:rPr>
          <w:color w:val="000000"/>
          <w:lang w:val="es-ES_tradnl"/>
        </w:rPr>
        <w:t>investigaciones se llevaron a cabo de forma imparcial</w:t>
      </w:r>
      <w:r w:rsidR="00351AF0">
        <w:rPr>
          <w:color w:val="000000"/>
          <w:lang w:val="es-ES_tradnl"/>
        </w:rPr>
        <w:t xml:space="preserve">, dado </w:t>
      </w:r>
      <w:r w:rsidR="005605DE" w:rsidRPr="005605DE">
        <w:rPr>
          <w:color w:val="000000"/>
          <w:lang w:val="es-ES_tradnl"/>
        </w:rPr>
        <w:t>que</w:t>
      </w:r>
      <w:r w:rsidR="00B060B7">
        <w:rPr>
          <w:color w:val="000000"/>
          <w:lang w:val="es-ES_tradnl"/>
        </w:rPr>
        <w:t>,</w:t>
      </w:r>
      <w:r w:rsidR="005605DE" w:rsidRPr="005605DE">
        <w:rPr>
          <w:color w:val="000000"/>
          <w:lang w:val="es-ES_tradnl"/>
        </w:rPr>
        <w:t xml:space="preserve"> </w:t>
      </w:r>
      <w:r w:rsidR="00B060B7">
        <w:rPr>
          <w:color w:val="000000"/>
          <w:lang w:val="es-ES_tradnl"/>
        </w:rPr>
        <w:t xml:space="preserve">al </w:t>
      </w:r>
      <w:r w:rsidR="00B060B7" w:rsidRPr="00E915E4">
        <w:rPr>
          <w:color w:val="000000"/>
          <w:lang w:val="es-ES_tradnl"/>
        </w:rPr>
        <w:t>no</w:t>
      </w:r>
      <w:r w:rsidR="00B060B7">
        <w:rPr>
          <w:color w:val="000000"/>
          <w:lang w:val="es-ES_tradnl"/>
        </w:rPr>
        <w:t xml:space="preserve"> haber participado</w:t>
      </w:r>
      <w:r w:rsidR="00B060B7" w:rsidRPr="00E915E4">
        <w:rPr>
          <w:color w:val="000000"/>
          <w:lang w:val="es-ES_tradnl"/>
        </w:rPr>
        <w:t xml:space="preserve"> en la presunta desaparición, </w:t>
      </w:r>
      <w:r w:rsidR="00B060B7">
        <w:rPr>
          <w:color w:val="000000"/>
          <w:lang w:val="es-ES_tradnl"/>
        </w:rPr>
        <w:t>no existe</w:t>
      </w:r>
      <w:r w:rsidR="00B060B7" w:rsidRPr="00E915E4">
        <w:rPr>
          <w:color w:val="000000"/>
          <w:lang w:val="es-ES_tradnl"/>
        </w:rPr>
        <w:t xml:space="preserve"> conflicto de intereses con las autoridades que realizan las investigaciones</w:t>
      </w:r>
      <w:r w:rsidR="00E915E4">
        <w:rPr>
          <w:color w:val="000000"/>
          <w:lang w:val="es-ES_tradnl"/>
        </w:rPr>
        <w:t>.</w:t>
      </w:r>
    </w:p>
    <w:p w14:paraId="01E606CD" w14:textId="6D5BA9D6" w:rsidR="00362206" w:rsidRDefault="00E915E4" w:rsidP="00F84858">
      <w:pPr>
        <w:pStyle w:val="SingleTxtG"/>
        <w:rPr>
          <w:color w:val="000000"/>
          <w:lang w:val="es-ES_tradnl"/>
        </w:rPr>
      </w:pPr>
      <w:r>
        <w:rPr>
          <w:color w:val="000000"/>
          <w:lang w:val="es-ES_tradnl"/>
        </w:rPr>
        <w:t>6.6</w:t>
      </w:r>
      <w:r>
        <w:rPr>
          <w:color w:val="000000"/>
          <w:lang w:val="es-ES_tradnl"/>
        </w:rPr>
        <w:tab/>
      </w:r>
      <w:r w:rsidR="003D68FA">
        <w:rPr>
          <w:color w:val="000000"/>
          <w:lang w:val="es-ES_tradnl"/>
        </w:rPr>
        <w:t>Además</w:t>
      </w:r>
      <w:r>
        <w:rPr>
          <w:color w:val="000000"/>
          <w:lang w:val="es-ES_tradnl"/>
        </w:rPr>
        <w:t xml:space="preserve">, </w:t>
      </w:r>
      <w:r w:rsidRPr="00E915E4">
        <w:rPr>
          <w:color w:val="000000"/>
          <w:lang w:val="es-ES_tradnl"/>
        </w:rPr>
        <w:t xml:space="preserve">el Estado parte </w:t>
      </w:r>
      <w:r w:rsidR="001C3C28">
        <w:rPr>
          <w:color w:val="000000"/>
          <w:lang w:val="es-ES_tradnl"/>
        </w:rPr>
        <w:t>defiende</w:t>
      </w:r>
      <w:r w:rsidRPr="00E915E4">
        <w:rPr>
          <w:color w:val="000000"/>
          <w:lang w:val="es-ES_tradnl"/>
        </w:rPr>
        <w:t xml:space="preserve"> que la</w:t>
      </w:r>
      <w:r w:rsidR="000A6677">
        <w:rPr>
          <w:color w:val="000000"/>
          <w:lang w:val="es-ES_tradnl"/>
        </w:rPr>
        <w:t>s investigaciones se realizaron</w:t>
      </w:r>
      <w:r w:rsidR="003B1208">
        <w:rPr>
          <w:color w:val="000000"/>
          <w:lang w:val="es-ES_tradnl"/>
        </w:rPr>
        <w:t xml:space="preserve"> de manera exhaustiva</w:t>
      </w:r>
      <w:r w:rsidR="00F84858">
        <w:rPr>
          <w:color w:val="000000"/>
          <w:lang w:val="es-ES_tradnl"/>
        </w:rPr>
        <w:t xml:space="preserve">, </w:t>
      </w:r>
      <w:r w:rsidR="00C065F2">
        <w:rPr>
          <w:color w:val="000000"/>
          <w:lang w:val="es-ES_tradnl"/>
        </w:rPr>
        <w:t>al haberse realizado</w:t>
      </w:r>
      <w:r w:rsidR="00E11FBA">
        <w:rPr>
          <w:color w:val="000000"/>
          <w:lang w:val="es-ES_tradnl"/>
        </w:rPr>
        <w:t xml:space="preserve"> una </w:t>
      </w:r>
      <w:r w:rsidR="00E11FBA" w:rsidRPr="00E11FBA">
        <w:rPr>
          <w:color w:val="000000"/>
          <w:lang w:val="es-ES_tradnl"/>
        </w:rPr>
        <w:t xml:space="preserve">larga lista de </w:t>
      </w:r>
      <w:r w:rsidR="002D416C" w:rsidRPr="00E11FBA">
        <w:rPr>
          <w:color w:val="000000"/>
          <w:lang w:val="es-ES_tradnl"/>
        </w:rPr>
        <w:t xml:space="preserve">diligencias de búsqueda </w:t>
      </w:r>
      <w:r w:rsidR="00F84858">
        <w:rPr>
          <w:color w:val="000000"/>
          <w:lang w:val="es-ES_tradnl"/>
        </w:rPr>
        <w:t>(</w:t>
      </w:r>
      <w:r w:rsidR="00E11FBA" w:rsidRPr="00E11FBA">
        <w:rPr>
          <w:color w:val="000000"/>
          <w:lang w:val="es-ES_tradnl"/>
        </w:rPr>
        <w:t>se recabaron declaraciones</w:t>
      </w:r>
      <w:r w:rsidR="00D243A3">
        <w:rPr>
          <w:color w:val="000000"/>
          <w:lang w:val="es-ES_tradnl"/>
        </w:rPr>
        <w:t>;</w:t>
      </w:r>
      <w:r w:rsidR="00F84858">
        <w:rPr>
          <w:color w:val="000000"/>
          <w:lang w:val="es-ES_tradnl"/>
        </w:rPr>
        <w:t xml:space="preserve"> se llevaron a cabo inspecciones</w:t>
      </w:r>
      <w:r w:rsidR="00E11FBA" w:rsidRPr="00E11FBA">
        <w:rPr>
          <w:color w:val="000000"/>
          <w:lang w:val="es-ES_tradnl"/>
        </w:rPr>
        <w:t xml:space="preserve"> ocular</w:t>
      </w:r>
      <w:r w:rsidR="00F84858">
        <w:rPr>
          <w:color w:val="000000"/>
          <w:lang w:val="es-ES_tradnl"/>
        </w:rPr>
        <w:t>es</w:t>
      </w:r>
      <w:r w:rsidR="00D243A3">
        <w:rPr>
          <w:color w:val="000000"/>
          <w:lang w:val="es-ES_tradnl"/>
        </w:rPr>
        <w:t>;</w:t>
      </w:r>
      <w:r w:rsidR="00E11FBA" w:rsidRPr="00E11FBA">
        <w:rPr>
          <w:color w:val="000000"/>
          <w:lang w:val="es-ES_tradnl"/>
        </w:rPr>
        <w:t xml:space="preserve"> se solicitó a la Secretar</w:t>
      </w:r>
      <w:r w:rsidR="00466ECD">
        <w:rPr>
          <w:color w:val="000000"/>
          <w:lang w:val="es-ES_tradnl"/>
        </w:rPr>
        <w:t>í</w:t>
      </w:r>
      <w:r w:rsidR="00E11FBA" w:rsidRPr="00E11FBA">
        <w:rPr>
          <w:color w:val="000000"/>
          <w:lang w:val="es-ES_tradnl"/>
        </w:rPr>
        <w:t>a de Marina informar sobre la trayectoria de las corrientes y sobre si se tuvo conocimiento de la existencia de algún cadáver;</w:t>
      </w:r>
      <w:r w:rsidR="00C065F2">
        <w:rPr>
          <w:color w:val="000000"/>
          <w:lang w:val="es-ES_tradnl"/>
        </w:rPr>
        <w:t xml:space="preserve"> se solicitó informe respecto de</w:t>
      </w:r>
      <w:r w:rsidR="00E11FBA" w:rsidRPr="00E11FBA">
        <w:rPr>
          <w:color w:val="000000"/>
          <w:lang w:val="es-ES_tradnl"/>
        </w:rPr>
        <w:t xml:space="preserve"> la tarjeta de débito </w:t>
      </w:r>
      <w:r w:rsidR="00C065F2">
        <w:rPr>
          <w:color w:val="000000"/>
          <w:lang w:val="es-ES_tradnl"/>
        </w:rPr>
        <w:t>de</w:t>
      </w:r>
      <w:r w:rsidR="00690771">
        <w:rPr>
          <w:color w:val="000000"/>
          <w:lang w:val="es-ES_tradnl"/>
        </w:rPr>
        <w:t xml:space="preserve">l Sr. </w:t>
      </w:r>
      <w:r w:rsidR="002D416C">
        <w:rPr>
          <w:color w:val="000000"/>
          <w:lang w:val="es-ES_tradnl"/>
        </w:rPr>
        <w:t>Moreno Pérez</w:t>
      </w:r>
      <w:r w:rsidR="00E11FBA" w:rsidRPr="00E11FBA">
        <w:rPr>
          <w:color w:val="000000"/>
          <w:lang w:val="es-ES_tradnl"/>
        </w:rPr>
        <w:t xml:space="preserve">; </w:t>
      </w:r>
      <w:r w:rsidR="002D416C">
        <w:rPr>
          <w:color w:val="000000"/>
          <w:lang w:val="es-ES_tradnl"/>
        </w:rPr>
        <w:t>se giraron</w:t>
      </w:r>
      <w:r w:rsidR="00E11FBA" w:rsidRPr="00E11FBA">
        <w:rPr>
          <w:color w:val="000000"/>
          <w:lang w:val="es-ES_tradnl"/>
        </w:rPr>
        <w:t xml:space="preserve"> oficios a comisar</w:t>
      </w:r>
      <w:r w:rsidR="00F20E05">
        <w:rPr>
          <w:color w:val="000000"/>
          <w:lang w:val="es-ES_tradnl"/>
        </w:rPr>
        <w:t>í</w:t>
      </w:r>
      <w:r w:rsidR="00E11FBA" w:rsidRPr="00E11FBA">
        <w:rPr>
          <w:color w:val="000000"/>
          <w:lang w:val="es-ES_tradnl"/>
        </w:rPr>
        <w:t xml:space="preserve">as </w:t>
      </w:r>
      <w:r w:rsidR="00C065F2">
        <w:rPr>
          <w:color w:val="000000"/>
          <w:lang w:val="es-ES_tradnl"/>
        </w:rPr>
        <w:t>para que procedan a la búsqueda</w:t>
      </w:r>
      <w:r w:rsidR="00E11FBA" w:rsidRPr="00E11FBA">
        <w:rPr>
          <w:color w:val="000000"/>
          <w:lang w:val="es-ES_tradnl"/>
        </w:rPr>
        <w:t xml:space="preserve">; </w:t>
      </w:r>
      <w:r w:rsidR="002D416C">
        <w:rPr>
          <w:color w:val="000000"/>
          <w:lang w:val="es-ES_tradnl"/>
        </w:rPr>
        <w:t xml:space="preserve">se giraron </w:t>
      </w:r>
      <w:r w:rsidR="00E11FBA" w:rsidRPr="00E11FBA">
        <w:rPr>
          <w:color w:val="000000"/>
          <w:lang w:val="es-ES_tradnl"/>
        </w:rPr>
        <w:t xml:space="preserve">oficios a hospitales y centros de salud; </w:t>
      </w:r>
      <w:r w:rsidR="002D416C">
        <w:rPr>
          <w:color w:val="000000"/>
          <w:lang w:val="es-ES_tradnl"/>
        </w:rPr>
        <w:t>se realizaron</w:t>
      </w:r>
      <w:r w:rsidR="00E11FBA" w:rsidRPr="00E11FBA">
        <w:rPr>
          <w:color w:val="000000"/>
          <w:lang w:val="es-ES_tradnl"/>
        </w:rPr>
        <w:t xml:space="preserve"> diligencias de investigación de campo; </w:t>
      </w:r>
      <w:r w:rsidR="002D416C">
        <w:rPr>
          <w:color w:val="000000"/>
          <w:lang w:val="es-ES_tradnl"/>
        </w:rPr>
        <w:t xml:space="preserve">se </w:t>
      </w:r>
      <w:r w:rsidR="00E11FBA" w:rsidRPr="00E11FBA">
        <w:rPr>
          <w:color w:val="000000"/>
          <w:lang w:val="es-ES_tradnl"/>
        </w:rPr>
        <w:t>pegar</w:t>
      </w:r>
      <w:r w:rsidR="002D416C">
        <w:rPr>
          <w:color w:val="000000"/>
          <w:lang w:val="es-ES_tradnl"/>
        </w:rPr>
        <w:t>on</w:t>
      </w:r>
      <w:r w:rsidR="00E11FBA" w:rsidRPr="00E11FBA">
        <w:rPr>
          <w:color w:val="000000"/>
          <w:lang w:val="es-ES_tradnl"/>
        </w:rPr>
        <w:t xml:space="preserve"> imágenes ofreciendo recompensa; </w:t>
      </w:r>
      <w:r w:rsidR="002D416C">
        <w:rPr>
          <w:color w:val="000000"/>
          <w:lang w:val="es-ES_tradnl"/>
        </w:rPr>
        <w:t xml:space="preserve">se realizó una </w:t>
      </w:r>
      <w:r w:rsidR="00E11FBA" w:rsidRPr="00E11FBA">
        <w:rPr>
          <w:color w:val="000000"/>
          <w:lang w:val="es-ES_tradnl"/>
        </w:rPr>
        <w:t>solicitud de perfil psico-criminológico de l</w:t>
      </w:r>
      <w:r w:rsidR="002D416C">
        <w:rPr>
          <w:color w:val="000000"/>
          <w:lang w:val="es-ES_tradnl"/>
        </w:rPr>
        <w:t>os detenidos)</w:t>
      </w:r>
      <w:r w:rsidR="00E11FBA" w:rsidRPr="00E11FBA">
        <w:rPr>
          <w:color w:val="000000"/>
          <w:lang w:val="es-ES_tradnl"/>
        </w:rPr>
        <w:t>.</w:t>
      </w:r>
    </w:p>
    <w:p w14:paraId="3374D7BD" w14:textId="38F26BF5" w:rsidR="00BF6F9A" w:rsidRDefault="002E3ED2" w:rsidP="00F84858">
      <w:pPr>
        <w:pStyle w:val="SingleTxtG"/>
        <w:rPr>
          <w:color w:val="000000"/>
          <w:lang w:val="es-ES_tradnl"/>
        </w:rPr>
      </w:pPr>
      <w:r>
        <w:rPr>
          <w:color w:val="000000"/>
          <w:lang w:val="es-ES_tradnl"/>
        </w:rPr>
        <w:t>6.7</w:t>
      </w:r>
      <w:r>
        <w:rPr>
          <w:color w:val="000000"/>
          <w:lang w:val="es-ES_tradnl"/>
        </w:rPr>
        <w:tab/>
        <w:t>E</w:t>
      </w:r>
      <w:r w:rsidRPr="00C96BFB">
        <w:rPr>
          <w:color w:val="000000"/>
          <w:lang w:val="es-ES_tradnl"/>
        </w:rPr>
        <w:t xml:space="preserve">l Estado parte indica </w:t>
      </w:r>
      <w:r>
        <w:rPr>
          <w:color w:val="000000"/>
          <w:lang w:val="es-ES_tradnl"/>
        </w:rPr>
        <w:t xml:space="preserve">también </w:t>
      </w:r>
      <w:r w:rsidRPr="00C96BFB">
        <w:rPr>
          <w:color w:val="000000"/>
          <w:lang w:val="es-ES_tradnl"/>
        </w:rPr>
        <w:t xml:space="preserve">que </w:t>
      </w:r>
      <w:r>
        <w:rPr>
          <w:color w:val="000000"/>
          <w:lang w:val="es-ES_tradnl"/>
        </w:rPr>
        <w:t>se realizó</w:t>
      </w:r>
      <w:r w:rsidR="00E11FBA" w:rsidRPr="00E11FBA">
        <w:rPr>
          <w:color w:val="000000"/>
          <w:lang w:val="es-ES_tradnl"/>
        </w:rPr>
        <w:t xml:space="preserve"> una </w:t>
      </w:r>
      <w:r w:rsidR="00BF6F9A">
        <w:rPr>
          <w:color w:val="000000"/>
          <w:lang w:val="es-ES_tradnl"/>
        </w:rPr>
        <w:t>diligencia relacionada con las alegaciones de tortura</w:t>
      </w:r>
      <w:r w:rsidR="004854FA" w:rsidRPr="004854FA">
        <w:rPr>
          <w:lang w:val="es-ES_tradnl" w:eastAsia="es-ES"/>
        </w:rPr>
        <w:t xml:space="preserve"> </w:t>
      </w:r>
      <w:r w:rsidR="004854FA" w:rsidRPr="0099286D">
        <w:rPr>
          <w:lang w:val="es-ES_tradnl" w:eastAsia="es-ES"/>
        </w:rPr>
        <w:t>en contra del agente Juan Luis Vásquez Martínez</w:t>
      </w:r>
      <w:r w:rsidR="003933F5">
        <w:rPr>
          <w:color w:val="000000"/>
          <w:lang w:val="es-ES_tradnl"/>
        </w:rPr>
        <w:t>.</w:t>
      </w:r>
      <w:r w:rsidR="004854FA">
        <w:rPr>
          <w:color w:val="000000"/>
          <w:lang w:val="es-ES_tradnl"/>
        </w:rPr>
        <w:t xml:space="preserve"> Al respecto, se abrió una </w:t>
      </w:r>
      <w:r w:rsidR="004854FA" w:rsidRPr="0099286D">
        <w:rPr>
          <w:lang w:val="es-ES_tradnl" w:eastAsia="es-ES"/>
        </w:rPr>
        <w:t xml:space="preserve">averiguación previa </w:t>
      </w:r>
      <w:r w:rsidR="004854FA">
        <w:rPr>
          <w:lang w:val="es-ES_tradnl" w:eastAsia="es-ES"/>
        </w:rPr>
        <w:t xml:space="preserve">ante </w:t>
      </w:r>
      <w:r w:rsidR="004854FA" w:rsidRPr="0099286D">
        <w:rPr>
          <w:lang w:val="es-ES_tradnl" w:eastAsia="es-ES"/>
        </w:rPr>
        <w:t xml:space="preserve">la Fiscalía General del </w:t>
      </w:r>
      <w:r w:rsidR="003E7FA9">
        <w:rPr>
          <w:lang w:val="es-ES_tradnl" w:eastAsia="es-ES"/>
        </w:rPr>
        <w:t>E</w:t>
      </w:r>
      <w:r w:rsidR="004854FA" w:rsidRPr="0099286D">
        <w:rPr>
          <w:lang w:val="es-ES_tradnl" w:eastAsia="es-ES"/>
        </w:rPr>
        <w:t xml:space="preserve">stado de Oaxaca, por probable responsabilidad en la comisión de los delitos de amenazas, abuso de autoridad y demás </w:t>
      </w:r>
      <w:r w:rsidR="004854FA">
        <w:rPr>
          <w:lang w:val="es-ES_tradnl" w:eastAsia="es-ES"/>
        </w:rPr>
        <w:t>que se configuren</w:t>
      </w:r>
      <w:r w:rsidR="004854FA">
        <w:rPr>
          <w:rStyle w:val="Refdenotaalpie"/>
          <w:lang w:val="es-ES_tradnl" w:eastAsia="es-ES"/>
        </w:rPr>
        <w:footnoteReference w:id="35"/>
      </w:r>
      <w:r w:rsidR="00931A32">
        <w:rPr>
          <w:lang w:val="es-ES_tradnl" w:eastAsia="es-ES"/>
        </w:rPr>
        <w:t>.</w:t>
      </w:r>
    </w:p>
    <w:p w14:paraId="4493E8C4" w14:textId="2C17EA86" w:rsidR="00E11FBA" w:rsidRDefault="0034189A" w:rsidP="00E11FBA">
      <w:pPr>
        <w:pStyle w:val="SingleTxtG"/>
        <w:rPr>
          <w:color w:val="000000"/>
          <w:lang w:val="es-ES_tradnl"/>
        </w:rPr>
      </w:pPr>
      <w:r>
        <w:rPr>
          <w:color w:val="000000"/>
          <w:lang w:val="es-ES_tradnl"/>
        </w:rPr>
        <w:t>6.8</w:t>
      </w:r>
      <w:r w:rsidR="00E11FBA">
        <w:rPr>
          <w:color w:val="000000"/>
          <w:lang w:val="es-ES_tradnl"/>
        </w:rPr>
        <w:tab/>
      </w:r>
      <w:r w:rsidR="00474800">
        <w:rPr>
          <w:color w:val="000000"/>
          <w:lang w:val="es-ES_tradnl"/>
        </w:rPr>
        <w:t>Finalmente, e</w:t>
      </w:r>
      <w:r w:rsidR="00474800" w:rsidRPr="00474800">
        <w:rPr>
          <w:color w:val="000000"/>
          <w:lang w:val="es-ES_tradnl"/>
        </w:rPr>
        <w:t xml:space="preserve">l Estado parte indica </w:t>
      </w:r>
      <w:r w:rsidR="00474800">
        <w:rPr>
          <w:color w:val="000000"/>
          <w:lang w:val="es-ES_tradnl"/>
        </w:rPr>
        <w:t xml:space="preserve">que </w:t>
      </w:r>
      <w:r w:rsidR="001C6FFF" w:rsidRPr="001C6FFF">
        <w:rPr>
          <w:color w:val="000000"/>
          <w:lang w:val="es-ES_tradnl"/>
        </w:rPr>
        <w:t>el 14 de junio de 2015</w:t>
      </w:r>
      <w:r w:rsidR="001C6FFF">
        <w:rPr>
          <w:color w:val="000000"/>
          <w:lang w:val="es-ES_tradnl"/>
        </w:rPr>
        <w:t xml:space="preserve"> </w:t>
      </w:r>
      <w:r w:rsidR="00C96BFB" w:rsidRPr="00C96BFB">
        <w:rPr>
          <w:color w:val="000000"/>
          <w:lang w:val="es-ES_tradnl"/>
        </w:rPr>
        <w:t xml:space="preserve">se abrió </w:t>
      </w:r>
      <w:r w:rsidR="00461E1C">
        <w:rPr>
          <w:color w:val="000000"/>
          <w:lang w:val="es-ES_tradnl"/>
        </w:rPr>
        <w:t>otra</w:t>
      </w:r>
      <w:r w:rsidR="00C96BFB" w:rsidRPr="00C96BFB">
        <w:rPr>
          <w:color w:val="000000"/>
          <w:lang w:val="es-ES_tradnl"/>
        </w:rPr>
        <w:t xml:space="preserve"> averiguación previa </w:t>
      </w:r>
      <w:r w:rsidR="00876756">
        <w:rPr>
          <w:color w:val="000000"/>
          <w:lang w:val="es-ES_tradnl"/>
        </w:rPr>
        <w:t xml:space="preserve">ante </w:t>
      </w:r>
      <w:r w:rsidR="00876756" w:rsidRPr="00C96BFB">
        <w:rPr>
          <w:color w:val="000000"/>
          <w:lang w:val="es-ES_tradnl"/>
        </w:rPr>
        <w:t>la Procuraduría General de la República</w:t>
      </w:r>
      <w:r w:rsidR="001C6FFF">
        <w:rPr>
          <w:color w:val="000000"/>
          <w:lang w:val="es-ES_tradnl"/>
        </w:rPr>
        <w:t xml:space="preserve"> (</w:t>
      </w:r>
      <w:r w:rsidR="001C6FFF" w:rsidRPr="001C6FFF">
        <w:rPr>
          <w:color w:val="000000"/>
          <w:lang w:val="es-ES_tradnl"/>
        </w:rPr>
        <w:t>Fiscalía Especializada en Investigación de los D</w:t>
      </w:r>
      <w:r w:rsidR="001C6FFF">
        <w:rPr>
          <w:color w:val="000000"/>
          <w:lang w:val="es-ES_tradnl"/>
        </w:rPr>
        <w:t>elitos de Desaparición Forzada de</w:t>
      </w:r>
      <w:r w:rsidR="001C6FFF" w:rsidRPr="001C6FFF">
        <w:rPr>
          <w:color w:val="000000"/>
          <w:lang w:val="es-ES_tradnl"/>
        </w:rPr>
        <w:t xml:space="preserve"> la Subprocuraduría de Derechos Humanos, Prevención del Delito y Servicios a la Comunidad</w:t>
      </w:r>
      <w:r w:rsidR="001C6FFF">
        <w:rPr>
          <w:color w:val="000000"/>
          <w:lang w:val="es-ES_tradnl"/>
        </w:rPr>
        <w:t>)</w:t>
      </w:r>
      <w:r w:rsidR="00C00FD7">
        <w:rPr>
          <w:rStyle w:val="Refdenotaalpie"/>
          <w:color w:val="000000"/>
          <w:lang w:val="es-ES_tradnl"/>
        </w:rPr>
        <w:footnoteReference w:id="36"/>
      </w:r>
      <w:r w:rsidR="00C96BFB" w:rsidRPr="00C96BFB">
        <w:rPr>
          <w:color w:val="000000"/>
          <w:lang w:val="es-ES_tradnl"/>
        </w:rPr>
        <w:t xml:space="preserve">, </w:t>
      </w:r>
      <w:r w:rsidR="00D947ED">
        <w:rPr>
          <w:color w:val="000000"/>
          <w:lang w:val="es-ES_tradnl"/>
        </w:rPr>
        <w:t>en la cual s</w:t>
      </w:r>
      <w:r w:rsidR="005F5499">
        <w:rPr>
          <w:color w:val="000000"/>
          <w:lang w:val="es-ES_tradnl"/>
        </w:rPr>
        <w:t xml:space="preserve">e han realizado </w:t>
      </w:r>
      <w:r w:rsidR="00D90467">
        <w:rPr>
          <w:color w:val="000000"/>
          <w:lang w:val="es-ES_tradnl"/>
        </w:rPr>
        <w:lastRenderedPageBreak/>
        <w:t xml:space="preserve">diversas </w:t>
      </w:r>
      <w:r w:rsidR="005F5499">
        <w:rPr>
          <w:color w:val="000000"/>
          <w:lang w:val="es-ES_tradnl"/>
        </w:rPr>
        <w:t>diligencias</w:t>
      </w:r>
      <w:r w:rsidR="00D90467">
        <w:rPr>
          <w:color w:val="000000"/>
          <w:lang w:val="es-ES_tradnl"/>
        </w:rPr>
        <w:t xml:space="preserve">, como </w:t>
      </w:r>
      <w:r w:rsidR="00C96BFB" w:rsidRPr="00C96BFB">
        <w:rPr>
          <w:color w:val="000000"/>
          <w:lang w:val="es-ES_tradnl"/>
        </w:rPr>
        <w:t xml:space="preserve">muestras de sangre a fin de obtener </w:t>
      </w:r>
      <w:r w:rsidR="000104A7">
        <w:rPr>
          <w:color w:val="000000"/>
          <w:lang w:val="es-ES_tradnl"/>
        </w:rPr>
        <w:t>el</w:t>
      </w:r>
      <w:r w:rsidR="00461E1C">
        <w:rPr>
          <w:color w:val="000000"/>
          <w:lang w:val="es-ES_tradnl"/>
        </w:rPr>
        <w:t xml:space="preserve"> perfil genético</w:t>
      </w:r>
      <w:r w:rsidR="000104A7">
        <w:rPr>
          <w:color w:val="000000"/>
          <w:lang w:val="es-ES_tradnl"/>
        </w:rPr>
        <w:t xml:space="preserve"> del desaparecido</w:t>
      </w:r>
      <w:r w:rsidR="00461E1C">
        <w:rPr>
          <w:color w:val="000000"/>
          <w:lang w:val="es-ES_tradnl"/>
        </w:rPr>
        <w:t>,</w:t>
      </w:r>
      <w:r w:rsidR="00C96BFB" w:rsidRPr="00C96BFB">
        <w:rPr>
          <w:color w:val="000000"/>
          <w:lang w:val="es-ES_tradnl"/>
        </w:rPr>
        <w:t xml:space="preserve"> solicitud de información </w:t>
      </w:r>
      <w:r w:rsidR="00461E1C">
        <w:rPr>
          <w:color w:val="000000"/>
          <w:lang w:val="es-ES_tradnl"/>
        </w:rPr>
        <w:t>relacionada con</w:t>
      </w:r>
      <w:r w:rsidR="005F5499">
        <w:rPr>
          <w:color w:val="000000"/>
          <w:lang w:val="es-ES_tradnl"/>
        </w:rPr>
        <w:t xml:space="preserve"> </w:t>
      </w:r>
      <w:r w:rsidR="00F90554">
        <w:rPr>
          <w:color w:val="000000"/>
          <w:lang w:val="es-ES_tradnl"/>
        </w:rPr>
        <w:t>sus</w:t>
      </w:r>
      <w:r w:rsidR="00D90467">
        <w:rPr>
          <w:color w:val="000000"/>
          <w:lang w:val="es-ES_tradnl"/>
        </w:rPr>
        <w:t xml:space="preserve"> antecedentes, y</w:t>
      </w:r>
      <w:r w:rsidR="00C96BFB" w:rsidRPr="00C96BFB">
        <w:rPr>
          <w:color w:val="000000"/>
          <w:lang w:val="es-ES_tradnl"/>
        </w:rPr>
        <w:t xml:space="preserve"> registros de entradas y salidas del país</w:t>
      </w:r>
      <w:r w:rsidR="00B9099F">
        <w:rPr>
          <w:color w:val="000000"/>
          <w:lang w:val="es-ES_tradnl"/>
        </w:rPr>
        <w:t>.</w:t>
      </w:r>
    </w:p>
    <w:p w14:paraId="0746FCFE" w14:textId="4724661A" w:rsidR="004726C0" w:rsidRPr="004726C0" w:rsidRDefault="00824F80">
      <w:pPr>
        <w:pStyle w:val="H23G"/>
        <w:rPr>
          <w:lang w:val="es-ES_tradnl"/>
        </w:rPr>
      </w:pPr>
      <w:r>
        <w:rPr>
          <w:lang w:val="es-ES_tradnl"/>
        </w:rPr>
        <w:tab/>
      </w:r>
      <w:r>
        <w:rPr>
          <w:lang w:val="es-ES_tradnl"/>
        </w:rPr>
        <w:tab/>
      </w:r>
      <w:r w:rsidR="004726C0" w:rsidRPr="004726C0">
        <w:rPr>
          <w:lang w:val="es-ES_tradnl"/>
        </w:rPr>
        <w:t>Comentarios de</w:t>
      </w:r>
      <w:r w:rsidR="00465DDC">
        <w:rPr>
          <w:lang w:val="es-ES_tradnl"/>
        </w:rPr>
        <w:t xml:space="preserve"> </w:t>
      </w:r>
      <w:r w:rsidR="004726C0" w:rsidRPr="004726C0">
        <w:rPr>
          <w:lang w:val="es-ES_tradnl"/>
        </w:rPr>
        <w:t>l</w:t>
      </w:r>
      <w:r w:rsidR="00465DDC">
        <w:rPr>
          <w:lang w:val="es-ES_tradnl"/>
        </w:rPr>
        <w:t>os</w:t>
      </w:r>
      <w:r w:rsidR="004726C0" w:rsidRPr="004726C0">
        <w:rPr>
          <w:lang w:val="es-ES_tradnl"/>
        </w:rPr>
        <w:t xml:space="preserve"> autor</w:t>
      </w:r>
      <w:r w:rsidR="00465DDC">
        <w:rPr>
          <w:lang w:val="es-ES_tradnl"/>
        </w:rPr>
        <w:t>es</w:t>
      </w:r>
      <w:r w:rsidR="004726C0" w:rsidRPr="004726C0">
        <w:rPr>
          <w:lang w:val="es-ES_tradnl"/>
        </w:rPr>
        <w:t xml:space="preserve"> a las observaciones del Estado parte</w:t>
      </w:r>
      <w:r w:rsidR="00963B70">
        <w:rPr>
          <w:lang w:val="es-ES_tradnl"/>
        </w:rPr>
        <w:br/>
      </w:r>
      <w:r w:rsidR="004726C0" w:rsidRPr="004726C0">
        <w:rPr>
          <w:lang w:val="es-ES_tradnl"/>
        </w:rPr>
        <w:t>sobre el fondo</w:t>
      </w:r>
    </w:p>
    <w:p w14:paraId="74A2294D" w14:textId="0288DCE4" w:rsidR="001C32FD" w:rsidRPr="00B853DE" w:rsidRDefault="00D06DFF" w:rsidP="00B853DE">
      <w:pPr>
        <w:pStyle w:val="SingleTxtG"/>
        <w:rPr>
          <w:lang w:val="es-ES"/>
        </w:rPr>
      </w:pPr>
      <w:r w:rsidRPr="006B14FF">
        <w:rPr>
          <w:lang w:val="es-ES_tradnl"/>
        </w:rPr>
        <w:t>7.1</w:t>
      </w:r>
      <w:r w:rsidRPr="006B14FF">
        <w:rPr>
          <w:lang w:val="es-ES_tradnl"/>
        </w:rPr>
        <w:tab/>
        <w:t xml:space="preserve">En sus comentarios de </w:t>
      </w:r>
      <w:r w:rsidR="00633E7F">
        <w:rPr>
          <w:lang w:val="es-ES_tradnl"/>
        </w:rPr>
        <w:t>3</w:t>
      </w:r>
      <w:r w:rsidRPr="006B14FF">
        <w:rPr>
          <w:lang w:val="es-ES_tradnl"/>
        </w:rPr>
        <w:t xml:space="preserve"> de </w:t>
      </w:r>
      <w:r w:rsidR="00633E7F">
        <w:rPr>
          <w:lang w:val="es-ES_tradnl"/>
        </w:rPr>
        <w:t>julio</w:t>
      </w:r>
      <w:r w:rsidRPr="006B14FF">
        <w:rPr>
          <w:lang w:val="es-ES_tradnl"/>
        </w:rPr>
        <w:t xml:space="preserve"> de 2017, </w:t>
      </w:r>
      <w:r w:rsidR="00E31E7C">
        <w:rPr>
          <w:lang w:val="es-ES_tradnl"/>
        </w:rPr>
        <w:t xml:space="preserve">los autores </w:t>
      </w:r>
      <w:r w:rsidR="00B853DE">
        <w:rPr>
          <w:lang w:val="es-ES_tradnl"/>
        </w:rPr>
        <w:t>recuerdan</w:t>
      </w:r>
      <w:r w:rsidR="00EC1924" w:rsidRPr="00EC1924">
        <w:rPr>
          <w:lang w:val="es-ES"/>
        </w:rPr>
        <w:t xml:space="preserve"> </w:t>
      </w:r>
      <w:r w:rsidR="00EC1924">
        <w:rPr>
          <w:lang w:val="es-ES"/>
        </w:rPr>
        <w:t xml:space="preserve">que </w:t>
      </w:r>
      <w:r w:rsidR="00EB4BC0" w:rsidRPr="00EB4BC0">
        <w:rPr>
          <w:lang w:val="es-ES"/>
        </w:rPr>
        <w:t>“los Estados partes tienen la obligación positiva de garantizar la protección de las personas no solo contra las violaciones de los derechos reconocidos en el Pacto que cometan sus agentes sino también contra los actos que c</w:t>
      </w:r>
      <w:r w:rsidR="00E53620">
        <w:rPr>
          <w:lang w:val="es-ES"/>
        </w:rPr>
        <w:t>ometan particulares o entidades</w:t>
      </w:r>
      <w:r w:rsidR="00EB4BC0" w:rsidRPr="00EB4BC0">
        <w:rPr>
          <w:lang w:val="es-ES"/>
        </w:rPr>
        <w:t>”</w:t>
      </w:r>
      <w:r w:rsidR="00EB4BC0" w:rsidRPr="00EB4BC0">
        <w:rPr>
          <w:sz w:val="18"/>
          <w:vertAlign w:val="superscript"/>
        </w:rPr>
        <w:footnoteReference w:id="37"/>
      </w:r>
      <w:r w:rsidR="00E53620">
        <w:rPr>
          <w:lang w:val="es-ES"/>
        </w:rPr>
        <w:t>.</w:t>
      </w:r>
      <w:r w:rsidR="00EB4BC0" w:rsidRPr="00EB4BC0">
        <w:rPr>
          <w:lang w:val="es-ES"/>
        </w:rPr>
        <w:t xml:space="preserve"> </w:t>
      </w:r>
      <w:r w:rsidR="00581445">
        <w:rPr>
          <w:lang w:val="es-ES_tradnl"/>
        </w:rPr>
        <w:t>Además, c</w:t>
      </w:r>
      <w:r w:rsidR="00563B3F" w:rsidRPr="00563B3F">
        <w:rPr>
          <w:lang w:val="es-ES_tradnl"/>
        </w:rPr>
        <w:t>onsideran que</w:t>
      </w:r>
      <w:r w:rsidR="001361C6">
        <w:rPr>
          <w:lang w:val="es-ES_tradnl"/>
        </w:rPr>
        <w:t xml:space="preserve"> sí </w:t>
      </w:r>
      <w:r w:rsidR="00563B3F" w:rsidRPr="00563B3F">
        <w:rPr>
          <w:lang w:val="es-ES_tradnl"/>
        </w:rPr>
        <w:t>hay acciones de age</w:t>
      </w:r>
      <w:r w:rsidR="00C60832">
        <w:rPr>
          <w:lang w:val="es-ES_tradnl"/>
        </w:rPr>
        <w:t>ntes del Estado que comprometen</w:t>
      </w:r>
      <w:r w:rsidR="00563B3F" w:rsidRPr="00563B3F">
        <w:rPr>
          <w:lang w:val="es-ES_tradnl"/>
        </w:rPr>
        <w:t xml:space="preserve"> su responsabilidad internacional por la desaparición del </w:t>
      </w:r>
      <w:r w:rsidR="00C60832">
        <w:rPr>
          <w:lang w:val="es-ES_tradnl"/>
        </w:rPr>
        <w:t xml:space="preserve">Sr. Moreno Pérez, </w:t>
      </w:r>
      <w:r w:rsidR="004E7F18" w:rsidRPr="004E7F18">
        <w:rPr>
          <w:lang w:val="es-ES_tradnl"/>
        </w:rPr>
        <w:t>tanto por acción que por omisión.</w:t>
      </w:r>
    </w:p>
    <w:p w14:paraId="2815A81E" w14:textId="20011B16" w:rsidR="00D90DA8" w:rsidRPr="00702C30" w:rsidRDefault="004E7F18" w:rsidP="00D2717B">
      <w:pPr>
        <w:pStyle w:val="SingleTxtG"/>
        <w:rPr>
          <w:lang w:val="es-ES_tradnl" w:eastAsia="es-ES"/>
        </w:rPr>
      </w:pPr>
      <w:r w:rsidRPr="004E7F18">
        <w:rPr>
          <w:lang w:val="es-ES_tradnl" w:eastAsia="es-ES"/>
        </w:rPr>
        <w:t>7.</w:t>
      </w:r>
      <w:r w:rsidR="00581445">
        <w:rPr>
          <w:lang w:val="es-ES_tradnl" w:eastAsia="es-ES"/>
        </w:rPr>
        <w:t>2</w:t>
      </w:r>
      <w:r w:rsidRPr="004E7F18">
        <w:rPr>
          <w:lang w:val="es-ES_tradnl" w:eastAsia="es-ES"/>
        </w:rPr>
        <w:tab/>
      </w:r>
      <w:r w:rsidRPr="004E7F18">
        <w:rPr>
          <w:lang w:val="es-ES_tradnl"/>
        </w:rPr>
        <w:t xml:space="preserve">En cuanto a la responsabilidad </w:t>
      </w:r>
      <w:r w:rsidR="00AD48FA">
        <w:rPr>
          <w:lang w:val="es-ES_tradnl"/>
        </w:rPr>
        <w:t xml:space="preserve">del </w:t>
      </w:r>
      <w:r w:rsidR="00F20E05">
        <w:rPr>
          <w:lang w:val="es-ES_tradnl"/>
        </w:rPr>
        <w:t>E</w:t>
      </w:r>
      <w:r w:rsidR="00AD48FA">
        <w:rPr>
          <w:lang w:val="es-ES_tradnl"/>
        </w:rPr>
        <w:t xml:space="preserve">stado </w:t>
      </w:r>
      <w:r w:rsidR="00F20E05">
        <w:rPr>
          <w:lang w:val="es-ES_tradnl"/>
        </w:rPr>
        <w:t xml:space="preserve">parte </w:t>
      </w:r>
      <w:r w:rsidRPr="004E7F18">
        <w:rPr>
          <w:lang w:val="es-ES_tradnl"/>
        </w:rPr>
        <w:t xml:space="preserve">por acción, los autores </w:t>
      </w:r>
      <w:r w:rsidR="00581445">
        <w:rPr>
          <w:lang w:val="es-ES_tradnl"/>
        </w:rPr>
        <w:t>sostienen</w:t>
      </w:r>
      <w:r w:rsidRPr="004E7F18">
        <w:rPr>
          <w:lang w:val="es-ES_tradnl"/>
        </w:rPr>
        <w:t xml:space="preserve"> la participación de agentes del Ministerio Público y de la Policía Ministerial de la Procuraduría General d</w:t>
      </w:r>
      <w:r w:rsidR="00F66B77">
        <w:rPr>
          <w:lang w:val="es-ES_tradnl"/>
        </w:rPr>
        <w:t xml:space="preserve">e Justicia del </w:t>
      </w:r>
      <w:r w:rsidR="00986E86">
        <w:rPr>
          <w:lang w:val="es-ES_tradnl"/>
        </w:rPr>
        <w:t>E</w:t>
      </w:r>
      <w:r w:rsidR="00F66B77">
        <w:rPr>
          <w:lang w:val="es-ES_tradnl"/>
        </w:rPr>
        <w:t>stado de Oaxaca</w:t>
      </w:r>
      <w:r w:rsidRPr="004E7F18">
        <w:rPr>
          <w:lang w:val="es-ES_tradnl"/>
        </w:rPr>
        <w:t xml:space="preserve"> </w:t>
      </w:r>
      <w:r w:rsidR="00F66B77">
        <w:rPr>
          <w:lang w:val="es-ES_tradnl"/>
        </w:rPr>
        <w:t>(</w:t>
      </w:r>
      <w:r w:rsidRPr="004E7F18">
        <w:rPr>
          <w:lang w:val="es-ES_tradnl"/>
        </w:rPr>
        <w:t>hoy Fiscalía General del Estado de Oaxaca), al haber alterado y fabricado pruebas</w:t>
      </w:r>
      <w:r w:rsidR="00E44A94">
        <w:rPr>
          <w:lang w:val="es-ES_tradnl"/>
        </w:rPr>
        <w:t>,</w:t>
      </w:r>
      <w:r w:rsidR="00581445">
        <w:rPr>
          <w:lang w:val="es-ES_tradnl"/>
        </w:rPr>
        <w:t xml:space="preserve"> y así</w:t>
      </w:r>
      <w:r w:rsidR="00F66B77">
        <w:rPr>
          <w:lang w:val="es-ES_tradnl"/>
        </w:rPr>
        <w:t xml:space="preserve"> </w:t>
      </w:r>
      <w:r w:rsidR="00581445">
        <w:rPr>
          <w:lang w:val="es-ES_tradnl"/>
        </w:rPr>
        <w:t>desviado la investigación</w:t>
      </w:r>
      <w:r w:rsidRPr="004E7F18">
        <w:rPr>
          <w:lang w:val="es-ES_tradnl"/>
        </w:rPr>
        <w:t>.</w:t>
      </w:r>
      <w:r w:rsidR="00F66B77">
        <w:rPr>
          <w:lang w:val="es-ES_tradnl"/>
        </w:rPr>
        <w:t xml:space="preserve"> </w:t>
      </w:r>
      <w:r w:rsidR="00D2717B">
        <w:rPr>
          <w:lang w:val="es-ES_tradnl" w:eastAsia="es-ES"/>
        </w:rPr>
        <w:t xml:space="preserve">Al respecto, los autores citan </w:t>
      </w:r>
      <w:r w:rsidR="00C80666">
        <w:rPr>
          <w:lang w:val="es-ES_tradnl" w:eastAsia="es-ES"/>
        </w:rPr>
        <w:t xml:space="preserve">a </w:t>
      </w:r>
      <w:r w:rsidR="00D2717B">
        <w:rPr>
          <w:lang w:val="es-ES_tradnl" w:eastAsia="es-ES"/>
        </w:rPr>
        <w:t xml:space="preserve">la </w:t>
      </w:r>
      <w:r w:rsidR="00D2717B" w:rsidRPr="00B31737">
        <w:rPr>
          <w:lang w:val="es-ES_tradnl" w:eastAsia="es-ES"/>
        </w:rPr>
        <w:t>Corte Int</w:t>
      </w:r>
      <w:r w:rsidR="00D2717B">
        <w:rPr>
          <w:lang w:val="es-ES_tradnl" w:eastAsia="es-ES"/>
        </w:rPr>
        <w:t>eramericana de Derechos Humanos</w:t>
      </w:r>
      <w:r w:rsidR="00F11FF2">
        <w:rPr>
          <w:lang w:val="es-ES_tradnl" w:eastAsia="es-ES"/>
        </w:rPr>
        <w:t>,</w:t>
      </w:r>
      <w:r w:rsidR="00D2717B">
        <w:rPr>
          <w:lang w:val="es-ES_tradnl" w:eastAsia="es-ES"/>
        </w:rPr>
        <w:t xml:space="preserve"> para la cual</w:t>
      </w:r>
      <w:r w:rsidR="00D2717B" w:rsidRPr="00B31737">
        <w:rPr>
          <w:lang w:val="es-ES_tradnl" w:eastAsia="es-ES"/>
        </w:rPr>
        <w:t xml:space="preserve"> la utilización del poder del Estado para la destrucción de </w:t>
      </w:r>
      <w:r w:rsidR="00A150AD" w:rsidRPr="00A150AD">
        <w:rPr>
          <w:lang w:val="es-ES_tradnl" w:eastAsia="es-ES"/>
        </w:rPr>
        <w:t>medios de prueba directos de los hechos</w:t>
      </w:r>
      <w:r w:rsidR="00D2717B" w:rsidRPr="00B31737">
        <w:rPr>
          <w:lang w:val="es-ES_tradnl" w:eastAsia="es-ES"/>
        </w:rPr>
        <w:t>, en procura de una total impunidad</w:t>
      </w:r>
      <w:r w:rsidR="00D2717B">
        <w:rPr>
          <w:lang w:val="es-ES_tradnl" w:eastAsia="es-ES"/>
        </w:rPr>
        <w:t>,</w:t>
      </w:r>
      <w:r w:rsidR="00D2717B" w:rsidRPr="00B31737">
        <w:rPr>
          <w:lang w:val="es-ES_tradnl" w:eastAsia="es-ES"/>
        </w:rPr>
        <w:t xml:space="preserve"> o cristalización d</w:t>
      </w:r>
      <w:r w:rsidR="00D2717B">
        <w:rPr>
          <w:lang w:val="es-ES_tradnl" w:eastAsia="es-ES"/>
        </w:rPr>
        <w:t xml:space="preserve">e una suerte de crimen perfecto, </w:t>
      </w:r>
      <w:r w:rsidR="005D64CC">
        <w:rPr>
          <w:lang w:val="es-ES_tradnl" w:eastAsia="es-ES"/>
        </w:rPr>
        <w:t>incita a pensar que la desaparición es</w:t>
      </w:r>
      <w:r w:rsidR="00D2717B">
        <w:rPr>
          <w:lang w:val="es-ES_tradnl" w:eastAsia="es-ES"/>
        </w:rPr>
        <w:t xml:space="preserve"> atribuible al Estado</w:t>
      </w:r>
      <w:r w:rsidR="00D2717B">
        <w:rPr>
          <w:rStyle w:val="Refdenotaalpie"/>
          <w:lang w:val="es-ES_tradnl" w:eastAsia="es-ES"/>
        </w:rPr>
        <w:footnoteReference w:id="38"/>
      </w:r>
      <w:r w:rsidR="00F11FF2">
        <w:rPr>
          <w:lang w:val="es-ES_tradnl" w:eastAsia="es-ES"/>
        </w:rPr>
        <w:t>.</w:t>
      </w:r>
      <w:r w:rsidR="00D2717B">
        <w:rPr>
          <w:lang w:val="es-ES_tradnl" w:eastAsia="es-ES"/>
        </w:rPr>
        <w:t xml:space="preserve"> L</w:t>
      </w:r>
      <w:r w:rsidR="00043F2B">
        <w:rPr>
          <w:lang w:val="es-ES_tradnl" w:eastAsia="es-ES"/>
        </w:rPr>
        <w:t xml:space="preserve">os autores </w:t>
      </w:r>
      <w:r w:rsidR="00F66B77">
        <w:rPr>
          <w:lang w:val="es-ES_tradnl" w:eastAsia="es-ES"/>
        </w:rPr>
        <w:t>subrayan</w:t>
      </w:r>
      <w:r w:rsidR="00D2717B">
        <w:rPr>
          <w:lang w:val="es-ES_tradnl" w:eastAsia="es-ES"/>
        </w:rPr>
        <w:t xml:space="preserve"> también </w:t>
      </w:r>
      <w:r w:rsidR="002D6A64" w:rsidRPr="00084732">
        <w:rPr>
          <w:lang w:val="es-ES_tradnl" w:eastAsia="es-ES"/>
        </w:rPr>
        <w:t>que la Defensoría de Derechos Humanos del Pueblo de Oaxaca</w:t>
      </w:r>
      <w:r w:rsidR="00D6116D">
        <w:rPr>
          <w:rStyle w:val="Refdenotaalpie"/>
          <w:lang w:val="es-ES_tradnl" w:eastAsia="es-ES"/>
        </w:rPr>
        <w:footnoteReference w:id="39"/>
      </w:r>
      <w:r w:rsidR="002D6A64" w:rsidRPr="00084732">
        <w:rPr>
          <w:lang w:val="es-ES_tradnl" w:eastAsia="es-ES"/>
        </w:rPr>
        <w:t xml:space="preserve"> constató </w:t>
      </w:r>
      <w:r w:rsidR="00581445">
        <w:rPr>
          <w:lang w:val="es-ES_tradnl" w:eastAsia="es-ES"/>
        </w:rPr>
        <w:t>que</w:t>
      </w:r>
      <w:r w:rsidR="00CD2CB9">
        <w:rPr>
          <w:lang w:val="es-ES_tradnl" w:eastAsia="es-ES"/>
        </w:rPr>
        <w:t>,</w:t>
      </w:r>
      <w:r w:rsidR="00E44A94">
        <w:rPr>
          <w:lang w:val="es-ES_tradnl" w:eastAsia="es-ES"/>
        </w:rPr>
        <w:t xml:space="preserve"> para el resultado de</w:t>
      </w:r>
      <w:r w:rsidR="0053194C">
        <w:rPr>
          <w:lang w:val="es-ES_tradnl" w:eastAsia="es-ES"/>
        </w:rPr>
        <w:t xml:space="preserve"> la</w:t>
      </w:r>
      <w:r w:rsidR="002D6A64" w:rsidRPr="00084732">
        <w:rPr>
          <w:lang w:val="es-ES_tradnl" w:eastAsia="es-ES"/>
        </w:rPr>
        <w:t xml:space="preserve"> autopsia</w:t>
      </w:r>
      <w:r w:rsidR="00F66B77" w:rsidRPr="00084732">
        <w:rPr>
          <w:lang w:val="es-ES_tradnl" w:eastAsia="es-ES"/>
        </w:rPr>
        <w:t xml:space="preserve">, </w:t>
      </w:r>
      <w:r w:rsidR="00B96675" w:rsidRPr="00084732">
        <w:rPr>
          <w:lang w:val="es-ES_tradnl" w:eastAsia="es-ES"/>
        </w:rPr>
        <w:t>“se tomaron en consideración dictámenes fechados con posteriorid</w:t>
      </w:r>
      <w:r w:rsidR="00CD2CB9">
        <w:rPr>
          <w:lang w:val="es-ES_tradnl" w:eastAsia="es-ES"/>
        </w:rPr>
        <w:t>ad a la fecha en que está datada</w:t>
      </w:r>
      <w:r w:rsidR="00E3693D" w:rsidRPr="00084732">
        <w:rPr>
          <w:lang w:val="es-ES_tradnl" w:eastAsia="es-ES"/>
        </w:rPr>
        <w:t xml:space="preserve">, tales como la diligencia de traslado al lugar de los hechos, ampliación de inspección y reconstrucción de hechos, </w:t>
      </w:r>
      <w:r w:rsidR="003F6FAC" w:rsidRPr="00084732">
        <w:rPr>
          <w:lang w:val="es-ES_tradnl" w:eastAsia="es-ES"/>
        </w:rPr>
        <w:t xml:space="preserve">e </w:t>
      </w:r>
      <w:r w:rsidR="00E3693D" w:rsidRPr="00084732">
        <w:rPr>
          <w:lang w:val="es-ES_tradnl" w:eastAsia="es-ES"/>
        </w:rPr>
        <w:t>inspección ocular en alta mar</w:t>
      </w:r>
      <w:r w:rsidR="003F6FAC" w:rsidRPr="00084732">
        <w:rPr>
          <w:lang w:val="es-ES_tradnl" w:eastAsia="es-ES"/>
        </w:rPr>
        <w:t>”</w:t>
      </w:r>
      <w:r w:rsidR="00A91F42">
        <w:rPr>
          <w:lang w:val="es-ES_tradnl" w:eastAsia="es-ES"/>
        </w:rPr>
        <w:t>,</w:t>
      </w:r>
      <w:r w:rsidR="00CD2CB9">
        <w:rPr>
          <w:lang w:val="es-ES_tradnl" w:eastAsia="es-ES"/>
        </w:rPr>
        <w:t xml:space="preserve"> lo </w:t>
      </w:r>
      <w:r w:rsidR="00A91F42">
        <w:rPr>
          <w:lang w:val="es-ES_tradnl" w:eastAsia="es-ES"/>
        </w:rPr>
        <w:t xml:space="preserve">que </w:t>
      </w:r>
      <w:r w:rsidR="002D6A64" w:rsidRPr="00084732">
        <w:rPr>
          <w:lang w:val="es-ES_tradnl" w:eastAsia="es-ES"/>
        </w:rPr>
        <w:t xml:space="preserve">“genera que dicho documento carezca de </w:t>
      </w:r>
      <w:r w:rsidR="002D6A64" w:rsidRPr="00192E61">
        <w:rPr>
          <w:lang w:val="es-ES_tradnl" w:eastAsia="es-ES"/>
        </w:rPr>
        <w:t>plena certeza jurídica, pues se estaría acreditando que se tomaron en consideración otras diligencias que aún no existían al momento de emitirlo”</w:t>
      </w:r>
      <w:r w:rsidR="00C43DC0" w:rsidRPr="00192E61">
        <w:rPr>
          <w:rStyle w:val="Refdenotaalpie"/>
          <w:lang w:val="es-ES_tradnl" w:eastAsia="es-ES"/>
        </w:rPr>
        <w:footnoteReference w:id="40"/>
      </w:r>
      <w:r w:rsidR="00C43DC0" w:rsidRPr="00192E61">
        <w:rPr>
          <w:lang w:val="es-ES_tradnl" w:eastAsia="es-ES"/>
        </w:rPr>
        <w:t xml:space="preserve">. </w:t>
      </w:r>
      <w:r w:rsidR="001B5461">
        <w:rPr>
          <w:lang w:val="es-ES_tradnl" w:eastAsia="es-ES"/>
        </w:rPr>
        <w:t xml:space="preserve">Asimismo, </w:t>
      </w:r>
      <w:r w:rsidR="00BC33E2">
        <w:rPr>
          <w:lang w:val="es-ES_tradnl" w:eastAsia="es-ES"/>
        </w:rPr>
        <w:t>para la</w:t>
      </w:r>
      <w:r w:rsidR="001B5461">
        <w:rPr>
          <w:lang w:val="es-ES_tradnl" w:eastAsia="es-ES"/>
        </w:rPr>
        <w:t xml:space="preserve"> Defensoría</w:t>
      </w:r>
      <w:r w:rsidR="00BC33E2">
        <w:rPr>
          <w:lang w:val="es-ES_tradnl" w:eastAsia="es-ES"/>
        </w:rPr>
        <w:t xml:space="preserve">, </w:t>
      </w:r>
      <w:r w:rsidR="003D3633" w:rsidRPr="00702C30">
        <w:rPr>
          <w:lang w:val="es-ES_tradnl" w:eastAsia="es-ES"/>
        </w:rPr>
        <w:t>“persisten serias dudas con relación a la manera en que se realizó la investigación de los hechos y la probable responsabilidad de los procesados, tales como la falta de realización de la cadena de custodia del teléfono celular de la víctima y en el seguimiento de otras líneas de investigación advertidas de las pruebas recabadas; integración incorrecta de constancias en la indagatoria, testigos inducidos, declaraciones muy probablemente obtenidas a base de coacción, lo que se refleja en claras contradicciones en las declaraciones documen</w:t>
      </w:r>
      <w:r w:rsidR="008C37F9">
        <w:rPr>
          <w:lang w:val="es-ES_tradnl" w:eastAsia="es-ES"/>
        </w:rPr>
        <w:t>tadas en la averiguación previa</w:t>
      </w:r>
      <w:r w:rsidR="003D3633" w:rsidRPr="00702C30">
        <w:rPr>
          <w:lang w:val="es-ES_tradnl" w:eastAsia="es-ES"/>
        </w:rPr>
        <w:t>”</w:t>
      </w:r>
      <w:r w:rsidR="003D3633" w:rsidRPr="00702C30">
        <w:rPr>
          <w:rStyle w:val="Refdenotaalpie"/>
          <w:lang w:val="es-ES_tradnl" w:eastAsia="es-ES"/>
        </w:rPr>
        <w:footnoteReference w:id="41"/>
      </w:r>
      <w:r w:rsidR="003D3633" w:rsidRPr="00702C30">
        <w:rPr>
          <w:lang w:val="es-ES_tradnl" w:eastAsia="es-ES"/>
        </w:rPr>
        <w:t xml:space="preserve">. </w:t>
      </w:r>
      <w:r w:rsidR="00920BB9">
        <w:rPr>
          <w:lang w:val="es-ES_tradnl" w:eastAsia="es-ES"/>
        </w:rPr>
        <w:t>Además, para la Defensoría,</w:t>
      </w:r>
      <w:r w:rsidR="00920BB9" w:rsidRPr="00A04E8C">
        <w:rPr>
          <w:lang w:val="es-ES_tradnl" w:eastAsia="es-ES"/>
        </w:rPr>
        <w:t xml:space="preserve"> por la manera en la que se relató</w:t>
      </w:r>
      <w:r w:rsidR="00920BB9">
        <w:rPr>
          <w:lang w:val="es-ES_tradnl" w:eastAsia="es-ES"/>
        </w:rPr>
        <w:t xml:space="preserve"> que el Sr. Moreno Pérez</w:t>
      </w:r>
      <w:r w:rsidR="00920BB9" w:rsidRPr="00A04E8C">
        <w:rPr>
          <w:lang w:val="es-ES_tradnl" w:eastAsia="es-ES"/>
        </w:rPr>
        <w:t xml:space="preserve"> perdió la vid</w:t>
      </w:r>
      <w:r w:rsidR="00920BB9">
        <w:rPr>
          <w:lang w:val="es-ES_tradnl" w:eastAsia="es-ES"/>
        </w:rPr>
        <w:t xml:space="preserve">a, </w:t>
      </w:r>
      <w:r w:rsidR="00920BB9" w:rsidRPr="00A04E8C">
        <w:rPr>
          <w:lang w:val="es-ES_tradnl" w:eastAsia="es-ES"/>
        </w:rPr>
        <w:t>podría presumirse que se encontrarían pruebas hemáticas de sangre</w:t>
      </w:r>
      <w:r w:rsidR="00920BB9">
        <w:rPr>
          <w:lang w:val="es-ES_tradnl" w:eastAsia="es-ES"/>
        </w:rPr>
        <w:t xml:space="preserve"> en la lancha</w:t>
      </w:r>
      <w:r w:rsidR="00A91F42">
        <w:rPr>
          <w:lang w:val="es-ES_tradnl" w:eastAsia="es-ES"/>
        </w:rPr>
        <w:t>,</w:t>
      </w:r>
      <w:r w:rsidR="00920BB9" w:rsidRPr="00A04E8C">
        <w:rPr>
          <w:lang w:val="es-ES_tradnl" w:eastAsia="es-ES"/>
        </w:rPr>
        <w:t xml:space="preserve"> </w:t>
      </w:r>
      <w:r w:rsidR="00920BB9">
        <w:rPr>
          <w:lang w:val="es-ES_tradnl" w:eastAsia="es-ES"/>
        </w:rPr>
        <w:t>pero no fue el caso</w:t>
      </w:r>
      <w:r w:rsidR="00920BB9" w:rsidRPr="00A04E8C">
        <w:rPr>
          <w:lang w:val="es-ES_tradnl" w:eastAsia="es-ES"/>
        </w:rPr>
        <w:t xml:space="preserve">. Asimismo, el hecho de que </w:t>
      </w:r>
      <w:r w:rsidR="00920BB9" w:rsidRPr="00666405">
        <w:rPr>
          <w:lang w:val="es-ES_tradnl" w:eastAsia="es-ES"/>
        </w:rPr>
        <w:t>Irene</w:t>
      </w:r>
      <w:r w:rsidR="00666405" w:rsidRPr="00666405">
        <w:rPr>
          <w:lang w:val="es-ES"/>
        </w:rPr>
        <w:t xml:space="preserve"> </w:t>
      </w:r>
      <w:r w:rsidR="00666405" w:rsidRPr="00666405">
        <w:rPr>
          <w:lang w:val="es-ES_tradnl" w:eastAsia="es-ES"/>
        </w:rPr>
        <w:t>Méndez Graf</w:t>
      </w:r>
      <w:r w:rsidR="00920BB9" w:rsidRPr="00A04E8C">
        <w:rPr>
          <w:lang w:val="es-ES_tradnl" w:eastAsia="es-ES"/>
        </w:rPr>
        <w:t xml:space="preserve"> obtuviera su libertad al haber acreditado que no se encontraba en Chacahua el día de los supuestos hechos “demuestra una vez más lo frágil que resulta el acervo probatorio”</w:t>
      </w:r>
      <w:r w:rsidR="00920BB9">
        <w:rPr>
          <w:lang w:val="es-ES_tradnl" w:eastAsia="es-ES"/>
        </w:rPr>
        <w:t xml:space="preserve">. </w:t>
      </w:r>
      <w:r w:rsidR="008C37F9">
        <w:rPr>
          <w:lang w:val="es-ES_tradnl" w:eastAsia="es-ES"/>
        </w:rPr>
        <w:t xml:space="preserve">En conclusión, la institución </w:t>
      </w:r>
      <w:r w:rsidR="00D90DA8" w:rsidRPr="00702C30">
        <w:rPr>
          <w:lang w:val="es-ES_tradnl" w:eastAsia="es-ES"/>
        </w:rPr>
        <w:t>“advierte […] que no existe una investigación sólida que sustente el delito de homicidio y el robo imputado a los procesados, toda vez que se basó en declaraciones y testimoniales contradictorias, así como en pruebas periciales basadas en un c</w:t>
      </w:r>
      <w:r w:rsidR="00666405">
        <w:rPr>
          <w:lang w:val="es-ES_tradnl" w:eastAsia="es-ES"/>
        </w:rPr>
        <w:t>uerpo y en objetos inexistentes”</w:t>
      </w:r>
      <w:r w:rsidR="009A62AF">
        <w:rPr>
          <w:rStyle w:val="Refdenotaalpie"/>
          <w:lang w:val="es-ES_tradnl" w:eastAsia="es-ES"/>
        </w:rPr>
        <w:footnoteReference w:id="42"/>
      </w:r>
      <w:r w:rsidR="004A2990">
        <w:rPr>
          <w:lang w:val="es-ES_tradnl" w:eastAsia="es-ES"/>
        </w:rPr>
        <w:t>.</w:t>
      </w:r>
    </w:p>
    <w:p w14:paraId="7384B799" w14:textId="12CB868A" w:rsidR="004A7610" w:rsidRPr="00295926" w:rsidRDefault="008001B4" w:rsidP="00B943AD">
      <w:pPr>
        <w:pStyle w:val="SingleTxtG"/>
        <w:rPr>
          <w:lang w:val="es-ES_tradnl"/>
        </w:rPr>
      </w:pPr>
      <w:r>
        <w:rPr>
          <w:lang w:val="es-ES_tradnl"/>
        </w:rPr>
        <w:t>7.3</w:t>
      </w:r>
      <w:r>
        <w:rPr>
          <w:lang w:val="es-ES_tradnl"/>
        </w:rPr>
        <w:tab/>
      </w:r>
      <w:r w:rsidR="000F1FBF" w:rsidRPr="004E7F18">
        <w:rPr>
          <w:lang w:val="es-ES_tradnl"/>
        </w:rPr>
        <w:t xml:space="preserve">En cuanto a la responsabilidad </w:t>
      </w:r>
      <w:r w:rsidR="00AD48FA">
        <w:rPr>
          <w:lang w:val="es-ES_tradnl"/>
        </w:rPr>
        <w:t xml:space="preserve">del Estado </w:t>
      </w:r>
      <w:r w:rsidR="002D453D">
        <w:rPr>
          <w:lang w:val="es-ES_tradnl"/>
        </w:rPr>
        <w:t xml:space="preserve">parte </w:t>
      </w:r>
      <w:r w:rsidR="000F1FBF" w:rsidRPr="004E7F18">
        <w:rPr>
          <w:lang w:val="es-ES_tradnl"/>
        </w:rPr>
        <w:t xml:space="preserve">por </w:t>
      </w:r>
      <w:r w:rsidR="000F1FBF">
        <w:rPr>
          <w:lang w:val="es-ES_tradnl"/>
        </w:rPr>
        <w:t>omi</w:t>
      </w:r>
      <w:r w:rsidR="000F1FBF" w:rsidRPr="004E7F18">
        <w:rPr>
          <w:lang w:val="es-ES_tradnl"/>
        </w:rPr>
        <w:t xml:space="preserve">sión, los autores </w:t>
      </w:r>
      <w:r w:rsidR="004A7610">
        <w:rPr>
          <w:lang w:val="es-ES_tradnl"/>
        </w:rPr>
        <w:t xml:space="preserve">indican que </w:t>
      </w:r>
      <w:r w:rsidR="004A7610" w:rsidRPr="004A7610">
        <w:rPr>
          <w:lang w:val="es-ES_tradnl"/>
        </w:rPr>
        <w:t xml:space="preserve">no </w:t>
      </w:r>
      <w:r w:rsidR="009E6B96">
        <w:rPr>
          <w:lang w:val="es-ES_tradnl"/>
        </w:rPr>
        <w:t xml:space="preserve">se </w:t>
      </w:r>
      <w:r w:rsidR="004A7610" w:rsidRPr="004A7610">
        <w:rPr>
          <w:lang w:val="es-ES_tradnl"/>
        </w:rPr>
        <w:t>ha investigado penalmente la alteración y fabricación de pruebas</w:t>
      </w:r>
      <w:r w:rsidR="007F7FC2">
        <w:rPr>
          <w:lang w:val="es-ES_tradnl"/>
        </w:rPr>
        <w:t>,</w:t>
      </w:r>
      <w:r w:rsidR="005F144F">
        <w:rPr>
          <w:lang w:val="es-ES_tradnl"/>
        </w:rPr>
        <w:t xml:space="preserve"> </w:t>
      </w:r>
      <w:r w:rsidR="00FA2269">
        <w:rPr>
          <w:lang w:val="es-ES_tradnl"/>
        </w:rPr>
        <w:t xml:space="preserve">y que precisamente por ello </w:t>
      </w:r>
      <w:r w:rsidR="004A7610" w:rsidRPr="004A7610">
        <w:rPr>
          <w:lang w:val="es-ES_tradnl"/>
        </w:rPr>
        <w:t>la De</w:t>
      </w:r>
      <w:r w:rsidR="00FA2269">
        <w:rPr>
          <w:lang w:val="es-ES_tradnl"/>
        </w:rPr>
        <w:t>fensoría estableció</w:t>
      </w:r>
      <w:r w:rsidR="004A7610" w:rsidRPr="004A7610">
        <w:rPr>
          <w:lang w:val="es-ES_tradnl"/>
        </w:rPr>
        <w:t xml:space="preserve"> que </w:t>
      </w:r>
      <w:r w:rsidR="007F7FC2">
        <w:rPr>
          <w:lang w:val="es-ES_tradnl" w:eastAsia="es-ES"/>
        </w:rPr>
        <w:t>era</w:t>
      </w:r>
      <w:r w:rsidR="007F7FC2" w:rsidRPr="00702C30">
        <w:rPr>
          <w:lang w:val="es-ES_tradnl" w:eastAsia="es-ES"/>
        </w:rPr>
        <w:t xml:space="preserve"> preciso que se retom</w:t>
      </w:r>
      <w:r w:rsidR="00C75B51">
        <w:rPr>
          <w:lang w:val="es-ES_tradnl" w:eastAsia="es-ES"/>
        </w:rPr>
        <w:t>ara</w:t>
      </w:r>
      <w:r w:rsidR="007F7FC2" w:rsidRPr="00702C30">
        <w:rPr>
          <w:lang w:val="es-ES_tradnl" w:eastAsia="es-ES"/>
        </w:rPr>
        <w:t xml:space="preserve"> la </w:t>
      </w:r>
      <w:r w:rsidR="007F7FC2" w:rsidRPr="007F7FC2">
        <w:rPr>
          <w:lang w:val="es-ES_tradnl" w:eastAsia="es-ES"/>
        </w:rPr>
        <w:t>investigación</w:t>
      </w:r>
      <w:r w:rsidR="00A91F42">
        <w:rPr>
          <w:lang w:val="es-ES_tradnl" w:eastAsia="es-ES"/>
        </w:rPr>
        <w:t>,</w:t>
      </w:r>
      <w:r w:rsidR="003933F5">
        <w:rPr>
          <w:lang w:val="es-ES_tradnl"/>
        </w:rPr>
        <w:t xml:space="preserve"> que</w:t>
      </w:r>
      <w:r w:rsidR="005F144F">
        <w:rPr>
          <w:lang w:val="es-ES_tradnl"/>
        </w:rPr>
        <w:t xml:space="preserve"> </w:t>
      </w:r>
      <w:r w:rsidR="003933F5" w:rsidRPr="00295926">
        <w:rPr>
          <w:lang w:val="es-ES_tradnl"/>
        </w:rPr>
        <w:t>se llev</w:t>
      </w:r>
      <w:r w:rsidR="00C75B51">
        <w:rPr>
          <w:lang w:val="es-ES_tradnl"/>
        </w:rPr>
        <w:t>ara</w:t>
      </w:r>
      <w:r w:rsidR="003933F5" w:rsidRPr="00295926">
        <w:rPr>
          <w:lang w:val="es-ES_tradnl"/>
        </w:rPr>
        <w:t xml:space="preserve">n a cabo diligencias en contra del agente </w:t>
      </w:r>
      <w:r w:rsidR="003933F5">
        <w:rPr>
          <w:lang w:val="es-ES_tradnl"/>
        </w:rPr>
        <w:t>acusado de amenazar, torturar y crear falsas declaraciones</w:t>
      </w:r>
      <w:r w:rsidR="003933F5" w:rsidRPr="00295926">
        <w:rPr>
          <w:lang w:val="es-ES_tradnl"/>
        </w:rPr>
        <w:t>, y que, en su caso, se ejercit</w:t>
      </w:r>
      <w:r w:rsidR="00C75B51">
        <w:rPr>
          <w:lang w:val="es-ES_tradnl"/>
        </w:rPr>
        <w:t>ara</w:t>
      </w:r>
      <w:r w:rsidR="003933F5" w:rsidRPr="00295926">
        <w:rPr>
          <w:lang w:val="es-ES_tradnl"/>
        </w:rPr>
        <w:t xml:space="preserve"> la acción penal</w:t>
      </w:r>
      <w:r w:rsidR="00DE6EBB" w:rsidRPr="00295926">
        <w:rPr>
          <w:rStyle w:val="Refdenotaalpie"/>
          <w:lang w:val="es-ES_tradnl"/>
        </w:rPr>
        <w:footnoteReference w:id="43"/>
      </w:r>
      <w:r w:rsidR="000517E5">
        <w:rPr>
          <w:lang w:val="es-ES_tradnl"/>
        </w:rPr>
        <w:t>.</w:t>
      </w:r>
    </w:p>
    <w:p w14:paraId="24604395" w14:textId="037235A3" w:rsidR="00531067" w:rsidRDefault="00A73919" w:rsidP="00822AF0">
      <w:pPr>
        <w:pStyle w:val="SingleTxtG"/>
        <w:rPr>
          <w:lang w:val="es-ES_tradnl" w:eastAsia="es-ES"/>
        </w:rPr>
      </w:pPr>
      <w:r>
        <w:rPr>
          <w:lang w:val="es-ES_tradnl" w:eastAsia="es-ES"/>
        </w:rPr>
        <w:lastRenderedPageBreak/>
        <w:t>7.4</w:t>
      </w:r>
      <w:r>
        <w:rPr>
          <w:lang w:val="es-ES_tradnl" w:eastAsia="es-ES"/>
        </w:rPr>
        <w:tab/>
      </w:r>
      <w:r w:rsidR="00E878FA">
        <w:rPr>
          <w:lang w:val="es-ES_tradnl" w:eastAsia="es-ES"/>
        </w:rPr>
        <w:t>Los autores sostienen que</w:t>
      </w:r>
      <w:r>
        <w:rPr>
          <w:lang w:val="es-ES_tradnl" w:eastAsia="es-ES"/>
        </w:rPr>
        <w:t>, en definitiva,</w:t>
      </w:r>
      <w:r w:rsidR="00E878FA">
        <w:rPr>
          <w:lang w:val="es-ES_tradnl" w:eastAsia="es-ES"/>
        </w:rPr>
        <w:t xml:space="preserve"> lo anterior ha</w:t>
      </w:r>
      <w:r w:rsidR="00A46C5C" w:rsidRPr="00A46C5C">
        <w:rPr>
          <w:lang w:val="es-ES_tradnl" w:eastAsia="es-ES"/>
        </w:rPr>
        <w:t xml:space="preserve"> permitido ocultar la manera en que </w:t>
      </w:r>
      <w:r w:rsidR="00E878FA">
        <w:rPr>
          <w:lang w:val="es-ES_tradnl" w:eastAsia="es-ES"/>
        </w:rPr>
        <w:t>el desaparecido</w:t>
      </w:r>
      <w:r w:rsidR="00A46C5C" w:rsidRPr="00A46C5C">
        <w:rPr>
          <w:lang w:val="es-ES_tradnl" w:eastAsia="es-ES"/>
        </w:rPr>
        <w:t xml:space="preserve"> f</w:t>
      </w:r>
      <w:r w:rsidR="00023789">
        <w:rPr>
          <w:lang w:val="es-ES_tradnl" w:eastAsia="es-ES"/>
        </w:rPr>
        <w:t>ue privado de su libertad</w:t>
      </w:r>
      <w:r w:rsidR="003066BA">
        <w:rPr>
          <w:lang w:val="es-ES_tradnl" w:eastAsia="es-ES"/>
        </w:rPr>
        <w:t>. Ello</w:t>
      </w:r>
      <w:r w:rsidR="00C72697" w:rsidRPr="00C72697">
        <w:rPr>
          <w:lang w:val="es-ES_tradnl" w:eastAsia="es-ES"/>
        </w:rPr>
        <w:t xml:space="preserve"> </w:t>
      </w:r>
      <w:r w:rsidR="00E878FA">
        <w:rPr>
          <w:lang w:val="es-ES_tradnl" w:eastAsia="es-ES"/>
        </w:rPr>
        <w:t xml:space="preserve">constituye </w:t>
      </w:r>
      <w:r w:rsidR="00C72697" w:rsidRPr="00C72697">
        <w:rPr>
          <w:lang w:val="es-ES_tradnl" w:eastAsia="es-ES"/>
        </w:rPr>
        <w:t xml:space="preserve">acciones de agentes </w:t>
      </w:r>
      <w:r w:rsidR="00023789">
        <w:rPr>
          <w:lang w:val="es-ES_tradnl" w:eastAsia="es-ES"/>
        </w:rPr>
        <w:t xml:space="preserve">del Estado </w:t>
      </w:r>
      <w:r w:rsidR="00C72697" w:rsidRPr="00C72697">
        <w:rPr>
          <w:lang w:val="es-ES_tradnl" w:eastAsia="es-ES"/>
        </w:rPr>
        <w:t>que configuran una de</w:t>
      </w:r>
      <w:r w:rsidR="00E878FA">
        <w:rPr>
          <w:lang w:val="es-ES_tradnl" w:eastAsia="es-ES"/>
        </w:rPr>
        <w:t xml:space="preserve">saparición </w:t>
      </w:r>
      <w:r w:rsidR="003066BA" w:rsidRPr="005E6F68">
        <w:rPr>
          <w:lang w:val="es-ES_tradnl" w:eastAsia="es-ES"/>
        </w:rPr>
        <w:t>forzada</w:t>
      </w:r>
      <w:r w:rsidR="005E6F68" w:rsidRPr="005E6F68">
        <w:rPr>
          <w:lang w:val="es-ES_tradnl" w:eastAsia="es-ES"/>
        </w:rPr>
        <w:t xml:space="preserve">: a) </w:t>
      </w:r>
      <w:r w:rsidR="00E878FA">
        <w:rPr>
          <w:lang w:val="es-ES_tradnl" w:eastAsia="es-ES"/>
        </w:rPr>
        <w:t>la privación de libertad</w:t>
      </w:r>
      <w:r w:rsidR="005E6F68" w:rsidRPr="005E6F68">
        <w:rPr>
          <w:lang w:val="es-ES_tradnl" w:eastAsia="es-ES"/>
        </w:rPr>
        <w:t xml:space="preserve"> se configura con la desaparición del </w:t>
      </w:r>
      <w:r w:rsidR="00E878FA">
        <w:rPr>
          <w:lang w:val="es-ES_tradnl" w:eastAsia="es-ES"/>
        </w:rPr>
        <w:t>Sr.</w:t>
      </w:r>
      <w:r w:rsidR="005E6F68" w:rsidRPr="005E6F68">
        <w:rPr>
          <w:lang w:val="es-ES_tradnl" w:eastAsia="es-ES"/>
        </w:rPr>
        <w:t xml:space="preserve"> Moreno Pérez sin que el Estado haya esclarecido su paradero o la ubicación de</w:t>
      </w:r>
      <w:r w:rsidR="006C35E6">
        <w:rPr>
          <w:lang w:val="es-ES_tradnl" w:eastAsia="es-ES"/>
        </w:rPr>
        <w:t>l</w:t>
      </w:r>
      <w:r w:rsidR="005E6F68" w:rsidRPr="005E6F68">
        <w:rPr>
          <w:lang w:val="es-ES_tradnl" w:eastAsia="es-ES"/>
        </w:rPr>
        <w:t xml:space="preserve"> cuerpo</w:t>
      </w:r>
      <w:r w:rsidR="00AB7E36">
        <w:rPr>
          <w:lang w:val="es-ES_tradnl" w:eastAsia="es-ES"/>
        </w:rPr>
        <w:t>;</w:t>
      </w:r>
      <w:r w:rsidR="005E6F68" w:rsidRPr="005E6F68">
        <w:rPr>
          <w:lang w:val="es-ES_tradnl" w:eastAsia="es-ES"/>
        </w:rPr>
        <w:t xml:space="preserve"> b) </w:t>
      </w:r>
      <w:r w:rsidR="00E878FA">
        <w:rPr>
          <w:lang w:val="es-ES_tradnl" w:eastAsia="es-ES"/>
        </w:rPr>
        <w:t xml:space="preserve">la participación, </w:t>
      </w:r>
      <w:r w:rsidR="00E878FA" w:rsidRPr="005E6F68">
        <w:rPr>
          <w:lang w:val="es-ES_tradnl" w:eastAsia="es-ES"/>
        </w:rPr>
        <w:t xml:space="preserve">apoyo o aquiescencia </w:t>
      </w:r>
      <w:r w:rsidR="005E6F68" w:rsidRPr="005E6F68">
        <w:rPr>
          <w:lang w:val="es-ES_tradnl" w:eastAsia="es-ES"/>
        </w:rPr>
        <w:t xml:space="preserve">de agentes del Estado se configura con </w:t>
      </w:r>
      <w:r w:rsidR="00E878FA">
        <w:rPr>
          <w:lang w:val="es-ES_tradnl" w:eastAsia="es-ES"/>
        </w:rPr>
        <w:t>su</w:t>
      </w:r>
      <w:r w:rsidR="005E6F68" w:rsidRPr="005E6F68">
        <w:rPr>
          <w:lang w:val="es-ES_tradnl" w:eastAsia="es-ES"/>
        </w:rPr>
        <w:t xml:space="preserve"> intervención directa en la alteración y fabricación de pruebas y en la construcción de testimonios falsos,</w:t>
      </w:r>
      <w:r w:rsidR="00AB7E36">
        <w:rPr>
          <w:lang w:val="es-ES_tradnl" w:eastAsia="es-ES"/>
        </w:rPr>
        <w:t xml:space="preserve"> y</w:t>
      </w:r>
      <w:r w:rsidR="005E6F68" w:rsidRPr="005E6F68">
        <w:rPr>
          <w:lang w:val="es-ES_tradnl" w:eastAsia="es-ES"/>
        </w:rPr>
        <w:t xml:space="preserve"> c) </w:t>
      </w:r>
      <w:r w:rsidR="00E878FA">
        <w:rPr>
          <w:lang w:val="es-ES_tradnl" w:eastAsia="es-ES"/>
        </w:rPr>
        <w:t>el</w:t>
      </w:r>
      <w:r w:rsidR="005E6F68" w:rsidRPr="005E6F68">
        <w:rPr>
          <w:lang w:val="es-ES_tradnl" w:eastAsia="es-ES"/>
        </w:rPr>
        <w:t xml:space="preserve"> ocultamiento de la suerte </w:t>
      </w:r>
      <w:r w:rsidR="00E878FA">
        <w:rPr>
          <w:lang w:val="es-ES_tradnl" w:eastAsia="es-ES"/>
        </w:rPr>
        <w:t>y</w:t>
      </w:r>
      <w:r w:rsidR="005E6F68" w:rsidRPr="005E6F68">
        <w:rPr>
          <w:lang w:val="es-ES_tradnl" w:eastAsia="es-ES"/>
        </w:rPr>
        <w:t xml:space="preserve"> para</w:t>
      </w:r>
      <w:r w:rsidR="00E878FA">
        <w:rPr>
          <w:lang w:val="es-ES_tradnl" w:eastAsia="es-ES"/>
        </w:rPr>
        <w:t>dero de la persona desaparecida</w:t>
      </w:r>
      <w:r w:rsidR="005E6F68" w:rsidRPr="005E6F68">
        <w:rPr>
          <w:lang w:val="es-ES_tradnl" w:eastAsia="es-ES"/>
        </w:rPr>
        <w:t xml:space="preserve"> se configura </w:t>
      </w:r>
      <w:r w:rsidR="00997803">
        <w:rPr>
          <w:lang w:val="es-ES_tradnl" w:eastAsia="es-ES"/>
        </w:rPr>
        <w:t xml:space="preserve">también </w:t>
      </w:r>
      <w:r w:rsidR="005E6F68" w:rsidRPr="005E6F68">
        <w:rPr>
          <w:lang w:val="es-ES_tradnl" w:eastAsia="es-ES"/>
        </w:rPr>
        <w:t>a través de la alteración y fabricación de pruebas</w:t>
      </w:r>
      <w:r w:rsidR="00F66E04">
        <w:rPr>
          <w:lang w:val="es-ES_tradnl" w:eastAsia="es-ES"/>
        </w:rPr>
        <w:t>,</w:t>
      </w:r>
      <w:r w:rsidR="005E6F68" w:rsidRPr="005E6F68">
        <w:rPr>
          <w:lang w:val="es-ES_tradnl" w:eastAsia="es-ES"/>
        </w:rPr>
        <w:t xml:space="preserve"> </w:t>
      </w:r>
      <w:r w:rsidR="00997803">
        <w:rPr>
          <w:lang w:val="es-ES_tradnl" w:eastAsia="es-ES"/>
        </w:rPr>
        <w:t>para desviar</w:t>
      </w:r>
      <w:r w:rsidR="00D2717B">
        <w:rPr>
          <w:lang w:val="es-ES_tradnl" w:eastAsia="es-ES"/>
        </w:rPr>
        <w:t xml:space="preserve"> la investigación.</w:t>
      </w:r>
    </w:p>
    <w:p w14:paraId="5F4CFF92" w14:textId="3936AC8E" w:rsidR="008702DA" w:rsidRDefault="00F66E04" w:rsidP="000167EA">
      <w:pPr>
        <w:pStyle w:val="SingleTxtG"/>
        <w:rPr>
          <w:lang w:val="es-ES_tradnl" w:eastAsia="es-ES"/>
        </w:rPr>
      </w:pPr>
      <w:r>
        <w:rPr>
          <w:lang w:val="es-ES_tradnl" w:eastAsia="es-ES"/>
        </w:rPr>
        <w:t>7.5</w:t>
      </w:r>
      <w:r>
        <w:rPr>
          <w:lang w:val="es-ES_tradnl" w:eastAsia="es-ES"/>
        </w:rPr>
        <w:tab/>
      </w:r>
      <w:r w:rsidR="00837500">
        <w:rPr>
          <w:lang w:val="es-ES_tradnl" w:eastAsia="es-ES"/>
        </w:rPr>
        <w:t>De manera general en</w:t>
      </w:r>
      <w:r w:rsidR="008702DA">
        <w:rPr>
          <w:lang w:val="es-ES_tradnl" w:eastAsia="es-ES"/>
        </w:rPr>
        <w:t xml:space="preserve"> cuanto </w:t>
      </w:r>
      <w:r w:rsidR="00837500">
        <w:rPr>
          <w:lang w:val="es-ES_tradnl" w:eastAsia="es-ES"/>
        </w:rPr>
        <w:t>a</w:t>
      </w:r>
      <w:r w:rsidR="008702DA">
        <w:rPr>
          <w:lang w:val="es-ES_tradnl" w:eastAsia="es-ES"/>
        </w:rPr>
        <w:t xml:space="preserve"> las investigaciones, l</w:t>
      </w:r>
      <w:r w:rsidR="008702DA" w:rsidRPr="008702DA">
        <w:rPr>
          <w:lang w:val="es-ES_tradnl" w:eastAsia="es-ES"/>
        </w:rPr>
        <w:t>os autores resaltan las incoherencias del Estado parte, al estar adelantando</w:t>
      </w:r>
      <w:r w:rsidR="003D4721" w:rsidRPr="003D4721">
        <w:rPr>
          <w:lang w:val="es-ES_tradnl" w:eastAsia="es-ES"/>
        </w:rPr>
        <w:t xml:space="preserve"> </w:t>
      </w:r>
      <w:r w:rsidR="003D4721" w:rsidRPr="008702DA">
        <w:rPr>
          <w:lang w:val="es-ES_tradnl" w:eastAsia="es-ES"/>
        </w:rPr>
        <w:t>un proceso penal por presunto homicidio</w:t>
      </w:r>
      <w:r w:rsidR="008702DA" w:rsidRPr="008702DA">
        <w:rPr>
          <w:lang w:val="es-ES_tradnl" w:eastAsia="es-ES"/>
        </w:rPr>
        <w:t xml:space="preserve"> </w:t>
      </w:r>
      <w:r w:rsidR="003D4721">
        <w:rPr>
          <w:lang w:val="es-ES_tradnl" w:eastAsia="es-ES"/>
        </w:rPr>
        <w:t>y al</w:t>
      </w:r>
      <w:r w:rsidR="008702DA" w:rsidRPr="008702DA">
        <w:rPr>
          <w:lang w:val="es-ES_tradnl" w:eastAsia="es-ES"/>
        </w:rPr>
        <w:t xml:space="preserve"> mismo tiempo</w:t>
      </w:r>
      <w:r w:rsidR="00837500">
        <w:rPr>
          <w:lang w:val="es-ES_tradnl" w:eastAsia="es-ES"/>
        </w:rPr>
        <w:t xml:space="preserve"> </w:t>
      </w:r>
      <w:r w:rsidR="008702DA" w:rsidRPr="008702DA">
        <w:rPr>
          <w:lang w:val="es-ES_tradnl" w:eastAsia="es-ES"/>
        </w:rPr>
        <w:t>averiguaciones previas por desaparición.</w:t>
      </w:r>
    </w:p>
    <w:p w14:paraId="55930098" w14:textId="775A3C48" w:rsidR="00CE48FE" w:rsidRDefault="008702DA" w:rsidP="000167EA">
      <w:pPr>
        <w:pStyle w:val="SingleTxtG"/>
        <w:rPr>
          <w:lang w:val="es-ES_tradnl" w:eastAsia="es-ES"/>
        </w:rPr>
      </w:pPr>
      <w:r>
        <w:rPr>
          <w:lang w:val="es-ES_tradnl" w:eastAsia="es-ES"/>
        </w:rPr>
        <w:t>7.6</w:t>
      </w:r>
      <w:r>
        <w:rPr>
          <w:lang w:val="es-ES_tradnl" w:eastAsia="es-ES"/>
        </w:rPr>
        <w:tab/>
      </w:r>
      <w:r w:rsidR="00F66E04">
        <w:rPr>
          <w:lang w:val="es-ES_tradnl" w:eastAsia="es-ES"/>
        </w:rPr>
        <w:t>E</w:t>
      </w:r>
      <w:r w:rsidR="00531067">
        <w:rPr>
          <w:lang w:val="es-ES_tradnl" w:eastAsia="es-ES"/>
        </w:rPr>
        <w:t>n cuanto a la</w:t>
      </w:r>
      <w:r w:rsidR="00B61890">
        <w:rPr>
          <w:lang w:val="es-ES_tradnl" w:eastAsia="es-ES"/>
        </w:rPr>
        <w:t xml:space="preserve"> </w:t>
      </w:r>
      <w:r w:rsidR="00B61890" w:rsidRPr="00B61890">
        <w:rPr>
          <w:lang w:val="es-ES_tradnl" w:eastAsia="es-ES"/>
        </w:rPr>
        <w:t xml:space="preserve">observación del Estado </w:t>
      </w:r>
      <w:r w:rsidR="00F66E04">
        <w:rPr>
          <w:lang w:val="es-ES_tradnl" w:eastAsia="es-ES"/>
        </w:rPr>
        <w:t xml:space="preserve">parte </w:t>
      </w:r>
      <w:r w:rsidR="00B61890" w:rsidRPr="00B61890">
        <w:rPr>
          <w:lang w:val="es-ES_tradnl" w:eastAsia="es-ES"/>
        </w:rPr>
        <w:t xml:space="preserve">según la cual las investigaciones son acordes a lo establecido en el Pacto, los autores defienden </w:t>
      </w:r>
      <w:r w:rsidR="00AA17B6">
        <w:rPr>
          <w:lang w:val="es-ES_tradnl" w:eastAsia="es-ES"/>
        </w:rPr>
        <w:t>que, al</w:t>
      </w:r>
      <w:r w:rsidR="00B61890" w:rsidRPr="00B61890">
        <w:rPr>
          <w:lang w:val="es-ES_tradnl" w:eastAsia="es-ES"/>
        </w:rPr>
        <w:t xml:space="preserve"> contrario</w:t>
      </w:r>
      <w:r w:rsidR="00AA17B6">
        <w:rPr>
          <w:lang w:val="es-ES_tradnl" w:eastAsia="es-ES"/>
        </w:rPr>
        <w:t>,</w:t>
      </w:r>
      <w:r w:rsidR="00B61890" w:rsidRPr="00B61890">
        <w:rPr>
          <w:lang w:val="es-ES_tradnl" w:eastAsia="es-ES"/>
        </w:rPr>
        <w:t xml:space="preserve"> no fueron </w:t>
      </w:r>
      <w:r w:rsidR="00AA17B6">
        <w:rPr>
          <w:lang w:val="es-ES_tradnl" w:eastAsia="es-ES"/>
        </w:rPr>
        <w:t xml:space="preserve">ni </w:t>
      </w:r>
      <w:r w:rsidR="00B61890" w:rsidRPr="00B61890">
        <w:rPr>
          <w:lang w:val="es-ES_tradnl" w:eastAsia="es-ES"/>
        </w:rPr>
        <w:t>inmediatas</w:t>
      </w:r>
      <w:r w:rsidR="00F66E04">
        <w:rPr>
          <w:lang w:val="es-ES_tradnl" w:eastAsia="es-ES"/>
        </w:rPr>
        <w:t xml:space="preserve"> ni exhaustivas</w:t>
      </w:r>
      <w:r w:rsidR="00B61890" w:rsidRPr="00B61890">
        <w:rPr>
          <w:lang w:val="es-ES_tradnl" w:eastAsia="es-ES"/>
        </w:rPr>
        <w:t>.</w:t>
      </w:r>
      <w:r w:rsidR="008C0687">
        <w:rPr>
          <w:lang w:val="es-ES_tradnl" w:eastAsia="es-ES"/>
        </w:rPr>
        <w:t xml:space="preserve"> </w:t>
      </w:r>
      <w:r w:rsidR="009C63EE">
        <w:rPr>
          <w:lang w:val="es-ES_tradnl" w:eastAsia="es-ES"/>
        </w:rPr>
        <w:t xml:space="preserve">En este sentido, </w:t>
      </w:r>
      <w:r w:rsidR="00C24E43">
        <w:rPr>
          <w:lang w:val="es-ES_tradnl" w:eastAsia="es-ES"/>
        </w:rPr>
        <w:t>sostienen que</w:t>
      </w:r>
      <w:r w:rsidR="00C24E43" w:rsidRPr="00C24E43">
        <w:rPr>
          <w:lang w:val="es-ES_tradnl" w:eastAsia="es-ES"/>
        </w:rPr>
        <w:t xml:space="preserve"> el Estado parte </w:t>
      </w:r>
      <w:r w:rsidR="00F66E04">
        <w:rPr>
          <w:lang w:val="es-ES_tradnl" w:eastAsia="es-ES"/>
        </w:rPr>
        <w:t>tuvo</w:t>
      </w:r>
      <w:r w:rsidR="00C24E43" w:rsidRPr="00C24E43">
        <w:rPr>
          <w:lang w:val="es-ES_tradnl" w:eastAsia="es-ES"/>
        </w:rPr>
        <w:t xml:space="preserve"> conocimiento de la desaparición </w:t>
      </w:r>
      <w:r w:rsidR="00F66E04">
        <w:rPr>
          <w:lang w:val="es-ES_tradnl" w:eastAsia="es-ES"/>
        </w:rPr>
        <w:t>desde</w:t>
      </w:r>
      <w:r w:rsidR="00C24E43" w:rsidRPr="00C24E43">
        <w:rPr>
          <w:lang w:val="es-ES_tradnl" w:eastAsia="es-ES"/>
        </w:rPr>
        <w:t xml:space="preserve"> </w:t>
      </w:r>
      <w:r w:rsidR="008C0687">
        <w:rPr>
          <w:lang w:val="es-ES_tradnl" w:eastAsia="es-ES"/>
        </w:rPr>
        <w:t>el 8 de agosto de 2011</w:t>
      </w:r>
      <w:r w:rsidR="00F66E04">
        <w:rPr>
          <w:lang w:val="es-ES_tradnl" w:eastAsia="es-ES"/>
        </w:rPr>
        <w:t>, con la primera denuncia (párr. 2.</w:t>
      </w:r>
      <w:r w:rsidR="00D243A3">
        <w:rPr>
          <w:lang w:val="es-ES_tradnl" w:eastAsia="es-ES"/>
        </w:rPr>
        <w:t>5</w:t>
      </w:r>
      <w:r w:rsidR="00F66E04">
        <w:rPr>
          <w:lang w:val="es-ES_tradnl" w:eastAsia="es-ES"/>
        </w:rPr>
        <w:t xml:space="preserve"> </w:t>
      </w:r>
      <w:r w:rsidR="00F66E04" w:rsidRPr="00F66E04">
        <w:rPr>
          <w:i/>
          <w:lang w:val="es-ES_tradnl" w:eastAsia="es-ES"/>
        </w:rPr>
        <w:t>supra</w:t>
      </w:r>
      <w:r w:rsidR="00F66E04">
        <w:rPr>
          <w:lang w:val="es-ES_tradnl" w:eastAsia="es-ES"/>
        </w:rPr>
        <w:t>)</w:t>
      </w:r>
      <w:r w:rsidR="00AB7E36">
        <w:rPr>
          <w:lang w:val="es-ES_tradnl" w:eastAsia="es-ES"/>
        </w:rPr>
        <w:t>,</w:t>
      </w:r>
      <w:r w:rsidR="00F66E04">
        <w:rPr>
          <w:lang w:val="es-ES_tradnl" w:eastAsia="es-ES"/>
        </w:rPr>
        <w:t xml:space="preserve"> y que</w:t>
      </w:r>
      <w:r w:rsidR="00DB29C6" w:rsidRPr="00DB29C6">
        <w:rPr>
          <w:lang w:val="es-ES_tradnl" w:eastAsia="es-ES"/>
        </w:rPr>
        <w:t xml:space="preserve"> </w:t>
      </w:r>
      <w:r w:rsidR="00B35511">
        <w:rPr>
          <w:lang w:val="es-ES_tradnl" w:eastAsia="es-ES"/>
        </w:rPr>
        <w:t>no</w:t>
      </w:r>
      <w:r w:rsidR="00DB29C6" w:rsidRPr="00C24E43">
        <w:rPr>
          <w:lang w:val="es-ES_tradnl" w:eastAsia="es-ES"/>
        </w:rPr>
        <w:t xml:space="preserve"> se iniciaron </w:t>
      </w:r>
      <w:r w:rsidR="00B35511">
        <w:rPr>
          <w:lang w:val="es-ES_tradnl" w:eastAsia="es-ES"/>
        </w:rPr>
        <w:t xml:space="preserve">tampoco </w:t>
      </w:r>
      <w:r w:rsidR="00DB29C6" w:rsidRPr="00C24E43">
        <w:rPr>
          <w:lang w:val="es-ES_tradnl" w:eastAsia="es-ES"/>
        </w:rPr>
        <w:t>las investigaciones</w:t>
      </w:r>
      <w:r w:rsidR="00F66E04">
        <w:rPr>
          <w:lang w:val="es-ES_tradnl" w:eastAsia="es-ES"/>
        </w:rPr>
        <w:t xml:space="preserve"> a partir de la segunda denuncia</w:t>
      </w:r>
      <w:r w:rsidR="008C0687">
        <w:rPr>
          <w:lang w:val="es-ES_tradnl" w:eastAsia="es-ES"/>
        </w:rPr>
        <w:t xml:space="preserve"> d</w:t>
      </w:r>
      <w:r w:rsidR="00C24E43" w:rsidRPr="00C24E43">
        <w:rPr>
          <w:lang w:val="es-ES_tradnl" w:eastAsia="es-ES"/>
        </w:rPr>
        <w:t>e 10 de agosto de 2011</w:t>
      </w:r>
      <w:r w:rsidR="00DB29C6">
        <w:rPr>
          <w:lang w:val="es-ES_tradnl" w:eastAsia="es-ES"/>
        </w:rPr>
        <w:t xml:space="preserve"> (párr. 2.</w:t>
      </w:r>
      <w:r w:rsidR="00D243A3">
        <w:rPr>
          <w:lang w:val="es-ES_tradnl" w:eastAsia="es-ES"/>
        </w:rPr>
        <w:t>6</w:t>
      </w:r>
      <w:r w:rsidR="00DB29C6">
        <w:rPr>
          <w:lang w:val="es-ES_tradnl" w:eastAsia="es-ES"/>
        </w:rPr>
        <w:t xml:space="preserve"> </w:t>
      </w:r>
      <w:r w:rsidR="00DB29C6" w:rsidRPr="00F66E04">
        <w:rPr>
          <w:i/>
          <w:lang w:val="es-ES_tradnl" w:eastAsia="es-ES"/>
        </w:rPr>
        <w:t>supra</w:t>
      </w:r>
      <w:r w:rsidR="00DB29C6">
        <w:rPr>
          <w:lang w:val="es-ES_tradnl" w:eastAsia="es-ES"/>
        </w:rPr>
        <w:t>)</w:t>
      </w:r>
      <w:r w:rsidR="00F66E04">
        <w:rPr>
          <w:lang w:val="es-ES_tradnl" w:eastAsia="es-ES"/>
        </w:rPr>
        <w:t xml:space="preserve">, </w:t>
      </w:r>
      <w:r w:rsidR="00DB29C6">
        <w:rPr>
          <w:lang w:val="es-ES_tradnl" w:eastAsia="es-ES"/>
        </w:rPr>
        <w:t>razón por la cual</w:t>
      </w:r>
      <w:r w:rsidR="00B35511">
        <w:rPr>
          <w:lang w:val="es-ES_tradnl" w:eastAsia="es-ES"/>
        </w:rPr>
        <w:t>, precisamente,</w:t>
      </w:r>
      <w:r w:rsidR="00DB29C6">
        <w:rPr>
          <w:lang w:val="es-ES_tradnl" w:eastAsia="es-ES"/>
        </w:rPr>
        <w:t xml:space="preserve"> </w:t>
      </w:r>
      <w:r w:rsidR="008C0687">
        <w:rPr>
          <w:lang w:val="es-ES_tradnl" w:eastAsia="es-ES"/>
        </w:rPr>
        <w:t xml:space="preserve">el padre </w:t>
      </w:r>
      <w:r w:rsidR="00DB29C6">
        <w:rPr>
          <w:lang w:val="es-ES_tradnl" w:eastAsia="es-ES"/>
        </w:rPr>
        <w:t xml:space="preserve">del desaparecido </w:t>
      </w:r>
      <w:r w:rsidR="008C0687">
        <w:rPr>
          <w:lang w:val="es-ES_tradnl" w:eastAsia="es-ES"/>
        </w:rPr>
        <w:t>acudió al</w:t>
      </w:r>
      <w:r w:rsidR="004B17A1" w:rsidRPr="004B17A1">
        <w:rPr>
          <w:lang w:val="es-ES_tradnl" w:eastAsia="es-ES"/>
        </w:rPr>
        <w:t xml:space="preserve"> Ministe</w:t>
      </w:r>
      <w:r w:rsidR="008C0687">
        <w:rPr>
          <w:lang w:val="es-ES_tradnl" w:eastAsia="es-ES"/>
        </w:rPr>
        <w:t>rio Público de Puerto Escondido</w:t>
      </w:r>
      <w:r w:rsidR="00DB29C6">
        <w:rPr>
          <w:lang w:val="es-ES_tradnl" w:eastAsia="es-ES"/>
        </w:rPr>
        <w:t xml:space="preserve"> para</w:t>
      </w:r>
      <w:r w:rsidR="008C0687">
        <w:rPr>
          <w:lang w:val="es-ES_tradnl" w:eastAsia="es-ES"/>
        </w:rPr>
        <w:t xml:space="preserve"> presen</w:t>
      </w:r>
      <w:r w:rsidR="00DB29C6">
        <w:rPr>
          <w:lang w:val="es-ES_tradnl" w:eastAsia="es-ES"/>
        </w:rPr>
        <w:t>tar</w:t>
      </w:r>
      <w:r w:rsidR="008C0687">
        <w:rPr>
          <w:lang w:val="es-ES_tradnl" w:eastAsia="es-ES"/>
        </w:rPr>
        <w:t xml:space="preserve"> una tercera denuncia</w:t>
      </w:r>
      <w:r w:rsidR="00DB29C6">
        <w:rPr>
          <w:lang w:val="es-ES_tradnl" w:eastAsia="es-ES"/>
        </w:rPr>
        <w:t xml:space="preserve"> (párr. 2.</w:t>
      </w:r>
      <w:r w:rsidR="00D243A3">
        <w:rPr>
          <w:lang w:val="es-ES_tradnl" w:eastAsia="es-ES"/>
        </w:rPr>
        <w:t>7</w:t>
      </w:r>
      <w:r w:rsidR="00DB29C6">
        <w:rPr>
          <w:lang w:val="es-ES_tradnl" w:eastAsia="es-ES"/>
        </w:rPr>
        <w:t xml:space="preserve"> </w:t>
      </w:r>
      <w:r w:rsidR="00DB29C6" w:rsidRPr="00F66E04">
        <w:rPr>
          <w:i/>
          <w:lang w:val="es-ES_tradnl" w:eastAsia="es-ES"/>
        </w:rPr>
        <w:t>supra</w:t>
      </w:r>
      <w:r w:rsidR="00DB29C6">
        <w:rPr>
          <w:lang w:val="es-ES_tradnl" w:eastAsia="es-ES"/>
        </w:rPr>
        <w:t>)</w:t>
      </w:r>
      <w:r w:rsidR="00D70353">
        <w:rPr>
          <w:lang w:val="es-ES_tradnl" w:eastAsia="es-ES"/>
        </w:rPr>
        <w:t>.</w:t>
      </w:r>
      <w:r w:rsidR="00DD7A93">
        <w:rPr>
          <w:lang w:val="es-ES_tradnl" w:eastAsia="es-ES"/>
        </w:rPr>
        <w:t xml:space="preserve"> </w:t>
      </w:r>
      <w:r w:rsidR="0015227C">
        <w:rPr>
          <w:lang w:val="es-ES_tradnl" w:eastAsia="es-ES"/>
        </w:rPr>
        <w:t xml:space="preserve">Además, los autores sostienen que la conclusión de la </w:t>
      </w:r>
      <w:r w:rsidR="0015227C" w:rsidRPr="00550247">
        <w:rPr>
          <w:lang w:val="es-ES_tradnl" w:eastAsia="es-ES"/>
        </w:rPr>
        <w:t>Fiscalía Especializada en Delitos cometidos por Servidores Públicos</w:t>
      </w:r>
      <w:r w:rsidR="00F20E05">
        <w:rPr>
          <w:lang w:val="es-ES_tradnl" w:eastAsia="es-ES"/>
        </w:rPr>
        <w:t>,</w:t>
      </w:r>
      <w:r w:rsidR="0015227C" w:rsidRPr="00550247">
        <w:rPr>
          <w:lang w:val="es-ES_tradnl" w:eastAsia="es-ES"/>
        </w:rPr>
        <w:t xml:space="preserve"> </w:t>
      </w:r>
      <w:r w:rsidR="0015227C">
        <w:rPr>
          <w:lang w:val="es-ES_tradnl" w:eastAsia="es-ES"/>
        </w:rPr>
        <w:t>según la cual</w:t>
      </w:r>
      <w:r w:rsidR="0015227C" w:rsidRPr="00550247">
        <w:rPr>
          <w:lang w:val="es-ES_tradnl" w:eastAsia="es-ES"/>
        </w:rPr>
        <w:t xml:space="preserve"> la investigación presentaba irregularidades graves</w:t>
      </w:r>
      <w:r w:rsidR="0015227C">
        <w:rPr>
          <w:lang w:val="es-ES_tradnl" w:eastAsia="es-ES"/>
        </w:rPr>
        <w:t xml:space="preserve">, es precisamente la prueba de la falta de exhaustividad. </w:t>
      </w:r>
      <w:r w:rsidR="00CE48FE">
        <w:rPr>
          <w:lang w:val="es-ES_tradnl" w:eastAsia="es-ES"/>
        </w:rPr>
        <w:t>Finalmente, los autores indican que la última averiguación p</w:t>
      </w:r>
      <w:r w:rsidR="00CE48FE" w:rsidRPr="008A1310">
        <w:rPr>
          <w:lang w:val="es-ES_tradnl" w:eastAsia="es-ES"/>
        </w:rPr>
        <w:t xml:space="preserve">revia </w:t>
      </w:r>
      <w:r w:rsidR="00CE48FE">
        <w:rPr>
          <w:lang w:val="es-ES_tradnl" w:eastAsia="es-ES"/>
        </w:rPr>
        <w:t xml:space="preserve">iniciada ante la </w:t>
      </w:r>
      <w:r w:rsidR="00AB7E36">
        <w:rPr>
          <w:lang w:val="es-ES_tradnl" w:eastAsia="es-ES"/>
        </w:rPr>
        <w:t>Procurad</w:t>
      </w:r>
      <w:r w:rsidR="000F1B30">
        <w:rPr>
          <w:lang w:val="es-ES_tradnl" w:eastAsia="es-ES"/>
        </w:rPr>
        <w:t>u</w:t>
      </w:r>
      <w:r w:rsidR="00AB7E36">
        <w:rPr>
          <w:lang w:val="es-ES_tradnl" w:eastAsia="es-ES"/>
        </w:rPr>
        <w:t xml:space="preserve">ría General de la República </w:t>
      </w:r>
      <w:r w:rsidR="00CE48FE">
        <w:rPr>
          <w:lang w:val="es-ES_tradnl" w:eastAsia="es-ES"/>
        </w:rPr>
        <w:t xml:space="preserve">en 2015 (párr. 6.8 </w:t>
      </w:r>
      <w:r w:rsidR="00CE48FE" w:rsidRPr="00F66E04">
        <w:rPr>
          <w:i/>
          <w:lang w:val="es-ES_tradnl" w:eastAsia="es-ES"/>
        </w:rPr>
        <w:t>supra</w:t>
      </w:r>
      <w:r w:rsidR="00CE48FE">
        <w:rPr>
          <w:lang w:val="es-ES_tradnl" w:eastAsia="es-ES"/>
        </w:rPr>
        <w:t xml:space="preserve">) </w:t>
      </w:r>
      <w:r w:rsidR="00CE48FE" w:rsidRPr="008A1310">
        <w:rPr>
          <w:lang w:val="es-ES_tradnl" w:eastAsia="es-ES"/>
        </w:rPr>
        <w:t xml:space="preserve">tampoco ha sido una investigación exhaustiva y diligente, </w:t>
      </w:r>
      <w:r w:rsidR="00CE48FE">
        <w:rPr>
          <w:lang w:val="es-ES_tradnl" w:eastAsia="es-ES"/>
        </w:rPr>
        <w:t xml:space="preserve">por la </w:t>
      </w:r>
      <w:r w:rsidR="00CE48FE" w:rsidRPr="008A1310">
        <w:rPr>
          <w:lang w:val="es-ES_tradnl" w:eastAsia="es-ES"/>
        </w:rPr>
        <w:t>ausencia total de a</w:t>
      </w:r>
      <w:r w:rsidR="00CE48FE">
        <w:rPr>
          <w:lang w:val="es-ES_tradnl" w:eastAsia="es-ES"/>
        </w:rPr>
        <w:t>ctuación pertinente</w:t>
      </w:r>
      <w:r w:rsidR="00CE48FE" w:rsidRPr="008A1310">
        <w:rPr>
          <w:lang w:val="es-ES_tradnl" w:eastAsia="es-ES"/>
        </w:rPr>
        <w:t>.</w:t>
      </w:r>
    </w:p>
    <w:p w14:paraId="6DBF3F2F" w14:textId="5BC786D9" w:rsidR="008001B4" w:rsidRDefault="00CE48FE" w:rsidP="00960AF1">
      <w:pPr>
        <w:pStyle w:val="SingleTxtG"/>
        <w:rPr>
          <w:lang w:val="es-ES_tradnl" w:eastAsia="es-ES"/>
        </w:rPr>
      </w:pPr>
      <w:r>
        <w:rPr>
          <w:lang w:val="es-ES_tradnl" w:eastAsia="es-ES"/>
        </w:rPr>
        <w:t>7.7</w:t>
      </w:r>
      <w:r>
        <w:rPr>
          <w:lang w:val="es-ES_tradnl" w:eastAsia="es-ES"/>
        </w:rPr>
        <w:tab/>
      </w:r>
      <w:r w:rsidR="0015227C">
        <w:rPr>
          <w:lang w:val="es-ES_tradnl" w:eastAsia="es-ES"/>
        </w:rPr>
        <w:t>Los autores retoman la conclusión de</w:t>
      </w:r>
      <w:r w:rsidR="009403D3">
        <w:rPr>
          <w:lang w:val="es-ES_tradnl" w:eastAsia="es-ES"/>
        </w:rPr>
        <w:t xml:space="preserve"> l</w:t>
      </w:r>
      <w:r w:rsidR="009403D3" w:rsidRPr="009403D3">
        <w:rPr>
          <w:lang w:val="es-ES_tradnl" w:eastAsia="es-ES"/>
        </w:rPr>
        <w:t>a Defensoría</w:t>
      </w:r>
      <w:r w:rsidR="0015227C">
        <w:rPr>
          <w:lang w:val="es-ES_tradnl" w:eastAsia="es-ES"/>
        </w:rPr>
        <w:t>, para la cual</w:t>
      </w:r>
      <w:r w:rsidR="009403D3" w:rsidRPr="009403D3">
        <w:rPr>
          <w:lang w:val="es-ES_tradnl" w:eastAsia="es-ES"/>
        </w:rPr>
        <w:t xml:space="preserve"> “existió una omisión en el deber de investigación, pues la recolección de información precisa es la primera medida que debió adoptar </w:t>
      </w:r>
      <w:r w:rsidR="00ED350F">
        <w:rPr>
          <w:lang w:val="es-ES_tradnl" w:eastAsia="es-ES"/>
        </w:rPr>
        <w:t>la</w:t>
      </w:r>
      <w:r w:rsidR="009403D3" w:rsidRPr="009403D3">
        <w:rPr>
          <w:lang w:val="es-ES_tradnl" w:eastAsia="es-ES"/>
        </w:rPr>
        <w:t xml:space="preserve"> autoridad, </w:t>
      </w:r>
      <w:r w:rsidR="00ED350F">
        <w:rPr>
          <w:lang w:val="es-ES_tradnl" w:eastAsia="es-ES"/>
        </w:rPr>
        <w:t>por lo que,</w:t>
      </w:r>
      <w:r w:rsidR="009403D3" w:rsidRPr="009403D3">
        <w:rPr>
          <w:lang w:val="es-ES_tradnl" w:eastAsia="es-ES"/>
        </w:rPr>
        <w:t xml:space="preserve"> al no hacerlo, </w:t>
      </w:r>
      <w:r w:rsidR="00ED350F">
        <w:rPr>
          <w:lang w:val="es-ES_tradnl" w:eastAsia="es-ES"/>
        </w:rPr>
        <w:t>[</w:t>
      </w:r>
      <w:r w:rsidR="009403D3" w:rsidRPr="009403D3">
        <w:rPr>
          <w:lang w:val="es-ES_tradnl" w:eastAsia="es-ES"/>
        </w:rPr>
        <w:t xml:space="preserve">el </w:t>
      </w:r>
      <w:r w:rsidR="00ED350F">
        <w:rPr>
          <w:lang w:val="es-ES_tradnl" w:eastAsia="es-ES"/>
        </w:rPr>
        <w:t>padre del desaparecido]</w:t>
      </w:r>
      <w:r w:rsidR="009403D3" w:rsidRPr="009403D3">
        <w:rPr>
          <w:lang w:val="es-ES_tradnl" w:eastAsia="es-ES"/>
        </w:rPr>
        <w:t xml:space="preserve"> </w:t>
      </w:r>
      <w:r w:rsidR="00ED350F">
        <w:rPr>
          <w:lang w:val="es-ES_tradnl" w:eastAsia="es-ES"/>
        </w:rPr>
        <w:t>realizó su propia investigación hasta el grado de localizar a</w:t>
      </w:r>
      <w:r w:rsidR="009403D3" w:rsidRPr="009403D3">
        <w:rPr>
          <w:lang w:val="es-ES_tradnl" w:eastAsia="es-ES"/>
        </w:rPr>
        <w:t xml:space="preserve"> la persona que dio hospedaje a su hijo antes de su desaparición,</w:t>
      </w:r>
      <w:r w:rsidR="00ED350F">
        <w:rPr>
          <w:lang w:val="es-ES_tradnl" w:eastAsia="es-ES"/>
        </w:rPr>
        <w:t xml:space="preserve"> y</w:t>
      </w:r>
      <w:r w:rsidR="009403D3" w:rsidRPr="009403D3">
        <w:rPr>
          <w:lang w:val="es-ES_tradnl" w:eastAsia="es-ES"/>
        </w:rPr>
        <w:t xml:space="preserve"> la mochila</w:t>
      </w:r>
      <w:r w:rsidR="00ED350F">
        <w:rPr>
          <w:lang w:val="es-ES_tradnl" w:eastAsia="es-ES"/>
        </w:rPr>
        <w:t xml:space="preserve"> y otras pertenencias de su hijo”,</w:t>
      </w:r>
      <w:r w:rsidR="0015227C">
        <w:rPr>
          <w:lang w:val="es-ES_tradnl" w:eastAsia="es-ES"/>
        </w:rPr>
        <w:t xml:space="preserve"> que entregó</w:t>
      </w:r>
      <w:r w:rsidR="009403D3" w:rsidRPr="009403D3">
        <w:rPr>
          <w:lang w:val="es-ES_tradnl" w:eastAsia="es-ES"/>
        </w:rPr>
        <w:t xml:space="preserve"> </w:t>
      </w:r>
      <w:r w:rsidR="00ED350F">
        <w:rPr>
          <w:lang w:val="es-ES_tradnl" w:eastAsia="es-ES"/>
        </w:rPr>
        <w:t>al Ministerio Público</w:t>
      </w:r>
      <w:r w:rsidR="00820095">
        <w:rPr>
          <w:rStyle w:val="Refdenotaalpie"/>
          <w:lang w:val="es-ES_tradnl" w:eastAsia="es-ES"/>
        </w:rPr>
        <w:footnoteReference w:id="44"/>
      </w:r>
      <w:r w:rsidR="00820095">
        <w:rPr>
          <w:lang w:val="es-ES_tradnl" w:eastAsia="es-ES"/>
        </w:rPr>
        <w:t>.</w:t>
      </w:r>
      <w:r w:rsidR="000167EA">
        <w:rPr>
          <w:lang w:val="es-ES_tradnl" w:eastAsia="es-ES"/>
        </w:rPr>
        <w:t xml:space="preserve"> </w:t>
      </w:r>
      <w:r w:rsidR="00960AF1">
        <w:rPr>
          <w:lang w:val="es-ES_tradnl" w:eastAsia="es-ES"/>
        </w:rPr>
        <w:t xml:space="preserve">Para la </w:t>
      </w:r>
      <w:r w:rsidR="00960AF1" w:rsidRPr="009403D3">
        <w:rPr>
          <w:lang w:val="es-ES_tradnl" w:eastAsia="es-ES"/>
        </w:rPr>
        <w:t>Defensoría</w:t>
      </w:r>
      <w:r w:rsidR="00960AF1">
        <w:rPr>
          <w:lang w:val="es-ES_tradnl" w:eastAsia="es-ES"/>
        </w:rPr>
        <w:t>,</w:t>
      </w:r>
      <w:r w:rsidR="008001B4">
        <w:rPr>
          <w:lang w:val="es-ES_tradnl" w:eastAsia="es-ES"/>
        </w:rPr>
        <w:t xml:space="preserve"> </w:t>
      </w:r>
      <w:r w:rsidR="008001B4" w:rsidRPr="00702C30">
        <w:rPr>
          <w:lang w:val="es-ES_tradnl" w:eastAsia="es-ES"/>
        </w:rPr>
        <w:t xml:space="preserve">“las condiciones institucionales en las que se realizó la investigación han provocado </w:t>
      </w:r>
      <w:r w:rsidR="008001B4">
        <w:rPr>
          <w:lang w:val="es-ES_tradnl" w:eastAsia="es-ES"/>
        </w:rPr>
        <w:t>que</w:t>
      </w:r>
      <w:r w:rsidR="008001B4" w:rsidRPr="00702C30">
        <w:rPr>
          <w:lang w:val="es-ES_tradnl" w:eastAsia="es-ES"/>
        </w:rPr>
        <w:t xml:space="preserve"> dicho recurso sea incapaz de cumplir con su objetivo”, lo que ha llevado a que la familia del desaparecido continúe hasta el día de hoy con la incertidumbre de no saber qué fue lo que realmente le sucedió</w:t>
      </w:r>
      <w:r w:rsidR="00D502C6">
        <w:rPr>
          <w:lang w:val="es-ES_tradnl" w:eastAsia="es-ES"/>
        </w:rPr>
        <w:t>, por lo que</w:t>
      </w:r>
      <w:r w:rsidR="008001B4" w:rsidRPr="00702C30">
        <w:rPr>
          <w:lang w:val="es-ES_tradnl" w:eastAsia="es-ES"/>
        </w:rPr>
        <w:t xml:space="preserve"> concluye </w:t>
      </w:r>
      <w:r w:rsidR="008001B4">
        <w:rPr>
          <w:lang w:val="es-ES_tradnl" w:eastAsia="es-ES"/>
        </w:rPr>
        <w:t>a</w:t>
      </w:r>
      <w:r w:rsidR="008001B4" w:rsidRPr="00702C30">
        <w:rPr>
          <w:lang w:val="es-ES_tradnl" w:eastAsia="es-ES"/>
        </w:rPr>
        <w:t xml:space="preserve"> la violación del derecho </w:t>
      </w:r>
      <w:r w:rsidR="003F25AC" w:rsidRPr="006D6E12">
        <w:rPr>
          <w:lang w:val="es-ES_tradnl" w:eastAsia="es-ES"/>
        </w:rPr>
        <w:t>al debido proceso, específicamente el derecho a una investigación diligente y exhaustiva</w:t>
      </w:r>
      <w:r w:rsidR="008001B4" w:rsidRPr="00702C30">
        <w:rPr>
          <w:rStyle w:val="Refdenotaalpie"/>
          <w:lang w:val="es-ES_tradnl" w:eastAsia="es-ES"/>
        </w:rPr>
        <w:footnoteReference w:id="45"/>
      </w:r>
      <w:r w:rsidR="000314D2">
        <w:rPr>
          <w:lang w:val="es-ES_tradnl" w:eastAsia="es-ES"/>
        </w:rPr>
        <w:t>.</w:t>
      </w:r>
    </w:p>
    <w:p w14:paraId="2CFA1596" w14:textId="77777777" w:rsidR="00B0533C" w:rsidRDefault="00824F80">
      <w:pPr>
        <w:pStyle w:val="H23G"/>
        <w:rPr>
          <w:lang w:val="es-ES_tradnl" w:eastAsia="es-ES"/>
        </w:rPr>
      </w:pPr>
      <w:r>
        <w:rPr>
          <w:lang w:val="es-ES_tradnl" w:eastAsia="es-ES"/>
        </w:rPr>
        <w:tab/>
      </w:r>
      <w:r>
        <w:rPr>
          <w:lang w:val="es-ES_tradnl" w:eastAsia="es-ES"/>
        </w:rPr>
        <w:tab/>
      </w:r>
      <w:r w:rsidR="00B0533C">
        <w:rPr>
          <w:lang w:val="es-ES_tradnl" w:eastAsia="es-ES"/>
        </w:rPr>
        <w:t>Información adicional proporcionada por el Estado parte</w:t>
      </w:r>
    </w:p>
    <w:p w14:paraId="27E5EE2F" w14:textId="4BEC7A79" w:rsidR="00504D8B" w:rsidRDefault="00262D78" w:rsidP="00262D78">
      <w:pPr>
        <w:pStyle w:val="SingleTxtG"/>
        <w:rPr>
          <w:lang w:val="es-ES_tradnl" w:eastAsia="es-ES"/>
        </w:rPr>
      </w:pPr>
      <w:r>
        <w:rPr>
          <w:lang w:val="es-ES_tradnl" w:eastAsia="es-ES"/>
        </w:rPr>
        <w:t>8.1</w:t>
      </w:r>
      <w:r>
        <w:rPr>
          <w:lang w:val="es-ES_tradnl" w:eastAsia="es-ES"/>
        </w:rPr>
        <w:tab/>
      </w:r>
      <w:r w:rsidR="006F7DE1">
        <w:rPr>
          <w:lang w:val="es-ES_tradnl" w:eastAsia="es-ES"/>
        </w:rPr>
        <w:t xml:space="preserve">Los días </w:t>
      </w:r>
      <w:r w:rsidR="000977B0">
        <w:rPr>
          <w:lang w:val="es-ES_tradnl" w:eastAsia="es-ES"/>
        </w:rPr>
        <w:t xml:space="preserve">19 de diciembre de 2018 y 13 de marzo de 2019, el Estado parte informó al Comité </w:t>
      </w:r>
      <w:r w:rsidR="0087536F">
        <w:rPr>
          <w:lang w:val="es-ES_tradnl" w:eastAsia="es-ES"/>
        </w:rPr>
        <w:t>de</w:t>
      </w:r>
      <w:r w:rsidR="004402FA">
        <w:rPr>
          <w:lang w:val="es-ES_tradnl" w:eastAsia="es-ES"/>
        </w:rPr>
        <w:t xml:space="preserve"> acciones</w:t>
      </w:r>
      <w:r w:rsidR="006D6E12">
        <w:rPr>
          <w:lang w:val="es-ES_tradnl" w:eastAsia="es-ES"/>
        </w:rPr>
        <w:t xml:space="preserve"> </w:t>
      </w:r>
      <w:r w:rsidR="0087536F">
        <w:rPr>
          <w:lang w:val="es-ES_tradnl" w:eastAsia="es-ES"/>
        </w:rPr>
        <w:t xml:space="preserve">llevadas a cabo </w:t>
      </w:r>
      <w:r w:rsidR="006D6E12" w:rsidRPr="006D6E12">
        <w:rPr>
          <w:lang w:val="es-ES_tradnl" w:eastAsia="es-ES"/>
        </w:rPr>
        <w:t xml:space="preserve">para dar cumplimiento a la </w:t>
      </w:r>
      <w:r w:rsidR="006D4550">
        <w:rPr>
          <w:lang w:val="es-ES_tradnl" w:eastAsia="es-ES"/>
        </w:rPr>
        <w:t>r</w:t>
      </w:r>
      <w:r w:rsidR="006D6E12" w:rsidRPr="006D6E12">
        <w:rPr>
          <w:lang w:val="es-ES_tradnl" w:eastAsia="es-ES"/>
        </w:rPr>
        <w:t>ecomendación</w:t>
      </w:r>
      <w:r w:rsidR="00C75B51" w:rsidRPr="006D6E12">
        <w:rPr>
          <w:lang w:val="es-ES_tradnl" w:eastAsia="es-ES"/>
        </w:rPr>
        <w:t xml:space="preserve"> </w:t>
      </w:r>
      <w:r w:rsidR="006D6E12" w:rsidRPr="006D6E12">
        <w:rPr>
          <w:lang w:val="es-ES_tradnl" w:eastAsia="es-ES"/>
        </w:rPr>
        <w:t>emitida por la Defensoría.</w:t>
      </w:r>
      <w:r>
        <w:rPr>
          <w:lang w:val="es-ES_tradnl" w:eastAsia="es-ES"/>
        </w:rPr>
        <w:t xml:space="preserve"> Al respecto, e</w:t>
      </w:r>
      <w:r w:rsidR="006D6E12" w:rsidRPr="00317BC6">
        <w:rPr>
          <w:lang w:val="es-ES_tradnl" w:eastAsia="es-ES"/>
        </w:rPr>
        <w:t>n cuanto a</w:t>
      </w:r>
      <w:r>
        <w:rPr>
          <w:lang w:val="es-ES_tradnl" w:eastAsia="es-ES"/>
        </w:rPr>
        <w:t>l desarrollo de</w:t>
      </w:r>
      <w:r w:rsidR="006D6E12" w:rsidRPr="00317BC6">
        <w:rPr>
          <w:lang w:val="es-ES_tradnl" w:eastAsia="es-ES"/>
        </w:rPr>
        <w:t xml:space="preserve"> las investigaciones, </w:t>
      </w:r>
      <w:r w:rsidR="00317BC6" w:rsidRPr="00317BC6">
        <w:rPr>
          <w:lang w:val="es-ES_tradnl" w:eastAsia="es-ES"/>
        </w:rPr>
        <w:t>el</w:t>
      </w:r>
      <w:r w:rsidR="00317BC6">
        <w:rPr>
          <w:lang w:val="es-ES_tradnl" w:eastAsia="es-ES"/>
        </w:rPr>
        <w:t xml:space="preserve"> Estado parte </w:t>
      </w:r>
      <w:r w:rsidR="006D6E12">
        <w:rPr>
          <w:lang w:val="es-ES_tradnl" w:eastAsia="es-ES"/>
        </w:rPr>
        <w:t xml:space="preserve">menciona </w:t>
      </w:r>
      <w:r w:rsidR="00B10EDB">
        <w:rPr>
          <w:lang w:val="es-ES_tradnl" w:eastAsia="es-ES"/>
        </w:rPr>
        <w:t xml:space="preserve">en primer lugar </w:t>
      </w:r>
      <w:r w:rsidR="006D6E12">
        <w:rPr>
          <w:lang w:val="es-ES_tradnl" w:eastAsia="es-ES"/>
        </w:rPr>
        <w:t>que</w:t>
      </w:r>
      <w:r w:rsidR="00317BC6">
        <w:rPr>
          <w:lang w:val="es-ES_tradnl" w:eastAsia="es-ES"/>
        </w:rPr>
        <w:t>,</w:t>
      </w:r>
      <w:r w:rsidR="006D6E12">
        <w:rPr>
          <w:lang w:val="es-ES_tradnl" w:eastAsia="es-ES"/>
        </w:rPr>
        <w:t xml:space="preserve"> </w:t>
      </w:r>
      <w:r w:rsidR="006D6E12" w:rsidRPr="006D6E12">
        <w:rPr>
          <w:lang w:val="es-ES_tradnl" w:eastAsia="es-ES"/>
        </w:rPr>
        <w:t xml:space="preserve">mediante oficio de 24 de noviembre de 2016, el Fiscal General del </w:t>
      </w:r>
      <w:r w:rsidR="00FE0CE1">
        <w:rPr>
          <w:lang w:val="es-ES_tradnl" w:eastAsia="es-ES"/>
        </w:rPr>
        <w:t>E</w:t>
      </w:r>
      <w:r w:rsidR="006D6E12" w:rsidRPr="006D6E12">
        <w:rPr>
          <w:lang w:val="es-ES_tradnl" w:eastAsia="es-ES"/>
        </w:rPr>
        <w:t xml:space="preserve">stado de Oaxaca </w:t>
      </w:r>
      <w:r w:rsidR="00D243A3">
        <w:rPr>
          <w:lang w:val="es-ES_tradnl" w:eastAsia="es-ES"/>
        </w:rPr>
        <w:t xml:space="preserve">encomendó </w:t>
      </w:r>
      <w:r w:rsidR="006D6E12" w:rsidRPr="006D6E12">
        <w:rPr>
          <w:lang w:val="es-ES_tradnl" w:eastAsia="es-ES"/>
        </w:rPr>
        <w:t>al Fiscal Especializado para la Atención de Delitos de Alto Impacto de esa Fiscalía reali</w:t>
      </w:r>
      <w:r w:rsidR="00B10EDB">
        <w:rPr>
          <w:lang w:val="es-ES_tradnl" w:eastAsia="es-ES"/>
        </w:rPr>
        <w:t>zar</w:t>
      </w:r>
      <w:r w:rsidR="006D6E12" w:rsidRPr="006D6E12">
        <w:rPr>
          <w:lang w:val="es-ES_tradnl" w:eastAsia="es-ES"/>
        </w:rPr>
        <w:t xml:space="preserve"> una investigación seria, profesional, científica y respetuosa de los derechos humanos a fin de agotar todas las líneas de investigación tendientes a la localización con vida de</w:t>
      </w:r>
      <w:r w:rsidR="00FE0CE1">
        <w:rPr>
          <w:lang w:val="es-ES_tradnl" w:eastAsia="es-ES"/>
        </w:rPr>
        <w:t xml:space="preserve">l Sr. </w:t>
      </w:r>
      <w:r w:rsidR="006D6E12" w:rsidRPr="006D6E12">
        <w:rPr>
          <w:lang w:val="es-ES_tradnl" w:eastAsia="es-ES"/>
        </w:rPr>
        <w:t>Moreno Pérez</w:t>
      </w:r>
      <w:r w:rsidR="006D6E12">
        <w:rPr>
          <w:lang w:val="es-ES_tradnl" w:eastAsia="es-ES"/>
        </w:rPr>
        <w:t>.</w:t>
      </w:r>
      <w:r w:rsidR="004C7C94">
        <w:rPr>
          <w:lang w:val="es-ES_tradnl" w:eastAsia="es-ES"/>
        </w:rPr>
        <w:t xml:space="preserve"> </w:t>
      </w:r>
      <w:r w:rsidR="00317BC6">
        <w:rPr>
          <w:lang w:val="es-ES_tradnl" w:eastAsia="es-ES"/>
        </w:rPr>
        <w:t>E</w:t>
      </w:r>
      <w:r w:rsidR="00E12FD4">
        <w:rPr>
          <w:lang w:val="es-ES_tradnl" w:eastAsia="es-ES"/>
        </w:rPr>
        <w:t xml:space="preserve">l Estado </w:t>
      </w:r>
      <w:r w:rsidR="00B10EDB">
        <w:rPr>
          <w:lang w:val="es-ES_tradnl" w:eastAsia="es-ES"/>
        </w:rPr>
        <w:t xml:space="preserve">parte </w:t>
      </w:r>
      <w:r w:rsidR="001C6FFF">
        <w:rPr>
          <w:lang w:val="es-ES_tradnl" w:eastAsia="es-ES"/>
        </w:rPr>
        <w:t xml:space="preserve">informa </w:t>
      </w:r>
      <w:r w:rsidR="00B10EDB">
        <w:rPr>
          <w:lang w:val="es-ES_tradnl" w:eastAsia="es-ES"/>
        </w:rPr>
        <w:t>en segundo lugar</w:t>
      </w:r>
      <w:r w:rsidR="001C6FFF">
        <w:rPr>
          <w:lang w:val="es-ES_tradnl" w:eastAsia="es-ES"/>
        </w:rPr>
        <w:t xml:space="preserve"> que</w:t>
      </w:r>
      <w:r w:rsidR="00317BC6">
        <w:rPr>
          <w:lang w:val="es-ES_tradnl" w:eastAsia="es-ES"/>
        </w:rPr>
        <w:t xml:space="preserve"> </w:t>
      </w:r>
      <w:r w:rsidR="00E12FD4" w:rsidRPr="00E12FD4">
        <w:rPr>
          <w:lang w:val="es-ES_tradnl" w:eastAsia="es-ES"/>
        </w:rPr>
        <w:t>existe una solicitud constante de colaboración a fin de realizar una confronta</w:t>
      </w:r>
      <w:r w:rsidR="009C368B">
        <w:rPr>
          <w:lang w:val="es-ES_tradnl" w:eastAsia="es-ES"/>
        </w:rPr>
        <w:t>ción</w:t>
      </w:r>
      <w:r w:rsidR="00E12FD4" w:rsidRPr="00E12FD4">
        <w:rPr>
          <w:lang w:val="es-ES_tradnl" w:eastAsia="es-ES"/>
        </w:rPr>
        <w:t xml:space="preserve"> de los datos genéticos de</w:t>
      </w:r>
      <w:r w:rsidR="00B10EDB">
        <w:rPr>
          <w:lang w:val="es-ES_tradnl" w:eastAsia="es-ES"/>
        </w:rPr>
        <w:t>l Sr.</w:t>
      </w:r>
      <w:r w:rsidR="00E12FD4" w:rsidRPr="00E12FD4">
        <w:rPr>
          <w:lang w:val="es-ES_tradnl" w:eastAsia="es-ES"/>
        </w:rPr>
        <w:t xml:space="preserve"> Moreno Pérez con</w:t>
      </w:r>
      <w:r w:rsidR="00F6131F">
        <w:rPr>
          <w:lang w:val="es-ES_tradnl" w:eastAsia="es-ES"/>
        </w:rPr>
        <w:t xml:space="preserve"> los cuerpos que se encuentr</w:t>
      </w:r>
      <w:r w:rsidR="00B10EDB">
        <w:rPr>
          <w:lang w:val="es-ES_tradnl" w:eastAsia="es-ES"/>
        </w:rPr>
        <w:t>e</w:t>
      </w:r>
      <w:r w:rsidR="00F6131F">
        <w:rPr>
          <w:lang w:val="es-ES_tradnl" w:eastAsia="es-ES"/>
        </w:rPr>
        <w:t>n</w:t>
      </w:r>
      <w:r w:rsidR="00B10EDB">
        <w:rPr>
          <w:lang w:val="es-ES_tradnl" w:eastAsia="es-ES"/>
        </w:rPr>
        <w:t>. E</w:t>
      </w:r>
      <w:r w:rsidR="00BE0EED">
        <w:rPr>
          <w:lang w:val="es-ES_tradnl" w:eastAsia="es-ES"/>
        </w:rPr>
        <w:t>n tercer lugar, e</w:t>
      </w:r>
      <w:r w:rsidR="00B10EDB">
        <w:rPr>
          <w:lang w:val="es-ES_tradnl" w:eastAsia="es-ES"/>
        </w:rPr>
        <w:t xml:space="preserve">l Estado parte informa </w:t>
      </w:r>
      <w:r w:rsidR="00F6131F">
        <w:rPr>
          <w:lang w:val="es-ES_tradnl" w:eastAsia="es-ES"/>
        </w:rPr>
        <w:t>que</w:t>
      </w:r>
      <w:r w:rsidR="00E20CCB">
        <w:rPr>
          <w:lang w:val="es-ES_tradnl" w:eastAsia="es-ES"/>
        </w:rPr>
        <w:t>,</w:t>
      </w:r>
      <w:r w:rsidR="00F6131F">
        <w:rPr>
          <w:lang w:val="es-ES_tradnl" w:eastAsia="es-ES"/>
        </w:rPr>
        <w:t xml:space="preserve"> el </w:t>
      </w:r>
      <w:r w:rsidR="00F6131F" w:rsidRPr="0046572F">
        <w:rPr>
          <w:lang w:val="es-ES_tradnl" w:eastAsia="es-ES"/>
        </w:rPr>
        <w:t>25 de octubre de 2018</w:t>
      </w:r>
      <w:r w:rsidR="00E20CCB">
        <w:rPr>
          <w:lang w:val="es-ES_tradnl" w:eastAsia="es-ES"/>
        </w:rPr>
        <w:t>,</w:t>
      </w:r>
      <w:r w:rsidR="00F6131F" w:rsidRPr="0046572F">
        <w:rPr>
          <w:lang w:val="es-ES_tradnl" w:eastAsia="es-ES"/>
        </w:rPr>
        <w:t xml:space="preserve"> </w:t>
      </w:r>
      <w:r w:rsidR="00B10EDB" w:rsidRPr="0046572F">
        <w:rPr>
          <w:lang w:val="es-ES_tradnl" w:eastAsia="es-ES"/>
        </w:rPr>
        <w:t>con la finalidad de</w:t>
      </w:r>
      <w:r w:rsidR="00B10EDB">
        <w:rPr>
          <w:lang w:val="es-ES_tradnl" w:eastAsia="es-ES"/>
        </w:rPr>
        <w:t xml:space="preserve"> optimizar las investigaciones, se</w:t>
      </w:r>
      <w:r w:rsidR="00F6131F" w:rsidRPr="0046572F">
        <w:rPr>
          <w:lang w:val="es-ES_tradnl" w:eastAsia="es-ES"/>
        </w:rPr>
        <w:t xml:space="preserve"> </w:t>
      </w:r>
      <w:r w:rsidR="001137F0">
        <w:rPr>
          <w:lang w:val="es-ES_tradnl" w:eastAsia="es-ES"/>
        </w:rPr>
        <w:t>inició también</w:t>
      </w:r>
      <w:r w:rsidR="00F6131F" w:rsidRPr="0046572F">
        <w:rPr>
          <w:lang w:val="es-ES_tradnl" w:eastAsia="es-ES"/>
        </w:rPr>
        <w:t xml:space="preserve"> </w:t>
      </w:r>
      <w:r w:rsidR="00B10EDB">
        <w:rPr>
          <w:lang w:val="es-ES_tradnl" w:eastAsia="es-ES"/>
        </w:rPr>
        <w:t xml:space="preserve">la investigación </w:t>
      </w:r>
      <w:r w:rsidR="001137F0">
        <w:rPr>
          <w:lang w:val="es-ES_tradnl" w:eastAsia="es-ES"/>
        </w:rPr>
        <w:t>por</w:t>
      </w:r>
      <w:r w:rsidR="00F6131F" w:rsidRPr="0046572F">
        <w:rPr>
          <w:lang w:val="es-ES_tradnl" w:eastAsia="es-ES"/>
        </w:rPr>
        <w:t xml:space="preserve"> la</w:t>
      </w:r>
      <w:r w:rsidR="00BE0EED">
        <w:rPr>
          <w:lang w:val="es-ES_tradnl" w:eastAsia="es-ES"/>
        </w:rPr>
        <w:t xml:space="preserve"> </w:t>
      </w:r>
      <w:r w:rsidR="001137F0">
        <w:rPr>
          <w:lang w:val="es-ES_tradnl" w:eastAsia="es-ES"/>
        </w:rPr>
        <w:t>recién</w:t>
      </w:r>
      <w:r w:rsidR="00BE0EED">
        <w:rPr>
          <w:lang w:val="es-ES_tradnl" w:eastAsia="es-ES"/>
        </w:rPr>
        <w:t xml:space="preserve"> creada</w:t>
      </w:r>
      <w:r w:rsidR="00F6131F" w:rsidRPr="0046572F">
        <w:rPr>
          <w:lang w:val="es-ES_tradnl" w:eastAsia="es-ES"/>
        </w:rPr>
        <w:t xml:space="preserve"> Unidad Especi</w:t>
      </w:r>
      <w:r w:rsidR="00F6131F">
        <w:rPr>
          <w:lang w:val="es-ES_tradnl" w:eastAsia="es-ES"/>
        </w:rPr>
        <w:t>alizada en Desaparición Forzada</w:t>
      </w:r>
      <w:r w:rsidR="00EA4DBF">
        <w:rPr>
          <w:lang w:val="es-ES_tradnl" w:eastAsia="es-ES"/>
        </w:rPr>
        <w:t>,</w:t>
      </w:r>
      <w:r w:rsidR="008E2AC2">
        <w:rPr>
          <w:lang w:val="es-ES_tradnl" w:eastAsia="es-ES"/>
        </w:rPr>
        <w:t xml:space="preserve"> de la Fiscalía General del </w:t>
      </w:r>
      <w:r w:rsidR="00F53883">
        <w:rPr>
          <w:lang w:val="es-ES_tradnl" w:eastAsia="es-ES"/>
        </w:rPr>
        <w:t>E</w:t>
      </w:r>
      <w:r w:rsidR="008E2AC2">
        <w:rPr>
          <w:lang w:val="es-ES_tradnl" w:eastAsia="es-ES"/>
        </w:rPr>
        <w:t>stado de Oaxaca</w:t>
      </w:r>
      <w:r w:rsidR="00B10EDB">
        <w:rPr>
          <w:rStyle w:val="Refdenotaalpie"/>
          <w:lang w:val="es-ES_tradnl" w:eastAsia="es-ES"/>
        </w:rPr>
        <w:footnoteReference w:id="46"/>
      </w:r>
      <w:r w:rsidR="00C54D65">
        <w:rPr>
          <w:lang w:val="es-ES_tradnl" w:eastAsia="es-ES"/>
        </w:rPr>
        <w:t>.</w:t>
      </w:r>
      <w:r w:rsidR="001C6FFF">
        <w:rPr>
          <w:lang w:val="es-ES_tradnl" w:eastAsia="es-ES"/>
        </w:rPr>
        <w:t xml:space="preserve"> </w:t>
      </w:r>
      <w:r w:rsidR="001137F0">
        <w:rPr>
          <w:lang w:val="es-ES_tradnl" w:eastAsia="es-ES"/>
        </w:rPr>
        <w:t xml:space="preserve">Finalmente, el Estado parte </w:t>
      </w:r>
      <w:r w:rsidR="00C85E24">
        <w:rPr>
          <w:lang w:val="es-ES_tradnl" w:eastAsia="es-ES"/>
        </w:rPr>
        <w:t xml:space="preserve">enumeró </w:t>
      </w:r>
      <w:r w:rsidR="001137F0">
        <w:rPr>
          <w:lang w:val="es-ES_tradnl" w:eastAsia="es-ES"/>
        </w:rPr>
        <w:t>una serie de diligencias</w:t>
      </w:r>
      <w:r w:rsidR="00D9236F">
        <w:rPr>
          <w:lang w:val="es-ES_tradnl" w:eastAsia="es-ES"/>
        </w:rPr>
        <w:t xml:space="preserve"> </w:t>
      </w:r>
      <w:r w:rsidR="00EA4DBF">
        <w:rPr>
          <w:lang w:val="es-ES_tradnl" w:eastAsia="es-ES"/>
        </w:rPr>
        <w:t xml:space="preserve">llevadas a cabo por </w:t>
      </w:r>
      <w:r w:rsidR="00EA4DBF" w:rsidRPr="00F6131F">
        <w:rPr>
          <w:lang w:val="es-ES_tradnl" w:eastAsia="es-ES"/>
        </w:rPr>
        <w:t xml:space="preserve">la </w:t>
      </w:r>
      <w:r w:rsidR="00C85E24">
        <w:rPr>
          <w:lang w:val="es-ES_tradnl" w:eastAsia="es-ES"/>
        </w:rPr>
        <w:t>Procurad</w:t>
      </w:r>
      <w:r w:rsidR="001B5FC2">
        <w:rPr>
          <w:lang w:val="es-ES_tradnl" w:eastAsia="es-ES"/>
        </w:rPr>
        <w:t>u</w:t>
      </w:r>
      <w:r w:rsidR="00C85E24">
        <w:rPr>
          <w:lang w:val="es-ES_tradnl" w:eastAsia="es-ES"/>
        </w:rPr>
        <w:t>ría General de la República —</w:t>
      </w:r>
      <w:r w:rsidR="00D9236F">
        <w:rPr>
          <w:lang w:val="es-ES_tradnl" w:eastAsia="es-ES"/>
        </w:rPr>
        <w:lastRenderedPageBreak/>
        <w:t>diversas solicitudes en 2018 para</w:t>
      </w:r>
      <w:r w:rsidR="00D9236F" w:rsidRPr="00D9236F">
        <w:rPr>
          <w:lang w:val="es-ES_tradnl" w:eastAsia="es-ES"/>
        </w:rPr>
        <w:t xml:space="preserve"> </w:t>
      </w:r>
      <w:r w:rsidR="00D9236F" w:rsidRPr="00641799">
        <w:rPr>
          <w:lang w:val="es-ES_tradnl" w:eastAsia="es-ES"/>
        </w:rPr>
        <w:t xml:space="preserve">designar elementos que </w:t>
      </w:r>
      <w:r w:rsidR="00D9236F">
        <w:rPr>
          <w:lang w:val="es-ES_tradnl" w:eastAsia="es-ES"/>
        </w:rPr>
        <w:t>se avoquen a la investigación</w:t>
      </w:r>
      <w:r w:rsidR="00C85E24">
        <w:rPr>
          <w:lang w:val="es-ES_tradnl" w:eastAsia="es-ES"/>
        </w:rPr>
        <w:t>—</w:t>
      </w:r>
      <w:r w:rsidR="00EA4DBF">
        <w:rPr>
          <w:lang w:val="es-ES_tradnl" w:eastAsia="es-ES"/>
        </w:rPr>
        <w:t xml:space="preserve">, </w:t>
      </w:r>
      <w:r w:rsidR="001137F0">
        <w:rPr>
          <w:lang w:val="es-ES_tradnl" w:eastAsia="es-ES"/>
        </w:rPr>
        <w:t>sin resultado</w:t>
      </w:r>
      <w:r w:rsidR="00641799" w:rsidRPr="00641799">
        <w:rPr>
          <w:lang w:val="es-ES_tradnl" w:eastAsia="es-ES"/>
        </w:rPr>
        <w:t>.</w:t>
      </w:r>
    </w:p>
    <w:p w14:paraId="5740B4A6" w14:textId="46136C4D" w:rsidR="00560F9D" w:rsidRDefault="00EA4DBF" w:rsidP="00504D8B">
      <w:pPr>
        <w:pStyle w:val="SingleTxtG"/>
        <w:rPr>
          <w:lang w:val="es-ES_tradnl" w:eastAsia="es-ES"/>
        </w:rPr>
      </w:pPr>
      <w:r>
        <w:rPr>
          <w:lang w:val="es-ES_tradnl" w:eastAsia="es-ES"/>
        </w:rPr>
        <w:t>8.2</w:t>
      </w:r>
      <w:r>
        <w:rPr>
          <w:lang w:val="es-ES_tradnl" w:eastAsia="es-ES"/>
        </w:rPr>
        <w:tab/>
        <w:t xml:space="preserve">En cuanto </w:t>
      </w:r>
      <w:r w:rsidRPr="0099286D">
        <w:rPr>
          <w:lang w:val="es-ES_tradnl" w:eastAsia="es-ES"/>
        </w:rPr>
        <w:t xml:space="preserve">la averiguación previa </w:t>
      </w:r>
      <w:r>
        <w:rPr>
          <w:lang w:val="es-ES_tradnl" w:eastAsia="es-ES"/>
        </w:rPr>
        <w:t>llevada a cabo por</w:t>
      </w:r>
      <w:r w:rsidR="00504D8B">
        <w:rPr>
          <w:lang w:val="es-ES_tradnl" w:eastAsia="es-ES"/>
        </w:rPr>
        <w:t xml:space="preserve"> </w:t>
      </w:r>
      <w:r w:rsidR="00560F9D" w:rsidRPr="0099286D">
        <w:rPr>
          <w:lang w:val="es-ES_tradnl" w:eastAsia="es-ES"/>
        </w:rPr>
        <w:t xml:space="preserve">la Fiscalía General del </w:t>
      </w:r>
      <w:r w:rsidR="007A7C30">
        <w:rPr>
          <w:lang w:val="es-ES_tradnl" w:eastAsia="es-ES"/>
        </w:rPr>
        <w:t>E</w:t>
      </w:r>
      <w:r w:rsidR="00560F9D" w:rsidRPr="0099286D">
        <w:rPr>
          <w:lang w:val="es-ES_tradnl" w:eastAsia="es-ES"/>
        </w:rPr>
        <w:t xml:space="preserve">stado de Oaxaca </w:t>
      </w:r>
      <w:r w:rsidR="00504D8B" w:rsidRPr="0099286D">
        <w:rPr>
          <w:lang w:val="es-ES_tradnl" w:eastAsia="es-ES"/>
        </w:rPr>
        <w:t>en contra del</w:t>
      </w:r>
      <w:r w:rsidR="00560F9D" w:rsidRPr="0099286D">
        <w:rPr>
          <w:lang w:val="es-ES_tradnl" w:eastAsia="es-ES"/>
        </w:rPr>
        <w:t xml:space="preserve"> </w:t>
      </w:r>
      <w:r w:rsidR="00504D8B" w:rsidRPr="0099286D">
        <w:rPr>
          <w:lang w:val="es-ES_tradnl" w:eastAsia="es-ES"/>
        </w:rPr>
        <w:t>agente</w:t>
      </w:r>
      <w:r w:rsidR="00560F9D" w:rsidRPr="0099286D">
        <w:rPr>
          <w:lang w:val="es-ES_tradnl" w:eastAsia="es-ES"/>
        </w:rPr>
        <w:t xml:space="preserve"> Juan Luis Vásquez Martínez</w:t>
      </w:r>
      <w:r w:rsidR="004854FA">
        <w:rPr>
          <w:lang w:val="es-ES_tradnl" w:eastAsia="es-ES"/>
        </w:rPr>
        <w:t xml:space="preserve"> (párr. 6.7 </w:t>
      </w:r>
      <w:r w:rsidR="004854FA" w:rsidRPr="004854FA">
        <w:rPr>
          <w:i/>
          <w:lang w:val="es-ES_tradnl" w:eastAsia="es-ES"/>
        </w:rPr>
        <w:t>supra</w:t>
      </w:r>
      <w:r w:rsidR="004854FA">
        <w:rPr>
          <w:lang w:val="es-ES_tradnl" w:eastAsia="es-ES"/>
        </w:rPr>
        <w:t>)</w:t>
      </w:r>
      <w:r w:rsidR="00504D8B">
        <w:rPr>
          <w:lang w:val="es-ES_tradnl" w:eastAsia="es-ES"/>
        </w:rPr>
        <w:t xml:space="preserve">, </w:t>
      </w:r>
      <w:r>
        <w:rPr>
          <w:lang w:val="es-ES_tradnl" w:eastAsia="es-ES"/>
        </w:rPr>
        <w:t xml:space="preserve">el </w:t>
      </w:r>
      <w:r w:rsidR="004D56DD">
        <w:rPr>
          <w:lang w:val="es-ES_tradnl" w:eastAsia="es-ES"/>
        </w:rPr>
        <w:t>E</w:t>
      </w:r>
      <w:r>
        <w:rPr>
          <w:lang w:val="es-ES_tradnl" w:eastAsia="es-ES"/>
        </w:rPr>
        <w:t xml:space="preserve">stado parte informa que </w:t>
      </w:r>
      <w:r w:rsidR="00504D8B">
        <w:rPr>
          <w:lang w:val="es-ES_tradnl" w:eastAsia="es-ES"/>
        </w:rPr>
        <w:t>el 5 de noviembre de 2018</w:t>
      </w:r>
      <w:r w:rsidR="0039467F">
        <w:rPr>
          <w:lang w:val="es-ES_tradnl" w:eastAsia="es-ES"/>
        </w:rPr>
        <w:t>,</w:t>
      </w:r>
      <w:r w:rsidR="00504D8B" w:rsidRPr="009625FF">
        <w:rPr>
          <w:lang w:val="es-ES_tradnl" w:eastAsia="es-ES"/>
        </w:rPr>
        <w:t xml:space="preserve"> el Juzgado Octavo de Distrito en el estado de Oaxaca resolvió conceder </w:t>
      </w:r>
      <w:r w:rsidR="004D56DD">
        <w:rPr>
          <w:lang w:val="es-ES_tradnl" w:eastAsia="es-ES"/>
        </w:rPr>
        <w:t>un</w:t>
      </w:r>
      <w:r w:rsidR="00504D8B" w:rsidRPr="009625FF">
        <w:rPr>
          <w:lang w:val="es-ES_tradnl" w:eastAsia="es-ES"/>
        </w:rPr>
        <w:t xml:space="preserve"> amparo promovido </w:t>
      </w:r>
      <w:r w:rsidR="00504D8B">
        <w:rPr>
          <w:lang w:val="es-ES_tradnl" w:eastAsia="es-ES"/>
        </w:rPr>
        <w:t>el</w:t>
      </w:r>
      <w:r w:rsidR="009625FF" w:rsidRPr="009625FF">
        <w:rPr>
          <w:lang w:val="es-ES_tradnl" w:eastAsia="es-ES"/>
        </w:rPr>
        <w:t xml:space="preserve"> 6 de noviembre de 2017</w:t>
      </w:r>
      <w:r w:rsidR="0039467F">
        <w:rPr>
          <w:lang w:val="es-ES_tradnl" w:eastAsia="es-ES"/>
        </w:rPr>
        <w:t>,</w:t>
      </w:r>
      <w:r w:rsidR="009625FF" w:rsidRPr="009625FF">
        <w:rPr>
          <w:lang w:val="es-ES_tradnl" w:eastAsia="es-ES"/>
        </w:rPr>
        <w:t xml:space="preserve"> ante lo cual se espera que la autoridad federal determine lo procedente</w:t>
      </w:r>
      <w:r w:rsidR="00915ACE">
        <w:rPr>
          <w:rStyle w:val="Refdenotaalpie"/>
          <w:lang w:val="es-ES_tradnl" w:eastAsia="es-ES"/>
        </w:rPr>
        <w:footnoteReference w:id="47"/>
      </w:r>
      <w:r w:rsidR="00C85E24">
        <w:rPr>
          <w:lang w:val="es-ES_tradnl" w:eastAsia="es-ES"/>
        </w:rPr>
        <w:t>.</w:t>
      </w:r>
    </w:p>
    <w:p w14:paraId="2BD31E10" w14:textId="722E9B2A" w:rsidR="002A1D99" w:rsidRPr="00917A9F" w:rsidRDefault="009E2344" w:rsidP="002A1D99">
      <w:pPr>
        <w:pStyle w:val="SingleTxtG"/>
        <w:rPr>
          <w:lang w:val="es-ES_tradnl" w:eastAsia="es-ES"/>
        </w:rPr>
      </w:pPr>
      <w:r>
        <w:rPr>
          <w:lang w:val="es-ES_tradnl" w:eastAsia="es-ES"/>
        </w:rPr>
        <w:t>8.3</w:t>
      </w:r>
      <w:r>
        <w:rPr>
          <w:lang w:val="es-ES_tradnl" w:eastAsia="es-ES"/>
        </w:rPr>
        <w:tab/>
      </w:r>
      <w:r w:rsidR="00361D10" w:rsidRPr="00917A9F">
        <w:rPr>
          <w:lang w:val="es-ES_tradnl" w:eastAsia="es-ES"/>
        </w:rPr>
        <w:t>En cuanto al acto público de r</w:t>
      </w:r>
      <w:r w:rsidR="002A1D99" w:rsidRPr="00917A9F">
        <w:rPr>
          <w:lang w:val="es-ES_tradnl" w:eastAsia="es-ES"/>
        </w:rPr>
        <w:t>econocimiento de responsabilidad</w:t>
      </w:r>
      <w:r w:rsidR="00361D10" w:rsidRPr="00917A9F">
        <w:rPr>
          <w:lang w:val="es-ES_tradnl" w:eastAsia="es-ES"/>
        </w:rPr>
        <w:t xml:space="preserve"> y de disculpa pública que recomendó la Defensoría que se llevara a cabo,</w:t>
      </w:r>
      <w:r w:rsidR="002A1D99" w:rsidRPr="00917A9F">
        <w:rPr>
          <w:lang w:val="es-ES_tradnl" w:eastAsia="es-ES"/>
        </w:rPr>
        <w:t xml:space="preserve"> el Estado </w:t>
      </w:r>
      <w:r>
        <w:rPr>
          <w:lang w:val="es-ES_tradnl" w:eastAsia="es-ES"/>
        </w:rPr>
        <w:t xml:space="preserve">parte </w:t>
      </w:r>
      <w:r w:rsidR="002A1D99" w:rsidRPr="00917A9F">
        <w:rPr>
          <w:lang w:val="es-ES_tradnl" w:eastAsia="es-ES"/>
        </w:rPr>
        <w:t>indica que</w:t>
      </w:r>
      <w:r>
        <w:rPr>
          <w:lang w:val="es-ES_tradnl" w:eastAsia="es-ES"/>
        </w:rPr>
        <w:t xml:space="preserve"> el mismo</w:t>
      </w:r>
      <w:r w:rsidR="002A1D99" w:rsidRPr="00917A9F">
        <w:rPr>
          <w:lang w:val="es-ES_tradnl" w:eastAsia="es-ES"/>
        </w:rPr>
        <w:t xml:space="preserve"> se </w:t>
      </w:r>
      <w:r w:rsidR="00361D10" w:rsidRPr="00917A9F">
        <w:rPr>
          <w:lang w:val="es-ES_tradnl" w:eastAsia="es-ES"/>
        </w:rPr>
        <w:t>realizó</w:t>
      </w:r>
      <w:r w:rsidR="002A1D99" w:rsidRPr="00917A9F">
        <w:rPr>
          <w:lang w:val="es-ES_tradnl" w:eastAsia="es-ES"/>
        </w:rPr>
        <w:t xml:space="preserve"> </w:t>
      </w:r>
      <w:r w:rsidR="00361D10" w:rsidRPr="00917A9F">
        <w:rPr>
          <w:lang w:val="es-ES_tradnl" w:eastAsia="es-ES"/>
        </w:rPr>
        <w:t xml:space="preserve">el 29 de noviembre de 2016 por </w:t>
      </w:r>
      <w:r w:rsidR="002A1D99" w:rsidRPr="00917A9F">
        <w:rPr>
          <w:lang w:val="es-ES_tradnl" w:eastAsia="es-ES"/>
        </w:rPr>
        <w:t>el Fiscal General d</w:t>
      </w:r>
      <w:r w:rsidR="00361D10" w:rsidRPr="00917A9F">
        <w:rPr>
          <w:lang w:val="es-ES_tradnl" w:eastAsia="es-ES"/>
        </w:rPr>
        <w:t xml:space="preserve">e Justicia del </w:t>
      </w:r>
      <w:r w:rsidR="00251E23">
        <w:rPr>
          <w:lang w:val="es-ES_tradnl" w:eastAsia="es-ES"/>
        </w:rPr>
        <w:t>E</w:t>
      </w:r>
      <w:r w:rsidR="00361D10" w:rsidRPr="00917A9F">
        <w:rPr>
          <w:lang w:val="es-ES_tradnl" w:eastAsia="es-ES"/>
        </w:rPr>
        <w:t xml:space="preserve">stado de Oaxaca, </w:t>
      </w:r>
      <w:r>
        <w:rPr>
          <w:lang w:val="es-ES_tradnl" w:eastAsia="es-ES"/>
        </w:rPr>
        <w:t>en presencia</w:t>
      </w:r>
      <w:r w:rsidR="002A1D99" w:rsidRPr="00917A9F">
        <w:rPr>
          <w:lang w:val="es-ES_tradnl" w:eastAsia="es-ES"/>
        </w:rPr>
        <w:t xml:space="preserve"> </w:t>
      </w:r>
      <w:r>
        <w:rPr>
          <w:lang w:val="es-ES_tradnl" w:eastAsia="es-ES"/>
        </w:rPr>
        <w:t>d</w:t>
      </w:r>
      <w:r w:rsidR="002A1D99" w:rsidRPr="00917A9F">
        <w:rPr>
          <w:lang w:val="es-ES_tradnl" w:eastAsia="es-ES"/>
        </w:rPr>
        <w:t xml:space="preserve">el </w:t>
      </w:r>
      <w:r w:rsidR="00B667A8" w:rsidRPr="00917A9F">
        <w:rPr>
          <w:lang w:val="es-ES_tradnl" w:eastAsia="es-ES"/>
        </w:rPr>
        <w:t>Sr.</w:t>
      </w:r>
      <w:r w:rsidR="002A1D99" w:rsidRPr="00917A9F">
        <w:rPr>
          <w:lang w:val="es-ES_tradnl" w:eastAsia="es-ES"/>
        </w:rPr>
        <w:t xml:space="preserve"> Moreno Zamora, </w:t>
      </w:r>
      <w:r>
        <w:rPr>
          <w:lang w:val="es-ES_tradnl" w:eastAsia="es-ES"/>
        </w:rPr>
        <w:t xml:space="preserve">de </w:t>
      </w:r>
      <w:r w:rsidR="00B667A8" w:rsidRPr="00917A9F">
        <w:rPr>
          <w:lang w:val="es-ES_tradnl" w:eastAsia="es-ES"/>
        </w:rPr>
        <w:t xml:space="preserve">diversos </w:t>
      </w:r>
      <w:r w:rsidR="002A1D99" w:rsidRPr="00917A9F">
        <w:rPr>
          <w:lang w:val="es-ES_tradnl" w:eastAsia="es-ES"/>
        </w:rPr>
        <w:t xml:space="preserve">medios de comunicación, </w:t>
      </w:r>
      <w:r>
        <w:rPr>
          <w:lang w:val="es-ES_tradnl" w:eastAsia="es-ES"/>
        </w:rPr>
        <w:t>y d</w:t>
      </w:r>
      <w:r w:rsidR="002A1D99" w:rsidRPr="00917A9F">
        <w:rPr>
          <w:lang w:val="es-ES_tradnl" w:eastAsia="es-ES"/>
        </w:rPr>
        <w:t>el Visitador General de la Defensoría</w:t>
      </w:r>
      <w:r>
        <w:rPr>
          <w:lang w:val="es-ES_tradnl" w:eastAsia="es-ES"/>
        </w:rPr>
        <w:t>, entre otros</w:t>
      </w:r>
      <w:r w:rsidR="002A1D99" w:rsidRPr="00917A9F">
        <w:rPr>
          <w:lang w:val="es-ES_tradnl" w:eastAsia="es-ES"/>
        </w:rPr>
        <w:t>.</w:t>
      </w:r>
    </w:p>
    <w:p w14:paraId="0C7A821E" w14:textId="7F8EF1F6" w:rsidR="002A1D99" w:rsidRDefault="009E2344" w:rsidP="002A1D99">
      <w:pPr>
        <w:pStyle w:val="SingleTxtG"/>
        <w:rPr>
          <w:lang w:val="es-ES_tradnl" w:eastAsia="es-ES"/>
        </w:rPr>
      </w:pPr>
      <w:r>
        <w:rPr>
          <w:lang w:val="es-ES_tradnl" w:eastAsia="es-ES"/>
        </w:rPr>
        <w:t>8.4</w:t>
      </w:r>
      <w:r>
        <w:rPr>
          <w:lang w:val="es-ES_tradnl" w:eastAsia="es-ES"/>
        </w:rPr>
        <w:tab/>
      </w:r>
      <w:r w:rsidR="002A1D99">
        <w:rPr>
          <w:lang w:val="es-ES_tradnl" w:eastAsia="es-ES"/>
        </w:rPr>
        <w:t>En cuanto a la i</w:t>
      </w:r>
      <w:r w:rsidR="002A1D99" w:rsidRPr="002A1D99">
        <w:rPr>
          <w:lang w:val="es-ES_tradnl" w:eastAsia="es-ES"/>
        </w:rPr>
        <w:t>ndemnización compensatoria</w:t>
      </w:r>
      <w:r w:rsidR="008B60FF" w:rsidRPr="008B60FF">
        <w:rPr>
          <w:lang w:val="es-ES"/>
        </w:rPr>
        <w:t xml:space="preserve"> </w:t>
      </w:r>
      <w:r w:rsidR="008B60FF" w:rsidRPr="008B60FF">
        <w:rPr>
          <w:lang w:val="es-ES_tradnl" w:eastAsia="es-ES"/>
        </w:rPr>
        <w:t xml:space="preserve">que </w:t>
      </w:r>
      <w:r w:rsidR="008B60FF">
        <w:rPr>
          <w:lang w:val="es-ES_tradnl" w:eastAsia="es-ES"/>
        </w:rPr>
        <w:t xml:space="preserve">también </w:t>
      </w:r>
      <w:r w:rsidR="008B60FF" w:rsidRPr="008B60FF">
        <w:rPr>
          <w:lang w:val="es-ES_tradnl" w:eastAsia="es-ES"/>
        </w:rPr>
        <w:t>recomendó la Defensoría</w:t>
      </w:r>
      <w:r w:rsidR="002A1D99">
        <w:rPr>
          <w:lang w:val="es-ES_tradnl" w:eastAsia="es-ES"/>
        </w:rPr>
        <w:t xml:space="preserve">, el Estado </w:t>
      </w:r>
      <w:r w:rsidR="008B60FF">
        <w:rPr>
          <w:lang w:val="es-ES_tradnl" w:eastAsia="es-ES"/>
        </w:rPr>
        <w:t xml:space="preserve">parte </w:t>
      </w:r>
      <w:r w:rsidR="002A1D99">
        <w:rPr>
          <w:lang w:val="es-ES_tradnl" w:eastAsia="es-ES"/>
        </w:rPr>
        <w:t xml:space="preserve">indica que el </w:t>
      </w:r>
      <w:r w:rsidR="002A1D99" w:rsidRPr="002A1D99">
        <w:rPr>
          <w:lang w:val="es-ES_tradnl" w:eastAsia="es-ES"/>
        </w:rPr>
        <w:t xml:space="preserve">29 de noviembre de 2016 se llevó a cabo una reunión con </w:t>
      </w:r>
      <w:r w:rsidR="00E406E3">
        <w:rPr>
          <w:lang w:val="es-ES_tradnl" w:eastAsia="es-ES"/>
        </w:rPr>
        <w:t>el Sr.</w:t>
      </w:r>
      <w:r w:rsidR="002A1D99" w:rsidRPr="002A1D99">
        <w:rPr>
          <w:lang w:val="es-ES_tradnl" w:eastAsia="es-ES"/>
        </w:rPr>
        <w:t xml:space="preserve"> Moreno Zamora </w:t>
      </w:r>
      <w:r w:rsidR="008B60FF">
        <w:rPr>
          <w:lang w:val="es-ES_tradnl" w:eastAsia="es-ES"/>
        </w:rPr>
        <w:t xml:space="preserve">en la cual </w:t>
      </w:r>
      <w:r w:rsidR="00E406E3">
        <w:rPr>
          <w:lang w:val="es-ES_tradnl" w:eastAsia="es-ES"/>
        </w:rPr>
        <w:t xml:space="preserve">aceptó, y le fue desde entonces entregada, </w:t>
      </w:r>
      <w:r w:rsidR="008B60FF">
        <w:rPr>
          <w:lang w:val="es-ES_tradnl" w:eastAsia="es-ES"/>
        </w:rPr>
        <w:t>la suma de</w:t>
      </w:r>
      <w:r w:rsidR="002A1D99" w:rsidRPr="002A1D99">
        <w:rPr>
          <w:lang w:val="es-ES_tradnl" w:eastAsia="es-ES"/>
        </w:rPr>
        <w:t xml:space="preserve"> </w:t>
      </w:r>
      <w:r w:rsidR="003E14DB">
        <w:rPr>
          <w:lang w:val="es-ES_tradnl" w:eastAsia="es-ES"/>
        </w:rPr>
        <w:t xml:space="preserve">1.500.000 </w:t>
      </w:r>
      <w:r w:rsidR="008B60FF">
        <w:rPr>
          <w:lang w:val="es-ES_tradnl" w:eastAsia="es-ES"/>
        </w:rPr>
        <w:t>pesos</w:t>
      </w:r>
      <w:r w:rsidR="00070DB8">
        <w:rPr>
          <w:lang w:val="es-ES_tradnl" w:eastAsia="es-ES"/>
        </w:rPr>
        <w:t>.</w:t>
      </w:r>
    </w:p>
    <w:p w14:paraId="39482A0F" w14:textId="1D7BD69B" w:rsidR="006C1CC1" w:rsidRDefault="007A402D" w:rsidP="004C5D6C">
      <w:pPr>
        <w:pStyle w:val="SingleTxtG"/>
        <w:rPr>
          <w:lang w:val="es-ES_tradnl" w:eastAsia="es-ES"/>
        </w:rPr>
      </w:pPr>
      <w:r>
        <w:rPr>
          <w:lang w:val="es-ES_tradnl" w:eastAsia="es-ES"/>
        </w:rPr>
        <w:t>8.5</w:t>
      </w:r>
      <w:r>
        <w:rPr>
          <w:lang w:val="es-ES_tradnl" w:eastAsia="es-ES"/>
        </w:rPr>
        <w:tab/>
      </w:r>
      <w:r w:rsidR="00065CAB" w:rsidRPr="00E77B78">
        <w:rPr>
          <w:lang w:val="es-ES_tradnl" w:eastAsia="es-ES"/>
        </w:rPr>
        <w:t>En cuanto a las garantías de no repetición,</w:t>
      </w:r>
      <w:r w:rsidR="00065CAB">
        <w:rPr>
          <w:lang w:val="es-ES_tradnl" w:eastAsia="es-ES"/>
        </w:rPr>
        <w:t xml:space="preserve"> el Estado </w:t>
      </w:r>
      <w:r w:rsidR="006C6CA6">
        <w:rPr>
          <w:lang w:val="es-ES_tradnl" w:eastAsia="es-ES"/>
        </w:rPr>
        <w:t xml:space="preserve">parte </w:t>
      </w:r>
      <w:r w:rsidR="00065CAB">
        <w:rPr>
          <w:lang w:val="es-ES_tradnl" w:eastAsia="es-ES"/>
        </w:rPr>
        <w:t>informa que</w:t>
      </w:r>
      <w:r w:rsidR="00E256E5">
        <w:rPr>
          <w:lang w:val="es-ES_tradnl" w:eastAsia="es-ES"/>
        </w:rPr>
        <w:t>,</w:t>
      </w:r>
      <w:r w:rsidR="00065CAB">
        <w:rPr>
          <w:lang w:val="es-ES_tradnl" w:eastAsia="es-ES"/>
        </w:rPr>
        <w:t xml:space="preserve"> </w:t>
      </w:r>
      <w:r w:rsidR="00065CAB" w:rsidRPr="00065CAB">
        <w:rPr>
          <w:lang w:val="es-ES_tradnl" w:eastAsia="es-ES"/>
        </w:rPr>
        <w:t>mediante oficio de 24 de noviembre de 2016</w:t>
      </w:r>
      <w:r>
        <w:rPr>
          <w:lang w:val="es-ES_tradnl" w:eastAsia="es-ES"/>
        </w:rPr>
        <w:t>,</w:t>
      </w:r>
      <w:r w:rsidR="00065CAB" w:rsidRPr="00065CAB">
        <w:rPr>
          <w:lang w:val="es-ES_tradnl" w:eastAsia="es-ES"/>
        </w:rPr>
        <w:t xml:space="preserve"> ordenó </w:t>
      </w:r>
      <w:r>
        <w:rPr>
          <w:lang w:val="es-ES_tradnl" w:eastAsia="es-ES"/>
        </w:rPr>
        <w:t xml:space="preserve">el </w:t>
      </w:r>
      <w:r w:rsidR="00065CAB" w:rsidRPr="00065CAB">
        <w:rPr>
          <w:lang w:val="es-ES_tradnl" w:eastAsia="es-ES"/>
        </w:rPr>
        <w:t>inici</w:t>
      </w:r>
      <w:r>
        <w:rPr>
          <w:lang w:val="es-ES_tradnl" w:eastAsia="es-ES"/>
        </w:rPr>
        <w:t>o de</w:t>
      </w:r>
      <w:r w:rsidR="00065CAB" w:rsidRPr="00065CAB">
        <w:rPr>
          <w:lang w:val="es-ES_tradnl" w:eastAsia="es-ES"/>
        </w:rPr>
        <w:t xml:space="preserve"> procesos de formación en materia de derechos humanos </w:t>
      </w:r>
      <w:r w:rsidRPr="00065CAB">
        <w:rPr>
          <w:lang w:val="es-ES_tradnl" w:eastAsia="es-ES"/>
        </w:rPr>
        <w:t>a agentes del Ministerio Público</w:t>
      </w:r>
      <w:r w:rsidR="0015425F">
        <w:rPr>
          <w:lang w:val="es-ES_tradnl" w:eastAsia="es-ES"/>
        </w:rPr>
        <w:t>,</w:t>
      </w:r>
      <w:r w:rsidR="00065CAB" w:rsidRPr="00065CAB">
        <w:rPr>
          <w:lang w:val="es-ES_tradnl" w:eastAsia="es-ES"/>
        </w:rPr>
        <w:t xml:space="preserve"> </w:t>
      </w:r>
      <w:r w:rsidR="0015425F">
        <w:rPr>
          <w:lang w:val="es-ES_tradnl" w:eastAsia="es-ES"/>
        </w:rPr>
        <w:t xml:space="preserve">con la </w:t>
      </w:r>
      <w:r w:rsidR="00065CAB" w:rsidRPr="00065CAB">
        <w:rPr>
          <w:lang w:val="es-ES_tradnl" w:eastAsia="es-ES"/>
        </w:rPr>
        <w:t>colaboración institucional de la Comisión Nacional de Derechos Humanos y de la Defensoría de los Derechos Humanos del Pueblo de Oaxaca.</w:t>
      </w:r>
    </w:p>
    <w:p w14:paraId="6EEF1747" w14:textId="61BD5A2B" w:rsidR="006C1CC1" w:rsidRDefault="00D0260D" w:rsidP="00A61222">
      <w:pPr>
        <w:pStyle w:val="SingleTxtG"/>
        <w:rPr>
          <w:lang w:val="es-ES_tradnl" w:eastAsia="es-ES"/>
        </w:rPr>
      </w:pPr>
      <w:r>
        <w:rPr>
          <w:lang w:val="es-ES_tradnl" w:eastAsia="es-ES"/>
        </w:rPr>
        <w:t>8.6</w:t>
      </w:r>
      <w:r>
        <w:rPr>
          <w:lang w:val="es-ES_tradnl" w:eastAsia="es-ES"/>
        </w:rPr>
        <w:tab/>
      </w:r>
      <w:r w:rsidR="002666B2">
        <w:rPr>
          <w:lang w:val="es-ES_tradnl" w:eastAsia="es-ES"/>
        </w:rPr>
        <w:t xml:space="preserve">Finalmente, el Estado parte </w:t>
      </w:r>
      <w:r w:rsidR="006C1CC1">
        <w:rPr>
          <w:lang w:val="es-ES_tradnl" w:eastAsia="es-ES"/>
        </w:rPr>
        <w:t>inform</w:t>
      </w:r>
      <w:r w:rsidR="003F3C47">
        <w:rPr>
          <w:lang w:val="es-ES_tradnl" w:eastAsia="es-ES"/>
        </w:rPr>
        <w:t>a</w:t>
      </w:r>
      <w:r w:rsidR="006C1CC1">
        <w:rPr>
          <w:lang w:val="es-ES_tradnl" w:eastAsia="es-ES"/>
        </w:rPr>
        <w:t xml:space="preserve"> que </w:t>
      </w:r>
      <w:r w:rsidR="0014164D">
        <w:rPr>
          <w:lang w:val="es-ES_tradnl" w:eastAsia="es-ES"/>
        </w:rPr>
        <w:t>e</w:t>
      </w:r>
      <w:r w:rsidR="00A61222">
        <w:rPr>
          <w:lang w:val="es-ES_tradnl" w:eastAsia="es-ES"/>
        </w:rPr>
        <w:t xml:space="preserve">l </w:t>
      </w:r>
      <w:r w:rsidR="00A61222" w:rsidRPr="00A61222">
        <w:rPr>
          <w:lang w:val="es-ES_tradnl" w:eastAsia="es-ES"/>
        </w:rPr>
        <w:t xml:space="preserve">8 de mayo de 2015 se realizó </w:t>
      </w:r>
      <w:r w:rsidR="0014164D">
        <w:rPr>
          <w:lang w:val="es-ES_tradnl" w:eastAsia="es-ES"/>
        </w:rPr>
        <w:t>la</w:t>
      </w:r>
      <w:r w:rsidR="00A61222" w:rsidRPr="00A61222">
        <w:rPr>
          <w:lang w:val="es-ES_tradnl" w:eastAsia="es-ES"/>
        </w:rPr>
        <w:t xml:space="preserve"> inscripción en e</w:t>
      </w:r>
      <w:r w:rsidR="0014164D">
        <w:rPr>
          <w:lang w:val="es-ES_tradnl" w:eastAsia="es-ES"/>
        </w:rPr>
        <w:t>l Registro Nacional de Víctima</w:t>
      </w:r>
      <w:r w:rsidR="003F3C47">
        <w:rPr>
          <w:lang w:val="es-ES_tradnl" w:eastAsia="es-ES"/>
        </w:rPr>
        <w:t>s</w:t>
      </w:r>
      <w:r w:rsidR="0014164D">
        <w:rPr>
          <w:lang w:val="es-ES_tradnl" w:eastAsia="es-ES"/>
        </w:rPr>
        <w:t xml:space="preserve"> de</w:t>
      </w:r>
      <w:r w:rsidR="00CE64C6">
        <w:rPr>
          <w:lang w:val="es-ES_tradnl" w:eastAsia="es-ES"/>
        </w:rPr>
        <w:t>l</w:t>
      </w:r>
      <w:r w:rsidR="0014164D">
        <w:rPr>
          <w:lang w:val="es-ES_tradnl" w:eastAsia="es-ES"/>
        </w:rPr>
        <w:t xml:space="preserve"> </w:t>
      </w:r>
      <w:r w:rsidR="00CE64C6">
        <w:rPr>
          <w:lang w:val="es-ES_tradnl" w:eastAsia="es-ES"/>
        </w:rPr>
        <w:t xml:space="preserve">Sr. </w:t>
      </w:r>
      <w:r w:rsidR="0014164D">
        <w:rPr>
          <w:lang w:val="es-ES_tradnl" w:eastAsia="es-ES"/>
        </w:rPr>
        <w:t>Moreno Pérez como víctima directa y de</w:t>
      </w:r>
      <w:r w:rsidR="006779FD">
        <w:rPr>
          <w:lang w:val="es-ES_tradnl" w:eastAsia="es-ES"/>
        </w:rPr>
        <w:t>l Sr.</w:t>
      </w:r>
      <w:r w:rsidR="00A61222">
        <w:rPr>
          <w:lang w:val="es-ES_tradnl" w:eastAsia="es-ES"/>
        </w:rPr>
        <w:t xml:space="preserve"> </w:t>
      </w:r>
      <w:r w:rsidR="0014164D">
        <w:rPr>
          <w:lang w:val="es-ES_tradnl" w:eastAsia="es-ES"/>
        </w:rPr>
        <w:t>Moreno Zamora, como víctima indirecta</w:t>
      </w:r>
      <w:r w:rsidR="00A61222">
        <w:rPr>
          <w:lang w:val="es-ES_tradnl" w:eastAsia="es-ES"/>
        </w:rPr>
        <w:t>.</w:t>
      </w:r>
    </w:p>
    <w:p w14:paraId="34E17764" w14:textId="3260AFAA" w:rsidR="00795688" w:rsidRPr="00795688" w:rsidRDefault="00B12B35">
      <w:pPr>
        <w:pStyle w:val="H23G"/>
        <w:rPr>
          <w:lang w:val="es-ES_tradnl" w:eastAsia="es-ES"/>
        </w:rPr>
      </w:pPr>
      <w:r>
        <w:rPr>
          <w:lang w:val="es-ES_tradnl" w:eastAsia="es-ES"/>
        </w:rPr>
        <w:tab/>
      </w:r>
      <w:r>
        <w:rPr>
          <w:lang w:val="es-ES_tradnl" w:eastAsia="es-ES"/>
        </w:rPr>
        <w:tab/>
      </w:r>
      <w:r w:rsidR="00795688" w:rsidRPr="00795688">
        <w:rPr>
          <w:lang w:val="es-ES_tradnl" w:eastAsia="es-ES"/>
        </w:rPr>
        <w:t>Comentarios de los autores</w:t>
      </w:r>
      <w:r w:rsidR="00192D71">
        <w:rPr>
          <w:lang w:val="es-ES_tradnl" w:eastAsia="es-ES"/>
        </w:rPr>
        <w:t xml:space="preserve"> a la i</w:t>
      </w:r>
      <w:r w:rsidR="00192D71" w:rsidRPr="00192D71">
        <w:rPr>
          <w:lang w:val="es-ES_tradnl" w:eastAsia="es-ES"/>
        </w:rPr>
        <w:t xml:space="preserve">nformación adicional proporcionada </w:t>
      </w:r>
      <w:r>
        <w:rPr>
          <w:lang w:val="es-ES_tradnl" w:eastAsia="es-ES"/>
        </w:rPr>
        <w:br/>
      </w:r>
      <w:r w:rsidR="00192D71" w:rsidRPr="00192D71">
        <w:rPr>
          <w:lang w:val="es-ES_tradnl" w:eastAsia="es-ES"/>
        </w:rPr>
        <w:t>por el Estado parte</w:t>
      </w:r>
    </w:p>
    <w:p w14:paraId="3639A86E" w14:textId="029ECD26" w:rsidR="002B533C" w:rsidRDefault="00055FA0" w:rsidP="00895FE9">
      <w:pPr>
        <w:pStyle w:val="SingleTxtG"/>
        <w:rPr>
          <w:lang w:val="es-ES_tradnl" w:eastAsia="es-ES"/>
        </w:rPr>
      </w:pPr>
      <w:r>
        <w:rPr>
          <w:lang w:val="es-ES_tradnl" w:eastAsia="es-ES"/>
        </w:rPr>
        <w:t>9.1</w:t>
      </w:r>
      <w:r>
        <w:rPr>
          <w:lang w:val="es-ES_tradnl" w:eastAsia="es-ES"/>
        </w:rPr>
        <w:tab/>
      </w:r>
      <w:r w:rsidR="00513053">
        <w:rPr>
          <w:lang w:val="es-ES_tradnl" w:eastAsia="es-ES"/>
        </w:rPr>
        <w:t xml:space="preserve">El 16 de mayo de 2019, </w:t>
      </w:r>
      <w:r w:rsidR="00895FE9">
        <w:rPr>
          <w:lang w:val="es-ES_tradnl" w:eastAsia="es-ES"/>
        </w:rPr>
        <w:t xml:space="preserve">los autores </w:t>
      </w:r>
      <w:r w:rsidR="00C75B51">
        <w:rPr>
          <w:lang w:val="es-ES_tradnl" w:eastAsia="es-ES"/>
        </w:rPr>
        <w:t xml:space="preserve">sostienen </w:t>
      </w:r>
      <w:r w:rsidR="00895FE9">
        <w:rPr>
          <w:lang w:val="es-ES_tradnl" w:eastAsia="es-ES"/>
        </w:rPr>
        <w:t>que</w:t>
      </w:r>
      <w:r w:rsidR="007001DD">
        <w:rPr>
          <w:lang w:val="es-ES_tradnl" w:eastAsia="es-ES"/>
        </w:rPr>
        <w:t xml:space="preserve"> el Estado parte no avanzó respecto de</w:t>
      </w:r>
      <w:r w:rsidR="00E21821" w:rsidRPr="00943BEE">
        <w:rPr>
          <w:lang w:val="es-ES"/>
        </w:rPr>
        <w:t xml:space="preserve"> </w:t>
      </w:r>
      <w:r w:rsidR="00E21821" w:rsidRPr="00E21821">
        <w:rPr>
          <w:lang w:val="es-ES_tradnl" w:eastAsia="es-ES"/>
        </w:rPr>
        <w:t xml:space="preserve">tres de las recomendaciones de la Defensoría </w:t>
      </w:r>
      <w:r w:rsidR="00895FE9" w:rsidRPr="00E21821">
        <w:rPr>
          <w:lang w:val="es-ES_tradnl" w:eastAsia="es-ES"/>
        </w:rPr>
        <w:t xml:space="preserve">directamente </w:t>
      </w:r>
      <w:r w:rsidR="00E21821" w:rsidRPr="00E21821">
        <w:rPr>
          <w:lang w:val="es-ES_tradnl" w:eastAsia="es-ES"/>
        </w:rPr>
        <w:t xml:space="preserve">relacionadas con la desaparición del </w:t>
      </w:r>
      <w:r w:rsidR="001E3DF7">
        <w:rPr>
          <w:lang w:val="es-ES_tradnl" w:eastAsia="es-ES"/>
        </w:rPr>
        <w:t>Sr.</w:t>
      </w:r>
      <w:r w:rsidR="00895FE9">
        <w:rPr>
          <w:lang w:val="es-ES_tradnl" w:eastAsia="es-ES"/>
        </w:rPr>
        <w:t xml:space="preserve"> Moreno Pérez</w:t>
      </w:r>
      <w:r w:rsidR="00E21821" w:rsidRPr="00E21821">
        <w:rPr>
          <w:lang w:val="es-ES_tradnl" w:eastAsia="es-ES"/>
        </w:rPr>
        <w:t xml:space="preserve"> </w:t>
      </w:r>
      <w:r w:rsidR="00895FE9">
        <w:rPr>
          <w:lang w:val="es-ES_tradnl" w:eastAsia="es-ES"/>
        </w:rPr>
        <w:t>(</w:t>
      </w:r>
      <w:r w:rsidR="00895FE9" w:rsidRPr="00E21821">
        <w:rPr>
          <w:lang w:val="es-ES_tradnl" w:eastAsia="es-ES"/>
        </w:rPr>
        <w:t xml:space="preserve">investigación de la desaparición </w:t>
      </w:r>
      <w:r w:rsidR="001E3DF7">
        <w:rPr>
          <w:lang w:val="es-ES_tradnl" w:eastAsia="es-ES"/>
        </w:rPr>
        <w:t>e</w:t>
      </w:r>
      <w:r w:rsidR="00895FE9" w:rsidRPr="00E21821">
        <w:rPr>
          <w:lang w:val="es-ES_tradnl" w:eastAsia="es-ES"/>
        </w:rPr>
        <w:t xml:space="preserve"> investigaciones penales en contra de</w:t>
      </w:r>
      <w:r w:rsidR="007001DD">
        <w:rPr>
          <w:lang w:val="es-ES_tradnl" w:eastAsia="es-ES"/>
        </w:rPr>
        <w:t>l agente</w:t>
      </w:r>
      <w:r w:rsidR="00895FE9" w:rsidRPr="00E21821">
        <w:rPr>
          <w:lang w:val="es-ES_tradnl" w:eastAsia="es-ES"/>
        </w:rPr>
        <w:t xml:space="preserve"> Juan Lu</w:t>
      </w:r>
      <w:r w:rsidR="00E77A6A">
        <w:rPr>
          <w:lang w:val="es-ES_tradnl" w:eastAsia="es-ES"/>
        </w:rPr>
        <w:t>i</w:t>
      </w:r>
      <w:r w:rsidR="00895FE9" w:rsidRPr="00E21821">
        <w:rPr>
          <w:lang w:val="es-ES_tradnl" w:eastAsia="es-ES"/>
        </w:rPr>
        <w:t>s Vázquez Martínez</w:t>
      </w:r>
      <w:r w:rsidR="00895FE9">
        <w:rPr>
          <w:lang w:val="es-ES_tradnl" w:eastAsia="es-ES"/>
        </w:rPr>
        <w:t>)</w:t>
      </w:r>
      <w:r w:rsidR="007A207C">
        <w:rPr>
          <w:lang w:val="es-ES_tradnl" w:eastAsia="es-ES"/>
        </w:rPr>
        <w:t xml:space="preserve">. </w:t>
      </w:r>
      <w:r w:rsidR="007001DD">
        <w:rPr>
          <w:lang w:val="es-ES_tradnl" w:eastAsia="es-ES"/>
        </w:rPr>
        <w:t>Por ello</w:t>
      </w:r>
      <w:r w:rsidR="007A207C">
        <w:rPr>
          <w:lang w:val="es-ES_tradnl" w:eastAsia="es-ES"/>
        </w:rPr>
        <w:t>,</w:t>
      </w:r>
      <w:r w:rsidR="00895FE9">
        <w:rPr>
          <w:lang w:val="es-ES_tradnl" w:eastAsia="es-ES"/>
        </w:rPr>
        <w:t xml:space="preserve"> </w:t>
      </w:r>
      <w:r w:rsidR="007A207C">
        <w:rPr>
          <w:lang w:val="es-ES_tradnl" w:eastAsia="es-ES"/>
        </w:rPr>
        <w:t>la Defensoría observó, mediante oficio de</w:t>
      </w:r>
      <w:r w:rsidR="00E21821" w:rsidRPr="00E21821">
        <w:rPr>
          <w:lang w:val="es-ES_tradnl" w:eastAsia="es-ES"/>
        </w:rPr>
        <w:t xml:space="preserve"> 4 de julio de 2018, </w:t>
      </w:r>
      <w:r w:rsidR="00F250B9">
        <w:rPr>
          <w:lang w:val="es-ES_tradnl" w:eastAsia="es-ES"/>
        </w:rPr>
        <w:t xml:space="preserve">que </w:t>
      </w:r>
      <w:r w:rsidR="007001DD">
        <w:rPr>
          <w:lang w:val="es-ES_tradnl" w:eastAsia="es-ES"/>
        </w:rPr>
        <w:t xml:space="preserve">no se había </w:t>
      </w:r>
      <w:r w:rsidR="007109B3">
        <w:rPr>
          <w:lang w:val="es-ES_tradnl" w:eastAsia="es-ES"/>
        </w:rPr>
        <w:t>“</w:t>
      </w:r>
      <w:r w:rsidR="007109B3" w:rsidRPr="006A1FDD">
        <w:rPr>
          <w:lang w:val="es-ES_tradnl" w:eastAsia="es-ES"/>
        </w:rPr>
        <w:t xml:space="preserve">cumplido con el primer punto recomendatorio, toda vez que </w:t>
      </w:r>
      <w:r w:rsidR="007001DD">
        <w:rPr>
          <w:lang w:val="es-ES_tradnl" w:eastAsia="es-ES"/>
        </w:rPr>
        <w:t>[…]</w:t>
      </w:r>
      <w:r w:rsidR="007109B3" w:rsidRPr="006A1FDD">
        <w:rPr>
          <w:lang w:val="es-ES_tradnl" w:eastAsia="es-ES"/>
        </w:rPr>
        <w:t xml:space="preserve"> no se acredita que se ha</w:t>
      </w:r>
      <w:r w:rsidR="007109B3">
        <w:rPr>
          <w:lang w:val="es-ES_tradnl" w:eastAsia="es-ES"/>
        </w:rPr>
        <w:t>ya</w:t>
      </w:r>
      <w:r w:rsidR="007109B3" w:rsidRPr="006A1FDD">
        <w:rPr>
          <w:lang w:val="es-ES_tradnl" w:eastAsia="es-ES"/>
        </w:rPr>
        <w:t xml:space="preserve"> llevado una investigación, seria, profesional, científica y respetuosa de los derechos humanos, a fin de agotar todas las líneas de investigación tendientes a la localización con vi</w:t>
      </w:r>
      <w:r w:rsidR="007109B3">
        <w:rPr>
          <w:lang w:val="es-ES_tradnl" w:eastAsia="es-ES"/>
        </w:rPr>
        <w:t>da de Jesús Israel Moreno Pérez</w:t>
      </w:r>
      <w:r w:rsidR="007109B3" w:rsidRPr="00477585">
        <w:rPr>
          <w:lang w:val="es-ES_tradnl" w:eastAsia="es-ES"/>
        </w:rPr>
        <w:t>”</w:t>
      </w:r>
      <w:r w:rsidR="007001DD">
        <w:rPr>
          <w:lang w:val="es-ES_tradnl" w:eastAsia="es-ES"/>
        </w:rPr>
        <w:t>, y</w:t>
      </w:r>
      <w:r w:rsidR="007109B3" w:rsidRPr="00477585">
        <w:rPr>
          <w:lang w:val="es-ES_tradnl" w:eastAsia="es-ES"/>
        </w:rPr>
        <w:t xml:space="preserve"> </w:t>
      </w:r>
      <w:r w:rsidR="007A207C">
        <w:rPr>
          <w:lang w:val="es-ES_tradnl" w:eastAsia="es-ES"/>
        </w:rPr>
        <w:t xml:space="preserve">que </w:t>
      </w:r>
      <w:r w:rsidR="007001DD">
        <w:rPr>
          <w:lang w:val="es-ES_tradnl" w:eastAsia="es-ES"/>
        </w:rPr>
        <w:t>tampoco</w:t>
      </w:r>
      <w:r w:rsidR="00F0043F">
        <w:rPr>
          <w:lang w:val="es-ES_tradnl" w:eastAsia="es-ES"/>
        </w:rPr>
        <w:t xml:space="preserve"> se había cumplido el segundo punto recomendatorio al no haber </w:t>
      </w:r>
      <w:r w:rsidR="007A207C">
        <w:rPr>
          <w:lang w:val="es-ES_tradnl" w:eastAsia="es-ES"/>
        </w:rPr>
        <w:t>lleva</w:t>
      </w:r>
      <w:r w:rsidR="00F0043F">
        <w:rPr>
          <w:lang w:val="es-ES_tradnl" w:eastAsia="es-ES"/>
        </w:rPr>
        <w:t>do</w:t>
      </w:r>
      <w:r w:rsidR="007A207C">
        <w:rPr>
          <w:lang w:val="es-ES_tradnl" w:eastAsia="es-ES"/>
        </w:rPr>
        <w:t xml:space="preserve"> a </w:t>
      </w:r>
      <w:r w:rsidR="007A207C" w:rsidRPr="00A805E0">
        <w:rPr>
          <w:lang w:val="es-ES_tradnl" w:eastAsia="es-ES"/>
        </w:rPr>
        <w:t xml:space="preserve">cabo la </w:t>
      </w:r>
      <w:r w:rsidR="00F0043F">
        <w:rPr>
          <w:lang w:val="es-ES_tradnl" w:eastAsia="es-ES"/>
        </w:rPr>
        <w:t>“</w:t>
      </w:r>
      <w:r w:rsidR="007A207C" w:rsidRPr="00A805E0">
        <w:rPr>
          <w:lang w:val="es-ES_tradnl" w:eastAsia="es-ES"/>
        </w:rPr>
        <w:t>indagatoria que se integra por la actuación del entonces agente estatal de investigación</w:t>
      </w:r>
      <w:r w:rsidR="007A207C">
        <w:rPr>
          <w:lang w:val="es-ES_tradnl" w:eastAsia="es-ES"/>
        </w:rPr>
        <w:t>”</w:t>
      </w:r>
      <w:r w:rsidR="00F0043F">
        <w:rPr>
          <w:lang w:val="es-ES_tradnl" w:eastAsia="es-ES"/>
        </w:rPr>
        <w:t>. Para la Defensoría, lo anterior resulta preocupante</w:t>
      </w:r>
      <w:r w:rsidR="007A207C">
        <w:rPr>
          <w:lang w:val="es-ES_tradnl" w:eastAsia="es-ES"/>
        </w:rPr>
        <w:t xml:space="preserve"> “toda vez que con su actuar, la Fiscalía General del Estado de Oaxaca ofrece un mensaje de impunidad ante las actuaciones indebidas por parte de servidores públicos que en ejercicio de sus funciones violentan la legislación que regula su actuación</w:t>
      </w:r>
      <w:r w:rsidR="007A207C" w:rsidRPr="000F7B18">
        <w:rPr>
          <w:lang w:val="es-ES_tradnl" w:eastAsia="es-ES"/>
        </w:rPr>
        <w:t>”</w:t>
      </w:r>
      <w:r w:rsidR="00E21821">
        <w:rPr>
          <w:rStyle w:val="Refdenotaalpie"/>
          <w:lang w:val="es-ES_tradnl" w:eastAsia="es-ES"/>
        </w:rPr>
        <w:footnoteReference w:id="48"/>
      </w:r>
      <w:r w:rsidR="00D653B5" w:rsidRPr="00477585">
        <w:rPr>
          <w:lang w:val="es-ES_tradnl" w:eastAsia="es-ES"/>
        </w:rPr>
        <w:t>.</w:t>
      </w:r>
      <w:r w:rsidR="006A1FDD" w:rsidRPr="00477585">
        <w:rPr>
          <w:lang w:val="es-ES_tradnl" w:eastAsia="es-ES"/>
        </w:rPr>
        <w:t xml:space="preserve"> </w:t>
      </w:r>
      <w:r w:rsidR="004A2F36">
        <w:rPr>
          <w:lang w:val="es-ES_tradnl" w:eastAsia="es-ES"/>
        </w:rPr>
        <w:t>En consecuencia,</w:t>
      </w:r>
      <w:r w:rsidR="002B533C" w:rsidRPr="002B533C">
        <w:rPr>
          <w:lang w:val="es-ES_tradnl" w:eastAsia="es-ES"/>
        </w:rPr>
        <w:t xml:space="preserve"> la Defensoría promovió </w:t>
      </w:r>
      <w:r w:rsidR="004A2F36" w:rsidRPr="002B533C">
        <w:rPr>
          <w:lang w:val="es-ES_tradnl" w:eastAsia="es-ES"/>
        </w:rPr>
        <w:t>el 5 de septiembre de 2018</w:t>
      </w:r>
      <w:r w:rsidR="002F3CB7">
        <w:rPr>
          <w:lang w:val="es-ES_tradnl" w:eastAsia="es-ES"/>
        </w:rPr>
        <w:t xml:space="preserve">, </w:t>
      </w:r>
      <w:r w:rsidR="002B533C" w:rsidRPr="002B533C">
        <w:rPr>
          <w:lang w:val="es-ES_tradnl" w:eastAsia="es-ES"/>
        </w:rPr>
        <w:t>ante el Tribunal Superior de Justicia del Estado de Oaxaca</w:t>
      </w:r>
      <w:r w:rsidR="002F3CB7">
        <w:rPr>
          <w:lang w:val="es-ES_tradnl" w:eastAsia="es-ES"/>
        </w:rPr>
        <w:t>,</w:t>
      </w:r>
      <w:r w:rsidR="002B533C" w:rsidRPr="002B533C">
        <w:rPr>
          <w:lang w:val="es-ES_tradnl" w:eastAsia="es-ES"/>
        </w:rPr>
        <w:t xml:space="preserve"> un juicio de </w:t>
      </w:r>
      <w:r w:rsidR="0019080B">
        <w:rPr>
          <w:lang w:val="es-ES_tradnl" w:eastAsia="es-ES"/>
        </w:rPr>
        <w:t>p</w:t>
      </w:r>
      <w:r w:rsidR="002B533C" w:rsidRPr="002B533C">
        <w:rPr>
          <w:lang w:val="es-ES_tradnl" w:eastAsia="es-ES"/>
        </w:rPr>
        <w:t>rotección</w:t>
      </w:r>
      <w:r w:rsidR="002F3CB7">
        <w:rPr>
          <w:rStyle w:val="Refdenotaalpie"/>
          <w:lang w:val="es-ES_tradnl" w:eastAsia="es-ES"/>
        </w:rPr>
        <w:footnoteReference w:id="49"/>
      </w:r>
      <w:r w:rsidR="002B533C" w:rsidRPr="002B533C">
        <w:rPr>
          <w:lang w:val="es-ES_tradnl" w:eastAsia="es-ES"/>
        </w:rPr>
        <w:t xml:space="preserve"> contra el Fiscal General del Estado de Oaxaca</w:t>
      </w:r>
      <w:r w:rsidR="002F3CB7">
        <w:rPr>
          <w:lang w:val="es-ES_tradnl" w:eastAsia="es-ES"/>
        </w:rPr>
        <w:t>,</w:t>
      </w:r>
      <w:r w:rsidR="002B533C" w:rsidRPr="002B533C">
        <w:rPr>
          <w:lang w:val="es-ES_tradnl" w:eastAsia="es-ES"/>
        </w:rPr>
        <w:t xml:space="preserve"> en favor del padre del </w:t>
      </w:r>
      <w:r w:rsidR="002F3CB7">
        <w:rPr>
          <w:lang w:val="es-ES_tradnl" w:eastAsia="es-ES"/>
        </w:rPr>
        <w:t>Sr.</w:t>
      </w:r>
      <w:r w:rsidR="002B533C" w:rsidRPr="002B533C">
        <w:rPr>
          <w:lang w:val="es-ES_tradnl" w:eastAsia="es-ES"/>
        </w:rPr>
        <w:t xml:space="preserve"> Moreno Pérez, </w:t>
      </w:r>
      <w:r w:rsidR="002B533C">
        <w:rPr>
          <w:lang w:val="es-ES_tradnl" w:eastAsia="es-ES"/>
        </w:rPr>
        <w:t>ya que</w:t>
      </w:r>
      <w:r w:rsidR="002B533C" w:rsidRPr="002B533C">
        <w:rPr>
          <w:lang w:val="es-ES_tradnl" w:eastAsia="es-ES"/>
        </w:rPr>
        <w:t xml:space="preserve"> “al no implementar una investigación diligente para localizar el paradero de Jesús Israel, la Fiscalía deja sin protección a la persona desaparecida y por otro lado contr</w:t>
      </w:r>
      <w:r w:rsidR="002F3CB7">
        <w:rPr>
          <w:lang w:val="es-ES_tradnl" w:eastAsia="es-ES"/>
        </w:rPr>
        <w:t xml:space="preserve">ibuye a los </w:t>
      </w:r>
      <w:r w:rsidR="002F3CB7">
        <w:rPr>
          <w:lang w:val="es-ES_tradnl" w:eastAsia="es-ES"/>
        </w:rPr>
        <w:lastRenderedPageBreak/>
        <w:t>sufrimientos de la f</w:t>
      </w:r>
      <w:r w:rsidR="002B533C" w:rsidRPr="002B533C">
        <w:rPr>
          <w:lang w:val="es-ES_tradnl" w:eastAsia="es-ES"/>
        </w:rPr>
        <w:t>amilia al observar la inactividad del Estado”</w:t>
      </w:r>
      <w:r w:rsidR="006935EA">
        <w:rPr>
          <w:rStyle w:val="Refdenotaalpie"/>
          <w:lang w:val="es-ES_tradnl" w:eastAsia="es-ES"/>
        </w:rPr>
        <w:footnoteReference w:id="50"/>
      </w:r>
      <w:r w:rsidR="006935EA">
        <w:rPr>
          <w:lang w:val="es-ES_tradnl" w:eastAsia="es-ES"/>
        </w:rPr>
        <w:t>.</w:t>
      </w:r>
      <w:r w:rsidR="002B533C" w:rsidRPr="002B533C">
        <w:rPr>
          <w:lang w:val="es-ES_tradnl" w:eastAsia="es-ES"/>
        </w:rPr>
        <w:t xml:space="preserve"> La demanda fue recibida por el Tribunal Superior de Justicia el 11 de septiembre de 2018</w:t>
      </w:r>
      <w:r w:rsidR="00B8360B">
        <w:rPr>
          <w:rStyle w:val="Refdenotaalpie"/>
          <w:lang w:val="es-ES_tradnl" w:eastAsia="es-ES"/>
        </w:rPr>
        <w:footnoteReference w:id="51"/>
      </w:r>
      <w:r w:rsidR="00B40B72">
        <w:rPr>
          <w:lang w:val="es-ES_tradnl" w:eastAsia="es-ES"/>
        </w:rPr>
        <w:t>.</w:t>
      </w:r>
    </w:p>
    <w:p w14:paraId="59453FC9" w14:textId="2130D777" w:rsidR="00426A1F" w:rsidRDefault="00115065" w:rsidP="002B533C">
      <w:pPr>
        <w:pStyle w:val="SingleTxtG"/>
        <w:rPr>
          <w:lang w:val="es-ES_tradnl" w:eastAsia="es-ES"/>
        </w:rPr>
      </w:pPr>
      <w:r>
        <w:rPr>
          <w:lang w:val="es-ES_tradnl" w:eastAsia="es-ES"/>
        </w:rPr>
        <w:t>9.2</w:t>
      </w:r>
      <w:r>
        <w:rPr>
          <w:lang w:val="es-ES_tradnl" w:eastAsia="es-ES"/>
        </w:rPr>
        <w:tab/>
      </w:r>
      <w:r w:rsidR="00426A1F">
        <w:rPr>
          <w:lang w:val="es-ES_tradnl" w:eastAsia="es-ES"/>
        </w:rPr>
        <w:t xml:space="preserve">Los autores </w:t>
      </w:r>
      <w:r w:rsidR="00914E66">
        <w:rPr>
          <w:lang w:val="es-ES_tradnl" w:eastAsia="es-ES"/>
        </w:rPr>
        <w:t>subrayan</w:t>
      </w:r>
      <w:r w:rsidR="00426A1F">
        <w:rPr>
          <w:lang w:val="es-ES_tradnl" w:eastAsia="es-ES"/>
        </w:rPr>
        <w:t xml:space="preserve"> que </w:t>
      </w:r>
      <w:r w:rsidR="00914E66">
        <w:rPr>
          <w:lang w:val="es-ES_tradnl" w:eastAsia="es-ES"/>
        </w:rPr>
        <w:t>la</w:t>
      </w:r>
      <w:r w:rsidR="009C6095">
        <w:rPr>
          <w:lang w:val="es-ES_tradnl" w:eastAsia="es-ES"/>
        </w:rPr>
        <w:t>s</w:t>
      </w:r>
      <w:r w:rsidR="00914E66">
        <w:rPr>
          <w:lang w:val="es-ES_tradnl" w:eastAsia="es-ES"/>
        </w:rPr>
        <w:t xml:space="preserve"> fecha</w:t>
      </w:r>
      <w:r w:rsidR="009C6095">
        <w:rPr>
          <w:lang w:val="es-ES_tradnl" w:eastAsia="es-ES"/>
        </w:rPr>
        <w:t>s</w:t>
      </w:r>
      <w:r w:rsidR="00914E66">
        <w:rPr>
          <w:lang w:val="es-ES_tradnl" w:eastAsia="es-ES"/>
        </w:rPr>
        <w:t xml:space="preserve"> de presentación por el Estado parte de </w:t>
      </w:r>
      <w:r w:rsidR="009C6095">
        <w:rPr>
          <w:lang w:val="es-ES_tradnl" w:eastAsia="es-ES"/>
        </w:rPr>
        <w:t xml:space="preserve">la </w:t>
      </w:r>
      <w:r w:rsidR="00914E66">
        <w:rPr>
          <w:lang w:val="es-ES_tradnl" w:eastAsia="es-ES"/>
        </w:rPr>
        <w:t xml:space="preserve">información adicional </w:t>
      </w:r>
      <w:r w:rsidR="009C6095">
        <w:rPr>
          <w:lang w:val="es-ES_tradnl" w:eastAsia="es-ES"/>
        </w:rPr>
        <w:t>son</w:t>
      </w:r>
      <w:r w:rsidR="00914E66">
        <w:rPr>
          <w:lang w:val="es-ES_tradnl" w:eastAsia="es-ES"/>
        </w:rPr>
        <w:t xml:space="preserve"> posterior</w:t>
      </w:r>
      <w:r w:rsidR="009C6095">
        <w:rPr>
          <w:lang w:val="es-ES_tradnl" w:eastAsia="es-ES"/>
        </w:rPr>
        <w:t>es</w:t>
      </w:r>
      <w:r w:rsidR="00914E66">
        <w:rPr>
          <w:lang w:val="es-ES_tradnl" w:eastAsia="es-ES"/>
        </w:rPr>
        <w:t xml:space="preserve"> a</w:t>
      </w:r>
      <w:r w:rsidR="009C6095">
        <w:rPr>
          <w:lang w:val="es-ES_tradnl" w:eastAsia="es-ES"/>
        </w:rPr>
        <w:t>l oficio</w:t>
      </w:r>
      <w:r w:rsidR="00914E66">
        <w:rPr>
          <w:lang w:val="es-ES_tradnl" w:eastAsia="es-ES"/>
        </w:rPr>
        <w:t xml:space="preserve"> </w:t>
      </w:r>
      <w:r w:rsidR="009C6095">
        <w:rPr>
          <w:lang w:val="es-ES_tradnl" w:eastAsia="es-ES"/>
        </w:rPr>
        <w:t>de</w:t>
      </w:r>
      <w:r w:rsidR="00426A1F" w:rsidRPr="00426A1F">
        <w:rPr>
          <w:lang w:val="es-ES_tradnl" w:eastAsia="es-ES"/>
        </w:rPr>
        <w:t xml:space="preserve"> </w:t>
      </w:r>
      <w:r w:rsidR="009C6095">
        <w:rPr>
          <w:lang w:val="es-ES_tradnl" w:eastAsia="es-ES"/>
        </w:rPr>
        <w:t xml:space="preserve">la </w:t>
      </w:r>
      <w:r w:rsidR="009C6095" w:rsidRPr="00426A1F">
        <w:rPr>
          <w:lang w:val="es-ES_tradnl" w:eastAsia="es-ES"/>
        </w:rPr>
        <w:t>Defensoría</w:t>
      </w:r>
      <w:r w:rsidR="00914E66">
        <w:rPr>
          <w:lang w:val="es-ES_tradnl" w:eastAsia="es-ES"/>
        </w:rPr>
        <w:t xml:space="preserve"> </w:t>
      </w:r>
      <w:r w:rsidR="00426A1F" w:rsidRPr="00426A1F">
        <w:rPr>
          <w:lang w:val="es-ES_tradnl" w:eastAsia="es-ES"/>
        </w:rPr>
        <w:t xml:space="preserve">y </w:t>
      </w:r>
      <w:r w:rsidR="00BF5B1A">
        <w:rPr>
          <w:lang w:val="es-ES_tradnl" w:eastAsia="es-ES"/>
        </w:rPr>
        <w:t xml:space="preserve">la </w:t>
      </w:r>
      <w:r w:rsidR="00914E66">
        <w:rPr>
          <w:lang w:val="es-ES_tradnl" w:eastAsia="es-ES"/>
        </w:rPr>
        <w:t>presentación de</w:t>
      </w:r>
      <w:r w:rsidR="00426A1F" w:rsidRPr="00426A1F">
        <w:rPr>
          <w:lang w:val="es-ES_tradnl" w:eastAsia="es-ES"/>
        </w:rPr>
        <w:t xml:space="preserve"> </w:t>
      </w:r>
      <w:r w:rsidR="00914E66">
        <w:rPr>
          <w:lang w:val="es-ES_tradnl" w:eastAsia="es-ES"/>
        </w:rPr>
        <w:t>la demanda de p</w:t>
      </w:r>
      <w:r w:rsidR="00426A1F" w:rsidRPr="00426A1F">
        <w:rPr>
          <w:lang w:val="es-ES_tradnl" w:eastAsia="es-ES"/>
        </w:rPr>
        <w:t xml:space="preserve">rotección, </w:t>
      </w:r>
      <w:r w:rsidR="009C6095">
        <w:rPr>
          <w:lang w:val="es-ES_tradnl" w:eastAsia="es-ES"/>
        </w:rPr>
        <w:t>por lo que</w:t>
      </w:r>
      <w:r w:rsidR="00426A1F" w:rsidRPr="00426A1F">
        <w:rPr>
          <w:lang w:val="es-ES_tradnl" w:eastAsia="es-ES"/>
        </w:rPr>
        <w:t xml:space="preserve"> es preocupante que no haya brindado al Comité una información completa sobre el estado de cumplimiento de la </w:t>
      </w:r>
      <w:r w:rsidR="00E14C2A">
        <w:rPr>
          <w:lang w:val="es-ES_tradnl" w:eastAsia="es-ES"/>
        </w:rPr>
        <w:t>r</w:t>
      </w:r>
      <w:r w:rsidR="00426A1F" w:rsidRPr="00426A1F">
        <w:rPr>
          <w:lang w:val="es-ES_tradnl" w:eastAsia="es-ES"/>
        </w:rPr>
        <w:t>ecomendación 13/2016</w:t>
      </w:r>
      <w:r w:rsidR="00A95BC7">
        <w:rPr>
          <w:lang w:val="es-ES_tradnl" w:eastAsia="es-ES"/>
        </w:rPr>
        <w:t xml:space="preserve"> de la Defensoría</w:t>
      </w:r>
      <w:r w:rsidR="00426A1F" w:rsidRPr="00426A1F">
        <w:rPr>
          <w:lang w:val="es-ES_tradnl" w:eastAsia="es-ES"/>
        </w:rPr>
        <w:t>.</w:t>
      </w:r>
    </w:p>
    <w:p w14:paraId="6891299F" w14:textId="214E55C7" w:rsidR="00D4529C" w:rsidRDefault="002E43DE" w:rsidP="002B533C">
      <w:pPr>
        <w:pStyle w:val="SingleTxtG"/>
        <w:rPr>
          <w:lang w:val="es-ES_tradnl" w:eastAsia="es-ES"/>
        </w:rPr>
      </w:pPr>
      <w:r>
        <w:rPr>
          <w:lang w:val="es-ES_tradnl" w:eastAsia="es-ES"/>
        </w:rPr>
        <w:t>9.3</w:t>
      </w:r>
      <w:r>
        <w:rPr>
          <w:lang w:val="es-ES_tradnl" w:eastAsia="es-ES"/>
        </w:rPr>
        <w:tab/>
      </w:r>
      <w:r w:rsidR="00D4529C">
        <w:rPr>
          <w:lang w:val="es-ES_tradnl" w:eastAsia="es-ES"/>
        </w:rPr>
        <w:t xml:space="preserve">En cuanto a la </w:t>
      </w:r>
      <w:r w:rsidR="00B83B41">
        <w:rPr>
          <w:lang w:val="es-ES_tradnl" w:eastAsia="es-ES"/>
        </w:rPr>
        <w:t>c</w:t>
      </w:r>
      <w:r w:rsidR="00D4529C" w:rsidRPr="00D94FF6">
        <w:rPr>
          <w:lang w:val="es-ES_tradnl" w:eastAsia="es-ES"/>
        </w:rPr>
        <w:t xml:space="preserve">ausa </w:t>
      </w:r>
      <w:r w:rsidR="00B83B41">
        <w:rPr>
          <w:lang w:val="es-ES_tradnl" w:eastAsia="es-ES"/>
        </w:rPr>
        <w:t>p</w:t>
      </w:r>
      <w:r w:rsidR="00D4529C" w:rsidRPr="00D94FF6">
        <w:rPr>
          <w:lang w:val="es-ES_tradnl" w:eastAsia="es-ES"/>
        </w:rPr>
        <w:t xml:space="preserve">enal, </w:t>
      </w:r>
      <w:r w:rsidR="00D4529C">
        <w:rPr>
          <w:lang w:val="es-ES_tradnl" w:eastAsia="es-ES"/>
        </w:rPr>
        <w:t xml:space="preserve">los autores </w:t>
      </w:r>
      <w:r w:rsidR="00D4529C" w:rsidRPr="00D94FF6">
        <w:rPr>
          <w:lang w:val="es-ES_tradnl" w:eastAsia="es-ES"/>
        </w:rPr>
        <w:t>observan que</w:t>
      </w:r>
      <w:r w:rsidR="00D4529C">
        <w:rPr>
          <w:lang w:val="es-ES_tradnl" w:eastAsia="es-ES"/>
        </w:rPr>
        <w:t>, a más de siete</w:t>
      </w:r>
      <w:r w:rsidR="00D4529C" w:rsidRPr="00D94FF6">
        <w:rPr>
          <w:lang w:val="es-ES_tradnl" w:eastAsia="es-ES"/>
        </w:rPr>
        <w:t xml:space="preserve"> años </w:t>
      </w:r>
      <w:r w:rsidR="00D4529C">
        <w:rPr>
          <w:lang w:val="es-ES_tradnl" w:eastAsia="es-ES"/>
        </w:rPr>
        <w:t>de</w:t>
      </w:r>
      <w:r w:rsidR="00D4529C" w:rsidRPr="00D94FF6">
        <w:rPr>
          <w:lang w:val="es-ES_tradnl" w:eastAsia="es-ES"/>
        </w:rPr>
        <w:t xml:space="preserve"> la acusación</w:t>
      </w:r>
      <w:r w:rsidR="00D4529C">
        <w:rPr>
          <w:lang w:val="es-ES_tradnl" w:eastAsia="es-ES"/>
        </w:rPr>
        <w:t>,</w:t>
      </w:r>
      <w:r w:rsidR="00D4529C" w:rsidRPr="008F68F5">
        <w:rPr>
          <w:lang w:val="es-ES_tradnl" w:eastAsia="es-ES"/>
        </w:rPr>
        <w:t xml:space="preserve"> </w:t>
      </w:r>
      <w:r w:rsidR="00D4529C" w:rsidRPr="00D94FF6">
        <w:rPr>
          <w:lang w:val="es-ES_tradnl" w:eastAsia="es-ES"/>
        </w:rPr>
        <w:t>aún no se ha su</w:t>
      </w:r>
      <w:r w:rsidR="00D4529C">
        <w:rPr>
          <w:lang w:val="es-ES_tradnl" w:eastAsia="es-ES"/>
        </w:rPr>
        <w:t>perado la etapa de instrucción</w:t>
      </w:r>
      <w:r w:rsidR="005256B7">
        <w:rPr>
          <w:lang w:val="es-ES_tradnl" w:eastAsia="es-ES"/>
        </w:rPr>
        <w:t xml:space="preserve"> y que </w:t>
      </w:r>
      <w:r w:rsidR="00D4529C" w:rsidRPr="00D94FF6">
        <w:rPr>
          <w:lang w:val="es-ES_tradnl" w:eastAsia="es-ES"/>
        </w:rPr>
        <w:t xml:space="preserve">el Juzgado no ha tenido en </w:t>
      </w:r>
      <w:r w:rsidR="00D4529C">
        <w:rPr>
          <w:lang w:val="es-ES_tradnl" w:eastAsia="es-ES"/>
        </w:rPr>
        <w:t xml:space="preserve">cuenta la </w:t>
      </w:r>
      <w:r w:rsidR="005256B7">
        <w:rPr>
          <w:lang w:val="es-ES_tradnl" w:eastAsia="es-ES"/>
        </w:rPr>
        <w:t>r</w:t>
      </w:r>
      <w:r w:rsidR="00D4529C">
        <w:rPr>
          <w:lang w:val="es-ES_tradnl" w:eastAsia="es-ES"/>
        </w:rPr>
        <w:t xml:space="preserve">ecomendación </w:t>
      </w:r>
      <w:r w:rsidR="005256B7">
        <w:rPr>
          <w:lang w:val="es-ES_tradnl" w:eastAsia="es-ES"/>
        </w:rPr>
        <w:t>de la Defensoría,</w:t>
      </w:r>
      <w:r w:rsidR="00D4529C">
        <w:rPr>
          <w:lang w:val="es-ES_tradnl" w:eastAsia="es-ES"/>
        </w:rPr>
        <w:t xml:space="preserve"> al</w:t>
      </w:r>
      <w:r w:rsidR="00D4529C" w:rsidRPr="00D94FF6">
        <w:rPr>
          <w:lang w:val="es-ES_tradnl" w:eastAsia="es-ES"/>
        </w:rPr>
        <w:t xml:space="preserve"> no </w:t>
      </w:r>
      <w:r w:rsidR="00D4529C">
        <w:rPr>
          <w:lang w:val="es-ES_tradnl" w:eastAsia="es-ES"/>
        </w:rPr>
        <w:t>considerar</w:t>
      </w:r>
      <w:r w:rsidR="00D4529C" w:rsidRPr="00D94FF6">
        <w:rPr>
          <w:lang w:val="es-ES_tradnl" w:eastAsia="es-ES"/>
        </w:rPr>
        <w:t xml:space="preserve"> las graves irregularidades </w:t>
      </w:r>
      <w:r w:rsidR="00D4529C">
        <w:rPr>
          <w:lang w:val="es-ES_tradnl" w:eastAsia="es-ES"/>
        </w:rPr>
        <w:t>encontradas en la integración de la averiguación p</w:t>
      </w:r>
      <w:r w:rsidR="00D4529C" w:rsidRPr="00D94FF6">
        <w:rPr>
          <w:lang w:val="es-ES_tradnl" w:eastAsia="es-ES"/>
        </w:rPr>
        <w:t>revia.</w:t>
      </w:r>
    </w:p>
    <w:p w14:paraId="11C7E105" w14:textId="0FF1036D" w:rsidR="00E256E5" w:rsidRDefault="00E256E5" w:rsidP="00E256E5">
      <w:pPr>
        <w:pStyle w:val="SingleTxtG"/>
        <w:rPr>
          <w:lang w:val="es-ES_tradnl" w:eastAsia="es-ES"/>
        </w:rPr>
      </w:pPr>
      <w:r>
        <w:rPr>
          <w:lang w:val="es-ES_tradnl" w:eastAsia="es-ES"/>
        </w:rPr>
        <w:t>9.4</w:t>
      </w:r>
      <w:r>
        <w:rPr>
          <w:lang w:val="es-ES_tradnl" w:eastAsia="es-ES"/>
        </w:rPr>
        <w:tab/>
      </w:r>
      <w:r w:rsidRPr="00F71680">
        <w:rPr>
          <w:lang w:val="es-ES_tradnl" w:eastAsia="es-ES"/>
        </w:rPr>
        <w:t xml:space="preserve">En relación con la </w:t>
      </w:r>
      <w:r>
        <w:rPr>
          <w:lang w:val="es-ES_tradnl" w:eastAsia="es-ES"/>
        </w:rPr>
        <w:t>c</w:t>
      </w:r>
      <w:r w:rsidRPr="00F71680">
        <w:rPr>
          <w:lang w:val="es-ES_tradnl" w:eastAsia="es-ES"/>
        </w:rPr>
        <w:t xml:space="preserve">arpeta de </w:t>
      </w:r>
      <w:r>
        <w:rPr>
          <w:lang w:val="es-ES_tradnl" w:eastAsia="es-ES"/>
        </w:rPr>
        <w:t>i</w:t>
      </w:r>
      <w:r w:rsidRPr="00F71680">
        <w:rPr>
          <w:lang w:val="es-ES_tradnl" w:eastAsia="es-ES"/>
        </w:rPr>
        <w:t>nvestigación iniciada por la Unidad Especializada en Desaparición Forzada de la Fiscalía General del Estado de Oaxaca</w:t>
      </w:r>
      <w:r>
        <w:rPr>
          <w:lang w:val="es-ES_tradnl" w:eastAsia="es-ES"/>
        </w:rPr>
        <w:t xml:space="preserve"> (párr. 8.1 </w:t>
      </w:r>
      <w:r w:rsidRPr="00E256E5">
        <w:rPr>
          <w:i/>
          <w:lang w:val="es-ES_tradnl" w:eastAsia="es-ES"/>
        </w:rPr>
        <w:t>supra</w:t>
      </w:r>
      <w:r>
        <w:rPr>
          <w:lang w:val="es-ES_tradnl" w:eastAsia="es-ES"/>
        </w:rPr>
        <w:t>)</w:t>
      </w:r>
      <w:r w:rsidRPr="00F71680">
        <w:rPr>
          <w:lang w:val="es-ES_tradnl" w:eastAsia="es-ES"/>
        </w:rPr>
        <w:t xml:space="preserve">, </w:t>
      </w:r>
      <w:r>
        <w:rPr>
          <w:lang w:val="es-ES_tradnl" w:eastAsia="es-ES"/>
        </w:rPr>
        <w:t>los autores indican que</w:t>
      </w:r>
      <w:r w:rsidRPr="00F71680">
        <w:rPr>
          <w:lang w:val="es-ES_tradnl" w:eastAsia="es-ES"/>
        </w:rPr>
        <w:t xml:space="preserve"> las diligencias realizadas han consistido básicamente en escritos a la Cruz Roja, </w:t>
      </w:r>
      <w:r w:rsidR="00E20221">
        <w:rPr>
          <w:lang w:val="es-ES_tradnl" w:eastAsia="es-ES"/>
        </w:rPr>
        <w:t>h</w:t>
      </w:r>
      <w:r w:rsidRPr="00F71680">
        <w:rPr>
          <w:lang w:val="es-ES_tradnl" w:eastAsia="es-ES"/>
        </w:rPr>
        <w:t xml:space="preserve">ospitales, </w:t>
      </w:r>
      <w:r w:rsidR="00E20221">
        <w:rPr>
          <w:lang w:val="es-ES_tradnl" w:eastAsia="es-ES"/>
        </w:rPr>
        <w:t>e</w:t>
      </w:r>
      <w:r w:rsidRPr="00F71680">
        <w:rPr>
          <w:lang w:val="es-ES_tradnl" w:eastAsia="es-ES"/>
        </w:rPr>
        <w:t xml:space="preserve">staciones de </w:t>
      </w:r>
      <w:r w:rsidR="00E20221">
        <w:rPr>
          <w:lang w:val="es-ES_tradnl" w:eastAsia="es-ES"/>
        </w:rPr>
        <w:t>p</w:t>
      </w:r>
      <w:r w:rsidRPr="00F71680">
        <w:rPr>
          <w:lang w:val="es-ES_tradnl" w:eastAsia="es-ES"/>
        </w:rPr>
        <w:t>olicía y Secretaría de Seguridad Pública</w:t>
      </w:r>
      <w:r>
        <w:rPr>
          <w:lang w:val="es-ES_tradnl" w:eastAsia="es-ES"/>
        </w:rPr>
        <w:t>,</w:t>
      </w:r>
      <w:r w:rsidRPr="00F71680">
        <w:rPr>
          <w:lang w:val="es-ES_tradnl" w:eastAsia="es-ES"/>
        </w:rPr>
        <w:t xml:space="preserve"> solicitando información sobre el </w:t>
      </w:r>
      <w:r>
        <w:rPr>
          <w:lang w:val="es-ES_tradnl" w:eastAsia="es-ES"/>
        </w:rPr>
        <w:t>desaparecido</w:t>
      </w:r>
      <w:r w:rsidRPr="00F71680">
        <w:rPr>
          <w:lang w:val="es-ES_tradnl" w:eastAsia="es-ES"/>
        </w:rPr>
        <w:t xml:space="preserve">. La última actuación, de 4 de marzo de 2019, consistió en la solicitud de realización de un retrato hablado de envejecimiento del </w:t>
      </w:r>
      <w:r w:rsidR="001B5FC2">
        <w:rPr>
          <w:lang w:val="es-ES_tradnl" w:eastAsia="es-ES"/>
        </w:rPr>
        <w:t xml:space="preserve">Sr. </w:t>
      </w:r>
      <w:r w:rsidR="001B5FC2" w:rsidRPr="006D6E12">
        <w:rPr>
          <w:lang w:val="es-ES_tradnl" w:eastAsia="es-ES"/>
        </w:rPr>
        <w:t>Moreno Pérez</w:t>
      </w:r>
      <w:r w:rsidRPr="00F71680">
        <w:rPr>
          <w:lang w:val="es-ES_tradnl" w:eastAsia="es-ES"/>
        </w:rPr>
        <w:t>.</w:t>
      </w:r>
    </w:p>
    <w:p w14:paraId="592BF27F" w14:textId="5D58E1C6" w:rsidR="00655BFE" w:rsidRDefault="00655BFE" w:rsidP="00655BFE">
      <w:pPr>
        <w:pStyle w:val="SingleTxtG"/>
        <w:rPr>
          <w:lang w:val="es-ES_tradnl" w:eastAsia="es-ES"/>
        </w:rPr>
      </w:pPr>
      <w:r>
        <w:rPr>
          <w:lang w:val="es-ES_tradnl" w:eastAsia="es-ES"/>
        </w:rPr>
        <w:t>9.5</w:t>
      </w:r>
      <w:r>
        <w:rPr>
          <w:lang w:val="es-ES_tradnl" w:eastAsia="es-ES"/>
        </w:rPr>
        <w:tab/>
        <w:t xml:space="preserve">En definitiva, los autores reiteran que </w:t>
      </w:r>
      <w:r w:rsidRPr="00F71680">
        <w:rPr>
          <w:lang w:val="es-ES_tradnl" w:eastAsia="es-ES"/>
        </w:rPr>
        <w:t xml:space="preserve">las autoridades han mantenido una posición confusa e inconsistente sobre </w:t>
      </w:r>
      <w:r>
        <w:rPr>
          <w:lang w:val="es-ES_tradnl" w:eastAsia="es-ES"/>
        </w:rPr>
        <w:t xml:space="preserve">los hechos, y que el </w:t>
      </w:r>
      <w:r w:rsidRPr="00C26497">
        <w:rPr>
          <w:lang w:val="es-ES_tradnl" w:eastAsia="es-ES"/>
        </w:rPr>
        <w:t xml:space="preserve">Estado </w:t>
      </w:r>
      <w:r w:rsidR="00F60C00">
        <w:rPr>
          <w:lang w:val="es-ES_tradnl" w:eastAsia="es-ES"/>
        </w:rPr>
        <w:t xml:space="preserve">parte </w:t>
      </w:r>
      <w:r w:rsidRPr="00C26497">
        <w:rPr>
          <w:lang w:val="es-ES_tradnl" w:eastAsia="es-ES"/>
        </w:rPr>
        <w:t>no muestr</w:t>
      </w:r>
      <w:r>
        <w:rPr>
          <w:lang w:val="es-ES_tradnl" w:eastAsia="es-ES"/>
        </w:rPr>
        <w:t>a</w:t>
      </w:r>
      <w:r w:rsidRPr="00C26497">
        <w:rPr>
          <w:lang w:val="es-ES_tradnl" w:eastAsia="es-ES"/>
        </w:rPr>
        <w:t xml:space="preserve"> la existencia de una estrategia clara de búsqueda</w:t>
      </w:r>
      <w:r>
        <w:rPr>
          <w:lang w:val="es-ES_tradnl" w:eastAsia="es-ES"/>
        </w:rPr>
        <w:t>,</w:t>
      </w:r>
      <w:r w:rsidRPr="00C26497">
        <w:rPr>
          <w:lang w:val="es-ES_tradnl" w:eastAsia="es-ES"/>
        </w:rPr>
        <w:t xml:space="preserve"> sobre la base de una hipótesis lógica respecto de lo</w:t>
      </w:r>
      <w:r>
        <w:rPr>
          <w:lang w:val="es-ES_tradnl" w:eastAsia="es-ES"/>
        </w:rPr>
        <w:t>s hechos</w:t>
      </w:r>
      <w:r w:rsidRPr="00F71680">
        <w:rPr>
          <w:lang w:val="es-ES_tradnl" w:eastAsia="es-ES"/>
        </w:rPr>
        <w:t>.</w:t>
      </w:r>
    </w:p>
    <w:p w14:paraId="62352FEA" w14:textId="592CD966" w:rsidR="005F53DE" w:rsidRDefault="00655BFE" w:rsidP="00655BFE">
      <w:pPr>
        <w:pStyle w:val="SingleTxtG"/>
        <w:rPr>
          <w:lang w:val="es-ES_tradnl" w:eastAsia="es-ES"/>
        </w:rPr>
      </w:pPr>
      <w:r>
        <w:rPr>
          <w:lang w:val="es-ES_tradnl" w:eastAsia="es-ES"/>
        </w:rPr>
        <w:t>9.6</w:t>
      </w:r>
      <w:r>
        <w:rPr>
          <w:lang w:val="es-ES_tradnl" w:eastAsia="es-ES"/>
        </w:rPr>
        <w:tab/>
      </w:r>
      <w:r w:rsidR="00426A1F">
        <w:rPr>
          <w:lang w:val="es-ES_tradnl" w:eastAsia="es-ES"/>
        </w:rPr>
        <w:t xml:space="preserve">Por otra parte, los autores </w:t>
      </w:r>
      <w:r w:rsidR="002E43DE">
        <w:rPr>
          <w:lang w:val="es-ES_tradnl" w:eastAsia="es-ES"/>
        </w:rPr>
        <w:t>sostienen</w:t>
      </w:r>
      <w:r w:rsidR="00426A1F">
        <w:rPr>
          <w:lang w:val="es-ES_tradnl" w:eastAsia="es-ES"/>
        </w:rPr>
        <w:t xml:space="preserve"> que </w:t>
      </w:r>
      <w:r w:rsidR="0030058B">
        <w:rPr>
          <w:lang w:val="es-ES_tradnl" w:eastAsia="es-ES"/>
        </w:rPr>
        <w:t xml:space="preserve">el </w:t>
      </w:r>
      <w:r w:rsidR="00426A1F" w:rsidRPr="00426A1F">
        <w:rPr>
          <w:lang w:val="es-ES_tradnl" w:eastAsia="es-ES"/>
        </w:rPr>
        <w:t xml:space="preserve">acto público de </w:t>
      </w:r>
      <w:r w:rsidR="0030058B">
        <w:rPr>
          <w:lang w:val="es-ES_tradnl" w:eastAsia="es-ES"/>
        </w:rPr>
        <w:t>reconocimiento de responsabilidad no atiende</w:t>
      </w:r>
      <w:r w:rsidR="00426A1F" w:rsidRPr="00426A1F">
        <w:rPr>
          <w:lang w:val="es-ES_tradnl" w:eastAsia="es-ES"/>
        </w:rPr>
        <w:t xml:space="preserve"> al conjunto de los hechos</w:t>
      </w:r>
      <w:r w:rsidR="0030058B">
        <w:rPr>
          <w:lang w:val="es-ES_tradnl" w:eastAsia="es-ES"/>
        </w:rPr>
        <w:t>, al tratarse de</w:t>
      </w:r>
      <w:r w:rsidR="00426A1F" w:rsidRPr="00426A1F">
        <w:rPr>
          <w:lang w:val="es-ES_tradnl" w:eastAsia="es-ES"/>
        </w:rPr>
        <w:t xml:space="preserve"> un acto </w:t>
      </w:r>
      <w:proofErr w:type="gramStart"/>
      <w:r w:rsidR="002E43DE">
        <w:rPr>
          <w:lang w:val="es-ES_tradnl" w:eastAsia="es-ES"/>
        </w:rPr>
        <w:t>en relación a</w:t>
      </w:r>
      <w:proofErr w:type="gramEnd"/>
      <w:r w:rsidR="00426A1F" w:rsidRPr="00426A1F">
        <w:rPr>
          <w:lang w:val="es-ES_tradnl" w:eastAsia="es-ES"/>
        </w:rPr>
        <w:t xml:space="preserve"> las deficiencias en la </w:t>
      </w:r>
      <w:r w:rsidR="0030058B">
        <w:rPr>
          <w:lang w:val="es-ES_tradnl" w:eastAsia="es-ES"/>
        </w:rPr>
        <w:t>investigación</w:t>
      </w:r>
      <w:r w:rsidR="00426A1F" w:rsidRPr="00426A1F">
        <w:rPr>
          <w:lang w:val="es-ES_tradnl" w:eastAsia="es-ES"/>
        </w:rPr>
        <w:t xml:space="preserve">, pero no </w:t>
      </w:r>
      <w:r w:rsidR="0008560E">
        <w:rPr>
          <w:lang w:val="es-ES_tradnl" w:eastAsia="es-ES"/>
        </w:rPr>
        <w:t>a</w:t>
      </w:r>
      <w:r w:rsidR="00426A1F" w:rsidRPr="00426A1F">
        <w:rPr>
          <w:lang w:val="es-ES_tradnl" w:eastAsia="es-ES"/>
        </w:rPr>
        <w:t xml:space="preserve"> la desaparición forzada</w:t>
      </w:r>
      <w:r w:rsidR="0008560E">
        <w:rPr>
          <w:lang w:val="es-ES_tradnl" w:eastAsia="es-ES"/>
        </w:rPr>
        <w:t xml:space="preserve"> como tal</w:t>
      </w:r>
      <w:r w:rsidR="00426A1F" w:rsidRPr="00426A1F">
        <w:rPr>
          <w:lang w:val="es-ES_tradnl" w:eastAsia="es-ES"/>
        </w:rPr>
        <w:t xml:space="preserve">. </w:t>
      </w:r>
      <w:r w:rsidR="0008560E">
        <w:rPr>
          <w:lang w:val="es-ES_tradnl" w:eastAsia="es-ES"/>
        </w:rPr>
        <w:t>A</w:t>
      </w:r>
      <w:r w:rsidR="00426A1F">
        <w:rPr>
          <w:lang w:val="es-ES_tradnl" w:eastAsia="es-ES"/>
        </w:rPr>
        <w:t xml:space="preserve">l haber </w:t>
      </w:r>
      <w:r w:rsidR="00426A1F" w:rsidRPr="00426A1F">
        <w:rPr>
          <w:lang w:val="es-ES_tradnl" w:eastAsia="es-ES"/>
        </w:rPr>
        <w:t xml:space="preserve">señalado al Comité </w:t>
      </w:r>
      <w:r w:rsidR="00005AFE">
        <w:rPr>
          <w:lang w:val="es-ES_tradnl" w:eastAsia="es-ES"/>
        </w:rPr>
        <w:t>una</w:t>
      </w:r>
      <w:r w:rsidR="00426A1F" w:rsidRPr="00426A1F">
        <w:rPr>
          <w:lang w:val="es-ES_tradnl" w:eastAsia="es-ES"/>
        </w:rPr>
        <w:t xml:space="preserve"> desaparición forzada</w:t>
      </w:r>
      <w:r w:rsidR="00426A1F">
        <w:rPr>
          <w:lang w:val="es-ES_tradnl" w:eastAsia="es-ES"/>
        </w:rPr>
        <w:t xml:space="preserve"> </w:t>
      </w:r>
      <w:r w:rsidR="00426A1F" w:rsidRPr="00426A1F">
        <w:rPr>
          <w:lang w:val="es-ES_tradnl" w:eastAsia="es-ES"/>
        </w:rPr>
        <w:t xml:space="preserve">atribuible a acciones y omisiones del Estado </w:t>
      </w:r>
      <w:r w:rsidR="001E026A">
        <w:rPr>
          <w:lang w:val="es-ES_tradnl" w:eastAsia="es-ES"/>
        </w:rPr>
        <w:t>parte</w:t>
      </w:r>
      <w:r w:rsidR="00426A1F" w:rsidRPr="00426A1F">
        <w:rPr>
          <w:lang w:val="es-ES_tradnl" w:eastAsia="es-ES"/>
        </w:rPr>
        <w:t>, y no solo una investigación carente de debida diligencia e ineficaz</w:t>
      </w:r>
      <w:r w:rsidR="00005AFE">
        <w:rPr>
          <w:lang w:val="es-ES_tradnl" w:eastAsia="es-ES"/>
        </w:rPr>
        <w:t>,</w:t>
      </w:r>
      <w:r w:rsidR="00426A1F" w:rsidRPr="00426A1F">
        <w:rPr>
          <w:lang w:val="es-ES_tradnl" w:eastAsia="es-ES"/>
        </w:rPr>
        <w:t xml:space="preserve"> </w:t>
      </w:r>
      <w:r w:rsidR="001E026A">
        <w:rPr>
          <w:lang w:val="es-ES_tradnl" w:eastAsia="es-ES"/>
        </w:rPr>
        <w:t xml:space="preserve">los autores sostienen que </w:t>
      </w:r>
      <w:r w:rsidR="00426A1F" w:rsidRPr="00426A1F">
        <w:rPr>
          <w:lang w:val="es-ES_tradnl" w:eastAsia="es-ES"/>
        </w:rPr>
        <w:t>las disculpas públicas cubren</w:t>
      </w:r>
      <w:r w:rsidR="001E026A">
        <w:rPr>
          <w:lang w:val="es-ES_tradnl" w:eastAsia="es-ES"/>
        </w:rPr>
        <w:t xml:space="preserve"> solamente</w:t>
      </w:r>
      <w:r w:rsidR="00426A1F" w:rsidRPr="00426A1F">
        <w:rPr>
          <w:lang w:val="es-ES_tradnl" w:eastAsia="es-ES"/>
        </w:rPr>
        <w:t xml:space="preserve"> uno de los hechos </w:t>
      </w:r>
      <w:r w:rsidR="001E026A">
        <w:rPr>
          <w:lang w:val="es-ES_tradnl" w:eastAsia="es-ES"/>
        </w:rPr>
        <w:t>dejando</w:t>
      </w:r>
      <w:r w:rsidR="00426A1F" w:rsidRPr="00426A1F">
        <w:rPr>
          <w:lang w:val="es-ES_tradnl" w:eastAsia="es-ES"/>
        </w:rPr>
        <w:t xml:space="preserve"> sin reparación el hecho que dio origen a la comunicación, la desaparición forzada.</w:t>
      </w:r>
    </w:p>
    <w:p w14:paraId="0CC18B5B" w14:textId="0153D31E" w:rsidR="009B036E" w:rsidRDefault="001E026A" w:rsidP="00655BFE">
      <w:pPr>
        <w:pStyle w:val="SingleTxtG"/>
        <w:rPr>
          <w:lang w:val="es-ES_tradnl" w:eastAsia="es-ES"/>
        </w:rPr>
      </w:pPr>
      <w:r>
        <w:rPr>
          <w:lang w:val="es-ES_tradnl" w:eastAsia="es-ES"/>
        </w:rPr>
        <w:t>9.</w:t>
      </w:r>
      <w:r w:rsidR="00FB291F">
        <w:rPr>
          <w:lang w:val="es-ES_tradnl" w:eastAsia="es-ES"/>
        </w:rPr>
        <w:t>7</w:t>
      </w:r>
      <w:r>
        <w:rPr>
          <w:lang w:val="es-ES_tradnl" w:eastAsia="es-ES"/>
        </w:rPr>
        <w:tab/>
      </w:r>
      <w:r w:rsidR="00FB291F">
        <w:rPr>
          <w:lang w:val="es-ES_tradnl" w:eastAsia="es-ES"/>
        </w:rPr>
        <w:t>Finalmente</w:t>
      </w:r>
      <w:r w:rsidR="00FB18A6">
        <w:rPr>
          <w:lang w:val="es-ES_tradnl" w:eastAsia="es-ES"/>
        </w:rPr>
        <w:t xml:space="preserve">, </w:t>
      </w:r>
      <w:r w:rsidR="005F53DE">
        <w:rPr>
          <w:lang w:val="es-ES_tradnl" w:eastAsia="es-ES"/>
        </w:rPr>
        <w:t xml:space="preserve">los autores indican que </w:t>
      </w:r>
      <w:r>
        <w:rPr>
          <w:lang w:val="es-ES_tradnl" w:eastAsia="es-ES"/>
        </w:rPr>
        <w:t>se</w:t>
      </w:r>
      <w:r w:rsidR="00FB18A6" w:rsidRPr="00FB18A6">
        <w:rPr>
          <w:lang w:val="es-ES_tradnl" w:eastAsia="es-ES"/>
        </w:rPr>
        <w:t xml:space="preserve"> concedió una inde</w:t>
      </w:r>
      <w:r w:rsidR="005F53DE">
        <w:rPr>
          <w:lang w:val="es-ES_tradnl" w:eastAsia="es-ES"/>
        </w:rPr>
        <w:t xml:space="preserve">mnización económica al padre </w:t>
      </w:r>
      <w:r>
        <w:rPr>
          <w:lang w:val="es-ES_tradnl" w:eastAsia="es-ES"/>
        </w:rPr>
        <w:t>del desaparecido</w:t>
      </w:r>
      <w:r w:rsidR="00FB18A6" w:rsidRPr="00FB18A6">
        <w:rPr>
          <w:lang w:val="es-ES_tradnl" w:eastAsia="es-ES"/>
        </w:rPr>
        <w:t xml:space="preserve">, pero no </w:t>
      </w:r>
      <w:r>
        <w:rPr>
          <w:lang w:val="es-ES_tradnl" w:eastAsia="es-ES"/>
        </w:rPr>
        <w:t>a</w:t>
      </w:r>
      <w:r w:rsidR="00FB18A6" w:rsidRPr="00FB18A6">
        <w:rPr>
          <w:lang w:val="es-ES_tradnl" w:eastAsia="es-ES"/>
        </w:rPr>
        <w:t xml:space="preserve"> </w:t>
      </w:r>
      <w:r>
        <w:rPr>
          <w:lang w:val="es-ES_tradnl" w:eastAsia="es-ES"/>
        </w:rPr>
        <w:t>su</w:t>
      </w:r>
      <w:r w:rsidR="00FB18A6" w:rsidRPr="00FB18A6">
        <w:rPr>
          <w:lang w:val="es-ES_tradnl" w:eastAsia="es-ES"/>
        </w:rPr>
        <w:t xml:space="preserve"> madre y hermana, </w:t>
      </w:r>
      <w:r w:rsidR="000F2709">
        <w:rPr>
          <w:lang w:val="es-ES_tradnl" w:eastAsia="es-ES"/>
        </w:rPr>
        <w:t>ni</w:t>
      </w:r>
      <w:r w:rsidR="00FB18A6" w:rsidRPr="00FB18A6">
        <w:rPr>
          <w:lang w:val="es-ES_tradnl" w:eastAsia="es-ES"/>
        </w:rPr>
        <w:t xml:space="preserve"> al propio </w:t>
      </w:r>
      <w:r>
        <w:rPr>
          <w:lang w:val="es-ES_tradnl" w:eastAsia="es-ES"/>
        </w:rPr>
        <w:t>desaparecido</w:t>
      </w:r>
      <w:r w:rsidR="00FB18A6" w:rsidRPr="00FB18A6">
        <w:rPr>
          <w:lang w:val="es-ES_tradnl" w:eastAsia="es-ES"/>
        </w:rPr>
        <w:t>.</w:t>
      </w:r>
    </w:p>
    <w:p w14:paraId="2957AB46" w14:textId="77777777" w:rsidR="002E47A7" w:rsidRDefault="00B0533C" w:rsidP="00531919">
      <w:pPr>
        <w:pStyle w:val="H23G"/>
        <w:rPr>
          <w:lang w:val="es-ES_tradnl" w:eastAsia="es-ES"/>
        </w:rPr>
      </w:pPr>
      <w:r>
        <w:rPr>
          <w:lang w:val="es-ES_tradnl" w:eastAsia="es-ES"/>
        </w:rPr>
        <w:tab/>
      </w:r>
      <w:r>
        <w:rPr>
          <w:lang w:val="es-ES_tradnl" w:eastAsia="es-ES"/>
        </w:rPr>
        <w:tab/>
      </w:r>
      <w:r w:rsidR="002E47A7" w:rsidRPr="002E47A7">
        <w:rPr>
          <w:lang w:val="es-ES_tradnl" w:eastAsia="es-ES"/>
        </w:rPr>
        <w:t xml:space="preserve">Información adicional proporcionada por el Estado parte </w:t>
      </w:r>
    </w:p>
    <w:p w14:paraId="2C970876" w14:textId="24D84D5A" w:rsidR="002E47A7" w:rsidRPr="002E47A7" w:rsidRDefault="002E47A7" w:rsidP="00EC6D02">
      <w:pPr>
        <w:pStyle w:val="SingleTxtG"/>
        <w:rPr>
          <w:lang w:val="es-ES_tradnl" w:eastAsia="es-ES"/>
        </w:rPr>
      </w:pPr>
      <w:r>
        <w:rPr>
          <w:lang w:val="es-ES_tradnl" w:eastAsia="es-ES"/>
        </w:rPr>
        <w:tab/>
      </w:r>
      <w:r w:rsidRPr="002E47A7">
        <w:rPr>
          <w:lang w:val="es-ES_tradnl" w:eastAsia="es-ES"/>
        </w:rPr>
        <w:t>10.</w:t>
      </w:r>
      <w:r w:rsidRPr="002E47A7">
        <w:rPr>
          <w:lang w:val="es-ES_tradnl" w:eastAsia="es-ES"/>
        </w:rPr>
        <w:tab/>
      </w:r>
      <w:r w:rsidR="00A24CC1">
        <w:rPr>
          <w:lang w:val="es-ES_tradnl" w:eastAsia="es-ES"/>
        </w:rPr>
        <w:t xml:space="preserve">El </w:t>
      </w:r>
      <w:r w:rsidR="00A24CC1" w:rsidRPr="00A24CC1">
        <w:rPr>
          <w:lang w:val="es-ES_tradnl" w:eastAsia="es-ES"/>
        </w:rPr>
        <w:t>11 de septiembre de 2019</w:t>
      </w:r>
      <w:r w:rsidR="00A24CC1">
        <w:rPr>
          <w:lang w:val="es-ES_tradnl" w:eastAsia="es-ES"/>
        </w:rPr>
        <w:t>, el Estado parte informó</w:t>
      </w:r>
      <w:r w:rsidR="00A24CC1" w:rsidRPr="00A24CC1">
        <w:rPr>
          <w:lang w:val="es-ES_tradnl" w:eastAsia="es-ES"/>
        </w:rPr>
        <w:t xml:space="preserve"> al Comité </w:t>
      </w:r>
      <w:r w:rsidR="000638F1">
        <w:rPr>
          <w:lang w:val="es-ES_tradnl" w:eastAsia="es-ES"/>
        </w:rPr>
        <w:t>de diligencias</w:t>
      </w:r>
      <w:r w:rsidR="003556E7">
        <w:rPr>
          <w:lang w:val="es-ES_tradnl" w:eastAsia="es-ES"/>
        </w:rPr>
        <w:t xml:space="preserve"> adicionales</w:t>
      </w:r>
      <w:r w:rsidR="000638F1">
        <w:rPr>
          <w:lang w:val="es-ES_tradnl" w:eastAsia="es-ES"/>
        </w:rPr>
        <w:t xml:space="preserve"> llevadas a cabo por </w:t>
      </w:r>
      <w:r w:rsidR="000638F1" w:rsidRPr="000638F1">
        <w:rPr>
          <w:lang w:val="es-ES_tradnl" w:eastAsia="es-ES"/>
        </w:rPr>
        <w:t>la Fiscalía Especializada en Investigación de los Delitos de Desaparición Forzada (</w:t>
      </w:r>
      <w:r w:rsidR="000638F1">
        <w:rPr>
          <w:lang w:val="es-ES_tradnl" w:eastAsia="es-ES"/>
        </w:rPr>
        <w:t xml:space="preserve">párr. </w:t>
      </w:r>
      <w:r w:rsidR="000638F1" w:rsidRPr="000638F1">
        <w:rPr>
          <w:lang w:val="es-ES_tradnl" w:eastAsia="es-ES"/>
        </w:rPr>
        <w:t>6.8</w:t>
      </w:r>
      <w:r w:rsidR="000638F1">
        <w:rPr>
          <w:lang w:val="es-ES_tradnl" w:eastAsia="es-ES"/>
        </w:rPr>
        <w:t xml:space="preserve"> </w:t>
      </w:r>
      <w:r w:rsidR="000638F1" w:rsidRPr="00EC6D02">
        <w:rPr>
          <w:i/>
          <w:lang w:val="es-ES_tradnl" w:eastAsia="es-ES"/>
        </w:rPr>
        <w:t>supra</w:t>
      </w:r>
      <w:r w:rsidR="000638F1">
        <w:rPr>
          <w:lang w:val="es-ES_tradnl" w:eastAsia="es-ES"/>
        </w:rPr>
        <w:t>),</w:t>
      </w:r>
      <w:r w:rsidR="007828CC">
        <w:rPr>
          <w:lang w:val="es-ES_tradnl" w:eastAsia="es-ES"/>
        </w:rPr>
        <w:t xml:space="preserve"> </w:t>
      </w:r>
      <w:r w:rsidR="003556E7">
        <w:rPr>
          <w:lang w:val="es-ES_tradnl" w:eastAsia="es-ES"/>
        </w:rPr>
        <w:t xml:space="preserve">en particular, </w:t>
      </w:r>
      <w:r w:rsidR="002A391E" w:rsidRPr="002A391E">
        <w:rPr>
          <w:lang w:val="es-ES_tradnl" w:eastAsia="es-ES"/>
        </w:rPr>
        <w:t>excavaciones alrededor de la Laguna de Chacahua</w:t>
      </w:r>
      <w:r w:rsidR="002A391E">
        <w:rPr>
          <w:lang w:val="es-ES_tradnl" w:eastAsia="es-ES"/>
        </w:rPr>
        <w:t>, entrevistas</w:t>
      </w:r>
      <w:r w:rsidR="002A391E" w:rsidRPr="002A391E">
        <w:rPr>
          <w:lang w:val="es-ES_tradnl" w:eastAsia="es-ES"/>
        </w:rPr>
        <w:t xml:space="preserve"> a vecinos</w:t>
      </w:r>
      <w:r w:rsidR="002A391E">
        <w:rPr>
          <w:lang w:val="es-ES_tradnl" w:eastAsia="es-ES"/>
        </w:rPr>
        <w:t xml:space="preserve"> y empresas turísticas </w:t>
      </w:r>
      <w:r w:rsidR="002A391E" w:rsidRPr="002A391E">
        <w:rPr>
          <w:lang w:val="es-ES_tradnl" w:eastAsia="es-ES"/>
        </w:rPr>
        <w:t>de la zona</w:t>
      </w:r>
      <w:r w:rsidR="00D00AA3">
        <w:rPr>
          <w:lang w:val="es-ES_tradnl" w:eastAsia="es-ES"/>
        </w:rPr>
        <w:t xml:space="preserve">, y </w:t>
      </w:r>
      <w:r w:rsidR="00D00AA3" w:rsidRPr="00D00AA3">
        <w:rPr>
          <w:lang w:val="es-ES_tradnl" w:eastAsia="es-ES"/>
        </w:rPr>
        <w:t>simula</w:t>
      </w:r>
      <w:r w:rsidR="00D00AA3">
        <w:rPr>
          <w:lang w:val="es-ES_tradnl" w:eastAsia="es-ES"/>
        </w:rPr>
        <w:t>cro de</w:t>
      </w:r>
      <w:r w:rsidR="00D00AA3" w:rsidRPr="00D00AA3">
        <w:rPr>
          <w:lang w:val="es-ES_tradnl" w:eastAsia="es-ES"/>
        </w:rPr>
        <w:t xml:space="preserve"> lanzamiento de un cuerpo al mar con el fin de monitorear su desplazamiento y establec</w:t>
      </w:r>
      <w:r w:rsidR="00D00AA3">
        <w:rPr>
          <w:lang w:val="es-ES_tradnl" w:eastAsia="es-ES"/>
        </w:rPr>
        <w:t xml:space="preserve">er </w:t>
      </w:r>
      <w:r w:rsidR="003556E7">
        <w:rPr>
          <w:lang w:val="es-ES_tradnl" w:eastAsia="es-ES"/>
        </w:rPr>
        <w:t>el</w:t>
      </w:r>
      <w:r w:rsidR="00D00AA3">
        <w:rPr>
          <w:lang w:val="es-ES_tradnl" w:eastAsia="es-ES"/>
        </w:rPr>
        <w:t xml:space="preserve"> posible paradero del Sr.</w:t>
      </w:r>
      <w:r w:rsidR="003556E7">
        <w:rPr>
          <w:lang w:val="es-ES_tradnl" w:eastAsia="es-ES"/>
        </w:rPr>
        <w:t xml:space="preserve"> Moreno Pérez</w:t>
      </w:r>
      <w:r w:rsidR="00F60C00">
        <w:rPr>
          <w:lang w:val="es-ES_tradnl" w:eastAsia="es-ES"/>
        </w:rPr>
        <w:t>, l</w:t>
      </w:r>
      <w:r w:rsidR="003556E7">
        <w:rPr>
          <w:lang w:val="es-ES_tradnl" w:eastAsia="es-ES"/>
        </w:rPr>
        <w:t xml:space="preserve">o anterior, </w:t>
      </w:r>
      <w:r w:rsidR="00D00AA3" w:rsidRPr="00D00AA3">
        <w:rPr>
          <w:lang w:val="es-ES_tradnl" w:eastAsia="es-ES"/>
        </w:rPr>
        <w:t>sin resultado positivo</w:t>
      </w:r>
      <w:r w:rsidR="00D00AA3">
        <w:rPr>
          <w:lang w:val="es-ES_tradnl" w:eastAsia="es-ES"/>
        </w:rPr>
        <w:t>.</w:t>
      </w:r>
      <w:r w:rsidR="00F362BD">
        <w:rPr>
          <w:lang w:val="es-ES_tradnl" w:eastAsia="es-ES"/>
        </w:rPr>
        <w:t xml:space="preserve"> El Estado parte también informó </w:t>
      </w:r>
      <w:r w:rsidR="003556E7">
        <w:rPr>
          <w:lang w:val="es-ES_tradnl" w:eastAsia="es-ES"/>
        </w:rPr>
        <w:t>que</w:t>
      </w:r>
      <w:r w:rsidR="00F362BD" w:rsidRPr="00F362BD">
        <w:rPr>
          <w:lang w:val="es-ES_tradnl" w:eastAsia="es-ES"/>
        </w:rPr>
        <w:t xml:space="preserve"> los </w:t>
      </w:r>
      <w:r w:rsidR="00F60C00">
        <w:rPr>
          <w:lang w:val="es-ES_tradnl" w:eastAsia="es-ES"/>
        </w:rPr>
        <w:t>m</w:t>
      </w:r>
      <w:r w:rsidR="00F362BD" w:rsidRPr="00F362BD">
        <w:rPr>
          <w:lang w:val="es-ES_tradnl" w:eastAsia="es-ES"/>
        </w:rPr>
        <w:t xml:space="preserve">agistrados de la Sala Constitucional del Poder Judicial de Oaxaca determinaron </w:t>
      </w:r>
      <w:r w:rsidR="00F60C00">
        <w:rPr>
          <w:lang w:val="es-ES_tradnl" w:eastAsia="es-ES"/>
        </w:rPr>
        <w:t xml:space="preserve">ordenar </w:t>
      </w:r>
      <w:r w:rsidR="00F362BD" w:rsidRPr="00F362BD">
        <w:rPr>
          <w:lang w:val="es-ES_tradnl" w:eastAsia="es-ES"/>
        </w:rPr>
        <w:t>a la Fiscalía General del Estado de Oaxaca cumplir con los puntos primero, segundo y tercero de la recomendación</w:t>
      </w:r>
      <w:r w:rsidR="00CE1E86">
        <w:rPr>
          <w:lang w:val="es-ES_tradnl" w:eastAsia="es-ES"/>
        </w:rPr>
        <w:t xml:space="preserve"> de la </w:t>
      </w:r>
      <w:r w:rsidR="00CE1E86" w:rsidRPr="00CE1E86">
        <w:rPr>
          <w:lang w:val="es-ES_tradnl" w:eastAsia="es-ES"/>
        </w:rPr>
        <w:t>Defensoría de Derechos Humanos del Pueblo de Oaxaca</w:t>
      </w:r>
      <w:r w:rsidR="00F362BD">
        <w:rPr>
          <w:lang w:val="es-ES_tradnl" w:eastAsia="es-ES"/>
        </w:rPr>
        <w:t xml:space="preserve"> (párr.</w:t>
      </w:r>
      <w:r w:rsidR="00CC78AD">
        <w:rPr>
          <w:lang w:val="es-ES_tradnl" w:eastAsia="es-ES"/>
        </w:rPr>
        <w:t xml:space="preserve"> 9.1</w:t>
      </w:r>
      <w:r w:rsidR="00F362BD">
        <w:rPr>
          <w:lang w:val="es-ES_tradnl" w:eastAsia="es-ES"/>
        </w:rPr>
        <w:t xml:space="preserve"> </w:t>
      </w:r>
      <w:r w:rsidR="00F362BD" w:rsidRPr="00EC6D02">
        <w:rPr>
          <w:i/>
          <w:lang w:val="es-ES_tradnl" w:eastAsia="es-ES"/>
        </w:rPr>
        <w:t>supra</w:t>
      </w:r>
      <w:r w:rsidR="00F362BD">
        <w:rPr>
          <w:lang w:val="es-ES_tradnl" w:eastAsia="es-ES"/>
        </w:rPr>
        <w:t>).</w:t>
      </w:r>
      <w:r w:rsidR="00485CE4">
        <w:rPr>
          <w:lang w:val="es-ES_tradnl" w:eastAsia="es-ES"/>
        </w:rPr>
        <w:t xml:space="preserve"> E</w:t>
      </w:r>
      <w:r w:rsidR="000C40DF">
        <w:rPr>
          <w:lang w:val="es-ES_tradnl" w:eastAsia="es-ES"/>
        </w:rPr>
        <w:t xml:space="preserve">n cuanto al </w:t>
      </w:r>
      <w:r w:rsidR="000C40DF" w:rsidRPr="00005D1C">
        <w:rPr>
          <w:lang w:val="es-ES_tradnl" w:eastAsia="es-ES"/>
        </w:rPr>
        <w:t>proceso penal ante el Juzga</w:t>
      </w:r>
      <w:r w:rsidR="000C40DF">
        <w:rPr>
          <w:lang w:val="es-ES_tradnl" w:eastAsia="es-ES"/>
        </w:rPr>
        <w:t xml:space="preserve">do de Puerto Escondido, </w:t>
      </w:r>
      <w:r w:rsidR="00C71770">
        <w:rPr>
          <w:lang w:val="es-ES_tradnl" w:eastAsia="es-ES"/>
        </w:rPr>
        <w:t>el Estado parte informó que</w:t>
      </w:r>
      <w:r w:rsidR="000C40DF">
        <w:rPr>
          <w:lang w:val="es-ES_tradnl" w:eastAsia="es-ES"/>
        </w:rPr>
        <w:t>,</w:t>
      </w:r>
      <w:r w:rsidR="00C71770">
        <w:rPr>
          <w:lang w:val="es-ES_tradnl" w:eastAsia="es-ES"/>
        </w:rPr>
        <w:t xml:space="preserve"> </w:t>
      </w:r>
      <w:r w:rsidR="000C40DF" w:rsidRPr="00C71770">
        <w:rPr>
          <w:lang w:val="es-ES_tradnl" w:eastAsia="es-ES"/>
        </w:rPr>
        <w:t>el 14 de febrero de 2019</w:t>
      </w:r>
      <w:r w:rsidR="000C40DF">
        <w:rPr>
          <w:lang w:val="es-ES_tradnl" w:eastAsia="es-ES"/>
        </w:rPr>
        <w:t>,</w:t>
      </w:r>
      <w:r w:rsidR="000C40DF" w:rsidRPr="00C71770">
        <w:rPr>
          <w:lang w:val="es-ES_tradnl" w:eastAsia="es-ES"/>
        </w:rPr>
        <w:t xml:space="preserve"> </w:t>
      </w:r>
      <w:r w:rsidR="00C71770" w:rsidRPr="00C71770">
        <w:rPr>
          <w:lang w:val="es-ES_tradnl" w:eastAsia="es-ES"/>
        </w:rPr>
        <w:t>la Fiscalía esgrimió conclusiones acusatorias en contra de Javier Rodríguez Peña como penalmente responsable de los delitos de homicidio calific</w:t>
      </w:r>
      <w:r w:rsidR="003F111C">
        <w:rPr>
          <w:lang w:val="es-ES_tradnl" w:eastAsia="es-ES"/>
        </w:rPr>
        <w:t>ado con premeditación y ventaja y</w:t>
      </w:r>
      <w:r w:rsidR="00C71770" w:rsidRPr="00C71770">
        <w:rPr>
          <w:lang w:val="es-ES_tradnl" w:eastAsia="es-ES"/>
        </w:rPr>
        <w:t xml:space="preserve"> </w:t>
      </w:r>
      <w:r w:rsidR="003F111C">
        <w:rPr>
          <w:lang w:val="es-ES_tradnl" w:eastAsia="es-ES"/>
        </w:rPr>
        <w:t xml:space="preserve">robo calificado con violencia, por lo que el proceso </w:t>
      </w:r>
      <w:r w:rsidR="00C425AC">
        <w:rPr>
          <w:lang w:val="es-ES_tradnl" w:eastAsia="es-ES"/>
        </w:rPr>
        <w:t>entró en la</w:t>
      </w:r>
      <w:r w:rsidR="003F111C">
        <w:rPr>
          <w:lang w:val="es-ES_tradnl" w:eastAsia="es-ES"/>
        </w:rPr>
        <w:t xml:space="preserve"> etapa de juicio.</w:t>
      </w:r>
      <w:r w:rsidR="00467B9E">
        <w:rPr>
          <w:lang w:val="es-ES_tradnl" w:eastAsia="es-ES"/>
        </w:rPr>
        <w:t xml:space="preserve"> </w:t>
      </w:r>
      <w:r w:rsidR="00485CE4">
        <w:rPr>
          <w:lang w:val="es-ES_tradnl" w:eastAsia="es-ES"/>
        </w:rPr>
        <w:t>E</w:t>
      </w:r>
      <w:r w:rsidR="00467B9E">
        <w:rPr>
          <w:lang w:val="es-ES_tradnl" w:eastAsia="es-ES"/>
        </w:rPr>
        <w:t xml:space="preserve">l Estado </w:t>
      </w:r>
      <w:r w:rsidR="00F60C00">
        <w:rPr>
          <w:lang w:val="es-ES_tradnl" w:eastAsia="es-ES"/>
        </w:rPr>
        <w:t xml:space="preserve">parte </w:t>
      </w:r>
      <w:r w:rsidR="00467B9E">
        <w:rPr>
          <w:lang w:val="es-ES_tradnl" w:eastAsia="es-ES"/>
        </w:rPr>
        <w:t>también informó</w:t>
      </w:r>
      <w:r w:rsidR="00DF1CB3">
        <w:rPr>
          <w:lang w:val="es-ES_tradnl" w:eastAsia="es-ES"/>
        </w:rPr>
        <w:t xml:space="preserve"> que</w:t>
      </w:r>
      <w:r w:rsidR="00467B9E">
        <w:rPr>
          <w:lang w:val="es-ES_tradnl" w:eastAsia="es-ES"/>
        </w:rPr>
        <w:t xml:space="preserve"> </w:t>
      </w:r>
      <w:r w:rsidR="00467B9E" w:rsidRPr="00467B9E">
        <w:rPr>
          <w:lang w:val="es-ES_tradnl" w:eastAsia="es-ES"/>
        </w:rPr>
        <w:t xml:space="preserve">se envió </w:t>
      </w:r>
      <w:r w:rsidR="00467B9E">
        <w:rPr>
          <w:lang w:val="es-ES_tradnl" w:eastAsia="es-ES"/>
        </w:rPr>
        <w:t xml:space="preserve">un </w:t>
      </w:r>
      <w:r w:rsidR="00467B9E" w:rsidRPr="00467B9E">
        <w:rPr>
          <w:lang w:val="es-ES_tradnl" w:eastAsia="es-ES"/>
        </w:rPr>
        <w:t xml:space="preserve">oficio al Poder Judicial del Estado de Oaxaca </w:t>
      </w:r>
      <w:r w:rsidR="00DF1CB3">
        <w:rPr>
          <w:lang w:val="es-ES_tradnl" w:eastAsia="es-ES"/>
        </w:rPr>
        <w:t xml:space="preserve">para </w:t>
      </w:r>
      <w:r w:rsidR="00467B9E" w:rsidRPr="00467B9E">
        <w:rPr>
          <w:lang w:val="es-ES_tradnl" w:eastAsia="es-ES"/>
        </w:rPr>
        <w:t>que designe peritos para que intervengan en lo re</w:t>
      </w:r>
      <w:r w:rsidR="00DF1CB3">
        <w:rPr>
          <w:lang w:val="es-ES_tradnl" w:eastAsia="es-ES"/>
        </w:rPr>
        <w:t>lativo a la</w:t>
      </w:r>
      <w:r w:rsidR="00F60C00">
        <w:rPr>
          <w:lang w:val="es-ES_tradnl" w:eastAsia="es-ES"/>
        </w:rPr>
        <w:t>s</w:t>
      </w:r>
      <w:r w:rsidR="00DF1CB3">
        <w:rPr>
          <w:lang w:val="es-ES_tradnl" w:eastAsia="es-ES"/>
        </w:rPr>
        <w:t xml:space="preserve"> prueba</w:t>
      </w:r>
      <w:r w:rsidR="00F60C00">
        <w:rPr>
          <w:lang w:val="es-ES_tradnl" w:eastAsia="es-ES"/>
        </w:rPr>
        <w:t>s</w:t>
      </w:r>
      <w:r w:rsidR="00DF1CB3">
        <w:rPr>
          <w:lang w:val="es-ES_tradnl" w:eastAsia="es-ES"/>
        </w:rPr>
        <w:t xml:space="preserve"> de</w:t>
      </w:r>
      <w:r w:rsidR="00F60C00">
        <w:rPr>
          <w:lang w:val="es-ES_tradnl" w:eastAsia="es-ES"/>
        </w:rPr>
        <w:t xml:space="preserve">l </w:t>
      </w:r>
      <w:r w:rsidR="00F60C00" w:rsidRPr="00531919">
        <w:rPr>
          <w:rFonts w:hint="eastAsia"/>
          <w:lang w:val="es-ES_tradnl" w:eastAsia="es-ES"/>
        </w:rPr>
        <w:t>Manual para la investigaci</w:t>
      </w:r>
      <w:r w:rsidR="00682439" w:rsidRPr="00531919">
        <w:rPr>
          <w:rFonts w:hint="eastAsia"/>
          <w:lang w:val="es-ES_tradnl" w:eastAsia="es-ES"/>
        </w:rPr>
        <w:t>ó</w:t>
      </w:r>
      <w:r w:rsidR="00F60C00" w:rsidRPr="00531919">
        <w:rPr>
          <w:rFonts w:hint="eastAsia"/>
          <w:lang w:val="es-ES_tradnl" w:eastAsia="es-ES"/>
        </w:rPr>
        <w:t>n y documentación eficaces de la tortura y otros tratos o penas crueles, inhumanos o degradantes (Pro</w:t>
      </w:r>
      <w:proofErr w:type="spellStart"/>
      <w:r w:rsidR="00F60C00">
        <w:rPr>
          <w:rFonts w:ascii="Helvetica Neue" w:hAnsi="Helvetica Neue"/>
          <w:color w:val="333333"/>
          <w:sz w:val="21"/>
          <w:szCs w:val="21"/>
          <w:shd w:val="clear" w:color="auto" w:fill="FFFFFF"/>
          <w:lang w:val="es-ES"/>
        </w:rPr>
        <w:t>tocolo</w:t>
      </w:r>
      <w:proofErr w:type="spellEnd"/>
      <w:r w:rsidR="00F60C00">
        <w:rPr>
          <w:rFonts w:ascii="Helvetica Neue" w:hAnsi="Helvetica Neue"/>
          <w:color w:val="333333"/>
          <w:sz w:val="21"/>
          <w:szCs w:val="21"/>
          <w:shd w:val="clear" w:color="auto" w:fill="FFFFFF"/>
          <w:lang w:val="es-ES"/>
        </w:rPr>
        <w:t xml:space="preserve"> de</w:t>
      </w:r>
      <w:r w:rsidR="00DF1CB3">
        <w:rPr>
          <w:lang w:val="es-ES_tradnl" w:eastAsia="es-ES"/>
        </w:rPr>
        <w:t xml:space="preserve"> Estambul</w:t>
      </w:r>
      <w:r w:rsidR="00F60C00">
        <w:rPr>
          <w:lang w:val="es-ES_tradnl" w:eastAsia="es-ES"/>
        </w:rPr>
        <w:t>)</w:t>
      </w:r>
      <w:r w:rsidR="00DF1CB3">
        <w:rPr>
          <w:lang w:val="es-ES_tradnl" w:eastAsia="es-ES"/>
        </w:rPr>
        <w:t>.</w:t>
      </w:r>
      <w:r w:rsidR="00FD1F9C">
        <w:rPr>
          <w:lang w:val="es-ES_tradnl" w:eastAsia="es-ES"/>
        </w:rPr>
        <w:t xml:space="preserve"> Asimismo, el Estado </w:t>
      </w:r>
      <w:r w:rsidR="00F60C00">
        <w:rPr>
          <w:lang w:val="es-ES_tradnl" w:eastAsia="es-ES"/>
        </w:rPr>
        <w:t xml:space="preserve">parte </w:t>
      </w:r>
      <w:r w:rsidR="00FD1F9C">
        <w:rPr>
          <w:lang w:val="es-ES_tradnl" w:eastAsia="es-ES"/>
        </w:rPr>
        <w:t xml:space="preserve">informó que las carpetas </w:t>
      </w:r>
      <w:r w:rsidR="00FD1F9C" w:rsidRPr="00FD1F9C">
        <w:rPr>
          <w:lang w:val="es-ES_tradnl" w:eastAsia="es-ES"/>
        </w:rPr>
        <w:t>de investigación 139/</w:t>
      </w:r>
      <w:proofErr w:type="spellStart"/>
      <w:r w:rsidR="00FD1F9C" w:rsidRPr="00FD1F9C">
        <w:rPr>
          <w:lang w:val="es-ES_tradnl" w:eastAsia="es-ES"/>
        </w:rPr>
        <w:t>UEDF</w:t>
      </w:r>
      <w:proofErr w:type="spellEnd"/>
      <w:r w:rsidR="00FD1F9C" w:rsidRPr="00FD1F9C">
        <w:rPr>
          <w:lang w:val="es-ES_tradnl" w:eastAsia="es-ES"/>
        </w:rPr>
        <w:t>/2018, 138/</w:t>
      </w:r>
      <w:proofErr w:type="spellStart"/>
      <w:r w:rsidR="00FD1F9C" w:rsidRPr="00FD1F9C">
        <w:rPr>
          <w:lang w:val="es-ES_tradnl" w:eastAsia="es-ES"/>
        </w:rPr>
        <w:t>FESP</w:t>
      </w:r>
      <w:proofErr w:type="spellEnd"/>
      <w:r w:rsidR="00FD1F9C" w:rsidRPr="00FD1F9C">
        <w:rPr>
          <w:lang w:val="es-ES_tradnl" w:eastAsia="es-ES"/>
        </w:rPr>
        <w:t>/2013 y 21/</w:t>
      </w:r>
      <w:proofErr w:type="spellStart"/>
      <w:r w:rsidR="00FD1F9C" w:rsidRPr="00FD1F9C">
        <w:rPr>
          <w:lang w:val="es-ES_tradnl" w:eastAsia="es-ES"/>
        </w:rPr>
        <w:t>FESP</w:t>
      </w:r>
      <w:proofErr w:type="spellEnd"/>
      <w:r w:rsidR="00FD1F9C" w:rsidRPr="00FD1F9C">
        <w:rPr>
          <w:lang w:val="es-ES_tradnl" w:eastAsia="es-ES"/>
        </w:rPr>
        <w:t>/2015</w:t>
      </w:r>
      <w:r w:rsidR="00FD1F9C">
        <w:rPr>
          <w:lang w:val="es-ES_tradnl" w:eastAsia="es-ES"/>
        </w:rPr>
        <w:t xml:space="preserve"> continúan en trámite. </w:t>
      </w:r>
      <w:r w:rsidR="00177A47">
        <w:rPr>
          <w:lang w:val="es-ES_tradnl" w:eastAsia="es-ES"/>
        </w:rPr>
        <w:lastRenderedPageBreak/>
        <w:t>Finalmente, informó que tanto el padre como la madre y la hermana del Sr. Moreno Pérez</w:t>
      </w:r>
      <w:r w:rsidR="00177A47" w:rsidRPr="00177A47">
        <w:rPr>
          <w:lang w:val="es-ES_tradnl" w:eastAsia="es-ES"/>
        </w:rPr>
        <w:t xml:space="preserve"> están</w:t>
      </w:r>
      <w:r w:rsidR="00485CE4">
        <w:rPr>
          <w:lang w:val="es-ES_tradnl" w:eastAsia="es-ES"/>
        </w:rPr>
        <w:t xml:space="preserve"> ahora</w:t>
      </w:r>
      <w:r w:rsidR="00177A47" w:rsidRPr="00177A47">
        <w:rPr>
          <w:lang w:val="es-ES_tradnl" w:eastAsia="es-ES"/>
        </w:rPr>
        <w:t xml:space="preserve"> inscritos en el Registro Nacional de Víctimas</w:t>
      </w:r>
      <w:r w:rsidR="0013522B">
        <w:rPr>
          <w:lang w:val="es-ES_tradnl" w:eastAsia="es-ES"/>
        </w:rPr>
        <w:t xml:space="preserve"> (párr. 8.6</w:t>
      </w:r>
      <w:r w:rsidR="0013522B" w:rsidRPr="0013522B">
        <w:rPr>
          <w:lang w:val="es-ES_tradnl" w:eastAsia="es-ES"/>
        </w:rPr>
        <w:t xml:space="preserve"> </w:t>
      </w:r>
      <w:r w:rsidR="0013522B" w:rsidRPr="00EC6D02">
        <w:rPr>
          <w:i/>
          <w:lang w:val="es-ES_tradnl" w:eastAsia="es-ES"/>
        </w:rPr>
        <w:t>supra</w:t>
      </w:r>
      <w:r w:rsidR="0013522B" w:rsidRPr="0013522B">
        <w:rPr>
          <w:lang w:val="es-ES_tradnl" w:eastAsia="es-ES"/>
        </w:rPr>
        <w:t>)</w:t>
      </w:r>
      <w:r w:rsidR="00177A47">
        <w:rPr>
          <w:lang w:val="es-ES_tradnl" w:eastAsia="es-ES"/>
        </w:rPr>
        <w:t>.</w:t>
      </w:r>
    </w:p>
    <w:p w14:paraId="284D65C8" w14:textId="384418E3" w:rsidR="0059040B" w:rsidRDefault="002E47A7" w:rsidP="00531919">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14:paraId="624D635F" w14:textId="3D152B86" w:rsidR="0059040B" w:rsidRPr="00CF443F" w:rsidRDefault="00175184">
      <w:pPr>
        <w:pStyle w:val="H4G"/>
        <w:rPr>
          <w:lang w:val="es-ES_tradnl" w:eastAsia="es-ES"/>
        </w:rPr>
      </w:pPr>
      <w:r>
        <w:rPr>
          <w:lang w:val="es-ES_tradnl" w:eastAsia="es-ES"/>
        </w:rPr>
        <w:tab/>
      </w:r>
      <w:r>
        <w:rPr>
          <w:lang w:val="es-ES_tradnl" w:eastAsia="es-ES"/>
        </w:rPr>
        <w:tab/>
      </w:r>
      <w:r w:rsidR="004A2990">
        <w:rPr>
          <w:lang w:val="es-ES_tradnl" w:eastAsia="es-ES"/>
        </w:rPr>
        <w:t>Examen de la admisibilidad</w:t>
      </w:r>
    </w:p>
    <w:p w14:paraId="43A6C56A" w14:textId="191C498B" w:rsidR="00CF443F" w:rsidRDefault="00AB7353" w:rsidP="00AA4464">
      <w:pPr>
        <w:pStyle w:val="SingleTxtG"/>
        <w:rPr>
          <w:lang w:val="es-ES_tradnl" w:eastAsia="es-ES"/>
        </w:rPr>
      </w:pPr>
      <w:r>
        <w:rPr>
          <w:lang w:val="es-ES_tradnl" w:eastAsia="es-ES"/>
        </w:rPr>
        <w:t>1</w:t>
      </w:r>
      <w:r w:rsidR="002E47A7">
        <w:rPr>
          <w:lang w:val="es-ES_tradnl" w:eastAsia="es-ES"/>
        </w:rPr>
        <w:t>1</w:t>
      </w:r>
      <w:r w:rsidR="00266DA4">
        <w:rPr>
          <w:lang w:val="es-ES_tradnl" w:eastAsia="es-ES"/>
        </w:rPr>
        <w:t>.1</w:t>
      </w:r>
      <w:r w:rsidR="00266DA4">
        <w:rPr>
          <w:lang w:val="es-ES_tradnl" w:eastAsia="es-ES"/>
        </w:rPr>
        <w:tab/>
      </w:r>
      <w:r w:rsidR="00266DA4" w:rsidRPr="00266DA4">
        <w:rPr>
          <w:lang w:val="es-ES_tradnl" w:eastAsia="es-ES"/>
        </w:rPr>
        <w:t>Antes de examinar toda reclamación formulada en una comunicación, el Comité debe decidir, d</w:t>
      </w:r>
      <w:r w:rsidR="00101A08">
        <w:rPr>
          <w:lang w:val="es-ES_tradnl" w:eastAsia="es-ES"/>
        </w:rPr>
        <w:t>e conformidad con el artículo 97</w:t>
      </w:r>
      <w:r w:rsidR="00266DA4" w:rsidRPr="00266DA4">
        <w:rPr>
          <w:lang w:val="es-ES_tradnl" w:eastAsia="es-ES"/>
        </w:rPr>
        <w:t xml:space="preserve"> de su reglamento, si dicha comunicación es o no admisible en virtud del Protocolo Facultativo del Pacto</w:t>
      </w:r>
      <w:r w:rsidR="00266DA4">
        <w:rPr>
          <w:lang w:val="es-ES_tradnl" w:eastAsia="es-ES"/>
        </w:rPr>
        <w:t>.</w:t>
      </w:r>
    </w:p>
    <w:p w14:paraId="3C29F043" w14:textId="16CA43AF" w:rsidR="00674787" w:rsidRPr="00A942FD" w:rsidRDefault="00AB7353" w:rsidP="00AA4464">
      <w:pPr>
        <w:pStyle w:val="SingleTxtG"/>
        <w:rPr>
          <w:lang w:val="es-ES_tradnl" w:eastAsia="es-ES"/>
        </w:rPr>
      </w:pPr>
      <w:r>
        <w:rPr>
          <w:lang w:val="es-ES_tradnl" w:eastAsia="es-ES"/>
        </w:rPr>
        <w:t>1</w:t>
      </w:r>
      <w:r w:rsidR="002E47A7">
        <w:rPr>
          <w:lang w:val="es-ES_tradnl" w:eastAsia="es-ES"/>
        </w:rPr>
        <w:t>1</w:t>
      </w:r>
      <w:r w:rsidR="00674787">
        <w:rPr>
          <w:lang w:val="es-ES_tradnl" w:eastAsia="es-ES"/>
        </w:rPr>
        <w:t>.2</w:t>
      </w:r>
      <w:r w:rsidR="00674787">
        <w:rPr>
          <w:lang w:val="es-ES_tradnl" w:eastAsia="es-ES"/>
        </w:rPr>
        <w:tab/>
      </w:r>
      <w:r w:rsidR="000F4FDA" w:rsidRPr="00AD349E">
        <w:rPr>
          <w:lang w:val="es-ES_tradnl"/>
        </w:rPr>
        <w:t>En cumplimiento de lo exigido en el artículo 5, párrafo 2</w:t>
      </w:r>
      <w:r w:rsidR="00066D7A">
        <w:rPr>
          <w:lang w:val="es-ES_tradnl"/>
        </w:rPr>
        <w:t>, inciso</w:t>
      </w:r>
      <w:r w:rsidR="000F4FDA" w:rsidRPr="00AD349E">
        <w:rPr>
          <w:lang w:val="es-ES_tradnl"/>
        </w:rPr>
        <w:t xml:space="preserve"> a</w:t>
      </w:r>
      <w:r w:rsidR="00F859FA">
        <w:rPr>
          <w:lang w:val="es-ES_tradnl"/>
        </w:rPr>
        <w:t>)</w:t>
      </w:r>
      <w:r w:rsidR="00066D7A">
        <w:rPr>
          <w:lang w:val="es-ES_tradnl"/>
        </w:rPr>
        <w:t>,</w:t>
      </w:r>
      <w:r w:rsidR="000F4FDA" w:rsidRPr="00AD349E">
        <w:rPr>
          <w:lang w:val="es-ES_tradnl"/>
        </w:rPr>
        <w:t xml:space="preserve"> del Protocolo Facultativo, el Comité se ha cerciorado de que el mismo asunto no est</w:t>
      </w:r>
      <w:r w:rsidR="004F6BAC">
        <w:rPr>
          <w:lang w:val="es-ES_tradnl"/>
        </w:rPr>
        <w:t>é</w:t>
      </w:r>
      <w:r w:rsidR="000F4FDA" w:rsidRPr="00AD349E">
        <w:rPr>
          <w:lang w:val="es-ES_tradnl"/>
        </w:rPr>
        <w:t xml:space="preserve"> siendo examinado en el marco de otro procedimiento de examen o arreglo internacional.</w:t>
      </w:r>
    </w:p>
    <w:p w14:paraId="32884D59" w14:textId="5935BB44" w:rsidR="00227A81" w:rsidRDefault="00AB7353" w:rsidP="00124BC8">
      <w:pPr>
        <w:pStyle w:val="SingleTxtG"/>
        <w:rPr>
          <w:lang w:val="es-ES_tradnl" w:eastAsia="es-ES"/>
        </w:rPr>
      </w:pPr>
      <w:r>
        <w:rPr>
          <w:lang w:val="es-ES_tradnl" w:eastAsia="es-ES"/>
        </w:rPr>
        <w:t>1</w:t>
      </w:r>
      <w:r w:rsidR="002E47A7">
        <w:rPr>
          <w:lang w:val="es-ES_tradnl" w:eastAsia="es-ES"/>
        </w:rPr>
        <w:t>1</w:t>
      </w:r>
      <w:r w:rsidR="005A5697" w:rsidRPr="00A942FD">
        <w:rPr>
          <w:lang w:val="es-ES_tradnl" w:eastAsia="es-ES"/>
        </w:rPr>
        <w:t>.3</w:t>
      </w:r>
      <w:r w:rsidR="005A5697" w:rsidRPr="00A942FD">
        <w:rPr>
          <w:lang w:val="es-ES_tradnl" w:eastAsia="es-ES"/>
        </w:rPr>
        <w:tab/>
      </w:r>
      <w:r w:rsidR="000F76B9" w:rsidRPr="000F76B9">
        <w:rPr>
          <w:lang w:val="es-ES_tradnl" w:eastAsia="es-ES"/>
        </w:rPr>
        <w:t xml:space="preserve">El </w:t>
      </w:r>
      <w:r w:rsidR="000F4FDA">
        <w:rPr>
          <w:lang w:val="es-ES_tradnl" w:eastAsia="es-ES"/>
        </w:rPr>
        <w:t xml:space="preserve">Comité toma nota del argumento del </w:t>
      </w:r>
      <w:r w:rsidR="000F76B9" w:rsidRPr="000F76B9">
        <w:rPr>
          <w:lang w:val="es-ES_tradnl" w:eastAsia="es-ES"/>
        </w:rPr>
        <w:t xml:space="preserve">Estado </w:t>
      </w:r>
      <w:r w:rsidR="000F76B9">
        <w:rPr>
          <w:lang w:val="es-ES_tradnl" w:eastAsia="es-ES"/>
        </w:rPr>
        <w:t xml:space="preserve">parte </w:t>
      </w:r>
      <w:r w:rsidR="000F4FDA">
        <w:rPr>
          <w:lang w:val="es-ES_tradnl" w:eastAsia="es-ES"/>
        </w:rPr>
        <w:t>relativo a la falta de agotamiento de</w:t>
      </w:r>
      <w:r w:rsidR="000F76B9" w:rsidRPr="000F76B9">
        <w:rPr>
          <w:lang w:val="es-ES_tradnl" w:eastAsia="es-ES"/>
        </w:rPr>
        <w:t xml:space="preserve"> los recursos </w:t>
      </w:r>
      <w:r w:rsidR="000F76B9" w:rsidRPr="00717AE5">
        <w:rPr>
          <w:lang w:val="es-ES_tradnl" w:eastAsia="es-ES"/>
        </w:rPr>
        <w:t>internos, al encontrarse todavía en trámite</w:t>
      </w:r>
      <w:r w:rsidR="000A0AE9" w:rsidRPr="00717AE5">
        <w:rPr>
          <w:lang w:val="es-ES_tradnl" w:eastAsia="es-ES"/>
        </w:rPr>
        <w:t xml:space="preserve"> </w:t>
      </w:r>
      <w:r w:rsidR="0008589B">
        <w:rPr>
          <w:lang w:val="es-ES_tradnl" w:eastAsia="es-ES"/>
        </w:rPr>
        <w:t>diversos expedientes</w:t>
      </w:r>
      <w:r w:rsidR="000A0AE9" w:rsidRPr="00717AE5">
        <w:rPr>
          <w:lang w:val="es-ES_tradnl" w:eastAsia="es-ES"/>
        </w:rPr>
        <w:t xml:space="preserve"> </w:t>
      </w:r>
      <w:r w:rsidR="003D7CC8">
        <w:rPr>
          <w:lang w:val="es-ES_tradnl" w:eastAsia="es-ES"/>
        </w:rPr>
        <w:t>y averiguaciones previas</w:t>
      </w:r>
      <w:r w:rsidR="00E276A1">
        <w:rPr>
          <w:rStyle w:val="Refdenotaalpie"/>
          <w:lang w:val="es-ES_tradnl" w:eastAsia="es-ES"/>
        </w:rPr>
        <w:footnoteReference w:id="52"/>
      </w:r>
      <w:r w:rsidR="005A0437">
        <w:rPr>
          <w:lang w:val="es-ES_tradnl" w:eastAsia="es-ES"/>
        </w:rPr>
        <w:t xml:space="preserve"> y</w:t>
      </w:r>
      <w:r w:rsidR="005A0437" w:rsidRPr="005A0437">
        <w:rPr>
          <w:lang w:val="es-ES"/>
        </w:rPr>
        <w:t xml:space="preserve"> </w:t>
      </w:r>
      <w:r w:rsidR="005A0437" w:rsidRPr="005A0437">
        <w:rPr>
          <w:lang w:val="es-ES_tradnl" w:eastAsia="es-ES"/>
        </w:rPr>
        <w:t xml:space="preserve">al encontrarse todavía en </w:t>
      </w:r>
      <w:r w:rsidR="008E1725">
        <w:rPr>
          <w:lang w:val="es-ES_tradnl" w:eastAsia="es-ES"/>
        </w:rPr>
        <w:t>curso</w:t>
      </w:r>
      <w:r w:rsidR="005A0437">
        <w:rPr>
          <w:lang w:val="es-ES_tradnl" w:eastAsia="es-ES"/>
        </w:rPr>
        <w:t xml:space="preserve"> el proceso penal ante el Juzgado de Puerto Escondido</w:t>
      </w:r>
      <w:r w:rsidR="006228B0">
        <w:rPr>
          <w:lang w:val="es-ES_tradnl" w:eastAsia="es-ES"/>
        </w:rPr>
        <w:t xml:space="preserve">. </w:t>
      </w:r>
      <w:r w:rsidR="00167251">
        <w:rPr>
          <w:lang w:val="es-ES_tradnl" w:eastAsia="es-ES"/>
        </w:rPr>
        <w:t>El Comité toma nota</w:t>
      </w:r>
      <w:r w:rsidR="00A72C85">
        <w:rPr>
          <w:lang w:val="es-ES_tradnl" w:eastAsia="es-ES"/>
        </w:rPr>
        <w:t>, sin embargo,</w:t>
      </w:r>
      <w:r w:rsidR="00167251">
        <w:rPr>
          <w:lang w:val="es-ES_tradnl" w:eastAsia="es-ES"/>
        </w:rPr>
        <w:t xml:space="preserve"> de las alegaciones de los</w:t>
      </w:r>
      <w:r w:rsidR="00227A81" w:rsidRPr="00227A81">
        <w:rPr>
          <w:lang w:val="es-ES_tradnl" w:eastAsia="es-ES"/>
        </w:rPr>
        <w:t xml:space="preserve"> autores </w:t>
      </w:r>
      <w:r w:rsidR="0038137F">
        <w:rPr>
          <w:lang w:val="es-ES_tradnl" w:eastAsia="es-ES"/>
        </w:rPr>
        <w:t xml:space="preserve">de </w:t>
      </w:r>
      <w:r w:rsidR="0038137F">
        <w:rPr>
          <w:color w:val="000000"/>
          <w:lang w:val="es-ES_tradnl"/>
        </w:rPr>
        <w:t>prolongación injustificada</w:t>
      </w:r>
      <w:r w:rsidR="0038137F">
        <w:rPr>
          <w:lang w:val="es-ES_tradnl" w:eastAsia="es-ES"/>
        </w:rPr>
        <w:t xml:space="preserve"> e inefectividad de</w:t>
      </w:r>
      <w:r w:rsidR="00227A81" w:rsidRPr="00227A81">
        <w:rPr>
          <w:lang w:val="es-ES_tradnl" w:eastAsia="es-ES"/>
        </w:rPr>
        <w:t xml:space="preserve"> </w:t>
      </w:r>
      <w:r w:rsidR="00227A81">
        <w:rPr>
          <w:lang w:val="es-ES_tradnl" w:eastAsia="es-ES"/>
        </w:rPr>
        <w:t xml:space="preserve">los </w:t>
      </w:r>
      <w:r w:rsidR="00227A81" w:rsidRPr="00FD2122">
        <w:rPr>
          <w:lang w:val="es-ES_tradnl" w:eastAsia="es-ES"/>
        </w:rPr>
        <w:t>recursos</w:t>
      </w:r>
      <w:r w:rsidR="00FD2122" w:rsidRPr="00FD2122">
        <w:rPr>
          <w:lang w:val="es-ES_tradnl" w:eastAsia="es-ES"/>
        </w:rPr>
        <w:t xml:space="preserve"> internos</w:t>
      </w:r>
      <w:r w:rsidR="004E6060">
        <w:rPr>
          <w:color w:val="000000"/>
          <w:lang w:val="es-ES_tradnl"/>
        </w:rPr>
        <w:t xml:space="preserve">, </w:t>
      </w:r>
      <w:r w:rsidR="0038137F">
        <w:rPr>
          <w:color w:val="000000"/>
          <w:lang w:val="es-ES_tradnl"/>
        </w:rPr>
        <w:t>así como de</w:t>
      </w:r>
      <w:r w:rsidR="009404D8">
        <w:rPr>
          <w:color w:val="000000"/>
          <w:lang w:val="es-ES_tradnl"/>
        </w:rPr>
        <w:t xml:space="preserve"> </w:t>
      </w:r>
      <w:r w:rsidR="0038137F">
        <w:rPr>
          <w:color w:val="000000"/>
          <w:lang w:val="es-ES_tradnl"/>
        </w:rPr>
        <w:t xml:space="preserve">serias irregularidades en las </w:t>
      </w:r>
      <w:r w:rsidR="009404D8">
        <w:rPr>
          <w:color w:val="000000"/>
          <w:lang w:val="es-ES_tradnl"/>
        </w:rPr>
        <w:t xml:space="preserve">investigaciones, </w:t>
      </w:r>
      <w:r w:rsidR="004E6060">
        <w:rPr>
          <w:color w:val="000000"/>
          <w:lang w:val="es-ES_tradnl"/>
        </w:rPr>
        <w:t xml:space="preserve">por lo que se sigue sin tener conocimiento de la suerte y paradero del Sr. </w:t>
      </w:r>
      <w:r w:rsidR="002438C0">
        <w:rPr>
          <w:color w:val="000000"/>
          <w:lang w:val="es-ES_tradnl"/>
        </w:rPr>
        <w:t>Moreno Pérez</w:t>
      </w:r>
      <w:r w:rsidR="00227A81">
        <w:rPr>
          <w:lang w:val="es-ES_tradnl" w:eastAsia="es-ES"/>
        </w:rPr>
        <w:t>.</w:t>
      </w:r>
    </w:p>
    <w:p w14:paraId="526523B5" w14:textId="63EFC121" w:rsidR="00124BC8" w:rsidRDefault="00AB7353" w:rsidP="009F42B4">
      <w:pPr>
        <w:pStyle w:val="SingleTxtG"/>
        <w:rPr>
          <w:lang w:val="es-ES_tradnl" w:eastAsia="es-ES"/>
        </w:rPr>
      </w:pPr>
      <w:r>
        <w:rPr>
          <w:lang w:val="es-ES_tradnl" w:eastAsia="es-ES"/>
        </w:rPr>
        <w:t>1</w:t>
      </w:r>
      <w:r w:rsidR="002E47A7">
        <w:rPr>
          <w:lang w:val="es-ES_tradnl" w:eastAsia="es-ES"/>
        </w:rPr>
        <w:t>1</w:t>
      </w:r>
      <w:r w:rsidR="00227A81" w:rsidRPr="0066090A">
        <w:rPr>
          <w:lang w:val="es-ES_tradnl" w:eastAsia="es-ES"/>
        </w:rPr>
        <w:t>.4</w:t>
      </w:r>
      <w:r w:rsidR="00227A81" w:rsidRPr="0066090A">
        <w:rPr>
          <w:lang w:val="es-ES_tradnl" w:eastAsia="es-ES"/>
        </w:rPr>
        <w:tab/>
      </w:r>
      <w:r w:rsidR="00787045" w:rsidRPr="00787045">
        <w:rPr>
          <w:lang w:val="es-ES_tradnl" w:eastAsia="es-ES"/>
        </w:rPr>
        <w:t xml:space="preserve">El Comité recuerda que el propósito del requisito de agotamiento es que el propio Estado </w:t>
      </w:r>
      <w:r w:rsidR="00787045">
        <w:rPr>
          <w:lang w:val="es-ES_tradnl" w:eastAsia="es-ES"/>
        </w:rPr>
        <w:t>p</w:t>
      </w:r>
      <w:r w:rsidR="00787045" w:rsidRPr="00787045">
        <w:rPr>
          <w:lang w:val="es-ES_tradnl" w:eastAsia="es-ES"/>
        </w:rPr>
        <w:t xml:space="preserve">arte tenga la oportunidad de </w:t>
      </w:r>
      <w:r w:rsidR="00D05D04">
        <w:rPr>
          <w:lang w:val="es-ES_tradnl" w:eastAsia="es-ES"/>
        </w:rPr>
        <w:t>hacer</w:t>
      </w:r>
      <w:r w:rsidR="00D05D04" w:rsidRPr="00D05D04">
        <w:rPr>
          <w:lang w:val="es-ES_tradnl" w:eastAsia="es-ES"/>
        </w:rPr>
        <w:t xml:space="preserve"> efectivo su deber de proteger y garantizar los derechos consagrados </w:t>
      </w:r>
      <w:r w:rsidR="00D05D04">
        <w:rPr>
          <w:lang w:val="es-ES_tradnl" w:eastAsia="es-ES"/>
        </w:rPr>
        <w:t>en el Pacto</w:t>
      </w:r>
      <w:r w:rsidR="007422FA">
        <w:rPr>
          <w:rStyle w:val="Refdenotaalpie"/>
          <w:lang w:val="es-ES_tradnl" w:eastAsia="es-ES"/>
        </w:rPr>
        <w:footnoteReference w:id="53"/>
      </w:r>
      <w:r w:rsidR="00CA4DDA">
        <w:rPr>
          <w:lang w:val="es-ES_tradnl" w:eastAsia="es-ES"/>
        </w:rPr>
        <w:t>.</w:t>
      </w:r>
      <w:r w:rsidR="00787045">
        <w:rPr>
          <w:lang w:val="es-ES_tradnl" w:eastAsia="es-ES"/>
        </w:rPr>
        <w:t xml:space="preserve"> </w:t>
      </w:r>
      <w:r w:rsidR="00CA7067" w:rsidRPr="0066090A">
        <w:rPr>
          <w:lang w:val="es-ES_tradnl" w:eastAsia="es-ES"/>
        </w:rPr>
        <w:t xml:space="preserve">Sin embargo, a efectos de lo dispuesto en </w:t>
      </w:r>
      <w:r w:rsidR="00A05CF1" w:rsidRPr="0066090A">
        <w:rPr>
          <w:lang w:val="es-ES_tradnl" w:eastAsia="es-ES"/>
        </w:rPr>
        <w:t>el artículo 5</w:t>
      </w:r>
      <w:r w:rsidR="00D05D04">
        <w:rPr>
          <w:lang w:val="es-ES_tradnl" w:eastAsia="es-ES"/>
        </w:rPr>
        <w:t xml:space="preserve">, párrafo </w:t>
      </w:r>
      <w:r w:rsidR="00CA7067" w:rsidRPr="0066090A">
        <w:rPr>
          <w:lang w:val="es-ES_tradnl" w:eastAsia="es-ES"/>
        </w:rPr>
        <w:t>2</w:t>
      </w:r>
      <w:r w:rsidR="00D05D04">
        <w:rPr>
          <w:lang w:val="es-ES_tradnl" w:eastAsia="es-ES"/>
        </w:rPr>
        <w:t xml:space="preserve">, </w:t>
      </w:r>
      <w:r w:rsidR="006F7165">
        <w:rPr>
          <w:lang w:val="es-ES_tradnl" w:eastAsia="es-ES"/>
        </w:rPr>
        <w:t>apartado</w:t>
      </w:r>
      <w:r w:rsidR="00CA7067" w:rsidRPr="0066090A">
        <w:rPr>
          <w:lang w:val="es-ES_tradnl" w:eastAsia="es-ES"/>
        </w:rPr>
        <w:t xml:space="preserve"> </w:t>
      </w:r>
      <w:r w:rsidR="00D05D04">
        <w:rPr>
          <w:lang w:val="es-ES_tradnl" w:eastAsia="es-ES"/>
        </w:rPr>
        <w:t>b</w:t>
      </w:r>
      <w:r w:rsidR="00CA4DDA">
        <w:rPr>
          <w:lang w:val="es-ES_tradnl" w:eastAsia="es-ES"/>
        </w:rPr>
        <w:t>)</w:t>
      </w:r>
      <w:r w:rsidR="00D05D04">
        <w:rPr>
          <w:lang w:val="es-ES_tradnl" w:eastAsia="es-ES"/>
        </w:rPr>
        <w:t>,</w:t>
      </w:r>
      <w:r w:rsidR="00CA7067" w:rsidRPr="0066090A">
        <w:rPr>
          <w:lang w:val="es-ES_tradnl" w:eastAsia="es-ES"/>
        </w:rPr>
        <w:t xml:space="preserve"> del Protocolo Facultativo, los recursos internos no deben prolongarse injustificadamente. </w:t>
      </w:r>
      <w:r w:rsidR="0066090A" w:rsidRPr="0066090A">
        <w:rPr>
          <w:lang w:val="es-ES_tradnl" w:eastAsia="es-ES"/>
        </w:rPr>
        <w:t xml:space="preserve">En vista de que han </w:t>
      </w:r>
      <w:r w:rsidR="0066090A" w:rsidRPr="006F7165">
        <w:rPr>
          <w:lang w:val="es-ES_tradnl" w:eastAsia="es-ES"/>
        </w:rPr>
        <w:t xml:space="preserve">transcurrido </w:t>
      </w:r>
      <w:r w:rsidR="006F7165" w:rsidRPr="006F7165">
        <w:rPr>
          <w:lang w:val="es-ES_tradnl" w:eastAsia="es-ES"/>
        </w:rPr>
        <w:t>ocho</w:t>
      </w:r>
      <w:r w:rsidR="0066090A" w:rsidRPr="006F7165">
        <w:rPr>
          <w:lang w:val="es-ES_tradnl" w:eastAsia="es-ES"/>
        </w:rPr>
        <w:t xml:space="preserve"> años desde </w:t>
      </w:r>
      <w:r w:rsidR="0066090A" w:rsidRPr="0066090A">
        <w:rPr>
          <w:lang w:val="es-ES_tradnl" w:eastAsia="es-ES"/>
        </w:rPr>
        <w:t>la desaparición</w:t>
      </w:r>
      <w:r w:rsidR="00AA48CB">
        <w:rPr>
          <w:lang w:val="es-ES_tradnl" w:eastAsia="es-ES"/>
        </w:rPr>
        <w:t xml:space="preserve"> </w:t>
      </w:r>
      <w:r w:rsidR="002B5914" w:rsidRPr="0066090A">
        <w:rPr>
          <w:lang w:val="es-ES_tradnl" w:eastAsia="es-ES"/>
        </w:rPr>
        <w:t xml:space="preserve">del Sr. </w:t>
      </w:r>
      <w:r w:rsidR="00773D58" w:rsidRPr="00773D58">
        <w:rPr>
          <w:lang w:val="es-ES_tradnl" w:eastAsia="es-ES"/>
        </w:rPr>
        <w:t xml:space="preserve">Moreno Pérez </w:t>
      </w:r>
      <w:r w:rsidR="00AA48CB">
        <w:rPr>
          <w:lang w:val="es-ES_tradnl" w:eastAsia="es-ES"/>
        </w:rPr>
        <w:t>y</w:t>
      </w:r>
      <w:r w:rsidR="0066090A" w:rsidRPr="0066090A">
        <w:rPr>
          <w:lang w:val="es-ES_tradnl" w:eastAsia="es-ES"/>
        </w:rPr>
        <w:t xml:space="preserve"> </w:t>
      </w:r>
      <w:r w:rsidR="00AA48CB" w:rsidRPr="0066090A">
        <w:rPr>
          <w:lang w:val="es-ES_tradnl" w:eastAsia="es-ES"/>
        </w:rPr>
        <w:t xml:space="preserve">desde las </w:t>
      </w:r>
      <w:r w:rsidR="005603F2">
        <w:rPr>
          <w:lang w:val="es-ES_tradnl" w:eastAsia="es-ES"/>
        </w:rPr>
        <w:t xml:space="preserve">primeras </w:t>
      </w:r>
      <w:r w:rsidR="00600B1A">
        <w:rPr>
          <w:lang w:val="es-ES_tradnl" w:eastAsia="es-ES"/>
        </w:rPr>
        <w:t>denuncias</w:t>
      </w:r>
      <w:r w:rsidR="00AA48CB" w:rsidRPr="0066090A">
        <w:rPr>
          <w:lang w:val="es-ES_tradnl" w:eastAsia="es-ES"/>
        </w:rPr>
        <w:t xml:space="preserve"> </w:t>
      </w:r>
      <w:r w:rsidR="007B368B">
        <w:rPr>
          <w:lang w:val="es-ES_tradnl" w:eastAsia="es-ES"/>
        </w:rPr>
        <w:t xml:space="preserve">presentadas </w:t>
      </w:r>
      <w:r w:rsidR="00AA48CB" w:rsidRPr="0066090A">
        <w:rPr>
          <w:lang w:val="es-ES_tradnl" w:eastAsia="es-ES"/>
        </w:rPr>
        <w:t>por los autores de la presente comunicación</w:t>
      </w:r>
      <w:r w:rsidR="00AA48CB">
        <w:rPr>
          <w:lang w:val="es-ES_tradnl" w:eastAsia="es-ES"/>
        </w:rPr>
        <w:t>,</w:t>
      </w:r>
      <w:r w:rsidR="00AA48CB" w:rsidRPr="0066090A">
        <w:rPr>
          <w:lang w:val="es-ES_tradnl" w:eastAsia="es-ES"/>
        </w:rPr>
        <w:t xml:space="preserve"> </w:t>
      </w:r>
      <w:r w:rsidR="000B5BAF">
        <w:rPr>
          <w:lang w:val="es-ES_tradnl" w:eastAsia="es-ES"/>
        </w:rPr>
        <w:t xml:space="preserve">sin que </w:t>
      </w:r>
      <w:r w:rsidR="00600B1A">
        <w:rPr>
          <w:lang w:val="es-ES_tradnl" w:eastAsia="es-ES"/>
        </w:rPr>
        <w:t xml:space="preserve">dichas investigaciones hayan avanzado significativamente y sin que </w:t>
      </w:r>
      <w:r w:rsidR="000B5BAF">
        <w:rPr>
          <w:lang w:val="es-ES_tradnl" w:eastAsia="es-ES"/>
        </w:rPr>
        <w:t xml:space="preserve">el Estado parte haya justificado </w:t>
      </w:r>
      <w:r w:rsidR="00A92785">
        <w:rPr>
          <w:lang w:val="es-ES_tradnl" w:eastAsia="es-ES"/>
        </w:rPr>
        <w:t xml:space="preserve">adecuadamente </w:t>
      </w:r>
      <w:r w:rsidR="000B5BAF">
        <w:rPr>
          <w:lang w:val="es-ES_tradnl" w:eastAsia="es-ES"/>
        </w:rPr>
        <w:t>dicho retraso</w:t>
      </w:r>
      <w:r w:rsidR="006F7165">
        <w:rPr>
          <w:lang w:val="es-ES_tradnl" w:eastAsia="es-ES"/>
        </w:rPr>
        <w:t>,</w:t>
      </w:r>
      <w:r w:rsidR="000B5BAF">
        <w:rPr>
          <w:lang w:val="es-ES_tradnl" w:eastAsia="es-ES"/>
        </w:rPr>
        <w:t xml:space="preserve"> </w:t>
      </w:r>
      <w:r w:rsidR="0066090A" w:rsidRPr="0066090A">
        <w:rPr>
          <w:lang w:val="es-ES_tradnl" w:eastAsia="es-ES"/>
        </w:rPr>
        <w:t xml:space="preserve">el Comité considera </w:t>
      </w:r>
      <w:r w:rsidR="00AC3A78" w:rsidRPr="0066090A">
        <w:rPr>
          <w:lang w:val="es-ES_tradnl" w:eastAsia="es-ES"/>
        </w:rPr>
        <w:t>que</w:t>
      </w:r>
      <w:r w:rsidR="002E02F9" w:rsidRPr="0066090A">
        <w:rPr>
          <w:lang w:val="es-ES"/>
        </w:rPr>
        <w:t xml:space="preserve"> </w:t>
      </w:r>
      <w:r w:rsidR="000B5BAF">
        <w:rPr>
          <w:lang w:val="es-ES"/>
        </w:rPr>
        <w:t xml:space="preserve">dichas investigaciones se han dilatado excesivamente y que, en consecuencia, </w:t>
      </w:r>
      <w:r w:rsidR="000D471F" w:rsidRPr="0066090A">
        <w:rPr>
          <w:lang w:val="es-ES_tradnl" w:eastAsia="es-ES"/>
        </w:rPr>
        <w:t>el artículo 5</w:t>
      </w:r>
      <w:r w:rsidR="00A55EDE">
        <w:rPr>
          <w:lang w:val="es-ES_tradnl" w:eastAsia="es-ES"/>
        </w:rPr>
        <w:t xml:space="preserve">, </w:t>
      </w:r>
      <w:r w:rsidR="00A55EDE" w:rsidRPr="00025907">
        <w:rPr>
          <w:lang w:val="es-ES"/>
        </w:rPr>
        <w:t>párrafo</w:t>
      </w:r>
      <w:r w:rsidR="00963B70">
        <w:rPr>
          <w:lang w:val="es-ES"/>
        </w:rPr>
        <w:t> </w:t>
      </w:r>
      <w:r w:rsidR="000D471F" w:rsidRPr="0066090A">
        <w:rPr>
          <w:lang w:val="es-ES_tradnl" w:eastAsia="es-ES"/>
        </w:rPr>
        <w:t>2</w:t>
      </w:r>
      <w:r w:rsidR="00A55EDE">
        <w:rPr>
          <w:lang w:val="es-ES_tradnl" w:eastAsia="es-ES"/>
        </w:rPr>
        <w:t>,</w:t>
      </w:r>
      <w:r w:rsidR="000D471F" w:rsidRPr="0066090A">
        <w:rPr>
          <w:lang w:val="es-ES_tradnl" w:eastAsia="es-ES"/>
        </w:rPr>
        <w:t xml:space="preserve"> </w:t>
      </w:r>
      <w:r w:rsidR="008936C5">
        <w:rPr>
          <w:lang w:val="es-ES_tradnl" w:eastAsia="es-ES"/>
        </w:rPr>
        <w:t>apartado</w:t>
      </w:r>
      <w:r w:rsidR="00A55EDE">
        <w:rPr>
          <w:lang w:val="es-ES_tradnl" w:eastAsia="es-ES"/>
        </w:rPr>
        <w:t xml:space="preserve"> </w:t>
      </w:r>
      <w:r w:rsidR="000D471F" w:rsidRPr="0066090A">
        <w:rPr>
          <w:lang w:val="es-ES_tradnl" w:eastAsia="es-ES"/>
        </w:rPr>
        <w:t>b</w:t>
      </w:r>
      <w:r w:rsidR="00CA4DDA">
        <w:rPr>
          <w:lang w:val="es-ES_tradnl" w:eastAsia="es-ES"/>
        </w:rPr>
        <w:t>)</w:t>
      </w:r>
      <w:r w:rsidR="00A55EDE">
        <w:rPr>
          <w:lang w:val="es-ES_tradnl" w:eastAsia="es-ES"/>
        </w:rPr>
        <w:t>,</w:t>
      </w:r>
      <w:r w:rsidR="000D471F" w:rsidRPr="0066090A">
        <w:rPr>
          <w:lang w:val="es-ES_tradnl" w:eastAsia="es-ES"/>
        </w:rPr>
        <w:t xml:space="preserve"> del Protocolo Facultativo no le impide examinar la </w:t>
      </w:r>
      <w:r w:rsidR="007B368B">
        <w:rPr>
          <w:lang w:val="es-ES_tradnl" w:eastAsia="es-ES"/>
        </w:rPr>
        <w:t>presente queja</w:t>
      </w:r>
      <w:r w:rsidR="00602CDA">
        <w:rPr>
          <w:rStyle w:val="Refdenotaalpie"/>
          <w:lang w:val="es-ES_tradnl" w:eastAsia="es-ES"/>
        </w:rPr>
        <w:footnoteReference w:id="54"/>
      </w:r>
      <w:r w:rsidR="00CA4DDA">
        <w:rPr>
          <w:lang w:val="es-ES_tradnl" w:eastAsia="es-ES"/>
        </w:rPr>
        <w:t>.</w:t>
      </w:r>
    </w:p>
    <w:p w14:paraId="114F4DEA" w14:textId="525970EF" w:rsidR="00124BC8" w:rsidRPr="00AC3A78" w:rsidRDefault="00AB7353" w:rsidP="00124BC8">
      <w:pPr>
        <w:pStyle w:val="SingleTxtG"/>
        <w:rPr>
          <w:lang w:val="es-ES_tradnl" w:eastAsia="es-ES"/>
        </w:rPr>
      </w:pPr>
      <w:r>
        <w:rPr>
          <w:lang w:val="es-ES_tradnl" w:eastAsia="es-ES"/>
        </w:rPr>
        <w:t>1</w:t>
      </w:r>
      <w:r w:rsidR="002E47A7">
        <w:rPr>
          <w:lang w:val="es-ES_tradnl" w:eastAsia="es-ES"/>
        </w:rPr>
        <w:t>1</w:t>
      </w:r>
      <w:r w:rsidR="00227A81">
        <w:rPr>
          <w:lang w:val="es-ES_tradnl" w:eastAsia="es-ES"/>
        </w:rPr>
        <w:t>.</w:t>
      </w:r>
      <w:r w:rsidR="007B368B">
        <w:rPr>
          <w:lang w:val="es-ES_tradnl" w:eastAsia="es-ES"/>
        </w:rPr>
        <w:t>5</w:t>
      </w:r>
      <w:r w:rsidR="00124BC8" w:rsidRPr="00AC3A78">
        <w:rPr>
          <w:lang w:val="es-ES_tradnl" w:eastAsia="es-ES"/>
        </w:rPr>
        <w:tab/>
        <w:t xml:space="preserve">Habiéndose cumplido todos los requisitos de admisibilidad, </w:t>
      </w:r>
      <w:r w:rsidR="00366363">
        <w:rPr>
          <w:lang w:val="es-ES_tradnl" w:eastAsia="es-ES"/>
        </w:rPr>
        <w:t>y observando que las quejas de</w:t>
      </w:r>
      <w:r w:rsidR="002837F0">
        <w:rPr>
          <w:lang w:val="es-ES_tradnl" w:eastAsia="es-ES"/>
        </w:rPr>
        <w:t xml:space="preserve"> </w:t>
      </w:r>
      <w:r w:rsidR="00366363">
        <w:rPr>
          <w:lang w:val="es-ES_tradnl" w:eastAsia="es-ES"/>
        </w:rPr>
        <w:t>l</w:t>
      </w:r>
      <w:r w:rsidR="002837F0">
        <w:rPr>
          <w:lang w:val="es-ES_tradnl" w:eastAsia="es-ES"/>
        </w:rPr>
        <w:t>os</w:t>
      </w:r>
      <w:r w:rsidR="00366363">
        <w:rPr>
          <w:lang w:val="es-ES_tradnl" w:eastAsia="es-ES"/>
        </w:rPr>
        <w:t xml:space="preserve"> autor</w:t>
      </w:r>
      <w:r w:rsidR="002837F0">
        <w:rPr>
          <w:lang w:val="es-ES_tradnl" w:eastAsia="es-ES"/>
        </w:rPr>
        <w:t>es</w:t>
      </w:r>
      <w:r w:rsidR="00366363">
        <w:rPr>
          <w:lang w:val="es-ES_tradnl" w:eastAsia="es-ES"/>
        </w:rPr>
        <w:t xml:space="preserve"> </w:t>
      </w:r>
      <w:r w:rsidR="00366363" w:rsidRPr="001A0BB0">
        <w:rPr>
          <w:lang w:val="es-ES_tradnl" w:eastAsia="es-ES"/>
        </w:rPr>
        <w:t xml:space="preserve">basadas en los artículos </w:t>
      </w:r>
      <w:r w:rsidR="002837F0" w:rsidRPr="00AB46A3">
        <w:rPr>
          <w:lang w:val="es-ES_tradnl"/>
        </w:rPr>
        <w:t>2</w:t>
      </w:r>
      <w:r w:rsidR="00BF5B1A">
        <w:rPr>
          <w:lang w:val="es-ES_tradnl"/>
        </w:rPr>
        <w:t>,</w:t>
      </w:r>
      <w:r w:rsidR="002837F0" w:rsidRPr="00AB46A3">
        <w:rPr>
          <w:lang w:val="es-ES_tradnl"/>
        </w:rPr>
        <w:t xml:space="preserve"> </w:t>
      </w:r>
      <w:r w:rsidR="00A55EDE" w:rsidRPr="00025907">
        <w:rPr>
          <w:lang w:val="es-ES"/>
        </w:rPr>
        <w:t xml:space="preserve">párrafo </w:t>
      </w:r>
      <w:r w:rsidR="002837F0" w:rsidRPr="00AB46A3">
        <w:rPr>
          <w:lang w:val="es-ES_tradnl"/>
        </w:rPr>
        <w:t>3</w:t>
      </w:r>
      <w:r w:rsidR="002837F0">
        <w:rPr>
          <w:lang w:val="es-ES_tradnl"/>
        </w:rPr>
        <w:t xml:space="preserve">, </w:t>
      </w:r>
      <w:r w:rsidR="002837F0" w:rsidRPr="00AB46A3">
        <w:rPr>
          <w:lang w:val="es-ES_tradnl"/>
        </w:rPr>
        <w:t>6</w:t>
      </w:r>
      <w:r w:rsidR="00CA4DDA">
        <w:rPr>
          <w:lang w:val="es-ES_tradnl"/>
        </w:rPr>
        <w:t>,</w:t>
      </w:r>
      <w:r w:rsidR="002837F0" w:rsidRPr="00AB46A3">
        <w:rPr>
          <w:lang w:val="es-ES_tradnl"/>
        </w:rPr>
        <w:t xml:space="preserve"> </w:t>
      </w:r>
      <w:r w:rsidR="00A55EDE" w:rsidRPr="00025907">
        <w:rPr>
          <w:lang w:val="es-ES"/>
        </w:rPr>
        <w:t xml:space="preserve">párrafo </w:t>
      </w:r>
      <w:r w:rsidR="002837F0" w:rsidRPr="00AB46A3">
        <w:rPr>
          <w:lang w:val="es-ES_tradnl"/>
        </w:rPr>
        <w:t xml:space="preserve">1, 7, 9 y 16 del Pacto </w:t>
      </w:r>
      <w:r w:rsidR="00366363" w:rsidRPr="001A0BB0">
        <w:rPr>
          <w:lang w:val="es-ES_tradnl" w:eastAsia="es-ES"/>
        </w:rPr>
        <w:t xml:space="preserve">han sido suficientemente fundamentadas a efectos de la admisibilidad, </w:t>
      </w:r>
      <w:r w:rsidR="00124BC8" w:rsidRPr="00AC3A78">
        <w:rPr>
          <w:lang w:val="es-ES_tradnl" w:eastAsia="es-ES"/>
        </w:rPr>
        <w:t>el Comité declara la comunicación admisible y procede a examinarla en cuanto al fondo.</w:t>
      </w:r>
    </w:p>
    <w:p w14:paraId="4C1A4EE5" w14:textId="431F3189" w:rsidR="009C3AAE" w:rsidRPr="009C3AAE" w:rsidRDefault="00175184">
      <w:pPr>
        <w:pStyle w:val="H4G"/>
        <w:rPr>
          <w:lang w:val="es-ES_tradnl" w:eastAsia="es-ES"/>
        </w:rPr>
      </w:pPr>
      <w:r>
        <w:rPr>
          <w:lang w:val="es-ES_tradnl" w:eastAsia="es-ES"/>
        </w:rPr>
        <w:tab/>
      </w:r>
      <w:r>
        <w:rPr>
          <w:lang w:val="es-ES_tradnl" w:eastAsia="es-ES"/>
        </w:rPr>
        <w:tab/>
      </w:r>
      <w:r w:rsidR="00217382" w:rsidRPr="00217382">
        <w:rPr>
          <w:lang w:val="es-ES_tradnl" w:eastAsia="es-ES"/>
        </w:rPr>
        <w:t>Examen de la cuestión en cuanto al fondo</w:t>
      </w:r>
      <w:r w:rsidR="009C3AAE">
        <w:rPr>
          <w:lang w:val="es-ES_tradnl" w:eastAsia="es-ES"/>
        </w:rPr>
        <w:tab/>
      </w:r>
    </w:p>
    <w:p w14:paraId="1E26774D" w14:textId="28D0259D" w:rsidR="00217382" w:rsidRDefault="00BD71AA" w:rsidP="00AA4464">
      <w:pPr>
        <w:pStyle w:val="SingleTxtG"/>
        <w:rPr>
          <w:lang w:val="es-ES_tradnl" w:eastAsia="es-ES"/>
        </w:rPr>
      </w:pPr>
      <w:r>
        <w:rPr>
          <w:lang w:val="es-ES_tradnl" w:eastAsia="es-ES"/>
        </w:rPr>
        <w:t>1</w:t>
      </w:r>
      <w:r w:rsidR="002E47A7">
        <w:rPr>
          <w:lang w:val="es-ES_tradnl" w:eastAsia="es-ES"/>
        </w:rPr>
        <w:t>2</w:t>
      </w:r>
      <w:r w:rsidR="00F51215">
        <w:rPr>
          <w:lang w:val="es-ES_tradnl" w:eastAsia="es-ES"/>
        </w:rPr>
        <w:t>.1</w:t>
      </w:r>
      <w:r w:rsidR="00F51215">
        <w:rPr>
          <w:lang w:val="es-ES_tradnl" w:eastAsia="es-ES"/>
        </w:rPr>
        <w:tab/>
      </w:r>
      <w:r w:rsidR="00F51215" w:rsidRPr="00F51215">
        <w:rPr>
          <w:lang w:val="es-ES_tradnl" w:eastAsia="es-ES"/>
        </w:rPr>
        <w:t>El Comité ha examinado la presente comunicación teniendo en cuenta toda la información que le han facilitado las partes, de conformidad con lo dispuesto en el artículo 5</w:t>
      </w:r>
      <w:r w:rsidR="000A1A07">
        <w:rPr>
          <w:lang w:val="es-ES_tradnl" w:eastAsia="es-ES"/>
        </w:rPr>
        <w:t xml:space="preserve">, párrafo </w:t>
      </w:r>
      <w:r w:rsidR="00F51215" w:rsidRPr="00F51215">
        <w:rPr>
          <w:lang w:val="es-ES_tradnl" w:eastAsia="es-ES"/>
        </w:rPr>
        <w:t>1</w:t>
      </w:r>
      <w:r w:rsidR="000A1A07">
        <w:rPr>
          <w:lang w:val="es-ES_tradnl" w:eastAsia="es-ES"/>
        </w:rPr>
        <w:t>,</w:t>
      </w:r>
      <w:r w:rsidR="00F51215" w:rsidRPr="00F51215">
        <w:rPr>
          <w:lang w:val="es-ES_tradnl" w:eastAsia="es-ES"/>
        </w:rPr>
        <w:t xml:space="preserve"> del Protocolo Facultativo</w:t>
      </w:r>
      <w:r w:rsidR="00D94CA2">
        <w:rPr>
          <w:lang w:val="es-ES_tradnl" w:eastAsia="es-ES"/>
        </w:rPr>
        <w:t>.</w:t>
      </w:r>
    </w:p>
    <w:p w14:paraId="66451BD3" w14:textId="5604D6B2" w:rsidR="005078EF" w:rsidRDefault="000C4F69" w:rsidP="005078EF">
      <w:pPr>
        <w:pStyle w:val="SingleTxtG"/>
        <w:rPr>
          <w:lang w:val="es-ES_tradnl" w:eastAsia="es-ES"/>
        </w:rPr>
      </w:pPr>
      <w:r w:rsidRPr="005A7FA1">
        <w:rPr>
          <w:lang w:val="es-ES_tradnl" w:eastAsia="es-ES"/>
        </w:rPr>
        <w:t>1</w:t>
      </w:r>
      <w:r w:rsidR="002E47A7">
        <w:rPr>
          <w:lang w:val="es-ES_tradnl" w:eastAsia="es-ES"/>
        </w:rPr>
        <w:t>2</w:t>
      </w:r>
      <w:r w:rsidR="00D94CA2" w:rsidRPr="005A7FA1">
        <w:rPr>
          <w:lang w:val="es-ES_tradnl" w:eastAsia="es-ES"/>
        </w:rPr>
        <w:t>.2</w:t>
      </w:r>
      <w:r w:rsidR="00D94CA2" w:rsidRPr="005A7FA1">
        <w:rPr>
          <w:lang w:val="es-ES_tradnl" w:eastAsia="es-ES"/>
        </w:rPr>
        <w:tab/>
        <w:t xml:space="preserve">El Comité toma nota de </w:t>
      </w:r>
      <w:r w:rsidR="00226925" w:rsidRPr="005A7FA1">
        <w:rPr>
          <w:lang w:val="es-ES_tradnl" w:eastAsia="es-ES"/>
        </w:rPr>
        <w:t xml:space="preserve">que los autores afirman </w:t>
      </w:r>
      <w:r w:rsidR="00960616" w:rsidRPr="005A7FA1">
        <w:rPr>
          <w:lang w:val="es-ES_tradnl" w:eastAsia="es-ES"/>
        </w:rPr>
        <w:t xml:space="preserve">que los hechos del presente caso </w:t>
      </w:r>
      <w:r w:rsidR="00A10E9C" w:rsidRPr="005A7FA1">
        <w:rPr>
          <w:rFonts w:eastAsia="Calibri"/>
          <w:lang w:val="es-ES_tradnl"/>
        </w:rPr>
        <w:t xml:space="preserve">se produjeron en un contexto de graves violaciones a derechos humanos que </w:t>
      </w:r>
      <w:r w:rsidR="005A7FA1" w:rsidRPr="005A7FA1">
        <w:rPr>
          <w:rFonts w:eastAsia="Calibri"/>
          <w:lang w:val="es-ES_tradnl"/>
        </w:rPr>
        <w:t>tenía</w:t>
      </w:r>
      <w:r w:rsidR="00A10E9C" w:rsidRPr="005A7FA1">
        <w:rPr>
          <w:rFonts w:eastAsia="Calibri"/>
          <w:lang w:val="es-ES_tradnl"/>
        </w:rPr>
        <w:t xml:space="preserve"> su origen en la política de seguridad iniciada por el Estado parte en 2006, en el cual se daban numerosas desapariciones forzadas que no se investigaban adecuadamente</w:t>
      </w:r>
      <w:r w:rsidR="005A7FA1" w:rsidRPr="005A7FA1">
        <w:rPr>
          <w:rFonts w:eastAsia="Calibri"/>
          <w:lang w:val="es-ES_tradnl"/>
        </w:rPr>
        <w:t>, y que lo anterior aplicaba también al estado de Oaxaca, octava entidad del país con mayor número de denuncias por violaciones a derechos humanos</w:t>
      </w:r>
      <w:r w:rsidR="00A10E9C" w:rsidRPr="005A7FA1">
        <w:rPr>
          <w:rFonts w:eastAsia="Calibri"/>
          <w:lang w:val="es-ES_tradnl"/>
        </w:rPr>
        <w:t>.</w:t>
      </w:r>
      <w:r w:rsidR="005A7FA1" w:rsidRPr="005A7FA1">
        <w:rPr>
          <w:lang w:val="es-ES_tradnl" w:eastAsia="es-ES"/>
        </w:rPr>
        <w:t xml:space="preserve"> Así, el</w:t>
      </w:r>
      <w:r w:rsidR="00A10E9C" w:rsidRPr="005A7FA1">
        <w:rPr>
          <w:lang w:val="es-ES_tradnl" w:eastAsia="es-ES"/>
        </w:rPr>
        <w:t xml:space="preserve"> </w:t>
      </w:r>
      <w:r w:rsidR="005A7FA1" w:rsidRPr="005A7FA1">
        <w:rPr>
          <w:lang w:val="es-ES_tradnl" w:eastAsia="es-ES"/>
        </w:rPr>
        <w:t xml:space="preserve">Comité toma nota de que los autores afirman que los hechos del presente caso </w:t>
      </w:r>
      <w:r w:rsidR="00960616" w:rsidRPr="005A7FA1">
        <w:rPr>
          <w:lang w:val="es-ES_tradnl" w:eastAsia="es-ES"/>
        </w:rPr>
        <w:t>constituyen una desaparición forzada</w:t>
      </w:r>
      <w:r w:rsidR="005A7FA1" w:rsidRPr="005A7FA1">
        <w:rPr>
          <w:lang w:val="es-ES_tradnl" w:eastAsia="es-ES"/>
        </w:rPr>
        <w:t>,</w:t>
      </w:r>
      <w:r w:rsidR="00B2797A" w:rsidRPr="005A7FA1">
        <w:rPr>
          <w:lang w:val="es-ES_tradnl" w:eastAsia="es-ES"/>
        </w:rPr>
        <w:t xml:space="preserve"> </w:t>
      </w:r>
      <w:r w:rsidR="00B2797A" w:rsidRPr="005A7FA1">
        <w:rPr>
          <w:lang w:val="es-ES_tradnl"/>
        </w:rPr>
        <w:t xml:space="preserve">al cumplirse todos los </w:t>
      </w:r>
      <w:r w:rsidR="00B2797A" w:rsidRPr="005A7FA1">
        <w:rPr>
          <w:lang w:val="es-ES_tradnl"/>
        </w:rPr>
        <w:lastRenderedPageBreak/>
        <w:t>elementos de su definición:</w:t>
      </w:r>
      <w:r w:rsidR="00DE6BEA">
        <w:rPr>
          <w:lang w:val="es-ES_tradnl"/>
        </w:rPr>
        <w:t xml:space="preserve"> </w:t>
      </w:r>
      <w:r w:rsidR="00A85F05">
        <w:rPr>
          <w:lang w:val="es-ES_tradnl" w:eastAsia="es-ES"/>
        </w:rPr>
        <w:t>a</w:t>
      </w:r>
      <w:r w:rsidR="00DE6BEA" w:rsidRPr="005E6F68">
        <w:rPr>
          <w:lang w:val="es-ES_tradnl" w:eastAsia="es-ES"/>
        </w:rPr>
        <w:t xml:space="preserve">) </w:t>
      </w:r>
      <w:r w:rsidR="00DE6BEA">
        <w:rPr>
          <w:lang w:val="es-ES_tradnl" w:eastAsia="es-ES"/>
        </w:rPr>
        <w:t>la privación de libertad</w:t>
      </w:r>
      <w:r w:rsidR="00DE6BEA" w:rsidRPr="005E6F68">
        <w:rPr>
          <w:lang w:val="es-ES_tradnl" w:eastAsia="es-ES"/>
        </w:rPr>
        <w:t xml:space="preserve"> se configura con la desaparición del </w:t>
      </w:r>
      <w:r w:rsidR="00DE6BEA">
        <w:rPr>
          <w:lang w:val="es-ES_tradnl" w:eastAsia="es-ES"/>
        </w:rPr>
        <w:t>Sr.</w:t>
      </w:r>
      <w:r w:rsidR="00DE6BEA" w:rsidRPr="005E6F68">
        <w:rPr>
          <w:lang w:val="es-ES_tradnl" w:eastAsia="es-ES"/>
        </w:rPr>
        <w:t xml:space="preserve"> Moreno Pérez sin que el Estado</w:t>
      </w:r>
      <w:r w:rsidR="00A85F05">
        <w:rPr>
          <w:lang w:val="es-ES_tradnl" w:eastAsia="es-ES"/>
        </w:rPr>
        <w:t xml:space="preserve"> </w:t>
      </w:r>
      <w:r w:rsidR="00DE6BEA" w:rsidRPr="005E6F68">
        <w:rPr>
          <w:lang w:val="es-ES_tradnl" w:eastAsia="es-ES"/>
        </w:rPr>
        <w:t>haya esclarecido su paradero</w:t>
      </w:r>
      <w:r w:rsidR="00A85F05">
        <w:rPr>
          <w:lang w:val="es-ES_tradnl" w:eastAsia="es-ES"/>
        </w:rPr>
        <w:t>;</w:t>
      </w:r>
      <w:r w:rsidR="00DE6BEA" w:rsidRPr="005E6F68">
        <w:rPr>
          <w:lang w:val="es-ES_tradnl" w:eastAsia="es-ES"/>
        </w:rPr>
        <w:t xml:space="preserve"> </w:t>
      </w:r>
      <w:r w:rsidR="00A85F05">
        <w:rPr>
          <w:lang w:val="es-ES_tradnl" w:eastAsia="es-ES"/>
        </w:rPr>
        <w:t>b</w:t>
      </w:r>
      <w:r w:rsidR="00DE6BEA" w:rsidRPr="005E6F68">
        <w:rPr>
          <w:lang w:val="es-ES_tradnl" w:eastAsia="es-ES"/>
        </w:rPr>
        <w:t xml:space="preserve">) </w:t>
      </w:r>
      <w:r w:rsidR="00DE6BEA">
        <w:rPr>
          <w:lang w:val="es-ES_tradnl" w:eastAsia="es-ES"/>
        </w:rPr>
        <w:t xml:space="preserve">la participación, </w:t>
      </w:r>
      <w:r w:rsidR="00DE6BEA" w:rsidRPr="005E6F68">
        <w:rPr>
          <w:lang w:val="es-ES_tradnl" w:eastAsia="es-ES"/>
        </w:rPr>
        <w:t xml:space="preserve">apoyo o aquiescencia de agentes del Estado se configura con </w:t>
      </w:r>
      <w:r w:rsidR="00DE6BEA">
        <w:rPr>
          <w:lang w:val="es-ES_tradnl" w:eastAsia="es-ES"/>
        </w:rPr>
        <w:t>su</w:t>
      </w:r>
      <w:r w:rsidR="00DE6BEA" w:rsidRPr="005E6F68">
        <w:rPr>
          <w:lang w:val="es-ES_tradnl" w:eastAsia="es-ES"/>
        </w:rPr>
        <w:t xml:space="preserve"> intervención directa </w:t>
      </w:r>
      <w:r w:rsidR="00BF6D96">
        <w:rPr>
          <w:lang w:val="es-ES_tradnl" w:eastAsia="es-ES"/>
        </w:rPr>
        <w:t xml:space="preserve">en las investigaciones </w:t>
      </w:r>
      <w:r w:rsidR="00DE6BEA" w:rsidRPr="005E6F68">
        <w:rPr>
          <w:lang w:val="es-ES_tradnl" w:eastAsia="es-ES"/>
        </w:rPr>
        <w:t xml:space="preserve">en la alteración y fabricación de pruebas y en la construcción de testimonios falsos, </w:t>
      </w:r>
      <w:r w:rsidR="00A85F05">
        <w:rPr>
          <w:lang w:val="es-ES_tradnl" w:eastAsia="es-ES"/>
        </w:rPr>
        <w:t>y c</w:t>
      </w:r>
      <w:r w:rsidR="00DE6BEA" w:rsidRPr="005E6F68">
        <w:rPr>
          <w:lang w:val="es-ES_tradnl" w:eastAsia="es-ES"/>
        </w:rPr>
        <w:t xml:space="preserve">) </w:t>
      </w:r>
      <w:r w:rsidR="00DE6BEA">
        <w:rPr>
          <w:lang w:val="es-ES_tradnl" w:eastAsia="es-ES"/>
        </w:rPr>
        <w:t>el</w:t>
      </w:r>
      <w:r w:rsidR="00DE6BEA" w:rsidRPr="005E6F68">
        <w:rPr>
          <w:lang w:val="es-ES_tradnl" w:eastAsia="es-ES"/>
        </w:rPr>
        <w:t xml:space="preserve"> ocultamiento de la suerte </w:t>
      </w:r>
      <w:r w:rsidR="00DE6BEA">
        <w:rPr>
          <w:lang w:val="es-ES_tradnl" w:eastAsia="es-ES"/>
        </w:rPr>
        <w:t>y</w:t>
      </w:r>
      <w:r w:rsidR="00DE6BEA" w:rsidRPr="005E6F68">
        <w:rPr>
          <w:lang w:val="es-ES_tradnl" w:eastAsia="es-ES"/>
        </w:rPr>
        <w:t xml:space="preserve"> para</w:t>
      </w:r>
      <w:r w:rsidR="00DE6BEA">
        <w:rPr>
          <w:lang w:val="es-ES_tradnl" w:eastAsia="es-ES"/>
        </w:rPr>
        <w:t>dero de la persona desaparecida</w:t>
      </w:r>
      <w:r w:rsidR="00DE6BEA" w:rsidRPr="005E6F68">
        <w:rPr>
          <w:lang w:val="es-ES_tradnl" w:eastAsia="es-ES"/>
        </w:rPr>
        <w:t xml:space="preserve"> se configura </w:t>
      </w:r>
      <w:r w:rsidR="00DE6BEA">
        <w:rPr>
          <w:lang w:val="es-ES_tradnl" w:eastAsia="es-ES"/>
        </w:rPr>
        <w:t xml:space="preserve">también </w:t>
      </w:r>
      <w:r w:rsidR="00DE6BEA" w:rsidRPr="005E6F68">
        <w:rPr>
          <w:lang w:val="es-ES_tradnl" w:eastAsia="es-ES"/>
        </w:rPr>
        <w:t xml:space="preserve">a través de </w:t>
      </w:r>
      <w:r w:rsidR="00BF6D96">
        <w:rPr>
          <w:lang w:val="es-ES_tradnl" w:eastAsia="es-ES"/>
        </w:rPr>
        <w:t>esta</w:t>
      </w:r>
      <w:r w:rsidR="00DE6BEA" w:rsidRPr="005E6F68">
        <w:rPr>
          <w:lang w:val="es-ES_tradnl" w:eastAsia="es-ES"/>
        </w:rPr>
        <w:t xml:space="preserve"> alteración y fabricación de </w:t>
      </w:r>
      <w:r w:rsidR="00DE6BEA" w:rsidRPr="00A431DE">
        <w:rPr>
          <w:lang w:val="es-ES_tradnl" w:eastAsia="es-ES"/>
        </w:rPr>
        <w:t>pruebas, para desviar la investigación</w:t>
      </w:r>
      <w:r w:rsidR="00BF6D96" w:rsidRPr="00A431DE">
        <w:rPr>
          <w:lang w:val="es-ES_tradnl" w:eastAsia="es-ES"/>
        </w:rPr>
        <w:t>.</w:t>
      </w:r>
      <w:r w:rsidR="00B2797A" w:rsidRPr="00A431DE">
        <w:rPr>
          <w:lang w:val="es-ES_tradnl"/>
        </w:rPr>
        <w:t xml:space="preserve"> </w:t>
      </w:r>
      <w:r w:rsidR="005D64CC">
        <w:rPr>
          <w:lang w:val="es-ES_tradnl"/>
        </w:rPr>
        <w:t>En particular, el Comité toma nota de</w:t>
      </w:r>
      <w:r w:rsidR="00E30777">
        <w:rPr>
          <w:lang w:val="es-ES_tradnl"/>
        </w:rPr>
        <w:t xml:space="preserve"> que</w:t>
      </w:r>
      <w:r w:rsidR="005D64CC">
        <w:rPr>
          <w:lang w:val="es-ES_tradnl"/>
        </w:rPr>
        <w:t xml:space="preserve"> </w:t>
      </w:r>
      <w:r w:rsidR="0060255E">
        <w:rPr>
          <w:lang w:val="es-ES_tradnl"/>
        </w:rPr>
        <w:t xml:space="preserve">los autores </w:t>
      </w:r>
      <w:r w:rsidR="005D64CC">
        <w:rPr>
          <w:lang w:val="es-ES_tradnl"/>
        </w:rPr>
        <w:t xml:space="preserve">sostienen que </w:t>
      </w:r>
      <w:r w:rsidR="005D64CC" w:rsidRPr="00B31737">
        <w:rPr>
          <w:lang w:val="es-ES_tradnl" w:eastAsia="es-ES"/>
        </w:rPr>
        <w:t xml:space="preserve">la utilización del poder del Estado para la destrucción de </w:t>
      </w:r>
      <w:r w:rsidR="005D64CC" w:rsidRPr="005D64CC">
        <w:rPr>
          <w:lang w:val="es-ES_tradnl" w:eastAsia="es-ES"/>
        </w:rPr>
        <w:t>medios de prueba directos de los hechos</w:t>
      </w:r>
      <w:r w:rsidR="005D64CC" w:rsidRPr="00B31737">
        <w:rPr>
          <w:lang w:val="es-ES_tradnl" w:eastAsia="es-ES"/>
        </w:rPr>
        <w:t xml:space="preserve"> </w:t>
      </w:r>
      <w:r w:rsidR="00475A1A">
        <w:rPr>
          <w:lang w:val="es-ES_tradnl" w:eastAsia="es-ES"/>
        </w:rPr>
        <w:t>probaría</w:t>
      </w:r>
      <w:r w:rsidR="005D64CC">
        <w:rPr>
          <w:lang w:val="es-ES_tradnl" w:eastAsia="es-ES"/>
        </w:rPr>
        <w:t xml:space="preserve"> que la desaparición es atribuible al Estado. </w:t>
      </w:r>
      <w:r w:rsidR="00226925" w:rsidRPr="00A431DE">
        <w:rPr>
          <w:lang w:val="es-ES_tradnl" w:eastAsia="es-ES"/>
        </w:rPr>
        <w:t>El Comité observa</w:t>
      </w:r>
      <w:r w:rsidR="00960616" w:rsidRPr="00A431DE">
        <w:rPr>
          <w:lang w:val="es-ES_tradnl" w:eastAsia="es-ES"/>
        </w:rPr>
        <w:t xml:space="preserve"> que el Estado parte </w:t>
      </w:r>
      <w:r w:rsidR="006013C1" w:rsidRPr="00A431DE">
        <w:rPr>
          <w:lang w:val="es-ES_tradnl" w:eastAsia="es-ES"/>
        </w:rPr>
        <w:t xml:space="preserve">sostiene </w:t>
      </w:r>
      <w:r w:rsidR="008F091D" w:rsidRPr="00A431DE">
        <w:rPr>
          <w:lang w:val="es-ES_tradnl"/>
        </w:rPr>
        <w:t xml:space="preserve">que </w:t>
      </w:r>
      <w:r w:rsidR="00A431DE" w:rsidRPr="00A431DE">
        <w:rPr>
          <w:lang w:val="es-ES_tradnl"/>
        </w:rPr>
        <w:t>n</w:t>
      </w:r>
      <w:r w:rsidR="00A431DE">
        <w:rPr>
          <w:color w:val="000000"/>
          <w:lang w:val="es-ES_tradnl"/>
        </w:rPr>
        <w:t>o existen en el presente caso</w:t>
      </w:r>
      <w:r w:rsidR="00A431DE" w:rsidRPr="00B87430">
        <w:rPr>
          <w:color w:val="000000"/>
          <w:lang w:val="es-ES_tradnl"/>
        </w:rPr>
        <w:t xml:space="preserve"> elementos suficientes para justificar que fueron agentes estatales quienes </w:t>
      </w:r>
      <w:r w:rsidR="00A431DE">
        <w:rPr>
          <w:color w:val="000000"/>
          <w:lang w:val="es-ES_tradnl"/>
        </w:rPr>
        <w:t xml:space="preserve">llevaron a cabo la </w:t>
      </w:r>
      <w:r w:rsidR="00A431DE" w:rsidRPr="001148AB">
        <w:rPr>
          <w:lang w:val="es-ES_tradnl"/>
        </w:rPr>
        <w:t>desaparición</w:t>
      </w:r>
      <w:r w:rsidR="008F091D" w:rsidRPr="001148AB">
        <w:rPr>
          <w:lang w:val="es-ES_tradnl"/>
        </w:rPr>
        <w:t>.</w:t>
      </w:r>
    </w:p>
    <w:p w14:paraId="431A2AC1" w14:textId="25D002F0" w:rsidR="00CA70C5" w:rsidRPr="00004929" w:rsidRDefault="005078EF" w:rsidP="001C4221">
      <w:pPr>
        <w:pStyle w:val="SingleTxtG"/>
        <w:rPr>
          <w:lang w:val="es-ES_tradnl" w:eastAsia="es-ES"/>
        </w:rPr>
      </w:pPr>
      <w:r>
        <w:rPr>
          <w:lang w:val="es-ES_tradnl" w:eastAsia="es-ES"/>
        </w:rPr>
        <w:t>1</w:t>
      </w:r>
      <w:r w:rsidR="002E47A7">
        <w:rPr>
          <w:lang w:val="es-ES_tradnl" w:eastAsia="es-ES"/>
        </w:rPr>
        <w:t>2</w:t>
      </w:r>
      <w:r>
        <w:rPr>
          <w:lang w:val="es-ES_tradnl" w:eastAsia="es-ES"/>
        </w:rPr>
        <w:t>.3</w:t>
      </w:r>
      <w:r>
        <w:rPr>
          <w:lang w:val="es-ES_tradnl" w:eastAsia="es-ES"/>
        </w:rPr>
        <w:tab/>
      </w:r>
      <w:r w:rsidR="00CE4CD8" w:rsidRPr="00877DEC">
        <w:rPr>
          <w:lang w:val="es-ES_tradnl" w:eastAsia="es-ES"/>
        </w:rPr>
        <w:t xml:space="preserve">El Comité </w:t>
      </w:r>
      <w:r w:rsidR="00774989" w:rsidRPr="00877DEC">
        <w:rPr>
          <w:lang w:val="es-ES_tradnl"/>
        </w:rPr>
        <w:t xml:space="preserve">observa que </w:t>
      </w:r>
      <w:r w:rsidR="00877DEC" w:rsidRPr="00877DEC">
        <w:rPr>
          <w:lang w:val="es-ES_tradnl"/>
        </w:rPr>
        <w:t xml:space="preserve">el Estado parte </w:t>
      </w:r>
      <w:r w:rsidR="008E5ACF" w:rsidRPr="00877DEC">
        <w:rPr>
          <w:lang w:val="es-ES_tradnl" w:eastAsia="es-ES"/>
        </w:rPr>
        <w:t xml:space="preserve">no </w:t>
      </w:r>
      <w:r w:rsidR="00595D10">
        <w:rPr>
          <w:lang w:val="es-ES_tradnl" w:eastAsia="es-ES"/>
        </w:rPr>
        <w:t xml:space="preserve">ofreció explicación alguna sobre la sustitución </w:t>
      </w:r>
      <w:r w:rsidR="00877DEC" w:rsidRPr="00877DEC">
        <w:rPr>
          <w:lang w:val="es-ES_tradnl"/>
        </w:rPr>
        <w:t xml:space="preserve">por las autoridades encargadas de la investigación </w:t>
      </w:r>
      <w:r w:rsidR="008E5ACF" w:rsidRPr="00877DEC">
        <w:rPr>
          <w:lang w:val="es-ES_tradnl" w:eastAsia="es-ES"/>
        </w:rPr>
        <w:t>del celular del Sr. Moreno Pérez</w:t>
      </w:r>
      <w:r w:rsidR="008E5ACF" w:rsidRPr="00877DEC">
        <w:rPr>
          <w:lang w:val="es-ES_tradnl"/>
        </w:rPr>
        <w:t xml:space="preserve"> por otro</w:t>
      </w:r>
      <w:r w:rsidR="00595D10">
        <w:rPr>
          <w:lang w:val="es-ES_tradnl"/>
        </w:rPr>
        <w:t>,</w:t>
      </w:r>
      <w:r w:rsidR="008E5ACF" w:rsidRPr="00877DEC">
        <w:rPr>
          <w:lang w:val="es-ES_tradnl"/>
        </w:rPr>
        <w:t xml:space="preserve"> permitiendo así la destrucción de una prueba importante para la </w:t>
      </w:r>
      <w:r w:rsidR="008E5ACF" w:rsidRPr="006048E3">
        <w:rPr>
          <w:lang w:val="es-ES_tradnl"/>
        </w:rPr>
        <w:t>investigación</w:t>
      </w:r>
      <w:r w:rsidR="00595D10">
        <w:rPr>
          <w:lang w:val="es-ES_tradnl" w:eastAsia="es-ES"/>
        </w:rPr>
        <w:t>. Sin embargo, el Comité observa que, en ausencia de toda información sobre un contexto específico de desapariciones forzadas en el lugar donde se produ</w:t>
      </w:r>
      <w:r w:rsidR="009F481A">
        <w:rPr>
          <w:lang w:val="es-ES_tradnl" w:eastAsia="es-ES"/>
        </w:rPr>
        <w:t>j</w:t>
      </w:r>
      <w:r w:rsidR="00595D10">
        <w:rPr>
          <w:lang w:val="es-ES_tradnl" w:eastAsia="es-ES"/>
        </w:rPr>
        <w:t xml:space="preserve">o dicha desaparición, </w:t>
      </w:r>
      <w:r w:rsidR="009F481A">
        <w:rPr>
          <w:lang w:val="es-ES_tradnl" w:eastAsia="es-ES"/>
        </w:rPr>
        <w:t>y en ausencia de prueba indiciaria</w:t>
      </w:r>
      <w:r w:rsidR="00524299">
        <w:rPr>
          <w:rStyle w:val="Refdenotaalpie"/>
          <w:lang w:val="es-ES_tradnl" w:eastAsia="es-ES"/>
        </w:rPr>
        <w:footnoteReference w:id="55"/>
      </w:r>
      <w:r w:rsidR="00524299">
        <w:rPr>
          <w:lang w:val="es-ES_tradnl" w:eastAsia="es-ES"/>
        </w:rPr>
        <w:t xml:space="preserve"> para fundamentar la presunción de participación, apoyo o aquiescencia de agentes del Estado en la desaparición, </w:t>
      </w:r>
      <w:r w:rsidR="00595D10">
        <w:rPr>
          <w:lang w:val="es-ES_tradnl" w:eastAsia="es-ES"/>
        </w:rPr>
        <w:t>el Comité no puede concluir que</w:t>
      </w:r>
      <w:r w:rsidR="00524299">
        <w:rPr>
          <w:lang w:val="es-ES_tradnl" w:eastAsia="es-ES"/>
        </w:rPr>
        <w:t xml:space="preserve"> </w:t>
      </w:r>
      <w:r w:rsidR="006913E8">
        <w:rPr>
          <w:lang w:val="es-ES_tradnl" w:eastAsia="es-ES"/>
        </w:rPr>
        <w:t xml:space="preserve">la desaparición del </w:t>
      </w:r>
      <w:r w:rsidR="006913E8" w:rsidRPr="006913E8">
        <w:rPr>
          <w:lang w:val="es-ES_tradnl" w:eastAsia="es-ES"/>
        </w:rPr>
        <w:t xml:space="preserve">Sr. Moreno </w:t>
      </w:r>
      <w:r w:rsidR="00BF5B1A">
        <w:rPr>
          <w:lang w:val="es-ES_tradnl" w:eastAsia="es-ES"/>
        </w:rPr>
        <w:t xml:space="preserve">Pérez </w:t>
      </w:r>
      <w:r w:rsidR="006913E8">
        <w:rPr>
          <w:lang w:val="es-ES_tradnl" w:eastAsia="es-ES"/>
        </w:rPr>
        <w:t xml:space="preserve">sea </w:t>
      </w:r>
      <w:r w:rsidR="00524299">
        <w:rPr>
          <w:lang w:val="es-ES_tradnl" w:eastAsia="es-ES"/>
        </w:rPr>
        <w:t>una desaparición forzada</w:t>
      </w:r>
      <w:r w:rsidR="00141BA7">
        <w:rPr>
          <w:lang w:val="es-ES_tradnl" w:eastAsia="es-ES"/>
        </w:rPr>
        <w:t xml:space="preserve"> directamente atribuible al Estado parte</w:t>
      </w:r>
      <w:r w:rsidR="00065BC3" w:rsidRPr="00004929">
        <w:rPr>
          <w:lang w:val="es-ES_tradnl" w:eastAsia="es-ES"/>
        </w:rPr>
        <w:t>.</w:t>
      </w:r>
    </w:p>
    <w:p w14:paraId="4E4DFD0F" w14:textId="1BFEBC7A" w:rsidR="009310CF" w:rsidRDefault="009C071D" w:rsidP="006C0BCA">
      <w:pPr>
        <w:pStyle w:val="SingleTxtG"/>
        <w:rPr>
          <w:lang w:val="es-ES_tradnl"/>
        </w:rPr>
      </w:pPr>
      <w:r w:rsidRPr="00565F00">
        <w:rPr>
          <w:lang w:val="es-ES_tradnl" w:eastAsia="es-ES"/>
        </w:rPr>
        <w:t>1</w:t>
      </w:r>
      <w:r w:rsidR="002E47A7">
        <w:rPr>
          <w:lang w:val="es-ES_tradnl" w:eastAsia="es-ES"/>
        </w:rPr>
        <w:t>2</w:t>
      </w:r>
      <w:r w:rsidRPr="00565F00">
        <w:rPr>
          <w:lang w:val="es-ES_tradnl" w:eastAsia="es-ES"/>
        </w:rPr>
        <w:t>.4</w:t>
      </w:r>
      <w:r w:rsidR="009310CF" w:rsidRPr="00565F00">
        <w:rPr>
          <w:lang w:val="es-ES_tradnl" w:eastAsia="es-ES"/>
        </w:rPr>
        <w:tab/>
        <w:t>En el presente caso, el Comité toma nota de que los autores alegan que los hechos constituye</w:t>
      </w:r>
      <w:r w:rsidR="0025758D" w:rsidRPr="00565F00">
        <w:rPr>
          <w:lang w:val="es-ES_tradnl" w:eastAsia="es-ES"/>
        </w:rPr>
        <w:t xml:space="preserve">n una violación del </w:t>
      </w:r>
      <w:r w:rsidR="00E30777" w:rsidRPr="00565F00">
        <w:rPr>
          <w:rFonts w:eastAsia="Calibri"/>
          <w:lang w:val="es-ES_tradnl"/>
        </w:rPr>
        <w:t xml:space="preserve">artículo 6, párrafo 1, del Pacto, leído </w:t>
      </w:r>
      <w:r w:rsidR="00A95D2A">
        <w:rPr>
          <w:rFonts w:eastAsia="Calibri"/>
          <w:lang w:val="es-ES_tradnl"/>
        </w:rPr>
        <w:t xml:space="preserve">solo y </w:t>
      </w:r>
      <w:r w:rsidR="00E30777" w:rsidRPr="00565F00">
        <w:rPr>
          <w:rFonts w:eastAsia="Calibri"/>
          <w:lang w:val="es-ES_tradnl"/>
        </w:rPr>
        <w:t xml:space="preserve">conjuntamente con el artículo 2, párrafo 3, </w:t>
      </w:r>
      <w:r w:rsidR="006C0BCA" w:rsidRPr="00565F00">
        <w:rPr>
          <w:rFonts w:eastAsia="Calibri"/>
          <w:lang w:val="es-ES_tradnl"/>
        </w:rPr>
        <w:t xml:space="preserve">dado que </w:t>
      </w:r>
      <w:r w:rsidR="00E30777" w:rsidRPr="00565F00">
        <w:rPr>
          <w:rFonts w:eastAsia="Calibri"/>
          <w:lang w:val="es-ES_tradnl"/>
        </w:rPr>
        <w:t xml:space="preserve">los Estados tienen la obligación de garantizar la protección contra violaciones que </w:t>
      </w:r>
      <w:r w:rsidR="003926C2" w:rsidRPr="00565F00">
        <w:rPr>
          <w:rFonts w:eastAsia="Calibri"/>
          <w:lang w:val="es-ES_tradnl"/>
        </w:rPr>
        <w:t>puedan cometer, no s</w:t>
      </w:r>
      <w:r w:rsidR="009A7F21">
        <w:rPr>
          <w:rFonts w:eastAsia="Calibri"/>
          <w:lang w:val="es-ES_tradnl"/>
        </w:rPr>
        <w:t>o</w:t>
      </w:r>
      <w:r w:rsidR="003926C2" w:rsidRPr="00565F00">
        <w:rPr>
          <w:rFonts w:eastAsia="Calibri"/>
          <w:lang w:val="es-ES_tradnl"/>
        </w:rPr>
        <w:t>lo sus agentes, sino también personas o entidades privadas</w:t>
      </w:r>
      <w:r w:rsidR="00721238" w:rsidRPr="00565F00">
        <w:rPr>
          <w:rFonts w:eastAsia="Calibri"/>
          <w:lang w:val="es-ES_tradnl"/>
        </w:rPr>
        <w:t>, y que</w:t>
      </w:r>
      <w:r w:rsidR="00E30777" w:rsidRPr="00565F00">
        <w:rPr>
          <w:rFonts w:eastAsia="Calibri"/>
          <w:lang w:val="es-ES_tradnl"/>
        </w:rPr>
        <w:t xml:space="preserve"> las autoridades omitieron </w:t>
      </w:r>
      <w:r w:rsidR="00721238" w:rsidRPr="00565F00">
        <w:rPr>
          <w:rFonts w:eastAsia="Calibri"/>
          <w:lang w:val="es-ES_tradnl"/>
        </w:rPr>
        <w:t>la</w:t>
      </w:r>
      <w:r w:rsidR="00E30777" w:rsidRPr="00565F00">
        <w:rPr>
          <w:rFonts w:eastAsia="Calibri"/>
          <w:lang w:val="es-ES_tradnl"/>
        </w:rPr>
        <w:t xml:space="preserve"> búsqueda inmediata</w:t>
      </w:r>
      <w:r w:rsidR="00721238" w:rsidRPr="00565F00">
        <w:rPr>
          <w:rFonts w:eastAsia="Calibri"/>
          <w:lang w:val="es-ES_tradnl"/>
        </w:rPr>
        <w:t xml:space="preserve"> del Sr. Moreno Pérez</w:t>
      </w:r>
      <w:r w:rsidR="00FF6BF6">
        <w:rPr>
          <w:rFonts w:eastAsia="Calibri"/>
          <w:lang w:val="es-ES_tradnl"/>
        </w:rPr>
        <w:t>,</w:t>
      </w:r>
      <w:r w:rsidR="00E30777" w:rsidRPr="00565F00">
        <w:rPr>
          <w:rFonts w:eastAsia="Calibri"/>
          <w:lang w:val="es-ES_tradnl"/>
        </w:rPr>
        <w:t xml:space="preserve"> alteraron</w:t>
      </w:r>
      <w:r w:rsidR="00FF6BF6">
        <w:rPr>
          <w:rFonts w:eastAsia="Calibri"/>
          <w:lang w:val="es-ES_tradnl"/>
        </w:rPr>
        <w:t xml:space="preserve"> y</w:t>
      </w:r>
      <w:r w:rsidR="00E30777" w:rsidRPr="00565F00">
        <w:rPr>
          <w:rFonts w:eastAsia="Calibri"/>
          <w:lang w:val="es-ES_tradnl"/>
        </w:rPr>
        <w:t xml:space="preserve"> fabricaron pruebas</w:t>
      </w:r>
      <w:r w:rsidR="00FF6BF6">
        <w:rPr>
          <w:rFonts w:eastAsia="Calibri"/>
          <w:lang w:val="es-ES_tradnl"/>
        </w:rPr>
        <w:t>, y manipularon testigos</w:t>
      </w:r>
      <w:r w:rsidR="00E30777" w:rsidRPr="00565F00">
        <w:rPr>
          <w:rFonts w:eastAsia="Calibri"/>
          <w:lang w:val="es-ES_tradnl"/>
        </w:rPr>
        <w:t xml:space="preserve"> para desviar la investigación, creando las condiciones que ponían en riesgo grave su vida</w:t>
      </w:r>
      <w:r w:rsidR="00721238" w:rsidRPr="00565F00">
        <w:rPr>
          <w:rFonts w:eastAsia="Calibri"/>
          <w:lang w:val="es-ES_tradnl"/>
        </w:rPr>
        <w:t>.</w:t>
      </w:r>
      <w:r w:rsidR="00565F00" w:rsidRPr="00565F00">
        <w:rPr>
          <w:rFonts w:eastAsia="Calibri"/>
          <w:lang w:val="es-ES_tradnl"/>
        </w:rPr>
        <w:t xml:space="preserve"> </w:t>
      </w:r>
      <w:r w:rsidR="00565F00" w:rsidRPr="00565F00">
        <w:rPr>
          <w:lang w:val="es-ES" w:eastAsia="es-ES"/>
        </w:rPr>
        <w:t>El Comité también toma nota de la afirmación del Estado parte de que</w:t>
      </w:r>
      <w:r w:rsidR="00565F00" w:rsidRPr="00565F00">
        <w:rPr>
          <w:lang w:val="es-ES_tradnl"/>
        </w:rPr>
        <w:t xml:space="preserve"> </w:t>
      </w:r>
      <w:r w:rsidR="00565F00">
        <w:rPr>
          <w:lang w:val="es-ES_tradnl"/>
        </w:rPr>
        <w:t>no</w:t>
      </w:r>
      <w:r w:rsidR="00565F00" w:rsidRPr="00565F00">
        <w:rPr>
          <w:lang w:val="es-ES_tradnl"/>
        </w:rPr>
        <w:t xml:space="preserve"> puede ser considerado responsable</w:t>
      </w:r>
      <w:r w:rsidR="00565F00">
        <w:rPr>
          <w:lang w:val="es-ES_tradnl"/>
        </w:rPr>
        <w:t xml:space="preserve"> ni por acción ni por omisión</w:t>
      </w:r>
      <w:r w:rsidR="00565F00" w:rsidRPr="00565F00">
        <w:rPr>
          <w:lang w:val="es-ES_tradnl"/>
        </w:rPr>
        <w:t xml:space="preserve"> </w:t>
      </w:r>
      <w:r w:rsidR="00565F00">
        <w:rPr>
          <w:lang w:val="es-ES_tradnl"/>
        </w:rPr>
        <w:t>al no tener</w:t>
      </w:r>
      <w:r w:rsidR="00565F00" w:rsidRPr="00565F00">
        <w:rPr>
          <w:lang w:val="es-ES_tradnl"/>
        </w:rPr>
        <w:t xml:space="preserve"> la obligación de conocer todo lo que ocurre en su territorio</w:t>
      </w:r>
      <w:r w:rsidR="0017649D">
        <w:rPr>
          <w:lang w:val="es-ES_tradnl"/>
        </w:rPr>
        <w:t>,</w:t>
      </w:r>
      <w:r w:rsidR="00565F00">
        <w:rPr>
          <w:lang w:val="es-ES_tradnl"/>
        </w:rPr>
        <w:t xml:space="preserve"> </w:t>
      </w:r>
      <w:r w:rsidR="00F755CA">
        <w:rPr>
          <w:lang w:val="es-ES_tradnl"/>
        </w:rPr>
        <w:t>al</w:t>
      </w:r>
      <w:r w:rsidR="00565F00">
        <w:rPr>
          <w:lang w:val="es-ES_tradnl"/>
        </w:rPr>
        <w:t xml:space="preserve"> no haber tenido conocimiento de una eventual situación </w:t>
      </w:r>
      <w:r w:rsidR="00565F00" w:rsidRPr="00565F00">
        <w:rPr>
          <w:lang w:val="es-ES_tradnl"/>
        </w:rPr>
        <w:t>de riesgo</w:t>
      </w:r>
      <w:r w:rsidR="0017649D">
        <w:rPr>
          <w:lang w:val="es-ES_tradnl"/>
        </w:rPr>
        <w:t xml:space="preserve">, y </w:t>
      </w:r>
      <w:r w:rsidR="00F755CA">
        <w:rPr>
          <w:lang w:val="es-ES_tradnl"/>
        </w:rPr>
        <w:t>al haber desarrollado</w:t>
      </w:r>
      <w:r w:rsidR="00E9362B">
        <w:rPr>
          <w:lang w:val="es-ES_tradnl"/>
        </w:rPr>
        <w:t xml:space="preserve"> </w:t>
      </w:r>
      <w:r w:rsidR="00E9362B">
        <w:rPr>
          <w:color w:val="000000"/>
          <w:lang w:val="es-ES_tradnl"/>
        </w:rPr>
        <w:t>investigaciones</w:t>
      </w:r>
      <w:r w:rsidR="00F755CA">
        <w:rPr>
          <w:color w:val="000000"/>
          <w:lang w:val="es-ES_tradnl"/>
        </w:rPr>
        <w:t xml:space="preserve"> que</w:t>
      </w:r>
      <w:r w:rsidR="00E9362B">
        <w:rPr>
          <w:color w:val="000000"/>
          <w:lang w:val="es-ES_tradnl"/>
        </w:rPr>
        <w:t xml:space="preserve"> cumplen con los estándares y obligaciones establecidas por el Pacto</w:t>
      </w:r>
      <w:r w:rsidR="00565F00">
        <w:rPr>
          <w:lang w:val="es-ES_tradnl"/>
        </w:rPr>
        <w:t>.</w:t>
      </w:r>
    </w:p>
    <w:p w14:paraId="2E69D3AD" w14:textId="331248DA" w:rsidR="003F7DFB" w:rsidRPr="0093335F" w:rsidRDefault="00264ABA" w:rsidP="003F7DFB">
      <w:pPr>
        <w:pStyle w:val="SingleTxtG"/>
        <w:rPr>
          <w:lang w:val="es-ES_tradnl"/>
        </w:rPr>
      </w:pPr>
      <w:r w:rsidRPr="0093335F">
        <w:rPr>
          <w:lang w:val="es-ES_tradnl" w:eastAsia="es-ES"/>
        </w:rPr>
        <w:t>1</w:t>
      </w:r>
      <w:r w:rsidR="002E47A7">
        <w:rPr>
          <w:lang w:val="es-ES_tradnl" w:eastAsia="es-ES"/>
        </w:rPr>
        <w:t>2</w:t>
      </w:r>
      <w:r w:rsidRPr="0093335F">
        <w:rPr>
          <w:lang w:val="es-ES_tradnl" w:eastAsia="es-ES"/>
        </w:rPr>
        <w:t>.5</w:t>
      </w:r>
      <w:r w:rsidRPr="0093335F">
        <w:rPr>
          <w:lang w:val="es-ES_tradnl" w:eastAsia="es-ES"/>
        </w:rPr>
        <w:tab/>
      </w:r>
      <w:r w:rsidR="003F7DFB" w:rsidRPr="0093335F">
        <w:rPr>
          <w:lang w:val="es-ES_tradnl"/>
        </w:rPr>
        <w:t xml:space="preserve">El Comité </w:t>
      </w:r>
      <w:r w:rsidR="00B51394">
        <w:rPr>
          <w:lang w:val="es-ES_tradnl"/>
        </w:rPr>
        <w:t xml:space="preserve">subraya que el contenido y alcance del derecho a la vida contempla </w:t>
      </w:r>
      <w:r w:rsidR="00B3502C">
        <w:rPr>
          <w:lang w:val="es-ES_tradnl"/>
        </w:rPr>
        <w:t xml:space="preserve">no solamente obligaciones negativas y obligaciones positivas materiales, sino también </w:t>
      </w:r>
      <w:r w:rsidR="00B51394">
        <w:rPr>
          <w:lang w:val="es-ES_tradnl"/>
        </w:rPr>
        <w:t xml:space="preserve">obligaciones positivas </w:t>
      </w:r>
      <w:r w:rsidR="00B3502C">
        <w:rPr>
          <w:lang w:val="es-ES_tradnl"/>
        </w:rPr>
        <w:t>procesales</w:t>
      </w:r>
      <w:r w:rsidR="00214DBF">
        <w:rPr>
          <w:rStyle w:val="Refdenotaalpie"/>
          <w:lang w:val="es-ES_tradnl"/>
        </w:rPr>
        <w:footnoteReference w:id="56"/>
      </w:r>
      <w:r w:rsidR="009A7F21">
        <w:rPr>
          <w:lang w:val="es-ES_tradnl"/>
        </w:rPr>
        <w:t>.</w:t>
      </w:r>
      <w:r w:rsidR="00D92888">
        <w:rPr>
          <w:lang w:val="es-ES_tradnl"/>
        </w:rPr>
        <w:t xml:space="preserve"> </w:t>
      </w:r>
      <w:r w:rsidR="005A14DE">
        <w:rPr>
          <w:lang w:val="es-ES_tradnl"/>
        </w:rPr>
        <w:t>En efecto</w:t>
      </w:r>
      <w:r w:rsidR="00E1789B">
        <w:rPr>
          <w:lang w:val="es-ES_tradnl"/>
        </w:rPr>
        <w:t xml:space="preserve">, </w:t>
      </w:r>
      <w:r w:rsidR="005A14DE">
        <w:rPr>
          <w:lang w:val="es-ES_tradnl"/>
        </w:rPr>
        <w:t>e</w:t>
      </w:r>
      <w:r w:rsidR="005A14DE" w:rsidRPr="005A14DE">
        <w:rPr>
          <w:lang w:val="es-ES_tradnl"/>
        </w:rPr>
        <w:t xml:space="preserve">l deber de </w:t>
      </w:r>
      <w:r w:rsidR="005A14DE">
        <w:rPr>
          <w:lang w:val="es-ES_tradnl"/>
        </w:rPr>
        <w:t xml:space="preserve">los Estados partes de </w:t>
      </w:r>
      <w:r w:rsidR="005A14DE" w:rsidRPr="005A14DE">
        <w:rPr>
          <w:lang w:val="es-ES_tradnl"/>
        </w:rPr>
        <w:t xml:space="preserve">proteger el derecho a la vida exige </w:t>
      </w:r>
      <w:r w:rsidR="009F065C">
        <w:rPr>
          <w:lang w:val="es-ES_tradnl"/>
        </w:rPr>
        <w:t>que deba</w:t>
      </w:r>
      <w:r w:rsidR="00635DAA">
        <w:rPr>
          <w:lang w:val="es-ES_tradnl"/>
        </w:rPr>
        <w:t xml:space="preserve">n no solamente </w:t>
      </w:r>
      <w:r w:rsidR="00E1789B" w:rsidRPr="00E1789B">
        <w:rPr>
          <w:lang w:val="es-ES_tradnl"/>
        </w:rPr>
        <w:t>evitar la privación de la vida,</w:t>
      </w:r>
      <w:r w:rsidR="00635DAA">
        <w:rPr>
          <w:lang w:val="es-ES_tradnl"/>
        </w:rPr>
        <w:t xml:space="preserve"> sino también</w:t>
      </w:r>
      <w:r w:rsidR="00E1789B" w:rsidRPr="00E1789B">
        <w:rPr>
          <w:lang w:val="es-ES_tradnl"/>
        </w:rPr>
        <w:t xml:space="preserve"> investigar y enjuiciar los posibles casos de privación ilegal de la vida, castigar a los responsables y ofrecer una reparación integral</w:t>
      </w:r>
      <w:r w:rsidR="0093206A">
        <w:rPr>
          <w:rStyle w:val="Refdenotaalpie"/>
          <w:lang w:val="es-ES_tradnl"/>
        </w:rPr>
        <w:footnoteReference w:id="57"/>
      </w:r>
      <w:r w:rsidR="00FF5B23">
        <w:rPr>
          <w:lang w:val="es-ES_tradnl"/>
        </w:rPr>
        <w:t>.</w:t>
      </w:r>
      <w:r w:rsidR="00A21A91">
        <w:rPr>
          <w:lang w:val="es-ES_tradnl"/>
        </w:rPr>
        <w:t xml:space="preserve"> </w:t>
      </w:r>
      <w:r w:rsidR="009F065C">
        <w:rPr>
          <w:lang w:val="es-ES_tradnl"/>
        </w:rPr>
        <w:t xml:space="preserve">En particular, </w:t>
      </w:r>
      <w:r w:rsidR="005A61AA">
        <w:rPr>
          <w:lang w:val="es-ES_tradnl"/>
        </w:rPr>
        <w:t>e</w:t>
      </w:r>
      <w:r w:rsidR="005A61AA" w:rsidRPr="005A61AA">
        <w:rPr>
          <w:lang w:val="es-ES_tradnl"/>
        </w:rPr>
        <w:t xml:space="preserve">l deber de adoptar medidas positivas para proteger el derecho a la vida emana de la obligación general de garantizar los derechos reconocidos en el Pacto, que se establece en el artículo 2, párrafo 1, leído </w:t>
      </w:r>
      <w:proofErr w:type="gramStart"/>
      <w:r w:rsidR="005A61AA" w:rsidRPr="005A61AA">
        <w:rPr>
          <w:lang w:val="es-ES_tradnl"/>
        </w:rPr>
        <w:t>conjuntamente con</w:t>
      </w:r>
      <w:proofErr w:type="gramEnd"/>
      <w:r w:rsidR="005A61AA" w:rsidRPr="005A61AA">
        <w:rPr>
          <w:lang w:val="es-ES_tradnl"/>
        </w:rPr>
        <w:t xml:space="preserve"> el artículo 6, así como de la obligación específica de proteger por ley el derecho a la vida, dispuesta en la segunda oración del artículo 6</w:t>
      </w:r>
      <w:r w:rsidR="000A5AA4">
        <w:rPr>
          <w:lang w:val="es-ES_tradnl"/>
        </w:rPr>
        <w:t>. Así,</w:t>
      </w:r>
      <w:r w:rsidR="005A61AA">
        <w:rPr>
          <w:lang w:val="es-ES_tradnl"/>
        </w:rPr>
        <w:t xml:space="preserve"> </w:t>
      </w:r>
      <w:r w:rsidR="009F065C">
        <w:rPr>
          <w:lang w:val="es-ES_tradnl"/>
        </w:rPr>
        <w:t xml:space="preserve">los Estados partes deben </w:t>
      </w:r>
      <w:r w:rsidR="00A21A91" w:rsidRPr="00A21A91">
        <w:rPr>
          <w:lang w:val="es-ES_tradnl"/>
        </w:rPr>
        <w:t xml:space="preserve">adoptar las medidas preventivas adecuadas para proteger a las personas </w:t>
      </w:r>
      <w:r w:rsidR="005A61AA">
        <w:rPr>
          <w:lang w:val="es-ES_tradnl"/>
        </w:rPr>
        <w:t xml:space="preserve">de una privación </w:t>
      </w:r>
      <w:r w:rsidR="000A5AA4">
        <w:rPr>
          <w:lang w:val="es-ES_tradnl"/>
        </w:rPr>
        <w:t>ilegal</w:t>
      </w:r>
      <w:r w:rsidR="00440EC0">
        <w:rPr>
          <w:lang w:val="es-ES_tradnl"/>
        </w:rPr>
        <w:t xml:space="preserve"> </w:t>
      </w:r>
      <w:r w:rsidR="004859AB">
        <w:rPr>
          <w:lang w:val="es-ES_tradnl"/>
        </w:rPr>
        <w:t xml:space="preserve">y arbitraria </w:t>
      </w:r>
      <w:r w:rsidR="005A61AA">
        <w:rPr>
          <w:lang w:val="es-ES_tradnl"/>
        </w:rPr>
        <w:t>de la vida</w:t>
      </w:r>
      <w:r w:rsidR="00873F69">
        <w:rPr>
          <w:rStyle w:val="Refdenotaalpie"/>
          <w:lang w:val="es-ES_tradnl"/>
        </w:rPr>
        <w:footnoteReference w:id="58"/>
      </w:r>
      <w:r w:rsidR="00FF5B23">
        <w:rPr>
          <w:lang w:val="es-ES_tradnl"/>
        </w:rPr>
        <w:t>.</w:t>
      </w:r>
      <w:r w:rsidR="00DB0FAE">
        <w:rPr>
          <w:lang w:val="es-ES_tradnl"/>
        </w:rPr>
        <w:t xml:space="preserve"> </w:t>
      </w:r>
      <w:r w:rsidR="00924069">
        <w:rPr>
          <w:lang w:val="es-ES_tradnl"/>
        </w:rPr>
        <w:t>Además</w:t>
      </w:r>
      <w:r w:rsidR="00440EC0">
        <w:rPr>
          <w:lang w:val="es-ES_tradnl"/>
        </w:rPr>
        <w:t>, l</w:t>
      </w:r>
      <w:r w:rsidR="00DF4C9C">
        <w:rPr>
          <w:lang w:val="es-ES_tradnl"/>
        </w:rPr>
        <w:t xml:space="preserve">os Estados partes deben </w:t>
      </w:r>
      <w:r w:rsidR="00500D15" w:rsidRPr="00500D15">
        <w:rPr>
          <w:lang w:val="es-ES_tradnl"/>
        </w:rPr>
        <w:t xml:space="preserve">investigar y, según proceda, enjuiciar a los </w:t>
      </w:r>
      <w:r w:rsidR="00822819">
        <w:rPr>
          <w:lang w:val="es-ES_tradnl"/>
        </w:rPr>
        <w:t>responsables de esos incidentes</w:t>
      </w:r>
      <w:r w:rsidR="00DF4C9C">
        <w:rPr>
          <w:lang w:val="es-ES_tradnl"/>
        </w:rPr>
        <w:t xml:space="preserve">; </w:t>
      </w:r>
      <w:r w:rsidR="00440EC0">
        <w:rPr>
          <w:lang w:val="es-ES_tradnl"/>
        </w:rPr>
        <w:t>al</w:t>
      </w:r>
      <w:r w:rsidR="00BC6BB5" w:rsidRPr="00BC6BB5">
        <w:rPr>
          <w:lang w:val="es-ES_tradnl"/>
        </w:rPr>
        <w:t xml:space="preserve"> </w:t>
      </w:r>
      <w:r w:rsidR="00947994">
        <w:rPr>
          <w:lang w:val="es-ES_tradnl"/>
        </w:rPr>
        <w:t>asegura</w:t>
      </w:r>
      <w:r w:rsidR="00BF5B1A">
        <w:rPr>
          <w:lang w:val="es-ES_tradnl"/>
        </w:rPr>
        <w:t>r</w:t>
      </w:r>
      <w:r w:rsidR="00BC6BB5">
        <w:rPr>
          <w:lang w:val="es-ES_tradnl"/>
        </w:rPr>
        <w:t xml:space="preserve"> </w:t>
      </w:r>
      <w:r w:rsidR="00BC6BB5" w:rsidRPr="00822819">
        <w:rPr>
          <w:lang w:val="es-ES_tradnl"/>
        </w:rPr>
        <w:t>que los responsabl</w:t>
      </w:r>
      <w:r w:rsidR="00BC6BB5">
        <w:rPr>
          <w:lang w:val="es-ES_tradnl"/>
        </w:rPr>
        <w:t>es comparezcan ante la justicia</w:t>
      </w:r>
      <w:r w:rsidR="00440EC0">
        <w:rPr>
          <w:lang w:val="es-ES_tradnl"/>
        </w:rPr>
        <w:t>, los Estados partes</w:t>
      </w:r>
      <w:r w:rsidR="00947994">
        <w:rPr>
          <w:lang w:val="es-ES_tradnl"/>
        </w:rPr>
        <w:t xml:space="preserve"> previene</w:t>
      </w:r>
      <w:r w:rsidR="00440EC0">
        <w:rPr>
          <w:lang w:val="es-ES_tradnl"/>
        </w:rPr>
        <w:t>n</w:t>
      </w:r>
      <w:r w:rsidR="00BC6BB5">
        <w:rPr>
          <w:lang w:val="es-ES_tradnl"/>
        </w:rPr>
        <w:t xml:space="preserve"> la impunidad.</w:t>
      </w:r>
      <w:r w:rsidR="00807BA6" w:rsidRPr="00067ACD">
        <w:rPr>
          <w:lang w:val="es-ES"/>
        </w:rPr>
        <w:t xml:space="preserve"> </w:t>
      </w:r>
      <w:r w:rsidR="00807BA6" w:rsidRPr="00807BA6">
        <w:rPr>
          <w:lang w:val="es-ES_tradnl"/>
        </w:rPr>
        <w:t>Dicha obligación está implícita en la obligación de proteger y se ve reforzada por el deber general de garantizar los derechos reconocidos en el Pacto, que se articula en el artículo 2, párrafo 1, leído conjuntamente con el artículo 6, párrafo 1, y el deber de proporcionar un recurso efectivo a las víctimas de viol</w:t>
      </w:r>
      <w:r w:rsidR="002C71EC">
        <w:rPr>
          <w:lang w:val="es-ES_tradnl"/>
        </w:rPr>
        <w:t>aciones de los derechos humanos</w:t>
      </w:r>
      <w:r w:rsidR="00807BA6" w:rsidRPr="00807BA6">
        <w:rPr>
          <w:lang w:val="es-ES_tradnl"/>
        </w:rPr>
        <w:t xml:space="preserve"> y sus familiares, que se </w:t>
      </w:r>
      <w:r w:rsidR="00E64BB9">
        <w:rPr>
          <w:lang w:val="es-ES_tradnl"/>
        </w:rPr>
        <w:t xml:space="preserve">estipula </w:t>
      </w:r>
      <w:r w:rsidR="00807BA6" w:rsidRPr="00807BA6">
        <w:rPr>
          <w:lang w:val="es-ES_tradnl"/>
        </w:rPr>
        <w:t xml:space="preserve">en el artículo 2, </w:t>
      </w:r>
      <w:r w:rsidR="00807BA6" w:rsidRPr="00807BA6">
        <w:rPr>
          <w:lang w:val="es-ES_tradnl"/>
        </w:rPr>
        <w:lastRenderedPageBreak/>
        <w:t>párrafo</w:t>
      </w:r>
      <w:r w:rsidR="00133A6B">
        <w:rPr>
          <w:lang w:val="es-ES_tradnl"/>
        </w:rPr>
        <w:t> </w:t>
      </w:r>
      <w:r w:rsidR="00807BA6" w:rsidRPr="00807BA6">
        <w:rPr>
          <w:lang w:val="es-ES_tradnl"/>
        </w:rPr>
        <w:t>3, del Pacto, leído conjuntamente con el artículo 6, párrafo 1</w:t>
      </w:r>
      <w:r w:rsidR="00947994">
        <w:rPr>
          <w:rStyle w:val="Refdenotaalpie"/>
          <w:lang w:val="es-ES_tradnl"/>
        </w:rPr>
        <w:footnoteReference w:id="59"/>
      </w:r>
      <w:r w:rsidR="00FF5B23">
        <w:rPr>
          <w:lang w:val="es-ES_tradnl"/>
        </w:rPr>
        <w:t>.</w:t>
      </w:r>
      <w:r w:rsidR="00BC6BB5">
        <w:rPr>
          <w:lang w:val="es-ES_tradnl"/>
        </w:rPr>
        <w:t xml:space="preserve"> </w:t>
      </w:r>
      <w:r w:rsidR="008A03FD">
        <w:rPr>
          <w:lang w:val="es-ES_tradnl"/>
        </w:rPr>
        <w:t>E</w:t>
      </w:r>
      <w:r w:rsidR="00823B9D">
        <w:rPr>
          <w:lang w:val="es-ES_tradnl"/>
        </w:rPr>
        <w:t>l Comité</w:t>
      </w:r>
      <w:r w:rsidR="00B51394">
        <w:rPr>
          <w:lang w:val="es-ES_tradnl"/>
        </w:rPr>
        <w:t xml:space="preserve"> </w:t>
      </w:r>
      <w:r w:rsidR="003F7DFB" w:rsidRPr="0093335F">
        <w:rPr>
          <w:lang w:val="es-ES_tradnl"/>
        </w:rPr>
        <w:t xml:space="preserve">se remite </w:t>
      </w:r>
      <w:r w:rsidR="000576AF">
        <w:rPr>
          <w:lang w:val="es-ES_tradnl"/>
        </w:rPr>
        <w:t xml:space="preserve">asimismo </w:t>
      </w:r>
      <w:r w:rsidR="003F7DFB" w:rsidRPr="0093335F">
        <w:rPr>
          <w:lang w:val="es-ES_tradnl"/>
        </w:rPr>
        <w:t>a su jurisprudencia en el sentido de que la investigación penal y el consiguiente enjuiciamiento son recursos necesarios en el caso de violación de derechos humanos como los protegidos en el artículo 6</w:t>
      </w:r>
      <w:r w:rsidR="000576AF">
        <w:rPr>
          <w:lang w:val="es-ES_tradnl"/>
        </w:rPr>
        <w:t>, por lo que puede,</w:t>
      </w:r>
      <w:r w:rsidR="000576AF" w:rsidRPr="000576AF">
        <w:rPr>
          <w:lang w:val="es-ES_tradnl"/>
        </w:rPr>
        <w:t xml:space="preserve"> </w:t>
      </w:r>
      <w:r w:rsidR="000576AF" w:rsidRPr="0093335F">
        <w:rPr>
          <w:lang w:val="es-ES_tradnl"/>
        </w:rPr>
        <w:t>por consiguiente, haber violación del Pacto cuando el Estado parte no adopta medidas apropiadas para investigar y castigar a quienes hayan violado esos derechos y ofrecer reparación a las víctimas</w:t>
      </w:r>
      <w:r w:rsidR="007F2622" w:rsidRPr="00531919">
        <w:rPr>
          <w:rStyle w:val="Refdenotaalpie"/>
          <w:szCs w:val="18"/>
          <w:lang w:val="es-ES_tradnl"/>
        </w:rPr>
        <w:footnoteReference w:id="60"/>
      </w:r>
      <w:r w:rsidR="00FF5B23">
        <w:rPr>
          <w:lang w:val="es-ES_tradnl"/>
        </w:rPr>
        <w:t>,</w:t>
      </w:r>
      <w:r w:rsidR="007F2622">
        <w:rPr>
          <w:lang w:val="es-ES_tradnl"/>
        </w:rPr>
        <w:t xml:space="preserve"> </w:t>
      </w:r>
      <w:r w:rsidR="00D024ED">
        <w:rPr>
          <w:lang w:val="es-ES_tradnl"/>
        </w:rPr>
        <w:t xml:space="preserve">e </w:t>
      </w:r>
      <w:r w:rsidR="007F2622">
        <w:rPr>
          <w:lang w:val="es-ES_tradnl"/>
        </w:rPr>
        <w:t xml:space="preserve">inclusive </w:t>
      </w:r>
      <w:r w:rsidR="006F48FF">
        <w:rPr>
          <w:lang w:val="es-ES_tradnl"/>
        </w:rPr>
        <w:t xml:space="preserve">violación del artículo 6 del Pacto </w:t>
      </w:r>
      <w:r w:rsidR="00D024ED">
        <w:rPr>
          <w:lang w:val="es-ES_tradnl"/>
        </w:rPr>
        <w:t>en casos de</w:t>
      </w:r>
      <w:r w:rsidR="007F2622">
        <w:rPr>
          <w:lang w:val="es-ES_tradnl"/>
        </w:rPr>
        <w:t xml:space="preserve"> esfuerzo</w:t>
      </w:r>
      <w:r w:rsidR="00D024ED">
        <w:rPr>
          <w:lang w:val="es-ES_tradnl"/>
        </w:rPr>
        <w:t>s</w:t>
      </w:r>
      <w:r w:rsidR="007F2622">
        <w:rPr>
          <w:lang w:val="es-ES_tradnl"/>
        </w:rPr>
        <w:t xml:space="preserve"> aparente</w:t>
      </w:r>
      <w:r w:rsidR="00D024ED">
        <w:rPr>
          <w:lang w:val="es-ES_tradnl"/>
        </w:rPr>
        <w:t>s</w:t>
      </w:r>
      <w:r w:rsidR="007F2622">
        <w:rPr>
          <w:lang w:val="es-ES_tradnl"/>
        </w:rPr>
        <w:t xml:space="preserve"> de investigación</w:t>
      </w:r>
      <w:r w:rsidR="003F7DFB" w:rsidRPr="00963B70">
        <w:rPr>
          <w:sz w:val="18"/>
          <w:szCs w:val="18"/>
          <w:vertAlign w:val="superscript"/>
          <w:lang w:val="es-ES_tradnl"/>
        </w:rPr>
        <w:footnoteReference w:id="61"/>
      </w:r>
      <w:r w:rsidR="00FF5B23">
        <w:rPr>
          <w:lang w:val="es-ES_tradnl"/>
        </w:rPr>
        <w:t>.</w:t>
      </w:r>
      <w:r w:rsidR="00C950E7" w:rsidRPr="00C950E7">
        <w:rPr>
          <w:lang w:val="es-ES_tradnl"/>
        </w:rPr>
        <w:t xml:space="preserve"> </w:t>
      </w:r>
      <w:r w:rsidR="00284454">
        <w:rPr>
          <w:lang w:val="es-ES_tradnl"/>
        </w:rPr>
        <w:t>E</w:t>
      </w:r>
      <w:r w:rsidR="001352B0">
        <w:rPr>
          <w:lang w:val="es-ES_tradnl"/>
        </w:rPr>
        <w:t>l Comité considera</w:t>
      </w:r>
      <w:r w:rsidR="00553FA1">
        <w:rPr>
          <w:lang w:val="es-ES_tradnl"/>
        </w:rPr>
        <w:t xml:space="preserve"> por ende</w:t>
      </w:r>
      <w:r w:rsidR="001352B0">
        <w:rPr>
          <w:lang w:val="es-ES_tradnl"/>
        </w:rPr>
        <w:t xml:space="preserve"> que </w:t>
      </w:r>
      <w:r w:rsidR="001352B0" w:rsidRPr="001352B0">
        <w:rPr>
          <w:lang w:val="es-ES_tradnl"/>
        </w:rPr>
        <w:t xml:space="preserve">la investigación efectiva </w:t>
      </w:r>
      <w:r w:rsidR="00C82D47">
        <w:rPr>
          <w:lang w:val="es-ES_tradnl"/>
        </w:rPr>
        <w:t>debe ser</w:t>
      </w:r>
      <w:r w:rsidR="001352B0">
        <w:rPr>
          <w:lang w:val="es-ES_tradnl"/>
        </w:rPr>
        <w:t xml:space="preserve"> </w:t>
      </w:r>
      <w:r w:rsidR="001352B0" w:rsidRPr="001352B0">
        <w:rPr>
          <w:lang w:val="es-ES_tradnl"/>
        </w:rPr>
        <w:t>considerada como una obligación inherente del derecho a la vida</w:t>
      </w:r>
      <w:r w:rsidR="00C950E7" w:rsidRPr="0093335F">
        <w:rPr>
          <w:lang w:val="es-ES_tradnl" w:eastAsia="es-ES"/>
        </w:rPr>
        <w:t>.</w:t>
      </w:r>
    </w:p>
    <w:p w14:paraId="22A14716" w14:textId="3EEC05DA" w:rsidR="00C175C9" w:rsidRDefault="00090753" w:rsidP="000C4F69">
      <w:pPr>
        <w:pStyle w:val="SingleTxtG"/>
        <w:rPr>
          <w:lang w:val="es-ES_tradnl" w:eastAsia="es-ES"/>
        </w:rPr>
      </w:pPr>
      <w:r w:rsidRPr="007A11D8">
        <w:rPr>
          <w:lang w:val="es-ES_tradnl" w:eastAsia="es-ES"/>
        </w:rPr>
        <w:t>1</w:t>
      </w:r>
      <w:r w:rsidR="002E47A7">
        <w:rPr>
          <w:lang w:val="es-ES_tradnl" w:eastAsia="es-ES"/>
        </w:rPr>
        <w:t>2</w:t>
      </w:r>
      <w:r w:rsidRPr="007A11D8">
        <w:rPr>
          <w:lang w:val="es-ES_tradnl" w:eastAsia="es-ES"/>
        </w:rPr>
        <w:t>.6</w:t>
      </w:r>
      <w:r w:rsidRPr="007A11D8">
        <w:rPr>
          <w:lang w:val="es-ES_tradnl" w:eastAsia="es-ES"/>
        </w:rPr>
        <w:tab/>
      </w:r>
      <w:r w:rsidR="00B226FB" w:rsidRPr="0093335F">
        <w:rPr>
          <w:lang w:val="es-ES_tradnl"/>
        </w:rPr>
        <w:t xml:space="preserve">El Comité </w:t>
      </w:r>
      <w:r w:rsidR="00B226FB">
        <w:rPr>
          <w:lang w:val="es-ES_tradnl"/>
        </w:rPr>
        <w:t xml:space="preserve">también </w:t>
      </w:r>
      <w:r w:rsidR="00B226FB" w:rsidRPr="0093335F">
        <w:rPr>
          <w:lang w:val="es-ES_tradnl"/>
        </w:rPr>
        <w:t xml:space="preserve">observa </w:t>
      </w:r>
      <w:r w:rsidR="00B226FB">
        <w:rPr>
          <w:lang w:val="es-ES_tradnl" w:eastAsia="es-ES"/>
        </w:rPr>
        <w:t>que, e</w:t>
      </w:r>
      <w:r w:rsidRPr="007A11D8">
        <w:rPr>
          <w:lang w:val="es-ES_tradnl" w:eastAsia="es-ES"/>
        </w:rPr>
        <w:t>n el presente caso, l</w:t>
      </w:r>
      <w:r w:rsidR="000C4F69" w:rsidRPr="007A11D8">
        <w:rPr>
          <w:lang w:val="es-ES_tradnl" w:eastAsia="es-ES"/>
        </w:rPr>
        <w:t xml:space="preserve">a </w:t>
      </w:r>
      <w:r w:rsidR="00381350" w:rsidRPr="007A11D8">
        <w:rPr>
          <w:lang w:val="es-ES_tradnl" w:eastAsia="es-ES"/>
        </w:rPr>
        <w:t xml:space="preserve">Defensoría de Derechos Humanos del Pueblo de Oaxaca concluyó </w:t>
      </w:r>
      <w:r w:rsidR="000C4F69" w:rsidRPr="007A11D8">
        <w:rPr>
          <w:lang w:val="es-ES_tradnl" w:eastAsia="es-ES"/>
        </w:rPr>
        <w:t>que la autoridad investigadora no ha</w:t>
      </w:r>
      <w:r w:rsidR="00547724" w:rsidRPr="007A11D8">
        <w:rPr>
          <w:lang w:val="es-ES_tradnl" w:eastAsia="es-ES"/>
        </w:rPr>
        <w:t>bía</w:t>
      </w:r>
      <w:r w:rsidR="000C4F69" w:rsidRPr="007A11D8">
        <w:rPr>
          <w:lang w:val="es-ES_tradnl" w:eastAsia="es-ES"/>
        </w:rPr>
        <w:t xml:space="preserve"> agotado las líneas de investigación</w:t>
      </w:r>
      <w:r w:rsidR="00547724" w:rsidRPr="007A11D8">
        <w:rPr>
          <w:lang w:val="es-ES_tradnl" w:eastAsia="es-ES"/>
        </w:rPr>
        <w:t xml:space="preserve"> y que</w:t>
      </w:r>
      <w:r w:rsidR="00E57D48">
        <w:rPr>
          <w:lang w:val="es-ES_tradnl" w:eastAsia="es-ES"/>
        </w:rPr>
        <w:t>,</w:t>
      </w:r>
      <w:r w:rsidR="000C4F69" w:rsidRPr="007A11D8">
        <w:rPr>
          <w:lang w:val="es-ES_tradnl" w:eastAsia="es-ES"/>
        </w:rPr>
        <w:t xml:space="preserve"> “el hecho de que la investigación realizada se base en declaraciones y testimonios contradictorios, que fueron además el basamento sobre el cual fue emitido el ‘dictamen de causa de muerte verbal’ y un peritaje sobre objetos que tampoco se tuvieron a la vista y cuya existencia fue controvertida por el padre de la persona desaparecida, a consideración de este </w:t>
      </w:r>
      <w:r w:rsidR="00FF5B23">
        <w:rPr>
          <w:lang w:val="es-ES_tradnl" w:eastAsia="es-ES"/>
        </w:rPr>
        <w:t>o</w:t>
      </w:r>
      <w:r w:rsidR="000C4F69" w:rsidRPr="007A11D8">
        <w:rPr>
          <w:lang w:val="es-ES_tradnl" w:eastAsia="es-ES"/>
        </w:rPr>
        <w:t>rganismo”</w:t>
      </w:r>
      <w:r w:rsidR="008E1725">
        <w:rPr>
          <w:lang w:val="es-ES_tradnl" w:eastAsia="es-ES"/>
        </w:rPr>
        <w:t>,</w:t>
      </w:r>
      <w:r w:rsidR="00010555">
        <w:rPr>
          <w:lang w:val="es-ES_tradnl" w:eastAsia="es-ES"/>
        </w:rPr>
        <w:t xml:space="preserve"> </w:t>
      </w:r>
      <w:r w:rsidR="00E57D48">
        <w:rPr>
          <w:lang w:val="es-ES_tradnl" w:eastAsia="es-ES"/>
        </w:rPr>
        <w:t xml:space="preserve">hacen que </w:t>
      </w:r>
      <w:r w:rsidR="00010555" w:rsidRPr="00702C30">
        <w:rPr>
          <w:lang w:val="es-ES_tradnl" w:eastAsia="es-ES"/>
        </w:rPr>
        <w:t>persist</w:t>
      </w:r>
      <w:r w:rsidR="00733C4A">
        <w:rPr>
          <w:lang w:val="es-ES_tradnl" w:eastAsia="es-ES"/>
        </w:rPr>
        <w:t>a</w:t>
      </w:r>
      <w:r w:rsidR="00010555" w:rsidRPr="00702C30">
        <w:rPr>
          <w:lang w:val="es-ES_tradnl" w:eastAsia="es-ES"/>
        </w:rPr>
        <w:t xml:space="preserve">n serias dudas </w:t>
      </w:r>
      <w:r w:rsidR="00E57D48">
        <w:rPr>
          <w:lang w:val="es-ES_tradnl" w:eastAsia="es-ES"/>
        </w:rPr>
        <w:t>sobre la</w:t>
      </w:r>
      <w:r w:rsidR="00010555" w:rsidRPr="00702C30">
        <w:rPr>
          <w:lang w:val="es-ES_tradnl" w:eastAsia="es-ES"/>
        </w:rPr>
        <w:t xml:space="preserve"> </w:t>
      </w:r>
      <w:r w:rsidR="008A03FD">
        <w:rPr>
          <w:lang w:val="es-ES_tradnl" w:eastAsia="es-ES"/>
        </w:rPr>
        <w:t xml:space="preserve">calidad de la </w:t>
      </w:r>
      <w:r w:rsidR="00010555" w:rsidRPr="00702C30">
        <w:rPr>
          <w:lang w:val="es-ES_tradnl" w:eastAsia="es-ES"/>
        </w:rPr>
        <w:t>investigación</w:t>
      </w:r>
      <w:r w:rsidR="000C4F69" w:rsidRPr="007A11D8">
        <w:rPr>
          <w:lang w:val="es-ES_tradnl" w:eastAsia="es-ES"/>
        </w:rPr>
        <w:t xml:space="preserve">. </w:t>
      </w:r>
      <w:r w:rsidR="00A55D8F">
        <w:rPr>
          <w:lang w:val="es-ES_tradnl" w:eastAsia="es-ES"/>
        </w:rPr>
        <w:t xml:space="preserve">Así, la Defensoría concluyó a la violación del derecho al debido proceso, </w:t>
      </w:r>
      <w:r w:rsidR="00A55D8F" w:rsidRPr="006D6E12">
        <w:rPr>
          <w:lang w:val="es-ES_tradnl" w:eastAsia="es-ES"/>
        </w:rPr>
        <w:t>específicamente el derecho a una investigación diligente y exhaustiva</w:t>
      </w:r>
      <w:r w:rsidR="00010555">
        <w:rPr>
          <w:lang w:val="es-ES_tradnl" w:eastAsia="es-ES"/>
        </w:rPr>
        <w:t xml:space="preserve"> </w:t>
      </w:r>
      <w:r w:rsidR="00010555" w:rsidRPr="007A11D8">
        <w:rPr>
          <w:lang w:val="es-ES_tradnl" w:eastAsia="es-ES"/>
        </w:rPr>
        <w:t>(</w:t>
      </w:r>
      <w:proofErr w:type="spellStart"/>
      <w:r w:rsidR="00010555" w:rsidRPr="007A11D8">
        <w:rPr>
          <w:lang w:val="es-ES_tradnl" w:eastAsia="es-ES"/>
        </w:rPr>
        <w:t>párr</w:t>
      </w:r>
      <w:r w:rsidR="00161453">
        <w:rPr>
          <w:lang w:val="es-ES_tradnl" w:eastAsia="es-ES"/>
        </w:rPr>
        <w:t>s</w:t>
      </w:r>
      <w:proofErr w:type="spellEnd"/>
      <w:r w:rsidR="00010555">
        <w:rPr>
          <w:lang w:val="es-ES_tradnl" w:eastAsia="es-ES"/>
        </w:rPr>
        <w:t>.</w:t>
      </w:r>
      <w:r w:rsidR="00010555" w:rsidRPr="007A11D8">
        <w:rPr>
          <w:lang w:val="es-ES_tradnl" w:eastAsia="es-ES"/>
        </w:rPr>
        <w:t xml:space="preserve"> 7.2</w:t>
      </w:r>
      <w:r w:rsidR="00010555">
        <w:rPr>
          <w:lang w:val="es-ES_tradnl" w:eastAsia="es-ES"/>
        </w:rPr>
        <w:t xml:space="preserve"> y</w:t>
      </w:r>
      <w:r w:rsidR="00963B70">
        <w:rPr>
          <w:lang w:val="es-ES_tradnl" w:eastAsia="es-ES"/>
        </w:rPr>
        <w:t> </w:t>
      </w:r>
      <w:r w:rsidR="00010555">
        <w:rPr>
          <w:lang w:val="es-ES_tradnl" w:eastAsia="es-ES"/>
        </w:rPr>
        <w:t>7.7</w:t>
      </w:r>
      <w:r w:rsidR="00010555" w:rsidRPr="007A11D8">
        <w:rPr>
          <w:lang w:val="es-ES_tradnl" w:eastAsia="es-ES"/>
        </w:rPr>
        <w:t xml:space="preserve"> </w:t>
      </w:r>
      <w:r w:rsidR="00010555" w:rsidRPr="007A11D8">
        <w:rPr>
          <w:i/>
          <w:lang w:val="es-ES_tradnl" w:eastAsia="es-ES"/>
        </w:rPr>
        <w:t>supra</w:t>
      </w:r>
      <w:r w:rsidR="00010555" w:rsidRPr="007A11D8">
        <w:rPr>
          <w:lang w:val="es-ES_tradnl" w:eastAsia="es-ES"/>
        </w:rPr>
        <w:t>)</w:t>
      </w:r>
      <w:r w:rsidR="00A55D8F">
        <w:rPr>
          <w:lang w:val="es-ES_tradnl" w:eastAsia="es-ES"/>
        </w:rPr>
        <w:t xml:space="preserve">. </w:t>
      </w:r>
      <w:r w:rsidR="00547724" w:rsidRPr="007A11D8">
        <w:rPr>
          <w:lang w:val="es-ES_tradnl" w:eastAsia="es-ES"/>
        </w:rPr>
        <w:t>Asimismo, el Comité observa que el Estado</w:t>
      </w:r>
      <w:r w:rsidR="006A23CF" w:rsidRPr="006A23CF">
        <w:rPr>
          <w:lang w:val="es-ES_tradnl" w:eastAsia="es-ES"/>
        </w:rPr>
        <w:t xml:space="preserve"> </w:t>
      </w:r>
      <w:r w:rsidR="006A23CF" w:rsidRPr="007A11D8">
        <w:rPr>
          <w:lang w:val="es-ES_tradnl" w:eastAsia="es-ES"/>
        </w:rPr>
        <w:t>parte</w:t>
      </w:r>
      <w:r w:rsidR="006A23CF">
        <w:rPr>
          <w:lang w:val="es-ES_tradnl" w:eastAsia="es-ES"/>
        </w:rPr>
        <w:t xml:space="preserve">, si bien alega ante el Comité que </w:t>
      </w:r>
      <w:r w:rsidR="006A23CF">
        <w:rPr>
          <w:color w:val="000000"/>
          <w:lang w:val="es-ES_tradnl"/>
        </w:rPr>
        <w:t>las investigaciones cumpl</w:t>
      </w:r>
      <w:r w:rsidR="00595D10">
        <w:rPr>
          <w:color w:val="000000"/>
          <w:lang w:val="es-ES_tradnl"/>
        </w:rPr>
        <w:t>iero</w:t>
      </w:r>
      <w:r w:rsidR="006A23CF">
        <w:rPr>
          <w:color w:val="000000"/>
          <w:lang w:val="es-ES_tradnl"/>
        </w:rPr>
        <w:t>n con los estándares y obligaciones establecidas por el Pacto,</w:t>
      </w:r>
      <w:r w:rsidR="00547724" w:rsidRPr="007A11D8">
        <w:rPr>
          <w:lang w:val="es-ES_tradnl" w:eastAsia="es-ES"/>
        </w:rPr>
        <w:t xml:space="preserve"> </w:t>
      </w:r>
      <w:r w:rsidR="006A23CF">
        <w:rPr>
          <w:lang w:val="es-ES_tradnl" w:eastAsia="es-ES"/>
        </w:rPr>
        <w:t xml:space="preserve">también </w:t>
      </w:r>
      <w:r w:rsidR="00547724" w:rsidRPr="007A11D8">
        <w:rPr>
          <w:lang w:val="es-ES_tradnl" w:eastAsia="es-ES"/>
        </w:rPr>
        <w:t>reconoció su responsabilidad</w:t>
      </w:r>
      <w:r w:rsidR="007A11D8" w:rsidRPr="007A11D8">
        <w:rPr>
          <w:lang w:val="es-ES_tradnl" w:eastAsia="es-ES"/>
        </w:rPr>
        <w:t xml:space="preserve"> por las deficiencias en las investigaciones </w:t>
      </w:r>
      <w:r w:rsidR="007342B3">
        <w:rPr>
          <w:lang w:val="es-ES_tradnl" w:eastAsia="es-ES"/>
        </w:rPr>
        <w:t>al haber realizado</w:t>
      </w:r>
      <w:r w:rsidR="007A11D8" w:rsidRPr="007A11D8">
        <w:rPr>
          <w:lang w:val="es-ES_tradnl" w:eastAsia="es-ES"/>
        </w:rPr>
        <w:t xml:space="preserve"> un acto público de reconocimiento de responsabilidad y de disculpa pública (párr. 8.3 </w:t>
      </w:r>
      <w:r w:rsidR="007A11D8" w:rsidRPr="007A11D8">
        <w:rPr>
          <w:i/>
          <w:lang w:val="es-ES_tradnl" w:eastAsia="es-ES"/>
        </w:rPr>
        <w:t>supra</w:t>
      </w:r>
      <w:r w:rsidR="004A2990">
        <w:rPr>
          <w:lang w:val="es-ES_tradnl" w:eastAsia="es-ES"/>
        </w:rPr>
        <w:t>).</w:t>
      </w:r>
    </w:p>
    <w:p w14:paraId="20D05348" w14:textId="1634E1C5" w:rsidR="000C4F69" w:rsidRPr="007A11D8" w:rsidRDefault="00C175C9" w:rsidP="000C4F69">
      <w:pPr>
        <w:pStyle w:val="SingleTxtG"/>
        <w:rPr>
          <w:lang w:val="es-ES_tradnl" w:eastAsia="es-ES"/>
        </w:rPr>
      </w:pPr>
      <w:r>
        <w:rPr>
          <w:lang w:val="es-ES_tradnl" w:eastAsia="es-ES"/>
        </w:rPr>
        <w:t>1</w:t>
      </w:r>
      <w:r w:rsidR="002E47A7">
        <w:rPr>
          <w:lang w:val="es-ES_tradnl" w:eastAsia="es-ES"/>
        </w:rPr>
        <w:t>2</w:t>
      </w:r>
      <w:r>
        <w:rPr>
          <w:lang w:val="es-ES_tradnl" w:eastAsia="es-ES"/>
        </w:rPr>
        <w:t>.7</w:t>
      </w:r>
      <w:r>
        <w:rPr>
          <w:lang w:val="es-ES_tradnl" w:eastAsia="es-ES"/>
        </w:rPr>
        <w:tab/>
      </w:r>
      <w:r w:rsidR="00B32AF2">
        <w:rPr>
          <w:lang w:val="es-ES_tradnl" w:eastAsia="es-ES"/>
        </w:rPr>
        <w:t xml:space="preserve">En conclusión, </w:t>
      </w:r>
      <w:r>
        <w:rPr>
          <w:lang w:val="es-ES_tradnl" w:eastAsia="es-ES"/>
        </w:rPr>
        <w:t xml:space="preserve">a la luz de lo </w:t>
      </w:r>
      <w:r w:rsidR="004859AB">
        <w:rPr>
          <w:lang w:val="es-ES_tradnl" w:eastAsia="es-ES"/>
        </w:rPr>
        <w:t>señalado</w:t>
      </w:r>
      <w:r w:rsidR="00961B69">
        <w:rPr>
          <w:rFonts w:eastAsia="Calibri"/>
          <w:color w:val="000000" w:themeColor="text1"/>
          <w:lang w:val="es-ES_tradnl"/>
        </w:rPr>
        <w:t xml:space="preserve"> en cuanto a</w:t>
      </w:r>
      <w:r w:rsidR="00D06A51">
        <w:rPr>
          <w:rFonts w:eastAsia="Calibri"/>
          <w:color w:val="000000" w:themeColor="text1"/>
          <w:lang w:val="es-ES_tradnl"/>
        </w:rPr>
        <w:t xml:space="preserve">l </w:t>
      </w:r>
      <w:r w:rsidR="00D06A51" w:rsidRPr="00351F81">
        <w:rPr>
          <w:rFonts w:eastAsia="Calibri"/>
          <w:color w:val="000000" w:themeColor="text1"/>
          <w:lang w:val="es-ES_tradnl"/>
        </w:rPr>
        <w:t xml:space="preserve">incumplimiento </w:t>
      </w:r>
      <w:r w:rsidR="00263792">
        <w:rPr>
          <w:rFonts w:eastAsia="Calibri"/>
          <w:color w:val="000000" w:themeColor="text1"/>
          <w:lang w:val="es-ES_tradnl"/>
        </w:rPr>
        <w:t xml:space="preserve">por </w:t>
      </w:r>
      <w:r w:rsidR="00D06A51">
        <w:rPr>
          <w:rFonts w:eastAsia="Calibri"/>
          <w:color w:val="000000" w:themeColor="text1"/>
          <w:lang w:val="es-ES_tradnl"/>
        </w:rPr>
        <w:t xml:space="preserve">el Estado parte </w:t>
      </w:r>
      <w:r w:rsidR="00D06A51" w:rsidRPr="00351F81">
        <w:rPr>
          <w:rFonts w:eastAsia="Calibri"/>
          <w:color w:val="000000" w:themeColor="text1"/>
          <w:lang w:val="es-ES_tradnl"/>
        </w:rPr>
        <w:t xml:space="preserve">de </w:t>
      </w:r>
      <w:r w:rsidR="00D06A51">
        <w:rPr>
          <w:rFonts w:eastAsia="Calibri"/>
          <w:color w:val="000000" w:themeColor="text1"/>
          <w:lang w:val="es-ES_tradnl"/>
        </w:rPr>
        <w:t>su</w:t>
      </w:r>
      <w:r w:rsidR="00D06A51" w:rsidRPr="00351F81">
        <w:rPr>
          <w:rFonts w:eastAsia="Calibri"/>
          <w:color w:val="000000" w:themeColor="text1"/>
          <w:lang w:val="es-ES_tradnl"/>
        </w:rPr>
        <w:t xml:space="preserve"> obligación de investigar </w:t>
      </w:r>
      <w:r w:rsidR="00C874EE">
        <w:rPr>
          <w:rFonts w:eastAsia="Calibri"/>
          <w:color w:val="000000" w:themeColor="text1"/>
          <w:lang w:val="es-ES_tradnl"/>
        </w:rPr>
        <w:t>los hechos</w:t>
      </w:r>
      <w:r w:rsidR="00C874EE" w:rsidRPr="00351F81">
        <w:rPr>
          <w:rFonts w:eastAsia="Calibri"/>
          <w:color w:val="000000" w:themeColor="text1"/>
          <w:lang w:val="es-ES_tradnl"/>
        </w:rPr>
        <w:t xml:space="preserve"> </w:t>
      </w:r>
      <w:r w:rsidR="00D06A51" w:rsidRPr="00351F81">
        <w:rPr>
          <w:rFonts w:eastAsia="Calibri"/>
          <w:color w:val="000000" w:themeColor="text1"/>
          <w:lang w:val="es-ES_tradnl"/>
        </w:rPr>
        <w:t>de manera efectiva</w:t>
      </w:r>
      <w:r w:rsidR="00D06A51">
        <w:rPr>
          <w:rFonts w:eastAsia="Calibri"/>
          <w:color w:val="000000" w:themeColor="text1"/>
          <w:lang w:val="es-ES_tradnl"/>
        </w:rPr>
        <w:t>,</w:t>
      </w:r>
      <w:r w:rsidR="00D06A51">
        <w:rPr>
          <w:lang w:val="es-ES_tradnl" w:eastAsia="es-ES"/>
        </w:rPr>
        <w:t xml:space="preserve"> </w:t>
      </w:r>
      <w:r w:rsidR="008B04A0">
        <w:rPr>
          <w:lang w:val="es-ES_tradnl" w:eastAsia="es-ES"/>
        </w:rPr>
        <w:t>en</w:t>
      </w:r>
      <w:r w:rsidR="00EE0DB5">
        <w:rPr>
          <w:lang w:val="es-ES_tradnl" w:eastAsia="es-ES"/>
        </w:rPr>
        <w:t xml:space="preserve"> un contexto de vulnerabilidad</w:t>
      </w:r>
      <w:r w:rsidR="00EE0DB5" w:rsidRPr="00B11C66">
        <w:rPr>
          <w:lang w:val="es-ES_tradnl" w:eastAsia="es-ES"/>
        </w:rPr>
        <w:t xml:space="preserve"> </w:t>
      </w:r>
      <w:r w:rsidR="00263792">
        <w:rPr>
          <w:lang w:val="es-ES_tradnl" w:eastAsia="es-ES"/>
        </w:rPr>
        <w:t xml:space="preserve">en el cual </w:t>
      </w:r>
      <w:r w:rsidR="00263792" w:rsidRPr="00B11C66">
        <w:rPr>
          <w:lang w:val="es-ES_tradnl" w:eastAsia="es-ES"/>
        </w:rPr>
        <w:t xml:space="preserve">es razonable presumir que </w:t>
      </w:r>
      <w:r w:rsidR="00263792">
        <w:rPr>
          <w:lang w:val="es-ES_tradnl" w:eastAsia="es-ES"/>
        </w:rPr>
        <w:t>el</w:t>
      </w:r>
      <w:r w:rsidR="00263792" w:rsidRPr="00B11C66">
        <w:rPr>
          <w:lang w:val="es-ES_tradnl" w:eastAsia="es-ES"/>
        </w:rPr>
        <w:t xml:space="preserve"> derecho a la vida </w:t>
      </w:r>
      <w:r w:rsidR="00263792">
        <w:rPr>
          <w:lang w:val="es-ES_tradnl" w:eastAsia="es-ES"/>
        </w:rPr>
        <w:t>de</w:t>
      </w:r>
      <w:r w:rsidR="00FF5B23">
        <w:rPr>
          <w:lang w:val="es-ES_tradnl" w:eastAsia="es-ES"/>
        </w:rPr>
        <w:t>l Sr.</w:t>
      </w:r>
      <w:r w:rsidR="00263792" w:rsidRPr="00B47D82">
        <w:rPr>
          <w:lang w:val="es-ES"/>
        </w:rPr>
        <w:t xml:space="preserve"> </w:t>
      </w:r>
      <w:r w:rsidR="00263792" w:rsidRPr="00B11C66">
        <w:rPr>
          <w:lang w:val="es-ES_tradnl" w:eastAsia="es-ES"/>
        </w:rPr>
        <w:t>Moreno Pérez</w:t>
      </w:r>
      <w:r w:rsidR="00263792">
        <w:rPr>
          <w:lang w:val="es-ES_tradnl" w:eastAsia="es-ES"/>
        </w:rPr>
        <w:t xml:space="preserve"> </w:t>
      </w:r>
      <w:r w:rsidR="00B11C66" w:rsidRPr="00B11C66">
        <w:rPr>
          <w:lang w:val="es-ES_tradnl" w:eastAsia="es-ES"/>
        </w:rPr>
        <w:t>fue violado</w:t>
      </w:r>
      <w:r w:rsidR="00650B48">
        <w:rPr>
          <w:lang w:val="es-ES_tradnl" w:eastAsia="es-ES"/>
        </w:rPr>
        <w:t xml:space="preserve">, </w:t>
      </w:r>
      <w:r w:rsidR="00B32AF2">
        <w:rPr>
          <w:lang w:val="es-ES_tradnl" w:eastAsia="es-ES"/>
        </w:rPr>
        <w:t xml:space="preserve">el Comité declara la violación </w:t>
      </w:r>
      <w:r w:rsidR="00E20908" w:rsidRPr="00BA3AAA">
        <w:rPr>
          <w:color w:val="000000" w:themeColor="text1"/>
          <w:lang w:val="es-ES_tradnl" w:eastAsia="es-ES"/>
        </w:rPr>
        <w:t xml:space="preserve">del </w:t>
      </w:r>
      <w:r w:rsidR="00E20908" w:rsidRPr="00BA3AAA">
        <w:rPr>
          <w:rFonts w:eastAsia="Calibri"/>
          <w:color w:val="000000" w:themeColor="text1"/>
          <w:lang w:val="es-ES_tradnl"/>
        </w:rPr>
        <w:t xml:space="preserve">artículo 6, párrafo 1, del Pacto, leído </w:t>
      </w:r>
      <w:r w:rsidR="00E20908">
        <w:rPr>
          <w:rFonts w:eastAsia="Calibri"/>
          <w:color w:val="000000" w:themeColor="text1"/>
          <w:lang w:val="es-ES_tradnl"/>
        </w:rPr>
        <w:t xml:space="preserve">solo y </w:t>
      </w:r>
      <w:proofErr w:type="gramStart"/>
      <w:r w:rsidR="00E20908" w:rsidRPr="00BA3AAA">
        <w:rPr>
          <w:rFonts w:eastAsia="Calibri"/>
          <w:color w:val="000000" w:themeColor="text1"/>
          <w:lang w:val="es-ES_tradnl"/>
        </w:rPr>
        <w:t>conjuntamente con</w:t>
      </w:r>
      <w:proofErr w:type="gramEnd"/>
      <w:r w:rsidR="00E20908" w:rsidRPr="00BA3AAA">
        <w:rPr>
          <w:rFonts w:eastAsia="Calibri"/>
          <w:color w:val="000000" w:themeColor="text1"/>
          <w:lang w:val="es-ES_tradnl"/>
        </w:rPr>
        <w:t xml:space="preserve"> el artículo 2, </w:t>
      </w:r>
      <w:r w:rsidR="00E20908" w:rsidRPr="00351F81">
        <w:rPr>
          <w:rFonts w:eastAsia="Calibri"/>
          <w:color w:val="000000" w:themeColor="text1"/>
          <w:lang w:val="es-ES_tradnl"/>
        </w:rPr>
        <w:t>párrafo 3</w:t>
      </w:r>
      <w:r w:rsidR="00351F81">
        <w:rPr>
          <w:rFonts w:eastAsia="Calibri"/>
          <w:color w:val="000000" w:themeColor="text1"/>
          <w:lang w:val="es-ES_tradnl"/>
        </w:rPr>
        <w:t>.</w:t>
      </w:r>
    </w:p>
    <w:p w14:paraId="76D321DF" w14:textId="295D88D0" w:rsidR="004E08C3" w:rsidRPr="00FB1BF2" w:rsidRDefault="005F48FF" w:rsidP="006F01EF">
      <w:pPr>
        <w:pStyle w:val="SingleTxtG"/>
        <w:rPr>
          <w:lang w:val="es-ES" w:eastAsia="es-ES"/>
        </w:rPr>
      </w:pPr>
      <w:r w:rsidRPr="00FB1BF2">
        <w:rPr>
          <w:lang w:val="es-ES" w:eastAsia="es-ES"/>
        </w:rPr>
        <w:t>1</w:t>
      </w:r>
      <w:r w:rsidR="002E47A7">
        <w:rPr>
          <w:lang w:val="es-ES" w:eastAsia="es-ES"/>
        </w:rPr>
        <w:t>2</w:t>
      </w:r>
      <w:r w:rsidRPr="00FB1BF2">
        <w:rPr>
          <w:lang w:val="es-ES" w:eastAsia="es-ES"/>
        </w:rPr>
        <w:t>.8</w:t>
      </w:r>
      <w:r w:rsidR="0061596A" w:rsidRPr="00FB1BF2">
        <w:rPr>
          <w:lang w:val="es-ES" w:eastAsia="es-ES"/>
        </w:rPr>
        <w:tab/>
      </w:r>
      <w:r w:rsidR="00504C0C" w:rsidRPr="00FB1BF2">
        <w:rPr>
          <w:lang w:val="es-ES" w:eastAsia="es-ES"/>
        </w:rPr>
        <w:t>E</w:t>
      </w:r>
      <w:r w:rsidR="0061596A" w:rsidRPr="00FB1BF2">
        <w:rPr>
          <w:lang w:val="es-ES" w:eastAsia="es-ES"/>
        </w:rPr>
        <w:t xml:space="preserve">l Comité toma nota </w:t>
      </w:r>
      <w:r w:rsidR="00504C0C" w:rsidRPr="00FB1BF2">
        <w:rPr>
          <w:lang w:val="es-ES" w:eastAsia="es-ES"/>
        </w:rPr>
        <w:t xml:space="preserve">también </w:t>
      </w:r>
      <w:r w:rsidR="0061596A" w:rsidRPr="00FB1BF2">
        <w:rPr>
          <w:lang w:val="es-ES" w:eastAsia="es-ES"/>
        </w:rPr>
        <w:t xml:space="preserve">de que los autores alegan que los hechos constituyen </w:t>
      </w:r>
      <w:r w:rsidR="008B039D" w:rsidRPr="00FB1BF2">
        <w:rPr>
          <w:lang w:val="es-ES" w:eastAsia="es-ES"/>
        </w:rPr>
        <w:t>un trato contrario</w:t>
      </w:r>
      <w:r w:rsidR="0061596A" w:rsidRPr="00FB1BF2">
        <w:rPr>
          <w:lang w:val="es-ES" w:eastAsia="es-ES"/>
        </w:rPr>
        <w:t xml:space="preserve"> </w:t>
      </w:r>
      <w:r w:rsidR="008B039D" w:rsidRPr="00FB1BF2">
        <w:rPr>
          <w:lang w:val="es-ES" w:eastAsia="es-ES"/>
        </w:rPr>
        <w:t>a</w:t>
      </w:r>
      <w:r w:rsidR="00484C91">
        <w:rPr>
          <w:lang w:val="es-ES" w:eastAsia="es-ES"/>
        </w:rPr>
        <w:t xml:space="preserve"> </w:t>
      </w:r>
      <w:r w:rsidR="008B039D" w:rsidRPr="00FB1BF2">
        <w:rPr>
          <w:lang w:val="es-ES" w:eastAsia="es-ES"/>
        </w:rPr>
        <w:t>l</w:t>
      </w:r>
      <w:r w:rsidR="00484C91">
        <w:rPr>
          <w:lang w:val="es-ES" w:eastAsia="es-ES"/>
        </w:rPr>
        <w:t>os</w:t>
      </w:r>
      <w:r w:rsidR="0061596A" w:rsidRPr="00FB1BF2">
        <w:rPr>
          <w:lang w:val="es-ES" w:eastAsia="es-ES"/>
        </w:rPr>
        <w:t xml:space="preserve"> artículo</w:t>
      </w:r>
      <w:r w:rsidR="00484C91">
        <w:rPr>
          <w:lang w:val="es-ES" w:eastAsia="es-ES"/>
        </w:rPr>
        <w:t>s</w:t>
      </w:r>
      <w:r w:rsidR="0061596A" w:rsidRPr="00FB1BF2">
        <w:rPr>
          <w:lang w:val="es-ES" w:eastAsia="es-ES"/>
        </w:rPr>
        <w:t xml:space="preserve"> 7</w:t>
      </w:r>
      <w:r w:rsidR="00484C91">
        <w:rPr>
          <w:lang w:val="es-ES" w:eastAsia="es-ES"/>
        </w:rPr>
        <w:t>, 9 y 16</w:t>
      </w:r>
      <w:r w:rsidR="0061596A" w:rsidRPr="00FB1BF2">
        <w:rPr>
          <w:lang w:val="es-ES" w:eastAsia="es-ES"/>
        </w:rPr>
        <w:t xml:space="preserve"> del Pacto</w:t>
      </w:r>
      <w:r w:rsidR="002206FB" w:rsidRPr="002206FB">
        <w:rPr>
          <w:rFonts w:eastAsia="Calibri"/>
          <w:lang w:val="es-ES_tradnl"/>
        </w:rPr>
        <w:t xml:space="preserve"> </w:t>
      </w:r>
      <w:r w:rsidR="002206FB" w:rsidRPr="00215169">
        <w:rPr>
          <w:rFonts w:eastAsia="Calibri"/>
          <w:lang w:val="es-ES_tradnl"/>
        </w:rPr>
        <w:t>leído</w:t>
      </w:r>
      <w:r w:rsidR="00743B84">
        <w:rPr>
          <w:rFonts w:eastAsia="Calibri"/>
          <w:lang w:val="es-ES_tradnl"/>
        </w:rPr>
        <w:t>s</w:t>
      </w:r>
      <w:r w:rsidR="002206FB" w:rsidRPr="00215169">
        <w:rPr>
          <w:rFonts w:eastAsia="Calibri"/>
          <w:lang w:val="es-ES_tradnl"/>
        </w:rPr>
        <w:t xml:space="preserve"> </w:t>
      </w:r>
      <w:r w:rsidR="0033310B">
        <w:rPr>
          <w:rFonts w:eastAsia="Calibri"/>
          <w:lang w:val="es-ES_tradnl"/>
        </w:rPr>
        <w:t>solo</w:t>
      </w:r>
      <w:r w:rsidR="00743B84">
        <w:rPr>
          <w:rFonts w:eastAsia="Calibri"/>
          <w:lang w:val="es-ES_tradnl"/>
        </w:rPr>
        <w:t>s</w:t>
      </w:r>
      <w:r w:rsidR="0033310B">
        <w:rPr>
          <w:rFonts w:eastAsia="Calibri"/>
          <w:lang w:val="es-ES_tradnl"/>
        </w:rPr>
        <w:t xml:space="preserve"> y </w:t>
      </w:r>
      <w:proofErr w:type="gramStart"/>
      <w:r w:rsidR="002206FB" w:rsidRPr="00215169">
        <w:rPr>
          <w:rFonts w:eastAsia="Calibri"/>
          <w:lang w:val="es-ES_tradnl"/>
        </w:rPr>
        <w:t>conjuntamente con</w:t>
      </w:r>
      <w:proofErr w:type="gramEnd"/>
      <w:r w:rsidR="002206FB" w:rsidRPr="00215169">
        <w:rPr>
          <w:rFonts w:eastAsia="Calibri"/>
          <w:lang w:val="es-ES_tradnl"/>
        </w:rPr>
        <w:t xml:space="preserve"> el artículo 2, párrafo 3</w:t>
      </w:r>
      <w:r w:rsidR="002206FB">
        <w:rPr>
          <w:lang w:val="es-ES" w:eastAsia="es-ES"/>
        </w:rPr>
        <w:t xml:space="preserve">, </w:t>
      </w:r>
      <w:r w:rsidR="002206FB" w:rsidRPr="00215169">
        <w:rPr>
          <w:rFonts w:eastAsia="Calibri"/>
          <w:lang w:val="es-ES_tradnl"/>
        </w:rPr>
        <w:t xml:space="preserve">en relación con </w:t>
      </w:r>
      <w:r w:rsidR="00FF5B23">
        <w:rPr>
          <w:rFonts w:eastAsia="Calibri"/>
          <w:lang w:val="es-ES_tradnl"/>
        </w:rPr>
        <w:t xml:space="preserve">el Sr. </w:t>
      </w:r>
      <w:r w:rsidR="002206FB" w:rsidRPr="00215169">
        <w:rPr>
          <w:rFonts w:eastAsia="Calibri"/>
          <w:lang w:val="es-ES_tradnl"/>
        </w:rPr>
        <w:t>Moreno Pérez</w:t>
      </w:r>
      <w:r w:rsidR="005E6279">
        <w:rPr>
          <w:rFonts w:eastAsia="Calibri"/>
          <w:lang w:val="es-ES_tradnl"/>
        </w:rPr>
        <w:t>. Al respecto, los autores sostienen</w:t>
      </w:r>
      <w:r w:rsidR="002206FB" w:rsidRPr="00215169">
        <w:rPr>
          <w:rFonts w:eastAsia="Calibri"/>
          <w:lang w:val="es-ES_tradnl"/>
        </w:rPr>
        <w:t xml:space="preserve"> </w:t>
      </w:r>
      <w:r w:rsidR="002206FB">
        <w:rPr>
          <w:rFonts w:eastAsia="Calibri"/>
          <w:lang w:val="es-ES_tradnl"/>
        </w:rPr>
        <w:t xml:space="preserve">que </w:t>
      </w:r>
      <w:r w:rsidR="00607334">
        <w:rPr>
          <w:rFonts w:eastAsia="Calibri"/>
          <w:lang w:val="es-ES_tradnl"/>
        </w:rPr>
        <w:t>l</w:t>
      </w:r>
      <w:r w:rsidR="00607334" w:rsidRPr="00B53B9F">
        <w:rPr>
          <w:rFonts w:eastAsia="Calibri"/>
          <w:lang w:val="es-ES_tradnl"/>
        </w:rPr>
        <w:t>a omisión inicial deliberada de</w:t>
      </w:r>
      <w:r w:rsidR="00607334">
        <w:rPr>
          <w:rFonts w:eastAsia="Calibri"/>
          <w:lang w:val="es-ES_tradnl"/>
        </w:rPr>
        <w:t xml:space="preserve"> las autoridades de</w:t>
      </w:r>
      <w:r w:rsidR="00607334" w:rsidRPr="00B53B9F">
        <w:rPr>
          <w:rFonts w:eastAsia="Calibri"/>
          <w:lang w:val="es-ES_tradnl"/>
        </w:rPr>
        <w:t xml:space="preserve"> buscarlo</w:t>
      </w:r>
      <w:r w:rsidR="00607334">
        <w:rPr>
          <w:rFonts w:eastAsia="Calibri"/>
          <w:lang w:val="es-ES_tradnl"/>
        </w:rPr>
        <w:t>, así como</w:t>
      </w:r>
      <w:r w:rsidR="00607334" w:rsidRPr="00B53B9F">
        <w:rPr>
          <w:rFonts w:eastAsia="Calibri"/>
          <w:lang w:val="es-ES_tradnl"/>
        </w:rPr>
        <w:t xml:space="preserve"> la obstrucción posterior de su búsqueda, permiten razonablemente considerar que el </w:t>
      </w:r>
      <w:r w:rsidR="00607334">
        <w:rPr>
          <w:rFonts w:eastAsia="Calibri"/>
          <w:lang w:val="es-ES_tradnl"/>
        </w:rPr>
        <w:t>Sr.</w:t>
      </w:r>
      <w:r w:rsidR="00607334" w:rsidRPr="00B53B9F">
        <w:rPr>
          <w:rFonts w:eastAsia="Calibri"/>
          <w:lang w:val="es-ES_tradnl"/>
        </w:rPr>
        <w:t xml:space="preserve"> Moreno Pérez fue privado de su libertad en contra de su voluntad</w:t>
      </w:r>
      <w:r w:rsidR="00607334">
        <w:rPr>
          <w:rFonts w:eastAsia="Calibri"/>
          <w:lang w:val="es-ES_tradnl"/>
        </w:rPr>
        <w:t xml:space="preserve">; que </w:t>
      </w:r>
      <w:r w:rsidR="002206FB" w:rsidRPr="002A0277">
        <w:rPr>
          <w:rFonts w:eastAsia="Calibri"/>
          <w:lang w:val="es-ES_tradnl"/>
        </w:rPr>
        <w:t>es razonable presumir que</w:t>
      </w:r>
      <w:r w:rsidR="002206FB">
        <w:rPr>
          <w:rFonts w:eastAsia="Calibri"/>
          <w:lang w:val="es-ES_tradnl"/>
        </w:rPr>
        <w:t>,</w:t>
      </w:r>
      <w:r w:rsidR="002206FB" w:rsidRPr="002A0277">
        <w:rPr>
          <w:rFonts w:eastAsia="Calibri"/>
          <w:lang w:val="es-ES_tradnl"/>
        </w:rPr>
        <w:t xml:space="preserve"> durante su privación de libertad</w:t>
      </w:r>
      <w:r w:rsidR="002206FB">
        <w:rPr>
          <w:rFonts w:eastAsia="Calibri"/>
          <w:lang w:val="es-ES_tradnl"/>
        </w:rPr>
        <w:t>,</w:t>
      </w:r>
      <w:r w:rsidR="002206FB" w:rsidRPr="002A0277">
        <w:rPr>
          <w:rFonts w:eastAsia="Calibri"/>
          <w:lang w:val="es-ES_tradnl"/>
        </w:rPr>
        <w:t xml:space="preserve"> permaneció con sentimientos de angustia e indefensión que le produjeron un intenso sufrimiento</w:t>
      </w:r>
      <w:r w:rsidR="00607334">
        <w:rPr>
          <w:rFonts w:eastAsia="Calibri"/>
          <w:lang w:val="es-ES_tradnl"/>
        </w:rPr>
        <w:t>; y que, en estas circunstancias, fue privado de la protección de la ley</w:t>
      </w:r>
      <w:r w:rsidR="002206FB" w:rsidRPr="002A0277">
        <w:rPr>
          <w:rFonts w:eastAsia="Calibri"/>
          <w:lang w:val="es-ES_tradnl"/>
        </w:rPr>
        <w:t>.</w:t>
      </w:r>
      <w:r w:rsidR="002206FB">
        <w:rPr>
          <w:rFonts w:eastAsia="Calibri"/>
          <w:lang w:val="es-ES_tradnl"/>
        </w:rPr>
        <w:t xml:space="preserve"> </w:t>
      </w:r>
      <w:r w:rsidR="00082E07">
        <w:rPr>
          <w:rFonts w:eastAsia="Calibri"/>
          <w:lang w:val="es-ES_tradnl"/>
        </w:rPr>
        <w:t>Sin embargo</w:t>
      </w:r>
      <w:r w:rsidR="002206FB">
        <w:rPr>
          <w:rFonts w:eastAsia="Calibri"/>
          <w:lang w:val="es-ES_tradnl"/>
        </w:rPr>
        <w:t xml:space="preserve">, </w:t>
      </w:r>
      <w:r w:rsidR="00ED3CC0">
        <w:rPr>
          <w:rFonts w:eastAsia="Calibri"/>
          <w:lang w:val="es-ES_tradnl"/>
        </w:rPr>
        <w:t xml:space="preserve">en ausencia de </w:t>
      </w:r>
      <w:r w:rsidR="00484C91">
        <w:rPr>
          <w:rFonts w:eastAsia="Calibri"/>
          <w:lang w:val="es-ES_tradnl"/>
        </w:rPr>
        <w:t>información</w:t>
      </w:r>
      <w:r w:rsidR="00607334">
        <w:rPr>
          <w:rFonts w:eastAsia="Calibri"/>
          <w:lang w:val="es-ES_tradnl"/>
        </w:rPr>
        <w:t xml:space="preserve"> clara</w:t>
      </w:r>
      <w:r w:rsidR="00484C91">
        <w:rPr>
          <w:rFonts w:eastAsia="Calibri"/>
          <w:lang w:val="es-ES_tradnl"/>
        </w:rPr>
        <w:t xml:space="preserve"> sobre la suerte y el paradero del </w:t>
      </w:r>
      <w:r w:rsidR="00EE6BD4">
        <w:rPr>
          <w:rFonts w:eastAsia="Calibri"/>
          <w:lang w:val="es-ES_tradnl"/>
        </w:rPr>
        <w:t>Sr.</w:t>
      </w:r>
      <w:r w:rsidR="00484C91">
        <w:rPr>
          <w:rFonts w:eastAsia="Calibri"/>
          <w:lang w:val="es-ES_tradnl"/>
        </w:rPr>
        <w:t xml:space="preserve"> Moreno Pérez</w:t>
      </w:r>
      <w:r w:rsidR="002206FB">
        <w:rPr>
          <w:rFonts w:eastAsia="Calibri"/>
          <w:lang w:val="es-ES_tradnl"/>
        </w:rPr>
        <w:t xml:space="preserve">, </w:t>
      </w:r>
      <w:r w:rsidR="00484C91">
        <w:rPr>
          <w:rFonts w:eastAsia="Calibri"/>
          <w:lang w:val="es-ES_tradnl"/>
        </w:rPr>
        <w:t>el Comité considera que</w:t>
      </w:r>
      <w:r w:rsidR="00480B49">
        <w:rPr>
          <w:rFonts w:eastAsia="Calibri"/>
          <w:lang w:val="es-ES_tradnl"/>
        </w:rPr>
        <w:t>,</w:t>
      </w:r>
      <w:r w:rsidR="00484C91">
        <w:rPr>
          <w:rFonts w:eastAsia="Calibri"/>
          <w:lang w:val="es-ES_tradnl"/>
        </w:rPr>
        <w:t xml:space="preserve"> </w:t>
      </w:r>
      <w:r w:rsidR="00480B49" w:rsidRPr="00480B49">
        <w:rPr>
          <w:rFonts w:eastAsia="Calibri"/>
          <w:lang w:val="es-ES_tradnl"/>
        </w:rPr>
        <w:t>al no haberse podido probar que los hechos del presente caso</w:t>
      </w:r>
      <w:r w:rsidR="00480B49">
        <w:rPr>
          <w:rFonts w:eastAsia="Calibri"/>
          <w:lang w:val="es-ES_tradnl"/>
        </w:rPr>
        <w:t xml:space="preserve"> </w:t>
      </w:r>
      <w:r w:rsidR="00480B49" w:rsidRPr="00480B49">
        <w:rPr>
          <w:rFonts w:eastAsia="Calibri"/>
          <w:lang w:val="es-ES_tradnl"/>
        </w:rPr>
        <w:t>implicaron una privación de libertad previa a la privación de la vida</w:t>
      </w:r>
      <w:r w:rsidR="00480B49">
        <w:rPr>
          <w:rFonts w:eastAsia="Calibri"/>
          <w:lang w:val="es-ES_tradnl"/>
        </w:rPr>
        <w:t xml:space="preserve">, </w:t>
      </w:r>
      <w:r w:rsidR="002206FB">
        <w:rPr>
          <w:rFonts w:eastAsia="Calibri"/>
          <w:lang w:val="es-ES_tradnl"/>
        </w:rPr>
        <w:t xml:space="preserve">no </w:t>
      </w:r>
      <w:r w:rsidR="00BA6DA0">
        <w:rPr>
          <w:rFonts w:eastAsia="Calibri"/>
          <w:lang w:val="es-ES_tradnl"/>
        </w:rPr>
        <w:t>tiene los elementos suficientes para</w:t>
      </w:r>
      <w:r w:rsidR="00EF315D">
        <w:rPr>
          <w:rFonts w:eastAsia="Calibri"/>
          <w:lang w:val="es-ES_tradnl"/>
        </w:rPr>
        <w:t xml:space="preserve"> </w:t>
      </w:r>
      <w:r w:rsidR="00484C91">
        <w:rPr>
          <w:rFonts w:eastAsia="Calibri"/>
          <w:lang w:val="es-ES_tradnl"/>
        </w:rPr>
        <w:t>encontrar una</w:t>
      </w:r>
      <w:r w:rsidR="002206FB">
        <w:rPr>
          <w:rFonts w:eastAsia="Calibri"/>
          <w:lang w:val="es-ES_tradnl"/>
        </w:rPr>
        <w:t xml:space="preserve"> violación de</w:t>
      </w:r>
      <w:r w:rsidR="00484C91">
        <w:rPr>
          <w:rFonts w:eastAsia="Calibri"/>
          <w:lang w:val="es-ES_tradnl"/>
        </w:rPr>
        <w:t xml:space="preserve"> </w:t>
      </w:r>
      <w:r w:rsidR="002206FB">
        <w:rPr>
          <w:rFonts w:eastAsia="Calibri"/>
          <w:lang w:val="es-ES_tradnl"/>
        </w:rPr>
        <w:t>l</w:t>
      </w:r>
      <w:r w:rsidR="00484C91">
        <w:rPr>
          <w:rFonts w:eastAsia="Calibri"/>
          <w:lang w:val="es-ES_tradnl"/>
        </w:rPr>
        <w:t>os</w:t>
      </w:r>
      <w:r w:rsidR="002206FB">
        <w:rPr>
          <w:rFonts w:eastAsia="Calibri"/>
          <w:lang w:val="es-ES_tradnl"/>
        </w:rPr>
        <w:t xml:space="preserve"> artículo</w:t>
      </w:r>
      <w:r w:rsidR="00484C91">
        <w:rPr>
          <w:rFonts w:eastAsia="Calibri"/>
          <w:lang w:val="es-ES_tradnl"/>
        </w:rPr>
        <w:t>s</w:t>
      </w:r>
      <w:r w:rsidR="002206FB">
        <w:rPr>
          <w:rFonts w:eastAsia="Calibri"/>
          <w:lang w:val="es-ES_tradnl"/>
        </w:rPr>
        <w:t xml:space="preserve"> 7</w:t>
      </w:r>
      <w:r w:rsidR="00CB633D">
        <w:rPr>
          <w:rFonts w:eastAsia="Calibri"/>
          <w:lang w:val="es-ES_tradnl"/>
        </w:rPr>
        <w:t xml:space="preserve">, </w:t>
      </w:r>
      <w:r w:rsidR="00BE5D29">
        <w:rPr>
          <w:lang w:val="es-ES" w:eastAsia="es-ES"/>
        </w:rPr>
        <w:t>9 y 16</w:t>
      </w:r>
      <w:r w:rsidR="00570D59" w:rsidRPr="00531919">
        <w:rPr>
          <w:lang w:val="es-ES"/>
        </w:rPr>
        <w:t xml:space="preserve"> </w:t>
      </w:r>
      <w:proofErr w:type="gramStart"/>
      <w:r w:rsidR="00570D59" w:rsidRPr="00570D59">
        <w:rPr>
          <w:lang w:val="es-ES" w:eastAsia="es-ES"/>
        </w:rPr>
        <w:t>en relación al</w:t>
      </w:r>
      <w:proofErr w:type="gramEnd"/>
      <w:r w:rsidR="00570D59" w:rsidRPr="00570D59">
        <w:rPr>
          <w:lang w:val="es-ES" w:eastAsia="es-ES"/>
        </w:rPr>
        <w:t xml:space="preserve"> Sr. Moreno Pérez</w:t>
      </w:r>
      <w:r w:rsidR="00812240">
        <w:rPr>
          <w:lang w:val="es-ES" w:eastAsia="es-ES"/>
        </w:rPr>
        <w:t>.</w:t>
      </w:r>
    </w:p>
    <w:p w14:paraId="652CA5D2" w14:textId="043929D1" w:rsidR="001F11D7" w:rsidRPr="00B61ACC" w:rsidRDefault="004D0EE8" w:rsidP="0017629E">
      <w:pPr>
        <w:pStyle w:val="SingleTxtG"/>
        <w:rPr>
          <w:lang w:val="es-ES_tradnl"/>
        </w:rPr>
      </w:pPr>
      <w:r w:rsidRPr="00B61ACC">
        <w:rPr>
          <w:lang w:val="es-ES" w:eastAsia="es-ES"/>
        </w:rPr>
        <w:t>1</w:t>
      </w:r>
      <w:r w:rsidR="002E47A7">
        <w:rPr>
          <w:lang w:val="es-ES" w:eastAsia="es-ES"/>
        </w:rPr>
        <w:t>2</w:t>
      </w:r>
      <w:r w:rsidR="0061596A" w:rsidRPr="00B61ACC">
        <w:rPr>
          <w:lang w:val="es-ES" w:eastAsia="es-ES"/>
        </w:rPr>
        <w:t>.</w:t>
      </w:r>
      <w:r w:rsidRPr="00B61ACC">
        <w:rPr>
          <w:lang w:val="es-ES" w:eastAsia="es-ES"/>
        </w:rPr>
        <w:t>9</w:t>
      </w:r>
      <w:r w:rsidR="0061596A" w:rsidRPr="00B61ACC">
        <w:rPr>
          <w:lang w:val="es-ES" w:eastAsia="es-ES"/>
        </w:rPr>
        <w:tab/>
      </w:r>
      <w:r w:rsidR="000275A8">
        <w:rPr>
          <w:rFonts w:eastAsia="Calibri"/>
          <w:lang w:val="es-ES_tradnl"/>
        </w:rPr>
        <w:t xml:space="preserve">El Comité toma nota también de que los autores alegan, en su propio perjuicio, la violación del </w:t>
      </w:r>
      <w:r w:rsidR="000275A8" w:rsidRPr="00A65BBA">
        <w:rPr>
          <w:rFonts w:eastAsia="Calibri"/>
          <w:lang w:val="es-ES_tradnl"/>
        </w:rPr>
        <w:t xml:space="preserve">artículo 7 </w:t>
      </w:r>
      <w:r w:rsidR="000275A8">
        <w:rPr>
          <w:rFonts w:eastAsia="Calibri"/>
          <w:lang w:val="es-ES_tradnl"/>
        </w:rPr>
        <w:t xml:space="preserve">del Pacto </w:t>
      </w:r>
      <w:r w:rsidR="000275A8" w:rsidRPr="00A65BBA">
        <w:rPr>
          <w:rFonts w:eastAsia="Calibri"/>
          <w:lang w:val="es-ES_tradnl"/>
        </w:rPr>
        <w:t xml:space="preserve">leído </w:t>
      </w:r>
      <w:r w:rsidR="000275A8">
        <w:rPr>
          <w:rFonts w:eastAsia="Calibri"/>
          <w:lang w:val="es-ES_tradnl"/>
        </w:rPr>
        <w:t xml:space="preserve">solo y </w:t>
      </w:r>
      <w:r w:rsidR="000275A8" w:rsidRPr="00A65BBA">
        <w:rPr>
          <w:rFonts w:eastAsia="Calibri"/>
          <w:lang w:val="es-ES_tradnl"/>
        </w:rPr>
        <w:t>conjuntamente con el artículo 2, párrafo 3</w:t>
      </w:r>
      <w:r w:rsidR="000275A8">
        <w:rPr>
          <w:rFonts w:eastAsia="Calibri"/>
          <w:lang w:val="es-ES_tradnl"/>
        </w:rPr>
        <w:t xml:space="preserve">, debido a que </w:t>
      </w:r>
      <w:r w:rsidR="00B23A32">
        <w:rPr>
          <w:rFonts w:eastAsia="Calibri"/>
          <w:lang w:val="es-ES_tradnl"/>
        </w:rPr>
        <w:t xml:space="preserve">las </w:t>
      </w:r>
      <w:r w:rsidR="00B23A32">
        <w:rPr>
          <w:lang w:val="es-ES" w:eastAsia="es-ES"/>
        </w:rPr>
        <w:t xml:space="preserve">serias falencias y obstrucciones en la investigación de la desaparición, así como </w:t>
      </w:r>
      <w:r w:rsidR="00607334">
        <w:rPr>
          <w:rFonts w:eastAsia="Calibri"/>
          <w:lang w:val="es-ES_tradnl"/>
        </w:rPr>
        <w:t>el cierre</w:t>
      </w:r>
      <w:r w:rsidR="00B23A32">
        <w:rPr>
          <w:rFonts w:eastAsia="Calibri"/>
          <w:lang w:val="es-ES_tradnl"/>
        </w:rPr>
        <w:t xml:space="preserve"> prematuro</w:t>
      </w:r>
      <w:r w:rsidR="00B23A32" w:rsidRPr="00B23A32">
        <w:rPr>
          <w:rFonts w:eastAsia="Calibri"/>
          <w:lang w:val="es-ES_tradnl"/>
        </w:rPr>
        <w:t xml:space="preserve"> </w:t>
      </w:r>
      <w:r w:rsidR="00607334">
        <w:rPr>
          <w:rFonts w:eastAsia="Calibri"/>
          <w:lang w:val="es-ES_tradnl"/>
        </w:rPr>
        <w:t>del caso por</w:t>
      </w:r>
      <w:r w:rsidR="000275A8" w:rsidRPr="00FA3706">
        <w:rPr>
          <w:rFonts w:eastAsia="Calibri"/>
          <w:lang w:val="es-ES_tradnl"/>
        </w:rPr>
        <w:t xml:space="preserve"> las autoridades</w:t>
      </w:r>
      <w:r w:rsidR="00B23A32">
        <w:rPr>
          <w:rFonts w:eastAsia="Calibri"/>
          <w:lang w:val="es-ES_tradnl"/>
        </w:rPr>
        <w:t xml:space="preserve"> encargadas del mismo,</w:t>
      </w:r>
      <w:r w:rsidR="000275A8" w:rsidRPr="00FA3706">
        <w:rPr>
          <w:rFonts w:eastAsia="Calibri"/>
          <w:lang w:val="es-ES_tradnl"/>
        </w:rPr>
        <w:t xml:space="preserve"> </w:t>
      </w:r>
      <w:r w:rsidR="00B23A32">
        <w:rPr>
          <w:rFonts w:eastAsia="Calibri"/>
          <w:lang w:val="es-ES_tradnl"/>
        </w:rPr>
        <w:t>les han causado</w:t>
      </w:r>
      <w:r w:rsidR="000275A8">
        <w:rPr>
          <w:rFonts w:eastAsia="Calibri"/>
          <w:lang w:val="es-ES_tradnl"/>
        </w:rPr>
        <w:t xml:space="preserve"> un gran </w:t>
      </w:r>
      <w:r w:rsidR="00B23A32">
        <w:rPr>
          <w:rFonts w:eastAsia="Calibri"/>
          <w:lang w:val="es-ES_tradnl"/>
        </w:rPr>
        <w:t>sufrimiento que se agrega a la pérdida de su ser querido,</w:t>
      </w:r>
      <w:r w:rsidR="000275A8">
        <w:rPr>
          <w:rFonts w:eastAsia="Calibri"/>
          <w:lang w:val="es-ES_tradnl"/>
        </w:rPr>
        <w:t xml:space="preserve"> y que l</w:t>
      </w:r>
      <w:r w:rsidR="000275A8" w:rsidRPr="00C57EF1">
        <w:rPr>
          <w:rFonts w:eastAsia="Calibri"/>
          <w:lang w:val="es-ES_tradnl"/>
        </w:rPr>
        <w:t xml:space="preserve">a continua incertidumbre resultante de la desaparición </w:t>
      </w:r>
      <w:r w:rsidR="000275A8">
        <w:rPr>
          <w:rFonts w:eastAsia="Calibri"/>
          <w:lang w:val="es-ES_tradnl"/>
        </w:rPr>
        <w:t xml:space="preserve">les causa </w:t>
      </w:r>
      <w:r w:rsidR="00B23A32">
        <w:rPr>
          <w:rFonts w:eastAsia="Calibri"/>
          <w:lang w:val="es-ES_tradnl"/>
        </w:rPr>
        <w:t>“</w:t>
      </w:r>
      <w:r w:rsidR="000275A8">
        <w:rPr>
          <w:rFonts w:eastAsia="Calibri"/>
          <w:lang w:val="es-ES_tradnl"/>
        </w:rPr>
        <w:t>angustia,</w:t>
      </w:r>
      <w:r w:rsidR="000275A8" w:rsidRPr="00A65BBA">
        <w:rPr>
          <w:rFonts w:eastAsia="Calibri"/>
          <w:lang w:val="es-ES_tradnl"/>
        </w:rPr>
        <w:t xml:space="preserve"> estrés</w:t>
      </w:r>
      <w:r w:rsidR="000275A8">
        <w:rPr>
          <w:rFonts w:eastAsia="Calibri"/>
          <w:lang w:val="es-ES_tradnl"/>
        </w:rPr>
        <w:t xml:space="preserve"> y</w:t>
      </w:r>
      <w:r w:rsidR="000275A8" w:rsidRPr="00A65BBA">
        <w:rPr>
          <w:rFonts w:eastAsia="Calibri"/>
          <w:lang w:val="es-ES_tradnl"/>
        </w:rPr>
        <w:t xml:space="preserve"> </w:t>
      </w:r>
      <w:r w:rsidR="000275A8">
        <w:rPr>
          <w:rFonts w:eastAsia="Calibri"/>
          <w:lang w:val="es-ES_tradnl"/>
        </w:rPr>
        <w:t xml:space="preserve">mutilación de la </w:t>
      </w:r>
      <w:r w:rsidR="000275A8">
        <w:rPr>
          <w:rFonts w:eastAsia="Calibri"/>
          <w:lang w:val="es-ES_tradnl"/>
        </w:rPr>
        <w:lastRenderedPageBreak/>
        <w:t>vida</w:t>
      </w:r>
      <w:r w:rsidR="00B23A32">
        <w:rPr>
          <w:rFonts w:eastAsia="Calibri"/>
          <w:lang w:val="es-ES_tradnl"/>
        </w:rPr>
        <w:t>”</w:t>
      </w:r>
      <w:r w:rsidR="000275A8">
        <w:rPr>
          <w:rFonts w:eastAsia="Calibri"/>
          <w:lang w:val="es-ES_tradnl"/>
        </w:rPr>
        <w:t>.</w:t>
      </w:r>
      <w:r w:rsidR="000275A8">
        <w:rPr>
          <w:lang w:val="es-ES" w:eastAsia="es-ES"/>
        </w:rPr>
        <w:t xml:space="preserve"> </w:t>
      </w:r>
      <w:r w:rsidR="000275A8" w:rsidRPr="00FB1BF2">
        <w:rPr>
          <w:lang w:val="es-ES" w:eastAsia="es-ES"/>
        </w:rPr>
        <w:t>A</w:t>
      </w:r>
      <w:r w:rsidR="000275A8">
        <w:rPr>
          <w:lang w:val="es-ES" w:eastAsia="es-ES"/>
        </w:rPr>
        <w:t xml:space="preserve"> la luz </w:t>
      </w:r>
      <w:r w:rsidR="00B23A32">
        <w:rPr>
          <w:lang w:val="es-ES" w:eastAsia="es-ES"/>
        </w:rPr>
        <w:t>de lo anterior</w:t>
      </w:r>
      <w:r w:rsidR="000275A8" w:rsidRPr="00FB1BF2">
        <w:rPr>
          <w:lang w:val="es-ES" w:eastAsia="es-ES"/>
        </w:rPr>
        <w:t xml:space="preserve">, </w:t>
      </w:r>
      <w:r w:rsidR="00B23A32">
        <w:rPr>
          <w:lang w:val="es-ES" w:eastAsia="es-ES"/>
        </w:rPr>
        <w:t>y tomando en cuenta</w:t>
      </w:r>
      <w:r w:rsidR="000275A8">
        <w:rPr>
          <w:lang w:val="es-ES" w:eastAsia="es-ES"/>
        </w:rPr>
        <w:t xml:space="preserve"> las amenazas que recibió el </w:t>
      </w:r>
      <w:r w:rsidR="000275A8" w:rsidRPr="00DF5766">
        <w:rPr>
          <w:lang w:val="es-ES" w:eastAsia="es-ES"/>
        </w:rPr>
        <w:t xml:space="preserve">padre del </w:t>
      </w:r>
      <w:r w:rsidR="00EE6BD4">
        <w:rPr>
          <w:lang w:val="es-ES" w:eastAsia="es-ES"/>
        </w:rPr>
        <w:t>Sr.</w:t>
      </w:r>
      <w:r w:rsidR="00B23A32">
        <w:rPr>
          <w:lang w:val="es-ES" w:eastAsia="es-ES"/>
        </w:rPr>
        <w:t xml:space="preserve"> </w:t>
      </w:r>
      <w:r w:rsidR="00B23A32" w:rsidRPr="00570D59">
        <w:rPr>
          <w:lang w:val="es-ES" w:eastAsia="es-ES"/>
        </w:rPr>
        <w:t>Moreno Pérez</w:t>
      </w:r>
      <w:r w:rsidR="000275A8" w:rsidRPr="00DF5766">
        <w:rPr>
          <w:lang w:val="es-ES" w:eastAsia="es-ES"/>
        </w:rPr>
        <w:t xml:space="preserve"> </w:t>
      </w:r>
      <w:r w:rsidR="000275A8">
        <w:rPr>
          <w:lang w:val="es-ES" w:eastAsia="es-ES"/>
        </w:rPr>
        <w:t xml:space="preserve">por </w:t>
      </w:r>
      <w:r w:rsidR="00F53D58">
        <w:rPr>
          <w:lang w:val="es-ES" w:eastAsia="es-ES"/>
        </w:rPr>
        <w:t xml:space="preserve">involucrarse en la investigación de </w:t>
      </w:r>
      <w:r w:rsidR="000275A8">
        <w:rPr>
          <w:lang w:val="es-ES" w:eastAsia="es-ES"/>
        </w:rPr>
        <w:t>la desaparición de su hijo (párr. 2.</w:t>
      </w:r>
      <w:r w:rsidR="004E71D7">
        <w:rPr>
          <w:lang w:val="es-ES" w:eastAsia="es-ES"/>
        </w:rPr>
        <w:t>21</w:t>
      </w:r>
      <w:r w:rsidR="000275A8">
        <w:rPr>
          <w:lang w:val="es-ES" w:eastAsia="es-ES"/>
        </w:rPr>
        <w:t xml:space="preserve"> </w:t>
      </w:r>
      <w:r w:rsidR="000275A8" w:rsidRPr="00EC6D02">
        <w:rPr>
          <w:i/>
          <w:lang w:val="es-ES" w:eastAsia="es-ES"/>
        </w:rPr>
        <w:t>supra</w:t>
      </w:r>
      <w:r w:rsidR="000275A8">
        <w:rPr>
          <w:lang w:val="es-ES" w:eastAsia="es-ES"/>
        </w:rPr>
        <w:t xml:space="preserve">), </w:t>
      </w:r>
      <w:r w:rsidR="000275A8" w:rsidRPr="00FB1BF2">
        <w:rPr>
          <w:lang w:val="es-ES" w:eastAsia="es-ES"/>
        </w:rPr>
        <w:t xml:space="preserve">el Comité </w:t>
      </w:r>
      <w:r w:rsidR="00F53D58">
        <w:rPr>
          <w:lang w:val="es-ES" w:eastAsia="es-ES"/>
        </w:rPr>
        <w:t>concluye</w:t>
      </w:r>
      <w:r w:rsidR="000275A8" w:rsidRPr="00FB1BF2">
        <w:rPr>
          <w:lang w:val="es-ES" w:eastAsia="es-ES"/>
        </w:rPr>
        <w:t xml:space="preserve"> que se desprende una vulneración del artículo 7 del Pacto, leído </w:t>
      </w:r>
      <w:r w:rsidR="000275A8">
        <w:rPr>
          <w:lang w:val="es-ES" w:eastAsia="es-ES"/>
        </w:rPr>
        <w:t>solo</w:t>
      </w:r>
      <w:r w:rsidR="000275A8" w:rsidRPr="00FB1BF2">
        <w:rPr>
          <w:lang w:val="es-ES" w:eastAsia="es-ES"/>
        </w:rPr>
        <w:t xml:space="preserve"> y </w:t>
      </w:r>
      <w:proofErr w:type="gramStart"/>
      <w:r w:rsidR="000275A8" w:rsidRPr="00FB1BF2">
        <w:rPr>
          <w:lang w:val="es-ES" w:eastAsia="es-ES"/>
        </w:rPr>
        <w:t>conjuntamente con</w:t>
      </w:r>
      <w:proofErr w:type="gramEnd"/>
      <w:r w:rsidR="000275A8" w:rsidRPr="00FB1BF2">
        <w:rPr>
          <w:lang w:val="es-ES" w:eastAsia="es-ES"/>
        </w:rPr>
        <w:t xml:space="preserve"> el artículo 2, párrafo 3, respecto de los autores</w:t>
      </w:r>
      <w:r w:rsidR="000275A8" w:rsidRPr="00531919">
        <w:rPr>
          <w:rStyle w:val="Refdenotaalpie"/>
          <w:szCs w:val="18"/>
          <w:lang w:val="es-ES" w:eastAsia="es-ES"/>
        </w:rPr>
        <w:footnoteReference w:id="62"/>
      </w:r>
      <w:r w:rsidR="00FF5B23">
        <w:rPr>
          <w:lang w:val="es-ES" w:eastAsia="es-ES"/>
        </w:rPr>
        <w:t>.</w:t>
      </w:r>
    </w:p>
    <w:p w14:paraId="5BF5D19F" w14:textId="79E8E8CD" w:rsidR="000378BF" w:rsidRPr="000378BF" w:rsidRDefault="000378BF" w:rsidP="000378BF">
      <w:pPr>
        <w:pStyle w:val="SingleTxtG"/>
        <w:rPr>
          <w:lang w:val="es-ES"/>
        </w:rPr>
      </w:pPr>
      <w:r w:rsidRPr="000378BF">
        <w:rPr>
          <w:lang w:val="es-ES"/>
        </w:rPr>
        <w:t>1</w:t>
      </w:r>
      <w:r w:rsidR="002E47A7">
        <w:rPr>
          <w:lang w:val="es-ES"/>
        </w:rPr>
        <w:t>3</w:t>
      </w:r>
      <w:r w:rsidRPr="000378BF">
        <w:rPr>
          <w:lang w:val="es-ES"/>
        </w:rPr>
        <w:t>.</w:t>
      </w:r>
      <w:r w:rsidRPr="000378BF">
        <w:rPr>
          <w:lang w:val="es-ES"/>
        </w:rPr>
        <w:tab/>
        <w:t>El Comité, ac</w:t>
      </w:r>
      <w:r w:rsidR="001202B4">
        <w:rPr>
          <w:lang w:val="es-ES"/>
        </w:rPr>
        <w:t xml:space="preserve">tuando en virtud del artículo 5, párrafo </w:t>
      </w:r>
      <w:r w:rsidRPr="000378BF">
        <w:rPr>
          <w:lang w:val="es-ES"/>
        </w:rPr>
        <w:t>4</w:t>
      </w:r>
      <w:r w:rsidR="001202B4">
        <w:rPr>
          <w:lang w:val="es-ES"/>
        </w:rPr>
        <w:t>,</w:t>
      </w:r>
      <w:r w:rsidRPr="000378BF">
        <w:rPr>
          <w:lang w:val="es-ES"/>
        </w:rPr>
        <w:t xml:space="preserve"> del Protocolo Facultativo, dictamina que la información que tiene ante sí pone de manifiesto que el Estado parte ha infringido </w:t>
      </w:r>
      <w:r w:rsidR="00E0389A">
        <w:rPr>
          <w:lang w:val="es-ES"/>
        </w:rPr>
        <w:t>el</w:t>
      </w:r>
      <w:r w:rsidRPr="000378BF">
        <w:rPr>
          <w:lang w:val="es-ES"/>
        </w:rPr>
        <w:t xml:space="preserve"> artículo 6</w:t>
      </w:r>
      <w:r w:rsidR="00E0389A">
        <w:rPr>
          <w:lang w:val="es-ES"/>
        </w:rPr>
        <w:t>,</w:t>
      </w:r>
      <w:r w:rsidR="001202B4">
        <w:rPr>
          <w:lang w:val="es-ES"/>
        </w:rPr>
        <w:t xml:space="preserve"> párrafo 1</w:t>
      </w:r>
      <w:r w:rsidR="00E0389A">
        <w:rPr>
          <w:lang w:val="es-ES"/>
        </w:rPr>
        <w:t>,</w:t>
      </w:r>
      <w:r w:rsidRPr="000378BF">
        <w:rPr>
          <w:lang w:val="es-ES"/>
        </w:rPr>
        <w:t xml:space="preserve"> </w:t>
      </w:r>
      <w:r w:rsidR="00E0389A">
        <w:rPr>
          <w:lang w:val="es-ES"/>
        </w:rPr>
        <w:t xml:space="preserve">leído solo y </w:t>
      </w:r>
      <w:proofErr w:type="gramStart"/>
      <w:r w:rsidR="00E0389A">
        <w:rPr>
          <w:lang w:val="es-ES"/>
        </w:rPr>
        <w:t>conjuntamente con</w:t>
      </w:r>
      <w:proofErr w:type="gramEnd"/>
      <w:r w:rsidR="00E0389A">
        <w:rPr>
          <w:lang w:val="es-ES"/>
        </w:rPr>
        <w:t xml:space="preserve"> el artículo 2, párrafo 3, respecto del Sr. Moreno Pérez, y el artículo </w:t>
      </w:r>
      <w:r w:rsidRPr="000378BF">
        <w:rPr>
          <w:lang w:val="es-ES"/>
        </w:rPr>
        <w:t>7,</w:t>
      </w:r>
      <w:r w:rsidR="00E0389A">
        <w:rPr>
          <w:lang w:val="es-ES"/>
        </w:rPr>
        <w:t xml:space="preserve"> leído solo y conjuntamente con el artículo 2, párrafo 3, respecto de los autores</w:t>
      </w:r>
      <w:r w:rsidRPr="000378BF">
        <w:rPr>
          <w:lang w:val="es-ES"/>
        </w:rPr>
        <w:t xml:space="preserve"> </w:t>
      </w:r>
      <w:r w:rsidR="00E0389A">
        <w:rPr>
          <w:lang w:val="es-ES"/>
        </w:rPr>
        <w:t>de la comunicación</w:t>
      </w:r>
      <w:r w:rsidRPr="000378BF">
        <w:rPr>
          <w:lang w:val="es-ES"/>
        </w:rPr>
        <w:t>.</w:t>
      </w:r>
    </w:p>
    <w:p w14:paraId="0077ADB6" w14:textId="1FF23018" w:rsidR="000378BF" w:rsidRPr="004504B2" w:rsidRDefault="000378BF" w:rsidP="000378BF">
      <w:pPr>
        <w:pStyle w:val="SingleTxtG"/>
        <w:rPr>
          <w:lang w:val="es-ES"/>
        </w:rPr>
      </w:pPr>
      <w:r>
        <w:rPr>
          <w:lang w:val="es-ES"/>
        </w:rPr>
        <w:t>1</w:t>
      </w:r>
      <w:r w:rsidR="002E47A7">
        <w:rPr>
          <w:lang w:val="es-ES"/>
        </w:rPr>
        <w:t>4</w:t>
      </w:r>
      <w:r w:rsidRPr="000378BF">
        <w:rPr>
          <w:lang w:val="es-ES"/>
        </w:rPr>
        <w:t>.</w:t>
      </w:r>
      <w:r w:rsidRPr="000378BF">
        <w:rPr>
          <w:lang w:val="es-ES"/>
        </w:rPr>
        <w:tab/>
        <w:t>De conformidad con el artículo 2</w:t>
      </w:r>
      <w:r w:rsidR="001202B4">
        <w:rPr>
          <w:lang w:val="es-ES"/>
        </w:rPr>
        <w:t>,</w:t>
      </w:r>
      <w:r w:rsidR="00947F99">
        <w:rPr>
          <w:lang w:val="es-ES"/>
        </w:rPr>
        <w:t xml:space="preserve"> </w:t>
      </w:r>
      <w:r w:rsidR="001202B4" w:rsidRPr="001202B4">
        <w:rPr>
          <w:lang w:val="es-ES"/>
        </w:rPr>
        <w:t>párrafo 3</w:t>
      </w:r>
      <w:r w:rsidR="001202B4">
        <w:rPr>
          <w:lang w:val="es-ES"/>
        </w:rPr>
        <w:t>,</w:t>
      </w:r>
      <w:r w:rsidR="001202B4" w:rsidRPr="001202B4">
        <w:rPr>
          <w:lang w:val="es-ES"/>
        </w:rPr>
        <w:t xml:space="preserve"> </w:t>
      </w:r>
      <w:r w:rsidR="003207FD">
        <w:rPr>
          <w:lang w:val="es-ES"/>
        </w:rPr>
        <w:t>apartado</w:t>
      </w:r>
      <w:r w:rsidR="001202B4">
        <w:rPr>
          <w:lang w:val="es-ES"/>
        </w:rPr>
        <w:t xml:space="preserve"> a</w:t>
      </w:r>
      <w:r w:rsidR="00790205">
        <w:rPr>
          <w:lang w:val="es-ES"/>
        </w:rPr>
        <w:t>)</w:t>
      </w:r>
      <w:r w:rsidR="001202B4">
        <w:rPr>
          <w:lang w:val="es-ES"/>
        </w:rPr>
        <w:t>,</w:t>
      </w:r>
      <w:r w:rsidRPr="000378BF">
        <w:rPr>
          <w:lang w:val="es-ES"/>
        </w:rPr>
        <w:t xml:space="preserve"> del Pacto, el Estado parte tiene la obligación de proporcionar a </w:t>
      </w:r>
      <w:r w:rsidR="00947F99">
        <w:rPr>
          <w:lang w:val="es-ES"/>
        </w:rPr>
        <w:t>los autores</w:t>
      </w:r>
      <w:r w:rsidRPr="000378BF">
        <w:rPr>
          <w:lang w:val="es-ES"/>
        </w:rPr>
        <w:t xml:space="preserve"> un recurso efectivo. E</w:t>
      </w:r>
      <w:r w:rsidR="00A85B60">
        <w:rPr>
          <w:lang w:val="es-ES"/>
        </w:rPr>
        <w:t xml:space="preserve">llo requiere una </w:t>
      </w:r>
      <w:r w:rsidRPr="000378BF">
        <w:rPr>
          <w:lang w:val="es-ES"/>
        </w:rPr>
        <w:t xml:space="preserve">reparación </w:t>
      </w:r>
      <w:r w:rsidR="00A85B60">
        <w:rPr>
          <w:lang w:val="es-ES"/>
        </w:rPr>
        <w:t>i</w:t>
      </w:r>
      <w:r w:rsidRPr="000378BF">
        <w:rPr>
          <w:lang w:val="es-ES"/>
        </w:rPr>
        <w:t>ntegra</w:t>
      </w:r>
      <w:r w:rsidR="00A85B60">
        <w:rPr>
          <w:lang w:val="es-ES"/>
        </w:rPr>
        <w:t>l</w:t>
      </w:r>
      <w:r w:rsidRPr="000378BF">
        <w:rPr>
          <w:lang w:val="es-ES"/>
        </w:rPr>
        <w:t xml:space="preserve"> a las personas cuyos derechos hayan sido vulnerados. En </w:t>
      </w:r>
      <w:r w:rsidR="00C942A1">
        <w:rPr>
          <w:lang w:val="es-ES"/>
        </w:rPr>
        <w:t>este sentido</w:t>
      </w:r>
      <w:r w:rsidRPr="000378BF">
        <w:rPr>
          <w:lang w:val="es-ES"/>
        </w:rPr>
        <w:t xml:space="preserve">, el Estado parte debe: </w:t>
      </w:r>
      <w:r w:rsidRPr="008B756A">
        <w:rPr>
          <w:lang w:val="es-ES"/>
        </w:rPr>
        <w:t xml:space="preserve">a) llevar a cabo una investigación </w:t>
      </w:r>
      <w:r w:rsidR="00351370">
        <w:rPr>
          <w:lang w:val="es-ES"/>
        </w:rPr>
        <w:t xml:space="preserve">pronta, efectiva y exhaustiva, independiente e imparcial, y transparente </w:t>
      </w:r>
      <w:r w:rsidRPr="008B756A">
        <w:rPr>
          <w:lang w:val="es-ES"/>
        </w:rPr>
        <w:t xml:space="preserve">sobre las circunstancias de la </w:t>
      </w:r>
      <w:r w:rsidR="00430F3A" w:rsidRPr="008B756A">
        <w:rPr>
          <w:lang w:val="es-ES"/>
        </w:rPr>
        <w:t>desaparición</w:t>
      </w:r>
      <w:r w:rsidRPr="008B756A">
        <w:rPr>
          <w:lang w:val="es-ES"/>
        </w:rPr>
        <w:t xml:space="preserve"> del Sr. </w:t>
      </w:r>
      <w:r w:rsidR="003207FD">
        <w:rPr>
          <w:lang w:val="es-ES_tradnl" w:eastAsia="es-ES"/>
        </w:rPr>
        <w:t>Moreno Pérez</w:t>
      </w:r>
      <w:r w:rsidR="005D7304">
        <w:rPr>
          <w:lang w:val="es-ES_tradnl" w:eastAsia="es-ES"/>
        </w:rPr>
        <w:t xml:space="preserve"> orientada al establecimiento de la </w:t>
      </w:r>
      <w:r w:rsidR="005D7304" w:rsidRPr="005D7304">
        <w:rPr>
          <w:lang w:val="es-ES_tradnl" w:eastAsia="es-ES"/>
        </w:rPr>
        <w:t>verdad</w:t>
      </w:r>
      <w:r w:rsidRPr="005D7304">
        <w:rPr>
          <w:lang w:val="es-ES"/>
        </w:rPr>
        <w:t xml:space="preserve">; </w:t>
      </w:r>
      <w:r w:rsidR="00993335" w:rsidRPr="005D7304">
        <w:rPr>
          <w:lang w:val="es-ES"/>
        </w:rPr>
        <w:t>b)</w:t>
      </w:r>
      <w:r w:rsidR="00014522" w:rsidRPr="005D7304">
        <w:rPr>
          <w:lang w:val="es-ES"/>
        </w:rPr>
        <w:t xml:space="preserve"> </w:t>
      </w:r>
      <w:r w:rsidRPr="005D7304">
        <w:rPr>
          <w:lang w:val="es-ES"/>
        </w:rPr>
        <w:t>proporcionar a l</w:t>
      </w:r>
      <w:r w:rsidR="00430F3A" w:rsidRPr="005D7304">
        <w:rPr>
          <w:lang w:val="es-ES"/>
        </w:rPr>
        <w:t>os</w:t>
      </w:r>
      <w:r w:rsidRPr="005D7304">
        <w:rPr>
          <w:lang w:val="es-ES"/>
        </w:rPr>
        <w:t xml:space="preserve"> autor</w:t>
      </w:r>
      <w:r w:rsidR="00430F3A" w:rsidRPr="005D7304">
        <w:rPr>
          <w:lang w:val="es-ES"/>
        </w:rPr>
        <w:t>es</w:t>
      </w:r>
      <w:r w:rsidRPr="005D7304">
        <w:rPr>
          <w:lang w:val="es-ES"/>
        </w:rPr>
        <w:t xml:space="preserve"> información detallada sobre los </w:t>
      </w:r>
      <w:r w:rsidRPr="00076BC8">
        <w:rPr>
          <w:lang w:val="es-ES"/>
        </w:rPr>
        <w:t xml:space="preserve">resultados de </w:t>
      </w:r>
      <w:r w:rsidR="00E178C8">
        <w:rPr>
          <w:lang w:val="es-ES"/>
        </w:rPr>
        <w:t>dich</w:t>
      </w:r>
      <w:r w:rsidRPr="00076BC8">
        <w:rPr>
          <w:lang w:val="es-ES"/>
        </w:rPr>
        <w:t>a investigación</w:t>
      </w:r>
      <w:r w:rsidR="00C4286B" w:rsidRPr="00076BC8">
        <w:rPr>
          <w:lang w:val="es-ES"/>
        </w:rPr>
        <w:t xml:space="preserve">; </w:t>
      </w:r>
      <w:r w:rsidR="00076BC8">
        <w:rPr>
          <w:lang w:val="es-ES"/>
        </w:rPr>
        <w:t>c</w:t>
      </w:r>
      <w:r w:rsidR="00A516B8" w:rsidRPr="00076BC8">
        <w:rPr>
          <w:lang w:val="es-ES"/>
        </w:rPr>
        <w:t xml:space="preserve">) </w:t>
      </w:r>
      <w:r w:rsidRPr="00076BC8">
        <w:rPr>
          <w:lang w:val="es-ES"/>
        </w:rPr>
        <w:t xml:space="preserve">procesar y </w:t>
      </w:r>
      <w:r w:rsidR="00C67B6A">
        <w:rPr>
          <w:lang w:val="es-ES"/>
        </w:rPr>
        <w:t>sancionar</w:t>
      </w:r>
      <w:r w:rsidR="00C67B6A" w:rsidRPr="00076BC8">
        <w:rPr>
          <w:lang w:val="es-ES"/>
        </w:rPr>
        <w:t xml:space="preserve"> </w:t>
      </w:r>
      <w:r w:rsidRPr="00076BC8">
        <w:rPr>
          <w:lang w:val="es-ES"/>
        </w:rPr>
        <w:t>a l</w:t>
      </w:r>
      <w:r w:rsidR="00076BC8" w:rsidRPr="00076BC8">
        <w:rPr>
          <w:lang w:val="es-ES"/>
        </w:rPr>
        <w:t>a</w:t>
      </w:r>
      <w:r w:rsidRPr="00076BC8">
        <w:rPr>
          <w:lang w:val="es-ES"/>
        </w:rPr>
        <w:t>s</w:t>
      </w:r>
      <w:r w:rsidR="00076BC8" w:rsidRPr="00076BC8">
        <w:rPr>
          <w:lang w:val="es-ES"/>
        </w:rPr>
        <w:t xml:space="preserve"> personas halladas</w:t>
      </w:r>
      <w:r w:rsidRPr="00076BC8">
        <w:rPr>
          <w:lang w:val="es-ES"/>
        </w:rPr>
        <w:t xml:space="preserve"> responsables de </w:t>
      </w:r>
      <w:r w:rsidR="00B1754D">
        <w:rPr>
          <w:lang w:val="es-ES"/>
        </w:rPr>
        <w:t>la desaparición</w:t>
      </w:r>
      <w:r w:rsidRPr="00076BC8">
        <w:rPr>
          <w:lang w:val="es-ES"/>
        </w:rPr>
        <w:t xml:space="preserve"> </w:t>
      </w:r>
      <w:r w:rsidR="00302E73">
        <w:rPr>
          <w:lang w:val="es-ES"/>
        </w:rPr>
        <w:t xml:space="preserve">y eventual muerte </w:t>
      </w:r>
      <w:r w:rsidR="008B1C9C" w:rsidRPr="008B1C9C">
        <w:rPr>
          <w:lang w:val="es-ES"/>
        </w:rPr>
        <w:t xml:space="preserve">del Sr. Moreno Pérez </w:t>
      </w:r>
      <w:r w:rsidRPr="00076BC8">
        <w:rPr>
          <w:lang w:val="es-ES"/>
        </w:rPr>
        <w:t xml:space="preserve">y divulgar los resultados de esas </w:t>
      </w:r>
      <w:r w:rsidRPr="00183B46">
        <w:rPr>
          <w:lang w:val="es-ES"/>
        </w:rPr>
        <w:t>actuaciones;</w:t>
      </w:r>
      <w:r w:rsidR="00420E4A" w:rsidRPr="003E4CD2">
        <w:rPr>
          <w:lang w:val="es-ES"/>
        </w:rPr>
        <w:t xml:space="preserve"> </w:t>
      </w:r>
      <w:r w:rsidR="00420E4A">
        <w:rPr>
          <w:lang w:val="es-ES"/>
        </w:rPr>
        <w:t xml:space="preserve">d) </w:t>
      </w:r>
      <w:r w:rsidR="00420E4A" w:rsidRPr="00420E4A">
        <w:rPr>
          <w:lang w:val="es-ES"/>
        </w:rPr>
        <w:t xml:space="preserve">investigar y sancionar, si procediere, cualquier </w:t>
      </w:r>
      <w:r w:rsidR="005B0B72">
        <w:rPr>
          <w:lang w:val="es-ES"/>
        </w:rPr>
        <w:t>intervención</w:t>
      </w:r>
      <w:r w:rsidR="00420E4A" w:rsidRPr="00420E4A">
        <w:rPr>
          <w:lang w:val="es-ES"/>
        </w:rPr>
        <w:t xml:space="preserve"> </w:t>
      </w:r>
      <w:r w:rsidR="00FB2D24">
        <w:rPr>
          <w:lang w:val="es-ES"/>
        </w:rPr>
        <w:t xml:space="preserve">de agentes estatales </w:t>
      </w:r>
      <w:r w:rsidR="00420E4A" w:rsidRPr="00420E4A">
        <w:rPr>
          <w:lang w:val="es-ES"/>
        </w:rPr>
        <w:t>que hayan podido entorpecer la efectividad de los procesos de búsqueda y localización</w:t>
      </w:r>
      <w:r w:rsidR="00420E4A">
        <w:rPr>
          <w:lang w:val="es-ES"/>
        </w:rPr>
        <w:t>;</w:t>
      </w:r>
      <w:r w:rsidRPr="00183B46">
        <w:rPr>
          <w:lang w:val="es-ES"/>
        </w:rPr>
        <w:t xml:space="preserve"> </w:t>
      </w:r>
      <w:r w:rsidR="00420E4A">
        <w:rPr>
          <w:lang w:val="es-ES"/>
        </w:rPr>
        <w:t>e</w:t>
      </w:r>
      <w:r w:rsidRPr="00183B46">
        <w:rPr>
          <w:lang w:val="es-ES"/>
        </w:rPr>
        <w:t>)</w:t>
      </w:r>
      <w:r w:rsidR="000136C5">
        <w:rPr>
          <w:lang w:val="es-ES"/>
        </w:rPr>
        <w:t> </w:t>
      </w:r>
      <w:r w:rsidR="00E35F7D" w:rsidRPr="00E35F7D">
        <w:rPr>
          <w:lang w:val="es-ES"/>
        </w:rPr>
        <w:t xml:space="preserve">en el supuesto de que el Sr. </w:t>
      </w:r>
      <w:r w:rsidR="00E35F7D">
        <w:rPr>
          <w:lang w:val="es-ES"/>
        </w:rPr>
        <w:t>Moreno Pérez</w:t>
      </w:r>
      <w:r w:rsidR="00E35F7D" w:rsidRPr="00E35F7D">
        <w:rPr>
          <w:lang w:val="es-ES"/>
        </w:rPr>
        <w:t xml:space="preserve"> haya fallecido, </w:t>
      </w:r>
      <w:r w:rsidR="008D258A">
        <w:rPr>
          <w:lang w:val="es-ES"/>
        </w:rPr>
        <w:t xml:space="preserve">tratar de localizar </w:t>
      </w:r>
      <w:r w:rsidR="008D258A" w:rsidRPr="00E35F7D">
        <w:rPr>
          <w:lang w:val="es-ES"/>
        </w:rPr>
        <w:t>sus r</w:t>
      </w:r>
      <w:r w:rsidR="008D258A">
        <w:rPr>
          <w:lang w:val="es-ES"/>
        </w:rPr>
        <w:t xml:space="preserve">estos mortales y </w:t>
      </w:r>
      <w:r w:rsidR="00E35F7D" w:rsidRPr="00E35F7D">
        <w:rPr>
          <w:lang w:val="es-ES"/>
        </w:rPr>
        <w:t>entregar</w:t>
      </w:r>
      <w:r w:rsidR="008D258A">
        <w:rPr>
          <w:lang w:val="es-ES"/>
        </w:rPr>
        <w:t>los</w:t>
      </w:r>
      <w:r w:rsidR="00E35F7D" w:rsidRPr="00E35F7D">
        <w:rPr>
          <w:lang w:val="es-ES"/>
        </w:rPr>
        <w:t xml:space="preserve"> </w:t>
      </w:r>
      <w:r w:rsidR="00E35F7D">
        <w:rPr>
          <w:lang w:val="es-ES"/>
        </w:rPr>
        <w:t>a sus familiares</w:t>
      </w:r>
      <w:r w:rsidR="00A741BE">
        <w:rPr>
          <w:lang w:val="es-ES"/>
        </w:rPr>
        <w:t xml:space="preserve"> </w:t>
      </w:r>
      <w:r w:rsidR="00A741BE" w:rsidRPr="003E4CD2">
        <w:rPr>
          <w:lang w:val="es-EC"/>
        </w:rPr>
        <w:t xml:space="preserve">en condiciones </w:t>
      </w:r>
      <w:r w:rsidR="00A741BE" w:rsidRPr="00B45889">
        <w:rPr>
          <w:lang w:val="es-EC"/>
        </w:rPr>
        <w:t>dignas</w:t>
      </w:r>
      <w:r w:rsidR="00A516B8" w:rsidRPr="003B48D5">
        <w:rPr>
          <w:lang w:val="es-ES"/>
        </w:rPr>
        <w:t>;</w:t>
      </w:r>
      <w:r w:rsidRPr="003B48D5">
        <w:rPr>
          <w:lang w:val="es-ES"/>
        </w:rPr>
        <w:t xml:space="preserve"> y </w:t>
      </w:r>
      <w:r w:rsidR="00420E4A">
        <w:rPr>
          <w:lang w:val="es-ES"/>
        </w:rPr>
        <w:t>f</w:t>
      </w:r>
      <w:r w:rsidRPr="003B48D5">
        <w:rPr>
          <w:lang w:val="es-ES"/>
        </w:rPr>
        <w:t>) conceder a l</w:t>
      </w:r>
      <w:r w:rsidR="00A516B8" w:rsidRPr="003B48D5">
        <w:rPr>
          <w:lang w:val="es-ES"/>
        </w:rPr>
        <w:t>os</w:t>
      </w:r>
      <w:r w:rsidRPr="003B48D5">
        <w:rPr>
          <w:lang w:val="es-ES"/>
        </w:rPr>
        <w:t xml:space="preserve"> autor</w:t>
      </w:r>
      <w:r w:rsidR="00A516B8" w:rsidRPr="003B48D5">
        <w:rPr>
          <w:lang w:val="es-ES"/>
        </w:rPr>
        <w:t>es</w:t>
      </w:r>
      <w:r w:rsidRPr="003B48D5">
        <w:rPr>
          <w:lang w:val="es-ES"/>
        </w:rPr>
        <w:t xml:space="preserve"> una reparación </w:t>
      </w:r>
      <w:r w:rsidR="00A516B8" w:rsidRPr="003B48D5">
        <w:rPr>
          <w:lang w:val="es-ES"/>
        </w:rPr>
        <w:t>integral</w:t>
      </w:r>
      <w:r w:rsidR="00345A4E" w:rsidRPr="003B48D5">
        <w:rPr>
          <w:lang w:val="es-ES"/>
        </w:rPr>
        <w:t>,</w:t>
      </w:r>
      <w:r w:rsidRPr="003B48D5">
        <w:rPr>
          <w:lang w:val="es-ES"/>
        </w:rPr>
        <w:t xml:space="preserve"> que incluya una </w:t>
      </w:r>
      <w:r w:rsidRPr="00DA09BB">
        <w:rPr>
          <w:lang w:val="es-ES"/>
        </w:rPr>
        <w:t xml:space="preserve">indemnización </w:t>
      </w:r>
      <w:r w:rsidR="00A516B8" w:rsidRPr="00DA09BB">
        <w:rPr>
          <w:lang w:val="es-ES"/>
        </w:rPr>
        <w:t>adecuada</w:t>
      </w:r>
      <w:r w:rsidRPr="00DA09BB">
        <w:rPr>
          <w:lang w:val="es-ES"/>
        </w:rPr>
        <w:t xml:space="preserve"> por las vulneraciones sufridas. El Estado parte tiene también la obligación de adoptar medidas para evitar que se cometan transgresiones semejantes en el futuro.</w:t>
      </w:r>
    </w:p>
    <w:p w14:paraId="0A4FD6A5" w14:textId="7DD45B72" w:rsidR="000378BF" w:rsidRDefault="000378BF" w:rsidP="000378BF">
      <w:pPr>
        <w:pStyle w:val="SingleTxtG"/>
        <w:rPr>
          <w:lang w:val="es-ES"/>
        </w:rPr>
      </w:pPr>
      <w:r w:rsidRPr="000378BF">
        <w:rPr>
          <w:lang w:val="es-ES"/>
        </w:rPr>
        <w:t>1</w:t>
      </w:r>
      <w:r w:rsidR="002E47A7">
        <w:rPr>
          <w:lang w:val="es-ES"/>
        </w:rPr>
        <w:t>5</w:t>
      </w:r>
      <w:r w:rsidRPr="000378BF">
        <w:rPr>
          <w:lang w:val="es-ES"/>
        </w:rPr>
        <w:t>.</w:t>
      </w:r>
      <w:r w:rsidRPr="000378BF">
        <w:rPr>
          <w:lang w:val="es-ES"/>
        </w:rPr>
        <w:tab/>
        <w:t xml:space="preserve">Teniendo presente que, por </w:t>
      </w:r>
      <w:r w:rsidR="00303560">
        <w:rPr>
          <w:lang w:val="es-ES"/>
        </w:rPr>
        <w:t>ser</w:t>
      </w:r>
      <w:r w:rsidRPr="000378BF">
        <w:rPr>
          <w:lang w:val="es-ES"/>
        </w:rPr>
        <w:t xml:space="preserve"> parte en el Protocolo Facultativo, el Estado parte reconoc</w:t>
      </w:r>
      <w:r w:rsidR="00303560">
        <w:rPr>
          <w:lang w:val="es-ES"/>
        </w:rPr>
        <w:t>e</w:t>
      </w:r>
      <w:r w:rsidRPr="000378BF">
        <w:rPr>
          <w:lang w:val="es-ES"/>
        </w:rPr>
        <w:t xml:space="preserve"> la competencia del Comité para determinar si ha habido </w:t>
      </w:r>
      <w:r w:rsidR="00303560">
        <w:rPr>
          <w:lang w:val="es-ES"/>
        </w:rPr>
        <w:t xml:space="preserve">o no </w:t>
      </w:r>
      <w:r w:rsidRPr="000378BF">
        <w:rPr>
          <w:lang w:val="es-ES"/>
        </w:rPr>
        <w:t>violación del Pacto y que, con arreglo al artículo 2</w:t>
      </w:r>
      <w:r w:rsidR="00303560">
        <w:rPr>
          <w:lang w:val="es-ES"/>
        </w:rPr>
        <w:t xml:space="preserve"> del Pacto</w:t>
      </w:r>
      <w:r w:rsidRPr="000378BF">
        <w:rPr>
          <w:lang w:val="es-ES"/>
        </w:rPr>
        <w:t xml:space="preserve">, el Estado parte se ha comprometido a garantizar a todos los individuos que se encuentren en su territorio </w:t>
      </w:r>
      <w:r w:rsidR="00303560">
        <w:rPr>
          <w:lang w:val="es-ES"/>
        </w:rPr>
        <w:t>y</w:t>
      </w:r>
      <w:r w:rsidRPr="000378BF">
        <w:rPr>
          <w:lang w:val="es-ES"/>
        </w:rPr>
        <w:t xml:space="preserve"> estén sujetos a su jurisdicción los derechos reconocidos en el Pacto y a </w:t>
      </w:r>
      <w:r w:rsidR="00303560">
        <w:rPr>
          <w:lang w:val="es-ES"/>
        </w:rPr>
        <w:t xml:space="preserve">garantizar una reparación efectiva y jurídicamente exigible </w:t>
      </w:r>
      <w:r w:rsidRPr="000378BF">
        <w:rPr>
          <w:lang w:val="es-ES"/>
        </w:rPr>
        <w:t xml:space="preserve">cuando se compruebe una violación, el Comité desea recibir del Estado parte, en un plazo de 180 días, información sobre las medidas que haya adoptado para aplicar el </w:t>
      </w:r>
      <w:r w:rsidR="002C26A4">
        <w:rPr>
          <w:lang w:val="es-ES"/>
        </w:rPr>
        <w:t xml:space="preserve">presente </w:t>
      </w:r>
      <w:r w:rsidRPr="000378BF">
        <w:rPr>
          <w:lang w:val="es-ES"/>
        </w:rPr>
        <w:t>dictamen. Se pide asimismo al Estado parte que publique el presente dictamen y que le dé amplia difusión.</w:t>
      </w:r>
    </w:p>
    <w:p w14:paraId="7451D20D" w14:textId="10106711" w:rsidR="006333EF" w:rsidRPr="00175184" w:rsidRDefault="000378BF" w:rsidP="00175184">
      <w:pPr>
        <w:pStyle w:val="SingleTxtG"/>
        <w:spacing w:before="240" w:after="0"/>
        <w:jc w:val="center"/>
        <w:rPr>
          <w:u w:val="single"/>
          <w:lang w:val="es-ES"/>
        </w:rPr>
      </w:pPr>
      <w:r w:rsidRPr="000378BF">
        <w:rPr>
          <w:u w:val="single"/>
          <w:lang w:val="es-ES"/>
        </w:rPr>
        <w:tab/>
      </w:r>
      <w:r w:rsidRPr="000378BF">
        <w:rPr>
          <w:u w:val="single"/>
          <w:lang w:val="es-ES"/>
        </w:rPr>
        <w:tab/>
      </w:r>
      <w:r w:rsidRPr="000378BF">
        <w:rPr>
          <w:u w:val="single"/>
          <w:lang w:val="es-ES"/>
        </w:rPr>
        <w:tab/>
      </w:r>
      <w:r w:rsidR="00812240">
        <w:rPr>
          <w:u w:val="single"/>
          <w:lang w:val="es-ES"/>
        </w:rPr>
        <w:tab/>
      </w:r>
    </w:p>
    <w:sectPr w:rsidR="006333EF" w:rsidRPr="00175184" w:rsidSect="000325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9867" w14:textId="77777777" w:rsidR="00691960" w:rsidRPr="00B903E5" w:rsidRDefault="00691960" w:rsidP="00B903E5">
      <w:pPr>
        <w:pStyle w:val="Piedepgina"/>
      </w:pPr>
    </w:p>
  </w:endnote>
  <w:endnote w:type="continuationSeparator" w:id="0">
    <w:p w14:paraId="325D717C" w14:textId="77777777" w:rsidR="00691960" w:rsidRPr="00B903E5" w:rsidRDefault="00691960"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6" w14:textId="72F766E5" w:rsidR="008C07B6" w:rsidRPr="006A31AE" w:rsidRDefault="008C07B6"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943DD7">
      <w:rPr>
        <w:b/>
        <w:noProof/>
        <w:sz w:val="18"/>
      </w:rPr>
      <w:t>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7" w14:textId="0AC6F850" w:rsidR="008C07B6" w:rsidRPr="006A31AE" w:rsidRDefault="008C07B6"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943DD7">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9" w14:textId="4FE33394" w:rsidR="008C07B6" w:rsidRPr="00096A52" w:rsidRDefault="00096A52" w:rsidP="00096A52">
    <w:pPr>
      <w:pStyle w:val="Piedepgina"/>
      <w:spacing w:before="120"/>
      <w:rPr>
        <w:sz w:val="20"/>
      </w:rPr>
    </w:pPr>
    <w:proofErr w:type="spellStart"/>
    <w:r>
      <w:rPr>
        <w:sz w:val="20"/>
      </w:rPr>
      <w:t>GE.19</w:t>
    </w:r>
    <w:proofErr w:type="spellEnd"/>
    <w:r>
      <w:rPr>
        <w:sz w:val="20"/>
      </w:rPr>
      <w:t>-</w:t>
    </w:r>
    <w:proofErr w:type="gramStart"/>
    <w:r>
      <w:rPr>
        <w:sz w:val="20"/>
      </w:rPr>
      <w:t>21673  (</w:t>
    </w:r>
    <w:proofErr w:type="gramEnd"/>
    <w:r>
      <w:rPr>
        <w:sz w:val="20"/>
      </w:rPr>
      <w:t>S)</w:t>
    </w:r>
    <w:r>
      <w:rPr>
        <w:sz w:val="20"/>
      </w:rPr>
      <w:br/>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sz w:val="56"/>
      </w:rPr>
      <w:t></w:t>
    </w:r>
    <w:r w:rsidRPr="00096A52">
      <w:rPr>
        <w:rFonts w:ascii="C39T30Lfz" w:hAnsi="C39T30Lfz"/>
        <w:noProof/>
        <w:sz w:val="56"/>
        <w:lang w:val="fr-CH"/>
      </w:rPr>
      <w:drawing>
        <wp:anchor distT="0" distB="0" distL="114300" distR="114300" simplePos="0" relativeHeight="251660288" behindDoc="0" locked="1" layoutInCell="1" allowOverlap="1" wp14:anchorId="5A3E8ED4" wp14:editId="2CFA4198">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3BDA689" wp14:editId="2512736F">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7/D/2760/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60/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5138" w14:textId="77777777" w:rsidR="00691960" w:rsidRPr="00B903E5" w:rsidRDefault="00691960" w:rsidP="00B903E5">
      <w:pPr>
        <w:tabs>
          <w:tab w:val="right" w:pos="2155"/>
        </w:tabs>
        <w:spacing w:after="80" w:line="240" w:lineRule="auto"/>
        <w:ind w:left="680"/>
      </w:pPr>
      <w:r>
        <w:rPr>
          <w:u w:val="single"/>
        </w:rPr>
        <w:tab/>
      </w:r>
    </w:p>
  </w:footnote>
  <w:footnote w:type="continuationSeparator" w:id="0">
    <w:p w14:paraId="1B7F868E" w14:textId="77777777" w:rsidR="00691960" w:rsidRPr="00B903E5" w:rsidRDefault="00691960" w:rsidP="00B903E5">
      <w:pPr>
        <w:tabs>
          <w:tab w:val="right" w:pos="2155"/>
        </w:tabs>
        <w:spacing w:after="80" w:line="240" w:lineRule="auto"/>
        <w:ind w:left="680"/>
      </w:pPr>
      <w:r>
        <w:rPr>
          <w:u w:val="single"/>
        </w:rPr>
        <w:tab/>
      </w:r>
    </w:p>
  </w:footnote>
  <w:footnote w:id="1">
    <w:p w14:paraId="06ABDAEE" w14:textId="41B88A67" w:rsidR="004E3C18" w:rsidRPr="00531919" w:rsidRDefault="004E3C18">
      <w:pPr>
        <w:pStyle w:val="Textonotapie"/>
        <w:rPr>
          <w:sz w:val="20"/>
          <w:lang w:val="es-ES"/>
        </w:rPr>
      </w:pPr>
      <w:r>
        <w:tab/>
      </w:r>
      <w:r w:rsidRPr="00943DD7">
        <w:rPr>
          <w:rStyle w:val="Refdenotaalpie"/>
          <w:sz w:val="20"/>
          <w:vertAlign w:val="baseline"/>
          <w:lang w:val="es-ES"/>
        </w:rPr>
        <w:t>*</w:t>
      </w:r>
      <w:r w:rsidRPr="00943DD7">
        <w:rPr>
          <w:rStyle w:val="Refdenotaalpie"/>
          <w:vertAlign w:val="baseline"/>
          <w:lang w:val="es-ES"/>
        </w:rPr>
        <w:tab/>
      </w:r>
      <w:r>
        <w:rPr>
          <w:lang w:val="es-ES"/>
        </w:rPr>
        <w:t>Adoptado por el Comité en su 127</w:t>
      </w:r>
      <w:r w:rsidRPr="008948D2">
        <w:rPr>
          <w:lang w:val="es-ES"/>
        </w:rPr>
        <w:t>° período de sesiones (1</w:t>
      </w:r>
      <w:r>
        <w:rPr>
          <w:lang w:val="es-ES"/>
        </w:rPr>
        <w:t>4 de octubre</w:t>
      </w:r>
      <w:r w:rsidRPr="008948D2">
        <w:rPr>
          <w:lang w:val="es-ES"/>
        </w:rPr>
        <w:t xml:space="preserve"> a </w:t>
      </w:r>
      <w:r>
        <w:rPr>
          <w:lang w:val="es-ES"/>
        </w:rPr>
        <w:t>8</w:t>
      </w:r>
      <w:r w:rsidRPr="008948D2">
        <w:rPr>
          <w:lang w:val="es-ES"/>
        </w:rPr>
        <w:t xml:space="preserve"> de </w:t>
      </w:r>
      <w:r>
        <w:rPr>
          <w:lang w:val="es-ES"/>
        </w:rPr>
        <w:t>noviembre</w:t>
      </w:r>
      <w:r w:rsidRPr="008948D2">
        <w:rPr>
          <w:lang w:val="es-ES"/>
        </w:rPr>
        <w:t xml:space="preserve"> de 2019)</w:t>
      </w:r>
      <w:r w:rsidRPr="00175184">
        <w:rPr>
          <w:lang w:val="es-ES"/>
        </w:rPr>
        <w:t>.</w:t>
      </w:r>
    </w:p>
  </w:footnote>
  <w:footnote w:id="2">
    <w:p w14:paraId="7DBBE2C5" w14:textId="3A91E245" w:rsidR="004E3C18" w:rsidRPr="00943DD7" w:rsidRDefault="004E3C18">
      <w:pPr>
        <w:pStyle w:val="Textonotapie"/>
        <w:rPr>
          <w:sz w:val="20"/>
        </w:rPr>
      </w:pPr>
      <w:r w:rsidRPr="00943DD7">
        <w:rPr>
          <w:lang w:val="es-ES"/>
        </w:rPr>
        <w:tab/>
      </w:r>
      <w:r w:rsidRPr="00531919">
        <w:rPr>
          <w:rStyle w:val="Refdenotaalpie"/>
          <w:sz w:val="20"/>
          <w:vertAlign w:val="baseline"/>
        </w:rPr>
        <w:t>**</w:t>
      </w:r>
      <w:r w:rsidRPr="00531919">
        <w:rPr>
          <w:rStyle w:val="Refdenotaalpie"/>
          <w:vertAlign w:val="baseline"/>
        </w:rPr>
        <w:tab/>
      </w:r>
      <w:r w:rsidRPr="00943DD7">
        <w:t xml:space="preserve">Los </w:t>
      </w:r>
      <w:proofErr w:type="spellStart"/>
      <w:r w:rsidRPr="00943DD7">
        <w:t>siguientes</w:t>
      </w:r>
      <w:proofErr w:type="spellEnd"/>
      <w:r w:rsidRPr="00943DD7">
        <w:t xml:space="preserve"> </w:t>
      </w:r>
      <w:proofErr w:type="spellStart"/>
      <w:r w:rsidRPr="00943DD7">
        <w:t>miembros</w:t>
      </w:r>
      <w:proofErr w:type="spellEnd"/>
      <w:r w:rsidRPr="00943DD7">
        <w:t xml:space="preserve"> del </w:t>
      </w:r>
      <w:proofErr w:type="spellStart"/>
      <w:r w:rsidRPr="00943DD7">
        <w:t>Comité</w:t>
      </w:r>
      <w:proofErr w:type="spellEnd"/>
      <w:r w:rsidRPr="00943DD7">
        <w:t xml:space="preserve"> </w:t>
      </w:r>
      <w:proofErr w:type="spellStart"/>
      <w:r w:rsidRPr="00943DD7">
        <w:t>participaron</w:t>
      </w:r>
      <w:proofErr w:type="spellEnd"/>
      <w:r w:rsidRPr="00943DD7">
        <w:t xml:space="preserve"> </w:t>
      </w:r>
      <w:proofErr w:type="spellStart"/>
      <w:r w:rsidRPr="00943DD7">
        <w:t>en</w:t>
      </w:r>
      <w:proofErr w:type="spellEnd"/>
      <w:r w:rsidRPr="00943DD7">
        <w:t xml:space="preserve"> el </w:t>
      </w:r>
      <w:proofErr w:type="spellStart"/>
      <w:r w:rsidRPr="00943DD7">
        <w:t>examen</w:t>
      </w:r>
      <w:proofErr w:type="spellEnd"/>
      <w:r w:rsidRPr="00943DD7">
        <w:t xml:space="preserve"> de la </w:t>
      </w:r>
      <w:proofErr w:type="spellStart"/>
      <w:r w:rsidRPr="00943DD7">
        <w:t>presente</w:t>
      </w:r>
      <w:proofErr w:type="spellEnd"/>
      <w:r w:rsidRPr="00943DD7">
        <w:t xml:space="preserve"> </w:t>
      </w:r>
      <w:proofErr w:type="spellStart"/>
      <w:r w:rsidRPr="00943DD7">
        <w:t>comunicación</w:t>
      </w:r>
      <w:proofErr w:type="spellEnd"/>
      <w:r w:rsidRPr="00943DD7">
        <w:t xml:space="preserve">: Tania María Abdo </w:t>
      </w:r>
      <w:proofErr w:type="spellStart"/>
      <w:r w:rsidRPr="00943DD7">
        <w:t>Rocholl</w:t>
      </w:r>
      <w:proofErr w:type="spellEnd"/>
      <w:r w:rsidRPr="00943DD7">
        <w:t xml:space="preserve">, </w:t>
      </w:r>
      <w:proofErr w:type="spellStart"/>
      <w:r w:rsidRPr="00943DD7">
        <w:t>Yadh</w:t>
      </w:r>
      <w:proofErr w:type="spellEnd"/>
      <w:r w:rsidRPr="00943DD7">
        <w:t xml:space="preserve"> Ben </w:t>
      </w:r>
      <w:proofErr w:type="spellStart"/>
      <w:r w:rsidRPr="00943DD7">
        <w:t>Achour</w:t>
      </w:r>
      <w:proofErr w:type="spellEnd"/>
      <w:r w:rsidRPr="00943DD7">
        <w:t xml:space="preserve">, </w:t>
      </w:r>
      <w:proofErr w:type="spellStart"/>
      <w:r w:rsidRPr="00943DD7">
        <w:t>Ilze</w:t>
      </w:r>
      <w:proofErr w:type="spellEnd"/>
      <w:r w:rsidRPr="00943DD7">
        <w:t xml:space="preserve"> Brands </w:t>
      </w:r>
      <w:proofErr w:type="spellStart"/>
      <w:r w:rsidRPr="00943DD7">
        <w:t>Kehris</w:t>
      </w:r>
      <w:proofErr w:type="spellEnd"/>
      <w:r w:rsidRPr="00943DD7">
        <w:t xml:space="preserve">, </w:t>
      </w:r>
      <w:proofErr w:type="spellStart"/>
      <w:r w:rsidRPr="00943DD7">
        <w:t>Arif</w:t>
      </w:r>
      <w:proofErr w:type="spellEnd"/>
      <w:r w:rsidRPr="00943DD7">
        <w:t xml:space="preserve"> </w:t>
      </w:r>
      <w:proofErr w:type="spellStart"/>
      <w:r w:rsidRPr="00943DD7">
        <w:t>Bulkan</w:t>
      </w:r>
      <w:proofErr w:type="spellEnd"/>
      <w:r w:rsidRPr="00943DD7">
        <w:t xml:space="preserve">, Ahmed Amin </w:t>
      </w:r>
      <w:proofErr w:type="spellStart"/>
      <w:r w:rsidRPr="00943DD7">
        <w:t>Fathalla</w:t>
      </w:r>
      <w:proofErr w:type="spellEnd"/>
      <w:r w:rsidRPr="00943DD7">
        <w:t xml:space="preserve">, Shuichi </w:t>
      </w:r>
      <w:proofErr w:type="spellStart"/>
      <w:r w:rsidRPr="00943DD7">
        <w:t>Furuya</w:t>
      </w:r>
      <w:proofErr w:type="spellEnd"/>
      <w:r w:rsidRPr="00943DD7">
        <w:t xml:space="preserve">, Christof </w:t>
      </w:r>
      <w:proofErr w:type="spellStart"/>
      <w:r w:rsidRPr="00943DD7">
        <w:t>Heyns</w:t>
      </w:r>
      <w:proofErr w:type="spellEnd"/>
      <w:r w:rsidRPr="00943DD7">
        <w:t xml:space="preserve">, </w:t>
      </w:r>
      <w:proofErr w:type="spellStart"/>
      <w:r w:rsidRPr="00943DD7">
        <w:t>Bamariam</w:t>
      </w:r>
      <w:proofErr w:type="spellEnd"/>
      <w:r w:rsidRPr="00943DD7">
        <w:t xml:space="preserve"> </w:t>
      </w:r>
      <w:proofErr w:type="spellStart"/>
      <w:r w:rsidRPr="00943DD7">
        <w:t>Koita</w:t>
      </w:r>
      <w:proofErr w:type="spellEnd"/>
      <w:r w:rsidRPr="00943DD7">
        <w:t xml:space="preserve">, Marcia </w:t>
      </w:r>
      <w:proofErr w:type="spellStart"/>
      <w:r w:rsidRPr="00943DD7">
        <w:t>V.J</w:t>
      </w:r>
      <w:proofErr w:type="spellEnd"/>
      <w:r w:rsidRPr="00943DD7">
        <w:t xml:space="preserve">. </w:t>
      </w:r>
      <w:proofErr w:type="spellStart"/>
      <w:r w:rsidRPr="00943DD7">
        <w:t>Kran</w:t>
      </w:r>
      <w:proofErr w:type="spellEnd"/>
      <w:r w:rsidRPr="00943DD7">
        <w:t xml:space="preserve">, Duncan </w:t>
      </w:r>
      <w:proofErr w:type="spellStart"/>
      <w:r w:rsidRPr="00943DD7">
        <w:t>Laki</w:t>
      </w:r>
      <w:proofErr w:type="spellEnd"/>
      <w:r w:rsidRPr="00943DD7">
        <w:t xml:space="preserve"> </w:t>
      </w:r>
      <w:proofErr w:type="spellStart"/>
      <w:r w:rsidRPr="00943DD7">
        <w:t>Muhumuza</w:t>
      </w:r>
      <w:proofErr w:type="spellEnd"/>
      <w:r w:rsidRPr="00943DD7">
        <w:t xml:space="preserve">, Photini </w:t>
      </w:r>
      <w:proofErr w:type="spellStart"/>
      <w:r w:rsidRPr="00943DD7">
        <w:t>Pazartzis</w:t>
      </w:r>
      <w:proofErr w:type="spellEnd"/>
      <w:r w:rsidRPr="00943DD7">
        <w:t xml:space="preserve">, </w:t>
      </w:r>
      <w:proofErr w:type="spellStart"/>
      <w:r w:rsidRPr="00943DD7">
        <w:t>Hernán</w:t>
      </w:r>
      <w:proofErr w:type="spellEnd"/>
      <w:r w:rsidRPr="00943DD7">
        <w:t xml:space="preserve"> Quezada Cabrera, </w:t>
      </w:r>
      <w:proofErr w:type="spellStart"/>
      <w:r w:rsidRPr="00943DD7">
        <w:t>Vasilka</w:t>
      </w:r>
      <w:proofErr w:type="spellEnd"/>
      <w:r w:rsidRPr="00943DD7">
        <w:t xml:space="preserve"> </w:t>
      </w:r>
      <w:proofErr w:type="spellStart"/>
      <w:r w:rsidRPr="00943DD7">
        <w:t>Sancin</w:t>
      </w:r>
      <w:proofErr w:type="spellEnd"/>
      <w:r w:rsidRPr="00943DD7">
        <w:t xml:space="preserve">, José Manuel Santos </w:t>
      </w:r>
      <w:proofErr w:type="spellStart"/>
      <w:r w:rsidRPr="00943DD7">
        <w:t>Pais</w:t>
      </w:r>
      <w:proofErr w:type="spellEnd"/>
      <w:r w:rsidRPr="00943DD7">
        <w:t xml:space="preserve">, Yuval </w:t>
      </w:r>
      <w:proofErr w:type="spellStart"/>
      <w:r w:rsidRPr="00943DD7">
        <w:t>Shany</w:t>
      </w:r>
      <w:proofErr w:type="spellEnd"/>
      <w:r w:rsidRPr="00943DD7">
        <w:t xml:space="preserve">, Hélène </w:t>
      </w:r>
      <w:proofErr w:type="spellStart"/>
      <w:r w:rsidRPr="00943DD7">
        <w:t>Tigroudja</w:t>
      </w:r>
      <w:proofErr w:type="spellEnd"/>
      <w:r w:rsidRPr="00943DD7">
        <w:t xml:space="preserve">, Andreas Zimmermann y Gentian </w:t>
      </w:r>
      <w:proofErr w:type="spellStart"/>
      <w:r w:rsidRPr="00943DD7">
        <w:t>Zyberi</w:t>
      </w:r>
      <w:proofErr w:type="spellEnd"/>
      <w:r w:rsidRPr="00943DD7">
        <w:t>.</w:t>
      </w:r>
    </w:p>
  </w:footnote>
  <w:footnote w:id="3">
    <w:p w14:paraId="019F13B7" w14:textId="2A0FECB6" w:rsidR="008C07B6" w:rsidRPr="00FD289D" w:rsidRDefault="008C07B6" w:rsidP="00D52B7C">
      <w:pPr>
        <w:pStyle w:val="Textonotapie"/>
        <w:jc w:val="both"/>
        <w:rPr>
          <w:szCs w:val="18"/>
          <w:lang w:val="es-ES"/>
        </w:rPr>
      </w:pPr>
      <w:r w:rsidRPr="00943DD7">
        <w:rPr>
          <w:szCs w:val="18"/>
        </w:rPr>
        <w:tab/>
      </w:r>
      <w:r w:rsidRPr="001476D7">
        <w:rPr>
          <w:rStyle w:val="Refdenotaalpie"/>
          <w:szCs w:val="18"/>
        </w:rPr>
        <w:footnoteRef/>
      </w:r>
      <w:r>
        <w:rPr>
          <w:szCs w:val="18"/>
          <w:lang w:val="es-ES"/>
        </w:rPr>
        <w:tab/>
      </w:r>
      <w:r w:rsidRPr="00873F3A">
        <w:rPr>
          <w:szCs w:val="18"/>
          <w:lang w:val="es-ES"/>
        </w:rPr>
        <w:t xml:space="preserve">Los autores citan </w:t>
      </w:r>
      <w:r w:rsidRPr="00241ADA">
        <w:rPr>
          <w:szCs w:val="18"/>
          <w:lang w:val="es-ES"/>
        </w:rPr>
        <w:t xml:space="preserve">Human </w:t>
      </w:r>
      <w:proofErr w:type="spellStart"/>
      <w:r w:rsidRPr="00241ADA">
        <w:rPr>
          <w:szCs w:val="18"/>
          <w:lang w:val="es-ES"/>
        </w:rPr>
        <w:t>Rights</w:t>
      </w:r>
      <w:proofErr w:type="spellEnd"/>
      <w:r w:rsidRPr="00241ADA">
        <w:rPr>
          <w:szCs w:val="18"/>
          <w:lang w:val="es-ES"/>
        </w:rPr>
        <w:t xml:space="preserve"> </w:t>
      </w:r>
      <w:proofErr w:type="spellStart"/>
      <w:r w:rsidRPr="00241ADA">
        <w:rPr>
          <w:szCs w:val="18"/>
          <w:lang w:val="es-ES"/>
        </w:rPr>
        <w:t>Watch</w:t>
      </w:r>
      <w:proofErr w:type="spellEnd"/>
      <w:r>
        <w:rPr>
          <w:szCs w:val="18"/>
          <w:lang w:val="es-ES"/>
        </w:rPr>
        <w:t xml:space="preserve">, </w:t>
      </w:r>
      <w:r w:rsidRPr="00241ADA">
        <w:rPr>
          <w:i/>
          <w:szCs w:val="18"/>
          <w:lang w:val="es-ES"/>
        </w:rPr>
        <w:t xml:space="preserve">Ni Seguridad, </w:t>
      </w:r>
      <w:r>
        <w:rPr>
          <w:i/>
          <w:szCs w:val="18"/>
          <w:lang w:val="es-ES"/>
        </w:rPr>
        <w:t>n</w:t>
      </w:r>
      <w:r w:rsidRPr="00241ADA">
        <w:rPr>
          <w:i/>
          <w:szCs w:val="18"/>
          <w:lang w:val="es-ES"/>
        </w:rPr>
        <w:t xml:space="preserve">i Derechos. Ejecuciones, desapariciones y tortura en la </w:t>
      </w:r>
      <w:r>
        <w:rPr>
          <w:i/>
          <w:szCs w:val="18"/>
          <w:lang w:val="es-ES"/>
        </w:rPr>
        <w:t>“</w:t>
      </w:r>
      <w:r w:rsidRPr="00241ADA">
        <w:rPr>
          <w:i/>
          <w:szCs w:val="18"/>
          <w:lang w:val="es-ES"/>
        </w:rPr>
        <w:t>guerra contra el narcotráfico</w:t>
      </w:r>
      <w:r>
        <w:rPr>
          <w:i/>
          <w:szCs w:val="18"/>
          <w:lang w:val="es-ES"/>
        </w:rPr>
        <w:t>”</w:t>
      </w:r>
      <w:r w:rsidRPr="00241ADA">
        <w:rPr>
          <w:i/>
          <w:szCs w:val="18"/>
          <w:lang w:val="es-ES"/>
        </w:rPr>
        <w:t xml:space="preserve"> de México</w:t>
      </w:r>
      <w:r>
        <w:rPr>
          <w:szCs w:val="18"/>
          <w:lang w:val="es-ES"/>
        </w:rPr>
        <w:t>, 2011,</w:t>
      </w:r>
      <w:r w:rsidR="00EA1C76">
        <w:rPr>
          <w:szCs w:val="18"/>
          <w:lang w:val="es-ES"/>
        </w:rPr>
        <w:t xml:space="preserve"> págs. 4, 5 y 16, </w:t>
      </w:r>
      <w:r>
        <w:rPr>
          <w:szCs w:val="18"/>
          <w:lang w:val="es-ES"/>
        </w:rPr>
        <w:t xml:space="preserve">disponible en </w:t>
      </w:r>
      <w:r w:rsidR="004E3C18" w:rsidRPr="00531919">
        <w:t>https://www.hrw.org/sites/default/files/reports/mexico1111spwebwcover.pdf</w:t>
      </w:r>
      <w:r>
        <w:rPr>
          <w:szCs w:val="18"/>
          <w:lang w:val="es-ES"/>
        </w:rPr>
        <w:t>.</w:t>
      </w:r>
    </w:p>
  </w:footnote>
  <w:footnote w:id="4">
    <w:p w14:paraId="4EC3FDD0" w14:textId="610555A6" w:rsidR="008C07B6" w:rsidRPr="00097F3F" w:rsidRDefault="008C07B6" w:rsidP="00D52B7C">
      <w:pPr>
        <w:pStyle w:val="Textonotapie"/>
        <w:jc w:val="both"/>
        <w:rPr>
          <w:lang w:val="es-ES_tradnl"/>
        </w:rPr>
      </w:pPr>
      <w:r w:rsidRPr="00097F3F">
        <w:rPr>
          <w:lang w:val="es-ES_tradnl"/>
        </w:rPr>
        <w:tab/>
      </w:r>
      <w:r w:rsidRPr="00097F3F">
        <w:rPr>
          <w:rStyle w:val="Refdenotaalpie"/>
          <w:lang w:val="es-ES_tradnl"/>
        </w:rPr>
        <w:footnoteRef/>
      </w:r>
      <w:r w:rsidRPr="00097F3F">
        <w:rPr>
          <w:lang w:val="es-ES_tradnl"/>
        </w:rPr>
        <w:tab/>
      </w:r>
      <w:r w:rsidRPr="00AD04E5">
        <w:rPr>
          <w:lang w:val="es-ES_tradnl"/>
        </w:rPr>
        <w:t>CED/C/MEX/CO/1</w:t>
      </w:r>
      <w:r>
        <w:rPr>
          <w:lang w:val="es-ES_tradnl"/>
        </w:rPr>
        <w:t xml:space="preserve">. </w:t>
      </w:r>
    </w:p>
  </w:footnote>
  <w:footnote w:id="5">
    <w:p w14:paraId="4FED0674" w14:textId="012D5A45" w:rsidR="008C07B6" w:rsidRPr="00C05ED5" w:rsidRDefault="008C07B6" w:rsidP="00D52B7C">
      <w:pPr>
        <w:pStyle w:val="Textonotapie"/>
        <w:jc w:val="both"/>
        <w:rPr>
          <w:lang w:val="es-ES_tradnl"/>
        </w:rPr>
      </w:pPr>
      <w:r w:rsidRPr="00C05ED5">
        <w:rPr>
          <w:lang w:val="es-ES_tradnl"/>
        </w:rPr>
        <w:tab/>
      </w:r>
      <w:r w:rsidRPr="00C05ED5">
        <w:rPr>
          <w:rStyle w:val="Refdenotaalpie"/>
          <w:lang w:val="es-ES_tradnl"/>
        </w:rPr>
        <w:footnoteRef/>
      </w:r>
      <w:r w:rsidRPr="00C05ED5">
        <w:rPr>
          <w:lang w:val="es-ES_tradnl"/>
        </w:rPr>
        <w:tab/>
        <w:t xml:space="preserve">Observaciones </w:t>
      </w:r>
      <w:r>
        <w:rPr>
          <w:lang w:val="es-ES_tradnl"/>
        </w:rPr>
        <w:t>p</w:t>
      </w:r>
      <w:r w:rsidRPr="00C05ED5">
        <w:rPr>
          <w:lang w:val="es-ES_tradnl"/>
        </w:rPr>
        <w:t xml:space="preserve">reliminares de la </w:t>
      </w:r>
      <w:r>
        <w:rPr>
          <w:lang w:val="es-ES_tradnl"/>
        </w:rPr>
        <w:t>v</w:t>
      </w:r>
      <w:r w:rsidRPr="00C05ED5">
        <w:rPr>
          <w:lang w:val="es-ES_tradnl"/>
        </w:rPr>
        <w:t xml:space="preserve">isita </w:t>
      </w:r>
      <w:r w:rsidRPr="00531919">
        <w:rPr>
          <w:i/>
          <w:iCs/>
          <w:lang w:val="es-ES_tradnl"/>
        </w:rPr>
        <w:t>in loco</w:t>
      </w:r>
      <w:r w:rsidRPr="00C05ED5">
        <w:rPr>
          <w:lang w:val="es-ES_tradnl"/>
        </w:rPr>
        <w:t xml:space="preserve"> de la CIDH a México, 2 de octubre de 2015</w:t>
      </w:r>
      <w:r>
        <w:rPr>
          <w:lang w:val="es-ES_tradnl"/>
        </w:rPr>
        <w:t xml:space="preserve">, disponible en </w:t>
      </w:r>
      <w:r w:rsidR="004E3C18" w:rsidRPr="00943DD7">
        <w:rPr>
          <w:lang w:val="es-ES"/>
        </w:rPr>
        <w:t>http://</w:t>
      </w:r>
      <w:proofErr w:type="spellStart"/>
      <w:r w:rsidR="004E3C18" w:rsidRPr="00943DD7">
        <w:rPr>
          <w:lang w:val="es-ES"/>
        </w:rPr>
        <w:t>www.oas.org</w:t>
      </w:r>
      <w:proofErr w:type="spellEnd"/>
      <w:r w:rsidR="004E3C18" w:rsidRPr="00943DD7">
        <w:rPr>
          <w:lang w:val="es-ES"/>
        </w:rPr>
        <w:t>/es/</w:t>
      </w:r>
      <w:proofErr w:type="spellStart"/>
      <w:r w:rsidR="004E3C18" w:rsidRPr="00943DD7">
        <w:rPr>
          <w:lang w:val="es-ES"/>
        </w:rPr>
        <w:t>cidh</w:t>
      </w:r>
      <w:proofErr w:type="spellEnd"/>
      <w:r w:rsidR="004E3C18" w:rsidRPr="00943DD7">
        <w:rPr>
          <w:lang w:val="es-ES"/>
        </w:rPr>
        <w:t>/prensa/comunicados/2015/</w:t>
      </w:r>
      <w:proofErr w:type="spellStart"/>
      <w:r w:rsidR="004E3C18" w:rsidRPr="00943DD7">
        <w:rPr>
          <w:lang w:val="es-ES"/>
        </w:rPr>
        <w:t>112A.asp</w:t>
      </w:r>
      <w:proofErr w:type="spellEnd"/>
      <w:r>
        <w:rPr>
          <w:lang w:val="es-ES_tradnl"/>
        </w:rPr>
        <w:t>.</w:t>
      </w:r>
    </w:p>
  </w:footnote>
  <w:footnote w:id="6">
    <w:p w14:paraId="531D790A" w14:textId="6E7F75D8" w:rsidR="008C07B6" w:rsidRPr="006C0315" w:rsidRDefault="008C07B6" w:rsidP="00D52B7C">
      <w:pPr>
        <w:pStyle w:val="Textonotapie"/>
        <w:jc w:val="both"/>
        <w:rPr>
          <w:lang w:val="es-ES"/>
        </w:rPr>
      </w:pPr>
      <w:r w:rsidRPr="006C0315">
        <w:rPr>
          <w:lang w:val="es-ES"/>
        </w:rPr>
        <w:tab/>
      </w:r>
      <w:r>
        <w:rPr>
          <w:rStyle w:val="Refdenotaalpie"/>
        </w:rPr>
        <w:footnoteRef/>
      </w:r>
      <w:r w:rsidRPr="006C0315">
        <w:rPr>
          <w:lang w:val="es-ES"/>
        </w:rPr>
        <w:tab/>
      </w:r>
      <w:r w:rsidRPr="008F28D9">
        <w:rPr>
          <w:lang w:val="es-ES_tradnl"/>
        </w:rPr>
        <w:t>Declaración del Alto Comisionado de la</w:t>
      </w:r>
      <w:r>
        <w:rPr>
          <w:lang w:val="es-ES_tradnl"/>
        </w:rPr>
        <w:t>s Naciones Unidas</w:t>
      </w:r>
      <w:r w:rsidRPr="008F28D9">
        <w:rPr>
          <w:lang w:val="es-ES_tradnl"/>
        </w:rPr>
        <w:t xml:space="preserve"> para los Derechos Humanos, </w:t>
      </w:r>
      <w:proofErr w:type="spellStart"/>
      <w:r w:rsidRPr="008F28D9">
        <w:rPr>
          <w:lang w:val="es-ES_tradnl"/>
        </w:rPr>
        <w:t>Zeid</w:t>
      </w:r>
      <w:proofErr w:type="spellEnd"/>
      <w:r w:rsidRPr="008F28D9">
        <w:rPr>
          <w:lang w:val="es-ES_tradnl"/>
        </w:rPr>
        <w:t xml:space="preserve"> </w:t>
      </w:r>
      <w:proofErr w:type="spellStart"/>
      <w:r w:rsidRPr="008F28D9">
        <w:rPr>
          <w:lang w:val="es-ES_tradnl"/>
        </w:rPr>
        <w:t>Ra’ad</w:t>
      </w:r>
      <w:proofErr w:type="spellEnd"/>
      <w:r w:rsidRPr="008F28D9">
        <w:rPr>
          <w:lang w:val="es-ES_tradnl"/>
        </w:rPr>
        <w:t xml:space="preserve"> Al Hussein, con motivo de su visita a México, 7 de octubre de 2015, disponible</w:t>
      </w:r>
      <w:r w:rsidRPr="006C0315">
        <w:rPr>
          <w:lang w:val="es-ES"/>
        </w:rPr>
        <w:t xml:space="preserve"> en </w:t>
      </w:r>
      <w:r w:rsidR="004E3C18" w:rsidRPr="00943DD7">
        <w:rPr>
          <w:lang w:val="es-ES"/>
        </w:rPr>
        <w:t>http://www.hchr.org.mx/index.php?option=com_k2&amp;view=item&amp;id=767:declaracion-del-alto-comisionado-de-la-onu-para-los-derechos-humanos-zeid-ra-ad-al-hussein-con-motivo-de-su-visita-a-mexico&amp;Itemid=265</w:t>
      </w:r>
      <w:r>
        <w:rPr>
          <w:lang w:val="es-ES"/>
        </w:rPr>
        <w:t>.</w:t>
      </w:r>
    </w:p>
  </w:footnote>
  <w:footnote w:id="7">
    <w:p w14:paraId="21BDEEB1" w14:textId="7873AE5D" w:rsidR="008C07B6" w:rsidRPr="000E120F" w:rsidRDefault="008C07B6">
      <w:pPr>
        <w:pStyle w:val="Textonotapie"/>
        <w:rPr>
          <w:lang w:val="es-ES_tradnl"/>
        </w:rPr>
      </w:pPr>
      <w:r w:rsidRPr="000E120F">
        <w:rPr>
          <w:lang w:val="es-ES_tradnl"/>
        </w:rPr>
        <w:tab/>
      </w:r>
      <w:r w:rsidRPr="000E120F">
        <w:rPr>
          <w:rStyle w:val="Refdenotaalpie"/>
          <w:lang w:val="es-ES_tradnl"/>
        </w:rPr>
        <w:footnoteRef/>
      </w:r>
      <w:r w:rsidRPr="000E120F">
        <w:rPr>
          <w:lang w:val="es-ES_tradnl"/>
        </w:rPr>
        <w:tab/>
        <w:t>Expediente 644/EXT/2011.</w:t>
      </w:r>
    </w:p>
  </w:footnote>
  <w:footnote w:id="8">
    <w:p w14:paraId="0F6E64E1" w14:textId="7F0BBF02" w:rsidR="008C07B6" w:rsidRPr="00F40EAB" w:rsidRDefault="008C07B6">
      <w:pPr>
        <w:pStyle w:val="Textonotapie"/>
        <w:rPr>
          <w:lang w:val="es-ES_tradnl"/>
        </w:rPr>
      </w:pPr>
      <w:r>
        <w:rPr>
          <w:lang w:val="es-ES_tradnl"/>
        </w:rPr>
        <w:tab/>
      </w:r>
      <w:r w:rsidRPr="00F40EAB">
        <w:rPr>
          <w:rStyle w:val="Refdenotaalpie"/>
          <w:lang w:val="es-ES_tradnl"/>
        </w:rPr>
        <w:footnoteRef/>
      </w:r>
      <w:r>
        <w:rPr>
          <w:lang w:val="es-ES_tradnl"/>
        </w:rPr>
        <w:tab/>
        <w:t>A</w:t>
      </w:r>
      <w:r w:rsidRPr="00F40EAB">
        <w:rPr>
          <w:lang w:val="es-ES_tradnl"/>
        </w:rPr>
        <w:t>veriguación previa 176/RG/2011.</w:t>
      </w:r>
    </w:p>
  </w:footnote>
  <w:footnote w:id="9">
    <w:p w14:paraId="350BD421" w14:textId="7A4D57D4" w:rsidR="008C07B6" w:rsidRPr="001B1F6B" w:rsidRDefault="008C07B6">
      <w:pPr>
        <w:pStyle w:val="Textonotapie"/>
        <w:rPr>
          <w:lang w:val="es-ES"/>
        </w:rPr>
      </w:pPr>
      <w:r w:rsidRPr="001B1F6B">
        <w:rPr>
          <w:lang w:val="es-ES"/>
        </w:rPr>
        <w:tab/>
      </w:r>
      <w:r>
        <w:rPr>
          <w:rStyle w:val="Refdenotaalpie"/>
        </w:rPr>
        <w:footnoteRef/>
      </w:r>
      <w:r w:rsidRPr="001B1F6B">
        <w:rPr>
          <w:lang w:val="es-ES"/>
        </w:rPr>
        <w:tab/>
      </w:r>
      <w:r>
        <w:rPr>
          <w:lang w:val="es-ES_tradnl"/>
        </w:rPr>
        <w:t>A</w:t>
      </w:r>
      <w:r w:rsidRPr="00F40EAB">
        <w:rPr>
          <w:lang w:val="es-ES_tradnl"/>
        </w:rPr>
        <w:t xml:space="preserve">veriguación previa </w:t>
      </w:r>
      <w:r w:rsidRPr="001B1F6B">
        <w:rPr>
          <w:lang w:val="es-ES"/>
        </w:rPr>
        <w:t>149/costa/2011.</w:t>
      </w:r>
    </w:p>
  </w:footnote>
  <w:footnote w:id="10">
    <w:p w14:paraId="77E0DC66" w14:textId="4530563C" w:rsidR="008C07B6" w:rsidRPr="00EE7201" w:rsidRDefault="008C07B6">
      <w:pPr>
        <w:pStyle w:val="Textonotapie"/>
        <w:rPr>
          <w:lang w:val="es-ES_tradnl"/>
        </w:rPr>
      </w:pPr>
      <w:r w:rsidRPr="00EE7201">
        <w:rPr>
          <w:lang w:val="es-ES_tradnl"/>
        </w:rPr>
        <w:tab/>
      </w:r>
      <w:r w:rsidRPr="00EE7201">
        <w:rPr>
          <w:rStyle w:val="Refdenotaalpie"/>
          <w:lang w:val="es-ES_tradnl"/>
        </w:rPr>
        <w:footnoteRef/>
      </w:r>
      <w:r w:rsidRPr="00EE7201">
        <w:rPr>
          <w:lang w:val="es-ES_tradnl"/>
        </w:rPr>
        <w:tab/>
        <w:t>Averiguación previa PGR/</w:t>
      </w:r>
      <w:proofErr w:type="spellStart"/>
      <w:r w:rsidRPr="00EE7201">
        <w:rPr>
          <w:lang w:val="es-ES_tradnl"/>
        </w:rPr>
        <w:t>SIEDO</w:t>
      </w:r>
      <w:proofErr w:type="spellEnd"/>
      <w:r w:rsidRPr="00EE7201">
        <w:rPr>
          <w:lang w:val="es-ES_tradnl"/>
        </w:rPr>
        <w:t>/</w:t>
      </w:r>
      <w:proofErr w:type="spellStart"/>
      <w:r w:rsidRPr="00EE7201">
        <w:rPr>
          <w:lang w:val="es-ES_tradnl"/>
        </w:rPr>
        <w:t>UEIS</w:t>
      </w:r>
      <w:proofErr w:type="spellEnd"/>
      <w:r w:rsidRPr="00EE7201">
        <w:rPr>
          <w:lang w:val="es-ES_tradnl"/>
        </w:rPr>
        <w:t>/009/2012.</w:t>
      </w:r>
    </w:p>
  </w:footnote>
  <w:footnote w:id="11">
    <w:p w14:paraId="1D5C30C3" w14:textId="77777777" w:rsidR="008C07B6" w:rsidRPr="001D4D41" w:rsidRDefault="008C07B6" w:rsidP="004D44EE">
      <w:pPr>
        <w:pStyle w:val="Textonotapie"/>
        <w:jc w:val="both"/>
        <w:rPr>
          <w:lang w:val="es-ES"/>
        </w:rPr>
      </w:pPr>
      <w:r>
        <w:rPr>
          <w:lang w:val="es-ES"/>
        </w:rPr>
        <w:tab/>
      </w:r>
      <w:r>
        <w:rPr>
          <w:rStyle w:val="Refdenotaalpie"/>
        </w:rPr>
        <w:footnoteRef/>
      </w:r>
      <w:r>
        <w:rPr>
          <w:lang w:val="es-ES"/>
        </w:rPr>
        <w:tab/>
      </w:r>
      <w:r w:rsidRPr="001D4D41">
        <w:rPr>
          <w:lang w:val="es-ES"/>
        </w:rPr>
        <w:t>Los autores aportan copia de la declaración ministerial</w:t>
      </w:r>
      <w:r>
        <w:rPr>
          <w:lang w:val="es-ES"/>
        </w:rPr>
        <w:t xml:space="preserve"> de</w:t>
      </w:r>
      <w:r w:rsidRPr="001D4D41">
        <w:rPr>
          <w:lang w:val="es-ES"/>
        </w:rPr>
        <w:t xml:space="preserve"> </w:t>
      </w:r>
      <w:r w:rsidRPr="003A57FF">
        <w:rPr>
          <w:lang w:val="es-ES"/>
        </w:rPr>
        <w:t xml:space="preserve">diligencia de comparecencia espontánea </w:t>
      </w:r>
      <w:r w:rsidRPr="001D4D41">
        <w:rPr>
          <w:lang w:val="es-ES"/>
        </w:rPr>
        <w:t xml:space="preserve">de </w:t>
      </w:r>
      <w:r>
        <w:rPr>
          <w:lang w:val="es-ES"/>
        </w:rPr>
        <w:t>Tomás Medina Lorenzana, de 30</w:t>
      </w:r>
      <w:r w:rsidRPr="001D4D41">
        <w:rPr>
          <w:lang w:val="es-ES"/>
        </w:rPr>
        <w:t xml:space="preserve"> de </w:t>
      </w:r>
      <w:r>
        <w:rPr>
          <w:lang w:val="es-ES"/>
        </w:rPr>
        <w:t>octubre</w:t>
      </w:r>
      <w:r w:rsidRPr="001D4D41">
        <w:rPr>
          <w:lang w:val="es-ES"/>
        </w:rPr>
        <w:t xml:space="preserve"> de 2011.</w:t>
      </w:r>
    </w:p>
  </w:footnote>
  <w:footnote w:id="12">
    <w:p w14:paraId="269FDD4D" w14:textId="2AD8D688" w:rsidR="008C07B6" w:rsidRPr="00B57431" w:rsidRDefault="008C07B6" w:rsidP="008935E5">
      <w:pPr>
        <w:pStyle w:val="Textonotapie"/>
        <w:jc w:val="both"/>
        <w:rPr>
          <w:lang w:val="es-ES_tradnl"/>
        </w:rPr>
      </w:pPr>
      <w:r w:rsidRPr="00B57431">
        <w:rPr>
          <w:lang w:val="es-ES_tradnl"/>
        </w:rPr>
        <w:tab/>
      </w:r>
      <w:r w:rsidRPr="00B57431">
        <w:rPr>
          <w:rStyle w:val="Refdenotaalpie"/>
          <w:lang w:val="es-ES_tradnl"/>
        </w:rPr>
        <w:footnoteRef/>
      </w:r>
      <w:r w:rsidRPr="00B57431">
        <w:rPr>
          <w:lang w:val="es-ES_tradnl"/>
        </w:rPr>
        <w:tab/>
      </w:r>
      <w:r>
        <w:rPr>
          <w:lang w:val="es-ES_tradnl"/>
        </w:rPr>
        <w:t>Los autores aportan copia de la</w:t>
      </w:r>
      <w:r w:rsidRPr="005768B6">
        <w:rPr>
          <w:lang w:val="es-ES_tradnl"/>
        </w:rPr>
        <w:t xml:space="preserve"> </w:t>
      </w:r>
      <w:r>
        <w:rPr>
          <w:lang w:val="es-ES_tradnl"/>
        </w:rPr>
        <w:t>d</w:t>
      </w:r>
      <w:r w:rsidRPr="00B57431">
        <w:rPr>
          <w:lang w:val="es-ES_tradnl"/>
        </w:rPr>
        <w:t>eclaración ministerial de Javier Rodríguez Peña,</w:t>
      </w:r>
      <w:r>
        <w:rPr>
          <w:lang w:val="es-ES_tradnl"/>
        </w:rPr>
        <w:t xml:space="preserve"> de</w:t>
      </w:r>
      <w:r w:rsidRPr="00B57431">
        <w:rPr>
          <w:lang w:val="es-ES_tradnl"/>
        </w:rPr>
        <w:t xml:space="preserve"> 2 de diciembre de</w:t>
      </w:r>
      <w:r w:rsidR="004E3C18">
        <w:rPr>
          <w:lang w:val="es-ES_tradnl"/>
        </w:rPr>
        <w:t> </w:t>
      </w:r>
      <w:r w:rsidRPr="00B57431">
        <w:rPr>
          <w:lang w:val="es-ES_tradnl"/>
        </w:rPr>
        <w:t>2011</w:t>
      </w:r>
      <w:r>
        <w:rPr>
          <w:lang w:val="es-ES_tradnl"/>
        </w:rPr>
        <w:t>.</w:t>
      </w:r>
    </w:p>
  </w:footnote>
  <w:footnote w:id="13">
    <w:p w14:paraId="79A7AEEB" w14:textId="0EC7DD33" w:rsidR="008C07B6" w:rsidRPr="001A7A04" w:rsidRDefault="008C07B6" w:rsidP="00060010">
      <w:pPr>
        <w:pStyle w:val="Textonotapie"/>
        <w:jc w:val="both"/>
        <w:rPr>
          <w:lang w:val="es-ES"/>
        </w:rPr>
      </w:pPr>
      <w:r w:rsidRPr="001A7A04">
        <w:rPr>
          <w:lang w:val="es-ES"/>
        </w:rPr>
        <w:tab/>
      </w:r>
      <w:r>
        <w:rPr>
          <w:rStyle w:val="Refdenotaalpie"/>
        </w:rPr>
        <w:footnoteRef/>
      </w:r>
      <w:r w:rsidRPr="001A7A04">
        <w:rPr>
          <w:lang w:val="es-ES"/>
        </w:rPr>
        <w:tab/>
      </w:r>
      <w:r>
        <w:rPr>
          <w:lang w:val="es-ES_tradnl"/>
        </w:rPr>
        <w:t>Los autores aportan copia de la</w:t>
      </w:r>
      <w:r w:rsidRPr="005768B6">
        <w:rPr>
          <w:lang w:val="es-ES_tradnl"/>
        </w:rPr>
        <w:t xml:space="preserve"> </w:t>
      </w:r>
      <w:r>
        <w:rPr>
          <w:lang w:val="es-ES_tradnl"/>
        </w:rPr>
        <w:t>a</w:t>
      </w:r>
      <w:r w:rsidRPr="00B52E8D">
        <w:rPr>
          <w:lang w:val="es-ES_tradnl"/>
        </w:rPr>
        <w:t xml:space="preserve">mpliación de declaración </w:t>
      </w:r>
      <w:r w:rsidRPr="007F1689">
        <w:rPr>
          <w:lang w:val="es-ES_tradnl"/>
        </w:rPr>
        <w:t>ministerial bajo arraigo de Javier Rodríguez Peña, d</w:t>
      </w:r>
      <w:r>
        <w:rPr>
          <w:lang w:val="es-ES_tradnl"/>
        </w:rPr>
        <w:t>e</w:t>
      </w:r>
      <w:r w:rsidRPr="00B52E8D">
        <w:rPr>
          <w:lang w:val="es-ES_tradnl"/>
        </w:rPr>
        <w:t xml:space="preserve"> 5 de diciembre de 2011</w:t>
      </w:r>
      <w:r>
        <w:rPr>
          <w:lang w:val="es-ES_tradnl"/>
        </w:rPr>
        <w:t>.</w:t>
      </w:r>
    </w:p>
  </w:footnote>
  <w:footnote w:id="14">
    <w:p w14:paraId="3D4FCD36" w14:textId="5ACE91A8" w:rsidR="008C07B6" w:rsidRPr="00774EC5" w:rsidRDefault="008C07B6" w:rsidP="001269D8">
      <w:pPr>
        <w:pStyle w:val="Textonotapie"/>
        <w:jc w:val="both"/>
        <w:rPr>
          <w:lang w:val="es-ES_tradnl"/>
        </w:rPr>
      </w:pPr>
      <w:r>
        <w:rPr>
          <w:lang w:val="es-ES_tradnl"/>
        </w:rPr>
        <w:tab/>
      </w:r>
      <w:r w:rsidRPr="00774EC5">
        <w:rPr>
          <w:rStyle w:val="Refdenotaalpie"/>
          <w:lang w:val="es-ES_tradnl"/>
        </w:rPr>
        <w:footnoteRef/>
      </w:r>
      <w:r>
        <w:rPr>
          <w:lang w:val="es-ES_tradnl"/>
        </w:rPr>
        <w:tab/>
        <w:t>Los autores aportan copia de la</w:t>
      </w:r>
      <w:r w:rsidRPr="005768B6">
        <w:rPr>
          <w:lang w:val="es-ES_tradnl"/>
        </w:rPr>
        <w:t xml:space="preserve"> </w:t>
      </w:r>
      <w:r>
        <w:rPr>
          <w:lang w:val="es-ES_tradnl"/>
        </w:rPr>
        <w:t>d</w:t>
      </w:r>
      <w:r w:rsidRPr="00B57431">
        <w:rPr>
          <w:lang w:val="es-ES_tradnl"/>
        </w:rPr>
        <w:t>eclaración ministerial de</w:t>
      </w:r>
      <w:r w:rsidRPr="00774EC5">
        <w:rPr>
          <w:lang w:val="es-ES_tradnl"/>
        </w:rPr>
        <w:t xml:space="preserve"> Honorio Corcuera, </w:t>
      </w:r>
      <w:r>
        <w:rPr>
          <w:lang w:val="es-ES_tradnl"/>
        </w:rPr>
        <w:t xml:space="preserve">de </w:t>
      </w:r>
      <w:r w:rsidRPr="00774EC5">
        <w:rPr>
          <w:lang w:val="es-ES_tradnl"/>
        </w:rPr>
        <w:t>5 de diciembre de 2011</w:t>
      </w:r>
      <w:r>
        <w:rPr>
          <w:lang w:val="es-ES_tradnl"/>
        </w:rPr>
        <w:t>.</w:t>
      </w:r>
    </w:p>
  </w:footnote>
  <w:footnote w:id="15">
    <w:p w14:paraId="636F6F44" w14:textId="77777777" w:rsidR="008C07B6" w:rsidRPr="00157E48" w:rsidRDefault="008C07B6" w:rsidP="00B34501">
      <w:pPr>
        <w:pStyle w:val="Textonotapie"/>
        <w:jc w:val="both"/>
        <w:rPr>
          <w:lang w:val="es-ES"/>
        </w:rPr>
      </w:pPr>
      <w:r>
        <w:rPr>
          <w:lang w:val="es-ES"/>
        </w:rPr>
        <w:tab/>
      </w:r>
      <w:r>
        <w:rPr>
          <w:rStyle w:val="Refdenotaalpie"/>
        </w:rPr>
        <w:footnoteRef/>
      </w:r>
      <w:r>
        <w:rPr>
          <w:lang w:val="es-ES"/>
        </w:rPr>
        <w:tab/>
      </w:r>
      <w:r>
        <w:rPr>
          <w:lang w:val="es-ES_tradnl"/>
        </w:rPr>
        <w:t xml:space="preserve">Los autores aportan copia del </w:t>
      </w:r>
      <w:r>
        <w:rPr>
          <w:lang w:val="es-ES"/>
        </w:rPr>
        <w:t>d</w:t>
      </w:r>
      <w:r w:rsidRPr="00157E48">
        <w:rPr>
          <w:lang w:val="es-ES"/>
        </w:rPr>
        <w:t>ictamen en criminalística de campo</w:t>
      </w:r>
      <w:r>
        <w:rPr>
          <w:lang w:val="es-ES"/>
        </w:rPr>
        <w:t xml:space="preserve">, de </w:t>
      </w:r>
      <w:r w:rsidRPr="00157E48">
        <w:rPr>
          <w:lang w:val="es-ES"/>
        </w:rPr>
        <w:t>21 de diciembre de 2011</w:t>
      </w:r>
      <w:r>
        <w:rPr>
          <w:lang w:val="es-ES"/>
        </w:rPr>
        <w:t>.</w:t>
      </w:r>
    </w:p>
  </w:footnote>
  <w:footnote w:id="16">
    <w:p w14:paraId="1541F182" w14:textId="1218F196" w:rsidR="008C07B6" w:rsidRPr="005005CA" w:rsidRDefault="008C07B6" w:rsidP="00B218D6">
      <w:pPr>
        <w:pStyle w:val="Textonotapie"/>
        <w:jc w:val="both"/>
        <w:rPr>
          <w:lang w:val="es-ES"/>
        </w:rPr>
      </w:pPr>
      <w:r>
        <w:rPr>
          <w:lang w:val="es-ES"/>
        </w:rPr>
        <w:tab/>
      </w:r>
      <w:r>
        <w:rPr>
          <w:rStyle w:val="Refdenotaalpie"/>
        </w:rPr>
        <w:footnoteRef/>
      </w:r>
      <w:r>
        <w:rPr>
          <w:lang w:val="es-ES"/>
        </w:rPr>
        <w:tab/>
      </w:r>
      <w:r>
        <w:rPr>
          <w:lang w:val="es-ES_tradnl"/>
        </w:rPr>
        <w:t xml:space="preserve">Los autores aportan copia del </w:t>
      </w:r>
      <w:r>
        <w:rPr>
          <w:lang w:val="es-ES"/>
        </w:rPr>
        <w:t>d</w:t>
      </w:r>
      <w:r w:rsidRPr="005005CA">
        <w:rPr>
          <w:lang w:val="es-ES"/>
        </w:rPr>
        <w:t xml:space="preserve">ictamen sobre rastreo de tejido hemático, </w:t>
      </w:r>
      <w:r>
        <w:rPr>
          <w:lang w:val="es-ES"/>
        </w:rPr>
        <w:t>de 24 de diciembre de 2011.</w:t>
      </w:r>
    </w:p>
  </w:footnote>
  <w:footnote w:id="17">
    <w:p w14:paraId="3289E15C" w14:textId="37110AE9" w:rsidR="008C07B6" w:rsidRPr="00D1029F" w:rsidRDefault="008C07B6" w:rsidP="008716E8">
      <w:pPr>
        <w:pStyle w:val="Textonotapie"/>
        <w:jc w:val="both"/>
        <w:rPr>
          <w:lang w:val="es-ES_tradnl"/>
        </w:rPr>
      </w:pPr>
      <w:r>
        <w:rPr>
          <w:lang w:val="es-ES_tradnl"/>
        </w:rPr>
        <w:tab/>
      </w:r>
      <w:r w:rsidRPr="00D1029F">
        <w:rPr>
          <w:rStyle w:val="Refdenotaalpie"/>
          <w:lang w:val="es-ES_tradnl"/>
        </w:rPr>
        <w:footnoteRef/>
      </w:r>
      <w:r>
        <w:rPr>
          <w:lang w:val="es-ES_tradnl"/>
        </w:rPr>
        <w:tab/>
        <w:t xml:space="preserve">Los autores aportan copia del </w:t>
      </w:r>
      <w:r>
        <w:rPr>
          <w:lang w:val="es-ES"/>
        </w:rPr>
        <w:t>d</w:t>
      </w:r>
      <w:r w:rsidRPr="005005CA">
        <w:rPr>
          <w:lang w:val="es-ES"/>
        </w:rPr>
        <w:t xml:space="preserve">ictamen </w:t>
      </w:r>
      <w:r w:rsidRPr="00D1029F">
        <w:rPr>
          <w:lang w:val="es-ES_tradnl"/>
        </w:rPr>
        <w:t xml:space="preserve">de </w:t>
      </w:r>
      <w:r>
        <w:rPr>
          <w:lang w:val="es-ES_tradnl"/>
        </w:rPr>
        <w:t>a</w:t>
      </w:r>
      <w:r w:rsidRPr="00D1029F">
        <w:rPr>
          <w:lang w:val="es-ES_tradnl"/>
        </w:rPr>
        <w:t xml:space="preserve">valúo </w:t>
      </w:r>
      <w:r>
        <w:rPr>
          <w:lang w:val="es-ES_tradnl"/>
        </w:rPr>
        <w:t>v</w:t>
      </w:r>
      <w:r w:rsidRPr="00D1029F">
        <w:rPr>
          <w:lang w:val="es-ES_tradnl"/>
        </w:rPr>
        <w:t xml:space="preserve">irtual, </w:t>
      </w:r>
      <w:r>
        <w:rPr>
          <w:lang w:val="es-ES_tradnl"/>
        </w:rPr>
        <w:t>de 25 de diciembre de 2011.</w:t>
      </w:r>
    </w:p>
  </w:footnote>
  <w:footnote w:id="18">
    <w:p w14:paraId="1B3B637D" w14:textId="47069021" w:rsidR="008C07B6" w:rsidRPr="001C163A" w:rsidRDefault="008C07B6" w:rsidP="008D5DF0">
      <w:pPr>
        <w:pStyle w:val="Textonotapie"/>
        <w:jc w:val="both"/>
        <w:rPr>
          <w:lang w:val="es-ES"/>
        </w:rPr>
      </w:pPr>
      <w:r w:rsidRPr="00A134A8">
        <w:rPr>
          <w:lang w:val="es-ES_tradnl"/>
        </w:rPr>
        <w:tab/>
      </w:r>
      <w:r w:rsidRPr="00A134A8">
        <w:rPr>
          <w:rStyle w:val="Refdenotaalpie"/>
          <w:lang w:val="es-ES_tradnl"/>
        </w:rPr>
        <w:footnoteRef/>
      </w:r>
      <w:r w:rsidRPr="00A134A8">
        <w:rPr>
          <w:lang w:val="es-ES_tradnl"/>
        </w:rPr>
        <w:tab/>
      </w:r>
      <w:r>
        <w:rPr>
          <w:lang w:val="es-ES_tradnl"/>
        </w:rPr>
        <w:t>El artículo</w:t>
      </w:r>
      <w:r w:rsidRPr="00A134A8">
        <w:rPr>
          <w:lang w:val="es-ES_tradnl"/>
        </w:rPr>
        <w:t xml:space="preserve"> 33</w:t>
      </w:r>
      <w:r>
        <w:rPr>
          <w:lang w:val="es-ES_tradnl"/>
        </w:rPr>
        <w:t xml:space="preserve"> del </w:t>
      </w:r>
      <w:r w:rsidRPr="000207CE">
        <w:rPr>
          <w:lang w:val="es-ES_tradnl"/>
        </w:rPr>
        <w:t xml:space="preserve">Código de Procedimientos Penales del estado </w:t>
      </w:r>
      <w:r>
        <w:rPr>
          <w:lang w:val="es-ES_tradnl"/>
        </w:rPr>
        <w:t xml:space="preserve">Libre y </w:t>
      </w:r>
      <w:r w:rsidRPr="000207CE">
        <w:rPr>
          <w:lang w:val="es-ES_tradnl"/>
        </w:rPr>
        <w:t>Soberano de Oaxaca</w:t>
      </w:r>
      <w:r>
        <w:rPr>
          <w:lang w:val="es-ES_tradnl"/>
        </w:rPr>
        <w:t xml:space="preserve"> dispone que</w:t>
      </w:r>
      <w:r w:rsidRPr="00A134A8">
        <w:rPr>
          <w:lang w:val="es-ES_tradnl"/>
        </w:rPr>
        <w:t xml:space="preserve"> </w:t>
      </w:r>
      <w:r>
        <w:rPr>
          <w:lang w:val="es-ES_tradnl"/>
        </w:rPr>
        <w:t>“[c]</w:t>
      </w:r>
      <w:proofErr w:type="spellStart"/>
      <w:r w:rsidRPr="00A134A8">
        <w:rPr>
          <w:lang w:val="es-ES_tradnl"/>
        </w:rPr>
        <w:t>uando</w:t>
      </w:r>
      <w:proofErr w:type="spellEnd"/>
      <w:r w:rsidRPr="00A134A8">
        <w:rPr>
          <w:lang w:val="es-ES_tradnl"/>
        </w:rPr>
        <w:t xml:space="preserve"> el cadáver no se encuentra bastará que los peritos, en vista de los datos que obren en el expediente declaren que la muerte fue resultado de las lesiones inferidas. A este efecto serán examinados los testigos que hayan visto el cadáver, quienes harán la descripción </w:t>
      </w:r>
      <w:proofErr w:type="gramStart"/>
      <w:r w:rsidRPr="00A134A8">
        <w:rPr>
          <w:lang w:val="es-ES_tradnl"/>
        </w:rPr>
        <w:t>del mismo</w:t>
      </w:r>
      <w:proofErr w:type="gramEnd"/>
      <w:r w:rsidRPr="00A134A8">
        <w:rPr>
          <w:lang w:val="es-ES_tradnl"/>
        </w:rPr>
        <w:t xml:space="preserve"> y darán todos los datos que tiendan a la averiguación</w:t>
      </w:r>
      <w:r>
        <w:rPr>
          <w:lang w:val="es-ES_tradnl"/>
        </w:rPr>
        <w:t>”.</w:t>
      </w:r>
    </w:p>
  </w:footnote>
  <w:footnote w:id="19">
    <w:p w14:paraId="5FA8FAF2" w14:textId="4AE70377" w:rsidR="008C07B6" w:rsidRPr="00807DAE" w:rsidRDefault="008C07B6" w:rsidP="00D23068">
      <w:pPr>
        <w:pStyle w:val="Textonotapie"/>
        <w:jc w:val="both"/>
        <w:rPr>
          <w:lang w:val="es-ES_tradnl"/>
        </w:rPr>
      </w:pPr>
      <w:r w:rsidRPr="001C163A">
        <w:rPr>
          <w:lang w:val="es-ES"/>
        </w:rPr>
        <w:tab/>
      </w:r>
      <w:r w:rsidRPr="00807DAE">
        <w:rPr>
          <w:rStyle w:val="Refdenotaalpie"/>
          <w:lang w:val="es-ES_tradnl"/>
        </w:rPr>
        <w:footnoteRef/>
      </w:r>
      <w:r w:rsidRPr="00807DAE">
        <w:rPr>
          <w:lang w:val="es-ES_tradnl"/>
        </w:rPr>
        <w:tab/>
      </w:r>
      <w:r>
        <w:rPr>
          <w:lang w:val="es-ES_tradnl"/>
        </w:rPr>
        <w:t>Los autores aportan copia del c</w:t>
      </w:r>
      <w:r w:rsidRPr="00807DAE">
        <w:rPr>
          <w:lang w:val="es-ES_tradnl"/>
        </w:rPr>
        <w:t xml:space="preserve">ertificado de </w:t>
      </w:r>
      <w:r>
        <w:rPr>
          <w:lang w:val="es-ES_tradnl"/>
        </w:rPr>
        <w:t>d</w:t>
      </w:r>
      <w:r w:rsidRPr="00807DAE">
        <w:rPr>
          <w:lang w:val="es-ES_tradnl"/>
        </w:rPr>
        <w:t>efunción</w:t>
      </w:r>
      <w:r>
        <w:rPr>
          <w:lang w:val="es-ES_tradnl"/>
        </w:rPr>
        <w:t>.</w:t>
      </w:r>
    </w:p>
  </w:footnote>
  <w:footnote w:id="20">
    <w:p w14:paraId="1336DD02" w14:textId="61D42B1C" w:rsidR="008C07B6" w:rsidRPr="00DD2D1E" w:rsidRDefault="008C07B6" w:rsidP="00D17F02">
      <w:pPr>
        <w:pStyle w:val="Textonotapie"/>
        <w:jc w:val="both"/>
        <w:rPr>
          <w:lang w:val="es-ES"/>
        </w:rPr>
      </w:pPr>
      <w:r>
        <w:rPr>
          <w:lang w:val="es-ES"/>
        </w:rPr>
        <w:tab/>
      </w:r>
      <w:r>
        <w:rPr>
          <w:rStyle w:val="Refdenotaalpie"/>
        </w:rPr>
        <w:footnoteRef/>
      </w:r>
      <w:r>
        <w:rPr>
          <w:lang w:val="es-ES"/>
        </w:rPr>
        <w:tab/>
      </w:r>
      <w:r>
        <w:rPr>
          <w:lang w:val="es-ES_tradnl"/>
        </w:rPr>
        <w:t xml:space="preserve">Los autores aportan copia de la </w:t>
      </w:r>
      <w:r>
        <w:rPr>
          <w:lang w:val="es-ES"/>
        </w:rPr>
        <w:t>d</w:t>
      </w:r>
      <w:r w:rsidRPr="00DD2D1E">
        <w:rPr>
          <w:lang w:val="es-ES"/>
        </w:rPr>
        <w:t xml:space="preserve">eclaración preparatoria ante el </w:t>
      </w:r>
      <w:r>
        <w:rPr>
          <w:lang w:val="es-ES"/>
        </w:rPr>
        <w:t>j</w:t>
      </w:r>
      <w:r w:rsidRPr="00DD2D1E">
        <w:rPr>
          <w:lang w:val="es-ES"/>
        </w:rPr>
        <w:t>uez del inculpado Javier Ro</w:t>
      </w:r>
      <w:r>
        <w:rPr>
          <w:lang w:val="es-ES"/>
        </w:rPr>
        <w:t>dríguez Peña, de</w:t>
      </w:r>
      <w:r w:rsidRPr="00DD2D1E">
        <w:rPr>
          <w:lang w:val="es-ES"/>
        </w:rPr>
        <w:t xml:space="preserve"> 4 de enero de 2012</w:t>
      </w:r>
      <w:r>
        <w:rPr>
          <w:lang w:val="es-ES"/>
        </w:rPr>
        <w:t>.</w:t>
      </w:r>
    </w:p>
  </w:footnote>
  <w:footnote w:id="21">
    <w:p w14:paraId="7C26ACA2" w14:textId="1E99F6C6" w:rsidR="008C07B6" w:rsidRPr="004C2E22" w:rsidRDefault="008C07B6" w:rsidP="00593F27">
      <w:pPr>
        <w:pStyle w:val="Textonotapie"/>
        <w:jc w:val="both"/>
        <w:rPr>
          <w:lang w:val="es-ES_tradnl"/>
        </w:rPr>
      </w:pPr>
      <w:r>
        <w:rPr>
          <w:lang w:val="es-ES_tradnl"/>
        </w:rPr>
        <w:tab/>
      </w:r>
      <w:r w:rsidRPr="00593F27">
        <w:rPr>
          <w:rStyle w:val="Refdenotaalpie"/>
          <w:lang w:val="es-ES_tradnl"/>
        </w:rPr>
        <w:footnoteRef/>
      </w:r>
      <w:r>
        <w:rPr>
          <w:lang w:val="es-ES_tradnl"/>
        </w:rPr>
        <w:tab/>
        <w:t xml:space="preserve">Los autores aportan copia de las </w:t>
      </w:r>
      <w:r>
        <w:rPr>
          <w:lang w:val="es-ES"/>
        </w:rPr>
        <w:t>d</w:t>
      </w:r>
      <w:r w:rsidRPr="00DD2D1E">
        <w:rPr>
          <w:lang w:val="es-ES"/>
        </w:rPr>
        <w:t>eclaraci</w:t>
      </w:r>
      <w:r>
        <w:rPr>
          <w:lang w:val="es-ES"/>
        </w:rPr>
        <w:t>ones</w:t>
      </w:r>
      <w:r>
        <w:rPr>
          <w:lang w:val="es-ES_tradnl"/>
        </w:rPr>
        <w:t xml:space="preserve"> de</w:t>
      </w:r>
      <w:r w:rsidRPr="00593F27">
        <w:rPr>
          <w:lang w:val="es-ES_tradnl"/>
        </w:rPr>
        <w:t xml:space="preserve"> </w:t>
      </w:r>
      <w:r w:rsidRPr="004C2E22">
        <w:rPr>
          <w:lang w:val="es-ES_tradnl"/>
        </w:rPr>
        <w:t xml:space="preserve">los inculpados </w:t>
      </w:r>
      <w:r w:rsidRPr="00593F27">
        <w:rPr>
          <w:lang w:val="es-ES_tradnl"/>
        </w:rPr>
        <w:t>Margarito González y Honorio Corcuera</w:t>
      </w:r>
      <w:r>
        <w:rPr>
          <w:lang w:val="es-ES_tradnl"/>
        </w:rPr>
        <w:t>, de</w:t>
      </w:r>
      <w:r w:rsidRPr="00593F27">
        <w:rPr>
          <w:lang w:val="es-ES_tradnl"/>
        </w:rPr>
        <w:t xml:space="preserve"> 17 de abril de 2012</w:t>
      </w:r>
      <w:r>
        <w:rPr>
          <w:lang w:val="es-ES_tradnl"/>
        </w:rPr>
        <w:t>.</w:t>
      </w:r>
    </w:p>
  </w:footnote>
  <w:footnote w:id="22">
    <w:p w14:paraId="08002D92" w14:textId="759B501A" w:rsidR="008C07B6" w:rsidRPr="00695C13" w:rsidRDefault="008C07B6" w:rsidP="00531919">
      <w:pPr>
        <w:pStyle w:val="Textonotapie"/>
        <w:jc w:val="both"/>
        <w:rPr>
          <w:lang w:val="es-ES"/>
        </w:rPr>
      </w:pPr>
      <w:r>
        <w:rPr>
          <w:lang w:val="es-ES"/>
        </w:rPr>
        <w:tab/>
      </w:r>
      <w:r>
        <w:rPr>
          <w:rStyle w:val="Refdenotaalpie"/>
        </w:rPr>
        <w:footnoteRef/>
      </w:r>
      <w:r>
        <w:rPr>
          <w:lang w:val="es-ES"/>
        </w:rPr>
        <w:tab/>
        <w:t>El agravante de</w:t>
      </w:r>
      <w:r w:rsidRPr="00665DAB">
        <w:rPr>
          <w:lang w:val="es-ES"/>
        </w:rPr>
        <w:t xml:space="preserve"> premeditación</w:t>
      </w:r>
      <w:r w:rsidRPr="00695C13">
        <w:rPr>
          <w:lang w:val="es-ES"/>
        </w:rPr>
        <w:t xml:space="preserve"> </w:t>
      </w:r>
      <w:r>
        <w:rPr>
          <w:lang w:val="es-ES"/>
        </w:rPr>
        <w:t>se aplica cuando</w:t>
      </w:r>
      <w:r w:rsidRPr="00A20A6A">
        <w:rPr>
          <w:lang w:val="es-ES"/>
        </w:rPr>
        <w:t xml:space="preserve"> el reo causa</w:t>
      </w:r>
      <w:r w:rsidRPr="00695C13">
        <w:rPr>
          <w:lang w:val="es-ES"/>
        </w:rPr>
        <w:t xml:space="preserve"> intencionalmente un</w:t>
      </w:r>
      <w:r>
        <w:rPr>
          <w:lang w:val="es-ES"/>
        </w:rPr>
        <w:t>a</w:t>
      </w:r>
      <w:r w:rsidRPr="00695C13">
        <w:rPr>
          <w:lang w:val="es-ES"/>
        </w:rPr>
        <w:t xml:space="preserve"> lesión, después de haber reflexionado sobre el delito que va a cometer</w:t>
      </w:r>
      <w:r>
        <w:rPr>
          <w:lang w:val="es-ES"/>
        </w:rPr>
        <w:t>; el agravante de ventaja se aplica cuando</w:t>
      </w:r>
      <w:r w:rsidRPr="00695C13">
        <w:rPr>
          <w:lang w:val="es-ES"/>
        </w:rPr>
        <w:t xml:space="preserve"> </w:t>
      </w:r>
      <w:r w:rsidRPr="00FF387E">
        <w:rPr>
          <w:lang w:val="es-ES"/>
        </w:rPr>
        <w:t xml:space="preserve">el delincuente es superior en fuerza física al ofendido y </w:t>
      </w:r>
      <w:r>
        <w:rPr>
          <w:lang w:val="es-ES"/>
        </w:rPr>
        <w:t>e</w:t>
      </w:r>
      <w:r w:rsidRPr="00FF387E">
        <w:rPr>
          <w:lang w:val="es-ES"/>
        </w:rPr>
        <w:t>ste no se halla armado</w:t>
      </w:r>
      <w:r>
        <w:rPr>
          <w:lang w:val="es-ES"/>
        </w:rPr>
        <w:t>, c</w:t>
      </w:r>
      <w:r w:rsidRPr="00FF387E">
        <w:rPr>
          <w:lang w:val="es-ES"/>
        </w:rPr>
        <w:t>uando es superior por las armas que emplea, por su mayor destreza en el manejo de ellas o por el número de los que lo acompañan</w:t>
      </w:r>
      <w:r>
        <w:rPr>
          <w:lang w:val="es-ES"/>
        </w:rPr>
        <w:t>, c</w:t>
      </w:r>
      <w:r w:rsidRPr="00FF387E">
        <w:rPr>
          <w:lang w:val="es-ES"/>
        </w:rPr>
        <w:t>uando se vale de algún medio que debilita la defensa del ofendido</w:t>
      </w:r>
      <w:r>
        <w:rPr>
          <w:lang w:val="es-ES"/>
        </w:rPr>
        <w:t>, o c</w:t>
      </w:r>
      <w:r w:rsidRPr="00FF387E">
        <w:rPr>
          <w:lang w:val="es-ES"/>
        </w:rPr>
        <w:t xml:space="preserve">uando </w:t>
      </w:r>
      <w:r>
        <w:rPr>
          <w:lang w:val="es-ES"/>
        </w:rPr>
        <w:t>e</w:t>
      </w:r>
      <w:r w:rsidRPr="00FF387E">
        <w:rPr>
          <w:lang w:val="es-ES"/>
        </w:rPr>
        <w:t>ste se halla inerme o caído y aqu</w:t>
      </w:r>
      <w:r>
        <w:rPr>
          <w:lang w:val="es-ES"/>
        </w:rPr>
        <w:t>e</w:t>
      </w:r>
      <w:r w:rsidRPr="00FF387E">
        <w:rPr>
          <w:lang w:val="es-ES"/>
        </w:rPr>
        <w:t>l armado o de pie</w:t>
      </w:r>
      <w:r>
        <w:rPr>
          <w:lang w:val="es-ES"/>
        </w:rPr>
        <w:t>.</w:t>
      </w:r>
    </w:p>
  </w:footnote>
  <w:footnote w:id="23">
    <w:p w14:paraId="6EAECE19" w14:textId="4F5780AC" w:rsidR="008C07B6" w:rsidRPr="002965D9" w:rsidRDefault="008C07B6" w:rsidP="00817161">
      <w:pPr>
        <w:pStyle w:val="Textonotapie"/>
        <w:jc w:val="both"/>
        <w:rPr>
          <w:lang w:val="es-ES"/>
        </w:rPr>
      </w:pPr>
      <w:r>
        <w:rPr>
          <w:lang w:val="es-ES"/>
        </w:rPr>
        <w:tab/>
      </w:r>
      <w:r>
        <w:rPr>
          <w:rStyle w:val="Refdenotaalpie"/>
        </w:rPr>
        <w:footnoteRef/>
      </w:r>
      <w:r>
        <w:rPr>
          <w:lang w:val="es-ES"/>
        </w:rPr>
        <w:tab/>
      </w:r>
      <w:r>
        <w:rPr>
          <w:lang w:val="es-ES_tradnl"/>
        </w:rPr>
        <w:t xml:space="preserve">Los autores aportan copia del </w:t>
      </w:r>
      <w:r>
        <w:rPr>
          <w:lang w:val="es-ES"/>
        </w:rPr>
        <w:t>e</w:t>
      </w:r>
      <w:r w:rsidRPr="002965D9">
        <w:rPr>
          <w:lang w:val="es-ES"/>
        </w:rPr>
        <w:t xml:space="preserve">xpediente de </w:t>
      </w:r>
      <w:r>
        <w:rPr>
          <w:lang w:val="es-ES"/>
        </w:rPr>
        <w:t>a</w:t>
      </w:r>
      <w:r w:rsidRPr="002965D9">
        <w:rPr>
          <w:lang w:val="es-ES"/>
        </w:rPr>
        <w:t>mparo</w:t>
      </w:r>
      <w:r>
        <w:rPr>
          <w:lang w:val="es-ES"/>
        </w:rPr>
        <w:t>.</w:t>
      </w:r>
    </w:p>
  </w:footnote>
  <w:footnote w:id="24">
    <w:p w14:paraId="60BD4E03" w14:textId="625CF20D" w:rsidR="008C07B6" w:rsidRPr="00D20278" w:rsidRDefault="008C07B6" w:rsidP="00396ECD">
      <w:pPr>
        <w:pStyle w:val="Textonotapie"/>
        <w:jc w:val="both"/>
        <w:rPr>
          <w:lang w:val="es-ES"/>
        </w:rPr>
      </w:pPr>
      <w:r>
        <w:rPr>
          <w:lang w:val="es-ES"/>
        </w:rPr>
        <w:tab/>
      </w:r>
      <w:r>
        <w:rPr>
          <w:rStyle w:val="Refdenotaalpie"/>
        </w:rPr>
        <w:footnoteRef/>
      </w:r>
      <w:r>
        <w:rPr>
          <w:lang w:val="es-ES"/>
        </w:rPr>
        <w:tab/>
        <w:t>Los autores anexan la d</w:t>
      </w:r>
      <w:r w:rsidRPr="00D20278">
        <w:rPr>
          <w:lang w:val="es-ES"/>
        </w:rPr>
        <w:t xml:space="preserve">enuncia </w:t>
      </w:r>
      <w:r>
        <w:rPr>
          <w:lang w:val="es-ES"/>
        </w:rPr>
        <w:t>138(</w:t>
      </w:r>
      <w:proofErr w:type="spellStart"/>
      <w:r>
        <w:rPr>
          <w:lang w:val="es-ES"/>
        </w:rPr>
        <w:t>FESP</w:t>
      </w:r>
      <w:proofErr w:type="spellEnd"/>
      <w:r>
        <w:rPr>
          <w:lang w:val="es-ES"/>
        </w:rPr>
        <w:t xml:space="preserve">)/2013 </w:t>
      </w:r>
      <w:r w:rsidRPr="00D20278">
        <w:rPr>
          <w:lang w:val="es-ES"/>
        </w:rPr>
        <w:t xml:space="preserve">del </w:t>
      </w:r>
      <w:r w:rsidR="00CF4C7E">
        <w:rPr>
          <w:lang w:val="es-ES"/>
        </w:rPr>
        <w:t xml:space="preserve">Sr. </w:t>
      </w:r>
      <w:r w:rsidRPr="00D20278">
        <w:rPr>
          <w:lang w:val="es-ES"/>
        </w:rPr>
        <w:t>Moreno Zamora</w:t>
      </w:r>
      <w:r>
        <w:rPr>
          <w:lang w:val="es-ES"/>
        </w:rPr>
        <w:t>,</w:t>
      </w:r>
      <w:r w:rsidRPr="00D20278">
        <w:rPr>
          <w:lang w:val="es-ES"/>
        </w:rPr>
        <w:t xml:space="preserve"> de 12 de junio de 2013</w:t>
      </w:r>
      <w:r>
        <w:rPr>
          <w:lang w:val="es-ES"/>
        </w:rPr>
        <w:t>, por delitos de amenazas y abuso de autoridad.</w:t>
      </w:r>
    </w:p>
  </w:footnote>
  <w:footnote w:id="25">
    <w:p w14:paraId="5D048C3E" w14:textId="6F6840F4" w:rsidR="008C07B6" w:rsidRPr="009B0866" w:rsidRDefault="008C07B6" w:rsidP="009B0866">
      <w:pPr>
        <w:pStyle w:val="Textonotapie"/>
        <w:jc w:val="both"/>
        <w:rPr>
          <w:lang w:val="es-ES"/>
        </w:rPr>
      </w:pPr>
      <w:r>
        <w:rPr>
          <w:lang w:val="es-ES"/>
        </w:rPr>
        <w:tab/>
      </w:r>
      <w:r>
        <w:rPr>
          <w:rStyle w:val="Refdenotaalpie"/>
        </w:rPr>
        <w:footnoteRef/>
      </w:r>
      <w:r>
        <w:rPr>
          <w:lang w:val="es-ES"/>
        </w:rPr>
        <w:tab/>
        <w:t>Los autores aportan copia de la</w:t>
      </w:r>
      <w:r w:rsidRPr="009B0866">
        <w:rPr>
          <w:lang w:val="es-ES"/>
        </w:rPr>
        <w:t xml:space="preserve"> </w:t>
      </w:r>
      <w:r>
        <w:rPr>
          <w:lang w:val="es-ES"/>
        </w:rPr>
        <w:t>d</w:t>
      </w:r>
      <w:r w:rsidRPr="009B0866">
        <w:rPr>
          <w:lang w:val="es-ES"/>
        </w:rPr>
        <w:t>eclaración de Francisco Javier Domínguez Rodríguez, de 28 de dicie</w:t>
      </w:r>
      <w:r>
        <w:rPr>
          <w:lang w:val="es-ES"/>
        </w:rPr>
        <w:t>mbre de 2013.</w:t>
      </w:r>
    </w:p>
  </w:footnote>
  <w:footnote w:id="26">
    <w:p w14:paraId="5E26DFC4" w14:textId="3D2B33AD" w:rsidR="008C07B6" w:rsidRPr="00FE5962" w:rsidRDefault="008C07B6">
      <w:pPr>
        <w:pStyle w:val="Textonotapie"/>
        <w:rPr>
          <w:lang w:val="es-ES"/>
        </w:rPr>
      </w:pPr>
      <w:r>
        <w:rPr>
          <w:lang w:val="es-ES"/>
        </w:rPr>
        <w:tab/>
      </w:r>
      <w:r w:rsidRPr="00FE5962">
        <w:rPr>
          <w:rStyle w:val="Refdenotaalpie"/>
          <w:lang w:val="es-ES"/>
        </w:rPr>
        <w:footnoteRef/>
      </w:r>
      <w:r>
        <w:rPr>
          <w:lang w:val="es-ES"/>
        </w:rPr>
        <w:tab/>
      </w:r>
      <w:r w:rsidRPr="00FE5962">
        <w:rPr>
          <w:lang w:val="es-ES"/>
        </w:rPr>
        <w:t>Expediente administrativo 09/</w:t>
      </w:r>
      <w:proofErr w:type="spellStart"/>
      <w:r w:rsidRPr="00FE5962">
        <w:rPr>
          <w:lang w:val="es-ES"/>
        </w:rPr>
        <w:t>VIS.GRAL</w:t>
      </w:r>
      <w:proofErr w:type="spellEnd"/>
      <w:r w:rsidRPr="00FE5962">
        <w:rPr>
          <w:lang w:val="es-ES"/>
        </w:rPr>
        <w:t>/2013</w:t>
      </w:r>
      <w:r>
        <w:rPr>
          <w:lang w:val="es-ES"/>
        </w:rPr>
        <w:t>.</w:t>
      </w:r>
    </w:p>
  </w:footnote>
  <w:footnote w:id="27">
    <w:p w14:paraId="567FBC2A" w14:textId="09D5FF55" w:rsidR="008C07B6" w:rsidRPr="00885D82" w:rsidRDefault="008C07B6" w:rsidP="00AF63A3">
      <w:pPr>
        <w:pStyle w:val="Textonotapie"/>
        <w:jc w:val="both"/>
        <w:rPr>
          <w:lang w:val="es-ES_tradnl"/>
        </w:rPr>
      </w:pPr>
      <w:r>
        <w:rPr>
          <w:lang w:val="es-ES_tradnl"/>
        </w:rPr>
        <w:tab/>
      </w:r>
      <w:r w:rsidRPr="00885D82">
        <w:rPr>
          <w:rStyle w:val="Refdenotaalpie"/>
          <w:lang w:val="es-ES_tradnl"/>
        </w:rPr>
        <w:footnoteRef/>
      </w:r>
      <w:r>
        <w:rPr>
          <w:lang w:val="es-ES_tradnl"/>
        </w:rPr>
        <w:tab/>
      </w:r>
      <w:r w:rsidRPr="00885D82">
        <w:rPr>
          <w:lang w:val="es-ES_tradnl"/>
        </w:rPr>
        <w:t xml:space="preserve">Los autores aportaron </w:t>
      </w:r>
      <w:r>
        <w:rPr>
          <w:lang w:val="es-ES_tradnl"/>
        </w:rPr>
        <w:t>copia del informe de la</w:t>
      </w:r>
      <w:r w:rsidRPr="00885D82">
        <w:rPr>
          <w:lang w:val="es-ES_tradnl"/>
        </w:rPr>
        <w:t xml:space="preserve"> Fiscalía Especializada en Delitos cometidos por Servidores Públicos, 29 de enero de 2014, p</w:t>
      </w:r>
      <w:r>
        <w:rPr>
          <w:lang w:val="es-ES_tradnl"/>
        </w:rPr>
        <w:t>ágs</w:t>
      </w:r>
      <w:r w:rsidRPr="00885D82">
        <w:rPr>
          <w:lang w:val="es-ES_tradnl"/>
        </w:rPr>
        <w:t>. 9, 12, 18</w:t>
      </w:r>
      <w:r>
        <w:rPr>
          <w:lang w:val="es-ES_tradnl"/>
        </w:rPr>
        <w:t xml:space="preserve">, </w:t>
      </w:r>
      <w:r w:rsidRPr="00885D82">
        <w:rPr>
          <w:lang w:val="es-ES_tradnl"/>
        </w:rPr>
        <w:t>19, 21</w:t>
      </w:r>
      <w:r>
        <w:rPr>
          <w:lang w:val="es-ES_tradnl"/>
        </w:rPr>
        <w:t xml:space="preserve"> a </w:t>
      </w:r>
      <w:r w:rsidRPr="00885D82">
        <w:rPr>
          <w:lang w:val="es-ES_tradnl"/>
        </w:rPr>
        <w:t>23, 26 y 31</w:t>
      </w:r>
      <w:r>
        <w:rPr>
          <w:lang w:val="es-ES_tradnl"/>
        </w:rPr>
        <w:t>.</w:t>
      </w:r>
    </w:p>
  </w:footnote>
  <w:footnote w:id="28">
    <w:p w14:paraId="58016C15" w14:textId="71B117FF" w:rsidR="008C07B6" w:rsidRPr="005668E9" w:rsidRDefault="008C07B6" w:rsidP="005668E9">
      <w:pPr>
        <w:pStyle w:val="Textonotapie"/>
        <w:jc w:val="both"/>
        <w:rPr>
          <w:lang w:val="es-ES_tradnl"/>
        </w:rPr>
      </w:pPr>
      <w:r w:rsidRPr="001C163A">
        <w:rPr>
          <w:lang w:val="es-ES"/>
        </w:rPr>
        <w:tab/>
      </w:r>
      <w:r w:rsidRPr="005668E9">
        <w:rPr>
          <w:rStyle w:val="Refdenotaalpie"/>
          <w:lang w:val="es-ES_tradnl"/>
        </w:rPr>
        <w:footnoteRef/>
      </w:r>
      <w:r w:rsidRPr="005668E9">
        <w:rPr>
          <w:lang w:val="es-ES_tradnl"/>
        </w:rPr>
        <w:tab/>
      </w:r>
      <w:r w:rsidRPr="00D46DE3">
        <w:rPr>
          <w:i/>
          <w:lang w:val="es-ES_tradnl"/>
        </w:rPr>
        <w:t>T.</w:t>
      </w:r>
      <w:r w:rsidR="00963B70">
        <w:rPr>
          <w:i/>
          <w:lang w:val="es-ES_tradnl"/>
        </w:rPr>
        <w:t xml:space="preserve"> </w:t>
      </w:r>
      <w:r w:rsidRPr="00D46DE3">
        <w:rPr>
          <w:i/>
          <w:lang w:val="es-ES_tradnl"/>
        </w:rPr>
        <w:t>K. c. Francia</w:t>
      </w:r>
      <w:r w:rsidRPr="005668E9">
        <w:rPr>
          <w:lang w:val="es-ES_tradnl"/>
        </w:rPr>
        <w:t xml:space="preserve"> </w:t>
      </w:r>
      <w:r>
        <w:rPr>
          <w:lang w:val="es-ES_tradnl"/>
        </w:rPr>
        <w:t>(</w:t>
      </w:r>
      <w:proofErr w:type="spellStart"/>
      <w:r w:rsidRPr="005668E9">
        <w:rPr>
          <w:lang w:val="es-ES_tradnl"/>
        </w:rPr>
        <w:t>CCPR</w:t>
      </w:r>
      <w:proofErr w:type="spellEnd"/>
      <w:r w:rsidRPr="005668E9">
        <w:rPr>
          <w:lang w:val="es-ES_tradnl"/>
        </w:rPr>
        <w:t>/C/37/D/22</w:t>
      </w:r>
      <w:r w:rsidR="008D435E">
        <w:rPr>
          <w:lang w:val="es-ES_tradnl"/>
        </w:rPr>
        <w:t>0</w:t>
      </w:r>
      <w:r w:rsidRPr="005668E9">
        <w:rPr>
          <w:lang w:val="es-ES_tradnl"/>
        </w:rPr>
        <w:t>/1987</w:t>
      </w:r>
      <w:r>
        <w:rPr>
          <w:lang w:val="es-ES_tradnl"/>
        </w:rPr>
        <w:t>)</w:t>
      </w:r>
      <w:r w:rsidRPr="005668E9">
        <w:rPr>
          <w:lang w:val="es-ES_tradnl"/>
        </w:rPr>
        <w:t>, párr. 8.2.</w:t>
      </w:r>
    </w:p>
  </w:footnote>
  <w:footnote w:id="29">
    <w:p w14:paraId="6EDE8BB7" w14:textId="4B80CD4B" w:rsidR="008C07B6" w:rsidRPr="00F23D44" w:rsidRDefault="008C07B6" w:rsidP="0039252F">
      <w:pPr>
        <w:pStyle w:val="Textonotapie"/>
        <w:jc w:val="both"/>
        <w:rPr>
          <w:color w:val="FF0000"/>
          <w:lang w:val="es-ES_tradnl"/>
        </w:rPr>
      </w:pPr>
      <w:r w:rsidRPr="00F23D44">
        <w:rPr>
          <w:color w:val="FF0000"/>
          <w:lang w:val="es-ES"/>
        </w:rPr>
        <w:tab/>
      </w:r>
      <w:r w:rsidRPr="00216F65">
        <w:rPr>
          <w:rStyle w:val="Refdenotaalpie"/>
          <w:lang w:val="es-ES_tradnl"/>
        </w:rPr>
        <w:footnoteRef/>
      </w:r>
      <w:r w:rsidRPr="00216F65">
        <w:rPr>
          <w:lang w:val="es-ES_tradnl"/>
        </w:rPr>
        <w:tab/>
      </w:r>
      <w:r w:rsidRPr="00216F65">
        <w:rPr>
          <w:i/>
          <w:lang w:val="es-ES_tradnl"/>
        </w:rPr>
        <w:t>Pestaño c. Filipinas</w:t>
      </w:r>
      <w:r w:rsidRPr="00216F65">
        <w:rPr>
          <w:lang w:val="es-ES_tradnl"/>
        </w:rPr>
        <w:t xml:space="preserve"> (</w:t>
      </w:r>
      <w:proofErr w:type="spellStart"/>
      <w:r w:rsidRPr="00216F65">
        <w:rPr>
          <w:lang w:val="es-ES_tradnl"/>
        </w:rPr>
        <w:t>CCPR</w:t>
      </w:r>
      <w:proofErr w:type="spellEnd"/>
      <w:r w:rsidRPr="00216F65">
        <w:rPr>
          <w:lang w:val="es-ES_tradnl"/>
        </w:rPr>
        <w:t>/C/98/D/1619/2007), párr. 7.2.</w:t>
      </w:r>
    </w:p>
  </w:footnote>
  <w:footnote w:id="30">
    <w:p w14:paraId="0A773158" w14:textId="690D4A27" w:rsidR="008C07B6" w:rsidRPr="00324C3D" w:rsidRDefault="008C07B6" w:rsidP="00AB07A1">
      <w:pPr>
        <w:pStyle w:val="Textonotapie"/>
        <w:jc w:val="both"/>
        <w:rPr>
          <w:lang w:val="es-ES"/>
        </w:rPr>
      </w:pPr>
      <w:r>
        <w:rPr>
          <w:lang w:val="es-ES"/>
        </w:rPr>
        <w:tab/>
      </w:r>
      <w:r w:rsidRPr="00042490">
        <w:rPr>
          <w:rStyle w:val="Refdenotaalpie"/>
        </w:rPr>
        <w:footnoteRef/>
      </w:r>
      <w:r w:rsidRPr="00042490">
        <w:rPr>
          <w:lang w:val="es-ES"/>
        </w:rPr>
        <w:tab/>
        <w:t xml:space="preserve">Corte </w:t>
      </w:r>
      <w:r>
        <w:rPr>
          <w:lang w:val="es-ES"/>
        </w:rPr>
        <w:t xml:space="preserve">Interamericana de Derechos Humanos, </w:t>
      </w:r>
      <w:r w:rsidRPr="00042490">
        <w:rPr>
          <w:i/>
          <w:lang w:val="es-ES"/>
        </w:rPr>
        <w:t xml:space="preserve">Cabrera García y Montiel Flores </w:t>
      </w:r>
      <w:r>
        <w:rPr>
          <w:i/>
          <w:lang w:val="es-ES"/>
        </w:rPr>
        <w:t>vs</w:t>
      </w:r>
      <w:r w:rsidRPr="00042490">
        <w:rPr>
          <w:i/>
          <w:lang w:val="es-ES"/>
        </w:rPr>
        <w:t>. México</w:t>
      </w:r>
      <w:r>
        <w:rPr>
          <w:i/>
          <w:lang w:val="es-ES"/>
        </w:rPr>
        <w:t xml:space="preserve">, </w:t>
      </w:r>
      <w:r>
        <w:rPr>
          <w:lang w:val="es-ES"/>
        </w:rPr>
        <w:t>e</w:t>
      </w:r>
      <w:r w:rsidRPr="00042490">
        <w:rPr>
          <w:lang w:val="es-ES"/>
        </w:rPr>
        <w:t xml:space="preserve">xcepción </w:t>
      </w:r>
      <w:r>
        <w:rPr>
          <w:lang w:val="es-ES"/>
        </w:rPr>
        <w:t>p</w:t>
      </w:r>
      <w:r w:rsidRPr="00042490">
        <w:rPr>
          <w:lang w:val="es-ES"/>
        </w:rPr>
        <w:t xml:space="preserve">reliminar, </w:t>
      </w:r>
      <w:r>
        <w:rPr>
          <w:lang w:val="es-ES"/>
        </w:rPr>
        <w:t>f</w:t>
      </w:r>
      <w:r w:rsidRPr="00042490">
        <w:rPr>
          <w:lang w:val="es-ES"/>
        </w:rPr>
        <w:t xml:space="preserve">ondo, </w:t>
      </w:r>
      <w:r>
        <w:rPr>
          <w:lang w:val="es-ES"/>
        </w:rPr>
        <w:t>r</w:t>
      </w:r>
      <w:r w:rsidRPr="00042490">
        <w:rPr>
          <w:lang w:val="es-ES"/>
        </w:rPr>
        <w:t xml:space="preserve">eparaciones y </w:t>
      </w:r>
      <w:r>
        <w:rPr>
          <w:lang w:val="es-ES"/>
        </w:rPr>
        <w:t>c</w:t>
      </w:r>
      <w:r w:rsidRPr="00042490">
        <w:rPr>
          <w:lang w:val="es-ES"/>
        </w:rPr>
        <w:t>ostas</w:t>
      </w:r>
      <w:r>
        <w:rPr>
          <w:lang w:val="es-ES"/>
        </w:rPr>
        <w:t>, s</w:t>
      </w:r>
      <w:r w:rsidRPr="00042490">
        <w:rPr>
          <w:lang w:val="es-ES"/>
        </w:rPr>
        <w:t>entencia de 26 de noviembre de 2010</w:t>
      </w:r>
      <w:r>
        <w:rPr>
          <w:lang w:val="es-ES"/>
        </w:rPr>
        <w:t>,</w:t>
      </w:r>
      <w:r w:rsidRPr="00042490">
        <w:rPr>
          <w:lang w:val="es-ES"/>
        </w:rPr>
        <w:t xml:space="preserve"> Serie C </w:t>
      </w:r>
      <w:r>
        <w:rPr>
          <w:lang w:val="es-ES"/>
        </w:rPr>
        <w:t>núm</w:t>
      </w:r>
      <w:r w:rsidRPr="00042490">
        <w:rPr>
          <w:lang w:val="es-ES"/>
        </w:rPr>
        <w:t>. 220</w:t>
      </w:r>
      <w:r>
        <w:rPr>
          <w:lang w:val="es-ES"/>
        </w:rPr>
        <w:t>, párr.</w:t>
      </w:r>
      <w:r w:rsidR="00963B70">
        <w:rPr>
          <w:lang w:val="es-ES"/>
        </w:rPr>
        <w:t> </w:t>
      </w:r>
      <w:r>
        <w:rPr>
          <w:lang w:val="es-ES"/>
        </w:rPr>
        <w:t>165.</w:t>
      </w:r>
    </w:p>
  </w:footnote>
  <w:footnote w:id="31">
    <w:p w14:paraId="2B4E63E9" w14:textId="3DE2A16B" w:rsidR="008C07B6" w:rsidRPr="008B2D46" w:rsidRDefault="008C07B6" w:rsidP="00184492">
      <w:pPr>
        <w:pStyle w:val="Textonotapie"/>
        <w:jc w:val="both"/>
        <w:rPr>
          <w:b/>
          <w:i/>
          <w:u w:val="single"/>
          <w:lang w:val="es-MX"/>
        </w:rPr>
      </w:pPr>
      <w:r>
        <w:rPr>
          <w:lang w:val="es-ES"/>
        </w:rPr>
        <w:tab/>
      </w:r>
      <w:r w:rsidRPr="00184492">
        <w:rPr>
          <w:rStyle w:val="Refdenotaalpie"/>
        </w:rPr>
        <w:footnoteRef/>
      </w:r>
      <w:r w:rsidRPr="00184492">
        <w:rPr>
          <w:lang w:val="es-ES"/>
        </w:rPr>
        <w:tab/>
      </w:r>
      <w:proofErr w:type="spellStart"/>
      <w:r w:rsidRPr="00184492">
        <w:rPr>
          <w:i/>
          <w:lang w:val="es-ES"/>
        </w:rPr>
        <w:t>Selyun</w:t>
      </w:r>
      <w:proofErr w:type="spellEnd"/>
      <w:r w:rsidRPr="00184492">
        <w:rPr>
          <w:i/>
          <w:lang w:val="es-ES"/>
        </w:rPr>
        <w:t xml:space="preserve"> c. </w:t>
      </w:r>
      <w:proofErr w:type="spellStart"/>
      <w:r w:rsidRPr="00184492">
        <w:rPr>
          <w:i/>
          <w:lang w:val="es-ES"/>
        </w:rPr>
        <w:t>Belarús</w:t>
      </w:r>
      <w:proofErr w:type="spellEnd"/>
      <w:r w:rsidRPr="00184492">
        <w:rPr>
          <w:lang w:val="es-ES"/>
        </w:rPr>
        <w:t xml:space="preserve"> (</w:t>
      </w:r>
      <w:proofErr w:type="spellStart"/>
      <w:r w:rsidRPr="00184492">
        <w:rPr>
          <w:lang w:val="es-ES"/>
        </w:rPr>
        <w:t>CCPR</w:t>
      </w:r>
      <w:proofErr w:type="spellEnd"/>
      <w:r w:rsidRPr="00184492">
        <w:rPr>
          <w:lang w:val="es-ES"/>
        </w:rPr>
        <w:t xml:space="preserve">/C/115/D/2289/2013), </w:t>
      </w:r>
      <w:proofErr w:type="spellStart"/>
      <w:r w:rsidRPr="00184492">
        <w:rPr>
          <w:lang w:val="es-MX"/>
        </w:rPr>
        <w:t>párr</w:t>
      </w:r>
      <w:r w:rsidR="00905CF8">
        <w:rPr>
          <w:lang w:val="es-MX"/>
        </w:rPr>
        <w:t>s</w:t>
      </w:r>
      <w:proofErr w:type="spellEnd"/>
      <w:r w:rsidRPr="00184492">
        <w:rPr>
          <w:lang w:val="es-MX"/>
        </w:rPr>
        <w:t>.</w:t>
      </w:r>
      <w:r w:rsidR="00905CF8">
        <w:rPr>
          <w:lang w:val="es-MX"/>
        </w:rPr>
        <w:t xml:space="preserve"> </w:t>
      </w:r>
      <w:r w:rsidRPr="00184492">
        <w:rPr>
          <w:lang w:val="es-MX"/>
        </w:rPr>
        <w:t>7.2 y 7.3.</w:t>
      </w:r>
    </w:p>
  </w:footnote>
  <w:footnote w:id="32">
    <w:p w14:paraId="5135611A" w14:textId="47AD3B42" w:rsidR="008C07B6" w:rsidRPr="00DC49C4" w:rsidRDefault="008C07B6" w:rsidP="00100793">
      <w:pPr>
        <w:pStyle w:val="Textonotapie"/>
        <w:jc w:val="both"/>
        <w:rPr>
          <w:lang w:val="es-MX"/>
        </w:rPr>
      </w:pPr>
      <w:r>
        <w:rPr>
          <w:lang w:val="es-ES"/>
        </w:rPr>
        <w:tab/>
      </w:r>
      <w:r w:rsidRPr="00DC49C4">
        <w:rPr>
          <w:rStyle w:val="Refdenotaalpie"/>
        </w:rPr>
        <w:footnoteRef/>
      </w:r>
      <w:r>
        <w:rPr>
          <w:lang w:val="es-ES"/>
        </w:rPr>
        <w:tab/>
      </w:r>
      <w:r w:rsidRPr="00100793">
        <w:rPr>
          <w:lang w:val="es-ES"/>
        </w:rPr>
        <w:t xml:space="preserve">CAT/C/MEX/CO/5-6, </w:t>
      </w:r>
      <w:r w:rsidRPr="00DC49C4">
        <w:rPr>
          <w:lang w:val="es-MX"/>
        </w:rPr>
        <w:t>párr. 15.</w:t>
      </w:r>
    </w:p>
  </w:footnote>
  <w:footnote w:id="33">
    <w:p w14:paraId="5348BA54" w14:textId="04B5AC97" w:rsidR="008C07B6" w:rsidRPr="00DC49C4" w:rsidRDefault="008C07B6" w:rsidP="00F6161D">
      <w:pPr>
        <w:pStyle w:val="Textonotapie"/>
        <w:jc w:val="both"/>
        <w:rPr>
          <w:lang w:val="es-MX"/>
        </w:rPr>
      </w:pPr>
      <w:r>
        <w:rPr>
          <w:lang w:val="es-ES"/>
        </w:rPr>
        <w:tab/>
      </w:r>
      <w:r w:rsidRPr="00DC49C4">
        <w:rPr>
          <w:rStyle w:val="Refdenotaalpie"/>
        </w:rPr>
        <w:footnoteRef/>
      </w:r>
      <w:r>
        <w:rPr>
          <w:lang w:val="es-ES"/>
        </w:rPr>
        <w:tab/>
      </w:r>
      <w:proofErr w:type="spellStart"/>
      <w:r>
        <w:rPr>
          <w:i/>
          <w:lang w:val="es-MX"/>
        </w:rPr>
        <w:t>Kadirić</w:t>
      </w:r>
      <w:proofErr w:type="spellEnd"/>
      <w:r>
        <w:rPr>
          <w:i/>
          <w:lang w:val="es-MX"/>
        </w:rPr>
        <w:t xml:space="preserve"> c</w:t>
      </w:r>
      <w:r w:rsidRPr="00DC49C4">
        <w:rPr>
          <w:i/>
          <w:lang w:val="es-MX"/>
        </w:rPr>
        <w:t>. Bosnia y Herzegovina</w:t>
      </w:r>
      <w:r w:rsidRPr="00DC49C4">
        <w:rPr>
          <w:lang w:val="es-MX"/>
        </w:rPr>
        <w:t xml:space="preserve"> </w:t>
      </w:r>
      <w:r>
        <w:rPr>
          <w:lang w:val="es-MX"/>
        </w:rPr>
        <w:t>(</w:t>
      </w:r>
      <w:proofErr w:type="spellStart"/>
      <w:r w:rsidR="001B5C83" w:rsidRPr="00531919">
        <w:rPr>
          <w:lang w:val="es-ES"/>
        </w:rPr>
        <w:t>CCPR</w:t>
      </w:r>
      <w:proofErr w:type="spellEnd"/>
      <w:r w:rsidR="001B5C83" w:rsidRPr="00531919">
        <w:rPr>
          <w:lang w:val="es-ES"/>
        </w:rPr>
        <w:t>/C/115/D/</w:t>
      </w:r>
      <w:r>
        <w:rPr>
          <w:lang w:val="es-MX"/>
        </w:rPr>
        <w:t>2048/2011)</w:t>
      </w:r>
      <w:r w:rsidRPr="00DC49C4">
        <w:rPr>
          <w:lang w:val="es-MX"/>
        </w:rPr>
        <w:t>, párr. 9.5.</w:t>
      </w:r>
    </w:p>
  </w:footnote>
  <w:footnote w:id="34">
    <w:p w14:paraId="0ED20F32" w14:textId="00662C39" w:rsidR="008C07B6" w:rsidRPr="00603226" w:rsidRDefault="008C07B6" w:rsidP="0094486D">
      <w:pPr>
        <w:pStyle w:val="Textonotapie"/>
        <w:jc w:val="both"/>
        <w:rPr>
          <w:lang w:val="es-ES"/>
        </w:rPr>
      </w:pPr>
      <w:r w:rsidRPr="006B023A">
        <w:rPr>
          <w:lang w:val="es-ES"/>
        </w:rPr>
        <w:tab/>
      </w:r>
      <w:r>
        <w:rPr>
          <w:rStyle w:val="Refdenotaalpie"/>
        </w:rPr>
        <w:footnoteRef/>
      </w:r>
      <w:r w:rsidRPr="00603226">
        <w:rPr>
          <w:lang w:val="es-ES"/>
        </w:rPr>
        <w:tab/>
      </w:r>
      <w:r w:rsidR="00972053">
        <w:rPr>
          <w:lang w:val="es-ES"/>
        </w:rPr>
        <w:t xml:space="preserve">El Estado parte reenvía a </w:t>
      </w:r>
      <w:r w:rsidRPr="00603226">
        <w:rPr>
          <w:lang w:val="es-ES"/>
        </w:rPr>
        <w:t xml:space="preserve">Corte </w:t>
      </w:r>
      <w:r w:rsidR="009A2E16">
        <w:rPr>
          <w:lang w:val="es-ES"/>
        </w:rPr>
        <w:t xml:space="preserve">Interamericana de Derechos Humanos, </w:t>
      </w:r>
      <w:r w:rsidRPr="00531919">
        <w:rPr>
          <w:i/>
          <w:iCs/>
          <w:lang w:val="es-ES"/>
        </w:rPr>
        <w:t xml:space="preserve">Masacre de Pueblo Bello </w:t>
      </w:r>
      <w:r w:rsidR="009A2E16" w:rsidRPr="00531919">
        <w:rPr>
          <w:i/>
          <w:iCs/>
          <w:lang w:val="es-ES"/>
        </w:rPr>
        <w:t>v</w:t>
      </w:r>
      <w:r w:rsidRPr="00531919">
        <w:rPr>
          <w:i/>
          <w:iCs/>
          <w:lang w:val="es-ES"/>
        </w:rPr>
        <w:t>s. Colombia</w:t>
      </w:r>
      <w:r w:rsidR="000C1E3F">
        <w:rPr>
          <w:lang w:val="es-ES"/>
        </w:rPr>
        <w:t>,</w:t>
      </w:r>
      <w:r w:rsidRPr="00603226">
        <w:rPr>
          <w:lang w:val="es-ES"/>
        </w:rPr>
        <w:t xml:space="preserve"> </w:t>
      </w:r>
      <w:r w:rsidR="000C1E3F">
        <w:rPr>
          <w:lang w:val="es-ES"/>
        </w:rPr>
        <w:t>f</w:t>
      </w:r>
      <w:r w:rsidRPr="00603226">
        <w:rPr>
          <w:lang w:val="es-ES"/>
        </w:rPr>
        <w:t xml:space="preserve">ondo, </w:t>
      </w:r>
      <w:r w:rsidR="000C1E3F">
        <w:rPr>
          <w:lang w:val="es-ES"/>
        </w:rPr>
        <w:t>r</w:t>
      </w:r>
      <w:r w:rsidRPr="00603226">
        <w:rPr>
          <w:lang w:val="es-ES"/>
        </w:rPr>
        <w:t xml:space="preserve">eparaciones y </w:t>
      </w:r>
      <w:r w:rsidR="000C1E3F">
        <w:rPr>
          <w:lang w:val="es-ES"/>
        </w:rPr>
        <w:t>c</w:t>
      </w:r>
      <w:r w:rsidRPr="00603226">
        <w:rPr>
          <w:lang w:val="es-ES"/>
        </w:rPr>
        <w:t>ostas</w:t>
      </w:r>
      <w:r w:rsidR="000C1E3F">
        <w:rPr>
          <w:lang w:val="es-ES"/>
        </w:rPr>
        <w:t>, s</w:t>
      </w:r>
      <w:r w:rsidRPr="00603226">
        <w:rPr>
          <w:lang w:val="es-ES"/>
        </w:rPr>
        <w:t xml:space="preserve">entencia de </w:t>
      </w:r>
      <w:r w:rsidR="00972053">
        <w:rPr>
          <w:lang w:val="es-ES"/>
        </w:rPr>
        <w:t>31</w:t>
      </w:r>
      <w:r w:rsidR="00972053" w:rsidRPr="00603226">
        <w:rPr>
          <w:lang w:val="es-ES"/>
        </w:rPr>
        <w:t xml:space="preserve"> </w:t>
      </w:r>
      <w:r w:rsidRPr="00603226">
        <w:rPr>
          <w:lang w:val="es-ES"/>
        </w:rPr>
        <w:t xml:space="preserve">de </w:t>
      </w:r>
      <w:r w:rsidR="00972053">
        <w:rPr>
          <w:lang w:val="es-ES"/>
        </w:rPr>
        <w:t>enero</w:t>
      </w:r>
      <w:r w:rsidR="00972053" w:rsidRPr="00603226">
        <w:rPr>
          <w:lang w:val="es-ES"/>
        </w:rPr>
        <w:t xml:space="preserve"> </w:t>
      </w:r>
      <w:r w:rsidRPr="00603226">
        <w:rPr>
          <w:lang w:val="es-ES"/>
        </w:rPr>
        <w:t xml:space="preserve">de 2006, Serie C </w:t>
      </w:r>
      <w:r w:rsidR="0033689D">
        <w:rPr>
          <w:lang w:val="es-ES"/>
        </w:rPr>
        <w:t>núm</w:t>
      </w:r>
      <w:r w:rsidRPr="00603226">
        <w:rPr>
          <w:lang w:val="es-ES"/>
        </w:rPr>
        <w:t>. 1</w:t>
      </w:r>
      <w:r w:rsidR="00972053">
        <w:rPr>
          <w:lang w:val="es-ES"/>
        </w:rPr>
        <w:t>40</w:t>
      </w:r>
      <w:r w:rsidR="008E558B" w:rsidRPr="00FF61E8">
        <w:rPr>
          <w:lang w:val="es-ES"/>
        </w:rPr>
        <w:t>,</w:t>
      </w:r>
      <w:r w:rsidRPr="00FF61E8">
        <w:rPr>
          <w:lang w:val="es-ES"/>
        </w:rPr>
        <w:t xml:space="preserve"> párr. 124</w:t>
      </w:r>
      <w:r>
        <w:rPr>
          <w:lang w:val="es-ES"/>
        </w:rPr>
        <w:t>.</w:t>
      </w:r>
    </w:p>
  </w:footnote>
  <w:footnote w:id="35">
    <w:p w14:paraId="4AB89C72" w14:textId="77777777" w:rsidR="008C07B6" w:rsidRPr="004E1FFD" w:rsidRDefault="008C07B6" w:rsidP="004854FA">
      <w:pPr>
        <w:pStyle w:val="Textonotapie"/>
        <w:rPr>
          <w:lang w:val="es-ES_tradnl"/>
        </w:rPr>
      </w:pPr>
      <w:r w:rsidRPr="004E1FFD">
        <w:rPr>
          <w:lang w:val="es-ES_tradnl"/>
        </w:rPr>
        <w:tab/>
      </w:r>
      <w:r w:rsidRPr="004E1FFD">
        <w:rPr>
          <w:rStyle w:val="Refdenotaalpie"/>
          <w:lang w:val="es-ES_tradnl"/>
        </w:rPr>
        <w:footnoteRef/>
      </w:r>
      <w:r w:rsidRPr="004E1FFD">
        <w:rPr>
          <w:lang w:val="es-ES_tradnl"/>
        </w:rPr>
        <w:tab/>
        <w:t>Averiguación previa 138/</w:t>
      </w:r>
      <w:proofErr w:type="spellStart"/>
      <w:r w:rsidRPr="004E1FFD">
        <w:rPr>
          <w:lang w:val="es-ES_tradnl"/>
        </w:rPr>
        <w:t>FESP</w:t>
      </w:r>
      <w:proofErr w:type="spellEnd"/>
      <w:r w:rsidRPr="004E1FFD">
        <w:rPr>
          <w:lang w:val="es-ES_tradnl"/>
        </w:rPr>
        <w:t>/2013 y su acumulada 21/</w:t>
      </w:r>
      <w:proofErr w:type="spellStart"/>
      <w:r w:rsidRPr="004E1FFD">
        <w:rPr>
          <w:lang w:val="es-ES_tradnl"/>
        </w:rPr>
        <w:t>FESP</w:t>
      </w:r>
      <w:proofErr w:type="spellEnd"/>
      <w:r w:rsidRPr="004E1FFD">
        <w:rPr>
          <w:lang w:val="es-ES_tradnl"/>
        </w:rPr>
        <w:t>/2015.</w:t>
      </w:r>
    </w:p>
  </w:footnote>
  <w:footnote w:id="36">
    <w:p w14:paraId="763F669E" w14:textId="2D1E7D4B" w:rsidR="008C07B6" w:rsidRPr="00C00FD7" w:rsidRDefault="008C07B6" w:rsidP="00C00FD7">
      <w:pPr>
        <w:pStyle w:val="Textonotapie"/>
        <w:rPr>
          <w:lang w:val="es-ES"/>
        </w:rPr>
      </w:pPr>
      <w:r w:rsidRPr="00D15A51">
        <w:rPr>
          <w:lang w:val="es-ES"/>
        </w:rPr>
        <w:tab/>
      </w:r>
      <w:r>
        <w:rPr>
          <w:rStyle w:val="Refdenotaalpie"/>
        </w:rPr>
        <w:footnoteRef/>
      </w:r>
      <w:r w:rsidRPr="00C00FD7">
        <w:rPr>
          <w:lang w:val="es-ES"/>
        </w:rPr>
        <w:tab/>
      </w:r>
      <w:r>
        <w:rPr>
          <w:lang w:val="es-ES"/>
        </w:rPr>
        <w:t>A</w:t>
      </w:r>
      <w:r w:rsidRPr="00C00FD7">
        <w:rPr>
          <w:lang w:val="es-ES"/>
        </w:rPr>
        <w:t>veriguación previa AP/PGR/</w:t>
      </w:r>
      <w:proofErr w:type="spellStart"/>
      <w:r w:rsidRPr="00C00FD7">
        <w:rPr>
          <w:lang w:val="es-ES"/>
        </w:rPr>
        <w:t>SDHPDSC</w:t>
      </w:r>
      <w:proofErr w:type="spellEnd"/>
      <w:r w:rsidRPr="00C00FD7">
        <w:rPr>
          <w:lang w:val="es-ES"/>
        </w:rPr>
        <w:t>/</w:t>
      </w:r>
      <w:proofErr w:type="spellStart"/>
      <w:r w:rsidRPr="00C00FD7">
        <w:rPr>
          <w:lang w:val="es-ES"/>
        </w:rPr>
        <w:t>UEBPD</w:t>
      </w:r>
      <w:proofErr w:type="spellEnd"/>
      <w:r w:rsidRPr="00C00FD7">
        <w:rPr>
          <w:lang w:val="es-ES"/>
        </w:rPr>
        <w:t>/</w:t>
      </w:r>
      <w:proofErr w:type="spellStart"/>
      <w:r w:rsidRPr="00C00FD7">
        <w:rPr>
          <w:lang w:val="es-ES"/>
        </w:rPr>
        <w:t>M30</w:t>
      </w:r>
      <w:proofErr w:type="spellEnd"/>
      <w:r w:rsidRPr="00C00FD7">
        <w:rPr>
          <w:lang w:val="es-ES"/>
        </w:rPr>
        <w:t>/214/2015</w:t>
      </w:r>
      <w:r>
        <w:rPr>
          <w:lang w:val="es-ES"/>
        </w:rPr>
        <w:t>.</w:t>
      </w:r>
    </w:p>
  </w:footnote>
  <w:footnote w:id="37">
    <w:p w14:paraId="14048F22" w14:textId="14803AA4" w:rsidR="008C07B6" w:rsidRPr="00DC49C4" w:rsidRDefault="008C07B6" w:rsidP="00EB4BC0">
      <w:pPr>
        <w:pStyle w:val="Textonotapie"/>
        <w:jc w:val="both"/>
        <w:rPr>
          <w:lang w:val="es-MX"/>
        </w:rPr>
      </w:pPr>
      <w:r w:rsidRPr="00C00FD7">
        <w:rPr>
          <w:lang w:val="es-ES"/>
        </w:rPr>
        <w:tab/>
      </w:r>
      <w:r w:rsidRPr="00DC49C4">
        <w:rPr>
          <w:rStyle w:val="Refdenotaalpie"/>
        </w:rPr>
        <w:footnoteRef/>
      </w:r>
      <w:r>
        <w:rPr>
          <w:lang w:val="es-ES"/>
        </w:rPr>
        <w:tab/>
      </w:r>
      <w:proofErr w:type="spellStart"/>
      <w:r>
        <w:rPr>
          <w:i/>
          <w:lang w:val="es-MX"/>
        </w:rPr>
        <w:t>Krasovskaya</w:t>
      </w:r>
      <w:proofErr w:type="spellEnd"/>
      <w:r>
        <w:rPr>
          <w:i/>
          <w:lang w:val="es-MX"/>
        </w:rPr>
        <w:t xml:space="preserve"> c</w:t>
      </w:r>
      <w:r w:rsidRPr="00DC49C4">
        <w:rPr>
          <w:i/>
          <w:lang w:val="es-MX"/>
        </w:rPr>
        <w:t xml:space="preserve">. </w:t>
      </w:r>
      <w:proofErr w:type="spellStart"/>
      <w:r w:rsidRPr="00DC49C4">
        <w:rPr>
          <w:i/>
          <w:lang w:val="es-MX"/>
        </w:rPr>
        <w:t>Belarús</w:t>
      </w:r>
      <w:proofErr w:type="spellEnd"/>
      <w:r>
        <w:rPr>
          <w:lang w:val="es-MX"/>
        </w:rPr>
        <w:t xml:space="preserve"> (</w:t>
      </w:r>
      <w:proofErr w:type="spellStart"/>
      <w:r w:rsidR="00F11FF2" w:rsidRPr="00531919">
        <w:rPr>
          <w:lang w:val="es-ES"/>
        </w:rPr>
        <w:t>CCPR</w:t>
      </w:r>
      <w:proofErr w:type="spellEnd"/>
      <w:r w:rsidR="00F11FF2" w:rsidRPr="00531919">
        <w:rPr>
          <w:lang w:val="es-ES"/>
        </w:rPr>
        <w:t>/C/104/D/</w:t>
      </w:r>
      <w:r>
        <w:rPr>
          <w:lang w:val="es-MX"/>
        </w:rPr>
        <w:t>1820/2008)</w:t>
      </w:r>
      <w:r w:rsidRPr="00DC49C4">
        <w:rPr>
          <w:lang w:val="es-MX"/>
        </w:rPr>
        <w:t>, pár</w:t>
      </w:r>
      <w:r w:rsidR="00F11FF2">
        <w:rPr>
          <w:lang w:val="es-MX"/>
        </w:rPr>
        <w:t>r</w:t>
      </w:r>
      <w:r w:rsidRPr="00DC49C4">
        <w:rPr>
          <w:lang w:val="es-MX"/>
        </w:rPr>
        <w:t>. 8.3.</w:t>
      </w:r>
    </w:p>
  </w:footnote>
  <w:footnote w:id="38">
    <w:p w14:paraId="3C040632" w14:textId="6A3ED00A" w:rsidR="008C07B6" w:rsidRPr="0035191E" w:rsidRDefault="008C07B6" w:rsidP="00D2717B">
      <w:pPr>
        <w:pStyle w:val="Textonotapie"/>
        <w:jc w:val="both"/>
        <w:rPr>
          <w:lang w:val="es-ES"/>
        </w:rPr>
      </w:pPr>
      <w:r>
        <w:rPr>
          <w:lang w:val="es-ES"/>
        </w:rPr>
        <w:tab/>
      </w:r>
      <w:r w:rsidRPr="000C2FCE">
        <w:rPr>
          <w:rStyle w:val="Refdenotaalpie"/>
        </w:rPr>
        <w:footnoteRef/>
      </w:r>
      <w:r w:rsidRPr="000C2FCE">
        <w:rPr>
          <w:lang w:val="es-ES"/>
        </w:rPr>
        <w:tab/>
      </w:r>
      <w:r w:rsidRPr="00531919">
        <w:rPr>
          <w:i/>
          <w:iCs/>
          <w:lang w:val="es-ES"/>
        </w:rPr>
        <w:t xml:space="preserve">Godínez Cruz </w:t>
      </w:r>
      <w:r w:rsidR="003B2CC7" w:rsidRPr="00531919">
        <w:rPr>
          <w:i/>
          <w:iCs/>
          <w:lang w:val="es-ES"/>
        </w:rPr>
        <w:t>vs</w:t>
      </w:r>
      <w:r w:rsidRPr="00531919">
        <w:rPr>
          <w:i/>
          <w:iCs/>
          <w:lang w:val="es-ES"/>
        </w:rPr>
        <w:t>. Honduras</w:t>
      </w:r>
      <w:r w:rsidRPr="000C2FCE">
        <w:rPr>
          <w:lang w:val="es-ES"/>
        </w:rPr>
        <w:t xml:space="preserve">, fondo, sentencia de 20 de enero de 1989, </w:t>
      </w:r>
      <w:r w:rsidR="003B2CC7">
        <w:rPr>
          <w:lang w:val="es-ES"/>
        </w:rPr>
        <w:t>S</w:t>
      </w:r>
      <w:r w:rsidRPr="000C2FCE">
        <w:rPr>
          <w:lang w:val="es-ES"/>
        </w:rPr>
        <w:t xml:space="preserve">erie </w:t>
      </w:r>
      <w:r>
        <w:rPr>
          <w:lang w:val="es-ES"/>
        </w:rPr>
        <w:t>C</w:t>
      </w:r>
      <w:r w:rsidRPr="000C2FCE">
        <w:rPr>
          <w:lang w:val="es-ES"/>
        </w:rPr>
        <w:t xml:space="preserve"> </w:t>
      </w:r>
      <w:r w:rsidR="003B2CC7">
        <w:rPr>
          <w:lang w:val="es-ES"/>
        </w:rPr>
        <w:t>núm</w:t>
      </w:r>
      <w:r w:rsidRPr="000C2FCE">
        <w:rPr>
          <w:lang w:val="es-ES"/>
        </w:rPr>
        <w:t>. 5, párr. 155.</w:t>
      </w:r>
    </w:p>
  </w:footnote>
  <w:footnote w:id="39">
    <w:p w14:paraId="589E56CA" w14:textId="77777777" w:rsidR="008C07B6" w:rsidRPr="00571040" w:rsidRDefault="008C07B6" w:rsidP="00D6116D">
      <w:pPr>
        <w:pStyle w:val="Textonotapie"/>
        <w:jc w:val="both"/>
        <w:rPr>
          <w:lang w:val="es-ES_tradnl"/>
        </w:rPr>
      </w:pPr>
      <w:r w:rsidRPr="00571040">
        <w:rPr>
          <w:lang w:val="es-ES_tradnl"/>
        </w:rPr>
        <w:tab/>
      </w:r>
      <w:r w:rsidRPr="00571040">
        <w:rPr>
          <w:rStyle w:val="Refdenotaalpie"/>
          <w:lang w:val="es-ES_tradnl"/>
        </w:rPr>
        <w:footnoteRef/>
      </w:r>
      <w:r w:rsidRPr="00571040">
        <w:rPr>
          <w:lang w:val="es-ES_tradnl"/>
        </w:rPr>
        <w:tab/>
        <w:t xml:space="preserve">Expediente </w:t>
      </w:r>
      <w:proofErr w:type="spellStart"/>
      <w:r w:rsidRPr="00571040">
        <w:rPr>
          <w:lang w:val="es-ES_tradnl"/>
        </w:rPr>
        <w:t>DDHPO</w:t>
      </w:r>
      <w:proofErr w:type="spellEnd"/>
      <w:r w:rsidRPr="00571040">
        <w:rPr>
          <w:lang w:val="es-ES_tradnl"/>
        </w:rPr>
        <w:t>/1572</w:t>
      </w:r>
      <w:proofErr w:type="gramStart"/>
      <w:r w:rsidRPr="00571040">
        <w:rPr>
          <w:lang w:val="es-ES_tradnl"/>
        </w:rPr>
        <w:t>/(</w:t>
      </w:r>
      <w:proofErr w:type="gramEnd"/>
      <w:r w:rsidRPr="00571040">
        <w:rPr>
          <w:lang w:val="es-ES_tradnl"/>
        </w:rPr>
        <w:t>01)/OAX/2014 iniciado con motivo de la petición del Sr. Moreno Zamora de 28 de noviembre de 2014 por violaciones a sus derechos atribuibles a funcionarios</w:t>
      </w:r>
      <w:r>
        <w:rPr>
          <w:lang w:val="es-ES_tradnl"/>
        </w:rPr>
        <w:t>.</w:t>
      </w:r>
    </w:p>
  </w:footnote>
  <w:footnote w:id="40">
    <w:p w14:paraId="371113FC" w14:textId="06BFF145" w:rsidR="008C07B6" w:rsidRPr="00C43DC0" w:rsidRDefault="008C07B6" w:rsidP="00C43DC0">
      <w:pPr>
        <w:pStyle w:val="Textonotapie"/>
        <w:jc w:val="both"/>
        <w:rPr>
          <w:lang w:val="es-ES_tradnl"/>
        </w:rPr>
      </w:pPr>
      <w:r w:rsidRPr="00C43DC0">
        <w:rPr>
          <w:lang w:val="es-ES_tradnl"/>
        </w:rPr>
        <w:tab/>
      </w:r>
      <w:r w:rsidRPr="00477BF1">
        <w:rPr>
          <w:rStyle w:val="Refdenotaalpie"/>
          <w:lang w:val="es-ES_tradnl"/>
        </w:rPr>
        <w:footnoteRef/>
      </w:r>
      <w:r w:rsidRPr="00477BF1">
        <w:rPr>
          <w:lang w:val="es-ES_tradnl"/>
        </w:rPr>
        <w:tab/>
      </w:r>
      <w:r>
        <w:rPr>
          <w:lang w:val="es-ES_tradnl"/>
        </w:rPr>
        <w:t xml:space="preserve">Los autores aportan copia de la </w:t>
      </w:r>
      <w:r w:rsidR="003B2CC7">
        <w:rPr>
          <w:lang w:val="es-ES_tradnl"/>
        </w:rPr>
        <w:t>r</w:t>
      </w:r>
      <w:r w:rsidRPr="00477BF1">
        <w:rPr>
          <w:lang w:val="es-ES_tradnl"/>
        </w:rPr>
        <w:t>ecomendación 13/2016</w:t>
      </w:r>
      <w:r>
        <w:rPr>
          <w:lang w:val="es-ES_tradnl"/>
        </w:rPr>
        <w:t xml:space="preserve"> de la </w:t>
      </w:r>
      <w:r w:rsidRPr="00477BF1">
        <w:rPr>
          <w:lang w:val="es-ES_tradnl"/>
        </w:rPr>
        <w:t>Defensoría de los Derech</w:t>
      </w:r>
      <w:r>
        <w:rPr>
          <w:lang w:val="es-ES_tradnl"/>
        </w:rPr>
        <w:t>os Humanos del Pueblo de Oaxaca, 16 de noviembre de 2016</w:t>
      </w:r>
      <w:r w:rsidRPr="00477BF1">
        <w:rPr>
          <w:lang w:val="es-ES_tradnl"/>
        </w:rPr>
        <w:t>, p</w:t>
      </w:r>
      <w:r w:rsidR="003B2CC7">
        <w:rPr>
          <w:lang w:val="es-ES_tradnl"/>
        </w:rPr>
        <w:t>ág</w:t>
      </w:r>
      <w:r w:rsidRPr="00477BF1">
        <w:rPr>
          <w:lang w:val="es-ES_tradnl"/>
        </w:rPr>
        <w:t>.</w:t>
      </w:r>
      <w:r w:rsidR="003B2CC7">
        <w:rPr>
          <w:lang w:val="es-ES_tradnl"/>
        </w:rPr>
        <w:t xml:space="preserve"> </w:t>
      </w:r>
      <w:r>
        <w:rPr>
          <w:lang w:val="es-ES_tradnl"/>
        </w:rPr>
        <w:t>46</w:t>
      </w:r>
      <w:r w:rsidRPr="00477BF1">
        <w:rPr>
          <w:lang w:val="es-ES_tradnl"/>
        </w:rPr>
        <w:t>.</w:t>
      </w:r>
    </w:p>
  </w:footnote>
  <w:footnote w:id="41">
    <w:p w14:paraId="63747CD5" w14:textId="2CC33682" w:rsidR="008C07B6" w:rsidRPr="003D3633" w:rsidRDefault="008C07B6" w:rsidP="003D3633">
      <w:pPr>
        <w:pStyle w:val="Textonotapie"/>
        <w:jc w:val="both"/>
        <w:rPr>
          <w:lang w:val="es-ES"/>
        </w:rPr>
      </w:pPr>
      <w:r>
        <w:rPr>
          <w:lang w:val="es-ES"/>
        </w:rPr>
        <w:tab/>
      </w:r>
      <w:r>
        <w:rPr>
          <w:rStyle w:val="Refdenotaalpie"/>
        </w:rPr>
        <w:footnoteRef/>
      </w:r>
      <w:r>
        <w:rPr>
          <w:lang w:val="es-ES"/>
        </w:rPr>
        <w:tab/>
      </w:r>
      <w:r w:rsidRPr="003D3633">
        <w:rPr>
          <w:lang w:val="es-ES"/>
        </w:rPr>
        <w:t xml:space="preserve">Recomendación 13/2016 de la Defensoría de los Derechos Humanos del Pueblo de Oaxaca, 16 de noviembre de 2016, </w:t>
      </w:r>
      <w:r w:rsidR="003B2CC7">
        <w:rPr>
          <w:lang w:val="es-ES"/>
        </w:rPr>
        <w:t xml:space="preserve">págs. </w:t>
      </w:r>
      <w:r w:rsidRPr="003D3633">
        <w:rPr>
          <w:lang w:val="es-ES"/>
        </w:rPr>
        <w:t>48</w:t>
      </w:r>
      <w:r>
        <w:rPr>
          <w:lang w:val="es-ES"/>
        </w:rPr>
        <w:t xml:space="preserve"> y 49.</w:t>
      </w:r>
    </w:p>
  </w:footnote>
  <w:footnote w:id="42">
    <w:p w14:paraId="095AA78A" w14:textId="7A8E351F" w:rsidR="008C07B6" w:rsidRPr="002D453D" w:rsidRDefault="008C07B6" w:rsidP="009A62AF">
      <w:pPr>
        <w:pStyle w:val="Textonotapie"/>
        <w:jc w:val="both"/>
        <w:rPr>
          <w:lang w:val="es-ES"/>
        </w:rPr>
      </w:pPr>
      <w:r>
        <w:rPr>
          <w:lang w:val="es-ES"/>
        </w:rPr>
        <w:tab/>
      </w:r>
      <w:r>
        <w:rPr>
          <w:rStyle w:val="Refdenotaalpie"/>
        </w:rPr>
        <w:footnoteRef/>
      </w:r>
      <w:r w:rsidRPr="002D453D">
        <w:rPr>
          <w:lang w:val="es-ES"/>
        </w:rPr>
        <w:tab/>
      </w:r>
      <w:r w:rsidR="003B2CC7" w:rsidRPr="00531919">
        <w:rPr>
          <w:i/>
          <w:lang w:val="es-ES"/>
        </w:rPr>
        <w:t>Ib</w:t>
      </w:r>
      <w:r w:rsidR="00963B70" w:rsidRPr="00531919">
        <w:rPr>
          <w:i/>
          <w:lang w:val="es-ES"/>
        </w:rPr>
        <w:t>i</w:t>
      </w:r>
      <w:r w:rsidR="003B2CC7" w:rsidRPr="00531919">
        <w:rPr>
          <w:i/>
          <w:lang w:val="es-ES"/>
        </w:rPr>
        <w:t>d</w:t>
      </w:r>
      <w:r w:rsidR="003B2CC7" w:rsidRPr="002D453D">
        <w:rPr>
          <w:lang w:val="es-ES"/>
        </w:rPr>
        <w:t xml:space="preserve">., págs. </w:t>
      </w:r>
      <w:r w:rsidRPr="002D453D">
        <w:rPr>
          <w:lang w:val="es-ES"/>
        </w:rPr>
        <w:t>43 a 45.</w:t>
      </w:r>
    </w:p>
  </w:footnote>
  <w:footnote w:id="43">
    <w:p w14:paraId="704AF89D" w14:textId="6FC04FA4" w:rsidR="008C07B6" w:rsidRPr="00531919" w:rsidRDefault="008C07B6" w:rsidP="00DE6EBB">
      <w:pPr>
        <w:pStyle w:val="Textonotapie"/>
        <w:jc w:val="both"/>
        <w:rPr>
          <w:lang w:val="es-ES"/>
        </w:rPr>
      </w:pPr>
      <w:r w:rsidRPr="002D453D">
        <w:rPr>
          <w:lang w:val="es-ES"/>
        </w:rPr>
        <w:tab/>
      </w:r>
      <w:r>
        <w:rPr>
          <w:rStyle w:val="Refdenotaalpie"/>
        </w:rPr>
        <w:footnoteRef/>
      </w:r>
      <w:r w:rsidRPr="00A825DB">
        <w:rPr>
          <w:lang w:val="es-ES"/>
        </w:rPr>
        <w:tab/>
      </w:r>
      <w:r w:rsidR="003B2CC7" w:rsidRPr="00531919">
        <w:rPr>
          <w:i/>
          <w:lang w:val="es-ES"/>
        </w:rPr>
        <w:t>I</w:t>
      </w:r>
      <w:r w:rsidR="0060065B">
        <w:rPr>
          <w:i/>
          <w:lang w:val="es-ES"/>
        </w:rPr>
        <w:t>bi</w:t>
      </w:r>
      <w:r w:rsidR="003B2CC7" w:rsidRPr="00531919">
        <w:rPr>
          <w:i/>
          <w:lang w:val="es-ES"/>
        </w:rPr>
        <w:t>d</w:t>
      </w:r>
      <w:r w:rsidR="003B2CC7" w:rsidRPr="00531919">
        <w:rPr>
          <w:lang w:val="es-ES"/>
        </w:rPr>
        <w:t xml:space="preserve">., </w:t>
      </w:r>
      <w:r w:rsidRPr="00531919">
        <w:rPr>
          <w:lang w:val="es-ES"/>
        </w:rPr>
        <w:t>p</w:t>
      </w:r>
      <w:r w:rsidR="003B2CC7" w:rsidRPr="00531919">
        <w:rPr>
          <w:lang w:val="es-ES"/>
        </w:rPr>
        <w:t>ág</w:t>
      </w:r>
      <w:r w:rsidRPr="00531919">
        <w:rPr>
          <w:lang w:val="es-ES"/>
        </w:rPr>
        <w:t>. 69.</w:t>
      </w:r>
    </w:p>
  </w:footnote>
  <w:footnote w:id="44">
    <w:p w14:paraId="77D45697" w14:textId="17AF1275" w:rsidR="008C07B6" w:rsidRPr="00820095" w:rsidRDefault="008C07B6" w:rsidP="00820095">
      <w:pPr>
        <w:pStyle w:val="Textonotapie"/>
        <w:jc w:val="both"/>
        <w:rPr>
          <w:lang w:val="es-ES_tradnl"/>
        </w:rPr>
      </w:pPr>
      <w:r w:rsidRPr="00531919">
        <w:rPr>
          <w:lang w:val="es-ES"/>
        </w:rPr>
        <w:tab/>
      </w:r>
      <w:r w:rsidRPr="00820095">
        <w:rPr>
          <w:rStyle w:val="Refdenotaalpie"/>
          <w:lang w:val="es-ES_tradnl"/>
        </w:rPr>
        <w:footnoteRef/>
      </w:r>
      <w:r w:rsidRPr="00820095">
        <w:rPr>
          <w:lang w:val="es-ES_tradnl"/>
        </w:rPr>
        <w:tab/>
      </w:r>
      <w:r w:rsidR="00A825DB" w:rsidRPr="00531919">
        <w:rPr>
          <w:i/>
          <w:lang w:val="es-ES"/>
        </w:rPr>
        <w:t>Ib</w:t>
      </w:r>
      <w:r w:rsidR="00963B70" w:rsidRPr="00531919">
        <w:rPr>
          <w:i/>
          <w:lang w:val="es-ES"/>
        </w:rPr>
        <w:t>i</w:t>
      </w:r>
      <w:r w:rsidR="00A825DB" w:rsidRPr="00531919">
        <w:rPr>
          <w:i/>
          <w:lang w:val="es-ES"/>
        </w:rPr>
        <w:t>d</w:t>
      </w:r>
      <w:r w:rsidR="00A825DB" w:rsidRPr="00531919">
        <w:rPr>
          <w:lang w:val="es-ES"/>
        </w:rPr>
        <w:t xml:space="preserve">., </w:t>
      </w:r>
      <w:r w:rsidRPr="00820095">
        <w:rPr>
          <w:lang w:val="es-ES_tradnl"/>
        </w:rPr>
        <w:t>p</w:t>
      </w:r>
      <w:r w:rsidR="00A825DB">
        <w:rPr>
          <w:lang w:val="es-ES_tradnl"/>
        </w:rPr>
        <w:t>ág</w:t>
      </w:r>
      <w:r w:rsidRPr="00820095">
        <w:rPr>
          <w:lang w:val="es-ES_tradnl"/>
        </w:rPr>
        <w:t>.</w:t>
      </w:r>
      <w:r w:rsidR="00A825DB">
        <w:rPr>
          <w:lang w:val="es-ES_tradnl"/>
        </w:rPr>
        <w:t xml:space="preserve"> </w:t>
      </w:r>
      <w:r w:rsidRPr="00820095">
        <w:rPr>
          <w:lang w:val="es-ES_tradnl"/>
        </w:rPr>
        <w:t>42.</w:t>
      </w:r>
    </w:p>
  </w:footnote>
  <w:footnote w:id="45">
    <w:p w14:paraId="72033CEA" w14:textId="3A6E80F3" w:rsidR="008C07B6" w:rsidRPr="00D90DA8" w:rsidRDefault="008C07B6" w:rsidP="008001B4">
      <w:pPr>
        <w:pStyle w:val="Textonotapie"/>
        <w:jc w:val="both"/>
        <w:rPr>
          <w:lang w:val="es-ES_tradnl"/>
        </w:rPr>
      </w:pPr>
      <w:r w:rsidRPr="00D90DA8">
        <w:rPr>
          <w:lang w:val="es-ES_tradnl"/>
        </w:rPr>
        <w:tab/>
      </w:r>
      <w:r w:rsidRPr="00D90DA8">
        <w:rPr>
          <w:rStyle w:val="Refdenotaalpie"/>
          <w:lang w:val="es-ES_tradnl"/>
        </w:rPr>
        <w:footnoteRef/>
      </w:r>
      <w:r w:rsidRPr="00D90DA8">
        <w:rPr>
          <w:lang w:val="es-ES_tradnl"/>
        </w:rPr>
        <w:tab/>
      </w:r>
      <w:r w:rsidR="00A825DB" w:rsidRPr="00531919">
        <w:rPr>
          <w:i/>
          <w:lang w:val="es-ES"/>
        </w:rPr>
        <w:t>Ib</w:t>
      </w:r>
      <w:r w:rsidR="00963B70" w:rsidRPr="00531919">
        <w:rPr>
          <w:i/>
          <w:lang w:val="es-ES"/>
        </w:rPr>
        <w:t>i</w:t>
      </w:r>
      <w:r w:rsidR="00A825DB" w:rsidRPr="00531919">
        <w:rPr>
          <w:i/>
          <w:lang w:val="es-ES"/>
        </w:rPr>
        <w:t>d</w:t>
      </w:r>
      <w:r w:rsidR="00A825DB" w:rsidRPr="00531919">
        <w:rPr>
          <w:lang w:val="es-ES"/>
        </w:rPr>
        <w:t xml:space="preserve">., </w:t>
      </w:r>
      <w:r>
        <w:rPr>
          <w:lang w:val="es-ES_tradnl"/>
        </w:rPr>
        <w:t>p</w:t>
      </w:r>
      <w:r w:rsidR="00A825DB">
        <w:rPr>
          <w:lang w:val="es-ES_tradnl"/>
        </w:rPr>
        <w:t>ágs</w:t>
      </w:r>
      <w:r>
        <w:rPr>
          <w:lang w:val="es-ES_tradnl"/>
        </w:rPr>
        <w:t>. 51 y 52</w:t>
      </w:r>
      <w:r w:rsidRPr="00D90DA8">
        <w:rPr>
          <w:lang w:val="es-ES_tradnl"/>
        </w:rPr>
        <w:t>.</w:t>
      </w:r>
    </w:p>
  </w:footnote>
  <w:footnote w:id="46">
    <w:p w14:paraId="2FF0B0A3" w14:textId="013A2806" w:rsidR="008C07B6" w:rsidRPr="00B10EDB" w:rsidRDefault="008C07B6">
      <w:pPr>
        <w:pStyle w:val="Textonotapie"/>
        <w:rPr>
          <w:lang w:val="es-ES_tradnl"/>
        </w:rPr>
      </w:pPr>
      <w:r w:rsidRPr="00B10EDB">
        <w:rPr>
          <w:lang w:val="es-ES_tradnl"/>
        </w:rPr>
        <w:tab/>
      </w:r>
      <w:r w:rsidRPr="00B10EDB">
        <w:rPr>
          <w:rStyle w:val="Refdenotaalpie"/>
          <w:lang w:val="es-ES_tradnl"/>
        </w:rPr>
        <w:footnoteRef/>
      </w:r>
      <w:r w:rsidRPr="00B10EDB">
        <w:rPr>
          <w:lang w:val="es-ES_tradnl"/>
        </w:rPr>
        <w:tab/>
        <w:t>Carpeta de investigación 139/</w:t>
      </w:r>
      <w:proofErr w:type="spellStart"/>
      <w:r w:rsidRPr="00B10EDB">
        <w:rPr>
          <w:lang w:val="es-ES_tradnl"/>
        </w:rPr>
        <w:t>UEDF</w:t>
      </w:r>
      <w:proofErr w:type="spellEnd"/>
      <w:r w:rsidRPr="00B10EDB">
        <w:rPr>
          <w:lang w:val="es-ES_tradnl"/>
        </w:rPr>
        <w:t>/2018.</w:t>
      </w:r>
    </w:p>
  </w:footnote>
  <w:footnote w:id="47">
    <w:p w14:paraId="37EF83D2" w14:textId="3C55CA1C" w:rsidR="008C07B6" w:rsidRPr="00915ACE" w:rsidRDefault="008C07B6" w:rsidP="00915ACE">
      <w:pPr>
        <w:pStyle w:val="Textonotapie"/>
        <w:jc w:val="both"/>
        <w:rPr>
          <w:lang w:val="es-ES"/>
        </w:rPr>
      </w:pPr>
      <w:r>
        <w:rPr>
          <w:lang w:val="es-ES"/>
        </w:rPr>
        <w:tab/>
      </w:r>
      <w:r>
        <w:rPr>
          <w:rStyle w:val="Refdenotaalpie"/>
        </w:rPr>
        <w:footnoteRef/>
      </w:r>
      <w:r>
        <w:rPr>
          <w:lang w:val="es-ES"/>
        </w:rPr>
        <w:tab/>
      </w:r>
      <w:r w:rsidRPr="00915ACE">
        <w:rPr>
          <w:lang w:val="es-ES"/>
        </w:rPr>
        <w:t xml:space="preserve">La </w:t>
      </w:r>
      <w:r w:rsidR="00C85E24">
        <w:rPr>
          <w:lang w:val="es-ES"/>
        </w:rPr>
        <w:t>c</w:t>
      </w:r>
      <w:r w:rsidRPr="00915ACE">
        <w:rPr>
          <w:lang w:val="es-ES"/>
        </w:rPr>
        <w:t>omunicación no proporciona mayor</w:t>
      </w:r>
      <w:r>
        <w:rPr>
          <w:lang w:val="es-ES"/>
        </w:rPr>
        <w:t>e</w:t>
      </w:r>
      <w:r w:rsidRPr="00915ACE">
        <w:rPr>
          <w:lang w:val="es-ES"/>
        </w:rPr>
        <w:t xml:space="preserve">s detalles en cuanto a </w:t>
      </w:r>
      <w:r>
        <w:rPr>
          <w:lang w:val="es-ES"/>
        </w:rPr>
        <w:t>la sentencia contra la cual se promovió el amparo.</w:t>
      </w:r>
    </w:p>
  </w:footnote>
  <w:footnote w:id="48">
    <w:p w14:paraId="62A3F31A" w14:textId="42377A39" w:rsidR="008C07B6" w:rsidRPr="00E21821" w:rsidRDefault="008C07B6" w:rsidP="00E21821">
      <w:pPr>
        <w:pStyle w:val="Textonotapie"/>
        <w:jc w:val="both"/>
        <w:rPr>
          <w:lang w:val="es-ES_tradnl"/>
        </w:rPr>
      </w:pPr>
      <w:r>
        <w:rPr>
          <w:lang w:val="es-ES_tradnl"/>
        </w:rPr>
        <w:tab/>
      </w:r>
      <w:r w:rsidRPr="00E21821">
        <w:rPr>
          <w:rStyle w:val="Refdenotaalpie"/>
          <w:lang w:val="es-ES_tradnl"/>
        </w:rPr>
        <w:footnoteRef/>
      </w:r>
      <w:r>
        <w:rPr>
          <w:lang w:val="es-ES_tradnl"/>
        </w:rPr>
        <w:tab/>
      </w:r>
      <w:r w:rsidRPr="00E21821">
        <w:rPr>
          <w:lang w:val="es-ES_tradnl"/>
        </w:rPr>
        <w:t>Los autores aportan</w:t>
      </w:r>
      <w:r>
        <w:rPr>
          <w:lang w:val="es-ES_tradnl"/>
        </w:rPr>
        <w:t xml:space="preserve"> el </w:t>
      </w:r>
      <w:r w:rsidR="00C85E24">
        <w:rPr>
          <w:lang w:val="es-ES_tradnl"/>
        </w:rPr>
        <w:t>o</w:t>
      </w:r>
      <w:r w:rsidRPr="00E21821">
        <w:rPr>
          <w:lang w:val="es-ES_tradnl"/>
        </w:rPr>
        <w:t>ficio</w:t>
      </w:r>
      <w:r>
        <w:rPr>
          <w:lang w:val="es-ES_tradnl"/>
        </w:rPr>
        <w:t xml:space="preserve"> </w:t>
      </w:r>
      <w:r w:rsidRPr="00E21821">
        <w:rPr>
          <w:lang w:val="es-ES_tradnl"/>
        </w:rPr>
        <w:t>010038</w:t>
      </w:r>
      <w:r>
        <w:rPr>
          <w:lang w:val="es-ES_tradnl"/>
        </w:rPr>
        <w:t xml:space="preserve"> de la</w:t>
      </w:r>
      <w:r w:rsidRPr="00E21821">
        <w:rPr>
          <w:lang w:val="es-ES_tradnl"/>
        </w:rPr>
        <w:t xml:space="preserve"> Defensoría de los Derechos Humanos del Pueblo de Oaxaca</w:t>
      </w:r>
      <w:r>
        <w:rPr>
          <w:lang w:val="es-ES_tradnl"/>
        </w:rPr>
        <w:t xml:space="preserve">, de </w:t>
      </w:r>
      <w:r w:rsidRPr="00E21821">
        <w:rPr>
          <w:lang w:val="es-ES_tradnl"/>
        </w:rPr>
        <w:t>4 de julio de 2018</w:t>
      </w:r>
      <w:r>
        <w:rPr>
          <w:lang w:val="es-ES_tradnl"/>
        </w:rPr>
        <w:t>, p</w:t>
      </w:r>
      <w:r w:rsidR="00C85E24">
        <w:rPr>
          <w:lang w:val="es-ES_tradnl"/>
        </w:rPr>
        <w:t>ágs</w:t>
      </w:r>
      <w:r>
        <w:rPr>
          <w:lang w:val="es-ES_tradnl"/>
        </w:rPr>
        <w:t>. 4 y 5.</w:t>
      </w:r>
    </w:p>
  </w:footnote>
  <w:footnote w:id="49">
    <w:p w14:paraId="2ED29880" w14:textId="19A49069" w:rsidR="008C07B6" w:rsidRPr="002B533C" w:rsidRDefault="008C07B6" w:rsidP="002F3CB7">
      <w:pPr>
        <w:pStyle w:val="Textonotapie"/>
        <w:jc w:val="both"/>
        <w:rPr>
          <w:lang w:val="es-ES_tradnl"/>
        </w:rPr>
      </w:pPr>
      <w:r w:rsidRPr="002B533C">
        <w:rPr>
          <w:lang w:val="es-ES_tradnl"/>
        </w:rPr>
        <w:tab/>
      </w:r>
      <w:r w:rsidRPr="002B533C">
        <w:rPr>
          <w:rStyle w:val="Refdenotaalpie"/>
          <w:lang w:val="es-ES_tradnl"/>
        </w:rPr>
        <w:footnoteRef/>
      </w:r>
      <w:r w:rsidRPr="002B533C">
        <w:rPr>
          <w:lang w:val="es-ES_tradnl"/>
        </w:rPr>
        <w:tab/>
        <w:t xml:space="preserve">De acuerdo con el </w:t>
      </w:r>
      <w:r w:rsidR="00C85E24">
        <w:rPr>
          <w:lang w:val="es-ES_tradnl"/>
        </w:rPr>
        <w:t>a</w:t>
      </w:r>
      <w:r w:rsidRPr="002B533C">
        <w:rPr>
          <w:lang w:val="es-ES_tradnl"/>
        </w:rPr>
        <w:t>rtículo 13, fracción X</w:t>
      </w:r>
      <w:r>
        <w:rPr>
          <w:lang w:val="es-ES_tradnl"/>
        </w:rPr>
        <w:t>X</w:t>
      </w:r>
      <w:r w:rsidRPr="002B533C">
        <w:rPr>
          <w:lang w:val="es-ES_tradnl"/>
        </w:rPr>
        <w:t>VI de la Ley de la Defensoría de los Derechos Humanos del Pueblo de Oaxaca, esta entidad tiene la facultad de “</w:t>
      </w:r>
      <w:r w:rsidR="00577231">
        <w:rPr>
          <w:lang w:val="es-ES_tradnl"/>
        </w:rPr>
        <w:t>[a]</w:t>
      </w:r>
      <w:r w:rsidRPr="002B533C">
        <w:rPr>
          <w:lang w:val="es-ES_tradnl"/>
        </w:rPr>
        <w:t>sumir la defensa legal en aquellos casos que se le solicite en el juicio para la protección de los derechos humanos ante la Sala Constitucional del Tribunal Superior de Justicia del Estado</w:t>
      </w:r>
      <w:r>
        <w:rPr>
          <w:lang w:val="es-ES_tradnl"/>
        </w:rPr>
        <w:t>”</w:t>
      </w:r>
      <w:r w:rsidRPr="002B533C">
        <w:rPr>
          <w:lang w:val="es-ES_tradnl"/>
        </w:rPr>
        <w:t>.</w:t>
      </w:r>
    </w:p>
  </w:footnote>
  <w:footnote w:id="50">
    <w:p w14:paraId="54E268D5" w14:textId="5944CAB5" w:rsidR="008C07B6" w:rsidRPr="006935EA" w:rsidRDefault="008C07B6" w:rsidP="006935EA">
      <w:pPr>
        <w:pStyle w:val="Textonotapie"/>
        <w:jc w:val="both"/>
        <w:rPr>
          <w:lang w:val="es-ES_tradnl"/>
        </w:rPr>
      </w:pPr>
      <w:r w:rsidRPr="006935EA">
        <w:rPr>
          <w:lang w:val="es-ES_tradnl"/>
        </w:rPr>
        <w:tab/>
      </w:r>
      <w:r w:rsidRPr="006935EA">
        <w:rPr>
          <w:rStyle w:val="Refdenotaalpie"/>
          <w:lang w:val="es-ES_tradnl"/>
        </w:rPr>
        <w:footnoteRef/>
      </w:r>
      <w:r w:rsidRPr="006935EA">
        <w:rPr>
          <w:lang w:val="es-ES_tradnl"/>
        </w:rPr>
        <w:tab/>
        <w:t xml:space="preserve">Los autores aportan </w:t>
      </w:r>
      <w:r>
        <w:rPr>
          <w:lang w:val="es-ES_tradnl"/>
        </w:rPr>
        <w:t xml:space="preserve">la </w:t>
      </w:r>
      <w:r w:rsidR="00A660FD">
        <w:rPr>
          <w:lang w:val="es-ES_tradnl"/>
        </w:rPr>
        <w:t>d</w:t>
      </w:r>
      <w:r w:rsidRPr="006935EA">
        <w:rPr>
          <w:lang w:val="es-ES_tradnl"/>
        </w:rPr>
        <w:t>emanda de juicio para la protección de los derechos humanos</w:t>
      </w:r>
      <w:r>
        <w:rPr>
          <w:lang w:val="es-ES_tradnl"/>
        </w:rPr>
        <w:t xml:space="preserve"> de</w:t>
      </w:r>
      <w:r w:rsidRPr="006935EA">
        <w:rPr>
          <w:lang w:val="es-ES_tradnl"/>
        </w:rPr>
        <w:t xml:space="preserve"> 5 de septiembre de 2018</w:t>
      </w:r>
      <w:r>
        <w:rPr>
          <w:lang w:val="es-ES_tradnl"/>
        </w:rPr>
        <w:t xml:space="preserve"> de la</w:t>
      </w:r>
      <w:r w:rsidRPr="006935EA">
        <w:rPr>
          <w:lang w:val="es-ES_tradnl"/>
        </w:rPr>
        <w:t xml:space="preserve"> Defensoría de los Derechos Humanos del Pueblo de Oaxaca, p</w:t>
      </w:r>
      <w:r w:rsidR="00A660FD">
        <w:rPr>
          <w:lang w:val="es-ES_tradnl"/>
        </w:rPr>
        <w:t>ág</w:t>
      </w:r>
      <w:r w:rsidRPr="006935EA">
        <w:rPr>
          <w:lang w:val="es-ES_tradnl"/>
        </w:rPr>
        <w:t>.</w:t>
      </w:r>
      <w:r w:rsidR="00A660FD">
        <w:rPr>
          <w:lang w:val="es-ES_tradnl"/>
        </w:rPr>
        <w:t xml:space="preserve"> </w:t>
      </w:r>
      <w:r w:rsidRPr="006935EA">
        <w:rPr>
          <w:lang w:val="es-ES_tradnl"/>
        </w:rPr>
        <w:t>7</w:t>
      </w:r>
      <w:r>
        <w:rPr>
          <w:lang w:val="es-ES_tradnl"/>
        </w:rPr>
        <w:t>.</w:t>
      </w:r>
    </w:p>
  </w:footnote>
  <w:footnote w:id="51">
    <w:p w14:paraId="6AEFB215" w14:textId="2AEA3B1F" w:rsidR="008C07B6" w:rsidRPr="00005AFE" w:rsidRDefault="008C07B6" w:rsidP="00B8360B">
      <w:pPr>
        <w:pStyle w:val="Textonotapie"/>
        <w:jc w:val="both"/>
        <w:rPr>
          <w:lang w:val="es-ES_tradnl"/>
        </w:rPr>
      </w:pPr>
      <w:r w:rsidRPr="001A7A04">
        <w:rPr>
          <w:lang w:val="es-ES"/>
        </w:rPr>
        <w:tab/>
      </w:r>
      <w:r>
        <w:rPr>
          <w:rStyle w:val="Refdenotaalpie"/>
        </w:rPr>
        <w:footnoteRef/>
      </w:r>
      <w:r w:rsidRPr="001A7A04">
        <w:rPr>
          <w:lang w:val="es-ES"/>
        </w:rPr>
        <w:tab/>
      </w:r>
      <w:r w:rsidRPr="006935EA">
        <w:rPr>
          <w:lang w:val="es-ES_tradnl"/>
        </w:rPr>
        <w:t xml:space="preserve">Los </w:t>
      </w:r>
      <w:r w:rsidRPr="00005AFE">
        <w:rPr>
          <w:lang w:val="es-ES_tradnl"/>
        </w:rPr>
        <w:t xml:space="preserve">autores aportan la </w:t>
      </w:r>
      <w:r w:rsidR="00A660FD">
        <w:rPr>
          <w:lang w:val="es-ES_tradnl"/>
        </w:rPr>
        <w:t>c</w:t>
      </w:r>
      <w:r w:rsidRPr="00005AFE">
        <w:rPr>
          <w:lang w:val="es-ES_tradnl"/>
        </w:rPr>
        <w:t xml:space="preserve">édula de </w:t>
      </w:r>
      <w:r w:rsidR="00A660FD">
        <w:rPr>
          <w:lang w:val="es-ES_tradnl"/>
        </w:rPr>
        <w:t>n</w:t>
      </w:r>
      <w:r w:rsidRPr="00005AFE">
        <w:rPr>
          <w:lang w:val="es-ES_tradnl"/>
        </w:rPr>
        <w:t>otificación del Tribunal Superior de Justicia del Estado</w:t>
      </w:r>
      <w:r w:rsidR="00A660FD">
        <w:rPr>
          <w:lang w:val="es-ES_tradnl"/>
        </w:rPr>
        <w:t>,</w:t>
      </w:r>
      <w:r w:rsidRPr="00005AFE">
        <w:rPr>
          <w:lang w:val="es-ES_tradnl"/>
        </w:rPr>
        <w:t xml:space="preserve"> Sala Constitucional y Cuarta Sala Penal</w:t>
      </w:r>
      <w:r w:rsidR="00A660FD">
        <w:rPr>
          <w:lang w:val="es-ES_tradnl"/>
        </w:rPr>
        <w:t>, e</w:t>
      </w:r>
      <w:r w:rsidRPr="00005AFE">
        <w:rPr>
          <w:lang w:val="es-ES_tradnl"/>
        </w:rPr>
        <w:t>xpediente 09/2018.</w:t>
      </w:r>
    </w:p>
  </w:footnote>
  <w:footnote w:id="52">
    <w:p w14:paraId="7FD0C939" w14:textId="4337B06E" w:rsidR="008C07B6" w:rsidRPr="0008589B" w:rsidRDefault="008C07B6" w:rsidP="0008589B">
      <w:pPr>
        <w:pStyle w:val="Textonotapie"/>
        <w:jc w:val="both"/>
        <w:rPr>
          <w:lang w:val="es-ES_tradnl"/>
        </w:rPr>
      </w:pPr>
      <w:r w:rsidRPr="0008589B">
        <w:rPr>
          <w:lang w:val="es-ES_tradnl"/>
        </w:rPr>
        <w:tab/>
      </w:r>
      <w:r w:rsidRPr="0008589B">
        <w:rPr>
          <w:rStyle w:val="Refdenotaalpie"/>
          <w:lang w:val="es-ES_tradnl"/>
        </w:rPr>
        <w:footnoteRef/>
      </w:r>
      <w:r w:rsidRPr="0008589B">
        <w:rPr>
          <w:lang w:val="es-ES_tradnl"/>
        </w:rPr>
        <w:tab/>
        <w:t>Expediente 644/EXT/2011 ante el Centro de Personas Extraviadas y Ausentes</w:t>
      </w:r>
      <w:r>
        <w:rPr>
          <w:lang w:val="es-ES_tradnl"/>
        </w:rPr>
        <w:t xml:space="preserve"> de la </w:t>
      </w:r>
      <w:r w:rsidRPr="000F0D86">
        <w:rPr>
          <w:lang w:val="es-ES_tradnl"/>
        </w:rPr>
        <w:t>Procuraduría General de Justicia del Distrito Federal</w:t>
      </w:r>
      <w:r>
        <w:rPr>
          <w:lang w:val="es-ES_tradnl"/>
        </w:rPr>
        <w:t>; a</w:t>
      </w:r>
      <w:r w:rsidRPr="00892E92">
        <w:rPr>
          <w:lang w:val="es-ES_tradnl"/>
        </w:rPr>
        <w:t>veriguación previa PGR/</w:t>
      </w:r>
      <w:proofErr w:type="spellStart"/>
      <w:r w:rsidRPr="00892E92">
        <w:rPr>
          <w:lang w:val="es-ES_tradnl"/>
        </w:rPr>
        <w:t>SIEDO</w:t>
      </w:r>
      <w:proofErr w:type="spellEnd"/>
      <w:r w:rsidRPr="00892E92">
        <w:rPr>
          <w:lang w:val="es-ES_tradnl"/>
        </w:rPr>
        <w:t>/</w:t>
      </w:r>
      <w:proofErr w:type="spellStart"/>
      <w:r w:rsidRPr="00892E92">
        <w:rPr>
          <w:lang w:val="es-ES_tradnl"/>
        </w:rPr>
        <w:t>UEIS</w:t>
      </w:r>
      <w:proofErr w:type="spellEnd"/>
      <w:r w:rsidRPr="00892E92">
        <w:rPr>
          <w:lang w:val="es-ES_tradnl"/>
        </w:rPr>
        <w:t>/009/2012</w:t>
      </w:r>
      <w:r>
        <w:rPr>
          <w:lang w:val="es-ES_tradnl"/>
        </w:rPr>
        <w:t xml:space="preserve"> ante la</w:t>
      </w:r>
      <w:r w:rsidRPr="00892E92">
        <w:rPr>
          <w:lang w:val="es-ES_tradnl"/>
        </w:rPr>
        <w:t xml:space="preserve"> Subprocuraduría de Investigación Especializada en Delincuencia Organizada</w:t>
      </w:r>
      <w:r>
        <w:rPr>
          <w:lang w:val="es-ES_tradnl"/>
        </w:rPr>
        <w:t xml:space="preserve"> de la </w:t>
      </w:r>
      <w:r w:rsidR="00A71EAB" w:rsidRPr="00B5060B">
        <w:rPr>
          <w:rFonts w:eastAsia="Calibri"/>
          <w:lang w:val="es-ES_tradnl"/>
        </w:rPr>
        <w:t>Procuraduría General de la República</w:t>
      </w:r>
      <w:r>
        <w:rPr>
          <w:lang w:val="es-ES_tradnl"/>
        </w:rPr>
        <w:t>;</w:t>
      </w:r>
      <w:r w:rsidRPr="00892E92">
        <w:rPr>
          <w:lang w:val="es-ES_tradnl"/>
        </w:rPr>
        <w:t xml:space="preserve"> </w:t>
      </w:r>
      <w:r>
        <w:rPr>
          <w:lang w:val="es-ES_tradnl"/>
        </w:rPr>
        <w:t>averiguación previa</w:t>
      </w:r>
      <w:r w:rsidRPr="0008589B">
        <w:rPr>
          <w:lang w:val="es-ES_tradnl"/>
        </w:rPr>
        <w:t xml:space="preserve"> AP/PGR/</w:t>
      </w:r>
      <w:proofErr w:type="spellStart"/>
      <w:r w:rsidRPr="0008589B">
        <w:rPr>
          <w:lang w:val="es-ES_tradnl"/>
        </w:rPr>
        <w:t>SDHPDSC</w:t>
      </w:r>
      <w:proofErr w:type="spellEnd"/>
      <w:r w:rsidRPr="0008589B">
        <w:rPr>
          <w:lang w:val="es-ES_tradnl"/>
        </w:rPr>
        <w:t>/</w:t>
      </w:r>
      <w:proofErr w:type="spellStart"/>
      <w:r w:rsidRPr="0008589B">
        <w:rPr>
          <w:lang w:val="es-ES_tradnl"/>
        </w:rPr>
        <w:t>UEBPD</w:t>
      </w:r>
      <w:proofErr w:type="spellEnd"/>
      <w:r w:rsidRPr="0008589B">
        <w:rPr>
          <w:lang w:val="es-ES_tradnl"/>
        </w:rPr>
        <w:t>/</w:t>
      </w:r>
      <w:proofErr w:type="spellStart"/>
      <w:r w:rsidRPr="0008589B">
        <w:rPr>
          <w:lang w:val="es-ES_tradnl"/>
        </w:rPr>
        <w:t>M30</w:t>
      </w:r>
      <w:proofErr w:type="spellEnd"/>
      <w:r w:rsidRPr="0008589B">
        <w:rPr>
          <w:lang w:val="es-ES_tradnl"/>
        </w:rPr>
        <w:t>/214/2015</w:t>
      </w:r>
      <w:r>
        <w:rPr>
          <w:lang w:val="es-ES_tradnl"/>
        </w:rPr>
        <w:t xml:space="preserve"> ante la </w:t>
      </w:r>
      <w:r w:rsidRPr="00892E92">
        <w:rPr>
          <w:lang w:val="es-ES_tradnl"/>
        </w:rPr>
        <w:t>Fiscalía Especializada en Investigación de los Delitos de Desaparición Forzada de la Subprocuraduría de Derechos Humanos, Prevención del Delito y Servicios a la Comunidad</w:t>
      </w:r>
      <w:r>
        <w:rPr>
          <w:lang w:val="es-ES_tradnl"/>
        </w:rPr>
        <w:t xml:space="preserve">, </w:t>
      </w:r>
      <w:r w:rsidR="000F1B30" w:rsidRPr="00B5060B">
        <w:rPr>
          <w:rFonts w:eastAsia="Calibri"/>
          <w:lang w:val="es-ES_tradnl"/>
        </w:rPr>
        <w:t>Procuraduría General de la República</w:t>
      </w:r>
      <w:r>
        <w:rPr>
          <w:lang w:val="es-ES_tradnl"/>
        </w:rPr>
        <w:t>;</w:t>
      </w:r>
      <w:r w:rsidRPr="003D7CC8">
        <w:rPr>
          <w:lang w:val="es-ES_tradnl"/>
        </w:rPr>
        <w:t xml:space="preserve"> </w:t>
      </w:r>
      <w:r w:rsidR="000F1B30">
        <w:rPr>
          <w:lang w:val="es-ES_tradnl"/>
        </w:rPr>
        <w:t>c</w:t>
      </w:r>
      <w:r w:rsidRPr="00DB0B95">
        <w:rPr>
          <w:lang w:val="es-ES_tradnl"/>
        </w:rPr>
        <w:t>arpeta de investigación 139/</w:t>
      </w:r>
      <w:proofErr w:type="spellStart"/>
      <w:r w:rsidRPr="00DB0B95">
        <w:rPr>
          <w:lang w:val="es-ES_tradnl"/>
        </w:rPr>
        <w:t>UEDF</w:t>
      </w:r>
      <w:proofErr w:type="spellEnd"/>
      <w:r w:rsidRPr="00DB0B95">
        <w:rPr>
          <w:lang w:val="es-ES_tradnl"/>
        </w:rPr>
        <w:t>/2018</w:t>
      </w:r>
      <w:r>
        <w:rPr>
          <w:lang w:val="es-ES_tradnl"/>
        </w:rPr>
        <w:t xml:space="preserve"> ante la</w:t>
      </w:r>
      <w:r w:rsidRPr="00DB0B95">
        <w:rPr>
          <w:lang w:val="es-ES_tradnl"/>
        </w:rPr>
        <w:t xml:space="preserve"> Unidad Especializada en Desaparición Forzada</w:t>
      </w:r>
      <w:r>
        <w:rPr>
          <w:lang w:val="es-ES_tradnl"/>
        </w:rPr>
        <w:t xml:space="preserve"> de la </w:t>
      </w:r>
      <w:r w:rsidRPr="00DB0B95">
        <w:rPr>
          <w:lang w:val="es-ES_tradnl"/>
        </w:rPr>
        <w:t xml:space="preserve">Fiscalía General del </w:t>
      </w:r>
      <w:r w:rsidR="003E7FA9">
        <w:rPr>
          <w:lang w:val="es-ES_tradnl"/>
        </w:rPr>
        <w:t>E</w:t>
      </w:r>
      <w:r w:rsidRPr="00DB0B95">
        <w:rPr>
          <w:lang w:val="es-ES_tradnl"/>
        </w:rPr>
        <w:t>stado de Oaxaca</w:t>
      </w:r>
      <w:r>
        <w:rPr>
          <w:lang w:val="es-ES_tradnl"/>
        </w:rPr>
        <w:t>.</w:t>
      </w:r>
    </w:p>
  </w:footnote>
  <w:footnote w:id="53">
    <w:p w14:paraId="5B6B12ED" w14:textId="4A7845A6" w:rsidR="008C07B6" w:rsidRPr="00684E74" w:rsidRDefault="008C07B6" w:rsidP="00684E74">
      <w:pPr>
        <w:pStyle w:val="Textonotapie"/>
        <w:jc w:val="both"/>
        <w:rPr>
          <w:lang w:val="es-ES"/>
        </w:rPr>
      </w:pPr>
      <w:r w:rsidRPr="002959D9">
        <w:rPr>
          <w:lang w:val="es-ES"/>
        </w:rPr>
        <w:tab/>
      </w:r>
      <w:r w:rsidRPr="00684E74">
        <w:rPr>
          <w:rStyle w:val="Refdenotaalpie"/>
          <w:lang w:val="es-ES"/>
        </w:rPr>
        <w:footnoteRef/>
      </w:r>
      <w:r w:rsidRPr="002959D9">
        <w:rPr>
          <w:lang w:val="es-ES"/>
        </w:rPr>
        <w:tab/>
      </w:r>
      <w:r>
        <w:rPr>
          <w:i/>
          <w:lang w:val="es-ES"/>
        </w:rPr>
        <w:t>T.</w:t>
      </w:r>
      <w:r w:rsidR="00963B70">
        <w:rPr>
          <w:i/>
          <w:lang w:val="es-ES"/>
        </w:rPr>
        <w:t xml:space="preserve"> </w:t>
      </w:r>
      <w:r>
        <w:rPr>
          <w:i/>
          <w:lang w:val="es-ES"/>
        </w:rPr>
        <w:t>K. c</w:t>
      </w:r>
      <w:r w:rsidRPr="002959D9">
        <w:rPr>
          <w:i/>
          <w:lang w:val="es-ES"/>
        </w:rPr>
        <w:t>. Francia</w:t>
      </w:r>
      <w:r w:rsidRPr="00D5785F">
        <w:rPr>
          <w:lang w:val="es-ES"/>
        </w:rPr>
        <w:t>, párr. 8.3</w:t>
      </w:r>
      <w:r>
        <w:rPr>
          <w:lang w:val="es-ES"/>
        </w:rPr>
        <w:t>.</w:t>
      </w:r>
    </w:p>
  </w:footnote>
  <w:footnote w:id="54">
    <w:p w14:paraId="6DFDE653" w14:textId="0314DB68" w:rsidR="008C07B6" w:rsidRPr="002B1E50" w:rsidRDefault="008C07B6" w:rsidP="00602CDA">
      <w:pPr>
        <w:pStyle w:val="Textonotapie"/>
        <w:jc w:val="both"/>
        <w:rPr>
          <w:lang w:val="es-ES"/>
        </w:rPr>
      </w:pPr>
      <w:r>
        <w:rPr>
          <w:lang w:val="es-ES"/>
        </w:rPr>
        <w:tab/>
      </w:r>
      <w:r w:rsidRPr="008936C5">
        <w:rPr>
          <w:rStyle w:val="Refdenotaalpie"/>
        </w:rPr>
        <w:footnoteRef/>
      </w:r>
      <w:r w:rsidRPr="008936C5">
        <w:rPr>
          <w:lang w:val="es-ES"/>
        </w:rPr>
        <w:tab/>
      </w:r>
      <w:r w:rsidRPr="008936C5">
        <w:rPr>
          <w:i/>
          <w:lang w:val="es-ES"/>
        </w:rPr>
        <w:t>Téllez Padilla c. México</w:t>
      </w:r>
      <w:r w:rsidRPr="008936C5">
        <w:rPr>
          <w:lang w:val="es-ES"/>
        </w:rPr>
        <w:t xml:space="preserve"> (</w:t>
      </w:r>
      <w:proofErr w:type="spellStart"/>
      <w:r w:rsidRPr="008936C5">
        <w:rPr>
          <w:lang w:val="es-ES"/>
        </w:rPr>
        <w:t>CCPR</w:t>
      </w:r>
      <w:proofErr w:type="spellEnd"/>
      <w:r w:rsidRPr="008936C5">
        <w:rPr>
          <w:lang w:val="es-ES"/>
        </w:rPr>
        <w:t>/C/126/D/2750/2016), párr. 8.4.</w:t>
      </w:r>
    </w:p>
  </w:footnote>
  <w:footnote w:id="55">
    <w:p w14:paraId="64295DAF" w14:textId="7DC3C519" w:rsidR="008C07B6" w:rsidRPr="004E6A62" w:rsidRDefault="008C07B6" w:rsidP="00524299">
      <w:pPr>
        <w:pStyle w:val="Textonotapie"/>
        <w:jc w:val="both"/>
        <w:rPr>
          <w:lang w:val="es-ES_tradnl"/>
        </w:rPr>
      </w:pPr>
      <w:r w:rsidRPr="004E6A62">
        <w:rPr>
          <w:lang w:val="es-ES_tradnl"/>
        </w:rPr>
        <w:tab/>
      </w:r>
      <w:r w:rsidRPr="004E6A62">
        <w:rPr>
          <w:rStyle w:val="Refdenotaalpie"/>
          <w:lang w:val="es-ES_tradnl"/>
        </w:rPr>
        <w:footnoteRef/>
      </w:r>
      <w:r w:rsidRPr="004E6A62">
        <w:rPr>
          <w:lang w:val="es-ES_tradnl"/>
        </w:rPr>
        <w:tab/>
      </w:r>
      <w:r w:rsidR="00A85F05">
        <w:rPr>
          <w:lang w:val="es-ES_tradnl"/>
        </w:rPr>
        <w:t xml:space="preserve">Corte Interamericana de Derechos Humanos, </w:t>
      </w:r>
      <w:r w:rsidRPr="004E6A62">
        <w:rPr>
          <w:i/>
          <w:lang w:val="es-ES_tradnl"/>
        </w:rPr>
        <w:t xml:space="preserve">Godínez Cruz </w:t>
      </w:r>
      <w:r w:rsidR="00A85F05">
        <w:rPr>
          <w:i/>
          <w:lang w:val="es-ES_tradnl"/>
        </w:rPr>
        <w:t>v</w:t>
      </w:r>
      <w:r w:rsidRPr="004E6A62">
        <w:rPr>
          <w:i/>
          <w:lang w:val="es-ES_tradnl"/>
        </w:rPr>
        <w:t>s. Honduras</w:t>
      </w:r>
      <w:r w:rsidR="00A36DB9">
        <w:rPr>
          <w:i/>
          <w:lang w:val="es-ES_tradnl"/>
        </w:rPr>
        <w:t xml:space="preserve">, </w:t>
      </w:r>
      <w:r w:rsidR="00A36DB9">
        <w:rPr>
          <w:lang w:val="es-ES_tradnl"/>
        </w:rPr>
        <w:t>f</w:t>
      </w:r>
      <w:r w:rsidRPr="004E6A62">
        <w:rPr>
          <w:lang w:val="es-ES_tradnl"/>
        </w:rPr>
        <w:t>ondo</w:t>
      </w:r>
      <w:r w:rsidR="00A36DB9">
        <w:rPr>
          <w:lang w:val="es-ES_tradnl"/>
        </w:rPr>
        <w:t>, s</w:t>
      </w:r>
      <w:r w:rsidRPr="004E6A62">
        <w:rPr>
          <w:lang w:val="es-ES_tradnl"/>
        </w:rPr>
        <w:t>entencia de 20 de enero de 1989</w:t>
      </w:r>
      <w:r w:rsidR="00A36DB9">
        <w:rPr>
          <w:lang w:val="es-ES_tradnl"/>
        </w:rPr>
        <w:t>,</w:t>
      </w:r>
      <w:r w:rsidRPr="004E6A62">
        <w:rPr>
          <w:lang w:val="es-ES_tradnl"/>
        </w:rPr>
        <w:t xml:space="preserve"> Serie C </w:t>
      </w:r>
      <w:r w:rsidR="00A36DB9">
        <w:rPr>
          <w:lang w:val="es-ES_tradnl"/>
        </w:rPr>
        <w:t>núm</w:t>
      </w:r>
      <w:r w:rsidRPr="004E6A62">
        <w:rPr>
          <w:lang w:val="es-ES_tradnl"/>
        </w:rPr>
        <w:t>. 5, párr. 154.</w:t>
      </w:r>
    </w:p>
  </w:footnote>
  <w:footnote w:id="56">
    <w:p w14:paraId="0186FA6F" w14:textId="3741ED9E" w:rsidR="008C07B6" w:rsidRPr="00214DBF" w:rsidRDefault="008C07B6" w:rsidP="00531919">
      <w:pPr>
        <w:pStyle w:val="Textonotapie"/>
        <w:jc w:val="both"/>
        <w:rPr>
          <w:lang w:val="es-ES_tradnl"/>
        </w:rPr>
      </w:pPr>
      <w:r w:rsidRPr="00214DBF">
        <w:rPr>
          <w:lang w:val="es-ES_tradnl"/>
        </w:rPr>
        <w:tab/>
      </w:r>
      <w:r w:rsidRPr="00214DBF">
        <w:rPr>
          <w:rStyle w:val="Refdenotaalpie"/>
          <w:lang w:val="es-ES_tradnl"/>
        </w:rPr>
        <w:footnoteRef/>
      </w:r>
      <w:r w:rsidRPr="00214DBF">
        <w:rPr>
          <w:lang w:val="es-ES_tradnl"/>
        </w:rPr>
        <w:tab/>
        <w:t xml:space="preserve">Observación general núm. 36 (2018) sobre el derecho a la vida, </w:t>
      </w:r>
      <w:proofErr w:type="spellStart"/>
      <w:r w:rsidRPr="00214DBF">
        <w:rPr>
          <w:lang w:val="es-ES_tradnl"/>
        </w:rPr>
        <w:t>párr</w:t>
      </w:r>
      <w:r w:rsidR="009A7F21">
        <w:rPr>
          <w:lang w:val="es-ES_tradnl"/>
        </w:rPr>
        <w:t>s</w:t>
      </w:r>
      <w:proofErr w:type="spellEnd"/>
      <w:r w:rsidRPr="00214DBF">
        <w:rPr>
          <w:lang w:val="es-ES_tradnl"/>
        </w:rPr>
        <w:t xml:space="preserve">. </w:t>
      </w:r>
      <w:r>
        <w:rPr>
          <w:lang w:val="es-ES_tradnl"/>
        </w:rPr>
        <w:t xml:space="preserve">7, </w:t>
      </w:r>
      <w:r w:rsidRPr="00214DBF">
        <w:rPr>
          <w:lang w:val="es-ES_tradnl"/>
        </w:rPr>
        <w:t>19</w:t>
      </w:r>
      <w:r>
        <w:rPr>
          <w:lang w:val="es-ES_tradnl"/>
        </w:rPr>
        <w:t xml:space="preserve">, 21 y 27; </w:t>
      </w:r>
      <w:r w:rsidRPr="00214BBC">
        <w:rPr>
          <w:lang w:val="es-ES_tradnl"/>
        </w:rPr>
        <w:t>Protocolo de Minnesota sobre la Investig</w:t>
      </w:r>
      <w:r>
        <w:rPr>
          <w:lang w:val="es-ES_tradnl"/>
        </w:rPr>
        <w:t xml:space="preserve">ación de Muertes Potencialmente </w:t>
      </w:r>
      <w:r w:rsidRPr="00214BBC">
        <w:rPr>
          <w:lang w:val="es-ES_tradnl"/>
        </w:rPr>
        <w:t>Ilícitas</w:t>
      </w:r>
      <w:r w:rsidRPr="00214DBF">
        <w:rPr>
          <w:lang w:val="es-ES_tradnl"/>
        </w:rPr>
        <w:t>.</w:t>
      </w:r>
    </w:p>
  </w:footnote>
  <w:footnote w:id="57">
    <w:p w14:paraId="2F134BAC" w14:textId="5C30D45D" w:rsidR="008C07B6" w:rsidRPr="00531919" w:rsidRDefault="008C07B6">
      <w:pPr>
        <w:pStyle w:val="Textonotapie"/>
        <w:rPr>
          <w:lang w:val="es-ES"/>
        </w:rPr>
      </w:pPr>
      <w:r>
        <w:rPr>
          <w:lang w:val="es-ES"/>
        </w:rPr>
        <w:tab/>
      </w:r>
      <w:r>
        <w:rPr>
          <w:rStyle w:val="Refdenotaalpie"/>
        </w:rPr>
        <w:footnoteRef/>
      </w:r>
      <w:r>
        <w:rPr>
          <w:lang w:val="es-ES"/>
        </w:rPr>
        <w:tab/>
      </w:r>
      <w:r w:rsidRPr="00531919">
        <w:rPr>
          <w:lang w:val="es-ES"/>
        </w:rPr>
        <w:t>Observación general núm. 36</w:t>
      </w:r>
      <w:r w:rsidRPr="0093206A">
        <w:rPr>
          <w:lang w:val="es-ES"/>
        </w:rPr>
        <w:t>, párr.</w:t>
      </w:r>
      <w:r w:rsidRPr="00531919">
        <w:rPr>
          <w:lang w:val="es-ES"/>
        </w:rPr>
        <w:t xml:space="preserve"> 19</w:t>
      </w:r>
      <w:r>
        <w:rPr>
          <w:lang w:val="es-ES"/>
        </w:rPr>
        <w:t>.</w:t>
      </w:r>
    </w:p>
  </w:footnote>
  <w:footnote w:id="58">
    <w:p w14:paraId="4F264E89" w14:textId="08036B23" w:rsidR="008C07B6" w:rsidRPr="003822ED" w:rsidRDefault="008C07B6">
      <w:pPr>
        <w:pStyle w:val="Textonotapie"/>
        <w:rPr>
          <w:lang w:val="es-ES"/>
        </w:rPr>
      </w:pPr>
      <w:r>
        <w:rPr>
          <w:lang w:val="es-ES"/>
        </w:rPr>
        <w:tab/>
      </w:r>
      <w:r>
        <w:rPr>
          <w:rStyle w:val="Refdenotaalpie"/>
        </w:rPr>
        <w:footnoteRef/>
      </w:r>
      <w:r>
        <w:rPr>
          <w:lang w:val="es-ES"/>
        </w:rPr>
        <w:tab/>
      </w:r>
      <w:r w:rsidR="005778A7" w:rsidRPr="00531919">
        <w:rPr>
          <w:i/>
          <w:lang w:val="es-ES"/>
        </w:rPr>
        <w:t>Ib</w:t>
      </w:r>
      <w:r w:rsidR="00963B70" w:rsidRPr="00531919">
        <w:rPr>
          <w:i/>
          <w:lang w:val="es-ES"/>
        </w:rPr>
        <w:t>i</w:t>
      </w:r>
      <w:r w:rsidR="005778A7" w:rsidRPr="00531919">
        <w:rPr>
          <w:i/>
          <w:lang w:val="es-ES"/>
        </w:rPr>
        <w:t>d</w:t>
      </w:r>
      <w:r w:rsidR="005778A7">
        <w:rPr>
          <w:lang w:val="es-ES"/>
        </w:rPr>
        <w:t xml:space="preserve">., </w:t>
      </w:r>
      <w:r w:rsidRPr="003822ED">
        <w:rPr>
          <w:lang w:val="es-ES"/>
        </w:rPr>
        <w:t>párr.</w:t>
      </w:r>
      <w:r>
        <w:rPr>
          <w:lang w:val="es-ES"/>
        </w:rPr>
        <w:t xml:space="preserve"> 21.</w:t>
      </w:r>
    </w:p>
  </w:footnote>
  <w:footnote w:id="59">
    <w:p w14:paraId="14DD9693" w14:textId="009219F6" w:rsidR="008C07B6" w:rsidRPr="003822ED" w:rsidRDefault="008C07B6" w:rsidP="00531919">
      <w:pPr>
        <w:pStyle w:val="Textonotapie"/>
        <w:jc w:val="both"/>
        <w:rPr>
          <w:lang w:val="es-ES"/>
        </w:rPr>
      </w:pPr>
      <w:r>
        <w:rPr>
          <w:lang w:val="es-ES"/>
        </w:rPr>
        <w:tab/>
      </w:r>
      <w:r>
        <w:rPr>
          <w:rStyle w:val="Refdenotaalpie"/>
        </w:rPr>
        <w:footnoteRef/>
      </w:r>
      <w:r>
        <w:rPr>
          <w:lang w:val="es-ES"/>
        </w:rPr>
        <w:tab/>
      </w:r>
      <w:r w:rsidR="004B031D" w:rsidRPr="00531919">
        <w:rPr>
          <w:i/>
          <w:lang w:val="es-ES"/>
        </w:rPr>
        <w:t>Ib</w:t>
      </w:r>
      <w:r w:rsidR="00963B70" w:rsidRPr="00531919">
        <w:rPr>
          <w:i/>
          <w:lang w:val="es-ES"/>
        </w:rPr>
        <w:t>i</w:t>
      </w:r>
      <w:r w:rsidR="004B031D" w:rsidRPr="00531919">
        <w:rPr>
          <w:i/>
          <w:lang w:val="es-ES"/>
        </w:rPr>
        <w:t>d</w:t>
      </w:r>
      <w:r w:rsidR="004B031D">
        <w:rPr>
          <w:lang w:val="es-ES"/>
        </w:rPr>
        <w:t xml:space="preserve">., </w:t>
      </w:r>
      <w:r w:rsidRPr="003822ED">
        <w:rPr>
          <w:lang w:val="es-ES"/>
        </w:rPr>
        <w:t>párr. 27</w:t>
      </w:r>
      <w:r w:rsidRPr="00624B1C">
        <w:rPr>
          <w:lang w:val="es-ES"/>
        </w:rPr>
        <w:t xml:space="preserve">, que recuerda también que </w:t>
      </w:r>
      <w:r>
        <w:rPr>
          <w:lang w:val="es-ES"/>
        </w:rPr>
        <w:t>l</w:t>
      </w:r>
      <w:r w:rsidRPr="00624B1C">
        <w:rPr>
          <w:lang w:val="es-ES"/>
        </w:rPr>
        <w:t>as investigaciones y los enjuiciamientos de casos relativos a privaciones de la vida que pudieran ser ilícitas deben llevarse a cabo de conformidad con las normas internacionales pertinentes, entre ellas</w:t>
      </w:r>
      <w:r>
        <w:rPr>
          <w:lang w:val="es-ES"/>
        </w:rPr>
        <w:t>,</w:t>
      </w:r>
      <w:r w:rsidRPr="00624B1C">
        <w:rPr>
          <w:lang w:val="es-ES"/>
        </w:rPr>
        <w:t xml:space="preserve"> el Protocolo de Minnesota sobre la Investigación de Muertes Potencialmente Ilícitas.</w:t>
      </w:r>
      <w:r w:rsidRPr="003822ED">
        <w:rPr>
          <w:lang w:val="es-ES"/>
        </w:rPr>
        <w:t xml:space="preserve"> </w:t>
      </w:r>
      <w:r>
        <w:rPr>
          <w:lang w:val="es-ES"/>
        </w:rPr>
        <w:t>Por otra parte</w:t>
      </w:r>
      <w:r w:rsidRPr="00DA0F82">
        <w:rPr>
          <w:lang w:val="es-ES"/>
        </w:rPr>
        <w:t xml:space="preserve">, el Comité </w:t>
      </w:r>
      <w:r>
        <w:rPr>
          <w:lang w:val="es-ES"/>
        </w:rPr>
        <w:t xml:space="preserve">también </w:t>
      </w:r>
      <w:r w:rsidRPr="00DA0F82">
        <w:rPr>
          <w:lang w:val="es-ES"/>
        </w:rPr>
        <w:t xml:space="preserve">observa que el artículo 3 de la Convención Internacional para la </w:t>
      </w:r>
      <w:r w:rsidR="00161453">
        <w:rPr>
          <w:lang w:val="es-ES"/>
        </w:rPr>
        <w:t>P</w:t>
      </w:r>
      <w:r w:rsidRPr="00DA0F82">
        <w:rPr>
          <w:lang w:val="es-ES"/>
        </w:rPr>
        <w:t xml:space="preserve">rotección de </w:t>
      </w:r>
      <w:r w:rsidR="00161453">
        <w:rPr>
          <w:lang w:val="es-ES"/>
        </w:rPr>
        <w:t>T</w:t>
      </w:r>
      <w:r w:rsidRPr="00DA0F82">
        <w:rPr>
          <w:lang w:val="es-ES"/>
        </w:rPr>
        <w:t xml:space="preserve">odas las </w:t>
      </w:r>
      <w:r w:rsidR="00161453">
        <w:rPr>
          <w:lang w:val="es-ES"/>
        </w:rPr>
        <w:t>P</w:t>
      </w:r>
      <w:r w:rsidRPr="00DA0F82">
        <w:rPr>
          <w:lang w:val="es-ES"/>
        </w:rPr>
        <w:t xml:space="preserve">ersonas contra las </w:t>
      </w:r>
      <w:r w:rsidR="00161453">
        <w:rPr>
          <w:lang w:val="es-ES"/>
        </w:rPr>
        <w:t>D</w:t>
      </w:r>
      <w:r w:rsidRPr="00DA0F82">
        <w:rPr>
          <w:lang w:val="es-ES"/>
        </w:rPr>
        <w:t xml:space="preserve">esapariciones </w:t>
      </w:r>
      <w:r w:rsidR="00161453">
        <w:rPr>
          <w:lang w:val="es-ES"/>
        </w:rPr>
        <w:t>F</w:t>
      </w:r>
      <w:r w:rsidRPr="00DA0F82">
        <w:rPr>
          <w:lang w:val="es-ES"/>
        </w:rPr>
        <w:t>orzadas, ratificada por México, establece la obligación para los Estados partes de investigar las desapariciones que sean obra de personas o grupos de personas que actúen sin la autorización, el apoyo o la aquiescencia del Estado, y de procesar a los responsables</w:t>
      </w:r>
      <w:r>
        <w:rPr>
          <w:lang w:val="es-ES"/>
        </w:rPr>
        <w:t>.</w:t>
      </w:r>
    </w:p>
  </w:footnote>
  <w:footnote w:id="60">
    <w:p w14:paraId="1D8FCDCA" w14:textId="7FFA9881" w:rsidR="008C07B6" w:rsidRPr="00C735A9" w:rsidRDefault="008C07B6">
      <w:pPr>
        <w:pStyle w:val="Textonotapie"/>
        <w:rPr>
          <w:lang w:val="es-ES"/>
        </w:rPr>
      </w:pPr>
      <w:r w:rsidRPr="00C735A9">
        <w:rPr>
          <w:lang w:val="es-ES"/>
        </w:rPr>
        <w:tab/>
      </w:r>
      <w:r>
        <w:rPr>
          <w:rStyle w:val="Refdenotaalpie"/>
        </w:rPr>
        <w:footnoteRef/>
      </w:r>
      <w:r w:rsidRPr="00C735A9">
        <w:rPr>
          <w:lang w:val="es-ES"/>
        </w:rPr>
        <w:tab/>
      </w:r>
      <w:proofErr w:type="spellStart"/>
      <w:r w:rsidRPr="00FB1BF2">
        <w:rPr>
          <w:i/>
          <w:lang w:val="es-ES_tradnl"/>
        </w:rPr>
        <w:t>Amirov</w:t>
      </w:r>
      <w:proofErr w:type="spellEnd"/>
      <w:r w:rsidRPr="00FB1BF2">
        <w:rPr>
          <w:i/>
          <w:lang w:val="es-ES_tradnl"/>
        </w:rPr>
        <w:t xml:space="preserve"> c. </w:t>
      </w:r>
      <w:r w:rsidR="00963B70">
        <w:rPr>
          <w:i/>
          <w:lang w:val="es-ES_tradnl"/>
        </w:rPr>
        <w:t xml:space="preserve">la </w:t>
      </w:r>
      <w:r w:rsidRPr="00FB1BF2">
        <w:rPr>
          <w:i/>
          <w:lang w:val="es-ES_tradnl"/>
        </w:rPr>
        <w:t>Federación de Rusia</w:t>
      </w:r>
      <w:r w:rsidRPr="00FB1BF2">
        <w:rPr>
          <w:lang w:val="es-ES_tradnl"/>
        </w:rPr>
        <w:t xml:space="preserve"> (</w:t>
      </w:r>
      <w:proofErr w:type="spellStart"/>
      <w:r w:rsidRPr="00FB1BF2">
        <w:rPr>
          <w:lang w:val="es-ES_tradnl"/>
        </w:rPr>
        <w:t>CCPR</w:t>
      </w:r>
      <w:proofErr w:type="spellEnd"/>
      <w:r w:rsidRPr="00FB1BF2">
        <w:rPr>
          <w:lang w:val="es-ES_tradnl"/>
        </w:rPr>
        <w:t>/C/95/D/1447/2006), párr. 11.2</w:t>
      </w:r>
      <w:r>
        <w:rPr>
          <w:lang w:val="es-ES_tradnl"/>
        </w:rPr>
        <w:t>.</w:t>
      </w:r>
    </w:p>
  </w:footnote>
  <w:footnote w:id="61">
    <w:p w14:paraId="2CEA636C" w14:textId="4BB97829" w:rsidR="008C07B6" w:rsidRPr="00FB1BF2" w:rsidRDefault="008C07B6" w:rsidP="00AC3BA7">
      <w:pPr>
        <w:pStyle w:val="Textonotapie"/>
        <w:jc w:val="both"/>
        <w:rPr>
          <w:lang w:val="es-ES_tradnl"/>
        </w:rPr>
      </w:pPr>
      <w:r w:rsidRPr="00FB1BF2">
        <w:rPr>
          <w:lang w:val="es-ES_tradnl"/>
        </w:rPr>
        <w:tab/>
      </w:r>
      <w:r w:rsidRPr="00FB1BF2">
        <w:rPr>
          <w:vertAlign w:val="superscript"/>
          <w:lang w:val="es-ES_tradnl"/>
        </w:rPr>
        <w:footnoteRef/>
      </w:r>
      <w:r w:rsidRPr="00FB1BF2">
        <w:rPr>
          <w:lang w:val="es-ES_tradnl"/>
        </w:rPr>
        <w:tab/>
      </w:r>
      <w:r w:rsidRPr="00B16DE5">
        <w:rPr>
          <w:i/>
          <w:lang w:val="es-ES_tradnl"/>
        </w:rPr>
        <w:t>Herrera Rubio c. Colombia</w:t>
      </w:r>
      <w:r w:rsidRPr="00B16DE5">
        <w:rPr>
          <w:lang w:val="es-ES_tradnl"/>
        </w:rPr>
        <w:t xml:space="preserve"> (</w:t>
      </w:r>
      <w:proofErr w:type="spellStart"/>
      <w:r w:rsidRPr="00B16DE5">
        <w:rPr>
          <w:lang w:val="es-ES_tradnl"/>
        </w:rPr>
        <w:t>CCPR</w:t>
      </w:r>
      <w:proofErr w:type="spellEnd"/>
      <w:r w:rsidRPr="00B16DE5">
        <w:rPr>
          <w:lang w:val="es-ES_tradnl"/>
        </w:rPr>
        <w:t>/C/31/D/161/1983), párr. 11</w:t>
      </w:r>
      <w:r w:rsidRPr="00FB1BF2">
        <w:rPr>
          <w:lang w:val="es-ES_tradnl"/>
        </w:rPr>
        <w:t>.</w:t>
      </w:r>
    </w:p>
  </w:footnote>
  <w:footnote w:id="62">
    <w:p w14:paraId="2F5E338F" w14:textId="16358F86" w:rsidR="008C07B6" w:rsidRPr="00FB1BF2" w:rsidRDefault="008C07B6" w:rsidP="000275A8">
      <w:pPr>
        <w:pStyle w:val="Textonotapie"/>
        <w:rPr>
          <w:lang w:val="fr-FR"/>
        </w:rPr>
      </w:pPr>
      <w:r>
        <w:rPr>
          <w:lang w:val="es-ES_tradnl"/>
        </w:rPr>
        <w:tab/>
      </w:r>
      <w:r w:rsidRPr="00FB1BF2">
        <w:rPr>
          <w:rStyle w:val="Refdenotaalpie"/>
          <w:lang w:val="es-ES_tradnl"/>
        </w:rPr>
        <w:footnoteRef/>
      </w:r>
      <w:r>
        <w:rPr>
          <w:lang w:val="es-ES_tradnl"/>
        </w:rPr>
        <w:tab/>
      </w:r>
      <w:proofErr w:type="spellStart"/>
      <w:r w:rsidRPr="00611FC9">
        <w:rPr>
          <w:i/>
          <w:lang w:val="es-ES_tradnl"/>
        </w:rPr>
        <w:t>Boudjema</w:t>
      </w:r>
      <w:proofErr w:type="spellEnd"/>
      <w:r w:rsidRPr="00611FC9">
        <w:rPr>
          <w:i/>
          <w:lang w:val="es-ES_tradnl"/>
        </w:rPr>
        <w:t xml:space="preserve"> c. A</w:t>
      </w:r>
      <w:r w:rsidR="009B42C1">
        <w:rPr>
          <w:i/>
          <w:lang w:val="es-ES_tradnl"/>
        </w:rPr>
        <w:t>r</w:t>
      </w:r>
      <w:r w:rsidRPr="00611FC9">
        <w:rPr>
          <w:i/>
          <w:lang w:val="es-ES_tradnl"/>
        </w:rPr>
        <w:t>ge</w:t>
      </w:r>
      <w:r w:rsidR="009B42C1">
        <w:rPr>
          <w:i/>
          <w:lang w:val="es-ES_tradnl"/>
        </w:rPr>
        <w:t>l</w:t>
      </w:r>
      <w:r w:rsidRPr="00611FC9">
        <w:rPr>
          <w:i/>
          <w:lang w:val="es-ES_tradnl"/>
        </w:rPr>
        <w:t>ia</w:t>
      </w:r>
      <w:r w:rsidRPr="00FB1BF2">
        <w:rPr>
          <w:lang w:val="es-ES_tradnl"/>
        </w:rPr>
        <w:t xml:space="preserve"> (</w:t>
      </w:r>
      <w:proofErr w:type="spellStart"/>
      <w:r w:rsidRPr="00FB1BF2">
        <w:rPr>
          <w:lang w:val="es-ES_tradnl"/>
        </w:rPr>
        <w:t>CCPR</w:t>
      </w:r>
      <w:proofErr w:type="spellEnd"/>
      <w:r w:rsidRPr="00FB1BF2">
        <w:rPr>
          <w:lang w:val="es-ES_tradnl"/>
        </w:rPr>
        <w:t xml:space="preserve">/C/121/D/2283/2013), </w:t>
      </w:r>
      <w:r>
        <w:rPr>
          <w:lang w:val="es-ES_tradnl"/>
        </w:rPr>
        <w:t>párr.</w:t>
      </w:r>
      <w:r w:rsidRPr="00FB1BF2">
        <w:rPr>
          <w:lang w:val="es-ES_tradnl"/>
        </w:rPr>
        <w:t xml:space="preserve"> 8.8</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4" w14:textId="292BD586" w:rsidR="008C07B6" w:rsidRPr="00C61FA0" w:rsidRDefault="008C07B6" w:rsidP="006A31AE">
    <w:pPr>
      <w:pStyle w:val="Encabezado"/>
    </w:pPr>
    <w:proofErr w:type="spellStart"/>
    <w:r>
      <w:t>CCPR</w:t>
    </w:r>
    <w:proofErr w:type="spellEnd"/>
    <w:r>
      <w:t>/C/127/D/2760/2016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5" w14:textId="11AB3020" w:rsidR="008C07B6" w:rsidRPr="006A31AE" w:rsidRDefault="008C07B6" w:rsidP="006A31AE">
    <w:pPr>
      <w:pStyle w:val="Encabezado"/>
      <w:jc w:val="right"/>
    </w:pPr>
    <w:proofErr w:type="spellStart"/>
    <w:r w:rsidRPr="006A31AE">
      <w:t>CCPR</w:t>
    </w:r>
    <w:proofErr w:type="spellEnd"/>
    <w:r>
      <w:t>/C/127/D/</w:t>
    </w:r>
    <w:r>
      <w:rPr>
        <w:lang w:val="es-ES"/>
      </w:rPr>
      <w:t>2</w:t>
    </w:r>
    <w:r w:rsidRPr="0036554A">
      <w:rPr>
        <w:lang w:val="es-ES"/>
      </w:rPr>
      <w:t>7</w:t>
    </w:r>
    <w:r>
      <w:rPr>
        <w:lang w:val="es-ES"/>
      </w:rPr>
      <w:t>60/2016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6" w:nlCheck="1" w:checkStyle="1"/>
  <w:activeWritingStyle w:appName="MSWord" w:lang="es-EC"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891"/>
    <w:rsid w:val="00001454"/>
    <w:rsid w:val="00001843"/>
    <w:rsid w:val="00002271"/>
    <w:rsid w:val="0000254F"/>
    <w:rsid w:val="00003639"/>
    <w:rsid w:val="000036BF"/>
    <w:rsid w:val="0000400A"/>
    <w:rsid w:val="00004929"/>
    <w:rsid w:val="00004D5C"/>
    <w:rsid w:val="00004ECE"/>
    <w:rsid w:val="00005AFE"/>
    <w:rsid w:val="00005D1C"/>
    <w:rsid w:val="00005FCE"/>
    <w:rsid w:val="00006C3A"/>
    <w:rsid w:val="00007812"/>
    <w:rsid w:val="0000794F"/>
    <w:rsid w:val="000104A7"/>
    <w:rsid w:val="00010555"/>
    <w:rsid w:val="00011DFB"/>
    <w:rsid w:val="00012F9E"/>
    <w:rsid w:val="000135E6"/>
    <w:rsid w:val="000136C5"/>
    <w:rsid w:val="00014522"/>
    <w:rsid w:val="00014A46"/>
    <w:rsid w:val="00014E67"/>
    <w:rsid w:val="00015429"/>
    <w:rsid w:val="00015773"/>
    <w:rsid w:val="000158F1"/>
    <w:rsid w:val="00015A06"/>
    <w:rsid w:val="00015D00"/>
    <w:rsid w:val="000160A8"/>
    <w:rsid w:val="0001674E"/>
    <w:rsid w:val="000167EA"/>
    <w:rsid w:val="0001700A"/>
    <w:rsid w:val="000170F4"/>
    <w:rsid w:val="00017187"/>
    <w:rsid w:val="000171EB"/>
    <w:rsid w:val="00017D80"/>
    <w:rsid w:val="000203E2"/>
    <w:rsid w:val="000207CE"/>
    <w:rsid w:val="00020AEC"/>
    <w:rsid w:val="00021C71"/>
    <w:rsid w:val="00022206"/>
    <w:rsid w:val="00022411"/>
    <w:rsid w:val="00023789"/>
    <w:rsid w:val="000238CC"/>
    <w:rsid w:val="00023A6D"/>
    <w:rsid w:val="00023F64"/>
    <w:rsid w:val="00024A1B"/>
    <w:rsid w:val="00024E11"/>
    <w:rsid w:val="00024F11"/>
    <w:rsid w:val="00025562"/>
    <w:rsid w:val="00025907"/>
    <w:rsid w:val="0002603F"/>
    <w:rsid w:val="0002643B"/>
    <w:rsid w:val="00026686"/>
    <w:rsid w:val="00027074"/>
    <w:rsid w:val="000275A8"/>
    <w:rsid w:val="0002788D"/>
    <w:rsid w:val="00030035"/>
    <w:rsid w:val="00030866"/>
    <w:rsid w:val="00031010"/>
    <w:rsid w:val="000310F6"/>
    <w:rsid w:val="00031369"/>
    <w:rsid w:val="000314D2"/>
    <w:rsid w:val="00031586"/>
    <w:rsid w:val="000322D0"/>
    <w:rsid w:val="00032513"/>
    <w:rsid w:val="00034072"/>
    <w:rsid w:val="000340A1"/>
    <w:rsid w:val="000342FA"/>
    <w:rsid w:val="000343BA"/>
    <w:rsid w:val="00034661"/>
    <w:rsid w:val="000352EF"/>
    <w:rsid w:val="00035790"/>
    <w:rsid w:val="00035803"/>
    <w:rsid w:val="00035ABE"/>
    <w:rsid w:val="0003615E"/>
    <w:rsid w:val="0003618D"/>
    <w:rsid w:val="00036BBD"/>
    <w:rsid w:val="00037728"/>
    <w:rsid w:val="000378BF"/>
    <w:rsid w:val="00037C77"/>
    <w:rsid w:val="0004036D"/>
    <w:rsid w:val="0004039F"/>
    <w:rsid w:val="0004068E"/>
    <w:rsid w:val="000417D8"/>
    <w:rsid w:val="00042490"/>
    <w:rsid w:val="0004254F"/>
    <w:rsid w:val="00043664"/>
    <w:rsid w:val="00043A06"/>
    <w:rsid w:val="00043F2B"/>
    <w:rsid w:val="00045ECB"/>
    <w:rsid w:val="000463A4"/>
    <w:rsid w:val="000463C5"/>
    <w:rsid w:val="000465B7"/>
    <w:rsid w:val="000465E0"/>
    <w:rsid w:val="0004688B"/>
    <w:rsid w:val="00046E92"/>
    <w:rsid w:val="00046EF0"/>
    <w:rsid w:val="00046FA7"/>
    <w:rsid w:val="00047000"/>
    <w:rsid w:val="000470B6"/>
    <w:rsid w:val="00047145"/>
    <w:rsid w:val="00047434"/>
    <w:rsid w:val="00047509"/>
    <w:rsid w:val="000479ED"/>
    <w:rsid w:val="00047F56"/>
    <w:rsid w:val="00050343"/>
    <w:rsid w:val="00050711"/>
    <w:rsid w:val="000507DE"/>
    <w:rsid w:val="0005097B"/>
    <w:rsid w:val="00050A46"/>
    <w:rsid w:val="00050BC2"/>
    <w:rsid w:val="00050EE3"/>
    <w:rsid w:val="000517E5"/>
    <w:rsid w:val="00052467"/>
    <w:rsid w:val="000526D3"/>
    <w:rsid w:val="00052A2D"/>
    <w:rsid w:val="00052D8E"/>
    <w:rsid w:val="00053289"/>
    <w:rsid w:val="000538BE"/>
    <w:rsid w:val="00054434"/>
    <w:rsid w:val="00054520"/>
    <w:rsid w:val="00054A02"/>
    <w:rsid w:val="000551FF"/>
    <w:rsid w:val="00055FA0"/>
    <w:rsid w:val="00056763"/>
    <w:rsid w:val="00056920"/>
    <w:rsid w:val="00056ACD"/>
    <w:rsid w:val="000576AF"/>
    <w:rsid w:val="00057B67"/>
    <w:rsid w:val="00060010"/>
    <w:rsid w:val="00060735"/>
    <w:rsid w:val="000607A6"/>
    <w:rsid w:val="00061604"/>
    <w:rsid w:val="000618DC"/>
    <w:rsid w:val="00061F37"/>
    <w:rsid w:val="00062C81"/>
    <w:rsid w:val="00062ED9"/>
    <w:rsid w:val="00062F11"/>
    <w:rsid w:val="000635F3"/>
    <w:rsid w:val="000637C9"/>
    <w:rsid w:val="000638F1"/>
    <w:rsid w:val="00063907"/>
    <w:rsid w:val="0006523D"/>
    <w:rsid w:val="000654C0"/>
    <w:rsid w:val="00065903"/>
    <w:rsid w:val="00065BC3"/>
    <w:rsid w:val="00065CAB"/>
    <w:rsid w:val="00066C53"/>
    <w:rsid w:val="00066D7A"/>
    <w:rsid w:val="00066F54"/>
    <w:rsid w:val="00067583"/>
    <w:rsid w:val="000677A3"/>
    <w:rsid w:val="00067ACD"/>
    <w:rsid w:val="00070922"/>
    <w:rsid w:val="00070DB8"/>
    <w:rsid w:val="00071360"/>
    <w:rsid w:val="000722EE"/>
    <w:rsid w:val="00072C84"/>
    <w:rsid w:val="00072D08"/>
    <w:rsid w:val="000738C5"/>
    <w:rsid w:val="00073A1F"/>
    <w:rsid w:val="00073D51"/>
    <w:rsid w:val="000745B4"/>
    <w:rsid w:val="000748AA"/>
    <w:rsid w:val="00074F01"/>
    <w:rsid w:val="00075A87"/>
    <w:rsid w:val="00075B67"/>
    <w:rsid w:val="00075CC6"/>
    <w:rsid w:val="00076109"/>
    <w:rsid w:val="000769CF"/>
    <w:rsid w:val="00076B5B"/>
    <w:rsid w:val="00076BC8"/>
    <w:rsid w:val="00076F2E"/>
    <w:rsid w:val="000770AC"/>
    <w:rsid w:val="00077180"/>
    <w:rsid w:val="0008060A"/>
    <w:rsid w:val="00082195"/>
    <w:rsid w:val="00082434"/>
    <w:rsid w:val="00082E07"/>
    <w:rsid w:val="00082ED8"/>
    <w:rsid w:val="00083082"/>
    <w:rsid w:val="00083121"/>
    <w:rsid w:val="00083177"/>
    <w:rsid w:val="00083285"/>
    <w:rsid w:val="000833F3"/>
    <w:rsid w:val="00083E34"/>
    <w:rsid w:val="000843D2"/>
    <w:rsid w:val="00084411"/>
    <w:rsid w:val="00084732"/>
    <w:rsid w:val="000852E9"/>
    <w:rsid w:val="00085402"/>
    <w:rsid w:val="0008560E"/>
    <w:rsid w:val="00085743"/>
    <w:rsid w:val="0008589B"/>
    <w:rsid w:val="00086501"/>
    <w:rsid w:val="00086F42"/>
    <w:rsid w:val="0008731B"/>
    <w:rsid w:val="000874E4"/>
    <w:rsid w:val="00087B75"/>
    <w:rsid w:val="00087CC0"/>
    <w:rsid w:val="000900CF"/>
    <w:rsid w:val="00090753"/>
    <w:rsid w:val="00090AC2"/>
    <w:rsid w:val="00091BA6"/>
    <w:rsid w:val="00091BD9"/>
    <w:rsid w:val="00091E77"/>
    <w:rsid w:val="000936D7"/>
    <w:rsid w:val="00094067"/>
    <w:rsid w:val="00094134"/>
    <w:rsid w:val="000949C9"/>
    <w:rsid w:val="00095492"/>
    <w:rsid w:val="000955C1"/>
    <w:rsid w:val="00095626"/>
    <w:rsid w:val="0009568E"/>
    <w:rsid w:val="0009611E"/>
    <w:rsid w:val="00096257"/>
    <w:rsid w:val="000965E5"/>
    <w:rsid w:val="00096A52"/>
    <w:rsid w:val="00096CD8"/>
    <w:rsid w:val="0009702F"/>
    <w:rsid w:val="000977B0"/>
    <w:rsid w:val="00097DAB"/>
    <w:rsid w:val="00097F3F"/>
    <w:rsid w:val="00097F79"/>
    <w:rsid w:val="000A0052"/>
    <w:rsid w:val="000A00AC"/>
    <w:rsid w:val="000A01D2"/>
    <w:rsid w:val="000A08D3"/>
    <w:rsid w:val="000A0AE9"/>
    <w:rsid w:val="000A0E37"/>
    <w:rsid w:val="000A14EE"/>
    <w:rsid w:val="000A1593"/>
    <w:rsid w:val="000A16AA"/>
    <w:rsid w:val="000A17F4"/>
    <w:rsid w:val="000A1A07"/>
    <w:rsid w:val="000A1FF3"/>
    <w:rsid w:val="000A235A"/>
    <w:rsid w:val="000A27BD"/>
    <w:rsid w:val="000A27F3"/>
    <w:rsid w:val="000A30EE"/>
    <w:rsid w:val="000A3B6E"/>
    <w:rsid w:val="000A3BC9"/>
    <w:rsid w:val="000A400E"/>
    <w:rsid w:val="000A4862"/>
    <w:rsid w:val="000A4A23"/>
    <w:rsid w:val="000A50B4"/>
    <w:rsid w:val="000A5194"/>
    <w:rsid w:val="000A52BE"/>
    <w:rsid w:val="000A5AA4"/>
    <w:rsid w:val="000A5E9F"/>
    <w:rsid w:val="000A61BA"/>
    <w:rsid w:val="000A624A"/>
    <w:rsid w:val="000A6677"/>
    <w:rsid w:val="000A682B"/>
    <w:rsid w:val="000A71C0"/>
    <w:rsid w:val="000A7234"/>
    <w:rsid w:val="000A7F0B"/>
    <w:rsid w:val="000B111D"/>
    <w:rsid w:val="000B1614"/>
    <w:rsid w:val="000B16D2"/>
    <w:rsid w:val="000B1B61"/>
    <w:rsid w:val="000B1C23"/>
    <w:rsid w:val="000B2525"/>
    <w:rsid w:val="000B2C1F"/>
    <w:rsid w:val="000B3179"/>
    <w:rsid w:val="000B323F"/>
    <w:rsid w:val="000B33CD"/>
    <w:rsid w:val="000B38F4"/>
    <w:rsid w:val="000B3B7C"/>
    <w:rsid w:val="000B474D"/>
    <w:rsid w:val="000B4BF6"/>
    <w:rsid w:val="000B5940"/>
    <w:rsid w:val="000B5BAF"/>
    <w:rsid w:val="000B5F9D"/>
    <w:rsid w:val="000B63EE"/>
    <w:rsid w:val="000B647D"/>
    <w:rsid w:val="000B68B7"/>
    <w:rsid w:val="000B695D"/>
    <w:rsid w:val="000B714F"/>
    <w:rsid w:val="000B778C"/>
    <w:rsid w:val="000B7964"/>
    <w:rsid w:val="000C050A"/>
    <w:rsid w:val="000C0C3E"/>
    <w:rsid w:val="000C133E"/>
    <w:rsid w:val="000C13C1"/>
    <w:rsid w:val="000C1866"/>
    <w:rsid w:val="000C18D9"/>
    <w:rsid w:val="000C1BFB"/>
    <w:rsid w:val="000C1D18"/>
    <w:rsid w:val="000C1DB5"/>
    <w:rsid w:val="000C1E3F"/>
    <w:rsid w:val="000C241C"/>
    <w:rsid w:val="000C251E"/>
    <w:rsid w:val="000C2893"/>
    <w:rsid w:val="000C2FCE"/>
    <w:rsid w:val="000C3719"/>
    <w:rsid w:val="000C373D"/>
    <w:rsid w:val="000C394E"/>
    <w:rsid w:val="000C3BA7"/>
    <w:rsid w:val="000C3E5F"/>
    <w:rsid w:val="000C40DF"/>
    <w:rsid w:val="000C4F69"/>
    <w:rsid w:val="000C5133"/>
    <w:rsid w:val="000C5B18"/>
    <w:rsid w:val="000C5D02"/>
    <w:rsid w:val="000C5E0C"/>
    <w:rsid w:val="000C5E7B"/>
    <w:rsid w:val="000C7201"/>
    <w:rsid w:val="000C7386"/>
    <w:rsid w:val="000C7AB8"/>
    <w:rsid w:val="000C7B9E"/>
    <w:rsid w:val="000C7CF1"/>
    <w:rsid w:val="000C7E18"/>
    <w:rsid w:val="000D000F"/>
    <w:rsid w:val="000D0579"/>
    <w:rsid w:val="000D083B"/>
    <w:rsid w:val="000D0B21"/>
    <w:rsid w:val="000D0ECE"/>
    <w:rsid w:val="000D0F5E"/>
    <w:rsid w:val="000D11E4"/>
    <w:rsid w:val="000D16BD"/>
    <w:rsid w:val="000D1A0E"/>
    <w:rsid w:val="000D1B52"/>
    <w:rsid w:val="000D1D2D"/>
    <w:rsid w:val="000D2821"/>
    <w:rsid w:val="000D4140"/>
    <w:rsid w:val="000D4558"/>
    <w:rsid w:val="000D471F"/>
    <w:rsid w:val="000D48C9"/>
    <w:rsid w:val="000D49F2"/>
    <w:rsid w:val="000D4B14"/>
    <w:rsid w:val="000D5492"/>
    <w:rsid w:val="000D61F9"/>
    <w:rsid w:val="000D6317"/>
    <w:rsid w:val="000D69CF"/>
    <w:rsid w:val="000D762C"/>
    <w:rsid w:val="000D7D92"/>
    <w:rsid w:val="000D7E76"/>
    <w:rsid w:val="000E02A6"/>
    <w:rsid w:val="000E0665"/>
    <w:rsid w:val="000E0AE1"/>
    <w:rsid w:val="000E0B78"/>
    <w:rsid w:val="000E0DF9"/>
    <w:rsid w:val="000E120F"/>
    <w:rsid w:val="000E2206"/>
    <w:rsid w:val="000E27FB"/>
    <w:rsid w:val="000E299F"/>
    <w:rsid w:val="000E2B82"/>
    <w:rsid w:val="000E3191"/>
    <w:rsid w:val="000E31DD"/>
    <w:rsid w:val="000E3F49"/>
    <w:rsid w:val="000E41F1"/>
    <w:rsid w:val="000E4359"/>
    <w:rsid w:val="000E48C0"/>
    <w:rsid w:val="000E5381"/>
    <w:rsid w:val="000E6BF2"/>
    <w:rsid w:val="000E6FF4"/>
    <w:rsid w:val="000E79E8"/>
    <w:rsid w:val="000F00DE"/>
    <w:rsid w:val="000F0805"/>
    <w:rsid w:val="000F0899"/>
    <w:rsid w:val="000F0D86"/>
    <w:rsid w:val="000F197F"/>
    <w:rsid w:val="000F1B30"/>
    <w:rsid w:val="000F1FBF"/>
    <w:rsid w:val="000F228F"/>
    <w:rsid w:val="000F26C9"/>
    <w:rsid w:val="000F2709"/>
    <w:rsid w:val="000F2EE3"/>
    <w:rsid w:val="000F2FB4"/>
    <w:rsid w:val="000F303A"/>
    <w:rsid w:val="000F3C11"/>
    <w:rsid w:val="000F494A"/>
    <w:rsid w:val="000F4C79"/>
    <w:rsid w:val="000F4FDA"/>
    <w:rsid w:val="000F6642"/>
    <w:rsid w:val="000F76B9"/>
    <w:rsid w:val="000F7B18"/>
    <w:rsid w:val="001006E4"/>
    <w:rsid w:val="00100793"/>
    <w:rsid w:val="00100C33"/>
    <w:rsid w:val="00101A08"/>
    <w:rsid w:val="0010209C"/>
    <w:rsid w:val="001029B0"/>
    <w:rsid w:val="0010350F"/>
    <w:rsid w:val="00103EE4"/>
    <w:rsid w:val="00103F7B"/>
    <w:rsid w:val="001045ED"/>
    <w:rsid w:val="00104606"/>
    <w:rsid w:val="00104ECA"/>
    <w:rsid w:val="00105030"/>
    <w:rsid w:val="00105604"/>
    <w:rsid w:val="001056E2"/>
    <w:rsid w:val="00105CCF"/>
    <w:rsid w:val="00105D56"/>
    <w:rsid w:val="001060C3"/>
    <w:rsid w:val="00106B51"/>
    <w:rsid w:val="0010702C"/>
    <w:rsid w:val="0010745D"/>
    <w:rsid w:val="00107C0A"/>
    <w:rsid w:val="001103CF"/>
    <w:rsid w:val="00110F30"/>
    <w:rsid w:val="00111791"/>
    <w:rsid w:val="00111850"/>
    <w:rsid w:val="00111B60"/>
    <w:rsid w:val="00111C57"/>
    <w:rsid w:val="00111E9E"/>
    <w:rsid w:val="00112774"/>
    <w:rsid w:val="00112A5A"/>
    <w:rsid w:val="00112CD0"/>
    <w:rsid w:val="00112EB1"/>
    <w:rsid w:val="001137F0"/>
    <w:rsid w:val="00113806"/>
    <w:rsid w:val="00113D11"/>
    <w:rsid w:val="00114271"/>
    <w:rsid w:val="001148AB"/>
    <w:rsid w:val="00114C52"/>
    <w:rsid w:val="00114E1C"/>
    <w:rsid w:val="00114ED4"/>
    <w:rsid w:val="00115065"/>
    <w:rsid w:val="00115217"/>
    <w:rsid w:val="001156B8"/>
    <w:rsid w:val="00115A87"/>
    <w:rsid w:val="001163B1"/>
    <w:rsid w:val="00116ABE"/>
    <w:rsid w:val="00116DD3"/>
    <w:rsid w:val="00117928"/>
    <w:rsid w:val="001202B4"/>
    <w:rsid w:val="00120312"/>
    <w:rsid w:val="00120366"/>
    <w:rsid w:val="00120D47"/>
    <w:rsid w:val="00121264"/>
    <w:rsid w:val="00122402"/>
    <w:rsid w:val="00122732"/>
    <w:rsid w:val="00122A15"/>
    <w:rsid w:val="00122ABA"/>
    <w:rsid w:val="00122DD5"/>
    <w:rsid w:val="001235E9"/>
    <w:rsid w:val="001239AE"/>
    <w:rsid w:val="00124129"/>
    <w:rsid w:val="001242F4"/>
    <w:rsid w:val="00124BC8"/>
    <w:rsid w:val="00124FFD"/>
    <w:rsid w:val="00125BBA"/>
    <w:rsid w:val="00125F1A"/>
    <w:rsid w:val="001269D8"/>
    <w:rsid w:val="00126C42"/>
    <w:rsid w:val="00127286"/>
    <w:rsid w:val="001300C0"/>
    <w:rsid w:val="001309DA"/>
    <w:rsid w:val="00131161"/>
    <w:rsid w:val="0013150C"/>
    <w:rsid w:val="00131D7A"/>
    <w:rsid w:val="001327E2"/>
    <w:rsid w:val="00132C59"/>
    <w:rsid w:val="00132E34"/>
    <w:rsid w:val="0013321E"/>
    <w:rsid w:val="00133332"/>
    <w:rsid w:val="0013341D"/>
    <w:rsid w:val="001337BE"/>
    <w:rsid w:val="00133895"/>
    <w:rsid w:val="00133A6B"/>
    <w:rsid w:val="0013481A"/>
    <w:rsid w:val="00134E28"/>
    <w:rsid w:val="00134E3D"/>
    <w:rsid w:val="00134F06"/>
    <w:rsid w:val="0013514C"/>
    <w:rsid w:val="0013522B"/>
    <w:rsid w:val="001352B0"/>
    <w:rsid w:val="001361C6"/>
    <w:rsid w:val="00136318"/>
    <w:rsid w:val="0013691F"/>
    <w:rsid w:val="00136C70"/>
    <w:rsid w:val="00137196"/>
    <w:rsid w:val="00137B82"/>
    <w:rsid w:val="00137EA2"/>
    <w:rsid w:val="00141151"/>
    <w:rsid w:val="0014164D"/>
    <w:rsid w:val="00141955"/>
    <w:rsid w:val="00141BA7"/>
    <w:rsid w:val="00141ED4"/>
    <w:rsid w:val="00143089"/>
    <w:rsid w:val="001431D5"/>
    <w:rsid w:val="0014371C"/>
    <w:rsid w:val="00143737"/>
    <w:rsid w:val="00143F50"/>
    <w:rsid w:val="00143FDF"/>
    <w:rsid w:val="001451AE"/>
    <w:rsid w:val="001459DA"/>
    <w:rsid w:val="00145A5E"/>
    <w:rsid w:val="00145C89"/>
    <w:rsid w:val="0014663C"/>
    <w:rsid w:val="00146874"/>
    <w:rsid w:val="00146AA2"/>
    <w:rsid w:val="00147029"/>
    <w:rsid w:val="0014723D"/>
    <w:rsid w:val="001479EC"/>
    <w:rsid w:val="00147AAD"/>
    <w:rsid w:val="00147F7F"/>
    <w:rsid w:val="001501A5"/>
    <w:rsid w:val="00150DEF"/>
    <w:rsid w:val="00150F93"/>
    <w:rsid w:val="00151328"/>
    <w:rsid w:val="00151691"/>
    <w:rsid w:val="0015188F"/>
    <w:rsid w:val="0015227C"/>
    <w:rsid w:val="00152860"/>
    <w:rsid w:val="00152CDA"/>
    <w:rsid w:val="0015340D"/>
    <w:rsid w:val="001537E6"/>
    <w:rsid w:val="001537F7"/>
    <w:rsid w:val="00153970"/>
    <w:rsid w:val="0015425F"/>
    <w:rsid w:val="00154297"/>
    <w:rsid w:val="00154388"/>
    <w:rsid w:val="00154DFB"/>
    <w:rsid w:val="001552BB"/>
    <w:rsid w:val="00155625"/>
    <w:rsid w:val="00155A2C"/>
    <w:rsid w:val="00155A72"/>
    <w:rsid w:val="00156202"/>
    <w:rsid w:val="001564D9"/>
    <w:rsid w:val="001571C0"/>
    <w:rsid w:val="00157438"/>
    <w:rsid w:val="00157813"/>
    <w:rsid w:val="00157981"/>
    <w:rsid w:val="00157AF6"/>
    <w:rsid w:val="00157E48"/>
    <w:rsid w:val="001600E7"/>
    <w:rsid w:val="001600EF"/>
    <w:rsid w:val="00160415"/>
    <w:rsid w:val="00160545"/>
    <w:rsid w:val="00160BF2"/>
    <w:rsid w:val="00161453"/>
    <w:rsid w:val="00161E2F"/>
    <w:rsid w:val="0016259D"/>
    <w:rsid w:val="001635DE"/>
    <w:rsid w:val="00164A89"/>
    <w:rsid w:val="00164A8E"/>
    <w:rsid w:val="00164DB3"/>
    <w:rsid w:val="00165158"/>
    <w:rsid w:val="00165C15"/>
    <w:rsid w:val="00166AD6"/>
    <w:rsid w:val="00166F81"/>
    <w:rsid w:val="00167251"/>
    <w:rsid w:val="00167744"/>
    <w:rsid w:val="0017025A"/>
    <w:rsid w:val="00170422"/>
    <w:rsid w:val="00170594"/>
    <w:rsid w:val="00171878"/>
    <w:rsid w:val="0017192B"/>
    <w:rsid w:val="001728A4"/>
    <w:rsid w:val="001731E5"/>
    <w:rsid w:val="00173893"/>
    <w:rsid w:val="001738EB"/>
    <w:rsid w:val="00173CF5"/>
    <w:rsid w:val="00174115"/>
    <w:rsid w:val="001744DF"/>
    <w:rsid w:val="00174793"/>
    <w:rsid w:val="00174EAA"/>
    <w:rsid w:val="00174F28"/>
    <w:rsid w:val="00174FC9"/>
    <w:rsid w:val="00175184"/>
    <w:rsid w:val="00175193"/>
    <w:rsid w:val="001756EE"/>
    <w:rsid w:val="00175D34"/>
    <w:rsid w:val="001761EC"/>
    <w:rsid w:val="0017629E"/>
    <w:rsid w:val="0017649D"/>
    <w:rsid w:val="00177068"/>
    <w:rsid w:val="00177A47"/>
    <w:rsid w:val="00177E57"/>
    <w:rsid w:val="00180641"/>
    <w:rsid w:val="00180753"/>
    <w:rsid w:val="00180E8B"/>
    <w:rsid w:val="00181307"/>
    <w:rsid w:val="00181540"/>
    <w:rsid w:val="00182028"/>
    <w:rsid w:val="001821CE"/>
    <w:rsid w:val="001824AB"/>
    <w:rsid w:val="00182817"/>
    <w:rsid w:val="00182CCC"/>
    <w:rsid w:val="00182F44"/>
    <w:rsid w:val="00182FD6"/>
    <w:rsid w:val="001830D6"/>
    <w:rsid w:val="0018340C"/>
    <w:rsid w:val="00183525"/>
    <w:rsid w:val="00183B06"/>
    <w:rsid w:val="00183B46"/>
    <w:rsid w:val="00184492"/>
    <w:rsid w:val="001848C5"/>
    <w:rsid w:val="001849F0"/>
    <w:rsid w:val="00184B3C"/>
    <w:rsid w:val="00185881"/>
    <w:rsid w:val="001863C0"/>
    <w:rsid w:val="001864B7"/>
    <w:rsid w:val="00186750"/>
    <w:rsid w:val="001875BD"/>
    <w:rsid w:val="00187B35"/>
    <w:rsid w:val="0019080B"/>
    <w:rsid w:val="0019095C"/>
    <w:rsid w:val="00191143"/>
    <w:rsid w:val="00191797"/>
    <w:rsid w:val="00191B6F"/>
    <w:rsid w:val="00192605"/>
    <w:rsid w:val="00192D71"/>
    <w:rsid w:val="00192DAF"/>
    <w:rsid w:val="00192E61"/>
    <w:rsid w:val="001934E4"/>
    <w:rsid w:val="00193511"/>
    <w:rsid w:val="001947B3"/>
    <w:rsid w:val="0019505F"/>
    <w:rsid w:val="00195113"/>
    <w:rsid w:val="00195772"/>
    <w:rsid w:val="00195BDB"/>
    <w:rsid w:val="00195FAA"/>
    <w:rsid w:val="001961B7"/>
    <w:rsid w:val="001961D3"/>
    <w:rsid w:val="001966FD"/>
    <w:rsid w:val="00196BD8"/>
    <w:rsid w:val="001975AA"/>
    <w:rsid w:val="001979B2"/>
    <w:rsid w:val="00197C03"/>
    <w:rsid w:val="00197E27"/>
    <w:rsid w:val="001A0819"/>
    <w:rsid w:val="001A08B5"/>
    <w:rsid w:val="001A0BB0"/>
    <w:rsid w:val="001A1DA0"/>
    <w:rsid w:val="001A243A"/>
    <w:rsid w:val="001A25AA"/>
    <w:rsid w:val="001A30E3"/>
    <w:rsid w:val="001A3363"/>
    <w:rsid w:val="001A3DE4"/>
    <w:rsid w:val="001A3F69"/>
    <w:rsid w:val="001A4048"/>
    <w:rsid w:val="001A418A"/>
    <w:rsid w:val="001A4334"/>
    <w:rsid w:val="001A43DF"/>
    <w:rsid w:val="001A7A04"/>
    <w:rsid w:val="001A7E92"/>
    <w:rsid w:val="001B0D22"/>
    <w:rsid w:val="001B0E8A"/>
    <w:rsid w:val="001B10F7"/>
    <w:rsid w:val="001B176D"/>
    <w:rsid w:val="001B1F6B"/>
    <w:rsid w:val="001B311D"/>
    <w:rsid w:val="001B32C0"/>
    <w:rsid w:val="001B33C0"/>
    <w:rsid w:val="001B3642"/>
    <w:rsid w:val="001B3923"/>
    <w:rsid w:val="001B3A16"/>
    <w:rsid w:val="001B4455"/>
    <w:rsid w:val="001B4E60"/>
    <w:rsid w:val="001B4EC5"/>
    <w:rsid w:val="001B534F"/>
    <w:rsid w:val="001B5461"/>
    <w:rsid w:val="001B5C83"/>
    <w:rsid w:val="001B5FC2"/>
    <w:rsid w:val="001C0193"/>
    <w:rsid w:val="001C163A"/>
    <w:rsid w:val="001C1BA6"/>
    <w:rsid w:val="001C233C"/>
    <w:rsid w:val="001C27E6"/>
    <w:rsid w:val="001C2D52"/>
    <w:rsid w:val="001C30BE"/>
    <w:rsid w:val="001C32FD"/>
    <w:rsid w:val="001C3C28"/>
    <w:rsid w:val="001C41EA"/>
    <w:rsid w:val="001C4221"/>
    <w:rsid w:val="001C484E"/>
    <w:rsid w:val="001C51D0"/>
    <w:rsid w:val="001C55FE"/>
    <w:rsid w:val="001C57B1"/>
    <w:rsid w:val="001C57DA"/>
    <w:rsid w:val="001C686D"/>
    <w:rsid w:val="001C6E04"/>
    <w:rsid w:val="001C6FFF"/>
    <w:rsid w:val="001C701F"/>
    <w:rsid w:val="001C7517"/>
    <w:rsid w:val="001C777D"/>
    <w:rsid w:val="001C7C93"/>
    <w:rsid w:val="001C7F95"/>
    <w:rsid w:val="001D0AF4"/>
    <w:rsid w:val="001D0E27"/>
    <w:rsid w:val="001D1A1C"/>
    <w:rsid w:val="001D2265"/>
    <w:rsid w:val="001D2BD8"/>
    <w:rsid w:val="001D2E12"/>
    <w:rsid w:val="001D3697"/>
    <w:rsid w:val="001D3ADC"/>
    <w:rsid w:val="001D413F"/>
    <w:rsid w:val="001D4196"/>
    <w:rsid w:val="001D4D41"/>
    <w:rsid w:val="001D51AB"/>
    <w:rsid w:val="001D5B2D"/>
    <w:rsid w:val="001D6481"/>
    <w:rsid w:val="001D67FD"/>
    <w:rsid w:val="001D7018"/>
    <w:rsid w:val="001D78F7"/>
    <w:rsid w:val="001D7E2A"/>
    <w:rsid w:val="001D7EB5"/>
    <w:rsid w:val="001E026A"/>
    <w:rsid w:val="001E08F3"/>
    <w:rsid w:val="001E09EA"/>
    <w:rsid w:val="001E0B9F"/>
    <w:rsid w:val="001E11A3"/>
    <w:rsid w:val="001E1548"/>
    <w:rsid w:val="001E1924"/>
    <w:rsid w:val="001E1CCD"/>
    <w:rsid w:val="001E1CCF"/>
    <w:rsid w:val="001E247B"/>
    <w:rsid w:val="001E2573"/>
    <w:rsid w:val="001E2D15"/>
    <w:rsid w:val="001E2F6D"/>
    <w:rsid w:val="001E33A0"/>
    <w:rsid w:val="001E3C98"/>
    <w:rsid w:val="001E3DB9"/>
    <w:rsid w:val="001E3DF7"/>
    <w:rsid w:val="001E431E"/>
    <w:rsid w:val="001E4FA6"/>
    <w:rsid w:val="001E64AE"/>
    <w:rsid w:val="001E6D04"/>
    <w:rsid w:val="001E6E7D"/>
    <w:rsid w:val="001E6F79"/>
    <w:rsid w:val="001E7663"/>
    <w:rsid w:val="001E791F"/>
    <w:rsid w:val="001F02D8"/>
    <w:rsid w:val="001F0654"/>
    <w:rsid w:val="001F0720"/>
    <w:rsid w:val="001F0FF5"/>
    <w:rsid w:val="001F11D7"/>
    <w:rsid w:val="001F155A"/>
    <w:rsid w:val="001F1A91"/>
    <w:rsid w:val="001F2ACE"/>
    <w:rsid w:val="001F2CE9"/>
    <w:rsid w:val="001F3929"/>
    <w:rsid w:val="001F40FD"/>
    <w:rsid w:val="001F4739"/>
    <w:rsid w:val="001F47FD"/>
    <w:rsid w:val="001F4916"/>
    <w:rsid w:val="001F49D4"/>
    <w:rsid w:val="001F5259"/>
    <w:rsid w:val="001F545C"/>
    <w:rsid w:val="001F559B"/>
    <w:rsid w:val="001F56F5"/>
    <w:rsid w:val="001F5884"/>
    <w:rsid w:val="001F58C2"/>
    <w:rsid w:val="001F5AEF"/>
    <w:rsid w:val="001F5C61"/>
    <w:rsid w:val="001F6729"/>
    <w:rsid w:val="001F67D3"/>
    <w:rsid w:val="001F7711"/>
    <w:rsid w:val="00200185"/>
    <w:rsid w:val="002002FA"/>
    <w:rsid w:val="00200CDD"/>
    <w:rsid w:val="00200D25"/>
    <w:rsid w:val="002012B4"/>
    <w:rsid w:val="0020211A"/>
    <w:rsid w:val="0020223F"/>
    <w:rsid w:val="00202A2F"/>
    <w:rsid w:val="00203262"/>
    <w:rsid w:val="00203EA6"/>
    <w:rsid w:val="00203EDB"/>
    <w:rsid w:val="0020403E"/>
    <w:rsid w:val="00204504"/>
    <w:rsid w:val="002046C0"/>
    <w:rsid w:val="00204AC2"/>
    <w:rsid w:val="00204AD3"/>
    <w:rsid w:val="002054B6"/>
    <w:rsid w:val="00205759"/>
    <w:rsid w:val="00205818"/>
    <w:rsid w:val="002071A8"/>
    <w:rsid w:val="00207CDF"/>
    <w:rsid w:val="00207F0F"/>
    <w:rsid w:val="00210434"/>
    <w:rsid w:val="00210461"/>
    <w:rsid w:val="00211F1F"/>
    <w:rsid w:val="00212046"/>
    <w:rsid w:val="00212BBF"/>
    <w:rsid w:val="002138B4"/>
    <w:rsid w:val="00213E4C"/>
    <w:rsid w:val="00214749"/>
    <w:rsid w:val="00214BBC"/>
    <w:rsid w:val="00214D21"/>
    <w:rsid w:val="00214DBF"/>
    <w:rsid w:val="00215169"/>
    <w:rsid w:val="00215B68"/>
    <w:rsid w:val="00216F65"/>
    <w:rsid w:val="00217218"/>
    <w:rsid w:val="00217382"/>
    <w:rsid w:val="002175CD"/>
    <w:rsid w:val="00217AAA"/>
    <w:rsid w:val="00217F27"/>
    <w:rsid w:val="00220097"/>
    <w:rsid w:val="002206FB"/>
    <w:rsid w:val="00220A9F"/>
    <w:rsid w:val="002218BD"/>
    <w:rsid w:val="00221E6D"/>
    <w:rsid w:val="00221E75"/>
    <w:rsid w:val="00221F64"/>
    <w:rsid w:val="0022201C"/>
    <w:rsid w:val="00222022"/>
    <w:rsid w:val="00222666"/>
    <w:rsid w:val="002226D9"/>
    <w:rsid w:val="00222940"/>
    <w:rsid w:val="002229F9"/>
    <w:rsid w:val="00223101"/>
    <w:rsid w:val="00223288"/>
    <w:rsid w:val="002240AF"/>
    <w:rsid w:val="00224302"/>
    <w:rsid w:val="002254B7"/>
    <w:rsid w:val="0022582E"/>
    <w:rsid w:val="00226925"/>
    <w:rsid w:val="0022728F"/>
    <w:rsid w:val="00227400"/>
    <w:rsid w:val="00227A81"/>
    <w:rsid w:val="0023040D"/>
    <w:rsid w:val="00230C6B"/>
    <w:rsid w:val="00230C71"/>
    <w:rsid w:val="00230FAB"/>
    <w:rsid w:val="0023113D"/>
    <w:rsid w:val="00231E6A"/>
    <w:rsid w:val="00231FD1"/>
    <w:rsid w:val="00232077"/>
    <w:rsid w:val="002327CB"/>
    <w:rsid w:val="002328E7"/>
    <w:rsid w:val="00232AA9"/>
    <w:rsid w:val="00232D7A"/>
    <w:rsid w:val="00232F71"/>
    <w:rsid w:val="00233CFE"/>
    <w:rsid w:val="0023402C"/>
    <w:rsid w:val="0023440A"/>
    <w:rsid w:val="00234438"/>
    <w:rsid w:val="002351A7"/>
    <w:rsid w:val="00235D72"/>
    <w:rsid w:val="00237227"/>
    <w:rsid w:val="0023759C"/>
    <w:rsid w:val="00237698"/>
    <w:rsid w:val="00237BFA"/>
    <w:rsid w:val="002400D7"/>
    <w:rsid w:val="002406FF"/>
    <w:rsid w:val="002407AA"/>
    <w:rsid w:val="002409E3"/>
    <w:rsid w:val="00241ADA"/>
    <w:rsid w:val="0024240D"/>
    <w:rsid w:val="002427FB"/>
    <w:rsid w:val="00243863"/>
    <w:rsid w:val="002438C0"/>
    <w:rsid w:val="00243CCD"/>
    <w:rsid w:val="00244617"/>
    <w:rsid w:val="00245F7B"/>
    <w:rsid w:val="00246B78"/>
    <w:rsid w:val="00246D5F"/>
    <w:rsid w:val="00247D3F"/>
    <w:rsid w:val="00247E2C"/>
    <w:rsid w:val="002512E7"/>
    <w:rsid w:val="00251E23"/>
    <w:rsid w:val="002522E7"/>
    <w:rsid w:val="00253219"/>
    <w:rsid w:val="00254363"/>
    <w:rsid w:val="002547EE"/>
    <w:rsid w:val="00255DB6"/>
    <w:rsid w:val="00255F5F"/>
    <w:rsid w:val="0025618C"/>
    <w:rsid w:val="0025715B"/>
    <w:rsid w:val="0025758D"/>
    <w:rsid w:val="00257839"/>
    <w:rsid w:val="0026011C"/>
    <w:rsid w:val="00261A71"/>
    <w:rsid w:val="00261C42"/>
    <w:rsid w:val="00261D42"/>
    <w:rsid w:val="00261E8A"/>
    <w:rsid w:val="0026270D"/>
    <w:rsid w:val="0026278A"/>
    <w:rsid w:val="00262D78"/>
    <w:rsid w:val="002631EF"/>
    <w:rsid w:val="00263792"/>
    <w:rsid w:val="002639C4"/>
    <w:rsid w:val="00263BB9"/>
    <w:rsid w:val="0026409A"/>
    <w:rsid w:val="00264446"/>
    <w:rsid w:val="002647B6"/>
    <w:rsid w:val="00264ABA"/>
    <w:rsid w:val="00264B4E"/>
    <w:rsid w:val="00266194"/>
    <w:rsid w:val="0026662F"/>
    <w:rsid w:val="00266641"/>
    <w:rsid w:val="002666B2"/>
    <w:rsid w:val="0026684C"/>
    <w:rsid w:val="00266D4F"/>
    <w:rsid w:val="00266D57"/>
    <w:rsid w:val="00266DA4"/>
    <w:rsid w:val="00266DF2"/>
    <w:rsid w:val="00267CEC"/>
    <w:rsid w:val="002706D2"/>
    <w:rsid w:val="00270CD1"/>
    <w:rsid w:val="00271386"/>
    <w:rsid w:val="00271598"/>
    <w:rsid w:val="00271F84"/>
    <w:rsid w:val="0027242B"/>
    <w:rsid w:val="002727F2"/>
    <w:rsid w:val="002738B9"/>
    <w:rsid w:val="00274446"/>
    <w:rsid w:val="00274B98"/>
    <w:rsid w:val="00274CEB"/>
    <w:rsid w:val="00275982"/>
    <w:rsid w:val="00275CDD"/>
    <w:rsid w:val="00275E8C"/>
    <w:rsid w:val="0027636E"/>
    <w:rsid w:val="0027669E"/>
    <w:rsid w:val="002767E3"/>
    <w:rsid w:val="00276D5C"/>
    <w:rsid w:val="00276F08"/>
    <w:rsid w:val="0027707C"/>
    <w:rsid w:val="00277147"/>
    <w:rsid w:val="002775C6"/>
    <w:rsid w:val="00277892"/>
    <w:rsid w:val="00280243"/>
    <w:rsid w:val="00280BC7"/>
    <w:rsid w:val="00280BCD"/>
    <w:rsid w:val="002818D1"/>
    <w:rsid w:val="00281935"/>
    <w:rsid w:val="00281DAD"/>
    <w:rsid w:val="00282A84"/>
    <w:rsid w:val="00282B08"/>
    <w:rsid w:val="002832C6"/>
    <w:rsid w:val="002837F0"/>
    <w:rsid w:val="002837F8"/>
    <w:rsid w:val="00283A73"/>
    <w:rsid w:val="00284454"/>
    <w:rsid w:val="00284A30"/>
    <w:rsid w:val="00284B9E"/>
    <w:rsid w:val="0028528B"/>
    <w:rsid w:val="0028572A"/>
    <w:rsid w:val="00285A16"/>
    <w:rsid w:val="002868F2"/>
    <w:rsid w:val="00286CF7"/>
    <w:rsid w:val="0028701A"/>
    <w:rsid w:val="00287032"/>
    <w:rsid w:val="00287289"/>
    <w:rsid w:val="0028753E"/>
    <w:rsid w:val="00287D7E"/>
    <w:rsid w:val="002911B7"/>
    <w:rsid w:val="002912C7"/>
    <w:rsid w:val="00291F41"/>
    <w:rsid w:val="0029207B"/>
    <w:rsid w:val="00292588"/>
    <w:rsid w:val="0029294D"/>
    <w:rsid w:val="0029300F"/>
    <w:rsid w:val="00293142"/>
    <w:rsid w:val="00293540"/>
    <w:rsid w:val="00293ABB"/>
    <w:rsid w:val="00294442"/>
    <w:rsid w:val="002946BE"/>
    <w:rsid w:val="002946FF"/>
    <w:rsid w:val="00294CBE"/>
    <w:rsid w:val="00295313"/>
    <w:rsid w:val="00295926"/>
    <w:rsid w:val="002959D9"/>
    <w:rsid w:val="002965D9"/>
    <w:rsid w:val="00296E9B"/>
    <w:rsid w:val="00297681"/>
    <w:rsid w:val="002A0277"/>
    <w:rsid w:val="002A0722"/>
    <w:rsid w:val="002A1545"/>
    <w:rsid w:val="002A1771"/>
    <w:rsid w:val="002A18E3"/>
    <w:rsid w:val="002A19BE"/>
    <w:rsid w:val="002A1B08"/>
    <w:rsid w:val="002A1D99"/>
    <w:rsid w:val="002A202E"/>
    <w:rsid w:val="002A24C4"/>
    <w:rsid w:val="002A29E6"/>
    <w:rsid w:val="002A33EE"/>
    <w:rsid w:val="002A391E"/>
    <w:rsid w:val="002A3B24"/>
    <w:rsid w:val="002A3BC3"/>
    <w:rsid w:val="002A3BF8"/>
    <w:rsid w:val="002A3F7D"/>
    <w:rsid w:val="002A5117"/>
    <w:rsid w:val="002A54E0"/>
    <w:rsid w:val="002A5D70"/>
    <w:rsid w:val="002A6519"/>
    <w:rsid w:val="002A66AE"/>
    <w:rsid w:val="002A69EB"/>
    <w:rsid w:val="002A6BE5"/>
    <w:rsid w:val="002A7515"/>
    <w:rsid w:val="002A7B5D"/>
    <w:rsid w:val="002A7DB2"/>
    <w:rsid w:val="002B0840"/>
    <w:rsid w:val="002B095F"/>
    <w:rsid w:val="002B1488"/>
    <w:rsid w:val="002B1E50"/>
    <w:rsid w:val="002B1FCE"/>
    <w:rsid w:val="002B20DE"/>
    <w:rsid w:val="002B221F"/>
    <w:rsid w:val="002B22F5"/>
    <w:rsid w:val="002B29EB"/>
    <w:rsid w:val="002B2AE4"/>
    <w:rsid w:val="002B2B69"/>
    <w:rsid w:val="002B31D4"/>
    <w:rsid w:val="002B351B"/>
    <w:rsid w:val="002B4A18"/>
    <w:rsid w:val="002B4C49"/>
    <w:rsid w:val="002B5315"/>
    <w:rsid w:val="002B533C"/>
    <w:rsid w:val="002B5512"/>
    <w:rsid w:val="002B5914"/>
    <w:rsid w:val="002B5B42"/>
    <w:rsid w:val="002B5D91"/>
    <w:rsid w:val="002B62AB"/>
    <w:rsid w:val="002B633F"/>
    <w:rsid w:val="002B640F"/>
    <w:rsid w:val="002B64B8"/>
    <w:rsid w:val="002B6DAC"/>
    <w:rsid w:val="002B7404"/>
    <w:rsid w:val="002B7AF5"/>
    <w:rsid w:val="002C07EA"/>
    <w:rsid w:val="002C0C02"/>
    <w:rsid w:val="002C0CF1"/>
    <w:rsid w:val="002C0EA9"/>
    <w:rsid w:val="002C10A4"/>
    <w:rsid w:val="002C1268"/>
    <w:rsid w:val="002C26A4"/>
    <w:rsid w:val="002C2878"/>
    <w:rsid w:val="002C2B0F"/>
    <w:rsid w:val="002C34EB"/>
    <w:rsid w:val="002C3810"/>
    <w:rsid w:val="002C3E7D"/>
    <w:rsid w:val="002C3FF1"/>
    <w:rsid w:val="002C47C8"/>
    <w:rsid w:val="002C4E16"/>
    <w:rsid w:val="002C658E"/>
    <w:rsid w:val="002C71EC"/>
    <w:rsid w:val="002C7357"/>
    <w:rsid w:val="002C7359"/>
    <w:rsid w:val="002C7660"/>
    <w:rsid w:val="002C76BA"/>
    <w:rsid w:val="002C7ADB"/>
    <w:rsid w:val="002D008E"/>
    <w:rsid w:val="002D0981"/>
    <w:rsid w:val="002D13D0"/>
    <w:rsid w:val="002D15FC"/>
    <w:rsid w:val="002D1C16"/>
    <w:rsid w:val="002D2218"/>
    <w:rsid w:val="002D2963"/>
    <w:rsid w:val="002D30E4"/>
    <w:rsid w:val="002D33FD"/>
    <w:rsid w:val="002D39FB"/>
    <w:rsid w:val="002D3DEB"/>
    <w:rsid w:val="002D3E1A"/>
    <w:rsid w:val="002D3F5D"/>
    <w:rsid w:val="002D416C"/>
    <w:rsid w:val="002D4212"/>
    <w:rsid w:val="002D448A"/>
    <w:rsid w:val="002D453D"/>
    <w:rsid w:val="002D491F"/>
    <w:rsid w:val="002D4F40"/>
    <w:rsid w:val="002D5FFE"/>
    <w:rsid w:val="002D67BA"/>
    <w:rsid w:val="002D6A64"/>
    <w:rsid w:val="002D6C53"/>
    <w:rsid w:val="002D6C5C"/>
    <w:rsid w:val="002D6D54"/>
    <w:rsid w:val="002D6DEC"/>
    <w:rsid w:val="002D7383"/>
    <w:rsid w:val="002D7B0B"/>
    <w:rsid w:val="002D7E42"/>
    <w:rsid w:val="002E0209"/>
    <w:rsid w:val="002E02F9"/>
    <w:rsid w:val="002E0563"/>
    <w:rsid w:val="002E13CD"/>
    <w:rsid w:val="002E1A97"/>
    <w:rsid w:val="002E1C3F"/>
    <w:rsid w:val="002E1D5B"/>
    <w:rsid w:val="002E2239"/>
    <w:rsid w:val="002E2474"/>
    <w:rsid w:val="002E33DD"/>
    <w:rsid w:val="002E35BB"/>
    <w:rsid w:val="002E3693"/>
    <w:rsid w:val="002E3B3E"/>
    <w:rsid w:val="002E3B5C"/>
    <w:rsid w:val="002E3ED2"/>
    <w:rsid w:val="002E43DE"/>
    <w:rsid w:val="002E47A7"/>
    <w:rsid w:val="002E4871"/>
    <w:rsid w:val="002E49F5"/>
    <w:rsid w:val="002E52FD"/>
    <w:rsid w:val="002E5CAA"/>
    <w:rsid w:val="002E5F86"/>
    <w:rsid w:val="002E6222"/>
    <w:rsid w:val="002E67D5"/>
    <w:rsid w:val="002E7330"/>
    <w:rsid w:val="002E7B24"/>
    <w:rsid w:val="002E7B41"/>
    <w:rsid w:val="002F018E"/>
    <w:rsid w:val="002F0C25"/>
    <w:rsid w:val="002F1822"/>
    <w:rsid w:val="002F1E89"/>
    <w:rsid w:val="002F1EC2"/>
    <w:rsid w:val="002F2DBD"/>
    <w:rsid w:val="002F36F8"/>
    <w:rsid w:val="002F3CB7"/>
    <w:rsid w:val="002F3CE4"/>
    <w:rsid w:val="002F443E"/>
    <w:rsid w:val="002F464E"/>
    <w:rsid w:val="002F4FE3"/>
    <w:rsid w:val="002F5503"/>
    <w:rsid w:val="002F5595"/>
    <w:rsid w:val="002F5789"/>
    <w:rsid w:val="002F5892"/>
    <w:rsid w:val="002F5CBD"/>
    <w:rsid w:val="002F5F57"/>
    <w:rsid w:val="002F5FA6"/>
    <w:rsid w:val="002F605E"/>
    <w:rsid w:val="002F6258"/>
    <w:rsid w:val="002F6702"/>
    <w:rsid w:val="002F6B37"/>
    <w:rsid w:val="002F70B1"/>
    <w:rsid w:val="002F7177"/>
    <w:rsid w:val="002F7A5C"/>
    <w:rsid w:val="0030058B"/>
    <w:rsid w:val="00301D01"/>
    <w:rsid w:val="003025C3"/>
    <w:rsid w:val="003025D2"/>
    <w:rsid w:val="003029A1"/>
    <w:rsid w:val="00302E73"/>
    <w:rsid w:val="0030327B"/>
    <w:rsid w:val="00303560"/>
    <w:rsid w:val="00303BC2"/>
    <w:rsid w:val="00303EB7"/>
    <w:rsid w:val="00304058"/>
    <w:rsid w:val="00304626"/>
    <w:rsid w:val="00305307"/>
    <w:rsid w:val="00305318"/>
    <w:rsid w:val="0030590B"/>
    <w:rsid w:val="00305B0B"/>
    <w:rsid w:val="00305CD5"/>
    <w:rsid w:val="003066BA"/>
    <w:rsid w:val="00306847"/>
    <w:rsid w:val="003074E8"/>
    <w:rsid w:val="00307775"/>
    <w:rsid w:val="0031029C"/>
    <w:rsid w:val="00310F1F"/>
    <w:rsid w:val="00311334"/>
    <w:rsid w:val="003114A9"/>
    <w:rsid w:val="003115CE"/>
    <w:rsid w:val="00311A6F"/>
    <w:rsid w:val="00311B38"/>
    <w:rsid w:val="00311D86"/>
    <w:rsid w:val="00311D9E"/>
    <w:rsid w:val="0031219D"/>
    <w:rsid w:val="003130ED"/>
    <w:rsid w:val="00314064"/>
    <w:rsid w:val="00314281"/>
    <w:rsid w:val="003151E9"/>
    <w:rsid w:val="0031532E"/>
    <w:rsid w:val="00315DCF"/>
    <w:rsid w:val="00315DF0"/>
    <w:rsid w:val="0031789B"/>
    <w:rsid w:val="00317A29"/>
    <w:rsid w:val="00317BC6"/>
    <w:rsid w:val="00317D27"/>
    <w:rsid w:val="00317F4D"/>
    <w:rsid w:val="00320736"/>
    <w:rsid w:val="003207FD"/>
    <w:rsid w:val="003208A0"/>
    <w:rsid w:val="00320A59"/>
    <w:rsid w:val="00320E04"/>
    <w:rsid w:val="0032113A"/>
    <w:rsid w:val="00321439"/>
    <w:rsid w:val="003215D9"/>
    <w:rsid w:val="00322074"/>
    <w:rsid w:val="003223E4"/>
    <w:rsid w:val="00322776"/>
    <w:rsid w:val="00323120"/>
    <w:rsid w:val="003234BD"/>
    <w:rsid w:val="00323538"/>
    <w:rsid w:val="00323898"/>
    <w:rsid w:val="00323997"/>
    <w:rsid w:val="0032423D"/>
    <w:rsid w:val="003244EE"/>
    <w:rsid w:val="00324C3D"/>
    <w:rsid w:val="00326010"/>
    <w:rsid w:val="003261AC"/>
    <w:rsid w:val="00326345"/>
    <w:rsid w:val="00326616"/>
    <w:rsid w:val="0032663F"/>
    <w:rsid w:val="00326C66"/>
    <w:rsid w:val="0032740B"/>
    <w:rsid w:val="003277D6"/>
    <w:rsid w:val="00330889"/>
    <w:rsid w:val="00330D43"/>
    <w:rsid w:val="00332E74"/>
    <w:rsid w:val="0033310B"/>
    <w:rsid w:val="0033342E"/>
    <w:rsid w:val="00333621"/>
    <w:rsid w:val="00333887"/>
    <w:rsid w:val="00333CA1"/>
    <w:rsid w:val="00333FF3"/>
    <w:rsid w:val="00334F6A"/>
    <w:rsid w:val="00335108"/>
    <w:rsid w:val="0033536E"/>
    <w:rsid w:val="00335754"/>
    <w:rsid w:val="0033578F"/>
    <w:rsid w:val="0033647F"/>
    <w:rsid w:val="003365A2"/>
    <w:rsid w:val="0033689D"/>
    <w:rsid w:val="00340250"/>
    <w:rsid w:val="0034044A"/>
    <w:rsid w:val="00340533"/>
    <w:rsid w:val="003411C7"/>
    <w:rsid w:val="0034189A"/>
    <w:rsid w:val="00341A3B"/>
    <w:rsid w:val="00342AC8"/>
    <w:rsid w:val="00342F0E"/>
    <w:rsid w:val="003437ED"/>
    <w:rsid w:val="00343B01"/>
    <w:rsid w:val="00343DCC"/>
    <w:rsid w:val="00343F7A"/>
    <w:rsid w:val="00344703"/>
    <w:rsid w:val="00344E2B"/>
    <w:rsid w:val="00345613"/>
    <w:rsid w:val="00345A4E"/>
    <w:rsid w:val="00345BFF"/>
    <w:rsid w:val="00345EAF"/>
    <w:rsid w:val="00345EB1"/>
    <w:rsid w:val="00346AD9"/>
    <w:rsid w:val="00346DE2"/>
    <w:rsid w:val="0034706D"/>
    <w:rsid w:val="00350292"/>
    <w:rsid w:val="00351370"/>
    <w:rsid w:val="00351412"/>
    <w:rsid w:val="00351556"/>
    <w:rsid w:val="0035191E"/>
    <w:rsid w:val="00351A1F"/>
    <w:rsid w:val="00351AF0"/>
    <w:rsid w:val="00351B2C"/>
    <w:rsid w:val="00351C84"/>
    <w:rsid w:val="00351F81"/>
    <w:rsid w:val="003520B2"/>
    <w:rsid w:val="003521A8"/>
    <w:rsid w:val="00352470"/>
    <w:rsid w:val="0035264A"/>
    <w:rsid w:val="00352F8E"/>
    <w:rsid w:val="003531AA"/>
    <w:rsid w:val="0035382F"/>
    <w:rsid w:val="00354208"/>
    <w:rsid w:val="00354D3E"/>
    <w:rsid w:val="003550E1"/>
    <w:rsid w:val="003556E7"/>
    <w:rsid w:val="0035576C"/>
    <w:rsid w:val="00355CD3"/>
    <w:rsid w:val="00355D0B"/>
    <w:rsid w:val="00355FFC"/>
    <w:rsid w:val="003563E6"/>
    <w:rsid w:val="00356640"/>
    <w:rsid w:val="00356696"/>
    <w:rsid w:val="0035697E"/>
    <w:rsid w:val="0035797D"/>
    <w:rsid w:val="00357F2E"/>
    <w:rsid w:val="003600FB"/>
    <w:rsid w:val="00361C28"/>
    <w:rsid w:val="00361D10"/>
    <w:rsid w:val="00362206"/>
    <w:rsid w:val="003624C1"/>
    <w:rsid w:val="00363DEA"/>
    <w:rsid w:val="003646B0"/>
    <w:rsid w:val="00364F68"/>
    <w:rsid w:val="00365101"/>
    <w:rsid w:val="0036554A"/>
    <w:rsid w:val="00366363"/>
    <w:rsid w:val="00367C18"/>
    <w:rsid w:val="00367C1A"/>
    <w:rsid w:val="00367DC0"/>
    <w:rsid w:val="003708B3"/>
    <w:rsid w:val="00370E47"/>
    <w:rsid w:val="003714BF"/>
    <w:rsid w:val="003717C4"/>
    <w:rsid w:val="0037229C"/>
    <w:rsid w:val="0037244C"/>
    <w:rsid w:val="003724BB"/>
    <w:rsid w:val="0037262F"/>
    <w:rsid w:val="0037285E"/>
    <w:rsid w:val="00372E4C"/>
    <w:rsid w:val="00373142"/>
    <w:rsid w:val="0037316D"/>
    <w:rsid w:val="00373440"/>
    <w:rsid w:val="003744D6"/>
    <w:rsid w:val="003753FD"/>
    <w:rsid w:val="0037588E"/>
    <w:rsid w:val="00375BE8"/>
    <w:rsid w:val="0037667B"/>
    <w:rsid w:val="0037714C"/>
    <w:rsid w:val="00380A48"/>
    <w:rsid w:val="00380E0D"/>
    <w:rsid w:val="00381335"/>
    <w:rsid w:val="00381350"/>
    <w:rsid w:val="0038137F"/>
    <w:rsid w:val="00381CE2"/>
    <w:rsid w:val="00381E58"/>
    <w:rsid w:val="003822ED"/>
    <w:rsid w:val="00382350"/>
    <w:rsid w:val="0038266B"/>
    <w:rsid w:val="00382C55"/>
    <w:rsid w:val="00384102"/>
    <w:rsid w:val="003844CA"/>
    <w:rsid w:val="00384F6F"/>
    <w:rsid w:val="0038537E"/>
    <w:rsid w:val="0038567B"/>
    <w:rsid w:val="00385F04"/>
    <w:rsid w:val="00385FB2"/>
    <w:rsid w:val="003864AB"/>
    <w:rsid w:val="003866C6"/>
    <w:rsid w:val="0038675D"/>
    <w:rsid w:val="00386F73"/>
    <w:rsid w:val="00387E40"/>
    <w:rsid w:val="00390411"/>
    <w:rsid w:val="0039060F"/>
    <w:rsid w:val="00390A76"/>
    <w:rsid w:val="0039190F"/>
    <w:rsid w:val="0039252F"/>
    <w:rsid w:val="00392657"/>
    <w:rsid w:val="003926C2"/>
    <w:rsid w:val="00392835"/>
    <w:rsid w:val="003929B8"/>
    <w:rsid w:val="003933F5"/>
    <w:rsid w:val="00394052"/>
    <w:rsid w:val="00394339"/>
    <w:rsid w:val="0039467F"/>
    <w:rsid w:val="00396195"/>
    <w:rsid w:val="0039651E"/>
    <w:rsid w:val="00396794"/>
    <w:rsid w:val="00396ABC"/>
    <w:rsid w:val="00396DE2"/>
    <w:rsid w:val="00396DF2"/>
    <w:rsid w:val="00396ECD"/>
    <w:rsid w:val="003973FB"/>
    <w:rsid w:val="0039781E"/>
    <w:rsid w:val="003978FB"/>
    <w:rsid w:val="00397939"/>
    <w:rsid w:val="00397BFD"/>
    <w:rsid w:val="00397DA6"/>
    <w:rsid w:val="003A0766"/>
    <w:rsid w:val="003A0CD4"/>
    <w:rsid w:val="003A24CE"/>
    <w:rsid w:val="003A2565"/>
    <w:rsid w:val="003A2765"/>
    <w:rsid w:val="003A2954"/>
    <w:rsid w:val="003A2CFF"/>
    <w:rsid w:val="003A2FA1"/>
    <w:rsid w:val="003A3A30"/>
    <w:rsid w:val="003A3A4E"/>
    <w:rsid w:val="003A3F12"/>
    <w:rsid w:val="003A4384"/>
    <w:rsid w:val="003A4388"/>
    <w:rsid w:val="003A46B9"/>
    <w:rsid w:val="003A5129"/>
    <w:rsid w:val="003A57FF"/>
    <w:rsid w:val="003A5A1A"/>
    <w:rsid w:val="003A61E2"/>
    <w:rsid w:val="003A62B0"/>
    <w:rsid w:val="003A64D0"/>
    <w:rsid w:val="003A64E6"/>
    <w:rsid w:val="003A6789"/>
    <w:rsid w:val="003A7431"/>
    <w:rsid w:val="003A7D67"/>
    <w:rsid w:val="003B00F6"/>
    <w:rsid w:val="003B0D56"/>
    <w:rsid w:val="003B1208"/>
    <w:rsid w:val="003B2341"/>
    <w:rsid w:val="003B277A"/>
    <w:rsid w:val="003B2B13"/>
    <w:rsid w:val="003B2CC7"/>
    <w:rsid w:val="003B3233"/>
    <w:rsid w:val="003B3AF1"/>
    <w:rsid w:val="003B3F04"/>
    <w:rsid w:val="003B4550"/>
    <w:rsid w:val="003B48D5"/>
    <w:rsid w:val="003B4BED"/>
    <w:rsid w:val="003B53D9"/>
    <w:rsid w:val="003B540C"/>
    <w:rsid w:val="003B5482"/>
    <w:rsid w:val="003B5CEA"/>
    <w:rsid w:val="003B5FB1"/>
    <w:rsid w:val="003B6110"/>
    <w:rsid w:val="003B67E2"/>
    <w:rsid w:val="003B6DFD"/>
    <w:rsid w:val="003B7E5D"/>
    <w:rsid w:val="003C0347"/>
    <w:rsid w:val="003C042D"/>
    <w:rsid w:val="003C0ECE"/>
    <w:rsid w:val="003C28F3"/>
    <w:rsid w:val="003C2E78"/>
    <w:rsid w:val="003C33AF"/>
    <w:rsid w:val="003C3433"/>
    <w:rsid w:val="003C346F"/>
    <w:rsid w:val="003C3565"/>
    <w:rsid w:val="003C3611"/>
    <w:rsid w:val="003C36AB"/>
    <w:rsid w:val="003C3B20"/>
    <w:rsid w:val="003C407C"/>
    <w:rsid w:val="003C44DF"/>
    <w:rsid w:val="003C4DC7"/>
    <w:rsid w:val="003C5495"/>
    <w:rsid w:val="003C5813"/>
    <w:rsid w:val="003C5A4C"/>
    <w:rsid w:val="003C5D8B"/>
    <w:rsid w:val="003C79E0"/>
    <w:rsid w:val="003D1641"/>
    <w:rsid w:val="003D2E5D"/>
    <w:rsid w:val="003D3045"/>
    <w:rsid w:val="003D3633"/>
    <w:rsid w:val="003D3A70"/>
    <w:rsid w:val="003D3AF5"/>
    <w:rsid w:val="003D3CA4"/>
    <w:rsid w:val="003D45F1"/>
    <w:rsid w:val="003D4721"/>
    <w:rsid w:val="003D4D1A"/>
    <w:rsid w:val="003D53A1"/>
    <w:rsid w:val="003D56D0"/>
    <w:rsid w:val="003D5F55"/>
    <w:rsid w:val="003D63E7"/>
    <w:rsid w:val="003D64AB"/>
    <w:rsid w:val="003D6719"/>
    <w:rsid w:val="003D68FA"/>
    <w:rsid w:val="003D6B8F"/>
    <w:rsid w:val="003D6F7F"/>
    <w:rsid w:val="003D7435"/>
    <w:rsid w:val="003D7B23"/>
    <w:rsid w:val="003D7B34"/>
    <w:rsid w:val="003D7CC8"/>
    <w:rsid w:val="003D7DC4"/>
    <w:rsid w:val="003E106D"/>
    <w:rsid w:val="003E14DB"/>
    <w:rsid w:val="003E1A6D"/>
    <w:rsid w:val="003E1E5A"/>
    <w:rsid w:val="003E2045"/>
    <w:rsid w:val="003E23E5"/>
    <w:rsid w:val="003E23F0"/>
    <w:rsid w:val="003E2627"/>
    <w:rsid w:val="003E2846"/>
    <w:rsid w:val="003E2C65"/>
    <w:rsid w:val="003E3403"/>
    <w:rsid w:val="003E3F3E"/>
    <w:rsid w:val="003E432A"/>
    <w:rsid w:val="003E4C7F"/>
    <w:rsid w:val="003E4CD2"/>
    <w:rsid w:val="003E508D"/>
    <w:rsid w:val="003E515C"/>
    <w:rsid w:val="003E558C"/>
    <w:rsid w:val="003E580A"/>
    <w:rsid w:val="003E606A"/>
    <w:rsid w:val="003E60E6"/>
    <w:rsid w:val="003E61DD"/>
    <w:rsid w:val="003E6388"/>
    <w:rsid w:val="003E7B12"/>
    <w:rsid w:val="003E7FA9"/>
    <w:rsid w:val="003F0371"/>
    <w:rsid w:val="003F0970"/>
    <w:rsid w:val="003F0D72"/>
    <w:rsid w:val="003F111C"/>
    <w:rsid w:val="003F15FE"/>
    <w:rsid w:val="003F1F30"/>
    <w:rsid w:val="003F25AC"/>
    <w:rsid w:val="003F2E71"/>
    <w:rsid w:val="003F329F"/>
    <w:rsid w:val="003F3A4F"/>
    <w:rsid w:val="003F3C47"/>
    <w:rsid w:val="003F43D1"/>
    <w:rsid w:val="003F454E"/>
    <w:rsid w:val="003F49B2"/>
    <w:rsid w:val="003F4C63"/>
    <w:rsid w:val="003F51AB"/>
    <w:rsid w:val="003F5B99"/>
    <w:rsid w:val="003F5D5D"/>
    <w:rsid w:val="003F642D"/>
    <w:rsid w:val="003F667E"/>
    <w:rsid w:val="003F6FAC"/>
    <w:rsid w:val="003F7215"/>
    <w:rsid w:val="003F7DFA"/>
    <w:rsid w:val="003F7DFB"/>
    <w:rsid w:val="003F7FD8"/>
    <w:rsid w:val="004006BF"/>
    <w:rsid w:val="00400AED"/>
    <w:rsid w:val="00400E49"/>
    <w:rsid w:val="00401119"/>
    <w:rsid w:val="0040178F"/>
    <w:rsid w:val="00401D2D"/>
    <w:rsid w:val="00401F19"/>
    <w:rsid w:val="00402AD9"/>
    <w:rsid w:val="0040343B"/>
    <w:rsid w:val="0040441E"/>
    <w:rsid w:val="00404C88"/>
    <w:rsid w:val="00404CD8"/>
    <w:rsid w:val="0040529B"/>
    <w:rsid w:val="004055C7"/>
    <w:rsid w:val="00405724"/>
    <w:rsid w:val="00406838"/>
    <w:rsid w:val="00406AEA"/>
    <w:rsid w:val="00406C7E"/>
    <w:rsid w:val="00406DC0"/>
    <w:rsid w:val="00406EAB"/>
    <w:rsid w:val="00407B18"/>
    <w:rsid w:val="004112D0"/>
    <w:rsid w:val="0041183E"/>
    <w:rsid w:val="004118DD"/>
    <w:rsid w:val="00411F78"/>
    <w:rsid w:val="0041315A"/>
    <w:rsid w:val="004136C7"/>
    <w:rsid w:val="00413900"/>
    <w:rsid w:val="00413F02"/>
    <w:rsid w:val="004144DD"/>
    <w:rsid w:val="00414D30"/>
    <w:rsid w:val="004157D2"/>
    <w:rsid w:val="00415BBF"/>
    <w:rsid w:val="004162AE"/>
    <w:rsid w:val="00416346"/>
    <w:rsid w:val="0041637C"/>
    <w:rsid w:val="00416642"/>
    <w:rsid w:val="0041694B"/>
    <w:rsid w:val="00417532"/>
    <w:rsid w:val="00417D6E"/>
    <w:rsid w:val="00417FDD"/>
    <w:rsid w:val="00420E4A"/>
    <w:rsid w:val="00420F17"/>
    <w:rsid w:val="00420F2D"/>
    <w:rsid w:val="00422114"/>
    <w:rsid w:val="00422AE9"/>
    <w:rsid w:val="00423015"/>
    <w:rsid w:val="004230A8"/>
    <w:rsid w:val="00423EFD"/>
    <w:rsid w:val="00424875"/>
    <w:rsid w:val="004248DA"/>
    <w:rsid w:val="00424E06"/>
    <w:rsid w:val="004255E3"/>
    <w:rsid w:val="004266B3"/>
    <w:rsid w:val="004268ED"/>
    <w:rsid w:val="00426A1F"/>
    <w:rsid w:val="0042714D"/>
    <w:rsid w:val="00427462"/>
    <w:rsid w:val="004301BC"/>
    <w:rsid w:val="004302B0"/>
    <w:rsid w:val="00430CB5"/>
    <w:rsid w:val="00430F3A"/>
    <w:rsid w:val="00431785"/>
    <w:rsid w:val="00431D20"/>
    <w:rsid w:val="00432026"/>
    <w:rsid w:val="00432141"/>
    <w:rsid w:val="004321A9"/>
    <w:rsid w:val="004333B4"/>
    <w:rsid w:val="00433591"/>
    <w:rsid w:val="004339BB"/>
    <w:rsid w:val="00433D1E"/>
    <w:rsid w:val="004341D9"/>
    <w:rsid w:val="0043420A"/>
    <w:rsid w:val="00434804"/>
    <w:rsid w:val="00434ECA"/>
    <w:rsid w:val="00435288"/>
    <w:rsid w:val="00435363"/>
    <w:rsid w:val="004354F0"/>
    <w:rsid w:val="00435B83"/>
    <w:rsid w:val="004361D9"/>
    <w:rsid w:val="004364FA"/>
    <w:rsid w:val="00436BD4"/>
    <w:rsid w:val="00437D7F"/>
    <w:rsid w:val="004402FA"/>
    <w:rsid w:val="004406AF"/>
    <w:rsid w:val="00440731"/>
    <w:rsid w:val="00440EC0"/>
    <w:rsid w:val="00441D07"/>
    <w:rsid w:val="004421AC"/>
    <w:rsid w:val="00442840"/>
    <w:rsid w:val="00442BF6"/>
    <w:rsid w:val="00442F95"/>
    <w:rsid w:val="00443227"/>
    <w:rsid w:val="00443BFC"/>
    <w:rsid w:val="004445BC"/>
    <w:rsid w:val="004446B8"/>
    <w:rsid w:val="004454A7"/>
    <w:rsid w:val="004455B2"/>
    <w:rsid w:val="004456EC"/>
    <w:rsid w:val="0044657A"/>
    <w:rsid w:val="004465D8"/>
    <w:rsid w:val="00446A3C"/>
    <w:rsid w:val="00447255"/>
    <w:rsid w:val="00447272"/>
    <w:rsid w:val="00447964"/>
    <w:rsid w:val="004502ED"/>
    <w:rsid w:val="0045038B"/>
    <w:rsid w:val="004503D9"/>
    <w:rsid w:val="004504B2"/>
    <w:rsid w:val="00450AE6"/>
    <w:rsid w:val="004511DA"/>
    <w:rsid w:val="00451272"/>
    <w:rsid w:val="00451532"/>
    <w:rsid w:val="004519C2"/>
    <w:rsid w:val="00451D2E"/>
    <w:rsid w:val="00452328"/>
    <w:rsid w:val="0045282E"/>
    <w:rsid w:val="00452A35"/>
    <w:rsid w:val="004531B4"/>
    <w:rsid w:val="004536E0"/>
    <w:rsid w:val="0045374A"/>
    <w:rsid w:val="004539EE"/>
    <w:rsid w:val="00453D9E"/>
    <w:rsid w:val="00453F06"/>
    <w:rsid w:val="00453F61"/>
    <w:rsid w:val="004541E1"/>
    <w:rsid w:val="004542D8"/>
    <w:rsid w:val="0045465C"/>
    <w:rsid w:val="00454BC8"/>
    <w:rsid w:val="00454FBC"/>
    <w:rsid w:val="0045548E"/>
    <w:rsid w:val="00456116"/>
    <w:rsid w:val="00456B7F"/>
    <w:rsid w:val="00456C23"/>
    <w:rsid w:val="00456EE4"/>
    <w:rsid w:val="00457269"/>
    <w:rsid w:val="0045753C"/>
    <w:rsid w:val="00457592"/>
    <w:rsid w:val="0045767C"/>
    <w:rsid w:val="00457748"/>
    <w:rsid w:val="00460F04"/>
    <w:rsid w:val="00461202"/>
    <w:rsid w:val="00461253"/>
    <w:rsid w:val="0046154A"/>
    <w:rsid w:val="00461D42"/>
    <w:rsid w:val="00461E1C"/>
    <w:rsid w:val="004626A4"/>
    <w:rsid w:val="004630B3"/>
    <w:rsid w:val="00463351"/>
    <w:rsid w:val="004633C0"/>
    <w:rsid w:val="0046353A"/>
    <w:rsid w:val="00463670"/>
    <w:rsid w:val="00464277"/>
    <w:rsid w:val="0046493F"/>
    <w:rsid w:val="00464A7F"/>
    <w:rsid w:val="00464EEE"/>
    <w:rsid w:val="004652F7"/>
    <w:rsid w:val="0046572F"/>
    <w:rsid w:val="00465B54"/>
    <w:rsid w:val="00465B78"/>
    <w:rsid w:val="00465DDC"/>
    <w:rsid w:val="004665CF"/>
    <w:rsid w:val="00466699"/>
    <w:rsid w:val="00466ECD"/>
    <w:rsid w:val="00466F5A"/>
    <w:rsid w:val="00466F8D"/>
    <w:rsid w:val="00467A1D"/>
    <w:rsid w:val="00467B9E"/>
    <w:rsid w:val="00470A28"/>
    <w:rsid w:val="00470BC9"/>
    <w:rsid w:val="004710F5"/>
    <w:rsid w:val="0047175E"/>
    <w:rsid w:val="00471DF1"/>
    <w:rsid w:val="004726C0"/>
    <w:rsid w:val="00472FDA"/>
    <w:rsid w:val="00473458"/>
    <w:rsid w:val="00473857"/>
    <w:rsid w:val="00473946"/>
    <w:rsid w:val="00473D1B"/>
    <w:rsid w:val="00474800"/>
    <w:rsid w:val="004749B7"/>
    <w:rsid w:val="00474C83"/>
    <w:rsid w:val="00474E77"/>
    <w:rsid w:val="004751FA"/>
    <w:rsid w:val="00475554"/>
    <w:rsid w:val="00475A1A"/>
    <w:rsid w:val="00476329"/>
    <w:rsid w:val="004763E0"/>
    <w:rsid w:val="00476694"/>
    <w:rsid w:val="00476EA2"/>
    <w:rsid w:val="00477079"/>
    <w:rsid w:val="00477585"/>
    <w:rsid w:val="0047779E"/>
    <w:rsid w:val="00477B73"/>
    <w:rsid w:val="00477BF1"/>
    <w:rsid w:val="004804BD"/>
    <w:rsid w:val="00480930"/>
    <w:rsid w:val="00480B49"/>
    <w:rsid w:val="00481246"/>
    <w:rsid w:val="004818BD"/>
    <w:rsid w:val="00481D25"/>
    <w:rsid w:val="00482BC5"/>
    <w:rsid w:val="00482F86"/>
    <w:rsid w:val="00482FD6"/>
    <w:rsid w:val="004834C1"/>
    <w:rsid w:val="0048362E"/>
    <w:rsid w:val="0048364F"/>
    <w:rsid w:val="00483765"/>
    <w:rsid w:val="00483D5A"/>
    <w:rsid w:val="00484485"/>
    <w:rsid w:val="004846CC"/>
    <w:rsid w:val="00484C91"/>
    <w:rsid w:val="00485165"/>
    <w:rsid w:val="004854FA"/>
    <w:rsid w:val="004855AA"/>
    <w:rsid w:val="0048562F"/>
    <w:rsid w:val="004859AB"/>
    <w:rsid w:val="00485A8B"/>
    <w:rsid w:val="00485CE4"/>
    <w:rsid w:val="00486183"/>
    <w:rsid w:val="0048759E"/>
    <w:rsid w:val="00487AEF"/>
    <w:rsid w:val="004905FA"/>
    <w:rsid w:val="004909FF"/>
    <w:rsid w:val="0049135B"/>
    <w:rsid w:val="0049159A"/>
    <w:rsid w:val="00491740"/>
    <w:rsid w:val="00491E4F"/>
    <w:rsid w:val="00491FA9"/>
    <w:rsid w:val="004928D0"/>
    <w:rsid w:val="00492FFD"/>
    <w:rsid w:val="00494672"/>
    <w:rsid w:val="0049470A"/>
    <w:rsid w:val="00494A57"/>
    <w:rsid w:val="00494BD6"/>
    <w:rsid w:val="00495777"/>
    <w:rsid w:val="00495AF0"/>
    <w:rsid w:val="00495C41"/>
    <w:rsid w:val="004961B3"/>
    <w:rsid w:val="00496F03"/>
    <w:rsid w:val="004A008B"/>
    <w:rsid w:val="004A1130"/>
    <w:rsid w:val="004A1430"/>
    <w:rsid w:val="004A203E"/>
    <w:rsid w:val="004A2990"/>
    <w:rsid w:val="004A2F36"/>
    <w:rsid w:val="004A2F6C"/>
    <w:rsid w:val="004A3B1F"/>
    <w:rsid w:val="004A3B6B"/>
    <w:rsid w:val="004A464C"/>
    <w:rsid w:val="004A4694"/>
    <w:rsid w:val="004A5F1A"/>
    <w:rsid w:val="004A72F6"/>
    <w:rsid w:val="004A7610"/>
    <w:rsid w:val="004B031D"/>
    <w:rsid w:val="004B0670"/>
    <w:rsid w:val="004B068F"/>
    <w:rsid w:val="004B14BB"/>
    <w:rsid w:val="004B17A1"/>
    <w:rsid w:val="004B2394"/>
    <w:rsid w:val="004B2419"/>
    <w:rsid w:val="004B282A"/>
    <w:rsid w:val="004B2DB6"/>
    <w:rsid w:val="004B3163"/>
    <w:rsid w:val="004B362B"/>
    <w:rsid w:val="004B48F9"/>
    <w:rsid w:val="004B4CCF"/>
    <w:rsid w:val="004B4D8C"/>
    <w:rsid w:val="004B52AC"/>
    <w:rsid w:val="004B5348"/>
    <w:rsid w:val="004B66E2"/>
    <w:rsid w:val="004B69AC"/>
    <w:rsid w:val="004B7544"/>
    <w:rsid w:val="004B762B"/>
    <w:rsid w:val="004B7F9B"/>
    <w:rsid w:val="004C0FEE"/>
    <w:rsid w:val="004C101B"/>
    <w:rsid w:val="004C10D9"/>
    <w:rsid w:val="004C1237"/>
    <w:rsid w:val="004C19E4"/>
    <w:rsid w:val="004C1CEE"/>
    <w:rsid w:val="004C245F"/>
    <w:rsid w:val="004C2E20"/>
    <w:rsid w:val="004C2E22"/>
    <w:rsid w:val="004C44A8"/>
    <w:rsid w:val="004C51F9"/>
    <w:rsid w:val="004C5D6C"/>
    <w:rsid w:val="004C6011"/>
    <w:rsid w:val="004C683C"/>
    <w:rsid w:val="004C7C94"/>
    <w:rsid w:val="004D07EC"/>
    <w:rsid w:val="004D0EE8"/>
    <w:rsid w:val="004D16FF"/>
    <w:rsid w:val="004D2527"/>
    <w:rsid w:val="004D274D"/>
    <w:rsid w:val="004D2AAA"/>
    <w:rsid w:val="004D300F"/>
    <w:rsid w:val="004D4459"/>
    <w:rsid w:val="004D4491"/>
    <w:rsid w:val="004D44EE"/>
    <w:rsid w:val="004D48AB"/>
    <w:rsid w:val="004D530B"/>
    <w:rsid w:val="004D5616"/>
    <w:rsid w:val="004D56DD"/>
    <w:rsid w:val="004D574F"/>
    <w:rsid w:val="004D5CF9"/>
    <w:rsid w:val="004D5F50"/>
    <w:rsid w:val="004D6638"/>
    <w:rsid w:val="004D66BE"/>
    <w:rsid w:val="004D6973"/>
    <w:rsid w:val="004D6EA8"/>
    <w:rsid w:val="004E0234"/>
    <w:rsid w:val="004E08C3"/>
    <w:rsid w:val="004E0EF7"/>
    <w:rsid w:val="004E1073"/>
    <w:rsid w:val="004E1166"/>
    <w:rsid w:val="004E1FFD"/>
    <w:rsid w:val="004E205D"/>
    <w:rsid w:val="004E3997"/>
    <w:rsid w:val="004E3C18"/>
    <w:rsid w:val="004E3C71"/>
    <w:rsid w:val="004E3FE0"/>
    <w:rsid w:val="004E47E6"/>
    <w:rsid w:val="004E4C7A"/>
    <w:rsid w:val="004E4E74"/>
    <w:rsid w:val="004E5C69"/>
    <w:rsid w:val="004E5D2C"/>
    <w:rsid w:val="004E6060"/>
    <w:rsid w:val="004E6079"/>
    <w:rsid w:val="004E6260"/>
    <w:rsid w:val="004E6A62"/>
    <w:rsid w:val="004E71D7"/>
    <w:rsid w:val="004E72A2"/>
    <w:rsid w:val="004E78A4"/>
    <w:rsid w:val="004E7E8E"/>
    <w:rsid w:val="004E7EC0"/>
    <w:rsid w:val="004E7F18"/>
    <w:rsid w:val="004F053E"/>
    <w:rsid w:val="004F0AD8"/>
    <w:rsid w:val="004F210C"/>
    <w:rsid w:val="004F2338"/>
    <w:rsid w:val="004F316F"/>
    <w:rsid w:val="004F348C"/>
    <w:rsid w:val="004F358F"/>
    <w:rsid w:val="004F3BB1"/>
    <w:rsid w:val="004F45AF"/>
    <w:rsid w:val="004F4701"/>
    <w:rsid w:val="004F475D"/>
    <w:rsid w:val="004F493C"/>
    <w:rsid w:val="004F5C48"/>
    <w:rsid w:val="004F6222"/>
    <w:rsid w:val="004F6BAC"/>
    <w:rsid w:val="004F6D9C"/>
    <w:rsid w:val="004F6FB8"/>
    <w:rsid w:val="004F7553"/>
    <w:rsid w:val="005005CA"/>
    <w:rsid w:val="0050064D"/>
    <w:rsid w:val="00500D15"/>
    <w:rsid w:val="005024B7"/>
    <w:rsid w:val="00503D2D"/>
    <w:rsid w:val="005042C2"/>
    <w:rsid w:val="00504C0C"/>
    <w:rsid w:val="00504D8B"/>
    <w:rsid w:val="00505878"/>
    <w:rsid w:val="00505BFF"/>
    <w:rsid w:val="00506A79"/>
    <w:rsid w:val="005078EF"/>
    <w:rsid w:val="0051089E"/>
    <w:rsid w:val="00510BC0"/>
    <w:rsid w:val="00511720"/>
    <w:rsid w:val="00511C87"/>
    <w:rsid w:val="00512027"/>
    <w:rsid w:val="00512184"/>
    <w:rsid w:val="00512402"/>
    <w:rsid w:val="00512B80"/>
    <w:rsid w:val="00513053"/>
    <w:rsid w:val="00513492"/>
    <w:rsid w:val="0051364F"/>
    <w:rsid w:val="0051373C"/>
    <w:rsid w:val="00513967"/>
    <w:rsid w:val="0051463A"/>
    <w:rsid w:val="005149BA"/>
    <w:rsid w:val="0051548F"/>
    <w:rsid w:val="00515FEA"/>
    <w:rsid w:val="005167BD"/>
    <w:rsid w:val="00516BD2"/>
    <w:rsid w:val="00516E3F"/>
    <w:rsid w:val="00516ECB"/>
    <w:rsid w:val="00520A1F"/>
    <w:rsid w:val="00521839"/>
    <w:rsid w:val="00521D26"/>
    <w:rsid w:val="00521FCC"/>
    <w:rsid w:val="00524109"/>
    <w:rsid w:val="00524299"/>
    <w:rsid w:val="00524EB0"/>
    <w:rsid w:val="00524F44"/>
    <w:rsid w:val="0052533A"/>
    <w:rsid w:val="00525346"/>
    <w:rsid w:val="005253F7"/>
    <w:rsid w:val="0052543D"/>
    <w:rsid w:val="005256B7"/>
    <w:rsid w:val="00526158"/>
    <w:rsid w:val="0053047A"/>
    <w:rsid w:val="00531067"/>
    <w:rsid w:val="00531919"/>
    <w:rsid w:val="0053194C"/>
    <w:rsid w:val="00531D7F"/>
    <w:rsid w:val="00531E3C"/>
    <w:rsid w:val="00532065"/>
    <w:rsid w:val="00532490"/>
    <w:rsid w:val="0053263C"/>
    <w:rsid w:val="00533C34"/>
    <w:rsid w:val="00533DF6"/>
    <w:rsid w:val="00534453"/>
    <w:rsid w:val="0053494B"/>
    <w:rsid w:val="00534DBE"/>
    <w:rsid w:val="00534DDB"/>
    <w:rsid w:val="00535228"/>
    <w:rsid w:val="005352B0"/>
    <w:rsid w:val="0053583A"/>
    <w:rsid w:val="005362B0"/>
    <w:rsid w:val="00537935"/>
    <w:rsid w:val="00537F5E"/>
    <w:rsid w:val="00540373"/>
    <w:rsid w:val="005409D9"/>
    <w:rsid w:val="00540EC9"/>
    <w:rsid w:val="005413B6"/>
    <w:rsid w:val="005428EE"/>
    <w:rsid w:val="00544D9A"/>
    <w:rsid w:val="005458DD"/>
    <w:rsid w:val="00545921"/>
    <w:rsid w:val="00545986"/>
    <w:rsid w:val="00545B56"/>
    <w:rsid w:val="00545F31"/>
    <w:rsid w:val="00546706"/>
    <w:rsid w:val="00547724"/>
    <w:rsid w:val="00547877"/>
    <w:rsid w:val="00547909"/>
    <w:rsid w:val="00550041"/>
    <w:rsid w:val="00550247"/>
    <w:rsid w:val="00551781"/>
    <w:rsid w:val="00551B74"/>
    <w:rsid w:val="00551BF2"/>
    <w:rsid w:val="00551DDC"/>
    <w:rsid w:val="00551F28"/>
    <w:rsid w:val="00552006"/>
    <w:rsid w:val="00552046"/>
    <w:rsid w:val="00552EC7"/>
    <w:rsid w:val="005533E4"/>
    <w:rsid w:val="00553D1E"/>
    <w:rsid w:val="00553D84"/>
    <w:rsid w:val="00553FA1"/>
    <w:rsid w:val="005540EF"/>
    <w:rsid w:val="005553FD"/>
    <w:rsid w:val="005558D8"/>
    <w:rsid w:val="0055604A"/>
    <w:rsid w:val="005560AF"/>
    <w:rsid w:val="005578EE"/>
    <w:rsid w:val="00557D3A"/>
    <w:rsid w:val="00557E55"/>
    <w:rsid w:val="00560389"/>
    <w:rsid w:val="00560391"/>
    <w:rsid w:val="005603F2"/>
    <w:rsid w:val="005605DE"/>
    <w:rsid w:val="0056095B"/>
    <w:rsid w:val="00560F9D"/>
    <w:rsid w:val="005610D0"/>
    <w:rsid w:val="00562A1E"/>
    <w:rsid w:val="00562DDD"/>
    <w:rsid w:val="00563665"/>
    <w:rsid w:val="0056379D"/>
    <w:rsid w:val="00563B3F"/>
    <w:rsid w:val="00563B95"/>
    <w:rsid w:val="005641AE"/>
    <w:rsid w:val="005645E1"/>
    <w:rsid w:val="0056578B"/>
    <w:rsid w:val="00565F00"/>
    <w:rsid w:val="00566865"/>
    <w:rsid w:val="005668E9"/>
    <w:rsid w:val="005668F1"/>
    <w:rsid w:val="00566AAF"/>
    <w:rsid w:val="00566CB8"/>
    <w:rsid w:val="005705C4"/>
    <w:rsid w:val="00570CC0"/>
    <w:rsid w:val="00570D59"/>
    <w:rsid w:val="00570D81"/>
    <w:rsid w:val="00571006"/>
    <w:rsid w:val="00571040"/>
    <w:rsid w:val="00571062"/>
    <w:rsid w:val="005711DA"/>
    <w:rsid w:val="005712A4"/>
    <w:rsid w:val="00571FB5"/>
    <w:rsid w:val="00574635"/>
    <w:rsid w:val="00574DF8"/>
    <w:rsid w:val="00575957"/>
    <w:rsid w:val="005768B6"/>
    <w:rsid w:val="00576B0C"/>
    <w:rsid w:val="00576F95"/>
    <w:rsid w:val="00577231"/>
    <w:rsid w:val="0057723A"/>
    <w:rsid w:val="005778A7"/>
    <w:rsid w:val="00577F86"/>
    <w:rsid w:val="00577FA2"/>
    <w:rsid w:val="00580609"/>
    <w:rsid w:val="005808CA"/>
    <w:rsid w:val="00581287"/>
    <w:rsid w:val="00581445"/>
    <w:rsid w:val="0058164D"/>
    <w:rsid w:val="00581DA9"/>
    <w:rsid w:val="00581E55"/>
    <w:rsid w:val="00581E59"/>
    <w:rsid w:val="00581F47"/>
    <w:rsid w:val="00581FA2"/>
    <w:rsid w:val="00583644"/>
    <w:rsid w:val="00584A9E"/>
    <w:rsid w:val="00584E3F"/>
    <w:rsid w:val="00584F0B"/>
    <w:rsid w:val="0058536E"/>
    <w:rsid w:val="0058640A"/>
    <w:rsid w:val="0058685D"/>
    <w:rsid w:val="005872A1"/>
    <w:rsid w:val="00590379"/>
    <w:rsid w:val="0059040B"/>
    <w:rsid w:val="00590CE4"/>
    <w:rsid w:val="005913B7"/>
    <w:rsid w:val="00591466"/>
    <w:rsid w:val="00592DB5"/>
    <w:rsid w:val="00592E04"/>
    <w:rsid w:val="00593543"/>
    <w:rsid w:val="00593F27"/>
    <w:rsid w:val="00594065"/>
    <w:rsid w:val="00594718"/>
    <w:rsid w:val="00595598"/>
    <w:rsid w:val="005957AA"/>
    <w:rsid w:val="00595D10"/>
    <w:rsid w:val="00595EDA"/>
    <w:rsid w:val="00595F04"/>
    <w:rsid w:val="00596EF0"/>
    <w:rsid w:val="005970A5"/>
    <w:rsid w:val="005974CF"/>
    <w:rsid w:val="00597A50"/>
    <w:rsid w:val="005A0437"/>
    <w:rsid w:val="005A06DC"/>
    <w:rsid w:val="005A0BD7"/>
    <w:rsid w:val="005A1190"/>
    <w:rsid w:val="005A14DE"/>
    <w:rsid w:val="005A152D"/>
    <w:rsid w:val="005A1D5C"/>
    <w:rsid w:val="005A1E5F"/>
    <w:rsid w:val="005A1EC8"/>
    <w:rsid w:val="005A2147"/>
    <w:rsid w:val="005A26DE"/>
    <w:rsid w:val="005A41A9"/>
    <w:rsid w:val="005A4645"/>
    <w:rsid w:val="005A4C36"/>
    <w:rsid w:val="005A4D58"/>
    <w:rsid w:val="005A5697"/>
    <w:rsid w:val="005A57C3"/>
    <w:rsid w:val="005A5FFA"/>
    <w:rsid w:val="005A61AA"/>
    <w:rsid w:val="005A6723"/>
    <w:rsid w:val="005A7D8A"/>
    <w:rsid w:val="005A7FA1"/>
    <w:rsid w:val="005B005D"/>
    <w:rsid w:val="005B02AC"/>
    <w:rsid w:val="005B055E"/>
    <w:rsid w:val="005B09EF"/>
    <w:rsid w:val="005B0B72"/>
    <w:rsid w:val="005B1D59"/>
    <w:rsid w:val="005B2BC0"/>
    <w:rsid w:val="005B3527"/>
    <w:rsid w:val="005B380E"/>
    <w:rsid w:val="005B3D70"/>
    <w:rsid w:val="005B3D90"/>
    <w:rsid w:val="005B4228"/>
    <w:rsid w:val="005B43C1"/>
    <w:rsid w:val="005B4656"/>
    <w:rsid w:val="005B499B"/>
    <w:rsid w:val="005B55EA"/>
    <w:rsid w:val="005B5AD0"/>
    <w:rsid w:val="005B5D83"/>
    <w:rsid w:val="005B5F66"/>
    <w:rsid w:val="005B5FFF"/>
    <w:rsid w:val="005B6330"/>
    <w:rsid w:val="005B68B6"/>
    <w:rsid w:val="005C08D2"/>
    <w:rsid w:val="005C0B5D"/>
    <w:rsid w:val="005C0D1E"/>
    <w:rsid w:val="005C12D2"/>
    <w:rsid w:val="005C1C90"/>
    <w:rsid w:val="005C2529"/>
    <w:rsid w:val="005C2EE5"/>
    <w:rsid w:val="005C3870"/>
    <w:rsid w:val="005C38E4"/>
    <w:rsid w:val="005C39CB"/>
    <w:rsid w:val="005C3A8B"/>
    <w:rsid w:val="005C3BD3"/>
    <w:rsid w:val="005C41B2"/>
    <w:rsid w:val="005C427B"/>
    <w:rsid w:val="005C5A92"/>
    <w:rsid w:val="005C60CE"/>
    <w:rsid w:val="005C6549"/>
    <w:rsid w:val="005C67EE"/>
    <w:rsid w:val="005C69A2"/>
    <w:rsid w:val="005C6C4F"/>
    <w:rsid w:val="005C7536"/>
    <w:rsid w:val="005C7965"/>
    <w:rsid w:val="005C7AD0"/>
    <w:rsid w:val="005D0411"/>
    <w:rsid w:val="005D0DF9"/>
    <w:rsid w:val="005D1A47"/>
    <w:rsid w:val="005D1BED"/>
    <w:rsid w:val="005D1C4A"/>
    <w:rsid w:val="005D1CAD"/>
    <w:rsid w:val="005D2E27"/>
    <w:rsid w:val="005D31E9"/>
    <w:rsid w:val="005D3574"/>
    <w:rsid w:val="005D5DBA"/>
    <w:rsid w:val="005D64CC"/>
    <w:rsid w:val="005D7304"/>
    <w:rsid w:val="005D7538"/>
    <w:rsid w:val="005E00E7"/>
    <w:rsid w:val="005E0752"/>
    <w:rsid w:val="005E07C0"/>
    <w:rsid w:val="005E07F1"/>
    <w:rsid w:val="005E0DB7"/>
    <w:rsid w:val="005E15C0"/>
    <w:rsid w:val="005E2556"/>
    <w:rsid w:val="005E3371"/>
    <w:rsid w:val="005E44D4"/>
    <w:rsid w:val="005E4EEE"/>
    <w:rsid w:val="005E6279"/>
    <w:rsid w:val="005E6756"/>
    <w:rsid w:val="005E67B4"/>
    <w:rsid w:val="005E69EB"/>
    <w:rsid w:val="005E6C2D"/>
    <w:rsid w:val="005E6EB0"/>
    <w:rsid w:val="005E6F68"/>
    <w:rsid w:val="005E787E"/>
    <w:rsid w:val="005E7D76"/>
    <w:rsid w:val="005E7EBD"/>
    <w:rsid w:val="005F02AC"/>
    <w:rsid w:val="005F0476"/>
    <w:rsid w:val="005F04DD"/>
    <w:rsid w:val="005F057B"/>
    <w:rsid w:val="005F144F"/>
    <w:rsid w:val="005F1607"/>
    <w:rsid w:val="005F1B83"/>
    <w:rsid w:val="005F3850"/>
    <w:rsid w:val="005F38E9"/>
    <w:rsid w:val="005F3A90"/>
    <w:rsid w:val="005F3AEB"/>
    <w:rsid w:val="005F4740"/>
    <w:rsid w:val="005F48FF"/>
    <w:rsid w:val="005F4AAD"/>
    <w:rsid w:val="005F4D28"/>
    <w:rsid w:val="005F53DE"/>
    <w:rsid w:val="005F5413"/>
    <w:rsid w:val="005F5499"/>
    <w:rsid w:val="005F61B0"/>
    <w:rsid w:val="005F645E"/>
    <w:rsid w:val="005F688A"/>
    <w:rsid w:val="005F68F5"/>
    <w:rsid w:val="005F697D"/>
    <w:rsid w:val="0060065B"/>
    <w:rsid w:val="00600A22"/>
    <w:rsid w:val="00600B1A"/>
    <w:rsid w:val="00601176"/>
    <w:rsid w:val="006011B7"/>
    <w:rsid w:val="006013C1"/>
    <w:rsid w:val="00601A2C"/>
    <w:rsid w:val="00601BB4"/>
    <w:rsid w:val="00601DC4"/>
    <w:rsid w:val="0060255E"/>
    <w:rsid w:val="00602CDA"/>
    <w:rsid w:val="00602E2E"/>
    <w:rsid w:val="00602FBD"/>
    <w:rsid w:val="00603226"/>
    <w:rsid w:val="0060411D"/>
    <w:rsid w:val="006048E3"/>
    <w:rsid w:val="00604C1C"/>
    <w:rsid w:val="00604E90"/>
    <w:rsid w:val="006052AE"/>
    <w:rsid w:val="006052B8"/>
    <w:rsid w:val="006066C0"/>
    <w:rsid w:val="00607020"/>
    <w:rsid w:val="0060703C"/>
    <w:rsid w:val="00607334"/>
    <w:rsid w:val="006073D5"/>
    <w:rsid w:val="00607CAA"/>
    <w:rsid w:val="00607F71"/>
    <w:rsid w:val="00610789"/>
    <w:rsid w:val="00610CC3"/>
    <w:rsid w:val="00611FC9"/>
    <w:rsid w:val="00613374"/>
    <w:rsid w:val="006136B1"/>
    <w:rsid w:val="00613A38"/>
    <w:rsid w:val="006148B0"/>
    <w:rsid w:val="00614BB6"/>
    <w:rsid w:val="00614C8E"/>
    <w:rsid w:val="00614EB5"/>
    <w:rsid w:val="00614EE4"/>
    <w:rsid w:val="0061596A"/>
    <w:rsid w:val="00615D99"/>
    <w:rsid w:val="00616237"/>
    <w:rsid w:val="00616FC9"/>
    <w:rsid w:val="006172AF"/>
    <w:rsid w:val="00617AAB"/>
    <w:rsid w:val="00620C33"/>
    <w:rsid w:val="00621396"/>
    <w:rsid w:val="00621D6B"/>
    <w:rsid w:val="00621EAD"/>
    <w:rsid w:val="0062244D"/>
    <w:rsid w:val="006228B0"/>
    <w:rsid w:val="00622CBA"/>
    <w:rsid w:val="00623EFB"/>
    <w:rsid w:val="00624B1C"/>
    <w:rsid w:val="00624F12"/>
    <w:rsid w:val="00625005"/>
    <w:rsid w:val="00625340"/>
    <w:rsid w:val="00625427"/>
    <w:rsid w:val="00625753"/>
    <w:rsid w:val="00625FC1"/>
    <w:rsid w:val="00626713"/>
    <w:rsid w:val="006269B9"/>
    <w:rsid w:val="00627043"/>
    <w:rsid w:val="00627FD3"/>
    <w:rsid w:val="00630000"/>
    <w:rsid w:val="006302A7"/>
    <w:rsid w:val="006303D4"/>
    <w:rsid w:val="00630D4E"/>
    <w:rsid w:val="00631AE7"/>
    <w:rsid w:val="00631BA0"/>
    <w:rsid w:val="0063204E"/>
    <w:rsid w:val="006328B7"/>
    <w:rsid w:val="00632B48"/>
    <w:rsid w:val="006333EF"/>
    <w:rsid w:val="006338A5"/>
    <w:rsid w:val="006338F6"/>
    <w:rsid w:val="00633E7F"/>
    <w:rsid w:val="00634110"/>
    <w:rsid w:val="00634401"/>
    <w:rsid w:val="00634741"/>
    <w:rsid w:val="00634EF8"/>
    <w:rsid w:val="00635DAA"/>
    <w:rsid w:val="0063606A"/>
    <w:rsid w:val="00636374"/>
    <w:rsid w:val="00636A9E"/>
    <w:rsid w:val="00636E05"/>
    <w:rsid w:val="00636EEB"/>
    <w:rsid w:val="00637959"/>
    <w:rsid w:val="00637D53"/>
    <w:rsid w:val="00640022"/>
    <w:rsid w:val="006401BF"/>
    <w:rsid w:val="006401CA"/>
    <w:rsid w:val="00640FE3"/>
    <w:rsid w:val="006415ED"/>
    <w:rsid w:val="00641799"/>
    <w:rsid w:val="00641B0C"/>
    <w:rsid w:val="00641EFA"/>
    <w:rsid w:val="00642860"/>
    <w:rsid w:val="00642928"/>
    <w:rsid w:val="0064398A"/>
    <w:rsid w:val="00643D30"/>
    <w:rsid w:val="00643F44"/>
    <w:rsid w:val="00644F15"/>
    <w:rsid w:val="00645735"/>
    <w:rsid w:val="00645997"/>
    <w:rsid w:val="00646662"/>
    <w:rsid w:val="00650B22"/>
    <w:rsid w:val="00650B48"/>
    <w:rsid w:val="0065153C"/>
    <w:rsid w:val="006516C3"/>
    <w:rsid w:val="006528CE"/>
    <w:rsid w:val="006529E0"/>
    <w:rsid w:val="006536C7"/>
    <w:rsid w:val="00653C43"/>
    <w:rsid w:val="00654059"/>
    <w:rsid w:val="00654F5E"/>
    <w:rsid w:val="00655501"/>
    <w:rsid w:val="0065566B"/>
    <w:rsid w:val="00655A03"/>
    <w:rsid w:val="00655BFE"/>
    <w:rsid w:val="00656220"/>
    <w:rsid w:val="00656DFB"/>
    <w:rsid w:val="006577E2"/>
    <w:rsid w:val="00657A44"/>
    <w:rsid w:val="00657C81"/>
    <w:rsid w:val="0066068F"/>
    <w:rsid w:val="0066090A"/>
    <w:rsid w:val="0066100F"/>
    <w:rsid w:val="0066235A"/>
    <w:rsid w:val="00662B45"/>
    <w:rsid w:val="00662DD9"/>
    <w:rsid w:val="00663132"/>
    <w:rsid w:val="00663569"/>
    <w:rsid w:val="0066396D"/>
    <w:rsid w:val="00664096"/>
    <w:rsid w:val="006642C8"/>
    <w:rsid w:val="00665502"/>
    <w:rsid w:val="00665DAB"/>
    <w:rsid w:val="00665E03"/>
    <w:rsid w:val="0066613C"/>
    <w:rsid w:val="00666405"/>
    <w:rsid w:val="006667BC"/>
    <w:rsid w:val="00666965"/>
    <w:rsid w:val="006674BD"/>
    <w:rsid w:val="0066783C"/>
    <w:rsid w:val="00667A94"/>
    <w:rsid w:val="00667EDE"/>
    <w:rsid w:val="00670174"/>
    <w:rsid w:val="006710E4"/>
    <w:rsid w:val="006711CA"/>
    <w:rsid w:val="0067139C"/>
    <w:rsid w:val="00671529"/>
    <w:rsid w:val="00672F55"/>
    <w:rsid w:val="00673A47"/>
    <w:rsid w:val="006745BB"/>
    <w:rsid w:val="00674787"/>
    <w:rsid w:val="006747FD"/>
    <w:rsid w:val="006749B7"/>
    <w:rsid w:val="0067516A"/>
    <w:rsid w:val="006759EB"/>
    <w:rsid w:val="00675F31"/>
    <w:rsid w:val="00676497"/>
    <w:rsid w:val="0067654C"/>
    <w:rsid w:val="00676836"/>
    <w:rsid w:val="00676857"/>
    <w:rsid w:val="0067692C"/>
    <w:rsid w:val="00676E07"/>
    <w:rsid w:val="006779A2"/>
    <w:rsid w:val="006779FD"/>
    <w:rsid w:val="00677C0D"/>
    <w:rsid w:val="00677EFE"/>
    <w:rsid w:val="00680CAD"/>
    <w:rsid w:val="00680FCA"/>
    <w:rsid w:val="006817A6"/>
    <w:rsid w:val="00681CF1"/>
    <w:rsid w:val="00681D18"/>
    <w:rsid w:val="00682439"/>
    <w:rsid w:val="00682496"/>
    <w:rsid w:val="006826D1"/>
    <w:rsid w:val="006828F6"/>
    <w:rsid w:val="0068294C"/>
    <w:rsid w:val="00682DE9"/>
    <w:rsid w:val="00683700"/>
    <w:rsid w:val="006837A5"/>
    <w:rsid w:val="00684121"/>
    <w:rsid w:val="00684372"/>
    <w:rsid w:val="0068477D"/>
    <w:rsid w:val="0068498B"/>
    <w:rsid w:val="00684D41"/>
    <w:rsid w:val="00684E74"/>
    <w:rsid w:val="00685096"/>
    <w:rsid w:val="00685792"/>
    <w:rsid w:val="00686087"/>
    <w:rsid w:val="00686179"/>
    <w:rsid w:val="006865BD"/>
    <w:rsid w:val="0068676C"/>
    <w:rsid w:val="0068682C"/>
    <w:rsid w:val="00686887"/>
    <w:rsid w:val="00686998"/>
    <w:rsid w:val="00686E53"/>
    <w:rsid w:val="0068702A"/>
    <w:rsid w:val="00687400"/>
    <w:rsid w:val="00687A23"/>
    <w:rsid w:val="00690354"/>
    <w:rsid w:val="00690771"/>
    <w:rsid w:val="00690D49"/>
    <w:rsid w:val="00690E84"/>
    <w:rsid w:val="0069111E"/>
    <w:rsid w:val="006913E8"/>
    <w:rsid w:val="00691960"/>
    <w:rsid w:val="006923F6"/>
    <w:rsid w:val="00692960"/>
    <w:rsid w:val="006935EA"/>
    <w:rsid w:val="00693C00"/>
    <w:rsid w:val="00693CDF"/>
    <w:rsid w:val="00694110"/>
    <w:rsid w:val="006942E5"/>
    <w:rsid w:val="00694C1F"/>
    <w:rsid w:val="00695280"/>
    <w:rsid w:val="00695837"/>
    <w:rsid w:val="00695C13"/>
    <w:rsid w:val="00695C4F"/>
    <w:rsid w:val="00695EE5"/>
    <w:rsid w:val="00697416"/>
    <w:rsid w:val="006974E8"/>
    <w:rsid w:val="00697DFD"/>
    <w:rsid w:val="00697E15"/>
    <w:rsid w:val="006A1723"/>
    <w:rsid w:val="006A1B36"/>
    <w:rsid w:val="006A1C27"/>
    <w:rsid w:val="006A1FDD"/>
    <w:rsid w:val="006A20D5"/>
    <w:rsid w:val="006A2338"/>
    <w:rsid w:val="006A23CF"/>
    <w:rsid w:val="006A2473"/>
    <w:rsid w:val="006A2B9C"/>
    <w:rsid w:val="006A2BCF"/>
    <w:rsid w:val="006A2BE9"/>
    <w:rsid w:val="006A31AE"/>
    <w:rsid w:val="006A3275"/>
    <w:rsid w:val="006A37A6"/>
    <w:rsid w:val="006A4E58"/>
    <w:rsid w:val="006A5323"/>
    <w:rsid w:val="006A5D9B"/>
    <w:rsid w:val="006A5E5F"/>
    <w:rsid w:val="006A5EED"/>
    <w:rsid w:val="006A66B2"/>
    <w:rsid w:val="006A6ACD"/>
    <w:rsid w:val="006A6D97"/>
    <w:rsid w:val="006A73F2"/>
    <w:rsid w:val="006A7522"/>
    <w:rsid w:val="006A788D"/>
    <w:rsid w:val="006A79F9"/>
    <w:rsid w:val="006A7D0A"/>
    <w:rsid w:val="006A7E17"/>
    <w:rsid w:val="006B023A"/>
    <w:rsid w:val="006B0862"/>
    <w:rsid w:val="006B0972"/>
    <w:rsid w:val="006B118D"/>
    <w:rsid w:val="006B147D"/>
    <w:rsid w:val="006B14FF"/>
    <w:rsid w:val="006B163A"/>
    <w:rsid w:val="006B19A1"/>
    <w:rsid w:val="006B19F0"/>
    <w:rsid w:val="006B1FBF"/>
    <w:rsid w:val="006B20E6"/>
    <w:rsid w:val="006B2A8D"/>
    <w:rsid w:val="006B343E"/>
    <w:rsid w:val="006B512E"/>
    <w:rsid w:val="006B5541"/>
    <w:rsid w:val="006B6544"/>
    <w:rsid w:val="006B6C5E"/>
    <w:rsid w:val="006C0315"/>
    <w:rsid w:val="006C09A3"/>
    <w:rsid w:val="006C0BCA"/>
    <w:rsid w:val="006C0DAC"/>
    <w:rsid w:val="006C1080"/>
    <w:rsid w:val="006C1CC1"/>
    <w:rsid w:val="006C1F59"/>
    <w:rsid w:val="006C205B"/>
    <w:rsid w:val="006C2116"/>
    <w:rsid w:val="006C250D"/>
    <w:rsid w:val="006C33EF"/>
    <w:rsid w:val="006C35E6"/>
    <w:rsid w:val="006C3929"/>
    <w:rsid w:val="006C39F6"/>
    <w:rsid w:val="006C3C0C"/>
    <w:rsid w:val="006C47BD"/>
    <w:rsid w:val="006C4C08"/>
    <w:rsid w:val="006C5A3A"/>
    <w:rsid w:val="006C5BC4"/>
    <w:rsid w:val="006C6152"/>
    <w:rsid w:val="006C647F"/>
    <w:rsid w:val="006C68C1"/>
    <w:rsid w:val="006C6CA6"/>
    <w:rsid w:val="006C7828"/>
    <w:rsid w:val="006C7C00"/>
    <w:rsid w:val="006D0903"/>
    <w:rsid w:val="006D1CC3"/>
    <w:rsid w:val="006D2397"/>
    <w:rsid w:val="006D2A43"/>
    <w:rsid w:val="006D30BE"/>
    <w:rsid w:val="006D3BAD"/>
    <w:rsid w:val="006D4550"/>
    <w:rsid w:val="006D4D1E"/>
    <w:rsid w:val="006D5087"/>
    <w:rsid w:val="006D640B"/>
    <w:rsid w:val="006D6C0B"/>
    <w:rsid w:val="006D6E12"/>
    <w:rsid w:val="006D6E95"/>
    <w:rsid w:val="006D7314"/>
    <w:rsid w:val="006D7551"/>
    <w:rsid w:val="006D7930"/>
    <w:rsid w:val="006E12E7"/>
    <w:rsid w:val="006E214A"/>
    <w:rsid w:val="006E3065"/>
    <w:rsid w:val="006E335B"/>
    <w:rsid w:val="006E3382"/>
    <w:rsid w:val="006E3F3B"/>
    <w:rsid w:val="006E5BEC"/>
    <w:rsid w:val="006E647A"/>
    <w:rsid w:val="006E75EE"/>
    <w:rsid w:val="006E7C60"/>
    <w:rsid w:val="006E7D09"/>
    <w:rsid w:val="006E7F0F"/>
    <w:rsid w:val="006F01EF"/>
    <w:rsid w:val="006F0B47"/>
    <w:rsid w:val="006F1051"/>
    <w:rsid w:val="006F105B"/>
    <w:rsid w:val="006F19C7"/>
    <w:rsid w:val="006F1DE8"/>
    <w:rsid w:val="006F1F5A"/>
    <w:rsid w:val="006F215A"/>
    <w:rsid w:val="006F2F27"/>
    <w:rsid w:val="006F3470"/>
    <w:rsid w:val="006F3689"/>
    <w:rsid w:val="006F4488"/>
    <w:rsid w:val="006F455A"/>
    <w:rsid w:val="006F48FF"/>
    <w:rsid w:val="006F4A24"/>
    <w:rsid w:val="006F4A39"/>
    <w:rsid w:val="006F4B76"/>
    <w:rsid w:val="006F4C22"/>
    <w:rsid w:val="006F5BD0"/>
    <w:rsid w:val="006F6273"/>
    <w:rsid w:val="006F7165"/>
    <w:rsid w:val="006F76A2"/>
    <w:rsid w:val="006F7DE1"/>
    <w:rsid w:val="00700184"/>
    <w:rsid w:val="007001DD"/>
    <w:rsid w:val="00700264"/>
    <w:rsid w:val="007006FC"/>
    <w:rsid w:val="00700CD6"/>
    <w:rsid w:val="007019F1"/>
    <w:rsid w:val="00701C9D"/>
    <w:rsid w:val="00701EE9"/>
    <w:rsid w:val="00702895"/>
    <w:rsid w:val="00702C30"/>
    <w:rsid w:val="0070398C"/>
    <w:rsid w:val="00706362"/>
    <w:rsid w:val="00706609"/>
    <w:rsid w:val="00707778"/>
    <w:rsid w:val="00707A90"/>
    <w:rsid w:val="0071020C"/>
    <w:rsid w:val="0071035F"/>
    <w:rsid w:val="007106E3"/>
    <w:rsid w:val="007109B3"/>
    <w:rsid w:val="007114B8"/>
    <w:rsid w:val="0071150A"/>
    <w:rsid w:val="00711E77"/>
    <w:rsid w:val="007125CE"/>
    <w:rsid w:val="00712EFE"/>
    <w:rsid w:val="00713306"/>
    <w:rsid w:val="00713C21"/>
    <w:rsid w:val="00715295"/>
    <w:rsid w:val="007155F9"/>
    <w:rsid w:val="00716314"/>
    <w:rsid w:val="0071637A"/>
    <w:rsid w:val="00717940"/>
    <w:rsid w:val="00717ACC"/>
    <w:rsid w:val="00717AE5"/>
    <w:rsid w:val="00720E07"/>
    <w:rsid w:val="00720FEA"/>
    <w:rsid w:val="00721238"/>
    <w:rsid w:val="00721EDA"/>
    <w:rsid w:val="0072218E"/>
    <w:rsid w:val="00722C91"/>
    <w:rsid w:val="00722EEF"/>
    <w:rsid w:val="007231E8"/>
    <w:rsid w:val="0072399C"/>
    <w:rsid w:val="0072440B"/>
    <w:rsid w:val="00724FBC"/>
    <w:rsid w:val="007265F5"/>
    <w:rsid w:val="00726611"/>
    <w:rsid w:val="007267DE"/>
    <w:rsid w:val="007268F9"/>
    <w:rsid w:val="00726C8D"/>
    <w:rsid w:val="00727F78"/>
    <w:rsid w:val="007300B3"/>
    <w:rsid w:val="007301AF"/>
    <w:rsid w:val="007305DC"/>
    <w:rsid w:val="007309D6"/>
    <w:rsid w:val="00730AC9"/>
    <w:rsid w:val="007310F5"/>
    <w:rsid w:val="0073190D"/>
    <w:rsid w:val="00731C1D"/>
    <w:rsid w:val="00732151"/>
    <w:rsid w:val="00732524"/>
    <w:rsid w:val="007326B7"/>
    <w:rsid w:val="00732D1E"/>
    <w:rsid w:val="00733204"/>
    <w:rsid w:val="00733605"/>
    <w:rsid w:val="00733C4A"/>
    <w:rsid w:val="007342B3"/>
    <w:rsid w:val="00734560"/>
    <w:rsid w:val="00736306"/>
    <w:rsid w:val="00736371"/>
    <w:rsid w:val="007364A6"/>
    <w:rsid w:val="007370A8"/>
    <w:rsid w:val="007373C7"/>
    <w:rsid w:val="00737AEB"/>
    <w:rsid w:val="00737C73"/>
    <w:rsid w:val="00737DDB"/>
    <w:rsid w:val="007403A0"/>
    <w:rsid w:val="007404A3"/>
    <w:rsid w:val="00740FC4"/>
    <w:rsid w:val="00741971"/>
    <w:rsid w:val="00741D73"/>
    <w:rsid w:val="007422FA"/>
    <w:rsid w:val="007425D3"/>
    <w:rsid w:val="00743B84"/>
    <w:rsid w:val="00743E09"/>
    <w:rsid w:val="00743F2B"/>
    <w:rsid w:val="00744B1B"/>
    <w:rsid w:val="00745157"/>
    <w:rsid w:val="0074557B"/>
    <w:rsid w:val="00745B65"/>
    <w:rsid w:val="00745C61"/>
    <w:rsid w:val="00746A82"/>
    <w:rsid w:val="00747224"/>
    <w:rsid w:val="00750672"/>
    <w:rsid w:val="007507C4"/>
    <w:rsid w:val="0075087E"/>
    <w:rsid w:val="00750F91"/>
    <w:rsid w:val="00751432"/>
    <w:rsid w:val="007515E1"/>
    <w:rsid w:val="00751749"/>
    <w:rsid w:val="007519BF"/>
    <w:rsid w:val="00751C68"/>
    <w:rsid w:val="00751EA1"/>
    <w:rsid w:val="00752074"/>
    <w:rsid w:val="00752648"/>
    <w:rsid w:val="00752D59"/>
    <w:rsid w:val="00752E8F"/>
    <w:rsid w:val="00752F6A"/>
    <w:rsid w:val="0075400C"/>
    <w:rsid w:val="00754239"/>
    <w:rsid w:val="007544B5"/>
    <w:rsid w:val="00754A4E"/>
    <w:rsid w:val="007550A2"/>
    <w:rsid w:val="00755A5C"/>
    <w:rsid w:val="00755BCD"/>
    <w:rsid w:val="00756097"/>
    <w:rsid w:val="007572B6"/>
    <w:rsid w:val="00757508"/>
    <w:rsid w:val="0075770E"/>
    <w:rsid w:val="0075790B"/>
    <w:rsid w:val="00757F31"/>
    <w:rsid w:val="0076038D"/>
    <w:rsid w:val="007605A4"/>
    <w:rsid w:val="0076073C"/>
    <w:rsid w:val="00760A05"/>
    <w:rsid w:val="00760C54"/>
    <w:rsid w:val="00761317"/>
    <w:rsid w:val="00761E0D"/>
    <w:rsid w:val="00761E1F"/>
    <w:rsid w:val="0076213A"/>
    <w:rsid w:val="00762289"/>
    <w:rsid w:val="00762F04"/>
    <w:rsid w:val="0076336E"/>
    <w:rsid w:val="00763398"/>
    <w:rsid w:val="00763C56"/>
    <w:rsid w:val="007642E9"/>
    <w:rsid w:val="007644F8"/>
    <w:rsid w:val="00764E6F"/>
    <w:rsid w:val="00764FB3"/>
    <w:rsid w:val="00765BDD"/>
    <w:rsid w:val="007666A2"/>
    <w:rsid w:val="007678D0"/>
    <w:rsid w:val="00767B84"/>
    <w:rsid w:val="00770077"/>
    <w:rsid w:val="00771351"/>
    <w:rsid w:val="00772A9C"/>
    <w:rsid w:val="00773423"/>
    <w:rsid w:val="00773707"/>
    <w:rsid w:val="00773D58"/>
    <w:rsid w:val="00774688"/>
    <w:rsid w:val="00774989"/>
    <w:rsid w:val="00774E23"/>
    <w:rsid w:val="00774EC5"/>
    <w:rsid w:val="0077536D"/>
    <w:rsid w:val="007755D1"/>
    <w:rsid w:val="007761C5"/>
    <w:rsid w:val="0077674B"/>
    <w:rsid w:val="00776941"/>
    <w:rsid w:val="00776D62"/>
    <w:rsid w:val="00776F7A"/>
    <w:rsid w:val="0078268F"/>
    <w:rsid w:val="00782693"/>
    <w:rsid w:val="007828CC"/>
    <w:rsid w:val="00782A87"/>
    <w:rsid w:val="00782CAD"/>
    <w:rsid w:val="00782FBD"/>
    <w:rsid w:val="0078333A"/>
    <w:rsid w:val="0078497C"/>
    <w:rsid w:val="00784A3E"/>
    <w:rsid w:val="00785A64"/>
    <w:rsid w:val="0078610E"/>
    <w:rsid w:val="0078613E"/>
    <w:rsid w:val="007864D1"/>
    <w:rsid w:val="0078683F"/>
    <w:rsid w:val="00786ED6"/>
    <w:rsid w:val="00787045"/>
    <w:rsid w:val="007870B0"/>
    <w:rsid w:val="007873D9"/>
    <w:rsid w:val="00787673"/>
    <w:rsid w:val="00787AC4"/>
    <w:rsid w:val="00790205"/>
    <w:rsid w:val="00790640"/>
    <w:rsid w:val="00790BCF"/>
    <w:rsid w:val="00790D44"/>
    <w:rsid w:val="00791892"/>
    <w:rsid w:val="00793DDC"/>
    <w:rsid w:val="00793DDE"/>
    <w:rsid w:val="00793FE0"/>
    <w:rsid w:val="00794580"/>
    <w:rsid w:val="00794EFC"/>
    <w:rsid w:val="0079511C"/>
    <w:rsid w:val="00795688"/>
    <w:rsid w:val="007956CA"/>
    <w:rsid w:val="00795B8C"/>
    <w:rsid w:val="00796131"/>
    <w:rsid w:val="00796591"/>
    <w:rsid w:val="007965AE"/>
    <w:rsid w:val="00796DC6"/>
    <w:rsid w:val="007976F6"/>
    <w:rsid w:val="00797A1B"/>
    <w:rsid w:val="00797A44"/>
    <w:rsid w:val="007A026E"/>
    <w:rsid w:val="007A07ED"/>
    <w:rsid w:val="007A10A9"/>
    <w:rsid w:val="007A11D8"/>
    <w:rsid w:val="007A1337"/>
    <w:rsid w:val="007A160A"/>
    <w:rsid w:val="007A207C"/>
    <w:rsid w:val="007A2773"/>
    <w:rsid w:val="007A2E9C"/>
    <w:rsid w:val="007A2F9F"/>
    <w:rsid w:val="007A33D3"/>
    <w:rsid w:val="007A3788"/>
    <w:rsid w:val="007A402D"/>
    <w:rsid w:val="007A40A9"/>
    <w:rsid w:val="007A4519"/>
    <w:rsid w:val="007A457C"/>
    <w:rsid w:val="007A4D05"/>
    <w:rsid w:val="007A4D0D"/>
    <w:rsid w:val="007A5230"/>
    <w:rsid w:val="007A6016"/>
    <w:rsid w:val="007A65B4"/>
    <w:rsid w:val="007A65E8"/>
    <w:rsid w:val="007A709E"/>
    <w:rsid w:val="007A77C2"/>
    <w:rsid w:val="007A7C30"/>
    <w:rsid w:val="007A7CF8"/>
    <w:rsid w:val="007B0074"/>
    <w:rsid w:val="007B00EF"/>
    <w:rsid w:val="007B0416"/>
    <w:rsid w:val="007B0887"/>
    <w:rsid w:val="007B0C9D"/>
    <w:rsid w:val="007B142B"/>
    <w:rsid w:val="007B198A"/>
    <w:rsid w:val="007B1B7B"/>
    <w:rsid w:val="007B1BCB"/>
    <w:rsid w:val="007B1C71"/>
    <w:rsid w:val="007B1CCE"/>
    <w:rsid w:val="007B2372"/>
    <w:rsid w:val="007B242F"/>
    <w:rsid w:val="007B2434"/>
    <w:rsid w:val="007B2795"/>
    <w:rsid w:val="007B2ADF"/>
    <w:rsid w:val="007B2CA9"/>
    <w:rsid w:val="007B31A5"/>
    <w:rsid w:val="007B3484"/>
    <w:rsid w:val="007B368B"/>
    <w:rsid w:val="007B37B7"/>
    <w:rsid w:val="007B4449"/>
    <w:rsid w:val="007B45E2"/>
    <w:rsid w:val="007B46A0"/>
    <w:rsid w:val="007B514D"/>
    <w:rsid w:val="007B585C"/>
    <w:rsid w:val="007B5D7C"/>
    <w:rsid w:val="007B639D"/>
    <w:rsid w:val="007B6D29"/>
    <w:rsid w:val="007B6D76"/>
    <w:rsid w:val="007B6F9E"/>
    <w:rsid w:val="007B7311"/>
    <w:rsid w:val="007B7AE6"/>
    <w:rsid w:val="007C0BB6"/>
    <w:rsid w:val="007C160E"/>
    <w:rsid w:val="007C1B24"/>
    <w:rsid w:val="007C2E7D"/>
    <w:rsid w:val="007C34F0"/>
    <w:rsid w:val="007C35D0"/>
    <w:rsid w:val="007C37F4"/>
    <w:rsid w:val="007C4734"/>
    <w:rsid w:val="007C47A2"/>
    <w:rsid w:val="007C4E49"/>
    <w:rsid w:val="007C52B0"/>
    <w:rsid w:val="007C5884"/>
    <w:rsid w:val="007C61CA"/>
    <w:rsid w:val="007C70E4"/>
    <w:rsid w:val="007C7981"/>
    <w:rsid w:val="007C79CC"/>
    <w:rsid w:val="007D0704"/>
    <w:rsid w:val="007D0DDF"/>
    <w:rsid w:val="007D1293"/>
    <w:rsid w:val="007D1D40"/>
    <w:rsid w:val="007D2B5B"/>
    <w:rsid w:val="007D3F43"/>
    <w:rsid w:val="007D4017"/>
    <w:rsid w:val="007D42A5"/>
    <w:rsid w:val="007D4556"/>
    <w:rsid w:val="007D49D2"/>
    <w:rsid w:val="007D4A2C"/>
    <w:rsid w:val="007D50C0"/>
    <w:rsid w:val="007D58D1"/>
    <w:rsid w:val="007D63EE"/>
    <w:rsid w:val="007D63FB"/>
    <w:rsid w:val="007D68F9"/>
    <w:rsid w:val="007D742A"/>
    <w:rsid w:val="007D780D"/>
    <w:rsid w:val="007D7C07"/>
    <w:rsid w:val="007E082A"/>
    <w:rsid w:val="007E1229"/>
    <w:rsid w:val="007E125F"/>
    <w:rsid w:val="007E1441"/>
    <w:rsid w:val="007E1712"/>
    <w:rsid w:val="007E1BF5"/>
    <w:rsid w:val="007E26D6"/>
    <w:rsid w:val="007E277A"/>
    <w:rsid w:val="007E298F"/>
    <w:rsid w:val="007E2E53"/>
    <w:rsid w:val="007E306F"/>
    <w:rsid w:val="007E3976"/>
    <w:rsid w:val="007E3AEE"/>
    <w:rsid w:val="007E45FB"/>
    <w:rsid w:val="007E4C8F"/>
    <w:rsid w:val="007E4C95"/>
    <w:rsid w:val="007E4E2F"/>
    <w:rsid w:val="007E53DF"/>
    <w:rsid w:val="007E5758"/>
    <w:rsid w:val="007E6950"/>
    <w:rsid w:val="007E769A"/>
    <w:rsid w:val="007E7A6B"/>
    <w:rsid w:val="007F000A"/>
    <w:rsid w:val="007F1689"/>
    <w:rsid w:val="007F16A9"/>
    <w:rsid w:val="007F1877"/>
    <w:rsid w:val="007F2622"/>
    <w:rsid w:val="007F337C"/>
    <w:rsid w:val="007F3709"/>
    <w:rsid w:val="007F4462"/>
    <w:rsid w:val="007F4AED"/>
    <w:rsid w:val="007F62DB"/>
    <w:rsid w:val="007F70AA"/>
    <w:rsid w:val="007F7558"/>
    <w:rsid w:val="007F7FC2"/>
    <w:rsid w:val="008001B4"/>
    <w:rsid w:val="008014CB"/>
    <w:rsid w:val="008017DE"/>
    <w:rsid w:val="0080180D"/>
    <w:rsid w:val="00801BFA"/>
    <w:rsid w:val="0080250D"/>
    <w:rsid w:val="00802857"/>
    <w:rsid w:val="00802945"/>
    <w:rsid w:val="00802C15"/>
    <w:rsid w:val="008035C8"/>
    <w:rsid w:val="008037C8"/>
    <w:rsid w:val="0080396E"/>
    <w:rsid w:val="0080484A"/>
    <w:rsid w:val="00804B90"/>
    <w:rsid w:val="00805593"/>
    <w:rsid w:val="008056FD"/>
    <w:rsid w:val="008059C2"/>
    <w:rsid w:val="00805FE3"/>
    <w:rsid w:val="00806BA5"/>
    <w:rsid w:val="00806BD6"/>
    <w:rsid w:val="00807BA6"/>
    <w:rsid w:val="00807DAE"/>
    <w:rsid w:val="00807E93"/>
    <w:rsid w:val="00811111"/>
    <w:rsid w:val="0081112A"/>
    <w:rsid w:val="00812240"/>
    <w:rsid w:val="00812280"/>
    <w:rsid w:val="00812B51"/>
    <w:rsid w:val="00812E4E"/>
    <w:rsid w:val="0081362B"/>
    <w:rsid w:val="0081370E"/>
    <w:rsid w:val="00814852"/>
    <w:rsid w:val="00814ED8"/>
    <w:rsid w:val="00815287"/>
    <w:rsid w:val="00815510"/>
    <w:rsid w:val="008157AF"/>
    <w:rsid w:val="008158F3"/>
    <w:rsid w:val="00815C76"/>
    <w:rsid w:val="0081610B"/>
    <w:rsid w:val="008164B4"/>
    <w:rsid w:val="008164CC"/>
    <w:rsid w:val="00816E1D"/>
    <w:rsid w:val="00817007"/>
    <w:rsid w:val="00817161"/>
    <w:rsid w:val="00817177"/>
    <w:rsid w:val="0081734D"/>
    <w:rsid w:val="00817541"/>
    <w:rsid w:val="00817E57"/>
    <w:rsid w:val="00820018"/>
    <w:rsid w:val="00820095"/>
    <w:rsid w:val="00820857"/>
    <w:rsid w:val="00820E31"/>
    <w:rsid w:val="00820FC7"/>
    <w:rsid w:val="008217EA"/>
    <w:rsid w:val="00822819"/>
    <w:rsid w:val="00822AF0"/>
    <w:rsid w:val="00822C1B"/>
    <w:rsid w:val="00822E6D"/>
    <w:rsid w:val="008230F0"/>
    <w:rsid w:val="00823109"/>
    <w:rsid w:val="00823237"/>
    <w:rsid w:val="00823B9D"/>
    <w:rsid w:val="00824A2E"/>
    <w:rsid w:val="00824F80"/>
    <w:rsid w:val="00825668"/>
    <w:rsid w:val="008258E6"/>
    <w:rsid w:val="008261C6"/>
    <w:rsid w:val="00826425"/>
    <w:rsid w:val="008269F8"/>
    <w:rsid w:val="00826C36"/>
    <w:rsid w:val="00826C81"/>
    <w:rsid w:val="00826D93"/>
    <w:rsid w:val="00827633"/>
    <w:rsid w:val="00827B06"/>
    <w:rsid w:val="00830E5E"/>
    <w:rsid w:val="00831334"/>
    <w:rsid w:val="0083171B"/>
    <w:rsid w:val="00831CB5"/>
    <w:rsid w:val="00832605"/>
    <w:rsid w:val="008328FA"/>
    <w:rsid w:val="00832EE5"/>
    <w:rsid w:val="00833460"/>
    <w:rsid w:val="00833CCB"/>
    <w:rsid w:val="00835E44"/>
    <w:rsid w:val="00836E6C"/>
    <w:rsid w:val="00837500"/>
    <w:rsid w:val="0084029C"/>
    <w:rsid w:val="00841ABF"/>
    <w:rsid w:val="00841EE8"/>
    <w:rsid w:val="00842067"/>
    <w:rsid w:val="00843946"/>
    <w:rsid w:val="00844183"/>
    <w:rsid w:val="00844990"/>
    <w:rsid w:val="00844CB2"/>
    <w:rsid w:val="00844FAF"/>
    <w:rsid w:val="00845AC5"/>
    <w:rsid w:val="008461F1"/>
    <w:rsid w:val="00846421"/>
    <w:rsid w:val="0084669A"/>
    <w:rsid w:val="00846E20"/>
    <w:rsid w:val="008472E7"/>
    <w:rsid w:val="008476D2"/>
    <w:rsid w:val="00847CCA"/>
    <w:rsid w:val="00847E81"/>
    <w:rsid w:val="00847FFA"/>
    <w:rsid w:val="008502ED"/>
    <w:rsid w:val="008503D3"/>
    <w:rsid w:val="00850690"/>
    <w:rsid w:val="00851100"/>
    <w:rsid w:val="0085123A"/>
    <w:rsid w:val="008522F1"/>
    <w:rsid w:val="0085240F"/>
    <w:rsid w:val="00852693"/>
    <w:rsid w:val="00853636"/>
    <w:rsid w:val="0085384B"/>
    <w:rsid w:val="0085400C"/>
    <w:rsid w:val="008543BD"/>
    <w:rsid w:val="0085472F"/>
    <w:rsid w:val="00854761"/>
    <w:rsid w:val="00854C66"/>
    <w:rsid w:val="00855163"/>
    <w:rsid w:val="008553E9"/>
    <w:rsid w:val="0085571C"/>
    <w:rsid w:val="008558B4"/>
    <w:rsid w:val="00855F7E"/>
    <w:rsid w:val="00856798"/>
    <w:rsid w:val="00856CDB"/>
    <w:rsid w:val="0085753E"/>
    <w:rsid w:val="008579F8"/>
    <w:rsid w:val="00857D89"/>
    <w:rsid w:val="00860DFD"/>
    <w:rsid w:val="00860E17"/>
    <w:rsid w:val="00861600"/>
    <w:rsid w:val="00861914"/>
    <w:rsid w:val="008625A8"/>
    <w:rsid w:val="00862786"/>
    <w:rsid w:val="0086314F"/>
    <w:rsid w:val="00864AFB"/>
    <w:rsid w:val="00864FAC"/>
    <w:rsid w:val="00866D5C"/>
    <w:rsid w:val="0086744D"/>
    <w:rsid w:val="00867B57"/>
    <w:rsid w:val="00867B6A"/>
    <w:rsid w:val="00867C6E"/>
    <w:rsid w:val="00870279"/>
    <w:rsid w:val="008702DA"/>
    <w:rsid w:val="00870A45"/>
    <w:rsid w:val="00870A4D"/>
    <w:rsid w:val="00870E37"/>
    <w:rsid w:val="008715E7"/>
    <w:rsid w:val="008716E8"/>
    <w:rsid w:val="0087202D"/>
    <w:rsid w:val="00872114"/>
    <w:rsid w:val="00872463"/>
    <w:rsid w:val="0087256B"/>
    <w:rsid w:val="008725E9"/>
    <w:rsid w:val="00872806"/>
    <w:rsid w:val="00872B16"/>
    <w:rsid w:val="00872E9D"/>
    <w:rsid w:val="008731D1"/>
    <w:rsid w:val="00873F3A"/>
    <w:rsid w:val="00873F69"/>
    <w:rsid w:val="008741F5"/>
    <w:rsid w:val="0087423A"/>
    <w:rsid w:val="0087536F"/>
    <w:rsid w:val="00875A83"/>
    <w:rsid w:val="008761BC"/>
    <w:rsid w:val="008764C6"/>
    <w:rsid w:val="00876756"/>
    <w:rsid w:val="00876D50"/>
    <w:rsid w:val="00877018"/>
    <w:rsid w:val="008771B6"/>
    <w:rsid w:val="00877DEC"/>
    <w:rsid w:val="0088080B"/>
    <w:rsid w:val="00880DD0"/>
    <w:rsid w:val="008813AD"/>
    <w:rsid w:val="00881980"/>
    <w:rsid w:val="0088286D"/>
    <w:rsid w:val="0088380B"/>
    <w:rsid w:val="0088381A"/>
    <w:rsid w:val="00884231"/>
    <w:rsid w:val="0088436D"/>
    <w:rsid w:val="008843AA"/>
    <w:rsid w:val="00884A03"/>
    <w:rsid w:val="00884AF0"/>
    <w:rsid w:val="00885D82"/>
    <w:rsid w:val="00886154"/>
    <w:rsid w:val="008872A1"/>
    <w:rsid w:val="00890C7C"/>
    <w:rsid w:val="00890F54"/>
    <w:rsid w:val="008914B0"/>
    <w:rsid w:val="008916B6"/>
    <w:rsid w:val="00891CC2"/>
    <w:rsid w:val="00891F91"/>
    <w:rsid w:val="00892D66"/>
    <w:rsid w:val="00892D83"/>
    <w:rsid w:val="00892E92"/>
    <w:rsid w:val="008935E5"/>
    <w:rsid w:val="008936C5"/>
    <w:rsid w:val="00893773"/>
    <w:rsid w:val="00893872"/>
    <w:rsid w:val="0089388F"/>
    <w:rsid w:val="00893B5B"/>
    <w:rsid w:val="00893DDC"/>
    <w:rsid w:val="008948D2"/>
    <w:rsid w:val="00894E76"/>
    <w:rsid w:val="00894F4E"/>
    <w:rsid w:val="00895FE9"/>
    <w:rsid w:val="00896024"/>
    <w:rsid w:val="008960E0"/>
    <w:rsid w:val="00896922"/>
    <w:rsid w:val="00896C9E"/>
    <w:rsid w:val="00896CDE"/>
    <w:rsid w:val="008973D3"/>
    <w:rsid w:val="00897973"/>
    <w:rsid w:val="00897D2C"/>
    <w:rsid w:val="00897F9A"/>
    <w:rsid w:val="008A03FD"/>
    <w:rsid w:val="008A1272"/>
    <w:rsid w:val="008A1310"/>
    <w:rsid w:val="008A1FD0"/>
    <w:rsid w:val="008A3D78"/>
    <w:rsid w:val="008A477D"/>
    <w:rsid w:val="008A4AA0"/>
    <w:rsid w:val="008A532C"/>
    <w:rsid w:val="008A5BD5"/>
    <w:rsid w:val="008A7087"/>
    <w:rsid w:val="008A70AA"/>
    <w:rsid w:val="008B039D"/>
    <w:rsid w:val="008B04A0"/>
    <w:rsid w:val="008B0649"/>
    <w:rsid w:val="008B0E71"/>
    <w:rsid w:val="008B1482"/>
    <w:rsid w:val="008B1AC1"/>
    <w:rsid w:val="008B1AD0"/>
    <w:rsid w:val="008B1AF2"/>
    <w:rsid w:val="008B1C9C"/>
    <w:rsid w:val="008B2141"/>
    <w:rsid w:val="008B256A"/>
    <w:rsid w:val="008B2D46"/>
    <w:rsid w:val="008B2EFC"/>
    <w:rsid w:val="008B3D1E"/>
    <w:rsid w:val="008B3E54"/>
    <w:rsid w:val="008B3F48"/>
    <w:rsid w:val="008B4249"/>
    <w:rsid w:val="008B60FF"/>
    <w:rsid w:val="008B620A"/>
    <w:rsid w:val="008B6364"/>
    <w:rsid w:val="008B6AC3"/>
    <w:rsid w:val="008B6CC8"/>
    <w:rsid w:val="008B6E16"/>
    <w:rsid w:val="008B720E"/>
    <w:rsid w:val="008B7342"/>
    <w:rsid w:val="008B7386"/>
    <w:rsid w:val="008B74B6"/>
    <w:rsid w:val="008B753C"/>
    <w:rsid w:val="008B756A"/>
    <w:rsid w:val="008B7D7D"/>
    <w:rsid w:val="008C0126"/>
    <w:rsid w:val="008C0687"/>
    <w:rsid w:val="008C07B6"/>
    <w:rsid w:val="008C0ACC"/>
    <w:rsid w:val="008C131C"/>
    <w:rsid w:val="008C1B18"/>
    <w:rsid w:val="008C25D3"/>
    <w:rsid w:val="008C3618"/>
    <w:rsid w:val="008C37F9"/>
    <w:rsid w:val="008C3A4F"/>
    <w:rsid w:val="008C4B9D"/>
    <w:rsid w:val="008C594B"/>
    <w:rsid w:val="008C5C82"/>
    <w:rsid w:val="008C64E0"/>
    <w:rsid w:val="008C68CC"/>
    <w:rsid w:val="008C776C"/>
    <w:rsid w:val="008C7B5F"/>
    <w:rsid w:val="008C7FC3"/>
    <w:rsid w:val="008D00E2"/>
    <w:rsid w:val="008D0450"/>
    <w:rsid w:val="008D131D"/>
    <w:rsid w:val="008D1713"/>
    <w:rsid w:val="008D1793"/>
    <w:rsid w:val="008D19F7"/>
    <w:rsid w:val="008D1DF8"/>
    <w:rsid w:val="008D2163"/>
    <w:rsid w:val="008D258A"/>
    <w:rsid w:val="008D33AA"/>
    <w:rsid w:val="008D3450"/>
    <w:rsid w:val="008D3730"/>
    <w:rsid w:val="008D3966"/>
    <w:rsid w:val="008D3F24"/>
    <w:rsid w:val="008D435E"/>
    <w:rsid w:val="008D438E"/>
    <w:rsid w:val="008D457C"/>
    <w:rsid w:val="008D4599"/>
    <w:rsid w:val="008D4619"/>
    <w:rsid w:val="008D467F"/>
    <w:rsid w:val="008D4BD7"/>
    <w:rsid w:val="008D4C69"/>
    <w:rsid w:val="008D4EAF"/>
    <w:rsid w:val="008D5108"/>
    <w:rsid w:val="008D51EE"/>
    <w:rsid w:val="008D53BC"/>
    <w:rsid w:val="008D5D66"/>
    <w:rsid w:val="008D5DF0"/>
    <w:rsid w:val="008D7EE9"/>
    <w:rsid w:val="008E040E"/>
    <w:rsid w:val="008E09C0"/>
    <w:rsid w:val="008E0E93"/>
    <w:rsid w:val="008E13E2"/>
    <w:rsid w:val="008E1725"/>
    <w:rsid w:val="008E2738"/>
    <w:rsid w:val="008E2792"/>
    <w:rsid w:val="008E2AC2"/>
    <w:rsid w:val="008E3BEC"/>
    <w:rsid w:val="008E3CB6"/>
    <w:rsid w:val="008E4325"/>
    <w:rsid w:val="008E465E"/>
    <w:rsid w:val="008E50B3"/>
    <w:rsid w:val="008E558B"/>
    <w:rsid w:val="008E5ACF"/>
    <w:rsid w:val="008E6907"/>
    <w:rsid w:val="008E6971"/>
    <w:rsid w:val="008E6B8C"/>
    <w:rsid w:val="008E6C68"/>
    <w:rsid w:val="008E76B1"/>
    <w:rsid w:val="008E7801"/>
    <w:rsid w:val="008F091D"/>
    <w:rsid w:val="008F0B83"/>
    <w:rsid w:val="008F108B"/>
    <w:rsid w:val="008F114A"/>
    <w:rsid w:val="008F122C"/>
    <w:rsid w:val="008F134D"/>
    <w:rsid w:val="008F2170"/>
    <w:rsid w:val="008F28D9"/>
    <w:rsid w:val="008F3149"/>
    <w:rsid w:val="008F3523"/>
    <w:rsid w:val="008F4663"/>
    <w:rsid w:val="008F47FE"/>
    <w:rsid w:val="008F4EA3"/>
    <w:rsid w:val="008F51D3"/>
    <w:rsid w:val="008F5712"/>
    <w:rsid w:val="008F5A3A"/>
    <w:rsid w:val="008F602E"/>
    <w:rsid w:val="008F6139"/>
    <w:rsid w:val="008F68F5"/>
    <w:rsid w:val="008F6979"/>
    <w:rsid w:val="008F7DD4"/>
    <w:rsid w:val="008F7E08"/>
    <w:rsid w:val="00900134"/>
    <w:rsid w:val="009004E6"/>
    <w:rsid w:val="00900CD4"/>
    <w:rsid w:val="00900EAE"/>
    <w:rsid w:val="00900F84"/>
    <w:rsid w:val="00901310"/>
    <w:rsid w:val="00901C72"/>
    <w:rsid w:val="00901DE1"/>
    <w:rsid w:val="0090276E"/>
    <w:rsid w:val="0090295B"/>
    <w:rsid w:val="00902E9D"/>
    <w:rsid w:val="00903080"/>
    <w:rsid w:val="0090336C"/>
    <w:rsid w:val="00903DFE"/>
    <w:rsid w:val="00904D24"/>
    <w:rsid w:val="00905990"/>
    <w:rsid w:val="00905CF8"/>
    <w:rsid w:val="00906066"/>
    <w:rsid w:val="009063B2"/>
    <w:rsid w:val="00906426"/>
    <w:rsid w:val="0090684C"/>
    <w:rsid w:val="009070DE"/>
    <w:rsid w:val="00907A72"/>
    <w:rsid w:val="00907EAA"/>
    <w:rsid w:val="00907FD9"/>
    <w:rsid w:val="00910590"/>
    <w:rsid w:val="009107AA"/>
    <w:rsid w:val="00910BE2"/>
    <w:rsid w:val="009110C2"/>
    <w:rsid w:val="00911C8F"/>
    <w:rsid w:val="0091205E"/>
    <w:rsid w:val="00912219"/>
    <w:rsid w:val="009122A4"/>
    <w:rsid w:val="00912828"/>
    <w:rsid w:val="009134B7"/>
    <w:rsid w:val="009138ED"/>
    <w:rsid w:val="00913A72"/>
    <w:rsid w:val="00914006"/>
    <w:rsid w:val="00914254"/>
    <w:rsid w:val="009142EA"/>
    <w:rsid w:val="009146E4"/>
    <w:rsid w:val="00914E66"/>
    <w:rsid w:val="00914F7D"/>
    <w:rsid w:val="0091559D"/>
    <w:rsid w:val="00915ACE"/>
    <w:rsid w:val="009173A2"/>
    <w:rsid w:val="0091763A"/>
    <w:rsid w:val="0091779E"/>
    <w:rsid w:val="00917986"/>
    <w:rsid w:val="00917A9F"/>
    <w:rsid w:val="00920245"/>
    <w:rsid w:val="009203BE"/>
    <w:rsid w:val="00920BB9"/>
    <w:rsid w:val="00920F0F"/>
    <w:rsid w:val="00921657"/>
    <w:rsid w:val="00921715"/>
    <w:rsid w:val="00921AA4"/>
    <w:rsid w:val="00922E70"/>
    <w:rsid w:val="00922FA5"/>
    <w:rsid w:val="00923400"/>
    <w:rsid w:val="00923A12"/>
    <w:rsid w:val="00924069"/>
    <w:rsid w:val="009246D0"/>
    <w:rsid w:val="00924D01"/>
    <w:rsid w:val="009250AB"/>
    <w:rsid w:val="00925130"/>
    <w:rsid w:val="0092546B"/>
    <w:rsid w:val="0092600C"/>
    <w:rsid w:val="00926B6D"/>
    <w:rsid w:val="00926DD8"/>
    <w:rsid w:val="0092771A"/>
    <w:rsid w:val="00927EC2"/>
    <w:rsid w:val="009300B8"/>
    <w:rsid w:val="00930CA8"/>
    <w:rsid w:val="00930E80"/>
    <w:rsid w:val="009310CF"/>
    <w:rsid w:val="00931710"/>
    <w:rsid w:val="00931A32"/>
    <w:rsid w:val="00931BC9"/>
    <w:rsid w:val="0093206A"/>
    <w:rsid w:val="0093217D"/>
    <w:rsid w:val="00932232"/>
    <w:rsid w:val="00932259"/>
    <w:rsid w:val="00932E9F"/>
    <w:rsid w:val="0093335F"/>
    <w:rsid w:val="00935804"/>
    <w:rsid w:val="00936061"/>
    <w:rsid w:val="00936615"/>
    <w:rsid w:val="00936BB7"/>
    <w:rsid w:val="00937DD6"/>
    <w:rsid w:val="00937FA9"/>
    <w:rsid w:val="00940373"/>
    <w:rsid w:val="009403D3"/>
    <w:rsid w:val="009404D8"/>
    <w:rsid w:val="0094050C"/>
    <w:rsid w:val="00940777"/>
    <w:rsid w:val="00940A32"/>
    <w:rsid w:val="00940CDF"/>
    <w:rsid w:val="00940F46"/>
    <w:rsid w:val="009411B4"/>
    <w:rsid w:val="009415E8"/>
    <w:rsid w:val="00941DDD"/>
    <w:rsid w:val="009425C0"/>
    <w:rsid w:val="0094296C"/>
    <w:rsid w:val="00942A81"/>
    <w:rsid w:val="00942E63"/>
    <w:rsid w:val="00942F7F"/>
    <w:rsid w:val="00943157"/>
    <w:rsid w:val="00943BEE"/>
    <w:rsid w:val="00943DD7"/>
    <w:rsid w:val="0094412B"/>
    <w:rsid w:val="00944554"/>
    <w:rsid w:val="0094486D"/>
    <w:rsid w:val="00944E7A"/>
    <w:rsid w:val="00945460"/>
    <w:rsid w:val="00945C11"/>
    <w:rsid w:val="00945F8D"/>
    <w:rsid w:val="0094601D"/>
    <w:rsid w:val="0094657F"/>
    <w:rsid w:val="009468AF"/>
    <w:rsid w:val="00946CCF"/>
    <w:rsid w:val="00946F1D"/>
    <w:rsid w:val="00947456"/>
    <w:rsid w:val="00947994"/>
    <w:rsid w:val="00947AFA"/>
    <w:rsid w:val="00947BF0"/>
    <w:rsid w:val="00947F99"/>
    <w:rsid w:val="0095011D"/>
    <w:rsid w:val="009502D1"/>
    <w:rsid w:val="0095095E"/>
    <w:rsid w:val="00950A25"/>
    <w:rsid w:val="00950A8F"/>
    <w:rsid w:val="00950AA1"/>
    <w:rsid w:val="0095135A"/>
    <w:rsid w:val="009513DE"/>
    <w:rsid w:val="00951440"/>
    <w:rsid w:val="00952364"/>
    <w:rsid w:val="009527B6"/>
    <w:rsid w:val="00952F5C"/>
    <w:rsid w:val="0095303D"/>
    <w:rsid w:val="00953270"/>
    <w:rsid w:val="009537B5"/>
    <w:rsid w:val="0095383E"/>
    <w:rsid w:val="00953B15"/>
    <w:rsid w:val="00953E70"/>
    <w:rsid w:val="00953E77"/>
    <w:rsid w:val="00954784"/>
    <w:rsid w:val="00955972"/>
    <w:rsid w:val="00956D4D"/>
    <w:rsid w:val="009570C5"/>
    <w:rsid w:val="0095729E"/>
    <w:rsid w:val="009572FB"/>
    <w:rsid w:val="00957539"/>
    <w:rsid w:val="00957676"/>
    <w:rsid w:val="009601D4"/>
    <w:rsid w:val="00960372"/>
    <w:rsid w:val="009605A3"/>
    <w:rsid w:val="00960616"/>
    <w:rsid w:val="00960AF1"/>
    <w:rsid w:val="00960B95"/>
    <w:rsid w:val="009619E2"/>
    <w:rsid w:val="00961B69"/>
    <w:rsid w:val="00961FD2"/>
    <w:rsid w:val="009625FF"/>
    <w:rsid w:val="009627AD"/>
    <w:rsid w:val="00962CEB"/>
    <w:rsid w:val="00963907"/>
    <w:rsid w:val="0096395C"/>
    <w:rsid w:val="009639D6"/>
    <w:rsid w:val="00963B70"/>
    <w:rsid w:val="00963FE2"/>
    <w:rsid w:val="00964106"/>
    <w:rsid w:val="00964D24"/>
    <w:rsid w:val="009651C4"/>
    <w:rsid w:val="009659F2"/>
    <w:rsid w:val="00965E2A"/>
    <w:rsid w:val="00966520"/>
    <w:rsid w:val="00966BA7"/>
    <w:rsid w:val="00966C07"/>
    <w:rsid w:val="00966CA9"/>
    <w:rsid w:val="0096755F"/>
    <w:rsid w:val="0096764D"/>
    <w:rsid w:val="00967A83"/>
    <w:rsid w:val="009716EF"/>
    <w:rsid w:val="00972053"/>
    <w:rsid w:val="0097220F"/>
    <w:rsid w:val="00972482"/>
    <w:rsid w:val="00972502"/>
    <w:rsid w:val="0097297C"/>
    <w:rsid w:val="00972B87"/>
    <w:rsid w:val="00973899"/>
    <w:rsid w:val="00973C38"/>
    <w:rsid w:val="009741E2"/>
    <w:rsid w:val="009742DD"/>
    <w:rsid w:val="00974CB4"/>
    <w:rsid w:val="0097551E"/>
    <w:rsid w:val="009758CC"/>
    <w:rsid w:val="00975950"/>
    <w:rsid w:val="009763F1"/>
    <w:rsid w:val="00976ECF"/>
    <w:rsid w:val="009779CA"/>
    <w:rsid w:val="00980345"/>
    <w:rsid w:val="0098076F"/>
    <w:rsid w:val="00980C53"/>
    <w:rsid w:val="00980E77"/>
    <w:rsid w:val="009812BB"/>
    <w:rsid w:val="00981408"/>
    <w:rsid w:val="00981689"/>
    <w:rsid w:val="009828FA"/>
    <w:rsid w:val="009829B1"/>
    <w:rsid w:val="00982CA8"/>
    <w:rsid w:val="00983F4D"/>
    <w:rsid w:val="009845D5"/>
    <w:rsid w:val="00984C89"/>
    <w:rsid w:val="00984E77"/>
    <w:rsid w:val="009850D1"/>
    <w:rsid w:val="0098649A"/>
    <w:rsid w:val="00986745"/>
    <w:rsid w:val="009867E3"/>
    <w:rsid w:val="00986C92"/>
    <w:rsid w:val="00986E86"/>
    <w:rsid w:val="0098782C"/>
    <w:rsid w:val="00987D2E"/>
    <w:rsid w:val="00987E37"/>
    <w:rsid w:val="00990196"/>
    <w:rsid w:val="00990674"/>
    <w:rsid w:val="00990746"/>
    <w:rsid w:val="009908C3"/>
    <w:rsid w:val="00990AD1"/>
    <w:rsid w:val="00990EC2"/>
    <w:rsid w:val="0099134F"/>
    <w:rsid w:val="00991485"/>
    <w:rsid w:val="009916E1"/>
    <w:rsid w:val="0099211B"/>
    <w:rsid w:val="009923AA"/>
    <w:rsid w:val="0099286D"/>
    <w:rsid w:val="00992A6F"/>
    <w:rsid w:val="00993335"/>
    <w:rsid w:val="00993394"/>
    <w:rsid w:val="009939A5"/>
    <w:rsid w:val="009939F8"/>
    <w:rsid w:val="00994909"/>
    <w:rsid w:val="0099495E"/>
    <w:rsid w:val="00995C8B"/>
    <w:rsid w:val="009963CF"/>
    <w:rsid w:val="00997803"/>
    <w:rsid w:val="00997D8D"/>
    <w:rsid w:val="009A060C"/>
    <w:rsid w:val="009A0625"/>
    <w:rsid w:val="009A0900"/>
    <w:rsid w:val="009A0A64"/>
    <w:rsid w:val="009A1363"/>
    <w:rsid w:val="009A1441"/>
    <w:rsid w:val="009A19EC"/>
    <w:rsid w:val="009A2231"/>
    <w:rsid w:val="009A2B8D"/>
    <w:rsid w:val="009A2E16"/>
    <w:rsid w:val="009A372B"/>
    <w:rsid w:val="009A38E3"/>
    <w:rsid w:val="009A4420"/>
    <w:rsid w:val="009A4879"/>
    <w:rsid w:val="009A4DCB"/>
    <w:rsid w:val="009A4EFA"/>
    <w:rsid w:val="009A5039"/>
    <w:rsid w:val="009A5261"/>
    <w:rsid w:val="009A5319"/>
    <w:rsid w:val="009A5417"/>
    <w:rsid w:val="009A5520"/>
    <w:rsid w:val="009A565D"/>
    <w:rsid w:val="009A617F"/>
    <w:rsid w:val="009A627E"/>
    <w:rsid w:val="009A62AF"/>
    <w:rsid w:val="009A6D8D"/>
    <w:rsid w:val="009A7227"/>
    <w:rsid w:val="009A78FB"/>
    <w:rsid w:val="009A795F"/>
    <w:rsid w:val="009A7F21"/>
    <w:rsid w:val="009B015D"/>
    <w:rsid w:val="009B036E"/>
    <w:rsid w:val="009B0866"/>
    <w:rsid w:val="009B08E5"/>
    <w:rsid w:val="009B0CA9"/>
    <w:rsid w:val="009B1370"/>
    <w:rsid w:val="009B1860"/>
    <w:rsid w:val="009B2B62"/>
    <w:rsid w:val="009B39F0"/>
    <w:rsid w:val="009B3B24"/>
    <w:rsid w:val="009B42C1"/>
    <w:rsid w:val="009B485F"/>
    <w:rsid w:val="009B4BB3"/>
    <w:rsid w:val="009B4D62"/>
    <w:rsid w:val="009B5230"/>
    <w:rsid w:val="009B566D"/>
    <w:rsid w:val="009B57DE"/>
    <w:rsid w:val="009B593B"/>
    <w:rsid w:val="009B5A63"/>
    <w:rsid w:val="009B5A65"/>
    <w:rsid w:val="009B705B"/>
    <w:rsid w:val="009B776B"/>
    <w:rsid w:val="009B7864"/>
    <w:rsid w:val="009C071D"/>
    <w:rsid w:val="009C09E1"/>
    <w:rsid w:val="009C0B12"/>
    <w:rsid w:val="009C1B70"/>
    <w:rsid w:val="009C2099"/>
    <w:rsid w:val="009C29CF"/>
    <w:rsid w:val="009C368B"/>
    <w:rsid w:val="009C3A0F"/>
    <w:rsid w:val="009C3AAE"/>
    <w:rsid w:val="009C3C57"/>
    <w:rsid w:val="009C3E56"/>
    <w:rsid w:val="009C418A"/>
    <w:rsid w:val="009C4456"/>
    <w:rsid w:val="009C53D8"/>
    <w:rsid w:val="009C5C4C"/>
    <w:rsid w:val="009C6095"/>
    <w:rsid w:val="009C62C9"/>
    <w:rsid w:val="009C63EE"/>
    <w:rsid w:val="009C6416"/>
    <w:rsid w:val="009C67B2"/>
    <w:rsid w:val="009D0139"/>
    <w:rsid w:val="009D06E0"/>
    <w:rsid w:val="009D1B43"/>
    <w:rsid w:val="009D1C34"/>
    <w:rsid w:val="009D1D7F"/>
    <w:rsid w:val="009D29EA"/>
    <w:rsid w:val="009D2DEE"/>
    <w:rsid w:val="009D3265"/>
    <w:rsid w:val="009D3648"/>
    <w:rsid w:val="009D3BB4"/>
    <w:rsid w:val="009D4E82"/>
    <w:rsid w:val="009D599F"/>
    <w:rsid w:val="009D67FB"/>
    <w:rsid w:val="009D68F7"/>
    <w:rsid w:val="009D6CDB"/>
    <w:rsid w:val="009D7304"/>
    <w:rsid w:val="009D7371"/>
    <w:rsid w:val="009D73C1"/>
    <w:rsid w:val="009D7891"/>
    <w:rsid w:val="009D7FAA"/>
    <w:rsid w:val="009E0565"/>
    <w:rsid w:val="009E1836"/>
    <w:rsid w:val="009E2055"/>
    <w:rsid w:val="009E2344"/>
    <w:rsid w:val="009E276D"/>
    <w:rsid w:val="009E3628"/>
    <w:rsid w:val="009E38B7"/>
    <w:rsid w:val="009E42CD"/>
    <w:rsid w:val="009E442A"/>
    <w:rsid w:val="009E45CF"/>
    <w:rsid w:val="009E4C65"/>
    <w:rsid w:val="009E4F66"/>
    <w:rsid w:val="009E50DC"/>
    <w:rsid w:val="009E62FF"/>
    <w:rsid w:val="009E6B96"/>
    <w:rsid w:val="009E7200"/>
    <w:rsid w:val="009F065C"/>
    <w:rsid w:val="009F0849"/>
    <w:rsid w:val="009F0A5B"/>
    <w:rsid w:val="009F129E"/>
    <w:rsid w:val="009F1FF2"/>
    <w:rsid w:val="009F2377"/>
    <w:rsid w:val="009F3363"/>
    <w:rsid w:val="009F35C9"/>
    <w:rsid w:val="009F390D"/>
    <w:rsid w:val="009F3CF5"/>
    <w:rsid w:val="009F3DC5"/>
    <w:rsid w:val="009F3FFC"/>
    <w:rsid w:val="009F42B4"/>
    <w:rsid w:val="009F4554"/>
    <w:rsid w:val="009F4650"/>
    <w:rsid w:val="009F4652"/>
    <w:rsid w:val="009F481A"/>
    <w:rsid w:val="009F4D6F"/>
    <w:rsid w:val="009F4E93"/>
    <w:rsid w:val="009F54AE"/>
    <w:rsid w:val="009F5CDC"/>
    <w:rsid w:val="009F61AD"/>
    <w:rsid w:val="009F6227"/>
    <w:rsid w:val="009F639A"/>
    <w:rsid w:val="009F678B"/>
    <w:rsid w:val="009F74D6"/>
    <w:rsid w:val="009F750D"/>
    <w:rsid w:val="009F7F2B"/>
    <w:rsid w:val="00A0046C"/>
    <w:rsid w:val="00A00F74"/>
    <w:rsid w:val="00A016CF"/>
    <w:rsid w:val="00A028CF"/>
    <w:rsid w:val="00A02ACB"/>
    <w:rsid w:val="00A032C2"/>
    <w:rsid w:val="00A03F2E"/>
    <w:rsid w:val="00A03FF7"/>
    <w:rsid w:val="00A043FD"/>
    <w:rsid w:val="00A04431"/>
    <w:rsid w:val="00A04933"/>
    <w:rsid w:val="00A04E75"/>
    <w:rsid w:val="00A04E8C"/>
    <w:rsid w:val="00A05B13"/>
    <w:rsid w:val="00A05CF1"/>
    <w:rsid w:val="00A071AB"/>
    <w:rsid w:val="00A07A9D"/>
    <w:rsid w:val="00A07D3D"/>
    <w:rsid w:val="00A10E9C"/>
    <w:rsid w:val="00A11A9E"/>
    <w:rsid w:val="00A11E52"/>
    <w:rsid w:val="00A12DC9"/>
    <w:rsid w:val="00A130D1"/>
    <w:rsid w:val="00A132D1"/>
    <w:rsid w:val="00A134A8"/>
    <w:rsid w:val="00A13E84"/>
    <w:rsid w:val="00A14340"/>
    <w:rsid w:val="00A143EF"/>
    <w:rsid w:val="00A14508"/>
    <w:rsid w:val="00A14592"/>
    <w:rsid w:val="00A14ABA"/>
    <w:rsid w:val="00A150AD"/>
    <w:rsid w:val="00A16991"/>
    <w:rsid w:val="00A17292"/>
    <w:rsid w:val="00A20479"/>
    <w:rsid w:val="00A2060F"/>
    <w:rsid w:val="00A20A6A"/>
    <w:rsid w:val="00A212B5"/>
    <w:rsid w:val="00A21A91"/>
    <w:rsid w:val="00A21AAA"/>
    <w:rsid w:val="00A22CE4"/>
    <w:rsid w:val="00A23203"/>
    <w:rsid w:val="00A23459"/>
    <w:rsid w:val="00A24CC1"/>
    <w:rsid w:val="00A24E20"/>
    <w:rsid w:val="00A250DE"/>
    <w:rsid w:val="00A252F6"/>
    <w:rsid w:val="00A254BC"/>
    <w:rsid w:val="00A25601"/>
    <w:rsid w:val="00A25F78"/>
    <w:rsid w:val="00A2635D"/>
    <w:rsid w:val="00A2670E"/>
    <w:rsid w:val="00A26AB9"/>
    <w:rsid w:val="00A26B73"/>
    <w:rsid w:val="00A270D5"/>
    <w:rsid w:val="00A27D3D"/>
    <w:rsid w:val="00A3030B"/>
    <w:rsid w:val="00A316B0"/>
    <w:rsid w:val="00A317EB"/>
    <w:rsid w:val="00A3196E"/>
    <w:rsid w:val="00A3250E"/>
    <w:rsid w:val="00A32996"/>
    <w:rsid w:val="00A33A3C"/>
    <w:rsid w:val="00A33CAA"/>
    <w:rsid w:val="00A33D86"/>
    <w:rsid w:val="00A34618"/>
    <w:rsid w:val="00A34C93"/>
    <w:rsid w:val="00A34FDC"/>
    <w:rsid w:val="00A3526A"/>
    <w:rsid w:val="00A36DB9"/>
    <w:rsid w:val="00A36EA0"/>
    <w:rsid w:val="00A40131"/>
    <w:rsid w:val="00A4034F"/>
    <w:rsid w:val="00A422C1"/>
    <w:rsid w:val="00A4230D"/>
    <w:rsid w:val="00A42364"/>
    <w:rsid w:val="00A43117"/>
    <w:rsid w:val="00A431DE"/>
    <w:rsid w:val="00A434AB"/>
    <w:rsid w:val="00A445BA"/>
    <w:rsid w:val="00A454B2"/>
    <w:rsid w:val="00A46BF6"/>
    <w:rsid w:val="00A46C5C"/>
    <w:rsid w:val="00A46C6A"/>
    <w:rsid w:val="00A46FB2"/>
    <w:rsid w:val="00A50C53"/>
    <w:rsid w:val="00A50D41"/>
    <w:rsid w:val="00A50E32"/>
    <w:rsid w:val="00A515B2"/>
    <w:rsid w:val="00A516B8"/>
    <w:rsid w:val="00A517AC"/>
    <w:rsid w:val="00A517D7"/>
    <w:rsid w:val="00A519A7"/>
    <w:rsid w:val="00A525E0"/>
    <w:rsid w:val="00A5265A"/>
    <w:rsid w:val="00A52B98"/>
    <w:rsid w:val="00A52D8A"/>
    <w:rsid w:val="00A531AB"/>
    <w:rsid w:val="00A537EB"/>
    <w:rsid w:val="00A53CEE"/>
    <w:rsid w:val="00A547A6"/>
    <w:rsid w:val="00A54A72"/>
    <w:rsid w:val="00A54A9C"/>
    <w:rsid w:val="00A54C2E"/>
    <w:rsid w:val="00A55A6E"/>
    <w:rsid w:val="00A55D8F"/>
    <w:rsid w:val="00A55EDE"/>
    <w:rsid w:val="00A56137"/>
    <w:rsid w:val="00A561A7"/>
    <w:rsid w:val="00A56275"/>
    <w:rsid w:val="00A563D5"/>
    <w:rsid w:val="00A5690A"/>
    <w:rsid w:val="00A57393"/>
    <w:rsid w:val="00A575D9"/>
    <w:rsid w:val="00A57E91"/>
    <w:rsid w:val="00A57EEC"/>
    <w:rsid w:val="00A57F6F"/>
    <w:rsid w:val="00A60598"/>
    <w:rsid w:val="00A605C8"/>
    <w:rsid w:val="00A60D07"/>
    <w:rsid w:val="00A61090"/>
    <w:rsid w:val="00A61222"/>
    <w:rsid w:val="00A6122C"/>
    <w:rsid w:val="00A61640"/>
    <w:rsid w:val="00A61B23"/>
    <w:rsid w:val="00A61C6C"/>
    <w:rsid w:val="00A620F6"/>
    <w:rsid w:val="00A62592"/>
    <w:rsid w:val="00A62F27"/>
    <w:rsid w:val="00A634CE"/>
    <w:rsid w:val="00A63F03"/>
    <w:rsid w:val="00A64389"/>
    <w:rsid w:val="00A644A5"/>
    <w:rsid w:val="00A64A8F"/>
    <w:rsid w:val="00A64ECE"/>
    <w:rsid w:val="00A657D9"/>
    <w:rsid w:val="00A65BBA"/>
    <w:rsid w:val="00A660FD"/>
    <w:rsid w:val="00A66EED"/>
    <w:rsid w:val="00A67097"/>
    <w:rsid w:val="00A67694"/>
    <w:rsid w:val="00A67AA6"/>
    <w:rsid w:val="00A701E4"/>
    <w:rsid w:val="00A70623"/>
    <w:rsid w:val="00A70C91"/>
    <w:rsid w:val="00A7159F"/>
    <w:rsid w:val="00A71848"/>
    <w:rsid w:val="00A71CAC"/>
    <w:rsid w:val="00A71CBD"/>
    <w:rsid w:val="00A71EAB"/>
    <w:rsid w:val="00A72333"/>
    <w:rsid w:val="00A7272E"/>
    <w:rsid w:val="00A72A1B"/>
    <w:rsid w:val="00A72C85"/>
    <w:rsid w:val="00A72D36"/>
    <w:rsid w:val="00A73098"/>
    <w:rsid w:val="00A733EA"/>
    <w:rsid w:val="00A73919"/>
    <w:rsid w:val="00A73DEA"/>
    <w:rsid w:val="00A741BE"/>
    <w:rsid w:val="00A750E2"/>
    <w:rsid w:val="00A75371"/>
    <w:rsid w:val="00A75B3A"/>
    <w:rsid w:val="00A77476"/>
    <w:rsid w:val="00A775CF"/>
    <w:rsid w:val="00A804F3"/>
    <w:rsid w:val="00A805E0"/>
    <w:rsid w:val="00A80756"/>
    <w:rsid w:val="00A80B65"/>
    <w:rsid w:val="00A80BF5"/>
    <w:rsid w:val="00A80C47"/>
    <w:rsid w:val="00A80DE8"/>
    <w:rsid w:val="00A81518"/>
    <w:rsid w:val="00A81575"/>
    <w:rsid w:val="00A81577"/>
    <w:rsid w:val="00A8166D"/>
    <w:rsid w:val="00A8185B"/>
    <w:rsid w:val="00A81D7B"/>
    <w:rsid w:val="00A825DB"/>
    <w:rsid w:val="00A82C7F"/>
    <w:rsid w:val="00A82D8F"/>
    <w:rsid w:val="00A8312E"/>
    <w:rsid w:val="00A83503"/>
    <w:rsid w:val="00A83C7E"/>
    <w:rsid w:val="00A84386"/>
    <w:rsid w:val="00A84B00"/>
    <w:rsid w:val="00A85B60"/>
    <w:rsid w:val="00A85F05"/>
    <w:rsid w:val="00A85FE7"/>
    <w:rsid w:val="00A86446"/>
    <w:rsid w:val="00A86DD0"/>
    <w:rsid w:val="00A86ED1"/>
    <w:rsid w:val="00A87E05"/>
    <w:rsid w:val="00A902A1"/>
    <w:rsid w:val="00A90F82"/>
    <w:rsid w:val="00A914F2"/>
    <w:rsid w:val="00A918E5"/>
    <w:rsid w:val="00A91923"/>
    <w:rsid w:val="00A91F42"/>
    <w:rsid w:val="00A92785"/>
    <w:rsid w:val="00A92B2C"/>
    <w:rsid w:val="00A93D94"/>
    <w:rsid w:val="00A942FD"/>
    <w:rsid w:val="00A944D6"/>
    <w:rsid w:val="00A95195"/>
    <w:rsid w:val="00A95483"/>
    <w:rsid w:val="00A9563E"/>
    <w:rsid w:val="00A95BC7"/>
    <w:rsid w:val="00A95C18"/>
    <w:rsid w:val="00A95D2A"/>
    <w:rsid w:val="00A95F27"/>
    <w:rsid w:val="00A96E5E"/>
    <w:rsid w:val="00AA055F"/>
    <w:rsid w:val="00AA05C7"/>
    <w:rsid w:val="00AA08BA"/>
    <w:rsid w:val="00AA17B6"/>
    <w:rsid w:val="00AA183E"/>
    <w:rsid w:val="00AA1B38"/>
    <w:rsid w:val="00AA2060"/>
    <w:rsid w:val="00AA26AC"/>
    <w:rsid w:val="00AA2929"/>
    <w:rsid w:val="00AA2D01"/>
    <w:rsid w:val="00AA37D1"/>
    <w:rsid w:val="00AA4464"/>
    <w:rsid w:val="00AA446F"/>
    <w:rsid w:val="00AA48CB"/>
    <w:rsid w:val="00AA4BB1"/>
    <w:rsid w:val="00AA506C"/>
    <w:rsid w:val="00AA5962"/>
    <w:rsid w:val="00AA5CA5"/>
    <w:rsid w:val="00AA5FAF"/>
    <w:rsid w:val="00AA625E"/>
    <w:rsid w:val="00AA63BD"/>
    <w:rsid w:val="00AA69AD"/>
    <w:rsid w:val="00AA7268"/>
    <w:rsid w:val="00AB07A1"/>
    <w:rsid w:val="00AB0C33"/>
    <w:rsid w:val="00AB2B18"/>
    <w:rsid w:val="00AB2CB7"/>
    <w:rsid w:val="00AB36BC"/>
    <w:rsid w:val="00AB3B56"/>
    <w:rsid w:val="00AB405A"/>
    <w:rsid w:val="00AB4130"/>
    <w:rsid w:val="00AB46A3"/>
    <w:rsid w:val="00AB48B7"/>
    <w:rsid w:val="00AB496C"/>
    <w:rsid w:val="00AB4FF5"/>
    <w:rsid w:val="00AB5463"/>
    <w:rsid w:val="00AB6388"/>
    <w:rsid w:val="00AB67D6"/>
    <w:rsid w:val="00AB7353"/>
    <w:rsid w:val="00AB7E36"/>
    <w:rsid w:val="00AC0424"/>
    <w:rsid w:val="00AC119A"/>
    <w:rsid w:val="00AC18F6"/>
    <w:rsid w:val="00AC1F3E"/>
    <w:rsid w:val="00AC26AB"/>
    <w:rsid w:val="00AC2E54"/>
    <w:rsid w:val="00AC30B5"/>
    <w:rsid w:val="00AC379D"/>
    <w:rsid w:val="00AC3A78"/>
    <w:rsid w:val="00AC3BA7"/>
    <w:rsid w:val="00AC4ED9"/>
    <w:rsid w:val="00AC60B5"/>
    <w:rsid w:val="00AC688A"/>
    <w:rsid w:val="00AC68E3"/>
    <w:rsid w:val="00AC69C1"/>
    <w:rsid w:val="00AC75DB"/>
    <w:rsid w:val="00AC7BA7"/>
    <w:rsid w:val="00AC7C29"/>
    <w:rsid w:val="00AD04E5"/>
    <w:rsid w:val="00AD05BF"/>
    <w:rsid w:val="00AD0EB8"/>
    <w:rsid w:val="00AD0F95"/>
    <w:rsid w:val="00AD1024"/>
    <w:rsid w:val="00AD1163"/>
    <w:rsid w:val="00AD16C5"/>
    <w:rsid w:val="00AD2F00"/>
    <w:rsid w:val="00AD2FD3"/>
    <w:rsid w:val="00AD3927"/>
    <w:rsid w:val="00AD394E"/>
    <w:rsid w:val="00AD4047"/>
    <w:rsid w:val="00AD45E0"/>
    <w:rsid w:val="00AD4639"/>
    <w:rsid w:val="00AD48F3"/>
    <w:rsid w:val="00AD48FA"/>
    <w:rsid w:val="00AD4937"/>
    <w:rsid w:val="00AD49E0"/>
    <w:rsid w:val="00AD4AC1"/>
    <w:rsid w:val="00AD5073"/>
    <w:rsid w:val="00AD54BD"/>
    <w:rsid w:val="00AD5732"/>
    <w:rsid w:val="00AD5C4F"/>
    <w:rsid w:val="00AD5D43"/>
    <w:rsid w:val="00AD6170"/>
    <w:rsid w:val="00AD7D96"/>
    <w:rsid w:val="00AE05F6"/>
    <w:rsid w:val="00AE06F8"/>
    <w:rsid w:val="00AE1080"/>
    <w:rsid w:val="00AE14C3"/>
    <w:rsid w:val="00AE14F8"/>
    <w:rsid w:val="00AE1C92"/>
    <w:rsid w:val="00AE1D76"/>
    <w:rsid w:val="00AE2A34"/>
    <w:rsid w:val="00AE322B"/>
    <w:rsid w:val="00AE3A01"/>
    <w:rsid w:val="00AE3F6A"/>
    <w:rsid w:val="00AE4CE0"/>
    <w:rsid w:val="00AE593D"/>
    <w:rsid w:val="00AE59BB"/>
    <w:rsid w:val="00AE65AF"/>
    <w:rsid w:val="00AE7880"/>
    <w:rsid w:val="00AF05B2"/>
    <w:rsid w:val="00AF0791"/>
    <w:rsid w:val="00AF09FE"/>
    <w:rsid w:val="00AF114A"/>
    <w:rsid w:val="00AF17CF"/>
    <w:rsid w:val="00AF1E0A"/>
    <w:rsid w:val="00AF2129"/>
    <w:rsid w:val="00AF3048"/>
    <w:rsid w:val="00AF35BD"/>
    <w:rsid w:val="00AF3632"/>
    <w:rsid w:val="00AF3EFA"/>
    <w:rsid w:val="00AF49A5"/>
    <w:rsid w:val="00AF4BFF"/>
    <w:rsid w:val="00AF5CED"/>
    <w:rsid w:val="00AF5DE4"/>
    <w:rsid w:val="00AF63A3"/>
    <w:rsid w:val="00AF6A23"/>
    <w:rsid w:val="00AF72AE"/>
    <w:rsid w:val="00AF7AC4"/>
    <w:rsid w:val="00AF7C0A"/>
    <w:rsid w:val="00B0178F"/>
    <w:rsid w:val="00B02D1C"/>
    <w:rsid w:val="00B03671"/>
    <w:rsid w:val="00B036B4"/>
    <w:rsid w:val="00B039E0"/>
    <w:rsid w:val="00B03FF8"/>
    <w:rsid w:val="00B04706"/>
    <w:rsid w:val="00B0473F"/>
    <w:rsid w:val="00B0505E"/>
    <w:rsid w:val="00B0533C"/>
    <w:rsid w:val="00B05548"/>
    <w:rsid w:val="00B05BB4"/>
    <w:rsid w:val="00B05FBE"/>
    <w:rsid w:val="00B05FF2"/>
    <w:rsid w:val="00B06045"/>
    <w:rsid w:val="00B060B7"/>
    <w:rsid w:val="00B06987"/>
    <w:rsid w:val="00B06DCC"/>
    <w:rsid w:val="00B07117"/>
    <w:rsid w:val="00B07C54"/>
    <w:rsid w:val="00B107E2"/>
    <w:rsid w:val="00B10EDB"/>
    <w:rsid w:val="00B11A5A"/>
    <w:rsid w:val="00B11C66"/>
    <w:rsid w:val="00B12138"/>
    <w:rsid w:val="00B1225F"/>
    <w:rsid w:val="00B126D0"/>
    <w:rsid w:val="00B12AF7"/>
    <w:rsid w:val="00B12B35"/>
    <w:rsid w:val="00B12C5E"/>
    <w:rsid w:val="00B14D6D"/>
    <w:rsid w:val="00B14F62"/>
    <w:rsid w:val="00B15804"/>
    <w:rsid w:val="00B162E6"/>
    <w:rsid w:val="00B16305"/>
    <w:rsid w:val="00B1630B"/>
    <w:rsid w:val="00B168CA"/>
    <w:rsid w:val="00B1696C"/>
    <w:rsid w:val="00B16BAE"/>
    <w:rsid w:val="00B16DE5"/>
    <w:rsid w:val="00B1754D"/>
    <w:rsid w:val="00B17B77"/>
    <w:rsid w:val="00B17DF0"/>
    <w:rsid w:val="00B20AA9"/>
    <w:rsid w:val="00B215AC"/>
    <w:rsid w:val="00B218D6"/>
    <w:rsid w:val="00B218DD"/>
    <w:rsid w:val="00B21BC3"/>
    <w:rsid w:val="00B22020"/>
    <w:rsid w:val="00B226FB"/>
    <w:rsid w:val="00B22A69"/>
    <w:rsid w:val="00B22B3B"/>
    <w:rsid w:val="00B236DA"/>
    <w:rsid w:val="00B238B6"/>
    <w:rsid w:val="00B23A32"/>
    <w:rsid w:val="00B23BB2"/>
    <w:rsid w:val="00B240D0"/>
    <w:rsid w:val="00B24609"/>
    <w:rsid w:val="00B24750"/>
    <w:rsid w:val="00B25993"/>
    <w:rsid w:val="00B25DB5"/>
    <w:rsid w:val="00B265DE"/>
    <w:rsid w:val="00B26C65"/>
    <w:rsid w:val="00B26D53"/>
    <w:rsid w:val="00B27038"/>
    <w:rsid w:val="00B275F5"/>
    <w:rsid w:val="00B2797A"/>
    <w:rsid w:val="00B30511"/>
    <w:rsid w:val="00B30DEB"/>
    <w:rsid w:val="00B31299"/>
    <w:rsid w:val="00B31514"/>
    <w:rsid w:val="00B31737"/>
    <w:rsid w:val="00B31763"/>
    <w:rsid w:val="00B31E50"/>
    <w:rsid w:val="00B32AF2"/>
    <w:rsid w:val="00B32CA8"/>
    <w:rsid w:val="00B32E98"/>
    <w:rsid w:val="00B33503"/>
    <w:rsid w:val="00B3405A"/>
    <w:rsid w:val="00B34501"/>
    <w:rsid w:val="00B346AD"/>
    <w:rsid w:val="00B346D9"/>
    <w:rsid w:val="00B34F65"/>
    <w:rsid w:val="00B3502C"/>
    <w:rsid w:val="00B35511"/>
    <w:rsid w:val="00B3572B"/>
    <w:rsid w:val="00B3579A"/>
    <w:rsid w:val="00B35CF0"/>
    <w:rsid w:val="00B35DB8"/>
    <w:rsid w:val="00B3604A"/>
    <w:rsid w:val="00B36336"/>
    <w:rsid w:val="00B3709D"/>
    <w:rsid w:val="00B37472"/>
    <w:rsid w:val="00B37712"/>
    <w:rsid w:val="00B37FE5"/>
    <w:rsid w:val="00B4041B"/>
    <w:rsid w:val="00B4060D"/>
    <w:rsid w:val="00B40B72"/>
    <w:rsid w:val="00B413C7"/>
    <w:rsid w:val="00B414CA"/>
    <w:rsid w:val="00B416A9"/>
    <w:rsid w:val="00B419FB"/>
    <w:rsid w:val="00B421EB"/>
    <w:rsid w:val="00B42533"/>
    <w:rsid w:val="00B42880"/>
    <w:rsid w:val="00B429EA"/>
    <w:rsid w:val="00B42A9E"/>
    <w:rsid w:val="00B43168"/>
    <w:rsid w:val="00B43212"/>
    <w:rsid w:val="00B433F9"/>
    <w:rsid w:val="00B43512"/>
    <w:rsid w:val="00B43678"/>
    <w:rsid w:val="00B439BA"/>
    <w:rsid w:val="00B443D5"/>
    <w:rsid w:val="00B447E4"/>
    <w:rsid w:val="00B44A03"/>
    <w:rsid w:val="00B45250"/>
    <w:rsid w:val="00B45889"/>
    <w:rsid w:val="00B45A1D"/>
    <w:rsid w:val="00B45EDC"/>
    <w:rsid w:val="00B4737E"/>
    <w:rsid w:val="00B4787D"/>
    <w:rsid w:val="00B47898"/>
    <w:rsid w:val="00B5060B"/>
    <w:rsid w:val="00B51248"/>
    <w:rsid w:val="00B51394"/>
    <w:rsid w:val="00B519F0"/>
    <w:rsid w:val="00B51A64"/>
    <w:rsid w:val="00B51AD8"/>
    <w:rsid w:val="00B52E89"/>
    <w:rsid w:val="00B52E8D"/>
    <w:rsid w:val="00B53B9F"/>
    <w:rsid w:val="00B53D1D"/>
    <w:rsid w:val="00B54F12"/>
    <w:rsid w:val="00B555A2"/>
    <w:rsid w:val="00B55691"/>
    <w:rsid w:val="00B55B11"/>
    <w:rsid w:val="00B55EC0"/>
    <w:rsid w:val="00B56856"/>
    <w:rsid w:val="00B568CF"/>
    <w:rsid w:val="00B573BB"/>
    <w:rsid w:val="00B57431"/>
    <w:rsid w:val="00B57535"/>
    <w:rsid w:val="00B57C36"/>
    <w:rsid w:val="00B57C99"/>
    <w:rsid w:val="00B57ED3"/>
    <w:rsid w:val="00B57F9C"/>
    <w:rsid w:val="00B60595"/>
    <w:rsid w:val="00B607B9"/>
    <w:rsid w:val="00B60E4B"/>
    <w:rsid w:val="00B6130A"/>
    <w:rsid w:val="00B616F9"/>
    <w:rsid w:val="00B61890"/>
    <w:rsid w:val="00B61ACC"/>
    <w:rsid w:val="00B61DC2"/>
    <w:rsid w:val="00B625EF"/>
    <w:rsid w:val="00B628F5"/>
    <w:rsid w:val="00B62A64"/>
    <w:rsid w:val="00B63899"/>
    <w:rsid w:val="00B64028"/>
    <w:rsid w:val="00B641EF"/>
    <w:rsid w:val="00B64943"/>
    <w:rsid w:val="00B65040"/>
    <w:rsid w:val="00B65D9A"/>
    <w:rsid w:val="00B662DF"/>
    <w:rsid w:val="00B667A8"/>
    <w:rsid w:val="00B670D3"/>
    <w:rsid w:val="00B67125"/>
    <w:rsid w:val="00B6716D"/>
    <w:rsid w:val="00B674B9"/>
    <w:rsid w:val="00B70066"/>
    <w:rsid w:val="00B700B1"/>
    <w:rsid w:val="00B7059D"/>
    <w:rsid w:val="00B70C35"/>
    <w:rsid w:val="00B70D36"/>
    <w:rsid w:val="00B70EFC"/>
    <w:rsid w:val="00B716DD"/>
    <w:rsid w:val="00B718ED"/>
    <w:rsid w:val="00B7194F"/>
    <w:rsid w:val="00B72298"/>
    <w:rsid w:val="00B7242C"/>
    <w:rsid w:val="00B725CC"/>
    <w:rsid w:val="00B72606"/>
    <w:rsid w:val="00B72679"/>
    <w:rsid w:val="00B728E9"/>
    <w:rsid w:val="00B72A1B"/>
    <w:rsid w:val="00B72ADA"/>
    <w:rsid w:val="00B72FD5"/>
    <w:rsid w:val="00B736D2"/>
    <w:rsid w:val="00B73AFA"/>
    <w:rsid w:val="00B73DF0"/>
    <w:rsid w:val="00B746DC"/>
    <w:rsid w:val="00B74E70"/>
    <w:rsid w:val="00B75069"/>
    <w:rsid w:val="00B754A1"/>
    <w:rsid w:val="00B75684"/>
    <w:rsid w:val="00B75861"/>
    <w:rsid w:val="00B75DCD"/>
    <w:rsid w:val="00B76040"/>
    <w:rsid w:val="00B76845"/>
    <w:rsid w:val="00B76CD1"/>
    <w:rsid w:val="00B7743A"/>
    <w:rsid w:val="00B7787D"/>
    <w:rsid w:val="00B77D06"/>
    <w:rsid w:val="00B805D2"/>
    <w:rsid w:val="00B809AC"/>
    <w:rsid w:val="00B80DE1"/>
    <w:rsid w:val="00B8182E"/>
    <w:rsid w:val="00B81C78"/>
    <w:rsid w:val="00B81D05"/>
    <w:rsid w:val="00B82FB4"/>
    <w:rsid w:val="00B83398"/>
    <w:rsid w:val="00B8360B"/>
    <w:rsid w:val="00B83664"/>
    <w:rsid w:val="00B83B41"/>
    <w:rsid w:val="00B83CC4"/>
    <w:rsid w:val="00B83D76"/>
    <w:rsid w:val="00B849FE"/>
    <w:rsid w:val="00B853DE"/>
    <w:rsid w:val="00B85A08"/>
    <w:rsid w:val="00B85F97"/>
    <w:rsid w:val="00B8642F"/>
    <w:rsid w:val="00B86536"/>
    <w:rsid w:val="00B87430"/>
    <w:rsid w:val="00B87AE4"/>
    <w:rsid w:val="00B87F78"/>
    <w:rsid w:val="00B90120"/>
    <w:rsid w:val="00B903E5"/>
    <w:rsid w:val="00B9099F"/>
    <w:rsid w:val="00B91D85"/>
    <w:rsid w:val="00B91ED5"/>
    <w:rsid w:val="00B92593"/>
    <w:rsid w:val="00B926EC"/>
    <w:rsid w:val="00B93082"/>
    <w:rsid w:val="00B93558"/>
    <w:rsid w:val="00B938CB"/>
    <w:rsid w:val="00B943AD"/>
    <w:rsid w:val="00B9519F"/>
    <w:rsid w:val="00B95840"/>
    <w:rsid w:val="00B96675"/>
    <w:rsid w:val="00B969FF"/>
    <w:rsid w:val="00B972AE"/>
    <w:rsid w:val="00B974A0"/>
    <w:rsid w:val="00B97FD3"/>
    <w:rsid w:val="00BA028F"/>
    <w:rsid w:val="00BA0911"/>
    <w:rsid w:val="00BA1843"/>
    <w:rsid w:val="00BA213F"/>
    <w:rsid w:val="00BA2916"/>
    <w:rsid w:val="00BA2934"/>
    <w:rsid w:val="00BA2BEE"/>
    <w:rsid w:val="00BA35EB"/>
    <w:rsid w:val="00BA3AAA"/>
    <w:rsid w:val="00BA42C5"/>
    <w:rsid w:val="00BA4634"/>
    <w:rsid w:val="00BA4667"/>
    <w:rsid w:val="00BA55B6"/>
    <w:rsid w:val="00BA5821"/>
    <w:rsid w:val="00BA5934"/>
    <w:rsid w:val="00BA6DA0"/>
    <w:rsid w:val="00BA6E42"/>
    <w:rsid w:val="00BA740C"/>
    <w:rsid w:val="00BA78BC"/>
    <w:rsid w:val="00BA7D4B"/>
    <w:rsid w:val="00BB08F9"/>
    <w:rsid w:val="00BB0AFD"/>
    <w:rsid w:val="00BB0D37"/>
    <w:rsid w:val="00BB1270"/>
    <w:rsid w:val="00BB1F81"/>
    <w:rsid w:val="00BB2341"/>
    <w:rsid w:val="00BB2BB7"/>
    <w:rsid w:val="00BB39B7"/>
    <w:rsid w:val="00BB3AF1"/>
    <w:rsid w:val="00BB3C0C"/>
    <w:rsid w:val="00BB438D"/>
    <w:rsid w:val="00BB455F"/>
    <w:rsid w:val="00BB4DDF"/>
    <w:rsid w:val="00BB4ECE"/>
    <w:rsid w:val="00BB55A9"/>
    <w:rsid w:val="00BB57E0"/>
    <w:rsid w:val="00BB5E65"/>
    <w:rsid w:val="00BB6241"/>
    <w:rsid w:val="00BB68BE"/>
    <w:rsid w:val="00BB6A9A"/>
    <w:rsid w:val="00BB6DB3"/>
    <w:rsid w:val="00BB70F2"/>
    <w:rsid w:val="00BC01E6"/>
    <w:rsid w:val="00BC04CA"/>
    <w:rsid w:val="00BC08B5"/>
    <w:rsid w:val="00BC1D03"/>
    <w:rsid w:val="00BC1F3E"/>
    <w:rsid w:val="00BC21AB"/>
    <w:rsid w:val="00BC23F2"/>
    <w:rsid w:val="00BC2844"/>
    <w:rsid w:val="00BC33E2"/>
    <w:rsid w:val="00BC3476"/>
    <w:rsid w:val="00BC34B4"/>
    <w:rsid w:val="00BC3616"/>
    <w:rsid w:val="00BC3C86"/>
    <w:rsid w:val="00BC3DCA"/>
    <w:rsid w:val="00BC3EDD"/>
    <w:rsid w:val="00BC4827"/>
    <w:rsid w:val="00BC4F3B"/>
    <w:rsid w:val="00BC580E"/>
    <w:rsid w:val="00BC6144"/>
    <w:rsid w:val="00BC6BB5"/>
    <w:rsid w:val="00BC7371"/>
    <w:rsid w:val="00BC73AF"/>
    <w:rsid w:val="00BC7E11"/>
    <w:rsid w:val="00BC7E25"/>
    <w:rsid w:val="00BD01DA"/>
    <w:rsid w:val="00BD044F"/>
    <w:rsid w:val="00BD0653"/>
    <w:rsid w:val="00BD1501"/>
    <w:rsid w:val="00BD240C"/>
    <w:rsid w:val="00BD29AD"/>
    <w:rsid w:val="00BD29D2"/>
    <w:rsid w:val="00BD2A29"/>
    <w:rsid w:val="00BD2DAB"/>
    <w:rsid w:val="00BD3641"/>
    <w:rsid w:val="00BD4631"/>
    <w:rsid w:val="00BD4F4E"/>
    <w:rsid w:val="00BD5131"/>
    <w:rsid w:val="00BD5357"/>
    <w:rsid w:val="00BD636E"/>
    <w:rsid w:val="00BD6AFB"/>
    <w:rsid w:val="00BD71AA"/>
    <w:rsid w:val="00BD7398"/>
    <w:rsid w:val="00BD7CD2"/>
    <w:rsid w:val="00BE03BE"/>
    <w:rsid w:val="00BE03F2"/>
    <w:rsid w:val="00BE0EED"/>
    <w:rsid w:val="00BE135C"/>
    <w:rsid w:val="00BE14EE"/>
    <w:rsid w:val="00BE1506"/>
    <w:rsid w:val="00BE174E"/>
    <w:rsid w:val="00BE1E49"/>
    <w:rsid w:val="00BE2091"/>
    <w:rsid w:val="00BE26B6"/>
    <w:rsid w:val="00BE2B81"/>
    <w:rsid w:val="00BE2E31"/>
    <w:rsid w:val="00BE2E4C"/>
    <w:rsid w:val="00BE398B"/>
    <w:rsid w:val="00BE3BC9"/>
    <w:rsid w:val="00BE4B15"/>
    <w:rsid w:val="00BE5562"/>
    <w:rsid w:val="00BE588D"/>
    <w:rsid w:val="00BE5D29"/>
    <w:rsid w:val="00BE5D93"/>
    <w:rsid w:val="00BE5DF7"/>
    <w:rsid w:val="00BE5F46"/>
    <w:rsid w:val="00BE66E3"/>
    <w:rsid w:val="00BE71A6"/>
    <w:rsid w:val="00BE7454"/>
    <w:rsid w:val="00BE7694"/>
    <w:rsid w:val="00BE7C6C"/>
    <w:rsid w:val="00BF03BC"/>
    <w:rsid w:val="00BF0475"/>
    <w:rsid w:val="00BF0A82"/>
    <w:rsid w:val="00BF326C"/>
    <w:rsid w:val="00BF376C"/>
    <w:rsid w:val="00BF3BB0"/>
    <w:rsid w:val="00BF431A"/>
    <w:rsid w:val="00BF4A8E"/>
    <w:rsid w:val="00BF5244"/>
    <w:rsid w:val="00BF5B1A"/>
    <w:rsid w:val="00BF622E"/>
    <w:rsid w:val="00BF68DA"/>
    <w:rsid w:val="00BF6D96"/>
    <w:rsid w:val="00BF6F9A"/>
    <w:rsid w:val="00C00841"/>
    <w:rsid w:val="00C00E0F"/>
    <w:rsid w:val="00C00FD7"/>
    <w:rsid w:val="00C01192"/>
    <w:rsid w:val="00C01D0A"/>
    <w:rsid w:val="00C02054"/>
    <w:rsid w:val="00C0220B"/>
    <w:rsid w:val="00C0310F"/>
    <w:rsid w:val="00C03214"/>
    <w:rsid w:val="00C033B1"/>
    <w:rsid w:val="00C0346B"/>
    <w:rsid w:val="00C035DB"/>
    <w:rsid w:val="00C03A87"/>
    <w:rsid w:val="00C0444D"/>
    <w:rsid w:val="00C0510E"/>
    <w:rsid w:val="00C052E4"/>
    <w:rsid w:val="00C05423"/>
    <w:rsid w:val="00C05893"/>
    <w:rsid w:val="00C05ED5"/>
    <w:rsid w:val="00C065F2"/>
    <w:rsid w:val="00C067CE"/>
    <w:rsid w:val="00C068D2"/>
    <w:rsid w:val="00C07747"/>
    <w:rsid w:val="00C07B95"/>
    <w:rsid w:val="00C1004C"/>
    <w:rsid w:val="00C10743"/>
    <w:rsid w:val="00C10754"/>
    <w:rsid w:val="00C109B5"/>
    <w:rsid w:val="00C10C3F"/>
    <w:rsid w:val="00C10EA8"/>
    <w:rsid w:val="00C116B1"/>
    <w:rsid w:val="00C12CDA"/>
    <w:rsid w:val="00C12F63"/>
    <w:rsid w:val="00C130B1"/>
    <w:rsid w:val="00C147A9"/>
    <w:rsid w:val="00C14A97"/>
    <w:rsid w:val="00C152D1"/>
    <w:rsid w:val="00C157B1"/>
    <w:rsid w:val="00C161F6"/>
    <w:rsid w:val="00C16910"/>
    <w:rsid w:val="00C16CD0"/>
    <w:rsid w:val="00C1704B"/>
    <w:rsid w:val="00C175C9"/>
    <w:rsid w:val="00C17666"/>
    <w:rsid w:val="00C17C0F"/>
    <w:rsid w:val="00C20416"/>
    <w:rsid w:val="00C206D6"/>
    <w:rsid w:val="00C20CA0"/>
    <w:rsid w:val="00C21B4F"/>
    <w:rsid w:val="00C229F0"/>
    <w:rsid w:val="00C22A21"/>
    <w:rsid w:val="00C23798"/>
    <w:rsid w:val="00C24992"/>
    <w:rsid w:val="00C24CD3"/>
    <w:rsid w:val="00C24E43"/>
    <w:rsid w:val="00C2560C"/>
    <w:rsid w:val="00C25A60"/>
    <w:rsid w:val="00C26497"/>
    <w:rsid w:val="00C26BC2"/>
    <w:rsid w:val="00C27119"/>
    <w:rsid w:val="00C2736D"/>
    <w:rsid w:val="00C2762D"/>
    <w:rsid w:val="00C27673"/>
    <w:rsid w:val="00C30277"/>
    <w:rsid w:val="00C303EA"/>
    <w:rsid w:val="00C304EA"/>
    <w:rsid w:val="00C306E8"/>
    <w:rsid w:val="00C30B4E"/>
    <w:rsid w:val="00C319CE"/>
    <w:rsid w:val="00C32042"/>
    <w:rsid w:val="00C32516"/>
    <w:rsid w:val="00C32E97"/>
    <w:rsid w:val="00C33535"/>
    <w:rsid w:val="00C33DF5"/>
    <w:rsid w:val="00C35383"/>
    <w:rsid w:val="00C3557E"/>
    <w:rsid w:val="00C35A27"/>
    <w:rsid w:val="00C35DDA"/>
    <w:rsid w:val="00C36AA9"/>
    <w:rsid w:val="00C37534"/>
    <w:rsid w:val="00C376D4"/>
    <w:rsid w:val="00C37FF9"/>
    <w:rsid w:val="00C400CA"/>
    <w:rsid w:val="00C40B75"/>
    <w:rsid w:val="00C40E7E"/>
    <w:rsid w:val="00C40E88"/>
    <w:rsid w:val="00C41253"/>
    <w:rsid w:val="00C413EB"/>
    <w:rsid w:val="00C4202F"/>
    <w:rsid w:val="00C42457"/>
    <w:rsid w:val="00C425AC"/>
    <w:rsid w:val="00C4286B"/>
    <w:rsid w:val="00C43008"/>
    <w:rsid w:val="00C435B1"/>
    <w:rsid w:val="00C43DC0"/>
    <w:rsid w:val="00C44373"/>
    <w:rsid w:val="00C443E1"/>
    <w:rsid w:val="00C4553E"/>
    <w:rsid w:val="00C45F63"/>
    <w:rsid w:val="00C46417"/>
    <w:rsid w:val="00C47024"/>
    <w:rsid w:val="00C47053"/>
    <w:rsid w:val="00C472C1"/>
    <w:rsid w:val="00C472E1"/>
    <w:rsid w:val="00C4749B"/>
    <w:rsid w:val="00C47C9A"/>
    <w:rsid w:val="00C50139"/>
    <w:rsid w:val="00C50BD5"/>
    <w:rsid w:val="00C50E82"/>
    <w:rsid w:val="00C51497"/>
    <w:rsid w:val="00C51573"/>
    <w:rsid w:val="00C51936"/>
    <w:rsid w:val="00C51BAD"/>
    <w:rsid w:val="00C51D18"/>
    <w:rsid w:val="00C52085"/>
    <w:rsid w:val="00C526FA"/>
    <w:rsid w:val="00C52D25"/>
    <w:rsid w:val="00C52FC3"/>
    <w:rsid w:val="00C532F3"/>
    <w:rsid w:val="00C53461"/>
    <w:rsid w:val="00C538E4"/>
    <w:rsid w:val="00C53919"/>
    <w:rsid w:val="00C53B41"/>
    <w:rsid w:val="00C53E3A"/>
    <w:rsid w:val="00C54D1C"/>
    <w:rsid w:val="00C54D65"/>
    <w:rsid w:val="00C552F4"/>
    <w:rsid w:val="00C55ED1"/>
    <w:rsid w:val="00C55F37"/>
    <w:rsid w:val="00C5609E"/>
    <w:rsid w:val="00C56319"/>
    <w:rsid w:val="00C563A8"/>
    <w:rsid w:val="00C56E15"/>
    <w:rsid w:val="00C57869"/>
    <w:rsid w:val="00C57EF1"/>
    <w:rsid w:val="00C60832"/>
    <w:rsid w:val="00C60C89"/>
    <w:rsid w:val="00C610B6"/>
    <w:rsid w:val="00C611B3"/>
    <w:rsid w:val="00C61988"/>
    <w:rsid w:val="00C61FA0"/>
    <w:rsid w:val="00C622B9"/>
    <w:rsid w:val="00C624C0"/>
    <w:rsid w:val="00C631A4"/>
    <w:rsid w:val="00C63276"/>
    <w:rsid w:val="00C6339A"/>
    <w:rsid w:val="00C633FD"/>
    <w:rsid w:val="00C636F6"/>
    <w:rsid w:val="00C63D7B"/>
    <w:rsid w:val="00C6461D"/>
    <w:rsid w:val="00C64D3E"/>
    <w:rsid w:val="00C6534A"/>
    <w:rsid w:val="00C65A75"/>
    <w:rsid w:val="00C65C4E"/>
    <w:rsid w:val="00C6614F"/>
    <w:rsid w:val="00C66CDF"/>
    <w:rsid w:val="00C67B6A"/>
    <w:rsid w:val="00C7035A"/>
    <w:rsid w:val="00C7063D"/>
    <w:rsid w:val="00C707C3"/>
    <w:rsid w:val="00C70887"/>
    <w:rsid w:val="00C708AD"/>
    <w:rsid w:val="00C712A5"/>
    <w:rsid w:val="00C71770"/>
    <w:rsid w:val="00C71AB7"/>
    <w:rsid w:val="00C71B43"/>
    <w:rsid w:val="00C71F5E"/>
    <w:rsid w:val="00C72697"/>
    <w:rsid w:val="00C728A3"/>
    <w:rsid w:val="00C735A9"/>
    <w:rsid w:val="00C743A4"/>
    <w:rsid w:val="00C74BE8"/>
    <w:rsid w:val="00C74E28"/>
    <w:rsid w:val="00C7555D"/>
    <w:rsid w:val="00C7559C"/>
    <w:rsid w:val="00C759BF"/>
    <w:rsid w:val="00C75B51"/>
    <w:rsid w:val="00C7695C"/>
    <w:rsid w:val="00C77109"/>
    <w:rsid w:val="00C771DF"/>
    <w:rsid w:val="00C77216"/>
    <w:rsid w:val="00C77B74"/>
    <w:rsid w:val="00C8006B"/>
    <w:rsid w:val="00C80666"/>
    <w:rsid w:val="00C80931"/>
    <w:rsid w:val="00C81443"/>
    <w:rsid w:val="00C815DD"/>
    <w:rsid w:val="00C81C6C"/>
    <w:rsid w:val="00C81CDB"/>
    <w:rsid w:val="00C81EB6"/>
    <w:rsid w:val="00C82052"/>
    <w:rsid w:val="00C82D47"/>
    <w:rsid w:val="00C82F7B"/>
    <w:rsid w:val="00C8331A"/>
    <w:rsid w:val="00C84277"/>
    <w:rsid w:val="00C84EFA"/>
    <w:rsid w:val="00C856FA"/>
    <w:rsid w:val="00C859DD"/>
    <w:rsid w:val="00C85B8D"/>
    <w:rsid w:val="00C85E24"/>
    <w:rsid w:val="00C8632D"/>
    <w:rsid w:val="00C86C4E"/>
    <w:rsid w:val="00C874EE"/>
    <w:rsid w:val="00C878BC"/>
    <w:rsid w:val="00C87A3C"/>
    <w:rsid w:val="00C87D68"/>
    <w:rsid w:val="00C87F09"/>
    <w:rsid w:val="00C904DF"/>
    <w:rsid w:val="00C90569"/>
    <w:rsid w:val="00C908D8"/>
    <w:rsid w:val="00C91931"/>
    <w:rsid w:val="00C91ABF"/>
    <w:rsid w:val="00C93305"/>
    <w:rsid w:val="00C93CB7"/>
    <w:rsid w:val="00C942A1"/>
    <w:rsid w:val="00C94F22"/>
    <w:rsid w:val="00C950E7"/>
    <w:rsid w:val="00C95165"/>
    <w:rsid w:val="00C95367"/>
    <w:rsid w:val="00C956A5"/>
    <w:rsid w:val="00C95BFC"/>
    <w:rsid w:val="00C95C54"/>
    <w:rsid w:val="00C96200"/>
    <w:rsid w:val="00C96BFB"/>
    <w:rsid w:val="00C9774C"/>
    <w:rsid w:val="00C97A00"/>
    <w:rsid w:val="00C97B24"/>
    <w:rsid w:val="00CA048B"/>
    <w:rsid w:val="00CA048C"/>
    <w:rsid w:val="00CA13DB"/>
    <w:rsid w:val="00CA254B"/>
    <w:rsid w:val="00CA307F"/>
    <w:rsid w:val="00CA3EBD"/>
    <w:rsid w:val="00CA408B"/>
    <w:rsid w:val="00CA4365"/>
    <w:rsid w:val="00CA441E"/>
    <w:rsid w:val="00CA448F"/>
    <w:rsid w:val="00CA4657"/>
    <w:rsid w:val="00CA485C"/>
    <w:rsid w:val="00CA4DDA"/>
    <w:rsid w:val="00CA51DB"/>
    <w:rsid w:val="00CA575A"/>
    <w:rsid w:val="00CA5830"/>
    <w:rsid w:val="00CA67E3"/>
    <w:rsid w:val="00CA6E30"/>
    <w:rsid w:val="00CA7067"/>
    <w:rsid w:val="00CA70C5"/>
    <w:rsid w:val="00CA70FF"/>
    <w:rsid w:val="00CA7165"/>
    <w:rsid w:val="00CA7357"/>
    <w:rsid w:val="00CA74BD"/>
    <w:rsid w:val="00CA7747"/>
    <w:rsid w:val="00CA7FED"/>
    <w:rsid w:val="00CB013A"/>
    <w:rsid w:val="00CB0DAE"/>
    <w:rsid w:val="00CB0E07"/>
    <w:rsid w:val="00CB0E31"/>
    <w:rsid w:val="00CB132B"/>
    <w:rsid w:val="00CB14CF"/>
    <w:rsid w:val="00CB18E6"/>
    <w:rsid w:val="00CB22F3"/>
    <w:rsid w:val="00CB2E47"/>
    <w:rsid w:val="00CB30C6"/>
    <w:rsid w:val="00CB39E7"/>
    <w:rsid w:val="00CB3E61"/>
    <w:rsid w:val="00CB3FD8"/>
    <w:rsid w:val="00CB4427"/>
    <w:rsid w:val="00CB45F3"/>
    <w:rsid w:val="00CB4C64"/>
    <w:rsid w:val="00CB5E63"/>
    <w:rsid w:val="00CB633D"/>
    <w:rsid w:val="00CB6537"/>
    <w:rsid w:val="00CB678E"/>
    <w:rsid w:val="00CB6E18"/>
    <w:rsid w:val="00CB6FBB"/>
    <w:rsid w:val="00CB753A"/>
    <w:rsid w:val="00CB7765"/>
    <w:rsid w:val="00CC00A9"/>
    <w:rsid w:val="00CC0203"/>
    <w:rsid w:val="00CC15D4"/>
    <w:rsid w:val="00CC1AFA"/>
    <w:rsid w:val="00CC1D54"/>
    <w:rsid w:val="00CC2125"/>
    <w:rsid w:val="00CC23B8"/>
    <w:rsid w:val="00CC2875"/>
    <w:rsid w:val="00CC3363"/>
    <w:rsid w:val="00CC45E1"/>
    <w:rsid w:val="00CC593C"/>
    <w:rsid w:val="00CC5FEB"/>
    <w:rsid w:val="00CC62FF"/>
    <w:rsid w:val="00CC63AE"/>
    <w:rsid w:val="00CC6565"/>
    <w:rsid w:val="00CC77CC"/>
    <w:rsid w:val="00CC78AD"/>
    <w:rsid w:val="00CD042D"/>
    <w:rsid w:val="00CD0F70"/>
    <w:rsid w:val="00CD18EC"/>
    <w:rsid w:val="00CD1F2A"/>
    <w:rsid w:val="00CD2269"/>
    <w:rsid w:val="00CD226F"/>
    <w:rsid w:val="00CD22D9"/>
    <w:rsid w:val="00CD266B"/>
    <w:rsid w:val="00CD2680"/>
    <w:rsid w:val="00CD2A8E"/>
    <w:rsid w:val="00CD2CB9"/>
    <w:rsid w:val="00CD2CFA"/>
    <w:rsid w:val="00CD362E"/>
    <w:rsid w:val="00CD4693"/>
    <w:rsid w:val="00CD4786"/>
    <w:rsid w:val="00CD484B"/>
    <w:rsid w:val="00CD5B09"/>
    <w:rsid w:val="00CD5EF6"/>
    <w:rsid w:val="00CD6283"/>
    <w:rsid w:val="00CD631C"/>
    <w:rsid w:val="00CD6AB3"/>
    <w:rsid w:val="00CD6E1D"/>
    <w:rsid w:val="00CD762B"/>
    <w:rsid w:val="00CD7820"/>
    <w:rsid w:val="00CD7F9F"/>
    <w:rsid w:val="00CE050C"/>
    <w:rsid w:val="00CE06A9"/>
    <w:rsid w:val="00CE119E"/>
    <w:rsid w:val="00CE12C0"/>
    <w:rsid w:val="00CE1353"/>
    <w:rsid w:val="00CE1E86"/>
    <w:rsid w:val="00CE2067"/>
    <w:rsid w:val="00CE23BF"/>
    <w:rsid w:val="00CE2A42"/>
    <w:rsid w:val="00CE2C0E"/>
    <w:rsid w:val="00CE2C85"/>
    <w:rsid w:val="00CE33FD"/>
    <w:rsid w:val="00CE3787"/>
    <w:rsid w:val="00CE39F2"/>
    <w:rsid w:val="00CE47BD"/>
    <w:rsid w:val="00CE48FE"/>
    <w:rsid w:val="00CE4A2C"/>
    <w:rsid w:val="00CE4AB9"/>
    <w:rsid w:val="00CE4CD8"/>
    <w:rsid w:val="00CE4E84"/>
    <w:rsid w:val="00CE50C3"/>
    <w:rsid w:val="00CE611F"/>
    <w:rsid w:val="00CE648A"/>
    <w:rsid w:val="00CE64C6"/>
    <w:rsid w:val="00CE650F"/>
    <w:rsid w:val="00CE65A6"/>
    <w:rsid w:val="00CE6C3E"/>
    <w:rsid w:val="00CE7DC7"/>
    <w:rsid w:val="00CF0E9C"/>
    <w:rsid w:val="00CF160C"/>
    <w:rsid w:val="00CF190E"/>
    <w:rsid w:val="00CF23BA"/>
    <w:rsid w:val="00CF31D7"/>
    <w:rsid w:val="00CF330A"/>
    <w:rsid w:val="00CF36CC"/>
    <w:rsid w:val="00CF3904"/>
    <w:rsid w:val="00CF3A3E"/>
    <w:rsid w:val="00CF42DD"/>
    <w:rsid w:val="00CF443F"/>
    <w:rsid w:val="00CF4661"/>
    <w:rsid w:val="00CF46F3"/>
    <w:rsid w:val="00CF4C7E"/>
    <w:rsid w:val="00CF53F1"/>
    <w:rsid w:val="00CF5C24"/>
    <w:rsid w:val="00CF6464"/>
    <w:rsid w:val="00CF653C"/>
    <w:rsid w:val="00CF67A4"/>
    <w:rsid w:val="00CF70D3"/>
    <w:rsid w:val="00CF76A1"/>
    <w:rsid w:val="00CF79E3"/>
    <w:rsid w:val="00CF7C88"/>
    <w:rsid w:val="00CF7CB3"/>
    <w:rsid w:val="00D008C7"/>
    <w:rsid w:val="00D00AA3"/>
    <w:rsid w:val="00D00BA3"/>
    <w:rsid w:val="00D00C6D"/>
    <w:rsid w:val="00D011B2"/>
    <w:rsid w:val="00D016DE"/>
    <w:rsid w:val="00D01F64"/>
    <w:rsid w:val="00D02002"/>
    <w:rsid w:val="00D0221D"/>
    <w:rsid w:val="00D02389"/>
    <w:rsid w:val="00D024ED"/>
    <w:rsid w:val="00D0260D"/>
    <w:rsid w:val="00D02D02"/>
    <w:rsid w:val="00D02E7B"/>
    <w:rsid w:val="00D032D0"/>
    <w:rsid w:val="00D032D2"/>
    <w:rsid w:val="00D05C0D"/>
    <w:rsid w:val="00D05D04"/>
    <w:rsid w:val="00D05FB9"/>
    <w:rsid w:val="00D06A51"/>
    <w:rsid w:val="00D06DFF"/>
    <w:rsid w:val="00D06FFE"/>
    <w:rsid w:val="00D1029F"/>
    <w:rsid w:val="00D10818"/>
    <w:rsid w:val="00D109B3"/>
    <w:rsid w:val="00D10B53"/>
    <w:rsid w:val="00D11CA8"/>
    <w:rsid w:val="00D11DCA"/>
    <w:rsid w:val="00D12565"/>
    <w:rsid w:val="00D127F0"/>
    <w:rsid w:val="00D1289D"/>
    <w:rsid w:val="00D12926"/>
    <w:rsid w:val="00D13E09"/>
    <w:rsid w:val="00D1427E"/>
    <w:rsid w:val="00D14549"/>
    <w:rsid w:val="00D14D19"/>
    <w:rsid w:val="00D14D80"/>
    <w:rsid w:val="00D14DBE"/>
    <w:rsid w:val="00D14FF3"/>
    <w:rsid w:val="00D155E4"/>
    <w:rsid w:val="00D156C9"/>
    <w:rsid w:val="00D15A51"/>
    <w:rsid w:val="00D1724E"/>
    <w:rsid w:val="00D1751A"/>
    <w:rsid w:val="00D17556"/>
    <w:rsid w:val="00D178B4"/>
    <w:rsid w:val="00D17BCC"/>
    <w:rsid w:val="00D17F02"/>
    <w:rsid w:val="00D20120"/>
    <w:rsid w:val="00D20278"/>
    <w:rsid w:val="00D20DD6"/>
    <w:rsid w:val="00D211E2"/>
    <w:rsid w:val="00D213DD"/>
    <w:rsid w:val="00D21662"/>
    <w:rsid w:val="00D222CE"/>
    <w:rsid w:val="00D222FC"/>
    <w:rsid w:val="00D22438"/>
    <w:rsid w:val="00D23068"/>
    <w:rsid w:val="00D23C95"/>
    <w:rsid w:val="00D23CEF"/>
    <w:rsid w:val="00D243A3"/>
    <w:rsid w:val="00D247BF"/>
    <w:rsid w:val="00D2519F"/>
    <w:rsid w:val="00D25B6D"/>
    <w:rsid w:val="00D2649C"/>
    <w:rsid w:val="00D26B76"/>
    <w:rsid w:val="00D26D6F"/>
    <w:rsid w:val="00D2717B"/>
    <w:rsid w:val="00D27414"/>
    <w:rsid w:val="00D305A5"/>
    <w:rsid w:val="00D3117F"/>
    <w:rsid w:val="00D31645"/>
    <w:rsid w:val="00D31867"/>
    <w:rsid w:val="00D31A3E"/>
    <w:rsid w:val="00D31C9A"/>
    <w:rsid w:val="00D31D97"/>
    <w:rsid w:val="00D320F6"/>
    <w:rsid w:val="00D3225B"/>
    <w:rsid w:val="00D32A53"/>
    <w:rsid w:val="00D331B3"/>
    <w:rsid w:val="00D335A7"/>
    <w:rsid w:val="00D33815"/>
    <w:rsid w:val="00D33DB5"/>
    <w:rsid w:val="00D33E9A"/>
    <w:rsid w:val="00D33FDB"/>
    <w:rsid w:val="00D34C0F"/>
    <w:rsid w:val="00D352E4"/>
    <w:rsid w:val="00D35B54"/>
    <w:rsid w:val="00D35C5C"/>
    <w:rsid w:val="00D361D3"/>
    <w:rsid w:val="00D36962"/>
    <w:rsid w:val="00D3766C"/>
    <w:rsid w:val="00D37833"/>
    <w:rsid w:val="00D40233"/>
    <w:rsid w:val="00D4053A"/>
    <w:rsid w:val="00D40540"/>
    <w:rsid w:val="00D414D7"/>
    <w:rsid w:val="00D4159B"/>
    <w:rsid w:val="00D418A4"/>
    <w:rsid w:val="00D41996"/>
    <w:rsid w:val="00D41E48"/>
    <w:rsid w:val="00D42047"/>
    <w:rsid w:val="00D4340C"/>
    <w:rsid w:val="00D437A4"/>
    <w:rsid w:val="00D43CEE"/>
    <w:rsid w:val="00D4497B"/>
    <w:rsid w:val="00D44CB3"/>
    <w:rsid w:val="00D44EA2"/>
    <w:rsid w:val="00D45036"/>
    <w:rsid w:val="00D4529C"/>
    <w:rsid w:val="00D45C0B"/>
    <w:rsid w:val="00D45C66"/>
    <w:rsid w:val="00D4600D"/>
    <w:rsid w:val="00D469AA"/>
    <w:rsid w:val="00D46DE3"/>
    <w:rsid w:val="00D47911"/>
    <w:rsid w:val="00D502C6"/>
    <w:rsid w:val="00D50BBC"/>
    <w:rsid w:val="00D50CAB"/>
    <w:rsid w:val="00D5148C"/>
    <w:rsid w:val="00D5159F"/>
    <w:rsid w:val="00D516A3"/>
    <w:rsid w:val="00D52068"/>
    <w:rsid w:val="00D52237"/>
    <w:rsid w:val="00D52AEF"/>
    <w:rsid w:val="00D52B7C"/>
    <w:rsid w:val="00D52BF5"/>
    <w:rsid w:val="00D53EAA"/>
    <w:rsid w:val="00D53F01"/>
    <w:rsid w:val="00D53F5F"/>
    <w:rsid w:val="00D54159"/>
    <w:rsid w:val="00D54B6B"/>
    <w:rsid w:val="00D559B7"/>
    <w:rsid w:val="00D56999"/>
    <w:rsid w:val="00D57234"/>
    <w:rsid w:val="00D5785F"/>
    <w:rsid w:val="00D57AF1"/>
    <w:rsid w:val="00D57B66"/>
    <w:rsid w:val="00D6028A"/>
    <w:rsid w:val="00D605D5"/>
    <w:rsid w:val="00D60E3C"/>
    <w:rsid w:val="00D60EA9"/>
    <w:rsid w:val="00D610D0"/>
    <w:rsid w:val="00D6116D"/>
    <w:rsid w:val="00D6167D"/>
    <w:rsid w:val="00D61A1D"/>
    <w:rsid w:val="00D61AAD"/>
    <w:rsid w:val="00D62B28"/>
    <w:rsid w:val="00D6379C"/>
    <w:rsid w:val="00D63F2F"/>
    <w:rsid w:val="00D64FA1"/>
    <w:rsid w:val="00D6536A"/>
    <w:rsid w:val="00D653B5"/>
    <w:rsid w:val="00D65564"/>
    <w:rsid w:val="00D65A85"/>
    <w:rsid w:val="00D6656C"/>
    <w:rsid w:val="00D6662B"/>
    <w:rsid w:val="00D66AEF"/>
    <w:rsid w:val="00D66CD9"/>
    <w:rsid w:val="00D70353"/>
    <w:rsid w:val="00D705F5"/>
    <w:rsid w:val="00D7097A"/>
    <w:rsid w:val="00D70AE4"/>
    <w:rsid w:val="00D70C4A"/>
    <w:rsid w:val="00D70F56"/>
    <w:rsid w:val="00D71B49"/>
    <w:rsid w:val="00D729B3"/>
    <w:rsid w:val="00D72C35"/>
    <w:rsid w:val="00D72DA3"/>
    <w:rsid w:val="00D731CE"/>
    <w:rsid w:val="00D73805"/>
    <w:rsid w:val="00D738BC"/>
    <w:rsid w:val="00D73A30"/>
    <w:rsid w:val="00D74229"/>
    <w:rsid w:val="00D7460C"/>
    <w:rsid w:val="00D74A5F"/>
    <w:rsid w:val="00D74E0C"/>
    <w:rsid w:val="00D75784"/>
    <w:rsid w:val="00D761EB"/>
    <w:rsid w:val="00D76C54"/>
    <w:rsid w:val="00D76EB3"/>
    <w:rsid w:val="00D77A37"/>
    <w:rsid w:val="00D77E14"/>
    <w:rsid w:val="00D77E21"/>
    <w:rsid w:val="00D800A9"/>
    <w:rsid w:val="00D804AD"/>
    <w:rsid w:val="00D80AB1"/>
    <w:rsid w:val="00D80E80"/>
    <w:rsid w:val="00D81171"/>
    <w:rsid w:val="00D81196"/>
    <w:rsid w:val="00D81B64"/>
    <w:rsid w:val="00D833BB"/>
    <w:rsid w:val="00D8366A"/>
    <w:rsid w:val="00D83C9D"/>
    <w:rsid w:val="00D83FB2"/>
    <w:rsid w:val="00D84098"/>
    <w:rsid w:val="00D84354"/>
    <w:rsid w:val="00D84402"/>
    <w:rsid w:val="00D847DD"/>
    <w:rsid w:val="00D849D4"/>
    <w:rsid w:val="00D84B7B"/>
    <w:rsid w:val="00D854B8"/>
    <w:rsid w:val="00D857A8"/>
    <w:rsid w:val="00D85A63"/>
    <w:rsid w:val="00D85B42"/>
    <w:rsid w:val="00D85BF7"/>
    <w:rsid w:val="00D85D46"/>
    <w:rsid w:val="00D86449"/>
    <w:rsid w:val="00D866C8"/>
    <w:rsid w:val="00D86D8E"/>
    <w:rsid w:val="00D870F2"/>
    <w:rsid w:val="00D872CF"/>
    <w:rsid w:val="00D873C3"/>
    <w:rsid w:val="00D8749C"/>
    <w:rsid w:val="00D8783A"/>
    <w:rsid w:val="00D90467"/>
    <w:rsid w:val="00D906EA"/>
    <w:rsid w:val="00D90B7B"/>
    <w:rsid w:val="00D90DA8"/>
    <w:rsid w:val="00D91037"/>
    <w:rsid w:val="00D910DC"/>
    <w:rsid w:val="00D91E75"/>
    <w:rsid w:val="00D9236F"/>
    <w:rsid w:val="00D923F7"/>
    <w:rsid w:val="00D92888"/>
    <w:rsid w:val="00D92A11"/>
    <w:rsid w:val="00D93331"/>
    <w:rsid w:val="00D93EBD"/>
    <w:rsid w:val="00D93F8E"/>
    <w:rsid w:val="00D9426D"/>
    <w:rsid w:val="00D947ED"/>
    <w:rsid w:val="00D948E8"/>
    <w:rsid w:val="00D94CA2"/>
    <w:rsid w:val="00D94FF6"/>
    <w:rsid w:val="00D9505A"/>
    <w:rsid w:val="00D9542D"/>
    <w:rsid w:val="00D965AC"/>
    <w:rsid w:val="00D97B03"/>
    <w:rsid w:val="00DA00B4"/>
    <w:rsid w:val="00DA0957"/>
    <w:rsid w:val="00DA09BB"/>
    <w:rsid w:val="00DA0F82"/>
    <w:rsid w:val="00DA17F3"/>
    <w:rsid w:val="00DA1A08"/>
    <w:rsid w:val="00DA1EC7"/>
    <w:rsid w:val="00DA26B9"/>
    <w:rsid w:val="00DA26D3"/>
    <w:rsid w:val="00DA273D"/>
    <w:rsid w:val="00DA324D"/>
    <w:rsid w:val="00DA411C"/>
    <w:rsid w:val="00DA4735"/>
    <w:rsid w:val="00DA4C51"/>
    <w:rsid w:val="00DA501C"/>
    <w:rsid w:val="00DA54E9"/>
    <w:rsid w:val="00DA55FF"/>
    <w:rsid w:val="00DA6485"/>
    <w:rsid w:val="00DA67B7"/>
    <w:rsid w:val="00DA6E42"/>
    <w:rsid w:val="00DA7460"/>
    <w:rsid w:val="00DB09B1"/>
    <w:rsid w:val="00DB0B95"/>
    <w:rsid w:val="00DB0F5F"/>
    <w:rsid w:val="00DB0FAE"/>
    <w:rsid w:val="00DB11C7"/>
    <w:rsid w:val="00DB149A"/>
    <w:rsid w:val="00DB1F55"/>
    <w:rsid w:val="00DB1FA4"/>
    <w:rsid w:val="00DB2542"/>
    <w:rsid w:val="00DB29C6"/>
    <w:rsid w:val="00DB4287"/>
    <w:rsid w:val="00DB4507"/>
    <w:rsid w:val="00DB4AF9"/>
    <w:rsid w:val="00DB4C95"/>
    <w:rsid w:val="00DB5ED4"/>
    <w:rsid w:val="00DB6825"/>
    <w:rsid w:val="00DC07E5"/>
    <w:rsid w:val="00DC1712"/>
    <w:rsid w:val="00DC196D"/>
    <w:rsid w:val="00DC19D5"/>
    <w:rsid w:val="00DC2390"/>
    <w:rsid w:val="00DC2A67"/>
    <w:rsid w:val="00DC3042"/>
    <w:rsid w:val="00DC36B0"/>
    <w:rsid w:val="00DC3753"/>
    <w:rsid w:val="00DC49C5"/>
    <w:rsid w:val="00DC4E73"/>
    <w:rsid w:val="00DC5748"/>
    <w:rsid w:val="00DC598D"/>
    <w:rsid w:val="00DC5EC2"/>
    <w:rsid w:val="00DC6F40"/>
    <w:rsid w:val="00DC7280"/>
    <w:rsid w:val="00DC7D16"/>
    <w:rsid w:val="00DC7D93"/>
    <w:rsid w:val="00DC7DF3"/>
    <w:rsid w:val="00DC7E9D"/>
    <w:rsid w:val="00DC7F8B"/>
    <w:rsid w:val="00DD0316"/>
    <w:rsid w:val="00DD0AC3"/>
    <w:rsid w:val="00DD0F91"/>
    <w:rsid w:val="00DD12C4"/>
    <w:rsid w:val="00DD14AC"/>
    <w:rsid w:val="00DD19F9"/>
    <w:rsid w:val="00DD2004"/>
    <w:rsid w:val="00DD21FE"/>
    <w:rsid w:val="00DD25DA"/>
    <w:rsid w:val="00DD2CCF"/>
    <w:rsid w:val="00DD2D1E"/>
    <w:rsid w:val="00DD3750"/>
    <w:rsid w:val="00DD3B4A"/>
    <w:rsid w:val="00DD498C"/>
    <w:rsid w:val="00DD51E3"/>
    <w:rsid w:val="00DD5FD0"/>
    <w:rsid w:val="00DD62EB"/>
    <w:rsid w:val="00DD70DA"/>
    <w:rsid w:val="00DD77D8"/>
    <w:rsid w:val="00DD792D"/>
    <w:rsid w:val="00DD7A93"/>
    <w:rsid w:val="00DD7D1F"/>
    <w:rsid w:val="00DE035A"/>
    <w:rsid w:val="00DE043C"/>
    <w:rsid w:val="00DE06F8"/>
    <w:rsid w:val="00DE0D88"/>
    <w:rsid w:val="00DE165F"/>
    <w:rsid w:val="00DE17E1"/>
    <w:rsid w:val="00DE1B67"/>
    <w:rsid w:val="00DE242F"/>
    <w:rsid w:val="00DE26BF"/>
    <w:rsid w:val="00DE2888"/>
    <w:rsid w:val="00DE31AE"/>
    <w:rsid w:val="00DE368C"/>
    <w:rsid w:val="00DE39AC"/>
    <w:rsid w:val="00DE3C4D"/>
    <w:rsid w:val="00DE521E"/>
    <w:rsid w:val="00DE5E5D"/>
    <w:rsid w:val="00DE5F40"/>
    <w:rsid w:val="00DE6BEA"/>
    <w:rsid w:val="00DE6EBB"/>
    <w:rsid w:val="00DE704C"/>
    <w:rsid w:val="00DE730B"/>
    <w:rsid w:val="00DE7395"/>
    <w:rsid w:val="00DE76B2"/>
    <w:rsid w:val="00DE78FE"/>
    <w:rsid w:val="00DE7AD0"/>
    <w:rsid w:val="00DE7B8B"/>
    <w:rsid w:val="00DE7CA6"/>
    <w:rsid w:val="00DE7DE3"/>
    <w:rsid w:val="00DF0268"/>
    <w:rsid w:val="00DF0306"/>
    <w:rsid w:val="00DF0AC9"/>
    <w:rsid w:val="00DF1CB3"/>
    <w:rsid w:val="00DF1D77"/>
    <w:rsid w:val="00DF20C5"/>
    <w:rsid w:val="00DF2FE6"/>
    <w:rsid w:val="00DF365A"/>
    <w:rsid w:val="00DF48E5"/>
    <w:rsid w:val="00DF4C9C"/>
    <w:rsid w:val="00DF4CD2"/>
    <w:rsid w:val="00DF5766"/>
    <w:rsid w:val="00DF5C41"/>
    <w:rsid w:val="00DF62A6"/>
    <w:rsid w:val="00DF66A3"/>
    <w:rsid w:val="00DF6AFD"/>
    <w:rsid w:val="00DF70E1"/>
    <w:rsid w:val="00DF7944"/>
    <w:rsid w:val="00DF7D79"/>
    <w:rsid w:val="00E00594"/>
    <w:rsid w:val="00E00D6C"/>
    <w:rsid w:val="00E0254F"/>
    <w:rsid w:val="00E02635"/>
    <w:rsid w:val="00E02C2B"/>
    <w:rsid w:val="00E02E5E"/>
    <w:rsid w:val="00E02EC1"/>
    <w:rsid w:val="00E03285"/>
    <w:rsid w:val="00E0389A"/>
    <w:rsid w:val="00E03AE8"/>
    <w:rsid w:val="00E03BB2"/>
    <w:rsid w:val="00E042D2"/>
    <w:rsid w:val="00E04674"/>
    <w:rsid w:val="00E04E84"/>
    <w:rsid w:val="00E05245"/>
    <w:rsid w:val="00E0550B"/>
    <w:rsid w:val="00E0556E"/>
    <w:rsid w:val="00E064CB"/>
    <w:rsid w:val="00E0685B"/>
    <w:rsid w:val="00E06C8B"/>
    <w:rsid w:val="00E06FAB"/>
    <w:rsid w:val="00E07803"/>
    <w:rsid w:val="00E10039"/>
    <w:rsid w:val="00E1089B"/>
    <w:rsid w:val="00E11559"/>
    <w:rsid w:val="00E115A6"/>
    <w:rsid w:val="00E118C4"/>
    <w:rsid w:val="00E11E9B"/>
    <w:rsid w:val="00E11FBA"/>
    <w:rsid w:val="00E12012"/>
    <w:rsid w:val="00E1203C"/>
    <w:rsid w:val="00E120DE"/>
    <w:rsid w:val="00E128BA"/>
    <w:rsid w:val="00E12FD4"/>
    <w:rsid w:val="00E13A9F"/>
    <w:rsid w:val="00E13CE4"/>
    <w:rsid w:val="00E13F2D"/>
    <w:rsid w:val="00E13FFE"/>
    <w:rsid w:val="00E14542"/>
    <w:rsid w:val="00E149DC"/>
    <w:rsid w:val="00E14BDE"/>
    <w:rsid w:val="00E14C2A"/>
    <w:rsid w:val="00E14EA9"/>
    <w:rsid w:val="00E15651"/>
    <w:rsid w:val="00E1600E"/>
    <w:rsid w:val="00E164CC"/>
    <w:rsid w:val="00E17369"/>
    <w:rsid w:val="00E1789B"/>
    <w:rsid w:val="00E178C8"/>
    <w:rsid w:val="00E20221"/>
    <w:rsid w:val="00E20908"/>
    <w:rsid w:val="00E20CCB"/>
    <w:rsid w:val="00E20EC5"/>
    <w:rsid w:val="00E21231"/>
    <w:rsid w:val="00E21651"/>
    <w:rsid w:val="00E21821"/>
    <w:rsid w:val="00E21E37"/>
    <w:rsid w:val="00E22670"/>
    <w:rsid w:val="00E22D91"/>
    <w:rsid w:val="00E23478"/>
    <w:rsid w:val="00E236E9"/>
    <w:rsid w:val="00E23856"/>
    <w:rsid w:val="00E2415B"/>
    <w:rsid w:val="00E25201"/>
    <w:rsid w:val="00E256E5"/>
    <w:rsid w:val="00E25BF1"/>
    <w:rsid w:val="00E2630C"/>
    <w:rsid w:val="00E26C6E"/>
    <w:rsid w:val="00E26E09"/>
    <w:rsid w:val="00E276A1"/>
    <w:rsid w:val="00E30777"/>
    <w:rsid w:val="00E30CBD"/>
    <w:rsid w:val="00E31A89"/>
    <w:rsid w:val="00E31E7C"/>
    <w:rsid w:val="00E32A1C"/>
    <w:rsid w:val="00E32D21"/>
    <w:rsid w:val="00E33107"/>
    <w:rsid w:val="00E331AF"/>
    <w:rsid w:val="00E3403E"/>
    <w:rsid w:val="00E34087"/>
    <w:rsid w:val="00E34550"/>
    <w:rsid w:val="00E349B9"/>
    <w:rsid w:val="00E34CE8"/>
    <w:rsid w:val="00E3526B"/>
    <w:rsid w:val="00E35A5D"/>
    <w:rsid w:val="00E35C1B"/>
    <w:rsid w:val="00E35F7D"/>
    <w:rsid w:val="00E360EC"/>
    <w:rsid w:val="00E36197"/>
    <w:rsid w:val="00E3668A"/>
    <w:rsid w:val="00E36784"/>
    <w:rsid w:val="00E3693D"/>
    <w:rsid w:val="00E369AB"/>
    <w:rsid w:val="00E36DA4"/>
    <w:rsid w:val="00E370B4"/>
    <w:rsid w:val="00E37B40"/>
    <w:rsid w:val="00E37F27"/>
    <w:rsid w:val="00E40341"/>
    <w:rsid w:val="00E406AC"/>
    <w:rsid w:val="00E406E3"/>
    <w:rsid w:val="00E412D7"/>
    <w:rsid w:val="00E4207B"/>
    <w:rsid w:val="00E4295D"/>
    <w:rsid w:val="00E43987"/>
    <w:rsid w:val="00E43A06"/>
    <w:rsid w:val="00E43A54"/>
    <w:rsid w:val="00E44A94"/>
    <w:rsid w:val="00E4534C"/>
    <w:rsid w:val="00E4580F"/>
    <w:rsid w:val="00E45C68"/>
    <w:rsid w:val="00E45CA2"/>
    <w:rsid w:val="00E46122"/>
    <w:rsid w:val="00E4633B"/>
    <w:rsid w:val="00E467D4"/>
    <w:rsid w:val="00E46AE6"/>
    <w:rsid w:val="00E46B05"/>
    <w:rsid w:val="00E476EA"/>
    <w:rsid w:val="00E47936"/>
    <w:rsid w:val="00E47BF8"/>
    <w:rsid w:val="00E50401"/>
    <w:rsid w:val="00E518EA"/>
    <w:rsid w:val="00E51C00"/>
    <w:rsid w:val="00E52A0E"/>
    <w:rsid w:val="00E52C38"/>
    <w:rsid w:val="00E53620"/>
    <w:rsid w:val="00E53A05"/>
    <w:rsid w:val="00E54711"/>
    <w:rsid w:val="00E5597E"/>
    <w:rsid w:val="00E56008"/>
    <w:rsid w:val="00E5606F"/>
    <w:rsid w:val="00E566CB"/>
    <w:rsid w:val="00E579FB"/>
    <w:rsid w:val="00E57D48"/>
    <w:rsid w:val="00E57F73"/>
    <w:rsid w:val="00E600FB"/>
    <w:rsid w:val="00E60119"/>
    <w:rsid w:val="00E60560"/>
    <w:rsid w:val="00E60DCC"/>
    <w:rsid w:val="00E61684"/>
    <w:rsid w:val="00E617E4"/>
    <w:rsid w:val="00E61810"/>
    <w:rsid w:val="00E61EC0"/>
    <w:rsid w:val="00E6213A"/>
    <w:rsid w:val="00E62BB6"/>
    <w:rsid w:val="00E62FAA"/>
    <w:rsid w:val="00E632D4"/>
    <w:rsid w:val="00E63812"/>
    <w:rsid w:val="00E63F5C"/>
    <w:rsid w:val="00E640D1"/>
    <w:rsid w:val="00E64BB9"/>
    <w:rsid w:val="00E64BCF"/>
    <w:rsid w:val="00E64F23"/>
    <w:rsid w:val="00E65636"/>
    <w:rsid w:val="00E65AFD"/>
    <w:rsid w:val="00E65CD5"/>
    <w:rsid w:val="00E65DD6"/>
    <w:rsid w:val="00E660AE"/>
    <w:rsid w:val="00E6619D"/>
    <w:rsid w:val="00E66428"/>
    <w:rsid w:val="00E66B05"/>
    <w:rsid w:val="00E67627"/>
    <w:rsid w:val="00E71C24"/>
    <w:rsid w:val="00E71F42"/>
    <w:rsid w:val="00E72291"/>
    <w:rsid w:val="00E724FC"/>
    <w:rsid w:val="00E727AE"/>
    <w:rsid w:val="00E73788"/>
    <w:rsid w:val="00E74131"/>
    <w:rsid w:val="00E74801"/>
    <w:rsid w:val="00E74E0C"/>
    <w:rsid w:val="00E75813"/>
    <w:rsid w:val="00E75C44"/>
    <w:rsid w:val="00E75E5F"/>
    <w:rsid w:val="00E76102"/>
    <w:rsid w:val="00E766C5"/>
    <w:rsid w:val="00E771F5"/>
    <w:rsid w:val="00E7773D"/>
    <w:rsid w:val="00E778BB"/>
    <w:rsid w:val="00E77A6A"/>
    <w:rsid w:val="00E77B78"/>
    <w:rsid w:val="00E77CDF"/>
    <w:rsid w:val="00E8085F"/>
    <w:rsid w:val="00E80D93"/>
    <w:rsid w:val="00E80F98"/>
    <w:rsid w:val="00E810BF"/>
    <w:rsid w:val="00E81B79"/>
    <w:rsid w:val="00E81CD9"/>
    <w:rsid w:val="00E81E3C"/>
    <w:rsid w:val="00E820E8"/>
    <w:rsid w:val="00E82257"/>
    <w:rsid w:val="00E826CF"/>
    <w:rsid w:val="00E83022"/>
    <w:rsid w:val="00E8307A"/>
    <w:rsid w:val="00E832B3"/>
    <w:rsid w:val="00E835B9"/>
    <w:rsid w:val="00E83C58"/>
    <w:rsid w:val="00E83D2C"/>
    <w:rsid w:val="00E844E4"/>
    <w:rsid w:val="00E8472D"/>
    <w:rsid w:val="00E85396"/>
    <w:rsid w:val="00E857F1"/>
    <w:rsid w:val="00E865F9"/>
    <w:rsid w:val="00E86818"/>
    <w:rsid w:val="00E86E1C"/>
    <w:rsid w:val="00E86FB5"/>
    <w:rsid w:val="00E8704E"/>
    <w:rsid w:val="00E873C9"/>
    <w:rsid w:val="00E87690"/>
    <w:rsid w:val="00E8783C"/>
    <w:rsid w:val="00E878FA"/>
    <w:rsid w:val="00E915E4"/>
    <w:rsid w:val="00E91665"/>
    <w:rsid w:val="00E919E1"/>
    <w:rsid w:val="00E92000"/>
    <w:rsid w:val="00E92592"/>
    <w:rsid w:val="00E92BAC"/>
    <w:rsid w:val="00E92DFF"/>
    <w:rsid w:val="00E92E04"/>
    <w:rsid w:val="00E92E8D"/>
    <w:rsid w:val="00E9362B"/>
    <w:rsid w:val="00E936F6"/>
    <w:rsid w:val="00E93BCC"/>
    <w:rsid w:val="00E93E63"/>
    <w:rsid w:val="00E946A7"/>
    <w:rsid w:val="00E95698"/>
    <w:rsid w:val="00E959CE"/>
    <w:rsid w:val="00E95BC4"/>
    <w:rsid w:val="00E96157"/>
    <w:rsid w:val="00E962FD"/>
    <w:rsid w:val="00E97578"/>
    <w:rsid w:val="00E977DE"/>
    <w:rsid w:val="00E97E53"/>
    <w:rsid w:val="00E97E98"/>
    <w:rsid w:val="00EA06BC"/>
    <w:rsid w:val="00EA0CDD"/>
    <w:rsid w:val="00EA0CE0"/>
    <w:rsid w:val="00EA0CE4"/>
    <w:rsid w:val="00EA0DBA"/>
    <w:rsid w:val="00EA19E5"/>
    <w:rsid w:val="00EA1C76"/>
    <w:rsid w:val="00EA25FF"/>
    <w:rsid w:val="00EA27B3"/>
    <w:rsid w:val="00EA2F07"/>
    <w:rsid w:val="00EA3CB1"/>
    <w:rsid w:val="00EA3D6E"/>
    <w:rsid w:val="00EA49E8"/>
    <w:rsid w:val="00EA4AA3"/>
    <w:rsid w:val="00EA4DB2"/>
    <w:rsid w:val="00EA4DBF"/>
    <w:rsid w:val="00EA4EB1"/>
    <w:rsid w:val="00EA5004"/>
    <w:rsid w:val="00EA553D"/>
    <w:rsid w:val="00EA5808"/>
    <w:rsid w:val="00EA5FBC"/>
    <w:rsid w:val="00EA69DB"/>
    <w:rsid w:val="00EA6D4B"/>
    <w:rsid w:val="00EA7153"/>
    <w:rsid w:val="00EA7319"/>
    <w:rsid w:val="00EA75A8"/>
    <w:rsid w:val="00EA796F"/>
    <w:rsid w:val="00EB01BA"/>
    <w:rsid w:val="00EB0D9B"/>
    <w:rsid w:val="00EB1CB7"/>
    <w:rsid w:val="00EB1F2D"/>
    <w:rsid w:val="00EB2756"/>
    <w:rsid w:val="00EB45C0"/>
    <w:rsid w:val="00EB4BC0"/>
    <w:rsid w:val="00EB4D7C"/>
    <w:rsid w:val="00EB5CDF"/>
    <w:rsid w:val="00EB6315"/>
    <w:rsid w:val="00EB65F5"/>
    <w:rsid w:val="00EB6711"/>
    <w:rsid w:val="00EB6D46"/>
    <w:rsid w:val="00EB7B5F"/>
    <w:rsid w:val="00EC008A"/>
    <w:rsid w:val="00EC10D5"/>
    <w:rsid w:val="00EC10EC"/>
    <w:rsid w:val="00EC11BD"/>
    <w:rsid w:val="00EC1768"/>
    <w:rsid w:val="00EC18BA"/>
    <w:rsid w:val="00EC1924"/>
    <w:rsid w:val="00EC2150"/>
    <w:rsid w:val="00EC2AD4"/>
    <w:rsid w:val="00EC30C3"/>
    <w:rsid w:val="00EC3258"/>
    <w:rsid w:val="00EC3CB8"/>
    <w:rsid w:val="00EC3CFE"/>
    <w:rsid w:val="00EC40CE"/>
    <w:rsid w:val="00EC5141"/>
    <w:rsid w:val="00EC552B"/>
    <w:rsid w:val="00EC5537"/>
    <w:rsid w:val="00EC607D"/>
    <w:rsid w:val="00EC615A"/>
    <w:rsid w:val="00EC6286"/>
    <w:rsid w:val="00EC6D02"/>
    <w:rsid w:val="00EC794F"/>
    <w:rsid w:val="00EC7F03"/>
    <w:rsid w:val="00ED0124"/>
    <w:rsid w:val="00ED01BE"/>
    <w:rsid w:val="00ED087C"/>
    <w:rsid w:val="00ED0887"/>
    <w:rsid w:val="00ED1DC7"/>
    <w:rsid w:val="00ED2291"/>
    <w:rsid w:val="00ED34AD"/>
    <w:rsid w:val="00ED350F"/>
    <w:rsid w:val="00ED3CC0"/>
    <w:rsid w:val="00ED4137"/>
    <w:rsid w:val="00ED4328"/>
    <w:rsid w:val="00ED44B7"/>
    <w:rsid w:val="00ED4A4B"/>
    <w:rsid w:val="00ED4D46"/>
    <w:rsid w:val="00ED4D7A"/>
    <w:rsid w:val="00ED579F"/>
    <w:rsid w:val="00ED58B7"/>
    <w:rsid w:val="00ED591E"/>
    <w:rsid w:val="00ED5E85"/>
    <w:rsid w:val="00ED6BE8"/>
    <w:rsid w:val="00ED6C48"/>
    <w:rsid w:val="00ED7308"/>
    <w:rsid w:val="00ED7459"/>
    <w:rsid w:val="00ED781B"/>
    <w:rsid w:val="00ED7B5C"/>
    <w:rsid w:val="00ED7B73"/>
    <w:rsid w:val="00EE06CF"/>
    <w:rsid w:val="00EE06E2"/>
    <w:rsid w:val="00EE07B0"/>
    <w:rsid w:val="00EE0DB5"/>
    <w:rsid w:val="00EE1906"/>
    <w:rsid w:val="00EE1957"/>
    <w:rsid w:val="00EE24D8"/>
    <w:rsid w:val="00EE2CD1"/>
    <w:rsid w:val="00EE3094"/>
    <w:rsid w:val="00EE331A"/>
    <w:rsid w:val="00EE39D7"/>
    <w:rsid w:val="00EE4E3A"/>
    <w:rsid w:val="00EE4E6F"/>
    <w:rsid w:val="00EE5288"/>
    <w:rsid w:val="00EE52DB"/>
    <w:rsid w:val="00EE5ADC"/>
    <w:rsid w:val="00EE5FD6"/>
    <w:rsid w:val="00EE636D"/>
    <w:rsid w:val="00EE6BD4"/>
    <w:rsid w:val="00EE7201"/>
    <w:rsid w:val="00EE7AF0"/>
    <w:rsid w:val="00EF07A3"/>
    <w:rsid w:val="00EF0C07"/>
    <w:rsid w:val="00EF0C36"/>
    <w:rsid w:val="00EF0F9F"/>
    <w:rsid w:val="00EF11F7"/>
    <w:rsid w:val="00EF1410"/>
    <w:rsid w:val="00EF1918"/>
    <w:rsid w:val="00EF1C3C"/>
    <w:rsid w:val="00EF2434"/>
    <w:rsid w:val="00EF2445"/>
    <w:rsid w:val="00EF2662"/>
    <w:rsid w:val="00EF282D"/>
    <w:rsid w:val="00EF315D"/>
    <w:rsid w:val="00EF33E5"/>
    <w:rsid w:val="00EF4282"/>
    <w:rsid w:val="00EF45AC"/>
    <w:rsid w:val="00EF4B11"/>
    <w:rsid w:val="00EF4BF0"/>
    <w:rsid w:val="00EF4D49"/>
    <w:rsid w:val="00EF5344"/>
    <w:rsid w:val="00EF6475"/>
    <w:rsid w:val="00EF72DE"/>
    <w:rsid w:val="00EF72E6"/>
    <w:rsid w:val="00EF74F5"/>
    <w:rsid w:val="00EF75C0"/>
    <w:rsid w:val="00EF77B4"/>
    <w:rsid w:val="00EF7AAA"/>
    <w:rsid w:val="00EF7ACA"/>
    <w:rsid w:val="00F0043F"/>
    <w:rsid w:val="00F00466"/>
    <w:rsid w:val="00F01381"/>
    <w:rsid w:val="00F01581"/>
    <w:rsid w:val="00F01B1F"/>
    <w:rsid w:val="00F04472"/>
    <w:rsid w:val="00F04A59"/>
    <w:rsid w:val="00F04DD1"/>
    <w:rsid w:val="00F04F3E"/>
    <w:rsid w:val="00F062FC"/>
    <w:rsid w:val="00F0693D"/>
    <w:rsid w:val="00F06DF2"/>
    <w:rsid w:val="00F0761C"/>
    <w:rsid w:val="00F07978"/>
    <w:rsid w:val="00F101D6"/>
    <w:rsid w:val="00F10519"/>
    <w:rsid w:val="00F10DFB"/>
    <w:rsid w:val="00F10FEC"/>
    <w:rsid w:val="00F111E3"/>
    <w:rsid w:val="00F113A7"/>
    <w:rsid w:val="00F11492"/>
    <w:rsid w:val="00F116B9"/>
    <w:rsid w:val="00F11898"/>
    <w:rsid w:val="00F11FF2"/>
    <w:rsid w:val="00F121FE"/>
    <w:rsid w:val="00F12609"/>
    <w:rsid w:val="00F1266A"/>
    <w:rsid w:val="00F1272D"/>
    <w:rsid w:val="00F1285D"/>
    <w:rsid w:val="00F12883"/>
    <w:rsid w:val="00F12A4F"/>
    <w:rsid w:val="00F13819"/>
    <w:rsid w:val="00F13A35"/>
    <w:rsid w:val="00F13E22"/>
    <w:rsid w:val="00F14500"/>
    <w:rsid w:val="00F156B1"/>
    <w:rsid w:val="00F15A45"/>
    <w:rsid w:val="00F165FD"/>
    <w:rsid w:val="00F1727A"/>
    <w:rsid w:val="00F20000"/>
    <w:rsid w:val="00F2026F"/>
    <w:rsid w:val="00F20465"/>
    <w:rsid w:val="00F20AC1"/>
    <w:rsid w:val="00F20C61"/>
    <w:rsid w:val="00F20E05"/>
    <w:rsid w:val="00F20FBA"/>
    <w:rsid w:val="00F21155"/>
    <w:rsid w:val="00F22B3D"/>
    <w:rsid w:val="00F22D99"/>
    <w:rsid w:val="00F22EC0"/>
    <w:rsid w:val="00F237F5"/>
    <w:rsid w:val="00F23C7A"/>
    <w:rsid w:val="00F23D44"/>
    <w:rsid w:val="00F23F24"/>
    <w:rsid w:val="00F24040"/>
    <w:rsid w:val="00F24120"/>
    <w:rsid w:val="00F24131"/>
    <w:rsid w:val="00F242B1"/>
    <w:rsid w:val="00F246E3"/>
    <w:rsid w:val="00F24EBD"/>
    <w:rsid w:val="00F250B9"/>
    <w:rsid w:val="00F25D44"/>
    <w:rsid w:val="00F25DF6"/>
    <w:rsid w:val="00F263F7"/>
    <w:rsid w:val="00F26476"/>
    <w:rsid w:val="00F26577"/>
    <w:rsid w:val="00F2691D"/>
    <w:rsid w:val="00F26C42"/>
    <w:rsid w:val="00F26E30"/>
    <w:rsid w:val="00F272E9"/>
    <w:rsid w:val="00F27521"/>
    <w:rsid w:val="00F302A3"/>
    <w:rsid w:val="00F307FA"/>
    <w:rsid w:val="00F3080D"/>
    <w:rsid w:val="00F30CDE"/>
    <w:rsid w:val="00F31B0E"/>
    <w:rsid w:val="00F31D7C"/>
    <w:rsid w:val="00F3257B"/>
    <w:rsid w:val="00F327A5"/>
    <w:rsid w:val="00F33E96"/>
    <w:rsid w:val="00F344D1"/>
    <w:rsid w:val="00F34AB7"/>
    <w:rsid w:val="00F34B45"/>
    <w:rsid w:val="00F35128"/>
    <w:rsid w:val="00F354A6"/>
    <w:rsid w:val="00F35737"/>
    <w:rsid w:val="00F362BD"/>
    <w:rsid w:val="00F36561"/>
    <w:rsid w:val="00F36F81"/>
    <w:rsid w:val="00F37311"/>
    <w:rsid w:val="00F3740C"/>
    <w:rsid w:val="00F37833"/>
    <w:rsid w:val="00F378EF"/>
    <w:rsid w:val="00F40497"/>
    <w:rsid w:val="00F407C7"/>
    <w:rsid w:val="00F40999"/>
    <w:rsid w:val="00F40CA5"/>
    <w:rsid w:val="00F40EAB"/>
    <w:rsid w:val="00F40EC7"/>
    <w:rsid w:val="00F41100"/>
    <w:rsid w:val="00F4126F"/>
    <w:rsid w:val="00F4180A"/>
    <w:rsid w:val="00F41F0F"/>
    <w:rsid w:val="00F42335"/>
    <w:rsid w:val="00F42B66"/>
    <w:rsid w:val="00F4370F"/>
    <w:rsid w:val="00F43A21"/>
    <w:rsid w:val="00F441D0"/>
    <w:rsid w:val="00F44BC7"/>
    <w:rsid w:val="00F4520D"/>
    <w:rsid w:val="00F454B9"/>
    <w:rsid w:val="00F45532"/>
    <w:rsid w:val="00F45571"/>
    <w:rsid w:val="00F45F3F"/>
    <w:rsid w:val="00F45FA9"/>
    <w:rsid w:val="00F46523"/>
    <w:rsid w:val="00F4783F"/>
    <w:rsid w:val="00F47E17"/>
    <w:rsid w:val="00F5002B"/>
    <w:rsid w:val="00F501EC"/>
    <w:rsid w:val="00F50222"/>
    <w:rsid w:val="00F50241"/>
    <w:rsid w:val="00F50914"/>
    <w:rsid w:val="00F50C59"/>
    <w:rsid w:val="00F511C6"/>
    <w:rsid w:val="00F51215"/>
    <w:rsid w:val="00F51D53"/>
    <w:rsid w:val="00F5208F"/>
    <w:rsid w:val="00F528EA"/>
    <w:rsid w:val="00F532FD"/>
    <w:rsid w:val="00F53883"/>
    <w:rsid w:val="00F53AE2"/>
    <w:rsid w:val="00F53D58"/>
    <w:rsid w:val="00F54062"/>
    <w:rsid w:val="00F549A5"/>
    <w:rsid w:val="00F54CE9"/>
    <w:rsid w:val="00F560EB"/>
    <w:rsid w:val="00F5610D"/>
    <w:rsid w:val="00F5632A"/>
    <w:rsid w:val="00F56405"/>
    <w:rsid w:val="00F56A03"/>
    <w:rsid w:val="00F576AF"/>
    <w:rsid w:val="00F57FD0"/>
    <w:rsid w:val="00F603EF"/>
    <w:rsid w:val="00F603F4"/>
    <w:rsid w:val="00F60C00"/>
    <w:rsid w:val="00F6131F"/>
    <w:rsid w:val="00F61546"/>
    <w:rsid w:val="00F6161D"/>
    <w:rsid w:val="00F61F8D"/>
    <w:rsid w:val="00F629C7"/>
    <w:rsid w:val="00F63C31"/>
    <w:rsid w:val="00F63E00"/>
    <w:rsid w:val="00F63F6D"/>
    <w:rsid w:val="00F64397"/>
    <w:rsid w:val="00F649A7"/>
    <w:rsid w:val="00F64FF7"/>
    <w:rsid w:val="00F65973"/>
    <w:rsid w:val="00F65F5D"/>
    <w:rsid w:val="00F663F7"/>
    <w:rsid w:val="00F66B77"/>
    <w:rsid w:val="00F66E04"/>
    <w:rsid w:val="00F66E0D"/>
    <w:rsid w:val="00F6753D"/>
    <w:rsid w:val="00F679FB"/>
    <w:rsid w:val="00F67D13"/>
    <w:rsid w:val="00F67E9F"/>
    <w:rsid w:val="00F7048E"/>
    <w:rsid w:val="00F71063"/>
    <w:rsid w:val="00F710E1"/>
    <w:rsid w:val="00F71680"/>
    <w:rsid w:val="00F718F8"/>
    <w:rsid w:val="00F71EBB"/>
    <w:rsid w:val="00F71F16"/>
    <w:rsid w:val="00F7218D"/>
    <w:rsid w:val="00F74DF9"/>
    <w:rsid w:val="00F74E0B"/>
    <w:rsid w:val="00F755CA"/>
    <w:rsid w:val="00F7581F"/>
    <w:rsid w:val="00F758A7"/>
    <w:rsid w:val="00F7636F"/>
    <w:rsid w:val="00F767EB"/>
    <w:rsid w:val="00F7681A"/>
    <w:rsid w:val="00F76C6A"/>
    <w:rsid w:val="00F773F8"/>
    <w:rsid w:val="00F8047D"/>
    <w:rsid w:val="00F806A4"/>
    <w:rsid w:val="00F81493"/>
    <w:rsid w:val="00F81AE0"/>
    <w:rsid w:val="00F82020"/>
    <w:rsid w:val="00F82349"/>
    <w:rsid w:val="00F82A6A"/>
    <w:rsid w:val="00F82C95"/>
    <w:rsid w:val="00F830C6"/>
    <w:rsid w:val="00F83234"/>
    <w:rsid w:val="00F83444"/>
    <w:rsid w:val="00F83BEB"/>
    <w:rsid w:val="00F83C7C"/>
    <w:rsid w:val="00F84443"/>
    <w:rsid w:val="00F84644"/>
    <w:rsid w:val="00F847BC"/>
    <w:rsid w:val="00F84858"/>
    <w:rsid w:val="00F84AF1"/>
    <w:rsid w:val="00F8512B"/>
    <w:rsid w:val="00F8550E"/>
    <w:rsid w:val="00F859FA"/>
    <w:rsid w:val="00F85D03"/>
    <w:rsid w:val="00F8632B"/>
    <w:rsid w:val="00F86A3A"/>
    <w:rsid w:val="00F86A4A"/>
    <w:rsid w:val="00F877F0"/>
    <w:rsid w:val="00F87ECC"/>
    <w:rsid w:val="00F900B1"/>
    <w:rsid w:val="00F90398"/>
    <w:rsid w:val="00F904FD"/>
    <w:rsid w:val="00F90554"/>
    <w:rsid w:val="00F9066C"/>
    <w:rsid w:val="00F907E8"/>
    <w:rsid w:val="00F90D3C"/>
    <w:rsid w:val="00F90E01"/>
    <w:rsid w:val="00F90FD0"/>
    <w:rsid w:val="00F91C5E"/>
    <w:rsid w:val="00F91DF4"/>
    <w:rsid w:val="00F9231B"/>
    <w:rsid w:val="00F936F5"/>
    <w:rsid w:val="00F938EC"/>
    <w:rsid w:val="00F939B5"/>
    <w:rsid w:val="00F93E5B"/>
    <w:rsid w:val="00F94370"/>
    <w:rsid w:val="00F94511"/>
    <w:rsid w:val="00F94C48"/>
    <w:rsid w:val="00F95725"/>
    <w:rsid w:val="00F95B7F"/>
    <w:rsid w:val="00F969AA"/>
    <w:rsid w:val="00F96EE5"/>
    <w:rsid w:val="00F970CB"/>
    <w:rsid w:val="00F970EA"/>
    <w:rsid w:val="00F9796B"/>
    <w:rsid w:val="00FA0E3E"/>
    <w:rsid w:val="00FA10C7"/>
    <w:rsid w:val="00FA14D2"/>
    <w:rsid w:val="00FA1842"/>
    <w:rsid w:val="00FA1B60"/>
    <w:rsid w:val="00FA2269"/>
    <w:rsid w:val="00FA30C3"/>
    <w:rsid w:val="00FA3706"/>
    <w:rsid w:val="00FA3EC8"/>
    <w:rsid w:val="00FA44F7"/>
    <w:rsid w:val="00FA4612"/>
    <w:rsid w:val="00FA4AD9"/>
    <w:rsid w:val="00FA4D53"/>
    <w:rsid w:val="00FA51D5"/>
    <w:rsid w:val="00FA5DFC"/>
    <w:rsid w:val="00FA6869"/>
    <w:rsid w:val="00FA7140"/>
    <w:rsid w:val="00FA7AF9"/>
    <w:rsid w:val="00FB0406"/>
    <w:rsid w:val="00FB051F"/>
    <w:rsid w:val="00FB0A18"/>
    <w:rsid w:val="00FB12FA"/>
    <w:rsid w:val="00FB148F"/>
    <w:rsid w:val="00FB186A"/>
    <w:rsid w:val="00FB18A6"/>
    <w:rsid w:val="00FB1938"/>
    <w:rsid w:val="00FB1BF2"/>
    <w:rsid w:val="00FB2613"/>
    <w:rsid w:val="00FB291F"/>
    <w:rsid w:val="00FB2D24"/>
    <w:rsid w:val="00FB3751"/>
    <w:rsid w:val="00FB37AD"/>
    <w:rsid w:val="00FB4C8C"/>
    <w:rsid w:val="00FB4EEC"/>
    <w:rsid w:val="00FB513F"/>
    <w:rsid w:val="00FB5E9E"/>
    <w:rsid w:val="00FB5FE5"/>
    <w:rsid w:val="00FB61A8"/>
    <w:rsid w:val="00FB64AB"/>
    <w:rsid w:val="00FB6738"/>
    <w:rsid w:val="00FB69B6"/>
    <w:rsid w:val="00FB6B9A"/>
    <w:rsid w:val="00FB74E2"/>
    <w:rsid w:val="00FB7C0A"/>
    <w:rsid w:val="00FC0341"/>
    <w:rsid w:val="00FC14C0"/>
    <w:rsid w:val="00FC1F57"/>
    <w:rsid w:val="00FC2064"/>
    <w:rsid w:val="00FC221F"/>
    <w:rsid w:val="00FC3123"/>
    <w:rsid w:val="00FC33CF"/>
    <w:rsid w:val="00FC48A2"/>
    <w:rsid w:val="00FC638A"/>
    <w:rsid w:val="00FC67B0"/>
    <w:rsid w:val="00FC7525"/>
    <w:rsid w:val="00FC7C52"/>
    <w:rsid w:val="00FC7E89"/>
    <w:rsid w:val="00FD137A"/>
    <w:rsid w:val="00FD14F2"/>
    <w:rsid w:val="00FD150D"/>
    <w:rsid w:val="00FD19B4"/>
    <w:rsid w:val="00FD1E9D"/>
    <w:rsid w:val="00FD1F9C"/>
    <w:rsid w:val="00FD2122"/>
    <w:rsid w:val="00FD25EC"/>
    <w:rsid w:val="00FD327A"/>
    <w:rsid w:val="00FD3347"/>
    <w:rsid w:val="00FD353D"/>
    <w:rsid w:val="00FD38E8"/>
    <w:rsid w:val="00FD3E2C"/>
    <w:rsid w:val="00FD4674"/>
    <w:rsid w:val="00FD5047"/>
    <w:rsid w:val="00FD5449"/>
    <w:rsid w:val="00FD55F0"/>
    <w:rsid w:val="00FD6BC0"/>
    <w:rsid w:val="00FD7648"/>
    <w:rsid w:val="00FD78DC"/>
    <w:rsid w:val="00FD7DDC"/>
    <w:rsid w:val="00FE01B3"/>
    <w:rsid w:val="00FE064B"/>
    <w:rsid w:val="00FE0AE9"/>
    <w:rsid w:val="00FE0CE1"/>
    <w:rsid w:val="00FE18D0"/>
    <w:rsid w:val="00FE1C85"/>
    <w:rsid w:val="00FE2329"/>
    <w:rsid w:val="00FE2AAC"/>
    <w:rsid w:val="00FE3260"/>
    <w:rsid w:val="00FE37E2"/>
    <w:rsid w:val="00FE38D4"/>
    <w:rsid w:val="00FE4514"/>
    <w:rsid w:val="00FE4E2E"/>
    <w:rsid w:val="00FE55F7"/>
    <w:rsid w:val="00FE5962"/>
    <w:rsid w:val="00FE5A5E"/>
    <w:rsid w:val="00FE5DEB"/>
    <w:rsid w:val="00FE64FC"/>
    <w:rsid w:val="00FE6A0D"/>
    <w:rsid w:val="00FE71AC"/>
    <w:rsid w:val="00FE75BF"/>
    <w:rsid w:val="00FE7AA7"/>
    <w:rsid w:val="00FE7C94"/>
    <w:rsid w:val="00FF02CE"/>
    <w:rsid w:val="00FF03ED"/>
    <w:rsid w:val="00FF08F5"/>
    <w:rsid w:val="00FF0AAC"/>
    <w:rsid w:val="00FF0CDD"/>
    <w:rsid w:val="00FF1B9D"/>
    <w:rsid w:val="00FF1DBE"/>
    <w:rsid w:val="00FF1FD3"/>
    <w:rsid w:val="00FF28C0"/>
    <w:rsid w:val="00FF2A6B"/>
    <w:rsid w:val="00FF2F57"/>
    <w:rsid w:val="00FF357E"/>
    <w:rsid w:val="00FF387E"/>
    <w:rsid w:val="00FF3A75"/>
    <w:rsid w:val="00FF3E3F"/>
    <w:rsid w:val="00FF49D8"/>
    <w:rsid w:val="00FF4C80"/>
    <w:rsid w:val="00FF567D"/>
    <w:rsid w:val="00FF5B23"/>
    <w:rsid w:val="00FF61E8"/>
    <w:rsid w:val="00FF6BF6"/>
    <w:rsid w:val="00FF70B0"/>
    <w:rsid w:val="00FF78F9"/>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572A415"/>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xt,Ca"/>
    <w:basedOn w:val="Normal"/>
    <w:link w:val="TextonotapieCar"/>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Ca Car"/>
    <w:basedOn w:val="Fuentedeprrafopredeter"/>
    <w:link w:val="Textonotapie"/>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Refdecomentario">
    <w:name w:val="annotation reference"/>
    <w:basedOn w:val="Fuentedeprrafopredeter"/>
    <w:uiPriority w:val="99"/>
    <w:semiHidden/>
    <w:unhideWhenUsed/>
    <w:rsid w:val="0092600C"/>
    <w:rPr>
      <w:sz w:val="16"/>
      <w:szCs w:val="16"/>
    </w:rPr>
  </w:style>
  <w:style w:type="paragraph" w:styleId="Textocomentario">
    <w:name w:val="annotation text"/>
    <w:basedOn w:val="Normal"/>
    <w:link w:val="TextocomentarioCar"/>
    <w:uiPriority w:val="99"/>
    <w:semiHidden/>
    <w:unhideWhenUsed/>
    <w:rsid w:val="0092600C"/>
    <w:pPr>
      <w:spacing w:line="240" w:lineRule="auto"/>
    </w:pPr>
  </w:style>
  <w:style w:type="character" w:customStyle="1" w:styleId="TextocomentarioCar">
    <w:name w:val="Texto comentario Car"/>
    <w:basedOn w:val="Fuentedeprrafopredeter"/>
    <w:link w:val="Textocomentario"/>
    <w:uiPriority w:val="99"/>
    <w:semiHidden/>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basedOn w:val="Textocomentario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Continuarlista3">
    <w:name w:val="List Continue 3"/>
    <w:basedOn w:val="Normal"/>
    <w:semiHidden/>
    <w:rsid w:val="00175184"/>
    <w:pPr>
      <w:suppressAutoHyphens w:val="0"/>
      <w:spacing w:after="120"/>
      <w:ind w:left="849"/>
    </w:pPr>
    <w:rPr>
      <w:lang w:val="es-ES" w:eastAsia="es-ES"/>
    </w:rPr>
  </w:style>
  <w:style w:type="character" w:styleId="Hipervnculo">
    <w:name w:val="Hyperlink"/>
    <w:basedOn w:val="Fuentedeprrafopredeter"/>
    <w:uiPriority w:val="99"/>
    <w:unhideWhenUsed/>
    <w:rsid w:val="00241ADA"/>
    <w:rPr>
      <w:color w:val="0000FF" w:themeColor="hyperlink"/>
      <w:u w:val="single"/>
    </w:rPr>
  </w:style>
  <w:style w:type="character" w:customStyle="1" w:styleId="Mentionnonrsolue1">
    <w:name w:val="Mention non résolue1"/>
    <w:basedOn w:val="Fuentedeprrafopredeter"/>
    <w:uiPriority w:val="99"/>
    <w:semiHidden/>
    <w:unhideWhenUsed/>
    <w:rsid w:val="00241ADA"/>
    <w:rPr>
      <w:color w:val="605E5C"/>
      <w:shd w:val="clear" w:color="auto" w:fill="E1DFDD"/>
    </w:rPr>
  </w:style>
  <w:style w:type="character" w:styleId="Hipervnculovisitado">
    <w:name w:val="FollowedHyperlink"/>
    <w:basedOn w:val="Fuentedeprrafopredeter"/>
    <w:uiPriority w:val="99"/>
    <w:semiHidden/>
    <w:unhideWhenUsed/>
    <w:rsid w:val="0089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25AFD0B9E7D9F847AB3AA1146ED874B2" ma:contentTypeVersion="17" ma:contentTypeDescription="" ma:contentTypeScope="" ma:versionID="43c87fcf456c6df5a22f23915ebc3c1f">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c948d7485c0aa4e8047d7235ab1d999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false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true</List_x0020_of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F0A1-F42A-4085-8455-76E91498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schemas.microsoft.com/office/2006/documentManagement/types"/>
    <ds:schemaRef ds:uri="http://purl.org/dc/terms/"/>
    <ds:schemaRef ds:uri="http://schemas.openxmlformats.org/package/2006/metadata/core-properties"/>
    <ds:schemaRef ds:uri="843519ee-602c-4a77-9f98-e0b2d1df032d"/>
    <ds:schemaRef ds:uri="http://purl.org/dc/dcmitype/"/>
    <ds:schemaRef ds:uri="http://schemas.microsoft.com/office/infopath/2007/PartnerControls"/>
    <ds:schemaRef ds:uri="http://purl.org/dc/elements/1.1/"/>
    <ds:schemaRef ds:uri="http://schemas.microsoft.com/office/2006/metadata/properties"/>
    <ds:schemaRef ds:uri="d0e6e1dd-cead-4b20-a8ab-6c17962cc4ab"/>
    <ds:schemaRef ds:uri="2d113eb4-e65a-468c-82cb-a0357bc1037f"/>
    <ds:schemaRef ds:uri="1bb7588e-e247-4215-aaaa-8ddb8e8e8079"/>
    <ds:schemaRef ds:uri="http://www.w3.org/XML/1998/namespace"/>
  </ds:schemaRefs>
</ds:datastoreItem>
</file>

<file path=customXml/itemProps4.xml><?xml version="1.0" encoding="utf-8"?>
<ds:datastoreItem xmlns:ds="http://schemas.openxmlformats.org/officeDocument/2006/customXml" ds:itemID="{692204EC-4965-4C0B-AD4B-B5E44415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9420</Words>
  <Characters>48419</Characters>
  <Application>Microsoft Office Word</Application>
  <DocSecurity>0</DocSecurity>
  <Lines>744</Lines>
  <Paragraphs>155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CCPR/C/127/DR/2760/2016</vt:lpstr>
      <vt:lpstr>CCPR/C/127/DR/2760/2016</vt:lpstr>
      <vt:lpstr>CCPR/C/WG/126/DR/2750/2016</vt:lpstr>
    </vt:vector>
  </TitlesOfParts>
  <Company>DCM</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CCPR/C/127/D/2760/2016</dc:title>
  <dc:subject/>
  <dc:creator>Romina Valeria MERINO MAC-KAY</dc:creator>
  <cp:keywords/>
  <dc:description/>
  <cp:lastModifiedBy>Romina Valeria MERINO MAC-KAY</cp:lastModifiedBy>
  <cp:revision>3</cp:revision>
  <cp:lastPrinted>2019-12-16T15:00:00Z</cp:lastPrinted>
  <dcterms:created xsi:type="dcterms:W3CDTF">2019-12-16T15:00:00Z</dcterms:created>
  <dcterms:modified xsi:type="dcterms:W3CDTF">2019-12-16T15:00:00Z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0x010100A70BC505B2949A43BBFACEE4A97207700025AFD0B9E7D9F847AB3AA1146ED874B2</vt:lpwstr>
  </property>
</Properties>
</file>