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B5634" w:rsidRPr="007B5634" w14:paraId="5572A418" w14:textId="77777777" w:rsidTr="00F603F4">
        <w:trPr>
          <w:cantSplit/>
          <w:trHeight w:hRule="exact" w:val="851"/>
        </w:trPr>
        <w:tc>
          <w:tcPr>
            <w:tcW w:w="1276" w:type="dxa"/>
            <w:tcBorders>
              <w:bottom w:val="single" w:sz="4" w:space="0" w:color="auto"/>
            </w:tcBorders>
            <w:vAlign w:val="bottom"/>
          </w:tcPr>
          <w:p w14:paraId="5572A415" w14:textId="6B43A692" w:rsidR="00165C15" w:rsidRPr="007B5634" w:rsidRDefault="00165C15" w:rsidP="00F603F4">
            <w:pPr>
              <w:spacing w:after="80"/>
            </w:pPr>
          </w:p>
        </w:tc>
        <w:tc>
          <w:tcPr>
            <w:tcW w:w="2268" w:type="dxa"/>
            <w:tcBorders>
              <w:bottom w:val="single" w:sz="4" w:space="0" w:color="auto"/>
            </w:tcBorders>
            <w:vAlign w:val="bottom"/>
          </w:tcPr>
          <w:p w14:paraId="5572A416" w14:textId="727666E7" w:rsidR="00165C15" w:rsidRPr="007B5634" w:rsidRDefault="00165C15" w:rsidP="00F603F4">
            <w:pPr>
              <w:spacing w:after="80" w:line="300" w:lineRule="exact"/>
              <w:rPr>
                <w:b/>
                <w:sz w:val="24"/>
                <w:szCs w:val="24"/>
              </w:rPr>
            </w:pPr>
          </w:p>
        </w:tc>
        <w:tc>
          <w:tcPr>
            <w:tcW w:w="6095" w:type="dxa"/>
            <w:gridSpan w:val="2"/>
            <w:tcBorders>
              <w:bottom w:val="single" w:sz="4" w:space="0" w:color="auto"/>
            </w:tcBorders>
            <w:vAlign w:val="bottom"/>
          </w:tcPr>
          <w:p w14:paraId="5572A417" w14:textId="4B0CC28D" w:rsidR="00165C15" w:rsidRPr="007B5634" w:rsidRDefault="006A31AE" w:rsidP="00161348">
            <w:pPr>
              <w:suppressAutoHyphens w:val="0"/>
              <w:spacing w:after="20"/>
              <w:jc w:val="right"/>
              <w:rPr>
                <w:sz w:val="40"/>
              </w:rPr>
            </w:pPr>
            <w:r w:rsidRPr="007B5634">
              <w:rPr>
                <w:sz w:val="40"/>
              </w:rPr>
              <w:t>CCPR</w:t>
            </w:r>
            <w:r w:rsidR="006F354E" w:rsidRPr="007B5634">
              <w:t>/C/</w:t>
            </w:r>
            <w:r w:rsidR="00221A6D" w:rsidRPr="007B5634">
              <w:t>13</w:t>
            </w:r>
            <w:r w:rsidR="00A61D82" w:rsidRPr="007B5634">
              <w:t>8</w:t>
            </w:r>
            <w:r w:rsidRPr="007B5634">
              <w:t>/D/</w:t>
            </w:r>
            <w:r w:rsidR="00363DC0" w:rsidRPr="007B5634">
              <w:t>3</w:t>
            </w:r>
            <w:r w:rsidR="001042BC" w:rsidRPr="007B5634">
              <w:t>208</w:t>
            </w:r>
            <w:r w:rsidR="00363DC0" w:rsidRPr="007B5634">
              <w:t>/201</w:t>
            </w:r>
            <w:r w:rsidR="001042BC" w:rsidRPr="007B5634">
              <w:t>8</w:t>
            </w:r>
          </w:p>
        </w:tc>
      </w:tr>
      <w:tr w:rsidR="007B5634" w:rsidRPr="007B5634" w14:paraId="5572A420" w14:textId="77777777" w:rsidTr="00BA10F9">
        <w:trPr>
          <w:cantSplit/>
          <w:trHeight w:hRule="exact" w:val="2835"/>
        </w:trPr>
        <w:tc>
          <w:tcPr>
            <w:tcW w:w="1276" w:type="dxa"/>
            <w:tcBorders>
              <w:top w:val="single" w:sz="4" w:space="0" w:color="auto"/>
              <w:bottom w:val="single" w:sz="12" w:space="0" w:color="auto"/>
            </w:tcBorders>
          </w:tcPr>
          <w:p w14:paraId="5572A419" w14:textId="5C2451F7" w:rsidR="00165C15" w:rsidRPr="007B5634" w:rsidRDefault="00165C15" w:rsidP="00F603F4">
            <w:pPr>
              <w:spacing w:before="120"/>
            </w:pPr>
          </w:p>
        </w:tc>
        <w:tc>
          <w:tcPr>
            <w:tcW w:w="5528" w:type="dxa"/>
            <w:gridSpan w:val="2"/>
            <w:tcBorders>
              <w:top w:val="single" w:sz="4" w:space="0" w:color="auto"/>
              <w:bottom w:val="single" w:sz="12" w:space="0" w:color="auto"/>
            </w:tcBorders>
          </w:tcPr>
          <w:p w14:paraId="031F7CFC" w14:textId="2E755D7C" w:rsidR="00165C15" w:rsidRDefault="00165C15" w:rsidP="00F603F4">
            <w:pPr>
              <w:spacing w:before="120" w:line="380" w:lineRule="exact"/>
              <w:rPr>
                <w:b/>
                <w:sz w:val="34"/>
                <w:szCs w:val="40"/>
              </w:rPr>
            </w:pPr>
          </w:p>
          <w:p w14:paraId="22FCD372" w14:textId="77777777" w:rsidR="00FE1C86" w:rsidRDefault="00FE1C86" w:rsidP="00F603F4">
            <w:pPr>
              <w:spacing w:before="120" w:line="380" w:lineRule="exact"/>
              <w:rPr>
                <w:b/>
                <w:sz w:val="34"/>
                <w:szCs w:val="40"/>
              </w:rPr>
            </w:pPr>
          </w:p>
          <w:p w14:paraId="7AAB09BA" w14:textId="77777777" w:rsidR="00FE1C86" w:rsidRPr="00E86AA2" w:rsidRDefault="00FE1C86" w:rsidP="00FE1C86">
            <w:pPr>
              <w:spacing w:before="120" w:line="380" w:lineRule="exact"/>
              <w:rPr>
                <w:b/>
                <w:sz w:val="34"/>
                <w:szCs w:val="40"/>
              </w:rPr>
            </w:pPr>
            <w:r>
              <w:rPr>
                <w:b/>
                <w:sz w:val="34"/>
                <w:szCs w:val="40"/>
              </w:rPr>
              <w:t>Advance unedited version</w:t>
            </w:r>
          </w:p>
          <w:p w14:paraId="5572A41A" w14:textId="7971EF78" w:rsidR="00FE1C86" w:rsidRPr="007B5634" w:rsidRDefault="00FE1C86" w:rsidP="00F603F4">
            <w:pPr>
              <w:spacing w:before="120" w:line="380" w:lineRule="exact"/>
              <w:rPr>
                <w:sz w:val="34"/>
              </w:rPr>
            </w:pPr>
          </w:p>
        </w:tc>
        <w:tc>
          <w:tcPr>
            <w:tcW w:w="2835" w:type="dxa"/>
            <w:tcBorders>
              <w:top w:val="single" w:sz="4" w:space="0" w:color="auto"/>
              <w:bottom w:val="single" w:sz="12" w:space="0" w:color="auto"/>
            </w:tcBorders>
          </w:tcPr>
          <w:p w14:paraId="12B40F27" w14:textId="51FB4D04" w:rsidR="00A917A6" w:rsidRPr="007B5634" w:rsidRDefault="00FC3F98" w:rsidP="00362326">
            <w:pPr>
              <w:suppressAutoHyphens w:val="0"/>
              <w:spacing w:before="240" w:line="240" w:lineRule="exact"/>
            </w:pPr>
            <w:r w:rsidRPr="007B5634">
              <w:t xml:space="preserve">Distr.: </w:t>
            </w:r>
            <w:r w:rsidR="00FE1C86">
              <w:t>General</w:t>
            </w:r>
          </w:p>
          <w:p w14:paraId="38681929" w14:textId="32F2CD51" w:rsidR="00362326" w:rsidRPr="007B5634" w:rsidRDefault="00A55E65" w:rsidP="00A917A6">
            <w:pPr>
              <w:suppressAutoHyphens w:val="0"/>
              <w:spacing w:line="240" w:lineRule="exact"/>
            </w:pPr>
            <w:r>
              <w:t>19 July</w:t>
            </w:r>
            <w:r w:rsidR="00362326" w:rsidRPr="007B5634">
              <w:t xml:space="preserve"> 2023</w:t>
            </w:r>
          </w:p>
          <w:p w14:paraId="5CEEFFC6" w14:textId="77777777" w:rsidR="00FC3F98" w:rsidRPr="007B5634" w:rsidRDefault="00FC3F98" w:rsidP="00FC3F98">
            <w:pPr>
              <w:suppressAutoHyphens w:val="0"/>
            </w:pPr>
          </w:p>
          <w:p w14:paraId="5572A41F" w14:textId="66ECC622" w:rsidR="006A31AE" w:rsidRPr="007B5634" w:rsidRDefault="00FC3F98" w:rsidP="00901B13">
            <w:pPr>
              <w:suppressAutoHyphens w:val="0"/>
              <w:spacing w:line="240" w:lineRule="auto"/>
              <w:rPr>
                <w:rFonts w:eastAsia="SimSun"/>
                <w:sz w:val="24"/>
                <w:szCs w:val="24"/>
                <w:lang w:eastAsia="en-GB"/>
              </w:rPr>
            </w:pPr>
            <w:r w:rsidRPr="007B5634">
              <w:t>English</w:t>
            </w:r>
            <w:r w:rsidR="00362326" w:rsidRPr="007B5634">
              <w:t xml:space="preserve"> </w:t>
            </w:r>
          </w:p>
        </w:tc>
      </w:tr>
    </w:tbl>
    <w:p w14:paraId="0802C7B4" w14:textId="1CA9BC75" w:rsidR="00FC3F98" w:rsidRPr="007B5634" w:rsidRDefault="00FC3F98" w:rsidP="00FC3F98">
      <w:pPr>
        <w:rPr>
          <w:b/>
          <w:bCs/>
          <w:sz w:val="24"/>
        </w:rPr>
      </w:pPr>
      <w:r w:rsidRPr="007B5634">
        <w:rPr>
          <w:b/>
          <w:bCs/>
          <w:sz w:val="24"/>
        </w:rPr>
        <w:t>Human Rights Committee</w:t>
      </w:r>
    </w:p>
    <w:p w14:paraId="2E1939FB" w14:textId="1B76EC28" w:rsidR="00FC3F98" w:rsidRPr="007B5634" w:rsidRDefault="00FC3F98" w:rsidP="00FC3F98">
      <w:pPr>
        <w:pStyle w:val="HChG"/>
      </w:pPr>
      <w:r w:rsidRPr="007B5634">
        <w:tab/>
      </w:r>
      <w:r w:rsidRPr="007B5634">
        <w:tab/>
      </w:r>
      <w:r w:rsidR="00FE1C86">
        <w:t>Views adopted by the Committee under article 5 (4) of the Optional Protocol, concerning c</w:t>
      </w:r>
      <w:r w:rsidR="00D01149" w:rsidRPr="007B5634">
        <w:t xml:space="preserve">ommunication No. </w:t>
      </w:r>
      <w:r w:rsidR="00363DC0" w:rsidRPr="007B5634">
        <w:t>3</w:t>
      </w:r>
      <w:r w:rsidR="001042BC" w:rsidRPr="007B5634">
        <w:t>208</w:t>
      </w:r>
      <w:r w:rsidR="00363DC0" w:rsidRPr="007B5634">
        <w:t>/201</w:t>
      </w:r>
      <w:r w:rsidR="001042BC" w:rsidRPr="007B5634">
        <w:t>8</w:t>
      </w:r>
      <w:r w:rsidR="00FE1C86" w:rsidRPr="00A55E65">
        <w:rPr>
          <w:rStyle w:val="FootnoteReference"/>
          <w:sz w:val="20"/>
          <w:vertAlign w:val="baseline"/>
        </w:rPr>
        <w:footnoteReference w:customMarkFollows="1" w:id="1"/>
        <w:t>*</w:t>
      </w:r>
      <w:r w:rsidR="00FE1C86" w:rsidRPr="00A55E65">
        <w:rPr>
          <w:sz w:val="20"/>
          <w:vertAlign w:val="superscript"/>
        </w:rPr>
        <w:t>,</w:t>
      </w:r>
      <w:r w:rsidR="00FE1C86" w:rsidRPr="00A55E65">
        <w:rPr>
          <w:rStyle w:val="FootnoteReference"/>
          <w:sz w:val="20"/>
          <w:vertAlign w:val="baseline"/>
        </w:rPr>
        <w:footnoteReference w:customMarkFollows="1" w:id="2"/>
        <w:t>**</w:t>
      </w:r>
      <w:r w:rsidR="00EC18BA" w:rsidRPr="00A55E65">
        <w:rPr>
          <w:sz w:val="20"/>
          <w:vertAlign w:val="superscript"/>
        </w:rPr>
        <w:t>,</w:t>
      </w:r>
      <w:r w:rsidR="00EC18BA" w:rsidRPr="00A55E65">
        <w:rPr>
          <w:rStyle w:val="FootnoteReference"/>
          <w:sz w:val="20"/>
          <w:vertAlign w:val="baseline"/>
        </w:rPr>
        <w:footnoteReference w:customMarkFollows="1" w:id="3"/>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7B5634" w:rsidRPr="007B5634" w14:paraId="5572A42C" w14:textId="77777777" w:rsidTr="009178E5">
        <w:tc>
          <w:tcPr>
            <w:tcW w:w="3119" w:type="dxa"/>
          </w:tcPr>
          <w:p w14:paraId="5572A42A" w14:textId="77777777" w:rsidR="006A31AE" w:rsidRPr="007B5634" w:rsidRDefault="006A31AE" w:rsidP="005553FD">
            <w:pPr>
              <w:pStyle w:val="SingleTxtG"/>
              <w:ind w:left="0" w:right="0"/>
              <w:jc w:val="left"/>
              <w:rPr>
                <w:i/>
              </w:rPr>
            </w:pPr>
            <w:r w:rsidRPr="007B5634">
              <w:rPr>
                <w:i/>
              </w:rPr>
              <w:t>Communication submitted by:</w:t>
            </w:r>
          </w:p>
        </w:tc>
        <w:tc>
          <w:tcPr>
            <w:tcW w:w="3685" w:type="dxa"/>
          </w:tcPr>
          <w:p w14:paraId="5572A42B" w14:textId="4CA892ED" w:rsidR="006A31AE" w:rsidRPr="007B5634" w:rsidRDefault="008770E8" w:rsidP="00542736">
            <w:pPr>
              <w:rPr>
                <w:rFonts w:eastAsia="SimSun"/>
                <w:lang w:eastAsia="zh-CN"/>
              </w:rPr>
            </w:pPr>
            <w:r w:rsidRPr="007B5634">
              <w:rPr>
                <w:rFonts w:eastAsia="SimSun"/>
                <w:lang w:eastAsia="zh-CN"/>
              </w:rPr>
              <w:t xml:space="preserve">John </w:t>
            </w:r>
            <w:proofErr w:type="spellStart"/>
            <w:r w:rsidRPr="007B5634">
              <w:rPr>
                <w:rFonts w:eastAsia="SimSun"/>
                <w:lang w:eastAsia="zh-CN"/>
              </w:rPr>
              <w:t>Isley</w:t>
            </w:r>
            <w:proofErr w:type="spellEnd"/>
            <w:r w:rsidR="00835400" w:rsidRPr="007B5634">
              <w:rPr>
                <w:rFonts w:eastAsia="SimSun"/>
                <w:lang w:eastAsia="zh-CN"/>
              </w:rPr>
              <w:t xml:space="preserve"> </w:t>
            </w:r>
            <w:r w:rsidR="00C22885" w:rsidRPr="007B5634">
              <w:rPr>
                <w:rFonts w:eastAsia="SimSun"/>
                <w:lang w:eastAsia="zh-CN"/>
              </w:rPr>
              <w:t>(represented by James Wardlaw)</w:t>
            </w:r>
          </w:p>
        </w:tc>
      </w:tr>
      <w:tr w:rsidR="007B5634" w:rsidRPr="007B5634" w14:paraId="5572A42F" w14:textId="77777777" w:rsidTr="009178E5">
        <w:tc>
          <w:tcPr>
            <w:tcW w:w="3119" w:type="dxa"/>
          </w:tcPr>
          <w:p w14:paraId="5572A42D" w14:textId="1AD589E8" w:rsidR="006A31AE" w:rsidRPr="007B5634" w:rsidRDefault="006A31AE" w:rsidP="005553FD">
            <w:pPr>
              <w:pStyle w:val="SingleTxtG"/>
              <w:ind w:left="0" w:right="0"/>
              <w:jc w:val="left"/>
              <w:rPr>
                <w:i/>
              </w:rPr>
            </w:pPr>
            <w:r w:rsidRPr="007B5634">
              <w:rPr>
                <w:i/>
              </w:rPr>
              <w:t>Alleged victim</w:t>
            </w:r>
            <w:r w:rsidR="000B4C93" w:rsidRPr="007B5634">
              <w:rPr>
                <w:i/>
              </w:rPr>
              <w:t>s</w:t>
            </w:r>
            <w:r w:rsidRPr="007B5634">
              <w:rPr>
                <w:i/>
              </w:rPr>
              <w:t>:</w:t>
            </w:r>
          </w:p>
        </w:tc>
        <w:tc>
          <w:tcPr>
            <w:tcW w:w="3685" w:type="dxa"/>
          </w:tcPr>
          <w:p w14:paraId="5572A42E" w14:textId="799CBD22" w:rsidR="006A31AE" w:rsidRPr="007B5634" w:rsidRDefault="006A31AE" w:rsidP="005553FD">
            <w:pPr>
              <w:pStyle w:val="SingleTxtG"/>
              <w:ind w:left="0" w:right="0"/>
              <w:jc w:val="left"/>
            </w:pPr>
            <w:r w:rsidRPr="007B5634">
              <w:t>The author</w:t>
            </w:r>
          </w:p>
        </w:tc>
      </w:tr>
      <w:tr w:rsidR="007B5634" w:rsidRPr="007B5634" w14:paraId="5572A432" w14:textId="77777777" w:rsidTr="009178E5">
        <w:tc>
          <w:tcPr>
            <w:tcW w:w="3119" w:type="dxa"/>
          </w:tcPr>
          <w:p w14:paraId="5572A430" w14:textId="77777777" w:rsidR="006A31AE" w:rsidRPr="007B5634" w:rsidRDefault="006A31AE" w:rsidP="005553FD">
            <w:pPr>
              <w:pStyle w:val="SingleTxtG"/>
              <w:ind w:left="0" w:right="0"/>
              <w:jc w:val="left"/>
              <w:rPr>
                <w:i/>
              </w:rPr>
            </w:pPr>
            <w:r w:rsidRPr="007B5634">
              <w:rPr>
                <w:i/>
              </w:rPr>
              <w:t>State party:</w:t>
            </w:r>
          </w:p>
        </w:tc>
        <w:tc>
          <w:tcPr>
            <w:tcW w:w="3685" w:type="dxa"/>
          </w:tcPr>
          <w:p w14:paraId="5572A431" w14:textId="64FB9D09" w:rsidR="006A31AE" w:rsidRPr="007B5634" w:rsidRDefault="008770E8" w:rsidP="005553FD">
            <w:pPr>
              <w:pStyle w:val="SingleTxtG"/>
              <w:ind w:left="0" w:right="0"/>
              <w:jc w:val="left"/>
            </w:pPr>
            <w:r w:rsidRPr="007B5634">
              <w:t>Australia</w:t>
            </w:r>
          </w:p>
        </w:tc>
      </w:tr>
      <w:tr w:rsidR="007B5634" w:rsidRPr="007B5634" w14:paraId="5572A435" w14:textId="77777777" w:rsidTr="009178E5">
        <w:tc>
          <w:tcPr>
            <w:tcW w:w="3119" w:type="dxa"/>
          </w:tcPr>
          <w:p w14:paraId="5572A433" w14:textId="77777777" w:rsidR="006A31AE" w:rsidRPr="007B5634" w:rsidRDefault="006A31AE" w:rsidP="005553FD">
            <w:pPr>
              <w:pStyle w:val="SingleTxtG"/>
              <w:ind w:left="0" w:right="0"/>
              <w:jc w:val="left"/>
              <w:rPr>
                <w:i/>
              </w:rPr>
            </w:pPr>
            <w:r w:rsidRPr="007B5634">
              <w:rPr>
                <w:i/>
              </w:rPr>
              <w:t>Date of communication:</w:t>
            </w:r>
          </w:p>
        </w:tc>
        <w:tc>
          <w:tcPr>
            <w:tcW w:w="3685" w:type="dxa"/>
          </w:tcPr>
          <w:p w14:paraId="5572A434" w14:textId="3A64E4AE" w:rsidR="006A31AE" w:rsidRPr="007B5634" w:rsidRDefault="003D0D11" w:rsidP="00A273F5">
            <w:pPr>
              <w:spacing w:after="120"/>
            </w:pPr>
            <w:r w:rsidRPr="007B5634">
              <w:t xml:space="preserve">3 </w:t>
            </w:r>
            <w:r w:rsidR="008770E8" w:rsidRPr="007B5634">
              <w:t>July 2018</w:t>
            </w:r>
            <w:r w:rsidR="00D032A3" w:rsidRPr="007B5634">
              <w:t xml:space="preserve"> </w:t>
            </w:r>
            <w:r w:rsidR="006A31AE" w:rsidRPr="007B5634">
              <w:t>(initial submission)</w:t>
            </w:r>
          </w:p>
        </w:tc>
      </w:tr>
      <w:tr w:rsidR="007B5634" w:rsidRPr="007B5634" w14:paraId="5572A438" w14:textId="77777777" w:rsidTr="009178E5">
        <w:tc>
          <w:tcPr>
            <w:tcW w:w="3119" w:type="dxa"/>
          </w:tcPr>
          <w:p w14:paraId="5572A436" w14:textId="77777777" w:rsidR="006A31AE" w:rsidRPr="007B5634" w:rsidRDefault="006A31AE" w:rsidP="005553FD">
            <w:pPr>
              <w:pStyle w:val="SingleTxtG"/>
              <w:ind w:left="0" w:right="0"/>
              <w:jc w:val="left"/>
              <w:rPr>
                <w:i/>
              </w:rPr>
            </w:pPr>
            <w:r w:rsidRPr="007B5634">
              <w:rPr>
                <w:i/>
              </w:rPr>
              <w:t>Document references:</w:t>
            </w:r>
          </w:p>
        </w:tc>
        <w:tc>
          <w:tcPr>
            <w:tcW w:w="3685" w:type="dxa"/>
          </w:tcPr>
          <w:p w14:paraId="5572A437" w14:textId="6F2D5816" w:rsidR="006A31AE" w:rsidRPr="007B5634" w:rsidRDefault="006A31AE" w:rsidP="000C3274">
            <w:pPr>
              <w:pStyle w:val="SingleTxtG"/>
              <w:ind w:left="0" w:right="0"/>
              <w:jc w:val="left"/>
            </w:pPr>
            <w:r w:rsidRPr="007B5634">
              <w:t xml:space="preserve">Decision taken pursuant to rule </w:t>
            </w:r>
            <w:r w:rsidR="00FE409C" w:rsidRPr="007B5634">
              <w:t>97</w:t>
            </w:r>
            <w:r w:rsidRPr="007B5634">
              <w:t xml:space="preserve"> of the Committee’s rules of procedure</w:t>
            </w:r>
            <w:r w:rsidR="00FE409C" w:rsidRPr="007B5634">
              <w:t xml:space="preserve"> (now rule 92)</w:t>
            </w:r>
            <w:r w:rsidRPr="007B5634">
              <w:t xml:space="preserve">, </w:t>
            </w:r>
            <w:r w:rsidRPr="007B5634">
              <w:rPr>
                <w:rFonts w:eastAsia="Times New Roman"/>
                <w:lang w:eastAsia="en-US"/>
              </w:rPr>
              <w:t xml:space="preserve">transmitted to the State party on </w:t>
            </w:r>
            <w:r w:rsidR="002849F1" w:rsidRPr="007B5634">
              <w:rPr>
                <w:rFonts w:eastAsia="Times New Roman"/>
                <w:lang w:eastAsia="en-US"/>
              </w:rPr>
              <w:t>10 July 2018</w:t>
            </w:r>
            <w:r w:rsidRPr="007B5634">
              <w:t xml:space="preserve"> (not issued in document form)</w:t>
            </w:r>
          </w:p>
        </w:tc>
      </w:tr>
      <w:tr w:rsidR="007B5634" w:rsidRPr="007B5634" w14:paraId="5572A43B" w14:textId="77777777" w:rsidTr="009178E5">
        <w:tc>
          <w:tcPr>
            <w:tcW w:w="3119" w:type="dxa"/>
          </w:tcPr>
          <w:p w14:paraId="5572A439" w14:textId="77777777" w:rsidR="006A31AE" w:rsidRPr="007B5634" w:rsidRDefault="006A31AE" w:rsidP="005553FD">
            <w:pPr>
              <w:pStyle w:val="SingleTxtG"/>
              <w:ind w:left="0" w:right="0"/>
              <w:jc w:val="left"/>
              <w:rPr>
                <w:i/>
              </w:rPr>
            </w:pPr>
            <w:r w:rsidRPr="007B5634">
              <w:rPr>
                <w:i/>
              </w:rPr>
              <w:t>Date of adoption of Views:</w:t>
            </w:r>
          </w:p>
        </w:tc>
        <w:tc>
          <w:tcPr>
            <w:tcW w:w="3685" w:type="dxa"/>
            <w:vAlign w:val="bottom"/>
          </w:tcPr>
          <w:p w14:paraId="5572A43A" w14:textId="17F74A0E" w:rsidR="006A31AE" w:rsidRPr="007B5634" w:rsidRDefault="002879B8" w:rsidP="005553FD">
            <w:pPr>
              <w:pStyle w:val="SingleTxtG"/>
              <w:ind w:left="0" w:right="0"/>
              <w:jc w:val="left"/>
            </w:pPr>
            <w:r>
              <w:t>19 July</w:t>
            </w:r>
            <w:r w:rsidR="00161348" w:rsidRPr="007B5634">
              <w:t xml:space="preserve"> </w:t>
            </w:r>
            <w:r w:rsidR="00C64C69" w:rsidRPr="007B5634">
              <w:t>202</w:t>
            </w:r>
            <w:r w:rsidR="003D0D11" w:rsidRPr="007B5634">
              <w:t>3</w:t>
            </w:r>
          </w:p>
        </w:tc>
      </w:tr>
      <w:tr w:rsidR="007B5634" w:rsidRPr="007B5634" w14:paraId="5572A43E" w14:textId="77777777" w:rsidTr="009178E5">
        <w:tc>
          <w:tcPr>
            <w:tcW w:w="3119" w:type="dxa"/>
          </w:tcPr>
          <w:p w14:paraId="5572A43C" w14:textId="3B2653AD" w:rsidR="006A31AE" w:rsidRPr="007B5634" w:rsidRDefault="006A31AE" w:rsidP="005553FD">
            <w:pPr>
              <w:pStyle w:val="SingleTxtG"/>
              <w:ind w:left="0" w:right="0"/>
              <w:jc w:val="left"/>
              <w:rPr>
                <w:i/>
              </w:rPr>
            </w:pPr>
            <w:r w:rsidRPr="007B5634">
              <w:rPr>
                <w:i/>
                <w:iCs/>
              </w:rPr>
              <w:t>Subject matter:</w:t>
            </w:r>
          </w:p>
        </w:tc>
        <w:tc>
          <w:tcPr>
            <w:tcW w:w="3685" w:type="dxa"/>
          </w:tcPr>
          <w:p w14:paraId="5572A43D" w14:textId="22D51EC3" w:rsidR="006A31AE" w:rsidRPr="007B5634" w:rsidRDefault="00F6351A" w:rsidP="00FE409C">
            <w:pPr>
              <w:spacing w:after="120"/>
              <w:rPr>
                <w:rFonts w:eastAsia="SimSun"/>
                <w:lang w:eastAsia="zh-CN"/>
              </w:rPr>
            </w:pPr>
            <w:r w:rsidRPr="007B5634">
              <w:t xml:space="preserve">Expulsion of the author from his country of residence </w:t>
            </w:r>
          </w:p>
        </w:tc>
      </w:tr>
      <w:tr w:rsidR="007B5634" w:rsidRPr="007B5634" w14:paraId="5572A441" w14:textId="77777777" w:rsidTr="009178E5">
        <w:tc>
          <w:tcPr>
            <w:tcW w:w="3119" w:type="dxa"/>
          </w:tcPr>
          <w:p w14:paraId="5572A43F" w14:textId="77777777" w:rsidR="006A31AE" w:rsidRPr="007B5634" w:rsidRDefault="006A31AE" w:rsidP="005553FD">
            <w:pPr>
              <w:pStyle w:val="SingleTxtG"/>
              <w:ind w:left="0" w:right="0"/>
              <w:jc w:val="left"/>
              <w:rPr>
                <w:i/>
                <w:iCs/>
              </w:rPr>
            </w:pPr>
            <w:r w:rsidRPr="007B5634">
              <w:rPr>
                <w:i/>
                <w:iCs/>
              </w:rPr>
              <w:t>Procedural issues</w:t>
            </w:r>
            <w:r w:rsidRPr="007B5634">
              <w:rPr>
                <w:i/>
              </w:rPr>
              <w:t>:</w:t>
            </w:r>
          </w:p>
        </w:tc>
        <w:tc>
          <w:tcPr>
            <w:tcW w:w="3685" w:type="dxa"/>
          </w:tcPr>
          <w:p w14:paraId="5572A440" w14:textId="5D3A707E" w:rsidR="006A31AE" w:rsidRPr="007B5634" w:rsidRDefault="00F6351A" w:rsidP="000D7C03">
            <w:pPr>
              <w:pStyle w:val="SingleTxtG"/>
              <w:ind w:left="0" w:right="0"/>
              <w:jc w:val="left"/>
            </w:pPr>
            <w:proofErr w:type="spellStart"/>
            <w:r w:rsidRPr="007B5634">
              <w:rPr>
                <w:i/>
                <w:iCs/>
              </w:rPr>
              <w:t>Ratione</w:t>
            </w:r>
            <w:proofErr w:type="spellEnd"/>
            <w:r w:rsidRPr="007B5634">
              <w:rPr>
                <w:i/>
                <w:iCs/>
              </w:rPr>
              <w:t xml:space="preserve"> </w:t>
            </w:r>
            <w:proofErr w:type="spellStart"/>
            <w:r w:rsidRPr="007B5634">
              <w:rPr>
                <w:i/>
                <w:iCs/>
              </w:rPr>
              <w:t>materiae</w:t>
            </w:r>
            <w:proofErr w:type="spellEnd"/>
            <w:r w:rsidRPr="007B5634">
              <w:t>; Non-substantiation</w:t>
            </w:r>
          </w:p>
        </w:tc>
      </w:tr>
      <w:tr w:rsidR="007B5634" w:rsidRPr="007B5634" w14:paraId="5572A444" w14:textId="77777777" w:rsidTr="009178E5">
        <w:tc>
          <w:tcPr>
            <w:tcW w:w="3119" w:type="dxa"/>
          </w:tcPr>
          <w:p w14:paraId="5572A442" w14:textId="77777777" w:rsidR="006A31AE" w:rsidRPr="007B5634" w:rsidRDefault="006A31AE" w:rsidP="005553FD">
            <w:pPr>
              <w:pStyle w:val="SingleTxtG"/>
              <w:keepNext/>
              <w:ind w:left="0" w:right="0"/>
              <w:jc w:val="left"/>
              <w:rPr>
                <w:i/>
                <w:iCs/>
              </w:rPr>
            </w:pPr>
            <w:r w:rsidRPr="007B5634">
              <w:rPr>
                <w:i/>
                <w:iCs/>
              </w:rPr>
              <w:t>Substantive issues:</w:t>
            </w:r>
          </w:p>
        </w:tc>
        <w:tc>
          <w:tcPr>
            <w:tcW w:w="3685" w:type="dxa"/>
          </w:tcPr>
          <w:p w14:paraId="5572A443" w14:textId="1B5C483C" w:rsidR="006A31AE" w:rsidRPr="007B5634" w:rsidRDefault="00F6351A" w:rsidP="00A269EE">
            <w:pPr>
              <w:keepNext/>
              <w:spacing w:after="120"/>
              <w:rPr>
                <w:rFonts w:eastAsia="SimSun"/>
                <w:lang w:eastAsia="zh-CN"/>
              </w:rPr>
            </w:pPr>
            <w:r w:rsidRPr="007B5634">
              <w:t>Arbitrary interference with right to privacy, family and home</w:t>
            </w:r>
          </w:p>
        </w:tc>
      </w:tr>
      <w:tr w:rsidR="007B5634" w:rsidRPr="007B5634" w14:paraId="5572A447" w14:textId="77777777" w:rsidTr="009178E5">
        <w:tc>
          <w:tcPr>
            <w:tcW w:w="3119" w:type="dxa"/>
          </w:tcPr>
          <w:p w14:paraId="5572A445" w14:textId="77777777" w:rsidR="006A31AE" w:rsidRPr="007B5634" w:rsidRDefault="006A31AE" w:rsidP="005553FD">
            <w:pPr>
              <w:pStyle w:val="SingleTxtG"/>
              <w:ind w:left="0" w:right="0"/>
              <w:jc w:val="left"/>
              <w:rPr>
                <w:i/>
                <w:iCs/>
              </w:rPr>
            </w:pPr>
            <w:r w:rsidRPr="007B5634">
              <w:rPr>
                <w:i/>
                <w:iCs/>
              </w:rPr>
              <w:t>Articles of the Covenant</w:t>
            </w:r>
            <w:r w:rsidRPr="007B5634">
              <w:rPr>
                <w:i/>
              </w:rPr>
              <w:t>:</w:t>
            </w:r>
          </w:p>
        </w:tc>
        <w:tc>
          <w:tcPr>
            <w:tcW w:w="3685" w:type="dxa"/>
          </w:tcPr>
          <w:p w14:paraId="5572A446" w14:textId="189125B4" w:rsidR="006A31AE" w:rsidRPr="007B5634" w:rsidRDefault="00C17657" w:rsidP="007F7A51">
            <w:pPr>
              <w:pStyle w:val="SingleTxtG"/>
              <w:ind w:left="0" w:right="0"/>
              <w:jc w:val="left"/>
            </w:pPr>
            <w:r w:rsidRPr="007B5634">
              <w:t>14, 17</w:t>
            </w:r>
            <w:r w:rsidR="009A6D21" w:rsidRPr="007B5634">
              <w:t xml:space="preserve"> (1)</w:t>
            </w:r>
            <w:r w:rsidRPr="007B5634">
              <w:t xml:space="preserve"> and 23</w:t>
            </w:r>
            <w:r w:rsidR="009A6D21" w:rsidRPr="007B5634">
              <w:t xml:space="preserve"> (1)</w:t>
            </w:r>
          </w:p>
        </w:tc>
      </w:tr>
      <w:tr w:rsidR="007B5634" w:rsidRPr="007B5634" w14:paraId="5572A44A" w14:textId="77777777" w:rsidTr="009178E5">
        <w:tc>
          <w:tcPr>
            <w:tcW w:w="3119" w:type="dxa"/>
          </w:tcPr>
          <w:p w14:paraId="5572A448" w14:textId="43D0913F" w:rsidR="006A31AE" w:rsidRPr="007B5634" w:rsidRDefault="006A31AE" w:rsidP="005553FD">
            <w:pPr>
              <w:pStyle w:val="SingleTxtG"/>
              <w:ind w:left="0" w:right="0"/>
              <w:jc w:val="left"/>
              <w:rPr>
                <w:i/>
                <w:iCs/>
              </w:rPr>
            </w:pPr>
            <w:r w:rsidRPr="007B5634">
              <w:rPr>
                <w:i/>
                <w:iCs/>
              </w:rPr>
              <w:t>Article</w:t>
            </w:r>
            <w:r w:rsidR="000B4C93" w:rsidRPr="007B5634">
              <w:rPr>
                <w:i/>
                <w:iCs/>
              </w:rPr>
              <w:t>s</w:t>
            </w:r>
            <w:r w:rsidRPr="007B5634">
              <w:rPr>
                <w:i/>
                <w:iCs/>
              </w:rPr>
              <w:t xml:space="preserve"> of the Optional Protocol:</w:t>
            </w:r>
          </w:p>
        </w:tc>
        <w:tc>
          <w:tcPr>
            <w:tcW w:w="3685" w:type="dxa"/>
          </w:tcPr>
          <w:p w14:paraId="5572A449" w14:textId="289F71AF" w:rsidR="00A269EE" w:rsidRPr="007B5634" w:rsidRDefault="003F5428" w:rsidP="00BA10F9">
            <w:pPr>
              <w:pStyle w:val="SingleTxtG"/>
              <w:ind w:left="0" w:right="0"/>
              <w:jc w:val="left"/>
            </w:pPr>
            <w:r w:rsidRPr="007B5634">
              <w:t xml:space="preserve">2, 3 </w:t>
            </w:r>
            <w:r w:rsidRPr="007B5634">
              <w:rPr>
                <w:lang w:val="en-AU"/>
              </w:rPr>
              <w:t>and</w:t>
            </w:r>
            <w:r w:rsidRPr="007B5634">
              <w:t xml:space="preserve"> </w:t>
            </w:r>
            <w:r w:rsidRPr="007B5634">
              <w:rPr>
                <w:bCs/>
              </w:rPr>
              <w:t>5 (2) (b)</w:t>
            </w:r>
          </w:p>
        </w:tc>
      </w:tr>
    </w:tbl>
    <w:p w14:paraId="02225D95" w14:textId="386A308D" w:rsidR="00A273F5" w:rsidRPr="007B5634" w:rsidRDefault="00675748" w:rsidP="007B5634">
      <w:pPr>
        <w:pStyle w:val="SingleTxtG"/>
        <w:spacing w:before="240"/>
        <w:rPr>
          <w:rFonts w:eastAsia="Times New Roman"/>
          <w:lang w:eastAsia="en-US"/>
        </w:rPr>
      </w:pPr>
      <w:r w:rsidRPr="007B5634">
        <w:t>1.</w:t>
      </w:r>
      <w:r w:rsidR="006F367D" w:rsidRPr="007B5634">
        <w:t>1</w:t>
      </w:r>
      <w:r w:rsidRPr="007B5634">
        <w:tab/>
      </w:r>
      <w:r w:rsidR="00596890" w:rsidRPr="007B5634">
        <w:rPr>
          <w:rFonts w:eastAsia="Times New Roman"/>
          <w:lang w:eastAsia="en-US"/>
        </w:rPr>
        <w:t>The author</w:t>
      </w:r>
      <w:r w:rsidR="00596890" w:rsidRPr="007B5634">
        <w:t xml:space="preserve"> of </w:t>
      </w:r>
      <w:r w:rsidR="00237A47" w:rsidRPr="007B5634">
        <w:t>the com</w:t>
      </w:r>
      <w:r w:rsidR="00E64D3D" w:rsidRPr="007B5634">
        <w:t xml:space="preserve">munication </w:t>
      </w:r>
      <w:r w:rsidR="00465D80" w:rsidRPr="007B5634">
        <w:t xml:space="preserve">is </w:t>
      </w:r>
      <w:r w:rsidR="008770E8" w:rsidRPr="007B5634">
        <w:t xml:space="preserve">John </w:t>
      </w:r>
      <w:proofErr w:type="spellStart"/>
      <w:r w:rsidR="008770E8" w:rsidRPr="007B5634">
        <w:t>Isley</w:t>
      </w:r>
      <w:proofErr w:type="spellEnd"/>
      <w:r w:rsidR="00465D80" w:rsidRPr="007B5634">
        <w:t xml:space="preserve">, a national of </w:t>
      </w:r>
      <w:r w:rsidR="00FD7417" w:rsidRPr="007B5634">
        <w:t>the United Kingdom</w:t>
      </w:r>
      <w:r w:rsidR="00465D80" w:rsidRPr="007B5634">
        <w:t xml:space="preserve"> born </w:t>
      </w:r>
      <w:r w:rsidR="00FD7417" w:rsidRPr="007B5634">
        <w:t>in 1962</w:t>
      </w:r>
      <w:r w:rsidR="00751265" w:rsidRPr="007B5634">
        <w:rPr>
          <w:rFonts w:eastAsia="Times New Roman"/>
          <w:lang w:eastAsia="en-US"/>
        </w:rPr>
        <w:t>.</w:t>
      </w:r>
      <w:r w:rsidR="00596890" w:rsidRPr="007B5634">
        <w:t xml:space="preserve"> </w:t>
      </w:r>
      <w:r w:rsidR="00F236DD" w:rsidRPr="007B5634">
        <w:t xml:space="preserve">He </w:t>
      </w:r>
      <w:r w:rsidR="00FD7417" w:rsidRPr="007B5634">
        <w:t xml:space="preserve">is facing deportation to the United Kingdom following a criminal conviction in Australia. He claims that his deportation will amount to a violation of his rights under articles 14, 17 and 23 of the Covenant. </w:t>
      </w:r>
      <w:r w:rsidR="005B3685" w:rsidRPr="007B5634">
        <w:rPr>
          <w:rFonts w:eastAsia="Times New Roman"/>
          <w:lang w:eastAsia="en-GB"/>
        </w:rPr>
        <w:t>The Optional Protocol entered into force for</w:t>
      </w:r>
      <w:r w:rsidR="00F236DD" w:rsidRPr="007B5634">
        <w:rPr>
          <w:rFonts w:eastAsia="Times New Roman"/>
          <w:lang w:eastAsia="en-GB"/>
        </w:rPr>
        <w:t xml:space="preserve"> </w:t>
      </w:r>
      <w:r w:rsidR="00FD7417" w:rsidRPr="007B5634">
        <w:rPr>
          <w:rFonts w:eastAsia="Times New Roman"/>
          <w:lang w:eastAsia="en-GB"/>
        </w:rPr>
        <w:t>Australia</w:t>
      </w:r>
      <w:r w:rsidR="00411E42" w:rsidRPr="007B5634">
        <w:rPr>
          <w:rFonts w:eastAsia="Times New Roman"/>
          <w:lang w:eastAsia="en-GB"/>
        </w:rPr>
        <w:t xml:space="preserve"> on </w:t>
      </w:r>
      <w:r w:rsidR="00FD7417" w:rsidRPr="007B5634">
        <w:rPr>
          <w:rFonts w:eastAsia="Times New Roman"/>
          <w:lang w:eastAsia="en-GB"/>
        </w:rPr>
        <w:t xml:space="preserve">25 September 1991. </w:t>
      </w:r>
      <w:r w:rsidR="00F236DD" w:rsidRPr="007B5634">
        <w:rPr>
          <w:rFonts w:eastAsia="Times New Roman"/>
          <w:lang w:eastAsia="en-US"/>
        </w:rPr>
        <w:t xml:space="preserve"> </w:t>
      </w:r>
    </w:p>
    <w:p w14:paraId="3E13D1C6" w14:textId="5E56F0C7" w:rsidR="006F367D" w:rsidRPr="007B5634" w:rsidRDefault="006F367D" w:rsidP="006F367D">
      <w:pPr>
        <w:pStyle w:val="SingleTxtG"/>
        <w:rPr>
          <w:rFonts w:eastAsia="Times New Roman"/>
          <w:lang w:eastAsia="en-US"/>
        </w:rPr>
      </w:pPr>
      <w:r w:rsidRPr="007B5634">
        <w:t>1.2</w:t>
      </w:r>
      <w:r w:rsidRPr="007B5634">
        <w:tab/>
        <w:t xml:space="preserve">On 10 July 2018, pursuant to rule 92 of its rules of procedure, the Committee, acting through its Special Rapporteur on new communications and interim measures, </w:t>
      </w:r>
      <w:r w:rsidR="00D92D0A" w:rsidRPr="007B5634">
        <w:t xml:space="preserve">denied the author’s request for interim measures. </w:t>
      </w:r>
      <w:r w:rsidRPr="007B5634">
        <w:rPr>
          <w:rFonts w:eastAsia="Times New Roman"/>
          <w:lang w:eastAsia="en-US"/>
        </w:rPr>
        <w:t xml:space="preserve"> </w:t>
      </w:r>
    </w:p>
    <w:p w14:paraId="5CD5609C" w14:textId="60E51B7E" w:rsidR="006F367D" w:rsidRPr="007B5634" w:rsidRDefault="006F367D" w:rsidP="00A21B8E">
      <w:pPr>
        <w:pStyle w:val="SingleTxtG"/>
        <w:rPr>
          <w:rFonts w:eastAsia="Times New Roman"/>
          <w:lang w:eastAsia="en-US"/>
        </w:rPr>
      </w:pPr>
      <w:r w:rsidRPr="007B5634">
        <w:rPr>
          <w:rFonts w:eastAsia="Times New Roman"/>
          <w:lang w:eastAsia="en-US"/>
        </w:rPr>
        <w:lastRenderedPageBreak/>
        <w:t>1.3</w:t>
      </w:r>
      <w:r w:rsidRPr="007B5634">
        <w:rPr>
          <w:rFonts w:eastAsia="Times New Roman"/>
          <w:lang w:eastAsia="en-US"/>
        </w:rPr>
        <w:tab/>
        <w:t xml:space="preserve">On </w:t>
      </w:r>
      <w:r w:rsidR="00D92D0A" w:rsidRPr="007B5634">
        <w:rPr>
          <w:rFonts w:eastAsia="Times New Roman"/>
          <w:lang w:eastAsia="en-US"/>
        </w:rPr>
        <w:t xml:space="preserve">11 October 2021, the author requested </w:t>
      </w:r>
      <w:r w:rsidR="00A756A5" w:rsidRPr="007B5634">
        <w:rPr>
          <w:rFonts w:eastAsia="Times New Roman"/>
          <w:lang w:eastAsia="en-US"/>
        </w:rPr>
        <w:t xml:space="preserve">once again </w:t>
      </w:r>
      <w:r w:rsidR="00D92D0A" w:rsidRPr="007B5634">
        <w:rPr>
          <w:rFonts w:eastAsia="Times New Roman"/>
          <w:lang w:eastAsia="en-US"/>
        </w:rPr>
        <w:t xml:space="preserve">the Committee to issue interim measures to </w:t>
      </w:r>
      <w:r w:rsidR="00A21B8E" w:rsidRPr="007B5634">
        <w:rPr>
          <w:rFonts w:eastAsia="Times New Roman"/>
          <w:lang w:eastAsia="en-US"/>
        </w:rPr>
        <w:t xml:space="preserve">stop his deportation to the United Kingdom. </w:t>
      </w:r>
      <w:r w:rsidRPr="007B5634">
        <w:t xml:space="preserve">On </w:t>
      </w:r>
      <w:r w:rsidR="00A21B8E" w:rsidRPr="007B5634">
        <w:t>11 October 2021,</w:t>
      </w:r>
      <w:r w:rsidRPr="007B5634">
        <w:t xml:space="preserve"> the Committee, acting through its Special Rapporteur on new communications and interim measures, </w:t>
      </w:r>
      <w:r w:rsidR="00A756A5" w:rsidRPr="007B5634">
        <w:t xml:space="preserve">again </w:t>
      </w:r>
      <w:r w:rsidRPr="007B5634">
        <w:t>de</w:t>
      </w:r>
      <w:r w:rsidR="00A21B8E" w:rsidRPr="007B5634">
        <w:t xml:space="preserve">nied the author’s request for interim measures. </w:t>
      </w:r>
      <w:r w:rsidRPr="007B5634">
        <w:t xml:space="preserve"> </w:t>
      </w:r>
    </w:p>
    <w:p w14:paraId="57D03ACC" w14:textId="6C3A99A2" w:rsidR="00596890" w:rsidRPr="007B5634" w:rsidRDefault="00901B13" w:rsidP="00901B13">
      <w:pPr>
        <w:pStyle w:val="H23G"/>
      </w:pPr>
      <w:r w:rsidRPr="007B5634">
        <w:tab/>
      </w:r>
      <w:r w:rsidRPr="007B5634">
        <w:tab/>
      </w:r>
      <w:r w:rsidR="00861B2A" w:rsidRPr="007B5634">
        <w:t>Factual background</w:t>
      </w:r>
      <w:r w:rsidR="00316E54" w:rsidRPr="007B5634">
        <w:rPr>
          <w:rStyle w:val="FootnoteReference"/>
          <w:b w:val="0"/>
          <w:bCs/>
        </w:rPr>
        <w:footnoteReference w:id="4"/>
      </w:r>
    </w:p>
    <w:p w14:paraId="1B8FDEBC" w14:textId="5448AFB3" w:rsidR="00C11162" w:rsidRPr="007B5634" w:rsidRDefault="003271C2" w:rsidP="009A57F2">
      <w:pPr>
        <w:pStyle w:val="SingleTxtG"/>
      </w:pPr>
      <w:r w:rsidRPr="007B5634">
        <w:t>2.1</w:t>
      </w:r>
      <w:r w:rsidR="004A5558" w:rsidRPr="007B5634">
        <w:tab/>
        <w:t xml:space="preserve">The author </w:t>
      </w:r>
      <w:r w:rsidR="008917D8" w:rsidRPr="007B5634">
        <w:t xml:space="preserve">was born in the United Kingdom and </w:t>
      </w:r>
      <w:r w:rsidR="004A5558" w:rsidRPr="007B5634">
        <w:t>arrived in Australia at the age of four with his parents and brother</w:t>
      </w:r>
      <w:r w:rsidR="008917D8" w:rsidRPr="007B5634">
        <w:t xml:space="preserve">. They travelled back to the United Kingdom in 1970 and then </w:t>
      </w:r>
      <w:r w:rsidR="00A756A5" w:rsidRPr="007B5634">
        <w:t xml:space="preserve">in October 1971 </w:t>
      </w:r>
      <w:r w:rsidR="008917D8" w:rsidRPr="007B5634">
        <w:t xml:space="preserve">returned </w:t>
      </w:r>
      <w:r w:rsidR="00C11162" w:rsidRPr="007B5634">
        <w:t xml:space="preserve">permanently </w:t>
      </w:r>
      <w:r w:rsidR="008917D8" w:rsidRPr="007B5634">
        <w:t xml:space="preserve">to Australia </w:t>
      </w:r>
      <w:r w:rsidR="00A756A5" w:rsidRPr="007B5634">
        <w:t>where they have</w:t>
      </w:r>
      <w:r w:rsidR="00772511" w:rsidRPr="007B5634">
        <w:t xml:space="preserve"> been living  since. </w:t>
      </w:r>
      <w:r w:rsidR="00294F9D" w:rsidRPr="007B5634">
        <w:t xml:space="preserve">The author’s entire family reside in </w:t>
      </w:r>
      <w:r w:rsidR="009A57F2" w:rsidRPr="007B5634">
        <w:t>Australia</w:t>
      </w:r>
      <w:r w:rsidR="00294F9D" w:rsidRPr="007B5634">
        <w:t xml:space="preserve"> and all have citizenship except for </w:t>
      </w:r>
      <w:r w:rsidR="009A57F2" w:rsidRPr="007B5634">
        <w:t xml:space="preserve">him. The author always saw himself as Australian. </w:t>
      </w:r>
      <w:r w:rsidR="00294F9D" w:rsidRPr="007B5634">
        <w:t>On 16 February</w:t>
      </w:r>
      <w:r w:rsidR="009A57F2" w:rsidRPr="007B5634">
        <w:t xml:space="preserve"> 2007, he was granted a Class BB Subclass 155 Resident Return Visa, which permits him to reside permanently in Australia. </w:t>
      </w:r>
    </w:p>
    <w:p w14:paraId="7395C7E5" w14:textId="03894291" w:rsidR="00B40668" w:rsidRPr="007B5634" w:rsidRDefault="00C11162" w:rsidP="004A5558">
      <w:pPr>
        <w:pStyle w:val="SingleTxtG"/>
      </w:pPr>
      <w:r w:rsidRPr="007B5634">
        <w:t>2.2</w:t>
      </w:r>
      <w:r w:rsidRPr="007B5634">
        <w:tab/>
      </w:r>
      <w:r w:rsidR="004A5558" w:rsidRPr="007B5634">
        <w:t>On 8 April 2011</w:t>
      </w:r>
      <w:r w:rsidR="009A57F2" w:rsidRPr="007B5634">
        <w:t>, the author</w:t>
      </w:r>
      <w:r w:rsidR="004A5558" w:rsidRPr="007B5634">
        <w:t xml:space="preserve"> was convicted of “incest by </w:t>
      </w:r>
      <w:r w:rsidR="00A756A5" w:rsidRPr="007B5634">
        <w:t>stepparent</w:t>
      </w:r>
      <w:r w:rsidR="004A5558" w:rsidRPr="007B5634">
        <w:t xml:space="preserve">”, “indecent act with child under 16”, </w:t>
      </w:r>
      <w:r w:rsidR="009A57F2" w:rsidRPr="007B5634">
        <w:t xml:space="preserve">committed between 1 June 2003 and 30 June 2004. He also pleaded guilty to the separate offence of </w:t>
      </w:r>
      <w:r w:rsidR="004A5558" w:rsidRPr="007B5634">
        <w:t>“make/produce child pornography”</w:t>
      </w:r>
      <w:r w:rsidR="009A57F2" w:rsidRPr="007B5634">
        <w:t>, which occurred on 7 September 2006</w:t>
      </w:r>
      <w:r w:rsidRPr="007B5634">
        <w:t>.</w:t>
      </w:r>
      <w:r w:rsidR="004A5558" w:rsidRPr="007B5634">
        <w:t xml:space="preserve"> </w:t>
      </w:r>
      <w:r w:rsidRPr="007B5634">
        <w:t>T</w:t>
      </w:r>
      <w:r w:rsidR="004A5558" w:rsidRPr="007B5634">
        <w:t xml:space="preserve">he </w:t>
      </w:r>
      <w:r w:rsidR="00996145" w:rsidRPr="007B5634">
        <w:t xml:space="preserve">author was sentenced to a cumulative term of </w:t>
      </w:r>
      <w:r w:rsidR="004A5558" w:rsidRPr="007B5634">
        <w:t xml:space="preserve">eight years and six months imprisonment, with a non-parole period of five years and eight months. The conviction was upheld on appeal by the Melbourne Supreme Court by decision of 18 December 2012. </w:t>
      </w:r>
    </w:p>
    <w:p w14:paraId="2AB7E6F7" w14:textId="43EF5E60" w:rsidR="003E41DB" w:rsidRPr="007B5634" w:rsidRDefault="00B40668" w:rsidP="004A5558">
      <w:pPr>
        <w:pStyle w:val="SingleTxtG"/>
      </w:pPr>
      <w:r w:rsidRPr="007B5634">
        <w:t>2.3</w:t>
      </w:r>
      <w:r w:rsidRPr="007B5634">
        <w:tab/>
      </w:r>
      <w:r w:rsidR="00B74B40" w:rsidRPr="007B5634">
        <w:t>On 12 October 2015, a</w:t>
      </w:r>
      <w:r w:rsidR="004A5558" w:rsidRPr="007B5634">
        <w:t xml:space="preserve">s a result of the </w:t>
      </w:r>
      <w:r w:rsidR="00B74B40" w:rsidRPr="007B5634">
        <w:t xml:space="preserve">author’s conviction, his </w:t>
      </w:r>
      <w:r w:rsidR="004A5558" w:rsidRPr="007B5634">
        <w:t>visa was cancelled</w:t>
      </w:r>
      <w:r w:rsidR="00B74B40" w:rsidRPr="007B5634">
        <w:t xml:space="preserve"> under section 501(3A) of the Migration Act</w:t>
      </w:r>
      <w:r w:rsidR="00D92D0A" w:rsidRPr="007B5634">
        <w:t xml:space="preserve"> and he was subject to immigration detention and removal</w:t>
      </w:r>
      <w:r w:rsidR="00B74B40" w:rsidRPr="007B5634">
        <w:t xml:space="preserve">. </w:t>
      </w:r>
      <w:r w:rsidR="003E41DB" w:rsidRPr="007B5634">
        <w:t xml:space="preserve">On 22 October 2015, the author applied for revocation of the cancellation decision pursuant to section 501CA(4) of the Migration Act. Under the Migration Act, the Minister </w:t>
      </w:r>
      <w:r w:rsidR="002F62E5" w:rsidRPr="007B5634">
        <w:t xml:space="preserve">for Immigration and Border Protection </w:t>
      </w:r>
      <w:r w:rsidR="003E41DB" w:rsidRPr="007B5634">
        <w:t xml:space="preserve">is authorized to revoke a visa cancellation if satisfied that the applicant passes the character test under the Act, or if there is another reason why the original decision should be revoked. </w:t>
      </w:r>
    </w:p>
    <w:p w14:paraId="2258C5A4" w14:textId="0DD9B98B" w:rsidR="0015632C" w:rsidRPr="007B5634" w:rsidRDefault="0015632C" w:rsidP="004A5558">
      <w:pPr>
        <w:pStyle w:val="SingleTxtG"/>
      </w:pPr>
      <w:r w:rsidRPr="007B5634">
        <w:t>2.4</w:t>
      </w:r>
      <w:r w:rsidRPr="007B5634">
        <w:tab/>
        <w:t xml:space="preserve">In support of his application, the author submitted an extensive package </w:t>
      </w:r>
      <w:r w:rsidR="00C95EED" w:rsidRPr="007B5634">
        <w:t xml:space="preserve">of documents including references from family, friends, work colleagues, the Federal Police, Corrections Victoria Officers, medical reports, prison management notes and prison program completion reports. The author submits that the Minister was advised of the history of severe heart disease in his family from which he also suffers, of his severe depression, </w:t>
      </w:r>
      <w:r w:rsidR="00987275" w:rsidRPr="007B5634">
        <w:t xml:space="preserve">and </w:t>
      </w:r>
      <w:r w:rsidR="00427029" w:rsidRPr="007B5634">
        <w:t xml:space="preserve">his </w:t>
      </w:r>
      <w:r w:rsidR="00987275" w:rsidRPr="007B5634">
        <w:t xml:space="preserve">vertebrae and ear issues, which will require </w:t>
      </w:r>
      <w:r w:rsidR="00B32467" w:rsidRPr="007B5634">
        <w:t>surgeries</w:t>
      </w:r>
      <w:r w:rsidR="00987275" w:rsidRPr="007B5634">
        <w:t xml:space="preserve">. </w:t>
      </w:r>
    </w:p>
    <w:p w14:paraId="694737F0" w14:textId="723A75E2" w:rsidR="004A5558" w:rsidRPr="007B5634" w:rsidRDefault="003E41DB" w:rsidP="00172FB8">
      <w:pPr>
        <w:pStyle w:val="SingleTxtG"/>
      </w:pPr>
      <w:r w:rsidRPr="007B5634">
        <w:t>2.</w:t>
      </w:r>
      <w:r w:rsidR="007B5634" w:rsidRPr="007B5634">
        <w:t>5</w:t>
      </w:r>
      <w:r w:rsidRPr="007B5634">
        <w:tab/>
      </w:r>
      <w:r w:rsidR="004A5558" w:rsidRPr="007B5634">
        <w:t xml:space="preserve">On 11 October 2017, the Minister for Immigration and Border Protection denied the author’s application for a revocation of the visa cancellation. </w:t>
      </w:r>
      <w:r w:rsidR="002F62E5" w:rsidRPr="007B5634">
        <w:t>In its decision, t</w:t>
      </w:r>
      <w:r w:rsidR="004A5558" w:rsidRPr="007B5634">
        <w:t>he Minister noted that</w:t>
      </w:r>
      <w:r w:rsidR="002F62E5" w:rsidRPr="007B5634">
        <w:t>,</w:t>
      </w:r>
      <w:r w:rsidR="004A5558" w:rsidRPr="007B5634">
        <w:t xml:space="preserve"> </w:t>
      </w:r>
      <w:r w:rsidR="002F62E5" w:rsidRPr="007B5634">
        <w:t xml:space="preserve">under Section 501(6)(e), </w:t>
      </w:r>
      <w:r w:rsidR="004A5558" w:rsidRPr="007B5634">
        <w:t>a person does not pass the character test if he or she has been convicted of one or more sexually based offences involving a child. The Minister noted that the author had been convicted of such offences and therefore did not pass the character test. The Minister also considered whether there were other reasons for revoking the visa cancellation</w:t>
      </w:r>
      <w:r w:rsidR="00867A77" w:rsidRPr="007B5634">
        <w:t xml:space="preserve"> and considered the reasons outlined by the author in his revocation application. The Minister </w:t>
      </w:r>
      <w:r w:rsidR="004A5558" w:rsidRPr="007B5634">
        <w:t>noted that the author ha</w:t>
      </w:r>
      <w:r w:rsidR="002F62E5" w:rsidRPr="007B5634">
        <w:t>d</w:t>
      </w:r>
      <w:r w:rsidR="004A5558" w:rsidRPr="007B5634">
        <w:t xml:space="preserve"> no children but that he had indicated that he ha</w:t>
      </w:r>
      <w:r w:rsidR="002F62E5" w:rsidRPr="007B5634">
        <w:t>d</w:t>
      </w:r>
      <w:r w:rsidR="004A5558" w:rsidRPr="007B5634">
        <w:t xml:space="preserve"> four nieces and nephews living in Australia. The Minister concluded that</w:t>
      </w:r>
      <w:r w:rsidR="00867A77" w:rsidRPr="007B5634">
        <w:t>, although</w:t>
      </w:r>
      <w:r w:rsidR="004A5558" w:rsidRPr="007B5634">
        <w:t xml:space="preserve"> it may be in the best interest of the author’s extended family that the cancellation of his visa was revoked</w:t>
      </w:r>
      <w:r w:rsidR="00867A77" w:rsidRPr="007B5634">
        <w:t xml:space="preserve">, he nevertheless </w:t>
      </w:r>
      <w:r w:rsidR="004A5558" w:rsidRPr="007B5634">
        <w:t>found that the extent of any harm to their best interest was likely to be limited</w:t>
      </w:r>
      <w:r w:rsidR="00131A12" w:rsidRPr="007B5634">
        <w:t>,</w:t>
      </w:r>
      <w:r w:rsidR="004A5558" w:rsidRPr="007B5634">
        <w:t xml:space="preserve"> as there was no indication that any minor children were parented or in the care of the author. The Minister also took into account that the author had resided in Australia since childhood and had contributed to society through employment. He also noted that the author’s brother and sister lived in Australia and that the author was engaged to an Australian citizen, whose three adult children considered him as a </w:t>
      </w:r>
      <w:r w:rsidR="00B32467" w:rsidRPr="007B5634">
        <w:t>stepfather</w:t>
      </w:r>
      <w:r w:rsidR="004A5558" w:rsidRPr="007B5634">
        <w:t>. He also acknowledged that the author may not have personal support in the U</w:t>
      </w:r>
      <w:r w:rsidR="00131A12" w:rsidRPr="007B5634">
        <w:t xml:space="preserve">nited </w:t>
      </w:r>
      <w:r w:rsidR="004A5558" w:rsidRPr="007B5634">
        <w:t>K</w:t>
      </w:r>
      <w:r w:rsidR="00131A12" w:rsidRPr="007B5634">
        <w:t>ingdom</w:t>
      </w:r>
      <w:r w:rsidR="004A5558" w:rsidRPr="007B5634">
        <w:t xml:space="preserve">, having not lived there since he was a child. </w:t>
      </w:r>
      <w:r w:rsidR="000B2ADF" w:rsidRPr="007B5634">
        <w:t xml:space="preserve">The Minister considered the extent of the health impediments if the author were to be removed and </w:t>
      </w:r>
      <w:r w:rsidR="004A5558" w:rsidRPr="007B5634">
        <w:t xml:space="preserve">noted that </w:t>
      </w:r>
      <w:r w:rsidR="000B2ADF" w:rsidRPr="007B5634">
        <w:t>he</w:t>
      </w:r>
      <w:r w:rsidR="004A5558" w:rsidRPr="007B5634">
        <w:t xml:space="preserve"> had indicated that his family ha</w:t>
      </w:r>
      <w:r w:rsidR="00427029" w:rsidRPr="007B5634">
        <w:t>d</w:t>
      </w:r>
      <w:r w:rsidR="004A5558" w:rsidRPr="007B5634">
        <w:t xml:space="preserve"> a history of heart disease, but that the author would have access to medical treatment in the U</w:t>
      </w:r>
      <w:r w:rsidR="000B2ADF" w:rsidRPr="007B5634">
        <w:t xml:space="preserve">nited </w:t>
      </w:r>
      <w:r w:rsidR="004A5558" w:rsidRPr="007B5634">
        <w:t>K</w:t>
      </w:r>
      <w:r w:rsidR="000B2ADF" w:rsidRPr="007B5634">
        <w:t>ingdom</w:t>
      </w:r>
      <w:r w:rsidR="004A5558" w:rsidRPr="007B5634">
        <w:t xml:space="preserve"> under its </w:t>
      </w:r>
      <w:r w:rsidR="004A5558" w:rsidRPr="007B5634">
        <w:lastRenderedPageBreak/>
        <w:t>national health system. He found that any practical hardship suffered by the author in establishing himself in the U</w:t>
      </w:r>
      <w:r w:rsidR="00172FB8" w:rsidRPr="007B5634">
        <w:t xml:space="preserve">nited </w:t>
      </w:r>
      <w:r w:rsidR="004A5558" w:rsidRPr="007B5634">
        <w:t>K</w:t>
      </w:r>
      <w:r w:rsidR="00172FB8" w:rsidRPr="007B5634">
        <w:t>ingdom</w:t>
      </w:r>
      <w:r w:rsidR="004A5558" w:rsidRPr="007B5634">
        <w:t xml:space="preserve"> would not be excessive. In his decision</w:t>
      </w:r>
      <w:r w:rsidR="00172FB8" w:rsidRPr="007B5634">
        <w:t>,</w:t>
      </w:r>
      <w:r w:rsidR="004A5558" w:rsidRPr="007B5634">
        <w:t xml:space="preserve"> the Minister gave significant weight to the serious nature of the author’s conviction and found that the Australian community could be exposed to significant harm should he reoffend.</w:t>
      </w:r>
      <w:r w:rsidR="00172FB8" w:rsidRPr="007B5634">
        <w:t xml:space="preserve"> </w:t>
      </w:r>
    </w:p>
    <w:p w14:paraId="328DCC65" w14:textId="0F7D3193" w:rsidR="00BF39F4" w:rsidRPr="007B5634" w:rsidRDefault="004A5558" w:rsidP="00C05042">
      <w:pPr>
        <w:pStyle w:val="SingleTxtG"/>
      </w:pPr>
      <w:r w:rsidRPr="007B5634">
        <w:t>2.</w:t>
      </w:r>
      <w:r w:rsidR="007B5634" w:rsidRPr="007B5634">
        <w:t>6</w:t>
      </w:r>
      <w:r w:rsidRPr="007B5634">
        <w:tab/>
        <w:t>The author applied for judicial review of the decision of the Minister for Immigration and Border Protection to the Federal Court of Australia. On 1 May 2018</w:t>
      </w:r>
      <w:r w:rsidR="00043F2E" w:rsidRPr="007B5634">
        <w:t>,</w:t>
      </w:r>
      <w:r w:rsidRPr="007B5634">
        <w:t xml:space="preserve"> </w:t>
      </w:r>
      <w:r w:rsidR="00043F2E" w:rsidRPr="007B5634">
        <w:t xml:space="preserve">the Federal Court </w:t>
      </w:r>
      <w:r w:rsidRPr="007B5634">
        <w:t>dismissed his application for review</w:t>
      </w:r>
      <w:r w:rsidR="00043F2E" w:rsidRPr="007B5634">
        <w:t xml:space="preserve">, finding that the Minister’s non-revocation decision was lawful. </w:t>
      </w:r>
    </w:p>
    <w:p w14:paraId="5550E3A4" w14:textId="60135301" w:rsidR="006D4AB1" w:rsidRPr="007B5634" w:rsidRDefault="00B5549E" w:rsidP="00B5549E">
      <w:pPr>
        <w:pStyle w:val="H23G"/>
      </w:pPr>
      <w:r w:rsidRPr="007B5634">
        <w:tab/>
      </w:r>
      <w:r w:rsidRPr="007B5634">
        <w:tab/>
      </w:r>
      <w:r w:rsidR="00A46CE4" w:rsidRPr="007B5634">
        <w:t>Complaint</w:t>
      </w:r>
    </w:p>
    <w:p w14:paraId="77B269E8" w14:textId="228A9BE2" w:rsidR="004A5558" w:rsidRPr="007B5634" w:rsidRDefault="00931F0D" w:rsidP="004A5558">
      <w:pPr>
        <w:pStyle w:val="SingleTxtG"/>
      </w:pPr>
      <w:r w:rsidRPr="007B5634">
        <w:t>3.1</w:t>
      </w:r>
      <w:r w:rsidRPr="007B5634">
        <w:tab/>
      </w:r>
      <w:r w:rsidR="006521E3" w:rsidRPr="007B5634">
        <w:t xml:space="preserve"> </w:t>
      </w:r>
      <w:r w:rsidR="004A5558" w:rsidRPr="007B5634">
        <w:t>The author claims that</w:t>
      </w:r>
      <w:r w:rsidR="00744FB7" w:rsidRPr="007B5634">
        <w:t xml:space="preserve"> his removal </w:t>
      </w:r>
      <w:r w:rsidR="004A5558" w:rsidRPr="007B5634">
        <w:t>from Australia to the U</w:t>
      </w:r>
      <w:r w:rsidR="00744FB7" w:rsidRPr="007B5634">
        <w:t xml:space="preserve">nited </w:t>
      </w:r>
      <w:r w:rsidR="004A5558" w:rsidRPr="007B5634">
        <w:t>K</w:t>
      </w:r>
      <w:r w:rsidR="00744FB7" w:rsidRPr="007B5634">
        <w:t>ingdom</w:t>
      </w:r>
      <w:r w:rsidR="004A5558" w:rsidRPr="007B5634">
        <w:t xml:space="preserve"> would disrupt his family life in violation of his rights under articles 17 and 23 of the Covenant. He notes that the deportation would separate him from his fiancée, </w:t>
      </w:r>
      <w:r w:rsidR="00B32467" w:rsidRPr="007B5634">
        <w:t xml:space="preserve">with </w:t>
      </w:r>
      <w:r w:rsidR="004A5558" w:rsidRPr="007B5634">
        <w:t xml:space="preserve">whom he has been for 17 years. It would also separate him from his fiancée’s children and from his siblings and extended family in Australia. </w:t>
      </w:r>
      <w:r w:rsidR="00744FB7" w:rsidRPr="007B5634">
        <w:t>As</w:t>
      </w:r>
      <w:r w:rsidR="004A5558" w:rsidRPr="007B5634">
        <w:t xml:space="preserve"> his parents are buried in Australia, it would be distressing for him not to be able to visit their gravesites. </w:t>
      </w:r>
      <w:r w:rsidR="00744FB7" w:rsidRPr="007B5634">
        <w:t xml:space="preserve">The author claims to have no </w:t>
      </w:r>
      <w:r w:rsidR="004A5558" w:rsidRPr="007B5634">
        <w:t>ties to the U</w:t>
      </w:r>
      <w:r w:rsidR="00744FB7" w:rsidRPr="007B5634">
        <w:t xml:space="preserve">nited </w:t>
      </w:r>
      <w:r w:rsidR="004A5558" w:rsidRPr="007B5634">
        <w:t>K</w:t>
      </w:r>
      <w:r w:rsidR="00744FB7" w:rsidRPr="007B5634">
        <w:t>ingdom</w:t>
      </w:r>
      <w:r w:rsidR="004A5558" w:rsidRPr="007B5634">
        <w:t xml:space="preserve"> and that the country is unfamiliar to him. </w:t>
      </w:r>
      <w:r w:rsidR="00744FB7" w:rsidRPr="007B5634">
        <w:t xml:space="preserve">He also claims that he would not be able to support himself in the United Kingdom as he does not have a trade or any savings. </w:t>
      </w:r>
      <w:r w:rsidR="004A5558" w:rsidRPr="007B5634">
        <w:t xml:space="preserve">He </w:t>
      </w:r>
      <w:r w:rsidR="00744FB7" w:rsidRPr="007B5634">
        <w:t>claims</w:t>
      </w:r>
      <w:r w:rsidR="004A5558" w:rsidRPr="007B5634">
        <w:t xml:space="preserve"> that the Minister’s decision not to revoke his visa cancellation is </w:t>
      </w:r>
      <w:r w:rsidR="0015632C" w:rsidRPr="007B5634">
        <w:t xml:space="preserve">manifestly </w:t>
      </w:r>
      <w:r w:rsidR="004A5558" w:rsidRPr="007B5634">
        <w:t>unreasonable</w:t>
      </w:r>
      <w:r w:rsidR="0015632C" w:rsidRPr="007B5634">
        <w:t xml:space="preserve"> and has not given enough weight in all the good that he has achieved.</w:t>
      </w:r>
      <w:r w:rsidR="00C05042" w:rsidRPr="007B5634">
        <w:t xml:space="preserve"> The author claims that he is classified as a model prisoner and has excellent prison case manager reports. He further adds that he was assessed by a senior Clinical Forensic Psychologist Doctor as “Low Risk” to the community. He believes that the Minister had already made up his mind concerning his case before viewing it. </w:t>
      </w:r>
    </w:p>
    <w:p w14:paraId="65CD4AD9" w14:textId="5CBEA06B" w:rsidR="003A71A5" w:rsidRPr="007B5634" w:rsidRDefault="003A71A5" w:rsidP="004A5558">
      <w:pPr>
        <w:pStyle w:val="SingleTxtG"/>
      </w:pPr>
      <w:r w:rsidRPr="007B5634">
        <w:t>3.2</w:t>
      </w:r>
      <w:r w:rsidRPr="007B5634">
        <w:tab/>
      </w:r>
      <w:r w:rsidR="000B668D" w:rsidRPr="007B5634">
        <w:t xml:space="preserve"> </w:t>
      </w:r>
      <w:r w:rsidR="00C05042" w:rsidRPr="007B5634">
        <w:t xml:space="preserve">The author claims that </w:t>
      </w:r>
      <w:r w:rsidR="00B32467" w:rsidRPr="007B5634">
        <w:t xml:space="preserve">he and </w:t>
      </w:r>
      <w:r w:rsidR="00C05042" w:rsidRPr="007B5634">
        <w:t>his fiancé</w:t>
      </w:r>
      <w:r w:rsidR="00B32467" w:rsidRPr="007B5634">
        <w:t>e</w:t>
      </w:r>
      <w:r w:rsidR="00C05042" w:rsidRPr="007B5634">
        <w:t xml:space="preserve"> will lose their home, as they re-mortgaged it to pay his lawyers and his fiancé</w:t>
      </w:r>
      <w:r w:rsidR="00B32467" w:rsidRPr="007B5634">
        <w:t>e</w:t>
      </w:r>
      <w:r w:rsidR="00C05042" w:rsidRPr="007B5634">
        <w:t xml:space="preserve"> is no longer able to make the payments. He claims that his savings are depleted and that his fiancé</w:t>
      </w:r>
      <w:r w:rsidR="00B32467" w:rsidRPr="007B5634">
        <w:t>e</w:t>
      </w:r>
      <w:r w:rsidR="00C05042" w:rsidRPr="007B5634">
        <w:t xml:space="preserve"> cannot work due to sickness. </w:t>
      </w:r>
    </w:p>
    <w:p w14:paraId="6E5BAA94" w14:textId="4495AC43" w:rsidR="0051492E" w:rsidRPr="007B5634" w:rsidRDefault="004A5558" w:rsidP="000A5162">
      <w:pPr>
        <w:pStyle w:val="SingleTxtG"/>
      </w:pPr>
      <w:r w:rsidRPr="007B5634">
        <w:t>3.</w:t>
      </w:r>
      <w:r w:rsidR="007B5634" w:rsidRPr="007B5634">
        <w:t>3</w:t>
      </w:r>
      <w:r w:rsidRPr="007B5634">
        <w:tab/>
      </w:r>
      <w:r w:rsidR="007637D6" w:rsidRPr="007B5634">
        <w:t>T</w:t>
      </w:r>
      <w:r w:rsidRPr="007B5634">
        <w:t xml:space="preserve">he author </w:t>
      </w:r>
      <w:r w:rsidR="007637D6" w:rsidRPr="007B5634">
        <w:t xml:space="preserve">submits that </w:t>
      </w:r>
      <w:r w:rsidRPr="007B5634">
        <w:t xml:space="preserve">if a delegate of the Minister for Immigration and Border Protection, and not the Minister himself, denies an application for reinstating a visa, this decision can be appealed to the Administrative Appeals Tribunal for a merits review. However, if the Minister takes the decision, it can only be appealed through an application for judicial review to the Federal Court. The author </w:t>
      </w:r>
      <w:r w:rsidR="007637D6" w:rsidRPr="007B5634">
        <w:t>claims</w:t>
      </w:r>
      <w:r w:rsidRPr="007B5634">
        <w:t xml:space="preserve"> that the chances for a successful outcome </w:t>
      </w:r>
      <w:r w:rsidR="007637D6" w:rsidRPr="007B5634">
        <w:t>are</w:t>
      </w:r>
      <w:r w:rsidRPr="007B5634">
        <w:t xml:space="preserve"> much higher in the Administrative Appeals Tribunal than the Federal Court. He</w:t>
      </w:r>
      <w:r w:rsidR="007637D6" w:rsidRPr="007B5634">
        <w:t xml:space="preserve"> claims that</w:t>
      </w:r>
      <w:r w:rsidRPr="007B5634">
        <w:t xml:space="preserve"> the fact he was not able to appeal the decision to the Administrative Appeals Tribunal therefore amounted to a violation of his rights under article 14 of the Covenant.</w:t>
      </w:r>
    </w:p>
    <w:p w14:paraId="090861A9" w14:textId="28D704C1" w:rsidR="00FF30D6" w:rsidRPr="007B5634" w:rsidRDefault="00E97484" w:rsidP="00B5549E">
      <w:pPr>
        <w:pStyle w:val="H23G"/>
        <w:rPr>
          <w:lang w:eastAsia="en-GB"/>
        </w:rPr>
      </w:pPr>
      <w:r w:rsidRPr="007B5634">
        <w:rPr>
          <w:lang w:eastAsia="en-GB"/>
        </w:rPr>
        <w:tab/>
      </w:r>
      <w:r w:rsidR="00B5549E" w:rsidRPr="007B5634">
        <w:rPr>
          <w:lang w:eastAsia="en-GB"/>
        </w:rPr>
        <w:tab/>
      </w:r>
      <w:r w:rsidR="00B5549E" w:rsidRPr="007B5634">
        <w:rPr>
          <w:lang w:eastAsia="en-GB"/>
        </w:rPr>
        <w:tab/>
      </w:r>
      <w:r w:rsidR="00CF77B2" w:rsidRPr="007B5634">
        <w:rPr>
          <w:lang w:eastAsia="en-GB"/>
        </w:rPr>
        <w:t xml:space="preserve">State </w:t>
      </w:r>
      <w:r w:rsidR="00FF30D6" w:rsidRPr="007B5634">
        <w:rPr>
          <w:lang w:eastAsia="en-GB"/>
        </w:rPr>
        <w:t xml:space="preserve">party’s observations </w:t>
      </w:r>
      <w:bookmarkStart w:id="0" w:name="_Hlk66454125"/>
      <w:r w:rsidR="00FF30D6" w:rsidRPr="007B5634">
        <w:rPr>
          <w:lang w:eastAsia="en-GB"/>
        </w:rPr>
        <w:t>on admissibility and the merits</w:t>
      </w:r>
      <w:bookmarkEnd w:id="0"/>
    </w:p>
    <w:p w14:paraId="37F4AED7" w14:textId="77B92FDD" w:rsidR="00F13EC5" w:rsidRPr="007B5634" w:rsidRDefault="007C5768" w:rsidP="008309A0">
      <w:pPr>
        <w:pStyle w:val="SingleTxtG"/>
        <w:rPr>
          <w:rFonts w:eastAsia="Times New Roman"/>
          <w:lang w:eastAsia="en-GB"/>
        </w:rPr>
      </w:pPr>
      <w:r w:rsidRPr="007B5634">
        <w:rPr>
          <w:rFonts w:eastAsia="Times New Roman"/>
          <w:lang w:eastAsia="en-GB"/>
        </w:rPr>
        <w:t>4.1</w:t>
      </w:r>
      <w:r w:rsidRPr="007B5634">
        <w:rPr>
          <w:rFonts w:eastAsia="Times New Roman"/>
          <w:lang w:eastAsia="en-GB"/>
        </w:rPr>
        <w:tab/>
      </w:r>
      <w:r w:rsidR="00C87E3D" w:rsidRPr="007B5634">
        <w:t xml:space="preserve">In a note verbale dated </w:t>
      </w:r>
      <w:r w:rsidR="004A5558" w:rsidRPr="007B5634">
        <w:rPr>
          <w:rFonts w:eastAsia="Times New Roman"/>
          <w:lang w:eastAsia="en-GB"/>
        </w:rPr>
        <w:t>28 August</w:t>
      </w:r>
      <w:r w:rsidR="004F22BE" w:rsidRPr="007B5634">
        <w:rPr>
          <w:rFonts w:eastAsia="Times New Roman"/>
          <w:lang w:eastAsia="en-GB"/>
        </w:rPr>
        <w:t xml:space="preserve"> 201</w:t>
      </w:r>
      <w:r w:rsidR="004A5558" w:rsidRPr="007B5634">
        <w:rPr>
          <w:rFonts w:eastAsia="Times New Roman"/>
          <w:lang w:eastAsia="en-GB"/>
        </w:rPr>
        <w:t>9</w:t>
      </w:r>
      <w:r w:rsidR="00FF30D6" w:rsidRPr="007B5634">
        <w:rPr>
          <w:rFonts w:eastAsia="Times New Roman"/>
          <w:lang w:eastAsia="en-GB"/>
        </w:rPr>
        <w:t xml:space="preserve">, the State party submitted its observations on </w:t>
      </w:r>
      <w:r w:rsidR="00061CB4" w:rsidRPr="007B5634">
        <w:rPr>
          <w:rFonts w:eastAsia="Times New Roman"/>
          <w:lang w:eastAsia="en-GB"/>
        </w:rPr>
        <w:t xml:space="preserve">the </w:t>
      </w:r>
      <w:r w:rsidR="00FF30D6" w:rsidRPr="007B5634">
        <w:rPr>
          <w:rFonts w:eastAsia="Times New Roman"/>
          <w:lang w:eastAsia="en-GB"/>
        </w:rPr>
        <w:t>admissibility and the merits</w:t>
      </w:r>
      <w:r w:rsidR="00061CB4" w:rsidRPr="007B5634">
        <w:rPr>
          <w:rFonts w:eastAsia="Times New Roman"/>
          <w:lang w:eastAsia="en-GB"/>
        </w:rPr>
        <w:t xml:space="preserve"> of the communication</w:t>
      </w:r>
      <w:r w:rsidR="00FF30D6" w:rsidRPr="007B5634">
        <w:rPr>
          <w:rFonts w:eastAsia="Times New Roman"/>
          <w:lang w:eastAsia="en-GB"/>
        </w:rPr>
        <w:t>.</w:t>
      </w:r>
      <w:r w:rsidR="00EB1914" w:rsidRPr="007B5634">
        <w:rPr>
          <w:rFonts w:eastAsia="Times New Roman"/>
          <w:lang w:eastAsia="en-GB"/>
        </w:rPr>
        <w:t xml:space="preserve"> </w:t>
      </w:r>
    </w:p>
    <w:p w14:paraId="51E7FC6D" w14:textId="6B3FAB6B" w:rsidR="00FC4C2B" w:rsidRPr="007B5634" w:rsidRDefault="00FC4C2B" w:rsidP="001042BC">
      <w:pPr>
        <w:pStyle w:val="SingleTxtG"/>
        <w:rPr>
          <w:rFonts w:eastAsia="Times New Roman"/>
          <w:lang w:eastAsia="en-GB"/>
        </w:rPr>
      </w:pPr>
      <w:r w:rsidRPr="007B5634">
        <w:rPr>
          <w:rFonts w:eastAsia="Times New Roman"/>
          <w:lang w:eastAsia="en-GB"/>
        </w:rPr>
        <w:t>4.</w:t>
      </w:r>
      <w:r w:rsidR="00A50497" w:rsidRPr="007B5634">
        <w:rPr>
          <w:rFonts w:eastAsia="Times New Roman"/>
          <w:lang w:eastAsia="en-GB"/>
        </w:rPr>
        <w:t>2</w:t>
      </w:r>
      <w:r w:rsidRPr="007B5634">
        <w:rPr>
          <w:rFonts w:eastAsia="Times New Roman"/>
          <w:lang w:eastAsia="en-GB"/>
        </w:rPr>
        <w:tab/>
      </w:r>
      <w:r w:rsidR="00E650D8" w:rsidRPr="007B5634">
        <w:rPr>
          <w:rFonts w:eastAsia="Times New Roman"/>
          <w:lang w:eastAsia="en-GB"/>
        </w:rPr>
        <w:t xml:space="preserve">The State party submits that further avenues of appeal were available to the author, including before the Federal Court of Australia and the High Court of Australia. It, nonetheless, </w:t>
      </w:r>
      <w:r w:rsidR="008D4232" w:rsidRPr="007B5634">
        <w:rPr>
          <w:rFonts w:eastAsia="Times New Roman"/>
          <w:lang w:eastAsia="en-GB"/>
        </w:rPr>
        <w:t xml:space="preserve">does not argue that the communication should be declared inadmissible for lack of exhaustion of domestic remedies. </w:t>
      </w:r>
    </w:p>
    <w:p w14:paraId="6FFF166C" w14:textId="0A76E8F8" w:rsidR="00DD2231" w:rsidRPr="007B5634" w:rsidRDefault="00813789" w:rsidP="001042BC">
      <w:pPr>
        <w:pStyle w:val="SingleTxtG"/>
        <w:rPr>
          <w:rFonts w:eastAsia="Times New Roman"/>
          <w:lang w:eastAsia="en-GB"/>
        </w:rPr>
      </w:pPr>
      <w:r w:rsidRPr="007B5634">
        <w:rPr>
          <w:rFonts w:eastAsia="Times New Roman"/>
          <w:lang w:eastAsia="en-GB"/>
        </w:rPr>
        <w:t>4.</w:t>
      </w:r>
      <w:r w:rsidR="00A50497" w:rsidRPr="007B5634">
        <w:rPr>
          <w:rFonts w:eastAsia="Times New Roman"/>
          <w:lang w:eastAsia="en-GB"/>
        </w:rPr>
        <w:t>3</w:t>
      </w:r>
      <w:r w:rsidRPr="007B5634">
        <w:rPr>
          <w:rFonts w:eastAsia="Times New Roman"/>
          <w:lang w:eastAsia="en-GB"/>
        </w:rPr>
        <w:tab/>
      </w:r>
      <w:r w:rsidR="008D4232" w:rsidRPr="007B5634">
        <w:rPr>
          <w:rFonts w:eastAsia="Times New Roman"/>
          <w:lang w:eastAsia="en-GB"/>
        </w:rPr>
        <w:t xml:space="preserve">The State party submits that the author’s claim under article 14 (1) should be declared inadmissible </w:t>
      </w:r>
      <w:proofErr w:type="spellStart"/>
      <w:r w:rsidR="008D4232" w:rsidRPr="007B5634">
        <w:rPr>
          <w:rFonts w:eastAsia="Times New Roman"/>
          <w:i/>
          <w:iCs/>
          <w:lang w:eastAsia="en-GB"/>
        </w:rPr>
        <w:t>ratione</w:t>
      </w:r>
      <w:proofErr w:type="spellEnd"/>
      <w:r w:rsidR="008D4232" w:rsidRPr="007B5634">
        <w:rPr>
          <w:rFonts w:eastAsia="Times New Roman"/>
          <w:i/>
          <w:iCs/>
          <w:lang w:eastAsia="en-GB"/>
        </w:rPr>
        <w:t xml:space="preserve"> </w:t>
      </w:r>
      <w:proofErr w:type="spellStart"/>
      <w:r w:rsidR="008D4232" w:rsidRPr="007B5634">
        <w:rPr>
          <w:rFonts w:eastAsia="Times New Roman"/>
          <w:i/>
          <w:iCs/>
          <w:lang w:eastAsia="en-GB"/>
        </w:rPr>
        <w:t>materiae</w:t>
      </w:r>
      <w:proofErr w:type="spellEnd"/>
      <w:r w:rsidR="008D4232" w:rsidRPr="007B5634">
        <w:rPr>
          <w:rFonts w:eastAsia="Times New Roman"/>
          <w:lang w:eastAsia="en-GB"/>
        </w:rPr>
        <w:t xml:space="preserve">. It argues that the decision-making proceedings relating to the author’s visa cancellation and deportation </w:t>
      </w:r>
      <w:r w:rsidR="00DD2231" w:rsidRPr="007B5634">
        <w:rPr>
          <w:rFonts w:eastAsia="Times New Roman"/>
          <w:lang w:eastAsia="en-GB"/>
        </w:rPr>
        <w:t>are</w:t>
      </w:r>
      <w:r w:rsidR="008D4232" w:rsidRPr="007B5634">
        <w:rPr>
          <w:rFonts w:eastAsia="Times New Roman"/>
          <w:lang w:eastAsia="en-GB"/>
        </w:rPr>
        <w:t xml:space="preserve"> administrative in nature and d</w:t>
      </w:r>
      <w:r w:rsidR="00DD2231" w:rsidRPr="007B5634">
        <w:rPr>
          <w:rFonts w:eastAsia="Times New Roman"/>
          <w:lang w:eastAsia="en-GB"/>
        </w:rPr>
        <w:t>o</w:t>
      </w:r>
      <w:r w:rsidR="008D4232" w:rsidRPr="007B5634">
        <w:rPr>
          <w:rFonts w:eastAsia="Times New Roman"/>
          <w:lang w:eastAsia="en-GB"/>
        </w:rPr>
        <w:t xml:space="preserve"> not involve the “determination of any criminal charge” or “rights and obligations in a suit at law” within the meaning of article 14 (1). The</w:t>
      </w:r>
      <w:r w:rsidR="00DD2231" w:rsidRPr="007B5634">
        <w:rPr>
          <w:rFonts w:eastAsia="Times New Roman"/>
          <w:lang w:eastAsia="en-GB"/>
        </w:rPr>
        <w:t xml:space="preserve">se proceedings are in the nature of public law and their fairness are rather guaranteed by article 13 of the Covenant. The </w:t>
      </w:r>
      <w:r w:rsidR="00B36E36" w:rsidRPr="007B5634">
        <w:rPr>
          <w:rFonts w:eastAsia="Times New Roman"/>
          <w:lang w:eastAsia="en-GB"/>
        </w:rPr>
        <w:t>State party argues that the Committee’s jurisprudence has consistently held that proceedings relating to the expulsion of aliens are governed by article 13 of the Covenant and do not fall under article 14</w:t>
      </w:r>
      <w:r w:rsidR="00A863DC" w:rsidRPr="007B5634">
        <w:rPr>
          <w:rFonts w:eastAsia="Times New Roman"/>
          <w:lang w:eastAsia="en-GB"/>
        </w:rPr>
        <w:t>.</w:t>
      </w:r>
      <w:r w:rsidR="00A863DC" w:rsidRPr="007B5634">
        <w:rPr>
          <w:rStyle w:val="FootnoteReference"/>
          <w:rFonts w:eastAsia="Times New Roman"/>
          <w:lang w:eastAsia="en-GB"/>
        </w:rPr>
        <w:footnoteReference w:id="5"/>
      </w:r>
      <w:r w:rsidR="00A863DC" w:rsidRPr="007B5634">
        <w:rPr>
          <w:rFonts w:eastAsia="Times New Roman"/>
          <w:lang w:eastAsia="en-GB"/>
        </w:rPr>
        <w:t xml:space="preserve"> </w:t>
      </w:r>
      <w:r w:rsidR="00B36E36" w:rsidRPr="007B5634">
        <w:rPr>
          <w:rFonts w:eastAsia="Times New Roman"/>
          <w:lang w:eastAsia="en-GB"/>
        </w:rPr>
        <w:t xml:space="preserve"> </w:t>
      </w:r>
    </w:p>
    <w:p w14:paraId="2D928CA2" w14:textId="181D1FC9" w:rsidR="008871F6" w:rsidRPr="007B5634" w:rsidRDefault="00813789" w:rsidP="001042BC">
      <w:pPr>
        <w:pStyle w:val="SingleTxtG"/>
        <w:rPr>
          <w:rFonts w:eastAsia="Times New Roman"/>
          <w:lang w:eastAsia="en-GB"/>
        </w:rPr>
      </w:pPr>
      <w:r w:rsidRPr="007B5634">
        <w:rPr>
          <w:rFonts w:eastAsia="Times New Roman"/>
          <w:lang w:eastAsia="en-GB"/>
        </w:rPr>
        <w:t>4.</w:t>
      </w:r>
      <w:r w:rsidR="00A50497" w:rsidRPr="007B5634">
        <w:rPr>
          <w:rFonts w:eastAsia="Times New Roman"/>
          <w:lang w:eastAsia="en-GB"/>
        </w:rPr>
        <w:t>4</w:t>
      </w:r>
      <w:r w:rsidRPr="007B5634">
        <w:rPr>
          <w:rFonts w:eastAsia="Times New Roman"/>
          <w:lang w:eastAsia="en-GB"/>
        </w:rPr>
        <w:tab/>
      </w:r>
      <w:r w:rsidR="007E5B58" w:rsidRPr="007B5634">
        <w:rPr>
          <w:rFonts w:eastAsia="Times New Roman"/>
          <w:lang w:eastAsia="en-GB"/>
        </w:rPr>
        <w:t>If the Committee were to consider the author’s claims under article</w:t>
      </w:r>
      <w:r w:rsidRPr="007B5634">
        <w:rPr>
          <w:rFonts w:eastAsia="Times New Roman"/>
          <w:lang w:eastAsia="en-GB"/>
        </w:rPr>
        <w:t xml:space="preserve"> 14 (1)</w:t>
      </w:r>
      <w:r w:rsidR="00A863DC" w:rsidRPr="007B5634">
        <w:rPr>
          <w:rFonts w:eastAsia="Times New Roman"/>
          <w:lang w:eastAsia="en-GB"/>
        </w:rPr>
        <w:t xml:space="preserve"> admissible, the State party submits that these are without merit. </w:t>
      </w:r>
      <w:r w:rsidR="00B820FC" w:rsidRPr="007B5634">
        <w:rPr>
          <w:rFonts w:eastAsia="Times New Roman"/>
          <w:lang w:eastAsia="en-GB"/>
        </w:rPr>
        <w:t xml:space="preserve">The proceedings to which the author was </w:t>
      </w:r>
      <w:r w:rsidR="00B820FC" w:rsidRPr="007B5634">
        <w:rPr>
          <w:rFonts w:eastAsia="Times New Roman"/>
          <w:lang w:eastAsia="en-GB"/>
        </w:rPr>
        <w:lastRenderedPageBreak/>
        <w:t xml:space="preserve">subject satisfied the general guarantee of equal access, equality of arms and </w:t>
      </w:r>
      <w:r w:rsidR="00DF1E16" w:rsidRPr="007B5634">
        <w:rPr>
          <w:rFonts w:eastAsia="Times New Roman"/>
          <w:lang w:eastAsia="en-GB"/>
        </w:rPr>
        <w:t xml:space="preserve">ensuring that parties to the proceedings were treated without any discrimination. The State party argues that the author had the opportunity </w:t>
      </w:r>
      <w:r w:rsidR="00A802D2" w:rsidRPr="007B5634">
        <w:rPr>
          <w:rFonts w:eastAsia="Times New Roman"/>
          <w:lang w:eastAsia="en-GB"/>
        </w:rPr>
        <w:t>to make representations in support of his application for revocation of the decision to cancel his visa</w:t>
      </w:r>
      <w:r w:rsidR="00FF68C1" w:rsidRPr="007B5634">
        <w:rPr>
          <w:rFonts w:eastAsia="Times New Roman"/>
          <w:lang w:eastAsia="en-GB"/>
        </w:rPr>
        <w:t>. In making its non-revocation decision, the Minister took into consideration a range of factors</w:t>
      </w:r>
      <w:r w:rsidR="00285C09" w:rsidRPr="007B5634">
        <w:rPr>
          <w:rFonts w:eastAsia="Times New Roman"/>
          <w:lang w:eastAsia="en-GB"/>
        </w:rPr>
        <w:t xml:space="preserve">, which included the author’s health, behaviour in prison, his relationships with his family, the nature of his ties to Australia, and the extent of the impediments he would face upon return to the United Kingdom. Furthermore, the State party also submits that the author had access to judicial review by the Federal Court of Australia of the non-revocation decision and was represented by counsel during these proceedings. </w:t>
      </w:r>
      <w:r w:rsidR="00D16753" w:rsidRPr="007B5634">
        <w:rPr>
          <w:rFonts w:eastAsia="Times New Roman"/>
          <w:lang w:eastAsia="en-GB"/>
        </w:rPr>
        <w:t xml:space="preserve">It holds that the Committee has found that </w:t>
      </w:r>
      <w:r w:rsidR="003A4139" w:rsidRPr="007B5634">
        <w:rPr>
          <w:rFonts w:eastAsia="Times New Roman"/>
          <w:lang w:eastAsia="en-GB"/>
        </w:rPr>
        <w:t xml:space="preserve">a </w:t>
      </w:r>
      <w:r w:rsidR="00D16753" w:rsidRPr="007B5634">
        <w:rPr>
          <w:rFonts w:eastAsia="Times New Roman"/>
          <w:lang w:eastAsia="en-GB"/>
        </w:rPr>
        <w:t>legal system which offers the possibility to appeal to a federal court of appeal for judicial review provides adequate remedy within the meaning of article 14 of the Covenant.</w:t>
      </w:r>
      <w:r w:rsidR="00D16753" w:rsidRPr="007B5634">
        <w:rPr>
          <w:rStyle w:val="FootnoteReference"/>
          <w:rFonts w:eastAsia="Times New Roman"/>
          <w:lang w:eastAsia="en-GB"/>
        </w:rPr>
        <w:footnoteReference w:id="6"/>
      </w:r>
      <w:r w:rsidR="00046154" w:rsidRPr="007B5634">
        <w:rPr>
          <w:rFonts w:eastAsia="Times New Roman"/>
          <w:lang w:eastAsia="en-GB"/>
        </w:rPr>
        <w:t xml:space="preserve"> </w:t>
      </w:r>
      <w:r w:rsidR="008871F6" w:rsidRPr="007B5634">
        <w:rPr>
          <w:rFonts w:eastAsia="Times New Roman"/>
          <w:lang w:eastAsia="en-GB"/>
        </w:rPr>
        <w:t>The</w:t>
      </w:r>
      <w:r w:rsidR="00B42D4B" w:rsidRPr="007B5634">
        <w:rPr>
          <w:rFonts w:eastAsia="Times New Roman"/>
          <w:lang w:eastAsia="en-GB"/>
        </w:rPr>
        <w:t xml:space="preserve"> State party rejects the author’s allegation that</w:t>
      </w:r>
      <w:r w:rsidR="00CE6DC4" w:rsidRPr="007B5634">
        <w:rPr>
          <w:rFonts w:eastAsia="Times New Roman"/>
          <w:lang w:eastAsia="en-GB"/>
        </w:rPr>
        <w:t>,</w:t>
      </w:r>
      <w:r w:rsidR="00B42D4B" w:rsidRPr="007B5634">
        <w:rPr>
          <w:rFonts w:eastAsia="Times New Roman"/>
          <w:lang w:eastAsia="en-GB"/>
        </w:rPr>
        <w:t xml:space="preserve"> the fact he was </w:t>
      </w:r>
      <w:r w:rsidR="00CE6DC4" w:rsidRPr="007B5634">
        <w:rPr>
          <w:rFonts w:eastAsia="Times New Roman"/>
          <w:lang w:eastAsia="en-GB"/>
        </w:rPr>
        <w:t xml:space="preserve">not </w:t>
      </w:r>
      <w:r w:rsidR="00B42D4B" w:rsidRPr="007B5634">
        <w:rPr>
          <w:rFonts w:eastAsia="Times New Roman"/>
          <w:lang w:eastAsia="en-GB"/>
        </w:rPr>
        <w:t xml:space="preserve">able to </w:t>
      </w:r>
      <w:r w:rsidR="00B42D4B" w:rsidRPr="007B5634">
        <w:t>appeal to the Administrative Appeals Tribunal for a merits review</w:t>
      </w:r>
      <w:r w:rsidR="00CE6DC4" w:rsidRPr="007B5634">
        <w:t xml:space="preserve"> because his decision was not taken by a delegate of the Minister is a denial of equality before courts and tribunals under article 14 (1). The State party argues that</w:t>
      </w:r>
      <w:r w:rsidR="004A3DC1" w:rsidRPr="007B5634">
        <w:t xml:space="preserve"> the absence of a merits review in these circumstances is in recognition of the fact that the government is ultimately responsible for ensuring that decisions reflect community standards and expectations. Whether the decision is made by the Minister or a delegate, the State party submits that each decision is made on the same basis and the applicant is entitled to recourse to the Federal Court for judicial review of the decision. </w:t>
      </w:r>
    </w:p>
    <w:p w14:paraId="5DA86311" w14:textId="11D41543" w:rsidR="00813789" w:rsidRPr="007B5634" w:rsidRDefault="00813789" w:rsidP="001042BC">
      <w:pPr>
        <w:pStyle w:val="SingleTxtG"/>
        <w:rPr>
          <w:rFonts w:eastAsia="Times New Roman"/>
          <w:lang w:eastAsia="en-GB"/>
        </w:rPr>
      </w:pPr>
      <w:r w:rsidRPr="007B5634">
        <w:rPr>
          <w:rFonts w:eastAsia="Times New Roman"/>
          <w:lang w:eastAsia="en-GB"/>
        </w:rPr>
        <w:t>4.</w:t>
      </w:r>
      <w:r w:rsidR="00A50497" w:rsidRPr="007B5634">
        <w:rPr>
          <w:rFonts w:eastAsia="Times New Roman"/>
          <w:lang w:eastAsia="en-GB"/>
        </w:rPr>
        <w:t>5</w:t>
      </w:r>
      <w:r w:rsidRPr="007B5634">
        <w:rPr>
          <w:rFonts w:eastAsia="Times New Roman"/>
          <w:lang w:eastAsia="en-GB"/>
        </w:rPr>
        <w:tab/>
      </w:r>
      <w:r w:rsidR="006D5C85" w:rsidRPr="007B5634">
        <w:rPr>
          <w:rFonts w:eastAsia="Times New Roman"/>
          <w:lang w:eastAsia="en-GB"/>
        </w:rPr>
        <w:t>With regard</w:t>
      </w:r>
      <w:r w:rsidR="008C7425" w:rsidRPr="007B5634">
        <w:rPr>
          <w:rFonts w:eastAsia="Times New Roman"/>
          <w:lang w:eastAsia="en-GB"/>
        </w:rPr>
        <w:t xml:space="preserve"> to the author’s claims under articles 17 (1) and 23, the State party submits that the decision to cancel the author’s visa did not constitute an arbitrary interference with his family. It submits that Australian law provides for the revocation of the permanent residency status of a non-national and the removal of the person from Australia if convicted of serious offences or sexually based offences involving a child. The State party recognizes that, in the author’s case, his removal may involve interference with his family ties</w:t>
      </w:r>
      <w:r w:rsidR="00F148E1" w:rsidRPr="007B5634">
        <w:rPr>
          <w:rFonts w:eastAsia="Times New Roman"/>
          <w:lang w:eastAsia="en-GB"/>
        </w:rPr>
        <w:t xml:space="preserve">. However, it argues that this interference </w:t>
      </w:r>
      <w:r w:rsidR="00EE77A6" w:rsidRPr="007B5634">
        <w:rPr>
          <w:rFonts w:eastAsia="Times New Roman"/>
          <w:lang w:eastAsia="en-GB"/>
        </w:rPr>
        <w:t>resulting from his removal was not arbitrary, as it was reasonable, necessary, and proportionate to the legitimate objective of protecting the Australia community from harm. In particular, the State party submits t</w:t>
      </w:r>
      <w:r w:rsidR="00D7234A" w:rsidRPr="007B5634">
        <w:rPr>
          <w:rFonts w:eastAsia="Times New Roman"/>
          <w:lang w:eastAsia="en-GB"/>
        </w:rPr>
        <w:t xml:space="preserve">hat this would protect vulnerable children from the risk of future serious harm </w:t>
      </w:r>
      <w:r w:rsidR="009A49F1" w:rsidRPr="007B5634">
        <w:rPr>
          <w:rFonts w:eastAsia="Times New Roman"/>
          <w:lang w:eastAsia="en-GB"/>
        </w:rPr>
        <w:t xml:space="preserve">by an individual who had committed sexually based offences involving a child. </w:t>
      </w:r>
    </w:p>
    <w:p w14:paraId="5C9204BE" w14:textId="114E606B" w:rsidR="00814A54" w:rsidRPr="007B5634" w:rsidRDefault="007E5B58" w:rsidP="007E5B58">
      <w:pPr>
        <w:pStyle w:val="SingleTxtG"/>
        <w:rPr>
          <w:rFonts w:eastAsia="Times New Roman"/>
          <w:lang w:eastAsia="en-GB"/>
        </w:rPr>
      </w:pPr>
      <w:r w:rsidRPr="007B5634">
        <w:rPr>
          <w:rFonts w:eastAsia="Times New Roman"/>
          <w:lang w:eastAsia="en-GB"/>
        </w:rPr>
        <w:t>4.</w:t>
      </w:r>
      <w:r w:rsidR="00A50497" w:rsidRPr="007B5634">
        <w:rPr>
          <w:rFonts w:eastAsia="Times New Roman"/>
          <w:lang w:eastAsia="en-GB"/>
        </w:rPr>
        <w:t>6</w:t>
      </w:r>
      <w:r w:rsidRPr="007B5634">
        <w:rPr>
          <w:rFonts w:eastAsia="Times New Roman"/>
          <w:lang w:eastAsia="en-GB"/>
        </w:rPr>
        <w:tab/>
      </w:r>
      <w:r w:rsidR="00ED014A" w:rsidRPr="007B5634">
        <w:rPr>
          <w:rFonts w:eastAsia="Times New Roman"/>
          <w:lang w:eastAsia="en-GB"/>
        </w:rPr>
        <w:t xml:space="preserve">The State party reiterates that </w:t>
      </w:r>
      <w:r w:rsidR="00D060E5" w:rsidRPr="007B5634">
        <w:rPr>
          <w:rFonts w:eastAsia="Times New Roman"/>
          <w:lang w:eastAsia="en-GB"/>
        </w:rPr>
        <w:t xml:space="preserve">the Migration Act ensures individuals with an opportunity to seek revocation of the mandatory cancellation of their visa and provide submissions to satisfy the Minister that they pass the character test or that there are other reasons that would justify revoking the cancellation of their visa. In the author’s case, the Minister gave full and careful consideration </w:t>
      </w:r>
      <w:r w:rsidR="00B47F75" w:rsidRPr="007B5634">
        <w:rPr>
          <w:rFonts w:eastAsia="Times New Roman"/>
          <w:lang w:eastAsia="en-GB"/>
        </w:rPr>
        <w:t xml:space="preserve">to the evidence presented by the author and to the effect of his removal on him and his family. The State party submits that the Federal Court of Australia found the Minister’s decision to be lawful and dismissed the author’s argument that the Minister had not considered the hardship of the non-revocation on him, his fiancée, extended family, and friends. </w:t>
      </w:r>
      <w:r w:rsidR="008968F6" w:rsidRPr="007B5634">
        <w:rPr>
          <w:rFonts w:eastAsia="Times New Roman"/>
          <w:lang w:eastAsia="en-GB"/>
        </w:rPr>
        <w:t xml:space="preserve">The State party adds that the Federal Court also duly considered the strength, nature and duration of the author’s ties to Australia, the extent of impediments if removed, the potential risk the author poses to the Australian community and the best interests of any minor children. On this latter point, the State party submits that the author did not challenge before the Federal Court the Minister’s finding that there was no indication that any minor children were parented by or in the care of the author. </w:t>
      </w:r>
      <w:r w:rsidR="00213C1D" w:rsidRPr="007B5634">
        <w:rPr>
          <w:rFonts w:eastAsia="Times New Roman"/>
          <w:lang w:eastAsia="en-GB"/>
        </w:rPr>
        <w:t xml:space="preserve">It submits that, in sum, the Minister concluded that the seriousness of the nature of the crimes committed by the author and the possibility of reoffending posed an unacceptable risk to the Australian community, outweighing the impact of the author’s removal on him and his family. </w:t>
      </w:r>
    </w:p>
    <w:p w14:paraId="31E63BF0" w14:textId="4DEF9C14" w:rsidR="00B47F75" w:rsidRPr="007B5634" w:rsidRDefault="00B47F75" w:rsidP="007E5B58">
      <w:pPr>
        <w:pStyle w:val="SingleTxtG"/>
        <w:rPr>
          <w:rFonts w:eastAsia="Times New Roman"/>
          <w:lang w:eastAsia="en-GB"/>
        </w:rPr>
      </w:pPr>
      <w:r w:rsidRPr="007B5634">
        <w:rPr>
          <w:rFonts w:eastAsia="Times New Roman"/>
          <w:lang w:eastAsia="en-GB"/>
        </w:rPr>
        <w:t>4.</w:t>
      </w:r>
      <w:r w:rsidR="00A50497" w:rsidRPr="007B5634">
        <w:rPr>
          <w:rFonts w:eastAsia="Times New Roman"/>
          <w:lang w:eastAsia="en-GB"/>
        </w:rPr>
        <w:t>7</w:t>
      </w:r>
      <w:r w:rsidRPr="007B5634">
        <w:rPr>
          <w:rFonts w:eastAsia="Times New Roman"/>
          <w:lang w:eastAsia="en-GB"/>
        </w:rPr>
        <w:tab/>
      </w:r>
      <w:r w:rsidR="00547D9A" w:rsidRPr="007B5634">
        <w:rPr>
          <w:rFonts w:eastAsia="Times New Roman"/>
          <w:lang w:eastAsia="en-GB"/>
        </w:rPr>
        <w:t>The State party submits that the author’s circumstances fall within the test set out by the Committee</w:t>
      </w:r>
      <w:r w:rsidR="009226C4" w:rsidRPr="007B5634">
        <w:rPr>
          <w:rFonts w:eastAsia="Times New Roman"/>
          <w:lang w:eastAsia="en-GB"/>
        </w:rPr>
        <w:t>’s majority Views</w:t>
      </w:r>
      <w:r w:rsidR="00547D9A" w:rsidRPr="007B5634">
        <w:rPr>
          <w:rFonts w:eastAsia="Times New Roman"/>
          <w:lang w:eastAsia="en-GB"/>
        </w:rPr>
        <w:t xml:space="preserve"> in </w:t>
      </w:r>
      <w:r w:rsidR="00547D9A" w:rsidRPr="007B5634">
        <w:rPr>
          <w:rFonts w:eastAsia="Times New Roman"/>
          <w:i/>
          <w:iCs/>
          <w:lang w:eastAsia="en-GB"/>
        </w:rPr>
        <w:t xml:space="preserve">Stewart v. Canada </w:t>
      </w:r>
      <w:r w:rsidR="00547D9A" w:rsidRPr="007B5634">
        <w:rPr>
          <w:rFonts w:eastAsia="Times New Roman"/>
          <w:lang w:eastAsia="en-GB"/>
        </w:rPr>
        <w:t xml:space="preserve">with respect to articles 17 and 23. </w:t>
      </w:r>
      <w:r w:rsidR="00F67344" w:rsidRPr="007B5634">
        <w:rPr>
          <w:rFonts w:eastAsia="Times New Roman"/>
          <w:lang w:eastAsia="en-GB"/>
        </w:rPr>
        <w:t>It acknowledges the Committee’s subsequent jurisprudence which has departed from the reasoning in this case, but it submits that each subsequent decision was based on the very specific or extraordinary circumstances of the cases.</w:t>
      </w:r>
      <w:r w:rsidR="00F67344" w:rsidRPr="007B5634">
        <w:rPr>
          <w:rStyle w:val="FootnoteReference"/>
          <w:rFonts w:eastAsia="Times New Roman"/>
          <w:lang w:eastAsia="en-GB"/>
        </w:rPr>
        <w:footnoteReference w:id="7"/>
      </w:r>
      <w:r w:rsidR="00F67344" w:rsidRPr="007B5634">
        <w:rPr>
          <w:rFonts w:eastAsia="Times New Roman"/>
          <w:lang w:eastAsia="en-GB"/>
        </w:rPr>
        <w:t xml:space="preserve"> The State party argues that such </w:t>
      </w:r>
      <w:r w:rsidR="00F67344" w:rsidRPr="007B5634">
        <w:rPr>
          <w:rFonts w:eastAsia="Times New Roman"/>
          <w:lang w:eastAsia="en-GB"/>
        </w:rPr>
        <w:lastRenderedPageBreak/>
        <w:t xml:space="preserve">circumstances justifying the departure from the Committee’s decision in the </w:t>
      </w:r>
      <w:r w:rsidR="00F67344" w:rsidRPr="007B5634">
        <w:rPr>
          <w:rFonts w:eastAsia="Times New Roman"/>
          <w:i/>
          <w:iCs/>
          <w:lang w:eastAsia="en-GB"/>
        </w:rPr>
        <w:t xml:space="preserve">Stewart v. Canada </w:t>
      </w:r>
      <w:r w:rsidR="00F67344" w:rsidRPr="007B5634">
        <w:rPr>
          <w:rFonts w:eastAsia="Times New Roman"/>
          <w:lang w:eastAsia="en-GB"/>
        </w:rPr>
        <w:t xml:space="preserve"> case are not present in this case. </w:t>
      </w:r>
    </w:p>
    <w:p w14:paraId="51583C8B" w14:textId="1F7D2E76" w:rsidR="005B18FE" w:rsidRPr="007B5634" w:rsidRDefault="005B18FE" w:rsidP="00A671AA">
      <w:pPr>
        <w:pStyle w:val="H23G"/>
        <w:ind w:left="0" w:firstLine="0"/>
      </w:pPr>
      <w:r w:rsidRPr="007B5634">
        <w:tab/>
      </w:r>
      <w:r w:rsidRPr="007B5634">
        <w:tab/>
        <w:t>Author</w:t>
      </w:r>
      <w:r w:rsidR="00A355E4" w:rsidRPr="007B5634">
        <w:t>’</w:t>
      </w:r>
      <w:r w:rsidRPr="007B5634">
        <w:t xml:space="preserve">s comments on the State party’s observations </w:t>
      </w:r>
      <w:r w:rsidR="00324848" w:rsidRPr="007B5634">
        <w:t>on admissibility and merits</w:t>
      </w:r>
    </w:p>
    <w:p w14:paraId="18669D03" w14:textId="67E0E88C" w:rsidR="001042BC" w:rsidRPr="007B5634" w:rsidRDefault="00FC1EAE" w:rsidP="001042BC">
      <w:pPr>
        <w:pStyle w:val="SingleTxtG"/>
        <w:rPr>
          <w:i/>
          <w:iCs/>
        </w:rPr>
      </w:pPr>
      <w:r w:rsidRPr="007B5634">
        <w:t>5.1</w:t>
      </w:r>
      <w:r w:rsidRPr="007B5634">
        <w:tab/>
        <w:t xml:space="preserve">On </w:t>
      </w:r>
      <w:r w:rsidR="00FC4C2B" w:rsidRPr="007B5634">
        <w:t>1 December 2021</w:t>
      </w:r>
      <w:r w:rsidR="00633066" w:rsidRPr="007B5634">
        <w:t xml:space="preserve">, </w:t>
      </w:r>
      <w:r w:rsidR="00324848" w:rsidRPr="007B5634">
        <w:t>the author</w:t>
      </w:r>
      <w:r w:rsidR="00CE1820" w:rsidRPr="007B5634">
        <w:t xml:space="preserve"> submitted comments on the State party’s observations.</w:t>
      </w:r>
      <w:r w:rsidR="00DF6FD3" w:rsidRPr="007B5634">
        <w:t xml:space="preserve"> </w:t>
      </w:r>
      <w:r w:rsidR="00267CD5" w:rsidRPr="007B5634">
        <w:t xml:space="preserve">With regard to the remedies sought by the author in Australia, he </w:t>
      </w:r>
      <w:r w:rsidR="00F221BE" w:rsidRPr="007B5634">
        <w:t xml:space="preserve">reiterates that he applied for the revocation of the cancellation of his visa, which was dismissed by the Minister for Immigration and Border Control. He then unsuccessfully appealed the decision to the Federal Court. </w:t>
      </w:r>
      <w:r w:rsidR="00C2450A" w:rsidRPr="007B5634">
        <w:t>H</w:t>
      </w:r>
      <w:r w:rsidR="00F221BE" w:rsidRPr="007B5634">
        <w:t xml:space="preserve">e sought legal advice at the time about </w:t>
      </w:r>
      <w:r w:rsidR="003D53B6" w:rsidRPr="007B5634">
        <w:t xml:space="preserve">the </w:t>
      </w:r>
      <w:r w:rsidR="00F221BE" w:rsidRPr="007B5634">
        <w:t xml:space="preserve">likelihood of success of further appealing before the Full Court of the Federal Court </w:t>
      </w:r>
      <w:r w:rsidR="003D53B6" w:rsidRPr="007B5634">
        <w:t>and decided to cease the appeal process given that it would yield the same result and that h</w:t>
      </w:r>
      <w:r w:rsidR="00DB71A6" w:rsidRPr="007B5634">
        <w:t>e</w:t>
      </w:r>
      <w:r w:rsidR="003D53B6" w:rsidRPr="007B5634">
        <w:t xml:space="preserve"> and his fiancé ha</w:t>
      </w:r>
      <w:r w:rsidR="00C2450A" w:rsidRPr="007B5634">
        <w:t>d</w:t>
      </w:r>
      <w:r w:rsidR="003D53B6" w:rsidRPr="007B5634">
        <w:t xml:space="preserve"> accumulated significant debt. He submits that there is no automatic right to appeal to the High Court from the Federal Court and a party must apply for special leave. As no question of law arose following </w:t>
      </w:r>
      <w:r w:rsidR="007F13A4" w:rsidRPr="007B5634">
        <w:t xml:space="preserve">the Federal Court’s decision, </w:t>
      </w:r>
      <w:r w:rsidR="00BA0A88" w:rsidRPr="007B5634">
        <w:t xml:space="preserve">any application for special leave would </w:t>
      </w:r>
      <w:r w:rsidR="00C2450A" w:rsidRPr="007B5634">
        <w:t xml:space="preserve">have </w:t>
      </w:r>
      <w:r w:rsidR="00BA0A88" w:rsidRPr="007B5634">
        <w:t>therefore be</w:t>
      </w:r>
      <w:r w:rsidR="00C2450A" w:rsidRPr="007B5634">
        <w:t>en</w:t>
      </w:r>
      <w:r w:rsidR="00BA0A88" w:rsidRPr="007B5634">
        <w:t xml:space="preserve"> futile. </w:t>
      </w:r>
      <w:r w:rsidR="00CD7C44" w:rsidRPr="007B5634">
        <w:t>He also applied for a permanent Protection Visa with the Department of Home Affairs, which was refused on 31 July 2019. He appealed before the Administrative Appeals Tribunal, which confirmed the original decision to refuse his visa application. The author’s subsequent appeal to the Federal Circuit Court of Australia was withdrawn as no error of law could be established</w:t>
      </w:r>
      <w:r w:rsidR="000C153E" w:rsidRPr="007B5634">
        <w:t xml:space="preserve"> and that non-refoulement obligations did not arise in his case. </w:t>
      </w:r>
      <w:r w:rsidR="00943FF9" w:rsidRPr="007B5634">
        <w:t xml:space="preserve">A further request to the Minister for Home Affairs would have been futile. The author submits that the final avenue open to him was an appeal to the High Court of Australia, which he submitted on 12 March 2021, and which was dismissed on 4 August 2021. </w:t>
      </w:r>
      <w:r w:rsidR="00CD7C44" w:rsidRPr="007B5634">
        <w:t xml:space="preserve"> </w:t>
      </w:r>
    </w:p>
    <w:p w14:paraId="109F038F" w14:textId="7C99CF42" w:rsidR="006F367D" w:rsidRPr="007B5634" w:rsidRDefault="00241234" w:rsidP="001042BC">
      <w:pPr>
        <w:pStyle w:val="SingleTxtG"/>
      </w:pPr>
      <w:r w:rsidRPr="007B5634">
        <w:t>5.2</w:t>
      </w:r>
      <w:r w:rsidRPr="007B5634">
        <w:tab/>
        <w:t xml:space="preserve">The author reiterates that he has provided extensive evidence and information to the State party regarding the presence of his family in Australia, the nature and significance of his ties to the country and his health conditions. He claims that his forcible deportation from Australia would amount to an arbitrary interference with his family, in violation of article 17, read in conjunction with article 23 (1). </w:t>
      </w:r>
      <w:r w:rsidR="00C83BCF" w:rsidRPr="007B5634">
        <w:t xml:space="preserve">The removal of one family member while the others remain in Australia amounts to an interference with the family. </w:t>
      </w:r>
      <w:r w:rsidR="00484B40" w:rsidRPr="007B5634">
        <w:t xml:space="preserve">He submits that </w:t>
      </w:r>
      <w:r w:rsidR="001D7B24" w:rsidRPr="007B5634">
        <w:t>h</w:t>
      </w:r>
      <w:r w:rsidR="00484B40" w:rsidRPr="007B5634">
        <w:t>is bond with his fiancé</w:t>
      </w:r>
      <w:r w:rsidR="000376FF" w:rsidRPr="007B5634">
        <w:t>e</w:t>
      </w:r>
      <w:r w:rsidR="00484B40" w:rsidRPr="007B5634">
        <w:t xml:space="preserve"> and his </w:t>
      </w:r>
      <w:r w:rsidR="00484B40" w:rsidRPr="007B5634">
        <w:rPr>
          <w:i/>
          <w:iCs/>
        </w:rPr>
        <w:t xml:space="preserve">de facto </w:t>
      </w:r>
      <w:r w:rsidR="00484B40" w:rsidRPr="007B5634">
        <w:t>children is strong and that each family member would be affected by his removal. He has been together with his fiancé</w:t>
      </w:r>
      <w:r w:rsidR="000376FF" w:rsidRPr="007B5634">
        <w:t>e</w:t>
      </w:r>
      <w:r w:rsidR="00484B40" w:rsidRPr="007B5634">
        <w:t xml:space="preserve"> for 18 years during which they have experienced much hardship as a result of his criminal offending. During the author’s incarceration, his fiancé</w:t>
      </w:r>
      <w:r w:rsidR="000376FF" w:rsidRPr="007B5634">
        <w:t>e</w:t>
      </w:r>
      <w:r w:rsidR="00484B40" w:rsidRPr="007B5634">
        <w:t xml:space="preserve"> visited him in prison every weekend for eight years and spoke with him twice daily on the phone for the last years, which leaves no doubt as to the strength of his family unit. </w:t>
      </w:r>
    </w:p>
    <w:p w14:paraId="18DD9B44" w14:textId="4AF7E687" w:rsidR="006F367D" w:rsidRPr="007B5634" w:rsidRDefault="006F367D" w:rsidP="001042BC">
      <w:pPr>
        <w:pStyle w:val="SingleTxtG"/>
      </w:pPr>
      <w:r w:rsidRPr="007B5634">
        <w:t>5.3</w:t>
      </w:r>
      <w:r w:rsidRPr="007B5634">
        <w:tab/>
      </w:r>
      <w:r w:rsidR="00812672" w:rsidRPr="007B5634">
        <w:t xml:space="preserve">The author rejects the argument that his family could accompany him to the United Kingdom. </w:t>
      </w:r>
      <w:r w:rsidR="007410A0" w:rsidRPr="007B5634">
        <w:t>He refers to the Committee’s jurisprudence which supports his claim that the decision to deport one family member whilst allowing other members of the family unit to remain</w:t>
      </w:r>
      <w:r w:rsidR="003C7BBA" w:rsidRPr="007B5634">
        <w:t xml:space="preserve"> is an interference in respect to article 17 of the Covenant. The author submits that his family has had no choice but to re-mortgage their home to cover the legal costs of his criminal proceedings. He adds that his fiancé</w:t>
      </w:r>
      <w:r w:rsidR="000376FF" w:rsidRPr="007B5634">
        <w:t>e</w:t>
      </w:r>
      <w:r w:rsidR="003C7BBA" w:rsidRPr="007B5634">
        <w:t xml:space="preserve"> is</w:t>
      </w:r>
      <w:r w:rsidR="00314D17" w:rsidRPr="007B5634">
        <w:t xml:space="preserve"> also</w:t>
      </w:r>
      <w:r w:rsidR="003C7BBA" w:rsidRPr="007B5634">
        <w:t xml:space="preserve"> facing severe </w:t>
      </w:r>
      <w:r w:rsidR="00314D17" w:rsidRPr="007B5634">
        <w:t xml:space="preserve">emotional </w:t>
      </w:r>
      <w:r w:rsidR="003C7BBA" w:rsidRPr="007B5634">
        <w:t xml:space="preserve">hardship </w:t>
      </w:r>
      <w:r w:rsidR="00314D17" w:rsidRPr="007B5634">
        <w:t xml:space="preserve">following her sister’s recent diagnosis with breast cancer. </w:t>
      </w:r>
      <w:r w:rsidR="005E0740" w:rsidRPr="007B5634">
        <w:t>Due to this situation, his fiancé</w:t>
      </w:r>
      <w:r w:rsidR="000376FF" w:rsidRPr="007B5634">
        <w:t>e</w:t>
      </w:r>
      <w:r w:rsidR="005E0740" w:rsidRPr="007B5634">
        <w:t xml:space="preserve"> has been unable to work and is now facing homelessness due to the mounting debt. It would therefore be emotionally and financially unrealistic to suggest that the author’s fiancé</w:t>
      </w:r>
      <w:r w:rsidR="000376FF" w:rsidRPr="007B5634">
        <w:t>e</w:t>
      </w:r>
      <w:r w:rsidR="005E0740" w:rsidRPr="007B5634">
        <w:t xml:space="preserve"> could migrate and leave behind her two adult daughters. </w:t>
      </w:r>
    </w:p>
    <w:p w14:paraId="47CAB50B" w14:textId="4B4A9B81" w:rsidR="00FB4505" w:rsidRPr="007B5634" w:rsidRDefault="00FB4505" w:rsidP="001042BC">
      <w:pPr>
        <w:pStyle w:val="SingleTxtG"/>
      </w:pPr>
      <w:r w:rsidRPr="007B5634">
        <w:t>5.4</w:t>
      </w:r>
      <w:r w:rsidRPr="007B5634">
        <w:tab/>
        <w:t>The author submits that, in the Minister’s reasons for cancelling his visa, it gave significant weight to the expectations of and risks to the Australian</w:t>
      </w:r>
      <w:r w:rsidR="00D926C7" w:rsidRPr="007B5634">
        <w:t xml:space="preserve"> community</w:t>
      </w:r>
      <w:r w:rsidRPr="007B5634">
        <w:t xml:space="preserve"> but gave little weight to the impact on the family unit or the protections in place in Australia. He further alleges that </w:t>
      </w:r>
      <w:r w:rsidR="00741EDE" w:rsidRPr="007B5634">
        <w:t xml:space="preserve">significant weight was also given to the general nature of the crimes and </w:t>
      </w:r>
      <w:r w:rsidR="00D926C7" w:rsidRPr="007B5634">
        <w:t xml:space="preserve">not </w:t>
      </w:r>
      <w:r w:rsidR="00741EDE" w:rsidRPr="007B5634">
        <w:t xml:space="preserve">so much to their specific nature and to the author’s limited criminal history. </w:t>
      </w:r>
      <w:r w:rsidR="000C4930" w:rsidRPr="007B5634">
        <w:t xml:space="preserve">The victim of the offense is now an adult, and the author has not sought to have any contact with her. Furthermore, the author submits that he has served his sentence including his probation period in state detention, and that upon release he would be placed on a sex offender registry and his activity online would be strictly monitored. He would have reporting obligations </w:t>
      </w:r>
      <w:r w:rsidR="004A2921" w:rsidRPr="007B5634">
        <w:t>and guidelines as to how and where he could liv</w:t>
      </w:r>
      <w:r w:rsidR="00550474" w:rsidRPr="007B5634">
        <w:t xml:space="preserve">e and would not be in the presence of children whilst living with his fiancé. The author also submits that he has engaged in the rehabilitation programs offered to him during his time in prison. </w:t>
      </w:r>
      <w:r w:rsidR="00422337" w:rsidRPr="007B5634">
        <w:t>I</w:t>
      </w:r>
      <w:r w:rsidR="00697D38" w:rsidRPr="007B5634">
        <w:t xml:space="preserve">n light of </w:t>
      </w:r>
      <w:r w:rsidR="00422337" w:rsidRPr="007B5634">
        <w:t xml:space="preserve">the specific nature of the crimes, which are isolated, the author argues that he poses little risk to the Australian community, </w:t>
      </w:r>
      <w:r w:rsidR="00422337" w:rsidRPr="007B5634">
        <w:lastRenderedPageBreak/>
        <w:t xml:space="preserve">especially when considering the impact to his family. He reiterates that it would constitute an arbitrary interference with his family and breach of articles 17 (1) and 23 of the Covenant. </w:t>
      </w:r>
    </w:p>
    <w:p w14:paraId="068479D7" w14:textId="450978A1" w:rsidR="00422337" w:rsidRPr="007B5634" w:rsidRDefault="00422337" w:rsidP="001042BC">
      <w:pPr>
        <w:pStyle w:val="SingleTxtG"/>
      </w:pPr>
      <w:r w:rsidRPr="007B5634">
        <w:t>5.5</w:t>
      </w:r>
      <w:r w:rsidRPr="007B5634">
        <w:tab/>
      </w:r>
      <w:r w:rsidR="002B034F" w:rsidRPr="007B5634">
        <w:t>The author rejects the assumption he poses an ongoing and undisputable risk to the Australian community. He argues that this is unwarranted based on the evidence of his results in different medical and non-medical assessments with low-risk findings. His deportation from Australia, where his life in community would be heavily regulated, would not be proportionate.</w:t>
      </w:r>
      <w:r w:rsidR="00AA18D2" w:rsidRPr="007B5634">
        <w:t xml:space="preserve"> He submits that deporting him would not increase the Australian community’s safety</w:t>
      </w:r>
      <w:r w:rsidR="00CD3F99" w:rsidRPr="007B5634">
        <w:t xml:space="preserve">, as protections are already in place. This would only destabilize his family. </w:t>
      </w:r>
    </w:p>
    <w:p w14:paraId="3ED6F6C2" w14:textId="39FEE68D" w:rsidR="00241234" w:rsidRPr="007B5634" w:rsidRDefault="00CD3F99" w:rsidP="00F950DC">
      <w:pPr>
        <w:pStyle w:val="SingleTxtG"/>
      </w:pPr>
      <w:r w:rsidRPr="007B5634">
        <w:t>5.6</w:t>
      </w:r>
      <w:r w:rsidRPr="007B5634">
        <w:tab/>
        <w:t xml:space="preserve">In response to the State party’s reference to the </w:t>
      </w:r>
      <w:r w:rsidRPr="007B5634">
        <w:rPr>
          <w:i/>
          <w:iCs/>
        </w:rPr>
        <w:t>Stewart v. Canada</w:t>
      </w:r>
      <w:r w:rsidRPr="007B5634">
        <w:t xml:space="preserve"> case to suggest that the interference with the author’s family is not arbitrary, he submits that his circumstances also fall within the scope of the Committee’s decision in the </w:t>
      </w:r>
      <w:r w:rsidRPr="007B5634">
        <w:rPr>
          <w:i/>
          <w:iCs/>
        </w:rPr>
        <w:t xml:space="preserve">Nystrom v. Australia </w:t>
      </w:r>
      <w:r w:rsidR="00853901" w:rsidRPr="007B5634">
        <w:t xml:space="preserve">case, which found a violation of articles 17 (1) and 23 of the Covenant. The author reiterates that his removal would be unreasonable, unnecessary and disproportionate to the detrimental impact it would cause on the author and his family. </w:t>
      </w:r>
    </w:p>
    <w:p w14:paraId="4A85BD4F" w14:textId="37CB7AF3" w:rsidR="00FC4C2B" w:rsidRPr="007B5634" w:rsidRDefault="00FC4C2B" w:rsidP="001042BC">
      <w:pPr>
        <w:pStyle w:val="SingleTxtG"/>
        <w:rPr>
          <w:b/>
          <w:bCs/>
        </w:rPr>
      </w:pPr>
      <w:r w:rsidRPr="007B5634">
        <w:rPr>
          <w:b/>
          <w:bCs/>
        </w:rPr>
        <w:t>State party’s additional observations on admissibility and merits</w:t>
      </w:r>
    </w:p>
    <w:p w14:paraId="56156B6A" w14:textId="135096B7" w:rsidR="00F950DC" w:rsidRPr="007B5634" w:rsidRDefault="00FC4C2B" w:rsidP="001042BC">
      <w:pPr>
        <w:pStyle w:val="SingleTxtG"/>
      </w:pPr>
      <w:r w:rsidRPr="007B5634">
        <w:t>6.1</w:t>
      </w:r>
      <w:r w:rsidR="00813789" w:rsidRPr="007B5634">
        <w:tab/>
        <w:t xml:space="preserve">In a note verbale dated </w:t>
      </w:r>
      <w:r w:rsidR="00F950DC" w:rsidRPr="007B5634">
        <w:t xml:space="preserve">17 February 2022, the State party informed the Committee that, on 8 February 2022, the author had been removed to the United Kingdom, consistent with Australian law. </w:t>
      </w:r>
    </w:p>
    <w:p w14:paraId="70EA5468" w14:textId="75C82DEC" w:rsidR="008A5094" w:rsidRPr="007B5634" w:rsidRDefault="00984677" w:rsidP="00984677">
      <w:pPr>
        <w:pStyle w:val="SingleTxtG"/>
      </w:pPr>
      <w:r w:rsidRPr="007B5634">
        <w:t>6.2</w:t>
      </w:r>
      <w:r w:rsidRPr="007B5634">
        <w:tab/>
        <w:t xml:space="preserve">In a note verbale dated </w:t>
      </w:r>
      <w:r w:rsidR="00813789" w:rsidRPr="007B5634">
        <w:t xml:space="preserve">2 November 2022, the State party submitted additional observations on the admissibility and merits of the communication. </w:t>
      </w:r>
      <w:r w:rsidR="008A5094" w:rsidRPr="007B5634">
        <w:t xml:space="preserve">Although the State party does not challenge the admissibility of the communication on the grounds of non-exhaustion of domestic remedies, it nonetheless clarifies that further avenues of appeal were available to the author. With regard to the proceedings relating to the mandatory cancellation of the author’s visa under section 501(3A) of the Migration Act, the author could have appealed to the full bench of the Federal Court and the High Court. On the proceedings relating to the refusal of the author’s application for permanent Protection Visa, the State party considers that the independent decision of the Administrative Appeal Tribunal was correct. </w:t>
      </w:r>
    </w:p>
    <w:p w14:paraId="1438814A" w14:textId="0513FF43" w:rsidR="00FC4C2B" w:rsidRPr="007B5634" w:rsidRDefault="008A5094" w:rsidP="00591588">
      <w:pPr>
        <w:pStyle w:val="SingleTxtG"/>
      </w:pPr>
      <w:r w:rsidRPr="007B5634">
        <w:t>6.3</w:t>
      </w:r>
      <w:r w:rsidRPr="007B5634">
        <w:tab/>
        <w:t xml:space="preserve">The State party maintains that the author’s claims under article 14(1) are incompatible with the provisions of the Covenant and should be declared inadmissible </w:t>
      </w:r>
      <w:proofErr w:type="spellStart"/>
      <w:r w:rsidRPr="007B5634">
        <w:rPr>
          <w:i/>
          <w:iCs/>
        </w:rPr>
        <w:t>ratione</w:t>
      </w:r>
      <w:proofErr w:type="spellEnd"/>
      <w:r w:rsidRPr="007B5634">
        <w:rPr>
          <w:i/>
          <w:iCs/>
        </w:rPr>
        <w:t xml:space="preserve"> </w:t>
      </w:r>
      <w:proofErr w:type="spellStart"/>
      <w:r w:rsidRPr="007B5634">
        <w:rPr>
          <w:i/>
          <w:iCs/>
        </w:rPr>
        <w:t>materiae</w:t>
      </w:r>
      <w:proofErr w:type="spellEnd"/>
      <w:r w:rsidRPr="007B5634">
        <w:t>.</w:t>
      </w:r>
    </w:p>
    <w:p w14:paraId="5C392F79" w14:textId="10889808" w:rsidR="00923F42" w:rsidRPr="007B5634" w:rsidRDefault="00923F42" w:rsidP="00984677">
      <w:pPr>
        <w:pStyle w:val="SingleTxtG"/>
      </w:pPr>
      <w:r w:rsidRPr="007B5634">
        <w:t>6.</w:t>
      </w:r>
      <w:r w:rsidR="008A5094" w:rsidRPr="007B5634">
        <w:t>4</w:t>
      </w:r>
      <w:r w:rsidRPr="007B5634">
        <w:tab/>
      </w:r>
      <w:r w:rsidR="0041315E" w:rsidRPr="007B5634">
        <w:t xml:space="preserve">The State party reiterates that it acknowledges that the author’s removal to the United Kingdom may involve interference with his family ties. </w:t>
      </w:r>
      <w:r w:rsidR="00A56857" w:rsidRPr="007B5634">
        <w:t xml:space="preserve">However, it submits that any interference with his family ties as a consequence of his removal would not be unlawful or arbitrary, which is the standard to which the Committee should have regard in assessing a State party’s obligations under articles 17 and 23 (1) of the Covenant. The State party submits that separating a family member from the family unit is not in and of itself arbitrary interference. Arbitrariness is to be assessed on a case-by-case basis. </w:t>
      </w:r>
      <w:r w:rsidR="00D011C6" w:rsidRPr="007B5634">
        <w:t>In the author’s case, the State party reiterates that the impact on the family, the nature of the crimes and the author’s criminal history were thoroughly considered as part of the Minister’s decision to cancel the author’s visa and</w:t>
      </w:r>
      <w:r w:rsidR="00251092" w:rsidRPr="007B5634">
        <w:t xml:space="preserve"> subsequently to not revoke the decision. The State party further argues that this is supported by the findings of the Federal Court of Australia</w:t>
      </w:r>
      <w:r w:rsidR="005A7180" w:rsidRPr="007B5634">
        <w:t xml:space="preserve">, which dismissed the author’s arguments and found that the Minister had given attention to: i) the strength, nature and duration of the author’s ties to Australia; ii) the extent of the impediments to the author in case he were to be removed; iii) the potential risk the author poses to the Australian community, and; iv) the best interests of any minor children. The State party also rejects the author’s allegation that the Minister gave disproportionate weight </w:t>
      </w:r>
      <w:r w:rsidR="004B4057" w:rsidRPr="007B5634">
        <w:t>to the protection of the Australian community and to the assumption that he poses an ongoing and undisputable risk. The State party reiterates that the Federal Court found the Minister’s decision as lawful</w:t>
      </w:r>
      <w:r w:rsidR="00943C3D" w:rsidRPr="007B5634">
        <w:t xml:space="preserve"> and that it duly considered the risk the author would pose to the Australian community. After giving full and careful consideration to the author’s claims, the Minister found that there was an ongoing likelihood that he would reoffend and </w:t>
      </w:r>
      <w:r w:rsidR="001C6E3F" w:rsidRPr="007B5634">
        <w:t xml:space="preserve">that this could result in harm to a minor member of the Australian community. </w:t>
      </w:r>
      <w:r w:rsidR="00A862DD" w:rsidRPr="007B5634">
        <w:t xml:space="preserve">The State party also points to the evidence considered by the Minister, such as references from family, friends and work associates, prison reports as to the author’s behaviour and medical reports. </w:t>
      </w:r>
    </w:p>
    <w:p w14:paraId="5AC39504" w14:textId="070167C6" w:rsidR="005D1182" w:rsidRPr="007B5634" w:rsidRDefault="00410E6E" w:rsidP="00F2254E">
      <w:pPr>
        <w:pStyle w:val="SingleTxtG"/>
      </w:pPr>
      <w:r w:rsidRPr="007B5634">
        <w:t>6.</w:t>
      </w:r>
      <w:r w:rsidR="007B5634" w:rsidRPr="007B5634">
        <w:t>5</w:t>
      </w:r>
      <w:r w:rsidRPr="007B5634">
        <w:tab/>
      </w:r>
      <w:r w:rsidR="00AE5E4F" w:rsidRPr="007B5634">
        <w:t xml:space="preserve">With regard to the author’s reference to the Committee’s findings in the </w:t>
      </w:r>
      <w:r w:rsidR="00AE5E4F" w:rsidRPr="007B5634">
        <w:rPr>
          <w:i/>
          <w:iCs/>
        </w:rPr>
        <w:t>Nystrom v. Australia</w:t>
      </w:r>
      <w:r w:rsidR="00AE5E4F" w:rsidRPr="007B5634">
        <w:t xml:space="preserve">, </w:t>
      </w:r>
      <w:r w:rsidR="00CE5425" w:rsidRPr="007B5634">
        <w:t>the State party submits that it respectfully disagree</w:t>
      </w:r>
      <w:r w:rsidR="00182AD8" w:rsidRPr="007B5634">
        <w:t>s</w:t>
      </w:r>
      <w:r w:rsidR="00CE5425" w:rsidRPr="007B5634">
        <w:t xml:space="preserve"> with these Views. </w:t>
      </w:r>
      <w:r w:rsidR="00182AD8" w:rsidRPr="007B5634">
        <w:t xml:space="preserve">It submits </w:t>
      </w:r>
      <w:r w:rsidR="00182AD8" w:rsidRPr="007B5634">
        <w:lastRenderedPageBreak/>
        <w:t xml:space="preserve">that the removal of the author in the </w:t>
      </w:r>
      <w:r w:rsidR="00182AD8" w:rsidRPr="007B5634">
        <w:rPr>
          <w:i/>
          <w:iCs/>
        </w:rPr>
        <w:t xml:space="preserve">Nystrom v. Australia </w:t>
      </w:r>
      <w:r w:rsidR="00182AD8" w:rsidRPr="007B5634">
        <w:t>case was consistent with its obligations under articles 17 and 23 (1) of the Covenant and in accordance with its legitimate interest of protecting the Australian community. This was recognized by two members of the Committee in their Individual Opinion</w:t>
      </w:r>
      <w:r w:rsidR="005D1182" w:rsidRPr="007B5634">
        <w:t xml:space="preserve"> and the same reasoning should be followed by the Committee in this case. While recognizing that that the author’s record is not extensive, the State party reiterates that the Minister’s decision was proportionate to the legitimate aim of preventing the commission of further crimes, especially in light of the serious nature of the offences and of the Minister’s finding that there is an ongoing likelihood of reoffending, which could cause harm to minors. </w:t>
      </w:r>
    </w:p>
    <w:p w14:paraId="2F57F4E4" w14:textId="24E2736A" w:rsidR="00A56857" w:rsidRPr="007B5634" w:rsidRDefault="005D1182" w:rsidP="00707CB8">
      <w:pPr>
        <w:pStyle w:val="SingleTxtG"/>
      </w:pPr>
      <w:r w:rsidRPr="007B5634">
        <w:t>6.</w:t>
      </w:r>
      <w:r w:rsidR="007B5634" w:rsidRPr="007B5634">
        <w:t>6</w:t>
      </w:r>
      <w:r w:rsidRPr="007B5634">
        <w:tab/>
        <w:t xml:space="preserve">The State party maintains that any interference caused by the author’s removal is in accordance with the Covenant and reasonable in the particular circumstances. It submits that the author’s removal would not be arbitrary because it would be reasonable, necessary and proportionate to the legitimate objective of protecting the Australian community from harm. </w:t>
      </w:r>
      <w:r w:rsidR="008A5094" w:rsidRPr="007B5634">
        <w:t xml:space="preserve">Therefore, the State party argues that the author has not sufficiently substantiated his claims under articles 17 (1) and 23, as he has not provided evidence that the interference with his family was unlawful or arbitrary. It submits that these claims should be declared inadmissible for lack of substantiation, in accordance with article 2 of the Optional Protocol. </w:t>
      </w:r>
    </w:p>
    <w:p w14:paraId="0082EE30" w14:textId="51246F39" w:rsidR="00675A2F" w:rsidRPr="007B5634" w:rsidRDefault="007824D6" w:rsidP="00DE1799">
      <w:pPr>
        <w:pStyle w:val="H23G"/>
        <w:ind w:left="0" w:firstLine="0"/>
      </w:pPr>
      <w:r w:rsidRPr="007B5634">
        <w:rPr>
          <w:lang w:eastAsia="en-AU"/>
        </w:rPr>
        <w:tab/>
      </w:r>
      <w:r w:rsidR="00D14E5C" w:rsidRPr="007B5634">
        <w:tab/>
      </w:r>
      <w:r w:rsidR="00596890" w:rsidRPr="007B5634">
        <w:t>Issues and proceedings before the Committee</w:t>
      </w:r>
    </w:p>
    <w:p w14:paraId="53B47E39" w14:textId="77777777" w:rsidR="00596890" w:rsidRPr="007B5634" w:rsidRDefault="00596890" w:rsidP="00B5549E">
      <w:pPr>
        <w:pStyle w:val="H4G"/>
        <w:rPr>
          <w:lang w:val="en-US"/>
        </w:rPr>
      </w:pPr>
      <w:r w:rsidRPr="007B5634">
        <w:rPr>
          <w:lang w:val="en-US"/>
        </w:rPr>
        <w:tab/>
      </w:r>
      <w:r w:rsidRPr="007B5634">
        <w:rPr>
          <w:lang w:val="en-US"/>
        </w:rPr>
        <w:tab/>
      </w:r>
      <w:r w:rsidRPr="007B5634">
        <w:t>Consideration</w:t>
      </w:r>
      <w:r w:rsidRPr="007B5634">
        <w:rPr>
          <w:lang w:val="en-US"/>
        </w:rPr>
        <w:t xml:space="preserve"> of </w:t>
      </w:r>
      <w:r w:rsidRPr="007B5634">
        <w:t>admissibility</w:t>
      </w:r>
    </w:p>
    <w:p w14:paraId="4E5B3F3A" w14:textId="2B544EDD" w:rsidR="00596890" w:rsidRPr="007B5634" w:rsidRDefault="00FC4C2B" w:rsidP="00D126F4">
      <w:pPr>
        <w:pStyle w:val="SingleTxtG"/>
        <w:rPr>
          <w:lang w:val="en-US"/>
        </w:rPr>
      </w:pPr>
      <w:r w:rsidRPr="007B5634">
        <w:rPr>
          <w:lang w:val="en-US"/>
        </w:rPr>
        <w:t>7</w:t>
      </w:r>
      <w:r w:rsidR="00596890" w:rsidRPr="007B5634">
        <w:rPr>
          <w:lang w:val="en-US"/>
        </w:rPr>
        <w:t>.1</w:t>
      </w:r>
      <w:r w:rsidR="00596890" w:rsidRPr="007B5634">
        <w:rPr>
          <w:lang w:val="en-US"/>
        </w:rPr>
        <w:tab/>
        <w:t xml:space="preserve">Before considering any claim contained </w:t>
      </w:r>
      <w:r w:rsidR="00596890" w:rsidRPr="007B5634">
        <w:t>in</w:t>
      </w:r>
      <w:r w:rsidR="00596890" w:rsidRPr="007B5634">
        <w:rPr>
          <w:lang w:val="en-US"/>
        </w:rPr>
        <w:t xml:space="preserve"> a communication, the Committee must decide, in accordance with rule 97 of its rules of procedure, whether the communication is admissible under the Optional Protocol.</w:t>
      </w:r>
    </w:p>
    <w:p w14:paraId="26A3E124" w14:textId="41286123" w:rsidR="00015B09" w:rsidRPr="007B5634" w:rsidRDefault="00FC4C2B" w:rsidP="00DE4781">
      <w:pPr>
        <w:pStyle w:val="SingleTxtG"/>
        <w:rPr>
          <w:rFonts w:eastAsia="Times New Roman"/>
          <w:lang w:eastAsia="en-US"/>
        </w:rPr>
      </w:pPr>
      <w:r w:rsidRPr="007B5634">
        <w:rPr>
          <w:lang w:val="en-US"/>
        </w:rPr>
        <w:t>7</w:t>
      </w:r>
      <w:r w:rsidR="00542635" w:rsidRPr="007B5634">
        <w:rPr>
          <w:lang w:val="en-US"/>
        </w:rPr>
        <w:t>.2</w:t>
      </w:r>
      <w:r w:rsidR="00DE4781" w:rsidRPr="007B5634">
        <w:rPr>
          <w:rFonts w:eastAsia="Times New Roman"/>
          <w:lang w:eastAsia="en-US"/>
        </w:rPr>
        <w:tab/>
      </w:r>
      <w:r w:rsidR="00760725" w:rsidRPr="007B5634">
        <w:rPr>
          <w:rFonts w:eastAsia="Times New Roman"/>
          <w:lang w:eastAsia="en-US"/>
        </w:rPr>
        <w:t>The Committee has ascertained, as required under article 5 (2) (a) of the Optional Protocol, that the same matter is not being examined under another procedure of international investigation or settlement.</w:t>
      </w:r>
      <w:r w:rsidR="0007017F" w:rsidRPr="007B5634">
        <w:rPr>
          <w:rFonts w:eastAsia="Times New Roman"/>
          <w:lang w:eastAsia="en-US"/>
        </w:rPr>
        <w:t xml:space="preserve"> </w:t>
      </w:r>
    </w:p>
    <w:p w14:paraId="0CB94E78" w14:textId="4C155958" w:rsidR="009C3BD9" w:rsidRPr="007B5634" w:rsidRDefault="00FC4C2B" w:rsidP="009C3BD9">
      <w:pPr>
        <w:pStyle w:val="SingleTxtG"/>
      </w:pPr>
      <w:r w:rsidRPr="007B5634">
        <w:rPr>
          <w:rFonts w:eastAsia="Times New Roman"/>
          <w:lang w:eastAsia="en-US"/>
        </w:rPr>
        <w:t>7</w:t>
      </w:r>
      <w:r w:rsidR="00015B09" w:rsidRPr="007B5634">
        <w:rPr>
          <w:rFonts w:eastAsia="Times New Roman"/>
          <w:lang w:eastAsia="en-US"/>
        </w:rPr>
        <w:t>.3</w:t>
      </w:r>
      <w:r w:rsidR="00015B09" w:rsidRPr="007B5634">
        <w:rPr>
          <w:rFonts w:eastAsia="Times New Roman"/>
          <w:lang w:eastAsia="en-US"/>
        </w:rPr>
        <w:tab/>
      </w:r>
      <w:r w:rsidR="00B328E1" w:rsidRPr="007B5634">
        <w:t xml:space="preserve">The Committee notes the author’s claim that he has exhausted all effective domestic remedies available to him. </w:t>
      </w:r>
      <w:r w:rsidR="00591588" w:rsidRPr="007B5634">
        <w:t xml:space="preserve">The Committee notes </w:t>
      </w:r>
      <w:r w:rsidR="0085467F" w:rsidRPr="007B5634">
        <w:t>the State party’s submission that, although it does not challenge the admissibility of the communication on the grounds of non-exhaustion of domestic remedies,</w:t>
      </w:r>
      <w:r w:rsidR="006F4AC6" w:rsidRPr="007B5634">
        <w:t xml:space="preserve"> further avenues</w:t>
      </w:r>
      <w:r w:rsidR="0085467F" w:rsidRPr="007B5634">
        <w:t xml:space="preserve"> of </w:t>
      </w:r>
      <w:r w:rsidR="0085467F" w:rsidRPr="007B5634">
        <w:rPr>
          <w:rFonts w:eastAsia="Times New Roman"/>
          <w:lang w:eastAsia="en-GB"/>
        </w:rPr>
        <w:t>appeal were available to the author, including before the Federal Court of Australia and the High Court of Australia.</w:t>
      </w:r>
      <w:r w:rsidR="006F4AC6" w:rsidRPr="007B5634">
        <w:t xml:space="preserve"> </w:t>
      </w:r>
      <w:r w:rsidR="0085467F" w:rsidRPr="007B5634">
        <w:t>Therefore, i</w:t>
      </w:r>
      <w:r w:rsidR="00B328E1" w:rsidRPr="007B5634">
        <w:t>n the absence of any objection by the State party in that connection, the Committee considers that it is not precluded from examining the communication under article 5 (2) (b) of the Optional Protocol.</w:t>
      </w:r>
    </w:p>
    <w:p w14:paraId="6727E87E" w14:textId="1162FBB2" w:rsidR="00B7554D" w:rsidRPr="007B5634" w:rsidRDefault="00821B17" w:rsidP="00B7554D">
      <w:pPr>
        <w:pStyle w:val="SingleTxtG"/>
        <w:rPr>
          <w:lang w:eastAsia="en-GB"/>
        </w:rPr>
      </w:pPr>
      <w:r w:rsidRPr="007B5634">
        <w:t>7.4</w:t>
      </w:r>
      <w:r w:rsidRPr="007B5634">
        <w:tab/>
        <w:t xml:space="preserve">The Committee notes the State party’s arguments </w:t>
      </w:r>
      <w:r w:rsidR="00845E57" w:rsidRPr="007B5634">
        <w:t xml:space="preserve">that the author’s claim under </w:t>
      </w:r>
      <w:r w:rsidR="00845E57" w:rsidRPr="007B5634">
        <w:rPr>
          <w:rFonts w:eastAsia="Times New Roman"/>
          <w:lang w:eastAsia="en-GB"/>
        </w:rPr>
        <w:t xml:space="preserve">14 (1) should be declared inadmissible </w:t>
      </w:r>
      <w:proofErr w:type="spellStart"/>
      <w:r w:rsidR="00845E57" w:rsidRPr="007B5634">
        <w:rPr>
          <w:rFonts w:eastAsia="Times New Roman"/>
          <w:i/>
          <w:iCs/>
          <w:lang w:eastAsia="en-GB"/>
        </w:rPr>
        <w:t>ratione</w:t>
      </w:r>
      <w:proofErr w:type="spellEnd"/>
      <w:r w:rsidR="00845E57" w:rsidRPr="007B5634">
        <w:rPr>
          <w:rFonts w:eastAsia="Times New Roman"/>
          <w:i/>
          <w:iCs/>
          <w:lang w:eastAsia="en-GB"/>
        </w:rPr>
        <w:t xml:space="preserve"> </w:t>
      </w:r>
      <w:proofErr w:type="spellStart"/>
      <w:r w:rsidR="00845E57" w:rsidRPr="007B5634">
        <w:rPr>
          <w:rFonts w:eastAsia="Times New Roman"/>
          <w:i/>
          <w:iCs/>
          <w:lang w:eastAsia="en-GB"/>
        </w:rPr>
        <w:t>materiae</w:t>
      </w:r>
      <w:proofErr w:type="spellEnd"/>
      <w:r w:rsidR="00845E57" w:rsidRPr="007B5634">
        <w:rPr>
          <w:rFonts w:eastAsia="Times New Roman"/>
          <w:lang w:eastAsia="en-GB"/>
        </w:rPr>
        <w:t xml:space="preserve">, as the proceedings relating to the author’s visa cancellation and deportation are administrative in nature and are rather covered by the guarantees under article 13 of the Covenant. </w:t>
      </w:r>
      <w:r w:rsidR="00B7554D" w:rsidRPr="007B5634">
        <w:rPr>
          <w:lang w:eastAsia="en-GB"/>
        </w:rPr>
        <w:t>In that regard, the Committee refers to its jurisprudence in which it states that proceedings relating to the extradition, expulsion and deportation of aliens do not fall within the ambit of a determination of “rights and obligations in a suit at law” within the meaning of article 14, but are governed by article 13 of the Covenant.</w:t>
      </w:r>
      <w:r w:rsidR="00B7554D" w:rsidRPr="007B5634">
        <w:rPr>
          <w:vertAlign w:val="superscript"/>
          <w:lang w:eastAsia="en-GB"/>
        </w:rPr>
        <w:footnoteReference w:id="8"/>
      </w:r>
      <w:r w:rsidR="00B7554D" w:rsidRPr="007B5634">
        <w:rPr>
          <w:lang w:eastAsia="en-GB"/>
        </w:rPr>
        <w:t xml:space="preserve"> </w:t>
      </w:r>
      <w:r w:rsidR="005A6E21" w:rsidRPr="007B5634">
        <w:t xml:space="preserve">The Committee notes, however, that the author did not invoke article 13 of the Covenant in his communication. The Committee considers, therefore, that this part of the communication is incompatible </w:t>
      </w:r>
      <w:proofErr w:type="spellStart"/>
      <w:r w:rsidR="005A6E21" w:rsidRPr="007B5634">
        <w:rPr>
          <w:i/>
        </w:rPr>
        <w:t>ratione</w:t>
      </w:r>
      <w:proofErr w:type="spellEnd"/>
      <w:r w:rsidR="005A6E21" w:rsidRPr="007B5634">
        <w:rPr>
          <w:i/>
        </w:rPr>
        <w:t xml:space="preserve"> </w:t>
      </w:r>
      <w:proofErr w:type="spellStart"/>
      <w:r w:rsidR="005A6E21" w:rsidRPr="007B5634">
        <w:rPr>
          <w:i/>
        </w:rPr>
        <w:t>materiae</w:t>
      </w:r>
      <w:proofErr w:type="spellEnd"/>
      <w:r w:rsidR="005A6E21" w:rsidRPr="007B5634">
        <w:t xml:space="preserve"> with the Covenant and declares it inadmissible under article 3 of the Optional Protocol.</w:t>
      </w:r>
    </w:p>
    <w:p w14:paraId="17188B06" w14:textId="2ED20A4E" w:rsidR="00860A58" w:rsidRPr="007B5634" w:rsidRDefault="00821B17" w:rsidP="003F4231">
      <w:pPr>
        <w:pStyle w:val="SingleTxtG"/>
      </w:pPr>
      <w:r w:rsidRPr="007B5634">
        <w:t>7.5</w:t>
      </w:r>
      <w:r w:rsidRPr="007B5634">
        <w:tab/>
      </w:r>
      <w:r w:rsidR="003F4231" w:rsidRPr="007B5634">
        <w:t xml:space="preserve">The Committee notes the State party arguments that the author’s claims under articles 17 (1) and 23 should be declared inadmissible for lack of substantiation, as he has not provided evidence that the interference with his family was unlawful or arbitrary. </w:t>
      </w:r>
      <w:r w:rsidR="00860A58" w:rsidRPr="007B5634">
        <w:t>The Committee</w:t>
      </w:r>
      <w:r w:rsidR="003F4231" w:rsidRPr="007B5634">
        <w:t>, however,</w:t>
      </w:r>
      <w:r w:rsidR="001248B6" w:rsidRPr="007B5634">
        <w:t xml:space="preserve"> </w:t>
      </w:r>
      <w:r w:rsidR="00860A58" w:rsidRPr="007B5634">
        <w:t>considers that the author has sufficiently substantiated, for the purposes of admissibility, his claims under articles 17 (1) and 23 (1) of the Covenant. The Committee thus declares these claims admissible and proceeds with its consideration of the merits.</w:t>
      </w:r>
    </w:p>
    <w:p w14:paraId="2C32D21B" w14:textId="77777777" w:rsidR="000A55A0" w:rsidRPr="007B5634" w:rsidRDefault="000A55A0" w:rsidP="000A55A0">
      <w:pPr>
        <w:pStyle w:val="SingleTxtG"/>
        <w:rPr>
          <w:i/>
        </w:rPr>
      </w:pPr>
      <w:r w:rsidRPr="007B5634">
        <w:rPr>
          <w:i/>
        </w:rPr>
        <w:lastRenderedPageBreak/>
        <w:t>Consideration of the merits</w:t>
      </w:r>
    </w:p>
    <w:p w14:paraId="34B32216" w14:textId="35DA58D8" w:rsidR="000A55A0" w:rsidRPr="007B5634" w:rsidRDefault="00FC4C2B" w:rsidP="000A55A0">
      <w:pPr>
        <w:pStyle w:val="SingleTxtG"/>
      </w:pPr>
      <w:r w:rsidRPr="007B5634">
        <w:t>8</w:t>
      </w:r>
      <w:r w:rsidR="000A55A0" w:rsidRPr="007B5634">
        <w:t>.</w:t>
      </w:r>
      <w:r w:rsidR="005C12D9" w:rsidRPr="007B5634">
        <w:t>1</w:t>
      </w:r>
      <w:r w:rsidR="000A55A0" w:rsidRPr="007B5634">
        <w:tab/>
        <w:t>The Committee has considered the communication in the light of all the information submitted to it by the parties, in accordance with article 5 (1) of the Optional Protocol.</w:t>
      </w:r>
    </w:p>
    <w:p w14:paraId="44237CCF" w14:textId="23AAC928" w:rsidR="009C6716" w:rsidRPr="007B5634" w:rsidRDefault="00FC4C2B" w:rsidP="00843761">
      <w:pPr>
        <w:pStyle w:val="SingleTxtG"/>
      </w:pPr>
      <w:r w:rsidRPr="007B5634">
        <w:t>8</w:t>
      </w:r>
      <w:r w:rsidR="000A55A0" w:rsidRPr="007B5634">
        <w:t>.</w:t>
      </w:r>
      <w:r w:rsidR="005C12D9" w:rsidRPr="007B5634">
        <w:t>2</w:t>
      </w:r>
      <w:r w:rsidR="000A55A0" w:rsidRPr="007B5634">
        <w:tab/>
      </w:r>
      <w:r w:rsidR="00A33D5B" w:rsidRPr="007B5634">
        <w:t xml:space="preserve">The Committee notes the </w:t>
      </w:r>
      <w:r w:rsidR="00D50417" w:rsidRPr="007B5634">
        <w:t>author’s claim under articles 17</w:t>
      </w:r>
      <w:r w:rsidR="003A4139" w:rsidRPr="007B5634">
        <w:t xml:space="preserve"> (1)</w:t>
      </w:r>
      <w:r w:rsidR="00D50417" w:rsidRPr="007B5634">
        <w:t xml:space="preserve"> and 23 (1) of the Covenant, that</w:t>
      </w:r>
      <w:r w:rsidR="00FD14FC" w:rsidRPr="007B5634">
        <w:t xml:space="preserve"> the decision </w:t>
      </w:r>
      <w:r w:rsidR="00C3102A" w:rsidRPr="007B5634">
        <w:t>to cancel</w:t>
      </w:r>
      <w:r w:rsidR="00FD14FC" w:rsidRPr="007B5634">
        <w:t xml:space="preserve"> his visa was manifestly unreasonable and that</w:t>
      </w:r>
      <w:r w:rsidR="00D50417" w:rsidRPr="007B5634">
        <w:t xml:space="preserve"> </w:t>
      </w:r>
      <w:r w:rsidR="00A83435" w:rsidRPr="007B5634">
        <w:t>his removal from Australia to the United Kingdom would disrupt his family life</w:t>
      </w:r>
      <w:r w:rsidR="00FD14FC" w:rsidRPr="007B5634">
        <w:t xml:space="preserve">. </w:t>
      </w:r>
      <w:r w:rsidR="00D50417" w:rsidRPr="007B5634">
        <w:t>T</w:t>
      </w:r>
      <w:r w:rsidR="009C6716" w:rsidRPr="007B5634">
        <w:t>he Committee recalls its General Comments Nos. 16 on the right to privacy, and 19 on the protection of the family, whereby the concept of the family is to be interpreted broadly.</w:t>
      </w:r>
      <w:r w:rsidR="009C6716" w:rsidRPr="007B5634">
        <w:rPr>
          <w:vertAlign w:val="superscript"/>
        </w:rPr>
        <w:t xml:space="preserve"> </w:t>
      </w:r>
      <w:r w:rsidR="009C6716" w:rsidRPr="007B5634">
        <w:rPr>
          <w:vertAlign w:val="superscript"/>
        </w:rPr>
        <w:footnoteReference w:id="9"/>
      </w:r>
      <w:r w:rsidR="009C6716" w:rsidRPr="007B5634">
        <w:t xml:space="preserve"> The Committee also recalls its jurisprudence that there may be cases in which a State party's refusal to allow one member of a family to remain on its territory would involve interference in that person's family life. However, the mere fact that certain members of the family are entitled to remain on the territory of a State party does not necessarily mean that requiring other members of the family to leave involves such interference.</w:t>
      </w:r>
      <w:r w:rsidR="009C6716" w:rsidRPr="007B5634">
        <w:rPr>
          <w:vertAlign w:val="superscript"/>
        </w:rPr>
        <w:footnoteReference w:id="10"/>
      </w:r>
      <w:r w:rsidR="009C6716" w:rsidRPr="007B5634">
        <w:t xml:space="preserve"> It recalls that the separation of a person from his family by means of expulsion could be regarded as an arbitrary interference with the family and a violation of article 17 if, in the circumstances of the case, the separation of the author from his family and its effects on him were disproportionate to the objectives of the removal.</w:t>
      </w:r>
      <w:r w:rsidR="009C6716" w:rsidRPr="007B5634">
        <w:rPr>
          <w:vertAlign w:val="superscript"/>
        </w:rPr>
        <w:footnoteReference w:id="11"/>
      </w:r>
    </w:p>
    <w:p w14:paraId="2077F408" w14:textId="7DA434D6" w:rsidR="009C6716" w:rsidRPr="007B5634" w:rsidRDefault="00236F4B" w:rsidP="009C6716">
      <w:pPr>
        <w:pStyle w:val="SingleTxtG"/>
      </w:pPr>
      <w:r w:rsidRPr="007B5634">
        <w:t>8</w:t>
      </w:r>
      <w:r w:rsidR="009C6716" w:rsidRPr="007B5634">
        <w:t>.</w:t>
      </w:r>
      <w:r w:rsidRPr="007B5634">
        <w:t>3</w:t>
      </w:r>
      <w:r w:rsidR="009C6716" w:rsidRPr="007B5634">
        <w:tab/>
        <w:t xml:space="preserve">The Committee considers that the decision by a State party to deport a person who has lived all his life in the country leaving behind </w:t>
      </w:r>
      <w:r w:rsidR="00C3102A" w:rsidRPr="007B5634">
        <w:t xml:space="preserve">his family and </w:t>
      </w:r>
      <w:r w:rsidR="009C6716" w:rsidRPr="007B5634">
        <w:t xml:space="preserve">his </w:t>
      </w:r>
      <w:r w:rsidR="00C3102A" w:rsidRPr="007B5634">
        <w:t>fiancé</w:t>
      </w:r>
      <w:r w:rsidR="00255A53" w:rsidRPr="007B5634">
        <w:t>e</w:t>
      </w:r>
      <w:r w:rsidR="00C3102A" w:rsidRPr="007B5634">
        <w:t xml:space="preserve"> with whom he has been </w:t>
      </w:r>
      <w:r w:rsidR="00255A53" w:rsidRPr="007B5634">
        <w:t xml:space="preserve">in a relationship </w:t>
      </w:r>
      <w:r w:rsidR="00C3102A" w:rsidRPr="007B5634">
        <w:t>for 18 years</w:t>
      </w:r>
      <w:r w:rsidR="009C6716" w:rsidRPr="007B5634">
        <w:t xml:space="preserve">, to a country where he has no ties apart from his nationality, is to be considered “interference” with the family. The Committee notes that the State party has not refuted the existence of interference in the present case. The Committee must then examine if the said interference could be considered either arbitrary or unlawful. The Committee first notes that such interference is lawful as it is provided by the State party’s Migration Act, according to which the Minister </w:t>
      </w:r>
      <w:r w:rsidR="00376EA4" w:rsidRPr="007B5634">
        <w:t xml:space="preserve">for Immigration and Border Protection </w:t>
      </w:r>
      <w:r w:rsidR="009C6716" w:rsidRPr="007B5634">
        <w:t xml:space="preserve">may cancel a visa, if a person </w:t>
      </w:r>
      <w:r w:rsidR="0077172C" w:rsidRPr="007B5634">
        <w:t xml:space="preserve">has </w:t>
      </w:r>
      <w:r w:rsidR="009C6716" w:rsidRPr="007B5634">
        <w:t xml:space="preserve">been sentenced to a term of imprisonment of 12 months or </w:t>
      </w:r>
      <w:r w:rsidR="0077172C" w:rsidRPr="007B5634">
        <w:t xml:space="preserve">more, is convicted of one or more sexually based offences involving a </w:t>
      </w:r>
      <w:r w:rsidR="00F35513" w:rsidRPr="007B5634">
        <w:t>child and</w:t>
      </w:r>
      <w:r w:rsidR="0077172C" w:rsidRPr="007B5634">
        <w:t xml:space="preserve"> </w:t>
      </w:r>
      <w:r w:rsidR="00B6590D" w:rsidRPr="007B5634">
        <w:t>is serving a sentence of imprisonment</w:t>
      </w:r>
      <w:r w:rsidR="009C6716" w:rsidRPr="007B5634">
        <w:t>.</w:t>
      </w:r>
      <w:r w:rsidR="00F35513" w:rsidRPr="007B5634">
        <w:rPr>
          <w:rStyle w:val="FootnoteReference"/>
        </w:rPr>
        <w:footnoteReference w:id="12"/>
      </w:r>
      <w:r w:rsidR="009C6716" w:rsidRPr="007B5634">
        <w:t xml:space="preserve"> In the present case, the author </w:t>
      </w:r>
      <w:r w:rsidR="00F35513" w:rsidRPr="007B5634">
        <w:t xml:space="preserve">was serving a sentence of imprisonment on a full-time basis after being </w:t>
      </w:r>
      <w:r w:rsidR="009C6716" w:rsidRPr="007B5634">
        <w:t>convicted for serious criminal offences</w:t>
      </w:r>
      <w:r w:rsidR="00F35513" w:rsidRPr="007B5634">
        <w:t xml:space="preserve"> and sentenced to</w:t>
      </w:r>
      <w:r w:rsidR="009C6716" w:rsidRPr="007B5634">
        <w:t xml:space="preserve"> </w:t>
      </w:r>
      <w:r w:rsidR="00F35513" w:rsidRPr="007B5634">
        <w:t>8</w:t>
      </w:r>
      <w:r w:rsidR="009C6716" w:rsidRPr="007B5634">
        <w:t xml:space="preserve"> years</w:t>
      </w:r>
      <w:r w:rsidR="00F35513" w:rsidRPr="007B5634">
        <w:t xml:space="preserve"> and six months</w:t>
      </w:r>
      <w:r w:rsidR="009C6716" w:rsidRPr="007B5634">
        <w:t xml:space="preserve"> in prison.</w:t>
      </w:r>
    </w:p>
    <w:p w14:paraId="34D9A0C9" w14:textId="3B994268" w:rsidR="009C6716" w:rsidRPr="007B5634" w:rsidRDefault="00236F4B" w:rsidP="009C6716">
      <w:pPr>
        <w:pStyle w:val="SingleTxtG"/>
      </w:pPr>
      <w:r w:rsidRPr="007B5634">
        <w:t>8.4</w:t>
      </w:r>
      <w:r w:rsidR="009C6716" w:rsidRPr="007B5634">
        <w:tab/>
      </w:r>
      <w:r w:rsidR="00DD74A6" w:rsidRPr="007B5634">
        <w:t>The Committee recalls that the notion of arbitrariness includes elements of inappropriateness, injustice, lack of predictability and due process of law, as well as elements of reasonableness, necessity and proportionality. The Committee also recalls that the relevant criteria for assessing whether or not the specific interference with family life can be objectively justified must be considered in the light, on the one hand, of the significance of the State party’s reasons for the removal of the person concerned and, on the other hand, of the degree of hardship the family and its members would encounter as a consequence of such removal.</w:t>
      </w:r>
      <w:r w:rsidR="00DD74A6" w:rsidRPr="007B5634">
        <w:rPr>
          <w:rStyle w:val="FootnoteReference"/>
        </w:rPr>
        <w:footnoteReference w:id="13"/>
      </w:r>
      <w:r w:rsidR="00DD74A6" w:rsidRPr="007B5634">
        <w:t xml:space="preserve">. </w:t>
      </w:r>
      <w:r w:rsidR="009C7DD1" w:rsidRPr="007B5634">
        <w:t>T</w:t>
      </w:r>
      <w:r w:rsidR="009C6716" w:rsidRPr="007B5634">
        <w:t>he Committee notes the State party’s observation that it has weighed all these aspects and concluded in favour of the author’s deportation to protect the Australian community and address the Australian community’s expectations.</w:t>
      </w:r>
    </w:p>
    <w:p w14:paraId="1BFA1C9C" w14:textId="0194B34F" w:rsidR="009C6716" w:rsidRPr="007B5634" w:rsidRDefault="00236F4B" w:rsidP="00CC79FA">
      <w:pPr>
        <w:pStyle w:val="SingleTxtG"/>
      </w:pPr>
      <w:r w:rsidRPr="007B5634">
        <w:t>8.5</w:t>
      </w:r>
      <w:r w:rsidRPr="007B5634">
        <w:tab/>
      </w:r>
      <w:r w:rsidR="009C6716" w:rsidRPr="007B5634">
        <w:t xml:space="preserve">The Committee acknowledges the significance of the author’s criminal record. On the other hand, it notes the author’s claim </w:t>
      </w:r>
      <w:r w:rsidR="00BD7C95" w:rsidRPr="007B5634">
        <w:t>that he maintained a strong relationship with his fiancé</w:t>
      </w:r>
      <w:r w:rsidR="00255A53" w:rsidRPr="007B5634">
        <w:t>e</w:t>
      </w:r>
      <w:r w:rsidR="006C3C8A" w:rsidRPr="007B5634">
        <w:t xml:space="preserve"> </w:t>
      </w:r>
      <w:r w:rsidR="00D36F86" w:rsidRPr="007B5634">
        <w:t>and family</w:t>
      </w:r>
      <w:r w:rsidR="00BD7C95" w:rsidRPr="007B5634">
        <w:t xml:space="preserve"> despite the time he spent in prison; </w:t>
      </w:r>
      <w:r w:rsidR="00CC79FA" w:rsidRPr="007B5634">
        <w:t xml:space="preserve">that he is classified as a model prisoner and has excellent prison case manager reports; </w:t>
      </w:r>
      <w:r w:rsidR="000E17B2" w:rsidRPr="007B5634">
        <w:t xml:space="preserve">that he has engaged in rehabilitation programs; </w:t>
      </w:r>
      <w:r w:rsidR="00CC79FA" w:rsidRPr="007B5634">
        <w:lastRenderedPageBreak/>
        <w:t xml:space="preserve">that  he was assessed by a senior Clinical Forensic Psychologist Doctor as “Low Risk” to the community; </w:t>
      </w:r>
      <w:r w:rsidR="004D30BA" w:rsidRPr="007B5634">
        <w:t xml:space="preserve">that he </w:t>
      </w:r>
      <w:r w:rsidR="00BD7C95" w:rsidRPr="007B5634">
        <w:t xml:space="preserve"> does not have any family ties or contact with anyone living in the United Kingdom; </w:t>
      </w:r>
      <w:r w:rsidR="009C6716" w:rsidRPr="007B5634">
        <w:t xml:space="preserve">that his deportation </w:t>
      </w:r>
      <w:r w:rsidR="00CC79FA" w:rsidRPr="007B5634">
        <w:t xml:space="preserve">would lead </w:t>
      </w:r>
      <w:r w:rsidR="009C6716" w:rsidRPr="007B5634">
        <w:t>to a complete disruption of his family ties</w:t>
      </w:r>
      <w:r w:rsidR="00AF5013" w:rsidRPr="007B5634">
        <w:t xml:space="preserve">, as his parents are buried in Australia, </w:t>
      </w:r>
      <w:r w:rsidR="00D36F86" w:rsidRPr="007B5634">
        <w:t xml:space="preserve">and </w:t>
      </w:r>
      <w:r w:rsidR="009C6716" w:rsidRPr="007B5634">
        <w:t xml:space="preserve">his </w:t>
      </w:r>
      <w:r w:rsidR="00AF5013" w:rsidRPr="007B5634">
        <w:t>fiancé</w:t>
      </w:r>
      <w:r w:rsidR="00255A53" w:rsidRPr="007B5634">
        <w:t>e</w:t>
      </w:r>
      <w:r w:rsidR="009C6716" w:rsidRPr="007B5634">
        <w:t xml:space="preserve"> </w:t>
      </w:r>
      <w:r w:rsidR="00D36F86" w:rsidRPr="007B5634">
        <w:t xml:space="preserve">cannot </w:t>
      </w:r>
      <w:r w:rsidR="009C6716" w:rsidRPr="007B5634">
        <w:t xml:space="preserve">travel to </w:t>
      </w:r>
      <w:r w:rsidR="00CC79FA" w:rsidRPr="007B5634">
        <w:t>the United Kingdom</w:t>
      </w:r>
      <w:r w:rsidR="009C6716" w:rsidRPr="007B5634">
        <w:t xml:space="preserve"> for financial </w:t>
      </w:r>
      <w:r w:rsidR="00CC79FA" w:rsidRPr="007B5634">
        <w:t xml:space="preserve">and emotional </w:t>
      </w:r>
      <w:r w:rsidR="009C6716" w:rsidRPr="007B5634">
        <w:t>reasons</w:t>
      </w:r>
      <w:r w:rsidR="00AF5013" w:rsidRPr="007B5634">
        <w:t>, following her sister’s recent breast cancer</w:t>
      </w:r>
      <w:r w:rsidR="00D36F86" w:rsidRPr="007B5634">
        <w:t xml:space="preserve"> diagnosis</w:t>
      </w:r>
      <w:r w:rsidR="009C6716" w:rsidRPr="007B5634">
        <w:t xml:space="preserve">. The Committee further notes the author’s argument </w:t>
      </w:r>
      <w:r w:rsidR="000E17B2" w:rsidRPr="007B5634">
        <w:t>pointing to his limited criminal history and the isolated nature of his offences and that, upon his release, his life would be heavily regulated and monitored. It notes the author’s argument that deporting him would not increase the Australian community’</w:t>
      </w:r>
      <w:r w:rsidR="005C2C72" w:rsidRPr="007B5634">
        <w:t>s</w:t>
      </w:r>
      <w:r w:rsidR="000E17B2" w:rsidRPr="007B5634">
        <w:t xml:space="preserve"> safety as protections would be in place.</w:t>
      </w:r>
    </w:p>
    <w:p w14:paraId="41C2199F" w14:textId="53253442" w:rsidR="00CC79FA" w:rsidRPr="007B5634" w:rsidRDefault="00236F4B" w:rsidP="00F113EE">
      <w:pPr>
        <w:pStyle w:val="SingleTxtG"/>
      </w:pPr>
      <w:r w:rsidRPr="007B5634">
        <w:t>8.6</w:t>
      </w:r>
      <w:r w:rsidR="009C6716" w:rsidRPr="007B5634">
        <w:tab/>
      </w:r>
      <w:bookmarkStart w:id="1" w:name="_Hlk145599271"/>
      <w:r w:rsidR="005C2C72" w:rsidRPr="007B5634">
        <w:t xml:space="preserve">The Committee notes that, in its decision, the Minister for Immigration and Border Control concluded </w:t>
      </w:r>
      <w:r w:rsidR="005C2C72" w:rsidRPr="007B5634">
        <w:rPr>
          <w:rFonts w:eastAsia="Times New Roman"/>
          <w:lang w:eastAsia="en-GB"/>
        </w:rPr>
        <w:t xml:space="preserve">that the seriousness of the nature of the crimes committed by the author and the possibility of reoffending posed an unacceptable risk to the Australian community, outweighing the impact of the author’s removal on him and his family. </w:t>
      </w:r>
      <w:proofErr w:type="gramStart"/>
      <w:r w:rsidR="005C2C72" w:rsidRPr="007B5634">
        <w:t>In light of</w:t>
      </w:r>
      <w:proofErr w:type="gramEnd"/>
      <w:r w:rsidR="005C2C72" w:rsidRPr="007B5634">
        <w:t xml:space="preserve"> the information made available before it, the Committee considers that the</w:t>
      </w:r>
      <w:r w:rsidR="0047562A" w:rsidRPr="0047562A">
        <w:t xml:space="preserve"> </w:t>
      </w:r>
      <w:r w:rsidR="0047562A">
        <w:t>author’s deportation</w:t>
      </w:r>
      <w:r w:rsidR="0047562A" w:rsidRPr="007B5634">
        <w:t xml:space="preserve"> </w:t>
      </w:r>
      <w:r w:rsidR="0047562A">
        <w:t>is of a definite nature and has had serious consequences for the author and his family. It concludes that the deportation was disproportionate</w:t>
      </w:r>
      <w:r w:rsidR="005C2C72" w:rsidRPr="007B5634">
        <w:t>, to the legitimate aim of preventing the commission of further crimes, especially given</w:t>
      </w:r>
      <w:r w:rsidR="009B28B5" w:rsidRPr="007B5634">
        <w:t xml:space="preserve"> </w:t>
      </w:r>
      <w:r w:rsidR="005C2C72" w:rsidRPr="007B5634">
        <w:t xml:space="preserve">the important lapse of time, between the commission of </w:t>
      </w:r>
      <w:r w:rsidR="009B28B5" w:rsidRPr="007B5634">
        <w:t xml:space="preserve">the </w:t>
      </w:r>
      <w:r w:rsidR="005C2C72" w:rsidRPr="007B5634">
        <w:t>offences considered by the Minister and the deportation</w:t>
      </w:r>
      <w:r w:rsidR="00301D6A" w:rsidRPr="007B5634">
        <w:t xml:space="preserve">, </w:t>
      </w:r>
      <w:r w:rsidR="00891AE6" w:rsidRPr="007B5634">
        <w:t xml:space="preserve">the absence of </w:t>
      </w:r>
      <w:r w:rsidR="00857DD9" w:rsidRPr="007B5634">
        <w:t xml:space="preserve">any </w:t>
      </w:r>
      <w:r w:rsidR="00891AE6" w:rsidRPr="007B5634">
        <w:t xml:space="preserve">re-offense </w:t>
      </w:r>
      <w:r w:rsidR="00301D6A" w:rsidRPr="007B5634">
        <w:t xml:space="preserve">during </w:t>
      </w:r>
      <w:r w:rsidR="00891AE6" w:rsidRPr="007B5634">
        <w:t>this period</w:t>
      </w:r>
      <w:r w:rsidR="009B28B5" w:rsidRPr="007B5634">
        <w:t xml:space="preserve"> </w:t>
      </w:r>
      <w:r w:rsidR="008A0B30">
        <w:t>in particular between his release on bail in 2008 and trial in 2011</w:t>
      </w:r>
      <w:r w:rsidR="005C2C72" w:rsidRPr="007B5634">
        <w:t>.</w:t>
      </w:r>
      <w:r w:rsidR="00EB6264" w:rsidRPr="007B5634">
        <w:rPr>
          <w:rStyle w:val="FootnoteReference"/>
        </w:rPr>
        <w:footnoteReference w:id="14"/>
      </w:r>
      <w:r w:rsidR="008A0B30">
        <w:t>,</w:t>
      </w:r>
      <w:r w:rsidR="008A0B30" w:rsidRPr="008A0B30">
        <w:t xml:space="preserve"> </w:t>
      </w:r>
      <w:r w:rsidR="008A0B30">
        <w:t>the recognition by the Minister of his “good behaviour since his offending conduct”, the author’s efforts to engage in rehabilitation programs, and his placement on a register of sex offenders and resulting monitoring of his conduct</w:t>
      </w:r>
      <w:r w:rsidR="005C2C72" w:rsidRPr="007B5634">
        <w:t xml:space="preserve"> </w:t>
      </w:r>
      <w:r w:rsidR="009B28B5" w:rsidRPr="007B5634">
        <w:t>The Committee also considers</w:t>
      </w:r>
      <w:r w:rsidR="008A0B30">
        <w:t>,</w:t>
      </w:r>
      <w:r w:rsidR="008A0B30" w:rsidRPr="008A0B30">
        <w:t xml:space="preserve"> </w:t>
      </w:r>
      <w:r w:rsidR="008A0B30">
        <w:t>in this regard,</w:t>
      </w:r>
      <w:r w:rsidR="009B28B5" w:rsidRPr="007B5634">
        <w:t xml:space="preserve"> that the State party failed to examine whether it could have taken other measures </w:t>
      </w:r>
      <w:r w:rsidR="00822584" w:rsidRPr="007B5634">
        <w:t xml:space="preserve">less restrictive and </w:t>
      </w:r>
      <w:r w:rsidR="009B28B5" w:rsidRPr="007B5634">
        <w:t xml:space="preserve">less detrimental to the family life of the author, and therefore has not demonstrated that </w:t>
      </w:r>
      <w:r w:rsidR="007115CD" w:rsidRPr="007B5634">
        <w:t>deporting the author was a reasonable measure</w:t>
      </w:r>
      <w:r w:rsidR="008A0B30" w:rsidRPr="008A0B30">
        <w:t xml:space="preserve"> </w:t>
      </w:r>
      <w:r w:rsidR="008A0B30">
        <w:t>in the particular circumstances</w:t>
      </w:r>
      <w:r w:rsidR="009B28B5" w:rsidRPr="007B5634">
        <w:t>.</w:t>
      </w:r>
      <w:r w:rsidR="008A0B30">
        <w:t>.</w:t>
      </w:r>
      <w:r w:rsidR="005C2C72" w:rsidRPr="007B5634">
        <w:t xml:space="preserve"> </w:t>
      </w:r>
      <w:r w:rsidR="008A0B30">
        <w:t>T</w:t>
      </w:r>
      <w:r w:rsidR="005C2C72" w:rsidRPr="007B5634">
        <w:t xml:space="preserve">he Committee </w:t>
      </w:r>
      <w:r w:rsidR="008A0B30">
        <w:t>therefore</w:t>
      </w:r>
      <w:r w:rsidR="008A0B30" w:rsidRPr="007B5634">
        <w:t xml:space="preserve"> </w:t>
      </w:r>
      <w:r w:rsidR="005C2C72" w:rsidRPr="007B5634">
        <w:t>concludes that the author’s deportation constituted an arbitrary interference with his family in relation to the author, contrary to articles 17 and 23, paragraph 1 of the Covenant.</w:t>
      </w:r>
      <w:bookmarkEnd w:id="1"/>
    </w:p>
    <w:p w14:paraId="1879BD83" w14:textId="74AE7EFB" w:rsidR="00236F4B" w:rsidRPr="007B5634" w:rsidRDefault="00236F4B" w:rsidP="00236F4B">
      <w:pPr>
        <w:pStyle w:val="SingleTxtG"/>
      </w:pPr>
      <w:r w:rsidRPr="007B5634">
        <w:t>9.</w:t>
      </w:r>
      <w:r w:rsidRPr="007B5634">
        <w:tab/>
        <w:t xml:space="preserve">The Committee, acting under article 5 (4) of the Optional Protocol, is of the view that by </w:t>
      </w:r>
      <w:r w:rsidR="00C277B3" w:rsidRPr="007B5634">
        <w:t xml:space="preserve">deporting </w:t>
      </w:r>
      <w:r w:rsidRPr="007B5634">
        <w:t xml:space="preserve">the author to </w:t>
      </w:r>
      <w:r w:rsidR="00C277B3" w:rsidRPr="007B5634">
        <w:t>the United Kingdom</w:t>
      </w:r>
      <w:r w:rsidRPr="007B5634">
        <w:t>, the State party has violated his rights under article</w:t>
      </w:r>
      <w:r w:rsidR="00C277B3" w:rsidRPr="007B5634">
        <w:t>s</w:t>
      </w:r>
      <w:r w:rsidRPr="007B5634">
        <w:t xml:space="preserve"> </w:t>
      </w:r>
      <w:r w:rsidR="00C277B3" w:rsidRPr="007B5634">
        <w:t>1</w:t>
      </w:r>
      <w:r w:rsidRPr="007B5634">
        <w:t>7</w:t>
      </w:r>
      <w:r w:rsidR="00C277B3" w:rsidRPr="007B5634">
        <w:t xml:space="preserve"> and 23, paragraph 1</w:t>
      </w:r>
      <w:r w:rsidRPr="007B5634">
        <w:t xml:space="preserve"> of the Covenant. </w:t>
      </w:r>
    </w:p>
    <w:p w14:paraId="11680304" w14:textId="48CF0442" w:rsidR="00236F4B" w:rsidRPr="007B5634" w:rsidRDefault="00236F4B" w:rsidP="00236F4B">
      <w:pPr>
        <w:pStyle w:val="SingleTxtG"/>
      </w:pPr>
      <w:r w:rsidRPr="007B5634">
        <w:t>10.</w:t>
      </w:r>
      <w:r w:rsidRPr="007B5634">
        <w:tab/>
        <w:t>Pursuant to article 2 (3) (a) of the Covenant, the State party is under an obligation to provide the author with an effective remedy. This requires it to make full reparation to individuals whose Covenant rights have been violated. Accordingly, the State party is obligated</w:t>
      </w:r>
      <w:proofErr w:type="gramStart"/>
      <w:r w:rsidRPr="007B5634">
        <w:t>, ,</w:t>
      </w:r>
      <w:proofErr w:type="gramEnd"/>
      <w:r w:rsidRPr="007B5634">
        <w:t xml:space="preserve"> to take appropriate steps to provide the author with adequate compensation. The State party is also under an obligation to take all steps necessary to prevent similar violations from occurring in the future.</w:t>
      </w:r>
    </w:p>
    <w:p w14:paraId="4DD473C4" w14:textId="7ED9118B" w:rsidR="008C1F04" w:rsidRPr="007B5634" w:rsidRDefault="00236F4B" w:rsidP="00C277B3">
      <w:pPr>
        <w:pStyle w:val="SingleTxtG"/>
      </w:pPr>
      <w:r w:rsidRPr="007B5634">
        <w:t>11.</w:t>
      </w:r>
      <w:r w:rsidRPr="007B563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0A67FF12" w14:textId="4DF27C7F" w:rsidR="00EC18BA" w:rsidRDefault="006F354E" w:rsidP="00287B86">
      <w:pPr>
        <w:pStyle w:val="SingleTxtG"/>
        <w:jc w:val="center"/>
        <w:rPr>
          <w:u w:val="single"/>
          <w:lang w:val="en-US"/>
        </w:rPr>
        <w:sectPr w:rsidR="00EC18BA" w:rsidSect="00995DC2">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r w:rsidRPr="007B5634">
        <w:rPr>
          <w:u w:val="single"/>
          <w:lang w:val="en-US"/>
        </w:rPr>
        <w:tab/>
      </w:r>
    </w:p>
    <w:p w14:paraId="42978BA0" w14:textId="549A9F0D" w:rsidR="00EC18BA" w:rsidRDefault="00EC18BA" w:rsidP="00A55E65">
      <w:pPr>
        <w:pStyle w:val="H1G"/>
      </w:pPr>
      <w:r>
        <w:lastRenderedPageBreak/>
        <w:t>Annex</w:t>
      </w:r>
    </w:p>
    <w:p w14:paraId="13639447" w14:textId="6A9EE907" w:rsidR="00EC18BA" w:rsidRPr="00F43ECA" w:rsidRDefault="00EC18BA" w:rsidP="00A55E65">
      <w:pPr>
        <w:pStyle w:val="H1G"/>
      </w:pPr>
      <w:r>
        <w:tab/>
      </w:r>
      <w:r>
        <w:tab/>
      </w:r>
      <w:r w:rsidRPr="00F43ECA">
        <w:t xml:space="preserve">Joint opinion </w:t>
      </w:r>
      <w:r w:rsidR="003C6A22">
        <w:t>by</w:t>
      </w:r>
      <w:r w:rsidRPr="00F43ECA">
        <w:t xml:space="preserve"> </w:t>
      </w:r>
      <w:r>
        <w:t>Committee Members</w:t>
      </w:r>
      <w:r w:rsidRPr="00F43ECA">
        <w:t xml:space="preserve"> </w:t>
      </w:r>
      <w:r>
        <w:t>Carlos Gomez Martinez</w:t>
      </w:r>
      <w:r w:rsidRPr="00F43ECA">
        <w:t>,</w:t>
      </w:r>
      <w:r>
        <w:t xml:space="preserve"> </w:t>
      </w:r>
      <w:r w:rsidRPr="00F43ECA">
        <w:t>Marcia V. J. Kran</w:t>
      </w:r>
      <w:r>
        <w:t xml:space="preserve"> and Koji Teraya</w:t>
      </w:r>
      <w:r w:rsidRPr="00F43ECA">
        <w:t xml:space="preserve"> (dissenting)</w:t>
      </w:r>
      <w:r>
        <w:t xml:space="preserve"> </w:t>
      </w:r>
    </w:p>
    <w:p w14:paraId="6E3C2515" w14:textId="573FE798" w:rsidR="00EC18BA" w:rsidRPr="00F43ECA" w:rsidRDefault="00EC18BA" w:rsidP="00A55E65">
      <w:pPr>
        <w:pStyle w:val="SingleTxtG"/>
      </w:pPr>
      <w:r w:rsidRPr="00F43ECA">
        <w:rPr>
          <w:b/>
        </w:rPr>
        <w:t>1.</w:t>
      </w:r>
      <w:r w:rsidRPr="00F43ECA">
        <w:t xml:space="preserve"> </w:t>
      </w:r>
      <w:r>
        <w:tab/>
      </w:r>
      <w:r w:rsidRPr="00F43ECA">
        <w:t xml:space="preserve">We </w:t>
      </w:r>
      <w:r>
        <w:t xml:space="preserve">have </w:t>
      </w:r>
      <w:proofErr w:type="gramStart"/>
      <w:r>
        <w:t>come to a conclusion</w:t>
      </w:r>
      <w:proofErr w:type="gramEnd"/>
      <w:r>
        <w:t xml:space="preserve"> that differs from</w:t>
      </w:r>
      <w:r w:rsidRPr="00F43ECA">
        <w:t xml:space="preserve"> the majority of the Committee</w:t>
      </w:r>
      <w:r>
        <w:t xml:space="preserve"> that the author’s deportation to the United Kingdom would violate his rights under articles 17 and 23, paragraph 1 of the Covenant. At issue in the present case is whether the author has demonstrated the assessment made by the </w:t>
      </w:r>
      <w:r w:rsidRPr="00F43ECA">
        <w:t>State party</w:t>
      </w:r>
      <w:r>
        <w:t xml:space="preserve"> of his situation was</w:t>
      </w:r>
      <w:r w:rsidRPr="00F43ECA">
        <w:t xml:space="preserve"> clearly </w:t>
      </w:r>
      <w:proofErr w:type="gramStart"/>
      <w:r w:rsidRPr="00F43ECA">
        <w:t xml:space="preserve">arbitrary, </w:t>
      </w:r>
      <w:r>
        <w:t>or</w:t>
      </w:r>
      <w:proofErr w:type="gramEnd"/>
      <w:r>
        <w:t xml:space="preserve"> amounted to</w:t>
      </w:r>
      <w:r w:rsidRPr="00F43ECA">
        <w:t xml:space="preserve"> a manifest error or a denial of justice. </w:t>
      </w:r>
      <w:r>
        <w:t>We are of the view that t</w:t>
      </w:r>
      <w:r w:rsidRPr="00F43ECA">
        <w:t xml:space="preserve">he majority’s decision </w:t>
      </w:r>
      <w:r>
        <w:t>departs from</w:t>
      </w:r>
      <w:r w:rsidRPr="00F43ECA">
        <w:t xml:space="preserve"> the Committee’s established jurisprudence, which gives due weight to the assessments of the facts and evidence in deportation proceedings</w:t>
      </w:r>
      <w:r w:rsidRPr="00716138">
        <w:t xml:space="preserve"> </w:t>
      </w:r>
      <w:r w:rsidRPr="00F43ECA">
        <w:t xml:space="preserve">by </w:t>
      </w:r>
      <w:r>
        <w:t>the</w:t>
      </w:r>
      <w:r w:rsidRPr="00F43ECA">
        <w:t xml:space="preserve"> State party</w:t>
      </w:r>
      <w:r>
        <w:t>.</w:t>
      </w:r>
    </w:p>
    <w:p w14:paraId="146786CD" w14:textId="63ADAB61" w:rsidR="00EC18BA" w:rsidRPr="00F43ECA" w:rsidRDefault="00EC18BA" w:rsidP="00A55E65">
      <w:pPr>
        <w:pStyle w:val="SingleTxtG"/>
        <w:rPr>
          <w:lang w:val="en-CA"/>
        </w:rPr>
      </w:pPr>
      <w:r w:rsidRPr="00F43ECA">
        <w:rPr>
          <w:b/>
          <w:bCs/>
        </w:rPr>
        <w:t>2.</w:t>
      </w:r>
      <w:r w:rsidRPr="00F43ECA">
        <w:t xml:space="preserve"> </w:t>
      </w:r>
      <w:r>
        <w:tab/>
      </w:r>
      <w:r w:rsidRPr="00F43ECA">
        <w:t xml:space="preserve">The State party’s legislation, namely section 501 (3A) </w:t>
      </w:r>
      <w:r>
        <w:t xml:space="preserve">and 501 (6)(e) </w:t>
      </w:r>
      <w:r w:rsidRPr="00F43ECA">
        <w:t>of the Migration Act, stipulate that the Minister for Immigration and Border Protection (the “Minister”) has the authority to revoke a perm</w:t>
      </w:r>
      <w:r>
        <w:t>a</w:t>
      </w:r>
      <w:r w:rsidRPr="00F43ECA">
        <w:t>nent residency status of a non</w:t>
      </w:r>
      <w:r>
        <w:t>-</w:t>
      </w:r>
      <w:r w:rsidRPr="00F43ECA">
        <w:t xml:space="preserve">national and remove that person from </w:t>
      </w:r>
      <w:r w:rsidR="003C6A22" w:rsidRPr="00F43ECA">
        <w:t>Australia</w:t>
      </w:r>
      <w:r>
        <w:t xml:space="preserve"> under certain </w:t>
      </w:r>
      <w:r w:rsidR="003C6A22">
        <w:t>circumstances</w:t>
      </w:r>
      <w:r>
        <w:t>. Such circumstances include when</w:t>
      </w:r>
      <w:r w:rsidRPr="00F43ECA">
        <w:t xml:space="preserve"> a person has been convicted of serious offences or se</w:t>
      </w:r>
      <w:r>
        <w:t>x</w:t>
      </w:r>
      <w:r w:rsidRPr="00F43ECA">
        <w:t>ually based offences involving a child</w:t>
      </w:r>
      <w:r>
        <w:t>,</w:t>
      </w:r>
      <w:r w:rsidRPr="00F43ECA">
        <w:t xml:space="preserve"> and </w:t>
      </w:r>
      <w:r>
        <w:t xml:space="preserve">as a result, </w:t>
      </w:r>
      <w:r w:rsidRPr="00F43ECA">
        <w:t xml:space="preserve">does not pass the character test. In this assessment, decision-makers must consider the risk of future serious harm to the Australian community and protect vulnerable children (para. 4.5). </w:t>
      </w:r>
    </w:p>
    <w:p w14:paraId="62AB16CD" w14:textId="1894842E" w:rsidR="00EC18BA" w:rsidRPr="00267CB1" w:rsidRDefault="00EC18BA" w:rsidP="00A55E65">
      <w:pPr>
        <w:pStyle w:val="SingleTxtG"/>
      </w:pPr>
      <w:r w:rsidRPr="00F43ECA">
        <w:rPr>
          <w:b/>
          <w:bCs/>
        </w:rPr>
        <w:t>3.</w:t>
      </w:r>
      <w:r w:rsidRPr="00F43ECA">
        <w:t xml:space="preserve"> </w:t>
      </w:r>
      <w:r>
        <w:tab/>
        <w:t>The author</w:t>
      </w:r>
      <w:r w:rsidRPr="00F43ECA">
        <w:t xml:space="preserve"> was convicted of “incest by </w:t>
      </w:r>
      <w:proofErr w:type="gramStart"/>
      <w:r w:rsidRPr="00F43ECA">
        <w:t>step</w:t>
      </w:r>
      <w:r>
        <w:t xml:space="preserve"> </w:t>
      </w:r>
      <w:r w:rsidRPr="00F43ECA">
        <w:t>parent</w:t>
      </w:r>
      <w:proofErr w:type="gramEnd"/>
      <w:r w:rsidRPr="00F43ECA">
        <w:t>” and “indecent act with child under 16”, committed between 1 June 2003, and 30 June 2004, and he plead</w:t>
      </w:r>
      <w:r>
        <w:t>ed</w:t>
      </w:r>
      <w:r w:rsidRPr="00F43ECA">
        <w:t xml:space="preserve"> guilty to “make/produce child pornography”</w:t>
      </w:r>
      <w:r>
        <w:t xml:space="preserve">, which </w:t>
      </w:r>
      <w:r w:rsidR="003C6A22">
        <w:t>occurred</w:t>
      </w:r>
      <w:r w:rsidRPr="00F43ECA">
        <w:t xml:space="preserve"> on 7 September 2006</w:t>
      </w:r>
      <w:r>
        <w:t xml:space="preserve">. </w:t>
      </w:r>
      <w:r w:rsidRPr="00F43ECA">
        <w:t xml:space="preserve">He was sentenced to </w:t>
      </w:r>
      <w:r>
        <w:t xml:space="preserve">a cumulative term of </w:t>
      </w:r>
      <w:r w:rsidRPr="00F43ECA">
        <w:t xml:space="preserve">eight years and six months imprisonment, </w:t>
      </w:r>
      <w:r w:rsidRPr="00E064F7">
        <w:t>with a non-parole period of five years and eight months</w:t>
      </w:r>
      <w:r>
        <w:t>. The author’s</w:t>
      </w:r>
      <w:r w:rsidRPr="00F43ECA">
        <w:t xml:space="preserve"> </w:t>
      </w:r>
      <w:r>
        <w:t xml:space="preserve">conviction </w:t>
      </w:r>
      <w:r w:rsidRPr="00F43ECA">
        <w:t xml:space="preserve">was upheld </w:t>
      </w:r>
      <w:r>
        <w:t xml:space="preserve">on appeal </w:t>
      </w:r>
      <w:r w:rsidRPr="00F43ECA">
        <w:t>by the Melbourne Supreme Court on 18 December 2012</w:t>
      </w:r>
      <w:r>
        <w:t xml:space="preserve"> (para 2.2)</w:t>
      </w:r>
      <w:r w:rsidRPr="00F43ECA">
        <w:t xml:space="preserve">. </w:t>
      </w:r>
      <w:r>
        <w:t xml:space="preserve">The author’s entire family reside in Australia and have </w:t>
      </w:r>
      <w:proofErr w:type="gramStart"/>
      <w:r>
        <w:t>citizenship,</w:t>
      </w:r>
      <w:proofErr w:type="gramEnd"/>
      <w:r>
        <w:t xml:space="preserve"> however the author</w:t>
      </w:r>
      <w:r w:rsidRPr="00F43ECA">
        <w:t xml:space="preserve"> did not seek to become a national of Australia </w:t>
      </w:r>
      <w:r>
        <w:t xml:space="preserve">despite being eligible to do so </w:t>
      </w:r>
      <w:r w:rsidRPr="00F43ECA">
        <w:t>(para 2.</w:t>
      </w:r>
      <w:r>
        <w:t>1</w:t>
      </w:r>
      <w:r w:rsidRPr="00F43ECA">
        <w:t xml:space="preserve">). His visa was cancelled on 12 October 2015 pursuant to 501 (3A) of the Migration Act, and </w:t>
      </w:r>
      <w:r>
        <w:t xml:space="preserve">the author </w:t>
      </w:r>
      <w:r w:rsidRPr="00F43ECA">
        <w:t>was</w:t>
      </w:r>
      <w:r>
        <w:t xml:space="preserve"> subsequently</w:t>
      </w:r>
      <w:r w:rsidRPr="00F43ECA">
        <w:t xml:space="preserve"> subject to immigration detention and removal. </w:t>
      </w:r>
      <w:r>
        <w:t>The author</w:t>
      </w:r>
      <w:r w:rsidRPr="00F43ECA">
        <w:t xml:space="preserve"> then applied to the Minister to have his visa cancellation revoked</w:t>
      </w:r>
      <w:r>
        <w:t xml:space="preserve"> </w:t>
      </w:r>
      <w:r w:rsidRPr="00EC4085">
        <w:t>pursuant to section 501</w:t>
      </w:r>
      <w:proofErr w:type="gramStart"/>
      <w:r w:rsidRPr="00EC4085">
        <w:t>CA(</w:t>
      </w:r>
      <w:proofErr w:type="gramEnd"/>
      <w:r w:rsidRPr="00EC4085">
        <w:t>4) of the Migration Act</w:t>
      </w:r>
      <w:r>
        <w:t xml:space="preserve"> </w:t>
      </w:r>
      <w:r w:rsidRPr="00F43ECA">
        <w:t xml:space="preserve">(para 2.3). The Minister denied </w:t>
      </w:r>
      <w:r>
        <w:t>the author</w:t>
      </w:r>
      <w:r w:rsidRPr="00F43ECA">
        <w:t xml:space="preserve">’s application </w:t>
      </w:r>
      <w:r>
        <w:t>based on</w:t>
      </w:r>
      <w:r w:rsidRPr="00F43ECA">
        <w:t xml:space="preserve"> Section 501(6)(e) of the Migration Act</w:t>
      </w:r>
      <w:r>
        <w:t>,</w:t>
      </w:r>
      <w:r w:rsidRPr="00F43ECA">
        <w:t xml:space="preserve"> which states that a person </w:t>
      </w:r>
      <w:r>
        <w:t>does not</w:t>
      </w:r>
      <w:r w:rsidRPr="00F43ECA">
        <w:t xml:space="preserve"> pass the character test for holding a visa if they have been convicted of one or more se</w:t>
      </w:r>
      <w:r>
        <w:t>x</w:t>
      </w:r>
      <w:r w:rsidRPr="00F43ECA">
        <w:t xml:space="preserve">ually based offences involving a child (para 2.5). </w:t>
      </w:r>
      <w:r>
        <w:t>The author</w:t>
      </w:r>
      <w:r w:rsidRPr="00F43ECA">
        <w:t xml:space="preserve"> </w:t>
      </w:r>
      <w:r>
        <w:t>subsequently</w:t>
      </w:r>
      <w:r w:rsidRPr="00F43ECA">
        <w:t xml:space="preserve"> appealed through an application for a judicial review by the Federal Court of Australia, wh</w:t>
      </w:r>
      <w:r>
        <w:t>ich</w:t>
      </w:r>
      <w:r w:rsidRPr="00F43ECA">
        <w:t xml:space="preserve"> found the Minister’s assessment to be full and in careful consideration of the evidence presented by the author and therefore rejected the appeal (para 4.6).</w:t>
      </w:r>
    </w:p>
    <w:p w14:paraId="58969661" w14:textId="74E926F2" w:rsidR="00EC18BA" w:rsidRPr="00F43ECA" w:rsidRDefault="00EC18BA" w:rsidP="00A55E65">
      <w:pPr>
        <w:pStyle w:val="SingleTxtG"/>
      </w:pPr>
      <w:r>
        <w:rPr>
          <w:b/>
          <w:bCs/>
        </w:rPr>
        <w:t>4</w:t>
      </w:r>
      <w:r w:rsidRPr="00F43ECA">
        <w:rPr>
          <w:b/>
          <w:bCs/>
        </w:rPr>
        <w:t>.</w:t>
      </w:r>
      <w:r w:rsidRPr="00F43ECA">
        <w:t xml:space="preserve"> </w:t>
      </w:r>
      <w:r>
        <w:tab/>
      </w:r>
      <w:r w:rsidRPr="00F43ECA">
        <w:t xml:space="preserve">In its assessment of the author’s claims, the State party concluded that the information at its disposal was serious enough to justify </w:t>
      </w:r>
      <w:r>
        <w:t>the author</w:t>
      </w:r>
      <w:r w:rsidRPr="00F43ECA">
        <w:t>’s removal. This conclusion was reached by a competent national authority, namely the Minister for Immigration and Border Protection, after a thorough and individualized assessment of the author’s case. By the author’s own submission</w:t>
      </w:r>
      <w:r>
        <w:t>,</w:t>
      </w:r>
      <w:r w:rsidRPr="00F43ECA">
        <w:t xml:space="preserve"> the Minister considered the extent of the harm to the best interests of</w:t>
      </w:r>
      <w:r>
        <w:t xml:space="preserve"> the author</w:t>
      </w:r>
      <w:r w:rsidRPr="00F43ECA">
        <w:t>’s family, including his engagement to an Australian citizen</w:t>
      </w:r>
      <w:r>
        <w:t xml:space="preserve">, the </w:t>
      </w:r>
      <w:r w:rsidRPr="00F43ECA">
        <w:rPr>
          <w:rFonts w:eastAsia="Times New Roman"/>
          <w:lang w:eastAsia="en-GB"/>
        </w:rPr>
        <w:t>fiancée</w:t>
      </w:r>
      <w:r>
        <w:t>’s three adult children who considered the author as a stepfather,</w:t>
      </w:r>
      <w:r w:rsidRPr="00F43ECA">
        <w:t xml:space="preserve"> and other family ties</w:t>
      </w:r>
      <w:r>
        <w:t xml:space="preserve">. The Minister also considered </w:t>
      </w:r>
      <w:r w:rsidRPr="00F43ECA">
        <w:t xml:space="preserve">the </w:t>
      </w:r>
      <w:r>
        <w:t xml:space="preserve">author’s </w:t>
      </w:r>
      <w:r w:rsidRPr="00F43ECA">
        <w:t>lack of personal support in the U</w:t>
      </w:r>
      <w:r>
        <w:t xml:space="preserve">nited </w:t>
      </w:r>
      <w:r w:rsidRPr="00F43ECA">
        <w:t>K</w:t>
      </w:r>
      <w:r>
        <w:t>ingdom</w:t>
      </w:r>
      <w:r w:rsidRPr="00F43ECA">
        <w:t xml:space="preserve">, and his claims regarding his health </w:t>
      </w:r>
      <w:r w:rsidRPr="00E064F7">
        <w:t>concerns.</w:t>
      </w:r>
      <w:r w:rsidRPr="00F43ECA">
        <w:t xml:space="preserve"> However, the Minister found that any harm was likely to be limited as </w:t>
      </w:r>
      <w:r>
        <w:t>the author</w:t>
      </w:r>
      <w:r w:rsidRPr="00F43ECA">
        <w:t xml:space="preserve"> did not have </w:t>
      </w:r>
      <w:r>
        <w:t xml:space="preserve">any </w:t>
      </w:r>
      <w:r w:rsidRPr="00F43ECA">
        <w:t>minor children</w:t>
      </w:r>
      <w:r>
        <w:t>,</w:t>
      </w:r>
      <w:r w:rsidRPr="00F43ECA">
        <w:t xml:space="preserve"> </w:t>
      </w:r>
      <w:r w:rsidRPr="0085552C">
        <w:t xml:space="preserve">that any practical hardship suffered by the author in establishing in the United Kingdom would </w:t>
      </w:r>
      <w:r>
        <w:t>not be excessive,</w:t>
      </w:r>
      <w:r w:rsidRPr="0085552C">
        <w:t xml:space="preserve"> </w:t>
      </w:r>
      <w:r w:rsidRPr="00F43ECA">
        <w:t xml:space="preserve">and the </w:t>
      </w:r>
      <w:r>
        <w:t xml:space="preserve">author would have access to medical treatment in </w:t>
      </w:r>
      <w:r w:rsidRPr="00F43ECA">
        <w:t>U</w:t>
      </w:r>
      <w:r>
        <w:t>nited Kingdom</w:t>
      </w:r>
      <w:r w:rsidRPr="00F43ECA">
        <w:t xml:space="preserve"> </w:t>
      </w:r>
      <w:r w:rsidRPr="0085552C">
        <w:t>under its national health system</w:t>
      </w:r>
      <w:r w:rsidRPr="00F43ECA">
        <w:t xml:space="preserve">. Finally, the Minister gave due weight to the serious nature of the author's conviction and found that the Australian community would be exposed to significant harm should he reoffend (para 2.5). </w:t>
      </w:r>
    </w:p>
    <w:p w14:paraId="2413F443" w14:textId="149F8752" w:rsidR="00EC18BA" w:rsidRPr="00F43ECA" w:rsidRDefault="00EC18BA" w:rsidP="00A55E65">
      <w:pPr>
        <w:pStyle w:val="SingleTxtG"/>
      </w:pPr>
      <w:r w:rsidRPr="00F43ECA">
        <w:t>The Minister’s considerations and final decision were also subject to a judicial review by the Federal Court of Australia upon the author’s request. T</w:t>
      </w:r>
      <w:r w:rsidRPr="00F43ECA">
        <w:rPr>
          <w:rFonts w:eastAsia="Times New Roman"/>
          <w:lang w:eastAsia="en-GB"/>
        </w:rPr>
        <w:t xml:space="preserve">he Federal Court of Australia found the Minister’s decision to be lawful and dismissed the author’s argument that the Minister </w:t>
      </w:r>
      <w:r w:rsidRPr="00F43ECA">
        <w:rPr>
          <w:rFonts w:eastAsia="Times New Roman"/>
          <w:lang w:eastAsia="en-GB"/>
        </w:rPr>
        <w:lastRenderedPageBreak/>
        <w:t>had not considered the hardship of the non-revocation on him, his fiancée, extended family, and friends (</w:t>
      </w:r>
      <w:r>
        <w:rPr>
          <w:rFonts w:eastAsia="Times New Roman"/>
          <w:lang w:eastAsia="en-GB"/>
        </w:rPr>
        <w:t xml:space="preserve">para </w:t>
      </w:r>
      <w:r w:rsidRPr="00F43ECA">
        <w:rPr>
          <w:rFonts w:eastAsia="Times New Roman"/>
          <w:lang w:eastAsia="en-GB"/>
        </w:rPr>
        <w:t xml:space="preserve">4.6). </w:t>
      </w:r>
      <w:r w:rsidR="003C6A22" w:rsidRPr="00F43ECA">
        <w:rPr>
          <w:rFonts w:eastAsia="Times New Roman"/>
          <w:lang w:eastAsia="en-GB"/>
        </w:rPr>
        <w:t>Instead,</w:t>
      </w:r>
      <w:r w:rsidRPr="00F43ECA">
        <w:rPr>
          <w:rFonts w:eastAsia="Times New Roman"/>
          <w:lang w:eastAsia="en-GB"/>
        </w:rPr>
        <w:t xml:space="preserve"> the Court found </w:t>
      </w:r>
      <w:r w:rsidRPr="00F43ECA">
        <w:t xml:space="preserve">that the Minister had given attention </w:t>
      </w:r>
      <w:proofErr w:type="gramStart"/>
      <w:r w:rsidRPr="00F43ECA">
        <w:t>to:</w:t>
      </w:r>
      <w:proofErr w:type="gramEnd"/>
      <w:r w:rsidRPr="00F43ECA">
        <w:t xml:space="preserve"> i) the strength, nature and duration of the author’s ties to Australia; ii) the extent of the impediments to the author in case he were to be removed; iii) the potential risk the author poses to the Australian community, and; iv) the best interests of any minor children (</w:t>
      </w:r>
      <w:r>
        <w:t xml:space="preserve">para </w:t>
      </w:r>
      <w:r w:rsidRPr="00F43ECA">
        <w:t>6.4)</w:t>
      </w:r>
      <w:r>
        <w:t>.</w:t>
      </w:r>
      <w:r>
        <w:rPr>
          <w:rStyle w:val="FootnoteReference"/>
        </w:rPr>
        <w:footnoteReference w:id="15"/>
      </w:r>
    </w:p>
    <w:p w14:paraId="2C8E6CD5" w14:textId="47170784" w:rsidR="00EC18BA" w:rsidRDefault="00EC18BA" w:rsidP="00A55E65">
      <w:pPr>
        <w:pStyle w:val="SingleTxtG"/>
      </w:pPr>
      <w:r>
        <w:rPr>
          <w:b/>
          <w:bCs/>
        </w:rPr>
        <w:t>5</w:t>
      </w:r>
      <w:r w:rsidRPr="00F43ECA">
        <w:rPr>
          <w:b/>
          <w:bCs/>
        </w:rPr>
        <w:t>.</w:t>
      </w:r>
      <w:r>
        <w:rPr>
          <w:b/>
          <w:bCs/>
        </w:rPr>
        <w:t xml:space="preserve"> </w:t>
      </w:r>
      <w:r>
        <w:rPr>
          <w:b/>
          <w:bCs/>
        </w:rPr>
        <w:tab/>
      </w:r>
      <w:r>
        <w:t xml:space="preserve">The Committee’s jurisprudence is well established that considerable weight should be given to the assessment conducted by the State </w:t>
      </w:r>
      <w:r w:rsidRPr="00A55E65">
        <w:rPr>
          <w:rFonts w:eastAsia="Times New Roman"/>
          <w:lang w:eastAsia="en-GB"/>
        </w:rPr>
        <w:t>party</w:t>
      </w:r>
      <w:r>
        <w:t xml:space="preserve"> and that i</w:t>
      </w:r>
      <w:r w:rsidRPr="00F43ECA">
        <w:t xml:space="preserve">t is generally for the </w:t>
      </w:r>
      <w:r>
        <w:t xml:space="preserve">organs of the </w:t>
      </w:r>
      <w:r w:rsidRPr="00F43ECA">
        <w:t>State part</w:t>
      </w:r>
      <w:r>
        <w:t xml:space="preserve">ies to the Covenant to review and evaluate facts and evidence unless it is found that the evaluation was clearly arbitrary or amounted to a denial of </w:t>
      </w:r>
      <w:r>
        <w:rPr>
          <w:bCs/>
          <w:lang w:val="en-US"/>
        </w:rPr>
        <w:t>justice.</w:t>
      </w:r>
      <w:r w:rsidRPr="00F43ECA">
        <w:rPr>
          <w:rStyle w:val="FootnoteReference"/>
          <w:bCs/>
          <w:lang w:val="en-US"/>
        </w:rPr>
        <w:footnoteReference w:id="16"/>
      </w:r>
      <w:r w:rsidRPr="00F43ECA">
        <w:rPr>
          <w:bCs/>
          <w:lang w:val="en-US"/>
        </w:rPr>
        <w:t xml:space="preserve"> This deferential approach takes into account the Committee’s general practice of considering communications solely on the basis of the written information provided by the author and the State </w:t>
      </w:r>
      <w:r w:rsidRPr="00A55E65">
        <w:t>party.</w:t>
      </w:r>
      <w:r w:rsidRPr="00A55E65">
        <w:footnoteReference w:id="17"/>
      </w:r>
      <w:r w:rsidRPr="00A55E65">
        <w:t xml:space="preserve"> </w:t>
      </w:r>
      <w:r w:rsidRPr="00F43ECA">
        <w:t>The high threshold reinforces the long-held position that the Committee is not a fourth instance review mechanism that re-evaluates findings of fact or the application of domestic legislation.</w:t>
      </w:r>
      <w:r w:rsidRPr="00A55E65">
        <w:footnoteReference w:id="18"/>
      </w:r>
      <w:r w:rsidRPr="00F43ECA">
        <w:t xml:space="preserve"> </w:t>
      </w:r>
      <w:r>
        <w:t>I</w:t>
      </w:r>
      <w:r w:rsidRPr="0085552C">
        <w:t xml:space="preserve">f </w:t>
      </w:r>
      <w:r w:rsidRPr="00A55E65">
        <w:t>the deportation order was made under law in furtherance of a legitimate state interest and due consideration was given in the deportation proceedings to the deportee's family connections,</w:t>
      </w:r>
      <w:r w:rsidRPr="0085552C">
        <w:t xml:space="preserve"> the </w:t>
      </w:r>
      <w:r w:rsidR="003C6A22" w:rsidRPr="0085552C">
        <w:t>deportation</w:t>
      </w:r>
      <w:r w:rsidRPr="0085552C">
        <w:t xml:space="preserve"> decision is considered </w:t>
      </w:r>
      <w:r>
        <w:t xml:space="preserve">not </w:t>
      </w:r>
      <w:r w:rsidRPr="0085552C">
        <w:t xml:space="preserve">to be </w:t>
      </w:r>
      <w:r>
        <w:t>un</w:t>
      </w:r>
      <w:r w:rsidRPr="0085552C">
        <w:t>lawful or arbitrary</w:t>
      </w:r>
      <w:r w:rsidRPr="00A55E65">
        <w:t>.</w:t>
      </w:r>
      <w:r w:rsidRPr="00A55E65">
        <w:footnoteReference w:id="19"/>
      </w:r>
      <w:r w:rsidRPr="00A55E65">
        <w:t xml:space="preserve"> </w:t>
      </w:r>
      <w:r w:rsidRPr="00F43ECA">
        <w:t>It is incumbent upon the author to identify specific circumstances demonstrating that the proceedings in the State party, or the removal decision itself, were arbitrary, manifestly erroneous, or amounted to a denial of justice.</w:t>
      </w:r>
      <w:r w:rsidRPr="00F43ECA">
        <w:rPr>
          <w:rStyle w:val="FootnoteReference"/>
        </w:rPr>
        <w:footnoteReference w:id="20"/>
      </w:r>
      <w:r w:rsidRPr="00F43ECA">
        <w:t xml:space="preserve">   </w:t>
      </w:r>
    </w:p>
    <w:p w14:paraId="6EF1ED96" w14:textId="77777777" w:rsidR="00EC18BA" w:rsidRPr="00F43ECA" w:rsidRDefault="00EC18BA" w:rsidP="00A55E65">
      <w:pPr>
        <w:pStyle w:val="SingleTxtG"/>
      </w:pPr>
      <w:r w:rsidRPr="00F43ECA">
        <w:t xml:space="preserve">The Committee’s previous jurisprudence has established that it is neither arbitrary nor unreasonable to deny nationality to individuals who have criminal records </w:t>
      </w:r>
      <w:r>
        <w:t>in situations where</w:t>
      </w:r>
      <w:r w:rsidRPr="00F43ECA">
        <w:t xml:space="preserve"> that “disability was of [their] own making”.</w:t>
      </w:r>
      <w:r w:rsidRPr="00F43ECA">
        <w:rPr>
          <w:rStyle w:val="FootnoteReference"/>
        </w:rPr>
        <w:footnoteReference w:id="21"/>
      </w:r>
      <w:r>
        <w:t xml:space="preserve"> Given that t</w:t>
      </w:r>
      <w:r w:rsidRPr="00F43ECA">
        <w:t>he Migration Act expressly provides that permanent residency status can be revoked if an individual has been convicted of a serious offence or se</w:t>
      </w:r>
      <w:r>
        <w:t>x</w:t>
      </w:r>
      <w:r w:rsidRPr="00F43ECA">
        <w:t>ually based offence involving a child</w:t>
      </w:r>
      <w:r>
        <w:t>,</w:t>
      </w:r>
      <w:r w:rsidRPr="00F43ECA">
        <w:t xml:space="preserve"> </w:t>
      </w:r>
      <w:r>
        <w:t>the State party’s</w:t>
      </w:r>
      <w:r w:rsidRPr="00F43ECA">
        <w:t xml:space="preserve"> deportation order was made in pursuit of a legitimate interest </w:t>
      </w:r>
      <w:r>
        <w:t xml:space="preserve">with </w:t>
      </w:r>
      <w:r w:rsidRPr="00F43ECA">
        <w:t>due consideration given to the author’s circumstances.</w:t>
      </w:r>
      <w:r w:rsidRPr="00F43ECA">
        <w:rPr>
          <w:rStyle w:val="FootnoteReference"/>
        </w:rPr>
        <w:footnoteReference w:id="22"/>
      </w:r>
      <w:r w:rsidRPr="00F43ECA">
        <w:t xml:space="preserve"> </w:t>
      </w:r>
    </w:p>
    <w:p w14:paraId="03417833" w14:textId="60175761" w:rsidR="006F354E" w:rsidRDefault="00EC18BA" w:rsidP="00EC18BA">
      <w:pPr>
        <w:pStyle w:val="SingleTxtG"/>
      </w:pPr>
      <w:r>
        <w:rPr>
          <w:b/>
          <w:bCs/>
        </w:rPr>
        <w:lastRenderedPageBreak/>
        <w:t>6</w:t>
      </w:r>
      <w:r w:rsidRPr="00F43ECA">
        <w:rPr>
          <w:b/>
          <w:bCs/>
        </w:rPr>
        <w:t>.</w:t>
      </w:r>
      <w:r w:rsidRPr="00F43ECA">
        <w:t xml:space="preserve"> </w:t>
      </w:r>
      <w:r>
        <w:t>Based on the facts of this case</w:t>
      </w:r>
      <w:r w:rsidRPr="00194D41">
        <w:t xml:space="preserve">, </w:t>
      </w:r>
      <w:r>
        <w:t>w</w:t>
      </w:r>
      <w:r w:rsidRPr="00F43ECA">
        <w:t xml:space="preserve">e do not find the decision </w:t>
      </w:r>
      <w:r>
        <w:t xml:space="preserve">by the State party </w:t>
      </w:r>
      <w:r w:rsidRPr="00F43ECA">
        <w:t>to revoke</w:t>
      </w:r>
      <w:r>
        <w:t xml:space="preserve"> the author</w:t>
      </w:r>
      <w:r w:rsidRPr="00F43ECA">
        <w:t>’s visa</w:t>
      </w:r>
      <w:r>
        <w:t xml:space="preserve"> </w:t>
      </w:r>
      <w:r w:rsidRPr="00F43ECA">
        <w:t xml:space="preserve">was arbitrary </w:t>
      </w:r>
      <w:r>
        <w:t>or</w:t>
      </w:r>
      <w:r w:rsidRPr="00F43ECA">
        <w:t xml:space="preserve"> </w:t>
      </w:r>
      <w:r w:rsidRPr="00EC18BA">
        <w:t>amounted</w:t>
      </w:r>
      <w:r w:rsidRPr="00194D41">
        <w:t xml:space="preserve"> to a manifest error or denial of justice</w:t>
      </w:r>
      <w:r w:rsidRPr="00F43ECA">
        <w:t>. As such, we conclude that there has not been a violation of articles 17 and 23(1) of the Covenant</w:t>
      </w:r>
      <w:r>
        <w:t>.</w:t>
      </w:r>
    </w:p>
    <w:p w14:paraId="7A8008CA" w14:textId="0286BB19" w:rsidR="00EC18BA" w:rsidRPr="00EC18BA" w:rsidRDefault="00EC18BA" w:rsidP="00A55E65">
      <w:pPr>
        <w:pStyle w:val="SingleTxtG"/>
        <w:spacing w:before="240" w:after="0"/>
        <w:jc w:val="center"/>
        <w:rPr>
          <w:u w:val="single"/>
          <w:lang w:val="en-US"/>
        </w:rPr>
      </w:pPr>
      <w:r>
        <w:rPr>
          <w:b/>
          <w:bCs/>
          <w:u w:val="single"/>
        </w:rPr>
        <w:tab/>
      </w:r>
      <w:r>
        <w:rPr>
          <w:b/>
          <w:bCs/>
          <w:u w:val="single"/>
        </w:rPr>
        <w:tab/>
      </w:r>
      <w:r>
        <w:rPr>
          <w:b/>
          <w:bCs/>
          <w:u w:val="single"/>
        </w:rPr>
        <w:tab/>
      </w:r>
    </w:p>
    <w:sectPr w:rsidR="00EC18BA" w:rsidRPr="00EC18BA" w:rsidSect="00A55E65">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606" w14:textId="77777777" w:rsidR="00DD6C08" w:rsidRPr="00B903E5" w:rsidRDefault="00DD6C08" w:rsidP="00B903E5">
      <w:pPr>
        <w:pStyle w:val="Footer"/>
      </w:pPr>
    </w:p>
  </w:endnote>
  <w:endnote w:type="continuationSeparator" w:id="0">
    <w:p w14:paraId="19940928" w14:textId="77777777" w:rsidR="00DD6C08" w:rsidRPr="00B903E5" w:rsidRDefault="00DD6C0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81481"/>
      <w:docPartObj>
        <w:docPartGallery w:val="Page Numbers (Bottom of Page)"/>
        <w:docPartUnique/>
      </w:docPartObj>
    </w:sdtPr>
    <w:sdtEndPr>
      <w:rPr>
        <w:b/>
        <w:bCs/>
        <w:noProof/>
        <w:sz w:val="18"/>
        <w:szCs w:val="22"/>
      </w:rPr>
    </w:sdtEndPr>
    <w:sdtContent>
      <w:p w14:paraId="3E9BA666" w14:textId="1A51B987" w:rsidR="00DD6C08" w:rsidRPr="00AE0171" w:rsidRDefault="00DD6C08" w:rsidP="00AE0171">
        <w:pPr>
          <w:pStyle w:val="Footer"/>
          <w:rPr>
            <w:b/>
            <w:bCs/>
            <w:sz w:val="18"/>
            <w:szCs w:val="22"/>
          </w:rPr>
        </w:pPr>
        <w:r w:rsidRPr="00AE0171">
          <w:rPr>
            <w:b/>
            <w:bCs/>
            <w:sz w:val="18"/>
            <w:szCs w:val="22"/>
          </w:rPr>
          <w:fldChar w:fldCharType="begin"/>
        </w:r>
        <w:r w:rsidRPr="00AE0171">
          <w:rPr>
            <w:b/>
            <w:bCs/>
            <w:sz w:val="18"/>
            <w:szCs w:val="22"/>
          </w:rPr>
          <w:instrText xml:space="preserve"> PAGE   \* MERGEFORMAT </w:instrText>
        </w:r>
        <w:r w:rsidRPr="00AE0171">
          <w:rPr>
            <w:b/>
            <w:bCs/>
            <w:sz w:val="18"/>
            <w:szCs w:val="22"/>
          </w:rPr>
          <w:fldChar w:fldCharType="separate"/>
        </w:r>
        <w:r w:rsidR="00D61351">
          <w:rPr>
            <w:b/>
            <w:bCs/>
            <w:noProof/>
            <w:sz w:val="18"/>
            <w:szCs w:val="22"/>
          </w:rPr>
          <w:t>10</w:t>
        </w:r>
        <w:r w:rsidRPr="00AE0171">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7" w14:textId="60FF2D6B" w:rsidR="00DD6C08" w:rsidRPr="006A31AE" w:rsidRDefault="00DD6C08"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D61351">
      <w:rPr>
        <w:b/>
        <w:noProof/>
        <w:sz w:val="18"/>
      </w:rPr>
      <w:t>9</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AEC8" w14:textId="17757027" w:rsidR="00DD6C08" w:rsidRDefault="00FE020F" w:rsidP="00AE0171">
    <w:pPr>
      <w:pStyle w:val="Footer"/>
    </w:pPr>
    <w:r w:rsidRPr="0027112F">
      <w:rPr>
        <w:noProof/>
        <w:lang w:val="en-US"/>
      </w:rPr>
      <w:drawing>
        <wp:anchor distT="0" distB="0" distL="114300" distR="114300" simplePos="0" relativeHeight="251659264" behindDoc="0" locked="1" layoutInCell="1" allowOverlap="1" wp14:anchorId="0F5C4636" wp14:editId="61FE486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76D0ABC" w14:textId="732B8501" w:rsidR="00DD6C08" w:rsidRDefault="00DD6C08" w:rsidP="00FE020F">
    <w:pPr>
      <w:pStyle w:val="Footer"/>
      <w:ind w:right="1134"/>
      <w:rPr>
        <w:sz w:val="20"/>
      </w:rPr>
    </w:pPr>
  </w:p>
  <w:p w14:paraId="679A7A69" w14:textId="5B095A3B" w:rsidR="00FE020F" w:rsidRPr="00FE020F" w:rsidRDefault="00FE020F" w:rsidP="00FE020F">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AC29" w14:textId="77777777" w:rsidR="00DD6C08" w:rsidRPr="00B903E5" w:rsidRDefault="00DD6C08" w:rsidP="00B903E5">
      <w:pPr>
        <w:tabs>
          <w:tab w:val="right" w:pos="2155"/>
        </w:tabs>
        <w:spacing w:after="80" w:line="240" w:lineRule="auto"/>
        <w:ind w:left="680"/>
      </w:pPr>
      <w:r>
        <w:rPr>
          <w:u w:val="single"/>
        </w:rPr>
        <w:tab/>
      </w:r>
    </w:p>
  </w:footnote>
  <w:footnote w:type="continuationSeparator" w:id="0">
    <w:p w14:paraId="31A1CA2B" w14:textId="77777777" w:rsidR="00DD6C08" w:rsidRPr="00B903E5" w:rsidRDefault="00DD6C08" w:rsidP="00B903E5">
      <w:pPr>
        <w:tabs>
          <w:tab w:val="right" w:pos="2155"/>
        </w:tabs>
        <w:spacing w:after="80" w:line="240" w:lineRule="auto"/>
        <w:ind w:left="680"/>
      </w:pPr>
      <w:r>
        <w:rPr>
          <w:u w:val="single"/>
        </w:rPr>
        <w:tab/>
      </w:r>
    </w:p>
  </w:footnote>
  <w:footnote w:id="1">
    <w:p w14:paraId="00451B1E" w14:textId="199B8FC9" w:rsidR="00FE1C86" w:rsidRPr="00A55E65" w:rsidRDefault="00FE1C86" w:rsidP="00A55E65">
      <w:pPr>
        <w:pStyle w:val="FootnoteText"/>
      </w:pPr>
      <w:r w:rsidRPr="00A55E65">
        <w:rPr>
          <w:rStyle w:val="FootnoteReference"/>
          <w:vertAlign w:val="baseline"/>
        </w:rPr>
        <w:tab/>
        <w:t>*</w:t>
      </w:r>
      <w:r w:rsidRPr="00A55E65">
        <w:rPr>
          <w:rStyle w:val="FootnoteReference"/>
          <w:vertAlign w:val="baseline"/>
        </w:rPr>
        <w:tab/>
      </w:r>
      <w:r w:rsidRPr="00A55E65">
        <w:t>Adopted by the Committee at its 138th session (26 June-26 July 2023).</w:t>
      </w:r>
    </w:p>
  </w:footnote>
  <w:footnote w:id="2">
    <w:p w14:paraId="6B1F9D71" w14:textId="6D98864A" w:rsidR="00FE1C86" w:rsidRPr="00A55E65" w:rsidRDefault="00FE1C86" w:rsidP="00A55E65">
      <w:pPr>
        <w:pStyle w:val="FootnoteText"/>
      </w:pPr>
      <w:r w:rsidRPr="00A55E65">
        <w:rPr>
          <w:rStyle w:val="FootnoteReference"/>
          <w:vertAlign w:val="baseline"/>
        </w:rPr>
        <w:tab/>
        <w:t>**</w:t>
      </w:r>
      <w:r w:rsidRPr="00A55E65">
        <w:rPr>
          <w:rStyle w:val="FootnoteReference"/>
          <w:vertAlign w:val="baseline"/>
        </w:rPr>
        <w:tab/>
      </w:r>
      <w:r w:rsidRPr="00A55E65">
        <w:t xml:space="preserve">The following members of the Committee participated in the examination of the communication: Tania Abdo Rocholl, Wafaa Ashraf Moharram Bassim, Farid Ahmadov, Rodrigo A. Carazo, Yvonne Donders, Mahjoub El Haiba, Laurence R. Helfer, Carlos Gómez Martínez, Bacre Waly Ndiaye, Marcia V.J. Kran, </w:t>
      </w:r>
      <w:proofErr w:type="spellStart"/>
      <w:r w:rsidRPr="00A55E65">
        <w:t>Hernán</w:t>
      </w:r>
      <w:proofErr w:type="spellEnd"/>
      <w:r w:rsidRPr="00A55E65">
        <w:t xml:space="preserve"> Quezada Cabrera, José Manuel Santos Pais, </w:t>
      </w:r>
      <w:proofErr w:type="spellStart"/>
      <w:r w:rsidRPr="00A55E65">
        <w:t>Changrok</w:t>
      </w:r>
      <w:proofErr w:type="spellEnd"/>
      <w:r w:rsidRPr="00A55E65">
        <w:t xml:space="preserve"> Soh, Tijana Surlan, </w:t>
      </w:r>
      <w:proofErr w:type="spellStart"/>
      <w:r w:rsidRPr="00A55E65">
        <w:t>Kobauyah</w:t>
      </w:r>
      <w:proofErr w:type="spellEnd"/>
      <w:r w:rsidRPr="00A55E65">
        <w:t xml:space="preserve"> </w:t>
      </w:r>
      <w:proofErr w:type="spellStart"/>
      <w:r w:rsidRPr="00A55E65">
        <w:t>Kpatcha</w:t>
      </w:r>
      <w:proofErr w:type="spellEnd"/>
      <w:r w:rsidRPr="00A55E65">
        <w:t xml:space="preserve"> </w:t>
      </w:r>
      <w:proofErr w:type="spellStart"/>
      <w:r w:rsidRPr="00A55E65">
        <w:t>Tchamdja</w:t>
      </w:r>
      <w:proofErr w:type="spellEnd"/>
      <w:r w:rsidRPr="00A55E65">
        <w:t>, Koji Teraya, Hélène Tigroudja and Imeru Tamerat Yigezu.</w:t>
      </w:r>
    </w:p>
  </w:footnote>
  <w:footnote w:id="3">
    <w:p w14:paraId="435AE034" w14:textId="3A835D37" w:rsidR="00EC18BA" w:rsidRPr="00EC18BA" w:rsidRDefault="00EC18BA" w:rsidP="00A55E65">
      <w:pPr>
        <w:pStyle w:val="FootnoteText"/>
      </w:pPr>
      <w:r w:rsidRPr="00A55E65">
        <w:rPr>
          <w:rStyle w:val="FootnoteReference"/>
          <w:vertAlign w:val="baseline"/>
        </w:rPr>
        <w:tab/>
        <w:t>***</w:t>
      </w:r>
      <w:r w:rsidRPr="00A55E65">
        <w:rPr>
          <w:rStyle w:val="FootnoteReference"/>
          <w:vertAlign w:val="baseline"/>
        </w:rPr>
        <w:tab/>
      </w:r>
      <w:r w:rsidR="009B796C" w:rsidRPr="00A55E65">
        <w:t>Joint opinion by Committee members Carlos Gomez Martinez, Marcia V. J. Kran and Koji Teraya (dissenting) is annexed to the present Views</w:t>
      </w:r>
      <w:r w:rsidR="009B796C">
        <w:t>.</w:t>
      </w:r>
    </w:p>
  </w:footnote>
  <w:footnote w:id="4">
    <w:p w14:paraId="1F24C1FB" w14:textId="51715424" w:rsidR="00DD6C08" w:rsidRDefault="00DD6C08">
      <w:pPr>
        <w:pStyle w:val="FootnoteText"/>
      </w:pPr>
      <w:r w:rsidRPr="00A55E65">
        <w:tab/>
      </w:r>
      <w:r>
        <w:rPr>
          <w:rStyle w:val="FootnoteReference"/>
        </w:rPr>
        <w:footnoteRef/>
      </w:r>
      <w:r>
        <w:t xml:space="preserve"> </w:t>
      </w:r>
      <w:r>
        <w:tab/>
        <w:t xml:space="preserve">The factual background has been reconstructed using the decision to cancel his permanent visa of October 2015, the decision not to revoke the cancellation of 11 October 2017 and the factual background submitted by the State party in its observations. </w:t>
      </w:r>
    </w:p>
  </w:footnote>
  <w:footnote w:id="5">
    <w:p w14:paraId="7708C90E" w14:textId="376566A7" w:rsidR="00DD6C08" w:rsidRPr="00591588" w:rsidRDefault="00DD6C08">
      <w:pPr>
        <w:pStyle w:val="FootnoteText"/>
      </w:pPr>
      <w:r>
        <w:tab/>
      </w:r>
      <w:r>
        <w:rPr>
          <w:rStyle w:val="FootnoteReference"/>
        </w:rPr>
        <w:footnoteRef/>
      </w:r>
      <w:r w:rsidRPr="00591588">
        <w:t xml:space="preserve"> </w:t>
      </w:r>
      <w:r w:rsidRPr="00591588">
        <w:tab/>
      </w:r>
      <w:r w:rsidRPr="00591588">
        <w:tab/>
        <w:t xml:space="preserve">General Comment No. 32; </w:t>
      </w:r>
      <w:r w:rsidRPr="00591588">
        <w:rPr>
          <w:i/>
          <w:iCs/>
        </w:rPr>
        <w:t xml:space="preserve">Zundel v. Canada, </w:t>
      </w:r>
      <w:r w:rsidRPr="00591588">
        <w:t xml:space="preserve">Communication No. 1341/2005. </w:t>
      </w:r>
    </w:p>
  </w:footnote>
  <w:footnote w:id="6">
    <w:p w14:paraId="16D11998" w14:textId="03EDD102" w:rsidR="00DD6C08" w:rsidRPr="00591588" w:rsidRDefault="00DD6C08">
      <w:pPr>
        <w:pStyle w:val="FootnoteText"/>
      </w:pPr>
      <w:r w:rsidRPr="00591588">
        <w:tab/>
      </w:r>
      <w:r>
        <w:rPr>
          <w:rStyle w:val="FootnoteReference"/>
        </w:rPr>
        <w:footnoteRef/>
      </w:r>
      <w:r w:rsidRPr="00591588">
        <w:t xml:space="preserve"> </w:t>
      </w:r>
      <w:r w:rsidRPr="00591588">
        <w:tab/>
      </w:r>
      <w:r w:rsidRPr="00591588">
        <w:tab/>
        <w:t xml:space="preserve">Communication No. 1121/1981, </w:t>
      </w:r>
      <w:r w:rsidRPr="00591588">
        <w:rPr>
          <w:i/>
          <w:iCs/>
        </w:rPr>
        <w:t>Y.L. v. Canada</w:t>
      </w:r>
      <w:r w:rsidRPr="00591588">
        <w:t xml:space="preserve">. </w:t>
      </w:r>
    </w:p>
  </w:footnote>
  <w:footnote w:id="7">
    <w:p w14:paraId="22880707" w14:textId="0413F676" w:rsidR="00DD6C08" w:rsidRPr="00845E57" w:rsidRDefault="00DD6C08">
      <w:pPr>
        <w:pStyle w:val="FootnoteText"/>
      </w:pPr>
      <w:r w:rsidRPr="00591588">
        <w:tab/>
      </w:r>
      <w:r>
        <w:rPr>
          <w:rStyle w:val="FootnoteReference"/>
        </w:rPr>
        <w:footnoteRef/>
      </w:r>
      <w:r w:rsidRPr="00845E57">
        <w:t xml:space="preserve"> </w:t>
      </w:r>
      <w:r w:rsidRPr="00845E57">
        <w:tab/>
      </w:r>
      <w:r w:rsidRPr="00845E57">
        <w:tab/>
      </w:r>
      <w:proofErr w:type="spellStart"/>
      <w:r w:rsidRPr="00845E57">
        <w:t>Madafferi</w:t>
      </w:r>
      <w:proofErr w:type="spellEnd"/>
      <w:r w:rsidRPr="00845E57">
        <w:t xml:space="preserve"> v. Australia 1011/2001; </w:t>
      </w:r>
      <w:proofErr w:type="spellStart"/>
      <w:r w:rsidRPr="00845E57">
        <w:t>Winata</w:t>
      </w:r>
      <w:proofErr w:type="spellEnd"/>
      <w:r w:rsidRPr="00845E57">
        <w:t xml:space="preserve"> v. Australia 930/2000; Nystrom</w:t>
      </w:r>
      <w:r w:rsidR="00BF3FDD">
        <w:t xml:space="preserve"> et al.</w:t>
      </w:r>
      <w:r w:rsidRPr="00845E57">
        <w:t xml:space="preserve"> v. Australia 1557/2007.  </w:t>
      </w:r>
    </w:p>
  </w:footnote>
  <w:footnote w:id="8">
    <w:p w14:paraId="3BADC5CE" w14:textId="77777777" w:rsidR="00DD6C08" w:rsidRDefault="00DD6C08" w:rsidP="00362326">
      <w:pPr>
        <w:pStyle w:val="FootnoteText"/>
      </w:pPr>
      <w:r>
        <w:tab/>
      </w:r>
      <w:r>
        <w:rPr>
          <w:rStyle w:val="FootnoteReference"/>
        </w:rPr>
        <w:footnoteRef/>
      </w:r>
      <w:r>
        <w:t xml:space="preserve"> </w:t>
      </w:r>
      <w:r>
        <w:tab/>
      </w:r>
      <w:r w:rsidRPr="00814AF9">
        <w:t xml:space="preserve">The Committee’s general comment No. 32 (2007), para. </w:t>
      </w:r>
      <w:r w:rsidRPr="00A917A6">
        <w:rPr>
          <w:lang w:val="es-ES"/>
        </w:rPr>
        <w:t xml:space="preserve">17; X v. </w:t>
      </w:r>
      <w:proofErr w:type="spellStart"/>
      <w:r w:rsidRPr="00A917A6">
        <w:rPr>
          <w:lang w:val="es-ES"/>
        </w:rPr>
        <w:t>Denmark</w:t>
      </w:r>
      <w:proofErr w:type="spellEnd"/>
      <w:r w:rsidRPr="00A917A6">
        <w:rPr>
          <w:lang w:val="es-ES"/>
        </w:rPr>
        <w:t xml:space="preserve"> (</w:t>
      </w:r>
      <w:hyperlink r:id="rId1" w:history="1">
        <w:r w:rsidRPr="00A917A6">
          <w:rPr>
            <w:lang w:val="es-ES"/>
          </w:rPr>
          <w:t>CCPR/C/110/D/2007/2010</w:t>
        </w:r>
      </w:hyperlink>
      <w:r w:rsidRPr="00A917A6">
        <w:rPr>
          <w:lang w:val="es-ES"/>
        </w:rPr>
        <w:t xml:space="preserve">), para. </w:t>
      </w:r>
      <w:r w:rsidRPr="00814AF9">
        <w:t>8.5; and Everett v. Spain (</w:t>
      </w:r>
      <w:hyperlink r:id="rId2" w:history="1">
        <w:r w:rsidRPr="00362326">
          <w:t>CCPR</w:t>
        </w:r>
        <w:r w:rsidRPr="00814AF9">
          <w:t>/C/81/D/961/2000</w:t>
        </w:r>
      </w:hyperlink>
      <w:r>
        <w:t>), para. 6.4.</w:t>
      </w:r>
    </w:p>
  </w:footnote>
  <w:footnote w:id="9">
    <w:p w14:paraId="37B74209" w14:textId="2492AD50" w:rsidR="00DD6C08" w:rsidRPr="00825664" w:rsidRDefault="00814AF9" w:rsidP="00814AF9">
      <w:pPr>
        <w:pStyle w:val="FootnoteText"/>
      </w:pPr>
      <w:r>
        <w:tab/>
      </w:r>
      <w:r w:rsidR="00DD6C08" w:rsidRPr="00825664">
        <w:rPr>
          <w:rStyle w:val="FootnoteReference"/>
          <w:szCs w:val="18"/>
        </w:rPr>
        <w:footnoteRef/>
      </w:r>
      <w:r w:rsidR="00DD6C08" w:rsidRPr="00825664">
        <w:t xml:space="preserve"> </w:t>
      </w:r>
      <w:r>
        <w:tab/>
      </w:r>
      <w:r>
        <w:tab/>
      </w:r>
      <w:r w:rsidR="00DD6C08" w:rsidRPr="00825664">
        <w:t>See General Comment No. 16, the right to respect of privacy, family, home and correspondence, and protection of honour and reputation (Art. 17), 8 April 1988; General Comment No. 19, Protection of the family, the right to marriage and equality of the spouses (Art. 23), 27 July 1990.</w:t>
      </w:r>
    </w:p>
  </w:footnote>
  <w:footnote w:id="10">
    <w:p w14:paraId="0C6D2EC3" w14:textId="2817FA24" w:rsidR="00DD6C08" w:rsidRPr="00BF3FDD" w:rsidRDefault="00814AF9" w:rsidP="00814AF9">
      <w:pPr>
        <w:pStyle w:val="FootnoteText"/>
        <w:rPr>
          <w:b/>
          <w:bCs/>
          <w:lang w:val="es-ES"/>
        </w:rPr>
      </w:pPr>
      <w:r>
        <w:tab/>
      </w:r>
      <w:r w:rsidR="00DD6C08" w:rsidRPr="00825664">
        <w:rPr>
          <w:rStyle w:val="FootnoteReference"/>
          <w:szCs w:val="18"/>
        </w:rPr>
        <w:footnoteRef/>
      </w:r>
      <w:r w:rsidR="00DD6C08" w:rsidRPr="00825664">
        <w:t xml:space="preserve"> </w:t>
      </w:r>
      <w:r>
        <w:tab/>
      </w:r>
      <w:r>
        <w:tab/>
      </w:r>
      <w:r w:rsidR="00DD6C08" w:rsidRPr="00825664">
        <w:t xml:space="preserve">See, for example, communications No. 930/2000, </w:t>
      </w:r>
      <w:proofErr w:type="spellStart"/>
      <w:r w:rsidR="00DD6C08" w:rsidRPr="00825664">
        <w:rPr>
          <w:i/>
          <w:iCs/>
        </w:rPr>
        <w:t>Winata</w:t>
      </w:r>
      <w:proofErr w:type="spellEnd"/>
      <w:r w:rsidR="00DD6C08" w:rsidRPr="00825664">
        <w:t xml:space="preserve"> v.</w:t>
      </w:r>
      <w:r w:rsidR="00DD6C08" w:rsidRPr="00825664">
        <w:rPr>
          <w:i/>
          <w:iCs/>
        </w:rPr>
        <w:t xml:space="preserve"> Australia</w:t>
      </w:r>
      <w:r w:rsidR="00DD6C08" w:rsidRPr="00825664">
        <w:t xml:space="preserve">, Views adopted on 26 July 2001, para. </w:t>
      </w:r>
      <w:r w:rsidR="00DD6C08" w:rsidRPr="009C6716">
        <w:rPr>
          <w:lang w:val="es-ES"/>
        </w:rPr>
        <w:t xml:space="preserve">7.1; No. 1011/2001, </w:t>
      </w:r>
      <w:proofErr w:type="spellStart"/>
      <w:r w:rsidR="00DD6C08" w:rsidRPr="00A917A6">
        <w:rPr>
          <w:lang w:val="es-ES"/>
        </w:rPr>
        <w:t>Madafferi</w:t>
      </w:r>
      <w:proofErr w:type="spellEnd"/>
      <w:r w:rsidR="00DD6C08" w:rsidRPr="009C6716">
        <w:rPr>
          <w:lang w:val="es-ES"/>
        </w:rPr>
        <w:t xml:space="preserve"> v.</w:t>
      </w:r>
      <w:r w:rsidR="00DD6C08" w:rsidRPr="009C6716">
        <w:rPr>
          <w:i/>
          <w:iCs/>
          <w:lang w:val="es-ES"/>
        </w:rPr>
        <w:t xml:space="preserve"> Australia</w:t>
      </w:r>
      <w:r w:rsidR="00DD6C08" w:rsidRPr="009C6716">
        <w:rPr>
          <w:lang w:val="es-ES"/>
        </w:rPr>
        <w:t xml:space="preserve">, </w:t>
      </w:r>
      <w:proofErr w:type="spellStart"/>
      <w:r w:rsidR="00DD6C08" w:rsidRPr="009C6716">
        <w:rPr>
          <w:i/>
          <w:lang w:val="es-ES"/>
        </w:rPr>
        <w:t>op</w:t>
      </w:r>
      <w:proofErr w:type="spellEnd"/>
      <w:r w:rsidR="00DD6C08" w:rsidRPr="009C6716">
        <w:rPr>
          <w:i/>
          <w:lang w:val="es-ES"/>
        </w:rPr>
        <w:t>. cit.</w:t>
      </w:r>
      <w:r w:rsidR="00DD6C08" w:rsidRPr="009C6716">
        <w:rPr>
          <w:lang w:val="es-ES"/>
        </w:rPr>
        <w:t xml:space="preserve">, para. 9.7; and No. 1222/2003, </w:t>
      </w:r>
      <w:proofErr w:type="spellStart"/>
      <w:r w:rsidR="00DD6C08" w:rsidRPr="009C6716">
        <w:rPr>
          <w:i/>
          <w:iCs/>
          <w:lang w:val="es-ES"/>
        </w:rPr>
        <w:t>Byahuranga</w:t>
      </w:r>
      <w:proofErr w:type="spellEnd"/>
      <w:r w:rsidR="00DD6C08" w:rsidRPr="009C6716">
        <w:rPr>
          <w:i/>
          <w:iCs/>
          <w:lang w:val="es-ES"/>
        </w:rPr>
        <w:t xml:space="preserve"> </w:t>
      </w:r>
      <w:r w:rsidR="00DD6C08" w:rsidRPr="009C6716">
        <w:rPr>
          <w:lang w:val="es-ES"/>
        </w:rPr>
        <w:t>v</w:t>
      </w:r>
      <w:r w:rsidR="00DD6C08" w:rsidRPr="009C6716">
        <w:rPr>
          <w:i/>
          <w:iCs/>
          <w:lang w:val="es-ES"/>
        </w:rPr>
        <w:t xml:space="preserve">. </w:t>
      </w:r>
      <w:proofErr w:type="spellStart"/>
      <w:r w:rsidR="00DD6C08" w:rsidRPr="009C6716">
        <w:rPr>
          <w:i/>
          <w:iCs/>
          <w:lang w:val="es-ES"/>
        </w:rPr>
        <w:t>Denmark</w:t>
      </w:r>
      <w:proofErr w:type="spellEnd"/>
      <w:r w:rsidR="00DD6C08" w:rsidRPr="009C6716">
        <w:rPr>
          <w:lang w:val="es-ES"/>
        </w:rPr>
        <w:t xml:space="preserve">, </w:t>
      </w:r>
      <w:proofErr w:type="spellStart"/>
      <w:r w:rsidR="00DD6C08" w:rsidRPr="009C6716">
        <w:rPr>
          <w:i/>
          <w:lang w:val="es-ES"/>
        </w:rPr>
        <w:t>op</w:t>
      </w:r>
      <w:proofErr w:type="spellEnd"/>
      <w:r w:rsidR="00DD6C08" w:rsidRPr="009C6716">
        <w:rPr>
          <w:i/>
          <w:lang w:val="es-ES"/>
        </w:rPr>
        <w:t>. cit.</w:t>
      </w:r>
      <w:r w:rsidR="00DD6C08" w:rsidRPr="009C6716">
        <w:rPr>
          <w:lang w:val="es-ES"/>
        </w:rPr>
        <w:t xml:space="preserve">, para. </w:t>
      </w:r>
      <w:r w:rsidR="00DD6C08" w:rsidRPr="00BF3FDD">
        <w:rPr>
          <w:lang w:val="es-ES"/>
        </w:rPr>
        <w:t xml:space="preserve">11.5; No. 1792/2008, </w:t>
      </w:r>
      <w:proofErr w:type="spellStart"/>
      <w:r w:rsidR="00DD6C08" w:rsidRPr="00BF3FDD">
        <w:rPr>
          <w:i/>
          <w:iCs/>
          <w:lang w:val="es-ES"/>
        </w:rPr>
        <w:t>Dauphin</w:t>
      </w:r>
      <w:proofErr w:type="spellEnd"/>
      <w:r w:rsidR="00DD6C08" w:rsidRPr="00BF3FDD">
        <w:rPr>
          <w:i/>
          <w:iCs/>
          <w:lang w:val="es-ES"/>
        </w:rPr>
        <w:t xml:space="preserve"> </w:t>
      </w:r>
      <w:r w:rsidR="00DD6C08" w:rsidRPr="00BF3FDD">
        <w:rPr>
          <w:lang w:val="es-ES"/>
        </w:rPr>
        <w:t>v.</w:t>
      </w:r>
      <w:r w:rsidR="00DD6C08" w:rsidRPr="00BF3FDD">
        <w:rPr>
          <w:i/>
          <w:iCs/>
          <w:lang w:val="es-ES"/>
        </w:rPr>
        <w:t xml:space="preserve"> </w:t>
      </w:r>
      <w:proofErr w:type="spellStart"/>
      <w:r w:rsidR="00DD6C08" w:rsidRPr="00BF3FDD">
        <w:rPr>
          <w:i/>
          <w:iCs/>
          <w:lang w:val="es-ES"/>
        </w:rPr>
        <w:t>Canada</w:t>
      </w:r>
      <w:proofErr w:type="spellEnd"/>
      <w:r w:rsidR="00DD6C08" w:rsidRPr="00BF3FDD">
        <w:rPr>
          <w:lang w:val="es-ES"/>
        </w:rPr>
        <w:t xml:space="preserve">, </w:t>
      </w:r>
      <w:proofErr w:type="spellStart"/>
      <w:r w:rsidR="00DD6C08" w:rsidRPr="00BF3FDD">
        <w:rPr>
          <w:lang w:val="es-ES"/>
        </w:rPr>
        <w:t>Views</w:t>
      </w:r>
      <w:proofErr w:type="spellEnd"/>
      <w:r w:rsidR="00DD6C08" w:rsidRPr="00BF3FDD">
        <w:rPr>
          <w:lang w:val="es-ES"/>
        </w:rPr>
        <w:t xml:space="preserve"> of 28 </w:t>
      </w:r>
      <w:proofErr w:type="spellStart"/>
      <w:r w:rsidR="00DD6C08" w:rsidRPr="00BF3FDD">
        <w:rPr>
          <w:lang w:val="es-ES"/>
        </w:rPr>
        <w:t>July</w:t>
      </w:r>
      <w:proofErr w:type="spellEnd"/>
      <w:r w:rsidR="00DD6C08" w:rsidRPr="00BF3FDD">
        <w:rPr>
          <w:lang w:val="es-ES"/>
        </w:rPr>
        <w:t xml:space="preserve"> 2009, para. 8.1.</w:t>
      </w:r>
    </w:p>
  </w:footnote>
  <w:footnote w:id="11">
    <w:p w14:paraId="53A799FF" w14:textId="5D3C6CDD" w:rsidR="00DD6C08" w:rsidRPr="00825664" w:rsidRDefault="00814AF9" w:rsidP="00814AF9">
      <w:pPr>
        <w:pStyle w:val="FootnoteText"/>
      </w:pPr>
      <w:r>
        <w:rPr>
          <w:lang w:val="es-ES"/>
        </w:rPr>
        <w:tab/>
      </w:r>
      <w:r w:rsidR="00DD6C08" w:rsidRPr="00825664">
        <w:rPr>
          <w:rStyle w:val="FootnoteReference"/>
          <w:szCs w:val="18"/>
        </w:rPr>
        <w:footnoteRef/>
      </w:r>
      <w:r w:rsidR="00DD6C08" w:rsidRPr="00BF3FDD">
        <w:rPr>
          <w:lang w:val="es-ES"/>
        </w:rPr>
        <w:t xml:space="preserve"> </w:t>
      </w:r>
      <w:r>
        <w:rPr>
          <w:lang w:val="es-ES"/>
        </w:rPr>
        <w:tab/>
      </w:r>
      <w:r>
        <w:rPr>
          <w:lang w:val="es-ES"/>
        </w:rPr>
        <w:tab/>
      </w:r>
      <w:proofErr w:type="spellStart"/>
      <w:r w:rsidR="00DD6C08" w:rsidRPr="00BF3FDD">
        <w:rPr>
          <w:lang w:val="es-ES"/>
        </w:rPr>
        <w:t>See</w:t>
      </w:r>
      <w:proofErr w:type="spellEnd"/>
      <w:r w:rsidR="00DD6C08" w:rsidRPr="00BF3FDD">
        <w:rPr>
          <w:lang w:val="es-ES"/>
        </w:rPr>
        <w:t xml:space="preserve"> </w:t>
      </w:r>
      <w:proofErr w:type="spellStart"/>
      <w:r w:rsidR="00DD6C08" w:rsidRPr="00A917A6">
        <w:rPr>
          <w:lang w:val="es-ES"/>
        </w:rPr>
        <w:t>communication</w:t>
      </w:r>
      <w:proofErr w:type="spellEnd"/>
      <w:r w:rsidR="00DD6C08" w:rsidRPr="00BF3FDD">
        <w:rPr>
          <w:lang w:val="es-ES"/>
        </w:rPr>
        <w:t xml:space="preserve"> No. 558/1993, </w:t>
      </w:r>
      <w:r w:rsidR="00DD6C08" w:rsidRPr="00BF3FDD">
        <w:rPr>
          <w:i/>
          <w:iCs/>
          <w:lang w:val="es-ES"/>
        </w:rPr>
        <w:t xml:space="preserve">Canepa </w:t>
      </w:r>
      <w:r w:rsidR="00DD6C08" w:rsidRPr="00BF3FDD">
        <w:rPr>
          <w:lang w:val="es-ES"/>
        </w:rPr>
        <w:t>v.</w:t>
      </w:r>
      <w:r w:rsidR="00DD6C08" w:rsidRPr="00BF3FDD">
        <w:rPr>
          <w:i/>
          <w:iCs/>
          <w:lang w:val="es-ES"/>
        </w:rPr>
        <w:t xml:space="preserve"> </w:t>
      </w:r>
      <w:proofErr w:type="spellStart"/>
      <w:r w:rsidR="00DD6C08" w:rsidRPr="00BF3FDD">
        <w:rPr>
          <w:i/>
          <w:iCs/>
          <w:lang w:val="es-ES"/>
        </w:rPr>
        <w:t>Canada</w:t>
      </w:r>
      <w:proofErr w:type="spellEnd"/>
      <w:r w:rsidR="00DD6C08" w:rsidRPr="00BF3FDD">
        <w:rPr>
          <w:lang w:val="es-ES"/>
        </w:rPr>
        <w:t xml:space="preserve">, para. </w:t>
      </w:r>
      <w:r w:rsidR="00DD6C08" w:rsidRPr="006C3C8A">
        <w:rPr>
          <w:lang w:val="es-ES"/>
        </w:rPr>
        <w:t>11.4</w:t>
      </w:r>
      <w:r w:rsidR="00707CB8" w:rsidRPr="006C3C8A">
        <w:rPr>
          <w:lang w:val="es-ES"/>
        </w:rPr>
        <w:t xml:space="preserve">; </w:t>
      </w:r>
      <w:proofErr w:type="spellStart"/>
      <w:r w:rsidR="00707CB8" w:rsidRPr="006C3C8A">
        <w:rPr>
          <w:lang w:val="es-ES"/>
        </w:rPr>
        <w:t>communication</w:t>
      </w:r>
      <w:proofErr w:type="spellEnd"/>
      <w:r w:rsidR="00707CB8" w:rsidRPr="006C3C8A">
        <w:rPr>
          <w:lang w:val="es-ES"/>
        </w:rPr>
        <w:t xml:space="preserve"> 1557/2007, </w:t>
      </w:r>
      <w:proofErr w:type="spellStart"/>
      <w:r w:rsidR="00707CB8" w:rsidRPr="006C3C8A">
        <w:rPr>
          <w:i/>
          <w:iCs/>
          <w:lang w:val="es-ES"/>
        </w:rPr>
        <w:t>Nystrom</w:t>
      </w:r>
      <w:proofErr w:type="spellEnd"/>
      <w:r w:rsidR="00BF3FDD" w:rsidRPr="006C3C8A">
        <w:rPr>
          <w:i/>
          <w:iCs/>
          <w:lang w:val="es-ES"/>
        </w:rPr>
        <w:t xml:space="preserve"> et al.</w:t>
      </w:r>
      <w:r w:rsidR="00707CB8" w:rsidRPr="006C3C8A">
        <w:rPr>
          <w:i/>
          <w:iCs/>
          <w:lang w:val="es-ES"/>
        </w:rPr>
        <w:t xml:space="preserve"> v. Australia</w:t>
      </w:r>
      <w:r w:rsidR="00707CB8" w:rsidRPr="006C3C8A">
        <w:rPr>
          <w:lang w:val="es-ES"/>
        </w:rPr>
        <w:t xml:space="preserve">, para. </w:t>
      </w:r>
      <w:r w:rsidR="00707CB8">
        <w:t>7.7</w:t>
      </w:r>
      <w:r w:rsidR="00DD6C08" w:rsidRPr="00825664">
        <w:t>.</w:t>
      </w:r>
    </w:p>
  </w:footnote>
  <w:footnote w:id="12">
    <w:p w14:paraId="2838B980" w14:textId="3E240786" w:rsidR="00DD6C08" w:rsidRPr="00591588" w:rsidRDefault="00814AF9" w:rsidP="00814AF9">
      <w:pPr>
        <w:pStyle w:val="FootnoteText"/>
      </w:pPr>
      <w:r>
        <w:tab/>
      </w:r>
      <w:r w:rsidR="00DD6C08" w:rsidRPr="00825664">
        <w:rPr>
          <w:rStyle w:val="FootnoteReference"/>
          <w:szCs w:val="18"/>
        </w:rPr>
        <w:footnoteRef/>
      </w:r>
      <w:r w:rsidR="00DD6C08" w:rsidRPr="00591588">
        <w:t xml:space="preserve"> </w:t>
      </w:r>
      <w:r>
        <w:tab/>
      </w:r>
      <w:r>
        <w:tab/>
      </w:r>
      <w:r w:rsidR="00DD6C08" w:rsidRPr="00591588">
        <w:t>Migration Act (</w:t>
      </w:r>
      <w:r w:rsidR="00DD6C08" w:rsidRPr="00814AF9">
        <w:t>1958</w:t>
      </w:r>
      <w:r w:rsidR="00DD6C08" w:rsidRPr="00591588">
        <w:t xml:space="preserve">), Section 501(3A). </w:t>
      </w:r>
    </w:p>
  </w:footnote>
  <w:footnote w:id="13">
    <w:p w14:paraId="7247A9DB" w14:textId="7791C175" w:rsidR="00DD6C08" w:rsidRPr="0042000B" w:rsidRDefault="00DD6C08" w:rsidP="00814AF9">
      <w:pPr>
        <w:pStyle w:val="FootnoteText"/>
        <w:rPr>
          <w:lang w:val="es-ES"/>
        </w:rPr>
      </w:pPr>
      <w:r w:rsidRPr="00591588">
        <w:tab/>
      </w:r>
      <w:r w:rsidRPr="00CE1D3C">
        <w:rPr>
          <w:rStyle w:val="FootnoteReference"/>
        </w:rPr>
        <w:footnoteRef/>
      </w:r>
      <w:r w:rsidRPr="00BF3FDD">
        <w:t xml:space="preserve"> </w:t>
      </w:r>
      <w:r w:rsidR="00814AF9">
        <w:tab/>
      </w:r>
      <w:r w:rsidRPr="00BF3FDD">
        <w:t xml:space="preserve">See </w:t>
      </w:r>
      <w:r w:rsidRPr="00BF3FDD">
        <w:rPr>
          <w:i/>
        </w:rPr>
        <w:t>A.B. v. Canada</w:t>
      </w:r>
      <w:r w:rsidRPr="00BF3FDD">
        <w:t xml:space="preserve">, para. </w:t>
      </w:r>
      <w:r w:rsidRPr="0042000B">
        <w:rPr>
          <w:lang w:val="es-ES"/>
        </w:rPr>
        <w:t>8.7</w:t>
      </w:r>
      <w:r w:rsidR="00A61D89">
        <w:rPr>
          <w:lang w:val="es-ES"/>
        </w:rPr>
        <w:t xml:space="preserve">; </w:t>
      </w:r>
      <w:r w:rsidR="00A61D89" w:rsidRPr="00814AF9">
        <w:t>communication</w:t>
      </w:r>
      <w:r w:rsidR="00A61D89" w:rsidRPr="00825664">
        <w:t xml:space="preserve"> No. 1011/2001, </w:t>
      </w:r>
      <w:proofErr w:type="spellStart"/>
      <w:r w:rsidR="00A61D89" w:rsidRPr="00825664">
        <w:rPr>
          <w:i/>
          <w:iCs/>
        </w:rPr>
        <w:t>Madafferi</w:t>
      </w:r>
      <w:proofErr w:type="spellEnd"/>
      <w:r w:rsidR="00A61D89" w:rsidRPr="00825664">
        <w:rPr>
          <w:i/>
          <w:iCs/>
        </w:rPr>
        <w:t xml:space="preserve"> </w:t>
      </w:r>
      <w:r w:rsidR="00A61D89" w:rsidRPr="00825664">
        <w:t xml:space="preserve">v. </w:t>
      </w:r>
      <w:smartTag w:uri="urn:schemas-microsoft-com:office:smarttags" w:element="country-region">
        <w:smartTag w:uri="urn:schemas-microsoft-com:office:smarttags" w:element="place">
          <w:r w:rsidR="00A61D89" w:rsidRPr="00825664">
            <w:rPr>
              <w:i/>
              <w:iCs/>
            </w:rPr>
            <w:t>Australia</w:t>
          </w:r>
        </w:smartTag>
      </w:smartTag>
      <w:r w:rsidR="00A61D89" w:rsidRPr="00825664">
        <w:t xml:space="preserve">, </w:t>
      </w:r>
      <w:r w:rsidR="00A61D89" w:rsidRPr="00DA5771">
        <w:rPr>
          <w:i/>
        </w:rPr>
        <w:t>op. cit.</w:t>
      </w:r>
      <w:r w:rsidR="00A61D89" w:rsidRPr="00825664">
        <w:t>, para. 9.8</w:t>
      </w:r>
    </w:p>
  </w:footnote>
  <w:footnote w:id="14">
    <w:p w14:paraId="05F01408" w14:textId="0FD84A06" w:rsidR="00EB6264" w:rsidRPr="00EB6264" w:rsidRDefault="00EB6264">
      <w:pPr>
        <w:pStyle w:val="FootnoteText"/>
      </w:pPr>
      <w:r>
        <w:tab/>
      </w:r>
      <w:r>
        <w:rPr>
          <w:rStyle w:val="FootnoteReference"/>
        </w:rPr>
        <w:footnoteRef/>
      </w:r>
      <w:r>
        <w:t xml:space="preserve"> </w:t>
      </w:r>
      <w:r>
        <w:tab/>
        <w:t xml:space="preserve">See, communication 1557/2007, </w:t>
      </w:r>
      <w:r>
        <w:rPr>
          <w:i/>
          <w:iCs/>
        </w:rPr>
        <w:t>Nystrom</w:t>
      </w:r>
      <w:r w:rsidR="00BF3FDD">
        <w:rPr>
          <w:i/>
          <w:iCs/>
        </w:rPr>
        <w:t xml:space="preserve"> et al.</w:t>
      </w:r>
      <w:r>
        <w:rPr>
          <w:i/>
          <w:iCs/>
        </w:rPr>
        <w:t xml:space="preserve"> v. Australia</w:t>
      </w:r>
      <w:r>
        <w:t xml:space="preserve">, para. 7.11. </w:t>
      </w:r>
    </w:p>
  </w:footnote>
  <w:footnote w:id="15">
    <w:p w14:paraId="41757A7D" w14:textId="2D3F0117" w:rsidR="00EC18BA" w:rsidRPr="007E2759" w:rsidRDefault="00EC18BA" w:rsidP="00EC18BA">
      <w:pPr>
        <w:pStyle w:val="FootnoteText"/>
        <w:jc w:val="both"/>
      </w:pPr>
      <w:r>
        <w:tab/>
      </w:r>
      <w:r w:rsidRPr="007E2759">
        <w:rPr>
          <w:rStyle w:val="FootnoteReference"/>
        </w:rPr>
        <w:footnoteRef/>
      </w:r>
      <w:r w:rsidRPr="007E2759">
        <w:t xml:space="preserve"> </w:t>
      </w:r>
      <w:r>
        <w:tab/>
      </w:r>
      <w:r>
        <w:tab/>
      </w:r>
      <w:proofErr w:type="spellStart"/>
      <w:r w:rsidRPr="00011AD3">
        <w:rPr>
          <w:i/>
          <w:iCs/>
        </w:rPr>
        <w:t>Isley</w:t>
      </w:r>
      <w:proofErr w:type="spellEnd"/>
      <w:r w:rsidRPr="00011AD3">
        <w:rPr>
          <w:i/>
          <w:iCs/>
        </w:rPr>
        <w:t xml:space="preserve"> v Minister for Immigration and Border Protection</w:t>
      </w:r>
      <w:r w:rsidRPr="00011AD3">
        <w:t xml:space="preserve"> [2018] FCA 632 (1 May 2018)</w:t>
      </w:r>
      <w:r>
        <w:t>, paras 134-136 &amp;158-162. The</w:t>
      </w:r>
      <w:r w:rsidRPr="007E2759">
        <w:t xml:space="preserve"> Court found that the Minister had regard to</w:t>
      </w:r>
      <w:r>
        <w:t xml:space="preserve"> all relevant </w:t>
      </w:r>
      <w:r w:rsidRPr="007E2759">
        <w:t>representations and documents submitted by the author on the effect of non-revocation on Mr.</w:t>
      </w:r>
      <w:r>
        <w:t xml:space="preserve"> </w:t>
      </w:r>
      <w:proofErr w:type="spellStart"/>
      <w:r w:rsidRPr="007E2759">
        <w:t>Isley’s</w:t>
      </w:r>
      <w:proofErr w:type="spellEnd"/>
      <w:r w:rsidRPr="007E2759">
        <w:t xml:space="preserve"> family</w:t>
      </w:r>
      <w:r>
        <w:t xml:space="preserve"> and</w:t>
      </w:r>
      <w:r w:rsidRPr="007E2759">
        <w:t xml:space="preserve"> hardship upon himself</w:t>
      </w:r>
      <w:r>
        <w:t>.</w:t>
      </w:r>
      <w:r w:rsidRPr="007E2759">
        <w:t xml:space="preserve"> </w:t>
      </w:r>
    </w:p>
  </w:footnote>
  <w:footnote w:id="16">
    <w:p w14:paraId="52E8EC91" w14:textId="098E4EE6" w:rsidR="00EC18BA" w:rsidRPr="006F45F1" w:rsidRDefault="00EC18BA" w:rsidP="00A55E65">
      <w:pPr>
        <w:pStyle w:val="FootnoteText"/>
        <w:rPr>
          <w:b/>
          <w:lang w:val="en-US"/>
        </w:rPr>
      </w:pPr>
      <w:r>
        <w:tab/>
      </w:r>
      <w:r w:rsidRPr="0066509A">
        <w:rPr>
          <w:rStyle w:val="FootnoteReference"/>
          <w:sz w:val="20"/>
        </w:rPr>
        <w:footnoteRef/>
      </w:r>
      <w:r w:rsidRPr="0066509A">
        <w:t xml:space="preserve"> </w:t>
      </w:r>
      <w:r>
        <w:tab/>
      </w:r>
      <w:r>
        <w:tab/>
      </w:r>
      <w:r w:rsidRPr="00254D30">
        <w:rPr>
          <w:i/>
          <w:iCs/>
        </w:rPr>
        <w:t>C.</w:t>
      </w:r>
      <w:r w:rsidRPr="009E50D4">
        <w:rPr>
          <w:i/>
          <w:iCs/>
        </w:rPr>
        <w:t>C.N. v. Sweden</w:t>
      </w:r>
      <w:r w:rsidRPr="009E50D4">
        <w:t xml:space="preserve"> (CCPR/C/136/D/3701/2020), para 6.7; </w:t>
      </w:r>
      <w:r w:rsidRPr="009E50D4">
        <w:rPr>
          <w:i/>
          <w:iCs/>
        </w:rPr>
        <w:t>J.S. v. Australia</w:t>
      </w:r>
      <w:r w:rsidRPr="009E50D4">
        <w:t xml:space="preserve"> (CCPR/C/135/D/2804/2016), para. 7.5; </w:t>
      </w:r>
      <w:r w:rsidRPr="009E50D4">
        <w:rPr>
          <w:i/>
          <w:iCs/>
        </w:rPr>
        <w:t>Z.H. v. Denmark</w:t>
      </w:r>
      <w:r w:rsidRPr="009E50D4">
        <w:t xml:space="preserve"> (CCPR/C/119/D/2602/2015), para. 7.4; </w:t>
      </w:r>
      <w:r w:rsidRPr="009E50D4">
        <w:rPr>
          <w:i/>
          <w:iCs/>
        </w:rPr>
        <w:t>A.S.M and R.A.H v. Denmark</w:t>
      </w:r>
      <w:r w:rsidRPr="009E50D4">
        <w:t xml:space="preserve"> (CCPR/C/117/D/2378/2014), para. 8.3; </w:t>
      </w:r>
      <w:r w:rsidRPr="009E50D4">
        <w:rPr>
          <w:i/>
          <w:iCs/>
        </w:rPr>
        <w:t xml:space="preserve">M.M v. Denmark </w:t>
      </w:r>
      <w:r w:rsidRPr="009E50D4">
        <w:t xml:space="preserve">(CCPR/C/125/D/2345/2014), para. 8.4; </w:t>
      </w:r>
      <w:r w:rsidRPr="009E50D4">
        <w:rPr>
          <w:i/>
          <w:iCs/>
        </w:rPr>
        <w:t xml:space="preserve">K v. Denmark </w:t>
      </w:r>
      <w:r w:rsidRPr="009E50D4">
        <w:t>(CCPR/C/114/D/2393/2014), para. 7.4.</w:t>
      </w:r>
      <w:r>
        <w:t xml:space="preserve"> </w:t>
      </w:r>
      <w:r w:rsidRPr="0066509A">
        <w:rPr>
          <w:i/>
          <w:iCs/>
        </w:rPr>
        <w:t>E. V. Denmark</w:t>
      </w:r>
      <w:r w:rsidRPr="0066509A">
        <w:t xml:space="preserve"> (CCPR/137/D/2858/2016) Joint opinion </w:t>
      </w:r>
      <w:r w:rsidRPr="0066509A">
        <w:rPr>
          <w:lang w:val="en-US"/>
        </w:rPr>
        <w:t xml:space="preserve">of Committee Members Yvonne Donders, </w:t>
      </w:r>
      <w:r w:rsidRPr="0066509A">
        <w:t>Laurence</w:t>
      </w:r>
      <w:r w:rsidRPr="00D02AB0">
        <w:t xml:space="preserve"> R. Helfer, Marcia V. J. Kran, Carlos </w:t>
      </w:r>
      <w:proofErr w:type="spellStart"/>
      <w:r w:rsidRPr="00D02AB0">
        <w:t>Goméz</w:t>
      </w:r>
      <w:proofErr w:type="spellEnd"/>
      <w:r w:rsidRPr="00D02AB0">
        <w:t xml:space="preserve"> </w:t>
      </w:r>
      <w:proofErr w:type="spellStart"/>
      <w:r w:rsidRPr="00D02AB0">
        <w:t>Martinéz</w:t>
      </w:r>
      <w:proofErr w:type="spellEnd"/>
      <w:r w:rsidRPr="00D02AB0">
        <w:t xml:space="preserve"> and Imeru Tamerat Yigezu</w:t>
      </w:r>
      <w:r w:rsidRPr="00D02AB0">
        <w:rPr>
          <w:lang w:val="en-US"/>
        </w:rPr>
        <w:t xml:space="preserve"> (dissenting), para 5</w:t>
      </w:r>
      <w:r>
        <w:rPr>
          <w:lang w:val="en-US"/>
        </w:rPr>
        <w:t>;</w:t>
      </w:r>
      <w:r w:rsidRPr="006F45F1">
        <w:rPr>
          <w:lang w:val="en-US"/>
        </w:rPr>
        <w:t xml:space="preserve"> </w:t>
      </w:r>
      <w:r w:rsidRPr="006F45F1">
        <w:rPr>
          <w:i/>
          <w:iCs/>
        </w:rPr>
        <w:t xml:space="preserve">Z. </w:t>
      </w:r>
      <w:r>
        <w:rPr>
          <w:i/>
          <w:iCs/>
        </w:rPr>
        <w:t>v</w:t>
      </w:r>
      <w:r w:rsidRPr="006F45F1">
        <w:rPr>
          <w:i/>
          <w:iCs/>
        </w:rPr>
        <w:t>. Denmark</w:t>
      </w:r>
      <w:r w:rsidRPr="006F45F1">
        <w:t xml:space="preserve"> (CCPR/C/137/D/2795/2016), para 6.8; </w:t>
      </w:r>
      <w:proofErr w:type="spellStart"/>
      <w:r w:rsidRPr="006F45F1">
        <w:rPr>
          <w:i/>
          <w:iCs/>
        </w:rPr>
        <w:t>Murne</w:t>
      </w:r>
      <w:proofErr w:type="spellEnd"/>
      <w:r w:rsidRPr="006F45F1">
        <w:rPr>
          <w:i/>
          <w:iCs/>
        </w:rPr>
        <w:t xml:space="preserve"> v. Sweden</w:t>
      </w:r>
      <w:r w:rsidRPr="006F45F1">
        <w:t xml:space="preserve"> (CCPR/C/137/D/2813/2016), para 10.5, and</w:t>
      </w:r>
      <w:r>
        <w:t xml:space="preserve"> Joint opinion of Committee </w:t>
      </w:r>
      <w:r w:rsidRPr="00830516">
        <w:t>members Farid Ahmadov, Carlos Gómez Martínez, Laurence R. Helfer, Marcia V.</w:t>
      </w:r>
      <w:r>
        <w:t xml:space="preserve"> </w:t>
      </w:r>
      <w:r w:rsidRPr="00830516">
        <w:t xml:space="preserve">J. Kran, José Manuel Santos Pais, </w:t>
      </w:r>
      <w:proofErr w:type="spellStart"/>
      <w:r w:rsidRPr="00830516">
        <w:t>Kobauyah</w:t>
      </w:r>
      <w:proofErr w:type="spellEnd"/>
      <w:r w:rsidRPr="00830516">
        <w:t xml:space="preserve"> </w:t>
      </w:r>
      <w:proofErr w:type="spellStart"/>
      <w:r w:rsidRPr="00830516">
        <w:t>Tchamdja</w:t>
      </w:r>
      <w:proofErr w:type="spellEnd"/>
      <w:r w:rsidRPr="00830516">
        <w:t xml:space="preserve"> </w:t>
      </w:r>
      <w:proofErr w:type="spellStart"/>
      <w:r w:rsidRPr="00830516">
        <w:t>Kpatcha</w:t>
      </w:r>
      <w:proofErr w:type="spellEnd"/>
      <w:r w:rsidRPr="00830516">
        <w:t xml:space="preserve"> and </w:t>
      </w:r>
      <w:r>
        <w:t xml:space="preserve">Koji </w:t>
      </w:r>
      <w:r w:rsidRPr="00830516">
        <w:t>Teray</w:t>
      </w:r>
      <w:r>
        <w:t>a</w:t>
      </w:r>
      <w:r w:rsidRPr="00830516">
        <w:t xml:space="preserve"> (dissenting)</w:t>
      </w:r>
      <w:r>
        <w:t>, paras 15-16;</w:t>
      </w:r>
      <w:r w:rsidRPr="003551C0">
        <w:t xml:space="preserve"> </w:t>
      </w:r>
      <w:r w:rsidRPr="00707062">
        <w:rPr>
          <w:i/>
          <w:iCs/>
        </w:rPr>
        <w:t>S v. Australia</w:t>
      </w:r>
      <w:r>
        <w:t xml:space="preserve"> (CCPR/C/137/D/2999/2017) Jo</w:t>
      </w:r>
      <w:r w:rsidRPr="00344943">
        <w:t xml:space="preserve">int opinion of Committee members Farid Ahmadov, Carlos </w:t>
      </w:r>
      <w:proofErr w:type="spellStart"/>
      <w:r w:rsidRPr="00344943">
        <w:t>Goméz</w:t>
      </w:r>
      <w:proofErr w:type="spellEnd"/>
      <w:r w:rsidRPr="00344943">
        <w:t xml:space="preserve"> </w:t>
      </w:r>
      <w:proofErr w:type="spellStart"/>
      <w:r w:rsidRPr="009E50D4">
        <w:t>Martinéz</w:t>
      </w:r>
      <w:proofErr w:type="spellEnd"/>
      <w:r w:rsidRPr="009E50D4">
        <w:t xml:space="preserve">, Laurence R. Helfer, Marcia V. J. Kran, </w:t>
      </w:r>
      <w:proofErr w:type="spellStart"/>
      <w:r w:rsidRPr="009E50D4">
        <w:t>Kobauyah</w:t>
      </w:r>
      <w:proofErr w:type="spellEnd"/>
      <w:r w:rsidRPr="009E50D4">
        <w:t xml:space="preserve"> </w:t>
      </w:r>
      <w:proofErr w:type="spellStart"/>
      <w:r w:rsidRPr="009E50D4">
        <w:t>Tchamdja</w:t>
      </w:r>
      <w:proofErr w:type="spellEnd"/>
      <w:r w:rsidRPr="009E50D4">
        <w:t xml:space="preserve"> </w:t>
      </w:r>
      <w:proofErr w:type="spellStart"/>
      <w:r w:rsidRPr="009E50D4">
        <w:t>Kpatcha</w:t>
      </w:r>
      <w:proofErr w:type="spellEnd"/>
      <w:r w:rsidRPr="009E50D4">
        <w:t xml:space="preserve"> and Teraya Koji (dissenting), para 4;</w:t>
      </w:r>
      <w:r w:rsidRPr="009E50D4">
        <w:rPr>
          <w:i/>
          <w:iCs/>
        </w:rPr>
        <w:t xml:space="preserve"> </w:t>
      </w:r>
      <w:proofErr w:type="spellStart"/>
      <w:r w:rsidRPr="009E50D4">
        <w:rPr>
          <w:i/>
          <w:iCs/>
        </w:rPr>
        <w:t>Rudurura</w:t>
      </w:r>
      <w:proofErr w:type="spellEnd"/>
      <w:r w:rsidRPr="009E50D4">
        <w:rPr>
          <w:i/>
          <w:iCs/>
        </w:rPr>
        <w:t xml:space="preserve"> v. Sweden</w:t>
      </w:r>
      <w:r w:rsidRPr="009E50D4">
        <w:t xml:space="preserve"> (CCPR/C/136/D/3706/2020), paras 8.2 and 8.7; </w:t>
      </w:r>
      <w:r w:rsidRPr="00707062">
        <w:rPr>
          <w:i/>
          <w:iCs/>
        </w:rPr>
        <w:t>O, P, Q, R and S v. Sweden</w:t>
      </w:r>
      <w:r>
        <w:t xml:space="preserve"> (CCPR/C/134/D/2632/2015) Joint </w:t>
      </w:r>
      <w:r w:rsidRPr="00254D30">
        <w:t>opinion of Committee members Marcia V.</w:t>
      </w:r>
      <w:r>
        <w:t xml:space="preserve"> </w:t>
      </w:r>
      <w:r w:rsidRPr="00254D30">
        <w:t xml:space="preserve">J. Kran, Photini </w:t>
      </w:r>
      <w:proofErr w:type="spellStart"/>
      <w:r w:rsidRPr="00254D30">
        <w:t>Pazartzis</w:t>
      </w:r>
      <w:proofErr w:type="spellEnd"/>
      <w:r w:rsidRPr="00254D30">
        <w:t xml:space="preserve">, </w:t>
      </w:r>
      <w:proofErr w:type="spellStart"/>
      <w:r w:rsidRPr="00254D30">
        <w:t>Vasilka</w:t>
      </w:r>
      <w:proofErr w:type="spellEnd"/>
      <w:r w:rsidRPr="00254D30">
        <w:t xml:space="preserve"> </w:t>
      </w:r>
      <w:proofErr w:type="spellStart"/>
      <w:r w:rsidRPr="00254D30">
        <w:t>Sancin</w:t>
      </w:r>
      <w:proofErr w:type="spellEnd"/>
      <w:r w:rsidRPr="00254D30">
        <w:t xml:space="preserve"> and Imeru Tamerat Yigezu (dissenting)</w:t>
      </w:r>
      <w:r>
        <w:t>, para 3</w:t>
      </w:r>
      <w:r w:rsidRPr="009E50D4">
        <w:t>.</w:t>
      </w:r>
    </w:p>
  </w:footnote>
  <w:footnote w:id="17">
    <w:p w14:paraId="4CC86ABD" w14:textId="4695FE63" w:rsidR="00EC18BA" w:rsidRPr="00F43ECA" w:rsidRDefault="00EC18BA" w:rsidP="00EC18BA">
      <w:pPr>
        <w:pStyle w:val="FootnoteText"/>
        <w:rPr>
          <w:lang w:val="en-US"/>
        </w:rPr>
      </w:pPr>
      <w:r>
        <w:tab/>
      </w:r>
      <w:r w:rsidRPr="00F43ECA">
        <w:rPr>
          <w:rStyle w:val="FootnoteReference"/>
        </w:rPr>
        <w:footnoteRef/>
      </w:r>
      <w:r w:rsidRPr="00F43ECA">
        <w:t xml:space="preserve"> </w:t>
      </w:r>
      <w:r>
        <w:tab/>
      </w:r>
      <w:r>
        <w:tab/>
        <w:t>Office of the United Nations High Commissioner for Human Rights</w:t>
      </w:r>
      <w:r w:rsidRPr="00F43ECA">
        <w:t xml:space="preserve">, </w:t>
      </w:r>
      <w:r w:rsidRPr="00F43ECA">
        <w:rPr>
          <w:i/>
        </w:rPr>
        <w:t xml:space="preserve">Individual Complaint Procedures under the United Nations Human Rights Treaties, </w:t>
      </w:r>
      <w:r w:rsidRPr="00F43ECA">
        <w:t>Fact Sheet No. 7, Rev. 2, (New York</w:t>
      </w:r>
      <w:r>
        <w:t xml:space="preserve"> and Geneva</w:t>
      </w:r>
      <w:r w:rsidRPr="00F43ECA">
        <w:t xml:space="preserve">, 2013), p. 10; </w:t>
      </w:r>
      <w:r>
        <w:t xml:space="preserve">See also </w:t>
      </w:r>
      <w:r w:rsidRPr="00F43ECA">
        <w:rPr>
          <w:i/>
          <w:iCs/>
          <w:lang w:val="es-ES"/>
        </w:rPr>
        <w:t xml:space="preserve">J.I. v. Sweden </w:t>
      </w:r>
      <w:r w:rsidRPr="00F43ECA">
        <w:rPr>
          <w:lang w:val="es-ES"/>
        </w:rPr>
        <w:t xml:space="preserve">(CCPR/C/128/D/3032/2017), para. 4.15; </w:t>
      </w:r>
      <w:r>
        <w:rPr>
          <w:i/>
          <w:lang w:val="es-ES"/>
        </w:rPr>
        <w:t>Z.H,</w:t>
      </w:r>
      <w:r w:rsidRPr="00F43ECA">
        <w:rPr>
          <w:i/>
          <w:lang w:val="es-ES"/>
        </w:rPr>
        <w:t xml:space="preserve"> </w:t>
      </w:r>
      <w:r w:rsidRPr="00F43ECA">
        <w:rPr>
          <w:i/>
          <w:iCs/>
          <w:lang w:val="es-ES"/>
        </w:rPr>
        <w:t>v.</w:t>
      </w:r>
      <w:r w:rsidRPr="00F43ECA">
        <w:rPr>
          <w:i/>
          <w:lang w:val="es-ES"/>
        </w:rPr>
        <w:t xml:space="preserve"> Australia</w:t>
      </w:r>
      <w:r w:rsidRPr="00F43ECA">
        <w:rPr>
          <w:lang w:val="es-ES"/>
        </w:rPr>
        <w:t xml:space="preserve">, (CCPR/C/107/D/1957/2010), para. 9.3; </w:t>
      </w:r>
      <w:r w:rsidRPr="00A55E65">
        <w:rPr>
          <w:i/>
          <w:lang w:val="fr-FR"/>
        </w:rPr>
        <w:t>Pillai v. Canada</w:t>
      </w:r>
      <w:r w:rsidRPr="00A55E65">
        <w:rPr>
          <w:lang w:val="fr-FR"/>
        </w:rPr>
        <w:t xml:space="preserve">, (CCPR/C/101/D/1763/2008) para. </w:t>
      </w:r>
      <w:r w:rsidRPr="00F43ECA">
        <w:rPr>
          <w:lang w:val="en-US"/>
        </w:rPr>
        <w:t>11.2.</w:t>
      </w:r>
    </w:p>
  </w:footnote>
  <w:footnote w:id="18">
    <w:p w14:paraId="3FB3BC5C" w14:textId="08AA62AA" w:rsidR="00EC18BA" w:rsidRPr="00F43ECA" w:rsidRDefault="00EC18BA" w:rsidP="00EC18BA">
      <w:pPr>
        <w:pStyle w:val="FootnoteText"/>
      </w:pPr>
      <w:r>
        <w:tab/>
      </w:r>
      <w:r w:rsidRPr="00F43ECA">
        <w:rPr>
          <w:rStyle w:val="FootnoteReference"/>
        </w:rPr>
        <w:footnoteRef/>
      </w:r>
      <w:r w:rsidRPr="00F43ECA">
        <w:t xml:space="preserve"> </w:t>
      </w:r>
      <w:r>
        <w:tab/>
      </w:r>
      <w:r>
        <w:tab/>
      </w:r>
      <w:r w:rsidRPr="00F43ECA">
        <w:rPr>
          <w:rFonts w:eastAsia="Times New Roman"/>
          <w:i/>
          <w:iCs/>
        </w:rPr>
        <w:t xml:space="preserve">A.G. v. Netherlands </w:t>
      </w:r>
      <w:r w:rsidRPr="00F43ECA">
        <w:rPr>
          <w:rFonts w:eastAsia="Times New Roman"/>
        </w:rPr>
        <w:t>(CCPR/C/130/D/3052/2017</w:t>
      </w:r>
      <w:r>
        <w:rPr>
          <w:rFonts w:eastAsia="Times New Roman"/>
        </w:rPr>
        <w:t>)</w:t>
      </w:r>
      <w:r w:rsidRPr="00F43ECA">
        <w:rPr>
          <w:rFonts w:eastAsia="Times New Roman"/>
        </w:rPr>
        <w:t xml:space="preserve">, para. 10.4, para. 8.6; </w:t>
      </w:r>
      <w:r w:rsidRPr="00F43ECA">
        <w:rPr>
          <w:rFonts w:eastAsia="Times New Roman"/>
          <w:i/>
        </w:rPr>
        <w:t>F and G v Denmark</w:t>
      </w:r>
      <w:r w:rsidRPr="00F43ECA">
        <w:rPr>
          <w:rFonts w:eastAsia="Times New Roman"/>
        </w:rPr>
        <w:t xml:space="preserve">, CCPR/C/119/D/2530/2015, </w:t>
      </w:r>
      <w:r>
        <w:rPr>
          <w:rFonts w:eastAsia="Times New Roman"/>
        </w:rPr>
        <w:t>annex,</w:t>
      </w:r>
      <w:r w:rsidRPr="00F43ECA">
        <w:rPr>
          <w:rFonts w:eastAsia="Times New Roman"/>
        </w:rPr>
        <w:t xml:space="preserve"> at para. 2; </w:t>
      </w:r>
      <w:proofErr w:type="spellStart"/>
      <w:r w:rsidRPr="00F43ECA">
        <w:rPr>
          <w:rFonts w:eastAsia="Times New Roman"/>
          <w:i/>
          <w:iCs/>
        </w:rPr>
        <w:t>Arenz</w:t>
      </w:r>
      <w:proofErr w:type="spellEnd"/>
      <w:r w:rsidRPr="00F43ECA">
        <w:rPr>
          <w:rFonts w:eastAsia="Times New Roman"/>
          <w:i/>
          <w:iCs/>
        </w:rPr>
        <w:t xml:space="preserve"> et al. v. Germany </w:t>
      </w:r>
      <w:r w:rsidRPr="00F43ECA">
        <w:rPr>
          <w:rFonts w:eastAsia="Times New Roman"/>
        </w:rPr>
        <w:t>(CCPR/C/80/D/1138/2002)</w:t>
      </w:r>
      <w:r>
        <w:rPr>
          <w:rFonts w:eastAsia="Times New Roman"/>
        </w:rPr>
        <w:t xml:space="preserve"> para. 8.6</w:t>
      </w:r>
      <w:r w:rsidRPr="00F43ECA">
        <w:rPr>
          <w:rFonts w:eastAsia="Times New Roman"/>
        </w:rPr>
        <w:t>.</w:t>
      </w:r>
    </w:p>
  </w:footnote>
  <w:footnote w:id="19">
    <w:p w14:paraId="6D4DFE3E" w14:textId="0022806C" w:rsidR="00EC18BA" w:rsidRPr="00F43ECA" w:rsidRDefault="00EC18BA" w:rsidP="00A55E65">
      <w:pPr>
        <w:pStyle w:val="FootnoteText"/>
        <w:ind w:hanging="567"/>
      </w:pPr>
      <w:r>
        <w:tab/>
      </w:r>
      <w:r w:rsidRPr="00F43ECA">
        <w:rPr>
          <w:rStyle w:val="FootnoteReference"/>
        </w:rPr>
        <w:footnoteRef/>
      </w:r>
      <w:r w:rsidRPr="00F43ECA">
        <w:t xml:space="preserve"> </w:t>
      </w:r>
      <w:r>
        <w:tab/>
      </w:r>
      <w:r>
        <w:tab/>
      </w:r>
      <w:r w:rsidRPr="00F43ECA">
        <w:t xml:space="preserve">See </w:t>
      </w:r>
      <w:proofErr w:type="spellStart"/>
      <w:r w:rsidRPr="00F43ECA">
        <w:rPr>
          <w:i/>
          <w:iCs/>
        </w:rPr>
        <w:t>Gnaneswaran</w:t>
      </w:r>
      <w:proofErr w:type="spellEnd"/>
      <w:r w:rsidRPr="00F43ECA">
        <w:rPr>
          <w:i/>
          <w:iCs/>
        </w:rPr>
        <w:t xml:space="preserve"> v. Australia</w:t>
      </w:r>
      <w:r w:rsidRPr="00F43ECA">
        <w:t xml:space="preserve"> (CCPR/C/133/D/3212/2018), para 9.3</w:t>
      </w:r>
      <w:r w:rsidRPr="00F43ECA">
        <w:rPr>
          <w:i/>
          <w:iCs/>
        </w:rPr>
        <w:t>;</w:t>
      </w:r>
      <w:r w:rsidRPr="00F43ECA">
        <w:t xml:space="preserve"> </w:t>
      </w:r>
      <w:r w:rsidRPr="00F43ECA">
        <w:rPr>
          <w:i/>
          <w:iCs/>
        </w:rPr>
        <w:t xml:space="preserve">Stewart v. Canada </w:t>
      </w:r>
      <w:r w:rsidRPr="00F43ECA">
        <w:t xml:space="preserve">(CCPR/C/58/D/538/1993), para 12.10; </w:t>
      </w:r>
      <w:proofErr w:type="spellStart"/>
      <w:r w:rsidRPr="00F43ECA">
        <w:rPr>
          <w:i/>
          <w:iCs/>
        </w:rPr>
        <w:t>Canepa</w:t>
      </w:r>
      <w:proofErr w:type="spellEnd"/>
      <w:r w:rsidRPr="00F43ECA">
        <w:rPr>
          <w:i/>
          <w:iCs/>
        </w:rPr>
        <w:t xml:space="preserve"> v Canada </w:t>
      </w:r>
      <w:r w:rsidRPr="00F43ECA">
        <w:t xml:space="preserve">(CCPR/C/59/D/558/1993), para 11.4; </w:t>
      </w:r>
      <w:r w:rsidRPr="00F43ECA">
        <w:rPr>
          <w:i/>
          <w:iCs/>
        </w:rPr>
        <w:t>Budlakoti v Canada</w:t>
      </w:r>
      <w:r w:rsidRPr="00F43ECA">
        <w:t xml:space="preserve"> (CCPR/C/122/D/2264/2013), para 9.6.</w:t>
      </w:r>
      <w:r>
        <w:t>s</w:t>
      </w:r>
    </w:p>
  </w:footnote>
  <w:footnote w:id="20">
    <w:p w14:paraId="641F9525" w14:textId="384512B7" w:rsidR="00EC18BA" w:rsidRPr="00A55E65" w:rsidRDefault="00EC18BA" w:rsidP="00EC18BA">
      <w:pPr>
        <w:pStyle w:val="FootnoteText"/>
        <w:rPr>
          <w:lang w:val="es-ES"/>
        </w:rPr>
      </w:pPr>
      <w:r>
        <w:tab/>
      </w:r>
      <w:r w:rsidRPr="00F43ECA">
        <w:rPr>
          <w:rStyle w:val="FootnoteReference"/>
        </w:rPr>
        <w:footnoteRef/>
      </w:r>
      <w:r w:rsidRPr="00F43ECA">
        <w:t xml:space="preserve"> </w:t>
      </w:r>
      <w:r>
        <w:tab/>
      </w:r>
      <w:r>
        <w:tab/>
      </w:r>
      <w:r w:rsidRPr="00F43ECA">
        <w:rPr>
          <w:i/>
          <w:iCs/>
          <w:lang w:val="es-ES"/>
        </w:rPr>
        <w:t xml:space="preserve">J.I. v. Sweden </w:t>
      </w:r>
      <w:r w:rsidRPr="00F43ECA">
        <w:rPr>
          <w:lang w:val="es-ES"/>
        </w:rPr>
        <w:t xml:space="preserve">(CCPR/C/128/D/3032/2017), para. 7.7; </w:t>
      </w:r>
      <w:r w:rsidRPr="00F43ECA">
        <w:rPr>
          <w:i/>
          <w:iCs/>
          <w:lang w:val="es-ES"/>
        </w:rPr>
        <w:t xml:space="preserve">M.R. v. </w:t>
      </w:r>
      <w:proofErr w:type="spellStart"/>
      <w:r w:rsidRPr="00F43ECA">
        <w:rPr>
          <w:i/>
          <w:iCs/>
          <w:lang w:val="es-ES"/>
        </w:rPr>
        <w:t>Denmark</w:t>
      </w:r>
      <w:proofErr w:type="spellEnd"/>
      <w:r w:rsidRPr="00F43ECA">
        <w:rPr>
          <w:lang w:val="es-ES"/>
        </w:rPr>
        <w:t xml:space="preserve"> (CCPR/C/133/D/2510/2014), para. 7.9.</w:t>
      </w:r>
    </w:p>
  </w:footnote>
  <w:footnote w:id="21">
    <w:p w14:paraId="2AA999C3" w14:textId="6F4F8B81" w:rsidR="00EC18BA" w:rsidRPr="00A55E65" w:rsidRDefault="00EC18BA" w:rsidP="00EC18BA">
      <w:pPr>
        <w:pStyle w:val="FootnoteText"/>
        <w:rPr>
          <w:lang w:val="es-ES"/>
        </w:rPr>
      </w:pPr>
      <w:r>
        <w:rPr>
          <w:lang w:val="es-ES"/>
        </w:rPr>
        <w:tab/>
      </w:r>
      <w:r>
        <w:rPr>
          <w:rStyle w:val="FootnoteReference"/>
        </w:rPr>
        <w:footnoteRef/>
      </w:r>
      <w:r w:rsidRPr="00A55E65">
        <w:rPr>
          <w:lang w:val="es-ES"/>
        </w:rPr>
        <w:t xml:space="preserve"> </w:t>
      </w:r>
      <w:r>
        <w:rPr>
          <w:lang w:val="es-ES"/>
        </w:rPr>
        <w:tab/>
      </w:r>
      <w:r>
        <w:rPr>
          <w:lang w:val="es-ES"/>
        </w:rPr>
        <w:tab/>
      </w:r>
      <w:r w:rsidRPr="00A55E65">
        <w:rPr>
          <w:i/>
          <w:iCs/>
          <w:lang w:val="es-ES"/>
        </w:rPr>
        <w:t xml:space="preserve">Stewart v. </w:t>
      </w:r>
      <w:proofErr w:type="spellStart"/>
      <w:r w:rsidRPr="00A55E65">
        <w:rPr>
          <w:i/>
          <w:iCs/>
          <w:lang w:val="es-ES"/>
        </w:rPr>
        <w:t>Canada</w:t>
      </w:r>
      <w:proofErr w:type="spellEnd"/>
      <w:r w:rsidRPr="00A55E65">
        <w:rPr>
          <w:i/>
          <w:iCs/>
          <w:lang w:val="es-ES"/>
        </w:rPr>
        <w:t xml:space="preserve"> </w:t>
      </w:r>
      <w:r w:rsidRPr="00A55E65">
        <w:rPr>
          <w:lang w:val="es-ES"/>
        </w:rPr>
        <w:t>(CCPR/C/58/D/538/1993), para. 12.6.</w:t>
      </w:r>
    </w:p>
  </w:footnote>
  <w:footnote w:id="22">
    <w:p w14:paraId="477CA834" w14:textId="7C83A1F4" w:rsidR="00EC18BA" w:rsidRDefault="00EC18BA" w:rsidP="00EC18BA">
      <w:pPr>
        <w:pStyle w:val="FootnoteText"/>
      </w:pPr>
      <w:r>
        <w:rPr>
          <w:lang w:val="es-ES"/>
        </w:rPr>
        <w:tab/>
      </w:r>
      <w:r w:rsidRPr="00F43ECA">
        <w:rPr>
          <w:rStyle w:val="FootnoteReference"/>
        </w:rPr>
        <w:footnoteRef/>
      </w:r>
      <w:r w:rsidRPr="00A55E65">
        <w:rPr>
          <w:lang w:val="es-ES"/>
        </w:rPr>
        <w:t xml:space="preserve"> </w:t>
      </w:r>
      <w:r>
        <w:rPr>
          <w:lang w:val="es-ES"/>
        </w:rPr>
        <w:tab/>
      </w:r>
      <w:r>
        <w:rPr>
          <w:lang w:val="es-ES"/>
        </w:rPr>
        <w:tab/>
      </w:r>
      <w:r w:rsidRPr="00A55E65">
        <w:rPr>
          <w:i/>
          <w:iCs/>
          <w:lang w:val="es-ES"/>
        </w:rPr>
        <w:t xml:space="preserve">Stewart v. </w:t>
      </w:r>
      <w:proofErr w:type="spellStart"/>
      <w:r w:rsidRPr="00A55E65">
        <w:rPr>
          <w:i/>
          <w:iCs/>
          <w:lang w:val="es-ES"/>
        </w:rPr>
        <w:t>Canada</w:t>
      </w:r>
      <w:proofErr w:type="spellEnd"/>
      <w:r w:rsidRPr="00A55E65">
        <w:rPr>
          <w:i/>
          <w:iCs/>
          <w:lang w:val="es-ES"/>
        </w:rPr>
        <w:t xml:space="preserve"> </w:t>
      </w:r>
      <w:r w:rsidRPr="00A55E65">
        <w:rPr>
          <w:lang w:val="es-ES"/>
        </w:rPr>
        <w:t xml:space="preserve">(CCPR/C/58/D/538/1993), para. </w:t>
      </w:r>
      <w:r w:rsidRPr="00F43ECA">
        <w:t>12.10.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4" w14:textId="58001B5B" w:rsidR="00DD6C08" w:rsidRPr="002E718E" w:rsidRDefault="00DD6C08" w:rsidP="006A31AE">
    <w:pPr>
      <w:pStyle w:val="Header"/>
    </w:pPr>
    <w:r w:rsidRPr="006A31AE">
      <w:t>CCPR</w:t>
    </w:r>
    <w:r>
      <w:rPr>
        <w:color w:val="000000" w:themeColor="text1"/>
      </w:rPr>
      <w:t>/C/138</w:t>
    </w:r>
    <w:r w:rsidRPr="00E305A1">
      <w:rPr>
        <w:color w:val="000000" w:themeColor="text1"/>
      </w:rPr>
      <w:t>/D/</w:t>
    </w:r>
    <w:r>
      <w:rPr>
        <w:color w:val="000000" w:themeColor="text1"/>
      </w:rPr>
      <w:t>3208</w:t>
    </w:r>
    <w:r w:rsidRPr="00E305A1">
      <w:rPr>
        <w:color w:val="000000" w:themeColor="text1"/>
      </w:rPr>
      <w:t>/</w:t>
    </w:r>
    <w:r>
      <w:rPr>
        <w:color w:val="000000" w:themeColor="text1"/>
      </w:rPr>
      <w:t>2018</w:t>
    </w:r>
    <w:r w:rsidR="00FE1C86" w:rsidRPr="00FE1C86">
      <w:t xml:space="preserve"> </w:t>
    </w:r>
    <w:r w:rsidR="00FE1C86" w:rsidRPr="00FE1C86">
      <w:rPr>
        <w:color w:val="000000" w:themeColor="text1"/>
      </w:rPr>
      <w:t>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455" w14:textId="36AD0086" w:rsidR="00DD6C08" w:rsidRPr="00DE104C" w:rsidRDefault="00DD6C08" w:rsidP="001252D7">
    <w:pPr>
      <w:pStyle w:val="Header"/>
      <w:jc w:val="right"/>
      <w:rPr>
        <w:color w:val="000000" w:themeColor="text1"/>
      </w:rPr>
    </w:pPr>
    <w:r>
      <w:rPr>
        <w:color w:val="000000" w:themeColor="text1"/>
      </w:rPr>
      <w:t>CCPR/C/138/D/3208/2018</w:t>
    </w:r>
    <w:r w:rsidR="00FE1C86" w:rsidRPr="00FE1C86">
      <w:t xml:space="preserve"> </w:t>
    </w:r>
    <w:r w:rsidR="00FE1C86" w:rsidRPr="00FE1C86">
      <w:rPr>
        <w:color w:val="000000" w:themeColor="text1"/>
      </w:rPr>
      <w:t>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E3305"/>
    <w:multiLevelType w:val="multilevel"/>
    <w:tmpl w:val="29B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1B9"/>
    <w:multiLevelType w:val="hybridMultilevel"/>
    <w:tmpl w:val="D7383B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4176795"/>
    <w:multiLevelType w:val="multilevel"/>
    <w:tmpl w:val="329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A37A39"/>
    <w:multiLevelType w:val="hybridMultilevel"/>
    <w:tmpl w:val="73748BBC"/>
    <w:lvl w:ilvl="0" w:tplc="5038F9D8">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C090001">
      <w:start w:val="1"/>
      <w:numFmt w:val="bullet"/>
      <w:lvlText w:val=""/>
      <w:lvlJc w:val="left"/>
      <w:pPr>
        <w:tabs>
          <w:tab w:val="num" w:pos="730"/>
        </w:tabs>
        <w:ind w:left="730" w:hanging="360"/>
      </w:pPr>
      <w:rPr>
        <w:rFonts w:ascii="Symbol" w:hAnsi="Symbol" w:hint="default"/>
      </w:rPr>
    </w:lvl>
    <w:lvl w:ilvl="2" w:tplc="0C090001">
      <w:start w:val="1"/>
      <w:numFmt w:val="bullet"/>
      <w:lvlText w:val=""/>
      <w:lvlJc w:val="left"/>
      <w:pPr>
        <w:tabs>
          <w:tab w:val="num" w:pos="1450"/>
        </w:tabs>
        <w:ind w:left="1450" w:hanging="180"/>
      </w:pPr>
      <w:rPr>
        <w:rFonts w:ascii="Symbol" w:hAnsi="Symbol" w:hint="default"/>
      </w:rPr>
    </w:lvl>
    <w:lvl w:ilvl="3" w:tplc="D5468282">
      <w:start w:val="1"/>
      <w:numFmt w:val="lowerLetter"/>
      <w:lvlText w:val="(%4)"/>
      <w:lvlJc w:val="left"/>
      <w:pPr>
        <w:ind w:left="2170" w:hanging="360"/>
      </w:pPr>
    </w:lvl>
    <w:lvl w:ilvl="4" w:tplc="0C090019">
      <w:start w:val="1"/>
      <w:numFmt w:val="lowerLetter"/>
      <w:lvlText w:val="%5."/>
      <w:lvlJc w:val="left"/>
      <w:pPr>
        <w:tabs>
          <w:tab w:val="num" w:pos="2890"/>
        </w:tabs>
        <w:ind w:left="2890" w:hanging="360"/>
      </w:pPr>
    </w:lvl>
    <w:lvl w:ilvl="5" w:tplc="0C09001B">
      <w:start w:val="1"/>
      <w:numFmt w:val="lowerRoman"/>
      <w:lvlText w:val="%6."/>
      <w:lvlJc w:val="right"/>
      <w:pPr>
        <w:tabs>
          <w:tab w:val="num" w:pos="3610"/>
        </w:tabs>
        <w:ind w:left="3610" w:hanging="180"/>
      </w:pPr>
    </w:lvl>
    <w:lvl w:ilvl="6" w:tplc="0C09000F">
      <w:start w:val="1"/>
      <w:numFmt w:val="decimal"/>
      <w:lvlText w:val="%7."/>
      <w:lvlJc w:val="left"/>
      <w:pPr>
        <w:tabs>
          <w:tab w:val="num" w:pos="4330"/>
        </w:tabs>
        <w:ind w:left="4330" w:hanging="360"/>
      </w:pPr>
    </w:lvl>
    <w:lvl w:ilvl="7" w:tplc="0C090019">
      <w:start w:val="1"/>
      <w:numFmt w:val="lowerLetter"/>
      <w:lvlText w:val="%8."/>
      <w:lvlJc w:val="left"/>
      <w:pPr>
        <w:tabs>
          <w:tab w:val="num" w:pos="5050"/>
        </w:tabs>
        <w:ind w:left="5050" w:hanging="360"/>
      </w:pPr>
    </w:lvl>
    <w:lvl w:ilvl="8" w:tplc="0C09001B">
      <w:start w:val="1"/>
      <w:numFmt w:val="lowerRoman"/>
      <w:lvlText w:val="%9."/>
      <w:lvlJc w:val="right"/>
      <w:pPr>
        <w:tabs>
          <w:tab w:val="num" w:pos="5770"/>
        </w:tabs>
        <w:ind w:left="5770" w:hanging="180"/>
      </w:pPr>
    </w:lvl>
  </w:abstractNum>
  <w:abstractNum w:abstractNumId="6" w15:restartNumberingAfterBreak="0">
    <w:nsid w:val="18762D5D"/>
    <w:multiLevelType w:val="hybridMultilevel"/>
    <w:tmpl w:val="8CAADE18"/>
    <w:lvl w:ilvl="0" w:tplc="CE5A10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03C89"/>
    <w:multiLevelType w:val="singleLevel"/>
    <w:tmpl w:val="47584FFC"/>
    <w:lvl w:ilvl="0">
      <w:start w:val="1"/>
      <w:numFmt w:val="bullet"/>
      <w:pStyle w:val="Bullet1"/>
      <w:lvlText w:val=""/>
      <w:lvlJc w:val="left"/>
      <w:pPr>
        <w:tabs>
          <w:tab w:val="num" w:pos="425"/>
        </w:tabs>
        <w:ind w:left="425" w:hanging="425"/>
      </w:pPr>
      <w:rPr>
        <w:rFonts w:ascii="Symbol" w:hAnsi="Symbol" w:hint="default"/>
      </w:rPr>
    </w:lvl>
  </w:abstractNum>
  <w:abstractNum w:abstractNumId="10"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62C391C"/>
    <w:multiLevelType w:val="multilevel"/>
    <w:tmpl w:val="3CF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21875109">
    <w:abstractNumId w:val="8"/>
  </w:num>
  <w:num w:numId="2" w16cid:durableId="913851707">
    <w:abstractNumId w:val="7"/>
  </w:num>
  <w:num w:numId="3" w16cid:durableId="1014265098">
    <w:abstractNumId w:val="0"/>
  </w:num>
  <w:num w:numId="4" w16cid:durableId="2046640103">
    <w:abstractNumId w:val="11"/>
  </w:num>
  <w:num w:numId="5" w16cid:durableId="91316662">
    <w:abstractNumId w:val="12"/>
  </w:num>
  <w:num w:numId="6" w16cid:durableId="926230183">
    <w:abstractNumId w:val="14"/>
  </w:num>
  <w:num w:numId="7" w16cid:durableId="532571309">
    <w:abstractNumId w:val="4"/>
  </w:num>
  <w:num w:numId="8" w16cid:durableId="1284727520">
    <w:abstractNumId w:val="1"/>
  </w:num>
  <w:num w:numId="9" w16cid:durableId="927233216">
    <w:abstractNumId w:val="3"/>
  </w:num>
  <w:num w:numId="10" w16cid:durableId="27807438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508061">
    <w:abstractNumId w:val="9"/>
  </w:num>
  <w:num w:numId="12" w16cid:durableId="715011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9019249">
    <w:abstractNumId w:val="13"/>
  </w:num>
  <w:num w:numId="14" w16cid:durableId="466361423">
    <w:abstractNumId w:val="10"/>
    <w:lvlOverride w:ilvl="0">
      <w:startOverride w:val="2"/>
    </w:lvlOverride>
  </w:num>
  <w:num w:numId="15" w16cid:durableId="231548161">
    <w:abstractNumId w:val="15"/>
  </w:num>
  <w:num w:numId="16" w16cid:durableId="1986733846">
    <w:abstractNumId w:val="6"/>
  </w:num>
  <w:num w:numId="17" w16cid:durableId="1024675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CO"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CO" w:vendorID="64" w:dllVersion="0" w:nlCheck="1" w:checkStyle="0"/>
  <w:activeWritingStyle w:appName="MSWord" w:lang="en-CA" w:vendorID="64" w:dllVersion="6"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10"/>
    <w:rsid w:val="00000AF6"/>
    <w:rsid w:val="00000D52"/>
    <w:rsid w:val="000018A5"/>
    <w:rsid w:val="00002929"/>
    <w:rsid w:val="00003111"/>
    <w:rsid w:val="00003851"/>
    <w:rsid w:val="00003AD2"/>
    <w:rsid w:val="00003D6E"/>
    <w:rsid w:val="00004152"/>
    <w:rsid w:val="0000545A"/>
    <w:rsid w:val="0000792C"/>
    <w:rsid w:val="00010063"/>
    <w:rsid w:val="00013BFD"/>
    <w:rsid w:val="00013EAA"/>
    <w:rsid w:val="00014265"/>
    <w:rsid w:val="0001554B"/>
    <w:rsid w:val="00015568"/>
    <w:rsid w:val="00015B09"/>
    <w:rsid w:val="00016A2F"/>
    <w:rsid w:val="00016DAC"/>
    <w:rsid w:val="00016EC0"/>
    <w:rsid w:val="000172AE"/>
    <w:rsid w:val="000177D8"/>
    <w:rsid w:val="00017F16"/>
    <w:rsid w:val="00020887"/>
    <w:rsid w:val="00020EC1"/>
    <w:rsid w:val="0002137F"/>
    <w:rsid w:val="00021805"/>
    <w:rsid w:val="000219CA"/>
    <w:rsid w:val="00021CE8"/>
    <w:rsid w:val="00021EC4"/>
    <w:rsid w:val="000223FE"/>
    <w:rsid w:val="0002319F"/>
    <w:rsid w:val="00023C3A"/>
    <w:rsid w:val="0002410C"/>
    <w:rsid w:val="00024BB2"/>
    <w:rsid w:val="00024FB4"/>
    <w:rsid w:val="000257F1"/>
    <w:rsid w:val="00025DCF"/>
    <w:rsid w:val="00026188"/>
    <w:rsid w:val="00026B36"/>
    <w:rsid w:val="0002732E"/>
    <w:rsid w:val="00027416"/>
    <w:rsid w:val="0002754D"/>
    <w:rsid w:val="00027BE0"/>
    <w:rsid w:val="00027C33"/>
    <w:rsid w:val="000303F9"/>
    <w:rsid w:val="0003231E"/>
    <w:rsid w:val="00032D15"/>
    <w:rsid w:val="00032D53"/>
    <w:rsid w:val="00032FB6"/>
    <w:rsid w:val="000331AF"/>
    <w:rsid w:val="000335AE"/>
    <w:rsid w:val="000336B3"/>
    <w:rsid w:val="000337B8"/>
    <w:rsid w:val="000339D3"/>
    <w:rsid w:val="00033CDB"/>
    <w:rsid w:val="00033D9F"/>
    <w:rsid w:val="00033EA7"/>
    <w:rsid w:val="00034569"/>
    <w:rsid w:val="000348D8"/>
    <w:rsid w:val="000359EB"/>
    <w:rsid w:val="00035E4E"/>
    <w:rsid w:val="00035EDD"/>
    <w:rsid w:val="00036DA1"/>
    <w:rsid w:val="00036E21"/>
    <w:rsid w:val="00036F7C"/>
    <w:rsid w:val="000376FF"/>
    <w:rsid w:val="0004016C"/>
    <w:rsid w:val="000421B6"/>
    <w:rsid w:val="0004247E"/>
    <w:rsid w:val="00042841"/>
    <w:rsid w:val="00042C1C"/>
    <w:rsid w:val="00043DA5"/>
    <w:rsid w:val="00043F2E"/>
    <w:rsid w:val="00043FCD"/>
    <w:rsid w:val="000441DA"/>
    <w:rsid w:val="000452F5"/>
    <w:rsid w:val="000454B6"/>
    <w:rsid w:val="00046154"/>
    <w:rsid w:val="00046E92"/>
    <w:rsid w:val="00046FA6"/>
    <w:rsid w:val="0004777A"/>
    <w:rsid w:val="0004796B"/>
    <w:rsid w:val="00047B73"/>
    <w:rsid w:val="00050DEB"/>
    <w:rsid w:val="0005119B"/>
    <w:rsid w:val="00051831"/>
    <w:rsid w:val="000518FA"/>
    <w:rsid w:val="00052466"/>
    <w:rsid w:val="00053B5B"/>
    <w:rsid w:val="00054621"/>
    <w:rsid w:val="00054A1E"/>
    <w:rsid w:val="00054CA5"/>
    <w:rsid w:val="00055329"/>
    <w:rsid w:val="00055F04"/>
    <w:rsid w:val="0005639E"/>
    <w:rsid w:val="0005699A"/>
    <w:rsid w:val="00057247"/>
    <w:rsid w:val="000577AE"/>
    <w:rsid w:val="000600F1"/>
    <w:rsid w:val="000604AD"/>
    <w:rsid w:val="000609B8"/>
    <w:rsid w:val="000613FA"/>
    <w:rsid w:val="00061CB4"/>
    <w:rsid w:val="0006296D"/>
    <w:rsid w:val="000639E1"/>
    <w:rsid w:val="00063F2E"/>
    <w:rsid w:val="00064322"/>
    <w:rsid w:val="00064371"/>
    <w:rsid w:val="00064D19"/>
    <w:rsid w:val="0006505F"/>
    <w:rsid w:val="0006523D"/>
    <w:rsid w:val="00065628"/>
    <w:rsid w:val="000658A3"/>
    <w:rsid w:val="00066542"/>
    <w:rsid w:val="0006736A"/>
    <w:rsid w:val="0007017F"/>
    <w:rsid w:val="0007041E"/>
    <w:rsid w:val="0007053C"/>
    <w:rsid w:val="0007098D"/>
    <w:rsid w:val="00070C70"/>
    <w:rsid w:val="00070F22"/>
    <w:rsid w:val="00071080"/>
    <w:rsid w:val="000726C0"/>
    <w:rsid w:val="0007319D"/>
    <w:rsid w:val="00073AA6"/>
    <w:rsid w:val="00073BB5"/>
    <w:rsid w:val="0007485A"/>
    <w:rsid w:val="00074BCC"/>
    <w:rsid w:val="00074C5D"/>
    <w:rsid w:val="00075A90"/>
    <w:rsid w:val="00075C6E"/>
    <w:rsid w:val="00075DAC"/>
    <w:rsid w:val="00077BEC"/>
    <w:rsid w:val="00077E71"/>
    <w:rsid w:val="000804F7"/>
    <w:rsid w:val="000807C0"/>
    <w:rsid w:val="00080B04"/>
    <w:rsid w:val="00080B26"/>
    <w:rsid w:val="00080C08"/>
    <w:rsid w:val="0008125E"/>
    <w:rsid w:val="000812DC"/>
    <w:rsid w:val="00081710"/>
    <w:rsid w:val="000819C1"/>
    <w:rsid w:val="00082768"/>
    <w:rsid w:val="00083495"/>
    <w:rsid w:val="00083887"/>
    <w:rsid w:val="000839E8"/>
    <w:rsid w:val="00084C80"/>
    <w:rsid w:val="00084FEE"/>
    <w:rsid w:val="00085884"/>
    <w:rsid w:val="00085954"/>
    <w:rsid w:val="00085963"/>
    <w:rsid w:val="00085B66"/>
    <w:rsid w:val="00087282"/>
    <w:rsid w:val="000875D3"/>
    <w:rsid w:val="00090D5F"/>
    <w:rsid w:val="00091A7A"/>
    <w:rsid w:val="0009235C"/>
    <w:rsid w:val="00092B23"/>
    <w:rsid w:val="0009382E"/>
    <w:rsid w:val="00093F3C"/>
    <w:rsid w:val="00094E7B"/>
    <w:rsid w:val="00095166"/>
    <w:rsid w:val="00095245"/>
    <w:rsid w:val="000954A7"/>
    <w:rsid w:val="000954F9"/>
    <w:rsid w:val="000956C4"/>
    <w:rsid w:val="0009579E"/>
    <w:rsid w:val="00095CFE"/>
    <w:rsid w:val="000965E4"/>
    <w:rsid w:val="00096822"/>
    <w:rsid w:val="00096C49"/>
    <w:rsid w:val="000975E6"/>
    <w:rsid w:val="000976E4"/>
    <w:rsid w:val="000A0D17"/>
    <w:rsid w:val="000A0DAD"/>
    <w:rsid w:val="000A18E0"/>
    <w:rsid w:val="000A240E"/>
    <w:rsid w:val="000A282B"/>
    <w:rsid w:val="000A299C"/>
    <w:rsid w:val="000A3108"/>
    <w:rsid w:val="000A3787"/>
    <w:rsid w:val="000A3DBB"/>
    <w:rsid w:val="000A4167"/>
    <w:rsid w:val="000A4939"/>
    <w:rsid w:val="000A5162"/>
    <w:rsid w:val="000A55A0"/>
    <w:rsid w:val="000A6576"/>
    <w:rsid w:val="000A6672"/>
    <w:rsid w:val="000A6EF1"/>
    <w:rsid w:val="000A7AC0"/>
    <w:rsid w:val="000B01A5"/>
    <w:rsid w:val="000B05B1"/>
    <w:rsid w:val="000B0986"/>
    <w:rsid w:val="000B1FB5"/>
    <w:rsid w:val="000B25FD"/>
    <w:rsid w:val="000B2668"/>
    <w:rsid w:val="000B2ADF"/>
    <w:rsid w:val="000B3E2B"/>
    <w:rsid w:val="000B44A8"/>
    <w:rsid w:val="000B4767"/>
    <w:rsid w:val="000B4C93"/>
    <w:rsid w:val="000B5A7C"/>
    <w:rsid w:val="000B5FD6"/>
    <w:rsid w:val="000B668D"/>
    <w:rsid w:val="000B6CAB"/>
    <w:rsid w:val="000B7011"/>
    <w:rsid w:val="000B76B1"/>
    <w:rsid w:val="000C0C59"/>
    <w:rsid w:val="000C0F5C"/>
    <w:rsid w:val="000C0F80"/>
    <w:rsid w:val="000C148D"/>
    <w:rsid w:val="000C153E"/>
    <w:rsid w:val="000C17BD"/>
    <w:rsid w:val="000C1BAF"/>
    <w:rsid w:val="000C2A98"/>
    <w:rsid w:val="000C2CFB"/>
    <w:rsid w:val="000C3274"/>
    <w:rsid w:val="000C3D15"/>
    <w:rsid w:val="000C3EDB"/>
    <w:rsid w:val="000C4523"/>
    <w:rsid w:val="000C4884"/>
    <w:rsid w:val="000C4930"/>
    <w:rsid w:val="000C4BC7"/>
    <w:rsid w:val="000C4FB7"/>
    <w:rsid w:val="000C5200"/>
    <w:rsid w:val="000C5AB9"/>
    <w:rsid w:val="000C6CBD"/>
    <w:rsid w:val="000C6E2B"/>
    <w:rsid w:val="000C6E3F"/>
    <w:rsid w:val="000C7386"/>
    <w:rsid w:val="000C7709"/>
    <w:rsid w:val="000D0609"/>
    <w:rsid w:val="000D06C9"/>
    <w:rsid w:val="000D0974"/>
    <w:rsid w:val="000D0A25"/>
    <w:rsid w:val="000D175B"/>
    <w:rsid w:val="000D1E4A"/>
    <w:rsid w:val="000D1F12"/>
    <w:rsid w:val="000D25E5"/>
    <w:rsid w:val="000D2F02"/>
    <w:rsid w:val="000D342E"/>
    <w:rsid w:val="000D3F71"/>
    <w:rsid w:val="000D43A0"/>
    <w:rsid w:val="000D6EB5"/>
    <w:rsid w:val="000D7145"/>
    <w:rsid w:val="000D7AD2"/>
    <w:rsid w:val="000D7C03"/>
    <w:rsid w:val="000E06FA"/>
    <w:rsid w:val="000E093E"/>
    <w:rsid w:val="000E15E9"/>
    <w:rsid w:val="000E17B2"/>
    <w:rsid w:val="000E1FBF"/>
    <w:rsid w:val="000E2375"/>
    <w:rsid w:val="000E2989"/>
    <w:rsid w:val="000E2A5D"/>
    <w:rsid w:val="000E2FF5"/>
    <w:rsid w:val="000E438F"/>
    <w:rsid w:val="000E4423"/>
    <w:rsid w:val="000E4463"/>
    <w:rsid w:val="000E483B"/>
    <w:rsid w:val="000E4A39"/>
    <w:rsid w:val="000E5655"/>
    <w:rsid w:val="000E6F5A"/>
    <w:rsid w:val="000E7E54"/>
    <w:rsid w:val="000F1465"/>
    <w:rsid w:val="000F15AA"/>
    <w:rsid w:val="000F16D3"/>
    <w:rsid w:val="000F23B4"/>
    <w:rsid w:val="000F2E01"/>
    <w:rsid w:val="000F34FE"/>
    <w:rsid w:val="000F3B6A"/>
    <w:rsid w:val="000F3C7E"/>
    <w:rsid w:val="000F3D03"/>
    <w:rsid w:val="000F49D7"/>
    <w:rsid w:val="000F4A0B"/>
    <w:rsid w:val="000F5A20"/>
    <w:rsid w:val="000F6D0B"/>
    <w:rsid w:val="000F7244"/>
    <w:rsid w:val="000F7F60"/>
    <w:rsid w:val="00100EDD"/>
    <w:rsid w:val="00101306"/>
    <w:rsid w:val="00102589"/>
    <w:rsid w:val="00102A31"/>
    <w:rsid w:val="00103586"/>
    <w:rsid w:val="00103963"/>
    <w:rsid w:val="00103B95"/>
    <w:rsid w:val="00103C69"/>
    <w:rsid w:val="001042BC"/>
    <w:rsid w:val="00104F76"/>
    <w:rsid w:val="001067D9"/>
    <w:rsid w:val="00106CA8"/>
    <w:rsid w:val="00106FA0"/>
    <w:rsid w:val="001071BF"/>
    <w:rsid w:val="00110147"/>
    <w:rsid w:val="00110AE1"/>
    <w:rsid w:val="00111603"/>
    <w:rsid w:val="00112007"/>
    <w:rsid w:val="0011247D"/>
    <w:rsid w:val="00112756"/>
    <w:rsid w:val="0011279F"/>
    <w:rsid w:val="00112A6C"/>
    <w:rsid w:val="00113090"/>
    <w:rsid w:val="0011392A"/>
    <w:rsid w:val="00114024"/>
    <w:rsid w:val="00114577"/>
    <w:rsid w:val="00114641"/>
    <w:rsid w:val="001146C8"/>
    <w:rsid w:val="001154E0"/>
    <w:rsid w:val="00115610"/>
    <w:rsid w:val="001156CF"/>
    <w:rsid w:val="00116BF7"/>
    <w:rsid w:val="001170A4"/>
    <w:rsid w:val="00117943"/>
    <w:rsid w:val="0012023C"/>
    <w:rsid w:val="00120382"/>
    <w:rsid w:val="00120CFB"/>
    <w:rsid w:val="0012238C"/>
    <w:rsid w:val="00123642"/>
    <w:rsid w:val="00123762"/>
    <w:rsid w:val="00123A56"/>
    <w:rsid w:val="00124269"/>
    <w:rsid w:val="001248B6"/>
    <w:rsid w:val="001252D7"/>
    <w:rsid w:val="00125E82"/>
    <w:rsid w:val="001260AB"/>
    <w:rsid w:val="00127615"/>
    <w:rsid w:val="00127B87"/>
    <w:rsid w:val="00130371"/>
    <w:rsid w:val="00130E96"/>
    <w:rsid w:val="001314F4"/>
    <w:rsid w:val="001318B4"/>
    <w:rsid w:val="00131A12"/>
    <w:rsid w:val="00131B55"/>
    <w:rsid w:val="00131D7A"/>
    <w:rsid w:val="00131F8E"/>
    <w:rsid w:val="001323A3"/>
    <w:rsid w:val="00132427"/>
    <w:rsid w:val="00132D55"/>
    <w:rsid w:val="00132F04"/>
    <w:rsid w:val="00133EC9"/>
    <w:rsid w:val="00135701"/>
    <w:rsid w:val="00136C06"/>
    <w:rsid w:val="00136C49"/>
    <w:rsid w:val="00137185"/>
    <w:rsid w:val="001372AE"/>
    <w:rsid w:val="001372DD"/>
    <w:rsid w:val="0013736D"/>
    <w:rsid w:val="0014039F"/>
    <w:rsid w:val="00142C9A"/>
    <w:rsid w:val="00142F8A"/>
    <w:rsid w:val="00144340"/>
    <w:rsid w:val="00144372"/>
    <w:rsid w:val="00144857"/>
    <w:rsid w:val="0014561C"/>
    <w:rsid w:val="00146769"/>
    <w:rsid w:val="001469EB"/>
    <w:rsid w:val="001478EE"/>
    <w:rsid w:val="00147C40"/>
    <w:rsid w:val="0015033F"/>
    <w:rsid w:val="0015044D"/>
    <w:rsid w:val="001504F8"/>
    <w:rsid w:val="001509EA"/>
    <w:rsid w:val="001518EB"/>
    <w:rsid w:val="00152297"/>
    <w:rsid w:val="00152A06"/>
    <w:rsid w:val="00152CE1"/>
    <w:rsid w:val="0015306B"/>
    <w:rsid w:val="00153782"/>
    <w:rsid w:val="00153806"/>
    <w:rsid w:val="00154745"/>
    <w:rsid w:val="00154EFB"/>
    <w:rsid w:val="0015615C"/>
    <w:rsid w:val="0015632C"/>
    <w:rsid w:val="001566BC"/>
    <w:rsid w:val="0015687D"/>
    <w:rsid w:val="00156EC0"/>
    <w:rsid w:val="0015785B"/>
    <w:rsid w:val="00161086"/>
    <w:rsid w:val="00161348"/>
    <w:rsid w:val="00161C6A"/>
    <w:rsid w:val="001630D4"/>
    <w:rsid w:val="00163593"/>
    <w:rsid w:val="0016368E"/>
    <w:rsid w:val="00164E50"/>
    <w:rsid w:val="0016566D"/>
    <w:rsid w:val="00165C15"/>
    <w:rsid w:val="00165CD4"/>
    <w:rsid w:val="00166586"/>
    <w:rsid w:val="00166A9A"/>
    <w:rsid w:val="00166BA3"/>
    <w:rsid w:val="001678D7"/>
    <w:rsid w:val="00167DBF"/>
    <w:rsid w:val="00171237"/>
    <w:rsid w:val="001713E7"/>
    <w:rsid w:val="00172084"/>
    <w:rsid w:val="0017239B"/>
    <w:rsid w:val="00172FAE"/>
    <w:rsid w:val="00172FB8"/>
    <w:rsid w:val="00174D3A"/>
    <w:rsid w:val="00175B74"/>
    <w:rsid w:val="00176F14"/>
    <w:rsid w:val="00177161"/>
    <w:rsid w:val="00177E64"/>
    <w:rsid w:val="00177F5B"/>
    <w:rsid w:val="00180724"/>
    <w:rsid w:val="00180926"/>
    <w:rsid w:val="00180AD8"/>
    <w:rsid w:val="00180C94"/>
    <w:rsid w:val="00180FEC"/>
    <w:rsid w:val="001813BD"/>
    <w:rsid w:val="00181E0B"/>
    <w:rsid w:val="001823A4"/>
    <w:rsid w:val="00182AD8"/>
    <w:rsid w:val="00182C3B"/>
    <w:rsid w:val="00182F27"/>
    <w:rsid w:val="0018373F"/>
    <w:rsid w:val="001841EA"/>
    <w:rsid w:val="00184219"/>
    <w:rsid w:val="001844C4"/>
    <w:rsid w:val="001861CE"/>
    <w:rsid w:val="001866DD"/>
    <w:rsid w:val="001869A6"/>
    <w:rsid w:val="00187F61"/>
    <w:rsid w:val="001900F3"/>
    <w:rsid w:val="00190961"/>
    <w:rsid w:val="001912A5"/>
    <w:rsid w:val="00192A34"/>
    <w:rsid w:val="00192BAC"/>
    <w:rsid w:val="00192F11"/>
    <w:rsid w:val="00195B9D"/>
    <w:rsid w:val="001963B6"/>
    <w:rsid w:val="00196C7B"/>
    <w:rsid w:val="001977D1"/>
    <w:rsid w:val="001A0328"/>
    <w:rsid w:val="001A0F95"/>
    <w:rsid w:val="001A18CB"/>
    <w:rsid w:val="001A1F8D"/>
    <w:rsid w:val="001A2388"/>
    <w:rsid w:val="001A30EC"/>
    <w:rsid w:val="001A3B6D"/>
    <w:rsid w:val="001A463C"/>
    <w:rsid w:val="001A4A53"/>
    <w:rsid w:val="001A4B0B"/>
    <w:rsid w:val="001A4F3A"/>
    <w:rsid w:val="001A5B73"/>
    <w:rsid w:val="001A5C05"/>
    <w:rsid w:val="001A6925"/>
    <w:rsid w:val="001A70BF"/>
    <w:rsid w:val="001B0398"/>
    <w:rsid w:val="001B0964"/>
    <w:rsid w:val="001B12E2"/>
    <w:rsid w:val="001B2917"/>
    <w:rsid w:val="001B3932"/>
    <w:rsid w:val="001B3CB9"/>
    <w:rsid w:val="001B4093"/>
    <w:rsid w:val="001B42C6"/>
    <w:rsid w:val="001B4F80"/>
    <w:rsid w:val="001B5109"/>
    <w:rsid w:val="001B5947"/>
    <w:rsid w:val="001B6286"/>
    <w:rsid w:val="001B7F21"/>
    <w:rsid w:val="001C0195"/>
    <w:rsid w:val="001C0DB5"/>
    <w:rsid w:val="001C1165"/>
    <w:rsid w:val="001C176E"/>
    <w:rsid w:val="001C1D4E"/>
    <w:rsid w:val="001C1F8A"/>
    <w:rsid w:val="001C206C"/>
    <w:rsid w:val="001C2550"/>
    <w:rsid w:val="001C2F43"/>
    <w:rsid w:val="001C3285"/>
    <w:rsid w:val="001C3591"/>
    <w:rsid w:val="001C4388"/>
    <w:rsid w:val="001C526F"/>
    <w:rsid w:val="001C5652"/>
    <w:rsid w:val="001C6264"/>
    <w:rsid w:val="001C6647"/>
    <w:rsid w:val="001C6E3F"/>
    <w:rsid w:val="001C6E5A"/>
    <w:rsid w:val="001C718C"/>
    <w:rsid w:val="001C76C1"/>
    <w:rsid w:val="001C7971"/>
    <w:rsid w:val="001C7C93"/>
    <w:rsid w:val="001D05B6"/>
    <w:rsid w:val="001D06C5"/>
    <w:rsid w:val="001D21D4"/>
    <w:rsid w:val="001D241B"/>
    <w:rsid w:val="001D2980"/>
    <w:rsid w:val="001D2FB6"/>
    <w:rsid w:val="001D4E80"/>
    <w:rsid w:val="001D5290"/>
    <w:rsid w:val="001D6218"/>
    <w:rsid w:val="001D6468"/>
    <w:rsid w:val="001D674F"/>
    <w:rsid w:val="001D6CC4"/>
    <w:rsid w:val="001D6F06"/>
    <w:rsid w:val="001D7B24"/>
    <w:rsid w:val="001D7EE9"/>
    <w:rsid w:val="001E10EB"/>
    <w:rsid w:val="001E1A78"/>
    <w:rsid w:val="001E1F59"/>
    <w:rsid w:val="001E27C1"/>
    <w:rsid w:val="001E2813"/>
    <w:rsid w:val="001E2CE7"/>
    <w:rsid w:val="001E2EF8"/>
    <w:rsid w:val="001E317D"/>
    <w:rsid w:val="001E3EBF"/>
    <w:rsid w:val="001E419F"/>
    <w:rsid w:val="001E553D"/>
    <w:rsid w:val="001E610C"/>
    <w:rsid w:val="001E78A5"/>
    <w:rsid w:val="001F0081"/>
    <w:rsid w:val="001F157E"/>
    <w:rsid w:val="001F1F28"/>
    <w:rsid w:val="001F224A"/>
    <w:rsid w:val="001F2775"/>
    <w:rsid w:val="001F399D"/>
    <w:rsid w:val="001F3B41"/>
    <w:rsid w:val="001F4D91"/>
    <w:rsid w:val="001F4EC3"/>
    <w:rsid w:val="001F5B6B"/>
    <w:rsid w:val="001F60A3"/>
    <w:rsid w:val="001F6784"/>
    <w:rsid w:val="001F6F11"/>
    <w:rsid w:val="001F7C26"/>
    <w:rsid w:val="001F7C99"/>
    <w:rsid w:val="001F7CA7"/>
    <w:rsid w:val="00200000"/>
    <w:rsid w:val="0020014B"/>
    <w:rsid w:val="0020030C"/>
    <w:rsid w:val="00200A25"/>
    <w:rsid w:val="00201342"/>
    <w:rsid w:val="002013E5"/>
    <w:rsid w:val="002017BB"/>
    <w:rsid w:val="00201872"/>
    <w:rsid w:val="00201BF6"/>
    <w:rsid w:val="00201D11"/>
    <w:rsid w:val="0020383D"/>
    <w:rsid w:val="002045D0"/>
    <w:rsid w:val="002046FC"/>
    <w:rsid w:val="00204F29"/>
    <w:rsid w:val="00205A7E"/>
    <w:rsid w:val="00205D7B"/>
    <w:rsid w:val="00206387"/>
    <w:rsid w:val="0020638C"/>
    <w:rsid w:val="00206A18"/>
    <w:rsid w:val="002072AC"/>
    <w:rsid w:val="00207EC9"/>
    <w:rsid w:val="00210400"/>
    <w:rsid w:val="00211D26"/>
    <w:rsid w:val="00213038"/>
    <w:rsid w:val="002131F6"/>
    <w:rsid w:val="0021364F"/>
    <w:rsid w:val="00213B1F"/>
    <w:rsid w:val="00213C1D"/>
    <w:rsid w:val="002144AD"/>
    <w:rsid w:val="00214503"/>
    <w:rsid w:val="002153BE"/>
    <w:rsid w:val="0021593C"/>
    <w:rsid w:val="00215FFB"/>
    <w:rsid w:val="00216371"/>
    <w:rsid w:val="00217031"/>
    <w:rsid w:val="0021732C"/>
    <w:rsid w:val="0022093E"/>
    <w:rsid w:val="00221A6D"/>
    <w:rsid w:val="00222464"/>
    <w:rsid w:val="002224B0"/>
    <w:rsid w:val="002226C0"/>
    <w:rsid w:val="002231F2"/>
    <w:rsid w:val="002236EA"/>
    <w:rsid w:val="0022450B"/>
    <w:rsid w:val="00225F25"/>
    <w:rsid w:val="00225F51"/>
    <w:rsid w:val="00227FC3"/>
    <w:rsid w:val="00230028"/>
    <w:rsid w:val="00230F0B"/>
    <w:rsid w:val="00231799"/>
    <w:rsid w:val="0023274B"/>
    <w:rsid w:val="00232DD9"/>
    <w:rsid w:val="002334FA"/>
    <w:rsid w:val="0023390D"/>
    <w:rsid w:val="00234A1A"/>
    <w:rsid w:val="002351AA"/>
    <w:rsid w:val="002356D5"/>
    <w:rsid w:val="00236265"/>
    <w:rsid w:val="002366EB"/>
    <w:rsid w:val="00236D5B"/>
    <w:rsid w:val="00236D88"/>
    <w:rsid w:val="00236F4B"/>
    <w:rsid w:val="00236F50"/>
    <w:rsid w:val="002370CA"/>
    <w:rsid w:val="0023780E"/>
    <w:rsid w:val="00237A17"/>
    <w:rsid w:val="00237A47"/>
    <w:rsid w:val="0024086E"/>
    <w:rsid w:val="00240B7A"/>
    <w:rsid w:val="00241234"/>
    <w:rsid w:val="00242764"/>
    <w:rsid w:val="00242D54"/>
    <w:rsid w:val="002446E6"/>
    <w:rsid w:val="00244F80"/>
    <w:rsid w:val="00244FEB"/>
    <w:rsid w:val="0024622E"/>
    <w:rsid w:val="002467CC"/>
    <w:rsid w:val="002469D4"/>
    <w:rsid w:val="00246CE9"/>
    <w:rsid w:val="00247E2C"/>
    <w:rsid w:val="00250311"/>
    <w:rsid w:val="00250555"/>
    <w:rsid w:val="0025096F"/>
    <w:rsid w:val="00251092"/>
    <w:rsid w:val="00251124"/>
    <w:rsid w:val="0025223F"/>
    <w:rsid w:val="0025255B"/>
    <w:rsid w:val="002526E5"/>
    <w:rsid w:val="00252988"/>
    <w:rsid w:val="00252D89"/>
    <w:rsid w:val="00254913"/>
    <w:rsid w:val="00254A70"/>
    <w:rsid w:val="00254AF6"/>
    <w:rsid w:val="00255428"/>
    <w:rsid w:val="00255A53"/>
    <w:rsid w:val="00255EA5"/>
    <w:rsid w:val="00256315"/>
    <w:rsid w:val="00256858"/>
    <w:rsid w:val="002573D3"/>
    <w:rsid w:val="00257EA0"/>
    <w:rsid w:val="00257FE7"/>
    <w:rsid w:val="002602B7"/>
    <w:rsid w:val="0026093F"/>
    <w:rsid w:val="00261704"/>
    <w:rsid w:val="0026171E"/>
    <w:rsid w:val="00261914"/>
    <w:rsid w:val="00261B38"/>
    <w:rsid w:val="0026216F"/>
    <w:rsid w:val="00262980"/>
    <w:rsid w:val="00262D0B"/>
    <w:rsid w:val="0026326E"/>
    <w:rsid w:val="00263435"/>
    <w:rsid w:val="00263E4F"/>
    <w:rsid w:val="0026407C"/>
    <w:rsid w:val="00264D37"/>
    <w:rsid w:val="002650CB"/>
    <w:rsid w:val="00266666"/>
    <w:rsid w:val="00266779"/>
    <w:rsid w:val="0026680A"/>
    <w:rsid w:val="002671E7"/>
    <w:rsid w:val="002679AE"/>
    <w:rsid w:val="00267C95"/>
    <w:rsid w:val="00267CD5"/>
    <w:rsid w:val="00270C46"/>
    <w:rsid w:val="00271211"/>
    <w:rsid w:val="002713C9"/>
    <w:rsid w:val="002725A5"/>
    <w:rsid w:val="00272F90"/>
    <w:rsid w:val="00273CDA"/>
    <w:rsid w:val="00273F4D"/>
    <w:rsid w:val="00274190"/>
    <w:rsid w:val="0027426F"/>
    <w:rsid w:val="0027452E"/>
    <w:rsid w:val="00274F79"/>
    <w:rsid w:val="002751A9"/>
    <w:rsid w:val="00275895"/>
    <w:rsid w:val="002771DB"/>
    <w:rsid w:val="00280D80"/>
    <w:rsid w:val="00280E65"/>
    <w:rsid w:val="00280EAA"/>
    <w:rsid w:val="002815A9"/>
    <w:rsid w:val="002816F5"/>
    <w:rsid w:val="00281D2F"/>
    <w:rsid w:val="00282062"/>
    <w:rsid w:val="00282DC6"/>
    <w:rsid w:val="00283808"/>
    <w:rsid w:val="002849F1"/>
    <w:rsid w:val="002853E2"/>
    <w:rsid w:val="0028541E"/>
    <w:rsid w:val="00285C09"/>
    <w:rsid w:val="00285C89"/>
    <w:rsid w:val="00286243"/>
    <w:rsid w:val="002863C8"/>
    <w:rsid w:val="00287032"/>
    <w:rsid w:val="002875F7"/>
    <w:rsid w:val="002879B8"/>
    <w:rsid w:val="00287B86"/>
    <w:rsid w:val="002902B2"/>
    <w:rsid w:val="002904DB"/>
    <w:rsid w:val="00290D4D"/>
    <w:rsid w:val="002916AC"/>
    <w:rsid w:val="00291A22"/>
    <w:rsid w:val="0029392F"/>
    <w:rsid w:val="0029451B"/>
    <w:rsid w:val="00294644"/>
    <w:rsid w:val="00294F9D"/>
    <w:rsid w:val="0029645D"/>
    <w:rsid w:val="00296FF3"/>
    <w:rsid w:val="002A00EF"/>
    <w:rsid w:val="002A083D"/>
    <w:rsid w:val="002A0FAE"/>
    <w:rsid w:val="002A1516"/>
    <w:rsid w:val="002A342A"/>
    <w:rsid w:val="002A3A3E"/>
    <w:rsid w:val="002A3A40"/>
    <w:rsid w:val="002A3ABF"/>
    <w:rsid w:val="002A3B87"/>
    <w:rsid w:val="002A494A"/>
    <w:rsid w:val="002A5516"/>
    <w:rsid w:val="002A6988"/>
    <w:rsid w:val="002A71BC"/>
    <w:rsid w:val="002A7D4B"/>
    <w:rsid w:val="002B034F"/>
    <w:rsid w:val="002B0B73"/>
    <w:rsid w:val="002B329B"/>
    <w:rsid w:val="002B348D"/>
    <w:rsid w:val="002B3512"/>
    <w:rsid w:val="002B3539"/>
    <w:rsid w:val="002B3AB0"/>
    <w:rsid w:val="002B42E5"/>
    <w:rsid w:val="002B4445"/>
    <w:rsid w:val="002B4A93"/>
    <w:rsid w:val="002B4BB3"/>
    <w:rsid w:val="002B6627"/>
    <w:rsid w:val="002B6862"/>
    <w:rsid w:val="002B6AD1"/>
    <w:rsid w:val="002B6EE9"/>
    <w:rsid w:val="002B7275"/>
    <w:rsid w:val="002B762D"/>
    <w:rsid w:val="002B7753"/>
    <w:rsid w:val="002C2F5F"/>
    <w:rsid w:val="002C357F"/>
    <w:rsid w:val="002C3ABA"/>
    <w:rsid w:val="002C4FFA"/>
    <w:rsid w:val="002C55CC"/>
    <w:rsid w:val="002C5960"/>
    <w:rsid w:val="002C5AC9"/>
    <w:rsid w:val="002C5ACE"/>
    <w:rsid w:val="002C6589"/>
    <w:rsid w:val="002C6A2F"/>
    <w:rsid w:val="002C6EF8"/>
    <w:rsid w:val="002C7023"/>
    <w:rsid w:val="002C75B0"/>
    <w:rsid w:val="002D06A1"/>
    <w:rsid w:val="002D0C12"/>
    <w:rsid w:val="002D0F55"/>
    <w:rsid w:val="002D164C"/>
    <w:rsid w:val="002D2858"/>
    <w:rsid w:val="002D28FC"/>
    <w:rsid w:val="002D3789"/>
    <w:rsid w:val="002D3D7F"/>
    <w:rsid w:val="002D41B2"/>
    <w:rsid w:val="002D421E"/>
    <w:rsid w:val="002D475F"/>
    <w:rsid w:val="002D4C51"/>
    <w:rsid w:val="002D502B"/>
    <w:rsid w:val="002D6308"/>
    <w:rsid w:val="002D654C"/>
    <w:rsid w:val="002D6779"/>
    <w:rsid w:val="002D6C53"/>
    <w:rsid w:val="002D7407"/>
    <w:rsid w:val="002D78DF"/>
    <w:rsid w:val="002D7CDF"/>
    <w:rsid w:val="002D7F9C"/>
    <w:rsid w:val="002E00C9"/>
    <w:rsid w:val="002E0A7D"/>
    <w:rsid w:val="002E17AD"/>
    <w:rsid w:val="002E1B12"/>
    <w:rsid w:val="002E1C04"/>
    <w:rsid w:val="002E203C"/>
    <w:rsid w:val="002E2757"/>
    <w:rsid w:val="002E2837"/>
    <w:rsid w:val="002E2E02"/>
    <w:rsid w:val="002E3CCD"/>
    <w:rsid w:val="002E42B9"/>
    <w:rsid w:val="002E4721"/>
    <w:rsid w:val="002E4D62"/>
    <w:rsid w:val="002E5151"/>
    <w:rsid w:val="002E5E68"/>
    <w:rsid w:val="002E664B"/>
    <w:rsid w:val="002E6767"/>
    <w:rsid w:val="002E718E"/>
    <w:rsid w:val="002E760C"/>
    <w:rsid w:val="002E7939"/>
    <w:rsid w:val="002F0A6B"/>
    <w:rsid w:val="002F14D7"/>
    <w:rsid w:val="002F20C5"/>
    <w:rsid w:val="002F22E8"/>
    <w:rsid w:val="002F2D93"/>
    <w:rsid w:val="002F3921"/>
    <w:rsid w:val="002F3F8B"/>
    <w:rsid w:val="002F42AA"/>
    <w:rsid w:val="002F5595"/>
    <w:rsid w:val="002F5D16"/>
    <w:rsid w:val="002F5EDA"/>
    <w:rsid w:val="002F611F"/>
    <w:rsid w:val="002F62E5"/>
    <w:rsid w:val="002F7825"/>
    <w:rsid w:val="002F78EA"/>
    <w:rsid w:val="002F7FD3"/>
    <w:rsid w:val="00301223"/>
    <w:rsid w:val="00301AC4"/>
    <w:rsid w:val="00301D6A"/>
    <w:rsid w:val="003024D7"/>
    <w:rsid w:val="00303547"/>
    <w:rsid w:val="00303B54"/>
    <w:rsid w:val="00303F56"/>
    <w:rsid w:val="00304236"/>
    <w:rsid w:val="00305BA9"/>
    <w:rsid w:val="003065AF"/>
    <w:rsid w:val="003070CF"/>
    <w:rsid w:val="00307ED1"/>
    <w:rsid w:val="00310A78"/>
    <w:rsid w:val="00310D24"/>
    <w:rsid w:val="0031177C"/>
    <w:rsid w:val="00311B8B"/>
    <w:rsid w:val="00311E1A"/>
    <w:rsid w:val="003124BF"/>
    <w:rsid w:val="003128C5"/>
    <w:rsid w:val="0031298D"/>
    <w:rsid w:val="00312F2B"/>
    <w:rsid w:val="003134BE"/>
    <w:rsid w:val="00313F05"/>
    <w:rsid w:val="003144CE"/>
    <w:rsid w:val="003148B4"/>
    <w:rsid w:val="00314923"/>
    <w:rsid w:val="00314954"/>
    <w:rsid w:val="00314959"/>
    <w:rsid w:val="00314D17"/>
    <w:rsid w:val="00315991"/>
    <w:rsid w:val="003160A8"/>
    <w:rsid w:val="00316934"/>
    <w:rsid w:val="00316E54"/>
    <w:rsid w:val="003172FD"/>
    <w:rsid w:val="003176AF"/>
    <w:rsid w:val="00317AAC"/>
    <w:rsid w:val="00320051"/>
    <w:rsid w:val="00320C56"/>
    <w:rsid w:val="00320D85"/>
    <w:rsid w:val="0032132E"/>
    <w:rsid w:val="00321B81"/>
    <w:rsid w:val="0032278E"/>
    <w:rsid w:val="00322CD0"/>
    <w:rsid w:val="00322F1C"/>
    <w:rsid w:val="0032325C"/>
    <w:rsid w:val="003232DD"/>
    <w:rsid w:val="003235CA"/>
    <w:rsid w:val="003235F4"/>
    <w:rsid w:val="00323F0D"/>
    <w:rsid w:val="003240AC"/>
    <w:rsid w:val="00324848"/>
    <w:rsid w:val="00324AFD"/>
    <w:rsid w:val="0032561E"/>
    <w:rsid w:val="00325C2F"/>
    <w:rsid w:val="003266EC"/>
    <w:rsid w:val="003268EE"/>
    <w:rsid w:val="00326950"/>
    <w:rsid w:val="00326A25"/>
    <w:rsid w:val="00326DF4"/>
    <w:rsid w:val="0032710A"/>
    <w:rsid w:val="003271C2"/>
    <w:rsid w:val="0032722C"/>
    <w:rsid w:val="00327338"/>
    <w:rsid w:val="00327A6F"/>
    <w:rsid w:val="00330126"/>
    <w:rsid w:val="003302B0"/>
    <w:rsid w:val="0033054D"/>
    <w:rsid w:val="0033093D"/>
    <w:rsid w:val="00330C30"/>
    <w:rsid w:val="00330EAC"/>
    <w:rsid w:val="00330FAE"/>
    <w:rsid w:val="00331129"/>
    <w:rsid w:val="003315D7"/>
    <w:rsid w:val="00332AD0"/>
    <w:rsid w:val="00334313"/>
    <w:rsid w:val="00334408"/>
    <w:rsid w:val="00334532"/>
    <w:rsid w:val="00334D8C"/>
    <w:rsid w:val="00334DE9"/>
    <w:rsid w:val="00334E81"/>
    <w:rsid w:val="00334F6A"/>
    <w:rsid w:val="00335A69"/>
    <w:rsid w:val="00335C3C"/>
    <w:rsid w:val="00335F42"/>
    <w:rsid w:val="00336BAF"/>
    <w:rsid w:val="00336D0B"/>
    <w:rsid w:val="0033743D"/>
    <w:rsid w:val="00337A0D"/>
    <w:rsid w:val="00337AA9"/>
    <w:rsid w:val="00337F52"/>
    <w:rsid w:val="003403B5"/>
    <w:rsid w:val="003404A4"/>
    <w:rsid w:val="00340E54"/>
    <w:rsid w:val="003418B2"/>
    <w:rsid w:val="00341BDD"/>
    <w:rsid w:val="00341F69"/>
    <w:rsid w:val="00342232"/>
    <w:rsid w:val="00342AC8"/>
    <w:rsid w:val="00342D03"/>
    <w:rsid w:val="00343450"/>
    <w:rsid w:val="0034533C"/>
    <w:rsid w:val="00345472"/>
    <w:rsid w:val="003456F6"/>
    <w:rsid w:val="003466C4"/>
    <w:rsid w:val="003471E3"/>
    <w:rsid w:val="00347BC0"/>
    <w:rsid w:val="00347D08"/>
    <w:rsid w:val="00347E04"/>
    <w:rsid w:val="00350854"/>
    <w:rsid w:val="00350A4F"/>
    <w:rsid w:val="00350CC9"/>
    <w:rsid w:val="00351412"/>
    <w:rsid w:val="00351467"/>
    <w:rsid w:val="003515B0"/>
    <w:rsid w:val="003518E7"/>
    <w:rsid w:val="00352120"/>
    <w:rsid w:val="00352129"/>
    <w:rsid w:val="0035252B"/>
    <w:rsid w:val="003540E6"/>
    <w:rsid w:val="00354348"/>
    <w:rsid w:val="00354F31"/>
    <w:rsid w:val="00355214"/>
    <w:rsid w:val="0035672E"/>
    <w:rsid w:val="003569B0"/>
    <w:rsid w:val="0035720D"/>
    <w:rsid w:val="003573CF"/>
    <w:rsid w:val="00357596"/>
    <w:rsid w:val="00360176"/>
    <w:rsid w:val="003607DE"/>
    <w:rsid w:val="003608EB"/>
    <w:rsid w:val="003610F1"/>
    <w:rsid w:val="00361B4D"/>
    <w:rsid w:val="00361B64"/>
    <w:rsid w:val="00361D82"/>
    <w:rsid w:val="00362326"/>
    <w:rsid w:val="00362464"/>
    <w:rsid w:val="003627B3"/>
    <w:rsid w:val="00362E0D"/>
    <w:rsid w:val="0036387C"/>
    <w:rsid w:val="00363DC0"/>
    <w:rsid w:val="00364232"/>
    <w:rsid w:val="00364EDA"/>
    <w:rsid w:val="00365114"/>
    <w:rsid w:val="00366518"/>
    <w:rsid w:val="003673F6"/>
    <w:rsid w:val="00367AD5"/>
    <w:rsid w:val="0037032F"/>
    <w:rsid w:val="00370460"/>
    <w:rsid w:val="003706DB"/>
    <w:rsid w:val="0037086A"/>
    <w:rsid w:val="003719D0"/>
    <w:rsid w:val="003719DC"/>
    <w:rsid w:val="00371B8D"/>
    <w:rsid w:val="0037261D"/>
    <w:rsid w:val="00372D05"/>
    <w:rsid w:val="003733E7"/>
    <w:rsid w:val="003737B0"/>
    <w:rsid w:val="003738D4"/>
    <w:rsid w:val="00373A74"/>
    <w:rsid w:val="00373E71"/>
    <w:rsid w:val="00373FC0"/>
    <w:rsid w:val="0037433F"/>
    <w:rsid w:val="003745E1"/>
    <w:rsid w:val="00374E36"/>
    <w:rsid w:val="00374E68"/>
    <w:rsid w:val="00375346"/>
    <w:rsid w:val="00375E5A"/>
    <w:rsid w:val="0037618D"/>
    <w:rsid w:val="0037655E"/>
    <w:rsid w:val="003767AF"/>
    <w:rsid w:val="00376864"/>
    <w:rsid w:val="00376ABF"/>
    <w:rsid w:val="00376EA4"/>
    <w:rsid w:val="00377765"/>
    <w:rsid w:val="003778DF"/>
    <w:rsid w:val="00377AF1"/>
    <w:rsid w:val="00380FA0"/>
    <w:rsid w:val="0038147F"/>
    <w:rsid w:val="00381C21"/>
    <w:rsid w:val="00382467"/>
    <w:rsid w:val="003826B5"/>
    <w:rsid w:val="00383002"/>
    <w:rsid w:val="003830C0"/>
    <w:rsid w:val="003836FC"/>
    <w:rsid w:val="00383922"/>
    <w:rsid w:val="00383CFD"/>
    <w:rsid w:val="00383E33"/>
    <w:rsid w:val="0038425F"/>
    <w:rsid w:val="00384FFA"/>
    <w:rsid w:val="00385E92"/>
    <w:rsid w:val="003863AF"/>
    <w:rsid w:val="0038665C"/>
    <w:rsid w:val="00386912"/>
    <w:rsid w:val="00387690"/>
    <w:rsid w:val="003901ED"/>
    <w:rsid w:val="0039029E"/>
    <w:rsid w:val="00390EDE"/>
    <w:rsid w:val="00391589"/>
    <w:rsid w:val="0039269B"/>
    <w:rsid w:val="003937DA"/>
    <w:rsid w:val="00393E3D"/>
    <w:rsid w:val="003943E7"/>
    <w:rsid w:val="00395511"/>
    <w:rsid w:val="0039596E"/>
    <w:rsid w:val="00395DAF"/>
    <w:rsid w:val="00397454"/>
    <w:rsid w:val="003A0383"/>
    <w:rsid w:val="003A03C6"/>
    <w:rsid w:val="003A0A6C"/>
    <w:rsid w:val="003A10CD"/>
    <w:rsid w:val="003A15DE"/>
    <w:rsid w:val="003A220E"/>
    <w:rsid w:val="003A2894"/>
    <w:rsid w:val="003A2E61"/>
    <w:rsid w:val="003A2FEE"/>
    <w:rsid w:val="003A374D"/>
    <w:rsid w:val="003A3CF6"/>
    <w:rsid w:val="003A4139"/>
    <w:rsid w:val="003A4609"/>
    <w:rsid w:val="003A474D"/>
    <w:rsid w:val="003A59BA"/>
    <w:rsid w:val="003A60E9"/>
    <w:rsid w:val="003A6174"/>
    <w:rsid w:val="003A65E4"/>
    <w:rsid w:val="003A6D72"/>
    <w:rsid w:val="003A71A5"/>
    <w:rsid w:val="003A74E5"/>
    <w:rsid w:val="003A79F5"/>
    <w:rsid w:val="003B05D8"/>
    <w:rsid w:val="003B1D8D"/>
    <w:rsid w:val="003B20CA"/>
    <w:rsid w:val="003B234E"/>
    <w:rsid w:val="003B2BFD"/>
    <w:rsid w:val="003B3091"/>
    <w:rsid w:val="003B30C8"/>
    <w:rsid w:val="003B316B"/>
    <w:rsid w:val="003B317D"/>
    <w:rsid w:val="003B387B"/>
    <w:rsid w:val="003B3DD5"/>
    <w:rsid w:val="003B4550"/>
    <w:rsid w:val="003B45DB"/>
    <w:rsid w:val="003B4D48"/>
    <w:rsid w:val="003B51D2"/>
    <w:rsid w:val="003B5200"/>
    <w:rsid w:val="003B6110"/>
    <w:rsid w:val="003B6732"/>
    <w:rsid w:val="003B68A7"/>
    <w:rsid w:val="003B68AB"/>
    <w:rsid w:val="003B69C0"/>
    <w:rsid w:val="003B717A"/>
    <w:rsid w:val="003C0C80"/>
    <w:rsid w:val="003C1A65"/>
    <w:rsid w:val="003C21A3"/>
    <w:rsid w:val="003C2676"/>
    <w:rsid w:val="003C27AD"/>
    <w:rsid w:val="003C2868"/>
    <w:rsid w:val="003C2A7B"/>
    <w:rsid w:val="003C3A2B"/>
    <w:rsid w:val="003C3ED3"/>
    <w:rsid w:val="003C3FA5"/>
    <w:rsid w:val="003C4379"/>
    <w:rsid w:val="003C43C3"/>
    <w:rsid w:val="003C479D"/>
    <w:rsid w:val="003C4908"/>
    <w:rsid w:val="003C50AB"/>
    <w:rsid w:val="003C512D"/>
    <w:rsid w:val="003C6A22"/>
    <w:rsid w:val="003C70CD"/>
    <w:rsid w:val="003C7417"/>
    <w:rsid w:val="003C79C8"/>
    <w:rsid w:val="003C7BBA"/>
    <w:rsid w:val="003D05C3"/>
    <w:rsid w:val="003D0D11"/>
    <w:rsid w:val="003D1146"/>
    <w:rsid w:val="003D13A8"/>
    <w:rsid w:val="003D18D3"/>
    <w:rsid w:val="003D1B76"/>
    <w:rsid w:val="003D32AD"/>
    <w:rsid w:val="003D385A"/>
    <w:rsid w:val="003D3896"/>
    <w:rsid w:val="003D3E2B"/>
    <w:rsid w:val="003D4E65"/>
    <w:rsid w:val="003D4F4D"/>
    <w:rsid w:val="003D53B6"/>
    <w:rsid w:val="003D5AEE"/>
    <w:rsid w:val="003D6475"/>
    <w:rsid w:val="003D6781"/>
    <w:rsid w:val="003D79DC"/>
    <w:rsid w:val="003D7A82"/>
    <w:rsid w:val="003E00BC"/>
    <w:rsid w:val="003E037E"/>
    <w:rsid w:val="003E0B42"/>
    <w:rsid w:val="003E1B1C"/>
    <w:rsid w:val="003E3246"/>
    <w:rsid w:val="003E3D62"/>
    <w:rsid w:val="003E41DB"/>
    <w:rsid w:val="003E4AF6"/>
    <w:rsid w:val="003E4FB6"/>
    <w:rsid w:val="003E5D42"/>
    <w:rsid w:val="003E6445"/>
    <w:rsid w:val="003E66CD"/>
    <w:rsid w:val="003E71B2"/>
    <w:rsid w:val="003E74ED"/>
    <w:rsid w:val="003E7896"/>
    <w:rsid w:val="003E7C9B"/>
    <w:rsid w:val="003E7DEA"/>
    <w:rsid w:val="003E7F91"/>
    <w:rsid w:val="003F06EC"/>
    <w:rsid w:val="003F0B59"/>
    <w:rsid w:val="003F0BFA"/>
    <w:rsid w:val="003F0F4B"/>
    <w:rsid w:val="003F187B"/>
    <w:rsid w:val="003F243C"/>
    <w:rsid w:val="003F25BE"/>
    <w:rsid w:val="003F2EEE"/>
    <w:rsid w:val="003F37BC"/>
    <w:rsid w:val="003F3800"/>
    <w:rsid w:val="003F3997"/>
    <w:rsid w:val="003F3B06"/>
    <w:rsid w:val="003F4065"/>
    <w:rsid w:val="003F4231"/>
    <w:rsid w:val="003F4400"/>
    <w:rsid w:val="003F4472"/>
    <w:rsid w:val="003F45AD"/>
    <w:rsid w:val="003F5428"/>
    <w:rsid w:val="003F56D1"/>
    <w:rsid w:val="003F57A8"/>
    <w:rsid w:val="003F5AD5"/>
    <w:rsid w:val="003F617A"/>
    <w:rsid w:val="003F6894"/>
    <w:rsid w:val="00400091"/>
    <w:rsid w:val="0040094D"/>
    <w:rsid w:val="004010B2"/>
    <w:rsid w:val="0040137F"/>
    <w:rsid w:val="004021CA"/>
    <w:rsid w:val="00402282"/>
    <w:rsid w:val="00402485"/>
    <w:rsid w:val="0040250F"/>
    <w:rsid w:val="0040306F"/>
    <w:rsid w:val="004032E5"/>
    <w:rsid w:val="00403940"/>
    <w:rsid w:val="00403E96"/>
    <w:rsid w:val="004042F4"/>
    <w:rsid w:val="004047FD"/>
    <w:rsid w:val="00404C80"/>
    <w:rsid w:val="00405099"/>
    <w:rsid w:val="004058E5"/>
    <w:rsid w:val="004059AC"/>
    <w:rsid w:val="00405E5C"/>
    <w:rsid w:val="00406230"/>
    <w:rsid w:val="00406509"/>
    <w:rsid w:val="00407150"/>
    <w:rsid w:val="004071EE"/>
    <w:rsid w:val="004073A5"/>
    <w:rsid w:val="0040756A"/>
    <w:rsid w:val="00407779"/>
    <w:rsid w:val="00407DAF"/>
    <w:rsid w:val="00407E1E"/>
    <w:rsid w:val="00407F4D"/>
    <w:rsid w:val="0041069A"/>
    <w:rsid w:val="00410E5C"/>
    <w:rsid w:val="00410E6E"/>
    <w:rsid w:val="00410E73"/>
    <w:rsid w:val="00411E42"/>
    <w:rsid w:val="00412529"/>
    <w:rsid w:val="00412712"/>
    <w:rsid w:val="0041315E"/>
    <w:rsid w:val="0041506B"/>
    <w:rsid w:val="00415C97"/>
    <w:rsid w:val="004160AA"/>
    <w:rsid w:val="00416CEA"/>
    <w:rsid w:val="00417C01"/>
    <w:rsid w:val="00420283"/>
    <w:rsid w:val="00420B62"/>
    <w:rsid w:val="00421053"/>
    <w:rsid w:val="00421074"/>
    <w:rsid w:val="004214A8"/>
    <w:rsid w:val="00421505"/>
    <w:rsid w:val="00421FA3"/>
    <w:rsid w:val="00422337"/>
    <w:rsid w:val="0042273B"/>
    <w:rsid w:val="004235F7"/>
    <w:rsid w:val="004243DF"/>
    <w:rsid w:val="00424E4D"/>
    <w:rsid w:val="00425B1C"/>
    <w:rsid w:val="00425E24"/>
    <w:rsid w:val="00425E5A"/>
    <w:rsid w:val="0042618B"/>
    <w:rsid w:val="00426861"/>
    <w:rsid w:val="00426B5A"/>
    <w:rsid w:val="00427029"/>
    <w:rsid w:val="004271D1"/>
    <w:rsid w:val="00427AAF"/>
    <w:rsid w:val="00427E40"/>
    <w:rsid w:val="00427EAE"/>
    <w:rsid w:val="00427F0B"/>
    <w:rsid w:val="00430F40"/>
    <w:rsid w:val="00431B23"/>
    <w:rsid w:val="00432ECF"/>
    <w:rsid w:val="00433166"/>
    <w:rsid w:val="00433B8A"/>
    <w:rsid w:val="00433DB2"/>
    <w:rsid w:val="00434AF0"/>
    <w:rsid w:val="00434F5E"/>
    <w:rsid w:val="004358B7"/>
    <w:rsid w:val="004367A2"/>
    <w:rsid w:val="0043680D"/>
    <w:rsid w:val="004369FF"/>
    <w:rsid w:val="00436B81"/>
    <w:rsid w:val="004374EF"/>
    <w:rsid w:val="00437A9C"/>
    <w:rsid w:val="00437CD2"/>
    <w:rsid w:val="004408CF"/>
    <w:rsid w:val="00441DBD"/>
    <w:rsid w:val="0044208D"/>
    <w:rsid w:val="00442093"/>
    <w:rsid w:val="004420B0"/>
    <w:rsid w:val="004423A6"/>
    <w:rsid w:val="004425D7"/>
    <w:rsid w:val="00442908"/>
    <w:rsid w:val="00443ED6"/>
    <w:rsid w:val="004444F6"/>
    <w:rsid w:val="00445D30"/>
    <w:rsid w:val="0044609C"/>
    <w:rsid w:val="00446139"/>
    <w:rsid w:val="00446531"/>
    <w:rsid w:val="00446B76"/>
    <w:rsid w:val="004470A2"/>
    <w:rsid w:val="00447A41"/>
    <w:rsid w:val="0045006B"/>
    <w:rsid w:val="00450962"/>
    <w:rsid w:val="00450F3A"/>
    <w:rsid w:val="00451156"/>
    <w:rsid w:val="00451291"/>
    <w:rsid w:val="0045285B"/>
    <w:rsid w:val="004533B4"/>
    <w:rsid w:val="00453567"/>
    <w:rsid w:val="00453593"/>
    <w:rsid w:val="00453A0D"/>
    <w:rsid w:val="0045496A"/>
    <w:rsid w:val="00454F12"/>
    <w:rsid w:val="0045509C"/>
    <w:rsid w:val="0045549D"/>
    <w:rsid w:val="004563B2"/>
    <w:rsid w:val="00456508"/>
    <w:rsid w:val="004565AE"/>
    <w:rsid w:val="00456A8A"/>
    <w:rsid w:val="00456BAB"/>
    <w:rsid w:val="00456BBA"/>
    <w:rsid w:val="00456C4D"/>
    <w:rsid w:val="0045728C"/>
    <w:rsid w:val="00457475"/>
    <w:rsid w:val="0045799A"/>
    <w:rsid w:val="00457B88"/>
    <w:rsid w:val="004603AE"/>
    <w:rsid w:val="00461253"/>
    <w:rsid w:val="00461AD6"/>
    <w:rsid w:val="00462381"/>
    <w:rsid w:val="00462D42"/>
    <w:rsid w:val="0046324D"/>
    <w:rsid w:val="004636C8"/>
    <w:rsid w:val="00463996"/>
    <w:rsid w:val="00464580"/>
    <w:rsid w:val="004645AE"/>
    <w:rsid w:val="00464DDD"/>
    <w:rsid w:val="00465BCB"/>
    <w:rsid w:val="00465D80"/>
    <w:rsid w:val="00465FA8"/>
    <w:rsid w:val="004660BF"/>
    <w:rsid w:val="004664D1"/>
    <w:rsid w:val="004672C6"/>
    <w:rsid w:val="004676E7"/>
    <w:rsid w:val="00467F21"/>
    <w:rsid w:val="00467F6C"/>
    <w:rsid w:val="00470657"/>
    <w:rsid w:val="00470C3E"/>
    <w:rsid w:val="00470CAD"/>
    <w:rsid w:val="0047131F"/>
    <w:rsid w:val="00472098"/>
    <w:rsid w:val="0047251C"/>
    <w:rsid w:val="00472AD4"/>
    <w:rsid w:val="00472BBF"/>
    <w:rsid w:val="00473142"/>
    <w:rsid w:val="0047351D"/>
    <w:rsid w:val="0047376D"/>
    <w:rsid w:val="00473C42"/>
    <w:rsid w:val="00474585"/>
    <w:rsid w:val="00474F60"/>
    <w:rsid w:val="004754F7"/>
    <w:rsid w:val="0047562A"/>
    <w:rsid w:val="00475901"/>
    <w:rsid w:val="00475F9F"/>
    <w:rsid w:val="00476086"/>
    <w:rsid w:val="00476612"/>
    <w:rsid w:val="004776E7"/>
    <w:rsid w:val="00477791"/>
    <w:rsid w:val="0048058B"/>
    <w:rsid w:val="004806A5"/>
    <w:rsid w:val="00480702"/>
    <w:rsid w:val="00480B82"/>
    <w:rsid w:val="00480F88"/>
    <w:rsid w:val="00481856"/>
    <w:rsid w:val="00481986"/>
    <w:rsid w:val="00481F03"/>
    <w:rsid w:val="00482DC6"/>
    <w:rsid w:val="00483744"/>
    <w:rsid w:val="00483890"/>
    <w:rsid w:val="00483E07"/>
    <w:rsid w:val="004844D6"/>
    <w:rsid w:val="00484613"/>
    <w:rsid w:val="00484835"/>
    <w:rsid w:val="00484B40"/>
    <w:rsid w:val="00484FDF"/>
    <w:rsid w:val="00486CE8"/>
    <w:rsid w:val="00486E7F"/>
    <w:rsid w:val="004871A5"/>
    <w:rsid w:val="00487719"/>
    <w:rsid w:val="00490021"/>
    <w:rsid w:val="00490E98"/>
    <w:rsid w:val="00491790"/>
    <w:rsid w:val="0049179C"/>
    <w:rsid w:val="004931BC"/>
    <w:rsid w:val="00493244"/>
    <w:rsid w:val="0049398A"/>
    <w:rsid w:val="004939C7"/>
    <w:rsid w:val="004944CE"/>
    <w:rsid w:val="00494937"/>
    <w:rsid w:val="00494A87"/>
    <w:rsid w:val="00494E6C"/>
    <w:rsid w:val="0049517E"/>
    <w:rsid w:val="0049667F"/>
    <w:rsid w:val="00496C8D"/>
    <w:rsid w:val="00497DBB"/>
    <w:rsid w:val="004A0378"/>
    <w:rsid w:val="004A05CF"/>
    <w:rsid w:val="004A0A76"/>
    <w:rsid w:val="004A0BAB"/>
    <w:rsid w:val="004A0CDE"/>
    <w:rsid w:val="004A1F0D"/>
    <w:rsid w:val="004A2921"/>
    <w:rsid w:val="004A3A7A"/>
    <w:rsid w:val="004A3CD5"/>
    <w:rsid w:val="004A3DAC"/>
    <w:rsid w:val="004A3DC1"/>
    <w:rsid w:val="004A458E"/>
    <w:rsid w:val="004A5224"/>
    <w:rsid w:val="004A5558"/>
    <w:rsid w:val="004A5F4A"/>
    <w:rsid w:val="004A7F9E"/>
    <w:rsid w:val="004B0681"/>
    <w:rsid w:val="004B10A1"/>
    <w:rsid w:val="004B1A4D"/>
    <w:rsid w:val="004B1A75"/>
    <w:rsid w:val="004B22E2"/>
    <w:rsid w:val="004B230E"/>
    <w:rsid w:val="004B325A"/>
    <w:rsid w:val="004B3262"/>
    <w:rsid w:val="004B3595"/>
    <w:rsid w:val="004B381C"/>
    <w:rsid w:val="004B4057"/>
    <w:rsid w:val="004B425F"/>
    <w:rsid w:val="004B4A6E"/>
    <w:rsid w:val="004B521D"/>
    <w:rsid w:val="004B529B"/>
    <w:rsid w:val="004B6181"/>
    <w:rsid w:val="004B6D9F"/>
    <w:rsid w:val="004B7049"/>
    <w:rsid w:val="004B74A7"/>
    <w:rsid w:val="004B772A"/>
    <w:rsid w:val="004C03AF"/>
    <w:rsid w:val="004C0DE6"/>
    <w:rsid w:val="004C149C"/>
    <w:rsid w:val="004C3D71"/>
    <w:rsid w:val="004C40FD"/>
    <w:rsid w:val="004C5257"/>
    <w:rsid w:val="004C547C"/>
    <w:rsid w:val="004C6229"/>
    <w:rsid w:val="004C6946"/>
    <w:rsid w:val="004C6E39"/>
    <w:rsid w:val="004D0153"/>
    <w:rsid w:val="004D046B"/>
    <w:rsid w:val="004D0D04"/>
    <w:rsid w:val="004D25D8"/>
    <w:rsid w:val="004D29E0"/>
    <w:rsid w:val="004D30BA"/>
    <w:rsid w:val="004D3125"/>
    <w:rsid w:val="004D3F7B"/>
    <w:rsid w:val="004D3FA4"/>
    <w:rsid w:val="004D41A4"/>
    <w:rsid w:val="004D48D3"/>
    <w:rsid w:val="004D52C2"/>
    <w:rsid w:val="004D53E8"/>
    <w:rsid w:val="004D5469"/>
    <w:rsid w:val="004D7047"/>
    <w:rsid w:val="004E0901"/>
    <w:rsid w:val="004E0EFB"/>
    <w:rsid w:val="004E1121"/>
    <w:rsid w:val="004E23BF"/>
    <w:rsid w:val="004E26A2"/>
    <w:rsid w:val="004E300A"/>
    <w:rsid w:val="004E3AB0"/>
    <w:rsid w:val="004E446A"/>
    <w:rsid w:val="004E49D2"/>
    <w:rsid w:val="004E605F"/>
    <w:rsid w:val="004E6FA3"/>
    <w:rsid w:val="004E7E21"/>
    <w:rsid w:val="004F00BD"/>
    <w:rsid w:val="004F1337"/>
    <w:rsid w:val="004F22BE"/>
    <w:rsid w:val="004F3C57"/>
    <w:rsid w:val="004F40C6"/>
    <w:rsid w:val="004F465C"/>
    <w:rsid w:val="004F4954"/>
    <w:rsid w:val="004F4B47"/>
    <w:rsid w:val="004F5400"/>
    <w:rsid w:val="004F549B"/>
    <w:rsid w:val="005000DE"/>
    <w:rsid w:val="00500B39"/>
    <w:rsid w:val="00501E30"/>
    <w:rsid w:val="00502754"/>
    <w:rsid w:val="00503CF0"/>
    <w:rsid w:val="00503D7F"/>
    <w:rsid w:val="0050409B"/>
    <w:rsid w:val="005042C2"/>
    <w:rsid w:val="00504609"/>
    <w:rsid w:val="005048E0"/>
    <w:rsid w:val="00505069"/>
    <w:rsid w:val="00505FDE"/>
    <w:rsid w:val="0050778C"/>
    <w:rsid w:val="005078F3"/>
    <w:rsid w:val="00507A78"/>
    <w:rsid w:val="005109A7"/>
    <w:rsid w:val="00510C17"/>
    <w:rsid w:val="005110E1"/>
    <w:rsid w:val="00511C3C"/>
    <w:rsid w:val="00511C93"/>
    <w:rsid w:val="00511D24"/>
    <w:rsid w:val="00512DE0"/>
    <w:rsid w:val="00513716"/>
    <w:rsid w:val="00514813"/>
    <w:rsid w:val="0051492E"/>
    <w:rsid w:val="00514E80"/>
    <w:rsid w:val="005154BA"/>
    <w:rsid w:val="00515FBA"/>
    <w:rsid w:val="005205F7"/>
    <w:rsid w:val="00520C2A"/>
    <w:rsid w:val="0052104A"/>
    <w:rsid w:val="0052164C"/>
    <w:rsid w:val="00521A61"/>
    <w:rsid w:val="00521D58"/>
    <w:rsid w:val="0052242B"/>
    <w:rsid w:val="00523D21"/>
    <w:rsid w:val="00524C35"/>
    <w:rsid w:val="00525715"/>
    <w:rsid w:val="00525AE9"/>
    <w:rsid w:val="00525DEF"/>
    <w:rsid w:val="005267E8"/>
    <w:rsid w:val="00530D0C"/>
    <w:rsid w:val="005311BD"/>
    <w:rsid w:val="00531C35"/>
    <w:rsid w:val="00531DB4"/>
    <w:rsid w:val="00532E63"/>
    <w:rsid w:val="0053301D"/>
    <w:rsid w:val="0053350C"/>
    <w:rsid w:val="005338DD"/>
    <w:rsid w:val="00537AB0"/>
    <w:rsid w:val="005401B2"/>
    <w:rsid w:val="0054054B"/>
    <w:rsid w:val="00540CEB"/>
    <w:rsid w:val="00540E38"/>
    <w:rsid w:val="005410F0"/>
    <w:rsid w:val="005411B2"/>
    <w:rsid w:val="00541D4C"/>
    <w:rsid w:val="00541FB3"/>
    <w:rsid w:val="00542635"/>
    <w:rsid w:val="00542736"/>
    <w:rsid w:val="0054284B"/>
    <w:rsid w:val="00543550"/>
    <w:rsid w:val="00543BCC"/>
    <w:rsid w:val="00544B1F"/>
    <w:rsid w:val="00544B37"/>
    <w:rsid w:val="0054540B"/>
    <w:rsid w:val="00545B17"/>
    <w:rsid w:val="0054719B"/>
    <w:rsid w:val="005475BA"/>
    <w:rsid w:val="00547D9A"/>
    <w:rsid w:val="00547E22"/>
    <w:rsid w:val="00550474"/>
    <w:rsid w:val="00550684"/>
    <w:rsid w:val="005509C0"/>
    <w:rsid w:val="005509C7"/>
    <w:rsid w:val="00551048"/>
    <w:rsid w:val="00551A4B"/>
    <w:rsid w:val="00551CA0"/>
    <w:rsid w:val="00552284"/>
    <w:rsid w:val="00552A59"/>
    <w:rsid w:val="00552D59"/>
    <w:rsid w:val="00552F5D"/>
    <w:rsid w:val="00553113"/>
    <w:rsid w:val="00553CA1"/>
    <w:rsid w:val="005544C5"/>
    <w:rsid w:val="0055473D"/>
    <w:rsid w:val="005553FD"/>
    <w:rsid w:val="00556F9D"/>
    <w:rsid w:val="005571FE"/>
    <w:rsid w:val="0055720B"/>
    <w:rsid w:val="005603C3"/>
    <w:rsid w:val="00560534"/>
    <w:rsid w:val="00560ABF"/>
    <w:rsid w:val="00560B04"/>
    <w:rsid w:val="00560EAC"/>
    <w:rsid w:val="0056145D"/>
    <w:rsid w:val="00561C1E"/>
    <w:rsid w:val="005622E9"/>
    <w:rsid w:val="0056368A"/>
    <w:rsid w:val="005636A4"/>
    <w:rsid w:val="00563CE5"/>
    <w:rsid w:val="00564158"/>
    <w:rsid w:val="0056427A"/>
    <w:rsid w:val="005642AF"/>
    <w:rsid w:val="0056494D"/>
    <w:rsid w:val="00564B84"/>
    <w:rsid w:val="00564EF8"/>
    <w:rsid w:val="005652CA"/>
    <w:rsid w:val="00565B6C"/>
    <w:rsid w:val="005664E7"/>
    <w:rsid w:val="00566C3B"/>
    <w:rsid w:val="0056730E"/>
    <w:rsid w:val="005673BA"/>
    <w:rsid w:val="005675DC"/>
    <w:rsid w:val="00570C47"/>
    <w:rsid w:val="00571277"/>
    <w:rsid w:val="0057155C"/>
    <w:rsid w:val="005718E6"/>
    <w:rsid w:val="00571AD8"/>
    <w:rsid w:val="005720B6"/>
    <w:rsid w:val="005722C4"/>
    <w:rsid w:val="005723C0"/>
    <w:rsid w:val="005724E0"/>
    <w:rsid w:val="0057263C"/>
    <w:rsid w:val="00572791"/>
    <w:rsid w:val="00572E89"/>
    <w:rsid w:val="005732F7"/>
    <w:rsid w:val="00573955"/>
    <w:rsid w:val="00573A2F"/>
    <w:rsid w:val="005745A9"/>
    <w:rsid w:val="00574D15"/>
    <w:rsid w:val="005754C1"/>
    <w:rsid w:val="00575ED4"/>
    <w:rsid w:val="0057613B"/>
    <w:rsid w:val="00576D3E"/>
    <w:rsid w:val="005808B0"/>
    <w:rsid w:val="00580EEF"/>
    <w:rsid w:val="00581408"/>
    <w:rsid w:val="00581A95"/>
    <w:rsid w:val="00582382"/>
    <w:rsid w:val="00583A27"/>
    <w:rsid w:val="00583D32"/>
    <w:rsid w:val="0058409C"/>
    <w:rsid w:val="005846A7"/>
    <w:rsid w:val="00584780"/>
    <w:rsid w:val="0058522A"/>
    <w:rsid w:val="00586195"/>
    <w:rsid w:val="00586F88"/>
    <w:rsid w:val="00587466"/>
    <w:rsid w:val="005904F9"/>
    <w:rsid w:val="00590677"/>
    <w:rsid w:val="005911D1"/>
    <w:rsid w:val="00591588"/>
    <w:rsid w:val="0059172D"/>
    <w:rsid w:val="00591C25"/>
    <w:rsid w:val="005929A3"/>
    <w:rsid w:val="00593568"/>
    <w:rsid w:val="005948EC"/>
    <w:rsid w:val="005950E6"/>
    <w:rsid w:val="00595E9D"/>
    <w:rsid w:val="00596890"/>
    <w:rsid w:val="005A27E0"/>
    <w:rsid w:val="005A2DD1"/>
    <w:rsid w:val="005A3375"/>
    <w:rsid w:val="005A37FA"/>
    <w:rsid w:val="005A4E8D"/>
    <w:rsid w:val="005A5450"/>
    <w:rsid w:val="005A5493"/>
    <w:rsid w:val="005A5544"/>
    <w:rsid w:val="005A6367"/>
    <w:rsid w:val="005A692F"/>
    <w:rsid w:val="005A6E21"/>
    <w:rsid w:val="005A7180"/>
    <w:rsid w:val="005A7582"/>
    <w:rsid w:val="005B02AC"/>
    <w:rsid w:val="005B069C"/>
    <w:rsid w:val="005B0BBC"/>
    <w:rsid w:val="005B18FE"/>
    <w:rsid w:val="005B195A"/>
    <w:rsid w:val="005B225F"/>
    <w:rsid w:val="005B25EE"/>
    <w:rsid w:val="005B2E9F"/>
    <w:rsid w:val="005B3252"/>
    <w:rsid w:val="005B3685"/>
    <w:rsid w:val="005B3D23"/>
    <w:rsid w:val="005B6279"/>
    <w:rsid w:val="005B641F"/>
    <w:rsid w:val="005B6435"/>
    <w:rsid w:val="005B64EE"/>
    <w:rsid w:val="005B6AE7"/>
    <w:rsid w:val="005B6F07"/>
    <w:rsid w:val="005B732B"/>
    <w:rsid w:val="005B77E5"/>
    <w:rsid w:val="005B7EFA"/>
    <w:rsid w:val="005C05F6"/>
    <w:rsid w:val="005C0FF7"/>
    <w:rsid w:val="005C12D9"/>
    <w:rsid w:val="005C1DF7"/>
    <w:rsid w:val="005C21FC"/>
    <w:rsid w:val="005C27DA"/>
    <w:rsid w:val="005C2C72"/>
    <w:rsid w:val="005C3480"/>
    <w:rsid w:val="005C360D"/>
    <w:rsid w:val="005C38DE"/>
    <w:rsid w:val="005C397D"/>
    <w:rsid w:val="005C40E7"/>
    <w:rsid w:val="005C4F60"/>
    <w:rsid w:val="005C5325"/>
    <w:rsid w:val="005C58D3"/>
    <w:rsid w:val="005C5A49"/>
    <w:rsid w:val="005C5A93"/>
    <w:rsid w:val="005C5D91"/>
    <w:rsid w:val="005C60D2"/>
    <w:rsid w:val="005C666C"/>
    <w:rsid w:val="005C6AAC"/>
    <w:rsid w:val="005D0DA6"/>
    <w:rsid w:val="005D1112"/>
    <w:rsid w:val="005D1182"/>
    <w:rsid w:val="005D1318"/>
    <w:rsid w:val="005D21B5"/>
    <w:rsid w:val="005D2FB3"/>
    <w:rsid w:val="005D34DD"/>
    <w:rsid w:val="005D46E5"/>
    <w:rsid w:val="005D4D38"/>
    <w:rsid w:val="005D527D"/>
    <w:rsid w:val="005D53EC"/>
    <w:rsid w:val="005D562D"/>
    <w:rsid w:val="005D5B24"/>
    <w:rsid w:val="005D5C23"/>
    <w:rsid w:val="005D62C9"/>
    <w:rsid w:val="005D66A0"/>
    <w:rsid w:val="005D6933"/>
    <w:rsid w:val="005D7F63"/>
    <w:rsid w:val="005E0740"/>
    <w:rsid w:val="005E0B1D"/>
    <w:rsid w:val="005E15E9"/>
    <w:rsid w:val="005E1639"/>
    <w:rsid w:val="005E17DF"/>
    <w:rsid w:val="005E3381"/>
    <w:rsid w:val="005E3498"/>
    <w:rsid w:val="005E3CF7"/>
    <w:rsid w:val="005E3E34"/>
    <w:rsid w:val="005E51CC"/>
    <w:rsid w:val="005E68F0"/>
    <w:rsid w:val="005E6F76"/>
    <w:rsid w:val="005E7AC2"/>
    <w:rsid w:val="005F0262"/>
    <w:rsid w:val="005F098B"/>
    <w:rsid w:val="005F1702"/>
    <w:rsid w:val="005F19CB"/>
    <w:rsid w:val="005F246D"/>
    <w:rsid w:val="005F33CC"/>
    <w:rsid w:val="005F39A3"/>
    <w:rsid w:val="005F3D23"/>
    <w:rsid w:val="005F43F4"/>
    <w:rsid w:val="005F4B4F"/>
    <w:rsid w:val="005F4FD0"/>
    <w:rsid w:val="005F559F"/>
    <w:rsid w:val="005F5846"/>
    <w:rsid w:val="005F71FE"/>
    <w:rsid w:val="005F7742"/>
    <w:rsid w:val="005F79EB"/>
    <w:rsid w:val="006000ED"/>
    <w:rsid w:val="006002F8"/>
    <w:rsid w:val="006014DA"/>
    <w:rsid w:val="00601DAA"/>
    <w:rsid w:val="00602220"/>
    <w:rsid w:val="00602401"/>
    <w:rsid w:val="006031AF"/>
    <w:rsid w:val="0060369F"/>
    <w:rsid w:val="006042EF"/>
    <w:rsid w:val="00604322"/>
    <w:rsid w:val="00604661"/>
    <w:rsid w:val="00604DE6"/>
    <w:rsid w:val="00604E90"/>
    <w:rsid w:val="00604F95"/>
    <w:rsid w:val="00605AA7"/>
    <w:rsid w:val="006068D7"/>
    <w:rsid w:val="00606E73"/>
    <w:rsid w:val="00606F24"/>
    <w:rsid w:val="00607E7E"/>
    <w:rsid w:val="0061004D"/>
    <w:rsid w:val="006107AF"/>
    <w:rsid w:val="00610A9D"/>
    <w:rsid w:val="00611324"/>
    <w:rsid w:val="0061198C"/>
    <w:rsid w:val="00611E58"/>
    <w:rsid w:val="0061290E"/>
    <w:rsid w:val="0061324C"/>
    <w:rsid w:val="006135F2"/>
    <w:rsid w:val="00613C68"/>
    <w:rsid w:val="00613D0B"/>
    <w:rsid w:val="00614091"/>
    <w:rsid w:val="00614F51"/>
    <w:rsid w:val="00615171"/>
    <w:rsid w:val="00615940"/>
    <w:rsid w:val="006163F7"/>
    <w:rsid w:val="0061690D"/>
    <w:rsid w:val="0061767C"/>
    <w:rsid w:val="006176DB"/>
    <w:rsid w:val="00617BEC"/>
    <w:rsid w:val="00620540"/>
    <w:rsid w:val="0062088B"/>
    <w:rsid w:val="0062091D"/>
    <w:rsid w:val="00620B96"/>
    <w:rsid w:val="006210E0"/>
    <w:rsid w:val="00621182"/>
    <w:rsid w:val="00621613"/>
    <w:rsid w:val="0062168F"/>
    <w:rsid w:val="0062209C"/>
    <w:rsid w:val="00622A92"/>
    <w:rsid w:val="00622FAF"/>
    <w:rsid w:val="0062309E"/>
    <w:rsid w:val="0062320E"/>
    <w:rsid w:val="006234BB"/>
    <w:rsid w:val="00623EE9"/>
    <w:rsid w:val="00624F56"/>
    <w:rsid w:val="0062506E"/>
    <w:rsid w:val="00625799"/>
    <w:rsid w:val="00625B04"/>
    <w:rsid w:val="00626069"/>
    <w:rsid w:val="006263B2"/>
    <w:rsid w:val="00626478"/>
    <w:rsid w:val="00627A69"/>
    <w:rsid w:val="00630440"/>
    <w:rsid w:val="00630678"/>
    <w:rsid w:val="00631694"/>
    <w:rsid w:val="006316DE"/>
    <w:rsid w:val="006323CB"/>
    <w:rsid w:val="00632EC3"/>
    <w:rsid w:val="00632FDF"/>
    <w:rsid w:val="00633066"/>
    <w:rsid w:val="006332F6"/>
    <w:rsid w:val="00633622"/>
    <w:rsid w:val="00634549"/>
    <w:rsid w:val="0063489F"/>
    <w:rsid w:val="00634E0A"/>
    <w:rsid w:val="00635784"/>
    <w:rsid w:val="006362F1"/>
    <w:rsid w:val="00636424"/>
    <w:rsid w:val="006365D8"/>
    <w:rsid w:val="00637820"/>
    <w:rsid w:val="00637AE1"/>
    <w:rsid w:val="0064027A"/>
    <w:rsid w:val="006403ED"/>
    <w:rsid w:val="0064046C"/>
    <w:rsid w:val="00640B2D"/>
    <w:rsid w:val="00642027"/>
    <w:rsid w:val="006421B8"/>
    <w:rsid w:val="006436AD"/>
    <w:rsid w:val="00644612"/>
    <w:rsid w:val="00644D5E"/>
    <w:rsid w:val="00644F2D"/>
    <w:rsid w:val="00645A5B"/>
    <w:rsid w:val="00645B27"/>
    <w:rsid w:val="00645DFD"/>
    <w:rsid w:val="00646108"/>
    <w:rsid w:val="006463E5"/>
    <w:rsid w:val="006464A9"/>
    <w:rsid w:val="00646780"/>
    <w:rsid w:val="00646DFB"/>
    <w:rsid w:val="00647409"/>
    <w:rsid w:val="00647AB3"/>
    <w:rsid w:val="00650CE4"/>
    <w:rsid w:val="006521E3"/>
    <w:rsid w:val="00652389"/>
    <w:rsid w:val="00653691"/>
    <w:rsid w:val="00653BA0"/>
    <w:rsid w:val="00653C39"/>
    <w:rsid w:val="00654871"/>
    <w:rsid w:val="00654D76"/>
    <w:rsid w:val="00654E38"/>
    <w:rsid w:val="00654EDE"/>
    <w:rsid w:val="00655508"/>
    <w:rsid w:val="0065602E"/>
    <w:rsid w:val="006560B2"/>
    <w:rsid w:val="0066005C"/>
    <w:rsid w:val="006604E4"/>
    <w:rsid w:val="006608FF"/>
    <w:rsid w:val="00662D8F"/>
    <w:rsid w:val="00664908"/>
    <w:rsid w:val="0066593A"/>
    <w:rsid w:val="006660DB"/>
    <w:rsid w:val="006661F4"/>
    <w:rsid w:val="0066651B"/>
    <w:rsid w:val="006670AF"/>
    <w:rsid w:val="006670C8"/>
    <w:rsid w:val="00670B93"/>
    <w:rsid w:val="0067151C"/>
    <w:rsid w:val="00671529"/>
    <w:rsid w:val="00672861"/>
    <w:rsid w:val="006729D0"/>
    <w:rsid w:val="006731C7"/>
    <w:rsid w:val="00673239"/>
    <w:rsid w:val="00673A4C"/>
    <w:rsid w:val="00673F0B"/>
    <w:rsid w:val="0067450A"/>
    <w:rsid w:val="00674EF2"/>
    <w:rsid w:val="00675079"/>
    <w:rsid w:val="00675541"/>
    <w:rsid w:val="006756EE"/>
    <w:rsid w:val="00675748"/>
    <w:rsid w:val="006758D6"/>
    <w:rsid w:val="00675A2F"/>
    <w:rsid w:val="00675A87"/>
    <w:rsid w:val="00676495"/>
    <w:rsid w:val="006767BE"/>
    <w:rsid w:val="00676BAF"/>
    <w:rsid w:val="0067763D"/>
    <w:rsid w:val="006779BD"/>
    <w:rsid w:val="006779F0"/>
    <w:rsid w:val="00677AED"/>
    <w:rsid w:val="00677E02"/>
    <w:rsid w:val="006808C9"/>
    <w:rsid w:val="006808F3"/>
    <w:rsid w:val="00680ABE"/>
    <w:rsid w:val="00680C7F"/>
    <w:rsid w:val="00681233"/>
    <w:rsid w:val="00681B7B"/>
    <w:rsid w:val="00682137"/>
    <w:rsid w:val="006821D3"/>
    <w:rsid w:val="00682C58"/>
    <w:rsid w:val="00683F7E"/>
    <w:rsid w:val="00684BE9"/>
    <w:rsid w:val="00685368"/>
    <w:rsid w:val="006854B3"/>
    <w:rsid w:val="0068599B"/>
    <w:rsid w:val="00685B7C"/>
    <w:rsid w:val="00685B84"/>
    <w:rsid w:val="00685DC0"/>
    <w:rsid w:val="00686528"/>
    <w:rsid w:val="00687513"/>
    <w:rsid w:val="00687715"/>
    <w:rsid w:val="00690023"/>
    <w:rsid w:val="00690FDA"/>
    <w:rsid w:val="0069132E"/>
    <w:rsid w:val="006918CD"/>
    <w:rsid w:val="00691BAF"/>
    <w:rsid w:val="006923FE"/>
    <w:rsid w:val="006926ED"/>
    <w:rsid w:val="006932FC"/>
    <w:rsid w:val="00693E68"/>
    <w:rsid w:val="0069470B"/>
    <w:rsid w:val="00694958"/>
    <w:rsid w:val="00694E62"/>
    <w:rsid w:val="006953DA"/>
    <w:rsid w:val="006959B5"/>
    <w:rsid w:val="00695D39"/>
    <w:rsid w:val="00696000"/>
    <w:rsid w:val="006964E2"/>
    <w:rsid w:val="0069659E"/>
    <w:rsid w:val="006972F7"/>
    <w:rsid w:val="00697355"/>
    <w:rsid w:val="00697D38"/>
    <w:rsid w:val="006A0911"/>
    <w:rsid w:val="006A13C0"/>
    <w:rsid w:val="006A2A8B"/>
    <w:rsid w:val="006A31AE"/>
    <w:rsid w:val="006A339F"/>
    <w:rsid w:val="006A3691"/>
    <w:rsid w:val="006A375C"/>
    <w:rsid w:val="006A590B"/>
    <w:rsid w:val="006A65B7"/>
    <w:rsid w:val="006A6A96"/>
    <w:rsid w:val="006A71BA"/>
    <w:rsid w:val="006A7316"/>
    <w:rsid w:val="006A79E8"/>
    <w:rsid w:val="006B01BD"/>
    <w:rsid w:val="006B041F"/>
    <w:rsid w:val="006B0F1C"/>
    <w:rsid w:val="006B12FB"/>
    <w:rsid w:val="006B1DF8"/>
    <w:rsid w:val="006B1FD3"/>
    <w:rsid w:val="006B287A"/>
    <w:rsid w:val="006B2EC0"/>
    <w:rsid w:val="006B3587"/>
    <w:rsid w:val="006B4084"/>
    <w:rsid w:val="006B4CBF"/>
    <w:rsid w:val="006B57D1"/>
    <w:rsid w:val="006B5EC9"/>
    <w:rsid w:val="006B61F8"/>
    <w:rsid w:val="006B6226"/>
    <w:rsid w:val="006B6C7D"/>
    <w:rsid w:val="006B6D05"/>
    <w:rsid w:val="006B7221"/>
    <w:rsid w:val="006B729C"/>
    <w:rsid w:val="006B7312"/>
    <w:rsid w:val="006B7469"/>
    <w:rsid w:val="006B76EA"/>
    <w:rsid w:val="006C0F1B"/>
    <w:rsid w:val="006C0F64"/>
    <w:rsid w:val="006C0FAF"/>
    <w:rsid w:val="006C20E4"/>
    <w:rsid w:val="006C22FD"/>
    <w:rsid w:val="006C2AC3"/>
    <w:rsid w:val="006C327D"/>
    <w:rsid w:val="006C3933"/>
    <w:rsid w:val="006C3BE3"/>
    <w:rsid w:val="006C3C8A"/>
    <w:rsid w:val="006C3CC7"/>
    <w:rsid w:val="006C4143"/>
    <w:rsid w:val="006C458A"/>
    <w:rsid w:val="006C46F0"/>
    <w:rsid w:val="006C4974"/>
    <w:rsid w:val="006C4FC0"/>
    <w:rsid w:val="006C51A0"/>
    <w:rsid w:val="006C52F9"/>
    <w:rsid w:val="006C59CD"/>
    <w:rsid w:val="006C614A"/>
    <w:rsid w:val="006C72EA"/>
    <w:rsid w:val="006C7BE9"/>
    <w:rsid w:val="006D0088"/>
    <w:rsid w:val="006D00EA"/>
    <w:rsid w:val="006D057A"/>
    <w:rsid w:val="006D1033"/>
    <w:rsid w:val="006D21D1"/>
    <w:rsid w:val="006D3110"/>
    <w:rsid w:val="006D3C17"/>
    <w:rsid w:val="006D41D5"/>
    <w:rsid w:val="006D4657"/>
    <w:rsid w:val="006D4668"/>
    <w:rsid w:val="006D46AC"/>
    <w:rsid w:val="006D4AB1"/>
    <w:rsid w:val="006D4F83"/>
    <w:rsid w:val="006D54D4"/>
    <w:rsid w:val="006D56DC"/>
    <w:rsid w:val="006D5C39"/>
    <w:rsid w:val="006D5C85"/>
    <w:rsid w:val="006D5CA5"/>
    <w:rsid w:val="006D64D1"/>
    <w:rsid w:val="006E0703"/>
    <w:rsid w:val="006E0C85"/>
    <w:rsid w:val="006E0DFE"/>
    <w:rsid w:val="006E16E0"/>
    <w:rsid w:val="006E1EA9"/>
    <w:rsid w:val="006E1FD4"/>
    <w:rsid w:val="006E21EB"/>
    <w:rsid w:val="006E22BE"/>
    <w:rsid w:val="006E2EC3"/>
    <w:rsid w:val="006E2F7C"/>
    <w:rsid w:val="006E32D9"/>
    <w:rsid w:val="006E3524"/>
    <w:rsid w:val="006E4472"/>
    <w:rsid w:val="006E472D"/>
    <w:rsid w:val="006E4979"/>
    <w:rsid w:val="006E4EE1"/>
    <w:rsid w:val="006E5276"/>
    <w:rsid w:val="006E5EF0"/>
    <w:rsid w:val="006E60CB"/>
    <w:rsid w:val="006E6E2B"/>
    <w:rsid w:val="006E702A"/>
    <w:rsid w:val="006E7445"/>
    <w:rsid w:val="006E78B1"/>
    <w:rsid w:val="006E7EFD"/>
    <w:rsid w:val="006F0AAE"/>
    <w:rsid w:val="006F11B0"/>
    <w:rsid w:val="006F150B"/>
    <w:rsid w:val="006F1BC7"/>
    <w:rsid w:val="006F1BFF"/>
    <w:rsid w:val="006F28E4"/>
    <w:rsid w:val="006F2B10"/>
    <w:rsid w:val="006F2D55"/>
    <w:rsid w:val="006F2EAC"/>
    <w:rsid w:val="006F3166"/>
    <w:rsid w:val="006F32F6"/>
    <w:rsid w:val="006F354E"/>
    <w:rsid w:val="006F367D"/>
    <w:rsid w:val="006F377E"/>
    <w:rsid w:val="006F382E"/>
    <w:rsid w:val="006F3DA5"/>
    <w:rsid w:val="006F461C"/>
    <w:rsid w:val="006F4AC6"/>
    <w:rsid w:val="006F4ED4"/>
    <w:rsid w:val="006F6947"/>
    <w:rsid w:val="006F6966"/>
    <w:rsid w:val="006F7422"/>
    <w:rsid w:val="006F7B42"/>
    <w:rsid w:val="006F7F05"/>
    <w:rsid w:val="006F7FD6"/>
    <w:rsid w:val="007008FD"/>
    <w:rsid w:val="00700CC5"/>
    <w:rsid w:val="00701786"/>
    <w:rsid w:val="007019F4"/>
    <w:rsid w:val="007028BF"/>
    <w:rsid w:val="007029F1"/>
    <w:rsid w:val="00702F5D"/>
    <w:rsid w:val="007030DC"/>
    <w:rsid w:val="00704151"/>
    <w:rsid w:val="007045CE"/>
    <w:rsid w:val="007048AD"/>
    <w:rsid w:val="00704E6E"/>
    <w:rsid w:val="00705B22"/>
    <w:rsid w:val="00706784"/>
    <w:rsid w:val="00706B30"/>
    <w:rsid w:val="0070777A"/>
    <w:rsid w:val="007078C3"/>
    <w:rsid w:val="00707AF6"/>
    <w:rsid w:val="00707CB8"/>
    <w:rsid w:val="00707EF5"/>
    <w:rsid w:val="007111F6"/>
    <w:rsid w:val="007114A7"/>
    <w:rsid w:val="00711588"/>
    <w:rsid w:val="007115CD"/>
    <w:rsid w:val="00711879"/>
    <w:rsid w:val="00714498"/>
    <w:rsid w:val="00715B04"/>
    <w:rsid w:val="00715FB2"/>
    <w:rsid w:val="007161E2"/>
    <w:rsid w:val="00716221"/>
    <w:rsid w:val="00716725"/>
    <w:rsid w:val="0071673C"/>
    <w:rsid w:val="007167BF"/>
    <w:rsid w:val="00716E07"/>
    <w:rsid w:val="00716F62"/>
    <w:rsid w:val="00717EF2"/>
    <w:rsid w:val="007206CD"/>
    <w:rsid w:val="0072082B"/>
    <w:rsid w:val="00720A6B"/>
    <w:rsid w:val="00721408"/>
    <w:rsid w:val="00722288"/>
    <w:rsid w:val="0072263E"/>
    <w:rsid w:val="00722D0D"/>
    <w:rsid w:val="00723322"/>
    <w:rsid w:val="00723389"/>
    <w:rsid w:val="007237E7"/>
    <w:rsid w:val="007239C9"/>
    <w:rsid w:val="007241EA"/>
    <w:rsid w:val="0072469C"/>
    <w:rsid w:val="00724A14"/>
    <w:rsid w:val="00724ACD"/>
    <w:rsid w:val="00725A4B"/>
    <w:rsid w:val="0072666A"/>
    <w:rsid w:val="007266D7"/>
    <w:rsid w:val="007268F9"/>
    <w:rsid w:val="00727B5E"/>
    <w:rsid w:val="00730D28"/>
    <w:rsid w:val="007317E5"/>
    <w:rsid w:val="0073218F"/>
    <w:rsid w:val="0073297A"/>
    <w:rsid w:val="007340D3"/>
    <w:rsid w:val="00734361"/>
    <w:rsid w:val="00734AA0"/>
    <w:rsid w:val="00736141"/>
    <w:rsid w:val="00736BF2"/>
    <w:rsid w:val="0073769C"/>
    <w:rsid w:val="007403EC"/>
    <w:rsid w:val="007404BB"/>
    <w:rsid w:val="00740803"/>
    <w:rsid w:val="007410A0"/>
    <w:rsid w:val="00741EDE"/>
    <w:rsid w:val="007421B7"/>
    <w:rsid w:val="00742968"/>
    <w:rsid w:val="00743934"/>
    <w:rsid w:val="00743D17"/>
    <w:rsid w:val="00744C77"/>
    <w:rsid w:val="00744FB7"/>
    <w:rsid w:val="0074576E"/>
    <w:rsid w:val="00745C04"/>
    <w:rsid w:val="00751265"/>
    <w:rsid w:val="00751886"/>
    <w:rsid w:val="00751EAA"/>
    <w:rsid w:val="0075307D"/>
    <w:rsid w:val="0075422F"/>
    <w:rsid w:val="00754750"/>
    <w:rsid w:val="00754A55"/>
    <w:rsid w:val="00754D4F"/>
    <w:rsid w:val="0075517F"/>
    <w:rsid w:val="00755C33"/>
    <w:rsid w:val="00756547"/>
    <w:rsid w:val="007577AA"/>
    <w:rsid w:val="00757923"/>
    <w:rsid w:val="00757998"/>
    <w:rsid w:val="00757AC8"/>
    <w:rsid w:val="00757AD7"/>
    <w:rsid w:val="00757C89"/>
    <w:rsid w:val="00757EC7"/>
    <w:rsid w:val="00760725"/>
    <w:rsid w:val="00760E30"/>
    <w:rsid w:val="007612AD"/>
    <w:rsid w:val="0076144B"/>
    <w:rsid w:val="007616B1"/>
    <w:rsid w:val="00762199"/>
    <w:rsid w:val="00762D96"/>
    <w:rsid w:val="007637D6"/>
    <w:rsid w:val="007638A3"/>
    <w:rsid w:val="00764C0C"/>
    <w:rsid w:val="00765BA8"/>
    <w:rsid w:val="00765BB2"/>
    <w:rsid w:val="00765D8E"/>
    <w:rsid w:val="007665AD"/>
    <w:rsid w:val="00766BF8"/>
    <w:rsid w:val="00770028"/>
    <w:rsid w:val="007701B9"/>
    <w:rsid w:val="0077030C"/>
    <w:rsid w:val="00770B6E"/>
    <w:rsid w:val="0077172C"/>
    <w:rsid w:val="00771E9A"/>
    <w:rsid w:val="00772511"/>
    <w:rsid w:val="00772ECE"/>
    <w:rsid w:val="0077317D"/>
    <w:rsid w:val="00773E10"/>
    <w:rsid w:val="00773F2A"/>
    <w:rsid w:val="00774B2C"/>
    <w:rsid w:val="00774C7F"/>
    <w:rsid w:val="00774ECB"/>
    <w:rsid w:val="00775278"/>
    <w:rsid w:val="0077573E"/>
    <w:rsid w:val="00775F48"/>
    <w:rsid w:val="007764C6"/>
    <w:rsid w:val="0077708F"/>
    <w:rsid w:val="00777408"/>
    <w:rsid w:val="00777B87"/>
    <w:rsid w:val="00777FB8"/>
    <w:rsid w:val="00780354"/>
    <w:rsid w:val="00780B09"/>
    <w:rsid w:val="00780C97"/>
    <w:rsid w:val="007819F8"/>
    <w:rsid w:val="007824D6"/>
    <w:rsid w:val="007828F5"/>
    <w:rsid w:val="00783023"/>
    <w:rsid w:val="007832D9"/>
    <w:rsid w:val="007839BF"/>
    <w:rsid w:val="00784A96"/>
    <w:rsid w:val="00785815"/>
    <w:rsid w:val="00785859"/>
    <w:rsid w:val="00785C31"/>
    <w:rsid w:val="007866A8"/>
    <w:rsid w:val="00786C1D"/>
    <w:rsid w:val="00787D15"/>
    <w:rsid w:val="007907BD"/>
    <w:rsid w:val="00790E6B"/>
    <w:rsid w:val="00790FA0"/>
    <w:rsid w:val="00791230"/>
    <w:rsid w:val="007913B7"/>
    <w:rsid w:val="007923BC"/>
    <w:rsid w:val="00793294"/>
    <w:rsid w:val="00793780"/>
    <w:rsid w:val="00793E11"/>
    <w:rsid w:val="0079428A"/>
    <w:rsid w:val="007954C4"/>
    <w:rsid w:val="00795540"/>
    <w:rsid w:val="00795E2D"/>
    <w:rsid w:val="007974B3"/>
    <w:rsid w:val="00797C15"/>
    <w:rsid w:val="007A032E"/>
    <w:rsid w:val="007A044A"/>
    <w:rsid w:val="007A0ACC"/>
    <w:rsid w:val="007A0B3B"/>
    <w:rsid w:val="007A1390"/>
    <w:rsid w:val="007A21E3"/>
    <w:rsid w:val="007A267A"/>
    <w:rsid w:val="007A2CA6"/>
    <w:rsid w:val="007A36A7"/>
    <w:rsid w:val="007A36FD"/>
    <w:rsid w:val="007A407E"/>
    <w:rsid w:val="007A4192"/>
    <w:rsid w:val="007A4CAE"/>
    <w:rsid w:val="007A6F75"/>
    <w:rsid w:val="007A7023"/>
    <w:rsid w:val="007A7409"/>
    <w:rsid w:val="007A772D"/>
    <w:rsid w:val="007A77A8"/>
    <w:rsid w:val="007A7A86"/>
    <w:rsid w:val="007A7BBF"/>
    <w:rsid w:val="007B0F64"/>
    <w:rsid w:val="007B1A8C"/>
    <w:rsid w:val="007B1F65"/>
    <w:rsid w:val="007B540F"/>
    <w:rsid w:val="007B5634"/>
    <w:rsid w:val="007B58DB"/>
    <w:rsid w:val="007B5ACB"/>
    <w:rsid w:val="007B6160"/>
    <w:rsid w:val="007B6C98"/>
    <w:rsid w:val="007B6EAA"/>
    <w:rsid w:val="007B7EB5"/>
    <w:rsid w:val="007C016A"/>
    <w:rsid w:val="007C0288"/>
    <w:rsid w:val="007C02AE"/>
    <w:rsid w:val="007C0B32"/>
    <w:rsid w:val="007C1722"/>
    <w:rsid w:val="007C1A82"/>
    <w:rsid w:val="007C29E3"/>
    <w:rsid w:val="007C2AA5"/>
    <w:rsid w:val="007C2B94"/>
    <w:rsid w:val="007C36BF"/>
    <w:rsid w:val="007C3974"/>
    <w:rsid w:val="007C3F55"/>
    <w:rsid w:val="007C4446"/>
    <w:rsid w:val="007C44CE"/>
    <w:rsid w:val="007C4FA5"/>
    <w:rsid w:val="007C5090"/>
    <w:rsid w:val="007C52B0"/>
    <w:rsid w:val="007C571C"/>
    <w:rsid w:val="007C5768"/>
    <w:rsid w:val="007C6EC2"/>
    <w:rsid w:val="007C7A45"/>
    <w:rsid w:val="007C7B13"/>
    <w:rsid w:val="007D1364"/>
    <w:rsid w:val="007D3AD3"/>
    <w:rsid w:val="007D3D25"/>
    <w:rsid w:val="007D425A"/>
    <w:rsid w:val="007D4A32"/>
    <w:rsid w:val="007D54EB"/>
    <w:rsid w:val="007D5A93"/>
    <w:rsid w:val="007D5DFE"/>
    <w:rsid w:val="007D78A4"/>
    <w:rsid w:val="007D7C80"/>
    <w:rsid w:val="007D7ED4"/>
    <w:rsid w:val="007E0339"/>
    <w:rsid w:val="007E135E"/>
    <w:rsid w:val="007E16DF"/>
    <w:rsid w:val="007E183C"/>
    <w:rsid w:val="007E21C1"/>
    <w:rsid w:val="007E2DA6"/>
    <w:rsid w:val="007E4054"/>
    <w:rsid w:val="007E43BD"/>
    <w:rsid w:val="007E51A3"/>
    <w:rsid w:val="007E5B58"/>
    <w:rsid w:val="007F03B9"/>
    <w:rsid w:val="007F04B3"/>
    <w:rsid w:val="007F054B"/>
    <w:rsid w:val="007F0A41"/>
    <w:rsid w:val="007F13A4"/>
    <w:rsid w:val="007F1B89"/>
    <w:rsid w:val="007F2095"/>
    <w:rsid w:val="007F2B45"/>
    <w:rsid w:val="007F2EBE"/>
    <w:rsid w:val="007F2FB3"/>
    <w:rsid w:val="007F3825"/>
    <w:rsid w:val="007F3983"/>
    <w:rsid w:val="007F3B54"/>
    <w:rsid w:val="007F4EE7"/>
    <w:rsid w:val="007F66E4"/>
    <w:rsid w:val="007F702D"/>
    <w:rsid w:val="007F7323"/>
    <w:rsid w:val="007F7843"/>
    <w:rsid w:val="007F7A51"/>
    <w:rsid w:val="00800074"/>
    <w:rsid w:val="0080009E"/>
    <w:rsid w:val="0080127D"/>
    <w:rsid w:val="00801835"/>
    <w:rsid w:val="00801B8E"/>
    <w:rsid w:val="00801D87"/>
    <w:rsid w:val="008020A0"/>
    <w:rsid w:val="008026EF"/>
    <w:rsid w:val="00803276"/>
    <w:rsid w:val="00803427"/>
    <w:rsid w:val="008036CB"/>
    <w:rsid w:val="00803B77"/>
    <w:rsid w:val="00803D75"/>
    <w:rsid w:val="00804628"/>
    <w:rsid w:val="008048DE"/>
    <w:rsid w:val="008055DD"/>
    <w:rsid w:val="00805625"/>
    <w:rsid w:val="008056E9"/>
    <w:rsid w:val="00805AE7"/>
    <w:rsid w:val="00805BA7"/>
    <w:rsid w:val="00805DB4"/>
    <w:rsid w:val="008060FD"/>
    <w:rsid w:val="00806E5B"/>
    <w:rsid w:val="008070CC"/>
    <w:rsid w:val="008072AB"/>
    <w:rsid w:val="00807E13"/>
    <w:rsid w:val="00807F4C"/>
    <w:rsid w:val="00810C13"/>
    <w:rsid w:val="00812390"/>
    <w:rsid w:val="00812577"/>
    <w:rsid w:val="0081257E"/>
    <w:rsid w:val="00812672"/>
    <w:rsid w:val="00813789"/>
    <w:rsid w:val="00814138"/>
    <w:rsid w:val="008143EE"/>
    <w:rsid w:val="00814723"/>
    <w:rsid w:val="00814A54"/>
    <w:rsid w:val="00814AF9"/>
    <w:rsid w:val="0081640C"/>
    <w:rsid w:val="00817266"/>
    <w:rsid w:val="00817BBB"/>
    <w:rsid w:val="00817E57"/>
    <w:rsid w:val="008200D8"/>
    <w:rsid w:val="00820414"/>
    <w:rsid w:val="0082046D"/>
    <w:rsid w:val="00820C74"/>
    <w:rsid w:val="00820D6E"/>
    <w:rsid w:val="008219F3"/>
    <w:rsid w:val="00821B17"/>
    <w:rsid w:val="00822584"/>
    <w:rsid w:val="00823200"/>
    <w:rsid w:val="00824480"/>
    <w:rsid w:val="00825092"/>
    <w:rsid w:val="00825509"/>
    <w:rsid w:val="008255E2"/>
    <w:rsid w:val="00825EC9"/>
    <w:rsid w:val="0082675B"/>
    <w:rsid w:val="008267D3"/>
    <w:rsid w:val="008270DC"/>
    <w:rsid w:val="0083003B"/>
    <w:rsid w:val="008309A0"/>
    <w:rsid w:val="008310E5"/>
    <w:rsid w:val="008317C8"/>
    <w:rsid w:val="00832304"/>
    <w:rsid w:val="00832DFD"/>
    <w:rsid w:val="00832E90"/>
    <w:rsid w:val="00833279"/>
    <w:rsid w:val="00833512"/>
    <w:rsid w:val="00833AD0"/>
    <w:rsid w:val="00833E03"/>
    <w:rsid w:val="00833E59"/>
    <w:rsid w:val="00834164"/>
    <w:rsid w:val="00834741"/>
    <w:rsid w:val="00834902"/>
    <w:rsid w:val="00834B4E"/>
    <w:rsid w:val="00835400"/>
    <w:rsid w:val="00835B19"/>
    <w:rsid w:val="00836767"/>
    <w:rsid w:val="00837510"/>
    <w:rsid w:val="0083786D"/>
    <w:rsid w:val="00837C2C"/>
    <w:rsid w:val="008400DD"/>
    <w:rsid w:val="008406AD"/>
    <w:rsid w:val="00841594"/>
    <w:rsid w:val="0084160B"/>
    <w:rsid w:val="00841994"/>
    <w:rsid w:val="0084203C"/>
    <w:rsid w:val="008425A4"/>
    <w:rsid w:val="00842691"/>
    <w:rsid w:val="00843757"/>
    <w:rsid w:val="00843761"/>
    <w:rsid w:val="00843B3D"/>
    <w:rsid w:val="00844C7C"/>
    <w:rsid w:val="00844E4E"/>
    <w:rsid w:val="008450F3"/>
    <w:rsid w:val="0084535E"/>
    <w:rsid w:val="00845E57"/>
    <w:rsid w:val="00847237"/>
    <w:rsid w:val="008477B5"/>
    <w:rsid w:val="00847DF9"/>
    <w:rsid w:val="0085018E"/>
    <w:rsid w:val="00850706"/>
    <w:rsid w:val="00850802"/>
    <w:rsid w:val="00850863"/>
    <w:rsid w:val="00851679"/>
    <w:rsid w:val="00852A1D"/>
    <w:rsid w:val="00852F71"/>
    <w:rsid w:val="008530B7"/>
    <w:rsid w:val="0085372A"/>
    <w:rsid w:val="008537C9"/>
    <w:rsid w:val="00853901"/>
    <w:rsid w:val="00853AB0"/>
    <w:rsid w:val="0085466B"/>
    <w:rsid w:val="0085467F"/>
    <w:rsid w:val="008547D0"/>
    <w:rsid w:val="0085516A"/>
    <w:rsid w:val="00855298"/>
    <w:rsid w:val="008552E0"/>
    <w:rsid w:val="008557F1"/>
    <w:rsid w:val="00855906"/>
    <w:rsid w:val="00856000"/>
    <w:rsid w:val="008567C8"/>
    <w:rsid w:val="00856D2B"/>
    <w:rsid w:val="0085722A"/>
    <w:rsid w:val="00857DD9"/>
    <w:rsid w:val="008608D5"/>
    <w:rsid w:val="00860A58"/>
    <w:rsid w:val="00860BA3"/>
    <w:rsid w:val="00860ED2"/>
    <w:rsid w:val="00861B2A"/>
    <w:rsid w:val="00861C6B"/>
    <w:rsid w:val="00861FB6"/>
    <w:rsid w:val="00862A7A"/>
    <w:rsid w:val="00862C62"/>
    <w:rsid w:val="008631BC"/>
    <w:rsid w:val="008632EA"/>
    <w:rsid w:val="00863402"/>
    <w:rsid w:val="0086399C"/>
    <w:rsid w:val="00864F2E"/>
    <w:rsid w:val="00865349"/>
    <w:rsid w:val="00865F86"/>
    <w:rsid w:val="00866339"/>
    <w:rsid w:val="0086636F"/>
    <w:rsid w:val="00866636"/>
    <w:rsid w:val="00867117"/>
    <w:rsid w:val="00867245"/>
    <w:rsid w:val="0086762C"/>
    <w:rsid w:val="00867A77"/>
    <w:rsid w:val="00867E00"/>
    <w:rsid w:val="00870C0C"/>
    <w:rsid w:val="00871B19"/>
    <w:rsid w:val="00872342"/>
    <w:rsid w:val="008726C0"/>
    <w:rsid w:val="00872737"/>
    <w:rsid w:val="008739C3"/>
    <w:rsid w:val="00874383"/>
    <w:rsid w:val="008743CC"/>
    <w:rsid w:val="0087487E"/>
    <w:rsid w:val="00874B9B"/>
    <w:rsid w:val="00874FF4"/>
    <w:rsid w:val="008754B8"/>
    <w:rsid w:val="008759CC"/>
    <w:rsid w:val="00875DF2"/>
    <w:rsid w:val="008770E8"/>
    <w:rsid w:val="0087710E"/>
    <w:rsid w:val="00877127"/>
    <w:rsid w:val="008774AC"/>
    <w:rsid w:val="00877567"/>
    <w:rsid w:val="00877B7B"/>
    <w:rsid w:val="00877C68"/>
    <w:rsid w:val="00880A15"/>
    <w:rsid w:val="00880DD8"/>
    <w:rsid w:val="00881062"/>
    <w:rsid w:val="00881224"/>
    <w:rsid w:val="00881DD5"/>
    <w:rsid w:val="0088236B"/>
    <w:rsid w:val="0088351B"/>
    <w:rsid w:val="0088431A"/>
    <w:rsid w:val="0088443F"/>
    <w:rsid w:val="008856DC"/>
    <w:rsid w:val="008869CE"/>
    <w:rsid w:val="00886AF5"/>
    <w:rsid w:val="00886D6B"/>
    <w:rsid w:val="0088703F"/>
    <w:rsid w:val="008871F6"/>
    <w:rsid w:val="0088751B"/>
    <w:rsid w:val="0088768B"/>
    <w:rsid w:val="008917D8"/>
    <w:rsid w:val="008918F0"/>
    <w:rsid w:val="008918FA"/>
    <w:rsid w:val="00891AE6"/>
    <w:rsid w:val="00891D8B"/>
    <w:rsid w:val="00892831"/>
    <w:rsid w:val="00892E96"/>
    <w:rsid w:val="00893AFD"/>
    <w:rsid w:val="00893DFB"/>
    <w:rsid w:val="00894541"/>
    <w:rsid w:val="00894760"/>
    <w:rsid w:val="00894A4B"/>
    <w:rsid w:val="00894D8B"/>
    <w:rsid w:val="008955B8"/>
    <w:rsid w:val="008968F6"/>
    <w:rsid w:val="00896E95"/>
    <w:rsid w:val="008971D2"/>
    <w:rsid w:val="00897667"/>
    <w:rsid w:val="008977D4"/>
    <w:rsid w:val="008A0B30"/>
    <w:rsid w:val="008A1131"/>
    <w:rsid w:val="008A1990"/>
    <w:rsid w:val="008A1B8A"/>
    <w:rsid w:val="008A1E8C"/>
    <w:rsid w:val="008A1EA7"/>
    <w:rsid w:val="008A232A"/>
    <w:rsid w:val="008A27D1"/>
    <w:rsid w:val="008A27E3"/>
    <w:rsid w:val="008A2AC0"/>
    <w:rsid w:val="008A3907"/>
    <w:rsid w:val="008A393F"/>
    <w:rsid w:val="008A39E3"/>
    <w:rsid w:val="008A413C"/>
    <w:rsid w:val="008A4A3A"/>
    <w:rsid w:val="008A5051"/>
    <w:rsid w:val="008A5094"/>
    <w:rsid w:val="008A63B8"/>
    <w:rsid w:val="008A762F"/>
    <w:rsid w:val="008A792A"/>
    <w:rsid w:val="008A7C64"/>
    <w:rsid w:val="008B038B"/>
    <w:rsid w:val="008B0A68"/>
    <w:rsid w:val="008B0CC2"/>
    <w:rsid w:val="008B14B7"/>
    <w:rsid w:val="008B3057"/>
    <w:rsid w:val="008B3715"/>
    <w:rsid w:val="008B3B5D"/>
    <w:rsid w:val="008B3F35"/>
    <w:rsid w:val="008B45DF"/>
    <w:rsid w:val="008B5068"/>
    <w:rsid w:val="008B54A4"/>
    <w:rsid w:val="008B5798"/>
    <w:rsid w:val="008B5B0E"/>
    <w:rsid w:val="008B5B37"/>
    <w:rsid w:val="008B61FF"/>
    <w:rsid w:val="008B708B"/>
    <w:rsid w:val="008B72FA"/>
    <w:rsid w:val="008B733D"/>
    <w:rsid w:val="008B763A"/>
    <w:rsid w:val="008B7824"/>
    <w:rsid w:val="008B7B3F"/>
    <w:rsid w:val="008C04C8"/>
    <w:rsid w:val="008C0FB4"/>
    <w:rsid w:val="008C17E0"/>
    <w:rsid w:val="008C19D8"/>
    <w:rsid w:val="008C1F04"/>
    <w:rsid w:val="008C200E"/>
    <w:rsid w:val="008C47C2"/>
    <w:rsid w:val="008C49DB"/>
    <w:rsid w:val="008C4EEC"/>
    <w:rsid w:val="008C517D"/>
    <w:rsid w:val="008C5273"/>
    <w:rsid w:val="008C566B"/>
    <w:rsid w:val="008C6792"/>
    <w:rsid w:val="008C6F4B"/>
    <w:rsid w:val="008C6FF5"/>
    <w:rsid w:val="008C7425"/>
    <w:rsid w:val="008C7B3A"/>
    <w:rsid w:val="008D0693"/>
    <w:rsid w:val="008D0778"/>
    <w:rsid w:val="008D1DA8"/>
    <w:rsid w:val="008D2AF4"/>
    <w:rsid w:val="008D3450"/>
    <w:rsid w:val="008D37C7"/>
    <w:rsid w:val="008D3902"/>
    <w:rsid w:val="008D4232"/>
    <w:rsid w:val="008D51A6"/>
    <w:rsid w:val="008D52C2"/>
    <w:rsid w:val="008D539F"/>
    <w:rsid w:val="008D5B8F"/>
    <w:rsid w:val="008D68A4"/>
    <w:rsid w:val="008D6CBA"/>
    <w:rsid w:val="008D7060"/>
    <w:rsid w:val="008D731A"/>
    <w:rsid w:val="008D75B6"/>
    <w:rsid w:val="008E032F"/>
    <w:rsid w:val="008E0605"/>
    <w:rsid w:val="008E096F"/>
    <w:rsid w:val="008E0ADD"/>
    <w:rsid w:val="008E0EA1"/>
    <w:rsid w:val="008E0EEE"/>
    <w:rsid w:val="008E0F98"/>
    <w:rsid w:val="008E2EF8"/>
    <w:rsid w:val="008E2F5D"/>
    <w:rsid w:val="008E30EA"/>
    <w:rsid w:val="008E397D"/>
    <w:rsid w:val="008E3F74"/>
    <w:rsid w:val="008E439F"/>
    <w:rsid w:val="008E51C6"/>
    <w:rsid w:val="008E5949"/>
    <w:rsid w:val="008E6394"/>
    <w:rsid w:val="008E6B3F"/>
    <w:rsid w:val="008F0C52"/>
    <w:rsid w:val="008F160F"/>
    <w:rsid w:val="008F1763"/>
    <w:rsid w:val="008F1814"/>
    <w:rsid w:val="008F206A"/>
    <w:rsid w:val="008F248D"/>
    <w:rsid w:val="008F2A1C"/>
    <w:rsid w:val="008F3DAD"/>
    <w:rsid w:val="008F4423"/>
    <w:rsid w:val="008F4BDA"/>
    <w:rsid w:val="008F67D9"/>
    <w:rsid w:val="009004E7"/>
    <w:rsid w:val="009009C2"/>
    <w:rsid w:val="009009E3"/>
    <w:rsid w:val="00900DCA"/>
    <w:rsid w:val="00901B13"/>
    <w:rsid w:val="0090299E"/>
    <w:rsid w:val="00902D3C"/>
    <w:rsid w:val="0090348D"/>
    <w:rsid w:val="00903C34"/>
    <w:rsid w:val="00904B6B"/>
    <w:rsid w:val="009052CF"/>
    <w:rsid w:val="00906517"/>
    <w:rsid w:val="0090668D"/>
    <w:rsid w:val="0090701B"/>
    <w:rsid w:val="00907498"/>
    <w:rsid w:val="0091038B"/>
    <w:rsid w:val="0091158E"/>
    <w:rsid w:val="00911AF8"/>
    <w:rsid w:val="009120D5"/>
    <w:rsid w:val="009126FA"/>
    <w:rsid w:val="009129E2"/>
    <w:rsid w:val="0091335F"/>
    <w:rsid w:val="009134A7"/>
    <w:rsid w:val="00913B1E"/>
    <w:rsid w:val="00914348"/>
    <w:rsid w:val="00914541"/>
    <w:rsid w:val="00914F96"/>
    <w:rsid w:val="00915B5D"/>
    <w:rsid w:val="00916A7B"/>
    <w:rsid w:val="00916BEF"/>
    <w:rsid w:val="00916F81"/>
    <w:rsid w:val="009178E5"/>
    <w:rsid w:val="00917B80"/>
    <w:rsid w:val="00920C39"/>
    <w:rsid w:val="00920F9D"/>
    <w:rsid w:val="009226C4"/>
    <w:rsid w:val="00922AA5"/>
    <w:rsid w:val="00922AC1"/>
    <w:rsid w:val="0092382D"/>
    <w:rsid w:val="00923AA2"/>
    <w:rsid w:val="00923BC2"/>
    <w:rsid w:val="00923DE6"/>
    <w:rsid w:val="00923F42"/>
    <w:rsid w:val="00924386"/>
    <w:rsid w:val="0092481A"/>
    <w:rsid w:val="00924974"/>
    <w:rsid w:val="00924C40"/>
    <w:rsid w:val="0092516D"/>
    <w:rsid w:val="00925572"/>
    <w:rsid w:val="009255B3"/>
    <w:rsid w:val="009255B4"/>
    <w:rsid w:val="00925B73"/>
    <w:rsid w:val="0092645D"/>
    <w:rsid w:val="009265C8"/>
    <w:rsid w:val="0092693B"/>
    <w:rsid w:val="0092710D"/>
    <w:rsid w:val="0092770F"/>
    <w:rsid w:val="00927B0E"/>
    <w:rsid w:val="00927DD0"/>
    <w:rsid w:val="00930223"/>
    <w:rsid w:val="009304DA"/>
    <w:rsid w:val="0093060D"/>
    <w:rsid w:val="009306E4"/>
    <w:rsid w:val="009306F5"/>
    <w:rsid w:val="009307E2"/>
    <w:rsid w:val="0093192A"/>
    <w:rsid w:val="00931F0D"/>
    <w:rsid w:val="009328FF"/>
    <w:rsid w:val="00933349"/>
    <w:rsid w:val="00933695"/>
    <w:rsid w:val="00934C28"/>
    <w:rsid w:val="009351C1"/>
    <w:rsid w:val="009351FB"/>
    <w:rsid w:val="00935DD7"/>
    <w:rsid w:val="0093605E"/>
    <w:rsid w:val="009360E9"/>
    <w:rsid w:val="009363FF"/>
    <w:rsid w:val="00936656"/>
    <w:rsid w:val="009366C8"/>
    <w:rsid w:val="0094080C"/>
    <w:rsid w:val="00940971"/>
    <w:rsid w:val="0094111B"/>
    <w:rsid w:val="009411B4"/>
    <w:rsid w:val="00942256"/>
    <w:rsid w:val="009426E3"/>
    <w:rsid w:val="00942F30"/>
    <w:rsid w:val="00943425"/>
    <w:rsid w:val="00943913"/>
    <w:rsid w:val="00943C3D"/>
    <w:rsid w:val="00943CF5"/>
    <w:rsid w:val="00943FF9"/>
    <w:rsid w:val="00944576"/>
    <w:rsid w:val="009449B4"/>
    <w:rsid w:val="00944A75"/>
    <w:rsid w:val="009456A9"/>
    <w:rsid w:val="0094720A"/>
    <w:rsid w:val="009472E5"/>
    <w:rsid w:val="00950287"/>
    <w:rsid w:val="009508AA"/>
    <w:rsid w:val="00950974"/>
    <w:rsid w:val="00950AF5"/>
    <w:rsid w:val="009520D9"/>
    <w:rsid w:val="009523F7"/>
    <w:rsid w:val="00952568"/>
    <w:rsid w:val="00952A80"/>
    <w:rsid w:val="0095315B"/>
    <w:rsid w:val="00953437"/>
    <w:rsid w:val="0095377F"/>
    <w:rsid w:val="009542FF"/>
    <w:rsid w:val="00954943"/>
    <w:rsid w:val="0095580A"/>
    <w:rsid w:val="00955851"/>
    <w:rsid w:val="00955B0D"/>
    <w:rsid w:val="00956919"/>
    <w:rsid w:val="0095699C"/>
    <w:rsid w:val="00956B0C"/>
    <w:rsid w:val="00956BDF"/>
    <w:rsid w:val="00956CA5"/>
    <w:rsid w:val="00956EB3"/>
    <w:rsid w:val="0095782E"/>
    <w:rsid w:val="0096092F"/>
    <w:rsid w:val="00960A1F"/>
    <w:rsid w:val="0096182E"/>
    <w:rsid w:val="009618A1"/>
    <w:rsid w:val="00961C9C"/>
    <w:rsid w:val="009625EF"/>
    <w:rsid w:val="009626EA"/>
    <w:rsid w:val="00962C13"/>
    <w:rsid w:val="00962C55"/>
    <w:rsid w:val="00963052"/>
    <w:rsid w:val="009632E0"/>
    <w:rsid w:val="0096347D"/>
    <w:rsid w:val="009635AE"/>
    <w:rsid w:val="00963BCC"/>
    <w:rsid w:val="00963EFD"/>
    <w:rsid w:val="009640B0"/>
    <w:rsid w:val="00964992"/>
    <w:rsid w:val="00964DA8"/>
    <w:rsid w:val="009650F7"/>
    <w:rsid w:val="00965E5A"/>
    <w:rsid w:val="00965F1B"/>
    <w:rsid w:val="00966B39"/>
    <w:rsid w:val="00966B43"/>
    <w:rsid w:val="009672CB"/>
    <w:rsid w:val="00967460"/>
    <w:rsid w:val="009674A8"/>
    <w:rsid w:val="009701F1"/>
    <w:rsid w:val="009706B5"/>
    <w:rsid w:val="00970A3C"/>
    <w:rsid w:val="00971D7D"/>
    <w:rsid w:val="00973F15"/>
    <w:rsid w:val="00974426"/>
    <w:rsid w:val="00974488"/>
    <w:rsid w:val="00974D77"/>
    <w:rsid w:val="00974DBC"/>
    <w:rsid w:val="0097565A"/>
    <w:rsid w:val="00975F79"/>
    <w:rsid w:val="00976510"/>
    <w:rsid w:val="0097696C"/>
    <w:rsid w:val="00977449"/>
    <w:rsid w:val="00977B2E"/>
    <w:rsid w:val="00980C90"/>
    <w:rsid w:val="00980D9C"/>
    <w:rsid w:val="00980FAE"/>
    <w:rsid w:val="009811C5"/>
    <w:rsid w:val="009813E0"/>
    <w:rsid w:val="009815D4"/>
    <w:rsid w:val="0098197D"/>
    <w:rsid w:val="00981AFD"/>
    <w:rsid w:val="009821AD"/>
    <w:rsid w:val="009822D2"/>
    <w:rsid w:val="0098270D"/>
    <w:rsid w:val="0098291A"/>
    <w:rsid w:val="00983301"/>
    <w:rsid w:val="0098395A"/>
    <w:rsid w:val="00983DC3"/>
    <w:rsid w:val="00983FD4"/>
    <w:rsid w:val="00984488"/>
    <w:rsid w:val="00984677"/>
    <w:rsid w:val="00985086"/>
    <w:rsid w:val="00985117"/>
    <w:rsid w:val="009857D4"/>
    <w:rsid w:val="0098595A"/>
    <w:rsid w:val="00985FD2"/>
    <w:rsid w:val="009860F3"/>
    <w:rsid w:val="00986B57"/>
    <w:rsid w:val="00987275"/>
    <w:rsid w:val="00987556"/>
    <w:rsid w:val="00987B88"/>
    <w:rsid w:val="0099002A"/>
    <w:rsid w:val="0099017C"/>
    <w:rsid w:val="00990874"/>
    <w:rsid w:val="00990E7A"/>
    <w:rsid w:val="0099111A"/>
    <w:rsid w:val="00991731"/>
    <w:rsid w:val="00991DB9"/>
    <w:rsid w:val="00992E14"/>
    <w:rsid w:val="00993403"/>
    <w:rsid w:val="009939D2"/>
    <w:rsid w:val="00994661"/>
    <w:rsid w:val="00995105"/>
    <w:rsid w:val="00995DC2"/>
    <w:rsid w:val="00996145"/>
    <w:rsid w:val="0099634F"/>
    <w:rsid w:val="0099638D"/>
    <w:rsid w:val="00996816"/>
    <w:rsid w:val="00996F51"/>
    <w:rsid w:val="00997206"/>
    <w:rsid w:val="009975EB"/>
    <w:rsid w:val="009977B3"/>
    <w:rsid w:val="00997A42"/>
    <w:rsid w:val="00997D77"/>
    <w:rsid w:val="009A0A71"/>
    <w:rsid w:val="009A141B"/>
    <w:rsid w:val="009A149B"/>
    <w:rsid w:val="009A1F3F"/>
    <w:rsid w:val="009A2319"/>
    <w:rsid w:val="009A2AF9"/>
    <w:rsid w:val="009A2CC2"/>
    <w:rsid w:val="009A36EC"/>
    <w:rsid w:val="009A47DF"/>
    <w:rsid w:val="009A49F1"/>
    <w:rsid w:val="009A5687"/>
    <w:rsid w:val="009A5790"/>
    <w:rsid w:val="009A57F2"/>
    <w:rsid w:val="009A6734"/>
    <w:rsid w:val="009A6964"/>
    <w:rsid w:val="009A6D21"/>
    <w:rsid w:val="009A7BF9"/>
    <w:rsid w:val="009A7CAF"/>
    <w:rsid w:val="009A7FF1"/>
    <w:rsid w:val="009B04EF"/>
    <w:rsid w:val="009B09EF"/>
    <w:rsid w:val="009B229D"/>
    <w:rsid w:val="009B253B"/>
    <w:rsid w:val="009B28B5"/>
    <w:rsid w:val="009B2E4D"/>
    <w:rsid w:val="009B3003"/>
    <w:rsid w:val="009B3E2E"/>
    <w:rsid w:val="009B500F"/>
    <w:rsid w:val="009B51D3"/>
    <w:rsid w:val="009B52AE"/>
    <w:rsid w:val="009B6A73"/>
    <w:rsid w:val="009B6B29"/>
    <w:rsid w:val="009B6EEF"/>
    <w:rsid w:val="009B72BE"/>
    <w:rsid w:val="009B7546"/>
    <w:rsid w:val="009B796C"/>
    <w:rsid w:val="009B7E6F"/>
    <w:rsid w:val="009C0398"/>
    <w:rsid w:val="009C115E"/>
    <w:rsid w:val="009C1BAD"/>
    <w:rsid w:val="009C29CA"/>
    <w:rsid w:val="009C2B8C"/>
    <w:rsid w:val="009C2E7A"/>
    <w:rsid w:val="009C34C6"/>
    <w:rsid w:val="009C3714"/>
    <w:rsid w:val="009C3B2C"/>
    <w:rsid w:val="009C3BD9"/>
    <w:rsid w:val="009C3F9B"/>
    <w:rsid w:val="009C44E9"/>
    <w:rsid w:val="009C498F"/>
    <w:rsid w:val="009C4C2E"/>
    <w:rsid w:val="009C66E9"/>
    <w:rsid w:val="009C6716"/>
    <w:rsid w:val="009C6F00"/>
    <w:rsid w:val="009C758B"/>
    <w:rsid w:val="009C773C"/>
    <w:rsid w:val="009C7DD1"/>
    <w:rsid w:val="009D0139"/>
    <w:rsid w:val="009D0AD5"/>
    <w:rsid w:val="009D0C66"/>
    <w:rsid w:val="009D120E"/>
    <w:rsid w:val="009D186A"/>
    <w:rsid w:val="009D1F96"/>
    <w:rsid w:val="009D2777"/>
    <w:rsid w:val="009D27C0"/>
    <w:rsid w:val="009D3344"/>
    <w:rsid w:val="009D335D"/>
    <w:rsid w:val="009D3F79"/>
    <w:rsid w:val="009D4914"/>
    <w:rsid w:val="009D4FA8"/>
    <w:rsid w:val="009D5122"/>
    <w:rsid w:val="009D5255"/>
    <w:rsid w:val="009D52C8"/>
    <w:rsid w:val="009D54DE"/>
    <w:rsid w:val="009D7C94"/>
    <w:rsid w:val="009E0627"/>
    <w:rsid w:val="009E07F8"/>
    <w:rsid w:val="009E1176"/>
    <w:rsid w:val="009E16F1"/>
    <w:rsid w:val="009E1CBB"/>
    <w:rsid w:val="009E2005"/>
    <w:rsid w:val="009E3015"/>
    <w:rsid w:val="009E357C"/>
    <w:rsid w:val="009E44B4"/>
    <w:rsid w:val="009E6109"/>
    <w:rsid w:val="009E6959"/>
    <w:rsid w:val="009E7672"/>
    <w:rsid w:val="009E7767"/>
    <w:rsid w:val="009E7938"/>
    <w:rsid w:val="009E7D61"/>
    <w:rsid w:val="009E7E87"/>
    <w:rsid w:val="009F0266"/>
    <w:rsid w:val="009F0348"/>
    <w:rsid w:val="009F0A70"/>
    <w:rsid w:val="009F0B9B"/>
    <w:rsid w:val="009F100D"/>
    <w:rsid w:val="009F1ED6"/>
    <w:rsid w:val="009F214F"/>
    <w:rsid w:val="009F244D"/>
    <w:rsid w:val="009F261D"/>
    <w:rsid w:val="009F42A5"/>
    <w:rsid w:val="009F49F9"/>
    <w:rsid w:val="009F4D47"/>
    <w:rsid w:val="009F4F6E"/>
    <w:rsid w:val="009F51C0"/>
    <w:rsid w:val="009F5CDC"/>
    <w:rsid w:val="009F5D2A"/>
    <w:rsid w:val="009F6098"/>
    <w:rsid w:val="009F628B"/>
    <w:rsid w:val="009F64CA"/>
    <w:rsid w:val="009F67B7"/>
    <w:rsid w:val="009F6B8F"/>
    <w:rsid w:val="009F7221"/>
    <w:rsid w:val="009F76DD"/>
    <w:rsid w:val="009F7AC3"/>
    <w:rsid w:val="00A01434"/>
    <w:rsid w:val="00A0154D"/>
    <w:rsid w:val="00A03A01"/>
    <w:rsid w:val="00A03BDC"/>
    <w:rsid w:val="00A03C34"/>
    <w:rsid w:val="00A044BB"/>
    <w:rsid w:val="00A04ADF"/>
    <w:rsid w:val="00A050D3"/>
    <w:rsid w:val="00A05289"/>
    <w:rsid w:val="00A059E3"/>
    <w:rsid w:val="00A06011"/>
    <w:rsid w:val="00A061A6"/>
    <w:rsid w:val="00A06C28"/>
    <w:rsid w:val="00A07039"/>
    <w:rsid w:val="00A0718B"/>
    <w:rsid w:val="00A07495"/>
    <w:rsid w:val="00A07B24"/>
    <w:rsid w:val="00A1053D"/>
    <w:rsid w:val="00A10812"/>
    <w:rsid w:val="00A10976"/>
    <w:rsid w:val="00A10DA6"/>
    <w:rsid w:val="00A11224"/>
    <w:rsid w:val="00A11DEE"/>
    <w:rsid w:val="00A12B67"/>
    <w:rsid w:val="00A13208"/>
    <w:rsid w:val="00A13C61"/>
    <w:rsid w:val="00A1442D"/>
    <w:rsid w:val="00A14A04"/>
    <w:rsid w:val="00A15761"/>
    <w:rsid w:val="00A169FE"/>
    <w:rsid w:val="00A16D4E"/>
    <w:rsid w:val="00A1723C"/>
    <w:rsid w:val="00A17881"/>
    <w:rsid w:val="00A17D7B"/>
    <w:rsid w:val="00A20479"/>
    <w:rsid w:val="00A2056B"/>
    <w:rsid w:val="00A20B0B"/>
    <w:rsid w:val="00A21320"/>
    <w:rsid w:val="00A21B8E"/>
    <w:rsid w:val="00A21CF8"/>
    <w:rsid w:val="00A22330"/>
    <w:rsid w:val="00A223AB"/>
    <w:rsid w:val="00A22A17"/>
    <w:rsid w:val="00A22C81"/>
    <w:rsid w:val="00A22FC2"/>
    <w:rsid w:val="00A23145"/>
    <w:rsid w:val="00A23459"/>
    <w:rsid w:val="00A2365D"/>
    <w:rsid w:val="00A23944"/>
    <w:rsid w:val="00A239B3"/>
    <w:rsid w:val="00A23ABE"/>
    <w:rsid w:val="00A23E48"/>
    <w:rsid w:val="00A248FE"/>
    <w:rsid w:val="00A24F30"/>
    <w:rsid w:val="00A2537E"/>
    <w:rsid w:val="00A257F9"/>
    <w:rsid w:val="00A269EE"/>
    <w:rsid w:val="00A26AFD"/>
    <w:rsid w:val="00A273F5"/>
    <w:rsid w:val="00A314C4"/>
    <w:rsid w:val="00A315AC"/>
    <w:rsid w:val="00A31A57"/>
    <w:rsid w:val="00A31BCE"/>
    <w:rsid w:val="00A31D1C"/>
    <w:rsid w:val="00A31E1D"/>
    <w:rsid w:val="00A31E1E"/>
    <w:rsid w:val="00A324E5"/>
    <w:rsid w:val="00A32F16"/>
    <w:rsid w:val="00A330C1"/>
    <w:rsid w:val="00A33107"/>
    <w:rsid w:val="00A3310D"/>
    <w:rsid w:val="00A33A59"/>
    <w:rsid w:val="00A33D5B"/>
    <w:rsid w:val="00A34319"/>
    <w:rsid w:val="00A34530"/>
    <w:rsid w:val="00A34DF2"/>
    <w:rsid w:val="00A352FA"/>
    <w:rsid w:val="00A35587"/>
    <w:rsid w:val="00A355E4"/>
    <w:rsid w:val="00A3732F"/>
    <w:rsid w:val="00A37A50"/>
    <w:rsid w:val="00A37F9B"/>
    <w:rsid w:val="00A42A93"/>
    <w:rsid w:val="00A43DE7"/>
    <w:rsid w:val="00A447E6"/>
    <w:rsid w:val="00A44AE9"/>
    <w:rsid w:val="00A44DB9"/>
    <w:rsid w:val="00A450A0"/>
    <w:rsid w:val="00A45255"/>
    <w:rsid w:val="00A45AEC"/>
    <w:rsid w:val="00A45D88"/>
    <w:rsid w:val="00A45E2C"/>
    <w:rsid w:val="00A46562"/>
    <w:rsid w:val="00A46CE4"/>
    <w:rsid w:val="00A47663"/>
    <w:rsid w:val="00A47B71"/>
    <w:rsid w:val="00A50497"/>
    <w:rsid w:val="00A50AF0"/>
    <w:rsid w:val="00A5106A"/>
    <w:rsid w:val="00A5122B"/>
    <w:rsid w:val="00A51C3A"/>
    <w:rsid w:val="00A5211E"/>
    <w:rsid w:val="00A53DA9"/>
    <w:rsid w:val="00A544A9"/>
    <w:rsid w:val="00A544B2"/>
    <w:rsid w:val="00A544C8"/>
    <w:rsid w:val="00A54632"/>
    <w:rsid w:val="00A5512E"/>
    <w:rsid w:val="00A55B43"/>
    <w:rsid w:val="00A55E65"/>
    <w:rsid w:val="00A55EF6"/>
    <w:rsid w:val="00A55FE9"/>
    <w:rsid w:val="00A56857"/>
    <w:rsid w:val="00A56883"/>
    <w:rsid w:val="00A57D2F"/>
    <w:rsid w:val="00A601CE"/>
    <w:rsid w:val="00A61206"/>
    <w:rsid w:val="00A6131F"/>
    <w:rsid w:val="00A61D82"/>
    <w:rsid w:val="00A61D89"/>
    <w:rsid w:val="00A62DD9"/>
    <w:rsid w:val="00A62ED6"/>
    <w:rsid w:val="00A62FD0"/>
    <w:rsid w:val="00A6336F"/>
    <w:rsid w:val="00A63AFC"/>
    <w:rsid w:val="00A641F5"/>
    <w:rsid w:val="00A64B9D"/>
    <w:rsid w:val="00A655DD"/>
    <w:rsid w:val="00A65FB8"/>
    <w:rsid w:val="00A664DD"/>
    <w:rsid w:val="00A669AF"/>
    <w:rsid w:val="00A671AA"/>
    <w:rsid w:val="00A672A9"/>
    <w:rsid w:val="00A702BA"/>
    <w:rsid w:val="00A70651"/>
    <w:rsid w:val="00A71BF2"/>
    <w:rsid w:val="00A7201D"/>
    <w:rsid w:val="00A7276B"/>
    <w:rsid w:val="00A72AA0"/>
    <w:rsid w:val="00A72DB8"/>
    <w:rsid w:val="00A72FE3"/>
    <w:rsid w:val="00A73BC6"/>
    <w:rsid w:val="00A73E5E"/>
    <w:rsid w:val="00A73EC4"/>
    <w:rsid w:val="00A7401F"/>
    <w:rsid w:val="00A7495F"/>
    <w:rsid w:val="00A74B4B"/>
    <w:rsid w:val="00A756A5"/>
    <w:rsid w:val="00A7595C"/>
    <w:rsid w:val="00A76867"/>
    <w:rsid w:val="00A771A2"/>
    <w:rsid w:val="00A77322"/>
    <w:rsid w:val="00A775CF"/>
    <w:rsid w:val="00A777F6"/>
    <w:rsid w:val="00A802D2"/>
    <w:rsid w:val="00A8125A"/>
    <w:rsid w:val="00A81B73"/>
    <w:rsid w:val="00A82945"/>
    <w:rsid w:val="00A82AA7"/>
    <w:rsid w:val="00A82B23"/>
    <w:rsid w:val="00A82CFC"/>
    <w:rsid w:val="00A82D5B"/>
    <w:rsid w:val="00A8328C"/>
    <w:rsid w:val="00A83435"/>
    <w:rsid w:val="00A834C0"/>
    <w:rsid w:val="00A83DE3"/>
    <w:rsid w:val="00A84346"/>
    <w:rsid w:val="00A85016"/>
    <w:rsid w:val="00A854BA"/>
    <w:rsid w:val="00A85B0D"/>
    <w:rsid w:val="00A862DD"/>
    <w:rsid w:val="00A863DC"/>
    <w:rsid w:val="00A867BD"/>
    <w:rsid w:val="00A8685E"/>
    <w:rsid w:val="00A874AC"/>
    <w:rsid w:val="00A907E4"/>
    <w:rsid w:val="00A90995"/>
    <w:rsid w:val="00A90B49"/>
    <w:rsid w:val="00A914FD"/>
    <w:rsid w:val="00A914FF"/>
    <w:rsid w:val="00A916C0"/>
    <w:rsid w:val="00A917A6"/>
    <w:rsid w:val="00A919A6"/>
    <w:rsid w:val="00A91A42"/>
    <w:rsid w:val="00A91A6E"/>
    <w:rsid w:val="00A91E04"/>
    <w:rsid w:val="00A91E36"/>
    <w:rsid w:val="00A92421"/>
    <w:rsid w:val="00A932CE"/>
    <w:rsid w:val="00A93D5D"/>
    <w:rsid w:val="00A9428A"/>
    <w:rsid w:val="00A943B3"/>
    <w:rsid w:val="00A9444F"/>
    <w:rsid w:val="00A948D9"/>
    <w:rsid w:val="00A94D8F"/>
    <w:rsid w:val="00A9595B"/>
    <w:rsid w:val="00A95E4F"/>
    <w:rsid w:val="00A95FE5"/>
    <w:rsid w:val="00A96885"/>
    <w:rsid w:val="00A96A35"/>
    <w:rsid w:val="00A97C1F"/>
    <w:rsid w:val="00A97CE3"/>
    <w:rsid w:val="00AA0016"/>
    <w:rsid w:val="00AA10BE"/>
    <w:rsid w:val="00AA14CC"/>
    <w:rsid w:val="00AA18D2"/>
    <w:rsid w:val="00AA1C82"/>
    <w:rsid w:val="00AA2206"/>
    <w:rsid w:val="00AA268A"/>
    <w:rsid w:val="00AA2A65"/>
    <w:rsid w:val="00AA5ADA"/>
    <w:rsid w:val="00AA5F02"/>
    <w:rsid w:val="00AA68F9"/>
    <w:rsid w:val="00AA730E"/>
    <w:rsid w:val="00AA7664"/>
    <w:rsid w:val="00AA778A"/>
    <w:rsid w:val="00AA7DB0"/>
    <w:rsid w:val="00AB061B"/>
    <w:rsid w:val="00AB1372"/>
    <w:rsid w:val="00AB13F5"/>
    <w:rsid w:val="00AB15AE"/>
    <w:rsid w:val="00AB1C89"/>
    <w:rsid w:val="00AB2207"/>
    <w:rsid w:val="00AB2810"/>
    <w:rsid w:val="00AB37A5"/>
    <w:rsid w:val="00AB40F2"/>
    <w:rsid w:val="00AB411B"/>
    <w:rsid w:val="00AB5160"/>
    <w:rsid w:val="00AB65E8"/>
    <w:rsid w:val="00AB6843"/>
    <w:rsid w:val="00AB6D9C"/>
    <w:rsid w:val="00AB7A88"/>
    <w:rsid w:val="00AB7AAD"/>
    <w:rsid w:val="00AC031A"/>
    <w:rsid w:val="00AC0542"/>
    <w:rsid w:val="00AC0838"/>
    <w:rsid w:val="00AC0854"/>
    <w:rsid w:val="00AC0C61"/>
    <w:rsid w:val="00AC0D75"/>
    <w:rsid w:val="00AC16A6"/>
    <w:rsid w:val="00AC1AE0"/>
    <w:rsid w:val="00AC1C0E"/>
    <w:rsid w:val="00AC27CC"/>
    <w:rsid w:val="00AC349A"/>
    <w:rsid w:val="00AC3F14"/>
    <w:rsid w:val="00AC4085"/>
    <w:rsid w:val="00AC43ED"/>
    <w:rsid w:val="00AC4878"/>
    <w:rsid w:val="00AC5D30"/>
    <w:rsid w:val="00AC5FF2"/>
    <w:rsid w:val="00AC60CA"/>
    <w:rsid w:val="00AC66BB"/>
    <w:rsid w:val="00AC6AD7"/>
    <w:rsid w:val="00AC6E47"/>
    <w:rsid w:val="00AC7625"/>
    <w:rsid w:val="00AC7998"/>
    <w:rsid w:val="00AD070F"/>
    <w:rsid w:val="00AD08E3"/>
    <w:rsid w:val="00AD08ED"/>
    <w:rsid w:val="00AD1380"/>
    <w:rsid w:val="00AD1493"/>
    <w:rsid w:val="00AD1AF3"/>
    <w:rsid w:val="00AD1F80"/>
    <w:rsid w:val="00AD333F"/>
    <w:rsid w:val="00AD395E"/>
    <w:rsid w:val="00AD4DCF"/>
    <w:rsid w:val="00AD528B"/>
    <w:rsid w:val="00AD5453"/>
    <w:rsid w:val="00AD6453"/>
    <w:rsid w:val="00AD6959"/>
    <w:rsid w:val="00AD6DD9"/>
    <w:rsid w:val="00AD6FC3"/>
    <w:rsid w:val="00AE0171"/>
    <w:rsid w:val="00AE04ED"/>
    <w:rsid w:val="00AE104B"/>
    <w:rsid w:val="00AE1159"/>
    <w:rsid w:val="00AE1196"/>
    <w:rsid w:val="00AE16CE"/>
    <w:rsid w:val="00AE211B"/>
    <w:rsid w:val="00AE2279"/>
    <w:rsid w:val="00AE22CB"/>
    <w:rsid w:val="00AE2EA0"/>
    <w:rsid w:val="00AE339A"/>
    <w:rsid w:val="00AE3512"/>
    <w:rsid w:val="00AE3E96"/>
    <w:rsid w:val="00AE4184"/>
    <w:rsid w:val="00AE446D"/>
    <w:rsid w:val="00AE46B2"/>
    <w:rsid w:val="00AE4DAE"/>
    <w:rsid w:val="00AE50C5"/>
    <w:rsid w:val="00AE5B89"/>
    <w:rsid w:val="00AE5E4F"/>
    <w:rsid w:val="00AE5EFA"/>
    <w:rsid w:val="00AE798F"/>
    <w:rsid w:val="00AF0F58"/>
    <w:rsid w:val="00AF1241"/>
    <w:rsid w:val="00AF1B9D"/>
    <w:rsid w:val="00AF206C"/>
    <w:rsid w:val="00AF220D"/>
    <w:rsid w:val="00AF282F"/>
    <w:rsid w:val="00AF2867"/>
    <w:rsid w:val="00AF30DE"/>
    <w:rsid w:val="00AF3CE6"/>
    <w:rsid w:val="00AF3DD9"/>
    <w:rsid w:val="00AF495B"/>
    <w:rsid w:val="00AF5013"/>
    <w:rsid w:val="00AF5C67"/>
    <w:rsid w:val="00AF6017"/>
    <w:rsid w:val="00AF6488"/>
    <w:rsid w:val="00AF66F9"/>
    <w:rsid w:val="00AF70C0"/>
    <w:rsid w:val="00AF770D"/>
    <w:rsid w:val="00AF786E"/>
    <w:rsid w:val="00B00256"/>
    <w:rsid w:val="00B0087B"/>
    <w:rsid w:val="00B0138C"/>
    <w:rsid w:val="00B02756"/>
    <w:rsid w:val="00B03067"/>
    <w:rsid w:val="00B030A5"/>
    <w:rsid w:val="00B03CD7"/>
    <w:rsid w:val="00B03DFE"/>
    <w:rsid w:val="00B03EF9"/>
    <w:rsid w:val="00B0532A"/>
    <w:rsid w:val="00B06045"/>
    <w:rsid w:val="00B0630F"/>
    <w:rsid w:val="00B06423"/>
    <w:rsid w:val="00B06741"/>
    <w:rsid w:val="00B069EB"/>
    <w:rsid w:val="00B0711D"/>
    <w:rsid w:val="00B074FC"/>
    <w:rsid w:val="00B0792A"/>
    <w:rsid w:val="00B07D78"/>
    <w:rsid w:val="00B10141"/>
    <w:rsid w:val="00B104A8"/>
    <w:rsid w:val="00B1066E"/>
    <w:rsid w:val="00B11C68"/>
    <w:rsid w:val="00B129C0"/>
    <w:rsid w:val="00B13034"/>
    <w:rsid w:val="00B130B2"/>
    <w:rsid w:val="00B1355D"/>
    <w:rsid w:val="00B139FB"/>
    <w:rsid w:val="00B13A74"/>
    <w:rsid w:val="00B14ADF"/>
    <w:rsid w:val="00B16985"/>
    <w:rsid w:val="00B20370"/>
    <w:rsid w:val="00B230C4"/>
    <w:rsid w:val="00B23739"/>
    <w:rsid w:val="00B25037"/>
    <w:rsid w:val="00B26DFF"/>
    <w:rsid w:val="00B30323"/>
    <w:rsid w:val="00B30341"/>
    <w:rsid w:val="00B3066C"/>
    <w:rsid w:val="00B30C83"/>
    <w:rsid w:val="00B30EDB"/>
    <w:rsid w:val="00B315C1"/>
    <w:rsid w:val="00B31C18"/>
    <w:rsid w:val="00B32467"/>
    <w:rsid w:val="00B32591"/>
    <w:rsid w:val="00B328E1"/>
    <w:rsid w:val="00B32BE6"/>
    <w:rsid w:val="00B32D1D"/>
    <w:rsid w:val="00B33AEF"/>
    <w:rsid w:val="00B34D1F"/>
    <w:rsid w:val="00B34DEE"/>
    <w:rsid w:val="00B35B34"/>
    <w:rsid w:val="00B36E36"/>
    <w:rsid w:val="00B37BE0"/>
    <w:rsid w:val="00B40668"/>
    <w:rsid w:val="00B40E06"/>
    <w:rsid w:val="00B41215"/>
    <w:rsid w:val="00B41561"/>
    <w:rsid w:val="00B416AC"/>
    <w:rsid w:val="00B4178C"/>
    <w:rsid w:val="00B41973"/>
    <w:rsid w:val="00B419D1"/>
    <w:rsid w:val="00B41B74"/>
    <w:rsid w:val="00B4236A"/>
    <w:rsid w:val="00B42D4B"/>
    <w:rsid w:val="00B43171"/>
    <w:rsid w:val="00B44276"/>
    <w:rsid w:val="00B44D25"/>
    <w:rsid w:val="00B456AA"/>
    <w:rsid w:val="00B460B7"/>
    <w:rsid w:val="00B46EA5"/>
    <w:rsid w:val="00B474EE"/>
    <w:rsid w:val="00B4797E"/>
    <w:rsid w:val="00B47F75"/>
    <w:rsid w:val="00B5066A"/>
    <w:rsid w:val="00B509D1"/>
    <w:rsid w:val="00B50E52"/>
    <w:rsid w:val="00B51022"/>
    <w:rsid w:val="00B51799"/>
    <w:rsid w:val="00B523CB"/>
    <w:rsid w:val="00B52D33"/>
    <w:rsid w:val="00B52FDA"/>
    <w:rsid w:val="00B5396B"/>
    <w:rsid w:val="00B54735"/>
    <w:rsid w:val="00B54C90"/>
    <w:rsid w:val="00B54D84"/>
    <w:rsid w:val="00B55384"/>
    <w:rsid w:val="00B553F5"/>
    <w:rsid w:val="00B5549E"/>
    <w:rsid w:val="00B55FA8"/>
    <w:rsid w:val="00B56148"/>
    <w:rsid w:val="00B5625D"/>
    <w:rsid w:val="00B56B41"/>
    <w:rsid w:val="00B60C9D"/>
    <w:rsid w:val="00B61473"/>
    <w:rsid w:val="00B626C8"/>
    <w:rsid w:val="00B6284B"/>
    <w:rsid w:val="00B62C54"/>
    <w:rsid w:val="00B63246"/>
    <w:rsid w:val="00B635B6"/>
    <w:rsid w:val="00B63880"/>
    <w:rsid w:val="00B63FDC"/>
    <w:rsid w:val="00B64494"/>
    <w:rsid w:val="00B6590D"/>
    <w:rsid w:val="00B66768"/>
    <w:rsid w:val="00B66923"/>
    <w:rsid w:val="00B66950"/>
    <w:rsid w:val="00B674D5"/>
    <w:rsid w:val="00B67ACF"/>
    <w:rsid w:val="00B70491"/>
    <w:rsid w:val="00B70E5E"/>
    <w:rsid w:val="00B7133B"/>
    <w:rsid w:val="00B716D7"/>
    <w:rsid w:val="00B71CCF"/>
    <w:rsid w:val="00B733EB"/>
    <w:rsid w:val="00B73ED7"/>
    <w:rsid w:val="00B7467B"/>
    <w:rsid w:val="00B74A19"/>
    <w:rsid w:val="00B74B40"/>
    <w:rsid w:val="00B74EB3"/>
    <w:rsid w:val="00B74EBE"/>
    <w:rsid w:val="00B7554D"/>
    <w:rsid w:val="00B75C34"/>
    <w:rsid w:val="00B76583"/>
    <w:rsid w:val="00B766AE"/>
    <w:rsid w:val="00B76CB0"/>
    <w:rsid w:val="00B77295"/>
    <w:rsid w:val="00B8085B"/>
    <w:rsid w:val="00B808D8"/>
    <w:rsid w:val="00B81B4E"/>
    <w:rsid w:val="00B820FC"/>
    <w:rsid w:val="00B821B2"/>
    <w:rsid w:val="00B823EE"/>
    <w:rsid w:val="00B82AD4"/>
    <w:rsid w:val="00B830D1"/>
    <w:rsid w:val="00B83E66"/>
    <w:rsid w:val="00B84058"/>
    <w:rsid w:val="00B84FCD"/>
    <w:rsid w:val="00B85092"/>
    <w:rsid w:val="00B850DD"/>
    <w:rsid w:val="00B85179"/>
    <w:rsid w:val="00B85458"/>
    <w:rsid w:val="00B85F5B"/>
    <w:rsid w:val="00B86AF4"/>
    <w:rsid w:val="00B87DBB"/>
    <w:rsid w:val="00B903E5"/>
    <w:rsid w:val="00B90DCA"/>
    <w:rsid w:val="00B90F5A"/>
    <w:rsid w:val="00B91032"/>
    <w:rsid w:val="00B912FA"/>
    <w:rsid w:val="00B917BA"/>
    <w:rsid w:val="00B917EA"/>
    <w:rsid w:val="00B918EC"/>
    <w:rsid w:val="00B92765"/>
    <w:rsid w:val="00B9278C"/>
    <w:rsid w:val="00B94653"/>
    <w:rsid w:val="00B94A58"/>
    <w:rsid w:val="00B94CD0"/>
    <w:rsid w:val="00B94E8E"/>
    <w:rsid w:val="00B94EEE"/>
    <w:rsid w:val="00B95072"/>
    <w:rsid w:val="00B955E3"/>
    <w:rsid w:val="00B95F8F"/>
    <w:rsid w:val="00B969EA"/>
    <w:rsid w:val="00B96B7A"/>
    <w:rsid w:val="00B96CCE"/>
    <w:rsid w:val="00B973E0"/>
    <w:rsid w:val="00B97ACD"/>
    <w:rsid w:val="00B97AD3"/>
    <w:rsid w:val="00BA0876"/>
    <w:rsid w:val="00BA0A88"/>
    <w:rsid w:val="00BA10F9"/>
    <w:rsid w:val="00BA120A"/>
    <w:rsid w:val="00BA179E"/>
    <w:rsid w:val="00BA216D"/>
    <w:rsid w:val="00BA21C8"/>
    <w:rsid w:val="00BA2438"/>
    <w:rsid w:val="00BA2B70"/>
    <w:rsid w:val="00BA3229"/>
    <w:rsid w:val="00BA3A2C"/>
    <w:rsid w:val="00BA45DE"/>
    <w:rsid w:val="00BA50DC"/>
    <w:rsid w:val="00BA5B43"/>
    <w:rsid w:val="00BA6833"/>
    <w:rsid w:val="00BA6BB0"/>
    <w:rsid w:val="00BA7270"/>
    <w:rsid w:val="00BA762A"/>
    <w:rsid w:val="00BA77A8"/>
    <w:rsid w:val="00BB02EE"/>
    <w:rsid w:val="00BB0927"/>
    <w:rsid w:val="00BB0CA3"/>
    <w:rsid w:val="00BB1B33"/>
    <w:rsid w:val="00BB2250"/>
    <w:rsid w:val="00BB2361"/>
    <w:rsid w:val="00BB2604"/>
    <w:rsid w:val="00BB2608"/>
    <w:rsid w:val="00BB2A4E"/>
    <w:rsid w:val="00BB2D7B"/>
    <w:rsid w:val="00BB33E1"/>
    <w:rsid w:val="00BB3D48"/>
    <w:rsid w:val="00BB41CD"/>
    <w:rsid w:val="00BB5108"/>
    <w:rsid w:val="00BB5636"/>
    <w:rsid w:val="00BB595C"/>
    <w:rsid w:val="00BB6D78"/>
    <w:rsid w:val="00BC012E"/>
    <w:rsid w:val="00BC088B"/>
    <w:rsid w:val="00BC120E"/>
    <w:rsid w:val="00BC16F8"/>
    <w:rsid w:val="00BC2D86"/>
    <w:rsid w:val="00BC3641"/>
    <w:rsid w:val="00BC3779"/>
    <w:rsid w:val="00BC4432"/>
    <w:rsid w:val="00BC47C5"/>
    <w:rsid w:val="00BC4E61"/>
    <w:rsid w:val="00BC5151"/>
    <w:rsid w:val="00BC5549"/>
    <w:rsid w:val="00BC631A"/>
    <w:rsid w:val="00BC6428"/>
    <w:rsid w:val="00BC65B4"/>
    <w:rsid w:val="00BC6B76"/>
    <w:rsid w:val="00BC7B51"/>
    <w:rsid w:val="00BD0231"/>
    <w:rsid w:val="00BD05F5"/>
    <w:rsid w:val="00BD12E7"/>
    <w:rsid w:val="00BD1505"/>
    <w:rsid w:val="00BD1ADE"/>
    <w:rsid w:val="00BD1F26"/>
    <w:rsid w:val="00BD2427"/>
    <w:rsid w:val="00BD2543"/>
    <w:rsid w:val="00BD26C4"/>
    <w:rsid w:val="00BD2B68"/>
    <w:rsid w:val="00BD2DA3"/>
    <w:rsid w:val="00BD3AB4"/>
    <w:rsid w:val="00BD3F32"/>
    <w:rsid w:val="00BD42B0"/>
    <w:rsid w:val="00BD42CD"/>
    <w:rsid w:val="00BD4AD8"/>
    <w:rsid w:val="00BD538E"/>
    <w:rsid w:val="00BD566C"/>
    <w:rsid w:val="00BD6417"/>
    <w:rsid w:val="00BD67A3"/>
    <w:rsid w:val="00BD6BFA"/>
    <w:rsid w:val="00BD6E9B"/>
    <w:rsid w:val="00BD722F"/>
    <w:rsid w:val="00BD77A2"/>
    <w:rsid w:val="00BD77DA"/>
    <w:rsid w:val="00BD7A32"/>
    <w:rsid w:val="00BD7C95"/>
    <w:rsid w:val="00BE0A3E"/>
    <w:rsid w:val="00BE0A68"/>
    <w:rsid w:val="00BE165A"/>
    <w:rsid w:val="00BE1698"/>
    <w:rsid w:val="00BE1CBA"/>
    <w:rsid w:val="00BE2835"/>
    <w:rsid w:val="00BE2D93"/>
    <w:rsid w:val="00BE3E9B"/>
    <w:rsid w:val="00BE4532"/>
    <w:rsid w:val="00BE465B"/>
    <w:rsid w:val="00BE4985"/>
    <w:rsid w:val="00BE6B1E"/>
    <w:rsid w:val="00BE720B"/>
    <w:rsid w:val="00BE7C5A"/>
    <w:rsid w:val="00BE7D14"/>
    <w:rsid w:val="00BF0349"/>
    <w:rsid w:val="00BF1806"/>
    <w:rsid w:val="00BF1D54"/>
    <w:rsid w:val="00BF2066"/>
    <w:rsid w:val="00BF2640"/>
    <w:rsid w:val="00BF2ACC"/>
    <w:rsid w:val="00BF2AEB"/>
    <w:rsid w:val="00BF2C0B"/>
    <w:rsid w:val="00BF30ED"/>
    <w:rsid w:val="00BF39F4"/>
    <w:rsid w:val="00BF3BAB"/>
    <w:rsid w:val="00BF3FDD"/>
    <w:rsid w:val="00BF477D"/>
    <w:rsid w:val="00BF5468"/>
    <w:rsid w:val="00BF6266"/>
    <w:rsid w:val="00BF7B27"/>
    <w:rsid w:val="00C00A4A"/>
    <w:rsid w:val="00C00B0F"/>
    <w:rsid w:val="00C00BA6"/>
    <w:rsid w:val="00C02FD4"/>
    <w:rsid w:val="00C0331C"/>
    <w:rsid w:val="00C03A4D"/>
    <w:rsid w:val="00C049B3"/>
    <w:rsid w:val="00C04DB3"/>
    <w:rsid w:val="00C05042"/>
    <w:rsid w:val="00C05231"/>
    <w:rsid w:val="00C0548F"/>
    <w:rsid w:val="00C0620A"/>
    <w:rsid w:val="00C067CA"/>
    <w:rsid w:val="00C07095"/>
    <w:rsid w:val="00C07103"/>
    <w:rsid w:val="00C100CD"/>
    <w:rsid w:val="00C11039"/>
    <w:rsid w:val="00C11162"/>
    <w:rsid w:val="00C1138B"/>
    <w:rsid w:val="00C114B2"/>
    <w:rsid w:val="00C128A8"/>
    <w:rsid w:val="00C1329C"/>
    <w:rsid w:val="00C1335B"/>
    <w:rsid w:val="00C13AA3"/>
    <w:rsid w:val="00C13C0B"/>
    <w:rsid w:val="00C14617"/>
    <w:rsid w:val="00C14FE6"/>
    <w:rsid w:val="00C1531A"/>
    <w:rsid w:val="00C15816"/>
    <w:rsid w:val="00C15D2B"/>
    <w:rsid w:val="00C15F1F"/>
    <w:rsid w:val="00C1673A"/>
    <w:rsid w:val="00C16ED0"/>
    <w:rsid w:val="00C171C3"/>
    <w:rsid w:val="00C173A7"/>
    <w:rsid w:val="00C17657"/>
    <w:rsid w:val="00C17AD0"/>
    <w:rsid w:val="00C17E5F"/>
    <w:rsid w:val="00C2036F"/>
    <w:rsid w:val="00C20D43"/>
    <w:rsid w:val="00C2227C"/>
    <w:rsid w:val="00C22885"/>
    <w:rsid w:val="00C22B46"/>
    <w:rsid w:val="00C22F99"/>
    <w:rsid w:val="00C230E6"/>
    <w:rsid w:val="00C23759"/>
    <w:rsid w:val="00C23FF1"/>
    <w:rsid w:val="00C240B7"/>
    <w:rsid w:val="00C2450A"/>
    <w:rsid w:val="00C2527D"/>
    <w:rsid w:val="00C253B9"/>
    <w:rsid w:val="00C262AE"/>
    <w:rsid w:val="00C26983"/>
    <w:rsid w:val="00C26AE1"/>
    <w:rsid w:val="00C26F0B"/>
    <w:rsid w:val="00C276FB"/>
    <w:rsid w:val="00C27750"/>
    <w:rsid w:val="00C277B3"/>
    <w:rsid w:val="00C27A02"/>
    <w:rsid w:val="00C301EC"/>
    <w:rsid w:val="00C30940"/>
    <w:rsid w:val="00C30DB6"/>
    <w:rsid w:val="00C30FD1"/>
    <w:rsid w:val="00C3102A"/>
    <w:rsid w:val="00C314CC"/>
    <w:rsid w:val="00C31530"/>
    <w:rsid w:val="00C316A9"/>
    <w:rsid w:val="00C31A02"/>
    <w:rsid w:val="00C31D48"/>
    <w:rsid w:val="00C31F73"/>
    <w:rsid w:val="00C356A7"/>
    <w:rsid w:val="00C359F1"/>
    <w:rsid w:val="00C35A27"/>
    <w:rsid w:val="00C36B4C"/>
    <w:rsid w:val="00C37178"/>
    <w:rsid w:val="00C37F0C"/>
    <w:rsid w:val="00C40CAF"/>
    <w:rsid w:val="00C41824"/>
    <w:rsid w:val="00C42249"/>
    <w:rsid w:val="00C423F1"/>
    <w:rsid w:val="00C4243D"/>
    <w:rsid w:val="00C42E07"/>
    <w:rsid w:val="00C43024"/>
    <w:rsid w:val="00C43992"/>
    <w:rsid w:val="00C43C15"/>
    <w:rsid w:val="00C442FA"/>
    <w:rsid w:val="00C44440"/>
    <w:rsid w:val="00C446C1"/>
    <w:rsid w:val="00C44A8D"/>
    <w:rsid w:val="00C46036"/>
    <w:rsid w:val="00C46B2D"/>
    <w:rsid w:val="00C47AC5"/>
    <w:rsid w:val="00C50074"/>
    <w:rsid w:val="00C50734"/>
    <w:rsid w:val="00C509A1"/>
    <w:rsid w:val="00C50DBB"/>
    <w:rsid w:val="00C51BE8"/>
    <w:rsid w:val="00C51E31"/>
    <w:rsid w:val="00C52218"/>
    <w:rsid w:val="00C52570"/>
    <w:rsid w:val="00C526A3"/>
    <w:rsid w:val="00C52F93"/>
    <w:rsid w:val="00C53530"/>
    <w:rsid w:val="00C536EF"/>
    <w:rsid w:val="00C53B52"/>
    <w:rsid w:val="00C53D95"/>
    <w:rsid w:val="00C54012"/>
    <w:rsid w:val="00C54D72"/>
    <w:rsid w:val="00C55A36"/>
    <w:rsid w:val="00C56419"/>
    <w:rsid w:val="00C56604"/>
    <w:rsid w:val="00C56FF4"/>
    <w:rsid w:val="00C5721E"/>
    <w:rsid w:val="00C574DC"/>
    <w:rsid w:val="00C57DF5"/>
    <w:rsid w:val="00C600FF"/>
    <w:rsid w:val="00C6031C"/>
    <w:rsid w:val="00C60364"/>
    <w:rsid w:val="00C608D0"/>
    <w:rsid w:val="00C60B58"/>
    <w:rsid w:val="00C60C79"/>
    <w:rsid w:val="00C60DF9"/>
    <w:rsid w:val="00C614EF"/>
    <w:rsid w:val="00C62DF0"/>
    <w:rsid w:val="00C62E9C"/>
    <w:rsid w:val="00C636BB"/>
    <w:rsid w:val="00C6400F"/>
    <w:rsid w:val="00C642E7"/>
    <w:rsid w:val="00C6433E"/>
    <w:rsid w:val="00C64687"/>
    <w:rsid w:val="00C64850"/>
    <w:rsid w:val="00C64C69"/>
    <w:rsid w:val="00C650AB"/>
    <w:rsid w:val="00C651D0"/>
    <w:rsid w:val="00C65381"/>
    <w:rsid w:val="00C65758"/>
    <w:rsid w:val="00C65E26"/>
    <w:rsid w:val="00C65F54"/>
    <w:rsid w:val="00C66BF3"/>
    <w:rsid w:val="00C67A29"/>
    <w:rsid w:val="00C708BD"/>
    <w:rsid w:val="00C709AA"/>
    <w:rsid w:val="00C70F9F"/>
    <w:rsid w:val="00C71C8A"/>
    <w:rsid w:val="00C71FB9"/>
    <w:rsid w:val="00C726F2"/>
    <w:rsid w:val="00C733D7"/>
    <w:rsid w:val="00C735A1"/>
    <w:rsid w:val="00C74EE5"/>
    <w:rsid w:val="00C75262"/>
    <w:rsid w:val="00C754FF"/>
    <w:rsid w:val="00C755B0"/>
    <w:rsid w:val="00C75701"/>
    <w:rsid w:val="00C75BE3"/>
    <w:rsid w:val="00C75E9A"/>
    <w:rsid w:val="00C76F51"/>
    <w:rsid w:val="00C770EA"/>
    <w:rsid w:val="00C77193"/>
    <w:rsid w:val="00C77606"/>
    <w:rsid w:val="00C77687"/>
    <w:rsid w:val="00C777E3"/>
    <w:rsid w:val="00C802B1"/>
    <w:rsid w:val="00C809A6"/>
    <w:rsid w:val="00C80E6A"/>
    <w:rsid w:val="00C817BC"/>
    <w:rsid w:val="00C81A56"/>
    <w:rsid w:val="00C81A71"/>
    <w:rsid w:val="00C82EE5"/>
    <w:rsid w:val="00C83557"/>
    <w:rsid w:val="00C835F5"/>
    <w:rsid w:val="00C8362F"/>
    <w:rsid w:val="00C83BCF"/>
    <w:rsid w:val="00C83C31"/>
    <w:rsid w:val="00C84160"/>
    <w:rsid w:val="00C84AAF"/>
    <w:rsid w:val="00C8524C"/>
    <w:rsid w:val="00C855A6"/>
    <w:rsid w:val="00C87829"/>
    <w:rsid w:val="00C87BA4"/>
    <w:rsid w:val="00C87DD5"/>
    <w:rsid w:val="00C87E3D"/>
    <w:rsid w:val="00C90FB8"/>
    <w:rsid w:val="00C90FCD"/>
    <w:rsid w:val="00C91028"/>
    <w:rsid w:val="00C912FA"/>
    <w:rsid w:val="00C913BE"/>
    <w:rsid w:val="00C914FA"/>
    <w:rsid w:val="00C92B1F"/>
    <w:rsid w:val="00C93462"/>
    <w:rsid w:val="00C936AE"/>
    <w:rsid w:val="00C9429E"/>
    <w:rsid w:val="00C94AA0"/>
    <w:rsid w:val="00C95627"/>
    <w:rsid w:val="00C956AF"/>
    <w:rsid w:val="00C95EED"/>
    <w:rsid w:val="00C97932"/>
    <w:rsid w:val="00C97D5E"/>
    <w:rsid w:val="00CA1946"/>
    <w:rsid w:val="00CA1C0E"/>
    <w:rsid w:val="00CA203B"/>
    <w:rsid w:val="00CA20A8"/>
    <w:rsid w:val="00CA276E"/>
    <w:rsid w:val="00CA2893"/>
    <w:rsid w:val="00CA2A15"/>
    <w:rsid w:val="00CA2EA3"/>
    <w:rsid w:val="00CA39A8"/>
    <w:rsid w:val="00CA5441"/>
    <w:rsid w:val="00CA591E"/>
    <w:rsid w:val="00CA6819"/>
    <w:rsid w:val="00CA6914"/>
    <w:rsid w:val="00CA6C73"/>
    <w:rsid w:val="00CA6C98"/>
    <w:rsid w:val="00CA6EBA"/>
    <w:rsid w:val="00CA7350"/>
    <w:rsid w:val="00CB0A2E"/>
    <w:rsid w:val="00CB0BFE"/>
    <w:rsid w:val="00CB1096"/>
    <w:rsid w:val="00CB18D3"/>
    <w:rsid w:val="00CB1A53"/>
    <w:rsid w:val="00CB68DB"/>
    <w:rsid w:val="00CB6BDC"/>
    <w:rsid w:val="00CB6C28"/>
    <w:rsid w:val="00CB6D9D"/>
    <w:rsid w:val="00CC0594"/>
    <w:rsid w:val="00CC0DA1"/>
    <w:rsid w:val="00CC0E05"/>
    <w:rsid w:val="00CC1117"/>
    <w:rsid w:val="00CC116B"/>
    <w:rsid w:val="00CC1603"/>
    <w:rsid w:val="00CC1DFE"/>
    <w:rsid w:val="00CC23E7"/>
    <w:rsid w:val="00CC38E6"/>
    <w:rsid w:val="00CC4099"/>
    <w:rsid w:val="00CC431F"/>
    <w:rsid w:val="00CC435D"/>
    <w:rsid w:val="00CC44B7"/>
    <w:rsid w:val="00CC57FB"/>
    <w:rsid w:val="00CC7393"/>
    <w:rsid w:val="00CC79FA"/>
    <w:rsid w:val="00CD1C28"/>
    <w:rsid w:val="00CD1E45"/>
    <w:rsid w:val="00CD226D"/>
    <w:rsid w:val="00CD27BB"/>
    <w:rsid w:val="00CD3935"/>
    <w:rsid w:val="00CD3F99"/>
    <w:rsid w:val="00CD5333"/>
    <w:rsid w:val="00CD5647"/>
    <w:rsid w:val="00CD5CF6"/>
    <w:rsid w:val="00CD5D7D"/>
    <w:rsid w:val="00CD5DA5"/>
    <w:rsid w:val="00CD6EEC"/>
    <w:rsid w:val="00CD743A"/>
    <w:rsid w:val="00CD791E"/>
    <w:rsid w:val="00CD7BB1"/>
    <w:rsid w:val="00CD7C44"/>
    <w:rsid w:val="00CE17EE"/>
    <w:rsid w:val="00CE1820"/>
    <w:rsid w:val="00CE334F"/>
    <w:rsid w:val="00CE4032"/>
    <w:rsid w:val="00CE47A0"/>
    <w:rsid w:val="00CE4D93"/>
    <w:rsid w:val="00CE5425"/>
    <w:rsid w:val="00CE5E84"/>
    <w:rsid w:val="00CE6013"/>
    <w:rsid w:val="00CE6618"/>
    <w:rsid w:val="00CE678E"/>
    <w:rsid w:val="00CE6792"/>
    <w:rsid w:val="00CE6DC4"/>
    <w:rsid w:val="00CE78EB"/>
    <w:rsid w:val="00CE7900"/>
    <w:rsid w:val="00CE7A8C"/>
    <w:rsid w:val="00CE7E7D"/>
    <w:rsid w:val="00CE7F2E"/>
    <w:rsid w:val="00CF0045"/>
    <w:rsid w:val="00CF012D"/>
    <w:rsid w:val="00CF09E9"/>
    <w:rsid w:val="00CF2007"/>
    <w:rsid w:val="00CF20B6"/>
    <w:rsid w:val="00CF2241"/>
    <w:rsid w:val="00CF247D"/>
    <w:rsid w:val="00CF2974"/>
    <w:rsid w:val="00CF331F"/>
    <w:rsid w:val="00CF33E8"/>
    <w:rsid w:val="00CF4460"/>
    <w:rsid w:val="00CF4ED1"/>
    <w:rsid w:val="00CF4F36"/>
    <w:rsid w:val="00CF5425"/>
    <w:rsid w:val="00CF63B7"/>
    <w:rsid w:val="00CF6808"/>
    <w:rsid w:val="00CF72E3"/>
    <w:rsid w:val="00CF77B2"/>
    <w:rsid w:val="00CF789F"/>
    <w:rsid w:val="00D0080A"/>
    <w:rsid w:val="00D01149"/>
    <w:rsid w:val="00D011C6"/>
    <w:rsid w:val="00D0168A"/>
    <w:rsid w:val="00D0175C"/>
    <w:rsid w:val="00D02910"/>
    <w:rsid w:val="00D02AC0"/>
    <w:rsid w:val="00D02B10"/>
    <w:rsid w:val="00D032A3"/>
    <w:rsid w:val="00D03A81"/>
    <w:rsid w:val="00D03BD8"/>
    <w:rsid w:val="00D03C61"/>
    <w:rsid w:val="00D047CD"/>
    <w:rsid w:val="00D0601F"/>
    <w:rsid w:val="00D060E5"/>
    <w:rsid w:val="00D067B6"/>
    <w:rsid w:val="00D06B8C"/>
    <w:rsid w:val="00D073D9"/>
    <w:rsid w:val="00D076BF"/>
    <w:rsid w:val="00D103F5"/>
    <w:rsid w:val="00D10869"/>
    <w:rsid w:val="00D1107B"/>
    <w:rsid w:val="00D11146"/>
    <w:rsid w:val="00D1161D"/>
    <w:rsid w:val="00D11837"/>
    <w:rsid w:val="00D11FB4"/>
    <w:rsid w:val="00D125E1"/>
    <w:rsid w:val="00D126F4"/>
    <w:rsid w:val="00D12F66"/>
    <w:rsid w:val="00D13123"/>
    <w:rsid w:val="00D142DD"/>
    <w:rsid w:val="00D14CE3"/>
    <w:rsid w:val="00D14E5C"/>
    <w:rsid w:val="00D157B2"/>
    <w:rsid w:val="00D163A2"/>
    <w:rsid w:val="00D16753"/>
    <w:rsid w:val="00D16FBF"/>
    <w:rsid w:val="00D17616"/>
    <w:rsid w:val="00D176F9"/>
    <w:rsid w:val="00D17B73"/>
    <w:rsid w:val="00D17C26"/>
    <w:rsid w:val="00D17CD4"/>
    <w:rsid w:val="00D2049F"/>
    <w:rsid w:val="00D2058C"/>
    <w:rsid w:val="00D20DB5"/>
    <w:rsid w:val="00D21477"/>
    <w:rsid w:val="00D2158E"/>
    <w:rsid w:val="00D21F21"/>
    <w:rsid w:val="00D22036"/>
    <w:rsid w:val="00D22769"/>
    <w:rsid w:val="00D22AFE"/>
    <w:rsid w:val="00D22D7F"/>
    <w:rsid w:val="00D233D6"/>
    <w:rsid w:val="00D23811"/>
    <w:rsid w:val="00D2425F"/>
    <w:rsid w:val="00D25796"/>
    <w:rsid w:val="00D25E54"/>
    <w:rsid w:val="00D264D5"/>
    <w:rsid w:val="00D266E6"/>
    <w:rsid w:val="00D275F3"/>
    <w:rsid w:val="00D30081"/>
    <w:rsid w:val="00D30772"/>
    <w:rsid w:val="00D30D16"/>
    <w:rsid w:val="00D31036"/>
    <w:rsid w:val="00D31441"/>
    <w:rsid w:val="00D31543"/>
    <w:rsid w:val="00D31D41"/>
    <w:rsid w:val="00D32B1A"/>
    <w:rsid w:val="00D3418A"/>
    <w:rsid w:val="00D343DB"/>
    <w:rsid w:val="00D34D05"/>
    <w:rsid w:val="00D3572E"/>
    <w:rsid w:val="00D35B33"/>
    <w:rsid w:val="00D369E6"/>
    <w:rsid w:val="00D36F86"/>
    <w:rsid w:val="00D37938"/>
    <w:rsid w:val="00D37A36"/>
    <w:rsid w:val="00D40A86"/>
    <w:rsid w:val="00D40C88"/>
    <w:rsid w:val="00D42DD8"/>
    <w:rsid w:val="00D42F6A"/>
    <w:rsid w:val="00D42F6D"/>
    <w:rsid w:val="00D43147"/>
    <w:rsid w:val="00D4398E"/>
    <w:rsid w:val="00D43E7A"/>
    <w:rsid w:val="00D44852"/>
    <w:rsid w:val="00D44C74"/>
    <w:rsid w:val="00D44E40"/>
    <w:rsid w:val="00D45BC5"/>
    <w:rsid w:val="00D45FC0"/>
    <w:rsid w:val="00D461D2"/>
    <w:rsid w:val="00D46733"/>
    <w:rsid w:val="00D47394"/>
    <w:rsid w:val="00D4743A"/>
    <w:rsid w:val="00D477B3"/>
    <w:rsid w:val="00D4793A"/>
    <w:rsid w:val="00D47C43"/>
    <w:rsid w:val="00D50417"/>
    <w:rsid w:val="00D50F2A"/>
    <w:rsid w:val="00D518AF"/>
    <w:rsid w:val="00D51BC1"/>
    <w:rsid w:val="00D52C22"/>
    <w:rsid w:val="00D52E4A"/>
    <w:rsid w:val="00D5350B"/>
    <w:rsid w:val="00D54F29"/>
    <w:rsid w:val="00D55110"/>
    <w:rsid w:val="00D554C5"/>
    <w:rsid w:val="00D56183"/>
    <w:rsid w:val="00D567C3"/>
    <w:rsid w:val="00D57FEF"/>
    <w:rsid w:val="00D60359"/>
    <w:rsid w:val="00D60AB4"/>
    <w:rsid w:val="00D60B40"/>
    <w:rsid w:val="00D61011"/>
    <w:rsid w:val="00D61290"/>
    <w:rsid w:val="00D61351"/>
    <w:rsid w:val="00D615FB"/>
    <w:rsid w:val="00D61FD2"/>
    <w:rsid w:val="00D626DF"/>
    <w:rsid w:val="00D62F6E"/>
    <w:rsid w:val="00D63951"/>
    <w:rsid w:val="00D63A29"/>
    <w:rsid w:val="00D63C5D"/>
    <w:rsid w:val="00D64F61"/>
    <w:rsid w:val="00D658D4"/>
    <w:rsid w:val="00D65B72"/>
    <w:rsid w:val="00D65C49"/>
    <w:rsid w:val="00D65E8D"/>
    <w:rsid w:val="00D66DBE"/>
    <w:rsid w:val="00D67301"/>
    <w:rsid w:val="00D67C1F"/>
    <w:rsid w:val="00D704CC"/>
    <w:rsid w:val="00D709CA"/>
    <w:rsid w:val="00D70C3C"/>
    <w:rsid w:val="00D71212"/>
    <w:rsid w:val="00D713C1"/>
    <w:rsid w:val="00D71B5E"/>
    <w:rsid w:val="00D71D7D"/>
    <w:rsid w:val="00D7234A"/>
    <w:rsid w:val="00D72AAF"/>
    <w:rsid w:val="00D7309B"/>
    <w:rsid w:val="00D7322B"/>
    <w:rsid w:val="00D7341F"/>
    <w:rsid w:val="00D735DA"/>
    <w:rsid w:val="00D73659"/>
    <w:rsid w:val="00D73737"/>
    <w:rsid w:val="00D737E7"/>
    <w:rsid w:val="00D73939"/>
    <w:rsid w:val="00D73AB8"/>
    <w:rsid w:val="00D741D2"/>
    <w:rsid w:val="00D74912"/>
    <w:rsid w:val="00D752C4"/>
    <w:rsid w:val="00D75401"/>
    <w:rsid w:val="00D76244"/>
    <w:rsid w:val="00D7717D"/>
    <w:rsid w:val="00D774C5"/>
    <w:rsid w:val="00D775CA"/>
    <w:rsid w:val="00D7794C"/>
    <w:rsid w:val="00D77C6C"/>
    <w:rsid w:val="00D77DE3"/>
    <w:rsid w:val="00D80D7C"/>
    <w:rsid w:val="00D810E6"/>
    <w:rsid w:val="00D82238"/>
    <w:rsid w:val="00D826C9"/>
    <w:rsid w:val="00D8306A"/>
    <w:rsid w:val="00D83827"/>
    <w:rsid w:val="00D83A06"/>
    <w:rsid w:val="00D83B62"/>
    <w:rsid w:val="00D83B89"/>
    <w:rsid w:val="00D83D5A"/>
    <w:rsid w:val="00D856F2"/>
    <w:rsid w:val="00D86082"/>
    <w:rsid w:val="00D8626A"/>
    <w:rsid w:val="00D865DF"/>
    <w:rsid w:val="00D87BE1"/>
    <w:rsid w:val="00D87E64"/>
    <w:rsid w:val="00D87F1D"/>
    <w:rsid w:val="00D9044C"/>
    <w:rsid w:val="00D90D1F"/>
    <w:rsid w:val="00D91348"/>
    <w:rsid w:val="00D91604"/>
    <w:rsid w:val="00D926C7"/>
    <w:rsid w:val="00D926D0"/>
    <w:rsid w:val="00D92D0A"/>
    <w:rsid w:val="00D92D14"/>
    <w:rsid w:val="00D948EE"/>
    <w:rsid w:val="00D9518C"/>
    <w:rsid w:val="00D95FA6"/>
    <w:rsid w:val="00D95FFD"/>
    <w:rsid w:val="00D9607A"/>
    <w:rsid w:val="00D971DC"/>
    <w:rsid w:val="00D97BBA"/>
    <w:rsid w:val="00D97CD9"/>
    <w:rsid w:val="00DA0818"/>
    <w:rsid w:val="00DA1813"/>
    <w:rsid w:val="00DA239C"/>
    <w:rsid w:val="00DA2A80"/>
    <w:rsid w:val="00DA2BFF"/>
    <w:rsid w:val="00DA2EE0"/>
    <w:rsid w:val="00DA3619"/>
    <w:rsid w:val="00DA3961"/>
    <w:rsid w:val="00DA3EDD"/>
    <w:rsid w:val="00DA41EF"/>
    <w:rsid w:val="00DA51B2"/>
    <w:rsid w:val="00DA568C"/>
    <w:rsid w:val="00DA62CD"/>
    <w:rsid w:val="00DA6AEB"/>
    <w:rsid w:val="00DA6B5F"/>
    <w:rsid w:val="00DA700B"/>
    <w:rsid w:val="00DB06EF"/>
    <w:rsid w:val="00DB0EB1"/>
    <w:rsid w:val="00DB2836"/>
    <w:rsid w:val="00DB4E49"/>
    <w:rsid w:val="00DB610F"/>
    <w:rsid w:val="00DB6D68"/>
    <w:rsid w:val="00DB71A6"/>
    <w:rsid w:val="00DB71EB"/>
    <w:rsid w:val="00DC035C"/>
    <w:rsid w:val="00DC0753"/>
    <w:rsid w:val="00DC0904"/>
    <w:rsid w:val="00DC0DC6"/>
    <w:rsid w:val="00DC13D1"/>
    <w:rsid w:val="00DC1629"/>
    <w:rsid w:val="00DC170A"/>
    <w:rsid w:val="00DC1C12"/>
    <w:rsid w:val="00DC1CC3"/>
    <w:rsid w:val="00DC2DDF"/>
    <w:rsid w:val="00DC4D4D"/>
    <w:rsid w:val="00DC5AB1"/>
    <w:rsid w:val="00DC688B"/>
    <w:rsid w:val="00DC76E5"/>
    <w:rsid w:val="00DC7BC3"/>
    <w:rsid w:val="00DC7F16"/>
    <w:rsid w:val="00DD03DD"/>
    <w:rsid w:val="00DD0B06"/>
    <w:rsid w:val="00DD0F7C"/>
    <w:rsid w:val="00DD192D"/>
    <w:rsid w:val="00DD1A25"/>
    <w:rsid w:val="00DD1D3B"/>
    <w:rsid w:val="00DD2231"/>
    <w:rsid w:val="00DD25D3"/>
    <w:rsid w:val="00DD3993"/>
    <w:rsid w:val="00DD3D31"/>
    <w:rsid w:val="00DD411E"/>
    <w:rsid w:val="00DD4386"/>
    <w:rsid w:val="00DD47DA"/>
    <w:rsid w:val="00DD4866"/>
    <w:rsid w:val="00DD5056"/>
    <w:rsid w:val="00DD5EBE"/>
    <w:rsid w:val="00DD6955"/>
    <w:rsid w:val="00DD6C08"/>
    <w:rsid w:val="00DD74A6"/>
    <w:rsid w:val="00DD786E"/>
    <w:rsid w:val="00DD7B36"/>
    <w:rsid w:val="00DE0082"/>
    <w:rsid w:val="00DE104C"/>
    <w:rsid w:val="00DE1799"/>
    <w:rsid w:val="00DE1B8C"/>
    <w:rsid w:val="00DE200F"/>
    <w:rsid w:val="00DE2DCD"/>
    <w:rsid w:val="00DE36C3"/>
    <w:rsid w:val="00DE39DF"/>
    <w:rsid w:val="00DE4257"/>
    <w:rsid w:val="00DE4781"/>
    <w:rsid w:val="00DE60A2"/>
    <w:rsid w:val="00DE6D76"/>
    <w:rsid w:val="00DE76CE"/>
    <w:rsid w:val="00DF0172"/>
    <w:rsid w:val="00DF1369"/>
    <w:rsid w:val="00DF1E16"/>
    <w:rsid w:val="00DF1EBE"/>
    <w:rsid w:val="00DF2555"/>
    <w:rsid w:val="00DF37F1"/>
    <w:rsid w:val="00DF4031"/>
    <w:rsid w:val="00DF4A0A"/>
    <w:rsid w:val="00DF51F7"/>
    <w:rsid w:val="00DF59E4"/>
    <w:rsid w:val="00DF5A95"/>
    <w:rsid w:val="00DF69A1"/>
    <w:rsid w:val="00DF6FD3"/>
    <w:rsid w:val="00DF701B"/>
    <w:rsid w:val="00DF7823"/>
    <w:rsid w:val="00DF7A82"/>
    <w:rsid w:val="00DF7D1F"/>
    <w:rsid w:val="00E000C2"/>
    <w:rsid w:val="00E00159"/>
    <w:rsid w:val="00E00330"/>
    <w:rsid w:val="00E0039C"/>
    <w:rsid w:val="00E00C22"/>
    <w:rsid w:val="00E02295"/>
    <w:rsid w:val="00E02C2B"/>
    <w:rsid w:val="00E04113"/>
    <w:rsid w:val="00E04134"/>
    <w:rsid w:val="00E04A1E"/>
    <w:rsid w:val="00E04A66"/>
    <w:rsid w:val="00E04C78"/>
    <w:rsid w:val="00E058B5"/>
    <w:rsid w:val="00E058C5"/>
    <w:rsid w:val="00E058D8"/>
    <w:rsid w:val="00E0654B"/>
    <w:rsid w:val="00E06608"/>
    <w:rsid w:val="00E06C95"/>
    <w:rsid w:val="00E06DD7"/>
    <w:rsid w:val="00E06ED1"/>
    <w:rsid w:val="00E10EB1"/>
    <w:rsid w:val="00E117E6"/>
    <w:rsid w:val="00E11D39"/>
    <w:rsid w:val="00E122D3"/>
    <w:rsid w:val="00E127AE"/>
    <w:rsid w:val="00E14137"/>
    <w:rsid w:val="00E14A9A"/>
    <w:rsid w:val="00E14BA9"/>
    <w:rsid w:val="00E15426"/>
    <w:rsid w:val="00E15442"/>
    <w:rsid w:val="00E15457"/>
    <w:rsid w:val="00E1565F"/>
    <w:rsid w:val="00E15D9F"/>
    <w:rsid w:val="00E16922"/>
    <w:rsid w:val="00E16BAE"/>
    <w:rsid w:val="00E17888"/>
    <w:rsid w:val="00E17892"/>
    <w:rsid w:val="00E20A4D"/>
    <w:rsid w:val="00E22A8E"/>
    <w:rsid w:val="00E23231"/>
    <w:rsid w:val="00E24142"/>
    <w:rsid w:val="00E24BCF"/>
    <w:rsid w:val="00E256DE"/>
    <w:rsid w:val="00E2625D"/>
    <w:rsid w:val="00E26672"/>
    <w:rsid w:val="00E26B91"/>
    <w:rsid w:val="00E26DA8"/>
    <w:rsid w:val="00E272F0"/>
    <w:rsid w:val="00E2731C"/>
    <w:rsid w:val="00E276BD"/>
    <w:rsid w:val="00E27E9D"/>
    <w:rsid w:val="00E3008F"/>
    <w:rsid w:val="00E3029E"/>
    <w:rsid w:val="00E303D3"/>
    <w:rsid w:val="00E305A1"/>
    <w:rsid w:val="00E30F08"/>
    <w:rsid w:val="00E30F98"/>
    <w:rsid w:val="00E31A42"/>
    <w:rsid w:val="00E32152"/>
    <w:rsid w:val="00E32919"/>
    <w:rsid w:val="00E33973"/>
    <w:rsid w:val="00E339F0"/>
    <w:rsid w:val="00E345FB"/>
    <w:rsid w:val="00E357B0"/>
    <w:rsid w:val="00E368D6"/>
    <w:rsid w:val="00E36AF1"/>
    <w:rsid w:val="00E37743"/>
    <w:rsid w:val="00E40213"/>
    <w:rsid w:val="00E40389"/>
    <w:rsid w:val="00E4194F"/>
    <w:rsid w:val="00E41D68"/>
    <w:rsid w:val="00E42524"/>
    <w:rsid w:val="00E4296E"/>
    <w:rsid w:val="00E43283"/>
    <w:rsid w:val="00E44864"/>
    <w:rsid w:val="00E44EF7"/>
    <w:rsid w:val="00E45469"/>
    <w:rsid w:val="00E45CD2"/>
    <w:rsid w:val="00E45CEF"/>
    <w:rsid w:val="00E45F12"/>
    <w:rsid w:val="00E45F2C"/>
    <w:rsid w:val="00E464C4"/>
    <w:rsid w:val="00E471A3"/>
    <w:rsid w:val="00E47581"/>
    <w:rsid w:val="00E47CBB"/>
    <w:rsid w:val="00E52645"/>
    <w:rsid w:val="00E5346F"/>
    <w:rsid w:val="00E53951"/>
    <w:rsid w:val="00E53D5E"/>
    <w:rsid w:val="00E54352"/>
    <w:rsid w:val="00E551DE"/>
    <w:rsid w:val="00E5559B"/>
    <w:rsid w:val="00E55841"/>
    <w:rsid w:val="00E55916"/>
    <w:rsid w:val="00E55987"/>
    <w:rsid w:val="00E56930"/>
    <w:rsid w:val="00E56A32"/>
    <w:rsid w:val="00E56EC1"/>
    <w:rsid w:val="00E5766A"/>
    <w:rsid w:val="00E57A1A"/>
    <w:rsid w:val="00E57B3B"/>
    <w:rsid w:val="00E57B67"/>
    <w:rsid w:val="00E603BA"/>
    <w:rsid w:val="00E60694"/>
    <w:rsid w:val="00E60BBA"/>
    <w:rsid w:val="00E60CAC"/>
    <w:rsid w:val="00E61155"/>
    <w:rsid w:val="00E61306"/>
    <w:rsid w:val="00E619B8"/>
    <w:rsid w:val="00E628FD"/>
    <w:rsid w:val="00E6298D"/>
    <w:rsid w:val="00E6355A"/>
    <w:rsid w:val="00E63858"/>
    <w:rsid w:val="00E641D7"/>
    <w:rsid w:val="00E64D3D"/>
    <w:rsid w:val="00E64EF8"/>
    <w:rsid w:val="00E650D8"/>
    <w:rsid w:val="00E66920"/>
    <w:rsid w:val="00E66F9B"/>
    <w:rsid w:val="00E70124"/>
    <w:rsid w:val="00E70303"/>
    <w:rsid w:val="00E70AD5"/>
    <w:rsid w:val="00E70FE4"/>
    <w:rsid w:val="00E713C9"/>
    <w:rsid w:val="00E72E66"/>
    <w:rsid w:val="00E734B5"/>
    <w:rsid w:val="00E73BB5"/>
    <w:rsid w:val="00E7457F"/>
    <w:rsid w:val="00E75392"/>
    <w:rsid w:val="00E75565"/>
    <w:rsid w:val="00E755D6"/>
    <w:rsid w:val="00E75851"/>
    <w:rsid w:val="00E75D2C"/>
    <w:rsid w:val="00E76451"/>
    <w:rsid w:val="00E76E27"/>
    <w:rsid w:val="00E76E6C"/>
    <w:rsid w:val="00E771D6"/>
    <w:rsid w:val="00E77B95"/>
    <w:rsid w:val="00E8040A"/>
    <w:rsid w:val="00E80C61"/>
    <w:rsid w:val="00E815F3"/>
    <w:rsid w:val="00E816C8"/>
    <w:rsid w:val="00E816D5"/>
    <w:rsid w:val="00E83724"/>
    <w:rsid w:val="00E84CFE"/>
    <w:rsid w:val="00E84E41"/>
    <w:rsid w:val="00E84F41"/>
    <w:rsid w:val="00E8513B"/>
    <w:rsid w:val="00E85E93"/>
    <w:rsid w:val="00E8655E"/>
    <w:rsid w:val="00E86A7B"/>
    <w:rsid w:val="00E86B19"/>
    <w:rsid w:val="00E86BDD"/>
    <w:rsid w:val="00E87A21"/>
    <w:rsid w:val="00E902C9"/>
    <w:rsid w:val="00E90BAC"/>
    <w:rsid w:val="00E90BFC"/>
    <w:rsid w:val="00E90D38"/>
    <w:rsid w:val="00E91068"/>
    <w:rsid w:val="00E91D76"/>
    <w:rsid w:val="00E92E78"/>
    <w:rsid w:val="00E937F3"/>
    <w:rsid w:val="00E93F35"/>
    <w:rsid w:val="00E94131"/>
    <w:rsid w:val="00E94C04"/>
    <w:rsid w:val="00E94F62"/>
    <w:rsid w:val="00E9506D"/>
    <w:rsid w:val="00E95270"/>
    <w:rsid w:val="00E956E5"/>
    <w:rsid w:val="00E95DD9"/>
    <w:rsid w:val="00E96E49"/>
    <w:rsid w:val="00E97308"/>
    <w:rsid w:val="00E97484"/>
    <w:rsid w:val="00E9760E"/>
    <w:rsid w:val="00EA0125"/>
    <w:rsid w:val="00EA156F"/>
    <w:rsid w:val="00EA16D6"/>
    <w:rsid w:val="00EA1B62"/>
    <w:rsid w:val="00EA2099"/>
    <w:rsid w:val="00EA2A34"/>
    <w:rsid w:val="00EA2B35"/>
    <w:rsid w:val="00EA3532"/>
    <w:rsid w:val="00EA356B"/>
    <w:rsid w:val="00EA38CB"/>
    <w:rsid w:val="00EA4338"/>
    <w:rsid w:val="00EA4A45"/>
    <w:rsid w:val="00EA5107"/>
    <w:rsid w:val="00EA51A7"/>
    <w:rsid w:val="00EA5B96"/>
    <w:rsid w:val="00EA5CB8"/>
    <w:rsid w:val="00EA6822"/>
    <w:rsid w:val="00EA736F"/>
    <w:rsid w:val="00EA7403"/>
    <w:rsid w:val="00EA7A46"/>
    <w:rsid w:val="00EA7BFC"/>
    <w:rsid w:val="00EB07B9"/>
    <w:rsid w:val="00EB0C99"/>
    <w:rsid w:val="00EB0DEF"/>
    <w:rsid w:val="00EB0E8B"/>
    <w:rsid w:val="00EB1273"/>
    <w:rsid w:val="00EB1454"/>
    <w:rsid w:val="00EB1914"/>
    <w:rsid w:val="00EB19EE"/>
    <w:rsid w:val="00EB1A4B"/>
    <w:rsid w:val="00EB1C57"/>
    <w:rsid w:val="00EB2328"/>
    <w:rsid w:val="00EB4544"/>
    <w:rsid w:val="00EB4A69"/>
    <w:rsid w:val="00EB5B19"/>
    <w:rsid w:val="00EB5B36"/>
    <w:rsid w:val="00EB6264"/>
    <w:rsid w:val="00EB638E"/>
    <w:rsid w:val="00EB64A9"/>
    <w:rsid w:val="00EB6A90"/>
    <w:rsid w:val="00EC0CEB"/>
    <w:rsid w:val="00EC0DFB"/>
    <w:rsid w:val="00EC14D3"/>
    <w:rsid w:val="00EC15BE"/>
    <w:rsid w:val="00EC18BA"/>
    <w:rsid w:val="00EC1A48"/>
    <w:rsid w:val="00EC1EB3"/>
    <w:rsid w:val="00EC1FE3"/>
    <w:rsid w:val="00EC23F4"/>
    <w:rsid w:val="00EC2B5E"/>
    <w:rsid w:val="00EC306D"/>
    <w:rsid w:val="00EC3803"/>
    <w:rsid w:val="00EC3D76"/>
    <w:rsid w:val="00EC4B08"/>
    <w:rsid w:val="00EC4F1E"/>
    <w:rsid w:val="00EC5545"/>
    <w:rsid w:val="00EC62F4"/>
    <w:rsid w:val="00EC6679"/>
    <w:rsid w:val="00EC69A4"/>
    <w:rsid w:val="00EC6F40"/>
    <w:rsid w:val="00EC7AC6"/>
    <w:rsid w:val="00EC7E06"/>
    <w:rsid w:val="00ED014A"/>
    <w:rsid w:val="00ED0178"/>
    <w:rsid w:val="00ED0412"/>
    <w:rsid w:val="00ED0D45"/>
    <w:rsid w:val="00ED2139"/>
    <w:rsid w:val="00ED248C"/>
    <w:rsid w:val="00ED2AA0"/>
    <w:rsid w:val="00ED2E16"/>
    <w:rsid w:val="00ED41D4"/>
    <w:rsid w:val="00ED442B"/>
    <w:rsid w:val="00ED4868"/>
    <w:rsid w:val="00ED507B"/>
    <w:rsid w:val="00ED50D4"/>
    <w:rsid w:val="00ED50EC"/>
    <w:rsid w:val="00ED6C48"/>
    <w:rsid w:val="00ED7577"/>
    <w:rsid w:val="00ED7D90"/>
    <w:rsid w:val="00EE072C"/>
    <w:rsid w:val="00EE10D5"/>
    <w:rsid w:val="00EE10EC"/>
    <w:rsid w:val="00EE1198"/>
    <w:rsid w:val="00EE13CA"/>
    <w:rsid w:val="00EE1C53"/>
    <w:rsid w:val="00EE2B0E"/>
    <w:rsid w:val="00EE2BBE"/>
    <w:rsid w:val="00EE398E"/>
    <w:rsid w:val="00EE3CD2"/>
    <w:rsid w:val="00EE4AC1"/>
    <w:rsid w:val="00EE57EE"/>
    <w:rsid w:val="00EE65E6"/>
    <w:rsid w:val="00EE77A6"/>
    <w:rsid w:val="00EE7993"/>
    <w:rsid w:val="00EF08F6"/>
    <w:rsid w:val="00EF09EE"/>
    <w:rsid w:val="00EF153B"/>
    <w:rsid w:val="00EF1707"/>
    <w:rsid w:val="00EF1DB9"/>
    <w:rsid w:val="00EF20DD"/>
    <w:rsid w:val="00EF22F7"/>
    <w:rsid w:val="00EF3CF4"/>
    <w:rsid w:val="00EF3D88"/>
    <w:rsid w:val="00EF3F47"/>
    <w:rsid w:val="00EF44CB"/>
    <w:rsid w:val="00EF4EFD"/>
    <w:rsid w:val="00EF51E8"/>
    <w:rsid w:val="00EF62DB"/>
    <w:rsid w:val="00EF661D"/>
    <w:rsid w:val="00EF6C47"/>
    <w:rsid w:val="00EF706A"/>
    <w:rsid w:val="00EF782D"/>
    <w:rsid w:val="00F00173"/>
    <w:rsid w:val="00F0047C"/>
    <w:rsid w:val="00F0095D"/>
    <w:rsid w:val="00F00BBA"/>
    <w:rsid w:val="00F01264"/>
    <w:rsid w:val="00F021C2"/>
    <w:rsid w:val="00F023A4"/>
    <w:rsid w:val="00F03A1D"/>
    <w:rsid w:val="00F03DE9"/>
    <w:rsid w:val="00F05298"/>
    <w:rsid w:val="00F059D7"/>
    <w:rsid w:val="00F05E2A"/>
    <w:rsid w:val="00F1000F"/>
    <w:rsid w:val="00F10AC3"/>
    <w:rsid w:val="00F111D9"/>
    <w:rsid w:val="00F113EE"/>
    <w:rsid w:val="00F1146F"/>
    <w:rsid w:val="00F11D66"/>
    <w:rsid w:val="00F11E31"/>
    <w:rsid w:val="00F11E66"/>
    <w:rsid w:val="00F12425"/>
    <w:rsid w:val="00F124EA"/>
    <w:rsid w:val="00F12E87"/>
    <w:rsid w:val="00F13057"/>
    <w:rsid w:val="00F13EC5"/>
    <w:rsid w:val="00F144E0"/>
    <w:rsid w:val="00F14667"/>
    <w:rsid w:val="00F148E1"/>
    <w:rsid w:val="00F161BD"/>
    <w:rsid w:val="00F1639D"/>
    <w:rsid w:val="00F16599"/>
    <w:rsid w:val="00F167CB"/>
    <w:rsid w:val="00F16A6E"/>
    <w:rsid w:val="00F17150"/>
    <w:rsid w:val="00F17502"/>
    <w:rsid w:val="00F17728"/>
    <w:rsid w:val="00F207BE"/>
    <w:rsid w:val="00F213DB"/>
    <w:rsid w:val="00F2211B"/>
    <w:rsid w:val="00F221BE"/>
    <w:rsid w:val="00F2254E"/>
    <w:rsid w:val="00F2276D"/>
    <w:rsid w:val="00F22CF0"/>
    <w:rsid w:val="00F236DD"/>
    <w:rsid w:val="00F23A81"/>
    <w:rsid w:val="00F2436B"/>
    <w:rsid w:val="00F24ACF"/>
    <w:rsid w:val="00F24ECF"/>
    <w:rsid w:val="00F251F5"/>
    <w:rsid w:val="00F25573"/>
    <w:rsid w:val="00F2673D"/>
    <w:rsid w:val="00F2697B"/>
    <w:rsid w:val="00F269C7"/>
    <w:rsid w:val="00F26A73"/>
    <w:rsid w:val="00F2741B"/>
    <w:rsid w:val="00F27AA9"/>
    <w:rsid w:val="00F27EDF"/>
    <w:rsid w:val="00F31492"/>
    <w:rsid w:val="00F31629"/>
    <w:rsid w:val="00F3215B"/>
    <w:rsid w:val="00F3267A"/>
    <w:rsid w:val="00F328D9"/>
    <w:rsid w:val="00F32978"/>
    <w:rsid w:val="00F32C06"/>
    <w:rsid w:val="00F34E31"/>
    <w:rsid w:val="00F35513"/>
    <w:rsid w:val="00F361DA"/>
    <w:rsid w:val="00F36A64"/>
    <w:rsid w:val="00F36E83"/>
    <w:rsid w:val="00F370E1"/>
    <w:rsid w:val="00F375DD"/>
    <w:rsid w:val="00F37751"/>
    <w:rsid w:val="00F37A5C"/>
    <w:rsid w:val="00F40472"/>
    <w:rsid w:val="00F410D9"/>
    <w:rsid w:val="00F410F5"/>
    <w:rsid w:val="00F412F2"/>
    <w:rsid w:val="00F41F0F"/>
    <w:rsid w:val="00F4273D"/>
    <w:rsid w:val="00F44616"/>
    <w:rsid w:val="00F44881"/>
    <w:rsid w:val="00F44BBD"/>
    <w:rsid w:val="00F458BF"/>
    <w:rsid w:val="00F45A52"/>
    <w:rsid w:val="00F45D81"/>
    <w:rsid w:val="00F46169"/>
    <w:rsid w:val="00F461F6"/>
    <w:rsid w:val="00F46934"/>
    <w:rsid w:val="00F50391"/>
    <w:rsid w:val="00F5051F"/>
    <w:rsid w:val="00F505EC"/>
    <w:rsid w:val="00F50AC0"/>
    <w:rsid w:val="00F50B3C"/>
    <w:rsid w:val="00F51263"/>
    <w:rsid w:val="00F5131D"/>
    <w:rsid w:val="00F518DE"/>
    <w:rsid w:val="00F5265E"/>
    <w:rsid w:val="00F532B2"/>
    <w:rsid w:val="00F539ED"/>
    <w:rsid w:val="00F53CFA"/>
    <w:rsid w:val="00F5439F"/>
    <w:rsid w:val="00F54CC9"/>
    <w:rsid w:val="00F55A5B"/>
    <w:rsid w:val="00F5604C"/>
    <w:rsid w:val="00F5687F"/>
    <w:rsid w:val="00F56C55"/>
    <w:rsid w:val="00F56CB0"/>
    <w:rsid w:val="00F56DE2"/>
    <w:rsid w:val="00F57AED"/>
    <w:rsid w:val="00F60123"/>
    <w:rsid w:val="00F603F4"/>
    <w:rsid w:val="00F61FBC"/>
    <w:rsid w:val="00F625ED"/>
    <w:rsid w:val="00F62FB3"/>
    <w:rsid w:val="00F63090"/>
    <w:rsid w:val="00F6351A"/>
    <w:rsid w:val="00F64FF0"/>
    <w:rsid w:val="00F65721"/>
    <w:rsid w:val="00F65F5D"/>
    <w:rsid w:val="00F6643D"/>
    <w:rsid w:val="00F671D1"/>
    <w:rsid w:val="00F672D3"/>
    <w:rsid w:val="00F67344"/>
    <w:rsid w:val="00F67D29"/>
    <w:rsid w:val="00F70088"/>
    <w:rsid w:val="00F7061F"/>
    <w:rsid w:val="00F7111F"/>
    <w:rsid w:val="00F711A9"/>
    <w:rsid w:val="00F713FC"/>
    <w:rsid w:val="00F71DCF"/>
    <w:rsid w:val="00F72101"/>
    <w:rsid w:val="00F72438"/>
    <w:rsid w:val="00F7289B"/>
    <w:rsid w:val="00F73D3D"/>
    <w:rsid w:val="00F7436D"/>
    <w:rsid w:val="00F74440"/>
    <w:rsid w:val="00F7498C"/>
    <w:rsid w:val="00F74A06"/>
    <w:rsid w:val="00F74CE6"/>
    <w:rsid w:val="00F75BCC"/>
    <w:rsid w:val="00F76376"/>
    <w:rsid w:val="00F765AB"/>
    <w:rsid w:val="00F76CC5"/>
    <w:rsid w:val="00F77600"/>
    <w:rsid w:val="00F77AB2"/>
    <w:rsid w:val="00F77E8B"/>
    <w:rsid w:val="00F802DF"/>
    <w:rsid w:val="00F80604"/>
    <w:rsid w:val="00F814B6"/>
    <w:rsid w:val="00F81878"/>
    <w:rsid w:val="00F81DB0"/>
    <w:rsid w:val="00F81E8D"/>
    <w:rsid w:val="00F820C8"/>
    <w:rsid w:val="00F8244D"/>
    <w:rsid w:val="00F83970"/>
    <w:rsid w:val="00F84267"/>
    <w:rsid w:val="00F84357"/>
    <w:rsid w:val="00F84D4F"/>
    <w:rsid w:val="00F856C1"/>
    <w:rsid w:val="00F86029"/>
    <w:rsid w:val="00F86A3A"/>
    <w:rsid w:val="00F86CD9"/>
    <w:rsid w:val="00F87760"/>
    <w:rsid w:val="00F87797"/>
    <w:rsid w:val="00F87AFF"/>
    <w:rsid w:val="00F90274"/>
    <w:rsid w:val="00F90731"/>
    <w:rsid w:val="00F90C31"/>
    <w:rsid w:val="00F9109F"/>
    <w:rsid w:val="00F91365"/>
    <w:rsid w:val="00F919C4"/>
    <w:rsid w:val="00F92B57"/>
    <w:rsid w:val="00F933D8"/>
    <w:rsid w:val="00F93B28"/>
    <w:rsid w:val="00F93C4C"/>
    <w:rsid w:val="00F94307"/>
    <w:rsid w:val="00F9451E"/>
    <w:rsid w:val="00F94818"/>
    <w:rsid w:val="00F94E17"/>
    <w:rsid w:val="00F94E29"/>
    <w:rsid w:val="00F950DC"/>
    <w:rsid w:val="00F95393"/>
    <w:rsid w:val="00F96022"/>
    <w:rsid w:val="00F9607C"/>
    <w:rsid w:val="00F9655F"/>
    <w:rsid w:val="00F966D7"/>
    <w:rsid w:val="00F96709"/>
    <w:rsid w:val="00F97262"/>
    <w:rsid w:val="00F97660"/>
    <w:rsid w:val="00F97A8B"/>
    <w:rsid w:val="00FA0F2B"/>
    <w:rsid w:val="00FA135E"/>
    <w:rsid w:val="00FA1B8A"/>
    <w:rsid w:val="00FA220A"/>
    <w:rsid w:val="00FA2210"/>
    <w:rsid w:val="00FA2570"/>
    <w:rsid w:val="00FA3E5F"/>
    <w:rsid w:val="00FA4D17"/>
    <w:rsid w:val="00FA4E6F"/>
    <w:rsid w:val="00FA4FD3"/>
    <w:rsid w:val="00FA542B"/>
    <w:rsid w:val="00FA5C54"/>
    <w:rsid w:val="00FA5F51"/>
    <w:rsid w:val="00FA6000"/>
    <w:rsid w:val="00FA66BB"/>
    <w:rsid w:val="00FA67D1"/>
    <w:rsid w:val="00FA6E77"/>
    <w:rsid w:val="00FA725D"/>
    <w:rsid w:val="00FA7EED"/>
    <w:rsid w:val="00FB074C"/>
    <w:rsid w:val="00FB09EB"/>
    <w:rsid w:val="00FB0D8F"/>
    <w:rsid w:val="00FB15DA"/>
    <w:rsid w:val="00FB1BB4"/>
    <w:rsid w:val="00FB20D2"/>
    <w:rsid w:val="00FB22AA"/>
    <w:rsid w:val="00FB25C4"/>
    <w:rsid w:val="00FB2790"/>
    <w:rsid w:val="00FB33FE"/>
    <w:rsid w:val="00FB3582"/>
    <w:rsid w:val="00FB3B65"/>
    <w:rsid w:val="00FB3DF5"/>
    <w:rsid w:val="00FB41E5"/>
    <w:rsid w:val="00FB4505"/>
    <w:rsid w:val="00FB468C"/>
    <w:rsid w:val="00FB4BBD"/>
    <w:rsid w:val="00FB4C6A"/>
    <w:rsid w:val="00FB540E"/>
    <w:rsid w:val="00FB769E"/>
    <w:rsid w:val="00FB7FF6"/>
    <w:rsid w:val="00FC00F1"/>
    <w:rsid w:val="00FC040C"/>
    <w:rsid w:val="00FC0E94"/>
    <w:rsid w:val="00FC1EAE"/>
    <w:rsid w:val="00FC2A35"/>
    <w:rsid w:val="00FC374A"/>
    <w:rsid w:val="00FC380D"/>
    <w:rsid w:val="00FC3F3B"/>
    <w:rsid w:val="00FC3F98"/>
    <w:rsid w:val="00FC43D0"/>
    <w:rsid w:val="00FC4B26"/>
    <w:rsid w:val="00FC4C2B"/>
    <w:rsid w:val="00FC4F62"/>
    <w:rsid w:val="00FC5200"/>
    <w:rsid w:val="00FC5296"/>
    <w:rsid w:val="00FC611E"/>
    <w:rsid w:val="00FC68F0"/>
    <w:rsid w:val="00FC6D45"/>
    <w:rsid w:val="00FC7224"/>
    <w:rsid w:val="00FC7E2D"/>
    <w:rsid w:val="00FD0A4B"/>
    <w:rsid w:val="00FD14FC"/>
    <w:rsid w:val="00FD218A"/>
    <w:rsid w:val="00FD21F0"/>
    <w:rsid w:val="00FD2867"/>
    <w:rsid w:val="00FD2E1C"/>
    <w:rsid w:val="00FD2F56"/>
    <w:rsid w:val="00FD3F27"/>
    <w:rsid w:val="00FD3FA4"/>
    <w:rsid w:val="00FD419A"/>
    <w:rsid w:val="00FD4223"/>
    <w:rsid w:val="00FD44A5"/>
    <w:rsid w:val="00FD486B"/>
    <w:rsid w:val="00FD488A"/>
    <w:rsid w:val="00FD6489"/>
    <w:rsid w:val="00FD667F"/>
    <w:rsid w:val="00FD7417"/>
    <w:rsid w:val="00FD7BDE"/>
    <w:rsid w:val="00FE020F"/>
    <w:rsid w:val="00FE0B27"/>
    <w:rsid w:val="00FE0FA5"/>
    <w:rsid w:val="00FE11FF"/>
    <w:rsid w:val="00FE1885"/>
    <w:rsid w:val="00FE1C86"/>
    <w:rsid w:val="00FE20CB"/>
    <w:rsid w:val="00FE216C"/>
    <w:rsid w:val="00FE3232"/>
    <w:rsid w:val="00FE409C"/>
    <w:rsid w:val="00FE4AF3"/>
    <w:rsid w:val="00FE4F82"/>
    <w:rsid w:val="00FE50FF"/>
    <w:rsid w:val="00FE597A"/>
    <w:rsid w:val="00FE6E07"/>
    <w:rsid w:val="00FE6EFE"/>
    <w:rsid w:val="00FF014E"/>
    <w:rsid w:val="00FF0B6D"/>
    <w:rsid w:val="00FF16C1"/>
    <w:rsid w:val="00FF1AE9"/>
    <w:rsid w:val="00FF275A"/>
    <w:rsid w:val="00FF2B03"/>
    <w:rsid w:val="00FF30BA"/>
    <w:rsid w:val="00FF30D6"/>
    <w:rsid w:val="00FF35FB"/>
    <w:rsid w:val="00FF3FDF"/>
    <w:rsid w:val="00FF4A72"/>
    <w:rsid w:val="00FF5AF1"/>
    <w:rsid w:val="00FF606F"/>
    <w:rsid w:val="00FF68C1"/>
    <w:rsid w:val="00FF7A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5572A415"/>
  <w15:docId w15:val="{00F2C50C-8B93-40AA-8204-3E8A9BDB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4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ft,Style 27,Char Char Char Char Char,Style 11,Char Char Char, Char, 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ft Char,Style 27 Char,Style 11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Appel note de bas de p.,Ref,4_,callou"/>
    <w:link w:val="Appelnotedebasd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CommentText">
    <w:name w:val="annotation text"/>
    <w:basedOn w:val="Normal"/>
    <w:link w:val="CommentTextChar"/>
    <w:unhideWhenUsed/>
    <w:rsid w:val="00D032A3"/>
    <w:pPr>
      <w:spacing w:line="240" w:lineRule="auto"/>
    </w:pPr>
  </w:style>
  <w:style w:type="character" w:customStyle="1" w:styleId="CommentTextChar">
    <w:name w:val="Comment Text Char"/>
    <w:basedOn w:val="DefaultParagraphFont"/>
    <w:link w:val="CommentText"/>
    <w:rsid w:val="00D032A3"/>
    <w:rPr>
      <w:rFonts w:ascii="Times New Roman" w:eastAsia="Times New Roman" w:hAnsi="Times New Roman" w:cs="Times New Roman"/>
      <w:sz w:val="20"/>
      <w:szCs w:val="20"/>
      <w:lang w:eastAsia="en-US"/>
    </w:rPr>
  </w:style>
  <w:style w:type="character" w:styleId="CommentReference">
    <w:name w:val="annotation reference"/>
    <w:rsid w:val="00D032A3"/>
    <w:rPr>
      <w:sz w:val="16"/>
      <w:szCs w:val="16"/>
    </w:rPr>
  </w:style>
  <w:style w:type="paragraph" w:styleId="CommentSubject">
    <w:name w:val="annotation subject"/>
    <w:basedOn w:val="CommentText"/>
    <w:next w:val="CommentText"/>
    <w:link w:val="CommentSubjectChar"/>
    <w:uiPriority w:val="99"/>
    <w:semiHidden/>
    <w:unhideWhenUsed/>
    <w:rsid w:val="003065AF"/>
    <w:rPr>
      <w:b/>
      <w:bCs/>
    </w:rPr>
  </w:style>
  <w:style w:type="character" w:customStyle="1" w:styleId="CommentSubjectChar">
    <w:name w:val="Comment Subject Char"/>
    <w:basedOn w:val="CommentTextChar"/>
    <w:link w:val="CommentSubject"/>
    <w:uiPriority w:val="99"/>
    <w:semiHidden/>
    <w:rsid w:val="003065AF"/>
    <w:rPr>
      <w:rFonts w:ascii="Times New Roman" w:eastAsia="Times New Roman" w:hAnsi="Times New Roman" w:cs="Times New Roman"/>
      <w:b/>
      <w:bCs/>
      <w:sz w:val="20"/>
      <w:szCs w:val="20"/>
      <w:lang w:eastAsia="en-US"/>
    </w:rPr>
  </w:style>
  <w:style w:type="paragraph" w:customStyle="1" w:styleId="Default">
    <w:name w:val="Default"/>
    <w:rsid w:val="003065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ngleTxtGChar">
    <w:name w:val="_ Single Txt_G Char"/>
    <w:link w:val="SingleTxtG"/>
    <w:locked/>
    <w:rsid w:val="00AD6FC3"/>
    <w:rPr>
      <w:rFonts w:ascii="Times New Roman" w:hAnsi="Times New Roman" w:cs="Times New Roman"/>
      <w:sz w:val="20"/>
      <w:szCs w:val="20"/>
    </w:rPr>
  </w:style>
  <w:style w:type="character" w:styleId="Emphasis">
    <w:name w:val="Emphasis"/>
    <w:basedOn w:val="DefaultParagraphFont"/>
    <w:uiPriority w:val="20"/>
    <w:qFormat/>
    <w:rsid w:val="008D0778"/>
    <w:rPr>
      <w:i/>
      <w:iCs/>
    </w:rPr>
  </w:style>
  <w:style w:type="character" w:styleId="Hyperlink">
    <w:name w:val="Hyperlink"/>
    <w:basedOn w:val="DefaultParagraphFont"/>
    <w:uiPriority w:val="99"/>
    <w:unhideWhenUsed/>
    <w:rsid w:val="008070CC"/>
    <w:rPr>
      <w:color w:val="0000FF"/>
      <w:u w:val="single"/>
    </w:rPr>
  </w:style>
  <w:style w:type="character" w:customStyle="1" w:styleId="textcolumn">
    <w:name w:val="textcolumn"/>
    <w:basedOn w:val="DefaultParagraphFont"/>
    <w:rsid w:val="00954943"/>
  </w:style>
  <w:style w:type="character" w:customStyle="1" w:styleId="sb8d990e2">
    <w:name w:val="sb8d990e2"/>
    <w:basedOn w:val="DefaultParagraphFont"/>
    <w:rsid w:val="006176DB"/>
  </w:style>
  <w:style w:type="character" w:customStyle="1" w:styleId="s6b621b36">
    <w:name w:val="s6b621b36"/>
    <w:basedOn w:val="DefaultParagraphFont"/>
    <w:rsid w:val="006176DB"/>
  </w:style>
  <w:style w:type="character" w:customStyle="1" w:styleId="column">
    <w:name w:val="column"/>
    <w:basedOn w:val="DefaultParagraphFont"/>
    <w:rsid w:val="00D71D7D"/>
  </w:style>
  <w:style w:type="paragraph" w:styleId="Revision">
    <w:name w:val="Revision"/>
    <w:hidden/>
    <w:uiPriority w:val="99"/>
    <w:semiHidden/>
    <w:rsid w:val="003F2EEE"/>
    <w:pPr>
      <w:spacing w:after="0" w:line="240" w:lineRule="auto"/>
    </w:pPr>
    <w:rPr>
      <w:rFonts w:ascii="Times New Roman" w:eastAsia="Times New Roman" w:hAnsi="Times New Roman" w:cs="Times New Roman"/>
      <w:sz w:val="20"/>
      <w:szCs w:val="20"/>
      <w:lang w:eastAsia="en-US"/>
    </w:rPr>
  </w:style>
  <w:style w:type="character" w:customStyle="1" w:styleId="hi1">
    <w:name w:val="hi1"/>
    <w:basedOn w:val="DefaultParagraphFont"/>
    <w:rsid w:val="000B4C93"/>
    <w:rPr>
      <w:color w:val="000000"/>
      <w:shd w:val="clear" w:color="auto" w:fill="D8D8D8"/>
    </w:rPr>
  </w:style>
  <w:style w:type="character" w:customStyle="1" w:styleId="etymspan2">
    <w:name w:val="etymspan2"/>
    <w:basedOn w:val="DefaultParagraphFont"/>
    <w:rsid w:val="000B4C93"/>
  </w:style>
  <w:style w:type="character" w:customStyle="1" w:styleId="sc">
    <w:name w:val="sc"/>
    <w:basedOn w:val="DefaultParagraphFont"/>
    <w:rsid w:val="000B4C93"/>
  </w:style>
  <w:style w:type="character" w:customStyle="1" w:styleId="oxencycl-headword">
    <w:name w:val="oxencycl-headword"/>
    <w:basedOn w:val="DefaultParagraphFont"/>
    <w:rsid w:val="000B4C93"/>
  </w:style>
  <w:style w:type="character" w:customStyle="1" w:styleId="headwordinfo2">
    <w:name w:val="headwordinfo2"/>
    <w:basedOn w:val="DefaultParagraphFont"/>
    <w:rsid w:val="000B4C93"/>
    <w:rPr>
      <w:sz w:val="16"/>
      <w:szCs w:val="16"/>
    </w:rPr>
  </w:style>
  <w:style w:type="character" w:customStyle="1" w:styleId="pronunciation-secondarycontent">
    <w:name w:val="pronunciation-secondarycontent"/>
    <w:basedOn w:val="DefaultParagraphFont"/>
    <w:rsid w:val="000B4C93"/>
  </w:style>
  <w:style w:type="character" w:customStyle="1" w:styleId="availabilityicon1">
    <w:name w:val="availabilityicon1"/>
    <w:basedOn w:val="DefaultParagraphFont"/>
    <w:rsid w:val="000B4C93"/>
  </w:style>
  <w:style w:type="character" w:customStyle="1" w:styleId="1">
    <w:name w:val="未解決のメンション1"/>
    <w:basedOn w:val="DefaultParagraphFont"/>
    <w:uiPriority w:val="99"/>
    <w:semiHidden/>
    <w:unhideWhenUsed/>
    <w:rsid w:val="001478EE"/>
    <w:rPr>
      <w:color w:val="605E5C"/>
      <w:shd w:val="clear" w:color="auto" w:fill="E1DFDD"/>
    </w:rPr>
  </w:style>
  <w:style w:type="character" w:customStyle="1" w:styleId="definitionelem">
    <w:name w:val="definitionelem"/>
    <w:basedOn w:val="DefaultParagraphFont"/>
    <w:rsid w:val="005D0DA6"/>
  </w:style>
  <w:style w:type="character" w:styleId="Strong">
    <w:name w:val="Strong"/>
    <w:basedOn w:val="DefaultParagraphFont"/>
    <w:uiPriority w:val="22"/>
    <w:qFormat/>
    <w:rsid w:val="005D0DA6"/>
    <w:rPr>
      <w:b/>
      <w:bCs/>
    </w:rPr>
  </w:style>
  <w:style w:type="character" w:customStyle="1" w:styleId="partofspeech1">
    <w:name w:val="partofspeech1"/>
    <w:basedOn w:val="DefaultParagraphFont"/>
    <w:rsid w:val="005D0DA6"/>
    <w:rPr>
      <w:i/>
      <w:iCs/>
    </w:rPr>
  </w:style>
  <w:style w:type="paragraph" w:customStyle="1" w:styleId="se22">
    <w:name w:val="se22"/>
    <w:basedOn w:val="Normal"/>
    <w:rsid w:val="005D0DA6"/>
    <w:pPr>
      <w:suppressAutoHyphens w:val="0"/>
      <w:spacing w:line="240" w:lineRule="auto"/>
      <w:ind w:hanging="300"/>
    </w:pPr>
    <w:rPr>
      <w:sz w:val="24"/>
      <w:szCs w:val="24"/>
      <w:lang w:eastAsia="zh-CN"/>
    </w:rPr>
  </w:style>
  <w:style w:type="character" w:customStyle="1" w:styleId="examplegroup2">
    <w:name w:val="examplegroup2"/>
    <w:basedOn w:val="DefaultParagraphFont"/>
    <w:rsid w:val="005D0DA6"/>
  </w:style>
  <w:style w:type="character" w:customStyle="1" w:styleId="grammargroup">
    <w:name w:val="grammargroup"/>
    <w:basedOn w:val="DefaultParagraphFont"/>
    <w:rsid w:val="005D0DA6"/>
  </w:style>
  <w:style w:type="paragraph" w:styleId="NormalWeb">
    <w:name w:val="Normal (Web)"/>
    <w:basedOn w:val="Normal"/>
    <w:uiPriority w:val="99"/>
    <w:unhideWhenUsed/>
    <w:rsid w:val="00F7498C"/>
    <w:pPr>
      <w:suppressAutoHyphens w:val="0"/>
      <w:spacing w:before="100" w:beforeAutospacing="1" w:after="100" w:afterAutospacing="1" w:line="240" w:lineRule="auto"/>
    </w:pPr>
    <w:rPr>
      <w:sz w:val="24"/>
      <w:szCs w:val="24"/>
      <w:lang w:eastAsia="en-GB"/>
    </w:rPr>
  </w:style>
  <w:style w:type="paragraph" w:customStyle="1" w:styleId="Bullet1">
    <w:name w:val="Bullet 1"/>
    <w:basedOn w:val="Normal"/>
    <w:rsid w:val="00A450A0"/>
    <w:pPr>
      <w:numPr>
        <w:numId w:val="11"/>
      </w:numPr>
      <w:suppressAutoHyphens w:val="0"/>
      <w:spacing w:before="120" w:line="240" w:lineRule="auto"/>
    </w:pPr>
    <w:rPr>
      <w:sz w:val="24"/>
      <w:lang w:val="en-AU" w:eastAsia="en-AU"/>
    </w:rPr>
  </w:style>
  <w:style w:type="paragraph" w:customStyle="1" w:styleId="Paragraphnumbered">
    <w:name w:val="Paragraph (numbered)"/>
    <w:basedOn w:val="Normal"/>
    <w:rsid w:val="00C56FF4"/>
    <w:pPr>
      <w:numPr>
        <w:numId w:val="14"/>
      </w:numPr>
      <w:suppressAutoHyphens w:val="0"/>
      <w:spacing w:before="240" w:line="240" w:lineRule="auto"/>
    </w:pPr>
    <w:rPr>
      <w:sz w:val="24"/>
      <w:lang w:val="en-AU" w:eastAsia="en-AU"/>
    </w:rPr>
  </w:style>
  <w:style w:type="character" w:customStyle="1" w:styleId="sfbbfee58">
    <w:name w:val="sfbbfee58"/>
    <w:basedOn w:val="DefaultParagraphFont"/>
    <w:rsid w:val="00305BA9"/>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814AF9"/>
    <w:pPr>
      <w:suppressAutoHyphens w:val="0"/>
      <w:spacing w:before="120" w:after="120" w:line="240" w:lineRule="auto"/>
    </w:pPr>
    <w:rPr>
      <w:rFonts w:eastAsia="SimSun" w:cstheme="minorBidi"/>
      <w:sz w:val="18"/>
      <w:szCs w:val="22"/>
      <w:vertAlign w:val="superscript"/>
      <w:lang w:eastAsia="zh-CN"/>
    </w:rPr>
  </w:style>
  <w:style w:type="character" w:customStyle="1" w:styleId="cf11">
    <w:name w:val="cf11"/>
    <w:basedOn w:val="DefaultParagraphFont"/>
    <w:rsid w:val="00EC18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155">
      <w:bodyDiv w:val="1"/>
      <w:marLeft w:val="0"/>
      <w:marRight w:val="0"/>
      <w:marTop w:val="0"/>
      <w:marBottom w:val="0"/>
      <w:divBdr>
        <w:top w:val="none" w:sz="0" w:space="0" w:color="auto"/>
        <w:left w:val="none" w:sz="0" w:space="0" w:color="auto"/>
        <w:bottom w:val="none" w:sz="0" w:space="0" w:color="auto"/>
        <w:right w:val="none" w:sz="0" w:space="0" w:color="auto"/>
      </w:divBdr>
    </w:div>
    <w:div w:id="56560466">
      <w:bodyDiv w:val="1"/>
      <w:marLeft w:val="0"/>
      <w:marRight w:val="0"/>
      <w:marTop w:val="0"/>
      <w:marBottom w:val="0"/>
      <w:divBdr>
        <w:top w:val="none" w:sz="0" w:space="0" w:color="auto"/>
        <w:left w:val="none" w:sz="0" w:space="0" w:color="auto"/>
        <w:bottom w:val="none" w:sz="0" w:space="0" w:color="auto"/>
        <w:right w:val="none" w:sz="0" w:space="0" w:color="auto"/>
      </w:divBdr>
    </w:div>
    <w:div w:id="74209239">
      <w:bodyDiv w:val="1"/>
      <w:marLeft w:val="0"/>
      <w:marRight w:val="0"/>
      <w:marTop w:val="0"/>
      <w:marBottom w:val="0"/>
      <w:divBdr>
        <w:top w:val="none" w:sz="0" w:space="0" w:color="auto"/>
        <w:left w:val="none" w:sz="0" w:space="0" w:color="auto"/>
        <w:bottom w:val="none" w:sz="0" w:space="0" w:color="auto"/>
        <w:right w:val="none" w:sz="0" w:space="0" w:color="auto"/>
      </w:divBdr>
    </w:div>
    <w:div w:id="74711932">
      <w:bodyDiv w:val="1"/>
      <w:marLeft w:val="0"/>
      <w:marRight w:val="0"/>
      <w:marTop w:val="0"/>
      <w:marBottom w:val="0"/>
      <w:divBdr>
        <w:top w:val="none" w:sz="0" w:space="0" w:color="auto"/>
        <w:left w:val="none" w:sz="0" w:space="0" w:color="auto"/>
        <w:bottom w:val="none" w:sz="0" w:space="0" w:color="auto"/>
        <w:right w:val="none" w:sz="0" w:space="0" w:color="auto"/>
      </w:divBdr>
    </w:div>
    <w:div w:id="82647559">
      <w:bodyDiv w:val="1"/>
      <w:marLeft w:val="0"/>
      <w:marRight w:val="0"/>
      <w:marTop w:val="0"/>
      <w:marBottom w:val="0"/>
      <w:divBdr>
        <w:top w:val="none" w:sz="0" w:space="0" w:color="auto"/>
        <w:left w:val="none" w:sz="0" w:space="0" w:color="auto"/>
        <w:bottom w:val="none" w:sz="0" w:space="0" w:color="auto"/>
        <w:right w:val="none" w:sz="0" w:space="0" w:color="auto"/>
      </w:divBdr>
    </w:div>
    <w:div w:id="92941404">
      <w:bodyDiv w:val="1"/>
      <w:marLeft w:val="0"/>
      <w:marRight w:val="0"/>
      <w:marTop w:val="0"/>
      <w:marBottom w:val="0"/>
      <w:divBdr>
        <w:top w:val="none" w:sz="0" w:space="0" w:color="auto"/>
        <w:left w:val="none" w:sz="0" w:space="0" w:color="auto"/>
        <w:bottom w:val="none" w:sz="0" w:space="0" w:color="auto"/>
        <w:right w:val="none" w:sz="0" w:space="0" w:color="auto"/>
      </w:divBdr>
    </w:div>
    <w:div w:id="121928491">
      <w:bodyDiv w:val="1"/>
      <w:marLeft w:val="0"/>
      <w:marRight w:val="0"/>
      <w:marTop w:val="0"/>
      <w:marBottom w:val="0"/>
      <w:divBdr>
        <w:top w:val="none" w:sz="0" w:space="0" w:color="auto"/>
        <w:left w:val="none" w:sz="0" w:space="0" w:color="auto"/>
        <w:bottom w:val="none" w:sz="0" w:space="0" w:color="auto"/>
        <w:right w:val="none" w:sz="0" w:space="0" w:color="auto"/>
      </w:divBdr>
    </w:div>
    <w:div w:id="126316096">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39884566">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52572600">
      <w:bodyDiv w:val="1"/>
      <w:marLeft w:val="0"/>
      <w:marRight w:val="0"/>
      <w:marTop w:val="0"/>
      <w:marBottom w:val="0"/>
      <w:divBdr>
        <w:top w:val="none" w:sz="0" w:space="0" w:color="auto"/>
        <w:left w:val="none" w:sz="0" w:space="0" w:color="auto"/>
        <w:bottom w:val="none" w:sz="0" w:space="0" w:color="auto"/>
        <w:right w:val="none" w:sz="0" w:space="0" w:color="auto"/>
      </w:divBdr>
    </w:div>
    <w:div w:id="154032275">
      <w:bodyDiv w:val="1"/>
      <w:marLeft w:val="0"/>
      <w:marRight w:val="0"/>
      <w:marTop w:val="0"/>
      <w:marBottom w:val="0"/>
      <w:divBdr>
        <w:top w:val="none" w:sz="0" w:space="0" w:color="auto"/>
        <w:left w:val="none" w:sz="0" w:space="0" w:color="auto"/>
        <w:bottom w:val="none" w:sz="0" w:space="0" w:color="auto"/>
        <w:right w:val="none" w:sz="0" w:space="0" w:color="auto"/>
      </w:divBdr>
    </w:div>
    <w:div w:id="156658299">
      <w:bodyDiv w:val="1"/>
      <w:marLeft w:val="0"/>
      <w:marRight w:val="0"/>
      <w:marTop w:val="0"/>
      <w:marBottom w:val="0"/>
      <w:divBdr>
        <w:top w:val="none" w:sz="0" w:space="0" w:color="auto"/>
        <w:left w:val="none" w:sz="0" w:space="0" w:color="auto"/>
        <w:bottom w:val="none" w:sz="0" w:space="0" w:color="auto"/>
        <w:right w:val="none" w:sz="0" w:space="0" w:color="auto"/>
      </w:divBdr>
    </w:div>
    <w:div w:id="159733666">
      <w:bodyDiv w:val="1"/>
      <w:marLeft w:val="0"/>
      <w:marRight w:val="0"/>
      <w:marTop w:val="0"/>
      <w:marBottom w:val="0"/>
      <w:divBdr>
        <w:top w:val="none" w:sz="0" w:space="0" w:color="auto"/>
        <w:left w:val="none" w:sz="0" w:space="0" w:color="auto"/>
        <w:bottom w:val="none" w:sz="0" w:space="0" w:color="auto"/>
        <w:right w:val="none" w:sz="0" w:space="0" w:color="auto"/>
      </w:divBdr>
    </w:div>
    <w:div w:id="174660971">
      <w:bodyDiv w:val="1"/>
      <w:marLeft w:val="0"/>
      <w:marRight w:val="0"/>
      <w:marTop w:val="0"/>
      <w:marBottom w:val="0"/>
      <w:divBdr>
        <w:top w:val="none" w:sz="0" w:space="0" w:color="auto"/>
        <w:left w:val="none" w:sz="0" w:space="0" w:color="auto"/>
        <w:bottom w:val="none" w:sz="0" w:space="0" w:color="auto"/>
        <w:right w:val="none" w:sz="0" w:space="0" w:color="auto"/>
      </w:divBdr>
    </w:div>
    <w:div w:id="185413874">
      <w:bodyDiv w:val="1"/>
      <w:marLeft w:val="0"/>
      <w:marRight w:val="0"/>
      <w:marTop w:val="0"/>
      <w:marBottom w:val="0"/>
      <w:divBdr>
        <w:top w:val="none" w:sz="0" w:space="0" w:color="auto"/>
        <w:left w:val="none" w:sz="0" w:space="0" w:color="auto"/>
        <w:bottom w:val="none" w:sz="0" w:space="0" w:color="auto"/>
        <w:right w:val="none" w:sz="0" w:space="0" w:color="auto"/>
      </w:divBdr>
    </w:div>
    <w:div w:id="222494909">
      <w:bodyDiv w:val="1"/>
      <w:marLeft w:val="0"/>
      <w:marRight w:val="0"/>
      <w:marTop w:val="0"/>
      <w:marBottom w:val="0"/>
      <w:divBdr>
        <w:top w:val="none" w:sz="0" w:space="0" w:color="auto"/>
        <w:left w:val="none" w:sz="0" w:space="0" w:color="auto"/>
        <w:bottom w:val="none" w:sz="0" w:space="0" w:color="auto"/>
        <w:right w:val="none" w:sz="0" w:space="0" w:color="auto"/>
      </w:divBdr>
    </w:div>
    <w:div w:id="25521456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63534758">
      <w:bodyDiv w:val="1"/>
      <w:marLeft w:val="0"/>
      <w:marRight w:val="0"/>
      <w:marTop w:val="0"/>
      <w:marBottom w:val="0"/>
      <w:divBdr>
        <w:top w:val="none" w:sz="0" w:space="0" w:color="auto"/>
        <w:left w:val="none" w:sz="0" w:space="0" w:color="auto"/>
        <w:bottom w:val="none" w:sz="0" w:space="0" w:color="auto"/>
        <w:right w:val="none" w:sz="0" w:space="0" w:color="auto"/>
      </w:divBdr>
    </w:div>
    <w:div w:id="265313357">
      <w:bodyDiv w:val="1"/>
      <w:marLeft w:val="0"/>
      <w:marRight w:val="0"/>
      <w:marTop w:val="0"/>
      <w:marBottom w:val="0"/>
      <w:divBdr>
        <w:top w:val="none" w:sz="0" w:space="0" w:color="auto"/>
        <w:left w:val="none" w:sz="0" w:space="0" w:color="auto"/>
        <w:bottom w:val="none" w:sz="0" w:space="0" w:color="auto"/>
        <w:right w:val="none" w:sz="0" w:space="0" w:color="auto"/>
      </w:divBdr>
    </w:div>
    <w:div w:id="266013265">
      <w:bodyDiv w:val="1"/>
      <w:marLeft w:val="0"/>
      <w:marRight w:val="0"/>
      <w:marTop w:val="0"/>
      <w:marBottom w:val="0"/>
      <w:divBdr>
        <w:top w:val="none" w:sz="0" w:space="0" w:color="auto"/>
        <w:left w:val="none" w:sz="0" w:space="0" w:color="auto"/>
        <w:bottom w:val="none" w:sz="0" w:space="0" w:color="auto"/>
        <w:right w:val="none" w:sz="0" w:space="0" w:color="auto"/>
      </w:divBdr>
    </w:div>
    <w:div w:id="266424276">
      <w:bodyDiv w:val="1"/>
      <w:marLeft w:val="0"/>
      <w:marRight w:val="0"/>
      <w:marTop w:val="0"/>
      <w:marBottom w:val="0"/>
      <w:divBdr>
        <w:top w:val="none" w:sz="0" w:space="0" w:color="auto"/>
        <w:left w:val="none" w:sz="0" w:space="0" w:color="auto"/>
        <w:bottom w:val="none" w:sz="0" w:space="0" w:color="auto"/>
        <w:right w:val="none" w:sz="0" w:space="0" w:color="auto"/>
      </w:divBdr>
    </w:div>
    <w:div w:id="289630515">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04824199">
      <w:bodyDiv w:val="1"/>
      <w:marLeft w:val="0"/>
      <w:marRight w:val="0"/>
      <w:marTop w:val="0"/>
      <w:marBottom w:val="0"/>
      <w:divBdr>
        <w:top w:val="none" w:sz="0" w:space="0" w:color="auto"/>
        <w:left w:val="none" w:sz="0" w:space="0" w:color="auto"/>
        <w:bottom w:val="none" w:sz="0" w:space="0" w:color="auto"/>
        <w:right w:val="none" w:sz="0" w:space="0" w:color="auto"/>
      </w:divBdr>
    </w:div>
    <w:div w:id="326371267">
      <w:bodyDiv w:val="1"/>
      <w:marLeft w:val="0"/>
      <w:marRight w:val="0"/>
      <w:marTop w:val="0"/>
      <w:marBottom w:val="0"/>
      <w:divBdr>
        <w:top w:val="none" w:sz="0" w:space="0" w:color="auto"/>
        <w:left w:val="none" w:sz="0" w:space="0" w:color="auto"/>
        <w:bottom w:val="none" w:sz="0" w:space="0" w:color="auto"/>
        <w:right w:val="none" w:sz="0" w:space="0" w:color="auto"/>
      </w:divBdr>
    </w:div>
    <w:div w:id="363596814">
      <w:bodyDiv w:val="1"/>
      <w:marLeft w:val="0"/>
      <w:marRight w:val="0"/>
      <w:marTop w:val="0"/>
      <w:marBottom w:val="0"/>
      <w:divBdr>
        <w:top w:val="none" w:sz="0" w:space="0" w:color="auto"/>
        <w:left w:val="none" w:sz="0" w:space="0" w:color="auto"/>
        <w:bottom w:val="none" w:sz="0" w:space="0" w:color="auto"/>
        <w:right w:val="none" w:sz="0" w:space="0" w:color="auto"/>
      </w:divBdr>
    </w:div>
    <w:div w:id="370808017">
      <w:bodyDiv w:val="1"/>
      <w:marLeft w:val="0"/>
      <w:marRight w:val="0"/>
      <w:marTop w:val="0"/>
      <w:marBottom w:val="0"/>
      <w:divBdr>
        <w:top w:val="none" w:sz="0" w:space="0" w:color="auto"/>
        <w:left w:val="none" w:sz="0" w:space="0" w:color="auto"/>
        <w:bottom w:val="none" w:sz="0" w:space="0" w:color="auto"/>
        <w:right w:val="none" w:sz="0" w:space="0" w:color="auto"/>
      </w:divBdr>
    </w:div>
    <w:div w:id="402920401">
      <w:bodyDiv w:val="1"/>
      <w:marLeft w:val="0"/>
      <w:marRight w:val="0"/>
      <w:marTop w:val="0"/>
      <w:marBottom w:val="0"/>
      <w:divBdr>
        <w:top w:val="none" w:sz="0" w:space="0" w:color="auto"/>
        <w:left w:val="none" w:sz="0" w:space="0" w:color="auto"/>
        <w:bottom w:val="none" w:sz="0" w:space="0" w:color="auto"/>
        <w:right w:val="none" w:sz="0" w:space="0" w:color="auto"/>
      </w:divBdr>
    </w:div>
    <w:div w:id="405764521">
      <w:bodyDiv w:val="1"/>
      <w:marLeft w:val="0"/>
      <w:marRight w:val="0"/>
      <w:marTop w:val="0"/>
      <w:marBottom w:val="0"/>
      <w:divBdr>
        <w:top w:val="none" w:sz="0" w:space="0" w:color="auto"/>
        <w:left w:val="none" w:sz="0" w:space="0" w:color="auto"/>
        <w:bottom w:val="none" w:sz="0" w:space="0" w:color="auto"/>
        <w:right w:val="none" w:sz="0" w:space="0" w:color="auto"/>
      </w:divBdr>
    </w:div>
    <w:div w:id="408118671">
      <w:bodyDiv w:val="1"/>
      <w:marLeft w:val="0"/>
      <w:marRight w:val="0"/>
      <w:marTop w:val="0"/>
      <w:marBottom w:val="0"/>
      <w:divBdr>
        <w:top w:val="none" w:sz="0" w:space="0" w:color="auto"/>
        <w:left w:val="none" w:sz="0" w:space="0" w:color="auto"/>
        <w:bottom w:val="none" w:sz="0" w:space="0" w:color="auto"/>
        <w:right w:val="none" w:sz="0" w:space="0" w:color="auto"/>
      </w:divBdr>
    </w:div>
    <w:div w:id="408770383">
      <w:bodyDiv w:val="1"/>
      <w:marLeft w:val="0"/>
      <w:marRight w:val="0"/>
      <w:marTop w:val="0"/>
      <w:marBottom w:val="0"/>
      <w:divBdr>
        <w:top w:val="none" w:sz="0" w:space="0" w:color="auto"/>
        <w:left w:val="none" w:sz="0" w:space="0" w:color="auto"/>
        <w:bottom w:val="none" w:sz="0" w:space="0" w:color="auto"/>
        <w:right w:val="none" w:sz="0" w:space="0" w:color="auto"/>
      </w:divBdr>
    </w:div>
    <w:div w:id="423459156">
      <w:bodyDiv w:val="1"/>
      <w:marLeft w:val="0"/>
      <w:marRight w:val="0"/>
      <w:marTop w:val="0"/>
      <w:marBottom w:val="0"/>
      <w:divBdr>
        <w:top w:val="none" w:sz="0" w:space="0" w:color="auto"/>
        <w:left w:val="none" w:sz="0" w:space="0" w:color="auto"/>
        <w:bottom w:val="none" w:sz="0" w:space="0" w:color="auto"/>
        <w:right w:val="none" w:sz="0" w:space="0" w:color="auto"/>
      </w:divBdr>
    </w:div>
    <w:div w:id="429349537">
      <w:bodyDiv w:val="1"/>
      <w:marLeft w:val="0"/>
      <w:marRight w:val="0"/>
      <w:marTop w:val="0"/>
      <w:marBottom w:val="0"/>
      <w:divBdr>
        <w:top w:val="none" w:sz="0" w:space="0" w:color="auto"/>
        <w:left w:val="none" w:sz="0" w:space="0" w:color="auto"/>
        <w:bottom w:val="none" w:sz="0" w:space="0" w:color="auto"/>
        <w:right w:val="none" w:sz="0" w:space="0" w:color="auto"/>
      </w:divBdr>
    </w:div>
    <w:div w:id="439952297">
      <w:bodyDiv w:val="1"/>
      <w:marLeft w:val="0"/>
      <w:marRight w:val="0"/>
      <w:marTop w:val="0"/>
      <w:marBottom w:val="0"/>
      <w:divBdr>
        <w:top w:val="none" w:sz="0" w:space="0" w:color="auto"/>
        <w:left w:val="none" w:sz="0" w:space="0" w:color="auto"/>
        <w:bottom w:val="none" w:sz="0" w:space="0" w:color="auto"/>
        <w:right w:val="none" w:sz="0" w:space="0" w:color="auto"/>
      </w:divBdr>
    </w:div>
    <w:div w:id="447049332">
      <w:bodyDiv w:val="1"/>
      <w:marLeft w:val="0"/>
      <w:marRight w:val="0"/>
      <w:marTop w:val="0"/>
      <w:marBottom w:val="0"/>
      <w:divBdr>
        <w:top w:val="none" w:sz="0" w:space="0" w:color="auto"/>
        <w:left w:val="none" w:sz="0" w:space="0" w:color="auto"/>
        <w:bottom w:val="none" w:sz="0" w:space="0" w:color="auto"/>
        <w:right w:val="none" w:sz="0" w:space="0" w:color="auto"/>
      </w:divBdr>
    </w:div>
    <w:div w:id="494616521">
      <w:bodyDiv w:val="1"/>
      <w:marLeft w:val="0"/>
      <w:marRight w:val="0"/>
      <w:marTop w:val="0"/>
      <w:marBottom w:val="0"/>
      <w:divBdr>
        <w:top w:val="none" w:sz="0" w:space="0" w:color="auto"/>
        <w:left w:val="none" w:sz="0" w:space="0" w:color="auto"/>
        <w:bottom w:val="none" w:sz="0" w:space="0" w:color="auto"/>
        <w:right w:val="none" w:sz="0" w:space="0" w:color="auto"/>
      </w:divBdr>
    </w:div>
    <w:div w:id="496194146">
      <w:bodyDiv w:val="1"/>
      <w:marLeft w:val="0"/>
      <w:marRight w:val="0"/>
      <w:marTop w:val="0"/>
      <w:marBottom w:val="0"/>
      <w:divBdr>
        <w:top w:val="none" w:sz="0" w:space="0" w:color="auto"/>
        <w:left w:val="none" w:sz="0" w:space="0" w:color="auto"/>
        <w:bottom w:val="none" w:sz="0" w:space="0" w:color="auto"/>
        <w:right w:val="none" w:sz="0" w:space="0" w:color="auto"/>
      </w:divBdr>
    </w:div>
    <w:div w:id="500973191">
      <w:bodyDiv w:val="1"/>
      <w:marLeft w:val="0"/>
      <w:marRight w:val="0"/>
      <w:marTop w:val="0"/>
      <w:marBottom w:val="0"/>
      <w:divBdr>
        <w:top w:val="none" w:sz="0" w:space="0" w:color="auto"/>
        <w:left w:val="none" w:sz="0" w:space="0" w:color="auto"/>
        <w:bottom w:val="none" w:sz="0" w:space="0" w:color="auto"/>
        <w:right w:val="none" w:sz="0" w:space="0" w:color="auto"/>
      </w:divBdr>
    </w:div>
    <w:div w:id="504903400">
      <w:bodyDiv w:val="1"/>
      <w:marLeft w:val="0"/>
      <w:marRight w:val="0"/>
      <w:marTop w:val="0"/>
      <w:marBottom w:val="0"/>
      <w:divBdr>
        <w:top w:val="none" w:sz="0" w:space="0" w:color="auto"/>
        <w:left w:val="none" w:sz="0" w:space="0" w:color="auto"/>
        <w:bottom w:val="none" w:sz="0" w:space="0" w:color="auto"/>
        <w:right w:val="none" w:sz="0" w:space="0" w:color="auto"/>
      </w:divBdr>
      <w:divsChild>
        <w:div w:id="2063207689">
          <w:marLeft w:val="0"/>
          <w:marRight w:val="0"/>
          <w:marTop w:val="0"/>
          <w:marBottom w:val="0"/>
          <w:divBdr>
            <w:top w:val="none" w:sz="0" w:space="0" w:color="auto"/>
            <w:left w:val="none" w:sz="0" w:space="0" w:color="auto"/>
            <w:bottom w:val="none" w:sz="0" w:space="0" w:color="auto"/>
            <w:right w:val="none" w:sz="0" w:space="0" w:color="auto"/>
          </w:divBdr>
          <w:divsChild>
            <w:div w:id="122580532">
              <w:marLeft w:val="0"/>
              <w:marRight w:val="0"/>
              <w:marTop w:val="0"/>
              <w:marBottom w:val="0"/>
              <w:divBdr>
                <w:top w:val="none" w:sz="0" w:space="0" w:color="auto"/>
                <w:left w:val="none" w:sz="0" w:space="0" w:color="auto"/>
                <w:bottom w:val="none" w:sz="0" w:space="0" w:color="auto"/>
                <w:right w:val="none" w:sz="0" w:space="0" w:color="auto"/>
              </w:divBdr>
              <w:divsChild>
                <w:div w:id="1521092482">
                  <w:marLeft w:val="0"/>
                  <w:marRight w:val="0"/>
                  <w:marTop w:val="0"/>
                  <w:marBottom w:val="0"/>
                  <w:divBdr>
                    <w:top w:val="none" w:sz="0" w:space="0" w:color="auto"/>
                    <w:left w:val="none" w:sz="0" w:space="0" w:color="auto"/>
                    <w:bottom w:val="none" w:sz="0" w:space="0" w:color="auto"/>
                    <w:right w:val="none" w:sz="0" w:space="0" w:color="auto"/>
                  </w:divBdr>
                  <w:divsChild>
                    <w:div w:id="1249998495">
                      <w:marLeft w:val="420"/>
                      <w:marRight w:val="0"/>
                      <w:marTop w:val="0"/>
                      <w:marBottom w:val="0"/>
                      <w:divBdr>
                        <w:top w:val="none" w:sz="0" w:space="0" w:color="auto"/>
                        <w:left w:val="none" w:sz="0" w:space="0" w:color="auto"/>
                        <w:bottom w:val="none" w:sz="0" w:space="0" w:color="auto"/>
                        <w:right w:val="none" w:sz="0" w:space="0" w:color="auto"/>
                      </w:divBdr>
                      <w:divsChild>
                        <w:div w:id="1843279200">
                          <w:marLeft w:val="0"/>
                          <w:marRight w:val="0"/>
                          <w:marTop w:val="0"/>
                          <w:marBottom w:val="0"/>
                          <w:divBdr>
                            <w:top w:val="none" w:sz="0" w:space="0" w:color="auto"/>
                            <w:left w:val="none" w:sz="0" w:space="0" w:color="auto"/>
                            <w:bottom w:val="none" w:sz="0" w:space="0" w:color="auto"/>
                            <w:right w:val="none" w:sz="0" w:space="0" w:color="auto"/>
                          </w:divBdr>
                          <w:divsChild>
                            <w:div w:id="1503159659">
                              <w:marLeft w:val="0"/>
                              <w:marRight w:val="0"/>
                              <w:marTop w:val="0"/>
                              <w:marBottom w:val="0"/>
                              <w:divBdr>
                                <w:top w:val="none" w:sz="0" w:space="0" w:color="auto"/>
                                <w:left w:val="none" w:sz="0" w:space="0" w:color="auto"/>
                                <w:bottom w:val="none" w:sz="0" w:space="0" w:color="auto"/>
                                <w:right w:val="none" w:sz="0" w:space="0" w:color="auto"/>
                              </w:divBdr>
                              <w:divsChild>
                                <w:div w:id="97482055">
                                  <w:marLeft w:val="0"/>
                                  <w:marRight w:val="0"/>
                                  <w:marTop w:val="0"/>
                                  <w:marBottom w:val="0"/>
                                  <w:divBdr>
                                    <w:top w:val="none" w:sz="0" w:space="0" w:color="auto"/>
                                    <w:left w:val="none" w:sz="0" w:space="0" w:color="auto"/>
                                    <w:bottom w:val="none" w:sz="0" w:space="0" w:color="auto"/>
                                    <w:right w:val="none" w:sz="0" w:space="0" w:color="auto"/>
                                  </w:divBdr>
                                  <w:divsChild>
                                    <w:div w:id="421609643">
                                      <w:marLeft w:val="0"/>
                                      <w:marRight w:val="0"/>
                                      <w:marTop w:val="0"/>
                                      <w:marBottom w:val="0"/>
                                      <w:divBdr>
                                        <w:top w:val="none" w:sz="0" w:space="0" w:color="auto"/>
                                        <w:left w:val="none" w:sz="0" w:space="0" w:color="auto"/>
                                        <w:bottom w:val="none" w:sz="0" w:space="0" w:color="auto"/>
                                        <w:right w:val="none" w:sz="0" w:space="0" w:color="auto"/>
                                      </w:divBdr>
                                      <w:divsChild>
                                        <w:div w:id="19864267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406680">
      <w:bodyDiv w:val="1"/>
      <w:marLeft w:val="0"/>
      <w:marRight w:val="0"/>
      <w:marTop w:val="0"/>
      <w:marBottom w:val="0"/>
      <w:divBdr>
        <w:top w:val="none" w:sz="0" w:space="0" w:color="auto"/>
        <w:left w:val="none" w:sz="0" w:space="0" w:color="auto"/>
        <w:bottom w:val="none" w:sz="0" w:space="0" w:color="auto"/>
        <w:right w:val="none" w:sz="0" w:space="0" w:color="auto"/>
      </w:divBdr>
    </w:div>
    <w:div w:id="506481615">
      <w:bodyDiv w:val="1"/>
      <w:marLeft w:val="0"/>
      <w:marRight w:val="0"/>
      <w:marTop w:val="0"/>
      <w:marBottom w:val="0"/>
      <w:divBdr>
        <w:top w:val="none" w:sz="0" w:space="0" w:color="auto"/>
        <w:left w:val="none" w:sz="0" w:space="0" w:color="auto"/>
        <w:bottom w:val="none" w:sz="0" w:space="0" w:color="auto"/>
        <w:right w:val="none" w:sz="0" w:space="0" w:color="auto"/>
      </w:divBdr>
    </w:div>
    <w:div w:id="509569035">
      <w:bodyDiv w:val="1"/>
      <w:marLeft w:val="0"/>
      <w:marRight w:val="0"/>
      <w:marTop w:val="0"/>
      <w:marBottom w:val="0"/>
      <w:divBdr>
        <w:top w:val="none" w:sz="0" w:space="0" w:color="auto"/>
        <w:left w:val="none" w:sz="0" w:space="0" w:color="auto"/>
        <w:bottom w:val="none" w:sz="0" w:space="0" w:color="auto"/>
        <w:right w:val="none" w:sz="0" w:space="0" w:color="auto"/>
      </w:divBdr>
    </w:div>
    <w:div w:id="512063647">
      <w:bodyDiv w:val="1"/>
      <w:marLeft w:val="0"/>
      <w:marRight w:val="0"/>
      <w:marTop w:val="0"/>
      <w:marBottom w:val="0"/>
      <w:divBdr>
        <w:top w:val="none" w:sz="0" w:space="0" w:color="auto"/>
        <w:left w:val="none" w:sz="0" w:space="0" w:color="auto"/>
        <w:bottom w:val="none" w:sz="0" w:space="0" w:color="auto"/>
        <w:right w:val="none" w:sz="0" w:space="0" w:color="auto"/>
      </w:divBdr>
    </w:div>
    <w:div w:id="528376400">
      <w:bodyDiv w:val="1"/>
      <w:marLeft w:val="0"/>
      <w:marRight w:val="0"/>
      <w:marTop w:val="0"/>
      <w:marBottom w:val="0"/>
      <w:divBdr>
        <w:top w:val="none" w:sz="0" w:space="0" w:color="auto"/>
        <w:left w:val="none" w:sz="0" w:space="0" w:color="auto"/>
        <w:bottom w:val="none" w:sz="0" w:space="0" w:color="auto"/>
        <w:right w:val="none" w:sz="0" w:space="0" w:color="auto"/>
      </w:divBdr>
    </w:div>
    <w:div w:id="538013253">
      <w:bodyDiv w:val="1"/>
      <w:marLeft w:val="0"/>
      <w:marRight w:val="0"/>
      <w:marTop w:val="0"/>
      <w:marBottom w:val="0"/>
      <w:divBdr>
        <w:top w:val="none" w:sz="0" w:space="0" w:color="auto"/>
        <w:left w:val="none" w:sz="0" w:space="0" w:color="auto"/>
        <w:bottom w:val="none" w:sz="0" w:space="0" w:color="auto"/>
        <w:right w:val="none" w:sz="0" w:space="0" w:color="auto"/>
      </w:divBdr>
    </w:div>
    <w:div w:id="543060418">
      <w:bodyDiv w:val="1"/>
      <w:marLeft w:val="0"/>
      <w:marRight w:val="0"/>
      <w:marTop w:val="0"/>
      <w:marBottom w:val="0"/>
      <w:divBdr>
        <w:top w:val="none" w:sz="0" w:space="0" w:color="auto"/>
        <w:left w:val="none" w:sz="0" w:space="0" w:color="auto"/>
        <w:bottom w:val="none" w:sz="0" w:space="0" w:color="auto"/>
        <w:right w:val="none" w:sz="0" w:space="0" w:color="auto"/>
      </w:divBdr>
    </w:div>
    <w:div w:id="552237909">
      <w:bodyDiv w:val="1"/>
      <w:marLeft w:val="0"/>
      <w:marRight w:val="0"/>
      <w:marTop w:val="0"/>
      <w:marBottom w:val="0"/>
      <w:divBdr>
        <w:top w:val="none" w:sz="0" w:space="0" w:color="auto"/>
        <w:left w:val="none" w:sz="0" w:space="0" w:color="auto"/>
        <w:bottom w:val="none" w:sz="0" w:space="0" w:color="auto"/>
        <w:right w:val="none" w:sz="0" w:space="0" w:color="auto"/>
      </w:divBdr>
      <w:divsChild>
        <w:div w:id="1393433105">
          <w:marLeft w:val="0"/>
          <w:marRight w:val="0"/>
          <w:marTop w:val="0"/>
          <w:marBottom w:val="0"/>
          <w:divBdr>
            <w:top w:val="none" w:sz="0" w:space="0" w:color="auto"/>
            <w:left w:val="none" w:sz="0" w:space="0" w:color="auto"/>
            <w:bottom w:val="none" w:sz="0" w:space="0" w:color="auto"/>
            <w:right w:val="none" w:sz="0" w:space="0" w:color="auto"/>
          </w:divBdr>
          <w:divsChild>
            <w:div w:id="779647103">
              <w:marLeft w:val="0"/>
              <w:marRight w:val="0"/>
              <w:marTop w:val="0"/>
              <w:marBottom w:val="0"/>
              <w:divBdr>
                <w:top w:val="none" w:sz="0" w:space="0" w:color="auto"/>
                <w:left w:val="none" w:sz="0" w:space="0" w:color="auto"/>
                <w:bottom w:val="none" w:sz="0" w:space="0" w:color="auto"/>
                <w:right w:val="none" w:sz="0" w:space="0" w:color="auto"/>
              </w:divBdr>
              <w:divsChild>
                <w:div w:id="789319582">
                  <w:marLeft w:val="0"/>
                  <w:marRight w:val="0"/>
                  <w:marTop w:val="0"/>
                  <w:marBottom w:val="0"/>
                  <w:divBdr>
                    <w:top w:val="none" w:sz="0" w:space="0" w:color="auto"/>
                    <w:left w:val="none" w:sz="0" w:space="0" w:color="auto"/>
                    <w:bottom w:val="none" w:sz="0" w:space="0" w:color="auto"/>
                    <w:right w:val="none" w:sz="0" w:space="0" w:color="auto"/>
                  </w:divBdr>
                  <w:divsChild>
                    <w:div w:id="1421367236">
                      <w:marLeft w:val="420"/>
                      <w:marRight w:val="0"/>
                      <w:marTop w:val="0"/>
                      <w:marBottom w:val="0"/>
                      <w:divBdr>
                        <w:top w:val="none" w:sz="0" w:space="0" w:color="auto"/>
                        <w:left w:val="none" w:sz="0" w:space="0" w:color="auto"/>
                        <w:bottom w:val="none" w:sz="0" w:space="0" w:color="auto"/>
                        <w:right w:val="none" w:sz="0" w:space="0" w:color="auto"/>
                      </w:divBdr>
                      <w:divsChild>
                        <w:div w:id="2119325911">
                          <w:marLeft w:val="0"/>
                          <w:marRight w:val="0"/>
                          <w:marTop w:val="0"/>
                          <w:marBottom w:val="0"/>
                          <w:divBdr>
                            <w:top w:val="none" w:sz="0" w:space="0" w:color="auto"/>
                            <w:left w:val="none" w:sz="0" w:space="0" w:color="auto"/>
                            <w:bottom w:val="none" w:sz="0" w:space="0" w:color="auto"/>
                            <w:right w:val="none" w:sz="0" w:space="0" w:color="auto"/>
                          </w:divBdr>
                          <w:divsChild>
                            <w:div w:id="1956713290">
                              <w:marLeft w:val="0"/>
                              <w:marRight w:val="0"/>
                              <w:marTop w:val="0"/>
                              <w:marBottom w:val="0"/>
                              <w:divBdr>
                                <w:top w:val="none" w:sz="0" w:space="0" w:color="auto"/>
                                <w:left w:val="none" w:sz="0" w:space="0" w:color="auto"/>
                                <w:bottom w:val="none" w:sz="0" w:space="0" w:color="auto"/>
                                <w:right w:val="none" w:sz="0" w:space="0" w:color="auto"/>
                              </w:divBdr>
                              <w:divsChild>
                                <w:div w:id="526211802">
                                  <w:marLeft w:val="0"/>
                                  <w:marRight w:val="0"/>
                                  <w:marTop w:val="0"/>
                                  <w:marBottom w:val="0"/>
                                  <w:divBdr>
                                    <w:top w:val="none" w:sz="0" w:space="0" w:color="auto"/>
                                    <w:left w:val="none" w:sz="0" w:space="0" w:color="auto"/>
                                    <w:bottom w:val="none" w:sz="0" w:space="0" w:color="auto"/>
                                    <w:right w:val="none" w:sz="0" w:space="0" w:color="auto"/>
                                  </w:divBdr>
                                  <w:divsChild>
                                    <w:div w:id="1490486029">
                                      <w:marLeft w:val="0"/>
                                      <w:marRight w:val="0"/>
                                      <w:marTop w:val="0"/>
                                      <w:marBottom w:val="0"/>
                                      <w:divBdr>
                                        <w:top w:val="none" w:sz="0" w:space="0" w:color="auto"/>
                                        <w:left w:val="none" w:sz="0" w:space="0" w:color="auto"/>
                                        <w:bottom w:val="none" w:sz="0" w:space="0" w:color="auto"/>
                                        <w:right w:val="none" w:sz="0" w:space="0" w:color="auto"/>
                                      </w:divBdr>
                                      <w:divsChild>
                                        <w:div w:id="1536842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382848">
      <w:bodyDiv w:val="1"/>
      <w:marLeft w:val="0"/>
      <w:marRight w:val="0"/>
      <w:marTop w:val="0"/>
      <w:marBottom w:val="0"/>
      <w:divBdr>
        <w:top w:val="none" w:sz="0" w:space="0" w:color="auto"/>
        <w:left w:val="none" w:sz="0" w:space="0" w:color="auto"/>
        <w:bottom w:val="none" w:sz="0" w:space="0" w:color="auto"/>
        <w:right w:val="none" w:sz="0" w:space="0" w:color="auto"/>
      </w:divBdr>
    </w:div>
    <w:div w:id="584143538">
      <w:bodyDiv w:val="1"/>
      <w:marLeft w:val="0"/>
      <w:marRight w:val="0"/>
      <w:marTop w:val="0"/>
      <w:marBottom w:val="0"/>
      <w:divBdr>
        <w:top w:val="none" w:sz="0" w:space="0" w:color="auto"/>
        <w:left w:val="none" w:sz="0" w:space="0" w:color="auto"/>
        <w:bottom w:val="none" w:sz="0" w:space="0" w:color="auto"/>
        <w:right w:val="none" w:sz="0" w:space="0" w:color="auto"/>
      </w:divBdr>
    </w:div>
    <w:div w:id="584346287">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2443489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68485597">
      <w:bodyDiv w:val="1"/>
      <w:marLeft w:val="0"/>
      <w:marRight w:val="0"/>
      <w:marTop w:val="0"/>
      <w:marBottom w:val="0"/>
      <w:divBdr>
        <w:top w:val="none" w:sz="0" w:space="0" w:color="auto"/>
        <w:left w:val="none" w:sz="0" w:space="0" w:color="auto"/>
        <w:bottom w:val="none" w:sz="0" w:space="0" w:color="auto"/>
        <w:right w:val="none" w:sz="0" w:space="0" w:color="auto"/>
      </w:divBdr>
    </w:div>
    <w:div w:id="669260514">
      <w:bodyDiv w:val="1"/>
      <w:marLeft w:val="0"/>
      <w:marRight w:val="0"/>
      <w:marTop w:val="0"/>
      <w:marBottom w:val="0"/>
      <w:divBdr>
        <w:top w:val="none" w:sz="0" w:space="0" w:color="auto"/>
        <w:left w:val="none" w:sz="0" w:space="0" w:color="auto"/>
        <w:bottom w:val="none" w:sz="0" w:space="0" w:color="auto"/>
        <w:right w:val="none" w:sz="0" w:space="0" w:color="auto"/>
      </w:divBdr>
    </w:div>
    <w:div w:id="670566722">
      <w:bodyDiv w:val="1"/>
      <w:marLeft w:val="0"/>
      <w:marRight w:val="0"/>
      <w:marTop w:val="0"/>
      <w:marBottom w:val="0"/>
      <w:divBdr>
        <w:top w:val="none" w:sz="0" w:space="0" w:color="auto"/>
        <w:left w:val="none" w:sz="0" w:space="0" w:color="auto"/>
        <w:bottom w:val="none" w:sz="0" w:space="0" w:color="auto"/>
        <w:right w:val="none" w:sz="0" w:space="0" w:color="auto"/>
      </w:divBdr>
    </w:div>
    <w:div w:id="692268870">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68083609">
      <w:bodyDiv w:val="1"/>
      <w:marLeft w:val="0"/>
      <w:marRight w:val="0"/>
      <w:marTop w:val="0"/>
      <w:marBottom w:val="0"/>
      <w:divBdr>
        <w:top w:val="none" w:sz="0" w:space="0" w:color="auto"/>
        <w:left w:val="none" w:sz="0" w:space="0" w:color="auto"/>
        <w:bottom w:val="none" w:sz="0" w:space="0" w:color="auto"/>
        <w:right w:val="none" w:sz="0" w:space="0" w:color="auto"/>
      </w:divBdr>
    </w:div>
    <w:div w:id="772627416">
      <w:bodyDiv w:val="1"/>
      <w:marLeft w:val="0"/>
      <w:marRight w:val="0"/>
      <w:marTop w:val="0"/>
      <w:marBottom w:val="0"/>
      <w:divBdr>
        <w:top w:val="none" w:sz="0" w:space="0" w:color="auto"/>
        <w:left w:val="none" w:sz="0" w:space="0" w:color="auto"/>
        <w:bottom w:val="none" w:sz="0" w:space="0" w:color="auto"/>
        <w:right w:val="none" w:sz="0" w:space="0" w:color="auto"/>
      </w:divBdr>
    </w:div>
    <w:div w:id="785782498">
      <w:bodyDiv w:val="1"/>
      <w:marLeft w:val="0"/>
      <w:marRight w:val="0"/>
      <w:marTop w:val="0"/>
      <w:marBottom w:val="0"/>
      <w:divBdr>
        <w:top w:val="none" w:sz="0" w:space="0" w:color="auto"/>
        <w:left w:val="none" w:sz="0" w:space="0" w:color="auto"/>
        <w:bottom w:val="none" w:sz="0" w:space="0" w:color="auto"/>
        <w:right w:val="none" w:sz="0" w:space="0" w:color="auto"/>
      </w:divBdr>
    </w:div>
    <w:div w:id="850026520">
      <w:bodyDiv w:val="1"/>
      <w:marLeft w:val="0"/>
      <w:marRight w:val="0"/>
      <w:marTop w:val="0"/>
      <w:marBottom w:val="0"/>
      <w:divBdr>
        <w:top w:val="none" w:sz="0" w:space="0" w:color="auto"/>
        <w:left w:val="none" w:sz="0" w:space="0" w:color="auto"/>
        <w:bottom w:val="none" w:sz="0" w:space="0" w:color="auto"/>
        <w:right w:val="none" w:sz="0" w:space="0" w:color="auto"/>
      </w:divBdr>
    </w:div>
    <w:div w:id="865022719">
      <w:bodyDiv w:val="1"/>
      <w:marLeft w:val="0"/>
      <w:marRight w:val="0"/>
      <w:marTop w:val="0"/>
      <w:marBottom w:val="0"/>
      <w:divBdr>
        <w:top w:val="none" w:sz="0" w:space="0" w:color="auto"/>
        <w:left w:val="none" w:sz="0" w:space="0" w:color="auto"/>
        <w:bottom w:val="none" w:sz="0" w:space="0" w:color="auto"/>
        <w:right w:val="none" w:sz="0" w:space="0" w:color="auto"/>
      </w:divBdr>
    </w:div>
    <w:div w:id="868110043">
      <w:bodyDiv w:val="1"/>
      <w:marLeft w:val="0"/>
      <w:marRight w:val="0"/>
      <w:marTop w:val="0"/>
      <w:marBottom w:val="0"/>
      <w:divBdr>
        <w:top w:val="none" w:sz="0" w:space="0" w:color="auto"/>
        <w:left w:val="none" w:sz="0" w:space="0" w:color="auto"/>
        <w:bottom w:val="none" w:sz="0" w:space="0" w:color="auto"/>
        <w:right w:val="none" w:sz="0" w:space="0" w:color="auto"/>
      </w:divBdr>
    </w:div>
    <w:div w:id="870147553">
      <w:bodyDiv w:val="1"/>
      <w:marLeft w:val="0"/>
      <w:marRight w:val="0"/>
      <w:marTop w:val="0"/>
      <w:marBottom w:val="0"/>
      <w:divBdr>
        <w:top w:val="none" w:sz="0" w:space="0" w:color="auto"/>
        <w:left w:val="none" w:sz="0" w:space="0" w:color="auto"/>
        <w:bottom w:val="none" w:sz="0" w:space="0" w:color="auto"/>
        <w:right w:val="none" w:sz="0" w:space="0" w:color="auto"/>
      </w:divBdr>
      <w:divsChild>
        <w:div w:id="18627746">
          <w:marLeft w:val="0"/>
          <w:marRight w:val="0"/>
          <w:marTop w:val="0"/>
          <w:marBottom w:val="0"/>
          <w:divBdr>
            <w:top w:val="none" w:sz="0" w:space="0" w:color="auto"/>
            <w:left w:val="none" w:sz="0" w:space="0" w:color="auto"/>
            <w:bottom w:val="none" w:sz="0" w:space="0" w:color="auto"/>
            <w:right w:val="none" w:sz="0" w:space="0" w:color="auto"/>
          </w:divBdr>
          <w:divsChild>
            <w:div w:id="1027683088">
              <w:marLeft w:val="0"/>
              <w:marRight w:val="0"/>
              <w:marTop w:val="0"/>
              <w:marBottom w:val="0"/>
              <w:divBdr>
                <w:top w:val="none" w:sz="0" w:space="0" w:color="auto"/>
                <w:left w:val="none" w:sz="0" w:space="0" w:color="auto"/>
                <w:bottom w:val="none" w:sz="0" w:space="0" w:color="auto"/>
                <w:right w:val="none" w:sz="0" w:space="0" w:color="auto"/>
              </w:divBdr>
              <w:divsChild>
                <w:div w:id="1438408929">
                  <w:marLeft w:val="0"/>
                  <w:marRight w:val="0"/>
                  <w:marTop w:val="0"/>
                  <w:marBottom w:val="0"/>
                  <w:divBdr>
                    <w:top w:val="none" w:sz="0" w:space="0" w:color="auto"/>
                    <w:left w:val="none" w:sz="0" w:space="0" w:color="auto"/>
                    <w:bottom w:val="none" w:sz="0" w:space="0" w:color="auto"/>
                    <w:right w:val="none" w:sz="0" w:space="0" w:color="auto"/>
                  </w:divBdr>
                  <w:divsChild>
                    <w:div w:id="500118360">
                      <w:marLeft w:val="420"/>
                      <w:marRight w:val="0"/>
                      <w:marTop w:val="0"/>
                      <w:marBottom w:val="0"/>
                      <w:divBdr>
                        <w:top w:val="none" w:sz="0" w:space="0" w:color="auto"/>
                        <w:left w:val="none" w:sz="0" w:space="0" w:color="auto"/>
                        <w:bottom w:val="none" w:sz="0" w:space="0" w:color="auto"/>
                        <w:right w:val="none" w:sz="0" w:space="0" w:color="auto"/>
                      </w:divBdr>
                      <w:divsChild>
                        <w:div w:id="893540799">
                          <w:marLeft w:val="0"/>
                          <w:marRight w:val="0"/>
                          <w:marTop w:val="0"/>
                          <w:marBottom w:val="0"/>
                          <w:divBdr>
                            <w:top w:val="none" w:sz="0" w:space="0" w:color="auto"/>
                            <w:left w:val="none" w:sz="0" w:space="0" w:color="auto"/>
                            <w:bottom w:val="none" w:sz="0" w:space="0" w:color="auto"/>
                            <w:right w:val="none" w:sz="0" w:space="0" w:color="auto"/>
                          </w:divBdr>
                          <w:divsChild>
                            <w:div w:id="1218005335">
                              <w:marLeft w:val="0"/>
                              <w:marRight w:val="0"/>
                              <w:marTop w:val="0"/>
                              <w:marBottom w:val="0"/>
                              <w:divBdr>
                                <w:top w:val="none" w:sz="0" w:space="0" w:color="auto"/>
                                <w:left w:val="none" w:sz="0" w:space="0" w:color="auto"/>
                                <w:bottom w:val="none" w:sz="0" w:space="0" w:color="auto"/>
                                <w:right w:val="none" w:sz="0" w:space="0" w:color="auto"/>
                              </w:divBdr>
                              <w:divsChild>
                                <w:div w:id="462119124">
                                  <w:marLeft w:val="0"/>
                                  <w:marRight w:val="0"/>
                                  <w:marTop w:val="0"/>
                                  <w:marBottom w:val="0"/>
                                  <w:divBdr>
                                    <w:top w:val="none" w:sz="0" w:space="0" w:color="auto"/>
                                    <w:left w:val="none" w:sz="0" w:space="0" w:color="auto"/>
                                    <w:bottom w:val="none" w:sz="0" w:space="0" w:color="auto"/>
                                    <w:right w:val="none" w:sz="0" w:space="0" w:color="auto"/>
                                  </w:divBdr>
                                  <w:divsChild>
                                    <w:div w:id="2121296644">
                                      <w:marLeft w:val="0"/>
                                      <w:marRight w:val="0"/>
                                      <w:marTop w:val="0"/>
                                      <w:marBottom w:val="0"/>
                                      <w:divBdr>
                                        <w:top w:val="none" w:sz="0" w:space="0" w:color="auto"/>
                                        <w:left w:val="none" w:sz="0" w:space="0" w:color="auto"/>
                                        <w:bottom w:val="none" w:sz="0" w:space="0" w:color="auto"/>
                                        <w:right w:val="none" w:sz="0" w:space="0" w:color="auto"/>
                                      </w:divBdr>
                                      <w:divsChild>
                                        <w:div w:id="15420112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879703241">
      <w:bodyDiv w:val="1"/>
      <w:marLeft w:val="0"/>
      <w:marRight w:val="0"/>
      <w:marTop w:val="0"/>
      <w:marBottom w:val="0"/>
      <w:divBdr>
        <w:top w:val="none" w:sz="0" w:space="0" w:color="auto"/>
        <w:left w:val="none" w:sz="0" w:space="0" w:color="auto"/>
        <w:bottom w:val="none" w:sz="0" w:space="0" w:color="auto"/>
        <w:right w:val="none" w:sz="0" w:space="0" w:color="auto"/>
      </w:divBdr>
    </w:div>
    <w:div w:id="883491163">
      <w:bodyDiv w:val="1"/>
      <w:marLeft w:val="0"/>
      <w:marRight w:val="0"/>
      <w:marTop w:val="0"/>
      <w:marBottom w:val="0"/>
      <w:divBdr>
        <w:top w:val="none" w:sz="0" w:space="0" w:color="auto"/>
        <w:left w:val="none" w:sz="0" w:space="0" w:color="auto"/>
        <w:bottom w:val="none" w:sz="0" w:space="0" w:color="auto"/>
        <w:right w:val="none" w:sz="0" w:space="0" w:color="auto"/>
      </w:divBdr>
    </w:div>
    <w:div w:id="911357272">
      <w:bodyDiv w:val="1"/>
      <w:marLeft w:val="0"/>
      <w:marRight w:val="0"/>
      <w:marTop w:val="0"/>
      <w:marBottom w:val="0"/>
      <w:divBdr>
        <w:top w:val="none" w:sz="0" w:space="0" w:color="auto"/>
        <w:left w:val="none" w:sz="0" w:space="0" w:color="auto"/>
        <w:bottom w:val="none" w:sz="0" w:space="0" w:color="auto"/>
        <w:right w:val="none" w:sz="0" w:space="0" w:color="auto"/>
      </w:divBdr>
    </w:div>
    <w:div w:id="920335455">
      <w:bodyDiv w:val="1"/>
      <w:marLeft w:val="0"/>
      <w:marRight w:val="0"/>
      <w:marTop w:val="0"/>
      <w:marBottom w:val="0"/>
      <w:divBdr>
        <w:top w:val="none" w:sz="0" w:space="0" w:color="auto"/>
        <w:left w:val="none" w:sz="0" w:space="0" w:color="auto"/>
        <w:bottom w:val="none" w:sz="0" w:space="0" w:color="auto"/>
        <w:right w:val="none" w:sz="0" w:space="0" w:color="auto"/>
      </w:divBdr>
    </w:div>
    <w:div w:id="921911450">
      <w:bodyDiv w:val="1"/>
      <w:marLeft w:val="0"/>
      <w:marRight w:val="0"/>
      <w:marTop w:val="0"/>
      <w:marBottom w:val="0"/>
      <w:divBdr>
        <w:top w:val="none" w:sz="0" w:space="0" w:color="auto"/>
        <w:left w:val="none" w:sz="0" w:space="0" w:color="auto"/>
        <w:bottom w:val="none" w:sz="0" w:space="0" w:color="auto"/>
        <w:right w:val="none" w:sz="0" w:space="0" w:color="auto"/>
      </w:divBdr>
    </w:div>
    <w:div w:id="929045806">
      <w:bodyDiv w:val="1"/>
      <w:marLeft w:val="0"/>
      <w:marRight w:val="0"/>
      <w:marTop w:val="0"/>
      <w:marBottom w:val="0"/>
      <w:divBdr>
        <w:top w:val="none" w:sz="0" w:space="0" w:color="auto"/>
        <w:left w:val="none" w:sz="0" w:space="0" w:color="auto"/>
        <w:bottom w:val="none" w:sz="0" w:space="0" w:color="auto"/>
        <w:right w:val="none" w:sz="0" w:space="0" w:color="auto"/>
      </w:divBdr>
    </w:div>
    <w:div w:id="965702096">
      <w:bodyDiv w:val="1"/>
      <w:marLeft w:val="0"/>
      <w:marRight w:val="0"/>
      <w:marTop w:val="0"/>
      <w:marBottom w:val="0"/>
      <w:divBdr>
        <w:top w:val="none" w:sz="0" w:space="0" w:color="auto"/>
        <w:left w:val="none" w:sz="0" w:space="0" w:color="auto"/>
        <w:bottom w:val="none" w:sz="0" w:space="0" w:color="auto"/>
        <w:right w:val="none" w:sz="0" w:space="0" w:color="auto"/>
      </w:divBdr>
    </w:div>
    <w:div w:id="981230916">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22898404">
      <w:bodyDiv w:val="1"/>
      <w:marLeft w:val="0"/>
      <w:marRight w:val="0"/>
      <w:marTop w:val="0"/>
      <w:marBottom w:val="0"/>
      <w:divBdr>
        <w:top w:val="none" w:sz="0" w:space="0" w:color="auto"/>
        <w:left w:val="none" w:sz="0" w:space="0" w:color="auto"/>
        <w:bottom w:val="none" w:sz="0" w:space="0" w:color="auto"/>
        <w:right w:val="none" w:sz="0" w:space="0" w:color="auto"/>
      </w:divBdr>
    </w:div>
    <w:div w:id="1025013551">
      <w:bodyDiv w:val="1"/>
      <w:marLeft w:val="0"/>
      <w:marRight w:val="0"/>
      <w:marTop w:val="0"/>
      <w:marBottom w:val="0"/>
      <w:divBdr>
        <w:top w:val="none" w:sz="0" w:space="0" w:color="auto"/>
        <w:left w:val="none" w:sz="0" w:space="0" w:color="auto"/>
        <w:bottom w:val="none" w:sz="0" w:space="0" w:color="auto"/>
        <w:right w:val="none" w:sz="0" w:space="0" w:color="auto"/>
      </w:divBdr>
    </w:div>
    <w:div w:id="1042634856">
      <w:bodyDiv w:val="1"/>
      <w:marLeft w:val="0"/>
      <w:marRight w:val="0"/>
      <w:marTop w:val="0"/>
      <w:marBottom w:val="0"/>
      <w:divBdr>
        <w:top w:val="none" w:sz="0" w:space="0" w:color="auto"/>
        <w:left w:val="none" w:sz="0" w:space="0" w:color="auto"/>
        <w:bottom w:val="none" w:sz="0" w:space="0" w:color="auto"/>
        <w:right w:val="none" w:sz="0" w:space="0" w:color="auto"/>
      </w:divBdr>
    </w:div>
    <w:div w:id="1050156803">
      <w:bodyDiv w:val="1"/>
      <w:marLeft w:val="0"/>
      <w:marRight w:val="0"/>
      <w:marTop w:val="0"/>
      <w:marBottom w:val="0"/>
      <w:divBdr>
        <w:top w:val="none" w:sz="0" w:space="0" w:color="auto"/>
        <w:left w:val="none" w:sz="0" w:space="0" w:color="auto"/>
        <w:bottom w:val="none" w:sz="0" w:space="0" w:color="auto"/>
        <w:right w:val="none" w:sz="0" w:space="0" w:color="auto"/>
      </w:divBdr>
    </w:div>
    <w:div w:id="1060976427">
      <w:bodyDiv w:val="1"/>
      <w:marLeft w:val="0"/>
      <w:marRight w:val="0"/>
      <w:marTop w:val="0"/>
      <w:marBottom w:val="0"/>
      <w:divBdr>
        <w:top w:val="none" w:sz="0" w:space="0" w:color="auto"/>
        <w:left w:val="none" w:sz="0" w:space="0" w:color="auto"/>
        <w:bottom w:val="none" w:sz="0" w:space="0" w:color="auto"/>
        <w:right w:val="none" w:sz="0" w:space="0" w:color="auto"/>
      </w:divBdr>
    </w:div>
    <w:div w:id="1063986265">
      <w:bodyDiv w:val="1"/>
      <w:marLeft w:val="0"/>
      <w:marRight w:val="0"/>
      <w:marTop w:val="0"/>
      <w:marBottom w:val="0"/>
      <w:divBdr>
        <w:top w:val="none" w:sz="0" w:space="0" w:color="auto"/>
        <w:left w:val="none" w:sz="0" w:space="0" w:color="auto"/>
        <w:bottom w:val="none" w:sz="0" w:space="0" w:color="auto"/>
        <w:right w:val="none" w:sz="0" w:space="0" w:color="auto"/>
      </w:divBdr>
    </w:div>
    <w:div w:id="1079250967">
      <w:bodyDiv w:val="1"/>
      <w:marLeft w:val="0"/>
      <w:marRight w:val="0"/>
      <w:marTop w:val="0"/>
      <w:marBottom w:val="0"/>
      <w:divBdr>
        <w:top w:val="none" w:sz="0" w:space="0" w:color="auto"/>
        <w:left w:val="none" w:sz="0" w:space="0" w:color="auto"/>
        <w:bottom w:val="none" w:sz="0" w:space="0" w:color="auto"/>
        <w:right w:val="none" w:sz="0" w:space="0" w:color="auto"/>
      </w:divBdr>
    </w:div>
    <w:div w:id="1081290331">
      <w:bodyDiv w:val="1"/>
      <w:marLeft w:val="0"/>
      <w:marRight w:val="0"/>
      <w:marTop w:val="0"/>
      <w:marBottom w:val="0"/>
      <w:divBdr>
        <w:top w:val="none" w:sz="0" w:space="0" w:color="auto"/>
        <w:left w:val="none" w:sz="0" w:space="0" w:color="auto"/>
        <w:bottom w:val="none" w:sz="0" w:space="0" w:color="auto"/>
        <w:right w:val="none" w:sz="0" w:space="0" w:color="auto"/>
      </w:divBdr>
    </w:div>
    <w:div w:id="1115710198">
      <w:bodyDiv w:val="1"/>
      <w:marLeft w:val="0"/>
      <w:marRight w:val="0"/>
      <w:marTop w:val="0"/>
      <w:marBottom w:val="0"/>
      <w:divBdr>
        <w:top w:val="none" w:sz="0" w:space="0" w:color="auto"/>
        <w:left w:val="none" w:sz="0" w:space="0" w:color="auto"/>
        <w:bottom w:val="none" w:sz="0" w:space="0" w:color="auto"/>
        <w:right w:val="none" w:sz="0" w:space="0" w:color="auto"/>
      </w:divBdr>
    </w:div>
    <w:div w:id="1119647051">
      <w:bodyDiv w:val="1"/>
      <w:marLeft w:val="0"/>
      <w:marRight w:val="0"/>
      <w:marTop w:val="0"/>
      <w:marBottom w:val="0"/>
      <w:divBdr>
        <w:top w:val="none" w:sz="0" w:space="0" w:color="auto"/>
        <w:left w:val="none" w:sz="0" w:space="0" w:color="auto"/>
        <w:bottom w:val="none" w:sz="0" w:space="0" w:color="auto"/>
        <w:right w:val="none" w:sz="0" w:space="0" w:color="auto"/>
      </w:divBdr>
    </w:div>
    <w:div w:id="1120879375">
      <w:bodyDiv w:val="1"/>
      <w:marLeft w:val="0"/>
      <w:marRight w:val="0"/>
      <w:marTop w:val="0"/>
      <w:marBottom w:val="0"/>
      <w:divBdr>
        <w:top w:val="none" w:sz="0" w:space="0" w:color="auto"/>
        <w:left w:val="none" w:sz="0" w:space="0" w:color="auto"/>
        <w:bottom w:val="none" w:sz="0" w:space="0" w:color="auto"/>
        <w:right w:val="none" w:sz="0" w:space="0" w:color="auto"/>
      </w:divBdr>
    </w:div>
    <w:div w:id="1125201321">
      <w:bodyDiv w:val="1"/>
      <w:marLeft w:val="0"/>
      <w:marRight w:val="0"/>
      <w:marTop w:val="0"/>
      <w:marBottom w:val="0"/>
      <w:divBdr>
        <w:top w:val="none" w:sz="0" w:space="0" w:color="auto"/>
        <w:left w:val="none" w:sz="0" w:space="0" w:color="auto"/>
        <w:bottom w:val="none" w:sz="0" w:space="0" w:color="auto"/>
        <w:right w:val="none" w:sz="0" w:space="0" w:color="auto"/>
      </w:divBdr>
    </w:div>
    <w:div w:id="1134786789">
      <w:bodyDiv w:val="1"/>
      <w:marLeft w:val="0"/>
      <w:marRight w:val="0"/>
      <w:marTop w:val="0"/>
      <w:marBottom w:val="0"/>
      <w:divBdr>
        <w:top w:val="none" w:sz="0" w:space="0" w:color="auto"/>
        <w:left w:val="none" w:sz="0" w:space="0" w:color="auto"/>
        <w:bottom w:val="none" w:sz="0" w:space="0" w:color="auto"/>
        <w:right w:val="none" w:sz="0" w:space="0" w:color="auto"/>
      </w:divBdr>
    </w:div>
    <w:div w:id="1151480894">
      <w:bodyDiv w:val="1"/>
      <w:marLeft w:val="0"/>
      <w:marRight w:val="0"/>
      <w:marTop w:val="0"/>
      <w:marBottom w:val="0"/>
      <w:divBdr>
        <w:top w:val="none" w:sz="0" w:space="0" w:color="auto"/>
        <w:left w:val="none" w:sz="0" w:space="0" w:color="auto"/>
        <w:bottom w:val="none" w:sz="0" w:space="0" w:color="auto"/>
        <w:right w:val="none" w:sz="0" w:space="0" w:color="auto"/>
      </w:divBdr>
    </w:div>
    <w:div w:id="1188253463">
      <w:bodyDiv w:val="1"/>
      <w:marLeft w:val="0"/>
      <w:marRight w:val="0"/>
      <w:marTop w:val="0"/>
      <w:marBottom w:val="0"/>
      <w:divBdr>
        <w:top w:val="none" w:sz="0" w:space="0" w:color="auto"/>
        <w:left w:val="none" w:sz="0" w:space="0" w:color="auto"/>
        <w:bottom w:val="none" w:sz="0" w:space="0" w:color="auto"/>
        <w:right w:val="none" w:sz="0" w:space="0" w:color="auto"/>
      </w:divBdr>
    </w:div>
    <w:div w:id="1257523122">
      <w:bodyDiv w:val="1"/>
      <w:marLeft w:val="0"/>
      <w:marRight w:val="0"/>
      <w:marTop w:val="0"/>
      <w:marBottom w:val="0"/>
      <w:divBdr>
        <w:top w:val="none" w:sz="0" w:space="0" w:color="auto"/>
        <w:left w:val="none" w:sz="0" w:space="0" w:color="auto"/>
        <w:bottom w:val="none" w:sz="0" w:space="0" w:color="auto"/>
        <w:right w:val="none" w:sz="0" w:space="0" w:color="auto"/>
      </w:divBdr>
    </w:div>
    <w:div w:id="1263953760">
      <w:bodyDiv w:val="1"/>
      <w:marLeft w:val="0"/>
      <w:marRight w:val="0"/>
      <w:marTop w:val="0"/>
      <w:marBottom w:val="0"/>
      <w:divBdr>
        <w:top w:val="none" w:sz="0" w:space="0" w:color="auto"/>
        <w:left w:val="none" w:sz="0" w:space="0" w:color="auto"/>
        <w:bottom w:val="none" w:sz="0" w:space="0" w:color="auto"/>
        <w:right w:val="none" w:sz="0" w:space="0" w:color="auto"/>
      </w:divBdr>
    </w:div>
    <w:div w:id="1285698765">
      <w:bodyDiv w:val="1"/>
      <w:marLeft w:val="0"/>
      <w:marRight w:val="0"/>
      <w:marTop w:val="0"/>
      <w:marBottom w:val="0"/>
      <w:divBdr>
        <w:top w:val="none" w:sz="0" w:space="0" w:color="auto"/>
        <w:left w:val="none" w:sz="0" w:space="0" w:color="auto"/>
        <w:bottom w:val="none" w:sz="0" w:space="0" w:color="auto"/>
        <w:right w:val="none" w:sz="0" w:space="0" w:color="auto"/>
      </w:divBdr>
    </w:div>
    <w:div w:id="1309439476">
      <w:bodyDiv w:val="1"/>
      <w:marLeft w:val="0"/>
      <w:marRight w:val="0"/>
      <w:marTop w:val="0"/>
      <w:marBottom w:val="0"/>
      <w:divBdr>
        <w:top w:val="none" w:sz="0" w:space="0" w:color="auto"/>
        <w:left w:val="none" w:sz="0" w:space="0" w:color="auto"/>
        <w:bottom w:val="none" w:sz="0" w:space="0" w:color="auto"/>
        <w:right w:val="none" w:sz="0" w:space="0" w:color="auto"/>
      </w:divBdr>
      <w:divsChild>
        <w:div w:id="1012414974">
          <w:marLeft w:val="0"/>
          <w:marRight w:val="0"/>
          <w:marTop w:val="0"/>
          <w:marBottom w:val="0"/>
          <w:divBdr>
            <w:top w:val="none" w:sz="0" w:space="0" w:color="auto"/>
            <w:left w:val="none" w:sz="0" w:space="0" w:color="auto"/>
            <w:bottom w:val="none" w:sz="0" w:space="0" w:color="auto"/>
            <w:right w:val="none" w:sz="0" w:space="0" w:color="auto"/>
          </w:divBdr>
          <w:divsChild>
            <w:div w:id="2086147355">
              <w:marLeft w:val="0"/>
              <w:marRight w:val="0"/>
              <w:marTop w:val="0"/>
              <w:marBottom w:val="0"/>
              <w:divBdr>
                <w:top w:val="none" w:sz="0" w:space="0" w:color="auto"/>
                <w:left w:val="none" w:sz="0" w:space="0" w:color="auto"/>
                <w:bottom w:val="none" w:sz="0" w:space="0" w:color="auto"/>
                <w:right w:val="none" w:sz="0" w:space="0" w:color="auto"/>
              </w:divBdr>
              <w:divsChild>
                <w:div w:id="1608273705">
                  <w:marLeft w:val="0"/>
                  <w:marRight w:val="0"/>
                  <w:marTop w:val="0"/>
                  <w:marBottom w:val="0"/>
                  <w:divBdr>
                    <w:top w:val="none" w:sz="0" w:space="0" w:color="auto"/>
                    <w:left w:val="none" w:sz="0" w:space="0" w:color="auto"/>
                    <w:bottom w:val="none" w:sz="0" w:space="0" w:color="auto"/>
                    <w:right w:val="none" w:sz="0" w:space="0" w:color="auto"/>
                  </w:divBdr>
                  <w:divsChild>
                    <w:div w:id="1028021380">
                      <w:marLeft w:val="420"/>
                      <w:marRight w:val="0"/>
                      <w:marTop w:val="0"/>
                      <w:marBottom w:val="0"/>
                      <w:divBdr>
                        <w:top w:val="none" w:sz="0" w:space="0" w:color="auto"/>
                        <w:left w:val="none" w:sz="0" w:space="0" w:color="auto"/>
                        <w:bottom w:val="none" w:sz="0" w:space="0" w:color="auto"/>
                        <w:right w:val="none" w:sz="0" w:space="0" w:color="auto"/>
                      </w:divBdr>
                      <w:divsChild>
                        <w:div w:id="533424490">
                          <w:marLeft w:val="0"/>
                          <w:marRight w:val="0"/>
                          <w:marTop w:val="0"/>
                          <w:marBottom w:val="0"/>
                          <w:divBdr>
                            <w:top w:val="none" w:sz="0" w:space="0" w:color="auto"/>
                            <w:left w:val="none" w:sz="0" w:space="0" w:color="auto"/>
                            <w:bottom w:val="none" w:sz="0" w:space="0" w:color="auto"/>
                            <w:right w:val="none" w:sz="0" w:space="0" w:color="auto"/>
                          </w:divBdr>
                          <w:divsChild>
                            <w:div w:id="246698210">
                              <w:marLeft w:val="0"/>
                              <w:marRight w:val="0"/>
                              <w:marTop w:val="0"/>
                              <w:marBottom w:val="0"/>
                              <w:divBdr>
                                <w:top w:val="none" w:sz="0" w:space="0" w:color="auto"/>
                                <w:left w:val="none" w:sz="0" w:space="0" w:color="auto"/>
                                <w:bottom w:val="none" w:sz="0" w:space="0" w:color="auto"/>
                                <w:right w:val="none" w:sz="0" w:space="0" w:color="auto"/>
                              </w:divBdr>
                              <w:divsChild>
                                <w:div w:id="476805746">
                                  <w:marLeft w:val="0"/>
                                  <w:marRight w:val="0"/>
                                  <w:marTop w:val="0"/>
                                  <w:marBottom w:val="0"/>
                                  <w:divBdr>
                                    <w:top w:val="none" w:sz="0" w:space="0" w:color="auto"/>
                                    <w:left w:val="none" w:sz="0" w:space="0" w:color="auto"/>
                                    <w:bottom w:val="none" w:sz="0" w:space="0" w:color="auto"/>
                                    <w:right w:val="none" w:sz="0" w:space="0" w:color="auto"/>
                                  </w:divBdr>
                                  <w:divsChild>
                                    <w:div w:id="2025476936">
                                      <w:marLeft w:val="0"/>
                                      <w:marRight w:val="0"/>
                                      <w:marTop w:val="0"/>
                                      <w:marBottom w:val="0"/>
                                      <w:divBdr>
                                        <w:top w:val="none" w:sz="0" w:space="0" w:color="auto"/>
                                        <w:left w:val="none" w:sz="0" w:space="0" w:color="auto"/>
                                        <w:bottom w:val="none" w:sz="0" w:space="0" w:color="auto"/>
                                        <w:right w:val="none" w:sz="0" w:space="0" w:color="auto"/>
                                      </w:divBdr>
                                      <w:divsChild>
                                        <w:div w:id="13268577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503944">
      <w:bodyDiv w:val="1"/>
      <w:marLeft w:val="0"/>
      <w:marRight w:val="0"/>
      <w:marTop w:val="0"/>
      <w:marBottom w:val="0"/>
      <w:divBdr>
        <w:top w:val="none" w:sz="0" w:space="0" w:color="auto"/>
        <w:left w:val="none" w:sz="0" w:space="0" w:color="auto"/>
        <w:bottom w:val="none" w:sz="0" w:space="0" w:color="auto"/>
        <w:right w:val="none" w:sz="0" w:space="0" w:color="auto"/>
      </w:divBdr>
    </w:div>
    <w:div w:id="1332180956">
      <w:bodyDiv w:val="1"/>
      <w:marLeft w:val="0"/>
      <w:marRight w:val="0"/>
      <w:marTop w:val="0"/>
      <w:marBottom w:val="0"/>
      <w:divBdr>
        <w:top w:val="none" w:sz="0" w:space="0" w:color="auto"/>
        <w:left w:val="none" w:sz="0" w:space="0" w:color="auto"/>
        <w:bottom w:val="none" w:sz="0" w:space="0" w:color="auto"/>
        <w:right w:val="none" w:sz="0" w:space="0" w:color="auto"/>
      </w:divBdr>
    </w:div>
    <w:div w:id="1334526029">
      <w:bodyDiv w:val="1"/>
      <w:marLeft w:val="0"/>
      <w:marRight w:val="0"/>
      <w:marTop w:val="0"/>
      <w:marBottom w:val="0"/>
      <w:divBdr>
        <w:top w:val="none" w:sz="0" w:space="0" w:color="auto"/>
        <w:left w:val="none" w:sz="0" w:space="0" w:color="auto"/>
        <w:bottom w:val="none" w:sz="0" w:space="0" w:color="auto"/>
        <w:right w:val="none" w:sz="0" w:space="0" w:color="auto"/>
      </w:divBdr>
    </w:div>
    <w:div w:id="1349022254">
      <w:bodyDiv w:val="1"/>
      <w:marLeft w:val="0"/>
      <w:marRight w:val="0"/>
      <w:marTop w:val="0"/>
      <w:marBottom w:val="0"/>
      <w:divBdr>
        <w:top w:val="none" w:sz="0" w:space="0" w:color="auto"/>
        <w:left w:val="none" w:sz="0" w:space="0" w:color="auto"/>
        <w:bottom w:val="none" w:sz="0" w:space="0" w:color="auto"/>
        <w:right w:val="none" w:sz="0" w:space="0" w:color="auto"/>
      </w:divBdr>
    </w:div>
    <w:div w:id="1352680485">
      <w:bodyDiv w:val="1"/>
      <w:marLeft w:val="0"/>
      <w:marRight w:val="0"/>
      <w:marTop w:val="0"/>
      <w:marBottom w:val="0"/>
      <w:divBdr>
        <w:top w:val="none" w:sz="0" w:space="0" w:color="auto"/>
        <w:left w:val="none" w:sz="0" w:space="0" w:color="auto"/>
        <w:bottom w:val="none" w:sz="0" w:space="0" w:color="auto"/>
        <w:right w:val="none" w:sz="0" w:space="0" w:color="auto"/>
      </w:divBdr>
      <w:divsChild>
        <w:div w:id="344401718">
          <w:marLeft w:val="0"/>
          <w:marRight w:val="0"/>
          <w:marTop w:val="0"/>
          <w:marBottom w:val="0"/>
          <w:divBdr>
            <w:top w:val="none" w:sz="0" w:space="0" w:color="auto"/>
            <w:left w:val="none" w:sz="0" w:space="0" w:color="auto"/>
            <w:bottom w:val="none" w:sz="0" w:space="0" w:color="auto"/>
            <w:right w:val="none" w:sz="0" w:space="0" w:color="auto"/>
          </w:divBdr>
          <w:divsChild>
            <w:div w:id="1539857972">
              <w:marLeft w:val="0"/>
              <w:marRight w:val="0"/>
              <w:marTop w:val="0"/>
              <w:marBottom w:val="0"/>
              <w:divBdr>
                <w:top w:val="none" w:sz="0" w:space="0" w:color="auto"/>
                <w:left w:val="none" w:sz="0" w:space="0" w:color="auto"/>
                <w:bottom w:val="none" w:sz="0" w:space="0" w:color="auto"/>
                <w:right w:val="none" w:sz="0" w:space="0" w:color="auto"/>
              </w:divBdr>
              <w:divsChild>
                <w:div w:id="1018849283">
                  <w:marLeft w:val="0"/>
                  <w:marRight w:val="0"/>
                  <w:marTop w:val="0"/>
                  <w:marBottom w:val="0"/>
                  <w:divBdr>
                    <w:top w:val="none" w:sz="0" w:space="0" w:color="auto"/>
                    <w:left w:val="none" w:sz="0" w:space="0" w:color="auto"/>
                    <w:bottom w:val="none" w:sz="0" w:space="0" w:color="auto"/>
                    <w:right w:val="none" w:sz="0" w:space="0" w:color="auto"/>
                  </w:divBdr>
                  <w:divsChild>
                    <w:div w:id="1726639510">
                      <w:marLeft w:val="420"/>
                      <w:marRight w:val="0"/>
                      <w:marTop w:val="0"/>
                      <w:marBottom w:val="0"/>
                      <w:divBdr>
                        <w:top w:val="none" w:sz="0" w:space="0" w:color="auto"/>
                        <w:left w:val="none" w:sz="0" w:space="0" w:color="auto"/>
                        <w:bottom w:val="none" w:sz="0" w:space="0" w:color="auto"/>
                        <w:right w:val="none" w:sz="0" w:space="0" w:color="auto"/>
                      </w:divBdr>
                      <w:divsChild>
                        <w:div w:id="1122070488">
                          <w:marLeft w:val="0"/>
                          <w:marRight w:val="0"/>
                          <w:marTop w:val="0"/>
                          <w:marBottom w:val="0"/>
                          <w:divBdr>
                            <w:top w:val="none" w:sz="0" w:space="0" w:color="auto"/>
                            <w:left w:val="none" w:sz="0" w:space="0" w:color="auto"/>
                            <w:bottom w:val="none" w:sz="0" w:space="0" w:color="auto"/>
                            <w:right w:val="none" w:sz="0" w:space="0" w:color="auto"/>
                          </w:divBdr>
                          <w:divsChild>
                            <w:div w:id="1199201989">
                              <w:marLeft w:val="0"/>
                              <w:marRight w:val="0"/>
                              <w:marTop w:val="0"/>
                              <w:marBottom w:val="0"/>
                              <w:divBdr>
                                <w:top w:val="none" w:sz="0" w:space="0" w:color="auto"/>
                                <w:left w:val="none" w:sz="0" w:space="0" w:color="auto"/>
                                <w:bottom w:val="none" w:sz="0" w:space="0" w:color="auto"/>
                                <w:right w:val="none" w:sz="0" w:space="0" w:color="auto"/>
                              </w:divBdr>
                              <w:divsChild>
                                <w:div w:id="1136919377">
                                  <w:marLeft w:val="0"/>
                                  <w:marRight w:val="0"/>
                                  <w:marTop w:val="0"/>
                                  <w:marBottom w:val="0"/>
                                  <w:divBdr>
                                    <w:top w:val="none" w:sz="0" w:space="0" w:color="auto"/>
                                    <w:left w:val="none" w:sz="0" w:space="0" w:color="auto"/>
                                    <w:bottom w:val="none" w:sz="0" w:space="0" w:color="auto"/>
                                    <w:right w:val="none" w:sz="0" w:space="0" w:color="auto"/>
                                  </w:divBdr>
                                  <w:divsChild>
                                    <w:div w:id="391123497">
                                      <w:marLeft w:val="0"/>
                                      <w:marRight w:val="0"/>
                                      <w:marTop w:val="0"/>
                                      <w:marBottom w:val="0"/>
                                      <w:divBdr>
                                        <w:top w:val="none" w:sz="0" w:space="0" w:color="auto"/>
                                        <w:left w:val="none" w:sz="0" w:space="0" w:color="auto"/>
                                        <w:bottom w:val="none" w:sz="0" w:space="0" w:color="auto"/>
                                        <w:right w:val="none" w:sz="0" w:space="0" w:color="auto"/>
                                      </w:divBdr>
                                      <w:divsChild>
                                        <w:div w:id="2098093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268435">
      <w:bodyDiv w:val="1"/>
      <w:marLeft w:val="0"/>
      <w:marRight w:val="0"/>
      <w:marTop w:val="0"/>
      <w:marBottom w:val="0"/>
      <w:divBdr>
        <w:top w:val="none" w:sz="0" w:space="0" w:color="auto"/>
        <w:left w:val="none" w:sz="0" w:space="0" w:color="auto"/>
        <w:bottom w:val="none" w:sz="0" w:space="0" w:color="auto"/>
        <w:right w:val="none" w:sz="0" w:space="0" w:color="auto"/>
      </w:divBdr>
    </w:div>
    <w:div w:id="1368797925">
      <w:bodyDiv w:val="1"/>
      <w:marLeft w:val="0"/>
      <w:marRight w:val="0"/>
      <w:marTop w:val="0"/>
      <w:marBottom w:val="0"/>
      <w:divBdr>
        <w:top w:val="none" w:sz="0" w:space="0" w:color="auto"/>
        <w:left w:val="none" w:sz="0" w:space="0" w:color="auto"/>
        <w:bottom w:val="none" w:sz="0" w:space="0" w:color="auto"/>
        <w:right w:val="none" w:sz="0" w:space="0" w:color="auto"/>
      </w:divBdr>
    </w:div>
    <w:div w:id="1369791848">
      <w:bodyDiv w:val="1"/>
      <w:marLeft w:val="0"/>
      <w:marRight w:val="0"/>
      <w:marTop w:val="0"/>
      <w:marBottom w:val="0"/>
      <w:divBdr>
        <w:top w:val="none" w:sz="0" w:space="0" w:color="auto"/>
        <w:left w:val="none" w:sz="0" w:space="0" w:color="auto"/>
        <w:bottom w:val="none" w:sz="0" w:space="0" w:color="auto"/>
        <w:right w:val="none" w:sz="0" w:space="0" w:color="auto"/>
      </w:divBdr>
    </w:div>
    <w:div w:id="138884420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53354859">
      <w:bodyDiv w:val="1"/>
      <w:marLeft w:val="0"/>
      <w:marRight w:val="0"/>
      <w:marTop w:val="0"/>
      <w:marBottom w:val="0"/>
      <w:divBdr>
        <w:top w:val="none" w:sz="0" w:space="0" w:color="auto"/>
        <w:left w:val="none" w:sz="0" w:space="0" w:color="auto"/>
        <w:bottom w:val="none" w:sz="0" w:space="0" w:color="auto"/>
        <w:right w:val="none" w:sz="0" w:space="0" w:color="auto"/>
      </w:divBdr>
    </w:div>
    <w:div w:id="1468624166">
      <w:bodyDiv w:val="1"/>
      <w:marLeft w:val="0"/>
      <w:marRight w:val="0"/>
      <w:marTop w:val="0"/>
      <w:marBottom w:val="0"/>
      <w:divBdr>
        <w:top w:val="none" w:sz="0" w:space="0" w:color="auto"/>
        <w:left w:val="none" w:sz="0" w:space="0" w:color="auto"/>
        <w:bottom w:val="none" w:sz="0" w:space="0" w:color="auto"/>
        <w:right w:val="none" w:sz="0" w:space="0" w:color="auto"/>
      </w:divBdr>
    </w:div>
    <w:div w:id="1475836234">
      <w:bodyDiv w:val="1"/>
      <w:marLeft w:val="0"/>
      <w:marRight w:val="0"/>
      <w:marTop w:val="0"/>
      <w:marBottom w:val="0"/>
      <w:divBdr>
        <w:top w:val="none" w:sz="0" w:space="0" w:color="auto"/>
        <w:left w:val="none" w:sz="0" w:space="0" w:color="auto"/>
        <w:bottom w:val="none" w:sz="0" w:space="0" w:color="auto"/>
        <w:right w:val="none" w:sz="0" w:space="0" w:color="auto"/>
      </w:divBdr>
    </w:div>
    <w:div w:id="1490709707">
      <w:bodyDiv w:val="1"/>
      <w:marLeft w:val="0"/>
      <w:marRight w:val="0"/>
      <w:marTop w:val="0"/>
      <w:marBottom w:val="0"/>
      <w:divBdr>
        <w:top w:val="none" w:sz="0" w:space="0" w:color="auto"/>
        <w:left w:val="none" w:sz="0" w:space="0" w:color="auto"/>
        <w:bottom w:val="none" w:sz="0" w:space="0" w:color="auto"/>
        <w:right w:val="none" w:sz="0" w:space="0" w:color="auto"/>
      </w:divBdr>
    </w:div>
    <w:div w:id="1493133480">
      <w:bodyDiv w:val="1"/>
      <w:marLeft w:val="0"/>
      <w:marRight w:val="0"/>
      <w:marTop w:val="0"/>
      <w:marBottom w:val="0"/>
      <w:divBdr>
        <w:top w:val="none" w:sz="0" w:space="0" w:color="auto"/>
        <w:left w:val="none" w:sz="0" w:space="0" w:color="auto"/>
        <w:bottom w:val="none" w:sz="0" w:space="0" w:color="auto"/>
        <w:right w:val="none" w:sz="0" w:space="0" w:color="auto"/>
      </w:divBdr>
    </w:div>
    <w:div w:id="1516118676">
      <w:bodyDiv w:val="1"/>
      <w:marLeft w:val="0"/>
      <w:marRight w:val="0"/>
      <w:marTop w:val="0"/>
      <w:marBottom w:val="0"/>
      <w:divBdr>
        <w:top w:val="none" w:sz="0" w:space="0" w:color="auto"/>
        <w:left w:val="none" w:sz="0" w:space="0" w:color="auto"/>
        <w:bottom w:val="none" w:sz="0" w:space="0" w:color="auto"/>
        <w:right w:val="none" w:sz="0" w:space="0" w:color="auto"/>
      </w:divBdr>
    </w:div>
    <w:div w:id="1528446065">
      <w:bodyDiv w:val="1"/>
      <w:marLeft w:val="0"/>
      <w:marRight w:val="0"/>
      <w:marTop w:val="0"/>
      <w:marBottom w:val="0"/>
      <w:divBdr>
        <w:top w:val="none" w:sz="0" w:space="0" w:color="auto"/>
        <w:left w:val="none" w:sz="0" w:space="0" w:color="auto"/>
        <w:bottom w:val="none" w:sz="0" w:space="0" w:color="auto"/>
        <w:right w:val="none" w:sz="0" w:space="0" w:color="auto"/>
      </w:divBdr>
    </w:div>
    <w:div w:id="1538590334">
      <w:bodyDiv w:val="1"/>
      <w:marLeft w:val="0"/>
      <w:marRight w:val="0"/>
      <w:marTop w:val="0"/>
      <w:marBottom w:val="0"/>
      <w:divBdr>
        <w:top w:val="none" w:sz="0" w:space="0" w:color="auto"/>
        <w:left w:val="none" w:sz="0" w:space="0" w:color="auto"/>
        <w:bottom w:val="none" w:sz="0" w:space="0" w:color="auto"/>
        <w:right w:val="none" w:sz="0" w:space="0" w:color="auto"/>
      </w:divBdr>
    </w:div>
    <w:div w:id="1538856588">
      <w:bodyDiv w:val="1"/>
      <w:marLeft w:val="0"/>
      <w:marRight w:val="0"/>
      <w:marTop w:val="0"/>
      <w:marBottom w:val="0"/>
      <w:divBdr>
        <w:top w:val="none" w:sz="0" w:space="0" w:color="auto"/>
        <w:left w:val="none" w:sz="0" w:space="0" w:color="auto"/>
        <w:bottom w:val="none" w:sz="0" w:space="0" w:color="auto"/>
        <w:right w:val="none" w:sz="0" w:space="0" w:color="auto"/>
      </w:divBdr>
    </w:div>
    <w:div w:id="1544634467">
      <w:bodyDiv w:val="1"/>
      <w:marLeft w:val="0"/>
      <w:marRight w:val="0"/>
      <w:marTop w:val="0"/>
      <w:marBottom w:val="0"/>
      <w:divBdr>
        <w:top w:val="none" w:sz="0" w:space="0" w:color="auto"/>
        <w:left w:val="none" w:sz="0" w:space="0" w:color="auto"/>
        <w:bottom w:val="none" w:sz="0" w:space="0" w:color="auto"/>
        <w:right w:val="none" w:sz="0" w:space="0" w:color="auto"/>
      </w:divBdr>
    </w:div>
    <w:div w:id="1568760254">
      <w:bodyDiv w:val="1"/>
      <w:marLeft w:val="0"/>
      <w:marRight w:val="0"/>
      <w:marTop w:val="0"/>
      <w:marBottom w:val="0"/>
      <w:divBdr>
        <w:top w:val="none" w:sz="0" w:space="0" w:color="auto"/>
        <w:left w:val="none" w:sz="0" w:space="0" w:color="auto"/>
        <w:bottom w:val="none" w:sz="0" w:space="0" w:color="auto"/>
        <w:right w:val="none" w:sz="0" w:space="0" w:color="auto"/>
      </w:divBdr>
    </w:div>
    <w:div w:id="1599362451">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8198899">
      <w:bodyDiv w:val="1"/>
      <w:marLeft w:val="0"/>
      <w:marRight w:val="0"/>
      <w:marTop w:val="0"/>
      <w:marBottom w:val="0"/>
      <w:divBdr>
        <w:top w:val="none" w:sz="0" w:space="0" w:color="auto"/>
        <w:left w:val="none" w:sz="0" w:space="0" w:color="auto"/>
        <w:bottom w:val="none" w:sz="0" w:space="0" w:color="auto"/>
        <w:right w:val="none" w:sz="0" w:space="0" w:color="auto"/>
      </w:divBdr>
    </w:div>
    <w:div w:id="1612203682">
      <w:bodyDiv w:val="1"/>
      <w:marLeft w:val="0"/>
      <w:marRight w:val="0"/>
      <w:marTop w:val="0"/>
      <w:marBottom w:val="0"/>
      <w:divBdr>
        <w:top w:val="none" w:sz="0" w:space="0" w:color="auto"/>
        <w:left w:val="none" w:sz="0" w:space="0" w:color="auto"/>
        <w:bottom w:val="none" w:sz="0" w:space="0" w:color="auto"/>
        <w:right w:val="none" w:sz="0" w:space="0" w:color="auto"/>
      </w:divBdr>
    </w:div>
    <w:div w:id="1623615319">
      <w:bodyDiv w:val="1"/>
      <w:marLeft w:val="0"/>
      <w:marRight w:val="0"/>
      <w:marTop w:val="0"/>
      <w:marBottom w:val="0"/>
      <w:divBdr>
        <w:top w:val="none" w:sz="0" w:space="0" w:color="auto"/>
        <w:left w:val="none" w:sz="0" w:space="0" w:color="auto"/>
        <w:bottom w:val="none" w:sz="0" w:space="0" w:color="auto"/>
        <w:right w:val="none" w:sz="0" w:space="0" w:color="auto"/>
      </w:divBdr>
    </w:div>
    <w:div w:id="1641618072">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8755806">
      <w:bodyDiv w:val="1"/>
      <w:marLeft w:val="0"/>
      <w:marRight w:val="0"/>
      <w:marTop w:val="0"/>
      <w:marBottom w:val="0"/>
      <w:divBdr>
        <w:top w:val="none" w:sz="0" w:space="0" w:color="auto"/>
        <w:left w:val="none" w:sz="0" w:space="0" w:color="auto"/>
        <w:bottom w:val="none" w:sz="0" w:space="0" w:color="auto"/>
        <w:right w:val="none" w:sz="0" w:space="0" w:color="auto"/>
      </w:divBdr>
    </w:div>
    <w:div w:id="1694067136">
      <w:bodyDiv w:val="1"/>
      <w:marLeft w:val="0"/>
      <w:marRight w:val="0"/>
      <w:marTop w:val="0"/>
      <w:marBottom w:val="0"/>
      <w:divBdr>
        <w:top w:val="none" w:sz="0" w:space="0" w:color="auto"/>
        <w:left w:val="none" w:sz="0" w:space="0" w:color="auto"/>
        <w:bottom w:val="none" w:sz="0" w:space="0" w:color="auto"/>
        <w:right w:val="none" w:sz="0" w:space="0" w:color="auto"/>
      </w:divBdr>
    </w:div>
    <w:div w:id="1734310305">
      <w:bodyDiv w:val="1"/>
      <w:marLeft w:val="0"/>
      <w:marRight w:val="0"/>
      <w:marTop w:val="0"/>
      <w:marBottom w:val="0"/>
      <w:divBdr>
        <w:top w:val="none" w:sz="0" w:space="0" w:color="auto"/>
        <w:left w:val="none" w:sz="0" w:space="0" w:color="auto"/>
        <w:bottom w:val="none" w:sz="0" w:space="0" w:color="auto"/>
        <w:right w:val="none" w:sz="0" w:space="0" w:color="auto"/>
      </w:divBdr>
    </w:div>
    <w:div w:id="1747418010">
      <w:bodyDiv w:val="1"/>
      <w:marLeft w:val="0"/>
      <w:marRight w:val="0"/>
      <w:marTop w:val="0"/>
      <w:marBottom w:val="0"/>
      <w:divBdr>
        <w:top w:val="none" w:sz="0" w:space="0" w:color="auto"/>
        <w:left w:val="none" w:sz="0" w:space="0" w:color="auto"/>
        <w:bottom w:val="none" w:sz="0" w:space="0" w:color="auto"/>
        <w:right w:val="none" w:sz="0" w:space="0" w:color="auto"/>
      </w:divBdr>
    </w:div>
    <w:div w:id="1760713706">
      <w:bodyDiv w:val="1"/>
      <w:marLeft w:val="0"/>
      <w:marRight w:val="0"/>
      <w:marTop w:val="0"/>
      <w:marBottom w:val="0"/>
      <w:divBdr>
        <w:top w:val="none" w:sz="0" w:space="0" w:color="auto"/>
        <w:left w:val="none" w:sz="0" w:space="0" w:color="auto"/>
        <w:bottom w:val="none" w:sz="0" w:space="0" w:color="auto"/>
        <w:right w:val="none" w:sz="0" w:space="0" w:color="auto"/>
      </w:divBdr>
    </w:div>
    <w:div w:id="1795364585">
      <w:bodyDiv w:val="1"/>
      <w:marLeft w:val="0"/>
      <w:marRight w:val="0"/>
      <w:marTop w:val="0"/>
      <w:marBottom w:val="0"/>
      <w:divBdr>
        <w:top w:val="none" w:sz="0" w:space="0" w:color="auto"/>
        <w:left w:val="none" w:sz="0" w:space="0" w:color="auto"/>
        <w:bottom w:val="none" w:sz="0" w:space="0" w:color="auto"/>
        <w:right w:val="none" w:sz="0" w:space="0" w:color="auto"/>
      </w:divBdr>
    </w:div>
    <w:div w:id="1801417617">
      <w:bodyDiv w:val="1"/>
      <w:marLeft w:val="0"/>
      <w:marRight w:val="0"/>
      <w:marTop w:val="0"/>
      <w:marBottom w:val="0"/>
      <w:divBdr>
        <w:top w:val="none" w:sz="0" w:space="0" w:color="auto"/>
        <w:left w:val="none" w:sz="0" w:space="0" w:color="auto"/>
        <w:bottom w:val="none" w:sz="0" w:space="0" w:color="auto"/>
        <w:right w:val="none" w:sz="0" w:space="0" w:color="auto"/>
      </w:divBdr>
    </w:div>
    <w:div w:id="1842114379">
      <w:bodyDiv w:val="1"/>
      <w:marLeft w:val="0"/>
      <w:marRight w:val="0"/>
      <w:marTop w:val="0"/>
      <w:marBottom w:val="0"/>
      <w:divBdr>
        <w:top w:val="none" w:sz="0" w:space="0" w:color="auto"/>
        <w:left w:val="none" w:sz="0" w:space="0" w:color="auto"/>
        <w:bottom w:val="none" w:sz="0" w:space="0" w:color="auto"/>
        <w:right w:val="none" w:sz="0" w:space="0" w:color="auto"/>
      </w:divBdr>
    </w:div>
    <w:div w:id="1843278801">
      <w:bodyDiv w:val="1"/>
      <w:marLeft w:val="0"/>
      <w:marRight w:val="0"/>
      <w:marTop w:val="0"/>
      <w:marBottom w:val="0"/>
      <w:divBdr>
        <w:top w:val="none" w:sz="0" w:space="0" w:color="auto"/>
        <w:left w:val="none" w:sz="0" w:space="0" w:color="auto"/>
        <w:bottom w:val="none" w:sz="0" w:space="0" w:color="auto"/>
        <w:right w:val="none" w:sz="0" w:space="0" w:color="auto"/>
      </w:divBdr>
    </w:div>
    <w:div w:id="1859074785">
      <w:bodyDiv w:val="1"/>
      <w:marLeft w:val="0"/>
      <w:marRight w:val="0"/>
      <w:marTop w:val="0"/>
      <w:marBottom w:val="0"/>
      <w:divBdr>
        <w:top w:val="none" w:sz="0" w:space="0" w:color="auto"/>
        <w:left w:val="none" w:sz="0" w:space="0" w:color="auto"/>
        <w:bottom w:val="none" w:sz="0" w:space="0" w:color="auto"/>
        <w:right w:val="none" w:sz="0" w:space="0" w:color="auto"/>
      </w:divBdr>
    </w:div>
    <w:div w:id="1863741440">
      <w:bodyDiv w:val="1"/>
      <w:marLeft w:val="0"/>
      <w:marRight w:val="0"/>
      <w:marTop w:val="0"/>
      <w:marBottom w:val="0"/>
      <w:divBdr>
        <w:top w:val="none" w:sz="0" w:space="0" w:color="auto"/>
        <w:left w:val="none" w:sz="0" w:space="0" w:color="auto"/>
        <w:bottom w:val="none" w:sz="0" w:space="0" w:color="auto"/>
        <w:right w:val="none" w:sz="0" w:space="0" w:color="auto"/>
      </w:divBdr>
      <w:divsChild>
        <w:div w:id="916281213">
          <w:marLeft w:val="0"/>
          <w:marRight w:val="0"/>
          <w:marTop w:val="0"/>
          <w:marBottom w:val="0"/>
          <w:divBdr>
            <w:top w:val="none" w:sz="0" w:space="0" w:color="auto"/>
            <w:left w:val="none" w:sz="0" w:space="0" w:color="auto"/>
            <w:bottom w:val="none" w:sz="0" w:space="0" w:color="auto"/>
            <w:right w:val="none" w:sz="0" w:space="0" w:color="auto"/>
          </w:divBdr>
          <w:divsChild>
            <w:div w:id="2051802904">
              <w:marLeft w:val="0"/>
              <w:marRight w:val="0"/>
              <w:marTop w:val="0"/>
              <w:marBottom w:val="0"/>
              <w:divBdr>
                <w:top w:val="none" w:sz="0" w:space="0" w:color="auto"/>
                <w:left w:val="none" w:sz="0" w:space="0" w:color="auto"/>
                <w:bottom w:val="none" w:sz="0" w:space="0" w:color="auto"/>
                <w:right w:val="none" w:sz="0" w:space="0" w:color="auto"/>
              </w:divBdr>
              <w:divsChild>
                <w:div w:id="2129930339">
                  <w:marLeft w:val="0"/>
                  <w:marRight w:val="0"/>
                  <w:marTop w:val="0"/>
                  <w:marBottom w:val="0"/>
                  <w:divBdr>
                    <w:top w:val="none" w:sz="0" w:space="0" w:color="auto"/>
                    <w:left w:val="none" w:sz="0" w:space="0" w:color="auto"/>
                    <w:bottom w:val="none" w:sz="0" w:space="0" w:color="auto"/>
                    <w:right w:val="none" w:sz="0" w:space="0" w:color="auto"/>
                  </w:divBdr>
                  <w:divsChild>
                    <w:div w:id="255867187">
                      <w:marLeft w:val="420"/>
                      <w:marRight w:val="0"/>
                      <w:marTop w:val="0"/>
                      <w:marBottom w:val="0"/>
                      <w:divBdr>
                        <w:top w:val="none" w:sz="0" w:space="0" w:color="auto"/>
                        <w:left w:val="none" w:sz="0" w:space="0" w:color="auto"/>
                        <w:bottom w:val="none" w:sz="0" w:space="0" w:color="auto"/>
                        <w:right w:val="none" w:sz="0" w:space="0" w:color="auto"/>
                      </w:divBdr>
                      <w:divsChild>
                        <w:div w:id="1825927099">
                          <w:marLeft w:val="0"/>
                          <w:marRight w:val="0"/>
                          <w:marTop w:val="0"/>
                          <w:marBottom w:val="0"/>
                          <w:divBdr>
                            <w:top w:val="none" w:sz="0" w:space="0" w:color="auto"/>
                            <w:left w:val="none" w:sz="0" w:space="0" w:color="auto"/>
                            <w:bottom w:val="none" w:sz="0" w:space="0" w:color="auto"/>
                            <w:right w:val="none" w:sz="0" w:space="0" w:color="auto"/>
                          </w:divBdr>
                          <w:divsChild>
                            <w:div w:id="1331252119">
                              <w:marLeft w:val="0"/>
                              <w:marRight w:val="0"/>
                              <w:marTop w:val="0"/>
                              <w:marBottom w:val="0"/>
                              <w:divBdr>
                                <w:top w:val="none" w:sz="0" w:space="0" w:color="auto"/>
                                <w:left w:val="none" w:sz="0" w:space="0" w:color="auto"/>
                                <w:bottom w:val="none" w:sz="0" w:space="0" w:color="auto"/>
                                <w:right w:val="none" w:sz="0" w:space="0" w:color="auto"/>
                              </w:divBdr>
                              <w:divsChild>
                                <w:div w:id="610669555">
                                  <w:marLeft w:val="0"/>
                                  <w:marRight w:val="0"/>
                                  <w:marTop w:val="0"/>
                                  <w:marBottom w:val="0"/>
                                  <w:divBdr>
                                    <w:top w:val="none" w:sz="0" w:space="0" w:color="auto"/>
                                    <w:left w:val="none" w:sz="0" w:space="0" w:color="auto"/>
                                    <w:bottom w:val="none" w:sz="0" w:space="0" w:color="auto"/>
                                    <w:right w:val="none" w:sz="0" w:space="0" w:color="auto"/>
                                  </w:divBdr>
                                  <w:divsChild>
                                    <w:div w:id="780800152">
                                      <w:marLeft w:val="0"/>
                                      <w:marRight w:val="0"/>
                                      <w:marTop w:val="0"/>
                                      <w:marBottom w:val="0"/>
                                      <w:divBdr>
                                        <w:top w:val="none" w:sz="0" w:space="0" w:color="auto"/>
                                        <w:left w:val="none" w:sz="0" w:space="0" w:color="auto"/>
                                        <w:bottom w:val="none" w:sz="0" w:space="0" w:color="auto"/>
                                        <w:right w:val="none" w:sz="0" w:space="0" w:color="auto"/>
                                      </w:divBdr>
                                      <w:divsChild>
                                        <w:div w:id="1274626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16068">
      <w:bodyDiv w:val="1"/>
      <w:marLeft w:val="0"/>
      <w:marRight w:val="0"/>
      <w:marTop w:val="0"/>
      <w:marBottom w:val="0"/>
      <w:divBdr>
        <w:top w:val="none" w:sz="0" w:space="0" w:color="auto"/>
        <w:left w:val="none" w:sz="0" w:space="0" w:color="auto"/>
        <w:bottom w:val="none" w:sz="0" w:space="0" w:color="auto"/>
        <w:right w:val="none" w:sz="0" w:space="0" w:color="auto"/>
      </w:divBdr>
    </w:div>
    <w:div w:id="1901404408">
      <w:bodyDiv w:val="1"/>
      <w:marLeft w:val="0"/>
      <w:marRight w:val="0"/>
      <w:marTop w:val="0"/>
      <w:marBottom w:val="0"/>
      <w:divBdr>
        <w:top w:val="none" w:sz="0" w:space="0" w:color="auto"/>
        <w:left w:val="none" w:sz="0" w:space="0" w:color="auto"/>
        <w:bottom w:val="none" w:sz="0" w:space="0" w:color="auto"/>
        <w:right w:val="none" w:sz="0" w:space="0" w:color="auto"/>
      </w:divBdr>
    </w:div>
    <w:div w:id="1904876390">
      <w:bodyDiv w:val="1"/>
      <w:marLeft w:val="0"/>
      <w:marRight w:val="0"/>
      <w:marTop w:val="0"/>
      <w:marBottom w:val="0"/>
      <w:divBdr>
        <w:top w:val="none" w:sz="0" w:space="0" w:color="auto"/>
        <w:left w:val="none" w:sz="0" w:space="0" w:color="auto"/>
        <w:bottom w:val="none" w:sz="0" w:space="0" w:color="auto"/>
        <w:right w:val="none" w:sz="0" w:space="0" w:color="auto"/>
      </w:divBdr>
    </w:div>
    <w:div w:id="1922636044">
      <w:bodyDiv w:val="1"/>
      <w:marLeft w:val="0"/>
      <w:marRight w:val="0"/>
      <w:marTop w:val="0"/>
      <w:marBottom w:val="0"/>
      <w:divBdr>
        <w:top w:val="none" w:sz="0" w:space="0" w:color="auto"/>
        <w:left w:val="none" w:sz="0" w:space="0" w:color="auto"/>
        <w:bottom w:val="none" w:sz="0" w:space="0" w:color="auto"/>
        <w:right w:val="none" w:sz="0" w:space="0" w:color="auto"/>
      </w:divBdr>
    </w:div>
    <w:div w:id="1928731579">
      <w:bodyDiv w:val="1"/>
      <w:marLeft w:val="0"/>
      <w:marRight w:val="0"/>
      <w:marTop w:val="0"/>
      <w:marBottom w:val="0"/>
      <w:divBdr>
        <w:top w:val="none" w:sz="0" w:space="0" w:color="auto"/>
        <w:left w:val="none" w:sz="0" w:space="0" w:color="auto"/>
        <w:bottom w:val="none" w:sz="0" w:space="0" w:color="auto"/>
        <w:right w:val="none" w:sz="0" w:space="0" w:color="auto"/>
      </w:divBdr>
    </w:div>
    <w:div w:id="1932623574">
      <w:bodyDiv w:val="1"/>
      <w:marLeft w:val="0"/>
      <w:marRight w:val="0"/>
      <w:marTop w:val="0"/>
      <w:marBottom w:val="0"/>
      <w:divBdr>
        <w:top w:val="none" w:sz="0" w:space="0" w:color="auto"/>
        <w:left w:val="none" w:sz="0" w:space="0" w:color="auto"/>
        <w:bottom w:val="none" w:sz="0" w:space="0" w:color="auto"/>
        <w:right w:val="none" w:sz="0" w:space="0" w:color="auto"/>
      </w:divBdr>
    </w:div>
    <w:div w:id="1942489253">
      <w:bodyDiv w:val="1"/>
      <w:marLeft w:val="0"/>
      <w:marRight w:val="0"/>
      <w:marTop w:val="0"/>
      <w:marBottom w:val="0"/>
      <w:divBdr>
        <w:top w:val="none" w:sz="0" w:space="0" w:color="auto"/>
        <w:left w:val="none" w:sz="0" w:space="0" w:color="auto"/>
        <w:bottom w:val="none" w:sz="0" w:space="0" w:color="auto"/>
        <w:right w:val="none" w:sz="0" w:space="0" w:color="auto"/>
      </w:divBdr>
    </w:div>
    <w:div w:id="1954170152">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26785860">
      <w:bodyDiv w:val="1"/>
      <w:marLeft w:val="0"/>
      <w:marRight w:val="0"/>
      <w:marTop w:val="0"/>
      <w:marBottom w:val="0"/>
      <w:divBdr>
        <w:top w:val="none" w:sz="0" w:space="0" w:color="auto"/>
        <w:left w:val="none" w:sz="0" w:space="0" w:color="auto"/>
        <w:bottom w:val="none" w:sz="0" w:space="0" w:color="auto"/>
        <w:right w:val="none" w:sz="0" w:space="0" w:color="auto"/>
      </w:divBdr>
    </w:div>
    <w:div w:id="2044793041">
      <w:bodyDiv w:val="1"/>
      <w:marLeft w:val="0"/>
      <w:marRight w:val="0"/>
      <w:marTop w:val="0"/>
      <w:marBottom w:val="0"/>
      <w:divBdr>
        <w:top w:val="none" w:sz="0" w:space="0" w:color="auto"/>
        <w:left w:val="none" w:sz="0" w:space="0" w:color="auto"/>
        <w:bottom w:val="none" w:sz="0" w:space="0" w:color="auto"/>
        <w:right w:val="none" w:sz="0" w:space="0" w:color="auto"/>
      </w:divBdr>
    </w:div>
    <w:div w:id="2054185722">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081100517">
      <w:bodyDiv w:val="1"/>
      <w:marLeft w:val="0"/>
      <w:marRight w:val="0"/>
      <w:marTop w:val="0"/>
      <w:marBottom w:val="0"/>
      <w:divBdr>
        <w:top w:val="none" w:sz="0" w:space="0" w:color="auto"/>
        <w:left w:val="none" w:sz="0" w:space="0" w:color="auto"/>
        <w:bottom w:val="none" w:sz="0" w:space="0" w:color="auto"/>
        <w:right w:val="none" w:sz="0" w:space="0" w:color="auto"/>
      </w:divBdr>
    </w:div>
    <w:div w:id="2087872291">
      <w:bodyDiv w:val="1"/>
      <w:marLeft w:val="0"/>
      <w:marRight w:val="0"/>
      <w:marTop w:val="0"/>
      <w:marBottom w:val="0"/>
      <w:divBdr>
        <w:top w:val="none" w:sz="0" w:space="0" w:color="auto"/>
        <w:left w:val="none" w:sz="0" w:space="0" w:color="auto"/>
        <w:bottom w:val="none" w:sz="0" w:space="0" w:color="auto"/>
        <w:right w:val="none" w:sz="0" w:space="0" w:color="auto"/>
      </w:divBdr>
    </w:div>
    <w:div w:id="2089762416">
      <w:bodyDiv w:val="1"/>
      <w:marLeft w:val="0"/>
      <w:marRight w:val="0"/>
      <w:marTop w:val="0"/>
      <w:marBottom w:val="0"/>
      <w:divBdr>
        <w:top w:val="none" w:sz="0" w:space="0" w:color="auto"/>
        <w:left w:val="none" w:sz="0" w:space="0" w:color="auto"/>
        <w:bottom w:val="none" w:sz="0" w:space="0" w:color="auto"/>
        <w:right w:val="none" w:sz="0" w:space="0" w:color="auto"/>
      </w:divBdr>
    </w:div>
    <w:div w:id="2093314629">
      <w:bodyDiv w:val="1"/>
      <w:marLeft w:val="0"/>
      <w:marRight w:val="0"/>
      <w:marTop w:val="0"/>
      <w:marBottom w:val="0"/>
      <w:divBdr>
        <w:top w:val="none" w:sz="0" w:space="0" w:color="auto"/>
        <w:left w:val="none" w:sz="0" w:space="0" w:color="auto"/>
        <w:bottom w:val="none" w:sz="0" w:space="0" w:color="auto"/>
        <w:right w:val="none" w:sz="0" w:space="0" w:color="auto"/>
      </w:divBdr>
    </w:div>
    <w:div w:id="2098204667">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 w:id="21185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n/CCPR/C/81/D/961/2000" TargetMode="External"/><Relationship Id="rId1" Type="http://schemas.openxmlformats.org/officeDocument/2006/relationships/hyperlink" Target="http://undocs.org/en/CCPR/C/110/D/2007/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ver_x0020_page xmlns="843519ee-602c-4a77-9f98-e0b2d1df032d" xsi:nil="true"/>
    <Folder xmlns="843519ee-602c-4a77-9f98-e0b2d1df032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00361C5635E4458E96347FD602B91D" ma:contentTypeVersion="2" ma:contentTypeDescription="Create a new document." ma:contentTypeScope="" ma:versionID="b5299d1479f8583c451a95758763fcb6">
  <xsd:schema xmlns:xsd="http://www.w3.org/2001/XMLSchema" xmlns:xs="http://www.w3.org/2001/XMLSchema" xmlns:p="http://schemas.microsoft.com/office/2006/metadata/properties" xmlns:ns2="843519ee-602c-4a77-9f98-e0b2d1df032d" targetNamespace="http://schemas.microsoft.com/office/2006/metadata/properties" ma:root="true" ma:fieldsID="2d1aae76709d730d7c9f82f440b0a23b" ns2:_="">
    <xsd:import namespace="843519ee-602c-4a77-9f98-e0b2d1df032d"/>
    <xsd:element name="properties">
      <xsd:complexType>
        <xsd:sequence>
          <xsd:element name="documentManagement">
            <xsd:complexType>
              <xsd:all>
                <xsd:element ref="ns2:Folder" minOccurs="0"/>
                <xsd:element ref="ns2:Cover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6B080-11B2-4E54-B854-9CEB8A4EFD8B}">
  <ds:schemaRefs>
    <ds:schemaRef ds:uri="http://purl.org/dc/terms/"/>
    <ds:schemaRef ds:uri="http://schemas.microsoft.com/office/2006/documentManagement/types"/>
    <ds:schemaRef ds:uri="843519ee-602c-4a77-9f98-e0b2d1df032d"/>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31E4E5-C234-0C42-95A0-B8D4A27026A8}">
  <ds:schemaRefs>
    <ds:schemaRef ds:uri="http://schemas.openxmlformats.org/officeDocument/2006/bibliography"/>
  </ds:schemaRefs>
</ds:datastoreItem>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92FBFDD2-FD83-493E-8DA4-F3C8E3E91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6529</Words>
  <Characters>37219</Characters>
  <Application>Microsoft Office Word</Application>
  <DocSecurity>0</DocSecurity>
  <Lines>310</Lines>
  <Paragraphs>87</Paragraphs>
  <ScaleCrop>false</ScaleCrop>
  <HeadingPairs>
    <vt:vector size="10" baseType="variant">
      <vt:variant>
        <vt:lpstr>Title</vt:lpstr>
      </vt:variant>
      <vt:variant>
        <vt:i4>1</vt:i4>
      </vt:variant>
      <vt:variant>
        <vt:lpstr>タイトル</vt:lpstr>
      </vt:variant>
      <vt:variant>
        <vt:i4>1</vt:i4>
      </vt:variant>
      <vt:variant>
        <vt:lpstr>Título</vt:lpstr>
      </vt:variant>
      <vt:variant>
        <vt:i4>1</vt:i4>
      </vt:variant>
      <vt:variant>
        <vt:lpstr>Naslov</vt:lpstr>
      </vt:variant>
      <vt:variant>
        <vt:i4>1</vt:i4>
      </vt:variant>
      <vt:variant>
        <vt:lpstr>Titre</vt:lpstr>
      </vt:variant>
      <vt:variant>
        <vt:i4>1</vt:i4>
      </vt:variant>
    </vt:vector>
  </HeadingPairs>
  <TitlesOfParts>
    <vt:vector size="5" baseType="lpstr">
      <vt:lpstr>CCPR/C/WG/138/DR/3208/2018</vt:lpstr>
      <vt:lpstr>CCPR/C/WG/134/DR/3077/2017</vt:lpstr>
      <vt:lpstr>CCPR/C/130/DR/2839/2016/Rev.1</vt:lpstr>
      <vt:lpstr>CCPR/C/WG/125/DR/2672/2015</vt:lpstr>
      <vt:lpstr>CCPR/C/WG/125/DR/2672/2015</vt:lpstr>
    </vt:vector>
  </TitlesOfParts>
  <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Mohamed Abdelazim</cp:lastModifiedBy>
  <cp:revision>2</cp:revision>
  <cp:lastPrinted>2023-11-28T11:18:00Z</cp:lastPrinted>
  <dcterms:created xsi:type="dcterms:W3CDTF">2023-11-28T10:00:00Z</dcterms:created>
  <dcterms:modified xsi:type="dcterms:W3CDTF">2023-11-28T11:19:00Z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0x0101007300361C5635E4458E96347FD602B91D</vt:lpwstr>
  </property>
</Properties>
</file>