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E305A1" w:rsidRPr="00D14E5C" w14:paraId="5572A418" w14:textId="77777777" w:rsidTr="00F603F4">
        <w:trPr>
          <w:cantSplit/>
          <w:trHeight w:hRule="exact" w:val="851"/>
        </w:trPr>
        <w:tc>
          <w:tcPr>
            <w:tcW w:w="1276" w:type="dxa"/>
            <w:tcBorders>
              <w:bottom w:val="single" w:sz="4" w:space="0" w:color="auto"/>
            </w:tcBorders>
            <w:vAlign w:val="bottom"/>
          </w:tcPr>
          <w:p w14:paraId="5572A415" w14:textId="6B43A692" w:rsidR="00165C15" w:rsidRPr="00E96E49" w:rsidRDefault="00165C15" w:rsidP="00F603F4">
            <w:pPr>
              <w:spacing w:after="80"/>
            </w:pPr>
          </w:p>
        </w:tc>
        <w:tc>
          <w:tcPr>
            <w:tcW w:w="2268" w:type="dxa"/>
            <w:tcBorders>
              <w:bottom w:val="single" w:sz="4" w:space="0" w:color="auto"/>
            </w:tcBorders>
            <w:vAlign w:val="bottom"/>
          </w:tcPr>
          <w:p w14:paraId="5572A416" w14:textId="6EF739FD" w:rsidR="00165C15" w:rsidRPr="00D14E5C" w:rsidRDefault="00165C15" w:rsidP="00F603F4">
            <w:pPr>
              <w:spacing w:after="80" w:line="300" w:lineRule="exact"/>
              <w:rPr>
                <w:b/>
                <w:sz w:val="24"/>
                <w:szCs w:val="24"/>
              </w:rPr>
            </w:pPr>
          </w:p>
        </w:tc>
        <w:tc>
          <w:tcPr>
            <w:tcW w:w="6095" w:type="dxa"/>
            <w:gridSpan w:val="2"/>
            <w:tcBorders>
              <w:bottom w:val="single" w:sz="4" w:space="0" w:color="auto"/>
            </w:tcBorders>
            <w:vAlign w:val="bottom"/>
          </w:tcPr>
          <w:p w14:paraId="5572A417" w14:textId="17C53C77" w:rsidR="00165C15" w:rsidRPr="00D14E5C" w:rsidRDefault="006A31AE" w:rsidP="00C54620">
            <w:pPr>
              <w:suppressAutoHyphens w:val="0"/>
              <w:spacing w:after="20"/>
              <w:jc w:val="right"/>
              <w:rPr>
                <w:color w:val="000000" w:themeColor="text1"/>
                <w:sz w:val="40"/>
              </w:rPr>
            </w:pPr>
            <w:r w:rsidRPr="00D14E5C">
              <w:rPr>
                <w:color w:val="000000" w:themeColor="text1"/>
                <w:sz w:val="40"/>
              </w:rPr>
              <w:t>CCPR</w:t>
            </w:r>
            <w:r w:rsidR="006F354E" w:rsidRPr="00D14E5C">
              <w:rPr>
                <w:color w:val="000000" w:themeColor="text1"/>
              </w:rPr>
              <w:t>/C/</w:t>
            </w:r>
            <w:r w:rsidR="00221A6D">
              <w:rPr>
                <w:color w:val="000000" w:themeColor="text1"/>
              </w:rPr>
              <w:t>13</w:t>
            </w:r>
            <w:r w:rsidR="00A61D82">
              <w:rPr>
                <w:color w:val="000000" w:themeColor="text1"/>
              </w:rPr>
              <w:t>8</w:t>
            </w:r>
            <w:r w:rsidRPr="00D14E5C">
              <w:rPr>
                <w:color w:val="000000" w:themeColor="text1"/>
              </w:rPr>
              <w:t>/D/</w:t>
            </w:r>
            <w:r w:rsidR="00363DC0">
              <w:rPr>
                <w:color w:val="000000" w:themeColor="text1"/>
              </w:rPr>
              <w:t>3073/2017</w:t>
            </w:r>
          </w:p>
        </w:tc>
      </w:tr>
      <w:tr w:rsidR="00165C15" w:rsidRPr="00D14E5C" w14:paraId="5572A420" w14:textId="77777777" w:rsidTr="00BA10F9">
        <w:trPr>
          <w:cantSplit/>
          <w:trHeight w:hRule="exact" w:val="2835"/>
        </w:trPr>
        <w:tc>
          <w:tcPr>
            <w:tcW w:w="1276" w:type="dxa"/>
            <w:tcBorders>
              <w:top w:val="single" w:sz="4" w:space="0" w:color="auto"/>
              <w:bottom w:val="single" w:sz="12" w:space="0" w:color="auto"/>
            </w:tcBorders>
          </w:tcPr>
          <w:p w14:paraId="5572A419" w14:textId="04AD66B1" w:rsidR="00165C15" w:rsidRPr="00D14E5C" w:rsidRDefault="00165C15" w:rsidP="00F603F4">
            <w:pPr>
              <w:spacing w:before="120"/>
            </w:pPr>
          </w:p>
        </w:tc>
        <w:tc>
          <w:tcPr>
            <w:tcW w:w="5528" w:type="dxa"/>
            <w:gridSpan w:val="2"/>
            <w:tcBorders>
              <w:top w:val="single" w:sz="4" w:space="0" w:color="auto"/>
              <w:bottom w:val="single" w:sz="12" w:space="0" w:color="auto"/>
            </w:tcBorders>
          </w:tcPr>
          <w:p w14:paraId="23BC25D7" w14:textId="63ED061D" w:rsidR="00165C15" w:rsidRDefault="00165C15" w:rsidP="00F603F4">
            <w:pPr>
              <w:spacing w:before="120" w:line="380" w:lineRule="exact"/>
              <w:rPr>
                <w:b/>
                <w:sz w:val="34"/>
                <w:szCs w:val="40"/>
              </w:rPr>
            </w:pPr>
          </w:p>
          <w:p w14:paraId="0CEE1333" w14:textId="77777777" w:rsidR="00866418" w:rsidRDefault="00866418" w:rsidP="00F603F4">
            <w:pPr>
              <w:spacing w:before="120" w:line="380" w:lineRule="exact"/>
              <w:rPr>
                <w:b/>
                <w:sz w:val="34"/>
                <w:szCs w:val="40"/>
              </w:rPr>
            </w:pPr>
          </w:p>
          <w:p w14:paraId="5572A41A" w14:textId="0855403E" w:rsidR="00866418" w:rsidRPr="00D14E5C" w:rsidRDefault="00866418" w:rsidP="00F603F4">
            <w:pPr>
              <w:spacing w:before="120" w:line="380" w:lineRule="exact"/>
              <w:rPr>
                <w:sz w:val="34"/>
              </w:rPr>
            </w:pPr>
            <w:r>
              <w:rPr>
                <w:b/>
                <w:sz w:val="34"/>
                <w:szCs w:val="40"/>
              </w:rPr>
              <w:t>Advance unedited version</w:t>
            </w:r>
          </w:p>
        </w:tc>
        <w:tc>
          <w:tcPr>
            <w:tcW w:w="2835" w:type="dxa"/>
            <w:tcBorders>
              <w:top w:val="single" w:sz="4" w:space="0" w:color="auto"/>
              <w:bottom w:val="single" w:sz="12" w:space="0" w:color="auto"/>
            </w:tcBorders>
          </w:tcPr>
          <w:p w14:paraId="78393830" w14:textId="2A0285F7" w:rsidR="00FC3F98" w:rsidRPr="00D14E5C" w:rsidRDefault="00FC3F98" w:rsidP="00FC3F98">
            <w:pPr>
              <w:suppressAutoHyphens w:val="0"/>
              <w:spacing w:before="240" w:line="240" w:lineRule="exact"/>
            </w:pPr>
            <w:r w:rsidRPr="00D14E5C">
              <w:t xml:space="preserve">Distr.: </w:t>
            </w:r>
            <w:r w:rsidR="002847FD">
              <w:t>General</w:t>
            </w:r>
          </w:p>
          <w:p w14:paraId="462D8FB5" w14:textId="7E8AF266" w:rsidR="00FC3F98" w:rsidRPr="00D14E5C" w:rsidRDefault="00A040D2" w:rsidP="00FC3F98">
            <w:pPr>
              <w:suppressAutoHyphens w:val="0"/>
            </w:pPr>
            <w:r>
              <w:t>14 July</w:t>
            </w:r>
            <w:r w:rsidR="00E041BF">
              <w:t xml:space="preserve"> 202</w:t>
            </w:r>
            <w:r w:rsidR="00546ED1">
              <w:t>3</w:t>
            </w:r>
          </w:p>
          <w:p w14:paraId="5CEEFFC6" w14:textId="77777777" w:rsidR="00FC3F98" w:rsidRPr="00D14E5C" w:rsidRDefault="00FC3F98" w:rsidP="00FC3F98">
            <w:pPr>
              <w:suppressAutoHyphens w:val="0"/>
            </w:pPr>
          </w:p>
          <w:p w14:paraId="57D733C8" w14:textId="77777777" w:rsidR="00FC3F98" w:rsidRPr="00D14E5C" w:rsidRDefault="00FC3F98" w:rsidP="00FC3F98">
            <w:pPr>
              <w:suppressAutoHyphens w:val="0"/>
            </w:pPr>
            <w:r w:rsidRPr="00D14E5C">
              <w:t>Original: English</w:t>
            </w:r>
          </w:p>
          <w:p w14:paraId="5572A41F" w14:textId="3DDA29C6" w:rsidR="006A31AE" w:rsidRPr="00901B13" w:rsidRDefault="006A31AE" w:rsidP="00901B13">
            <w:pPr>
              <w:suppressAutoHyphens w:val="0"/>
              <w:spacing w:line="240" w:lineRule="auto"/>
              <w:rPr>
                <w:rFonts w:eastAsia="SimSun"/>
                <w:sz w:val="24"/>
                <w:szCs w:val="24"/>
                <w:lang w:eastAsia="en-GB"/>
              </w:rPr>
            </w:pPr>
          </w:p>
        </w:tc>
      </w:tr>
    </w:tbl>
    <w:p w14:paraId="0802C7B4" w14:textId="1CA9BC75" w:rsidR="00FC3F98" w:rsidRDefault="00FC3F98" w:rsidP="00FC3F98">
      <w:pPr>
        <w:rPr>
          <w:b/>
          <w:bCs/>
          <w:sz w:val="24"/>
        </w:rPr>
      </w:pPr>
      <w:r w:rsidRPr="00D14E5C">
        <w:rPr>
          <w:b/>
          <w:bCs/>
          <w:sz w:val="24"/>
        </w:rPr>
        <w:t>Human Rights Committee</w:t>
      </w:r>
    </w:p>
    <w:p w14:paraId="5572A429" w14:textId="6495180C" w:rsidR="006A31AE" w:rsidRPr="00E53D87" w:rsidRDefault="00FC3F98" w:rsidP="00E53D87">
      <w:pPr>
        <w:pStyle w:val="HChG"/>
        <w:rPr>
          <w:rFonts w:eastAsia="MS Mincho"/>
        </w:rPr>
      </w:pPr>
      <w:r w:rsidRPr="00D14E5C">
        <w:tab/>
      </w:r>
      <w:r w:rsidRPr="00D14E5C">
        <w:tab/>
      </w:r>
      <w:r w:rsidR="003B751F" w:rsidRPr="00E53D87">
        <w:t>Views adopted by the Committee under article 5 (4) of the Optional Protocol, concerning c</w:t>
      </w:r>
      <w:r w:rsidR="00D01149" w:rsidRPr="00E53D87">
        <w:t xml:space="preserve">ommunication No. </w:t>
      </w:r>
      <w:r w:rsidR="00363DC0" w:rsidRPr="00E53D87">
        <w:t>3073/2017</w:t>
      </w:r>
      <w:r w:rsidR="003B751F" w:rsidRPr="00E53D87">
        <w:rPr>
          <w:rStyle w:val="FootnoteReference"/>
          <w:sz w:val="28"/>
          <w:vertAlign w:val="baseline"/>
        </w:rPr>
        <w:footnoteReference w:customMarkFollows="1" w:id="1"/>
        <w:t>*</w:t>
      </w:r>
      <w:r w:rsidR="003B751F" w:rsidRPr="00E53D87">
        <w:rPr>
          <w:vertAlign w:val="superscript"/>
        </w:rPr>
        <w:t>,</w:t>
      </w:r>
      <w:r w:rsidR="003B751F" w:rsidRPr="00E53D87">
        <w:rPr>
          <w:rStyle w:val="FootnoteReference"/>
          <w:sz w:val="28"/>
          <w:vertAlign w:val="baseline"/>
        </w:rPr>
        <w:footnoteReference w:customMarkFollows="1" w:id="2"/>
        <w:t>**</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1252D7" w:rsidRPr="00D14E5C" w14:paraId="5572A42C" w14:textId="77777777" w:rsidTr="009178E5">
        <w:tc>
          <w:tcPr>
            <w:tcW w:w="3119" w:type="dxa"/>
          </w:tcPr>
          <w:p w14:paraId="5572A42A" w14:textId="77777777" w:rsidR="006A31AE" w:rsidRPr="00D14E5C" w:rsidRDefault="006A31AE" w:rsidP="005553FD">
            <w:pPr>
              <w:pStyle w:val="SingleTxtG"/>
              <w:ind w:left="0" w:right="0"/>
              <w:jc w:val="left"/>
              <w:rPr>
                <w:i/>
              </w:rPr>
            </w:pPr>
            <w:r w:rsidRPr="00D14E5C">
              <w:rPr>
                <w:i/>
              </w:rPr>
              <w:t>Communication submitted by:</w:t>
            </w:r>
          </w:p>
        </w:tc>
        <w:tc>
          <w:tcPr>
            <w:tcW w:w="3685" w:type="dxa"/>
          </w:tcPr>
          <w:p w14:paraId="5572A42B" w14:textId="002DD6F9" w:rsidR="006A31AE" w:rsidRPr="0020014B" w:rsidRDefault="003D0D11" w:rsidP="00542736">
            <w:pPr>
              <w:rPr>
                <w:rFonts w:eastAsia="SimSun"/>
                <w:lang w:eastAsia="zh-CN"/>
              </w:rPr>
            </w:pPr>
            <w:r>
              <w:rPr>
                <w:rFonts w:eastAsia="SimSun"/>
                <w:lang w:eastAsia="zh-CN"/>
              </w:rPr>
              <w:t>Nadeem Khan</w:t>
            </w:r>
            <w:r w:rsidR="00835400">
              <w:rPr>
                <w:rFonts w:eastAsia="SimSun"/>
                <w:lang w:eastAsia="zh-CN"/>
              </w:rPr>
              <w:t xml:space="preserve"> </w:t>
            </w:r>
            <w:r w:rsidR="006A31AE" w:rsidRPr="0020014B">
              <w:rPr>
                <w:rFonts w:eastAsia="SimSun"/>
                <w:lang w:eastAsia="zh-CN"/>
              </w:rPr>
              <w:t>(represented by</w:t>
            </w:r>
            <w:r w:rsidR="004C03AF">
              <w:rPr>
                <w:rFonts w:eastAsia="SimSun"/>
                <w:lang w:eastAsia="zh-CN"/>
              </w:rPr>
              <w:t xml:space="preserve"> </w:t>
            </w:r>
            <w:r w:rsidR="0032722C">
              <w:rPr>
                <w:rFonts w:eastAsia="SimSun"/>
                <w:lang w:eastAsia="zh-CN"/>
              </w:rPr>
              <w:t xml:space="preserve">counsel, </w:t>
            </w:r>
            <w:r>
              <w:rPr>
                <w:rFonts w:eastAsia="SimSun"/>
                <w:lang w:eastAsia="zh-CN"/>
              </w:rPr>
              <w:t>David Matas</w:t>
            </w:r>
            <w:r w:rsidR="00542736">
              <w:rPr>
                <w:rFonts w:eastAsia="SimSun"/>
                <w:lang w:eastAsia="zh-CN"/>
              </w:rPr>
              <w:t>)</w:t>
            </w:r>
          </w:p>
        </w:tc>
      </w:tr>
      <w:tr w:rsidR="001252D7" w:rsidRPr="00D14E5C" w14:paraId="5572A42F" w14:textId="77777777" w:rsidTr="009178E5">
        <w:tc>
          <w:tcPr>
            <w:tcW w:w="3119" w:type="dxa"/>
          </w:tcPr>
          <w:p w14:paraId="5572A42D" w14:textId="1AD589E8" w:rsidR="006A31AE" w:rsidRPr="00D14E5C" w:rsidRDefault="006A31AE" w:rsidP="005553FD">
            <w:pPr>
              <w:pStyle w:val="SingleTxtG"/>
              <w:ind w:left="0" w:right="0"/>
              <w:jc w:val="left"/>
              <w:rPr>
                <w:i/>
              </w:rPr>
            </w:pPr>
            <w:r w:rsidRPr="00D14E5C">
              <w:rPr>
                <w:i/>
              </w:rPr>
              <w:t>Alleged victim</w:t>
            </w:r>
            <w:r w:rsidR="000B4C93" w:rsidRPr="00D14E5C">
              <w:rPr>
                <w:i/>
              </w:rPr>
              <w:t>s</w:t>
            </w:r>
            <w:r w:rsidRPr="00D14E5C">
              <w:rPr>
                <w:i/>
              </w:rPr>
              <w:t>:</w:t>
            </w:r>
          </w:p>
        </w:tc>
        <w:tc>
          <w:tcPr>
            <w:tcW w:w="3685" w:type="dxa"/>
          </w:tcPr>
          <w:p w14:paraId="5572A42E" w14:textId="799CBD22" w:rsidR="006A31AE" w:rsidRPr="00D14E5C" w:rsidRDefault="006A31AE" w:rsidP="005553FD">
            <w:pPr>
              <w:pStyle w:val="SingleTxtG"/>
              <w:ind w:left="0" w:right="0"/>
              <w:jc w:val="left"/>
            </w:pPr>
            <w:r w:rsidRPr="00D14E5C">
              <w:t>The author</w:t>
            </w:r>
          </w:p>
        </w:tc>
      </w:tr>
      <w:tr w:rsidR="001252D7" w:rsidRPr="00D14E5C" w14:paraId="5572A432" w14:textId="77777777" w:rsidTr="009178E5">
        <w:tc>
          <w:tcPr>
            <w:tcW w:w="3119" w:type="dxa"/>
          </w:tcPr>
          <w:p w14:paraId="5572A430" w14:textId="77777777" w:rsidR="006A31AE" w:rsidRPr="00D14E5C" w:rsidRDefault="006A31AE" w:rsidP="005553FD">
            <w:pPr>
              <w:pStyle w:val="SingleTxtG"/>
              <w:ind w:left="0" w:right="0"/>
              <w:jc w:val="left"/>
              <w:rPr>
                <w:i/>
              </w:rPr>
            </w:pPr>
            <w:r w:rsidRPr="00D14E5C">
              <w:rPr>
                <w:i/>
              </w:rPr>
              <w:t>State party:</w:t>
            </w:r>
          </w:p>
        </w:tc>
        <w:tc>
          <w:tcPr>
            <w:tcW w:w="3685" w:type="dxa"/>
          </w:tcPr>
          <w:p w14:paraId="5572A431" w14:textId="70633864" w:rsidR="006A31AE" w:rsidRPr="00D14E5C" w:rsidRDefault="003D0D11" w:rsidP="005553FD">
            <w:pPr>
              <w:pStyle w:val="SingleTxtG"/>
              <w:ind w:left="0" w:right="0"/>
              <w:jc w:val="left"/>
            </w:pPr>
            <w:r>
              <w:t>Canada</w:t>
            </w:r>
          </w:p>
        </w:tc>
      </w:tr>
      <w:tr w:rsidR="001252D7" w:rsidRPr="00D14E5C" w14:paraId="5572A435" w14:textId="77777777" w:rsidTr="009178E5">
        <w:tc>
          <w:tcPr>
            <w:tcW w:w="3119" w:type="dxa"/>
          </w:tcPr>
          <w:p w14:paraId="5572A433" w14:textId="77777777" w:rsidR="006A31AE" w:rsidRPr="00D14E5C" w:rsidRDefault="006A31AE" w:rsidP="005553FD">
            <w:pPr>
              <w:pStyle w:val="SingleTxtG"/>
              <w:ind w:left="0" w:right="0"/>
              <w:jc w:val="left"/>
              <w:rPr>
                <w:i/>
              </w:rPr>
            </w:pPr>
            <w:r w:rsidRPr="00D14E5C">
              <w:rPr>
                <w:i/>
              </w:rPr>
              <w:t>Date of communication:</w:t>
            </w:r>
          </w:p>
        </w:tc>
        <w:tc>
          <w:tcPr>
            <w:tcW w:w="3685" w:type="dxa"/>
          </w:tcPr>
          <w:p w14:paraId="5572A434" w14:textId="16205EBF" w:rsidR="006A31AE" w:rsidRPr="00D14E5C" w:rsidRDefault="003D0D11" w:rsidP="00A273F5">
            <w:pPr>
              <w:spacing w:after="120"/>
            </w:pPr>
            <w:r>
              <w:t>3 August 2017</w:t>
            </w:r>
            <w:r w:rsidR="00D032A3" w:rsidRPr="00D14E5C">
              <w:t xml:space="preserve"> </w:t>
            </w:r>
            <w:r w:rsidR="006A31AE" w:rsidRPr="00D14E5C">
              <w:t>(initial submission)</w:t>
            </w:r>
          </w:p>
        </w:tc>
      </w:tr>
      <w:tr w:rsidR="006A31AE" w:rsidRPr="00D14E5C" w14:paraId="5572A438" w14:textId="77777777" w:rsidTr="009178E5">
        <w:tc>
          <w:tcPr>
            <w:tcW w:w="3119" w:type="dxa"/>
          </w:tcPr>
          <w:p w14:paraId="5572A436" w14:textId="77777777" w:rsidR="006A31AE" w:rsidRPr="00D14E5C" w:rsidRDefault="006A31AE" w:rsidP="005553FD">
            <w:pPr>
              <w:pStyle w:val="SingleTxtG"/>
              <w:ind w:left="0" w:right="0"/>
              <w:jc w:val="left"/>
              <w:rPr>
                <w:i/>
              </w:rPr>
            </w:pPr>
            <w:r w:rsidRPr="00D14E5C">
              <w:rPr>
                <w:i/>
              </w:rPr>
              <w:t>Document references:</w:t>
            </w:r>
          </w:p>
        </w:tc>
        <w:tc>
          <w:tcPr>
            <w:tcW w:w="3685" w:type="dxa"/>
          </w:tcPr>
          <w:p w14:paraId="5572A437" w14:textId="5A4DFC83" w:rsidR="006A31AE" w:rsidRPr="00D14E5C" w:rsidRDefault="006A31AE" w:rsidP="000C3274">
            <w:pPr>
              <w:pStyle w:val="SingleTxtG"/>
              <w:ind w:left="0" w:right="0"/>
              <w:jc w:val="left"/>
            </w:pPr>
            <w:r w:rsidRPr="00D14E5C">
              <w:t xml:space="preserve">Decision taken pursuant to rule </w:t>
            </w:r>
            <w:r w:rsidR="00FE409C">
              <w:t>97</w:t>
            </w:r>
            <w:r w:rsidRPr="00D14E5C">
              <w:t xml:space="preserve"> of the Committee’s rules of procedure</w:t>
            </w:r>
            <w:r w:rsidR="00FE409C">
              <w:t xml:space="preserve"> (now rule 92)</w:t>
            </w:r>
            <w:r w:rsidRPr="00D14E5C">
              <w:t xml:space="preserve">, </w:t>
            </w:r>
            <w:r w:rsidRPr="00BC088B">
              <w:rPr>
                <w:rFonts w:eastAsia="Times New Roman"/>
                <w:lang w:eastAsia="en-US"/>
              </w:rPr>
              <w:t xml:space="preserve">transmitted to the State party on </w:t>
            </w:r>
            <w:r w:rsidR="004C03AF">
              <w:rPr>
                <w:rFonts w:eastAsia="Times New Roman"/>
                <w:lang w:eastAsia="en-US"/>
              </w:rPr>
              <w:t>2</w:t>
            </w:r>
            <w:r w:rsidR="000C3274" w:rsidRPr="00BC088B">
              <w:rPr>
                <w:rFonts w:eastAsia="Times New Roman"/>
                <w:lang w:eastAsia="en-US"/>
              </w:rPr>
              <w:t xml:space="preserve"> </w:t>
            </w:r>
            <w:r w:rsidR="004C03AF">
              <w:rPr>
                <w:rFonts w:eastAsia="Times New Roman"/>
                <w:lang w:eastAsia="en-US"/>
              </w:rPr>
              <w:t>November</w:t>
            </w:r>
            <w:r w:rsidR="000C3274" w:rsidRPr="00BC088B">
              <w:rPr>
                <w:rFonts w:eastAsia="Times New Roman"/>
                <w:lang w:eastAsia="en-US"/>
              </w:rPr>
              <w:t xml:space="preserve"> 20</w:t>
            </w:r>
            <w:r w:rsidR="004C03AF">
              <w:rPr>
                <w:rFonts w:eastAsia="Times New Roman"/>
                <w:lang w:eastAsia="en-US"/>
              </w:rPr>
              <w:t>16</w:t>
            </w:r>
            <w:r w:rsidRPr="00D14E5C">
              <w:t xml:space="preserve"> (not issued in document form)</w:t>
            </w:r>
          </w:p>
        </w:tc>
      </w:tr>
      <w:tr w:rsidR="006A31AE" w:rsidRPr="00D14E5C" w14:paraId="5572A43B" w14:textId="77777777" w:rsidTr="009178E5">
        <w:tc>
          <w:tcPr>
            <w:tcW w:w="3119" w:type="dxa"/>
          </w:tcPr>
          <w:p w14:paraId="5572A439" w14:textId="77777777" w:rsidR="006A31AE" w:rsidRPr="00D14E5C" w:rsidRDefault="006A31AE" w:rsidP="005553FD">
            <w:pPr>
              <w:pStyle w:val="SingleTxtG"/>
              <w:ind w:left="0" w:right="0"/>
              <w:jc w:val="left"/>
              <w:rPr>
                <w:i/>
                <w:color w:val="000000" w:themeColor="text1"/>
              </w:rPr>
            </w:pPr>
            <w:r w:rsidRPr="00D14E5C">
              <w:rPr>
                <w:i/>
                <w:color w:val="000000" w:themeColor="text1"/>
              </w:rPr>
              <w:t>Date of adoption of Views:</w:t>
            </w:r>
          </w:p>
        </w:tc>
        <w:tc>
          <w:tcPr>
            <w:tcW w:w="3685" w:type="dxa"/>
            <w:vAlign w:val="bottom"/>
          </w:tcPr>
          <w:p w14:paraId="5572A43A" w14:textId="20D32D30" w:rsidR="006A31AE" w:rsidRPr="00D14E5C" w:rsidRDefault="00D43D09" w:rsidP="005553FD">
            <w:pPr>
              <w:pStyle w:val="SingleTxtG"/>
              <w:ind w:left="0" w:right="0"/>
              <w:jc w:val="left"/>
            </w:pPr>
            <w:r>
              <w:t>18 July</w:t>
            </w:r>
            <w:r w:rsidR="00161348" w:rsidRPr="00D14E5C">
              <w:t xml:space="preserve"> </w:t>
            </w:r>
            <w:r w:rsidR="00C64C69">
              <w:t>202</w:t>
            </w:r>
            <w:r w:rsidR="003D0D11">
              <w:t>3</w:t>
            </w:r>
          </w:p>
        </w:tc>
      </w:tr>
      <w:tr w:rsidR="006A31AE" w:rsidRPr="00D14E5C" w14:paraId="5572A43E" w14:textId="77777777" w:rsidTr="009178E5">
        <w:tc>
          <w:tcPr>
            <w:tcW w:w="3119" w:type="dxa"/>
          </w:tcPr>
          <w:p w14:paraId="5572A43C" w14:textId="3B2653AD" w:rsidR="006A31AE" w:rsidRPr="00D14E5C" w:rsidRDefault="006A31AE" w:rsidP="005553FD">
            <w:pPr>
              <w:pStyle w:val="SingleTxtG"/>
              <w:ind w:left="0" w:right="0"/>
              <w:jc w:val="left"/>
              <w:rPr>
                <w:i/>
              </w:rPr>
            </w:pPr>
            <w:r w:rsidRPr="00D14E5C">
              <w:rPr>
                <w:i/>
                <w:iCs/>
              </w:rPr>
              <w:t>Subject matter:</w:t>
            </w:r>
          </w:p>
        </w:tc>
        <w:tc>
          <w:tcPr>
            <w:tcW w:w="3685" w:type="dxa"/>
          </w:tcPr>
          <w:p w14:paraId="5572A43D" w14:textId="322D9E22" w:rsidR="006A31AE" w:rsidRPr="00D14E5C" w:rsidRDefault="00FD488A" w:rsidP="00FE409C">
            <w:pPr>
              <w:spacing w:after="120"/>
              <w:rPr>
                <w:rFonts w:eastAsia="SimSun"/>
                <w:lang w:eastAsia="zh-CN"/>
              </w:rPr>
            </w:pPr>
            <w:r>
              <w:t>Denial of permanent residence of refugee</w:t>
            </w:r>
            <w:r w:rsidR="00CF4ED1">
              <w:t xml:space="preserve"> </w:t>
            </w:r>
          </w:p>
        </w:tc>
      </w:tr>
      <w:tr w:rsidR="006A31AE" w:rsidRPr="00D14E5C" w14:paraId="5572A441" w14:textId="77777777" w:rsidTr="009178E5">
        <w:tc>
          <w:tcPr>
            <w:tcW w:w="3119" w:type="dxa"/>
          </w:tcPr>
          <w:p w14:paraId="5572A43F" w14:textId="77777777" w:rsidR="006A31AE" w:rsidRPr="00D14E5C" w:rsidRDefault="006A31AE" w:rsidP="005553FD">
            <w:pPr>
              <w:pStyle w:val="SingleTxtG"/>
              <w:ind w:left="0" w:right="0"/>
              <w:jc w:val="left"/>
              <w:rPr>
                <w:i/>
                <w:iCs/>
              </w:rPr>
            </w:pPr>
            <w:r w:rsidRPr="00D14E5C">
              <w:rPr>
                <w:i/>
                <w:iCs/>
              </w:rPr>
              <w:t>Procedural issues</w:t>
            </w:r>
            <w:r w:rsidRPr="00D14E5C">
              <w:rPr>
                <w:i/>
              </w:rPr>
              <w:t>:</w:t>
            </w:r>
          </w:p>
        </w:tc>
        <w:tc>
          <w:tcPr>
            <w:tcW w:w="3685" w:type="dxa"/>
          </w:tcPr>
          <w:p w14:paraId="5572A440" w14:textId="248DD5B7" w:rsidR="006A31AE" w:rsidRPr="00431B23" w:rsidRDefault="00431B23" w:rsidP="000D7C03">
            <w:pPr>
              <w:pStyle w:val="SingleTxtG"/>
              <w:ind w:left="0" w:right="0"/>
              <w:jc w:val="left"/>
            </w:pPr>
            <w:proofErr w:type="spellStart"/>
            <w:r>
              <w:rPr>
                <w:i/>
                <w:iCs/>
              </w:rPr>
              <w:t>Ratione</w:t>
            </w:r>
            <w:proofErr w:type="spellEnd"/>
            <w:r>
              <w:rPr>
                <w:i/>
                <w:iCs/>
              </w:rPr>
              <w:t xml:space="preserve"> </w:t>
            </w:r>
            <w:proofErr w:type="spellStart"/>
            <w:r>
              <w:rPr>
                <w:i/>
                <w:iCs/>
              </w:rPr>
              <w:t>matierae</w:t>
            </w:r>
            <w:proofErr w:type="spellEnd"/>
            <w:r>
              <w:t>; level of substantiation of claims</w:t>
            </w:r>
          </w:p>
        </w:tc>
      </w:tr>
      <w:tr w:rsidR="006A31AE" w:rsidRPr="00D14E5C" w14:paraId="5572A444" w14:textId="77777777" w:rsidTr="009178E5">
        <w:tc>
          <w:tcPr>
            <w:tcW w:w="3119" w:type="dxa"/>
          </w:tcPr>
          <w:p w14:paraId="5572A442" w14:textId="77777777" w:rsidR="006A31AE" w:rsidRPr="00D14E5C" w:rsidRDefault="006A31AE" w:rsidP="005553FD">
            <w:pPr>
              <w:pStyle w:val="SingleTxtG"/>
              <w:keepNext/>
              <w:ind w:left="0" w:right="0"/>
              <w:jc w:val="left"/>
              <w:rPr>
                <w:i/>
                <w:iCs/>
              </w:rPr>
            </w:pPr>
            <w:r w:rsidRPr="00D14E5C">
              <w:rPr>
                <w:i/>
                <w:iCs/>
              </w:rPr>
              <w:t>Substantive issues:</w:t>
            </w:r>
          </w:p>
        </w:tc>
        <w:tc>
          <w:tcPr>
            <w:tcW w:w="3685" w:type="dxa"/>
          </w:tcPr>
          <w:p w14:paraId="5572A443" w14:textId="2CB03EB3" w:rsidR="006A31AE" w:rsidRPr="00A269EE" w:rsidRDefault="007C1A82" w:rsidP="00A269EE">
            <w:pPr>
              <w:keepNext/>
              <w:spacing w:after="120"/>
              <w:rPr>
                <w:rFonts w:eastAsia="SimSun"/>
                <w:lang w:eastAsia="zh-CN"/>
              </w:rPr>
            </w:pPr>
            <w:r>
              <w:t>C</w:t>
            </w:r>
            <w:r w:rsidRPr="0024497A">
              <w:t xml:space="preserve">ruel, </w:t>
            </w:r>
            <w:proofErr w:type="gramStart"/>
            <w:r w:rsidRPr="0024497A">
              <w:t>inhuman</w:t>
            </w:r>
            <w:proofErr w:type="gramEnd"/>
            <w:r w:rsidRPr="0024497A">
              <w:t xml:space="preserve"> or degrading treatment or punishment; </w:t>
            </w:r>
            <w:r>
              <w:t>right to family and home</w:t>
            </w:r>
          </w:p>
        </w:tc>
      </w:tr>
      <w:tr w:rsidR="006A31AE" w:rsidRPr="00D14E5C" w14:paraId="5572A447" w14:textId="77777777" w:rsidTr="009178E5">
        <w:tc>
          <w:tcPr>
            <w:tcW w:w="3119" w:type="dxa"/>
          </w:tcPr>
          <w:p w14:paraId="5572A445" w14:textId="77777777" w:rsidR="006A31AE" w:rsidRPr="00D14E5C" w:rsidRDefault="006A31AE" w:rsidP="005553FD">
            <w:pPr>
              <w:pStyle w:val="SingleTxtG"/>
              <w:ind w:left="0" w:right="0"/>
              <w:jc w:val="left"/>
              <w:rPr>
                <w:i/>
                <w:iCs/>
              </w:rPr>
            </w:pPr>
            <w:r w:rsidRPr="00D14E5C">
              <w:rPr>
                <w:i/>
                <w:iCs/>
              </w:rPr>
              <w:t>Articles of the Covenant</w:t>
            </w:r>
            <w:r w:rsidRPr="00D14E5C">
              <w:rPr>
                <w:i/>
              </w:rPr>
              <w:t>:</w:t>
            </w:r>
          </w:p>
        </w:tc>
        <w:tc>
          <w:tcPr>
            <w:tcW w:w="3685" w:type="dxa"/>
          </w:tcPr>
          <w:p w14:paraId="5572A446" w14:textId="3CDB0614" w:rsidR="006A31AE" w:rsidRPr="00FE409C" w:rsidRDefault="003D0D11" w:rsidP="007F7A51">
            <w:pPr>
              <w:pStyle w:val="SingleTxtG"/>
              <w:ind w:left="0" w:right="0"/>
              <w:jc w:val="left"/>
            </w:pPr>
            <w:r>
              <w:t>7 and 17</w:t>
            </w:r>
          </w:p>
        </w:tc>
      </w:tr>
      <w:tr w:rsidR="006A31AE" w:rsidRPr="00D14E5C" w14:paraId="5572A44A" w14:textId="77777777" w:rsidTr="009178E5">
        <w:tc>
          <w:tcPr>
            <w:tcW w:w="3119" w:type="dxa"/>
          </w:tcPr>
          <w:p w14:paraId="5572A448" w14:textId="43D0913F" w:rsidR="006A31AE" w:rsidRPr="00D14E5C" w:rsidRDefault="006A31AE" w:rsidP="005553FD">
            <w:pPr>
              <w:pStyle w:val="SingleTxtG"/>
              <w:ind w:left="0" w:right="0"/>
              <w:jc w:val="left"/>
              <w:rPr>
                <w:i/>
                <w:iCs/>
              </w:rPr>
            </w:pPr>
            <w:r w:rsidRPr="00D14E5C">
              <w:rPr>
                <w:i/>
                <w:iCs/>
              </w:rPr>
              <w:t>Article</w:t>
            </w:r>
            <w:r w:rsidR="000B4C93" w:rsidRPr="00D14E5C">
              <w:rPr>
                <w:i/>
                <w:iCs/>
              </w:rPr>
              <w:t>s</w:t>
            </w:r>
            <w:r w:rsidRPr="00D14E5C">
              <w:rPr>
                <w:i/>
                <w:iCs/>
              </w:rPr>
              <w:t xml:space="preserve"> of the Optional Protocol:</w:t>
            </w:r>
          </w:p>
        </w:tc>
        <w:tc>
          <w:tcPr>
            <w:tcW w:w="3685" w:type="dxa"/>
          </w:tcPr>
          <w:p w14:paraId="5572A449" w14:textId="289F71AF" w:rsidR="00A269EE" w:rsidRPr="00FE409C" w:rsidRDefault="003F5428" w:rsidP="00BA10F9">
            <w:pPr>
              <w:pStyle w:val="SingleTxtG"/>
              <w:ind w:left="0" w:right="0"/>
              <w:jc w:val="left"/>
            </w:pPr>
            <w:r w:rsidRPr="00990874">
              <w:t xml:space="preserve">2, 3 </w:t>
            </w:r>
            <w:r w:rsidRPr="00990874">
              <w:rPr>
                <w:lang w:val="en-AU"/>
              </w:rPr>
              <w:t>and</w:t>
            </w:r>
            <w:r w:rsidRPr="00990874">
              <w:t xml:space="preserve"> </w:t>
            </w:r>
            <w:r w:rsidRPr="00990874">
              <w:rPr>
                <w:bCs/>
              </w:rPr>
              <w:t>5 (2) (b)</w:t>
            </w:r>
          </w:p>
        </w:tc>
      </w:tr>
    </w:tbl>
    <w:p w14:paraId="02225D95" w14:textId="607B3A5F" w:rsidR="00A273F5" w:rsidRDefault="00675748" w:rsidP="00035673">
      <w:pPr>
        <w:pStyle w:val="SingleTxtG"/>
        <w:spacing w:before="240"/>
      </w:pPr>
      <w:r w:rsidRPr="00D14E5C">
        <w:t>1.</w:t>
      </w:r>
      <w:r w:rsidRPr="00D14E5C">
        <w:tab/>
      </w:r>
      <w:r w:rsidR="00596890" w:rsidRPr="00BC088B">
        <w:rPr>
          <w:rFonts w:eastAsia="Times New Roman"/>
          <w:lang w:eastAsia="en-US"/>
        </w:rPr>
        <w:t>The author</w:t>
      </w:r>
      <w:r w:rsidR="00596890" w:rsidRPr="00D14E5C">
        <w:t xml:space="preserve"> of </w:t>
      </w:r>
      <w:r w:rsidR="00237A47" w:rsidRPr="00D14E5C">
        <w:t>the com</w:t>
      </w:r>
      <w:r w:rsidR="00E64D3D" w:rsidRPr="00D14E5C">
        <w:t xml:space="preserve">munication </w:t>
      </w:r>
      <w:r w:rsidR="00465D80">
        <w:t>is Nadeem Khan, a national of Pakistan born on 25 October 1967</w:t>
      </w:r>
      <w:r w:rsidR="00751265" w:rsidRPr="00BC088B">
        <w:rPr>
          <w:rFonts w:eastAsia="Times New Roman"/>
          <w:lang w:eastAsia="en-US"/>
        </w:rPr>
        <w:t>.</w:t>
      </w:r>
      <w:r w:rsidR="00596890" w:rsidRPr="007F7A51">
        <w:t xml:space="preserve"> </w:t>
      </w:r>
      <w:r w:rsidR="00F236DD">
        <w:t xml:space="preserve">He </w:t>
      </w:r>
      <w:r w:rsidRPr="007F7A51">
        <w:t>claim</w:t>
      </w:r>
      <w:r w:rsidR="00F236DD">
        <w:t>s</w:t>
      </w:r>
      <w:r w:rsidRPr="007F7A51">
        <w:t xml:space="preserve"> </w:t>
      </w:r>
      <w:r w:rsidR="00986B57" w:rsidRPr="007F7A51">
        <w:t>that the State party has</w:t>
      </w:r>
      <w:r w:rsidRPr="007F7A51">
        <w:t xml:space="preserve"> violat</w:t>
      </w:r>
      <w:r w:rsidR="00986B57" w:rsidRPr="007F7A51">
        <w:t>ed</w:t>
      </w:r>
      <w:r w:rsidRPr="007F7A51">
        <w:t xml:space="preserve"> </w:t>
      </w:r>
      <w:r w:rsidR="00F236DD">
        <w:t>his</w:t>
      </w:r>
      <w:r w:rsidRPr="007F7A51">
        <w:t xml:space="preserve"> rights under</w:t>
      </w:r>
      <w:r w:rsidR="00841594" w:rsidRPr="007F7A51">
        <w:t xml:space="preserve"> </w:t>
      </w:r>
      <w:r w:rsidR="009366C8" w:rsidRPr="007F7A51">
        <w:rPr>
          <w:rFonts w:eastAsia="Times New Roman"/>
          <w:color w:val="000000"/>
          <w:lang w:eastAsia="en-GB"/>
        </w:rPr>
        <w:t>article</w:t>
      </w:r>
      <w:r w:rsidR="005C21FC">
        <w:rPr>
          <w:rFonts w:eastAsia="Times New Roman"/>
          <w:color w:val="000000"/>
          <w:lang w:eastAsia="en-GB"/>
        </w:rPr>
        <w:t>s</w:t>
      </w:r>
      <w:r w:rsidR="0023780E" w:rsidRPr="00FE409C">
        <w:t xml:space="preserve"> </w:t>
      </w:r>
      <w:r w:rsidR="00F236DD">
        <w:t>7 and 17</w:t>
      </w:r>
      <w:r w:rsidR="00BB2604">
        <w:t xml:space="preserve"> of the Covenant</w:t>
      </w:r>
      <w:r w:rsidR="0020014B" w:rsidRPr="007F7A51">
        <w:rPr>
          <w:rFonts w:eastAsia="Times New Roman"/>
          <w:color w:val="000000"/>
          <w:lang w:eastAsia="en-GB"/>
        </w:rPr>
        <w:t xml:space="preserve">. </w:t>
      </w:r>
      <w:r w:rsidR="005B3685" w:rsidRPr="007F7A51">
        <w:rPr>
          <w:rFonts w:eastAsia="Times New Roman"/>
          <w:color w:val="000000"/>
          <w:lang w:eastAsia="en-GB"/>
        </w:rPr>
        <w:t>The Optional Protocol entered into force for</w:t>
      </w:r>
      <w:r w:rsidR="00F236DD">
        <w:rPr>
          <w:rFonts w:eastAsia="Times New Roman"/>
          <w:color w:val="000000"/>
          <w:lang w:eastAsia="en-GB"/>
        </w:rPr>
        <w:t xml:space="preserve"> Canada</w:t>
      </w:r>
      <w:r w:rsidR="00411E42">
        <w:rPr>
          <w:rFonts w:eastAsia="Times New Roman"/>
          <w:color w:val="000000"/>
          <w:lang w:eastAsia="en-GB"/>
        </w:rPr>
        <w:t xml:space="preserve"> on </w:t>
      </w:r>
      <w:r w:rsidR="00F236DD">
        <w:rPr>
          <w:rFonts w:eastAsia="Times New Roman"/>
          <w:color w:val="000000"/>
          <w:lang w:eastAsia="en-GB"/>
        </w:rPr>
        <w:t>19 May 1976</w:t>
      </w:r>
      <w:r w:rsidR="0023780E">
        <w:rPr>
          <w:rFonts w:eastAsia="Times New Roman"/>
          <w:color w:val="000000"/>
          <w:lang w:eastAsia="en-GB"/>
        </w:rPr>
        <w:t>.</w:t>
      </w:r>
      <w:r w:rsidRPr="00C65E26">
        <w:rPr>
          <w:rFonts w:eastAsia="Times New Roman"/>
          <w:color w:val="000000"/>
          <w:lang w:eastAsia="en-GB"/>
        </w:rPr>
        <w:t xml:space="preserve"> The</w:t>
      </w:r>
      <w:r w:rsidR="005B3685" w:rsidRPr="00C65E26">
        <w:rPr>
          <w:rFonts w:eastAsia="Times New Roman"/>
          <w:color w:val="000000"/>
          <w:lang w:eastAsia="en-GB"/>
        </w:rPr>
        <w:t xml:space="preserve"> author</w:t>
      </w:r>
      <w:r w:rsidRPr="00C65E26">
        <w:rPr>
          <w:rFonts w:eastAsia="Times New Roman"/>
          <w:color w:val="000000"/>
          <w:lang w:eastAsia="en-GB"/>
        </w:rPr>
        <w:t xml:space="preserve"> </w:t>
      </w:r>
      <w:r w:rsidR="00F236DD">
        <w:rPr>
          <w:rFonts w:eastAsia="Times New Roman"/>
          <w:color w:val="000000"/>
          <w:lang w:eastAsia="en-GB"/>
        </w:rPr>
        <w:t>is</w:t>
      </w:r>
      <w:r w:rsidR="00841594" w:rsidRPr="00D14E5C">
        <w:t xml:space="preserve"> </w:t>
      </w:r>
      <w:r w:rsidR="00841594" w:rsidRPr="00BC088B">
        <w:rPr>
          <w:rFonts w:eastAsia="Times New Roman"/>
          <w:lang w:eastAsia="en-US"/>
        </w:rPr>
        <w:t xml:space="preserve">represented </w:t>
      </w:r>
      <w:r w:rsidRPr="00BC088B">
        <w:rPr>
          <w:rFonts w:eastAsia="Times New Roman"/>
          <w:lang w:eastAsia="en-US"/>
        </w:rPr>
        <w:t xml:space="preserve">by </w:t>
      </w:r>
      <w:r w:rsidR="00383E33">
        <w:rPr>
          <w:rFonts w:eastAsia="Times New Roman"/>
          <w:lang w:eastAsia="en-US"/>
        </w:rPr>
        <w:t>counsel</w:t>
      </w:r>
      <w:r w:rsidR="00F236DD">
        <w:rPr>
          <w:rFonts w:eastAsia="Times New Roman"/>
          <w:lang w:eastAsia="en-US"/>
        </w:rPr>
        <w:t xml:space="preserve">. </w:t>
      </w:r>
    </w:p>
    <w:p w14:paraId="57D03ACC" w14:textId="1DC25CE4" w:rsidR="00596890" w:rsidRDefault="00901B13" w:rsidP="00901B13">
      <w:pPr>
        <w:pStyle w:val="H23G"/>
      </w:pPr>
      <w:r>
        <w:tab/>
      </w:r>
      <w:r>
        <w:tab/>
      </w:r>
      <w:r w:rsidR="00861B2A">
        <w:t>Factual background</w:t>
      </w:r>
    </w:p>
    <w:p w14:paraId="411B1DAD" w14:textId="0D094D66" w:rsidR="0075307D" w:rsidRDefault="003271C2" w:rsidP="009C3BD9">
      <w:pPr>
        <w:pStyle w:val="SingleTxtG"/>
      </w:pPr>
      <w:r>
        <w:t>2.1</w:t>
      </w:r>
      <w:r>
        <w:tab/>
      </w:r>
      <w:r w:rsidR="004B521D">
        <w:t>On 13 May 1997, th</w:t>
      </w:r>
      <w:r w:rsidR="0075307D">
        <w:t xml:space="preserve">e author arrived in Canada and requested refugee status. On 3 February 1999, the Refugee Division of the Immigration and Refugee Board </w:t>
      </w:r>
      <w:r w:rsidR="0075307D" w:rsidRPr="004A5F4A">
        <w:t xml:space="preserve">found him to be </w:t>
      </w:r>
      <w:r w:rsidR="0075307D" w:rsidRPr="004A5F4A">
        <w:lastRenderedPageBreak/>
        <w:t xml:space="preserve">a refugee under the 1951 Convention relating to the Status of Refugees. On </w:t>
      </w:r>
      <w:r w:rsidR="00D83B89" w:rsidRPr="004A5F4A">
        <w:t>24</w:t>
      </w:r>
      <w:r w:rsidR="0075307D" w:rsidRPr="004A5F4A">
        <w:t xml:space="preserve"> February 1999, the author applied for permanent residence in Canada.</w:t>
      </w:r>
      <w:r w:rsidR="0075307D">
        <w:t xml:space="preserve"> </w:t>
      </w:r>
    </w:p>
    <w:p w14:paraId="36D61813" w14:textId="3CE387C1" w:rsidR="001678D7" w:rsidRPr="001678D7" w:rsidRDefault="001678D7" w:rsidP="009C3BD9">
      <w:pPr>
        <w:pStyle w:val="SingleTxtG"/>
        <w:rPr>
          <w:i/>
          <w:iCs/>
        </w:rPr>
      </w:pPr>
      <w:r>
        <w:rPr>
          <w:i/>
          <w:iCs/>
        </w:rPr>
        <w:t>Admissibility proceedings pursuant to section 34 (1) of IRPA</w:t>
      </w:r>
    </w:p>
    <w:p w14:paraId="2F596514" w14:textId="5A9D2DB4" w:rsidR="009C3BD9" w:rsidRDefault="0075307D" w:rsidP="00823200">
      <w:pPr>
        <w:pStyle w:val="SingleTxtG"/>
      </w:pPr>
      <w:r>
        <w:t>2.2</w:t>
      </w:r>
      <w:r>
        <w:tab/>
      </w:r>
      <w:r w:rsidR="00862A7A">
        <w:t>In order to determine the admissibility</w:t>
      </w:r>
      <w:r w:rsidR="007A19CE">
        <w:t xml:space="preserve"> of the author</w:t>
      </w:r>
      <w:r w:rsidR="00862A7A">
        <w:t xml:space="preserve">, he was interviewed on 1 November 1999, on 15 March 2005, and on 18 October 2005. As a result of the information obtained, an officer of the Canadian Border Services concluded that there were reasonable grounds to believe that the author was inadmissible pursuant to section 34 (1) of the Immigration and Refugee Protection Act (IRPA) for having been a member </w:t>
      </w:r>
      <w:r w:rsidR="00F9451E">
        <w:t>of organizations</w:t>
      </w:r>
      <w:r w:rsidR="00862A7A">
        <w:t xml:space="preserve"> engaged in acts of terrorism, namely </w:t>
      </w:r>
      <w:proofErr w:type="spellStart"/>
      <w:r w:rsidR="00862A7A">
        <w:t>Mohajir</w:t>
      </w:r>
      <w:proofErr w:type="spellEnd"/>
      <w:r w:rsidR="00862A7A">
        <w:t xml:space="preserve"> Quami Movement (MQM) and </w:t>
      </w:r>
      <w:proofErr w:type="spellStart"/>
      <w:r w:rsidR="00862A7A">
        <w:t>Mohajir</w:t>
      </w:r>
      <w:proofErr w:type="spellEnd"/>
      <w:r w:rsidR="00862A7A">
        <w:t xml:space="preserve"> Quami Movement – </w:t>
      </w:r>
      <w:proofErr w:type="spellStart"/>
      <w:r w:rsidR="00862A7A">
        <w:t>Haqiqi</w:t>
      </w:r>
      <w:proofErr w:type="spellEnd"/>
      <w:r w:rsidR="00862A7A">
        <w:t xml:space="preserve"> (MQM-H). On 31 October 2005, the officer of the Canadian Border Services Agency wrote a report on the author’s admissibility</w:t>
      </w:r>
      <w:r w:rsidR="00C912FA">
        <w:t>, which was referred to an admissibility hearing by the Immigration Division of the Immigration Refugee Board (IRB).</w:t>
      </w:r>
      <w:r w:rsidR="00862A7A">
        <w:t xml:space="preserve"> </w:t>
      </w:r>
      <w:r w:rsidR="009F6B8F">
        <w:t xml:space="preserve">The author </w:t>
      </w:r>
      <w:r w:rsidR="00823200">
        <w:t xml:space="preserve">submits that he </w:t>
      </w:r>
      <w:r w:rsidR="009F6B8F">
        <w:t xml:space="preserve">was not provided with explanations as to why his admissibility on this ground </w:t>
      </w:r>
      <w:r w:rsidR="002A494A">
        <w:t>was not sought earlier, given that such grounds for inadmissibility existed at the time he made his refugee claim.</w:t>
      </w:r>
      <w:r w:rsidR="002A494A">
        <w:rPr>
          <w:rStyle w:val="FootnoteReference"/>
        </w:rPr>
        <w:footnoteReference w:id="3"/>
      </w:r>
      <w:r>
        <w:t xml:space="preserve"> </w:t>
      </w:r>
      <w:r w:rsidR="002B0B73">
        <w:t xml:space="preserve">Furthermore, the determination of the author as a Convention refugee meant that there was no serious reason to consider that he had been complicit in an act of terrorism, pursuant to the refugee definition under </w:t>
      </w:r>
      <w:r w:rsidR="001A4F84">
        <w:t>A</w:t>
      </w:r>
      <w:r w:rsidR="002B0B73">
        <w:t xml:space="preserve">rticle 1 of the Convention. </w:t>
      </w:r>
    </w:p>
    <w:p w14:paraId="34A84098" w14:textId="2ED2E15A" w:rsidR="00823200" w:rsidRDefault="00823200" w:rsidP="00823200">
      <w:pPr>
        <w:pStyle w:val="SingleTxtG"/>
      </w:pPr>
      <w:r>
        <w:t>2.3</w:t>
      </w:r>
      <w:r>
        <w:tab/>
        <w:t xml:space="preserve">Following the admissibility hearing, which took place on 16 June 2006, the IRB found that the author was not covered by section 34 (1) of the </w:t>
      </w:r>
      <w:r w:rsidR="00B32BE6">
        <w:t>IRPA and</w:t>
      </w:r>
      <w:r>
        <w:t xml:space="preserve"> was therefore not inadmissible to Canada. </w:t>
      </w:r>
      <w:r w:rsidR="00B32BE6">
        <w:t>The Minister for Public Safety</w:t>
      </w:r>
      <w:r w:rsidR="004B521D">
        <w:t>’s appeal against the IRB’s decision was successful</w:t>
      </w:r>
      <w:r w:rsidR="00544B37">
        <w:t>,</w:t>
      </w:r>
      <w:r w:rsidR="004B521D">
        <w:t xml:space="preserve"> and </w:t>
      </w:r>
      <w:r w:rsidR="00544B37">
        <w:t xml:space="preserve">on 30 October 2007, the Immigration Appeals Division found the author to be inadmissible. A deportation order was issued against him. </w:t>
      </w:r>
    </w:p>
    <w:p w14:paraId="39E6CB5D" w14:textId="5AEF4B53" w:rsidR="00110AE1" w:rsidRDefault="00544B37" w:rsidP="0097696C">
      <w:pPr>
        <w:pStyle w:val="SingleTxtG"/>
      </w:pPr>
      <w:r>
        <w:t>2.4</w:t>
      </w:r>
      <w:r>
        <w:tab/>
        <w:t xml:space="preserve">In November 2007, the author applied to the Federal Court for leave and judicial review of the decision of the Immigration Appeals Division. In August 2008, the Federal Court rejected the author’s request for leave. </w:t>
      </w:r>
      <w:r w:rsidR="0097696C">
        <w:t xml:space="preserve">The author, however, continued to </w:t>
      </w:r>
      <w:r w:rsidR="004B521D">
        <w:t>remain</w:t>
      </w:r>
      <w:r w:rsidR="0097696C">
        <w:t xml:space="preserve"> a refugee</w:t>
      </w:r>
      <w:r w:rsidR="00BE2FA3">
        <w:t xml:space="preserve"> under the Convention Relating to the Status of Refugees</w:t>
      </w:r>
      <w:r w:rsidR="0097696C">
        <w:t xml:space="preserve">. </w:t>
      </w:r>
      <w:r w:rsidR="00110AE1">
        <w:tab/>
      </w:r>
      <w:r w:rsidR="00DE1B8C">
        <w:t xml:space="preserve"> </w:t>
      </w:r>
    </w:p>
    <w:p w14:paraId="35A93FED" w14:textId="1B1F0284" w:rsidR="004B22E2" w:rsidRDefault="004B22E2" w:rsidP="005154BA">
      <w:pPr>
        <w:pStyle w:val="SingleTxtG"/>
      </w:pPr>
      <w:r>
        <w:t>2.5</w:t>
      </w:r>
      <w:r>
        <w:tab/>
      </w:r>
      <w:r w:rsidR="005154BA">
        <w:t>In</w:t>
      </w:r>
      <w:r>
        <w:t xml:space="preserve"> July 2014, Citizenship and Immigration Canada refused the author’s application for permanent residence based on his inadmissibility pursuant </w:t>
      </w:r>
      <w:r w:rsidR="004B521D">
        <w:t>to</w:t>
      </w:r>
      <w:r>
        <w:t xml:space="preserve"> section 34 (1) of the IRPA. </w:t>
      </w:r>
      <w:r w:rsidR="005154BA">
        <w:t xml:space="preserve">The author applied to the Federal Court for leave to apply for judicial review of the decision. Although leave was granted, on 1 September 2015, the Federal Court dismissed his application, as it found the decision </w:t>
      </w:r>
      <w:r w:rsidR="004B521D">
        <w:t>refusing</w:t>
      </w:r>
      <w:r w:rsidR="005154BA">
        <w:t xml:space="preserve"> the author’s application for permanent residence on the grounds of his inadmissibility as reasonable.   </w:t>
      </w:r>
    </w:p>
    <w:p w14:paraId="4D034416" w14:textId="7CD49CB3" w:rsidR="00B130B2" w:rsidRPr="001678D7" w:rsidRDefault="001678D7" w:rsidP="009C3BD9">
      <w:pPr>
        <w:pStyle w:val="SingleTxtG"/>
        <w:rPr>
          <w:i/>
          <w:iCs/>
        </w:rPr>
      </w:pPr>
      <w:r>
        <w:rPr>
          <w:i/>
          <w:iCs/>
        </w:rPr>
        <w:t xml:space="preserve">Ministerial relief proceedings </w:t>
      </w:r>
    </w:p>
    <w:p w14:paraId="00D82F3E" w14:textId="1ADBB7B6" w:rsidR="00974488" w:rsidRDefault="0097696C" w:rsidP="0097696C">
      <w:pPr>
        <w:pStyle w:val="SingleTxtG"/>
      </w:pPr>
      <w:r>
        <w:t>2.</w:t>
      </w:r>
      <w:r w:rsidR="005154BA">
        <w:t>6</w:t>
      </w:r>
      <w:r>
        <w:tab/>
        <w:t>On 22 February 2006,</w:t>
      </w:r>
      <w:r w:rsidR="005154BA">
        <w:t xml:space="preserve"> parallel to the admissibility proceedings,</w:t>
      </w:r>
      <w:r>
        <w:t xml:space="preserve"> the author applied for Ministerial Relief under subsection 34 (2) of the IRPA, which provided that “matters referred to in subsection (1) </w:t>
      </w:r>
      <w:r w:rsidR="004B521D">
        <w:t>do</w:t>
      </w:r>
      <w:r>
        <w:t xml:space="preserve"> not constitute inadmissibility in respect of a permanent resident or a foreign national who satisfies the Minister that their presence in Canada would not be detrimental to the national interest”.</w:t>
      </w:r>
      <w:r>
        <w:rPr>
          <w:rStyle w:val="FootnoteReference"/>
        </w:rPr>
        <w:footnoteReference w:id="4"/>
      </w:r>
      <w:r>
        <w:t xml:space="preserve"> </w:t>
      </w:r>
      <w:r w:rsidR="00974488">
        <w:t>On 28 July 2011 and 27 January 2012, t</w:t>
      </w:r>
      <w:r>
        <w:t>he author provided additional submissions to his Ministerial Relief application</w:t>
      </w:r>
      <w:r w:rsidR="00974488">
        <w:t xml:space="preserve">, including a letter of support from a former Member of Parliament for Victoria. </w:t>
      </w:r>
    </w:p>
    <w:p w14:paraId="65B5FAE6" w14:textId="15E7D23F" w:rsidR="008A39E3" w:rsidRDefault="00974488" w:rsidP="0097696C">
      <w:pPr>
        <w:pStyle w:val="SingleTxtG"/>
      </w:pPr>
      <w:r>
        <w:t>2.</w:t>
      </w:r>
      <w:r w:rsidR="005154BA">
        <w:t>7</w:t>
      </w:r>
      <w:r>
        <w:tab/>
        <w:t xml:space="preserve">On 16 May 2012, the Minister of Public Safety denied the author’s application for Ministerial relief. </w:t>
      </w:r>
      <w:r w:rsidR="0097696C">
        <w:t xml:space="preserve"> </w:t>
      </w:r>
      <w:r w:rsidR="00AC6E47">
        <w:t xml:space="preserve">The author filed an application before the Federal Court seeking leave and judicial review of this decision. In September 2013, following the ruling of the Supreme Court of Canada of 20 June 2013 in the </w:t>
      </w:r>
      <w:proofErr w:type="spellStart"/>
      <w:r w:rsidR="00AC6E47">
        <w:rPr>
          <w:i/>
          <w:iCs/>
        </w:rPr>
        <w:t>Agraira</w:t>
      </w:r>
      <w:proofErr w:type="spellEnd"/>
      <w:r w:rsidR="00AC6E47">
        <w:rPr>
          <w:i/>
          <w:iCs/>
        </w:rPr>
        <w:t xml:space="preserve"> v. Canada (Public Safety and Emergency </w:t>
      </w:r>
      <w:proofErr w:type="spellStart"/>
      <w:r w:rsidR="00AC6E47">
        <w:rPr>
          <w:i/>
          <w:iCs/>
        </w:rPr>
        <w:t>Preparedeness</w:t>
      </w:r>
      <w:proofErr w:type="spellEnd"/>
      <w:r w:rsidR="00AC6E47">
        <w:t xml:space="preserve"> case, the Canadian Border Services Agency filed a</w:t>
      </w:r>
      <w:r w:rsidR="006332F6">
        <w:t xml:space="preserve"> motion to consent for the re-determination of the author’s application for Ministerial relief. On </w:t>
      </w:r>
      <w:r w:rsidR="008D731A">
        <w:t xml:space="preserve">8 October 2013, the Federal Court granted the motion and sent the author’s application back for re-determination. </w:t>
      </w:r>
    </w:p>
    <w:p w14:paraId="092B031B" w14:textId="3A707ED3" w:rsidR="005D53EC" w:rsidRDefault="008D731A" w:rsidP="005D53EC">
      <w:pPr>
        <w:pStyle w:val="SingleTxtG"/>
      </w:pPr>
      <w:r>
        <w:t>2.</w:t>
      </w:r>
      <w:r w:rsidR="005154BA">
        <w:t>8</w:t>
      </w:r>
      <w:r>
        <w:tab/>
        <w:t xml:space="preserve">In January 2014, </w:t>
      </w:r>
      <w:r w:rsidR="00FF275A">
        <w:t xml:space="preserve">a draft Ministerial relief recommendation was disclosed to the author. He provided additional submissions </w:t>
      </w:r>
      <w:r w:rsidR="00A76867">
        <w:t xml:space="preserve">to his application </w:t>
      </w:r>
      <w:r w:rsidR="00FF275A">
        <w:t xml:space="preserve">on 7 April 2014 and 6 October 2014. </w:t>
      </w:r>
      <w:r w:rsidR="008C517D">
        <w:lastRenderedPageBreak/>
        <w:t xml:space="preserve">On 26 February 2015, the author’s application for Ministerial relief was rejected. </w:t>
      </w:r>
      <w:r w:rsidR="009508AA">
        <w:t xml:space="preserve">In the decision, the Minister </w:t>
      </w:r>
      <w:r w:rsidR="00AF5C67">
        <w:t>considered</w:t>
      </w:r>
      <w:r w:rsidR="009508AA">
        <w:t xml:space="preserve"> the author’s </w:t>
      </w:r>
      <w:r w:rsidR="00A76867">
        <w:t>arguments</w:t>
      </w:r>
      <w:r w:rsidR="009508AA">
        <w:t xml:space="preserve"> that his support of the MQM/MQM-H in Pakistan prior to arriving to Canada did not equate to supporting terrorism. Furthermore, </w:t>
      </w:r>
      <w:r w:rsidR="00A76867">
        <w:t xml:space="preserve">he had argued that </w:t>
      </w:r>
      <w:r w:rsidR="009508AA">
        <w:t xml:space="preserve">the organization was not </w:t>
      </w:r>
      <w:r w:rsidR="00AF5C67">
        <w:t xml:space="preserve">designated as a terrorist entity by Canada. </w:t>
      </w:r>
      <w:r w:rsidR="00A94D8F">
        <w:t xml:space="preserve">The author </w:t>
      </w:r>
      <w:r w:rsidR="00A76867">
        <w:t xml:space="preserve">had </w:t>
      </w:r>
      <w:r w:rsidR="00A94D8F">
        <w:t>also submitted that he had been arrested and tortured by the police and MQM-A members on 10 April 1997</w:t>
      </w:r>
      <w:r w:rsidR="00A76867">
        <w:t>.</w:t>
      </w:r>
      <w:r w:rsidR="004D0153">
        <w:t xml:space="preserve"> </w:t>
      </w:r>
      <w:r w:rsidR="00A76867">
        <w:t>H</w:t>
      </w:r>
      <w:r w:rsidR="004D0153">
        <w:t xml:space="preserve">e </w:t>
      </w:r>
      <w:r w:rsidR="00A76867">
        <w:t xml:space="preserve">had </w:t>
      </w:r>
      <w:r w:rsidR="004D0153">
        <w:t xml:space="preserve">further questioned the relevancy of denying him Ministerial relief, while allowing him to remain in Canada as a refugee. </w:t>
      </w:r>
      <w:r w:rsidR="00A76867">
        <w:t>He had argued</w:t>
      </w:r>
      <w:r w:rsidR="004D0153">
        <w:t xml:space="preserve"> that it would go against the objectives of the IRPA</w:t>
      </w:r>
      <w:r w:rsidR="00A854BA">
        <w:t xml:space="preserve"> to leave him in a state of indefinite “limbo” and that he did not represent a danger. The Minister, nevertheless, </w:t>
      </w:r>
      <w:r w:rsidR="005D53EC">
        <w:t xml:space="preserve">considered that </w:t>
      </w:r>
      <w:r w:rsidR="005D53EC" w:rsidRPr="005D53EC">
        <w:t xml:space="preserve">the author’s sustained participation for MQM/MQM-H for some 11 years, </w:t>
      </w:r>
      <w:r w:rsidR="002815A9" w:rsidRPr="005D53EC">
        <w:t>despite</w:t>
      </w:r>
      <w:r w:rsidR="005D53EC" w:rsidRPr="005D53EC">
        <w:t xml:space="preserve"> </w:t>
      </w:r>
      <w:r w:rsidR="005D53EC">
        <w:t xml:space="preserve">the </w:t>
      </w:r>
      <w:r w:rsidR="005D53EC" w:rsidRPr="005D53EC">
        <w:t xml:space="preserve">threats, torture and arrest </w:t>
      </w:r>
      <w:r w:rsidR="005D53EC">
        <w:t>he had</w:t>
      </w:r>
      <w:r w:rsidR="005D53EC" w:rsidRPr="005D53EC">
        <w:t xml:space="preserve"> experienced, was indicative of a pattern of commitment to the organization and its associated goals, </w:t>
      </w:r>
      <w:r w:rsidR="00096C49">
        <w:t>“</w:t>
      </w:r>
      <w:r w:rsidR="005D53EC" w:rsidRPr="005D53EC">
        <w:t xml:space="preserve">through the use of terrorism”. The Minister also considered that the author was aware of acts of terrorism committed by the MQM/MQM-H and highlighted that considerations regarding national security and public safety were not limited to an assessment of the current threat or risk an individual may pose to Canada. </w:t>
      </w:r>
      <w:r w:rsidR="0015044D">
        <w:t>As to</w:t>
      </w:r>
      <w:r w:rsidR="005D53EC" w:rsidRPr="005D53EC">
        <w:t xml:space="preserve"> the author’s concern that he may remain in an indefinite state of “limbo” as a refugee, the Minister declared that Canada ha</w:t>
      </w:r>
      <w:r w:rsidR="00096C49">
        <w:t>d</w:t>
      </w:r>
      <w:r w:rsidR="005D53EC" w:rsidRPr="005D53EC">
        <w:t xml:space="preserve"> respected its obligation of non-refoulement, but that becoming a permanent resident</w:t>
      </w:r>
      <w:r w:rsidR="0015044D">
        <w:t xml:space="preserve"> required</w:t>
      </w:r>
      <w:r w:rsidR="005D53EC" w:rsidRPr="005D53EC">
        <w:t xml:space="preserve"> meeting other statutory requirements found in Canadian law</w:t>
      </w:r>
      <w:r w:rsidR="0015044D">
        <w:t xml:space="preserve">. </w:t>
      </w:r>
      <w:r w:rsidR="00681AF4">
        <w:t>The Minister argued that the legislative scheme established by Parliament t</w:t>
      </w:r>
      <w:r w:rsidR="0015044D">
        <w:t>herefore</w:t>
      </w:r>
      <w:r w:rsidR="00681AF4">
        <w:t xml:space="preserve"> recognized that</w:t>
      </w:r>
      <w:r w:rsidR="0015044D">
        <w:t xml:space="preserve"> some Co</w:t>
      </w:r>
      <w:r w:rsidR="005D53EC" w:rsidRPr="005D53EC">
        <w:t xml:space="preserve">nvention refugees, </w:t>
      </w:r>
      <w:r w:rsidR="0015044D">
        <w:t xml:space="preserve">who may be considered </w:t>
      </w:r>
      <w:r w:rsidR="005D53EC" w:rsidRPr="005D53EC">
        <w:t>inadmissible on serious grounds, may never acquire permanent resident status.</w:t>
      </w:r>
    </w:p>
    <w:p w14:paraId="3FAC4D15" w14:textId="254749FB" w:rsidR="0045728C" w:rsidRPr="00165CD4" w:rsidRDefault="005D53EC" w:rsidP="00314923">
      <w:pPr>
        <w:pStyle w:val="SingleTxtG"/>
      </w:pPr>
      <w:r>
        <w:t>2.9</w:t>
      </w:r>
      <w:r>
        <w:tab/>
      </w:r>
      <w:r w:rsidR="0015044D">
        <w:t>The author applied for leave to apply for judicial review of the negative Ministerial relief decision.</w:t>
      </w:r>
      <w:r w:rsidR="002815A9">
        <w:t xml:space="preserve"> </w:t>
      </w:r>
      <w:r w:rsidR="0015044D">
        <w:t>The Federal Court granted leave, but on 11 December 2015, it dismissed the author’s application for judicial review</w:t>
      </w:r>
      <w:r w:rsidR="00AF206C">
        <w:t>, concluding that the Ministerial relief decision was reasonable</w:t>
      </w:r>
      <w:r w:rsidR="00AB2207">
        <w:t xml:space="preserve"> after reviewing </w:t>
      </w:r>
      <w:r w:rsidR="00AF206C">
        <w:t>the a</w:t>
      </w:r>
      <w:r w:rsidR="004470A2">
        <w:t xml:space="preserve">uthor’s arguments, which were </w:t>
      </w:r>
      <w:proofErr w:type="gramStart"/>
      <w:r w:rsidR="004470A2">
        <w:t>similar to</w:t>
      </w:r>
      <w:proofErr w:type="gramEnd"/>
      <w:r w:rsidR="004470A2">
        <w:t xml:space="preserve"> those </w:t>
      </w:r>
      <w:r w:rsidR="00AB2207">
        <w:t xml:space="preserve">he had raised </w:t>
      </w:r>
      <w:r w:rsidR="00165CD4">
        <w:t xml:space="preserve">in </w:t>
      </w:r>
      <w:r w:rsidR="00AB2207">
        <w:t>his Ministerial relief application. The Federal Court dismissed the author’s argument that</w:t>
      </w:r>
      <w:r w:rsidR="00165CD4">
        <w:t>,</w:t>
      </w:r>
      <w:r w:rsidR="00AB2207">
        <w:t xml:space="preserve"> the fact he had been granted </w:t>
      </w:r>
      <w:r w:rsidR="00165CD4">
        <w:t xml:space="preserve">with </w:t>
      </w:r>
      <w:r w:rsidR="00AB2207">
        <w:t>refugee status</w:t>
      </w:r>
      <w:r w:rsidR="00165CD4">
        <w:t xml:space="preserve"> and</w:t>
      </w:r>
      <w:r w:rsidR="00AB2207">
        <w:t xml:space="preserve"> </w:t>
      </w:r>
      <w:r w:rsidR="00A76867">
        <w:t xml:space="preserve">had </w:t>
      </w:r>
      <w:r w:rsidR="00165CD4">
        <w:t xml:space="preserve">not been </w:t>
      </w:r>
      <w:r w:rsidR="00AB2207">
        <w:t xml:space="preserve">excluded by the Refugee Protection Division </w:t>
      </w:r>
      <w:r w:rsidR="00165CD4">
        <w:t xml:space="preserve">for being a member of a terrorist organization </w:t>
      </w:r>
      <w:r w:rsidR="00A76867">
        <w:t>was</w:t>
      </w:r>
      <w:r w:rsidR="00165CD4">
        <w:t xml:space="preserve"> </w:t>
      </w:r>
      <w:r w:rsidR="00165CD4">
        <w:rPr>
          <w:i/>
          <w:iCs/>
        </w:rPr>
        <w:t xml:space="preserve">res judicata </w:t>
      </w:r>
      <w:r w:rsidR="00165CD4">
        <w:t xml:space="preserve">for the purposes of Ministerial relief. The Court noted that this could not be </w:t>
      </w:r>
      <w:r w:rsidR="00165CD4">
        <w:rPr>
          <w:i/>
          <w:iCs/>
        </w:rPr>
        <w:t>res judicata</w:t>
      </w:r>
      <w:r w:rsidR="00165CD4">
        <w:t xml:space="preserve">, as it had not been considered by the Refugee Protection Division. </w:t>
      </w:r>
      <w:r w:rsidR="007404BB">
        <w:t xml:space="preserve">It found that the author’s present status was a direct result of the application of the legislation to his situation, and that </w:t>
      </w:r>
      <w:r w:rsidR="00E90BAC">
        <w:t xml:space="preserve">such a scheme of the IRPA leading to the author’s situation must have been contemplated by Parliament. </w:t>
      </w:r>
      <w:r w:rsidR="00115610">
        <w:t xml:space="preserve">The Federal </w:t>
      </w:r>
      <w:r w:rsidR="00A76867">
        <w:t>C</w:t>
      </w:r>
      <w:r w:rsidR="00115610">
        <w:t xml:space="preserve">ourt added that the jurisprudence says that a refugee is eligible for permanent resident status if he or she is not inadmissible. </w:t>
      </w:r>
      <w:r w:rsidR="00314923">
        <w:t xml:space="preserve">The two questions proposed by the author’s counsel for certification were declined by the Federal Court, which meant that the matter could not be appealed to the Court of Appeal. </w:t>
      </w:r>
    </w:p>
    <w:p w14:paraId="5550E3A4" w14:textId="60135301" w:rsidR="006D4AB1" w:rsidRPr="00D14E5C" w:rsidRDefault="00B5549E" w:rsidP="00B5549E">
      <w:pPr>
        <w:pStyle w:val="H23G"/>
      </w:pPr>
      <w:r>
        <w:tab/>
      </w:r>
      <w:r>
        <w:tab/>
      </w:r>
      <w:r w:rsidR="00A46CE4" w:rsidRPr="00D14E5C">
        <w:t>Complaint</w:t>
      </w:r>
    </w:p>
    <w:p w14:paraId="548BF289" w14:textId="60793DB0" w:rsidR="009C3BD9" w:rsidRDefault="00931F0D" w:rsidP="009C3BD9">
      <w:pPr>
        <w:pStyle w:val="SingleTxtG"/>
      </w:pPr>
      <w:r>
        <w:t>3.1</w:t>
      </w:r>
      <w:r>
        <w:tab/>
      </w:r>
      <w:r w:rsidR="006521E3">
        <w:t xml:space="preserve"> </w:t>
      </w:r>
      <w:r w:rsidR="005C666C">
        <w:t>The author</w:t>
      </w:r>
      <w:r w:rsidR="007B6C98">
        <w:t xml:space="preserve"> </w:t>
      </w:r>
      <w:r w:rsidR="00314923">
        <w:t xml:space="preserve">claims that he has suffered emotionally and psychologically because of the stress and fear of his temporary status. He claims </w:t>
      </w:r>
      <w:r w:rsidR="00B57A81">
        <w:t>that by denying him permanent residence, the State party made him live</w:t>
      </w:r>
      <w:r w:rsidR="00314923">
        <w:t xml:space="preserve"> in </w:t>
      </w:r>
      <w:r w:rsidR="00B57A81">
        <w:t xml:space="preserve">a </w:t>
      </w:r>
      <w:r w:rsidR="00314923">
        <w:t xml:space="preserve">limbo for the last twenty years, </w:t>
      </w:r>
      <w:r w:rsidR="00B57A81">
        <w:t xml:space="preserve">amounting to cruel treatment within the meaning of article 7 of the Covenant, </w:t>
      </w:r>
      <w:r w:rsidR="00314923">
        <w:t xml:space="preserve">for </w:t>
      </w:r>
      <w:r w:rsidR="00B57A81">
        <w:t>the possibility to</w:t>
      </w:r>
      <w:r w:rsidR="00314923">
        <w:t xml:space="preserve"> be deported to Pakistan at any </w:t>
      </w:r>
      <w:r w:rsidR="00866418">
        <w:t>time.</w:t>
      </w:r>
      <w:r w:rsidR="00314923">
        <w:t xml:space="preserve"> </w:t>
      </w:r>
    </w:p>
    <w:p w14:paraId="6E5BAA94" w14:textId="3AFD0463" w:rsidR="0051492E" w:rsidRDefault="00314923" w:rsidP="0051492E">
      <w:pPr>
        <w:pStyle w:val="SingleTxtG"/>
      </w:pPr>
      <w:r>
        <w:t>3.2</w:t>
      </w:r>
      <w:r>
        <w:tab/>
      </w:r>
      <w:r w:rsidR="00613D0B">
        <w:t xml:space="preserve">The author claims that the prolonged refusal to grant a person </w:t>
      </w:r>
      <w:r w:rsidR="0051492E">
        <w:t xml:space="preserve">the right to reside in the country of presence on a permanent basis constitutes an interference with the exercise of the right of respect for the person’s home under article 17 (1) of the Covenant. He claims that the notion of “home” under article 17 (1) encompasses a person’s home country, which not only refers to a person’s country of nationality, but the place where a person has developed a network of personal, </w:t>
      </w:r>
      <w:proofErr w:type="gramStart"/>
      <w:r w:rsidR="0051492E">
        <w:t>social</w:t>
      </w:r>
      <w:proofErr w:type="gramEnd"/>
      <w:r w:rsidR="0051492E">
        <w:t xml:space="preserve"> and economic relations that make up private life. The author claims that he has not been able to establish long-term relationships or have a family because of his fear over his uncertain future in Canada.</w:t>
      </w:r>
      <w:r w:rsidR="00DA1813">
        <w:t xml:space="preserve"> He claims to have suffered immense anxiety and stress from being separated from his family in Pakistan and not being able to see his father before he died in 2013. He also fears not being able to see his mother before she passes away. The author claims that</w:t>
      </w:r>
      <w:r w:rsidR="004A0BAB">
        <w:t xml:space="preserve"> he</w:t>
      </w:r>
      <w:r w:rsidR="00DA1813">
        <w:t xml:space="preserve"> h</w:t>
      </w:r>
      <w:r w:rsidR="00FA67D1">
        <w:t>as been unable to establish permanent economic roots in Canada and has had difficulty, for example, securing long term employment due to temporary work permits.</w:t>
      </w:r>
      <w:r w:rsidR="004A0BAB">
        <w:t xml:space="preserve"> He further claims that he has never truly felt </w:t>
      </w:r>
      <w:r w:rsidR="004F22BE">
        <w:t xml:space="preserve">like a full member of Canadian society. He claims that the State party’s interference with his right to home is arbitrary and </w:t>
      </w:r>
      <w:r w:rsidR="004F22BE">
        <w:lastRenderedPageBreak/>
        <w:t xml:space="preserve">disproportionate, as it fails to strike a fair balance between national security and the right to home, in violation of article 17 of the Covenant. </w:t>
      </w:r>
    </w:p>
    <w:p w14:paraId="090861A9" w14:textId="28D704C1" w:rsidR="00FF30D6" w:rsidRPr="00E97484" w:rsidRDefault="00E97484" w:rsidP="00B5549E">
      <w:pPr>
        <w:pStyle w:val="H23G"/>
        <w:rPr>
          <w:lang w:eastAsia="en-GB"/>
        </w:rPr>
      </w:pPr>
      <w:r w:rsidRPr="00E97484">
        <w:rPr>
          <w:lang w:eastAsia="en-GB"/>
        </w:rPr>
        <w:tab/>
      </w:r>
      <w:r w:rsidR="00B5549E">
        <w:rPr>
          <w:lang w:eastAsia="en-GB"/>
        </w:rPr>
        <w:tab/>
      </w:r>
      <w:r w:rsidR="00B5549E">
        <w:rPr>
          <w:lang w:eastAsia="en-GB"/>
        </w:rPr>
        <w:tab/>
      </w:r>
      <w:r w:rsidR="00CF77B2">
        <w:rPr>
          <w:lang w:eastAsia="en-GB"/>
        </w:rPr>
        <w:t xml:space="preserve">State </w:t>
      </w:r>
      <w:r w:rsidR="00FF30D6" w:rsidRPr="00E97484">
        <w:rPr>
          <w:lang w:eastAsia="en-GB"/>
        </w:rPr>
        <w:t xml:space="preserve">party’s observations </w:t>
      </w:r>
      <w:bookmarkStart w:id="0" w:name="_Hlk66454125"/>
      <w:r w:rsidR="00FF30D6" w:rsidRPr="00E97484">
        <w:rPr>
          <w:lang w:eastAsia="en-GB"/>
        </w:rPr>
        <w:t>on admissibility and the merits</w:t>
      </w:r>
      <w:bookmarkEnd w:id="0"/>
    </w:p>
    <w:p w14:paraId="37F4AED7" w14:textId="02C31CF5" w:rsidR="00F13EC5" w:rsidRDefault="007C5768" w:rsidP="008309A0">
      <w:pPr>
        <w:pStyle w:val="SingleTxtG"/>
        <w:rPr>
          <w:rFonts w:eastAsia="Times New Roman"/>
          <w:color w:val="000000"/>
          <w:lang w:eastAsia="en-GB"/>
        </w:rPr>
      </w:pPr>
      <w:r>
        <w:rPr>
          <w:rFonts w:eastAsia="Times New Roman"/>
          <w:color w:val="000000"/>
          <w:lang w:eastAsia="en-GB"/>
        </w:rPr>
        <w:t>4.1</w:t>
      </w:r>
      <w:r>
        <w:rPr>
          <w:rFonts w:eastAsia="Times New Roman"/>
          <w:color w:val="000000"/>
          <w:lang w:eastAsia="en-GB"/>
        </w:rPr>
        <w:tab/>
      </w:r>
      <w:r w:rsidR="00C87E3D">
        <w:t xml:space="preserve">In a note verbale dated </w:t>
      </w:r>
      <w:r w:rsidR="004F22BE">
        <w:rPr>
          <w:rFonts w:eastAsia="Times New Roman"/>
          <w:color w:val="000000"/>
          <w:lang w:eastAsia="en-GB"/>
        </w:rPr>
        <w:t>6 June 2018</w:t>
      </w:r>
      <w:r w:rsidR="00FF30D6" w:rsidRPr="00E97484">
        <w:rPr>
          <w:rFonts w:eastAsia="Times New Roman"/>
          <w:color w:val="000000"/>
          <w:lang w:eastAsia="en-GB"/>
        </w:rPr>
        <w:t xml:space="preserve">, </w:t>
      </w:r>
      <w:r w:rsidR="00FF30D6" w:rsidRPr="00BC088B">
        <w:rPr>
          <w:rFonts w:eastAsia="Times New Roman"/>
          <w:color w:val="000000"/>
          <w:lang w:eastAsia="en-GB"/>
        </w:rPr>
        <w:t xml:space="preserve">the State party submitted its observations on </w:t>
      </w:r>
      <w:r w:rsidR="00061CB4">
        <w:rPr>
          <w:rFonts w:eastAsia="Times New Roman"/>
          <w:color w:val="000000"/>
          <w:lang w:eastAsia="en-GB"/>
        </w:rPr>
        <w:t xml:space="preserve">the </w:t>
      </w:r>
      <w:r w:rsidR="00FF30D6" w:rsidRPr="00BC088B">
        <w:rPr>
          <w:rFonts w:eastAsia="Times New Roman"/>
          <w:color w:val="000000"/>
          <w:lang w:eastAsia="en-GB"/>
        </w:rPr>
        <w:t>admissibility and the merits</w:t>
      </w:r>
      <w:r w:rsidR="00061CB4">
        <w:rPr>
          <w:rFonts w:eastAsia="Times New Roman"/>
          <w:color w:val="000000"/>
          <w:lang w:eastAsia="en-GB"/>
        </w:rPr>
        <w:t xml:space="preserve"> of the communication</w:t>
      </w:r>
      <w:r w:rsidR="00FF30D6" w:rsidRPr="00BC088B">
        <w:rPr>
          <w:rFonts w:eastAsia="Times New Roman"/>
          <w:color w:val="000000"/>
          <w:lang w:eastAsia="en-GB"/>
        </w:rPr>
        <w:t>.</w:t>
      </w:r>
      <w:r w:rsidR="00EB1914">
        <w:rPr>
          <w:rFonts w:eastAsia="Times New Roman"/>
          <w:color w:val="000000"/>
          <w:lang w:eastAsia="en-GB"/>
        </w:rPr>
        <w:t xml:space="preserve"> </w:t>
      </w:r>
    </w:p>
    <w:p w14:paraId="736A880D" w14:textId="1446EA92" w:rsidR="000954F9" w:rsidRDefault="00061CB4" w:rsidP="00644F2D">
      <w:pPr>
        <w:pStyle w:val="SingleTxtG"/>
        <w:rPr>
          <w:rFonts w:eastAsia="Times New Roman"/>
          <w:color w:val="000000"/>
          <w:lang w:eastAsia="en-GB"/>
        </w:rPr>
      </w:pPr>
      <w:r>
        <w:rPr>
          <w:rFonts w:eastAsia="Times New Roman"/>
          <w:color w:val="000000"/>
          <w:lang w:eastAsia="en-GB"/>
        </w:rPr>
        <w:t>4.2</w:t>
      </w:r>
      <w:r>
        <w:rPr>
          <w:rFonts w:eastAsia="Times New Roman"/>
          <w:color w:val="000000"/>
          <w:lang w:eastAsia="en-GB"/>
        </w:rPr>
        <w:tab/>
      </w:r>
      <w:r w:rsidR="004F22BE">
        <w:rPr>
          <w:rFonts w:eastAsia="Times New Roman"/>
          <w:color w:val="000000"/>
          <w:lang w:eastAsia="en-GB"/>
        </w:rPr>
        <w:t xml:space="preserve">The State party firstly </w:t>
      </w:r>
      <w:r w:rsidR="008A413C">
        <w:rPr>
          <w:rFonts w:eastAsia="Times New Roman"/>
          <w:color w:val="000000"/>
          <w:lang w:eastAsia="en-GB"/>
        </w:rPr>
        <w:t>presents an account of th</w:t>
      </w:r>
      <w:r w:rsidR="00102589">
        <w:rPr>
          <w:rFonts w:eastAsia="Times New Roman"/>
          <w:color w:val="000000"/>
          <w:lang w:eastAsia="en-GB"/>
        </w:rPr>
        <w:t xml:space="preserve">e facts and the domestic proceedings regarding the author’s application for permanent residence. Regarding the </w:t>
      </w:r>
      <w:proofErr w:type="gramStart"/>
      <w:r w:rsidR="00102589">
        <w:rPr>
          <w:rFonts w:eastAsia="Times New Roman"/>
          <w:color w:val="000000"/>
          <w:lang w:eastAsia="en-GB"/>
        </w:rPr>
        <w:t>current status</w:t>
      </w:r>
      <w:proofErr w:type="gramEnd"/>
      <w:r w:rsidR="00102589">
        <w:rPr>
          <w:rFonts w:eastAsia="Times New Roman"/>
          <w:color w:val="000000"/>
          <w:lang w:eastAsia="en-GB"/>
        </w:rPr>
        <w:t xml:space="preserve"> of the author in Canada, the State party informs that </w:t>
      </w:r>
      <w:r w:rsidR="00480702">
        <w:rPr>
          <w:rFonts w:eastAsia="Times New Roman"/>
          <w:color w:val="000000"/>
          <w:lang w:eastAsia="en-GB"/>
        </w:rPr>
        <w:t xml:space="preserve">he remains a Convention refugee and holds a statutory right not to be removed from Canada to a country where he would face persecution or a risk of torture or cruel and unusual treatment or punishment, in light of the principle of </w:t>
      </w:r>
      <w:r w:rsidR="00480702">
        <w:rPr>
          <w:rFonts w:eastAsia="Times New Roman"/>
          <w:i/>
          <w:iCs/>
          <w:color w:val="000000"/>
          <w:lang w:eastAsia="en-GB"/>
        </w:rPr>
        <w:t>non-refoulement</w:t>
      </w:r>
      <w:r w:rsidR="00480702">
        <w:rPr>
          <w:rFonts w:eastAsia="Times New Roman"/>
          <w:color w:val="000000"/>
          <w:lang w:eastAsia="en-GB"/>
        </w:rPr>
        <w:t>. It submits that it has not signalled any intention and taken any steps towards deporting the author and that the potential risks that he may face if he were</w:t>
      </w:r>
      <w:r w:rsidR="00B57A81">
        <w:rPr>
          <w:rFonts w:eastAsia="Times New Roman"/>
          <w:color w:val="000000"/>
          <w:lang w:eastAsia="en-GB"/>
        </w:rPr>
        <w:t xml:space="preserve"> ever</w:t>
      </w:r>
      <w:r w:rsidR="00480702">
        <w:rPr>
          <w:rFonts w:eastAsia="Times New Roman"/>
          <w:color w:val="000000"/>
          <w:lang w:eastAsia="en-GB"/>
        </w:rPr>
        <w:t xml:space="preserve"> to be returned to Pakistan are not the subject of the communication. </w:t>
      </w:r>
      <w:r w:rsidR="005B195A">
        <w:rPr>
          <w:rFonts w:eastAsia="Times New Roman"/>
          <w:color w:val="000000"/>
          <w:lang w:eastAsia="en-GB"/>
        </w:rPr>
        <w:t xml:space="preserve">The State party submits that the author is entitled to submit another application for Ministerial relief. In the event his application would be granted, his admissibility would not bar him from obtaining resident status on a new application. </w:t>
      </w:r>
    </w:p>
    <w:p w14:paraId="3E8F6479" w14:textId="262E4918" w:rsidR="00B55384" w:rsidRDefault="005B195A" w:rsidP="00644F2D">
      <w:pPr>
        <w:pStyle w:val="SingleTxtG"/>
        <w:rPr>
          <w:rFonts w:eastAsia="Times New Roman"/>
          <w:color w:val="000000"/>
          <w:lang w:eastAsia="en-GB"/>
        </w:rPr>
      </w:pPr>
      <w:r>
        <w:rPr>
          <w:rFonts w:eastAsia="Times New Roman"/>
          <w:color w:val="000000"/>
          <w:lang w:eastAsia="en-GB"/>
        </w:rPr>
        <w:t>4.3</w:t>
      </w:r>
      <w:r>
        <w:rPr>
          <w:rFonts w:eastAsia="Times New Roman"/>
          <w:color w:val="000000"/>
          <w:lang w:eastAsia="en-GB"/>
        </w:rPr>
        <w:tab/>
        <w:t>The State party submits that the author’s claim</w:t>
      </w:r>
      <w:r w:rsidR="00A2365D">
        <w:rPr>
          <w:rFonts w:eastAsia="Times New Roman"/>
          <w:color w:val="000000"/>
          <w:lang w:eastAsia="en-GB"/>
        </w:rPr>
        <w:t xml:space="preserve"> that he finds himself in a state of “limbo”</w:t>
      </w:r>
      <w:r w:rsidR="00AE211B">
        <w:rPr>
          <w:rFonts w:eastAsia="Times New Roman"/>
          <w:color w:val="000000"/>
          <w:lang w:eastAsia="en-GB"/>
        </w:rPr>
        <w:t xml:space="preserve"> amounting</w:t>
      </w:r>
      <w:r w:rsidR="00A2365D">
        <w:rPr>
          <w:rFonts w:eastAsia="Times New Roman"/>
          <w:color w:val="000000"/>
          <w:lang w:eastAsia="en-GB"/>
        </w:rPr>
        <w:t xml:space="preserve"> to cruel treatment in violation of article 7 of the Covenant,</w:t>
      </w:r>
      <w:r>
        <w:rPr>
          <w:rFonts w:eastAsia="Times New Roman"/>
          <w:color w:val="000000"/>
          <w:lang w:eastAsia="en-GB"/>
        </w:rPr>
        <w:t xml:space="preserve"> </w:t>
      </w:r>
      <w:r w:rsidR="00FF014E">
        <w:rPr>
          <w:rFonts w:eastAsia="Times New Roman"/>
          <w:color w:val="000000"/>
          <w:lang w:eastAsia="en-GB"/>
        </w:rPr>
        <w:t>resulting from the denial of</w:t>
      </w:r>
      <w:r w:rsidR="00A2365D">
        <w:rPr>
          <w:rFonts w:eastAsia="Times New Roman"/>
          <w:color w:val="000000"/>
          <w:lang w:eastAsia="en-GB"/>
        </w:rPr>
        <w:t xml:space="preserve"> permanent resident status in Canada, should be declared inadmissible </w:t>
      </w:r>
      <w:proofErr w:type="spellStart"/>
      <w:r w:rsidR="00A2365D">
        <w:rPr>
          <w:rFonts w:eastAsia="Times New Roman"/>
          <w:i/>
          <w:iCs/>
          <w:color w:val="000000"/>
          <w:lang w:eastAsia="en-GB"/>
        </w:rPr>
        <w:t>ratione</w:t>
      </w:r>
      <w:proofErr w:type="spellEnd"/>
      <w:r w:rsidR="00A2365D">
        <w:rPr>
          <w:rFonts w:eastAsia="Times New Roman"/>
          <w:i/>
          <w:iCs/>
          <w:color w:val="000000"/>
          <w:lang w:eastAsia="en-GB"/>
        </w:rPr>
        <w:t xml:space="preserve"> </w:t>
      </w:r>
      <w:proofErr w:type="spellStart"/>
      <w:r w:rsidR="00A2365D">
        <w:rPr>
          <w:rFonts w:eastAsia="Times New Roman"/>
          <w:i/>
          <w:iCs/>
          <w:color w:val="000000"/>
          <w:lang w:eastAsia="en-GB"/>
        </w:rPr>
        <w:t>materiae</w:t>
      </w:r>
      <w:proofErr w:type="spellEnd"/>
      <w:r w:rsidR="00AE211B">
        <w:rPr>
          <w:rFonts w:eastAsia="Times New Roman"/>
          <w:i/>
          <w:iCs/>
          <w:color w:val="000000"/>
          <w:lang w:eastAsia="en-GB"/>
        </w:rPr>
        <w:t xml:space="preserve"> </w:t>
      </w:r>
      <w:r w:rsidR="00AE211B">
        <w:rPr>
          <w:rFonts w:eastAsia="Times New Roman"/>
          <w:color w:val="000000"/>
          <w:lang w:eastAsia="en-GB"/>
        </w:rPr>
        <w:t>and for lack of substantiation</w:t>
      </w:r>
      <w:r w:rsidR="00A2365D">
        <w:rPr>
          <w:rFonts w:eastAsia="Times New Roman"/>
          <w:color w:val="000000"/>
          <w:lang w:eastAsia="en-GB"/>
        </w:rPr>
        <w:t xml:space="preserve">. </w:t>
      </w:r>
      <w:r w:rsidR="000B3E2B">
        <w:rPr>
          <w:rFonts w:eastAsia="Times New Roman"/>
          <w:color w:val="000000"/>
          <w:lang w:eastAsia="en-GB"/>
        </w:rPr>
        <w:t xml:space="preserve">The State party </w:t>
      </w:r>
      <w:r w:rsidR="00FF014E">
        <w:rPr>
          <w:rFonts w:eastAsia="Times New Roman"/>
          <w:color w:val="000000"/>
          <w:lang w:eastAsia="en-GB"/>
        </w:rPr>
        <w:t>argues</w:t>
      </w:r>
      <w:r w:rsidR="000B3E2B">
        <w:rPr>
          <w:rFonts w:eastAsia="Times New Roman"/>
          <w:color w:val="000000"/>
          <w:lang w:eastAsia="en-GB"/>
        </w:rPr>
        <w:t xml:space="preserve"> that the Covenant does not provide for a right to residency and that a distinction must be made between the human rights obligation of </w:t>
      </w:r>
      <w:r w:rsidR="000B3E2B">
        <w:rPr>
          <w:rFonts w:eastAsia="Times New Roman"/>
          <w:i/>
          <w:iCs/>
          <w:color w:val="000000"/>
          <w:lang w:eastAsia="en-GB"/>
        </w:rPr>
        <w:t>non-refoulement</w:t>
      </w:r>
      <w:r w:rsidR="000B3E2B">
        <w:rPr>
          <w:rFonts w:eastAsia="Times New Roman"/>
          <w:color w:val="000000"/>
          <w:lang w:eastAsia="en-GB"/>
        </w:rPr>
        <w:t xml:space="preserve"> and permanent residence</w:t>
      </w:r>
      <w:r w:rsidR="00003851">
        <w:rPr>
          <w:rFonts w:eastAsia="Times New Roman"/>
          <w:color w:val="000000"/>
          <w:lang w:eastAsia="en-GB"/>
        </w:rPr>
        <w:t xml:space="preserve">, which is an immigration status subject to domestic law and statutory requirements. </w:t>
      </w:r>
      <w:r w:rsidR="006731C7">
        <w:rPr>
          <w:rFonts w:eastAsia="Times New Roman"/>
          <w:color w:val="000000"/>
          <w:lang w:eastAsia="en-GB"/>
        </w:rPr>
        <w:t xml:space="preserve">It submits that the author is not alleging that he will be </w:t>
      </w:r>
      <w:r w:rsidR="006731C7">
        <w:rPr>
          <w:rFonts w:eastAsia="Times New Roman"/>
          <w:i/>
          <w:iCs/>
          <w:color w:val="000000"/>
          <w:lang w:eastAsia="en-GB"/>
        </w:rPr>
        <w:t>refouled</w:t>
      </w:r>
      <w:r w:rsidR="006731C7">
        <w:rPr>
          <w:rFonts w:eastAsia="Times New Roman"/>
          <w:color w:val="000000"/>
          <w:lang w:eastAsia="en-GB"/>
        </w:rPr>
        <w:t xml:space="preserve"> to Pakistan, but rather that he is being denied permanent resident status, which as the Committee has previously noted, is not spelled out under the Covenant or international law.</w:t>
      </w:r>
      <w:r w:rsidR="006731C7">
        <w:rPr>
          <w:rStyle w:val="FootnoteReference"/>
          <w:rFonts w:eastAsia="Times New Roman"/>
          <w:color w:val="000000"/>
          <w:lang w:eastAsia="en-GB"/>
        </w:rPr>
        <w:footnoteReference w:id="5"/>
      </w:r>
      <w:r w:rsidR="006731C7">
        <w:rPr>
          <w:rFonts w:eastAsia="Times New Roman"/>
          <w:color w:val="000000"/>
          <w:lang w:eastAsia="en-GB"/>
        </w:rPr>
        <w:t xml:space="preserve"> </w:t>
      </w:r>
      <w:r w:rsidR="00B55384">
        <w:rPr>
          <w:rFonts w:eastAsia="Times New Roman"/>
          <w:color w:val="000000"/>
          <w:lang w:eastAsia="en-GB"/>
        </w:rPr>
        <w:t xml:space="preserve">It adds </w:t>
      </w:r>
      <w:r w:rsidR="006B0F1C">
        <w:rPr>
          <w:rFonts w:eastAsia="Times New Roman"/>
          <w:color w:val="000000"/>
          <w:lang w:eastAsia="en-GB"/>
        </w:rPr>
        <w:t>that the author’s communication is based on the same facts and arguments examined already by Canadian domestic bodies during the different proceedings and that it is not for the Committee to re-evaluate facts and evidence unless the tribunal’s evaluation was manifestly arbitrary or amounted to a denial of justice. The author has failed to support the view that this has been the case.</w:t>
      </w:r>
    </w:p>
    <w:p w14:paraId="3FDA7202" w14:textId="6C84E7B2" w:rsidR="006B0F1C" w:rsidRDefault="00B55384" w:rsidP="00644F2D">
      <w:pPr>
        <w:pStyle w:val="SingleTxtG"/>
        <w:rPr>
          <w:rFonts w:eastAsia="Times New Roman"/>
          <w:color w:val="000000"/>
          <w:lang w:eastAsia="en-GB"/>
        </w:rPr>
      </w:pPr>
      <w:r>
        <w:rPr>
          <w:rFonts w:eastAsia="Times New Roman"/>
          <w:color w:val="000000"/>
          <w:lang w:eastAsia="en-GB"/>
        </w:rPr>
        <w:t>4.4</w:t>
      </w:r>
      <w:r>
        <w:rPr>
          <w:rFonts w:eastAsia="Times New Roman"/>
          <w:color w:val="000000"/>
          <w:lang w:eastAsia="en-GB"/>
        </w:rPr>
        <w:tab/>
      </w:r>
      <w:r w:rsidR="006B0F1C">
        <w:rPr>
          <w:rFonts w:eastAsia="Times New Roman"/>
          <w:color w:val="000000"/>
          <w:lang w:eastAsia="en-GB"/>
        </w:rPr>
        <w:t xml:space="preserve">The State party submits that article 7 of the Covenant applies to </w:t>
      </w:r>
      <w:r w:rsidR="00EC1EB3">
        <w:rPr>
          <w:rFonts w:eastAsia="Times New Roman"/>
          <w:color w:val="000000"/>
          <w:lang w:eastAsia="en-GB"/>
        </w:rPr>
        <w:t>acts but</w:t>
      </w:r>
      <w:r w:rsidR="006B0F1C">
        <w:rPr>
          <w:rFonts w:eastAsia="Times New Roman"/>
          <w:color w:val="000000"/>
          <w:lang w:eastAsia="en-GB"/>
        </w:rPr>
        <w:t xml:space="preserve"> does not apply to the author’s feeling of being in “limbo”, which cannot in and of itself constitute torture or treatment of punishment. </w:t>
      </w:r>
      <w:r w:rsidR="0029451B">
        <w:rPr>
          <w:rFonts w:eastAsia="Times New Roman"/>
          <w:color w:val="000000"/>
          <w:lang w:eastAsia="en-GB"/>
        </w:rPr>
        <w:t xml:space="preserve">Although article 7 protects also mental integrity and </w:t>
      </w:r>
      <w:r w:rsidR="002B3AB0">
        <w:rPr>
          <w:rFonts w:eastAsia="Times New Roman"/>
          <w:color w:val="000000"/>
          <w:lang w:eastAsia="en-GB"/>
        </w:rPr>
        <w:t xml:space="preserve">includes the </w:t>
      </w:r>
      <w:r w:rsidR="0029451B">
        <w:rPr>
          <w:rFonts w:eastAsia="Times New Roman"/>
          <w:color w:val="000000"/>
          <w:lang w:eastAsia="en-GB"/>
        </w:rPr>
        <w:t xml:space="preserve">prohibition of </w:t>
      </w:r>
      <w:r w:rsidR="002B3AB0">
        <w:rPr>
          <w:rFonts w:eastAsia="Times New Roman"/>
          <w:color w:val="000000"/>
          <w:lang w:eastAsia="en-GB"/>
        </w:rPr>
        <w:t xml:space="preserve">acts that cause “mental suffering”, the State party submits </w:t>
      </w:r>
      <w:r w:rsidR="0029451B">
        <w:rPr>
          <w:rFonts w:eastAsia="Times New Roman"/>
          <w:color w:val="000000"/>
          <w:lang w:eastAsia="en-GB"/>
        </w:rPr>
        <w:t xml:space="preserve">that the author’s own feelings of uncertainty over his immigration status do not </w:t>
      </w:r>
      <w:r w:rsidR="0072263E">
        <w:rPr>
          <w:rFonts w:eastAsia="Times New Roman"/>
          <w:color w:val="000000"/>
          <w:lang w:eastAsia="en-GB"/>
        </w:rPr>
        <w:t>attain</w:t>
      </w:r>
      <w:r w:rsidR="0029451B">
        <w:rPr>
          <w:rFonts w:eastAsia="Times New Roman"/>
          <w:color w:val="000000"/>
          <w:lang w:eastAsia="en-GB"/>
        </w:rPr>
        <w:t xml:space="preserve"> the </w:t>
      </w:r>
      <w:r w:rsidR="00ED7577">
        <w:rPr>
          <w:rFonts w:eastAsia="Times New Roman"/>
          <w:color w:val="000000"/>
          <w:lang w:eastAsia="en-GB"/>
        </w:rPr>
        <w:t xml:space="preserve">threshold of mental suffering under article 7. </w:t>
      </w:r>
    </w:p>
    <w:p w14:paraId="5BE1A329" w14:textId="581B3CC6" w:rsidR="005B195A" w:rsidRDefault="00B55384" w:rsidP="00644F2D">
      <w:pPr>
        <w:pStyle w:val="SingleTxtG"/>
        <w:rPr>
          <w:rFonts w:eastAsia="Times New Roman"/>
          <w:color w:val="000000"/>
          <w:lang w:eastAsia="en-GB"/>
        </w:rPr>
      </w:pPr>
      <w:r>
        <w:rPr>
          <w:rFonts w:eastAsia="Times New Roman"/>
          <w:color w:val="000000"/>
          <w:lang w:eastAsia="en-GB"/>
        </w:rPr>
        <w:t>4.5</w:t>
      </w:r>
      <w:r>
        <w:rPr>
          <w:rFonts w:eastAsia="Times New Roman"/>
          <w:color w:val="000000"/>
          <w:lang w:eastAsia="en-GB"/>
        </w:rPr>
        <w:tab/>
      </w:r>
      <w:r w:rsidR="00AE211B">
        <w:rPr>
          <w:rFonts w:eastAsia="Times New Roman"/>
          <w:color w:val="000000"/>
          <w:lang w:eastAsia="en-GB"/>
        </w:rPr>
        <w:t xml:space="preserve">With regard to the author’s claim under article 17 (1) of the Covenant, the State party rejects the author’s interpretation </w:t>
      </w:r>
      <w:r w:rsidR="0040250F">
        <w:rPr>
          <w:rFonts w:eastAsia="Times New Roman"/>
          <w:color w:val="000000"/>
          <w:lang w:eastAsia="en-GB"/>
        </w:rPr>
        <w:t>of</w:t>
      </w:r>
      <w:r w:rsidR="00AE211B">
        <w:rPr>
          <w:rFonts w:eastAsia="Times New Roman"/>
          <w:color w:val="000000"/>
          <w:lang w:eastAsia="en-GB"/>
        </w:rPr>
        <w:t xml:space="preserve"> the term “home country”. </w:t>
      </w:r>
      <w:r w:rsidR="00BD1ADE">
        <w:rPr>
          <w:rFonts w:eastAsia="Times New Roman"/>
          <w:color w:val="000000"/>
          <w:lang w:eastAsia="en-GB"/>
        </w:rPr>
        <w:t>It</w:t>
      </w:r>
      <w:r w:rsidR="003144CE">
        <w:rPr>
          <w:rFonts w:eastAsia="Times New Roman"/>
          <w:color w:val="000000"/>
          <w:lang w:eastAsia="en-GB"/>
        </w:rPr>
        <w:t xml:space="preserve"> argues that “home” under article 17 includes the place where a person resides or carries out usual occupation, in reference to privacy rights and not to residence in a foreign country. </w:t>
      </w:r>
      <w:r w:rsidR="00810C13">
        <w:rPr>
          <w:rFonts w:eastAsia="Times New Roman"/>
          <w:color w:val="000000"/>
          <w:lang w:eastAsia="en-GB"/>
        </w:rPr>
        <w:t xml:space="preserve">It can neither be interpreted to include a positive obligation to grant a certain immigration status, as the Committee has previously taken the view that the Covenant does not include </w:t>
      </w:r>
      <w:r w:rsidR="00BD1ADE">
        <w:rPr>
          <w:rFonts w:eastAsia="Times New Roman"/>
          <w:color w:val="000000"/>
          <w:lang w:eastAsia="en-GB"/>
        </w:rPr>
        <w:t>rights</w:t>
      </w:r>
      <w:r w:rsidR="00810C13">
        <w:rPr>
          <w:rFonts w:eastAsia="Times New Roman"/>
          <w:color w:val="000000"/>
          <w:lang w:eastAsia="en-GB"/>
        </w:rPr>
        <w:t xml:space="preserve"> to asylum, permanent residence, or citizenship. </w:t>
      </w:r>
      <w:r w:rsidR="00BF30ED">
        <w:rPr>
          <w:rFonts w:eastAsia="Times New Roman"/>
          <w:color w:val="000000"/>
          <w:lang w:eastAsia="en-GB"/>
        </w:rPr>
        <w:t xml:space="preserve">It submits that the author’s reliance on the jurisprudence of the European Court of Human Rights </w:t>
      </w:r>
      <w:r w:rsidR="009456A9">
        <w:rPr>
          <w:rFonts w:eastAsia="Times New Roman"/>
          <w:color w:val="000000"/>
          <w:lang w:eastAsia="en-GB"/>
        </w:rPr>
        <w:t>is irrelevant, as it is not a party to the European Convention and therefore not bound by its decisions. Furthermore, the</w:t>
      </w:r>
      <w:r w:rsidR="00BD1ADE">
        <w:rPr>
          <w:rFonts w:eastAsia="Times New Roman"/>
          <w:color w:val="000000"/>
          <w:lang w:eastAsia="en-GB"/>
        </w:rPr>
        <w:t xml:space="preserve"> European Court’s</w:t>
      </w:r>
      <w:r w:rsidR="009456A9">
        <w:rPr>
          <w:rFonts w:eastAsia="Times New Roman"/>
          <w:color w:val="000000"/>
          <w:lang w:eastAsia="en-GB"/>
        </w:rPr>
        <w:t xml:space="preserve"> </w:t>
      </w:r>
      <w:proofErr w:type="spellStart"/>
      <w:r w:rsidR="00E57A1A">
        <w:rPr>
          <w:rFonts w:eastAsia="Times New Roman"/>
          <w:i/>
          <w:iCs/>
          <w:color w:val="000000"/>
          <w:lang w:eastAsia="en-GB"/>
        </w:rPr>
        <w:t>Sisojeva</w:t>
      </w:r>
      <w:proofErr w:type="spellEnd"/>
      <w:r w:rsidR="00E57A1A">
        <w:rPr>
          <w:rFonts w:eastAsia="Times New Roman"/>
          <w:i/>
          <w:iCs/>
          <w:color w:val="000000"/>
          <w:lang w:eastAsia="en-GB"/>
        </w:rPr>
        <w:t xml:space="preserve"> v. Latvia </w:t>
      </w:r>
      <w:r w:rsidR="00E57A1A">
        <w:rPr>
          <w:rFonts w:eastAsia="Times New Roman"/>
          <w:color w:val="000000"/>
          <w:lang w:eastAsia="en-GB"/>
        </w:rPr>
        <w:t>decision concerned different facts and, moreover, stated that “only reasons of a particularly serious nature could justify refusal” of regularization of status. The State party submits that the author’s inadmissibility on the grounds of membership in a terrorist organization is one such reason.</w:t>
      </w:r>
      <w:r w:rsidR="005911D1">
        <w:rPr>
          <w:rFonts w:eastAsia="Times New Roman"/>
          <w:color w:val="000000"/>
          <w:lang w:eastAsia="en-GB"/>
        </w:rPr>
        <w:t xml:space="preserve"> It also submits that the provisions of the European Convention and the Covenant are worded differently and use different tests. </w:t>
      </w:r>
    </w:p>
    <w:p w14:paraId="37D6BED7" w14:textId="1D392A87" w:rsidR="005911D1" w:rsidRDefault="005911D1" w:rsidP="00644F2D">
      <w:pPr>
        <w:pStyle w:val="SingleTxtG"/>
        <w:rPr>
          <w:rFonts w:eastAsia="Times New Roman"/>
          <w:color w:val="000000"/>
          <w:lang w:eastAsia="en-GB"/>
        </w:rPr>
      </w:pPr>
      <w:r>
        <w:rPr>
          <w:rFonts w:eastAsia="Times New Roman"/>
          <w:color w:val="000000"/>
          <w:lang w:eastAsia="en-GB"/>
        </w:rPr>
        <w:t>4.6</w:t>
      </w:r>
      <w:r>
        <w:rPr>
          <w:rFonts w:eastAsia="Times New Roman"/>
          <w:color w:val="000000"/>
          <w:lang w:eastAsia="en-GB"/>
        </w:rPr>
        <w:tab/>
      </w:r>
      <w:r w:rsidR="009635AE">
        <w:rPr>
          <w:rFonts w:eastAsia="Times New Roman"/>
          <w:color w:val="000000"/>
          <w:lang w:eastAsia="en-GB"/>
        </w:rPr>
        <w:t xml:space="preserve"> </w:t>
      </w:r>
      <w:r w:rsidR="00D66DBE">
        <w:rPr>
          <w:rFonts w:eastAsia="Times New Roman"/>
          <w:color w:val="000000"/>
          <w:lang w:eastAsia="en-GB"/>
        </w:rPr>
        <w:t xml:space="preserve">The State party submits that the author, by his own admission, has been able to work in Canada, to form romantic relationships, to participate in community and social activities and maintain emotional ties with his family who also reside in Canada. It reiterates that the </w:t>
      </w:r>
      <w:r w:rsidR="00D66DBE">
        <w:rPr>
          <w:rFonts w:eastAsia="Times New Roman"/>
          <w:color w:val="000000"/>
          <w:lang w:eastAsia="en-GB"/>
        </w:rPr>
        <w:lastRenderedPageBreak/>
        <w:t xml:space="preserve">authors inability to obtain permanent resident status, because of his inadmissibility for membership in a terrorist organisation, does not constitute an interference with his rights protected under article 17 of the Covenant. </w:t>
      </w:r>
      <w:proofErr w:type="gramStart"/>
      <w:r w:rsidR="00814A54">
        <w:rPr>
          <w:rFonts w:eastAsia="Times New Roman"/>
          <w:color w:val="000000"/>
          <w:lang w:eastAsia="en-GB"/>
        </w:rPr>
        <w:t>With regard to</w:t>
      </w:r>
      <w:proofErr w:type="gramEnd"/>
      <w:r w:rsidR="00814A54">
        <w:rPr>
          <w:rFonts w:eastAsia="Times New Roman"/>
          <w:color w:val="000000"/>
          <w:lang w:eastAsia="en-GB"/>
        </w:rPr>
        <w:t xml:space="preserve"> the author’s concern about seeing his mother, the State party adds that article 17 does not apply to reunite family members who have been separated for many years.</w:t>
      </w:r>
      <w:r w:rsidR="00BD1ADE">
        <w:rPr>
          <w:rStyle w:val="FootnoteReference"/>
          <w:rFonts w:eastAsia="Times New Roman"/>
          <w:color w:val="000000"/>
          <w:lang w:eastAsia="en-GB"/>
        </w:rPr>
        <w:footnoteReference w:id="6"/>
      </w:r>
      <w:r w:rsidR="00814A54">
        <w:rPr>
          <w:rFonts w:eastAsia="Times New Roman"/>
          <w:color w:val="000000"/>
          <w:lang w:eastAsia="en-GB"/>
        </w:rPr>
        <w:t xml:space="preserve"> It concludes that the author’s situation i</w:t>
      </w:r>
      <w:r w:rsidR="00BD1ADE">
        <w:rPr>
          <w:rFonts w:eastAsia="Times New Roman"/>
          <w:color w:val="000000"/>
          <w:lang w:eastAsia="en-GB"/>
        </w:rPr>
        <w:t>s</w:t>
      </w:r>
      <w:r w:rsidR="00814A54">
        <w:rPr>
          <w:rFonts w:eastAsia="Times New Roman"/>
          <w:color w:val="000000"/>
          <w:lang w:eastAsia="en-GB"/>
        </w:rPr>
        <w:t xml:space="preserve"> in accordance with the law, not arbitrary and proportionate in his personal circumstances. </w:t>
      </w:r>
    </w:p>
    <w:p w14:paraId="5C9204BE" w14:textId="1FDC3CF4" w:rsidR="00814A54" w:rsidRPr="00480702" w:rsidRDefault="00814A54" w:rsidP="00644F2D">
      <w:pPr>
        <w:pStyle w:val="SingleTxtG"/>
        <w:rPr>
          <w:rFonts w:eastAsia="Times New Roman"/>
          <w:color w:val="000000"/>
          <w:lang w:eastAsia="en-GB"/>
        </w:rPr>
      </w:pPr>
      <w:r>
        <w:rPr>
          <w:rFonts w:eastAsia="Times New Roman"/>
          <w:color w:val="000000"/>
          <w:lang w:eastAsia="en-GB"/>
        </w:rPr>
        <w:t>4.7</w:t>
      </w:r>
      <w:r>
        <w:rPr>
          <w:rFonts w:eastAsia="Times New Roman"/>
          <w:color w:val="000000"/>
          <w:lang w:eastAsia="en-GB"/>
        </w:rPr>
        <w:tab/>
      </w:r>
      <w:r w:rsidR="003A220E">
        <w:rPr>
          <w:rFonts w:eastAsia="Times New Roman"/>
          <w:color w:val="000000"/>
          <w:lang w:eastAsia="en-GB"/>
        </w:rPr>
        <w:t xml:space="preserve">The State party reiterates that the communication is wholly inadmissible on the grounds of incompatibility with the scope of the Covenant and insufficient substantiation. It further submits that, should the Committee consider it admissible in whole or in part, </w:t>
      </w:r>
      <w:r w:rsidR="00324848">
        <w:rPr>
          <w:rFonts w:eastAsia="Times New Roman"/>
          <w:color w:val="000000"/>
          <w:lang w:eastAsia="en-GB"/>
        </w:rPr>
        <w:t xml:space="preserve">it should consider the communication wholly without merit as the author has failed to establish any violation of the rights protected under the Covenant. </w:t>
      </w:r>
    </w:p>
    <w:p w14:paraId="51583C8B" w14:textId="1F7D2E76" w:rsidR="005B18FE" w:rsidRPr="00A8125A" w:rsidRDefault="005B18FE" w:rsidP="00A671AA">
      <w:pPr>
        <w:pStyle w:val="H23G"/>
        <w:ind w:left="0" w:firstLine="0"/>
      </w:pPr>
      <w:r>
        <w:tab/>
      </w:r>
      <w:r>
        <w:tab/>
      </w:r>
      <w:r w:rsidRPr="00A8125A">
        <w:t>Author</w:t>
      </w:r>
      <w:r w:rsidR="00A355E4">
        <w:t>’</w:t>
      </w:r>
      <w:r>
        <w:t>s</w:t>
      </w:r>
      <w:r w:rsidRPr="00A8125A">
        <w:t xml:space="preserve"> </w:t>
      </w:r>
      <w:r w:rsidRPr="00F11E66">
        <w:t xml:space="preserve">comments on </w:t>
      </w:r>
      <w:r w:rsidRPr="006F354E">
        <w:t>the</w:t>
      </w:r>
      <w:r w:rsidRPr="00F11E66">
        <w:t xml:space="preserve"> State party’s observations</w:t>
      </w:r>
      <w:r w:rsidRPr="003240AC">
        <w:t xml:space="preserve"> </w:t>
      </w:r>
      <w:r w:rsidR="00324848">
        <w:t>on admissibility and merits</w:t>
      </w:r>
    </w:p>
    <w:p w14:paraId="18669D03" w14:textId="6575DC5C" w:rsidR="0061004D" w:rsidRDefault="00FC1EAE" w:rsidP="00DF6FD3">
      <w:pPr>
        <w:pStyle w:val="SingleTxtG"/>
      </w:pPr>
      <w:r>
        <w:t>5.1</w:t>
      </w:r>
      <w:r>
        <w:tab/>
        <w:t xml:space="preserve">On </w:t>
      </w:r>
      <w:r w:rsidR="00633066">
        <w:t xml:space="preserve">12 August 2018, </w:t>
      </w:r>
      <w:r w:rsidR="00324848">
        <w:t>the author</w:t>
      </w:r>
      <w:r w:rsidR="00CE1820">
        <w:t xml:space="preserve"> submitted comments on the State party’s observations.</w:t>
      </w:r>
      <w:r w:rsidR="00DF6FD3">
        <w:t xml:space="preserve"> He </w:t>
      </w:r>
      <w:r w:rsidR="00DC7BC3">
        <w:t xml:space="preserve">rejects that it is not credible that he was not aware </w:t>
      </w:r>
      <w:r w:rsidR="00AA2206">
        <w:t xml:space="preserve">about </w:t>
      </w:r>
      <w:r w:rsidR="00DC7BC3">
        <w:t>MQM</w:t>
      </w:r>
      <w:r w:rsidR="00AA2206">
        <w:t>’s</w:t>
      </w:r>
      <w:r w:rsidR="00DC7BC3">
        <w:t xml:space="preserve"> and MQM-H</w:t>
      </w:r>
      <w:r w:rsidR="00AA2206">
        <w:t>’s</w:t>
      </w:r>
      <w:r w:rsidR="00DC7BC3">
        <w:t xml:space="preserve"> </w:t>
      </w:r>
      <w:r w:rsidR="00AA2206">
        <w:t>involvement in</w:t>
      </w:r>
      <w:r w:rsidR="00DC7BC3">
        <w:t xml:space="preserve"> terrorist activities.</w:t>
      </w:r>
      <w:r w:rsidR="005E15E9">
        <w:t xml:space="preserve"> </w:t>
      </w:r>
      <w:r w:rsidR="008631BC">
        <w:t xml:space="preserve">He argues that nothing indicates that his education involved teachings about </w:t>
      </w:r>
      <w:r w:rsidR="00AA2206">
        <w:t xml:space="preserve">the </w:t>
      </w:r>
      <w:r w:rsidR="008631BC">
        <w:t xml:space="preserve">terrorist activities of the organizations, </w:t>
      </w:r>
      <w:r w:rsidR="00F74A06">
        <w:t>or</w:t>
      </w:r>
      <w:r w:rsidR="00AA2206">
        <w:t xml:space="preserve"> </w:t>
      </w:r>
      <w:r w:rsidR="008631BC">
        <w:t>that such organizations admitted to involvement in terrorist activities during and prior to the period he was associated with them</w:t>
      </w:r>
      <w:r w:rsidR="00F74A06">
        <w:t>.</w:t>
      </w:r>
      <w:r w:rsidR="008631BC">
        <w:t xml:space="preserve"> </w:t>
      </w:r>
      <w:r w:rsidR="00A63AFC">
        <w:t>The author asserts that it is credible that</w:t>
      </w:r>
      <w:r w:rsidR="00B5066A">
        <w:t xml:space="preserve"> he</w:t>
      </w:r>
      <w:r w:rsidR="00A63AFC">
        <w:t xml:space="preserve"> was not aware of such activities and that the State party has not established the contrary</w:t>
      </w:r>
      <w:r w:rsidR="00010063">
        <w:t xml:space="preserve">. </w:t>
      </w:r>
    </w:p>
    <w:p w14:paraId="01195780" w14:textId="36A713CD" w:rsidR="00010063" w:rsidRDefault="00010063" w:rsidP="009C3BD9">
      <w:pPr>
        <w:pStyle w:val="SingleTxtG"/>
      </w:pPr>
      <w:r>
        <w:t>5.</w:t>
      </w:r>
      <w:r w:rsidR="002D3FA0">
        <w:t>2</w:t>
      </w:r>
      <w:r>
        <w:tab/>
        <w:t xml:space="preserve">The author alleges that </w:t>
      </w:r>
      <w:r w:rsidR="00B5066A">
        <w:t>a</w:t>
      </w:r>
      <w:r w:rsidR="00D163A2">
        <w:t xml:space="preserve">n adverse credibility finding in refugee matters without a hearing or even an interview is arbitrary and amounts to a denial of justice, as found by the Supreme Court of Canada in the </w:t>
      </w:r>
      <w:r w:rsidR="00D163A2">
        <w:rPr>
          <w:i/>
          <w:iCs/>
        </w:rPr>
        <w:t>Singh v. Minister of Employment</w:t>
      </w:r>
      <w:r w:rsidR="00D163A2">
        <w:t xml:space="preserve"> judgement. In his case, the decision regarding his application for Ministerial relief from his inadmissibility decision was taken without a hearing or interview. </w:t>
      </w:r>
      <w:r w:rsidR="00E7457F">
        <w:t xml:space="preserve">Furthermore, members of the Immigration Appeal Division confusingly </w:t>
      </w:r>
      <w:r w:rsidR="00E339F0">
        <w:t>mixed-up</w:t>
      </w:r>
      <w:r w:rsidR="00E7457F">
        <w:t xml:space="preserve"> different factions of MQM. The Division member only addressed the issue of the author’s knowledge of violence by MQM-A, which is a faction the author was never involved with. </w:t>
      </w:r>
      <w:r w:rsidR="001A2388">
        <w:t>The Division’s findings only relate to the credibility of the author’s ignorance of violence in the organizations and</w:t>
      </w:r>
      <w:r w:rsidR="00865F86">
        <w:t xml:space="preserve"> do not provide evidence of his knowledge that the organizations carried out terrorist activities. </w:t>
      </w:r>
    </w:p>
    <w:p w14:paraId="11C71210" w14:textId="1A23B1CD" w:rsidR="00E7457F" w:rsidRDefault="00E7457F" w:rsidP="009C3BD9">
      <w:pPr>
        <w:pStyle w:val="SingleTxtG"/>
      </w:pPr>
      <w:r>
        <w:t>5.</w:t>
      </w:r>
      <w:r w:rsidR="002D3FA0">
        <w:t>3</w:t>
      </w:r>
      <w:r>
        <w:tab/>
      </w:r>
      <w:r w:rsidR="000D7AD2">
        <w:t>The author reiterates that once he was found to be a Convention refugee</w:t>
      </w:r>
      <w:r w:rsidR="00626478">
        <w:t>,</w:t>
      </w:r>
      <w:r w:rsidR="000D7AD2">
        <w:t xml:space="preserve"> </w:t>
      </w:r>
      <w:r w:rsidR="00E339F0">
        <w:t>this</w:t>
      </w:r>
      <w:r w:rsidR="00626478">
        <w:t xml:space="preserve"> </w:t>
      </w:r>
      <w:r w:rsidR="000D7AD2">
        <w:t xml:space="preserve">meant that there were no serious reasons to believe he had been guilty of an act of terrorism, in accordance with </w:t>
      </w:r>
      <w:r w:rsidR="001A4F84">
        <w:t>A</w:t>
      </w:r>
      <w:r w:rsidR="000D7AD2">
        <w:t>rticle 1</w:t>
      </w:r>
      <w:r w:rsidR="001A4F84">
        <w:t>F</w:t>
      </w:r>
      <w:r w:rsidR="000D7AD2">
        <w:t xml:space="preserve"> of the Refugee Convention. As opposed to what the State party submits, the author argues that the refugee determination tribunal</w:t>
      </w:r>
      <w:r w:rsidR="00626478">
        <w:t xml:space="preserve"> </w:t>
      </w:r>
      <w:r w:rsidR="000D7AD2">
        <w:t xml:space="preserve">could have addressed the issue of his exclusion from refugee status if it had wished to do </w:t>
      </w:r>
      <w:r w:rsidR="00BE465B">
        <w:t>so but</w:t>
      </w:r>
      <w:r w:rsidR="0064046C">
        <w:t xml:space="preserve"> decided to remain silent on this issue. </w:t>
      </w:r>
      <w:r w:rsidR="000D7AD2">
        <w:t xml:space="preserve"> </w:t>
      </w:r>
    </w:p>
    <w:p w14:paraId="1E18E0B7" w14:textId="5D4FE2F5" w:rsidR="00626478" w:rsidRDefault="00626478" w:rsidP="009C3BD9">
      <w:pPr>
        <w:pStyle w:val="SingleTxtG"/>
      </w:pPr>
      <w:r>
        <w:t>5.</w:t>
      </w:r>
      <w:r w:rsidR="002D3FA0">
        <w:t>4</w:t>
      </w:r>
      <w:r>
        <w:tab/>
        <w:t>The author submits that the underlying facts leading to the finding of his inadmissibility</w:t>
      </w:r>
      <w:r w:rsidR="00614091">
        <w:t xml:space="preserve">, even if they were to be accurate, are of a trivial nature. He was not complicit in any terrorist act and did not know about the involvement of the organizations in any terrorist activity. If there were serious reasons to believe he had been guilty of an act of terrorism, the refugee protection tribunal should have excluded him from refugee protection. </w:t>
      </w:r>
      <w:r w:rsidR="00943CF5">
        <w:t xml:space="preserve">Given the trivial nature of the findings against the author, </w:t>
      </w:r>
      <w:r w:rsidR="00F7111F">
        <w:t xml:space="preserve">the author submits that </w:t>
      </w:r>
      <w:r w:rsidR="00943CF5">
        <w:t xml:space="preserve">the mistreatment he was subjected to by the State party should be taken seriously. Although the </w:t>
      </w:r>
      <w:r w:rsidR="00A315AC">
        <w:t xml:space="preserve">State party submits that the courts had found that the legislation allows for indefinite legal limbo status, the author argues that such a finding does not resolve the issue of whether this is permissible under the Covenant. It is for the Committee to determine </w:t>
      </w:r>
      <w:r w:rsidR="000339D3">
        <w:t>this</w:t>
      </w:r>
      <w:r w:rsidR="00A315AC">
        <w:t xml:space="preserve">. </w:t>
      </w:r>
    </w:p>
    <w:p w14:paraId="4C78F402" w14:textId="5CC2B0FC" w:rsidR="00E7457F" w:rsidRPr="00ED50EC" w:rsidRDefault="00E7457F" w:rsidP="009C3BD9">
      <w:pPr>
        <w:pStyle w:val="SingleTxtG"/>
      </w:pPr>
      <w:r>
        <w:t>5.</w:t>
      </w:r>
      <w:r w:rsidR="002D3FA0">
        <w:t>5</w:t>
      </w:r>
      <w:r>
        <w:tab/>
      </w:r>
      <w:r w:rsidR="001372AE">
        <w:t xml:space="preserve">The author rejects the State party’s submission that the feeling of being in limbo cannot constitute treatment within the meaning of article 7 of the Covenant. He argues that continuingly granting a person only with temporary resident status equates to a form of treatment, and that the individual’s feelings about such treatment is relevant </w:t>
      </w:r>
      <w:proofErr w:type="gramStart"/>
      <w:r w:rsidR="001372AE">
        <w:t>in order to</w:t>
      </w:r>
      <w:proofErr w:type="gramEnd"/>
      <w:r w:rsidR="001372AE">
        <w:t xml:space="preserve"> consider whether it amounts to mistreatment. </w:t>
      </w:r>
      <w:r w:rsidR="006C0F1B">
        <w:t xml:space="preserve">He alleges that, for a Convention refugee, the granting of temporary resident status during one’s whole life is akin to statelessness, as a refugee </w:t>
      </w:r>
      <w:r w:rsidR="00AC60CA">
        <w:t>cannot</w:t>
      </w:r>
      <w:r w:rsidR="006C0F1B">
        <w:t xml:space="preserve"> seek protection from his State of nationality. </w:t>
      </w:r>
      <w:r w:rsidR="00230028">
        <w:t>He claims that</w:t>
      </w:r>
      <w:r w:rsidR="00230028">
        <w:rPr>
          <w:i/>
          <w:iCs/>
        </w:rPr>
        <w:t xml:space="preserve"> </w:t>
      </w:r>
      <w:r w:rsidR="00230028">
        <w:t xml:space="preserve">the treatment by the State party is akin to the denial of his right to nationality and an arbitrary deprivation of </w:t>
      </w:r>
      <w:r w:rsidR="00230028">
        <w:lastRenderedPageBreak/>
        <w:t xml:space="preserve">nationality which amounts to cruel treatment prohibited under article 7 of the Covenant. </w:t>
      </w:r>
      <w:r w:rsidR="00B52D33">
        <w:t xml:space="preserve">Given his status as a refugee and the underlying risks associated by such a status, his Pakistani nationality means nothing to him. </w:t>
      </w:r>
      <w:r w:rsidR="00ED50EC">
        <w:t xml:space="preserve">The author, therefore, submits that his claims under article 7 of the Covenant are compatible </w:t>
      </w:r>
      <w:proofErr w:type="spellStart"/>
      <w:r w:rsidR="00ED50EC">
        <w:rPr>
          <w:i/>
          <w:iCs/>
        </w:rPr>
        <w:t>ratione</w:t>
      </w:r>
      <w:proofErr w:type="spellEnd"/>
      <w:r w:rsidR="00ED50EC">
        <w:rPr>
          <w:i/>
          <w:iCs/>
        </w:rPr>
        <w:t xml:space="preserve"> </w:t>
      </w:r>
      <w:proofErr w:type="spellStart"/>
      <w:r w:rsidR="00ED50EC">
        <w:rPr>
          <w:i/>
          <w:iCs/>
        </w:rPr>
        <w:t>materiae</w:t>
      </w:r>
      <w:proofErr w:type="spellEnd"/>
      <w:r w:rsidR="00ED50EC">
        <w:rPr>
          <w:i/>
          <w:iCs/>
        </w:rPr>
        <w:t xml:space="preserve"> </w:t>
      </w:r>
      <w:r w:rsidR="00ED50EC">
        <w:t>and sufficiently substantiated</w:t>
      </w:r>
      <w:r w:rsidR="00EA5B96">
        <w:t>.</w:t>
      </w:r>
    </w:p>
    <w:p w14:paraId="11264195" w14:textId="340CA789" w:rsidR="00E7457F" w:rsidRDefault="00E7457F" w:rsidP="009C3BD9">
      <w:pPr>
        <w:pStyle w:val="SingleTxtG"/>
      </w:pPr>
      <w:r>
        <w:t>5.</w:t>
      </w:r>
      <w:r w:rsidR="002D3FA0">
        <w:t>6</w:t>
      </w:r>
      <w:r>
        <w:tab/>
      </w:r>
      <w:r w:rsidR="00A17881">
        <w:t>The author submits that his claims under article 17 of the Covenant have to be considered in light of certain underlying and cumulative facts, such as: a)</w:t>
      </w:r>
      <w:r w:rsidR="00F5687F">
        <w:t xml:space="preserve"> his inability to return to Pakistan, including to visit his parents; b) his inability to sponsor a spouse from abroad; c) his difficulty to find work in Canada due to his temporary status, although it is </w:t>
      </w:r>
      <w:r w:rsidR="00F5687F">
        <w:rPr>
          <w:i/>
          <w:iCs/>
        </w:rPr>
        <w:t xml:space="preserve">de facto </w:t>
      </w:r>
      <w:r w:rsidR="00F5687F">
        <w:t>permanent; d)</w:t>
      </w:r>
      <w:r w:rsidR="00654D76">
        <w:t xml:space="preserve"> his inability to fully participate in civil society, despite his interest in politics; e) the fact he has to engage in elaborate procedures to renew his permit, and; f) the fact he has been in Canada for over twenty years. </w:t>
      </w:r>
    </w:p>
    <w:p w14:paraId="663D8150" w14:textId="64841380" w:rsidR="00654D76" w:rsidRDefault="00654D76" w:rsidP="009C3BD9">
      <w:pPr>
        <w:pStyle w:val="SingleTxtG"/>
      </w:pPr>
      <w:r>
        <w:t>5.</w:t>
      </w:r>
      <w:r w:rsidR="002D3FA0">
        <w:t>7</w:t>
      </w:r>
      <w:r>
        <w:tab/>
        <w:t xml:space="preserve">The author </w:t>
      </w:r>
      <w:r w:rsidR="00043FCD">
        <w:t xml:space="preserve">submits that </w:t>
      </w:r>
      <w:r>
        <w:t xml:space="preserve">the content of article 17 </w:t>
      </w:r>
      <w:r w:rsidR="00043FCD">
        <w:t xml:space="preserve">should not be considered </w:t>
      </w:r>
      <w:r>
        <w:t xml:space="preserve">in the abstract, </w:t>
      </w:r>
      <w:r w:rsidR="00043FCD">
        <w:t xml:space="preserve">but in </w:t>
      </w:r>
      <w:r>
        <w:t xml:space="preserve">the context of the facts of his case. </w:t>
      </w:r>
      <w:r w:rsidR="009B229D">
        <w:t>He</w:t>
      </w:r>
      <w:r w:rsidR="00043FCD">
        <w:t xml:space="preserve"> submits that for him, Canada is his home, and that the State party’s observations stating the contrary fail to consider his status as a refugee. To suggest that his home is Pakistan, where he cannot return and has not been for decades, and that the place he has lived for the past twenty years is not his home, </w:t>
      </w:r>
      <w:r w:rsidR="006F461C">
        <w:t xml:space="preserve">renders the terms “home” and “home country” void of any common sense. </w:t>
      </w:r>
    </w:p>
    <w:p w14:paraId="7B5914E5" w14:textId="39ED0272" w:rsidR="003719D0" w:rsidRPr="00F5687F" w:rsidRDefault="003719D0" w:rsidP="009C3BD9">
      <w:pPr>
        <w:pStyle w:val="SingleTxtG"/>
      </w:pPr>
      <w:r>
        <w:t>5.</w:t>
      </w:r>
      <w:r w:rsidR="002D3FA0">
        <w:t>8</w:t>
      </w:r>
      <w:r>
        <w:tab/>
        <w:t xml:space="preserve">The author </w:t>
      </w:r>
      <w:r w:rsidR="00AC1AE0">
        <w:t xml:space="preserve">refutes the State party’s observation that he is claiming a right to residency. He argues that what he is claiming is that the denial of his application for Ministerial relief under section 34 (2) of the IRPA, both procedurally and substantively, violates his rights under the Covenant. </w:t>
      </w:r>
      <w:r w:rsidR="001D6CC4">
        <w:t xml:space="preserve">Although the State party submits that the author’s membership in a terrorist organization justifies the refusal of the regularization of his status, the author reiterates that this </w:t>
      </w:r>
      <w:r w:rsidR="004B74A7">
        <w:t>ignores</w:t>
      </w:r>
      <w:r w:rsidR="001D6CC4">
        <w:t xml:space="preserve"> the facts of his case, his </w:t>
      </w:r>
      <w:r w:rsidR="00EB4544">
        <w:t>innocence,</w:t>
      </w:r>
      <w:r w:rsidR="004B74A7">
        <w:t xml:space="preserve"> and the unfair </w:t>
      </w:r>
      <w:r w:rsidR="00EB4544">
        <w:t>way</w:t>
      </w:r>
      <w:r w:rsidR="004B74A7">
        <w:t xml:space="preserve"> the decision was reached. </w:t>
      </w:r>
      <w:r w:rsidR="00EB4544">
        <w:t>He adds</w:t>
      </w:r>
      <w:r w:rsidR="004B74A7">
        <w:t xml:space="preserve"> that</w:t>
      </w:r>
      <w:r w:rsidR="00EB4544">
        <w:t xml:space="preserve">, in the event the Committee finds a violation of his rights, this would not immediately lead to the granting of permanent residence, but to the reconsideration of his application for Ministerial relief. </w:t>
      </w:r>
    </w:p>
    <w:p w14:paraId="2481A775" w14:textId="48288442" w:rsidR="00644F2D" w:rsidRDefault="00644F2D" w:rsidP="009C3BD9">
      <w:pPr>
        <w:pStyle w:val="SingleTxtG"/>
        <w:rPr>
          <w:b/>
          <w:bCs/>
        </w:rPr>
      </w:pPr>
      <w:r>
        <w:rPr>
          <w:b/>
          <w:bCs/>
        </w:rPr>
        <w:t xml:space="preserve">State party’s additional observations </w:t>
      </w:r>
    </w:p>
    <w:p w14:paraId="5115E9C7" w14:textId="654F48D0" w:rsidR="00644F2D" w:rsidRDefault="00644F2D" w:rsidP="009C3BD9">
      <w:pPr>
        <w:pStyle w:val="SingleTxtG"/>
      </w:pPr>
      <w:r>
        <w:t>6.1</w:t>
      </w:r>
      <w:r w:rsidR="00633066">
        <w:tab/>
        <w:t xml:space="preserve">On 6 February 2019, </w:t>
      </w:r>
      <w:r w:rsidR="00C30DB6">
        <w:t xml:space="preserve">the </w:t>
      </w:r>
      <w:r w:rsidR="00070F22">
        <w:t xml:space="preserve">State party submitted additional observations on the admissibility and merits of the communication. </w:t>
      </w:r>
      <w:r w:rsidR="004D5469">
        <w:t xml:space="preserve">It submits that the author’s comments minimize the violence committed by the organizations </w:t>
      </w:r>
      <w:r w:rsidR="00DE64CA">
        <w:t xml:space="preserve">of which </w:t>
      </w:r>
      <w:r w:rsidR="004D5469">
        <w:t>he was a member in Pakistan. The MQM-H have been held responsible for numerous cases of kidnapping, torture, murder and acts of terrorism.</w:t>
      </w:r>
      <w:r w:rsidR="00335A69">
        <w:t xml:space="preserve"> </w:t>
      </w:r>
      <w:r w:rsidR="000E6F5A">
        <w:t>The State party submits that, b</w:t>
      </w:r>
      <w:r w:rsidR="00335A69">
        <w:t xml:space="preserve">y suggesting that the underlying facts which led to the inadmissibility finding were trivial, </w:t>
      </w:r>
      <w:r w:rsidR="000E6F5A">
        <w:t>the author seeks to trivialize the violence committed. It further submits that the author’s inadmissibility was determined in 2008 and is not an issue for the Committee to determine.</w:t>
      </w:r>
      <w:r w:rsidR="000E6F5A">
        <w:rPr>
          <w:rStyle w:val="FootnoteReference"/>
        </w:rPr>
        <w:footnoteReference w:id="7"/>
      </w:r>
      <w:r w:rsidR="00AB5160">
        <w:t xml:space="preserve"> </w:t>
      </w:r>
    </w:p>
    <w:p w14:paraId="23B3312B" w14:textId="78F591BF" w:rsidR="00685DC0" w:rsidRDefault="00685DC0" w:rsidP="009C3BD9">
      <w:pPr>
        <w:pStyle w:val="SingleTxtG"/>
      </w:pPr>
      <w:r>
        <w:t>6.2</w:t>
      </w:r>
      <w:r>
        <w:tab/>
      </w:r>
      <w:r w:rsidR="00E90BFC">
        <w:t>In response to the author’s renewed attempt to rely on the fact that he was not excluded from refugee protection, pursuant to Article 1F of the Refugee Convention, the State party submits that his involvement with the MQM and MQM-H was only discovered years later during the security screening process for his application for permanent residence. It reiterates that the fact the refugee determination tribunal did not find he was excluded from refugee protection is not evidence that he was not a member of an organization that committed terrorist acts.</w:t>
      </w:r>
    </w:p>
    <w:p w14:paraId="6DF1DE2E" w14:textId="0ED10288" w:rsidR="00685DC0" w:rsidRDefault="00685DC0" w:rsidP="009C3BD9">
      <w:pPr>
        <w:pStyle w:val="SingleTxtG"/>
      </w:pPr>
      <w:r>
        <w:t>6.3</w:t>
      </w:r>
      <w:r>
        <w:tab/>
      </w:r>
      <w:r w:rsidR="005000DE">
        <w:t xml:space="preserve">With regard to the author’s complaint that he did not have an oral hearing or interview during his application for Ministerial relief, the State party submits that the author had an oral hearing during his application for refugee protection. He also had a hearing before the Immigration Division and Immigration Appeal Division leading up to the finding that his was inadmissible. During this hearing, it was determined that </w:t>
      </w:r>
      <w:r w:rsidR="001E1A78">
        <w:t xml:space="preserve">it was not credible that </w:t>
      </w:r>
      <w:r w:rsidR="005000DE">
        <w:t xml:space="preserve">he was not aware of the violence committed by the MQM and MQM-H was not credible. </w:t>
      </w:r>
      <w:r w:rsidR="00B34D1F">
        <w:t>As the author’s inadmissibility was not being re-determined and</w:t>
      </w:r>
      <w:r w:rsidR="001E1A78">
        <w:t xml:space="preserve"> that</w:t>
      </w:r>
      <w:r w:rsidR="00B34D1F">
        <w:t xml:space="preserve"> no credibility assessment </w:t>
      </w:r>
      <w:r w:rsidR="001E1A78">
        <w:t xml:space="preserve">was </w:t>
      </w:r>
      <w:r w:rsidR="00B34D1F">
        <w:t xml:space="preserve">made, there was no need for an oral hearing during the Ministerial relief application. </w:t>
      </w:r>
    </w:p>
    <w:p w14:paraId="605CDB6F" w14:textId="35744C8B" w:rsidR="00685DC0" w:rsidRDefault="00685DC0" w:rsidP="009C3BD9">
      <w:pPr>
        <w:pStyle w:val="SingleTxtG"/>
      </w:pPr>
      <w:r>
        <w:t>6.4</w:t>
      </w:r>
      <w:r>
        <w:tab/>
      </w:r>
      <w:r w:rsidR="00803276">
        <w:t xml:space="preserve">The State party submits that the author’s arguments and relief sought establish that his communication </w:t>
      </w:r>
      <w:r w:rsidR="002A5516">
        <w:t xml:space="preserve">is </w:t>
      </w:r>
      <w:proofErr w:type="gramStart"/>
      <w:r w:rsidR="002A5516">
        <w:t>in the nature of an</w:t>
      </w:r>
      <w:proofErr w:type="gramEnd"/>
      <w:r w:rsidR="002A5516">
        <w:t xml:space="preserve"> appeal. It </w:t>
      </w:r>
      <w:r w:rsidR="00BC7B51">
        <w:t xml:space="preserve">refers to the Committee’s consistent views that it is not for the Committee to substitute the judgement of domestic decision-makers on </w:t>
      </w:r>
      <w:r w:rsidR="00BC7B51">
        <w:lastRenderedPageBreak/>
        <w:t xml:space="preserve">the evaluation of facts and </w:t>
      </w:r>
      <w:proofErr w:type="gramStart"/>
      <w:r w:rsidR="00BC7B51">
        <w:t>evidence, unless</w:t>
      </w:r>
      <w:proofErr w:type="gramEnd"/>
      <w:r w:rsidR="00BC7B51">
        <w:t xml:space="preserve"> it is manifestly arbitrary or amounts to a denial of justice. The</w:t>
      </w:r>
      <w:r w:rsidR="004636C8">
        <w:t xml:space="preserve"> State party reiterates that there is no limit to the number of applications for Ministerial relief that the author can mak</w:t>
      </w:r>
      <w:r w:rsidR="009B04EF">
        <w:t xml:space="preserve">e, without there being any need for the Committee to make findings in his favour. </w:t>
      </w:r>
      <w:r w:rsidR="00BC7B51">
        <w:t xml:space="preserve"> </w:t>
      </w:r>
    </w:p>
    <w:p w14:paraId="36F30183" w14:textId="268706F4" w:rsidR="00685DC0" w:rsidRDefault="00685DC0" w:rsidP="009C3BD9">
      <w:pPr>
        <w:pStyle w:val="SingleTxtG"/>
      </w:pPr>
      <w:r>
        <w:t>6.5</w:t>
      </w:r>
      <w:r>
        <w:tab/>
      </w:r>
      <w:r w:rsidR="009B04EF">
        <w:t>The State party reiterates that the author fails to provide any prior Views or comments of the Committee in support of his position that the “cruel limbo” in which he alleges to find hims</w:t>
      </w:r>
      <w:r w:rsidR="005509C7">
        <w:t xml:space="preserve">elf constitutes cruel treatment in violation of article 7 of the Covenant. Even if his inability to obtain </w:t>
      </w:r>
      <w:r w:rsidR="003A59BA">
        <w:t xml:space="preserve">permanent resident status would be considered as “treatment” by the State party, it argues that it does not rise to the level of “cruel treatment”. Furthermore, the author’s feelings of uncertainty over his immigration status and complaints about having to renew his work permit do not </w:t>
      </w:r>
      <w:r w:rsidR="00C526A3">
        <w:t xml:space="preserve">attain the threshold of mental suffering required under article 7. </w:t>
      </w:r>
      <w:r w:rsidR="003A59BA">
        <w:t xml:space="preserve"> </w:t>
      </w:r>
    </w:p>
    <w:p w14:paraId="5ED9C775" w14:textId="57FB757B" w:rsidR="00DF701B" w:rsidRPr="00644F2D" w:rsidRDefault="003A59BA" w:rsidP="00DF701B">
      <w:pPr>
        <w:pStyle w:val="SingleTxtG"/>
      </w:pPr>
      <w:r>
        <w:t>6.6</w:t>
      </w:r>
      <w:r>
        <w:tab/>
      </w:r>
      <w:r w:rsidR="00C87DD5">
        <w:t>The State party submits that the author’s interpretation of article 17 of the Covenant</w:t>
      </w:r>
      <w:r w:rsidR="00944576">
        <w:t xml:space="preserve"> and of the concept of “home” is unsupported by the jurisprudence of the Committee and would be an impermissible expansion of its meaning beyond its usage primarily in the realm of privacy protection. It cannot be interpreted to include a concept of nationality, which would override a </w:t>
      </w:r>
      <w:proofErr w:type="gramStart"/>
      <w:r w:rsidR="00944576">
        <w:t>State</w:t>
      </w:r>
      <w:proofErr w:type="gramEnd"/>
      <w:r w:rsidR="00944576">
        <w:t xml:space="preserve"> party’s laws on permanent resident status and citizenship. </w:t>
      </w:r>
      <w:r w:rsidR="00CE7E7D">
        <w:t xml:space="preserve">The State party reiterates that the author’s inability to obtain permanent resident status </w:t>
      </w:r>
      <w:proofErr w:type="gramStart"/>
      <w:r w:rsidR="00CE7E7D">
        <w:t>as a result of</w:t>
      </w:r>
      <w:proofErr w:type="gramEnd"/>
      <w:r w:rsidR="00CE7E7D">
        <w:t xml:space="preserve"> his inadmissibility on security grounds does not constitute interference with any of the interests protected by article 17, and that he has failed to establish that his situation is unlawful, arbitrary or disproportionate to his personal circumstances. </w:t>
      </w:r>
    </w:p>
    <w:p w14:paraId="00BD9C35" w14:textId="1D51186D" w:rsidR="00644F2D" w:rsidRDefault="00644F2D" w:rsidP="009C3BD9">
      <w:pPr>
        <w:pStyle w:val="SingleTxtG"/>
        <w:rPr>
          <w:b/>
          <w:bCs/>
        </w:rPr>
      </w:pPr>
      <w:r>
        <w:rPr>
          <w:b/>
          <w:bCs/>
        </w:rPr>
        <w:t xml:space="preserve">Author’s comments on the State party’s additional observations </w:t>
      </w:r>
    </w:p>
    <w:p w14:paraId="4B22BD8D" w14:textId="044CB88B" w:rsidR="00644F2D" w:rsidRDefault="00644F2D" w:rsidP="009C3BD9">
      <w:pPr>
        <w:pStyle w:val="SingleTxtG"/>
      </w:pPr>
      <w:r>
        <w:t>7.1</w:t>
      </w:r>
      <w:r w:rsidR="00633066">
        <w:tab/>
      </w:r>
      <w:r w:rsidR="0026407C">
        <w:t xml:space="preserve">On </w:t>
      </w:r>
      <w:r w:rsidR="0052242B">
        <w:t>24 October 2019</w:t>
      </w:r>
      <w:r w:rsidR="0052242B" w:rsidRPr="00704B11">
        <w:t xml:space="preserve">, the Committee, acting through its Special Rapporteurs on new communications and interim measures, decided to grant the author’s request, dated </w:t>
      </w:r>
      <w:r w:rsidR="0052242B">
        <w:t>19 August 2019</w:t>
      </w:r>
      <w:r w:rsidR="0052242B" w:rsidRPr="00704B11">
        <w:t>, to submit further information and evidence</w:t>
      </w:r>
      <w:r w:rsidR="0052242B">
        <w:t xml:space="preserve">. </w:t>
      </w:r>
      <w:r w:rsidR="00DF701B">
        <w:t xml:space="preserve"> </w:t>
      </w:r>
    </w:p>
    <w:p w14:paraId="1C246C40" w14:textId="2736489A" w:rsidR="00DF701B" w:rsidRDefault="00DF701B" w:rsidP="009C3BD9">
      <w:pPr>
        <w:pStyle w:val="SingleTxtG"/>
      </w:pPr>
      <w:r>
        <w:t>7.2</w:t>
      </w:r>
      <w:r>
        <w:tab/>
      </w:r>
      <w:r w:rsidR="00F8244D">
        <w:t>The author rejects the State party’s argument that he is trivializing the violence committed. H</w:t>
      </w:r>
      <w:r w:rsidR="00312F2B">
        <w:t>is claim, which the State party failed to address, was aimed</w:t>
      </w:r>
      <w:r w:rsidR="00F8244D">
        <w:t xml:space="preserve"> </w:t>
      </w:r>
      <w:r w:rsidR="00312F2B">
        <w:t xml:space="preserve">at </w:t>
      </w:r>
      <w:r w:rsidR="00F8244D">
        <w:t xml:space="preserve">trivializing his connection to such acts of violence and not the </w:t>
      </w:r>
      <w:proofErr w:type="gramStart"/>
      <w:r w:rsidR="00F8244D">
        <w:t>violence in itself</w:t>
      </w:r>
      <w:proofErr w:type="gramEnd"/>
      <w:r w:rsidR="00312F2B">
        <w:t xml:space="preserve">. The author submits that he is not asking the Committee to revaluate the inadmissibility decision, but to find a violation of articles 7 and 17 of the Covenant </w:t>
      </w:r>
      <w:proofErr w:type="gramStart"/>
      <w:r w:rsidR="00312F2B">
        <w:t>in light of</w:t>
      </w:r>
      <w:proofErr w:type="gramEnd"/>
      <w:r w:rsidR="00312F2B">
        <w:t xml:space="preserve"> all the relevant facts. </w:t>
      </w:r>
      <w:r w:rsidR="00AA5ADA">
        <w:t xml:space="preserve">He submits that, the relevant underlying facts in his case, which the State party has neither addressed nor contested, is that he was not complicit in and did not have knowledge of the violence which led to his inadmissibility finding. </w:t>
      </w:r>
    </w:p>
    <w:p w14:paraId="688C066C" w14:textId="7BF120AF" w:rsidR="00AA5ADA" w:rsidRDefault="00AA5ADA" w:rsidP="009C3BD9">
      <w:pPr>
        <w:pStyle w:val="SingleTxtG"/>
      </w:pPr>
      <w:r>
        <w:t>7.3</w:t>
      </w:r>
      <w:r>
        <w:tab/>
        <w:t xml:space="preserve">The author challenges the State party’s argument that </w:t>
      </w:r>
      <w:r w:rsidR="00762199">
        <w:t xml:space="preserve">he was not excluded from refugee protection because his involvement in the MQM and MQM-H was only discovered later, during his application for permanent residence. He submitted in his personal information form that he supported MQM </w:t>
      </w:r>
      <w:proofErr w:type="spellStart"/>
      <w:r w:rsidR="00762199">
        <w:t>Haqiqi</w:t>
      </w:r>
      <w:proofErr w:type="spellEnd"/>
      <w:r w:rsidR="00762199">
        <w:t xml:space="preserve"> in different ways, worked for them during the 1997 elections, and that he was kidnapped and threatened by MQM-A because of his support to MQM-H. He argues that the State party would have therefore been aware of this during </w:t>
      </w:r>
      <w:r w:rsidR="00C56419">
        <w:t xml:space="preserve">his </w:t>
      </w:r>
      <w:r w:rsidR="00762199">
        <w:t xml:space="preserve">refugee determination </w:t>
      </w:r>
      <w:r w:rsidR="00C56419">
        <w:t xml:space="preserve">process. He further refers to sections 45, 19 (1), 46.01 (1) of the Immigration Act </w:t>
      </w:r>
      <w:r w:rsidR="00330FAE">
        <w:t>in place at the time, which would have allowed for an adverse eligibility determination at the time of his refugee clai</w:t>
      </w:r>
      <w:r w:rsidR="00F410F5">
        <w:t xml:space="preserve">m. Nonetheless, he was found eligible, and </w:t>
      </w:r>
      <w:r w:rsidR="00C84AAF">
        <w:t xml:space="preserve">section 46.4 (1) of </w:t>
      </w:r>
      <w:r w:rsidR="00F410F5">
        <w:t>the previous Immigration Act</w:t>
      </w:r>
      <w:r w:rsidR="00503CF0">
        <w:t>,</w:t>
      </w:r>
      <w:r w:rsidR="00F410F5">
        <w:t xml:space="preserve"> </w:t>
      </w:r>
      <w:r w:rsidR="00C84AAF">
        <w:t>moreover</w:t>
      </w:r>
      <w:r w:rsidR="00503CF0">
        <w:t>,</w:t>
      </w:r>
      <w:r w:rsidR="00C84AAF">
        <w:t xml:space="preserve"> </w:t>
      </w:r>
      <w:r w:rsidR="00F410F5">
        <w:t xml:space="preserve">provided for the reversibility </w:t>
      </w:r>
      <w:r w:rsidR="00C84AAF">
        <w:t xml:space="preserve">at any time of </w:t>
      </w:r>
      <w:r w:rsidR="006F3DA5">
        <w:t xml:space="preserve">this decision. The author submits that this was </w:t>
      </w:r>
      <w:r w:rsidR="00DE64CA">
        <w:t xml:space="preserve">not </w:t>
      </w:r>
      <w:r w:rsidR="006F3DA5">
        <w:t xml:space="preserve">sought. </w:t>
      </w:r>
      <w:r w:rsidR="00C67A29">
        <w:t xml:space="preserve">Section 69.1 (5) of the Immigration </w:t>
      </w:r>
      <w:r w:rsidR="001713E7">
        <w:t xml:space="preserve">Act </w:t>
      </w:r>
      <w:r w:rsidR="00C67A29">
        <w:t>in force at the time also provided for the exclusion of the author during the hearing concerning his refugee claim.</w:t>
      </w:r>
      <w:r w:rsidR="009255B3">
        <w:t xml:space="preserve"> </w:t>
      </w:r>
      <w:r w:rsidR="00A834C0">
        <w:t xml:space="preserve">The author argues that the </w:t>
      </w:r>
      <w:r w:rsidR="0007017F">
        <w:t xml:space="preserve">State party could have </w:t>
      </w:r>
      <w:r w:rsidR="001713E7">
        <w:t xml:space="preserve">additionally </w:t>
      </w:r>
      <w:r w:rsidR="0007017F">
        <w:t>sought to vacate the author’s refugee determination by the Refugee Division and Refugee Board, as provided by section 109 (1) of the IRPA, which states</w:t>
      </w:r>
      <w:r w:rsidR="0084535E">
        <w:t xml:space="preserve"> that</w:t>
      </w:r>
      <w:r w:rsidR="0007017F">
        <w:t xml:space="preserve"> </w:t>
      </w:r>
      <w:r w:rsidR="0084535E">
        <w:t xml:space="preserve">“the Refugee Protection Division may, on application by the Minister, vacate a decision to allow a claim for refugee protection, if it finds that the decision was obtained as a result of directly or indirectly misrepresenting or withholding material facts relating to a relevant matter”. </w:t>
      </w:r>
      <w:r w:rsidR="001713E7">
        <w:t>S</w:t>
      </w:r>
      <w:r w:rsidR="006323CB">
        <w:t xml:space="preserve">ection 69.2 (2) of the </w:t>
      </w:r>
      <w:r w:rsidR="001713E7">
        <w:t xml:space="preserve">previous legislation included a similar provision. </w:t>
      </w:r>
      <w:r w:rsidR="003176AF">
        <w:t>Even if it were to be assumed that something was subsequently discovered, the author argues that this could have only resulted because of the problematic lack of due diligence on the part of the Canada Border Services Agency, as he never attempted to hid</w:t>
      </w:r>
      <w:r w:rsidR="00A64B9D">
        <w:t>e</w:t>
      </w:r>
      <w:r w:rsidR="003176AF">
        <w:t xml:space="preserve"> the extent of his involvement in MQM and MQM-H</w:t>
      </w:r>
      <w:r w:rsidR="003D4F4D">
        <w:t xml:space="preserve">. </w:t>
      </w:r>
    </w:p>
    <w:p w14:paraId="4EF47E3E" w14:textId="1E44DD93" w:rsidR="009F7AC3" w:rsidRDefault="009F7AC3" w:rsidP="009C3BD9">
      <w:pPr>
        <w:pStyle w:val="SingleTxtG"/>
      </w:pPr>
      <w:r>
        <w:lastRenderedPageBreak/>
        <w:t>7.4</w:t>
      </w:r>
      <w:r w:rsidR="003176AF">
        <w:tab/>
      </w:r>
      <w:r w:rsidR="00A044BB">
        <w:t xml:space="preserve">The author submits that it is the first time that the State party informs that the decisions to deny him permanent residence and Ministerial relief </w:t>
      </w:r>
      <w:r w:rsidR="00956CA5">
        <w:t>w</w:t>
      </w:r>
      <w:r w:rsidR="00AD5453">
        <w:t>ere</w:t>
      </w:r>
      <w:r w:rsidR="00956CA5">
        <w:t xml:space="preserve"> based on “subsequently discovered evidence”. The State party never </w:t>
      </w:r>
      <w:r w:rsidR="0016566D">
        <w:t xml:space="preserve">suggested this in its </w:t>
      </w:r>
      <w:r w:rsidR="00D54F29">
        <w:t xml:space="preserve">initial </w:t>
      </w:r>
      <w:r w:rsidR="0016566D">
        <w:t>observations on the</w:t>
      </w:r>
      <w:r w:rsidR="00D54F29">
        <w:t xml:space="preserve"> admissibility and merits of the</w:t>
      </w:r>
      <w:r w:rsidR="0016566D">
        <w:t xml:space="preserve"> communication</w:t>
      </w:r>
      <w:r w:rsidR="00D54F29">
        <w:t xml:space="preserve"> </w:t>
      </w:r>
      <w:r w:rsidR="00DA0818">
        <w:t>and neither was this mentioned in the decisions reject</w:t>
      </w:r>
      <w:r w:rsidR="00734AA0">
        <w:t>ing</w:t>
      </w:r>
      <w:r w:rsidR="00DA0818">
        <w:t xml:space="preserve"> the author’s applications for permanent residence and Ministerial relief. Although the Committee should not substitute its views for the judgement of domestic decision makers, </w:t>
      </w:r>
      <w:r w:rsidR="00AD5453">
        <w:t>this</w:t>
      </w:r>
      <w:r w:rsidR="00DA0818">
        <w:t xml:space="preserve"> is a new fact which was not assessed at the domestic level. </w:t>
      </w:r>
    </w:p>
    <w:p w14:paraId="042EEAD4" w14:textId="74C8F1F6" w:rsidR="00DA0818" w:rsidRDefault="00DA0818" w:rsidP="009C3BD9">
      <w:pPr>
        <w:pStyle w:val="SingleTxtG"/>
      </w:pPr>
      <w:r>
        <w:t>7.5</w:t>
      </w:r>
      <w:r w:rsidR="00AD5453">
        <w:tab/>
        <w:t xml:space="preserve">The author argues that the State party is mistaken and </w:t>
      </w:r>
      <w:r w:rsidR="008E096F">
        <w:t xml:space="preserve">that </w:t>
      </w:r>
      <w:r w:rsidR="00AD5453">
        <w:t>there was no subsequent discovery of his involvement in the MQM and MQM-H but only differing a</w:t>
      </w:r>
      <w:r w:rsidR="00BA21C8">
        <w:t xml:space="preserve">ppreciation by different components of the State of already known facts. </w:t>
      </w:r>
      <w:r w:rsidR="00980D9C">
        <w:t xml:space="preserve">This change in appreciation can only be due to the failure of a senior immigration officer at the time of the eligibility determination of the author to ask relevant questions and appreciate his answers regarding his refugee claim, and that the Minister chose not to intervene in the claim. </w:t>
      </w:r>
      <w:r w:rsidR="00743D17">
        <w:t>The author alleges that</w:t>
      </w:r>
      <w:r w:rsidR="00654E38">
        <w:t xml:space="preserve"> the different appreciation at different times by different components of the State party</w:t>
      </w:r>
      <w:r w:rsidR="00743D17">
        <w:t xml:space="preserve"> </w:t>
      </w:r>
      <w:r w:rsidR="00654E38">
        <w:t xml:space="preserve">is arbitrary treatment permitted by the State party’s legal system, which is why he is seeking international recourse.   </w:t>
      </w:r>
      <w:r w:rsidR="00743D17">
        <w:t xml:space="preserve"> </w:t>
      </w:r>
    </w:p>
    <w:p w14:paraId="09EE29F4" w14:textId="26406C12" w:rsidR="00DA0818" w:rsidRPr="00E43283" w:rsidRDefault="00DA0818" w:rsidP="009C3BD9">
      <w:pPr>
        <w:pStyle w:val="SingleTxtG"/>
      </w:pPr>
      <w:r>
        <w:t>7.6</w:t>
      </w:r>
      <w:r>
        <w:tab/>
      </w:r>
      <w:r w:rsidR="003D4F4D">
        <w:t xml:space="preserve">The author refutes that he benefited from an oral hearing before the Immigration Division and Immigration Appeal Division leading to his inadmissibility finding and submits that he did not have an oral hearing before the Immigration Appeal Division. </w:t>
      </w:r>
      <w:r w:rsidR="00291A22">
        <w:t xml:space="preserve">His counsel’s request for an oral hearing at the time had been denied. His subsequent counsel </w:t>
      </w:r>
      <w:r w:rsidR="00BD1F26">
        <w:t xml:space="preserve">proceeded without an oral hearing, but on the understanding that the issue of the author’s credibility would </w:t>
      </w:r>
      <w:r w:rsidR="00734AA0">
        <w:t xml:space="preserve">not </w:t>
      </w:r>
      <w:r w:rsidR="00BD1F26">
        <w:t>be raised as an issue</w:t>
      </w:r>
      <w:r w:rsidR="00C3045A">
        <w:t xml:space="preserve"> without an oral hearing</w:t>
      </w:r>
      <w:r w:rsidR="00BD1F26">
        <w:t xml:space="preserve">. </w:t>
      </w:r>
      <w:r w:rsidR="00874B9B">
        <w:t>The author submits that t</w:t>
      </w:r>
      <w:r w:rsidR="003D4F4D">
        <w:t>h</w:t>
      </w:r>
      <w:r w:rsidR="00734AA0">
        <w:t>e State party’s</w:t>
      </w:r>
      <w:r w:rsidR="003D4F4D">
        <w:t xml:space="preserve"> mistake </w:t>
      </w:r>
      <w:r w:rsidR="00BD1F26">
        <w:t xml:space="preserve">regarding the facts of the proceedings </w:t>
      </w:r>
      <w:r w:rsidR="00120CFB">
        <w:t>is incontestable</w:t>
      </w:r>
      <w:r w:rsidR="001518EB">
        <w:t xml:space="preserve">. </w:t>
      </w:r>
      <w:r w:rsidR="009523F7">
        <w:t>He rejects the State party’s submission that an oral hearing was not needed during the Ministerial relief process. He claims that an adverse finding regarding his credibility at the level of the Immigration Appeal Division without holding an oral hearing</w:t>
      </w:r>
      <w:r w:rsidR="00866418">
        <w:t>,</w:t>
      </w:r>
      <w:r w:rsidR="009523F7">
        <w:t xml:space="preserve"> amounts to a denial of justice. Subsequent determinations relying on this unjust determination were therefore also unjust. </w:t>
      </w:r>
    </w:p>
    <w:p w14:paraId="4E742D29" w14:textId="6907F92A" w:rsidR="002A00EF" w:rsidRDefault="00DA0818" w:rsidP="00BD1F26">
      <w:pPr>
        <w:pStyle w:val="SingleTxtG"/>
      </w:pPr>
      <w:r>
        <w:t>7.7</w:t>
      </w:r>
      <w:r w:rsidR="00BD1F26">
        <w:tab/>
      </w:r>
      <w:r w:rsidR="009523F7">
        <w:t xml:space="preserve">With regard to the possibility for the author to apply at any time for Ministerial relief, the author </w:t>
      </w:r>
      <w:r w:rsidR="00716E07">
        <w:t>responds that this proceeding is lengthy</w:t>
      </w:r>
      <w:r w:rsidR="00AC16A6">
        <w:t>;</w:t>
      </w:r>
      <w:r w:rsidR="00716E07">
        <w:t xml:space="preserve"> his own application took </w:t>
      </w:r>
      <w:r w:rsidR="00AC16A6">
        <w:t>some</w:t>
      </w:r>
      <w:r w:rsidR="00716E07">
        <w:t xml:space="preserve"> ten years. He argues that there is no obligation to exhaust </w:t>
      </w:r>
      <w:r w:rsidR="005F098B">
        <w:t xml:space="preserve">unreasonably delayed or discretionary </w:t>
      </w:r>
      <w:r w:rsidR="00716E07">
        <w:t xml:space="preserve">remedies. </w:t>
      </w:r>
      <w:r w:rsidR="00920C39">
        <w:t xml:space="preserve">A reapplication for Ministerial relief or permanent residence would also be a futile remedy, as it would involve essentially the same facts. </w:t>
      </w:r>
    </w:p>
    <w:p w14:paraId="4E2FD428" w14:textId="4332A9A6" w:rsidR="00BD1F26" w:rsidRDefault="002A00EF" w:rsidP="00BD1F26">
      <w:pPr>
        <w:pStyle w:val="SingleTxtG"/>
      </w:pPr>
      <w:r>
        <w:t>7.8</w:t>
      </w:r>
      <w:r>
        <w:tab/>
        <w:t xml:space="preserve">The author refutes that his communication is </w:t>
      </w:r>
      <w:proofErr w:type="gramStart"/>
      <w:r>
        <w:t>in the nature of an</w:t>
      </w:r>
      <w:proofErr w:type="gramEnd"/>
      <w:r>
        <w:t xml:space="preserve"> appeal. He reiterates that h</w:t>
      </w:r>
      <w:r w:rsidR="00874B9B">
        <w:t>e is</w:t>
      </w:r>
      <w:r>
        <w:t xml:space="preserve"> claiming violations of the Covenant as the evaluation by domestic authorities was arbitrary and unjust.</w:t>
      </w:r>
    </w:p>
    <w:p w14:paraId="799F112E" w14:textId="5BF76121" w:rsidR="00DA0818" w:rsidRDefault="00DA0818" w:rsidP="009C3BD9">
      <w:pPr>
        <w:pStyle w:val="SingleTxtG"/>
      </w:pPr>
      <w:r>
        <w:t>7.</w:t>
      </w:r>
      <w:r w:rsidR="002A00EF">
        <w:t>9</w:t>
      </w:r>
      <w:r>
        <w:tab/>
      </w:r>
      <w:r w:rsidR="008E096F">
        <w:t>T</w:t>
      </w:r>
      <w:r w:rsidR="00F84357">
        <w:t xml:space="preserve">he author points to the similarity of </w:t>
      </w:r>
      <w:r w:rsidR="008E096F">
        <w:t xml:space="preserve">article 17 of the Covenant </w:t>
      </w:r>
      <w:r w:rsidR="00F84357">
        <w:t xml:space="preserve">with article 8 of the European Convention on Human Rights, and that the European Court of Human Rights has found that </w:t>
      </w:r>
      <w:r w:rsidR="000D1F12">
        <w:t>any type of residence granted must enable the exercise of the right to private and family life.</w:t>
      </w:r>
      <w:r w:rsidR="00D64F61">
        <w:rPr>
          <w:rStyle w:val="FootnoteReference"/>
        </w:rPr>
        <w:t xml:space="preserve"> </w:t>
      </w:r>
      <w:r w:rsidR="00D64F61">
        <w:t>Measures restricting residence in a country could entail a violation of article 8 of the European Convention if they create disproportionate impact on the private or family life of an individual.</w:t>
      </w:r>
      <w:r w:rsidR="00D64F61">
        <w:rPr>
          <w:rStyle w:val="FootnoteReference"/>
        </w:rPr>
        <w:footnoteReference w:id="8"/>
      </w:r>
      <w:r w:rsidR="00F67D29">
        <w:t xml:space="preserve"> </w:t>
      </w:r>
      <w:r w:rsidR="00D52E4A">
        <w:t xml:space="preserve">In his case, the measures taken by the State party to restrict the form of his residence in Canada have entailed a violation of article 17 of the Covenant, because it has created disproportionate repercussions on his home, private and family life. </w:t>
      </w:r>
      <w:r w:rsidR="002D0C12">
        <w:t xml:space="preserve">The interference with his home is arbitrary, not in the sense that it is unlawful according to the State party’s laws, but </w:t>
      </w:r>
      <w:r w:rsidR="00214503">
        <w:t xml:space="preserve">that it was unreasonable in his circumstances. </w:t>
      </w:r>
    </w:p>
    <w:p w14:paraId="79F882FA" w14:textId="7324C483" w:rsidR="0037433F" w:rsidRPr="00644F2D" w:rsidRDefault="0037433F" w:rsidP="009C3BD9">
      <w:pPr>
        <w:pStyle w:val="SingleTxtG"/>
      </w:pPr>
      <w:r>
        <w:t>7.10</w:t>
      </w:r>
      <w:r>
        <w:tab/>
      </w:r>
      <w:r w:rsidR="008E096F">
        <w:t>The author submits that</w:t>
      </w:r>
      <w:r w:rsidR="00AA7664">
        <w:t xml:space="preserve"> General Comment No. 15</w:t>
      </w:r>
      <w:r w:rsidR="008E096F">
        <w:t xml:space="preserve"> </w:t>
      </w:r>
      <w:r w:rsidR="00AA7664">
        <w:t>supports his interpretations of articles 7 and 17</w:t>
      </w:r>
      <w:r w:rsidR="00484FDF">
        <w:t xml:space="preserve"> by suggesting that “in certain circumstances an alien may enjoy the protection of the Covenant even in relation to entry or residence, for example, when consideration of non-discrimination, prohibition of inhuman treatment and respect for family life arise.”</w:t>
      </w:r>
      <w:r w:rsidR="00484FDF">
        <w:rPr>
          <w:rStyle w:val="FootnoteReference"/>
        </w:rPr>
        <w:footnoteReference w:id="9"/>
      </w:r>
      <w:r w:rsidR="00484FDF">
        <w:t xml:space="preserve"> He argues that he is entitled to protection under the Covenant as such circumstances arise in his case. </w:t>
      </w:r>
    </w:p>
    <w:p w14:paraId="4FB35AB1" w14:textId="2FBB09DE" w:rsidR="00644F2D" w:rsidRDefault="00644F2D" w:rsidP="009C3BD9">
      <w:pPr>
        <w:pStyle w:val="SingleTxtG"/>
        <w:rPr>
          <w:b/>
          <w:bCs/>
        </w:rPr>
      </w:pPr>
      <w:r>
        <w:rPr>
          <w:b/>
          <w:bCs/>
        </w:rPr>
        <w:lastRenderedPageBreak/>
        <w:t xml:space="preserve">State party’s additional observations </w:t>
      </w:r>
    </w:p>
    <w:p w14:paraId="281C9031" w14:textId="5D3E276F" w:rsidR="00644F2D" w:rsidRDefault="00644F2D" w:rsidP="00644F2D">
      <w:pPr>
        <w:pStyle w:val="SingleTxtG"/>
      </w:pPr>
      <w:r w:rsidRPr="00CC0E05">
        <w:t>8.1</w:t>
      </w:r>
      <w:r w:rsidR="00633066" w:rsidRPr="00CC0E05">
        <w:tab/>
      </w:r>
      <w:r w:rsidR="00CC0E05" w:rsidRPr="00CC0E05">
        <w:t>In a note verbale dated</w:t>
      </w:r>
      <w:r w:rsidR="00CC0E05">
        <w:t xml:space="preserve"> 29 November 2019, the State party submitted additional observations. </w:t>
      </w:r>
      <w:r w:rsidR="00433DB2">
        <w:t xml:space="preserve">It maintains that </w:t>
      </w:r>
      <w:r w:rsidR="00EB19EE">
        <w:t xml:space="preserve">it is entitled to take seriously </w:t>
      </w:r>
      <w:r w:rsidR="002045D0">
        <w:t>the author’</w:t>
      </w:r>
      <w:r w:rsidR="00EB19EE">
        <w:t xml:space="preserve">s membership in an organization that has committed political violence and that he remained in such organization for over 11 years while being aware, as an educated adult, of the violence taking place. </w:t>
      </w:r>
    </w:p>
    <w:p w14:paraId="60EAB17B" w14:textId="4BA4D6C5" w:rsidR="00EB19EE" w:rsidRDefault="00EB19EE" w:rsidP="00644F2D">
      <w:pPr>
        <w:pStyle w:val="SingleTxtG"/>
      </w:pPr>
      <w:r>
        <w:t>8.2</w:t>
      </w:r>
      <w:r>
        <w:tab/>
        <w:t xml:space="preserve">The State party observes that the author’s complaint seems to </w:t>
      </w:r>
      <w:r w:rsidR="00AE2279">
        <w:t xml:space="preserve">be that he should have been found inadmissible at an earliest opportunity, or that he should have been excluded from refugee status. The State party submits that it has absolute discretion over the enforcement of its immigration laws. </w:t>
      </w:r>
      <w:r w:rsidR="003E4AF6">
        <w:t>The author has no right in domestic or international</w:t>
      </w:r>
      <w:r w:rsidR="006F7F05">
        <w:t xml:space="preserve"> law</w:t>
      </w:r>
      <w:r w:rsidR="003E4AF6">
        <w:t xml:space="preserve"> to dictate what enforcement steps it takes, and when. It further submits that the timing of its enforcement proceedings does not constitute arbitrary treatment, as opposed to what the author suggests. </w:t>
      </w:r>
    </w:p>
    <w:p w14:paraId="382644CB" w14:textId="77777777" w:rsidR="00627A69" w:rsidRDefault="003E4AF6" w:rsidP="00644F2D">
      <w:pPr>
        <w:pStyle w:val="SingleTxtG"/>
      </w:pPr>
      <w:r>
        <w:t>8.3</w:t>
      </w:r>
      <w:r>
        <w:tab/>
      </w:r>
      <w:r w:rsidR="00C62DF0">
        <w:t>The State party rejects the author’s unfounded attempt to character his case as an issue of “subsequently discovered evidence”. It reiterates that the author’s involvement was discovered during his security screening leading to the inadmissibility proceedings</w:t>
      </w:r>
      <w:r w:rsidR="008D68A4">
        <w:t xml:space="preserve">. He was apprised of this evidence against him and was able to testify orally and provide submissions in response. </w:t>
      </w:r>
      <w:r w:rsidR="00627A69">
        <w:t xml:space="preserve">The State party does not rely on any new evidence. </w:t>
      </w:r>
    </w:p>
    <w:p w14:paraId="0A52C347" w14:textId="14084FA9" w:rsidR="003E4AF6" w:rsidRDefault="00627A69" w:rsidP="00644F2D">
      <w:pPr>
        <w:pStyle w:val="SingleTxtG"/>
      </w:pPr>
      <w:r>
        <w:t>8.4</w:t>
      </w:r>
      <w:r>
        <w:tab/>
        <w:t>With regard to the author’s allegation, that he did not have an oral hearing before the Immigration Appeal Division</w:t>
      </w:r>
      <w:r w:rsidR="00E40213">
        <w:t xml:space="preserve">, the State party points to the decision of the Immigration Appeal Decision indicating that there was an oral hearing, but that no witnesses were called by the parties. It submits that when the Board members resigned before issuing a decision, a new hearing was ordered, and it is only this second hearing of the Immigration Appeal Division which proceeded in writing. </w:t>
      </w:r>
    </w:p>
    <w:p w14:paraId="163C6A7B" w14:textId="28E33E22" w:rsidR="006854B3" w:rsidRDefault="00E40213" w:rsidP="00644F2D">
      <w:pPr>
        <w:pStyle w:val="SingleTxtG"/>
      </w:pPr>
      <w:r>
        <w:t>8.5</w:t>
      </w:r>
      <w:r>
        <w:tab/>
      </w:r>
      <w:r w:rsidR="005F39A3">
        <w:t>The State party further points to a fundamental inconsistency in the author’s story</w:t>
      </w:r>
      <w:r w:rsidR="006854B3">
        <w:t xml:space="preserve">. In support of his refugee protection claim, the author </w:t>
      </w:r>
      <w:r w:rsidR="00F23A81">
        <w:t xml:space="preserve">had </w:t>
      </w:r>
      <w:r w:rsidR="006854B3">
        <w:t>submitted that he fled Pakistan because, as a member of MQM-H, he feared political violence in the hands of MQM-A and the police</w:t>
      </w:r>
      <w:r w:rsidR="00F23A81">
        <w:t>. He had also</w:t>
      </w:r>
      <w:r w:rsidR="006854B3">
        <w:t xml:space="preserve"> provided details in his claim of such political violence. However, the State party observes that in his communication to the Committee, the author wrote that he had no knowledge of any violence – let alone terrorism- deliberately and purposely pursued by the organization. </w:t>
      </w:r>
      <w:r w:rsidR="006B12FB">
        <w:t>The State party submits that</w:t>
      </w:r>
      <w:r w:rsidR="00F23A81">
        <w:t>,</w:t>
      </w:r>
      <w:r w:rsidR="006B12FB">
        <w:t xml:space="preserve"> it was not determinative in the decision denying </w:t>
      </w:r>
      <w:r w:rsidR="00F23A81">
        <w:t>him</w:t>
      </w:r>
      <w:r w:rsidR="006B12FB">
        <w:t xml:space="preserve"> Ministerial relief </w:t>
      </w:r>
      <w:proofErr w:type="gramStart"/>
      <w:r w:rsidR="006B12FB">
        <w:t>whether or not</w:t>
      </w:r>
      <w:proofErr w:type="gramEnd"/>
      <w:r w:rsidR="006B12FB">
        <w:t xml:space="preserve"> </w:t>
      </w:r>
      <w:r w:rsidR="00F57AED">
        <w:t xml:space="preserve">he had been credible in purporting that he was not aware that this violence constituted terrorism. </w:t>
      </w:r>
      <w:r w:rsidR="00684BE9">
        <w:t xml:space="preserve">It was his long-term membership in an organisation committing political violence which was determinative. </w:t>
      </w:r>
    </w:p>
    <w:p w14:paraId="1DE4CC74" w14:textId="5483AD4C" w:rsidR="00E40213" w:rsidRPr="00DF7823" w:rsidRDefault="00F44616" w:rsidP="00644F2D">
      <w:pPr>
        <w:pStyle w:val="SingleTxtG"/>
      </w:pPr>
      <w:r>
        <w:t>8.6</w:t>
      </w:r>
      <w:r>
        <w:tab/>
      </w:r>
      <w:r w:rsidR="00DF7823">
        <w:t xml:space="preserve">The State party reiterates that the communication should be declared inadmissible </w:t>
      </w:r>
      <w:proofErr w:type="spellStart"/>
      <w:r w:rsidR="00DF7823">
        <w:rPr>
          <w:i/>
          <w:iCs/>
        </w:rPr>
        <w:t>ratione</w:t>
      </w:r>
      <w:proofErr w:type="spellEnd"/>
      <w:r w:rsidR="00DF7823">
        <w:rPr>
          <w:i/>
          <w:iCs/>
        </w:rPr>
        <w:t xml:space="preserve"> </w:t>
      </w:r>
      <w:proofErr w:type="spellStart"/>
      <w:r w:rsidR="00DF7823">
        <w:rPr>
          <w:i/>
          <w:iCs/>
        </w:rPr>
        <w:t>materiae</w:t>
      </w:r>
      <w:proofErr w:type="spellEnd"/>
      <w:r w:rsidR="00DF7823">
        <w:rPr>
          <w:i/>
          <w:iCs/>
        </w:rPr>
        <w:t xml:space="preserve"> </w:t>
      </w:r>
      <w:r w:rsidR="00DF7823">
        <w:t>and for lack substantiation. The author’s feelings resulting from the uncertainty of his immigration status do not rise anywhere near the level of mental suffer</w:t>
      </w:r>
      <w:r w:rsidR="003D6781">
        <w:t>ing</w:t>
      </w:r>
      <w:r w:rsidR="00DF7823">
        <w:t xml:space="preserve"> required</w:t>
      </w:r>
      <w:r w:rsidR="003D6781">
        <w:t xml:space="preserve"> to constitute a violation of article 7 of the Covenant. The State party reiterates that the author fails to establish a violation of article 17 of the Covenant, as he has admitted </w:t>
      </w:r>
      <w:proofErr w:type="gramStart"/>
      <w:r w:rsidR="003D6781">
        <w:t>to be</w:t>
      </w:r>
      <w:proofErr w:type="gramEnd"/>
      <w:r w:rsidR="003D6781">
        <w:t xml:space="preserve"> able to work in Canada, to have romantic relationships, to participate in social activities and to remain close to his sister who also resides in Canada.</w:t>
      </w:r>
      <w:r w:rsidR="009A0A71">
        <w:t xml:space="preserve"> </w:t>
      </w:r>
    </w:p>
    <w:p w14:paraId="0082EE30" w14:textId="51246F39" w:rsidR="00675A2F" w:rsidRPr="00675A2F" w:rsidRDefault="007824D6" w:rsidP="00DE1799">
      <w:pPr>
        <w:pStyle w:val="H23G"/>
        <w:ind w:left="0" w:firstLine="0"/>
      </w:pPr>
      <w:r w:rsidRPr="00CC0E05">
        <w:rPr>
          <w:lang w:eastAsia="en-AU"/>
        </w:rPr>
        <w:tab/>
      </w:r>
      <w:r w:rsidR="00D14E5C" w:rsidRPr="00CC0E05">
        <w:tab/>
      </w:r>
      <w:r w:rsidR="00596890" w:rsidRPr="00F74CE6">
        <w:t>Issues and proceedings before the Committee</w:t>
      </w:r>
    </w:p>
    <w:p w14:paraId="53B47E39" w14:textId="77777777" w:rsidR="00596890" w:rsidRPr="00D14E5C" w:rsidRDefault="00596890" w:rsidP="00B5549E">
      <w:pPr>
        <w:pStyle w:val="H4G"/>
        <w:rPr>
          <w:lang w:val="en-US"/>
        </w:rPr>
      </w:pPr>
      <w:r w:rsidRPr="00D14E5C">
        <w:rPr>
          <w:lang w:val="en-US"/>
        </w:rPr>
        <w:tab/>
      </w:r>
      <w:r w:rsidRPr="00D14E5C">
        <w:rPr>
          <w:lang w:val="en-US"/>
        </w:rPr>
        <w:tab/>
      </w:r>
      <w:r w:rsidRPr="00B5549E">
        <w:t>Consideration</w:t>
      </w:r>
      <w:r w:rsidRPr="00D14E5C">
        <w:rPr>
          <w:lang w:val="en-US"/>
        </w:rPr>
        <w:t xml:space="preserve"> of </w:t>
      </w:r>
      <w:r w:rsidRPr="00B5549E">
        <w:t>admissibility</w:t>
      </w:r>
    </w:p>
    <w:p w14:paraId="4E5B3F3A" w14:textId="657E1A24" w:rsidR="00596890" w:rsidRPr="00D14E5C" w:rsidRDefault="00644F2D" w:rsidP="00D126F4">
      <w:pPr>
        <w:pStyle w:val="SingleTxtG"/>
        <w:rPr>
          <w:lang w:val="en-US"/>
        </w:rPr>
      </w:pPr>
      <w:r>
        <w:rPr>
          <w:lang w:val="en-US"/>
        </w:rPr>
        <w:t>9</w:t>
      </w:r>
      <w:r w:rsidR="00596890" w:rsidRPr="00D14E5C">
        <w:rPr>
          <w:lang w:val="en-US"/>
        </w:rPr>
        <w:t>.1</w:t>
      </w:r>
      <w:r w:rsidR="00596890" w:rsidRPr="00D14E5C">
        <w:rPr>
          <w:lang w:val="en-US"/>
        </w:rPr>
        <w:tab/>
        <w:t xml:space="preserve">Before considering any claim contained </w:t>
      </w:r>
      <w:r w:rsidR="00596890" w:rsidRPr="00D14E5C">
        <w:t>in</w:t>
      </w:r>
      <w:r w:rsidR="00596890" w:rsidRPr="00D14E5C">
        <w:rPr>
          <w:lang w:val="en-US"/>
        </w:rPr>
        <w:t xml:space="preserve"> a communication, the Committee must decide, in accordance with rule 97 of its rules of procedure, whether the communication is admissible under the Optional Protocol.</w:t>
      </w:r>
    </w:p>
    <w:p w14:paraId="26A3E124" w14:textId="217589E9" w:rsidR="00015B09" w:rsidRDefault="00644F2D" w:rsidP="00DE4781">
      <w:pPr>
        <w:pStyle w:val="SingleTxtG"/>
        <w:rPr>
          <w:rFonts w:eastAsia="Times New Roman"/>
          <w:lang w:eastAsia="en-US"/>
        </w:rPr>
      </w:pPr>
      <w:r>
        <w:rPr>
          <w:lang w:val="en-US"/>
        </w:rPr>
        <w:t>9</w:t>
      </w:r>
      <w:r w:rsidR="00542635">
        <w:rPr>
          <w:lang w:val="en-US"/>
        </w:rPr>
        <w:t>.2</w:t>
      </w:r>
      <w:r w:rsidR="00DE4781" w:rsidRPr="00D14E5C">
        <w:rPr>
          <w:rFonts w:eastAsia="Times New Roman"/>
          <w:lang w:eastAsia="en-US"/>
        </w:rPr>
        <w:tab/>
      </w:r>
      <w:r w:rsidR="00760725" w:rsidRPr="008E51C6">
        <w:rPr>
          <w:rFonts w:eastAsia="Times New Roman"/>
          <w:lang w:eastAsia="en-US"/>
        </w:rPr>
        <w:t>The Committee has ascertained, as required under article 5 (2) (a) of the Optional Protocol, that the same matter is not being examined under another procedure of international investigation or settlement.</w:t>
      </w:r>
      <w:r w:rsidR="0007017F">
        <w:rPr>
          <w:rFonts w:eastAsia="Times New Roman"/>
          <w:lang w:eastAsia="en-US"/>
        </w:rPr>
        <w:t xml:space="preserve"> </w:t>
      </w:r>
    </w:p>
    <w:p w14:paraId="0CB94E78" w14:textId="58DB9EB5" w:rsidR="009C3BD9" w:rsidRDefault="00644F2D" w:rsidP="009C3BD9">
      <w:pPr>
        <w:pStyle w:val="SingleTxtG"/>
      </w:pPr>
      <w:r>
        <w:rPr>
          <w:rFonts w:eastAsia="Times New Roman"/>
          <w:lang w:eastAsia="en-US"/>
        </w:rPr>
        <w:t>9</w:t>
      </w:r>
      <w:r w:rsidR="00015B09">
        <w:rPr>
          <w:rFonts w:eastAsia="Times New Roman"/>
          <w:lang w:eastAsia="en-US"/>
        </w:rPr>
        <w:t>.3</w:t>
      </w:r>
      <w:r w:rsidR="00015B09">
        <w:rPr>
          <w:rFonts w:eastAsia="Times New Roman"/>
          <w:lang w:eastAsia="en-US"/>
        </w:rPr>
        <w:tab/>
      </w:r>
      <w:r w:rsidR="00B328E1">
        <w:t>The Committee notes the author’s claim that he has exhausted all effective domestic remedies available to him. In the absence of any objection by the State party in that connection, the Committee considers that it is not precluded from examining the communication under article 5 (2) (b) of the Optional Protocol.</w:t>
      </w:r>
    </w:p>
    <w:p w14:paraId="377BCAD2" w14:textId="14175EC7" w:rsidR="00751EAA" w:rsidRDefault="00B328E1" w:rsidP="00751EAA">
      <w:pPr>
        <w:pStyle w:val="SingleTxtG"/>
      </w:pPr>
      <w:r>
        <w:lastRenderedPageBreak/>
        <w:t>9.4</w:t>
      </w:r>
      <w:r>
        <w:tab/>
      </w:r>
      <w:r w:rsidR="00351467">
        <w:t xml:space="preserve">The Committee notes the State party’s argument that the communication is wholly inadmissible </w:t>
      </w:r>
      <w:proofErr w:type="spellStart"/>
      <w:r w:rsidR="00351467">
        <w:rPr>
          <w:i/>
          <w:iCs/>
        </w:rPr>
        <w:t>ratione</w:t>
      </w:r>
      <w:proofErr w:type="spellEnd"/>
      <w:r w:rsidR="00351467">
        <w:rPr>
          <w:i/>
          <w:iCs/>
        </w:rPr>
        <w:t xml:space="preserve"> </w:t>
      </w:r>
      <w:proofErr w:type="spellStart"/>
      <w:r w:rsidR="00351467">
        <w:rPr>
          <w:i/>
          <w:iCs/>
        </w:rPr>
        <w:t>materiae</w:t>
      </w:r>
      <w:proofErr w:type="spellEnd"/>
      <w:r w:rsidR="00351467">
        <w:rPr>
          <w:i/>
          <w:iCs/>
        </w:rPr>
        <w:t xml:space="preserve"> </w:t>
      </w:r>
      <w:r w:rsidR="00351467">
        <w:t>as the author is, in essence, claiming a right to residency that is not provided for under articles 7 and 17</w:t>
      </w:r>
      <w:r w:rsidR="00DC5AB1">
        <w:t xml:space="preserve"> (1)</w:t>
      </w:r>
      <w:r w:rsidR="00351467">
        <w:t xml:space="preserve"> of the Covenant. </w:t>
      </w:r>
      <w:r w:rsidR="00F36A64">
        <w:t xml:space="preserve">It also notes the State party’s argument </w:t>
      </w:r>
      <w:r w:rsidR="00D52C22">
        <w:t xml:space="preserve">that the author’s feeling of “limbo” does not constitute </w:t>
      </w:r>
      <w:r w:rsidR="00DC5AB1">
        <w:t xml:space="preserve">an act or </w:t>
      </w:r>
      <w:r w:rsidR="00D52C22">
        <w:t>treatment covered by article 7</w:t>
      </w:r>
      <w:r w:rsidR="001E077A">
        <w:t xml:space="preserve">. </w:t>
      </w:r>
      <w:r w:rsidR="009F67B7">
        <w:t>The Committee recalls its general comment No. 20 (1992) on the prohibition of torture or other cruel, inhuman or degrading treatment or punishment that the Covenant does not contain any definition of the concepts covered by article 7</w:t>
      </w:r>
      <w:r w:rsidR="00244F80">
        <w:t xml:space="preserve"> and that </w:t>
      </w:r>
      <w:r w:rsidR="00244F80" w:rsidRPr="00244F80">
        <w:t>the aim of th</w:t>
      </w:r>
      <w:r w:rsidR="00244F80">
        <w:t xml:space="preserve">is </w:t>
      </w:r>
      <w:r w:rsidR="00244F80" w:rsidRPr="00244F80">
        <w:t>provision</w:t>
      </w:r>
      <w:r w:rsidR="00244F80">
        <w:t xml:space="preserve"> </w:t>
      </w:r>
      <w:r w:rsidR="00244F80" w:rsidRPr="00244F80">
        <w:t>is to protect both the dignity and the physical and mental integrity of the individual against both intended and unintended harm.</w:t>
      </w:r>
      <w:r w:rsidR="00244F80">
        <w:rPr>
          <w:rStyle w:val="FootnoteReference"/>
        </w:rPr>
        <w:footnoteReference w:id="10"/>
      </w:r>
      <w:r w:rsidR="00244F80" w:rsidRPr="00244F80">
        <w:t xml:space="preserve"> </w:t>
      </w:r>
      <w:r w:rsidR="00244F80">
        <w:t xml:space="preserve">Insofar as the author’s claim </w:t>
      </w:r>
      <w:r w:rsidR="00751EAA">
        <w:t xml:space="preserve">concerns his alleged mental suffering resulting from the inability to accede to a permanent resident status in his personal </w:t>
      </w:r>
      <w:r w:rsidR="00D461D2">
        <w:t>circumstances</w:t>
      </w:r>
      <w:r w:rsidR="00751EAA">
        <w:t xml:space="preserve">, </w:t>
      </w:r>
      <w:r w:rsidR="00751EAA" w:rsidRPr="003027AE">
        <w:t>the Committee finds that article 3 of the Optional Protocol does not constitute a barrier to the admissibility of th</w:t>
      </w:r>
      <w:r w:rsidR="00751EAA">
        <w:t>e author’s claims under article 7 of the Covenant</w:t>
      </w:r>
      <w:r w:rsidR="00751EAA" w:rsidRPr="003027AE">
        <w:t>.</w:t>
      </w:r>
    </w:p>
    <w:p w14:paraId="24CF5C86" w14:textId="71D06704" w:rsidR="006D64D1" w:rsidRDefault="00244F80" w:rsidP="00457475">
      <w:pPr>
        <w:pStyle w:val="SingleTxtG"/>
      </w:pPr>
      <w:r>
        <w:t>9.5</w:t>
      </w:r>
      <w:r>
        <w:tab/>
      </w:r>
      <w:r w:rsidR="001E077A">
        <w:t>The Committee notes the State party’s argument that the notion of “home” under article 17 (1) does not refer to the country of residence and does not include a positive obligation to grant a certain immigration status. T</w:t>
      </w:r>
      <w:r w:rsidR="00EB0E8B">
        <w:t xml:space="preserve">he Committee recalls that </w:t>
      </w:r>
      <w:r w:rsidR="00D461D2">
        <w:t xml:space="preserve">the </w:t>
      </w:r>
      <w:r w:rsidR="00511D24">
        <w:t>term</w:t>
      </w:r>
      <w:r w:rsidR="00D461D2">
        <w:t xml:space="preserve"> “home”</w:t>
      </w:r>
      <w:r w:rsidR="00511D24">
        <w:t>, as used in article 17,</w:t>
      </w:r>
      <w:r w:rsidR="00D461D2">
        <w:t xml:space="preserve"> </w:t>
      </w:r>
      <w:r w:rsidR="00511D24" w:rsidRPr="00511D24">
        <w:t>is to be understood to indicate the place where a person resides or carries out his usual occupation</w:t>
      </w:r>
      <w:r w:rsidR="00511D24">
        <w:t>.</w:t>
      </w:r>
      <w:r w:rsidR="00511D24">
        <w:rPr>
          <w:rStyle w:val="FootnoteReference"/>
        </w:rPr>
        <w:footnoteReference w:id="11"/>
      </w:r>
      <w:r w:rsidR="00751EAA">
        <w:t xml:space="preserve"> </w:t>
      </w:r>
      <w:r>
        <w:t xml:space="preserve"> </w:t>
      </w:r>
      <w:r w:rsidR="00361B4D">
        <w:t>In these circumstances, the author’s claim</w:t>
      </w:r>
      <w:r w:rsidR="006D64D1">
        <w:t>s relating to the State party’s interference with</w:t>
      </w:r>
      <w:r w:rsidR="00457475">
        <w:t xml:space="preserve"> </w:t>
      </w:r>
      <w:r w:rsidR="0006736A">
        <w:t>the</w:t>
      </w:r>
      <w:r w:rsidR="00457475">
        <w:t xml:space="preserve"> right to his “home country”, un</w:t>
      </w:r>
      <w:r w:rsidR="00FE216C">
        <w:t xml:space="preserve">derstood </w:t>
      </w:r>
      <w:r w:rsidR="00457475">
        <w:t xml:space="preserve">as </w:t>
      </w:r>
      <w:r w:rsidR="0006736A">
        <w:t>the</w:t>
      </w:r>
      <w:r w:rsidR="00457475">
        <w:t xml:space="preserve"> country of residence</w:t>
      </w:r>
      <w:r w:rsidR="00FE216C">
        <w:t xml:space="preserve"> in his case</w:t>
      </w:r>
      <w:r w:rsidR="00457475">
        <w:t xml:space="preserve">, falls outside the scope </w:t>
      </w:r>
      <w:proofErr w:type="spellStart"/>
      <w:r w:rsidR="00457475">
        <w:rPr>
          <w:i/>
          <w:iCs/>
        </w:rPr>
        <w:t>ratione</w:t>
      </w:r>
      <w:proofErr w:type="spellEnd"/>
      <w:r w:rsidR="00457475">
        <w:rPr>
          <w:i/>
          <w:iCs/>
        </w:rPr>
        <w:t xml:space="preserve"> </w:t>
      </w:r>
      <w:proofErr w:type="spellStart"/>
      <w:r w:rsidR="00457475">
        <w:rPr>
          <w:i/>
          <w:iCs/>
        </w:rPr>
        <w:t>materiae</w:t>
      </w:r>
      <w:proofErr w:type="spellEnd"/>
      <w:r w:rsidR="00457475">
        <w:rPr>
          <w:i/>
          <w:iCs/>
        </w:rPr>
        <w:t xml:space="preserve"> </w:t>
      </w:r>
      <w:r w:rsidR="00457475">
        <w:t xml:space="preserve">of article 17 (1) of the Covenant. </w:t>
      </w:r>
      <w:r w:rsidR="006D64D1">
        <w:t>The Committee therefore declares th</w:t>
      </w:r>
      <w:r w:rsidR="00457475">
        <w:t>is</w:t>
      </w:r>
      <w:r w:rsidR="006D64D1">
        <w:t xml:space="preserve"> claim inadmissible under article 3 of the Optional Protocol as incompatible with the provisions of the Covenant.</w:t>
      </w:r>
    </w:p>
    <w:p w14:paraId="68EFCD07" w14:textId="4E670A61" w:rsidR="00681AF4" w:rsidRDefault="00244F80" w:rsidP="00681AF4">
      <w:pPr>
        <w:pStyle w:val="SingleTxtG"/>
      </w:pPr>
      <w:r>
        <w:t>9.6</w:t>
      </w:r>
      <w:r>
        <w:tab/>
      </w:r>
      <w:r w:rsidR="00681AF4">
        <w:t xml:space="preserve">The Committee notes the State party’s argument that the author’s claims are inadmissible because they are not sufficiently substantiated. The Committee </w:t>
      </w:r>
      <w:r w:rsidR="00681AF4">
        <w:rPr>
          <w:rFonts w:eastAsia="MS Mincho"/>
        </w:rPr>
        <w:t xml:space="preserve">notes the author’s claim that the State party’s decision not to grant him with </w:t>
      </w:r>
      <w:r w:rsidR="00681AF4">
        <w:t>permanent resident status constitutes cruel treatment causing him mental suffering because of the stress and fear of his temporary status</w:t>
      </w:r>
      <w:r w:rsidR="00681AF4">
        <w:rPr>
          <w:rFonts w:eastAsia="MS Mincho"/>
        </w:rPr>
        <w:t xml:space="preserve">. He claims that it </w:t>
      </w:r>
      <w:r w:rsidR="00681AF4">
        <w:t>has put him in a cruel limbo amounting to cruel treatment in violation of article 7 of the Covenant</w:t>
      </w:r>
      <w:r w:rsidR="00162210">
        <w:t>.</w:t>
      </w:r>
      <w:r w:rsidR="00681AF4">
        <w:rPr>
          <w:rFonts w:eastAsia="MS Mincho"/>
        </w:rPr>
        <w:t xml:space="preserve"> The Committee recalls that the Covenant does </w:t>
      </w:r>
      <w:r w:rsidR="00681AF4">
        <w:t>not contain any definition of the concepts covered by article 7, nor does the Committee consider it necessary to draw up a list of prohibited acts or to establish sharp distinctions between the different kinds of punishment or treatment; the distinctions depend on the nature, purpose and severity of the treatment applied.</w:t>
      </w:r>
      <w:r w:rsidR="00681AF4">
        <w:rPr>
          <w:rStyle w:val="FootnoteReference"/>
        </w:rPr>
        <w:footnoteReference w:id="12"/>
      </w:r>
      <w:r w:rsidR="00681AF4">
        <w:t xml:space="preserve"> </w:t>
      </w:r>
      <w:r w:rsidR="00681AF4">
        <w:rPr>
          <w:rFonts w:eastAsia="MS Mincho"/>
        </w:rPr>
        <w:t xml:space="preserve">It also recalls its jurisprudence under article 7 that </w:t>
      </w:r>
      <w:r w:rsidR="00681AF4">
        <w:t>the assessment of what constitutes inhuman or degrading treatment falling within the meaning of article 7 depends on all the circumstances of the case, such as the duration and manner of the treatment, its physical or mental effects as well as the sex, age and state of health of the victim.</w:t>
      </w:r>
      <w:r w:rsidR="00681AF4">
        <w:rPr>
          <w:rStyle w:val="FootnoteReference"/>
        </w:rPr>
        <w:footnoteReference w:id="13"/>
      </w:r>
      <w:r w:rsidR="00681AF4">
        <w:t xml:space="preserve"> Mental harm must therefore attain a certain threshold in order to constitute a violation of article 7 of the Covenant. In the present case, the Committee accepts that the author’s uncertain immigration status has caused him to suffer anguish and stress. However, </w:t>
      </w:r>
      <w:proofErr w:type="gramStart"/>
      <w:r w:rsidR="00681AF4">
        <w:t>in light of</w:t>
      </w:r>
      <w:proofErr w:type="gramEnd"/>
      <w:r w:rsidR="00681AF4">
        <w:t xml:space="preserve"> the facts in the present case, it does not consider that the State party’s decision to deny the author with permanent residence amounted to cruel treatment. The Committee further notes that the author’s claims regarding the alleged mental suffering caused by this decision are of a general nature and that he has not adduced any evidence to support his claims that the anguish and distress suffered was of such intense severity </w:t>
      </w:r>
      <w:proofErr w:type="gramStart"/>
      <w:r w:rsidR="00681AF4">
        <w:t>in order to</w:t>
      </w:r>
      <w:proofErr w:type="gramEnd"/>
      <w:r w:rsidR="00681AF4">
        <w:t xml:space="preserve"> fall within the scope of article 7 of the Covenant. It therefore considers that the author’s claim under article 7 of the Covenant is insufficiently substantiated and is therefore inadmissible under article 2 of the Optional Protocol. </w:t>
      </w:r>
    </w:p>
    <w:p w14:paraId="17C07855" w14:textId="0663E422" w:rsidR="00681AF4" w:rsidRDefault="00681AF4" w:rsidP="00681AF4">
      <w:pPr>
        <w:pStyle w:val="SingleTxtG"/>
      </w:pPr>
      <w:r>
        <w:t>9.7</w:t>
      </w:r>
      <w:r>
        <w:tab/>
      </w:r>
      <w:r w:rsidRPr="004442D2">
        <w:t>The Committee, however, considers that the author has sufficiently substantiated h</w:t>
      </w:r>
      <w:r>
        <w:t>is</w:t>
      </w:r>
      <w:r w:rsidRPr="004442D2">
        <w:t xml:space="preserve"> other claim </w:t>
      </w:r>
      <w:r>
        <w:t xml:space="preserve">with respect to the </w:t>
      </w:r>
      <w:r w:rsidR="00162210">
        <w:t xml:space="preserve">arbitrary interference with </w:t>
      </w:r>
      <w:r>
        <w:t xml:space="preserve">his family </w:t>
      </w:r>
      <w:r w:rsidRPr="004442D2">
        <w:t xml:space="preserve">under article </w:t>
      </w:r>
      <w:r>
        <w:t xml:space="preserve">17 (1) </w:t>
      </w:r>
      <w:r w:rsidRPr="004442D2">
        <w:t>of the Covenant for the purposes of admissibility and proceeds with its consideration of the merits</w:t>
      </w:r>
      <w:r>
        <w:t xml:space="preserve">. </w:t>
      </w:r>
    </w:p>
    <w:p w14:paraId="2C32D21B" w14:textId="77777777" w:rsidR="000A55A0" w:rsidRPr="000A55A0" w:rsidRDefault="000A55A0" w:rsidP="000A55A0">
      <w:pPr>
        <w:pStyle w:val="SingleTxtG"/>
        <w:rPr>
          <w:i/>
        </w:rPr>
      </w:pPr>
      <w:r w:rsidRPr="000A55A0">
        <w:rPr>
          <w:i/>
        </w:rPr>
        <w:t>Consideration of the merits</w:t>
      </w:r>
    </w:p>
    <w:p w14:paraId="34B32216" w14:textId="027B3894" w:rsidR="000A55A0" w:rsidRDefault="000A55A0" w:rsidP="000A55A0">
      <w:pPr>
        <w:pStyle w:val="SingleTxtG"/>
      </w:pPr>
      <w:r>
        <w:lastRenderedPageBreak/>
        <w:t>10.</w:t>
      </w:r>
      <w:r w:rsidR="005C12D9">
        <w:t>1</w:t>
      </w:r>
      <w:r w:rsidRPr="000A55A0">
        <w:tab/>
        <w:t>The Committee has considered the communication in the light of all the information submitted to it by the parties, in accordance with article 5 (1) of the Optional Protocol.</w:t>
      </w:r>
    </w:p>
    <w:p w14:paraId="367E6DBA" w14:textId="42F7AB18" w:rsidR="00D11837" w:rsidRDefault="000A55A0" w:rsidP="00D11837">
      <w:pPr>
        <w:pStyle w:val="SingleTxtG"/>
      </w:pPr>
      <w:r>
        <w:t>10.</w:t>
      </w:r>
      <w:r w:rsidR="005C12D9">
        <w:t>2</w:t>
      </w:r>
      <w:r>
        <w:tab/>
      </w:r>
      <w:r w:rsidR="00A5106A">
        <w:t xml:space="preserve">The author claims </w:t>
      </w:r>
      <w:r w:rsidR="00494937">
        <w:t xml:space="preserve">that by denying him permanent residence, </w:t>
      </w:r>
      <w:r w:rsidR="006C72EA">
        <w:t xml:space="preserve">the State party interfered with his </w:t>
      </w:r>
      <w:r w:rsidR="001B7340">
        <w:t>“</w:t>
      </w:r>
      <w:r w:rsidR="006C72EA">
        <w:t xml:space="preserve">right to </w:t>
      </w:r>
      <w:r w:rsidR="00BE2FA3">
        <w:t xml:space="preserve">the respect of his </w:t>
      </w:r>
      <w:r w:rsidR="00D826C9">
        <w:t>family</w:t>
      </w:r>
      <w:r w:rsidR="001B7340">
        <w:t>”</w:t>
      </w:r>
      <w:r w:rsidR="006C72EA">
        <w:t xml:space="preserve"> </w:t>
      </w:r>
      <w:r w:rsidR="0085516A">
        <w:t xml:space="preserve">in violation of article 17, </w:t>
      </w:r>
      <w:r w:rsidR="00621613">
        <w:t>a</w:t>
      </w:r>
      <w:r w:rsidR="00D826C9">
        <w:t xml:space="preserve">s </w:t>
      </w:r>
      <w:r w:rsidR="00621613">
        <w:t xml:space="preserve">the resulting uncertainty over his immigration status has </w:t>
      </w:r>
      <w:r w:rsidR="00494937">
        <w:t>put him in a cruel limbo</w:t>
      </w:r>
      <w:r w:rsidR="00621613">
        <w:t xml:space="preserve">. </w:t>
      </w:r>
      <w:r w:rsidR="00D11837">
        <w:t xml:space="preserve">It notes the State party’s argument that the author has admitted to </w:t>
      </w:r>
      <w:r w:rsidR="00D11837">
        <w:rPr>
          <w:i/>
          <w:iCs/>
        </w:rPr>
        <w:t xml:space="preserve">inter alia </w:t>
      </w:r>
      <w:r w:rsidR="00D11837">
        <w:t xml:space="preserve">being able to work, form romantic relationships and maintain ties with his family residing in Canada and that his inability to obtain permanent residence is lawful, not arbitrary, </w:t>
      </w:r>
      <w:r w:rsidR="00D11837">
        <w:rPr>
          <w:rFonts w:eastAsia="Times New Roman"/>
          <w:color w:val="000000"/>
          <w:lang w:eastAsia="en-GB"/>
        </w:rPr>
        <w:t xml:space="preserve">proportionate and does not constitute an interference with his rights under article 17. </w:t>
      </w:r>
    </w:p>
    <w:p w14:paraId="771398A7" w14:textId="455134CB" w:rsidR="0011392A" w:rsidRDefault="00A5106A" w:rsidP="00834741">
      <w:pPr>
        <w:pStyle w:val="SingleTxtG"/>
        <w:rPr>
          <w:rFonts w:eastAsia="MS Mincho"/>
        </w:rPr>
      </w:pPr>
      <w:r>
        <w:t>1</w:t>
      </w:r>
      <w:r w:rsidR="00494937">
        <w:t>0.3</w:t>
      </w:r>
      <w:r>
        <w:tab/>
      </w:r>
      <w:r w:rsidRPr="004D2E2C">
        <w:t xml:space="preserve">The Committee must </w:t>
      </w:r>
      <w:r w:rsidR="008C1F04">
        <w:t xml:space="preserve">first ascertain whether </w:t>
      </w:r>
      <w:r w:rsidRPr="004D2E2C">
        <w:t xml:space="preserve">the </w:t>
      </w:r>
      <w:r w:rsidR="00E2625D">
        <w:t xml:space="preserve">denial of the author’s application for permanent residence constitutes </w:t>
      </w:r>
      <w:r w:rsidR="008C1F04">
        <w:t>an</w:t>
      </w:r>
      <w:r w:rsidR="00D826C9">
        <w:t xml:space="preserve"> </w:t>
      </w:r>
      <w:r w:rsidR="00E815F3">
        <w:t xml:space="preserve">interference </w:t>
      </w:r>
      <w:r w:rsidR="00D826C9">
        <w:t xml:space="preserve">with his family </w:t>
      </w:r>
      <w:r w:rsidR="008C1F04">
        <w:t>within the meaning of</w:t>
      </w:r>
      <w:r w:rsidR="00D826C9">
        <w:t xml:space="preserve"> article 17 of the Covenant</w:t>
      </w:r>
      <w:r w:rsidR="0092382D">
        <w:t>.</w:t>
      </w:r>
      <w:r w:rsidR="00E2625D">
        <w:t xml:space="preserve"> </w:t>
      </w:r>
      <w:r w:rsidR="00C51BE8">
        <w:t>It recalls its g</w:t>
      </w:r>
      <w:r w:rsidR="005C12D9">
        <w:t xml:space="preserve">eneral </w:t>
      </w:r>
      <w:r w:rsidR="00C51BE8">
        <w:t>c</w:t>
      </w:r>
      <w:r w:rsidR="005C12D9">
        <w:t>omment No. 15</w:t>
      </w:r>
      <w:r w:rsidR="00995105">
        <w:t xml:space="preserve">, according to which </w:t>
      </w:r>
      <w:r w:rsidR="00C51BE8">
        <w:t>the Covenant</w:t>
      </w:r>
      <w:r w:rsidR="006A2A8B" w:rsidRPr="006A2A8B">
        <w:t xml:space="preserve"> does not recognize the right of aliens to enter or reside in the territory of a </w:t>
      </w:r>
      <w:proofErr w:type="gramStart"/>
      <w:r w:rsidR="006A2A8B" w:rsidRPr="006A2A8B">
        <w:t>State</w:t>
      </w:r>
      <w:proofErr w:type="gramEnd"/>
      <w:r w:rsidR="006A2A8B" w:rsidRPr="006A2A8B">
        <w:t xml:space="preserve"> party</w:t>
      </w:r>
      <w:r w:rsidR="00C51BE8">
        <w:t xml:space="preserve"> and that i</w:t>
      </w:r>
      <w:r w:rsidR="006A2A8B" w:rsidRPr="006A2A8B">
        <w:t xml:space="preserve">t is in principle a matter for </w:t>
      </w:r>
      <w:r w:rsidR="0021593C">
        <w:t xml:space="preserve">the State party </w:t>
      </w:r>
      <w:r w:rsidR="006A2A8B" w:rsidRPr="006A2A8B">
        <w:t>to decide who it will admit to its territory. However, in certain circumstances an alien may enjoy the protection of the Covenant even in relation to entry or residence, for example, when considerations of non</w:t>
      </w:r>
      <w:r w:rsidR="006A2A8B" w:rsidRPr="006A2A8B">
        <w:noBreakHyphen/>
        <w:t>discrimination, prohibition of inhuman treatment and respect for family life arise</w:t>
      </w:r>
      <w:r w:rsidR="00C51BE8">
        <w:t>.</w:t>
      </w:r>
      <w:r w:rsidR="00C51BE8">
        <w:rPr>
          <w:rStyle w:val="FootnoteReference"/>
        </w:rPr>
        <w:footnoteReference w:id="14"/>
      </w:r>
      <w:r w:rsidR="00E815F3">
        <w:t xml:space="preserve"> </w:t>
      </w:r>
      <w:r w:rsidR="00EF20DD">
        <w:t xml:space="preserve"> </w:t>
      </w:r>
      <w:r w:rsidR="006F2B10">
        <w:t xml:space="preserve">It further recalls </w:t>
      </w:r>
      <w:r w:rsidR="006F2B10">
        <w:rPr>
          <w:rFonts w:eastAsia="MS Mincho"/>
        </w:rPr>
        <w:t xml:space="preserve">its general comments No. 16 </w:t>
      </w:r>
      <w:r w:rsidR="006F2B10">
        <w:t>(1988) on the right to privacy</w:t>
      </w:r>
      <w:r w:rsidR="006F2B10">
        <w:rPr>
          <w:rFonts w:eastAsia="MS Mincho"/>
        </w:rPr>
        <w:t xml:space="preserve"> and No. 19 </w:t>
      </w:r>
      <w:r w:rsidR="006F2B10">
        <w:t>(1990) on the family</w:t>
      </w:r>
      <w:r w:rsidR="006F2B10">
        <w:rPr>
          <w:rFonts w:eastAsia="MS Mincho"/>
        </w:rPr>
        <w:t>, according to which the concept of the family is to be interpreted broadly.</w:t>
      </w:r>
      <w:r w:rsidR="00BE2FA3">
        <w:rPr>
          <w:rStyle w:val="FootnoteReference"/>
          <w:rFonts w:eastAsia="MS Mincho"/>
        </w:rPr>
        <w:footnoteReference w:id="15"/>
      </w:r>
      <w:r w:rsidR="006F2B10">
        <w:rPr>
          <w:rFonts w:eastAsia="MS Mincho"/>
        </w:rPr>
        <w:t xml:space="preserve"> </w:t>
      </w:r>
      <w:r w:rsidR="004A5F4A">
        <w:rPr>
          <w:rFonts w:eastAsia="MS Mincho"/>
        </w:rPr>
        <w:t xml:space="preserve">In the present case, the Committee observes that the author has been established in Canada since 1997 and granted with refugee status since 1999. </w:t>
      </w:r>
      <w:r w:rsidR="00132D55">
        <w:rPr>
          <w:rFonts w:eastAsia="MS Mincho"/>
        </w:rPr>
        <w:t xml:space="preserve">It also observes that the State party has no intention and has not taken any steps towards removing the author to Pakistan, and that neither has the author </w:t>
      </w:r>
      <w:r w:rsidR="00307ED1">
        <w:rPr>
          <w:rFonts w:eastAsia="MS Mincho"/>
        </w:rPr>
        <w:t>claimed</w:t>
      </w:r>
      <w:r w:rsidR="00132D55">
        <w:rPr>
          <w:rFonts w:eastAsia="MS Mincho"/>
        </w:rPr>
        <w:t xml:space="preserve"> </w:t>
      </w:r>
      <w:r w:rsidR="00307ED1">
        <w:rPr>
          <w:rFonts w:eastAsia="MS Mincho"/>
        </w:rPr>
        <w:t xml:space="preserve">this </w:t>
      </w:r>
      <w:r w:rsidR="00132D55">
        <w:rPr>
          <w:rFonts w:eastAsia="MS Mincho"/>
        </w:rPr>
        <w:t>in</w:t>
      </w:r>
      <w:r w:rsidR="00307ED1">
        <w:rPr>
          <w:rFonts w:eastAsia="MS Mincho"/>
        </w:rPr>
        <w:t xml:space="preserve"> </w:t>
      </w:r>
      <w:r w:rsidR="00132D55">
        <w:rPr>
          <w:rFonts w:eastAsia="MS Mincho"/>
        </w:rPr>
        <w:t>his communication</w:t>
      </w:r>
      <w:r w:rsidR="00307ED1">
        <w:rPr>
          <w:rFonts w:eastAsia="MS Mincho"/>
        </w:rPr>
        <w:t>.</w:t>
      </w:r>
      <w:r w:rsidR="00965F1B">
        <w:rPr>
          <w:rFonts w:eastAsia="MS Mincho"/>
        </w:rPr>
        <w:t xml:space="preserve"> </w:t>
      </w:r>
      <w:r w:rsidR="00BC3641">
        <w:rPr>
          <w:rFonts w:eastAsia="MS Mincho"/>
        </w:rPr>
        <w:t xml:space="preserve">The Committee notes that, </w:t>
      </w:r>
      <w:r w:rsidR="003C3FA5">
        <w:rPr>
          <w:rFonts w:eastAsia="MS Mincho"/>
        </w:rPr>
        <w:t xml:space="preserve">from the information available on file, </w:t>
      </w:r>
      <w:r w:rsidR="004A05CF">
        <w:rPr>
          <w:rFonts w:eastAsia="MS Mincho"/>
        </w:rPr>
        <w:t>the</w:t>
      </w:r>
      <w:r w:rsidR="003C3FA5">
        <w:rPr>
          <w:rFonts w:eastAsia="MS Mincho"/>
        </w:rPr>
        <w:t xml:space="preserve"> author</w:t>
      </w:r>
      <w:r w:rsidR="00AC5FF2">
        <w:rPr>
          <w:rFonts w:eastAsia="MS Mincho"/>
        </w:rPr>
        <w:t xml:space="preserve"> has </w:t>
      </w:r>
      <w:r w:rsidR="004A05CF">
        <w:rPr>
          <w:rFonts w:eastAsia="MS Mincho"/>
        </w:rPr>
        <w:t>been</w:t>
      </w:r>
      <w:r w:rsidR="00AC5FF2">
        <w:rPr>
          <w:rFonts w:eastAsia="MS Mincho"/>
        </w:rPr>
        <w:t xml:space="preserve"> able to </w:t>
      </w:r>
      <w:r w:rsidR="00970923">
        <w:rPr>
          <w:rFonts w:eastAsia="MS Mincho"/>
        </w:rPr>
        <w:t xml:space="preserve">maintain strong ties </w:t>
      </w:r>
      <w:r w:rsidR="00AC5FF2">
        <w:rPr>
          <w:rFonts w:eastAsia="MS Mincho"/>
        </w:rPr>
        <w:t xml:space="preserve">with his sister, </w:t>
      </w:r>
      <w:proofErr w:type="gramStart"/>
      <w:r w:rsidR="00AC5FF2">
        <w:rPr>
          <w:rFonts w:eastAsia="MS Mincho"/>
        </w:rPr>
        <w:t>brother-in-law</w:t>
      </w:r>
      <w:proofErr w:type="gramEnd"/>
      <w:r w:rsidR="00AC5FF2">
        <w:rPr>
          <w:rFonts w:eastAsia="MS Mincho"/>
        </w:rPr>
        <w:t xml:space="preserve"> and nieces</w:t>
      </w:r>
      <w:r w:rsidR="00834741">
        <w:rPr>
          <w:rFonts w:eastAsia="MS Mincho"/>
        </w:rPr>
        <w:t>,</w:t>
      </w:r>
      <w:r w:rsidR="00AC5FF2">
        <w:rPr>
          <w:rFonts w:eastAsia="MS Mincho"/>
        </w:rPr>
        <w:t xml:space="preserve"> who</w:t>
      </w:r>
      <w:r w:rsidR="004A05CF">
        <w:rPr>
          <w:rFonts w:eastAsia="MS Mincho"/>
        </w:rPr>
        <w:t xml:space="preserve"> all</w:t>
      </w:r>
      <w:r w:rsidR="00AC5FF2">
        <w:rPr>
          <w:rFonts w:eastAsia="MS Mincho"/>
        </w:rPr>
        <w:t xml:space="preserve"> live in Canada. </w:t>
      </w:r>
      <w:r w:rsidR="00C171C3">
        <w:rPr>
          <w:rFonts w:eastAsia="MS Mincho"/>
        </w:rPr>
        <w:t xml:space="preserve">It also notes, from the information on file, that the author </w:t>
      </w:r>
      <w:r w:rsidR="00952568">
        <w:rPr>
          <w:rFonts w:eastAsia="MS Mincho"/>
        </w:rPr>
        <w:t xml:space="preserve">has been able to develop social, </w:t>
      </w:r>
      <w:proofErr w:type="gramStart"/>
      <w:r w:rsidR="00952568">
        <w:rPr>
          <w:rFonts w:eastAsia="MS Mincho"/>
        </w:rPr>
        <w:t>economic</w:t>
      </w:r>
      <w:proofErr w:type="gramEnd"/>
      <w:r w:rsidR="00952568">
        <w:rPr>
          <w:rFonts w:eastAsia="MS Mincho"/>
        </w:rPr>
        <w:t xml:space="preserve"> and sentimental ties, including a </w:t>
      </w:r>
      <w:r w:rsidR="00E44864">
        <w:rPr>
          <w:rFonts w:eastAsia="MS Mincho"/>
        </w:rPr>
        <w:t>two-year</w:t>
      </w:r>
      <w:r w:rsidR="00952568">
        <w:rPr>
          <w:rFonts w:eastAsia="MS Mincho"/>
        </w:rPr>
        <w:t xml:space="preserve"> romantic relationship with </w:t>
      </w:r>
      <w:r w:rsidR="00290D4D">
        <w:rPr>
          <w:rFonts w:eastAsia="MS Mincho"/>
        </w:rPr>
        <w:t xml:space="preserve">a </w:t>
      </w:r>
      <w:r w:rsidR="00952568">
        <w:rPr>
          <w:rFonts w:eastAsia="MS Mincho"/>
        </w:rPr>
        <w:t>Canadian wom</w:t>
      </w:r>
      <w:r w:rsidR="00DC0DC6">
        <w:rPr>
          <w:rFonts w:eastAsia="MS Mincho"/>
        </w:rPr>
        <w:t>a</w:t>
      </w:r>
      <w:r w:rsidR="00952568">
        <w:rPr>
          <w:rFonts w:eastAsia="MS Mincho"/>
        </w:rPr>
        <w:t>n</w:t>
      </w:r>
      <w:r w:rsidR="00773E10">
        <w:rPr>
          <w:rFonts w:eastAsia="MS Mincho"/>
        </w:rPr>
        <w:t>.</w:t>
      </w:r>
      <w:r w:rsidR="00E44864">
        <w:rPr>
          <w:rFonts w:eastAsia="MS Mincho"/>
        </w:rPr>
        <w:t xml:space="preserve"> </w:t>
      </w:r>
      <w:r w:rsidR="00773E10">
        <w:rPr>
          <w:rFonts w:eastAsia="MS Mincho"/>
        </w:rPr>
        <w:t xml:space="preserve">Although the author claims to have faced difficulty in </w:t>
      </w:r>
      <w:r w:rsidR="00E44864">
        <w:rPr>
          <w:rFonts w:eastAsia="MS Mincho"/>
        </w:rPr>
        <w:t>maintaining long-term relationships</w:t>
      </w:r>
      <w:r w:rsidR="00773E10">
        <w:rPr>
          <w:rFonts w:eastAsia="MS Mincho"/>
        </w:rPr>
        <w:t xml:space="preserve"> and forming his own family, </w:t>
      </w:r>
      <w:r w:rsidR="008E397D">
        <w:rPr>
          <w:rFonts w:eastAsia="MS Mincho"/>
        </w:rPr>
        <w:t>the Committee notes that he has failed to provide sufficient information</w:t>
      </w:r>
      <w:r w:rsidR="00532E63">
        <w:rPr>
          <w:rFonts w:eastAsia="MS Mincho"/>
        </w:rPr>
        <w:t>, other than making general statements,</w:t>
      </w:r>
      <w:r w:rsidR="008E397D">
        <w:rPr>
          <w:rFonts w:eastAsia="MS Mincho"/>
        </w:rPr>
        <w:t xml:space="preserve"> to suggest that </w:t>
      </w:r>
      <w:r w:rsidR="00773E10">
        <w:rPr>
          <w:rFonts w:eastAsia="MS Mincho"/>
        </w:rPr>
        <w:t xml:space="preserve">this is </w:t>
      </w:r>
      <w:r w:rsidR="008E397D">
        <w:rPr>
          <w:rFonts w:eastAsia="MS Mincho"/>
          <w:i/>
          <w:iCs/>
        </w:rPr>
        <w:t xml:space="preserve">per se </w:t>
      </w:r>
      <w:r w:rsidR="00773E10">
        <w:rPr>
          <w:rFonts w:eastAsia="MS Mincho"/>
        </w:rPr>
        <w:t xml:space="preserve">due to his residence status. </w:t>
      </w:r>
      <w:proofErr w:type="gramStart"/>
      <w:r w:rsidR="00532E63">
        <w:rPr>
          <w:rFonts w:eastAsia="MS Mincho"/>
        </w:rPr>
        <w:t>With regard to</w:t>
      </w:r>
      <w:proofErr w:type="gramEnd"/>
      <w:r w:rsidR="00532E63">
        <w:rPr>
          <w:rFonts w:eastAsia="MS Mincho"/>
        </w:rPr>
        <w:t xml:space="preserve"> the author’s alleged inability to visit his mother, the Committee similarly notes that the author </w:t>
      </w:r>
      <w:r w:rsidR="000E2FF5">
        <w:rPr>
          <w:rFonts w:eastAsia="MS Mincho"/>
        </w:rPr>
        <w:t>has not provided specific information indicating</w:t>
      </w:r>
      <w:r w:rsidR="00532E63">
        <w:rPr>
          <w:rFonts w:eastAsia="MS Mincho"/>
        </w:rPr>
        <w:t xml:space="preserve"> </w:t>
      </w:r>
      <w:r w:rsidR="000E2FF5">
        <w:rPr>
          <w:rFonts w:eastAsia="MS Mincho"/>
        </w:rPr>
        <w:t xml:space="preserve">how the State party has interfered with </w:t>
      </w:r>
      <w:r w:rsidR="0092710D">
        <w:rPr>
          <w:rFonts w:eastAsia="MS Mincho"/>
        </w:rPr>
        <w:t xml:space="preserve">his </w:t>
      </w:r>
      <w:r w:rsidR="000E2FF5">
        <w:rPr>
          <w:rFonts w:eastAsia="MS Mincho"/>
        </w:rPr>
        <w:t xml:space="preserve">ability to maintain family ties with his mother. </w:t>
      </w:r>
      <w:proofErr w:type="gramStart"/>
      <w:r w:rsidR="000E2FF5">
        <w:rPr>
          <w:rFonts w:eastAsia="MS Mincho"/>
        </w:rPr>
        <w:t>In light of</w:t>
      </w:r>
      <w:proofErr w:type="gramEnd"/>
      <w:r w:rsidR="000E2FF5">
        <w:rPr>
          <w:rFonts w:eastAsia="MS Mincho"/>
        </w:rPr>
        <w:t xml:space="preserve"> all these circumstances, </w:t>
      </w:r>
      <w:r w:rsidR="00310A78">
        <w:rPr>
          <w:rFonts w:eastAsia="MS Mincho"/>
        </w:rPr>
        <w:t>the Committee is unable to conclude</w:t>
      </w:r>
      <w:r w:rsidR="000E2FF5">
        <w:rPr>
          <w:rFonts w:eastAsia="MS Mincho"/>
        </w:rPr>
        <w:t xml:space="preserve"> </w:t>
      </w:r>
      <w:r w:rsidR="00834741">
        <w:rPr>
          <w:rFonts w:eastAsia="MS Mincho"/>
        </w:rPr>
        <w:t xml:space="preserve">that the denial by the State party to grant the author with permanent residence amounted to an </w:t>
      </w:r>
      <w:r w:rsidR="006B77BE">
        <w:rPr>
          <w:rFonts w:eastAsia="MS Mincho"/>
        </w:rPr>
        <w:t xml:space="preserve">arbitrary </w:t>
      </w:r>
      <w:r w:rsidR="00834741">
        <w:rPr>
          <w:rFonts w:eastAsia="MS Mincho"/>
        </w:rPr>
        <w:t xml:space="preserve">interference with his family, within the meaning of article 17 (1) of the Covenant. </w:t>
      </w:r>
    </w:p>
    <w:p w14:paraId="54D7A2BB" w14:textId="39967AA1" w:rsidR="00EF20DD" w:rsidRDefault="00EF20DD" w:rsidP="00E815F3">
      <w:pPr>
        <w:pStyle w:val="SingleTxtG"/>
      </w:pPr>
      <w:r>
        <w:t xml:space="preserve">11. </w:t>
      </w:r>
      <w:r>
        <w:tab/>
      </w:r>
      <w:r w:rsidR="00AC3F14">
        <w:t>The Committee, acting under article 5 (4) of the Optional Protocol, is of the view that the information before it does not reveal a violation by the State party of article 1</w:t>
      </w:r>
      <w:r w:rsidR="00AC349A">
        <w:t>7</w:t>
      </w:r>
      <w:r w:rsidR="00787D15">
        <w:t xml:space="preserve"> (1)</w:t>
      </w:r>
      <w:r w:rsidR="00AC3F14">
        <w:t xml:space="preserve"> of the Covenant.</w:t>
      </w:r>
    </w:p>
    <w:p w14:paraId="3CFC3DC8" w14:textId="33DAE5B1" w:rsidR="00E041BF" w:rsidRPr="00E041BF" w:rsidRDefault="00E041BF" w:rsidP="00E041BF">
      <w:pPr>
        <w:pStyle w:val="SingleTxtG"/>
        <w:spacing w:before="240" w:after="0"/>
        <w:jc w:val="center"/>
        <w:rPr>
          <w:rFonts w:eastAsia="Calibri"/>
          <w:u w:val="single"/>
        </w:rPr>
      </w:pPr>
      <w:r>
        <w:rPr>
          <w:rFonts w:eastAsia="Calibri"/>
          <w:u w:val="single"/>
        </w:rPr>
        <w:tab/>
      </w:r>
      <w:r>
        <w:rPr>
          <w:rFonts w:eastAsia="Calibri"/>
          <w:u w:val="single"/>
        </w:rPr>
        <w:tab/>
      </w:r>
      <w:r>
        <w:rPr>
          <w:rFonts w:eastAsia="Calibri"/>
          <w:u w:val="single"/>
        </w:rPr>
        <w:tab/>
      </w:r>
    </w:p>
    <w:sectPr w:rsidR="00E041BF" w:rsidRPr="00E041BF" w:rsidSect="00995DC2">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F9D36" w14:textId="77777777" w:rsidR="004638B8" w:rsidRPr="00B903E5" w:rsidRDefault="004638B8" w:rsidP="00B903E5">
      <w:pPr>
        <w:pStyle w:val="Footer"/>
      </w:pPr>
    </w:p>
  </w:endnote>
  <w:endnote w:type="continuationSeparator" w:id="0">
    <w:p w14:paraId="6B203379" w14:textId="77777777" w:rsidR="004638B8" w:rsidRPr="00B903E5" w:rsidRDefault="004638B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281481"/>
      <w:docPartObj>
        <w:docPartGallery w:val="Page Numbers (Bottom of Page)"/>
        <w:docPartUnique/>
      </w:docPartObj>
    </w:sdtPr>
    <w:sdtEndPr>
      <w:rPr>
        <w:b/>
        <w:bCs/>
        <w:noProof/>
        <w:sz w:val="18"/>
        <w:szCs w:val="22"/>
      </w:rPr>
    </w:sdtEndPr>
    <w:sdtContent>
      <w:p w14:paraId="3E9BA666" w14:textId="1A51B987" w:rsidR="00BC088B" w:rsidRPr="00AE0171" w:rsidRDefault="00BC088B" w:rsidP="00AE0171">
        <w:pPr>
          <w:pStyle w:val="Footer"/>
          <w:rPr>
            <w:b/>
            <w:bCs/>
            <w:sz w:val="18"/>
            <w:szCs w:val="22"/>
          </w:rPr>
        </w:pPr>
        <w:r w:rsidRPr="00AE0171">
          <w:rPr>
            <w:b/>
            <w:bCs/>
            <w:sz w:val="18"/>
            <w:szCs w:val="22"/>
          </w:rPr>
          <w:fldChar w:fldCharType="begin"/>
        </w:r>
        <w:r w:rsidRPr="00AE0171">
          <w:rPr>
            <w:b/>
            <w:bCs/>
            <w:sz w:val="18"/>
            <w:szCs w:val="22"/>
          </w:rPr>
          <w:instrText xml:space="preserve"> PAGE   \* MERGEFORMAT </w:instrText>
        </w:r>
        <w:r w:rsidRPr="00AE0171">
          <w:rPr>
            <w:b/>
            <w:bCs/>
            <w:sz w:val="18"/>
            <w:szCs w:val="22"/>
          </w:rPr>
          <w:fldChar w:fldCharType="separate"/>
        </w:r>
        <w:r>
          <w:rPr>
            <w:b/>
            <w:bCs/>
            <w:noProof/>
            <w:sz w:val="18"/>
            <w:szCs w:val="22"/>
          </w:rPr>
          <w:t>14</w:t>
        </w:r>
        <w:r w:rsidRPr="00AE0171">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A457" w14:textId="60FF2D6B" w:rsidR="00BC088B" w:rsidRPr="006A31AE" w:rsidRDefault="00BC088B" w:rsidP="006A31AE">
    <w:pPr>
      <w:pStyle w:val="Footer"/>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Pr>
        <w:b/>
        <w:noProof/>
        <w:sz w:val="18"/>
      </w:rPr>
      <w:t>15</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AEC8" w14:textId="688FBBB2" w:rsidR="00BC088B" w:rsidRDefault="00F07C7A" w:rsidP="00F07C7A">
    <w:pPr>
      <w:pStyle w:val="Footer"/>
    </w:pPr>
    <w:r w:rsidRPr="0027112F">
      <w:rPr>
        <w:noProof/>
        <w:lang w:val="en-US"/>
      </w:rPr>
      <w:drawing>
        <wp:anchor distT="0" distB="0" distL="114300" distR="114300" simplePos="0" relativeHeight="251663360" behindDoc="0" locked="1" layoutInCell="1" allowOverlap="1" wp14:anchorId="59F57E77" wp14:editId="3A018D1F">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0100D6" w:rsidRPr="0027112F">
      <w:rPr>
        <w:noProof/>
        <w:lang w:val="en-US"/>
      </w:rPr>
      <w:drawing>
        <wp:anchor distT="0" distB="0" distL="114300" distR="114300" simplePos="0" relativeHeight="251661312" behindDoc="0" locked="1" layoutInCell="1" allowOverlap="1" wp14:anchorId="1D238298" wp14:editId="7655B5B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8E9B3" w14:textId="77777777" w:rsidR="004638B8" w:rsidRPr="00B903E5" w:rsidRDefault="004638B8" w:rsidP="00B903E5">
      <w:pPr>
        <w:tabs>
          <w:tab w:val="right" w:pos="2155"/>
        </w:tabs>
        <w:spacing w:after="80" w:line="240" w:lineRule="auto"/>
        <w:ind w:left="680"/>
      </w:pPr>
      <w:r>
        <w:rPr>
          <w:u w:val="single"/>
        </w:rPr>
        <w:tab/>
      </w:r>
    </w:p>
  </w:footnote>
  <w:footnote w:type="continuationSeparator" w:id="0">
    <w:p w14:paraId="56933273" w14:textId="77777777" w:rsidR="004638B8" w:rsidRPr="00B903E5" w:rsidRDefault="004638B8" w:rsidP="00B903E5">
      <w:pPr>
        <w:tabs>
          <w:tab w:val="right" w:pos="2155"/>
        </w:tabs>
        <w:spacing w:after="80" w:line="240" w:lineRule="auto"/>
        <w:ind w:left="680"/>
      </w:pPr>
      <w:r>
        <w:rPr>
          <w:u w:val="single"/>
        </w:rPr>
        <w:tab/>
      </w:r>
    </w:p>
  </w:footnote>
  <w:footnote w:id="1">
    <w:p w14:paraId="507E12F6" w14:textId="2F7FB85C" w:rsidR="003B751F" w:rsidRPr="003B751F" w:rsidRDefault="003B751F">
      <w:pPr>
        <w:pStyle w:val="FootnoteText"/>
      </w:pPr>
      <w:r>
        <w:rPr>
          <w:rStyle w:val="FootnoteReference"/>
        </w:rPr>
        <w:tab/>
      </w:r>
      <w:r w:rsidRPr="00E53D87">
        <w:rPr>
          <w:rStyle w:val="FootnoteReference"/>
          <w:sz w:val="20"/>
          <w:vertAlign w:val="baseline"/>
        </w:rPr>
        <w:t>*</w:t>
      </w:r>
      <w:r>
        <w:rPr>
          <w:rStyle w:val="FootnoteReference"/>
          <w:sz w:val="20"/>
          <w:vertAlign w:val="baseline"/>
        </w:rPr>
        <w:tab/>
      </w:r>
      <w:r w:rsidRPr="0086746D">
        <w:t xml:space="preserve">Adopted by the Committee at its </w:t>
      </w:r>
      <w:r>
        <w:t>138th session</w:t>
      </w:r>
      <w:r w:rsidRPr="0086746D">
        <w:t xml:space="preserve"> (</w:t>
      </w:r>
      <w:r>
        <w:t>26 June – 26 July 2023</w:t>
      </w:r>
      <w:r w:rsidRPr="0086746D">
        <w:t>).</w:t>
      </w:r>
    </w:p>
  </w:footnote>
  <w:footnote w:id="2">
    <w:p w14:paraId="666AF212" w14:textId="73C089D0" w:rsidR="003B751F" w:rsidRPr="003B751F" w:rsidRDefault="003B751F">
      <w:pPr>
        <w:pStyle w:val="FootnoteText"/>
      </w:pPr>
      <w:r>
        <w:rPr>
          <w:rStyle w:val="FootnoteReference"/>
        </w:rPr>
        <w:tab/>
      </w:r>
      <w:r w:rsidRPr="00E53D87">
        <w:rPr>
          <w:rStyle w:val="FootnoteReference"/>
          <w:sz w:val="20"/>
          <w:vertAlign w:val="baseline"/>
        </w:rPr>
        <w:t>**</w:t>
      </w:r>
      <w:r>
        <w:rPr>
          <w:rStyle w:val="FootnoteReference"/>
          <w:sz w:val="20"/>
          <w:vertAlign w:val="baseline"/>
        </w:rPr>
        <w:tab/>
      </w:r>
      <w:r w:rsidRPr="00FF765E">
        <w:t xml:space="preserve">The following members of the Committee participated in the examination of the communication: </w:t>
      </w:r>
      <w:hyperlink r:id="rId1" w:history="1">
        <w:r w:rsidRPr="00E53D87">
          <w:t>Tania María Abdo Rocholl,</w:t>
        </w:r>
      </w:hyperlink>
      <w:r w:rsidRPr="00FF765E">
        <w:t xml:space="preserve"> </w:t>
      </w:r>
      <w:r>
        <w:t xml:space="preserve">Farid Ahmadov, </w:t>
      </w:r>
      <w:r w:rsidRPr="00FF765E">
        <w:t xml:space="preserve">Wafaa Ashraf Moharram Bassim, </w:t>
      </w:r>
      <w:r w:rsidRPr="00FF765E">
        <w:rPr>
          <w:bCs/>
        </w:rPr>
        <w:t>Rodrigo A. Carazo, Yvon</w:t>
      </w:r>
      <w:r>
        <w:rPr>
          <w:bCs/>
        </w:rPr>
        <w:t>n</w:t>
      </w:r>
      <w:r w:rsidRPr="00FF765E">
        <w:rPr>
          <w:bCs/>
        </w:rPr>
        <w:t>e Donders, Mahjoub El Haiba, Laurence R. Helfer, Carlos G</w:t>
      </w:r>
      <w:r>
        <w:rPr>
          <w:bCs/>
        </w:rPr>
        <w:t>ó</w:t>
      </w:r>
      <w:r w:rsidRPr="00FF765E">
        <w:rPr>
          <w:bCs/>
        </w:rPr>
        <w:t>mez Mart</w:t>
      </w:r>
      <w:r>
        <w:rPr>
          <w:bCs/>
        </w:rPr>
        <w:t>í</w:t>
      </w:r>
      <w:r w:rsidRPr="00FF765E">
        <w:rPr>
          <w:bCs/>
        </w:rPr>
        <w:t xml:space="preserve">nez, Bacre Waly Ndiaye, , </w:t>
      </w:r>
      <w:proofErr w:type="spellStart"/>
      <w:r w:rsidRPr="00FF765E">
        <w:rPr>
          <w:bCs/>
        </w:rPr>
        <w:t>Hern</w:t>
      </w:r>
      <w:r>
        <w:rPr>
          <w:bCs/>
        </w:rPr>
        <w:t>á</w:t>
      </w:r>
      <w:r w:rsidRPr="00FF765E">
        <w:rPr>
          <w:bCs/>
        </w:rPr>
        <w:t>n</w:t>
      </w:r>
      <w:proofErr w:type="spellEnd"/>
      <w:r w:rsidRPr="00FF765E">
        <w:rPr>
          <w:bCs/>
        </w:rPr>
        <w:t xml:space="preserve"> Quezada Cabrera, José Manuel Santos Pais, </w:t>
      </w:r>
      <w:proofErr w:type="spellStart"/>
      <w:r w:rsidRPr="00FF765E">
        <w:rPr>
          <w:bCs/>
        </w:rPr>
        <w:t>Chongrok</w:t>
      </w:r>
      <w:proofErr w:type="spellEnd"/>
      <w:r w:rsidRPr="00FF765E">
        <w:rPr>
          <w:bCs/>
        </w:rPr>
        <w:t xml:space="preserve"> Soh, Tijana Surlan, </w:t>
      </w:r>
      <w:proofErr w:type="spellStart"/>
      <w:r w:rsidRPr="00FF765E">
        <w:rPr>
          <w:bCs/>
        </w:rPr>
        <w:t>Kobau</w:t>
      </w:r>
      <w:r>
        <w:rPr>
          <w:bCs/>
        </w:rPr>
        <w:t>y</w:t>
      </w:r>
      <w:r w:rsidRPr="00FF765E">
        <w:rPr>
          <w:bCs/>
        </w:rPr>
        <w:t>ah</w:t>
      </w:r>
      <w:proofErr w:type="spellEnd"/>
      <w:r w:rsidRPr="00FF765E">
        <w:rPr>
          <w:bCs/>
        </w:rPr>
        <w:t xml:space="preserve"> </w:t>
      </w:r>
      <w:proofErr w:type="spellStart"/>
      <w:r w:rsidRPr="00FF765E">
        <w:rPr>
          <w:bCs/>
        </w:rPr>
        <w:t>Tchamdja</w:t>
      </w:r>
      <w:proofErr w:type="spellEnd"/>
      <w:r w:rsidRPr="00FF765E">
        <w:rPr>
          <w:bCs/>
        </w:rPr>
        <w:t xml:space="preserve"> </w:t>
      </w:r>
      <w:proofErr w:type="spellStart"/>
      <w:r w:rsidRPr="00FF765E">
        <w:rPr>
          <w:bCs/>
        </w:rPr>
        <w:t>Kpatcha</w:t>
      </w:r>
      <w:proofErr w:type="spellEnd"/>
      <w:r w:rsidRPr="00FF765E">
        <w:rPr>
          <w:bCs/>
        </w:rPr>
        <w:t>, Koji Teraya</w:t>
      </w:r>
      <w:r>
        <w:t xml:space="preserve">, Hélène Tigroudja </w:t>
      </w:r>
      <w:r w:rsidRPr="00FF765E">
        <w:rPr>
          <w:bCs/>
        </w:rPr>
        <w:t>and Imeru Tamerat Yigezu</w:t>
      </w:r>
      <w:r w:rsidR="00A752A1">
        <w:rPr>
          <w:bCs/>
        </w:rPr>
        <w:t>,</w:t>
      </w:r>
      <w:r w:rsidR="00A752A1" w:rsidRPr="00A752A1">
        <w:rPr>
          <w:rStyle w:val="HeaderChar"/>
        </w:rPr>
        <w:t xml:space="preserve"> </w:t>
      </w:r>
      <w:r w:rsidR="00A752A1" w:rsidRPr="00A940E5">
        <w:rPr>
          <w:rStyle w:val="FootnoteTextChar"/>
        </w:rPr>
        <w:t>Pursuant to rule 108 of the Committee’s rules of procedure, Marcia V.J. Kran did not participate in the examination of the communication</w:t>
      </w:r>
      <w:r w:rsidR="00A752A1">
        <w:rPr>
          <w:rStyle w:val="FootnoteTextChar"/>
        </w:rPr>
        <w:t>.</w:t>
      </w:r>
    </w:p>
  </w:footnote>
  <w:footnote w:id="3">
    <w:p w14:paraId="0AD480E3" w14:textId="276698C1" w:rsidR="002A494A" w:rsidRDefault="00591C25">
      <w:pPr>
        <w:pStyle w:val="FootnoteText"/>
      </w:pPr>
      <w:r>
        <w:tab/>
      </w:r>
      <w:r w:rsidR="002A494A">
        <w:rPr>
          <w:rStyle w:val="FootnoteReference"/>
        </w:rPr>
        <w:footnoteRef/>
      </w:r>
      <w:r w:rsidR="002A494A">
        <w:t xml:space="preserve"> </w:t>
      </w:r>
      <w:r>
        <w:tab/>
      </w:r>
      <w:r>
        <w:tab/>
      </w:r>
      <w:r w:rsidR="002A494A">
        <w:t xml:space="preserve">The author claims that </w:t>
      </w:r>
      <w:r w:rsidR="00CD5647">
        <w:t xml:space="preserve">the existing section at the time was 19(1)(f)(iii)(B). </w:t>
      </w:r>
    </w:p>
  </w:footnote>
  <w:footnote w:id="4">
    <w:p w14:paraId="447CA46F" w14:textId="57008F98" w:rsidR="0097696C" w:rsidRDefault="00591C25" w:rsidP="0097696C">
      <w:pPr>
        <w:pStyle w:val="FootnoteText"/>
      </w:pPr>
      <w:r>
        <w:tab/>
      </w:r>
      <w:r w:rsidR="0097696C">
        <w:rPr>
          <w:rStyle w:val="FootnoteReference"/>
        </w:rPr>
        <w:footnoteRef/>
      </w:r>
      <w:r w:rsidR="0097696C">
        <w:t xml:space="preserve"> </w:t>
      </w:r>
      <w:r>
        <w:tab/>
      </w:r>
      <w:r>
        <w:tab/>
      </w:r>
      <w:r w:rsidR="004B521D">
        <w:t xml:space="preserve">Section 34 (2) of the IRPA has since been repealed and replaced with a similar provision in </w:t>
      </w:r>
      <w:r>
        <w:t xml:space="preserve">section 42.1 of the current IRPA. </w:t>
      </w:r>
    </w:p>
  </w:footnote>
  <w:footnote w:id="5">
    <w:p w14:paraId="32E143E5" w14:textId="022D9756" w:rsidR="006731C7" w:rsidRPr="00A363AA" w:rsidRDefault="00290D4D">
      <w:pPr>
        <w:pStyle w:val="FootnoteText"/>
        <w:rPr>
          <w:lang w:val="es-ES"/>
        </w:rPr>
      </w:pPr>
      <w:r>
        <w:tab/>
      </w:r>
      <w:r w:rsidR="006731C7">
        <w:rPr>
          <w:rStyle w:val="FootnoteReference"/>
        </w:rPr>
        <w:footnoteRef/>
      </w:r>
      <w:r w:rsidR="006731C7" w:rsidRPr="00A363AA">
        <w:rPr>
          <w:lang w:val="es-ES"/>
        </w:rPr>
        <w:t xml:space="preserve"> </w:t>
      </w:r>
      <w:r w:rsidRPr="00A363AA">
        <w:rPr>
          <w:lang w:val="es-ES"/>
        </w:rPr>
        <w:tab/>
      </w:r>
      <w:r w:rsidRPr="00A363AA">
        <w:rPr>
          <w:lang w:val="es-ES"/>
        </w:rPr>
        <w:tab/>
      </w:r>
      <w:proofErr w:type="spellStart"/>
      <w:r w:rsidR="006731C7" w:rsidRPr="00A363AA">
        <w:rPr>
          <w:lang w:val="es-ES"/>
        </w:rPr>
        <w:t>Tsarjov</w:t>
      </w:r>
      <w:proofErr w:type="spellEnd"/>
      <w:r w:rsidR="006731C7" w:rsidRPr="00A363AA">
        <w:rPr>
          <w:lang w:val="es-ES"/>
        </w:rPr>
        <w:t xml:space="preserve"> v. Estonia 1223/2003. </w:t>
      </w:r>
    </w:p>
  </w:footnote>
  <w:footnote w:id="6">
    <w:p w14:paraId="35213FBB" w14:textId="554B3F2A" w:rsidR="00BD1ADE" w:rsidRPr="00BD1ADE" w:rsidRDefault="000C7709">
      <w:pPr>
        <w:pStyle w:val="FootnoteText"/>
        <w:rPr>
          <w:lang w:val="es-ES"/>
        </w:rPr>
      </w:pPr>
      <w:r>
        <w:rPr>
          <w:lang w:val="es-ES"/>
        </w:rPr>
        <w:tab/>
      </w:r>
      <w:r w:rsidR="00BD1ADE">
        <w:rPr>
          <w:rStyle w:val="FootnoteReference"/>
        </w:rPr>
        <w:footnoteRef/>
      </w:r>
      <w:r w:rsidR="00BD1ADE" w:rsidRPr="00BD1ADE">
        <w:rPr>
          <w:lang w:val="es-ES"/>
        </w:rPr>
        <w:t xml:space="preserve"> </w:t>
      </w:r>
      <w:r>
        <w:rPr>
          <w:lang w:val="es-ES"/>
        </w:rPr>
        <w:tab/>
      </w:r>
      <w:r>
        <w:rPr>
          <w:lang w:val="es-ES"/>
        </w:rPr>
        <w:tab/>
      </w:r>
      <w:r w:rsidR="00BD1ADE" w:rsidRPr="00BD1ADE">
        <w:rPr>
          <w:lang w:val="es-ES"/>
        </w:rPr>
        <w:t xml:space="preserve">A.S. v. </w:t>
      </w:r>
      <w:proofErr w:type="spellStart"/>
      <w:r w:rsidR="00BD1ADE" w:rsidRPr="00BD1ADE">
        <w:rPr>
          <w:lang w:val="es-ES"/>
        </w:rPr>
        <w:t>Canada</w:t>
      </w:r>
      <w:proofErr w:type="spellEnd"/>
      <w:r w:rsidR="00BD1ADE" w:rsidRPr="00BD1ADE">
        <w:rPr>
          <w:lang w:val="es-ES"/>
        </w:rPr>
        <w:t>, N</w:t>
      </w:r>
      <w:r w:rsidR="00BD1ADE">
        <w:rPr>
          <w:lang w:val="es-ES"/>
        </w:rPr>
        <w:t xml:space="preserve">o. 68/1980. </w:t>
      </w:r>
    </w:p>
  </w:footnote>
  <w:footnote w:id="7">
    <w:p w14:paraId="5A6DBC8C" w14:textId="76A9675A" w:rsidR="000E6F5A" w:rsidRPr="006463E5" w:rsidRDefault="00894A4B">
      <w:pPr>
        <w:pStyle w:val="FootnoteText"/>
      </w:pPr>
      <w:r w:rsidRPr="00BD1ADE">
        <w:rPr>
          <w:lang w:val="es-ES"/>
        </w:rPr>
        <w:tab/>
      </w:r>
      <w:r w:rsidR="000E6F5A">
        <w:rPr>
          <w:rStyle w:val="FootnoteReference"/>
        </w:rPr>
        <w:footnoteRef/>
      </w:r>
      <w:r w:rsidR="000E6F5A" w:rsidRPr="000E6F5A">
        <w:rPr>
          <w:lang w:val="es-ES"/>
        </w:rPr>
        <w:t xml:space="preserve"> </w:t>
      </w:r>
      <w:r>
        <w:rPr>
          <w:lang w:val="es-ES"/>
        </w:rPr>
        <w:tab/>
      </w:r>
      <w:r>
        <w:rPr>
          <w:lang w:val="es-ES"/>
        </w:rPr>
        <w:tab/>
      </w:r>
      <w:r w:rsidR="000E6F5A" w:rsidRPr="000E6F5A">
        <w:rPr>
          <w:lang w:val="es-ES"/>
        </w:rPr>
        <w:t xml:space="preserve">V.M.R.B. v. </w:t>
      </w:r>
      <w:proofErr w:type="spellStart"/>
      <w:r w:rsidR="000E6F5A" w:rsidRPr="000E6F5A">
        <w:rPr>
          <w:lang w:val="es-ES"/>
        </w:rPr>
        <w:t>Canada</w:t>
      </w:r>
      <w:proofErr w:type="spellEnd"/>
      <w:r w:rsidR="000E6F5A">
        <w:rPr>
          <w:lang w:val="es-ES"/>
        </w:rPr>
        <w:t xml:space="preserve"> No. 236/1987, para. </w:t>
      </w:r>
      <w:r w:rsidR="000E6F5A" w:rsidRPr="006463E5">
        <w:t xml:space="preserve">6.3. </w:t>
      </w:r>
    </w:p>
  </w:footnote>
  <w:footnote w:id="8">
    <w:p w14:paraId="3C88B945" w14:textId="5F4338EF" w:rsidR="00D64F61" w:rsidRDefault="00734AA0">
      <w:pPr>
        <w:pStyle w:val="FootnoteText"/>
      </w:pPr>
      <w:r>
        <w:tab/>
      </w:r>
      <w:r w:rsidR="00D64F61">
        <w:rPr>
          <w:rStyle w:val="FootnoteReference"/>
        </w:rPr>
        <w:footnoteRef/>
      </w:r>
      <w:r w:rsidR="00D64F61">
        <w:t xml:space="preserve"> </w:t>
      </w:r>
      <w:r>
        <w:tab/>
      </w:r>
      <w:r>
        <w:tab/>
      </w:r>
      <w:r w:rsidR="00D64F61">
        <w:t xml:space="preserve">ECHR, </w:t>
      </w:r>
      <w:proofErr w:type="spellStart"/>
      <w:r w:rsidR="00D64F61">
        <w:t>Hoti</w:t>
      </w:r>
      <w:proofErr w:type="spellEnd"/>
      <w:r w:rsidR="00D64F61">
        <w:t xml:space="preserve"> v. Croatia (Application No. 63311/14); B.A.C. v. Greece (Application No. 11981/15)</w:t>
      </w:r>
      <w:r w:rsidR="00F67D29">
        <w:t xml:space="preserve">; </w:t>
      </w:r>
      <w:proofErr w:type="spellStart"/>
      <w:r w:rsidR="00F67D29">
        <w:t>Slivenko</w:t>
      </w:r>
      <w:proofErr w:type="spellEnd"/>
      <w:r w:rsidR="00F67D29">
        <w:t xml:space="preserve"> v. Latvia (Application No. 48321/99). </w:t>
      </w:r>
      <w:r w:rsidR="00D64F61">
        <w:t xml:space="preserve"> </w:t>
      </w:r>
    </w:p>
  </w:footnote>
  <w:footnote w:id="9">
    <w:p w14:paraId="3987F8D4" w14:textId="063A0795" w:rsidR="00484FDF" w:rsidRPr="00475901" w:rsidRDefault="00FA4FD3">
      <w:pPr>
        <w:pStyle w:val="FootnoteText"/>
        <w:rPr>
          <w:lang w:val="es-ES"/>
        </w:rPr>
      </w:pPr>
      <w:r>
        <w:tab/>
      </w:r>
      <w:r w:rsidR="00484FDF">
        <w:rPr>
          <w:rStyle w:val="FootnoteReference"/>
        </w:rPr>
        <w:footnoteRef/>
      </w:r>
      <w:r w:rsidR="00484FDF" w:rsidRPr="00475901">
        <w:rPr>
          <w:lang w:val="es-ES"/>
        </w:rPr>
        <w:t xml:space="preserve"> </w:t>
      </w:r>
      <w:r w:rsidRPr="00475901">
        <w:rPr>
          <w:lang w:val="es-ES"/>
        </w:rPr>
        <w:tab/>
      </w:r>
      <w:r w:rsidRPr="00475901">
        <w:rPr>
          <w:lang w:val="es-ES"/>
        </w:rPr>
        <w:tab/>
      </w:r>
      <w:r w:rsidR="00484FDF" w:rsidRPr="00475901">
        <w:rPr>
          <w:lang w:val="es-ES"/>
        </w:rPr>
        <w:t xml:space="preserve">General </w:t>
      </w:r>
      <w:proofErr w:type="spellStart"/>
      <w:r w:rsidR="00484FDF" w:rsidRPr="00475901">
        <w:rPr>
          <w:lang w:val="es-ES"/>
        </w:rPr>
        <w:t>Comment</w:t>
      </w:r>
      <w:proofErr w:type="spellEnd"/>
      <w:r w:rsidR="00484FDF" w:rsidRPr="00475901">
        <w:rPr>
          <w:lang w:val="es-ES"/>
        </w:rPr>
        <w:t xml:space="preserve"> No. 15, para 5. </w:t>
      </w:r>
    </w:p>
  </w:footnote>
  <w:footnote w:id="10">
    <w:p w14:paraId="520E72DA" w14:textId="3FB3FDCF" w:rsidR="00244F80" w:rsidRPr="00475901" w:rsidRDefault="00244F80" w:rsidP="00BA179E">
      <w:pPr>
        <w:pStyle w:val="FootnoteText"/>
        <w:rPr>
          <w:lang w:val="es-ES"/>
        </w:rPr>
      </w:pPr>
      <w:r w:rsidRPr="00475901">
        <w:rPr>
          <w:lang w:val="es-ES"/>
        </w:rPr>
        <w:tab/>
      </w:r>
      <w:r>
        <w:rPr>
          <w:rStyle w:val="FootnoteReference"/>
        </w:rPr>
        <w:footnoteRef/>
      </w:r>
      <w:r w:rsidRPr="00244F80">
        <w:rPr>
          <w:lang w:val="es-ES"/>
        </w:rPr>
        <w:t xml:space="preserve"> </w:t>
      </w:r>
      <w:bookmarkStart w:id="1" w:name="_Hlk71316049"/>
      <w:r w:rsidRPr="00244F80">
        <w:rPr>
          <w:lang w:val="es-ES"/>
        </w:rPr>
        <w:tab/>
      </w:r>
      <w:r w:rsidRPr="00244F80">
        <w:rPr>
          <w:lang w:val="es-ES"/>
        </w:rPr>
        <w:tab/>
        <w:t xml:space="preserve">General </w:t>
      </w:r>
      <w:proofErr w:type="spellStart"/>
      <w:r w:rsidRPr="00244F80">
        <w:rPr>
          <w:lang w:val="es-ES"/>
        </w:rPr>
        <w:t>comment</w:t>
      </w:r>
      <w:proofErr w:type="spellEnd"/>
      <w:r w:rsidRPr="00244F80">
        <w:rPr>
          <w:lang w:val="es-ES"/>
        </w:rPr>
        <w:t xml:space="preserve"> No. 20, para. 2; </w:t>
      </w:r>
      <w:r w:rsidRPr="00244F80">
        <w:rPr>
          <w:i/>
          <w:lang w:val="es-ES"/>
        </w:rPr>
        <w:t xml:space="preserve">A.H.G. v. </w:t>
      </w:r>
      <w:proofErr w:type="spellStart"/>
      <w:r w:rsidRPr="00244F80">
        <w:rPr>
          <w:i/>
          <w:lang w:val="es-ES"/>
        </w:rPr>
        <w:t>Canada</w:t>
      </w:r>
      <w:proofErr w:type="spellEnd"/>
      <w:r w:rsidRPr="00244F80">
        <w:rPr>
          <w:lang w:val="es-ES"/>
        </w:rPr>
        <w:t xml:space="preserve"> (CCPR/C/113/D/2091/2011), para. </w:t>
      </w:r>
      <w:r w:rsidRPr="00475901">
        <w:rPr>
          <w:lang w:val="es-ES"/>
        </w:rPr>
        <w:t>10.4</w:t>
      </w:r>
      <w:bookmarkEnd w:id="1"/>
      <w:r w:rsidRPr="00475901">
        <w:rPr>
          <w:lang w:val="es-ES"/>
        </w:rPr>
        <w:t xml:space="preserve">; </w:t>
      </w:r>
      <w:proofErr w:type="spellStart"/>
      <w:r w:rsidR="00481856" w:rsidRPr="00475901">
        <w:rPr>
          <w:i/>
          <w:iCs/>
          <w:lang w:val="es-ES"/>
        </w:rPr>
        <w:t>Vanchev</w:t>
      </w:r>
      <w:proofErr w:type="spellEnd"/>
      <w:r w:rsidR="00481856" w:rsidRPr="00475901">
        <w:rPr>
          <w:i/>
          <w:iCs/>
          <w:lang w:val="es-ES"/>
        </w:rPr>
        <w:t xml:space="preserve"> v. Bulgaria </w:t>
      </w:r>
      <w:r w:rsidR="00481856" w:rsidRPr="00475901">
        <w:rPr>
          <w:lang w:val="es-ES"/>
        </w:rPr>
        <w:t xml:space="preserve">(CCPR/C/130/D/2820/2016), para. 7.6.                                </w:t>
      </w:r>
    </w:p>
  </w:footnote>
  <w:footnote w:id="11">
    <w:p w14:paraId="5A85AE0C" w14:textId="055482EB" w:rsidR="00511D24" w:rsidRPr="00511D24" w:rsidRDefault="00864F2E">
      <w:pPr>
        <w:pStyle w:val="FootnoteText"/>
        <w:rPr>
          <w:lang w:val="es-ES"/>
        </w:rPr>
      </w:pPr>
      <w:r>
        <w:rPr>
          <w:lang w:val="es-ES"/>
        </w:rPr>
        <w:tab/>
      </w:r>
      <w:r w:rsidR="00511D24">
        <w:rPr>
          <w:rStyle w:val="FootnoteReference"/>
        </w:rPr>
        <w:footnoteRef/>
      </w:r>
      <w:r w:rsidR="00511D24" w:rsidRPr="00511D24">
        <w:rPr>
          <w:lang w:val="es-ES"/>
        </w:rPr>
        <w:t xml:space="preserve"> </w:t>
      </w:r>
      <w:r>
        <w:rPr>
          <w:lang w:val="es-ES"/>
        </w:rPr>
        <w:tab/>
      </w:r>
      <w:r>
        <w:rPr>
          <w:lang w:val="es-ES"/>
        </w:rPr>
        <w:tab/>
      </w:r>
      <w:r w:rsidR="00511D24" w:rsidRPr="00511D24">
        <w:rPr>
          <w:lang w:val="es-ES"/>
        </w:rPr>
        <w:t xml:space="preserve">General </w:t>
      </w:r>
      <w:proofErr w:type="spellStart"/>
      <w:r w:rsidR="00511D24" w:rsidRPr="00511D24">
        <w:rPr>
          <w:lang w:val="es-ES"/>
        </w:rPr>
        <w:t>comment</w:t>
      </w:r>
      <w:proofErr w:type="spellEnd"/>
      <w:r w:rsidR="00511D24" w:rsidRPr="00511D24">
        <w:rPr>
          <w:lang w:val="es-ES"/>
        </w:rPr>
        <w:t xml:space="preserve"> No. 16, para. 5; </w:t>
      </w:r>
      <w:proofErr w:type="spellStart"/>
      <w:r w:rsidR="00511D24" w:rsidRPr="00511D24">
        <w:rPr>
          <w:lang w:val="es-ES"/>
        </w:rPr>
        <w:t>Naidenova</w:t>
      </w:r>
      <w:proofErr w:type="spellEnd"/>
      <w:r w:rsidR="00511D24" w:rsidRPr="00511D24">
        <w:rPr>
          <w:lang w:val="es-ES"/>
        </w:rPr>
        <w:t xml:space="preserve"> e</w:t>
      </w:r>
      <w:r w:rsidR="00511D24">
        <w:rPr>
          <w:lang w:val="es-ES"/>
        </w:rPr>
        <w:t>t al. V. Bulgaria, 2073/2011</w:t>
      </w:r>
    </w:p>
  </w:footnote>
  <w:footnote w:id="12">
    <w:p w14:paraId="63850666" w14:textId="77777777" w:rsidR="00681AF4" w:rsidRPr="006B3507" w:rsidRDefault="00681AF4" w:rsidP="00681AF4">
      <w:pPr>
        <w:pStyle w:val="FootnoteText"/>
        <w:rPr>
          <w:lang w:val="es-ES"/>
        </w:rPr>
      </w:pPr>
      <w:r w:rsidRPr="00A363AA">
        <w:rPr>
          <w:lang w:val="es-ES"/>
        </w:rPr>
        <w:tab/>
      </w:r>
      <w:r>
        <w:rPr>
          <w:rStyle w:val="FootnoteReference"/>
        </w:rPr>
        <w:footnoteRef/>
      </w:r>
      <w:r w:rsidRPr="00A363AA">
        <w:rPr>
          <w:lang w:val="es-ES"/>
        </w:rPr>
        <w:t xml:space="preserve"> </w:t>
      </w:r>
      <w:r w:rsidRPr="00A363AA">
        <w:rPr>
          <w:lang w:val="es-ES"/>
        </w:rPr>
        <w:tab/>
      </w:r>
      <w:r w:rsidRPr="00A363AA">
        <w:rPr>
          <w:lang w:val="es-ES"/>
        </w:rPr>
        <w:tab/>
        <w:t xml:space="preserve">General </w:t>
      </w:r>
      <w:proofErr w:type="spellStart"/>
      <w:r w:rsidRPr="00A363AA">
        <w:rPr>
          <w:lang w:val="es-ES"/>
        </w:rPr>
        <w:t>comment</w:t>
      </w:r>
      <w:proofErr w:type="spellEnd"/>
      <w:r w:rsidRPr="00A363AA">
        <w:rPr>
          <w:lang w:val="es-ES"/>
        </w:rPr>
        <w:t xml:space="preserve"> No. 20, para. </w:t>
      </w:r>
      <w:r w:rsidRPr="006B3507">
        <w:rPr>
          <w:lang w:val="es-ES"/>
        </w:rPr>
        <w:t xml:space="preserve">4. </w:t>
      </w:r>
    </w:p>
  </w:footnote>
  <w:footnote w:id="13">
    <w:p w14:paraId="01535791" w14:textId="77777777" w:rsidR="00681AF4" w:rsidRPr="00C753C2" w:rsidRDefault="00681AF4" w:rsidP="00681AF4">
      <w:pPr>
        <w:pStyle w:val="FootnoteText"/>
        <w:rPr>
          <w:lang w:val="es-ES"/>
        </w:rPr>
      </w:pPr>
      <w:r w:rsidRPr="006B3507">
        <w:rPr>
          <w:lang w:val="es-ES"/>
        </w:rPr>
        <w:tab/>
      </w:r>
      <w:r>
        <w:rPr>
          <w:rStyle w:val="FootnoteReference"/>
        </w:rPr>
        <w:footnoteRef/>
      </w:r>
      <w:r w:rsidRPr="006B3507">
        <w:rPr>
          <w:lang w:val="es-ES"/>
        </w:rPr>
        <w:t xml:space="preserve"> </w:t>
      </w:r>
      <w:r w:rsidRPr="006B3507">
        <w:rPr>
          <w:lang w:val="es-ES"/>
        </w:rPr>
        <w:tab/>
      </w:r>
      <w:r w:rsidRPr="006B3507">
        <w:rPr>
          <w:lang w:val="es-ES"/>
        </w:rPr>
        <w:tab/>
        <w:t xml:space="preserve">General </w:t>
      </w:r>
      <w:proofErr w:type="spellStart"/>
      <w:r>
        <w:rPr>
          <w:lang w:val="es-ES"/>
        </w:rPr>
        <w:t>c</w:t>
      </w:r>
      <w:r w:rsidRPr="006B3507">
        <w:rPr>
          <w:lang w:val="es-ES"/>
        </w:rPr>
        <w:t>omment</w:t>
      </w:r>
      <w:proofErr w:type="spellEnd"/>
      <w:r w:rsidRPr="006B3507">
        <w:rPr>
          <w:lang w:val="es-ES"/>
        </w:rPr>
        <w:t xml:space="preserve"> No. 20, para. 4; </w:t>
      </w:r>
      <w:proofErr w:type="spellStart"/>
      <w:r w:rsidRPr="006B3507">
        <w:rPr>
          <w:i/>
          <w:iCs/>
          <w:lang w:val="es-ES"/>
        </w:rPr>
        <w:t>Vuolanne</w:t>
      </w:r>
      <w:proofErr w:type="spellEnd"/>
      <w:r w:rsidRPr="006B3507">
        <w:rPr>
          <w:i/>
          <w:iCs/>
          <w:lang w:val="es-ES"/>
        </w:rPr>
        <w:t xml:space="preserve"> v. Finland</w:t>
      </w:r>
      <w:r w:rsidRPr="006B3507">
        <w:rPr>
          <w:lang w:val="es-ES"/>
        </w:rPr>
        <w:t xml:space="preserve"> (265/87), para. </w:t>
      </w:r>
      <w:r w:rsidRPr="00C753C2">
        <w:rPr>
          <w:lang w:val="es-ES"/>
        </w:rPr>
        <w:t>9.2.</w:t>
      </w:r>
    </w:p>
  </w:footnote>
  <w:footnote w:id="14">
    <w:p w14:paraId="16F05322" w14:textId="26838D4A" w:rsidR="00C51BE8" w:rsidRPr="00A363AA" w:rsidRDefault="009672CB">
      <w:pPr>
        <w:pStyle w:val="FootnoteText"/>
        <w:rPr>
          <w:lang w:val="es-ES"/>
        </w:rPr>
      </w:pPr>
      <w:r w:rsidRPr="00A363AA">
        <w:rPr>
          <w:lang w:val="es-ES"/>
        </w:rPr>
        <w:tab/>
      </w:r>
      <w:r w:rsidR="00C51BE8">
        <w:rPr>
          <w:rStyle w:val="FootnoteReference"/>
        </w:rPr>
        <w:footnoteRef/>
      </w:r>
      <w:r w:rsidR="00C51BE8" w:rsidRPr="00A363AA">
        <w:rPr>
          <w:lang w:val="es-ES"/>
        </w:rPr>
        <w:t xml:space="preserve"> </w:t>
      </w:r>
      <w:r w:rsidRPr="00A363AA">
        <w:rPr>
          <w:lang w:val="es-ES"/>
        </w:rPr>
        <w:tab/>
      </w:r>
      <w:r w:rsidRPr="00A363AA">
        <w:rPr>
          <w:lang w:val="es-ES"/>
        </w:rPr>
        <w:tab/>
      </w:r>
      <w:r w:rsidR="00C51BE8" w:rsidRPr="00A363AA">
        <w:rPr>
          <w:lang w:val="es-ES"/>
        </w:rPr>
        <w:t xml:space="preserve">General </w:t>
      </w:r>
      <w:proofErr w:type="spellStart"/>
      <w:r w:rsidR="00C51BE8" w:rsidRPr="00A363AA">
        <w:rPr>
          <w:lang w:val="es-ES"/>
        </w:rPr>
        <w:t>comment</w:t>
      </w:r>
      <w:proofErr w:type="spellEnd"/>
      <w:r w:rsidR="00C51BE8" w:rsidRPr="00A363AA">
        <w:rPr>
          <w:lang w:val="es-ES"/>
        </w:rPr>
        <w:t xml:space="preserve"> No. 15, para. 5.</w:t>
      </w:r>
    </w:p>
  </w:footnote>
  <w:footnote w:id="15">
    <w:p w14:paraId="0846E768" w14:textId="04F5B00C" w:rsidR="00BE2FA3" w:rsidRPr="003E4C2D" w:rsidRDefault="00BE2FA3">
      <w:pPr>
        <w:pStyle w:val="FootnoteText"/>
        <w:rPr>
          <w:lang w:val="es-ES"/>
        </w:rPr>
      </w:pPr>
      <w:r>
        <w:rPr>
          <w:lang w:val="es-ES"/>
        </w:rPr>
        <w:tab/>
      </w:r>
      <w:r>
        <w:rPr>
          <w:rStyle w:val="FootnoteReference"/>
        </w:rPr>
        <w:footnoteRef/>
      </w:r>
      <w:r w:rsidRPr="003E4C2D">
        <w:rPr>
          <w:lang w:val="es-ES"/>
        </w:rPr>
        <w:t xml:space="preserve"> </w:t>
      </w:r>
      <w:r>
        <w:rPr>
          <w:lang w:val="es-ES"/>
        </w:rPr>
        <w:tab/>
      </w:r>
      <w:r>
        <w:rPr>
          <w:lang w:val="es-ES"/>
        </w:rPr>
        <w:tab/>
      </w:r>
      <w:r w:rsidRPr="003E4C2D">
        <w:rPr>
          <w:lang w:val="es-ES"/>
        </w:rPr>
        <w:t xml:space="preserve">General </w:t>
      </w:r>
      <w:proofErr w:type="spellStart"/>
      <w:r w:rsidRPr="003E4C2D">
        <w:rPr>
          <w:lang w:val="es-ES"/>
        </w:rPr>
        <w:t>comment</w:t>
      </w:r>
      <w:proofErr w:type="spellEnd"/>
      <w:r w:rsidRPr="003E4C2D">
        <w:rPr>
          <w:lang w:val="es-ES"/>
        </w:rPr>
        <w:t xml:space="preserve"> No. 16, para. 5; General </w:t>
      </w:r>
      <w:proofErr w:type="spellStart"/>
      <w:r>
        <w:rPr>
          <w:lang w:val="es-ES"/>
        </w:rPr>
        <w:t>comment</w:t>
      </w:r>
      <w:proofErr w:type="spellEnd"/>
      <w:r>
        <w:rPr>
          <w:lang w:val="es-ES"/>
        </w:rPr>
        <w:t xml:space="preserve"> No. 19, para.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A454" w14:textId="6F3F0334" w:rsidR="00BC088B" w:rsidRPr="002E718E" w:rsidRDefault="00BC088B" w:rsidP="006A31AE">
    <w:pPr>
      <w:pStyle w:val="Header"/>
    </w:pPr>
    <w:r w:rsidRPr="006A31AE">
      <w:t>CCPR</w:t>
    </w:r>
    <w:r>
      <w:rPr>
        <w:color w:val="000000" w:themeColor="text1"/>
      </w:rPr>
      <w:t>/C/13</w:t>
    </w:r>
    <w:r w:rsidR="00C04DB3">
      <w:rPr>
        <w:color w:val="000000" w:themeColor="text1"/>
      </w:rPr>
      <w:t>8</w:t>
    </w:r>
    <w:r w:rsidRPr="00E305A1">
      <w:rPr>
        <w:color w:val="000000" w:themeColor="text1"/>
      </w:rPr>
      <w:t>/D/</w:t>
    </w:r>
    <w:r>
      <w:rPr>
        <w:color w:val="000000" w:themeColor="text1"/>
      </w:rPr>
      <w:t>3</w:t>
    </w:r>
    <w:r w:rsidR="00C04DB3">
      <w:rPr>
        <w:color w:val="000000" w:themeColor="text1"/>
      </w:rPr>
      <w:t>073</w:t>
    </w:r>
    <w:r w:rsidRPr="00E305A1">
      <w:rPr>
        <w:color w:val="000000" w:themeColor="text1"/>
      </w:rPr>
      <w:t>/</w:t>
    </w:r>
    <w:r>
      <w:rPr>
        <w:color w:val="000000" w:themeColor="text1"/>
      </w:rPr>
      <w:t>20</w:t>
    </w:r>
    <w:r w:rsidR="00C04DB3">
      <w:rPr>
        <w:color w:val="000000" w:themeColor="text1"/>
      </w:rPr>
      <w:t>17</w:t>
    </w:r>
    <w:r w:rsidR="00866418">
      <w:rPr>
        <w:color w:val="000000" w:themeColor="text1"/>
      </w:rPr>
      <w:t xml:space="preserve"> Advance unedited version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A455" w14:textId="4A5590C8" w:rsidR="00BC088B" w:rsidRPr="00DE104C" w:rsidRDefault="00866418" w:rsidP="001252D7">
    <w:pPr>
      <w:pStyle w:val="Header"/>
      <w:jc w:val="right"/>
      <w:rPr>
        <w:color w:val="000000" w:themeColor="text1"/>
      </w:rPr>
    </w:pPr>
    <w:r>
      <w:rPr>
        <w:color w:val="000000" w:themeColor="text1"/>
      </w:rPr>
      <w:t xml:space="preserve">Advance unedited version </w:t>
    </w:r>
    <w:r w:rsidR="00BC088B">
      <w:rPr>
        <w:color w:val="000000" w:themeColor="text1"/>
      </w:rPr>
      <w:t>CCPR/C/13</w:t>
    </w:r>
    <w:r w:rsidR="00C04DB3">
      <w:rPr>
        <w:color w:val="000000" w:themeColor="text1"/>
      </w:rPr>
      <w:t>8</w:t>
    </w:r>
    <w:r w:rsidR="00BC088B">
      <w:rPr>
        <w:color w:val="000000" w:themeColor="text1"/>
      </w:rPr>
      <w:t>/D/307</w:t>
    </w:r>
    <w:r w:rsidR="00C04DB3">
      <w:rPr>
        <w:color w:val="000000" w:themeColor="text1"/>
      </w:rPr>
      <w:t>3</w:t>
    </w:r>
    <w:r w:rsidR="00BC088B">
      <w:rPr>
        <w:color w:val="000000" w:themeColor="text1"/>
      </w:rP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3E3305"/>
    <w:multiLevelType w:val="multilevel"/>
    <w:tmpl w:val="29B2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651B9"/>
    <w:multiLevelType w:val="hybridMultilevel"/>
    <w:tmpl w:val="D7383B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4176795"/>
    <w:multiLevelType w:val="multilevel"/>
    <w:tmpl w:val="3298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7A37A39"/>
    <w:multiLevelType w:val="hybridMultilevel"/>
    <w:tmpl w:val="73748BBC"/>
    <w:lvl w:ilvl="0" w:tplc="5038F9D8">
      <w:start w:val="1"/>
      <w:numFmt w:val="decimal"/>
      <w:lvlText w:val="%1."/>
      <w:lvlJc w:val="left"/>
      <w:pPr>
        <w:tabs>
          <w:tab w:val="num" w:pos="502"/>
        </w:tabs>
        <w:ind w:left="502" w:hanging="360"/>
      </w:pPr>
      <w:rPr>
        <w:rFonts w:ascii="Times New Roman" w:hAnsi="Times New Roman" w:cs="Times New Roman" w:hint="default"/>
        <w:b w:val="0"/>
        <w:i w:val="0"/>
        <w:sz w:val="24"/>
        <w:szCs w:val="24"/>
      </w:rPr>
    </w:lvl>
    <w:lvl w:ilvl="1" w:tplc="0C090001">
      <w:start w:val="1"/>
      <w:numFmt w:val="bullet"/>
      <w:lvlText w:val=""/>
      <w:lvlJc w:val="left"/>
      <w:pPr>
        <w:tabs>
          <w:tab w:val="num" w:pos="730"/>
        </w:tabs>
        <w:ind w:left="730" w:hanging="360"/>
      </w:pPr>
      <w:rPr>
        <w:rFonts w:ascii="Symbol" w:hAnsi="Symbol" w:hint="default"/>
      </w:rPr>
    </w:lvl>
    <w:lvl w:ilvl="2" w:tplc="0C090001">
      <w:start w:val="1"/>
      <w:numFmt w:val="bullet"/>
      <w:lvlText w:val=""/>
      <w:lvlJc w:val="left"/>
      <w:pPr>
        <w:tabs>
          <w:tab w:val="num" w:pos="1450"/>
        </w:tabs>
        <w:ind w:left="1450" w:hanging="180"/>
      </w:pPr>
      <w:rPr>
        <w:rFonts w:ascii="Symbol" w:hAnsi="Symbol" w:hint="default"/>
      </w:rPr>
    </w:lvl>
    <w:lvl w:ilvl="3" w:tplc="D5468282">
      <w:start w:val="1"/>
      <w:numFmt w:val="lowerLetter"/>
      <w:lvlText w:val="(%4)"/>
      <w:lvlJc w:val="left"/>
      <w:pPr>
        <w:ind w:left="2170" w:hanging="360"/>
      </w:pPr>
    </w:lvl>
    <w:lvl w:ilvl="4" w:tplc="0C090019">
      <w:start w:val="1"/>
      <w:numFmt w:val="lowerLetter"/>
      <w:lvlText w:val="%5."/>
      <w:lvlJc w:val="left"/>
      <w:pPr>
        <w:tabs>
          <w:tab w:val="num" w:pos="2890"/>
        </w:tabs>
        <w:ind w:left="2890" w:hanging="360"/>
      </w:pPr>
    </w:lvl>
    <w:lvl w:ilvl="5" w:tplc="0C09001B">
      <w:start w:val="1"/>
      <w:numFmt w:val="lowerRoman"/>
      <w:lvlText w:val="%6."/>
      <w:lvlJc w:val="right"/>
      <w:pPr>
        <w:tabs>
          <w:tab w:val="num" w:pos="3610"/>
        </w:tabs>
        <w:ind w:left="3610" w:hanging="180"/>
      </w:pPr>
    </w:lvl>
    <w:lvl w:ilvl="6" w:tplc="0C09000F">
      <w:start w:val="1"/>
      <w:numFmt w:val="decimal"/>
      <w:lvlText w:val="%7."/>
      <w:lvlJc w:val="left"/>
      <w:pPr>
        <w:tabs>
          <w:tab w:val="num" w:pos="4330"/>
        </w:tabs>
        <w:ind w:left="4330" w:hanging="360"/>
      </w:pPr>
    </w:lvl>
    <w:lvl w:ilvl="7" w:tplc="0C090019">
      <w:start w:val="1"/>
      <w:numFmt w:val="lowerLetter"/>
      <w:lvlText w:val="%8."/>
      <w:lvlJc w:val="left"/>
      <w:pPr>
        <w:tabs>
          <w:tab w:val="num" w:pos="5050"/>
        </w:tabs>
        <w:ind w:left="5050" w:hanging="360"/>
      </w:pPr>
    </w:lvl>
    <w:lvl w:ilvl="8" w:tplc="0C09001B">
      <w:start w:val="1"/>
      <w:numFmt w:val="lowerRoman"/>
      <w:lvlText w:val="%9."/>
      <w:lvlJc w:val="right"/>
      <w:pPr>
        <w:tabs>
          <w:tab w:val="num" w:pos="5770"/>
        </w:tabs>
        <w:ind w:left="5770" w:hanging="180"/>
      </w:pPr>
    </w:lvl>
  </w:abstractNum>
  <w:abstractNum w:abstractNumId="6" w15:restartNumberingAfterBreak="0">
    <w:nsid w:val="18762D5D"/>
    <w:multiLevelType w:val="hybridMultilevel"/>
    <w:tmpl w:val="8CAADE18"/>
    <w:lvl w:ilvl="0" w:tplc="CE5A10B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D03C89"/>
    <w:multiLevelType w:val="singleLevel"/>
    <w:tmpl w:val="47584FFC"/>
    <w:lvl w:ilvl="0">
      <w:start w:val="1"/>
      <w:numFmt w:val="bullet"/>
      <w:pStyle w:val="Bullet1"/>
      <w:lvlText w:val=""/>
      <w:lvlJc w:val="left"/>
      <w:pPr>
        <w:tabs>
          <w:tab w:val="num" w:pos="425"/>
        </w:tabs>
        <w:ind w:left="425" w:hanging="425"/>
      </w:pPr>
      <w:rPr>
        <w:rFonts w:ascii="Symbol" w:hAnsi="Symbol" w:hint="default"/>
      </w:rPr>
    </w:lvl>
  </w:abstractNum>
  <w:abstractNum w:abstractNumId="10" w15:restartNumberingAfterBreak="0">
    <w:nsid w:val="4E2E0478"/>
    <w:multiLevelType w:val="singleLevel"/>
    <w:tmpl w:val="5A9A2EF2"/>
    <w:lvl w:ilvl="0">
      <w:start w:val="2"/>
      <w:numFmt w:val="decimal"/>
      <w:pStyle w:val="Paragraphnumbered"/>
      <w:lvlText w:val="%1."/>
      <w:legacy w:legacy="1" w:legacySpace="0" w:legacyIndent="567"/>
      <w:lvlJc w:val="left"/>
      <w:pPr>
        <w:ind w:left="567" w:hanging="567"/>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762C391C"/>
    <w:multiLevelType w:val="multilevel"/>
    <w:tmpl w:val="3CF4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33103626">
    <w:abstractNumId w:val="8"/>
  </w:num>
  <w:num w:numId="2" w16cid:durableId="139932927">
    <w:abstractNumId w:val="7"/>
  </w:num>
  <w:num w:numId="3" w16cid:durableId="1243492018">
    <w:abstractNumId w:val="0"/>
  </w:num>
  <w:num w:numId="4" w16cid:durableId="1142388794">
    <w:abstractNumId w:val="11"/>
  </w:num>
  <w:num w:numId="5" w16cid:durableId="755782661">
    <w:abstractNumId w:val="12"/>
  </w:num>
  <w:num w:numId="6" w16cid:durableId="1272468705">
    <w:abstractNumId w:val="14"/>
  </w:num>
  <w:num w:numId="7" w16cid:durableId="1250230911">
    <w:abstractNumId w:val="4"/>
  </w:num>
  <w:num w:numId="8" w16cid:durableId="22902262">
    <w:abstractNumId w:val="1"/>
  </w:num>
  <w:num w:numId="9" w16cid:durableId="916130108">
    <w:abstractNumId w:val="3"/>
  </w:num>
  <w:num w:numId="10" w16cid:durableId="77287896">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5561467">
    <w:abstractNumId w:val="9"/>
  </w:num>
  <w:num w:numId="12" w16cid:durableId="751753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9803501">
    <w:abstractNumId w:val="13"/>
  </w:num>
  <w:num w:numId="14" w16cid:durableId="305474913">
    <w:abstractNumId w:val="10"/>
    <w:lvlOverride w:ilvl="0">
      <w:startOverride w:val="2"/>
    </w:lvlOverride>
  </w:num>
  <w:num w:numId="15" w16cid:durableId="1176380651">
    <w:abstractNumId w:val="15"/>
  </w:num>
  <w:num w:numId="16" w16cid:durableId="1881211902">
    <w:abstractNumId w:val="6"/>
  </w:num>
  <w:num w:numId="17" w16cid:durableId="990673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s-CO" w:vendorID="64" w:dllVersion="6" w:nlCheck="1" w:checkStyle="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s-CO" w:vendorID="64" w:dllVersion="0" w:nlCheck="1" w:checkStyle="0"/>
  <w:activeWritingStyle w:appName="MSWord" w:lang="en-CA" w:vendorID="64" w:dllVersion="6"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proofState w:spelling="clean" w:grammar="clean"/>
  <w:defaultTabStop w:val="567"/>
  <w:hyphenationZone w:val="425"/>
  <w:evenAndOddHeaders/>
  <w:characterSpacingControl w:val="doNotCompress"/>
  <w:hdrShapeDefaults>
    <o:shapedefaults v:ext="edit" spidmax="2050">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110"/>
    <w:rsid w:val="00000AF6"/>
    <w:rsid w:val="00000D52"/>
    <w:rsid w:val="000018A5"/>
    <w:rsid w:val="00002929"/>
    <w:rsid w:val="00003111"/>
    <w:rsid w:val="00003851"/>
    <w:rsid w:val="00003AD2"/>
    <w:rsid w:val="00003D6E"/>
    <w:rsid w:val="00004152"/>
    <w:rsid w:val="0000545A"/>
    <w:rsid w:val="0000792C"/>
    <w:rsid w:val="00010063"/>
    <w:rsid w:val="000100D6"/>
    <w:rsid w:val="00013BFD"/>
    <w:rsid w:val="00013EAA"/>
    <w:rsid w:val="00014265"/>
    <w:rsid w:val="0001554B"/>
    <w:rsid w:val="00015568"/>
    <w:rsid w:val="00015B09"/>
    <w:rsid w:val="00016A2F"/>
    <w:rsid w:val="00016DAC"/>
    <w:rsid w:val="00016EC0"/>
    <w:rsid w:val="000172AE"/>
    <w:rsid w:val="000177D8"/>
    <w:rsid w:val="00017F16"/>
    <w:rsid w:val="00020887"/>
    <w:rsid w:val="00020EC1"/>
    <w:rsid w:val="0002137F"/>
    <w:rsid w:val="00021805"/>
    <w:rsid w:val="000219CA"/>
    <w:rsid w:val="00021CE8"/>
    <w:rsid w:val="00021EC4"/>
    <w:rsid w:val="000223FE"/>
    <w:rsid w:val="0002260E"/>
    <w:rsid w:val="0002319F"/>
    <w:rsid w:val="00023C3A"/>
    <w:rsid w:val="0002410C"/>
    <w:rsid w:val="00024BB2"/>
    <w:rsid w:val="00024FB4"/>
    <w:rsid w:val="000257F1"/>
    <w:rsid w:val="00025DCF"/>
    <w:rsid w:val="00026188"/>
    <w:rsid w:val="00026B36"/>
    <w:rsid w:val="0002732E"/>
    <w:rsid w:val="00027416"/>
    <w:rsid w:val="0002754D"/>
    <w:rsid w:val="00027BE0"/>
    <w:rsid w:val="00027C33"/>
    <w:rsid w:val="000303F9"/>
    <w:rsid w:val="0003231E"/>
    <w:rsid w:val="00032D15"/>
    <w:rsid w:val="00032D53"/>
    <w:rsid w:val="00032FB6"/>
    <w:rsid w:val="000331AF"/>
    <w:rsid w:val="000335AE"/>
    <w:rsid w:val="000336B3"/>
    <w:rsid w:val="000337B8"/>
    <w:rsid w:val="000339D3"/>
    <w:rsid w:val="00033CDB"/>
    <w:rsid w:val="00033D9F"/>
    <w:rsid w:val="00033EA7"/>
    <w:rsid w:val="00034569"/>
    <w:rsid w:val="000348D8"/>
    <w:rsid w:val="00035673"/>
    <w:rsid w:val="000359EB"/>
    <w:rsid w:val="00035E4E"/>
    <w:rsid w:val="00035EDD"/>
    <w:rsid w:val="00036DA1"/>
    <w:rsid w:val="00036E21"/>
    <w:rsid w:val="00036F7C"/>
    <w:rsid w:val="0004016C"/>
    <w:rsid w:val="000421B6"/>
    <w:rsid w:val="0004247E"/>
    <w:rsid w:val="00042841"/>
    <w:rsid w:val="00042C1C"/>
    <w:rsid w:val="00043DA5"/>
    <w:rsid w:val="00043FCD"/>
    <w:rsid w:val="000441DA"/>
    <w:rsid w:val="000452F5"/>
    <w:rsid w:val="000454B6"/>
    <w:rsid w:val="00046E92"/>
    <w:rsid w:val="00046FA6"/>
    <w:rsid w:val="0004777A"/>
    <w:rsid w:val="0004796B"/>
    <w:rsid w:val="00047B73"/>
    <w:rsid w:val="00050DEB"/>
    <w:rsid w:val="0005119B"/>
    <w:rsid w:val="00051831"/>
    <w:rsid w:val="000518FA"/>
    <w:rsid w:val="00052466"/>
    <w:rsid w:val="00053B5B"/>
    <w:rsid w:val="00054621"/>
    <w:rsid w:val="00054A1E"/>
    <w:rsid w:val="00054CA5"/>
    <w:rsid w:val="00055329"/>
    <w:rsid w:val="00055F04"/>
    <w:rsid w:val="0005639E"/>
    <w:rsid w:val="0005699A"/>
    <w:rsid w:val="00057247"/>
    <w:rsid w:val="000577AE"/>
    <w:rsid w:val="000600F1"/>
    <w:rsid w:val="000604AD"/>
    <w:rsid w:val="000609B8"/>
    <w:rsid w:val="000613FA"/>
    <w:rsid w:val="00061CB4"/>
    <w:rsid w:val="0006296D"/>
    <w:rsid w:val="000639E1"/>
    <w:rsid w:val="00063F2E"/>
    <w:rsid w:val="00064322"/>
    <w:rsid w:val="00064371"/>
    <w:rsid w:val="00064D19"/>
    <w:rsid w:val="0006505F"/>
    <w:rsid w:val="0006523D"/>
    <w:rsid w:val="00065628"/>
    <w:rsid w:val="000658A3"/>
    <w:rsid w:val="00066542"/>
    <w:rsid w:val="0006736A"/>
    <w:rsid w:val="0007017F"/>
    <w:rsid w:val="0007041E"/>
    <w:rsid w:val="0007053C"/>
    <w:rsid w:val="0007098D"/>
    <w:rsid w:val="00070C70"/>
    <w:rsid w:val="00070F22"/>
    <w:rsid w:val="00071080"/>
    <w:rsid w:val="000726C0"/>
    <w:rsid w:val="0007319D"/>
    <w:rsid w:val="00073AA6"/>
    <w:rsid w:val="00073BB5"/>
    <w:rsid w:val="0007485A"/>
    <w:rsid w:val="00074BCC"/>
    <w:rsid w:val="00074C5D"/>
    <w:rsid w:val="00075A90"/>
    <w:rsid w:val="00075C6E"/>
    <w:rsid w:val="00075DAC"/>
    <w:rsid w:val="00077BEC"/>
    <w:rsid w:val="00077E71"/>
    <w:rsid w:val="000804F7"/>
    <w:rsid w:val="000807C0"/>
    <w:rsid w:val="00080B04"/>
    <w:rsid w:val="00080B26"/>
    <w:rsid w:val="00080C08"/>
    <w:rsid w:val="0008125E"/>
    <w:rsid w:val="000812DC"/>
    <w:rsid w:val="00081710"/>
    <w:rsid w:val="000819C1"/>
    <w:rsid w:val="00082768"/>
    <w:rsid w:val="00083495"/>
    <w:rsid w:val="00083887"/>
    <w:rsid w:val="000839E8"/>
    <w:rsid w:val="00084C80"/>
    <w:rsid w:val="00084FEE"/>
    <w:rsid w:val="00085884"/>
    <w:rsid w:val="00085954"/>
    <w:rsid w:val="00085963"/>
    <w:rsid w:val="00085B66"/>
    <w:rsid w:val="00087282"/>
    <w:rsid w:val="000875D3"/>
    <w:rsid w:val="00090D5F"/>
    <w:rsid w:val="00091A7A"/>
    <w:rsid w:val="0009235C"/>
    <w:rsid w:val="00092B23"/>
    <w:rsid w:val="0009382E"/>
    <w:rsid w:val="00093F3C"/>
    <w:rsid w:val="00094E7B"/>
    <w:rsid w:val="00095166"/>
    <w:rsid w:val="00095245"/>
    <w:rsid w:val="000954A7"/>
    <w:rsid w:val="000954F9"/>
    <w:rsid w:val="000956C4"/>
    <w:rsid w:val="0009579E"/>
    <w:rsid w:val="00095CFE"/>
    <w:rsid w:val="000965E4"/>
    <w:rsid w:val="00096822"/>
    <w:rsid w:val="00096C49"/>
    <w:rsid w:val="000975E6"/>
    <w:rsid w:val="000976E4"/>
    <w:rsid w:val="000A0D17"/>
    <w:rsid w:val="000A0DAD"/>
    <w:rsid w:val="000A18E0"/>
    <w:rsid w:val="000A240E"/>
    <w:rsid w:val="000A282B"/>
    <w:rsid w:val="000A299C"/>
    <w:rsid w:val="000A3108"/>
    <w:rsid w:val="000A3787"/>
    <w:rsid w:val="000A3DBB"/>
    <w:rsid w:val="000A4167"/>
    <w:rsid w:val="000A4939"/>
    <w:rsid w:val="000A55A0"/>
    <w:rsid w:val="000A6576"/>
    <w:rsid w:val="000A6672"/>
    <w:rsid w:val="000A6EF1"/>
    <w:rsid w:val="000A7AC0"/>
    <w:rsid w:val="000B01A5"/>
    <w:rsid w:val="000B05B1"/>
    <w:rsid w:val="000B0986"/>
    <w:rsid w:val="000B1FB5"/>
    <w:rsid w:val="000B25FD"/>
    <w:rsid w:val="000B2668"/>
    <w:rsid w:val="000B3E2B"/>
    <w:rsid w:val="000B44A8"/>
    <w:rsid w:val="000B4767"/>
    <w:rsid w:val="000B4C93"/>
    <w:rsid w:val="000B5A7C"/>
    <w:rsid w:val="000B5FD6"/>
    <w:rsid w:val="000B6CAB"/>
    <w:rsid w:val="000B7011"/>
    <w:rsid w:val="000B76B1"/>
    <w:rsid w:val="000C0C59"/>
    <w:rsid w:val="000C0F5C"/>
    <w:rsid w:val="000C0F80"/>
    <w:rsid w:val="000C148D"/>
    <w:rsid w:val="000C17BD"/>
    <w:rsid w:val="000C1BAF"/>
    <w:rsid w:val="000C2A98"/>
    <w:rsid w:val="000C2CFB"/>
    <w:rsid w:val="000C3274"/>
    <w:rsid w:val="000C3D15"/>
    <w:rsid w:val="000C3EDB"/>
    <w:rsid w:val="000C4523"/>
    <w:rsid w:val="000C4884"/>
    <w:rsid w:val="000C4BC7"/>
    <w:rsid w:val="000C4FB7"/>
    <w:rsid w:val="000C5200"/>
    <w:rsid w:val="000C5AB9"/>
    <w:rsid w:val="000C6CBD"/>
    <w:rsid w:val="000C6E2B"/>
    <w:rsid w:val="000C6E3F"/>
    <w:rsid w:val="000C7386"/>
    <w:rsid w:val="000C7709"/>
    <w:rsid w:val="000D0609"/>
    <w:rsid w:val="000D06C9"/>
    <w:rsid w:val="000D0974"/>
    <w:rsid w:val="000D0A25"/>
    <w:rsid w:val="000D175B"/>
    <w:rsid w:val="000D1E4A"/>
    <w:rsid w:val="000D1F12"/>
    <w:rsid w:val="000D25E5"/>
    <w:rsid w:val="000D2F02"/>
    <w:rsid w:val="000D342E"/>
    <w:rsid w:val="000D3F71"/>
    <w:rsid w:val="000D43A0"/>
    <w:rsid w:val="000D6EB5"/>
    <w:rsid w:val="000D7145"/>
    <w:rsid w:val="000D7AD2"/>
    <w:rsid w:val="000D7C03"/>
    <w:rsid w:val="000E06FA"/>
    <w:rsid w:val="000E093E"/>
    <w:rsid w:val="000E15E9"/>
    <w:rsid w:val="000E1FBF"/>
    <w:rsid w:val="000E2375"/>
    <w:rsid w:val="000E2989"/>
    <w:rsid w:val="000E2A5D"/>
    <w:rsid w:val="000E2FF5"/>
    <w:rsid w:val="000E438F"/>
    <w:rsid w:val="000E4423"/>
    <w:rsid w:val="000E4463"/>
    <w:rsid w:val="000E483B"/>
    <w:rsid w:val="000E4A39"/>
    <w:rsid w:val="000E5655"/>
    <w:rsid w:val="000E6F5A"/>
    <w:rsid w:val="000E7E54"/>
    <w:rsid w:val="000F1465"/>
    <w:rsid w:val="000F15AA"/>
    <w:rsid w:val="000F16D3"/>
    <w:rsid w:val="000F23B4"/>
    <w:rsid w:val="000F2E01"/>
    <w:rsid w:val="000F34FE"/>
    <w:rsid w:val="000F3B6A"/>
    <w:rsid w:val="000F3C7E"/>
    <w:rsid w:val="000F3D03"/>
    <w:rsid w:val="000F49D7"/>
    <w:rsid w:val="000F4A0B"/>
    <w:rsid w:val="000F5A20"/>
    <w:rsid w:val="000F6D0B"/>
    <w:rsid w:val="000F7244"/>
    <w:rsid w:val="000F7F60"/>
    <w:rsid w:val="00100EDD"/>
    <w:rsid w:val="00101306"/>
    <w:rsid w:val="00102589"/>
    <w:rsid w:val="00102A31"/>
    <w:rsid w:val="00103586"/>
    <w:rsid w:val="00103963"/>
    <w:rsid w:val="00103B95"/>
    <w:rsid w:val="00103C69"/>
    <w:rsid w:val="00104F76"/>
    <w:rsid w:val="001067D9"/>
    <w:rsid w:val="00106CA8"/>
    <w:rsid w:val="00106FA0"/>
    <w:rsid w:val="001071BF"/>
    <w:rsid w:val="00110147"/>
    <w:rsid w:val="00110AE1"/>
    <w:rsid w:val="00111603"/>
    <w:rsid w:val="00112007"/>
    <w:rsid w:val="0011247D"/>
    <w:rsid w:val="00112756"/>
    <w:rsid w:val="0011279F"/>
    <w:rsid w:val="00112A6C"/>
    <w:rsid w:val="00113090"/>
    <w:rsid w:val="0011392A"/>
    <w:rsid w:val="00114024"/>
    <w:rsid w:val="00114577"/>
    <w:rsid w:val="00114641"/>
    <w:rsid w:val="001146C8"/>
    <w:rsid w:val="001154E0"/>
    <w:rsid w:val="00115610"/>
    <w:rsid w:val="001156CF"/>
    <w:rsid w:val="00116BF7"/>
    <w:rsid w:val="001170A4"/>
    <w:rsid w:val="00117943"/>
    <w:rsid w:val="0012023C"/>
    <w:rsid w:val="00120382"/>
    <w:rsid w:val="00120CFB"/>
    <w:rsid w:val="0012238C"/>
    <w:rsid w:val="00123642"/>
    <w:rsid w:val="00123762"/>
    <w:rsid w:val="00123A56"/>
    <w:rsid w:val="00124269"/>
    <w:rsid w:val="001252D7"/>
    <w:rsid w:val="00125E82"/>
    <w:rsid w:val="001260AB"/>
    <w:rsid w:val="00127615"/>
    <w:rsid w:val="00127B87"/>
    <w:rsid w:val="00130371"/>
    <w:rsid w:val="00130E96"/>
    <w:rsid w:val="001314F4"/>
    <w:rsid w:val="001318B4"/>
    <w:rsid w:val="00131B55"/>
    <w:rsid w:val="00131D7A"/>
    <w:rsid w:val="00131F8E"/>
    <w:rsid w:val="001323A3"/>
    <w:rsid w:val="00132427"/>
    <w:rsid w:val="00132D55"/>
    <w:rsid w:val="00132F04"/>
    <w:rsid w:val="00133EC9"/>
    <w:rsid w:val="00135701"/>
    <w:rsid w:val="00136C06"/>
    <w:rsid w:val="00136C49"/>
    <w:rsid w:val="00137185"/>
    <w:rsid w:val="001372AE"/>
    <w:rsid w:val="001372DD"/>
    <w:rsid w:val="0013736D"/>
    <w:rsid w:val="0014039F"/>
    <w:rsid w:val="00142C9A"/>
    <w:rsid w:val="00142F8A"/>
    <w:rsid w:val="00144340"/>
    <w:rsid w:val="00144372"/>
    <w:rsid w:val="00144857"/>
    <w:rsid w:val="0014561C"/>
    <w:rsid w:val="00146769"/>
    <w:rsid w:val="001469EB"/>
    <w:rsid w:val="001478EE"/>
    <w:rsid w:val="00147C40"/>
    <w:rsid w:val="0015033F"/>
    <w:rsid w:val="0015044D"/>
    <w:rsid w:val="001504F8"/>
    <w:rsid w:val="001509EA"/>
    <w:rsid w:val="001518EB"/>
    <w:rsid w:val="00152297"/>
    <w:rsid w:val="00152A06"/>
    <w:rsid w:val="00152CE1"/>
    <w:rsid w:val="0015306B"/>
    <w:rsid w:val="00153782"/>
    <w:rsid w:val="00153806"/>
    <w:rsid w:val="00154745"/>
    <w:rsid w:val="00154EFB"/>
    <w:rsid w:val="0015615C"/>
    <w:rsid w:val="001566BC"/>
    <w:rsid w:val="0015687D"/>
    <w:rsid w:val="00156EC0"/>
    <w:rsid w:val="0015785B"/>
    <w:rsid w:val="00161086"/>
    <w:rsid w:val="00161348"/>
    <w:rsid w:val="00161C6A"/>
    <w:rsid w:val="00162210"/>
    <w:rsid w:val="001630D4"/>
    <w:rsid w:val="00163593"/>
    <w:rsid w:val="0016368E"/>
    <w:rsid w:val="00164E50"/>
    <w:rsid w:val="0016566D"/>
    <w:rsid w:val="00165C15"/>
    <w:rsid w:val="00165CD4"/>
    <w:rsid w:val="00166586"/>
    <w:rsid w:val="00166A9A"/>
    <w:rsid w:val="00166BA3"/>
    <w:rsid w:val="001678D7"/>
    <w:rsid w:val="00167DBF"/>
    <w:rsid w:val="00171237"/>
    <w:rsid w:val="001713E7"/>
    <w:rsid w:val="00172084"/>
    <w:rsid w:val="0017239B"/>
    <w:rsid w:val="00172FAE"/>
    <w:rsid w:val="00174D3A"/>
    <w:rsid w:val="00175B74"/>
    <w:rsid w:val="00176F14"/>
    <w:rsid w:val="00177161"/>
    <w:rsid w:val="00177E64"/>
    <w:rsid w:val="00177F5B"/>
    <w:rsid w:val="00180724"/>
    <w:rsid w:val="00180926"/>
    <w:rsid w:val="00180AD8"/>
    <w:rsid w:val="00180C94"/>
    <w:rsid w:val="00180FEC"/>
    <w:rsid w:val="001813BD"/>
    <w:rsid w:val="00181E0B"/>
    <w:rsid w:val="001823A4"/>
    <w:rsid w:val="00182C3B"/>
    <w:rsid w:val="00182F27"/>
    <w:rsid w:val="0018373F"/>
    <w:rsid w:val="001841EA"/>
    <w:rsid w:val="00184219"/>
    <w:rsid w:val="001844C4"/>
    <w:rsid w:val="001861CE"/>
    <w:rsid w:val="001866DD"/>
    <w:rsid w:val="001869A6"/>
    <w:rsid w:val="00187F61"/>
    <w:rsid w:val="001900F3"/>
    <w:rsid w:val="00190961"/>
    <w:rsid w:val="001912A5"/>
    <w:rsid w:val="00192BAC"/>
    <w:rsid w:val="00192F11"/>
    <w:rsid w:val="00195B9D"/>
    <w:rsid w:val="001963B6"/>
    <w:rsid w:val="00196C7B"/>
    <w:rsid w:val="001977D1"/>
    <w:rsid w:val="001A0328"/>
    <w:rsid w:val="001A0F95"/>
    <w:rsid w:val="001A18CB"/>
    <w:rsid w:val="001A1F8D"/>
    <w:rsid w:val="001A2388"/>
    <w:rsid w:val="001A30EC"/>
    <w:rsid w:val="001A3B6D"/>
    <w:rsid w:val="001A463C"/>
    <w:rsid w:val="001A4A53"/>
    <w:rsid w:val="001A4B0B"/>
    <w:rsid w:val="001A4F3A"/>
    <w:rsid w:val="001A4F84"/>
    <w:rsid w:val="001A5B73"/>
    <w:rsid w:val="001A5C05"/>
    <w:rsid w:val="001A6925"/>
    <w:rsid w:val="001A70BF"/>
    <w:rsid w:val="001B0398"/>
    <w:rsid w:val="001B0964"/>
    <w:rsid w:val="001B12E2"/>
    <w:rsid w:val="001B2917"/>
    <w:rsid w:val="001B3932"/>
    <w:rsid w:val="001B3CB9"/>
    <w:rsid w:val="001B4093"/>
    <w:rsid w:val="001B42C6"/>
    <w:rsid w:val="001B4F80"/>
    <w:rsid w:val="001B5109"/>
    <w:rsid w:val="001B5947"/>
    <w:rsid w:val="001B6286"/>
    <w:rsid w:val="001B7340"/>
    <w:rsid w:val="001B7F21"/>
    <w:rsid w:val="001C0195"/>
    <w:rsid w:val="001C0DB5"/>
    <w:rsid w:val="001C1165"/>
    <w:rsid w:val="001C176E"/>
    <w:rsid w:val="001C1D4E"/>
    <w:rsid w:val="001C1F8A"/>
    <w:rsid w:val="001C206C"/>
    <w:rsid w:val="001C2550"/>
    <w:rsid w:val="001C2F43"/>
    <w:rsid w:val="001C3285"/>
    <w:rsid w:val="001C3591"/>
    <w:rsid w:val="001C4388"/>
    <w:rsid w:val="001C526F"/>
    <w:rsid w:val="001C5652"/>
    <w:rsid w:val="001C6264"/>
    <w:rsid w:val="001C6647"/>
    <w:rsid w:val="001C6E5A"/>
    <w:rsid w:val="001C718C"/>
    <w:rsid w:val="001C76C1"/>
    <w:rsid w:val="001C7971"/>
    <w:rsid w:val="001C7C93"/>
    <w:rsid w:val="001D05B6"/>
    <w:rsid w:val="001D06C5"/>
    <w:rsid w:val="001D21D4"/>
    <w:rsid w:val="001D241B"/>
    <w:rsid w:val="001D2980"/>
    <w:rsid w:val="001D2FB6"/>
    <w:rsid w:val="001D4E80"/>
    <w:rsid w:val="001D5290"/>
    <w:rsid w:val="001D6218"/>
    <w:rsid w:val="001D6468"/>
    <w:rsid w:val="001D674F"/>
    <w:rsid w:val="001D6CC4"/>
    <w:rsid w:val="001D6F06"/>
    <w:rsid w:val="001D7EE9"/>
    <w:rsid w:val="001E077A"/>
    <w:rsid w:val="001E10EB"/>
    <w:rsid w:val="001E1A78"/>
    <w:rsid w:val="001E1F59"/>
    <w:rsid w:val="001E27C1"/>
    <w:rsid w:val="001E2813"/>
    <w:rsid w:val="001E2CE7"/>
    <w:rsid w:val="001E2EF8"/>
    <w:rsid w:val="001E317D"/>
    <w:rsid w:val="001E3EBF"/>
    <w:rsid w:val="001E419F"/>
    <w:rsid w:val="001E553D"/>
    <w:rsid w:val="001E610C"/>
    <w:rsid w:val="001E78A5"/>
    <w:rsid w:val="001F0081"/>
    <w:rsid w:val="001F157E"/>
    <w:rsid w:val="001F1F28"/>
    <w:rsid w:val="001F224A"/>
    <w:rsid w:val="001F2775"/>
    <w:rsid w:val="001F399D"/>
    <w:rsid w:val="001F3B41"/>
    <w:rsid w:val="001F4D91"/>
    <w:rsid w:val="001F4EC3"/>
    <w:rsid w:val="001F5B6B"/>
    <w:rsid w:val="001F60A3"/>
    <w:rsid w:val="001F6784"/>
    <w:rsid w:val="001F6F11"/>
    <w:rsid w:val="001F7C26"/>
    <w:rsid w:val="001F7C99"/>
    <w:rsid w:val="001F7CA7"/>
    <w:rsid w:val="00200000"/>
    <w:rsid w:val="0020014B"/>
    <w:rsid w:val="0020030C"/>
    <w:rsid w:val="00200A25"/>
    <w:rsid w:val="00201342"/>
    <w:rsid w:val="002013E5"/>
    <w:rsid w:val="002017BB"/>
    <w:rsid w:val="00201872"/>
    <w:rsid w:val="00201BF6"/>
    <w:rsid w:val="00201D11"/>
    <w:rsid w:val="0020383D"/>
    <w:rsid w:val="002045D0"/>
    <w:rsid w:val="002046FC"/>
    <w:rsid w:val="00204F29"/>
    <w:rsid w:val="00205D7B"/>
    <w:rsid w:val="0020638C"/>
    <w:rsid w:val="00206A18"/>
    <w:rsid w:val="002072AC"/>
    <w:rsid w:val="00207EC9"/>
    <w:rsid w:val="00211D26"/>
    <w:rsid w:val="00213038"/>
    <w:rsid w:val="002131F6"/>
    <w:rsid w:val="0021364F"/>
    <w:rsid w:val="00213B1F"/>
    <w:rsid w:val="002144AD"/>
    <w:rsid w:val="00214503"/>
    <w:rsid w:val="002153BE"/>
    <w:rsid w:val="0021593C"/>
    <w:rsid w:val="00215FFB"/>
    <w:rsid w:val="00216371"/>
    <w:rsid w:val="00217031"/>
    <w:rsid w:val="0021732C"/>
    <w:rsid w:val="0022093E"/>
    <w:rsid w:val="00221A6D"/>
    <w:rsid w:val="00222464"/>
    <w:rsid w:val="002224B0"/>
    <w:rsid w:val="002226C0"/>
    <w:rsid w:val="002231F2"/>
    <w:rsid w:val="002236EA"/>
    <w:rsid w:val="0022450B"/>
    <w:rsid w:val="00225F25"/>
    <w:rsid w:val="00225F51"/>
    <w:rsid w:val="00227FC3"/>
    <w:rsid w:val="00230028"/>
    <w:rsid w:val="00230F0B"/>
    <w:rsid w:val="00231799"/>
    <w:rsid w:val="0023274B"/>
    <w:rsid w:val="00232DD9"/>
    <w:rsid w:val="002334FA"/>
    <w:rsid w:val="0023390D"/>
    <w:rsid w:val="00234A1A"/>
    <w:rsid w:val="002351AA"/>
    <w:rsid w:val="002356D5"/>
    <w:rsid w:val="00236265"/>
    <w:rsid w:val="002366EB"/>
    <w:rsid w:val="00236D5B"/>
    <w:rsid w:val="00236D88"/>
    <w:rsid w:val="00236F50"/>
    <w:rsid w:val="002370CA"/>
    <w:rsid w:val="0023780E"/>
    <w:rsid w:val="00237A17"/>
    <w:rsid w:val="00237A47"/>
    <w:rsid w:val="0024086E"/>
    <w:rsid w:val="00240B7A"/>
    <w:rsid w:val="00242764"/>
    <w:rsid w:val="00242D54"/>
    <w:rsid w:val="002446E6"/>
    <w:rsid w:val="00244F80"/>
    <w:rsid w:val="00244FEB"/>
    <w:rsid w:val="0024622E"/>
    <w:rsid w:val="002467CC"/>
    <w:rsid w:val="002469D4"/>
    <w:rsid w:val="00246CE9"/>
    <w:rsid w:val="00247E2C"/>
    <w:rsid w:val="00250311"/>
    <w:rsid w:val="00250555"/>
    <w:rsid w:val="0025096F"/>
    <w:rsid w:val="00251124"/>
    <w:rsid w:val="0025223F"/>
    <w:rsid w:val="0025255B"/>
    <w:rsid w:val="002526E5"/>
    <w:rsid w:val="00252988"/>
    <w:rsid w:val="00252D89"/>
    <w:rsid w:val="00254913"/>
    <w:rsid w:val="00254A70"/>
    <w:rsid w:val="00254AF6"/>
    <w:rsid w:val="00255428"/>
    <w:rsid w:val="00255EA5"/>
    <w:rsid w:val="00256315"/>
    <w:rsid w:val="00256858"/>
    <w:rsid w:val="002573D3"/>
    <w:rsid w:val="00257EA0"/>
    <w:rsid w:val="00257FE7"/>
    <w:rsid w:val="002602B7"/>
    <w:rsid w:val="002604B8"/>
    <w:rsid w:val="0026093F"/>
    <w:rsid w:val="00261704"/>
    <w:rsid w:val="0026171E"/>
    <w:rsid w:val="00261914"/>
    <w:rsid w:val="00261B38"/>
    <w:rsid w:val="0026216F"/>
    <w:rsid w:val="00262980"/>
    <w:rsid w:val="00262D0B"/>
    <w:rsid w:val="0026326E"/>
    <w:rsid w:val="00263435"/>
    <w:rsid w:val="00263E4F"/>
    <w:rsid w:val="0026407C"/>
    <w:rsid w:val="00264D37"/>
    <w:rsid w:val="002650CB"/>
    <w:rsid w:val="00266666"/>
    <w:rsid w:val="00266779"/>
    <w:rsid w:val="0026680A"/>
    <w:rsid w:val="002671E7"/>
    <w:rsid w:val="002679AE"/>
    <w:rsid w:val="00267C95"/>
    <w:rsid w:val="00270C46"/>
    <w:rsid w:val="00271211"/>
    <w:rsid w:val="002713C9"/>
    <w:rsid w:val="002725A5"/>
    <w:rsid w:val="00272F90"/>
    <w:rsid w:val="00273CDA"/>
    <w:rsid w:val="00273F4D"/>
    <w:rsid w:val="00274190"/>
    <w:rsid w:val="0027426F"/>
    <w:rsid w:val="0027452E"/>
    <w:rsid w:val="00274F79"/>
    <w:rsid w:val="002751A9"/>
    <w:rsid w:val="00275895"/>
    <w:rsid w:val="002771DB"/>
    <w:rsid w:val="00280D80"/>
    <w:rsid w:val="00280E65"/>
    <w:rsid w:val="00280EAA"/>
    <w:rsid w:val="002815A9"/>
    <w:rsid w:val="002816F5"/>
    <w:rsid w:val="00281D2F"/>
    <w:rsid w:val="00282062"/>
    <w:rsid w:val="00282DC6"/>
    <w:rsid w:val="00283808"/>
    <w:rsid w:val="002847FD"/>
    <w:rsid w:val="002853E2"/>
    <w:rsid w:val="0028541E"/>
    <w:rsid w:val="00285C89"/>
    <w:rsid w:val="00286243"/>
    <w:rsid w:val="002863C8"/>
    <w:rsid w:val="00287032"/>
    <w:rsid w:val="002875F7"/>
    <w:rsid w:val="00287B86"/>
    <w:rsid w:val="002902B2"/>
    <w:rsid w:val="002904DB"/>
    <w:rsid w:val="00290D4D"/>
    <w:rsid w:val="002916AC"/>
    <w:rsid w:val="00291A22"/>
    <w:rsid w:val="0029392F"/>
    <w:rsid w:val="0029451B"/>
    <w:rsid w:val="00294644"/>
    <w:rsid w:val="0029645D"/>
    <w:rsid w:val="00296FF3"/>
    <w:rsid w:val="002A00EF"/>
    <w:rsid w:val="002A083D"/>
    <w:rsid w:val="002A0FAE"/>
    <w:rsid w:val="002A1516"/>
    <w:rsid w:val="002A342A"/>
    <w:rsid w:val="002A3A3E"/>
    <w:rsid w:val="002A3A40"/>
    <w:rsid w:val="002A3ABF"/>
    <w:rsid w:val="002A3B87"/>
    <w:rsid w:val="002A494A"/>
    <w:rsid w:val="002A5516"/>
    <w:rsid w:val="002A5D20"/>
    <w:rsid w:val="002A6988"/>
    <w:rsid w:val="002A71BC"/>
    <w:rsid w:val="002A7D4B"/>
    <w:rsid w:val="002B0B73"/>
    <w:rsid w:val="002B329B"/>
    <w:rsid w:val="002B348D"/>
    <w:rsid w:val="002B3512"/>
    <w:rsid w:val="002B3539"/>
    <w:rsid w:val="002B3AB0"/>
    <w:rsid w:val="002B42E5"/>
    <w:rsid w:val="002B4445"/>
    <w:rsid w:val="002B4A93"/>
    <w:rsid w:val="002B4BB3"/>
    <w:rsid w:val="002B6627"/>
    <w:rsid w:val="002B6862"/>
    <w:rsid w:val="002B6AD1"/>
    <w:rsid w:val="002B6EE9"/>
    <w:rsid w:val="002B7275"/>
    <w:rsid w:val="002B762D"/>
    <w:rsid w:val="002B7753"/>
    <w:rsid w:val="002C2F5F"/>
    <w:rsid w:val="002C357F"/>
    <w:rsid w:val="002C3ABA"/>
    <w:rsid w:val="002C4FFA"/>
    <w:rsid w:val="002C55CC"/>
    <w:rsid w:val="002C5960"/>
    <w:rsid w:val="002C5AC9"/>
    <w:rsid w:val="002C5ACE"/>
    <w:rsid w:val="002C6589"/>
    <w:rsid w:val="002C6A2F"/>
    <w:rsid w:val="002C6EF8"/>
    <w:rsid w:val="002C7023"/>
    <w:rsid w:val="002C75B0"/>
    <w:rsid w:val="002D06A1"/>
    <w:rsid w:val="002D0C12"/>
    <w:rsid w:val="002D0F55"/>
    <w:rsid w:val="002D164C"/>
    <w:rsid w:val="002D2858"/>
    <w:rsid w:val="002D28FC"/>
    <w:rsid w:val="002D3789"/>
    <w:rsid w:val="002D3D7F"/>
    <w:rsid w:val="002D3FA0"/>
    <w:rsid w:val="002D41B2"/>
    <w:rsid w:val="002D421E"/>
    <w:rsid w:val="002D475F"/>
    <w:rsid w:val="002D4C51"/>
    <w:rsid w:val="002D502B"/>
    <w:rsid w:val="002D6308"/>
    <w:rsid w:val="002D654C"/>
    <w:rsid w:val="002D6779"/>
    <w:rsid w:val="002D6C53"/>
    <w:rsid w:val="002D7407"/>
    <w:rsid w:val="002D78DF"/>
    <w:rsid w:val="002D7CDF"/>
    <w:rsid w:val="002D7F9C"/>
    <w:rsid w:val="002E00C9"/>
    <w:rsid w:val="002E0A7D"/>
    <w:rsid w:val="002E17AD"/>
    <w:rsid w:val="002E1B12"/>
    <w:rsid w:val="002E1C04"/>
    <w:rsid w:val="002E203C"/>
    <w:rsid w:val="002E2757"/>
    <w:rsid w:val="002E2837"/>
    <w:rsid w:val="002E2E02"/>
    <w:rsid w:val="002E3CCD"/>
    <w:rsid w:val="002E42B9"/>
    <w:rsid w:val="002E4721"/>
    <w:rsid w:val="002E4D62"/>
    <w:rsid w:val="002E5151"/>
    <w:rsid w:val="002E5E68"/>
    <w:rsid w:val="002E664B"/>
    <w:rsid w:val="002E6767"/>
    <w:rsid w:val="002E679E"/>
    <w:rsid w:val="002E718E"/>
    <w:rsid w:val="002E760C"/>
    <w:rsid w:val="002E7939"/>
    <w:rsid w:val="002F0A6B"/>
    <w:rsid w:val="002F14D7"/>
    <w:rsid w:val="002F20C5"/>
    <w:rsid w:val="002F22E8"/>
    <w:rsid w:val="002F2D93"/>
    <w:rsid w:val="002F3921"/>
    <w:rsid w:val="002F3F8B"/>
    <w:rsid w:val="002F42AA"/>
    <w:rsid w:val="002F5595"/>
    <w:rsid w:val="002F5D16"/>
    <w:rsid w:val="002F5EDA"/>
    <w:rsid w:val="002F611F"/>
    <w:rsid w:val="002F7825"/>
    <w:rsid w:val="002F78EA"/>
    <w:rsid w:val="002F7FD3"/>
    <w:rsid w:val="00301AC4"/>
    <w:rsid w:val="003024D7"/>
    <w:rsid w:val="00303547"/>
    <w:rsid w:val="00303B54"/>
    <w:rsid w:val="00303F56"/>
    <w:rsid w:val="00304236"/>
    <w:rsid w:val="00305BA9"/>
    <w:rsid w:val="003065AF"/>
    <w:rsid w:val="003070CF"/>
    <w:rsid w:val="00307ED1"/>
    <w:rsid w:val="00310A78"/>
    <w:rsid w:val="00310D24"/>
    <w:rsid w:val="0031177C"/>
    <w:rsid w:val="00311B8B"/>
    <w:rsid w:val="00311E1A"/>
    <w:rsid w:val="003124BF"/>
    <w:rsid w:val="003128C5"/>
    <w:rsid w:val="0031298D"/>
    <w:rsid w:val="00312F2B"/>
    <w:rsid w:val="003134BE"/>
    <w:rsid w:val="00313F05"/>
    <w:rsid w:val="003144CE"/>
    <w:rsid w:val="003148B4"/>
    <w:rsid w:val="00314923"/>
    <w:rsid w:val="00314954"/>
    <w:rsid w:val="00314959"/>
    <w:rsid w:val="00315991"/>
    <w:rsid w:val="003160A8"/>
    <w:rsid w:val="00316934"/>
    <w:rsid w:val="003172FD"/>
    <w:rsid w:val="003176AF"/>
    <w:rsid w:val="00317AAC"/>
    <w:rsid w:val="00320051"/>
    <w:rsid w:val="00320C56"/>
    <w:rsid w:val="00320D85"/>
    <w:rsid w:val="0032132E"/>
    <w:rsid w:val="00321B81"/>
    <w:rsid w:val="0032278E"/>
    <w:rsid w:val="00322CD0"/>
    <w:rsid w:val="00322F1C"/>
    <w:rsid w:val="0032325C"/>
    <w:rsid w:val="003232DD"/>
    <w:rsid w:val="003235CA"/>
    <w:rsid w:val="003235F4"/>
    <w:rsid w:val="00323F0D"/>
    <w:rsid w:val="003240AC"/>
    <w:rsid w:val="00324848"/>
    <w:rsid w:val="0032561E"/>
    <w:rsid w:val="00325C2F"/>
    <w:rsid w:val="003266EC"/>
    <w:rsid w:val="003268EE"/>
    <w:rsid w:val="00326950"/>
    <w:rsid w:val="00326A25"/>
    <w:rsid w:val="00326DF4"/>
    <w:rsid w:val="003271C2"/>
    <w:rsid w:val="0032722C"/>
    <w:rsid w:val="00327338"/>
    <w:rsid w:val="00327A6F"/>
    <w:rsid w:val="00330126"/>
    <w:rsid w:val="003302B0"/>
    <w:rsid w:val="0033054D"/>
    <w:rsid w:val="0033093D"/>
    <w:rsid w:val="00330C30"/>
    <w:rsid w:val="00330EAC"/>
    <w:rsid w:val="00330FAE"/>
    <w:rsid w:val="00331129"/>
    <w:rsid w:val="003315D7"/>
    <w:rsid w:val="00332AD0"/>
    <w:rsid w:val="00334313"/>
    <w:rsid w:val="00334408"/>
    <w:rsid w:val="00334532"/>
    <w:rsid w:val="00334D8C"/>
    <w:rsid w:val="00334DE9"/>
    <w:rsid w:val="00334E81"/>
    <w:rsid w:val="00334F6A"/>
    <w:rsid w:val="00335A69"/>
    <w:rsid w:val="00335C3C"/>
    <w:rsid w:val="00335F42"/>
    <w:rsid w:val="00336BAF"/>
    <w:rsid w:val="00336D0B"/>
    <w:rsid w:val="0033743D"/>
    <w:rsid w:val="00337A0D"/>
    <w:rsid w:val="00337AA9"/>
    <w:rsid w:val="00337F52"/>
    <w:rsid w:val="003403B5"/>
    <w:rsid w:val="003404A4"/>
    <w:rsid w:val="00340E54"/>
    <w:rsid w:val="003418B2"/>
    <w:rsid w:val="00341BDD"/>
    <w:rsid w:val="00341F69"/>
    <w:rsid w:val="00342232"/>
    <w:rsid w:val="00342AC8"/>
    <w:rsid w:val="00342D03"/>
    <w:rsid w:val="00343450"/>
    <w:rsid w:val="0034533C"/>
    <w:rsid w:val="00345472"/>
    <w:rsid w:val="003456F6"/>
    <w:rsid w:val="003466C4"/>
    <w:rsid w:val="003471E3"/>
    <w:rsid w:val="00347BC0"/>
    <w:rsid w:val="00347D08"/>
    <w:rsid w:val="00347E04"/>
    <w:rsid w:val="00350854"/>
    <w:rsid w:val="00350A4F"/>
    <w:rsid w:val="00350CC9"/>
    <w:rsid w:val="00351412"/>
    <w:rsid w:val="00351467"/>
    <w:rsid w:val="003515B0"/>
    <w:rsid w:val="003518E7"/>
    <w:rsid w:val="00352120"/>
    <w:rsid w:val="00352129"/>
    <w:rsid w:val="0035252B"/>
    <w:rsid w:val="003540E6"/>
    <w:rsid w:val="00354348"/>
    <w:rsid w:val="00354F31"/>
    <w:rsid w:val="00355214"/>
    <w:rsid w:val="0035672E"/>
    <w:rsid w:val="0035720D"/>
    <w:rsid w:val="003573CF"/>
    <w:rsid w:val="00357596"/>
    <w:rsid w:val="00360176"/>
    <w:rsid w:val="003607DE"/>
    <w:rsid w:val="003608EB"/>
    <w:rsid w:val="003610F1"/>
    <w:rsid w:val="00361B4D"/>
    <w:rsid w:val="00361B64"/>
    <w:rsid w:val="00361D82"/>
    <w:rsid w:val="00362464"/>
    <w:rsid w:val="003627B3"/>
    <w:rsid w:val="00362E0D"/>
    <w:rsid w:val="0036387C"/>
    <w:rsid w:val="00363DC0"/>
    <w:rsid w:val="00364232"/>
    <w:rsid w:val="00364EDA"/>
    <w:rsid w:val="00365114"/>
    <w:rsid w:val="00366518"/>
    <w:rsid w:val="003673F6"/>
    <w:rsid w:val="00367AD5"/>
    <w:rsid w:val="0037032F"/>
    <w:rsid w:val="00370460"/>
    <w:rsid w:val="003706DB"/>
    <w:rsid w:val="0037086A"/>
    <w:rsid w:val="003719D0"/>
    <w:rsid w:val="003719DC"/>
    <w:rsid w:val="00371B8D"/>
    <w:rsid w:val="0037261D"/>
    <w:rsid w:val="00372D05"/>
    <w:rsid w:val="003733E7"/>
    <w:rsid w:val="003737B0"/>
    <w:rsid w:val="003738D4"/>
    <w:rsid w:val="00373A74"/>
    <w:rsid w:val="00373E71"/>
    <w:rsid w:val="00373FC0"/>
    <w:rsid w:val="0037433F"/>
    <w:rsid w:val="003745E1"/>
    <w:rsid w:val="00374E36"/>
    <w:rsid w:val="00374E68"/>
    <w:rsid w:val="00375346"/>
    <w:rsid w:val="00375E5A"/>
    <w:rsid w:val="0037618D"/>
    <w:rsid w:val="0037655E"/>
    <w:rsid w:val="003767AF"/>
    <w:rsid w:val="00376864"/>
    <w:rsid w:val="00376ABF"/>
    <w:rsid w:val="00377765"/>
    <w:rsid w:val="003778DF"/>
    <w:rsid w:val="00377AF1"/>
    <w:rsid w:val="00380FA0"/>
    <w:rsid w:val="0038147F"/>
    <w:rsid w:val="00381C21"/>
    <w:rsid w:val="00382467"/>
    <w:rsid w:val="003826B5"/>
    <w:rsid w:val="00383002"/>
    <w:rsid w:val="003830C0"/>
    <w:rsid w:val="003836FC"/>
    <w:rsid w:val="00383922"/>
    <w:rsid w:val="00383CFD"/>
    <w:rsid w:val="00383E33"/>
    <w:rsid w:val="0038425F"/>
    <w:rsid w:val="00384FFA"/>
    <w:rsid w:val="00385E92"/>
    <w:rsid w:val="003863AF"/>
    <w:rsid w:val="0038665C"/>
    <w:rsid w:val="00386912"/>
    <w:rsid w:val="00387690"/>
    <w:rsid w:val="003901ED"/>
    <w:rsid w:val="0039029E"/>
    <w:rsid w:val="00390EDE"/>
    <w:rsid w:val="00391589"/>
    <w:rsid w:val="003937DA"/>
    <w:rsid w:val="00393E3D"/>
    <w:rsid w:val="003943E7"/>
    <w:rsid w:val="00395511"/>
    <w:rsid w:val="0039596E"/>
    <w:rsid w:val="00395DAF"/>
    <w:rsid w:val="00397454"/>
    <w:rsid w:val="003A0383"/>
    <w:rsid w:val="003A03C6"/>
    <w:rsid w:val="003A0A6C"/>
    <w:rsid w:val="003A10CD"/>
    <w:rsid w:val="003A15DE"/>
    <w:rsid w:val="003A220E"/>
    <w:rsid w:val="003A2894"/>
    <w:rsid w:val="003A2E61"/>
    <w:rsid w:val="003A2FEE"/>
    <w:rsid w:val="003A374D"/>
    <w:rsid w:val="003A3CF6"/>
    <w:rsid w:val="003A4609"/>
    <w:rsid w:val="003A474D"/>
    <w:rsid w:val="003A59BA"/>
    <w:rsid w:val="003A60E9"/>
    <w:rsid w:val="003A6174"/>
    <w:rsid w:val="003A65E4"/>
    <w:rsid w:val="003A6D72"/>
    <w:rsid w:val="003A74E5"/>
    <w:rsid w:val="003A79F5"/>
    <w:rsid w:val="003B05D8"/>
    <w:rsid w:val="003B1D8D"/>
    <w:rsid w:val="003B20CA"/>
    <w:rsid w:val="003B234E"/>
    <w:rsid w:val="003B2BFD"/>
    <w:rsid w:val="003B3091"/>
    <w:rsid w:val="003B30C8"/>
    <w:rsid w:val="003B316B"/>
    <w:rsid w:val="003B317D"/>
    <w:rsid w:val="003B387B"/>
    <w:rsid w:val="003B3DD5"/>
    <w:rsid w:val="003B4550"/>
    <w:rsid w:val="003B45DB"/>
    <w:rsid w:val="003B4D48"/>
    <w:rsid w:val="003B51D2"/>
    <w:rsid w:val="003B5200"/>
    <w:rsid w:val="003B6110"/>
    <w:rsid w:val="003B6732"/>
    <w:rsid w:val="003B68A7"/>
    <w:rsid w:val="003B68AB"/>
    <w:rsid w:val="003B69C0"/>
    <w:rsid w:val="003B717A"/>
    <w:rsid w:val="003B751F"/>
    <w:rsid w:val="003C0C80"/>
    <w:rsid w:val="003C1A65"/>
    <w:rsid w:val="003C21A3"/>
    <w:rsid w:val="003C2676"/>
    <w:rsid w:val="003C27AD"/>
    <w:rsid w:val="003C2868"/>
    <w:rsid w:val="003C2A7B"/>
    <w:rsid w:val="003C3A2B"/>
    <w:rsid w:val="003C3ED3"/>
    <w:rsid w:val="003C3FA5"/>
    <w:rsid w:val="003C4379"/>
    <w:rsid w:val="003C43C3"/>
    <w:rsid w:val="003C479D"/>
    <w:rsid w:val="003C4908"/>
    <w:rsid w:val="003C50AB"/>
    <w:rsid w:val="003C512D"/>
    <w:rsid w:val="003C70CD"/>
    <w:rsid w:val="003C7417"/>
    <w:rsid w:val="003C79C8"/>
    <w:rsid w:val="003D05C3"/>
    <w:rsid w:val="003D0D11"/>
    <w:rsid w:val="003D1146"/>
    <w:rsid w:val="003D13A8"/>
    <w:rsid w:val="003D18D3"/>
    <w:rsid w:val="003D1B76"/>
    <w:rsid w:val="003D32AD"/>
    <w:rsid w:val="003D385A"/>
    <w:rsid w:val="003D3896"/>
    <w:rsid w:val="003D3E2B"/>
    <w:rsid w:val="003D4E65"/>
    <w:rsid w:val="003D4F4D"/>
    <w:rsid w:val="003D5AEE"/>
    <w:rsid w:val="003D6475"/>
    <w:rsid w:val="003D6781"/>
    <w:rsid w:val="003D79DC"/>
    <w:rsid w:val="003D7A82"/>
    <w:rsid w:val="003E00BC"/>
    <w:rsid w:val="003E037E"/>
    <w:rsid w:val="003E0B42"/>
    <w:rsid w:val="003E1B1C"/>
    <w:rsid w:val="003E3246"/>
    <w:rsid w:val="003E3D62"/>
    <w:rsid w:val="003E4AF6"/>
    <w:rsid w:val="003E4C2D"/>
    <w:rsid w:val="003E4FB6"/>
    <w:rsid w:val="003E5D42"/>
    <w:rsid w:val="003E6445"/>
    <w:rsid w:val="003E66CD"/>
    <w:rsid w:val="003E71B2"/>
    <w:rsid w:val="003E74ED"/>
    <w:rsid w:val="003E7896"/>
    <w:rsid w:val="003E7C9B"/>
    <w:rsid w:val="003E7DEA"/>
    <w:rsid w:val="003E7F91"/>
    <w:rsid w:val="003F06EC"/>
    <w:rsid w:val="003F0B59"/>
    <w:rsid w:val="003F0BFA"/>
    <w:rsid w:val="003F0F4B"/>
    <w:rsid w:val="003F187B"/>
    <w:rsid w:val="003F243C"/>
    <w:rsid w:val="003F25BE"/>
    <w:rsid w:val="003F2EEE"/>
    <w:rsid w:val="003F37BC"/>
    <w:rsid w:val="003F3800"/>
    <w:rsid w:val="003F3997"/>
    <w:rsid w:val="003F3B06"/>
    <w:rsid w:val="003F4065"/>
    <w:rsid w:val="003F4400"/>
    <w:rsid w:val="003F4472"/>
    <w:rsid w:val="003F45AD"/>
    <w:rsid w:val="003F5428"/>
    <w:rsid w:val="003F56D1"/>
    <w:rsid w:val="003F57A8"/>
    <w:rsid w:val="003F5AD5"/>
    <w:rsid w:val="003F617A"/>
    <w:rsid w:val="003F6894"/>
    <w:rsid w:val="00400091"/>
    <w:rsid w:val="0040094D"/>
    <w:rsid w:val="004010B2"/>
    <w:rsid w:val="0040137F"/>
    <w:rsid w:val="004021CA"/>
    <w:rsid w:val="00402282"/>
    <w:rsid w:val="00402485"/>
    <w:rsid w:val="0040250F"/>
    <w:rsid w:val="0040306F"/>
    <w:rsid w:val="004032E5"/>
    <w:rsid w:val="00403940"/>
    <w:rsid w:val="00403E96"/>
    <w:rsid w:val="004042F4"/>
    <w:rsid w:val="004047FD"/>
    <w:rsid w:val="00404C80"/>
    <w:rsid w:val="00405099"/>
    <w:rsid w:val="004058E5"/>
    <w:rsid w:val="004059AC"/>
    <w:rsid w:val="00405E5C"/>
    <w:rsid w:val="00406509"/>
    <w:rsid w:val="00407150"/>
    <w:rsid w:val="004071EE"/>
    <w:rsid w:val="004073A5"/>
    <w:rsid w:val="0040756A"/>
    <w:rsid w:val="00407779"/>
    <w:rsid w:val="00407DAF"/>
    <w:rsid w:val="00407E1E"/>
    <w:rsid w:val="00407F4D"/>
    <w:rsid w:val="0041069A"/>
    <w:rsid w:val="00410E5C"/>
    <w:rsid w:val="00411E42"/>
    <w:rsid w:val="00412529"/>
    <w:rsid w:val="00412712"/>
    <w:rsid w:val="0041506B"/>
    <w:rsid w:val="00415C97"/>
    <w:rsid w:val="004160AA"/>
    <w:rsid w:val="00416CEA"/>
    <w:rsid w:val="00417C01"/>
    <w:rsid w:val="00420283"/>
    <w:rsid w:val="00420B62"/>
    <w:rsid w:val="00421053"/>
    <w:rsid w:val="00421074"/>
    <w:rsid w:val="004214A8"/>
    <w:rsid w:val="00421505"/>
    <w:rsid w:val="00421FA3"/>
    <w:rsid w:val="0042273B"/>
    <w:rsid w:val="004235F7"/>
    <w:rsid w:val="004243DF"/>
    <w:rsid w:val="00424E4D"/>
    <w:rsid w:val="00425B1C"/>
    <w:rsid w:val="00425E24"/>
    <w:rsid w:val="00425E5A"/>
    <w:rsid w:val="0042618B"/>
    <w:rsid w:val="00426861"/>
    <w:rsid w:val="00426B5A"/>
    <w:rsid w:val="004271D1"/>
    <w:rsid w:val="00427AAF"/>
    <w:rsid w:val="00427E40"/>
    <w:rsid w:val="00427EAE"/>
    <w:rsid w:val="00427F0B"/>
    <w:rsid w:val="00427F2F"/>
    <w:rsid w:val="00430F40"/>
    <w:rsid w:val="00431B23"/>
    <w:rsid w:val="00432ECF"/>
    <w:rsid w:val="00433166"/>
    <w:rsid w:val="00433B8A"/>
    <w:rsid w:val="00433DB2"/>
    <w:rsid w:val="00434AF0"/>
    <w:rsid w:val="00434F5E"/>
    <w:rsid w:val="004358B7"/>
    <w:rsid w:val="004367A2"/>
    <w:rsid w:val="0043680D"/>
    <w:rsid w:val="004369FF"/>
    <w:rsid w:val="00436B81"/>
    <w:rsid w:val="004374EF"/>
    <w:rsid w:val="00437A9C"/>
    <w:rsid w:val="00437CD2"/>
    <w:rsid w:val="004408CF"/>
    <w:rsid w:val="00441DBD"/>
    <w:rsid w:val="0044208D"/>
    <w:rsid w:val="00442093"/>
    <w:rsid w:val="004420B0"/>
    <w:rsid w:val="004423A6"/>
    <w:rsid w:val="004425D7"/>
    <w:rsid w:val="00442908"/>
    <w:rsid w:val="00443ED6"/>
    <w:rsid w:val="004444F6"/>
    <w:rsid w:val="00445D30"/>
    <w:rsid w:val="0044609C"/>
    <w:rsid w:val="00446139"/>
    <w:rsid w:val="00446531"/>
    <w:rsid w:val="00446B76"/>
    <w:rsid w:val="004470A2"/>
    <w:rsid w:val="00447A41"/>
    <w:rsid w:val="0045006B"/>
    <w:rsid w:val="00450962"/>
    <w:rsid w:val="00450A6A"/>
    <w:rsid w:val="00450F3A"/>
    <w:rsid w:val="00451156"/>
    <w:rsid w:val="00451291"/>
    <w:rsid w:val="0045285B"/>
    <w:rsid w:val="004533B4"/>
    <w:rsid w:val="00453567"/>
    <w:rsid w:val="00453593"/>
    <w:rsid w:val="00453A0D"/>
    <w:rsid w:val="0045496A"/>
    <w:rsid w:val="00454F12"/>
    <w:rsid w:val="0045509C"/>
    <w:rsid w:val="0045549D"/>
    <w:rsid w:val="004563B2"/>
    <w:rsid w:val="00456508"/>
    <w:rsid w:val="004565AE"/>
    <w:rsid w:val="00456A8A"/>
    <w:rsid w:val="00456BAB"/>
    <w:rsid w:val="00456BBA"/>
    <w:rsid w:val="00456C4D"/>
    <w:rsid w:val="0045728C"/>
    <w:rsid w:val="00457475"/>
    <w:rsid w:val="0045799A"/>
    <w:rsid w:val="00457B88"/>
    <w:rsid w:val="004603AE"/>
    <w:rsid w:val="00461253"/>
    <w:rsid w:val="00461AD6"/>
    <w:rsid w:val="00462381"/>
    <w:rsid w:val="00462D42"/>
    <w:rsid w:val="0046324D"/>
    <w:rsid w:val="004636C8"/>
    <w:rsid w:val="004638B8"/>
    <w:rsid w:val="00463996"/>
    <w:rsid w:val="00464580"/>
    <w:rsid w:val="004645AE"/>
    <w:rsid w:val="00464DDD"/>
    <w:rsid w:val="00465BCB"/>
    <w:rsid w:val="00465D80"/>
    <w:rsid w:val="004660BF"/>
    <w:rsid w:val="004664D1"/>
    <w:rsid w:val="004672C6"/>
    <w:rsid w:val="004676E7"/>
    <w:rsid w:val="00467F21"/>
    <w:rsid w:val="00467F6C"/>
    <w:rsid w:val="00470657"/>
    <w:rsid w:val="00470C3E"/>
    <w:rsid w:val="00470CAD"/>
    <w:rsid w:val="0047131F"/>
    <w:rsid w:val="00472098"/>
    <w:rsid w:val="0047251C"/>
    <w:rsid w:val="00472AD4"/>
    <w:rsid w:val="00472BBF"/>
    <w:rsid w:val="0047351D"/>
    <w:rsid w:val="0047376D"/>
    <w:rsid w:val="00473C42"/>
    <w:rsid w:val="00474585"/>
    <w:rsid w:val="00474F60"/>
    <w:rsid w:val="004754F7"/>
    <w:rsid w:val="00475901"/>
    <w:rsid w:val="00475F9F"/>
    <w:rsid w:val="00476086"/>
    <w:rsid w:val="00476612"/>
    <w:rsid w:val="004776E7"/>
    <w:rsid w:val="00477791"/>
    <w:rsid w:val="0048058B"/>
    <w:rsid w:val="004806A5"/>
    <w:rsid w:val="00480702"/>
    <w:rsid w:val="00480B82"/>
    <w:rsid w:val="00480F88"/>
    <w:rsid w:val="00481856"/>
    <w:rsid w:val="00481986"/>
    <w:rsid w:val="00481F03"/>
    <w:rsid w:val="00482DC6"/>
    <w:rsid w:val="00483744"/>
    <w:rsid w:val="00483890"/>
    <w:rsid w:val="00483E07"/>
    <w:rsid w:val="004844D6"/>
    <w:rsid w:val="00484613"/>
    <w:rsid w:val="00484835"/>
    <w:rsid w:val="00484FDF"/>
    <w:rsid w:val="00486CE8"/>
    <w:rsid w:val="00486E7F"/>
    <w:rsid w:val="004871A5"/>
    <w:rsid w:val="00487719"/>
    <w:rsid w:val="00490021"/>
    <w:rsid w:val="00490E98"/>
    <w:rsid w:val="00491790"/>
    <w:rsid w:val="0049179C"/>
    <w:rsid w:val="004931BC"/>
    <w:rsid w:val="00493244"/>
    <w:rsid w:val="0049398A"/>
    <w:rsid w:val="004939C7"/>
    <w:rsid w:val="004944CE"/>
    <w:rsid w:val="00494937"/>
    <w:rsid w:val="00494A87"/>
    <w:rsid w:val="00494E6C"/>
    <w:rsid w:val="0049517E"/>
    <w:rsid w:val="0049667F"/>
    <w:rsid w:val="00496C8D"/>
    <w:rsid w:val="00497DBB"/>
    <w:rsid w:val="004A0378"/>
    <w:rsid w:val="004A05CF"/>
    <w:rsid w:val="004A0A76"/>
    <w:rsid w:val="004A0BAB"/>
    <w:rsid w:val="004A0CDE"/>
    <w:rsid w:val="004A1F0D"/>
    <w:rsid w:val="004A3A7A"/>
    <w:rsid w:val="004A3CD5"/>
    <w:rsid w:val="004A3DAC"/>
    <w:rsid w:val="004A458E"/>
    <w:rsid w:val="004A5224"/>
    <w:rsid w:val="004A5F4A"/>
    <w:rsid w:val="004A7F9E"/>
    <w:rsid w:val="004B0681"/>
    <w:rsid w:val="004B10A1"/>
    <w:rsid w:val="004B1A4D"/>
    <w:rsid w:val="004B1A75"/>
    <w:rsid w:val="004B22E2"/>
    <w:rsid w:val="004B230E"/>
    <w:rsid w:val="004B325A"/>
    <w:rsid w:val="004B3262"/>
    <w:rsid w:val="004B3595"/>
    <w:rsid w:val="004B381C"/>
    <w:rsid w:val="004B3AD9"/>
    <w:rsid w:val="004B425F"/>
    <w:rsid w:val="004B4A6E"/>
    <w:rsid w:val="004B521D"/>
    <w:rsid w:val="004B529B"/>
    <w:rsid w:val="004B6181"/>
    <w:rsid w:val="004B7049"/>
    <w:rsid w:val="004B74A7"/>
    <w:rsid w:val="004B772A"/>
    <w:rsid w:val="004C03AF"/>
    <w:rsid w:val="004C0DE6"/>
    <w:rsid w:val="004C149C"/>
    <w:rsid w:val="004C3D71"/>
    <w:rsid w:val="004C40FD"/>
    <w:rsid w:val="004C5257"/>
    <w:rsid w:val="004C547C"/>
    <w:rsid w:val="004C6229"/>
    <w:rsid w:val="004C6946"/>
    <w:rsid w:val="004C6E39"/>
    <w:rsid w:val="004D0153"/>
    <w:rsid w:val="004D046B"/>
    <w:rsid w:val="004D0D04"/>
    <w:rsid w:val="004D25D8"/>
    <w:rsid w:val="004D29E0"/>
    <w:rsid w:val="004D3125"/>
    <w:rsid w:val="004D3F7B"/>
    <w:rsid w:val="004D3FA4"/>
    <w:rsid w:val="004D41A4"/>
    <w:rsid w:val="004D48D3"/>
    <w:rsid w:val="004D52C2"/>
    <w:rsid w:val="004D53E8"/>
    <w:rsid w:val="004D5469"/>
    <w:rsid w:val="004D7047"/>
    <w:rsid w:val="004E0901"/>
    <w:rsid w:val="004E0EFB"/>
    <w:rsid w:val="004E1121"/>
    <w:rsid w:val="004E23BF"/>
    <w:rsid w:val="004E26A2"/>
    <w:rsid w:val="004E300A"/>
    <w:rsid w:val="004E3AB0"/>
    <w:rsid w:val="004E446A"/>
    <w:rsid w:val="004E49D2"/>
    <w:rsid w:val="004E605F"/>
    <w:rsid w:val="004E6BA9"/>
    <w:rsid w:val="004E6FA3"/>
    <w:rsid w:val="004E7E21"/>
    <w:rsid w:val="004F00BD"/>
    <w:rsid w:val="004F1337"/>
    <w:rsid w:val="004F22BE"/>
    <w:rsid w:val="004F3C57"/>
    <w:rsid w:val="004F40C6"/>
    <w:rsid w:val="004F465C"/>
    <w:rsid w:val="004F4954"/>
    <w:rsid w:val="004F4B47"/>
    <w:rsid w:val="004F5400"/>
    <w:rsid w:val="004F549B"/>
    <w:rsid w:val="005000DE"/>
    <w:rsid w:val="00500B39"/>
    <w:rsid w:val="00501E30"/>
    <w:rsid w:val="00502754"/>
    <w:rsid w:val="00503CF0"/>
    <w:rsid w:val="00503D7F"/>
    <w:rsid w:val="0050409B"/>
    <w:rsid w:val="005042C2"/>
    <w:rsid w:val="00504609"/>
    <w:rsid w:val="005048E0"/>
    <w:rsid w:val="00505069"/>
    <w:rsid w:val="005055A4"/>
    <w:rsid w:val="00505FDE"/>
    <w:rsid w:val="0050778C"/>
    <w:rsid w:val="005078F3"/>
    <w:rsid w:val="00507A78"/>
    <w:rsid w:val="005109A7"/>
    <w:rsid w:val="00510C17"/>
    <w:rsid w:val="005110E1"/>
    <w:rsid w:val="00511C3C"/>
    <w:rsid w:val="00511C93"/>
    <w:rsid w:val="00511D24"/>
    <w:rsid w:val="00512DE0"/>
    <w:rsid w:val="00513716"/>
    <w:rsid w:val="00514813"/>
    <w:rsid w:val="0051492E"/>
    <w:rsid w:val="00514E80"/>
    <w:rsid w:val="005154BA"/>
    <w:rsid w:val="00515FBA"/>
    <w:rsid w:val="005205F7"/>
    <w:rsid w:val="00520C2A"/>
    <w:rsid w:val="0052104A"/>
    <w:rsid w:val="0052164C"/>
    <w:rsid w:val="00521A61"/>
    <w:rsid w:val="00521D58"/>
    <w:rsid w:val="0052242B"/>
    <w:rsid w:val="00523D21"/>
    <w:rsid w:val="00524C35"/>
    <w:rsid w:val="00525715"/>
    <w:rsid w:val="00525AE9"/>
    <w:rsid w:val="00525DEF"/>
    <w:rsid w:val="005267E8"/>
    <w:rsid w:val="00530D0C"/>
    <w:rsid w:val="005311BD"/>
    <w:rsid w:val="00531C35"/>
    <w:rsid w:val="00531DB4"/>
    <w:rsid w:val="00532E63"/>
    <w:rsid w:val="0053301D"/>
    <w:rsid w:val="0053350C"/>
    <w:rsid w:val="005338DD"/>
    <w:rsid w:val="00537AB0"/>
    <w:rsid w:val="005401B2"/>
    <w:rsid w:val="0054054B"/>
    <w:rsid w:val="00540CEB"/>
    <w:rsid w:val="00540E38"/>
    <w:rsid w:val="005410F0"/>
    <w:rsid w:val="005411B2"/>
    <w:rsid w:val="00541D4C"/>
    <w:rsid w:val="00541FB3"/>
    <w:rsid w:val="00542635"/>
    <w:rsid w:val="00542736"/>
    <w:rsid w:val="0054284B"/>
    <w:rsid w:val="00543550"/>
    <w:rsid w:val="00543BCC"/>
    <w:rsid w:val="00544B1F"/>
    <w:rsid w:val="00544B37"/>
    <w:rsid w:val="0054540B"/>
    <w:rsid w:val="00545B17"/>
    <w:rsid w:val="00546ED1"/>
    <w:rsid w:val="0054719B"/>
    <w:rsid w:val="005475BA"/>
    <w:rsid w:val="00547E22"/>
    <w:rsid w:val="00550684"/>
    <w:rsid w:val="005509C0"/>
    <w:rsid w:val="005509C7"/>
    <w:rsid w:val="00551048"/>
    <w:rsid w:val="00551A4B"/>
    <w:rsid w:val="00551CA0"/>
    <w:rsid w:val="00552284"/>
    <w:rsid w:val="00552A59"/>
    <w:rsid w:val="00552D59"/>
    <w:rsid w:val="00552F5D"/>
    <w:rsid w:val="00553113"/>
    <w:rsid w:val="00553CA1"/>
    <w:rsid w:val="005544C5"/>
    <w:rsid w:val="0055473D"/>
    <w:rsid w:val="005553FD"/>
    <w:rsid w:val="00556F9D"/>
    <w:rsid w:val="005571FE"/>
    <w:rsid w:val="0055720B"/>
    <w:rsid w:val="005603C3"/>
    <w:rsid w:val="00560534"/>
    <w:rsid w:val="00560ABF"/>
    <w:rsid w:val="00560B04"/>
    <w:rsid w:val="00560EAC"/>
    <w:rsid w:val="0056145D"/>
    <w:rsid w:val="00561C1E"/>
    <w:rsid w:val="005622E9"/>
    <w:rsid w:val="0056368A"/>
    <w:rsid w:val="005636A4"/>
    <w:rsid w:val="00563CE5"/>
    <w:rsid w:val="00564158"/>
    <w:rsid w:val="0056427A"/>
    <w:rsid w:val="005642AF"/>
    <w:rsid w:val="0056494D"/>
    <w:rsid w:val="00564B84"/>
    <w:rsid w:val="00564EF8"/>
    <w:rsid w:val="005652CA"/>
    <w:rsid w:val="00565B6C"/>
    <w:rsid w:val="005664E7"/>
    <w:rsid w:val="00566C3B"/>
    <w:rsid w:val="0056730E"/>
    <w:rsid w:val="005673BA"/>
    <w:rsid w:val="005675DC"/>
    <w:rsid w:val="00570C47"/>
    <w:rsid w:val="00571277"/>
    <w:rsid w:val="0057155C"/>
    <w:rsid w:val="005718E6"/>
    <w:rsid w:val="00571AD8"/>
    <w:rsid w:val="005720B6"/>
    <w:rsid w:val="005722C4"/>
    <w:rsid w:val="005723C0"/>
    <w:rsid w:val="005724E0"/>
    <w:rsid w:val="0057263C"/>
    <w:rsid w:val="00572791"/>
    <w:rsid w:val="00572E89"/>
    <w:rsid w:val="005732F7"/>
    <w:rsid w:val="00573955"/>
    <w:rsid w:val="00573A2F"/>
    <w:rsid w:val="005745A9"/>
    <w:rsid w:val="00574D15"/>
    <w:rsid w:val="005754C1"/>
    <w:rsid w:val="00575ED4"/>
    <w:rsid w:val="0057613B"/>
    <w:rsid w:val="00576D3E"/>
    <w:rsid w:val="005808B0"/>
    <w:rsid w:val="00580EEF"/>
    <w:rsid w:val="00581408"/>
    <w:rsid w:val="00581A95"/>
    <w:rsid w:val="00582382"/>
    <w:rsid w:val="00583A27"/>
    <w:rsid w:val="00583D32"/>
    <w:rsid w:val="0058409C"/>
    <w:rsid w:val="005846A7"/>
    <w:rsid w:val="00584780"/>
    <w:rsid w:val="0058522A"/>
    <w:rsid w:val="00586195"/>
    <w:rsid w:val="00586F88"/>
    <w:rsid w:val="00587466"/>
    <w:rsid w:val="005904F9"/>
    <w:rsid w:val="00590677"/>
    <w:rsid w:val="005911D1"/>
    <w:rsid w:val="0059172D"/>
    <w:rsid w:val="00591C25"/>
    <w:rsid w:val="005929A3"/>
    <w:rsid w:val="00593568"/>
    <w:rsid w:val="005948EC"/>
    <w:rsid w:val="005950E6"/>
    <w:rsid w:val="00595E9D"/>
    <w:rsid w:val="00596890"/>
    <w:rsid w:val="005A27E0"/>
    <w:rsid w:val="005A2DD1"/>
    <w:rsid w:val="005A3375"/>
    <w:rsid w:val="005A37FA"/>
    <w:rsid w:val="005A4E8D"/>
    <w:rsid w:val="005A5450"/>
    <w:rsid w:val="005A5493"/>
    <w:rsid w:val="005A5544"/>
    <w:rsid w:val="005A6367"/>
    <w:rsid w:val="005A692F"/>
    <w:rsid w:val="005A7582"/>
    <w:rsid w:val="005B02AC"/>
    <w:rsid w:val="005B069C"/>
    <w:rsid w:val="005B0BBC"/>
    <w:rsid w:val="005B18FE"/>
    <w:rsid w:val="005B195A"/>
    <w:rsid w:val="005B225F"/>
    <w:rsid w:val="005B25EE"/>
    <w:rsid w:val="005B2E9F"/>
    <w:rsid w:val="005B3252"/>
    <w:rsid w:val="005B3685"/>
    <w:rsid w:val="005B3D23"/>
    <w:rsid w:val="005B6279"/>
    <w:rsid w:val="005B641F"/>
    <w:rsid w:val="005B6435"/>
    <w:rsid w:val="005B64EE"/>
    <w:rsid w:val="005B6AE7"/>
    <w:rsid w:val="005B6F07"/>
    <w:rsid w:val="005B732B"/>
    <w:rsid w:val="005B77E5"/>
    <w:rsid w:val="005B7EFA"/>
    <w:rsid w:val="005B7FD6"/>
    <w:rsid w:val="005C05F6"/>
    <w:rsid w:val="005C0FF7"/>
    <w:rsid w:val="005C12D9"/>
    <w:rsid w:val="005C1DF7"/>
    <w:rsid w:val="005C21FC"/>
    <w:rsid w:val="005C27DA"/>
    <w:rsid w:val="005C3480"/>
    <w:rsid w:val="005C360D"/>
    <w:rsid w:val="005C38DE"/>
    <w:rsid w:val="005C397D"/>
    <w:rsid w:val="005C40E7"/>
    <w:rsid w:val="005C4F60"/>
    <w:rsid w:val="005C5325"/>
    <w:rsid w:val="005C58D3"/>
    <w:rsid w:val="005C5A49"/>
    <w:rsid w:val="005C5A93"/>
    <w:rsid w:val="005C5D91"/>
    <w:rsid w:val="005C60D2"/>
    <w:rsid w:val="005C666C"/>
    <w:rsid w:val="005C6AAC"/>
    <w:rsid w:val="005D0DA6"/>
    <w:rsid w:val="005D1112"/>
    <w:rsid w:val="005D1318"/>
    <w:rsid w:val="005D21B5"/>
    <w:rsid w:val="005D2FB3"/>
    <w:rsid w:val="005D34DD"/>
    <w:rsid w:val="005D46E5"/>
    <w:rsid w:val="005D4D38"/>
    <w:rsid w:val="005D527D"/>
    <w:rsid w:val="005D53EC"/>
    <w:rsid w:val="005D562D"/>
    <w:rsid w:val="005D5B24"/>
    <w:rsid w:val="005D5C23"/>
    <w:rsid w:val="005D62C9"/>
    <w:rsid w:val="005D66A0"/>
    <w:rsid w:val="005D6933"/>
    <w:rsid w:val="005D7F63"/>
    <w:rsid w:val="005E0B1D"/>
    <w:rsid w:val="005E15E9"/>
    <w:rsid w:val="005E1639"/>
    <w:rsid w:val="005E17DF"/>
    <w:rsid w:val="005E3381"/>
    <w:rsid w:val="005E3498"/>
    <w:rsid w:val="005E3CF7"/>
    <w:rsid w:val="005E3E34"/>
    <w:rsid w:val="005E51CC"/>
    <w:rsid w:val="005E68F0"/>
    <w:rsid w:val="005E6F76"/>
    <w:rsid w:val="005E7AC2"/>
    <w:rsid w:val="005F098B"/>
    <w:rsid w:val="005F1702"/>
    <w:rsid w:val="005F19CB"/>
    <w:rsid w:val="005F246D"/>
    <w:rsid w:val="005F33CC"/>
    <w:rsid w:val="005F39A3"/>
    <w:rsid w:val="005F3D23"/>
    <w:rsid w:val="005F43F4"/>
    <w:rsid w:val="005F4B4F"/>
    <w:rsid w:val="005F4FD0"/>
    <w:rsid w:val="005F559F"/>
    <w:rsid w:val="005F5846"/>
    <w:rsid w:val="005F70D9"/>
    <w:rsid w:val="005F71FE"/>
    <w:rsid w:val="005F7742"/>
    <w:rsid w:val="005F79EB"/>
    <w:rsid w:val="006000ED"/>
    <w:rsid w:val="006002F8"/>
    <w:rsid w:val="006014DA"/>
    <w:rsid w:val="00601DAA"/>
    <w:rsid w:val="00602220"/>
    <w:rsid w:val="00602401"/>
    <w:rsid w:val="006031AF"/>
    <w:rsid w:val="0060369F"/>
    <w:rsid w:val="006042EF"/>
    <w:rsid w:val="00604322"/>
    <w:rsid w:val="00604661"/>
    <w:rsid w:val="00604DE6"/>
    <w:rsid w:val="00604E90"/>
    <w:rsid w:val="00604F95"/>
    <w:rsid w:val="00605AA7"/>
    <w:rsid w:val="006068D7"/>
    <w:rsid w:val="00606E73"/>
    <w:rsid w:val="00606F24"/>
    <w:rsid w:val="00607E7E"/>
    <w:rsid w:val="0061004D"/>
    <w:rsid w:val="006107AF"/>
    <w:rsid w:val="00610A9D"/>
    <w:rsid w:val="00611324"/>
    <w:rsid w:val="0061198C"/>
    <w:rsid w:val="00611E58"/>
    <w:rsid w:val="0061290E"/>
    <w:rsid w:val="006135F2"/>
    <w:rsid w:val="00613C68"/>
    <w:rsid w:val="00613D0B"/>
    <w:rsid w:val="00614091"/>
    <w:rsid w:val="00614F51"/>
    <w:rsid w:val="00615171"/>
    <w:rsid w:val="006163F7"/>
    <w:rsid w:val="0061690D"/>
    <w:rsid w:val="0061767C"/>
    <w:rsid w:val="006176DB"/>
    <w:rsid w:val="00617BEC"/>
    <w:rsid w:val="00620540"/>
    <w:rsid w:val="0062088B"/>
    <w:rsid w:val="0062091D"/>
    <w:rsid w:val="00620B96"/>
    <w:rsid w:val="006210E0"/>
    <w:rsid w:val="00621182"/>
    <w:rsid w:val="00621613"/>
    <w:rsid w:val="0062168F"/>
    <w:rsid w:val="0062209C"/>
    <w:rsid w:val="00622A92"/>
    <w:rsid w:val="00622FAF"/>
    <w:rsid w:val="0062309E"/>
    <w:rsid w:val="0062320E"/>
    <w:rsid w:val="006234BB"/>
    <w:rsid w:val="00623EE9"/>
    <w:rsid w:val="00624F56"/>
    <w:rsid w:val="0062506E"/>
    <w:rsid w:val="00625799"/>
    <w:rsid w:val="00625B04"/>
    <w:rsid w:val="00626069"/>
    <w:rsid w:val="006263B2"/>
    <w:rsid w:val="00626478"/>
    <w:rsid w:val="00627A69"/>
    <w:rsid w:val="00630440"/>
    <w:rsid w:val="00630678"/>
    <w:rsid w:val="00631694"/>
    <w:rsid w:val="006316DE"/>
    <w:rsid w:val="006323CB"/>
    <w:rsid w:val="00632EC3"/>
    <w:rsid w:val="00632FDF"/>
    <w:rsid w:val="00633066"/>
    <w:rsid w:val="006332F6"/>
    <w:rsid w:val="00633622"/>
    <w:rsid w:val="00634549"/>
    <w:rsid w:val="0063489F"/>
    <w:rsid w:val="00634E0A"/>
    <w:rsid w:val="00635784"/>
    <w:rsid w:val="006362F1"/>
    <w:rsid w:val="00636424"/>
    <w:rsid w:val="006365D8"/>
    <w:rsid w:val="00637820"/>
    <w:rsid w:val="00637AE1"/>
    <w:rsid w:val="0064027A"/>
    <w:rsid w:val="006403ED"/>
    <w:rsid w:val="0064046C"/>
    <w:rsid w:val="00640B2D"/>
    <w:rsid w:val="00642027"/>
    <w:rsid w:val="006421B8"/>
    <w:rsid w:val="006436AD"/>
    <w:rsid w:val="00644612"/>
    <w:rsid w:val="00644D5E"/>
    <w:rsid w:val="00644F2D"/>
    <w:rsid w:val="00645A5B"/>
    <w:rsid w:val="00645B27"/>
    <w:rsid w:val="00645DFD"/>
    <w:rsid w:val="00646108"/>
    <w:rsid w:val="006463E5"/>
    <w:rsid w:val="006464A9"/>
    <w:rsid w:val="00646780"/>
    <w:rsid w:val="00646DFB"/>
    <w:rsid w:val="00647409"/>
    <w:rsid w:val="00647AB3"/>
    <w:rsid w:val="00650CE4"/>
    <w:rsid w:val="006521E3"/>
    <w:rsid w:val="00652389"/>
    <w:rsid w:val="00653691"/>
    <w:rsid w:val="00653BA0"/>
    <w:rsid w:val="00653C39"/>
    <w:rsid w:val="00654871"/>
    <w:rsid w:val="00654D76"/>
    <w:rsid w:val="00654E38"/>
    <w:rsid w:val="00654EDE"/>
    <w:rsid w:val="00655508"/>
    <w:rsid w:val="0065602E"/>
    <w:rsid w:val="006560B2"/>
    <w:rsid w:val="0066005C"/>
    <w:rsid w:val="006604E4"/>
    <w:rsid w:val="006608FF"/>
    <w:rsid w:val="00662D8F"/>
    <w:rsid w:val="00664908"/>
    <w:rsid w:val="0066593A"/>
    <w:rsid w:val="006660DB"/>
    <w:rsid w:val="006661F4"/>
    <w:rsid w:val="0066651B"/>
    <w:rsid w:val="006670AF"/>
    <w:rsid w:val="006670C8"/>
    <w:rsid w:val="00670B93"/>
    <w:rsid w:val="0067151C"/>
    <w:rsid w:val="00671529"/>
    <w:rsid w:val="00672861"/>
    <w:rsid w:val="006729D0"/>
    <w:rsid w:val="006731C7"/>
    <w:rsid w:val="00673A4C"/>
    <w:rsid w:val="00673E5F"/>
    <w:rsid w:val="00673F0B"/>
    <w:rsid w:val="0067450A"/>
    <w:rsid w:val="00674EF2"/>
    <w:rsid w:val="00675079"/>
    <w:rsid w:val="00675541"/>
    <w:rsid w:val="006756EE"/>
    <w:rsid w:val="00675748"/>
    <w:rsid w:val="006758D6"/>
    <w:rsid w:val="00675A2F"/>
    <w:rsid w:val="00675A87"/>
    <w:rsid w:val="00676495"/>
    <w:rsid w:val="006767BE"/>
    <w:rsid w:val="00676BAF"/>
    <w:rsid w:val="0067763D"/>
    <w:rsid w:val="006779BD"/>
    <w:rsid w:val="006779F0"/>
    <w:rsid w:val="00677AED"/>
    <w:rsid w:val="00677E02"/>
    <w:rsid w:val="006808C9"/>
    <w:rsid w:val="006808F3"/>
    <w:rsid w:val="00680ABE"/>
    <w:rsid w:val="00680C7F"/>
    <w:rsid w:val="00681233"/>
    <w:rsid w:val="00681AF4"/>
    <w:rsid w:val="00681B7B"/>
    <w:rsid w:val="00682137"/>
    <w:rsid w:val="006821D3"/>
    <w:rsid w:val="00682C58"/>
    <w:rsid w:val="00683F7E"/>
    <w:rsid w:val="00684BE9"/>
    <w:rsid w:val="00685368"/>
    <w:rsid w:val="006854B3"/>
    <w:rsid w:val="0068599B"/>
    <w:rsid w:val="00685B7C"/>
    <w:rsid w:val="00685B84"/>
    <w:rsid w:val="00685DC0"/>
    <w:rsid w:val="00686528"/>
    <w:rsid w:val="00687513"/>
    <w:rsid w:val="00687715"/>
    <w:rsid w:val="00690023"/>
    <w:rsid w:val="00690FDA"/>
    <w:rsid w:val="0069132E"/>
    <w:rsid w:val="006918CD"/>
    <w:rsid w:val="00691BAF"/>
    <w:rsid w:val="006923FE"/>
    <w:rsid w:val="006926ED"/>
    <w:rsid w:val="006932FC"/>
    <w:rsid w:val="00693E68"/>
    <w:rsid w:val="0069470B"/>
    <w:rsid w:val="00694958"/>
    <w:rsid w:val="00694E62"/>
    <w:rsid w:val="006953DA"/>
    <w:rsid w:val="006959B5"/>
    <w:rsid w:val="00695D39"/>
    <w:rsid w:val="00696000"/>
    <w:rsid w:val="006964E2"/>
    <w:rsid w:val="0069659E"/>
    <w:rsid w:val="006972F7"/>
    <w:rsid w:val="00697355"/>
    <w:rsid w:val="006A0911"/>
    <w:rsid w:val="006A13C0"/>
    <w:rsid w:val="006A2A8B"/>
    <w:rsid w:val="006A31AE"/>
    <w:rsid w:val="006A339F"/>
    <w:rsid w:val="006A3691"/>
    <w:rsid w:val="006A375C"/>
    <w:rsid w:val="006A590B"/>
    <w:rsid w:val="006A65B7"/>
    <w:rsid w:val="006A6A96"/>
    <w:rsid w:val="006A71BA"/>
    <w:rsid w:val="006A7316"/>
    <w:rsid w:val="006A79E8"/>
    <w:rsid w:val="006B01BD"/>
    <w:rsid w:val="006B041F"/>
    <w:rsid w:val="006B0F1C"/>
    <w:rsid w:val="006B12FB"/>
    <w:rsid w:val="006B1DF8"/>
    <w:rsid w:val="006B1FD3"/>
    <w:rsid w:val="006B287A"/>
    <w:rsid w:val="006B2EC0"/>
    <w:rsid w:val="006B3507"/>
    <w:rsid w:val="006B3587"/>
    <w:rsid w:val="006B4084"/>
    <w:rsid w:val="006B4CBF"/>
    <w:rsid w:val="006B57D1"/>
    <w:rsid w:val="006B5EC9"/>
    <w:rsid w:val="006B61F8"/>
    <w:rsid w:val="006B6226"/>
    <w:rsid w:val="006B6C7D"/>
    <w:rsid w:val="006B6D05"/>
    <w:rsid w:val="006B7221"/>
    <w:rsid w:val="006B729C"/>
    <w:rsid w:val="006B7312"/>
    <w:rsid w:val="006B7469"/>
    <w:rsid w:val="006B76EA"/>
    <w:rsid w:val="006B77BE"/>
    <w:rsid w:val="006C0F1B"/>
    <w:rsid w:val="006C0F64"/>
    <w:rsid w:val="006C0FAF"/>
    <w:rsid w:val="006C20E4"/>
    <w:rsid w:val="006C22FD"/>
    <w:rsid w:val="006C2AC3"/>
    <w:rsid w:val="006C327D"/>
    <w:rsid w:val="006C3933"/>
    <w:rsid w:val="006C3BE3"/>
    <w:rsid w:val="006C3CC7"/>
    <w:rsid w:val="006C4143"/>
    <w:rsid w:val="006C458A"/>
    <w:rsid w:val="006C46F0"/>
    <w:rsid w:val="006C4974"/>
    <w:rsid w:val="006C4FC0"/>
    <w:rsid w:val="006C51A0"/>
    <w:rsid w:val="006C52F9"/>
    <w:rsid w:val="006C59CD"/>
    <w:rsid w:val="006C614A"/>
    <w:rsid w:val="006C72EA"/>
    <w:rsid w:val="006C7BE9"/>
    <w:rsid w:val="006D0088"/>
    <w:rsid w:val="006D00EA"/>
    <w:rsid w:val="006D057A"/>
    <w:rsid w:val="006D1033"/>
    <w:rsid w:val="006D21D1"/>
    <w:rsid w:val="006D3110"/>
    <w:rsid w:val="006D3C17"/>
    <w:rsid w:val="006D41D5"/>
    <w:rsid w:val="006D4657"/>
    <w:rsid w:val="006D4668"/>
    <w:rsid w:val="006D46AC"/>
    <w:rsid w:val="006D4AB1"/>
    <w:rsid w:val="006D4F83"/>
    <w:rsid w:val="006D54D4"/>
    <w:rsid w:val="006D56DC"/>
    <w:rsid w:val="006D5C39"/>
    <w:rsid w:val="006D5CA5"/>
    <w:rsid w:val="006D64D1"/>
    <w:rsid w:val="006D66A6"/>
    <w:rsid w:val="006E0703"/>
    <w:rsid w:val="006E0DFE"/>
    <w:rsid w:val="006E16E0"/>
    <w:rsid w:val="006E1EA9"/>
    <w:rsid w:val="006E1FD4"/>
    <w:rsid w:val="006E21EB"/>
    <w:rsid w:val="006E22BE"/>
    <w:rsid w:val="006E2EC3"/>
    <w:rsid w:val="006E2F7C"/>
    <w:rsid w:val="006E32D9"/>
    <w:rsid w:val="006E3524"/>
    <w:rsid w:val="006E4472"/>
    <w:rsid w:val="006E472D"/>
    <w:rsid w:val="006E4979"/>
    <w:rsid w:val="006E4EE1"/>
    <w:rsid w:val="006E5276"/>
    <w:rsid w:val="006E5EF0"/>
    <w:rsid w:val="006E60CB"/>
    <w:rsid w:val="006E6E2B"/>
    <w:rsid w:val="006E702A"/>
    <w:rsid w:val="006E7445"/>
    <w:rsid w:val="006E78B1"/>
    <w:rsid w:val="006E7EFD"/>
    <w:rsid w:val="006F0AAE"/>
    <w:rsid w:val="006F11B0"/>
    <w:rsid w:val="006F150B"/>
    <w:rsid w:val="006F1BC7"/>
    <w:rsid w:val="006F1BFF"/>
    <w:rsid w:val="006F28E4"/>
    <w:rsid w:val="006F2B10"/>
    <w:rsid w:val="006F2D55"/>
    <w:rsid w:val="006F2EAC"/>
    <w:rsid w:val="006F3166"/>
    <w:rsid w:val="006F32F6"/>
    <w:rsid w:val="006F354E"/>
    <w:rsid w:val="006F377E"/>
    <w:rsid w:val="006F382E"/>
    <w:rsid w:val="006F3DA5"/>
    <w:rsid w:val="006F461C"/>
    <w:rsid w:val="006F4ED4"/>
    <w:rsid w:val="006F6947"/>
    <w:rsid w:val="006F6966"/>
    <w:rsid w:val="006F7422"/>
    <w:rsid w:val="006F7B42"/>
    <w:rsid w:val="006F7F05"/>
    <w:rsid w:val="006F7FD6"/>
    <w:rsid w:val="007008FD"/>
    <w:rsid w:val="00700CC5"/>
    <w:rsid w:val="00701786"/>
    <w:rsid w:val="007019F4"/>
    <w:rsid w:val="007028BF"/>
    <w:rsid w:val="007029F1"/>
    <w:rsid w:val="00702F5D"/>
    <w:rsid w:val="007030DC"/>
    <w:rsid w:val="00704151"/>
    <w:rsid w:val="007045CE"/>
    <w:rsid w:val="007048AD"/>
    <w:rsid w:val="00704E6E"/>
    <w:rsid w:val="00705B22"/>
    <w:rsid w:val="00706784"/>
    <w:rsid w:val="00706B30"/>
    <w:rsid w:val="0070777A"/>
    <w:rsid w:val="007078C3"/>
    <w:rsid w:val="00707AF6"/>
    <w:rsid w:val="00707EF5"/>
    <w:rsid w:val="007111F6"/>
    <w:rsid w:val="007114A7"/>
    <w:rsid w:val="00711588"/>
    <w:rsid w:val="00711879"/>
    <w:rsid w:val="00712698"/>
    <w:rsid w:val="00714498"/>
    <w:rsid w:val="00715B04"/>
    <w:rsid w:val="00715FB2"/>
    <w:rsid w:val="007161E2"/>
    <w:rsid w:val="00716221"/>
    <w:rsid w:val="00716725"/>
    <w:rsid w:val="0071673C"/>
    <w:rsid w:val="007167BF"/>
    <w:rsid w:val="00716E07"/>
    <w:rsid w:val="00717EF2"/>
    <w:rsid w:val="007206CD"/>
    <w:rsid w:val="0072082B"/>
    <w:rsid w:val="00720A6B"/>
    <w:rsid w:val="00721408"/>
    <w:rsid w:val="00722288"/>
    <w:rsid w:val="0072263E"/>
    <w:rsid w:val="00722D0D"/>
    <w:rsid w:val="00723322"/>
    <w:rsid w:val="00723389"/>
    <w:rsid w:val="007237E7"/>
    <w:rsid w:val="007239C9"/>
    <w:rsid w:val="007241EA"/>
    <w:rsid w:val="00724A14"/>
    <w:rsid w:val="00724ACD"/>
    <w:rsid w:val="00725A4B"/>
    <w:rsid w:val="0072666A"/>
    <w:rsid w:val="007266D7"/>
    <w:rsid w:val="007268F9"/>
    <w:rsid w:val="00727B5E"/>
    <w:rsid w:val="00730D28"/>
    <w:rsid w:val="007317E5"/>
    <w:rsid w:val="0073218F"/>
    <w:rsid w:val="0073297A"/>
    <w:rsid w:val="007340D3"/>
    <w:rsid w:val="00734361"/>
    <w:rsid w:val="00734936"/>
    <w:rsid w:val="00734AA0"/>
    <w:rsid w:val="00736141"/>
    <w:rsid w:val="00736BF2"/>
    <w:rsid w:val="0073769C"/>
    <w:rsid w:val="007403EC"/>
    <w:rsid w:val="007404BB"/>
    <w:rsid w:val="00740803"/>
    <w:rsid w:val="007421B7"/>
    <w:rsid w:val="00742968"/>
    <w:rsid w:val="00743934"/>
    <w:rsid w:val="00743D17"/>
    <w:rsid w:val="00744C77"/>
    <w:rsid w:val="0074576E"/>
    <w:rsid w:val="00745C04"/>
    <w:rsid w:val="00751265"/>
    <w:rsid w:val="00751886"/>
    <w:rsid w:val="00751EAA"/>
    <w:rsid w:val="0075307D"/>
    <w:rsid w:val="0075422F"/>
    <w:rsid w:val="00754750"/>
    <w:rsid w:val="00754A55"/>
    <w:rsid w:val="00754D4F"/>
    <w:rsid w:val="0075517F"/>
    <w:rsid w:val="00755C33"/>
    <w:rsid w:val="00756547"/>
    <w:rsid w:val="007577AA"/>
    <w:rsid w:val="00757923"/>
    <w:rsid w:val="00757998"/>
    <w:rsid w:val="00757AC8"/>
    <w:rsid w:val="00757AD7"/>
    <w:rsid w:val="00757C89"/>
    <w:rsid w:val="00757EC7"/>
    <w:rsid w:val="00760725"/>
    <w:rsid w:val="00760E30"/>
    <w:rsid w:val="007612AD"/>
    <w:rsid w:val="0076144B"/>
    <w:rsid w:val="007616B1"/>
    <w:rsid w:val="00762199"/>
    <w:rsid w:val="00762D96"/>
    <w:rsid w:val="007638A3"/>
    <w:rsid w:val="00764C0C"/>
    <w:rsid w:val="00765BA8"/>
    <w:rsid w:val="00765BB2"/>
    <w:rsid w:val="00765D8E"/>
    <w:rsid w:val="007665AD"/>
    <w:rsid w:val="00766BF8"/>
    <w:rsid w:val="00770028"/>
    <w:rsid w:val="007701B9"/>
    <w:rsid w:val="0077030C"/>
    <w:rsid w:val="00770B6E"/>
    <w:rsid w:val="00771E9A"/>
    <w:rsid w:val="00772ECE"/>
    <w:rsid w:val="0077317D"/>
    <w:rsid w:val="00773E10"/>
    <w:rsid w:val="00773F2A"/>
    <w:rsid w:val="00774B2C"/>
    <w:rsid w:val="00774ECB"/>
    <w:rsid w:val="00775278"/>
    <w:rsid w:val="0077573E"/>
    <w:rsid w:val="00775F48"/>
    <w:rsid w:val="007764C6"/>
    <w:rsid w:val="0077708F"/>
    <w:rsid w:val="00777408"/>
    <w:rsid w:val="00777B87"/>
    <w:rsid w:val="00777FB8"/>
    <w:rsid w:val="00780354"/>
    <w:rsid w:val="00780B09"/>
    <w:rsid w:val="00780C97"/>
    <w:rsid w:val="007819F8"/>
    <w:rsid w:val="007824D6"/>
    <w:rsid w:val="007828F5"/>
    <w:rsid w:val="00783023"/>
    <w:rsid w:val="007832D9"/>
    <w:rsid w:val="007839BF"/>
    <w:rsid w:val="00784A96"/>
    <w:rsid w:val="00785815"/>
    <w:rsid w:val="00785859"/>
    <w:rsid w:val="00785C31"/>
    <w:rsid w:val="007866A8"/>
    <w:rsid w:val="00786C1D"/>
    <w:rsid w:val="00787D15"/>
    <w:rsid w:val="007907BD"/>
    <w:rsid w:val="00790E6B"/>
    <w:rsid w:val="00790FA0"/>
    <w:rsid w:val="00791230"/>
    <w:rsid w:val="007913B7"/>
    <w:rsid w:val="007923BC"/>
    <w:rsid w:val="00793294"/>
    <w:rsid w:val="00793780"/>
    <w:rsid w:val="00793E11"/>
    <w:rsid w:val="0079428A"/>
    <w:rsid w:val="007954C4"/>
    <w:rsid w:val="00795540"/>
    <w:rsid w:val="00795E2D"/>
    <w:rsid w:val="007974B3"/>
    <w:rsid w:val="00797C15"/>
    <w:rsid w:val="007A032E"/>
    <w:rsid w:val="007A044A"/>
    <w:rsid w:val="007A0ACC"/>
    <w:rsid w:val="007A0B3B"/>
    <w:rsid w:val="007A1390"/>
    <w:rsid w:val="007A19CE"/>
    <w:rsid w:val="007A21E3"/>
    <w:rsid w:val="007A267A"/>
    <w:rsid w:val="007A2CA6"/>
    <w:rsid w:val="007A36A7"/>
    <w:rsid w:val="007A36FD"/>
    <w:rsid w:val="007A407E"/>
    <w:rsid w:val="007A4192"/>
    <w:rsid w:val="007A4CAE"/>
    <w:rsid w:val="007A6F75"/>
    <w:rsid w:val="007A7023"/>
    <w:rsid w:val="007A7409"/>
    <w:rsid w:val="007A772D"/>
    <w:rsid w:val="007A77A8"/>
    <w:rsid w:val="007A7A86"/>
    <w:rsid w:val="007A7BBF"/>
    <w:rsid w:val="007B0F64"/>
    <w:rsid w:val="007B1A8C"/>
    <w:rsid w:val="007B1F65"/>
    <w:rsid w:val="007B540F"/>
    <w:rsid w:val="007B58DB"/>
    <w:rsid w:val="007B5ACB"/>
    <w:rsid w:val="007B6160"/>
    <w:rsid w:val="007B6C98"/>
    <w:rsid w:val="007B6EAA"/>
    <w:rsid w:val="007B7EB5"/>
    <w:rsid w:val="007C016A"/>
    <w:rsid w:val="007C0288"/>
    <w:rsid w:val="007C02AE"/>
    <w:rsid w:val="007C0B32"/>
    <w:rsid w:val="007C1722"/>
    <w:rsid w:val="007C1A82"/>
    <w:rsid w:val="007C29E3"/>
    <w:rsid w:val="007C2AA5"/>
    <w:rsid w:val="007C2B94"/>
    <w:rsid w:val="007C36BF"/>
    <w:rsid w:val="007C3974"/>
    <w:rsid w:val="007C4446"/>
    <w:rsid w:val="007C44CE"/>
    <w:rsid w:val="007C4FA5"/>
    <w:rsid w:val="007C5090"/>
    <w:rsid w:val="007C52B0"/>
    <w:rsid w:val="007C571C"/>
    <w:rsid w:val="007C5768"/>
    <w:rsid w:val="007C6EC2"/>
    <w:rsid w:val="007C7A45"/>
    <w:rsid w:val="007C7B13"/>
    <w:rsid w:val="007D1364"/>
    <w:rsid w:val="007D3AD3"/>
    <w:rsid w:val="007D3D25"/>
    <w:rsid w:val="007D425A"/>
    <w:rsid w:val="007D4A32"/>
    <w:rsid w:val="007D54EB"/>
    <w:rsid w:val="007D5A93"/>
    <w:rsid w:val="007D5DFE"/>
    <w:rsid w:val="007D78A4"/>
    <w:rsid w:val="007D7C80"/>
    <w:rsid w:val="007D7ED4"/>
    <w:rsid w:val="007E0339"/>
    <w:rsid w:val="007E16DF"/>
    <w:rsid w:val="007E183C"/>
    <w:rsid w:val="007E21C1"/>
    <w:rsid w:val="007E2DA6"/>
    <w:rsid w:val="007E4054"/>
    <w:rsid w:val="007E43BD"/>
    <w:rsid w:val="007E51A3"/>
    <w:rsid w:val="007F03B9"/>
    <w:rsid w:val="007F04B3"/>
    <w:rsid w:val="007F054B"/>
    <w:rsid w:val="007F0A41"/>
    <w:rsid w:val="007F1B89"/>
    <w:rsid w:val="007F2095"/>
    <w:rsid w:val="007F2B45"/>
    <w:rsid w:val="007F2EBE"/>
    <w:rsid w:val="007F2FB3"/>
    <w:rsid w:val="007F3825"/>
    <w:rsid w:val="007F3983"/>
    <w:rsid w:val="007F3B54"/>
    <w:rsid w:val="007F4EE7"/>
    <w:rsid w:val="007F66E4"/>
    <w:rsid w:val="007F702D"/>
    <w:rsid w:val="007F7323"/>
    <w:rsid w:val="007F7843"/>
    <w:rsid w:val="007F7A51"/>
    <w:rsid w:val="00800074"/>
    <w:rsid w:val="0080009E"/>
    <w:rsid w:val="0080127D"/>
    <w:rsid w:val="00801835"/>
    <w:rsid w:val="00801B8E"/>
    <w:rsid w:val="00801D87"/>
    <w:rsid w:val="008020A0"/>
    <w:rsid w:val="008026EF"/>
    <w:rsid w:val="00803276"/>
    <w:rsid w:val="00803427"/>
    <w:rsid w:val="008036CB"/>
    <w:rsid w:val="00803B77"/>
    <w:rsid w:val="00803D75"/>
    <w:rsid w:val="00804628"/>
    <w:rsid w:val="008048DE"/>
    <w:rsid w:val="008055DD"/>
    <w:rsid w:val="00805625"/>
    <w:rsid w:val="008056E9"/>
    <w:rsid w:val="00805AE7"/>
    <w:rsid w:val="00805BA7"/>
    <w:rsid w:val="00805DB4"/>
    <w:rsid w:val="008060FD"/>
    <w:rsid w:val="00806E5B"/>
    <w:rsid w:val="008070CC"/>
    <w:rsid w:val="008072AB"/>
    <w:rsid w:val="00807E13"/>
    <w:rsid w:val="00807F4C"/>
    <w:rsid w:val="00810C13"/>
    <w:rsid w:val="00812390"/>
    <w:rsid w:val="00812577"/>
    <w:rsid w:val="0081257E"/>
    <w:rsid w:val="00814138"/>
    <w:rsid w:val="008143EE"/>
    <w:rsid w:val="00814723"/>
    <w:rsid w:val="00814A54"/>
    <w:rsid w:val="0081640C"/>
    <w:rsid w:val="00817266"/>
    <w:rsid w:val="00817BBB"/>
    <w:rsid w:val="00817E57"/>
    <w:rsid w:val="008200D8"/>
    <w:rsid w:val="00820414"/>
    <w:rsid w:val="0082046D"/>
    <w:rsid w:val="00820C74"/>
    <w:rsid w:val="00820D6E"/>
    <w:rsid w:val="008219F3"/>
    <w:rsid w:val="00823200"/>
    <w:rsid w:val="00824480"/>
    <w:rsid w:val="00825509"/>
    <w:rsid w:val="008255E2"/>
    <w:rsid w:val="00825EC9"/>
    <w:rsid w:val="0082675B"/>
    <w:rsid w:val="008267D3"/>
    <w:rsid w:val="00826C9D"/>
    <w:rsid w:val="008270DC"/>
    <w:rsid w:val="0083003B"/>
    <w:rsid w:val="008309A0"/>
    <w:rsid w:val="008310E5"/>
    <w:rsid w:val="008317C8"/>
    <w:rsid w:val="00832304"/>
    <w:rsid w:val="00832DFD"/>
    <w:rsid w:val="00832E90"/>
    <w:rsid w:val="00833279"/>
    <w:rsid w:val="00833512"/>
    <w:rsid w:val="00833AD0"/>
    <w:rsid w:val="00833E03"/>
    <w:rsid w:val="00833E59"/>
    <w:rsid w:val="00834164"/>
    <w:rsid w:val="00834741"/>
    <w:rsid w:val="00834902"/>
    <w:rsid w:val="00834B4E"/>
    <w:rsid w:val="00835400"/>
    <w:rsid w:val="00835B19"/>
    <w:rsid w:val="00836767"/>
    <w:rsid w:val="00837510"/>
    <w:rsid w:val="0083786D"/>
    <w:rsid w:val="00837C2C"/>
    <w:rsid w:val="008400DD"/>
    <w:rsid w:val="008406AD"/>
    <w:rsid w:val="00841594"/>
    <w:rsid w:val="0084160B"/>
    <w:rsid w:val="00841994"/>
    <w:rsid w:val="0084203C"/>
    <w:rsid w:val="00842691"/>
    <w:rsid w:val="00843757"/>
    <w:rsid w:val="00843B3D"/>
    <w:rsid w:val="00844C7C"/>
    <w:rsid w:val="00844E4E"/>
    <w:rsid w:val="008450F3"/>
    <w:rsid w:val="0084535E"/>
    <w:rsid w:val="00847237"/>
    <w:rsid w:val="008477B5"/>
    <w:rsid w:val="00847DF9"/>
    <w:rsid w:val="0085018E"/>
    <w:rsid w:val="00850706"/>
    <w:rsid w:val="00850802"/>
    <w:rsid w:val="00850863"/>
    <w:rsid w:val="00851679"/>
    <w:rsid w:val="00852A1D"/>
    <w:rsid w:val="00852F71"/>
    <w:rsid w:val="008530B7"/>
    <w:rsid w:val="0085372A"/>
    <w:rsid w:val="008537C9"/>
    <w:rsid w:val="00853AB0"/>
    <w:rsid w:val="0085466B"/>
    <w:rsid w:val="008547D0"/>
    <w:rsid w:val="0085516A"/>
    <w:rsid w:val="00855298"/>
    <w:rsid w:val="008552E0"/>
    <w:rsid w:val="008557F1"/>
    <w:rsid w:val="00855906"/>
    <w:rsid w:val="00856000"/>
    <w:rsid w:val="008567C8"/>
    <w:rsid w:val="00856D2B"/>
    <w:rsid w:val="0085722A"/>
    <w:rsid w:val="008608D5"/>
    <w:rsid w:val="00860BA3"/>
    <w:rsid w:val="00860ED2"/>
    <w:rsid w:val="00861B2A"/>
    <w:rsid w:val="00861C6B"/>
    <w:rsid w:val="00861FB6"/>
    <w:rsid w:val="00862A7A"/>
    <w:rsid w:val="00862C62"/>
    <w:rsid w:val="008631BC"/>
    <w:rsid w:val="008632EA"/>
    <w:rsid w:val="00863402"/>
    <w:rsid w:val="0086399C"/>
    <w:rsid w:val="00864A11"/>
    <w:rsid w:val="00864F2E"/>
    <w:rsid w:val="00865349"/>
    <w:rsid w:val="008653B6"/>
    <w:rsid w:val="00865F86"/>
    <w:rsid w:val="00866339"/>
    <w:rsid w:val="0086636F"/>
    <w:rsid w:val="00866418"/>
    <w:rsid w:val="00866636"/>
    <w:rsid w:val="00867117"/>
    <w:rsid w:val="00867245"/>
    <w:rsid w:val="0086762C"/>
    <w:rsid w:val="00867E00"/>
    <w:rsid w:val="00870C0C"/>
    <w:rsid w:val="00871B19"/>
    <w:rsid w:val="00872342"/>
    <w:rsid w:val="008726C0"/>
    <w:rsid w:val="00872737"/>
    <w:rsid w:val="008739C3"/>
    <w:rsid w:val="00874383"/>
    <w:rsid w:val="008743CC"/>
    <w:rsid w:val="0087487E"/>
    <w:rsid w:val="00874B9B"/>
    <w:rsid w:val="00874FF4"/>
    <w:rsid w:val="008754B8"/>
    <w:rsid w:val="008759CC"/>
    <w:rsid w:val="00875DF2"/>
    <w:rsid w:val="0087710E"/>
    <w:rsid w:val="00877127"/>
    <w:rsid w:val="008774AC"/>
    <w:rsid w:val="00877567"/>
    <w:rsid w:val="00877B7B"/>
    <w:rsid w:val="00877C68"/>
    <w:rsid w:val="00880A15"/>
    <w:rsid w:val="00880DD8"/>
    <w:rsid w:val="00881062"/>
    <w:rsid w:val="00881224"/>
    <w:rsid w:val="00881DD5"/>
    <w:rsid w:val="0088236B"/>
    <w:rsid w:val="0088351B"/>
    <w:rsid w:val="0088431A"/>
    <w:rsid w:val="0088443F"/>
    <w:rsid w:val="008856DC"/>
    <w:rsid w:val="00886AF5"/>
    <w:rsid w:val="00886D6B"/>
    <w:rsid w:val="0088703F"/>
    <w:rsid w:val="0088751B"/>
    <w:rsid w:val="0088768B"/>
    <w:rsid w:val="008918F0"/>
    <w:rsid w:val="008918FA"/>
    <w:rsid w:val="00891D8B"/>
    <w:rsid w:val="00892831"/>
    <w:rsid w:val="00892E96"/>
    <w:rsid w:val="00893AFD"/>
    <w:rsid w:val="00893DFB"/>
    <w:rsid w:val="00894541"/>
    <w:rsid w:val="00894760"/>
    <w:rsid w:val="00894A4B"/>
    <w:rsid w:val="00894D8B"/>
    <w:rsid w:val="008955B8"/>
    <w:rsid w:val="00896E95"/>
    <w:rsid w:val="008971D2"/>
    <w:rsid w:val="00897667"/>
    <w:rsid w:val="008977D4"/>
    <w:rsid w:val="008A1131"/>
    <w:rsid w:val="008A1990"/>
    <w:rsid w:val="008A1B8A"/>
    <w:rsid w:val="008A1E8C"/>
    <w:rsid w:val="008A1EA7"/>
    <w:rsid w:val="008A232A"/>
    <w:rsid w:val="008A27D1"/>
    <w:rsid w:val="008A27E3"/>
    <w:rsid w:val="008A2AC0"/>
    <w:rsid w:val="008A3907"/>
    <w:rsid w:val="008A393F"/>
    <w:rsid w:val="008A39E3"/>
    <w:rsid w:val="008A413C"/>
    <w:rsid w:val="008A4A3A"/>
    <w:rsid w:val="008A5051"/>
    <w:rsid w:val="008A63B8"/>
    <w:rsid w:val="008A762F"/>
    <w:rsid w:val="008A7C64"/>
    <w:rsid w:val="008B038B"/>
    <w:rsid w:val="008B0A68"/>
    <w:rsid w:val="008B0CC2"/>
    <w:rsid w:val="008B14B7"/>
    <w:rsid w:val="008B3057"/>
    <w:rsid w:val="008B3715"/>
    <w:rsid w:val="008B3B5D"/>
    <w:rsid w:val="008B3F35"/>
    <w:rsid w:val="008B45DF"/>
    <w:rsid w:val="008B5068"/>
    <w:rsid w:val="008B54A4"/>
    <w:rsid w:val="008B5798"/>
    <w:rsid w:val="008B5B37"/>
    <w:rsid w:val="008B61FF"/>
    <w:rsid w:val="008B708B"/>
    <w:rsid w:val="008B733D"/>
    <w:rsid w:val="008B763A"/>
    <w:rsid w:val="008B7824"/>
    <w:rsid w:val="008B7B3F"/>
    <w:rsid w:val="008C04C8"/>
    <w:rsid w:val="008C0FB4"/>
    <w:rsid w:val="008C17E0"/>
    <w:rsid w:val="008C19D8"/>
    <w:rsid w:val="008C1F04"/>
    <w:rsid w:val="008C200E"/>
    <w:rsid w:val="008C47C2"/>
    <w:rsid w:val="008C49DB"/>
    <w:rsid w:val="008C4EEC"/>
    <w:rsid w:val="008C517D"/>
    <w:rsid w:val="008C5273"/>
    <w:rsid w:val="008C566B"/>
    <w:rsid w:val="008C6792"/>
    <w:rsid w:val="008C6F4B"/>
    <w:rsid w:val="008C6FF5"/>
    <w:rsid w:val="008C7B3A"/>
    <w:rsid w:val="008D0693"/>
    <w:rsid w:val="008D0778"/>
    <w:rsid w:val="008D1DA8"/>
    <w:rsid w:val="008D2AF4"/>
    <w:rsid w:val="008D3450"/>
    <w:rsid w:val="008D37C7"/>
    <w:rsid w:val="008D3902"/>
    <w:rsid w:val="008D51A6"/>
    <w:rsid w:val="008D52C2"/>
    <w:rsid w:val="008D539F"/>
    <w:rsid w:val="008D5B8F"/>
    <w:rsid w:val="008D68A4"/>
    <w:rsid w:val="008D6CBA"/>
    <w:rsid w:val="008D7060"/>
    <w:rsid w:val="008D731A"/>
    <w:rsid w:val="008D75B6"/>
    <w:rsid w:val="008E032F"/>
    <w:rsid w:val="008E0605"/>
    <w:rsid w:val="008E096F"/>
    <w:rsid w:val="008E0ADD"/>
    <w:rsid w:val="008E0EA1"/>
    <w:rsid w:val="008E0EEE"/>
    <w:rsid w:val="008E0F98"/>
    <w:rsid w:val="008E2EF8"/>
    <w:rsid w:val="008E2F5D"/>
    <w:rsid w:val="008E30EA"/>
    <w:rsid w:val="008E397D"/>
    <w:rsid w:val="008E3F74"/>
    <w:rsid w:val="008E439F"/>
    <w:rsid w:val="008E51C6"/>
    <w:rsid w:val="008E5949"/>
    <w:rsid w:val="008E6394"/>
    <w:rsid w:val="008F0C52"/>
    <w:rsid w:val="008F1763"/>
    <w:rsid w:val="008F1814"/>
    <w:rsid w:val="008F206A"/>
    <w:rsid w:val="008F248D"/>
    <w:rsid w:val="008F2A1C"/>
    <w:rsid w:val="008F3DAD"/>
    <w:rsid w:val="008F4423"/>
    <w:rsid w:val="008F4BDA"/>
    <w:rsid w:val="008F67D9"/>
    <w:rsid w:val="009004E7"/>
    <w:rsid w:val="009009C2"/>
    <w:rsid w:val="009009E3"/>
    <w:rsid w:val="00901B13"/>
    <w:rsid w:val="0090299E"/>
    <w:rsid w:val="00902D3C"/>
    <w:rsid w:val="0090348D"/>
    <w:rsid w:val="00903C34"/>
    <w:rsid w:val="00904B6B"/>
    <w:rsid w:val="009052CF"/>
    <w:rsid w:val="00906517"/>
    <w:rsid w:val="0090668D"/>
    <w:rsid w:val="0090701B"/>
    <w:rsid w:val="00907498"/>
    <w:rsid w:val="0091038B"/>
    <w:rsid w:val="0091158E"/>
    <w:rsid w:val="00911AF8"/>
    <w:rsid w:val="009120D5"/>
    <w:rsid w:val="009126FA"/>
    <w:rsid w:val="009129E2"/>
    <w:rsid w:val="0091335F"/>
    <w:rsid w:val="009134A7"/>
    <w:rsid w:val="00913B1E"/>
    <w:rsid w:val="00914348"/>
    <w:rsid w:val="00914541"/>
    <w:rsid w:val="00914F96"/>
    <w:rsid w:val="00915B5D"/>
    <w:rsid w:val="00916A7B"/>
    <w:rsid w:val="00916BEF"/>
    <w:rsid w:val="009178E5"/>
    <w:rsid w:val="00917B80"/>
    <w:rsid w:val="00920C39"/>
    <w:rsid w:val="00920F9D"/>
    <w:rsid w:val="00922AA5"/>
    <w:rsid w:val="00922AC1"/>
    <w:rsid w:val="0092382D"/>
    <w:rsid w:val="00923AA2"/>
    <w:rsid w:val="00923BC2"/>
    <w:rsid w:val="00923DE6"/>
    <w:rsid w:val="00924386"/>
    <w:rsid w:val="0092481A"/>
    <w:rsid w:val="00924974"/>
    <w:rsid w:val="00924C40"/>
    <w:rsid w:val="0092516D"/>
    <w:rsid w:val="00925572"/>
    <w:rsid w:val="009255B3"/>
    <w:rsid w:val="009255B4"/>
    <w:rsid w:val="00925B73"/>
    <w:rsid w:val="0092645D"/>
    <w:rsid w:val="009265C8"/>
    <w:rsid w:val="0092693B"/>
    <w:rsid w:val="0092710D"/>
    <w:rsid w:val="0092770F"/>
    <w:rsid w:val="00927B0E"/>
    <w:rsid w:val="00927DD0"/>
    <w:rsid w:val="00930223"/>
    <w:rsid w:val="009304DA"/>
    <w:rsid w:val="0093060D"/>
    <w:rsid w:val="009306E4"/>
    <w:rsid w:val="009306F5"/>
    <w:rsid w:val="009307E2"/>
    <w:rsid w:val="0093192A"/>
    <w:rsid w:val="00931F0D"/>
    <w:rsid w:val="009328FF"/>
    <w:rsid w:val="00933349"/>
    <w:rsid w:val="00933695"/>
    <w:rsid w:val="00934C28"/>
    <w:rsid w:val="009351C1"/>
    <w:rsid w:val="009351FB"/>
    <w:rsid w:val="00935DD7"/>
    <w:rsid w:val="0093605E"/>
    <w:rsid w:val="009360E9"/>
    <w:rsid w:val="009363FF"/>
    <w:rsid w:val="00936656"/>
    <w:rsid w:val="009366C8"/>
    <w:rsid w:val="00937258"/>
    <w:rsid w:val="0094080C"/>
    <w:rsid w:val="00940971"/>
    <w:rsid w:val="0094111B"/>
    <w:rsid w:val="009411B4"/>
    <w:rsid w:val="00942256"/>
    <w:rsid w:val="009426E3"/>
    <w:rsid w:val="00942F30"/>
    <w:rsid w:val="00943425"/>
    <w:rsid w:val="00943913"/>
    <w:rsid w:val="00943CF5"/>
    <w:rsid w:val="00944576"/>
    <w:rsid w:val="009449B4"/>
    <w:rsid w:val="00944A75"/>
    <w:rsid w:val="009456A9"/>
    <w:rsid w:val="0094720A"/>
    <w:rsid w:val="009472E5"/>
    <w:rsid w:val="00950287"/>
    <w:rsid w:val="009508AA"/>
    <w:rsid w:val="00950974"/>
    <w:rsid w:val="00950AF5"/>
    <w:rsid w:val="009520D9"/>
    <w:rsid w:val="009523F7"/>
    <w:rsid w:val="00952568"/>
    <w:rsid w:val="00952A80"/>
    <w:rsid w:val="0095315B"/>
    <w:rsid w:val="00953437"/>
    <w:rsid w:val="0095377F"/>
    <w:rsid w:val="009542FF"/>
    <w:rsid w:val="00954943"/>
    <w:rsid w:val="00955851"/>
    <w:rsid w:val="00955B0D"/>
    <w:rsid w:val="0095699C"/>
    <w:rsid w:val="00956B0C"/>
    <w:rsid w:val="00956BDF"/>
    <w:rsid w:val="00956CA5"/>
    <w:rsid w:val="00956EB3"/>
    <w:rsid w:val="0095782E"/>
    <w:rsid w:val="0096092F"/>
    <w:rsid w:val="00960A1F"/>
    <w:rsid w:val="0096182E"/>
    <w:rsid w:val="009618A1"/>
    <w:rsid w:val="00961C9C"/>
    <w:rsid w:val="009625EF"/>
    <w:rsid w:val="009626EA"/>
    <w:rsid w:val="00962C13"/>
    <w:rsid w:val="00962C55"/>
    <w:rsid w:val="00963052"/>
    <w:rsid w:val="009632E0"/>
    <w:rsid w:val="0096347D"/>
    <w:rsid w:val="009635AE"/>
    <w:rsid w:val="00963BCC"/>
    <w:rsid w:val="00963EFD"/>
    <w:rsid w:val="009640B0"/>
    <w:rsid w:val="00964992"/>
    <w:rsid w:val="00964DA8"/>
    <w:rsid w:val="009650F7"/>
    <w:rsid w:val="00965E5A"/>
    <w:rsid w:val="00965F1B"/>
    <w:rsid w:val="00966B39"/>
    <w:rsid w:val="00966B43"/>
    <w:rsid w:val="009672CB"/>
    <w:rsid w:val="00967460"/>
    <w:rsid w:val="009674A8"/>
    <w:rsid w:val="009701F1"/>
    <w:rsid w:val="009706B5"/>
    <w:rsid w:val="00970923"/>
    <w:rsid w:val="00970A3C"/>
    <w:rsid w:val="00971D7D"/>
    <w:rsid w:val="00973F15"/>
    <w:rsid w:val="00974426"/>
    <w:rsid w:val="00974488"/>
    <w:rsid w:val="00974D77"/>
    <w:rsid w:val="00974DBC"/>
    <w:rsid w:val="00975F79"/>
    <w:rsid w:val="00976510"/>
    <w:rsid w:val="0097696C"/>
    <w:rsid w:val="00977449"/>
    <w:rsid w:val="00977B2E"/>
    <w:rsid w:val="00980C90"/>
    <w:rsid w:val="00980D9C"/>
    <w:rsid w:val="00980FAE"/>
    <w:rsid w:val="009811C5"/>
    <w:rsid w:val="009813E0"/>
    <w:rsid w:val="009815D4"/>
    <w:rsid w:val="0098197D"/>
    <w:rsid w:val="00981AFD"/>
    <w:rsid w:val="009821AD"/>
    <w:rsid w:val="009822D2"/>
    <w:rsid w:val="0098270D"/>
    <w:rsid w:val="0098291A"/>
    <w:rsid w:val="00983301"/>
    <w:rsid w:val="0098395A"/>
    <w:rsid w:val="00983DC3"/>
    <w:rsid w:val="00983FD4"/>
    <w:rsid w:val="00984488"/>
    <w:rsid w:val="00985086"/>
    <w:rsid w:val="00985117"/>
    <w:rsid w:val="009857D4"/>
    <w:rsid w:val="0098595A"/>
    <w:rsid w:val="00985FD2"/>
    <w:rsid w:val="009860F3"/>
    <w:rsid w:val="00986B57"/>
    <w:rsid w:val="00987556"/>
    <w:rsid w:val="00987B88"/>
    <w:rsid w:val="0099002A"/>
    <w:rsid w:val="0099017C"/>
    <w:rsid w:val="00990874"/>
    <w:rsid w:val="00990E7A"/>
    <w:rsid w:val="0099111A"/>
    <w:rsid w:val="00991731"/>
    <w:rsid w:val="00991DB9"/>
    <w:rsid w:val="00992E14"/>
    <w:rsid w:val="00993403"/>
    <w:rsid w:val="009939D2"/>
    <w:rsid w:val="00994661"/>
    <w:rsid w:val="00995105"/>
    <w:rsid w:val="00995DC2"/>
    <w:rsid w:val="0099634F"/>
    <w:rsid w:val="0099638D"/>
    <w:rsid w:val="00996816"/>
    <w:rsid w:val="00996F51"/>
    <w:rsid w:val="00997206"/>
    <w:rsid w:val="009975EB"/>
    <w:rsid w:val="009977B3"/>
    <w:rsid w:val="00997A42"/>
    <w:rsid w:val="00997D77"/>
    <w:rsid w:val="009A0A71"/>
    <w:rsid w:val="009A141B"/>
    <w:rsid w:val="009A149B"/>
    <w:rsid w:val="009A1F3F"/>
    <w:rsid w:val="009A2319"/>
    <w:rsid w:val="009A2AF9"/>
    <w:rsid w:val="009A2CC2"/>
    <w:rsid w:val="009A36EC"/>
    <w:rsid w:val="009A47DF"/>
    <w:rsid w:val="009A5687"/>
    <w:rsid w:val="009A5790"/>
    <w:rsid w:val="009A6734"/>
    <w:rsid w:val="009A6964"/>
    <w:rsid w:val="009A7BF9"/>
    <w:rsid w:val="009A7CAF"/>
    <w:rsid w:val="009A7FF1"/>
    <w:rsid w:val="009B04EF"/>
    <w:rsid w:val="009B09EF"/>
    <w:rsid w:val="009B229D"/>
    <w:rsid w:val="009B253B"/>
    <w:rsid w:val="009B2E4D"/>
    <w:rsid w:val="009B3003"/>
    <w:rsid w:val="009B3E2E"/>
    <w:rsid w:val="009B500F"/>
    <w:rsid w:val="009B51D3"/>
    <w:rsid w:val="009B52AE"/>
    <w:rsid w:val="009B6A73"/>
    <w:rsid w:val="009B6B29"/>
    <w:rsid w:val="009B6EEF"/>
    <w:rsid w:val="009B72BE"/>
    <w:rsid w:val="009B7546"/>
    <w:rsid w:val="009B7E6F"/>
    <w:rsid w:val="009C0398"/>
    <w:rsid w:val="009C115E"/>
    <w:rsid w:val="009C1BAD"/>
    <w:rsid w:val="009C29CA"/>
    <w:rsid w:val="009C2B8C"/>
    <w:rsid w:val="009C2E7A"/>
    <w:rsid w:val="009C34C6"/>
    <w:rsid w:val="009C3714"/>
    <w:rsid w:val="009C3B2C"/>
    <w:rsid w:val="009C3BD9"/>
    <w:rsid w:val="009C3F9B"/>
    <w:rsid w:val="009C44E9"/>
    <w:rsid w:val="009C498F"/>
    <w:rsid w:val="009C4C2E"/>
    <w:rsid w:val="009C66E9"/>
    <w:rsid w:val="009C6F00"/>
    <w:rsid w:val="009C758B"/>
    <w:rsid w:val="009C773C"/>
    <w:rsid w:val="009D0139"/>
    <w:rsid w:val="009D0AD5"/>
    <w:rsid w:val="009D0C66"/>
    <w:rsid w:val="009D120E"/>
    <w:rsid w:val="009D186A"/>
    <w:rsid w:val="009D1F96"/>
    <w:rsid w:val="009D2777"/>
    <w:rsid w:val="009D27C0"/>
    <w:rsid w:val="009D3344"/>
    <w:rsid w:val="009D335D"/>
    <w:rsid w:val="009D3F79"/>
    <w:rsid w:val="009D4914"/>
    <w:rsid w:val="009D4FA8"/>
    <w:rsid w:val="009D5122"/>
    <w:rsid w:val="009D5255"/>
    <w:rsid w:val="009D52C8"/>
    <w:rsid w:val="009D54DE"/>
    <w:rsid w:val="009D7C94"/>
    <w:rsid w:val="009E0627"/>
    <w:rsid w:val="009E07F8"/>
    <w:rsid w:val="009E1176"/>
    <w:rsid w:val="009E16F1"/>
    <w:rsid w:val="009E2005"/>
    <w:rsid w:val="009E3015"/>
    <w:rsid w:val="009E357C"/>
    <w:rsid w:val="009E44B4"/>
    <w:rsid w:val="009E6109"/>
    <w:rsid w:val="009E6959"/>
    <w:rsid w:val="009E7672"/>
    <w:rsid w:val="009E7767"/>
    <w:rsid w:val="009E7938"/>
    <w:rsid w:val="009E7D61"/>
    <w:rsid w:val="009E7E87"/>
    <w:rsid w:val="009F0266"/>
    <w:rsid w:val="009F0348"/>
    <w:rsid w:val="009F0A70"/>
    <w:rsid w:val="009F0B9B"/>
    <w:rsid w:val="009F100D"/>
    <w:rsid w:val="009F1ED6"/>
    <w:rsid w:val="009F214F"/>
    <w:rsid w:val="009F244D"/>
    <w:rsid w:val="009F261D"/>
    <w:rsid w:val="009F42A5"/>
    <w:rsid w:val="009F49F9"/>
    <w:rsid w:val="009F4D47"/>
    <w:rsid w:val="009F4F6E"/>
    <w:rsid w:val="009F51C0"/>
    <w:rsid w:val="009F5CDC"/>
    <w:rsid w:val="009F5D2A"/>
    <w:rsid w:val="009F6098"/>
    <w:rsid w:val="009F628B"/>
    <w:rsid w:val="009F64CA"/>
    <w:rsid w:val="009F67B7"/>
    <w:rsid w:val="009F6B8F"/>
    <w:rsid w:val="009F7221"/>
    <w:rsid w:val="009F76DD"/>
    <w:rsid w:val="009F7AC3"/>
    <w:rsid w:val="00A01434"/>
    <w:rsid w:val="00A0154D"/>
    <w:rsid w:val="00A03A01"/>
    <w:rsid w:val="00A03BDC"/>
    <w:rsid w:val="00A03C34"/>
    <w:rsid w:val="00A040D2"/>
    <w:rsid w:val="00A044BB"/>
    <w:rsid w:val="00A04ADF"/>
    <w:rsid w:val="00A050D3"/>
    <w:rsid w:val="00A05289"/>
    <w:rsid w:val="00A059E3"/>
    <w:rsid w:val="00A06011"/>
    <w:rsid w:val="00A061A6"/>
    <w:rsid w:val="00A06C28"/>
    <w:rsid w:val="00A07039"/>
    <w:rsid w:val="00A0718B"/>
    <w:rsid w:val="00A07495"/>
    <w:rsid w:val="00A07B24"/>
    <w:rsid w:val="00A1053D"/>
    <w:rsid w:val="00A10812"/>
    <w:rsid w:val="00A10976"/>
    <w:rsid w:val="00A10DA6"/>
    <w:rsid w:val="00A11224"/>
    <w:rsid w:val="00A11DEE"/>
    <w:rsid w:val="00A12B67"/>
    <w:rsid w:val="00A13208"/>
    <w:rsid w:val="00A13C61"/>
    <w:rsid w:val="00A1442D"/>
    <w:rsid w:val="00A14A04"/>
    <w:rsid w:val="00A15761"/>
    <w:rsid w:val="00A169FE"/>
    <w:rsid w:val="00A16D4E"/>
    <w:rsid w:val="00A1723C"/>
    <w:rsid w:val="00A17881"/>
    <w:rsid w:val="00A17D7B"/>
    <w:rsid w:val="00A20479"/>
    <w:rsid w:val="00A2056B"/>
    <w:rsid w:val="00A20B0B"/>
    <w:rsid w:val="00A21320"/>
    <w:rsid w:val="00A21CF8"/>
    <w:rsid w:val="00A22330"/>
    <w:rsid w:val="00A223AB"/>
    <w:rsid w:val="00A22A17"/>
    <w:rsid w:val="00A22C81"/>
    <w:rsid w:val="00A22FC2"/>
    <w:rsid w:val="00A23145"/>
    <w:rsid w:val="00A23459"/>
    <w:rsid w:val="00A2365D"/>
    <w:rsid w:val="00A23944"/>
    <w:rsid w:val="00A239B3"/>
    <w:rsid w:val="00A23ABE"/>
    <w:rsid w:val="00A23E48"/>
    <w:rsid w:val="00A248FE"/>
    <w:rsid w:val="00A24F30"/>
    <w:rsid w:val="00A2537E"/>
    <w:rsid w:val="00A257F9"/>
    <w:rsid w:val="00A269EE"/>
    <w:rsid w:val="00A26AFD"/>
    <w:rsid w:val="00A273F5"/>
    <w:rsid w:val="00A314C4"/>
    <w:rsid w:val="00A315AC"/>
    <w:rsid w:val="00A31A57"/>
    <w:rsid w:val="00A31BCE"/>
    <w:rsid w:val="00A31D1C"/>
    <w:rsid w:val="00A31E1D"/>
    <w:rsid w:val="00A31E1E"/>
    <w:rsid w:val="00A324E5"/>
    <w:rsid w:val="00A32F16"/>
    <w:rsid w:val="00A330C1"/>
    <w:rsid w:val="00A33107"/>
    <w:rsid w:val="00A3310D"/>
    <w:rsid w:val="00A33A59"/>
    <w:rsid w:val="00A34319"/>
    <w:rsid w:val="00A34530"/>
    <w:rsid w:val="00A34DF2"/>
    <w:rsid w:val="00A352FA"/>
    <w:rsid w:val="00A35587"/>
    <w:rsid w:val="00A355E4"/>
    <w:rsid w:val="00A363AA"/>
    <w:rsid w:val="00A3732F"/>
    <w:rsid w:val="00A37A50"/>
    <w:rsid w:val="00A37F9B"/>
    <w:rsid w:val="00A42A93"/>
    <w:rsid w:val="00A43DE7"/>
    <w:rsid w:val="00A447E6"/>
    <w:rsid w:val="00A44AE9"/>
    <w:rsid w:val="00A44DB9"/>
    <w:rsid w:val="00A450A0"/>
    <w:rsid w:val="00A45255"/>
    <w:rsid w:val="00A45AEC"/>
    <w:rsid w:val="00A45D88"/>
    <w:rsid w:val="00A45E2C"/>
    <w:rsid w:val="00A46562"/>
    <w:rsid w:val="00A46CE4"/>
    <w:rsid w:val="00A47663"/>
    <w:rsid w:val="00A47B71"/>
    <w:rsid w:val="00A50AF0"/>
    <w:rsid w:val="00A5106A"/>
    <w:rsid w:val="00A5122B"/>
    <w:rsid w:val="00A51C3A"/>
    <w:rsid w:val="00A5211E"/>
    <w:rsid w:val="00A53DA9"/>
    <w:rsid w:val="00A544A9"/>
    <w:rsid w:val="00A544B2"/>
    <w:rsid w:val="00A544C8"/>
    <w:rsid w:val="00A54632"/>
    <w:rsid w:val="00A55B43"/>
    <w:rsid w:val="00A55EF6"/>
    <w:rsid w:val="00A55FE9"/>
    <w:rsid w:val="00A56883"/>
    <w:rsid w:val="00A57D2F"/>
    <w:rsid w:val="00A601CE"/>
    <w:rsid w:val="00A61206"/>
    <w:rsid w:val="00A6131F"/>
    <w:rsid w:val="00A61D82"/>
    <w:rsid w:val="00A62DD9"/>
    <w:rsid w:val="00A62ED6"/>
    <w:rsid w:val="00A62FD0"/>
    <w:rsid w:val="00A6336F"/>
    <w:rsid w:val="00A63AFC"/>
    <w:rsid w:val="00A641F5"/>
    <w:rsid w:val="00A64B9D"/>
    <w:rsid w:val="00A655DD"/>
    <w:rsid w:val="00A65FB8"/>
    <w:rsid w:val="00A664DD"/>
    <w:rsid w:val="00A669AF"/>
    <w:rsid w:val="00A671AA"/>
    <w:rsid w:val="00A672A9"/>
    <w:rsid w:val="00A702BA"/>
    <w:rsid w:val="00A70651"/>
    <w:rsid w:val="00A71BF2"/>
    <w:rsid w:val="00A7276B"/>
    <w:rsid w:val="00A72AA0"/>
    <w:rsid w:val="00A72DB8"/>
    <w:rsid w:val="00A72FE3"/>
    <w:rsid w:val="00A73BC6"/>
    <w:rsid w:val="00A73E5E"/>
    <w:rsid w:val="00A73EC4"/>
    <w:rsid w:val="00A7401F"/>
    <w:rsid w:val="00A7495F"/>
    <w:rsid w:val="00A74B4B"/>
    <w:rsid w:val="00A752A1"/>
    <w:rsid w:val="00A7595C"/>
    <w:rsid w:val="00A76867"/>
    <w:rsid w:val="00A771A2"/>
    <w:rsid w:val="00A77322"/>
    <w:rsid w:val="00A775CF"/>
    <w:rsid w:val="00A777F6"/>
    <w:rsid w:val="00A8125A"/>
    <w:rsid w:val="00A81B73"/>
    <w:rsid w:val="00A82945"/>
    <w:rsid w:val="00A82AA7"/>
    <w:rsid w:val="00A82B23"/>
    <w:rsid w:val="00A82CFC"/>
    <w:rsid w:val="00A82D5B"/>
    <w:rsid w:val="00A8328C"/>
    <w:rsid w:val="00A833C2"/>
    <w:rsid w:val="00A834C0"/>
    <w:rsid w:val="00A83DE3"/>
    <w:rsid w:val="00A84346"/>
    <w:rsid w:val="00A85016"/>
    <w:rsid w:val="00A854BA"/>
    <w:rsid w:val="00A85B0D"/>
    <w:rsid w:val="00A867BD"/>
    <w:rsid w:val="00A8685E"/>
    <w:rsid w:val="00A874AC"/>
    <w:rsid w:val="00A907E4"/>
    <w:rsid w:val="00A90995"/>
    <w:rsid w:val="00A90B49"/>
    <w:rsid w:val="00A914FD"/>
    <w:rsid w:val="00A914FF"/>
    <w:rsid w:val="00A916C0"/>
    <w:rsid w:val="00A919A6"/>
    <w:rsid w:val="00A91A42"/>
    <w:rsid w:val="00A91A6E"/>
    <w:rsid w:val="00A91E04"/>
    <w:rsid w:val="00A91E36"/>
    <w:rsid w:val="00A92421"/>
    <w:rsid w:val="00A932CE"/>
    <w:rsid w:val="00A93D5D"/>
    <w:rsid w:val="00A943B3"/>
    <w:rsid w:val="00A9444F"/>
    <w:rsid w:val="00A948D9"/>
    <w:rsid w:val="00A94D8F"/>
    <w:rsid w:val="00A9595B"/>
    <w:rsid w:val="00A95E4F"/>
    <w:rsid w:val="00A95FE5"/>
    <w:rsid w:val="00A96885"/>
    <w:rsid w:val="00A96A35"/>
    <w:rsid w:val="00A97C1F"/>
    <w:rsid w:val="00A97CE3"/>
    <w:rsid w:val="00AA0016"/>
    <w:rsid w:val="00AA10BE"/>
    <w:rsid w:val="00AA14CC"/>
    <w:rsid w:val="00AA1C82"/>
    <w:rsid w:val="00AA2206"/>
    <w:rsid w:val="00AA268A"/>
    <w:rsid w:val="00AA2A65"/>
    <w:rsid w:val="00AA5ADA"/>
    <w:rsid w:val="00AA5F02"/>
    <w:rsid w:val="00AA68F9"/>
    <w:rsid w:val="00AA730E"/>
    <w:rsid w:val="00AA7664"/>
    <w:rsid w:val="00AA7DB0"/>
    <w:rsid w:val="00AB061B"/>
    <w:rsid w:val="00AB1372"/>
    <w:rsid w:val="00AB13F5"/>
    <w:rsid w:val="00AB15AE"/>
    <w:rsid w:val="00AB1C89"/>
    <w:rsid w:val="00AB2207"/>
    <w:rsid w:val="00AB2810"/>
    <w:rsid w:val="00AB37A5"/>
    <w:rsid w:val="00AB40F2"/>
    <w:rsid w:val="00AB411B"/>
    <w:rsid w:val="00AB5160"/>
    <w:rsid w:val="00AB65E8"/>
    <w:rsid w:val="00AB6843"/>
    <w:rsid w:val="00AB6D9C"/>
    <w:rsid w:val="00AB7A88"/>
    <w:rsid w:val="00AB7AAD"/>
    <w:rsid w:val="00AC031A"/>
    <w:rsid w:val="00AC0542"/>
    <w:rsid w:val="00AC0838"/>
    <w:rsid w:val="00AC0854"/>
    <w:rsid w:val="00AC0C61"/>
    <w:rsid w:val="00AC0D75"/>
    <w:rsid w:val="00AC16A6"/>
    <w:rsid w:val="00AC1AE0"/>
    <w:rsid w:val="00AC1C0E"/>
    <w:rsid w:val="00AC27CC"/>
    <w:rsid w:val="00AC349A"/>
    <w:rsid w:val="00AC3F14"/>
    <w:rsid w:val="00AC4085"/>
    <w:rsid w:val="00AC43ED"/>
    <w:rsid w:val="00AC4878"/>
    <w:rsid w:val="00AC5D30"/>
    <w:rsid w:val="00AC5FF2"/>
    <w:rsid w:val="00AC60CA"/>
    <w:rsid w:val="00AC66BB"/>
    <w:rsid w:val="00AC6AD7"/>
    <w:rsid w:val="00AC6E47"/>
    <w:rsid w:val="00AC7625"/>
    <w:rsid w:val="00AC7998"/>
    <w:rsid w:val="00AD070F"/>
    <w:rsid w:val="00AD08E3"/>
    <w:rsid w:val="00AD08ED"/>
    <w:rsid w:val="00AD1380"/>
    <w:rsid w:val="00AD1493"/>
    <w:rsid w:val="00AD1AF3"/>
    <w:rsid w:val="00AD1F80"/>
    <w:rsid w:val="00AD333F"/>
    <w:rsid w:val="00AD395E"/>
    <w:rsid w:val="00AD4DCF"/>
    <w:rsid w:val="00AD5453"/>
    <w:rsid w:val="00AD6453"/>
    <w:rsid w:val="00AD6959"/>
    <w:rsid w:val="00AD6DD9"/>
    <w:rsid w:val="00AD6FC3"/>
    <w:rsid w:val="00AE0171"/>
    <w:rsid w:val="00AE04ED"/>
    <w:rsid w:val="00AE104B"/>
    <w:rsid w:val="00AE1159"/>
    <w:rsid w:val="00AE1196"/>
    <w:rsid w:val="00AE16CE"/>
    <w:rsid w:val="00AE211B"/>
    <w:rsid w:val="00AE2279"/>
    <w:rsid w:val="00AE22CB"/>
    <w:rsid w:val="00AE2EA0"/>
    <w:rsid w:val="00AE339A"/>
    <w:rsid w:val="00AE3512"/>
    <w:rsid w:val="00AE3E96"/>
    <w:rsid w:val="00AE4184"/>
    <w:rsid w:val="00AE446D"/>
    <w:rsid w:val="00AE4DAE"/>
    <w:rsid w:val="00AE50C5"/>
    <w:rsid w:val="00AE5B89"/>
    <w:rsid w:val="00AE5EFA"/>
    <w:rsid w:val="00AE798F"/>
    <w:rsid w:val="00AF0F58"/>
    <w:rsid w:val="00AF1241"/>
    <w:rsid w:val="00AF1B9D"/>
    <w:rsid w:val="00AF206C"/>
    <w:rsid w:val="00AF220D"/>
    <w:rsid w:val="00AF282F"/>
    <w:rsid w:val="00AF2867"/>
    <w:rsid w:val="00AF30DE"/>
    <w:rsid w:val="00AF3CE6"/>
    <w:rsid w:val="00AF3DD9"/>
    <w:rsid w:val="00AF495B"/>
    <w:rsid w:val="00AF5C67"/>
    <w:rsid w:val="00AF6017"/>
    <w:rsid w:val="00AF6488"/>
    <w:rsid w:val="00AF66F9"/>
    <w:rsid w:val="00AF70C0"/>
    <w:rsid w:val="00AF770D"/>
    <w:rsid w:val="00AF786E"/>
    <w:rsid w:val="00B00256"/>
    <w:rsid w:val="00B0087B"/>
    <w:rsid w:val="00B02756"/>
    <w:rsid w:val="00B03067"/>
    <w:rsid w:val="00B030A5"/>
    <w:rsid w:val="00B03CD7"/>
    <w:rsid w:val="00B03DFE"/>
    <w:rsid w:val="00B03EF9"/>
    <w:rsid w:val="00B0532A"/>
    <w:rsid w:val="00B06045"/>
    <w:rsid w:val="00B0630F"/>
    <w:rsid w:val="00B06423"/>
    <w:rsid w:val="00B06741"/>
    <w:rsid w:val="00B069EB"/>
    <w:rsid w:val="00B0711D"/>
    <w:rsid w:val="00B074FC"/>
    <w:rsid w:val="00B0792A"/>
    <w:rsid w:val="00B07D78"/>
    <w:rsid w:val="00B10141"/>
    <w:rsid w:val="00B104A8"/>
    <w:rsid w:val="00B1066E"/>
    <w:rsid w:val="00B11C68"/>
    <w:rsid w:val="00B129C0"/>
    <w:rsid w:val="00B13034"/>
    <w:rsid w:val="00B130B2"/>
    <w:rsid w:val="00B1355D"/>
    <w:rsid w:val="00B139FB"/>
    <w:rsid w:val="00B13A74"/>
    <w:rsid w:val="00B14ADF"/>
    <w:rsid w:val="00B16985"/>
    <w:rsid w:val="00B20370"/>
    <w:rsid w:val="00B230C4"/>
    <w:rsid w:val="00B2322A"/>
    <w:rsid w:val="00B23739"/>
    <w:rsid w:val="00B25037"/>
    <w:rsid w:val="00B26DFF"/>
    <w:rsid w:val="00B30323"/>
    <w:rsid w:val="00B30341"/>
    <w:rsid w:val="00B3066C"/>
    <w:rsid w:val="00B30C83"/>
    <w:rsid w:val="00B30EDB"/>
    <w:rsid w:val="00B31160"/>
    <w:rsid w:val="00B315C1"/>
    <w:rsid w:val="00B31C18"/>
    <w:rsid w:val="00B32591"/>
    <w:rsid w:val="00B328E1"/>
    <w:rsid w:val="00B32BE6"/>
    <w:rsid w:val="00B32D1D"/>
    <w:rsid w:val="00B33AEF"/>
    <w:rsid w:val="00B34D1F"/>
    <w:rsid w:val="00B34DEE"/>
    <w:rsid w:val="00B35B34"/>
    <w:rsid w:val="00B37BE0"/>
    <w:rsid w:val="00B40E06"/>
    <w:rsid w:val="00B41215"/>
    <w:rsid w:val="00B41561"/>
    <w:rsid w:val="00B416AC"/>
    <w:rsid w:val="00B4178C"/>
    <w:rsid w:val="00B41973"/>
    <w:rsid w:val="00B419D1"/>
    <w:rsid w:val="00B41B74"/>
    <w:rsid w:val="00B4236A"/>
    <w:rsid w:val="00B43171"/>
    <w:rsid w:val="00B44276"/>
    <w:rsid w:val="00B44D25"/>
    <w:rsid w:val="00B456AA"/>
    <w:rsid w:val="00B460B7"/>
    <w:rsid w:val="00B46EA5"/>
    <w:rsid w:val="00B474EE"/>
    <w:rsid w:val="00B4797E"/>
    <w:rsid w:val="00B5066A"/>
    <w:rsid w:val="00B509D1"/>
    <w:rsid w:val="00B50E52"/>
    <w:rsid w:val="00B51022"/>
    <w:rsid w:val="00B51799"/>
    <w:rsid w:val="00B523CB"/>
    <w:rsid w:val="00B52D33"/>
    <w:rsid w:val="00B52FDA"/>
    <w:rsid w:val="00B5396B"/>
    <w:rsid w:val="00B54735"/>
    <w:rsid w:val="00B54C90"/>
    <w:rsid w:val="00B54D84"/>
    <w:rsid w:val="00B55384"/>
    <w:rsid w:val="00B553F5"/>
    <w:rsid w:val="00B5549E"/>
    <w:rsid w:val="00B55FA8"/>
    <w:rsid w:val="00B56148"/>
    <w:rsid w:val="00B5625D"/>
    <w:rsid w:val="00B56B41"/>
    <w:rsid w:val="00B57A81"/>
    <w:rsid w:val="00B60C9D"/>
    <w:rsid w:val="00B61473"/>
    <w:rsid w:val="00B626C8"/>
    <w:rsid w:val="00B6284B"/>
    <w:rsid w:val="00B62C54"/>
    <w:rsid w:val="00B63246"/>
    <w:rsid w:val="00B635B6"/>
    <w:rsid w:val="00B63880"/>
    <w:rsid w:val="00B63FDC"/>
    <w:rsid w:val="00B64494"/>
    <w:rsid w:val="00B64C00"/>
    <w:rsid w:val="00B66768"/>
    <w:rsid w:val="00B66923"/>
    <w:rsid w:val="00B66950"/>
    <w:rsid w:val="00B674D5"/>
    <w:rsid w:val="00B67ACF"/>
    <w:rsid w:val="00B70491"/>
    <w:rsid w:val="00B70E5E"/>
    <w:rsid w:val="00B7133B"/>
    <w:rsid w:val="00B716D7"/>
    <w:rsid w:val="00B71CCF"/>
    <w:rsid w:val="00B733EB"/>
    <w:rsid w:val="00B73ED7"/>
    <w:rsid w:val="00B7467B"/>
    <w:rsid w:val="00B74A19"/>
    <w:rsid w:val="00B74EB3"/>
    <w:rsid w:val="00B74EBE"/>
    <w:rsid w:val="00B75C34"/>
    <w:rsid w:val="00B76583"/>
    <w:rsid w:val="00B766AE"/>
    <w:rsid w:val="00B76CB0"/>
    <w:rsid w:val="00B77295"/>
    <w:rsid w:val="00B8085B"/>
    <w:rsid w:val="00B808D8"/>
    <w:rsid w:val="00B81B4E"/>
    <w:rsid w:val="00B821B2"/>
    <w:rsid w:val="00B823EE"/>
    <w:rsid w:val="00B82AD4"/>
    <w:rsid w:val="00B830D1"/>
    <w:rsid w:val="00B83E66"/>
    <w:rsid w:val="00B84058"/>
    <w:rsid w:val="00B84FCD"/>
    <w:rsid w:val="00B85092"/>
    <w:rsid w:val="00B850DD"/>
    <w:rsid w:val="00B85179"/>
    <w:rsid w:val="00B85458"/>
    <w:rsid w:val="00B85F5B"/>
    <w:rsid w:val="00B86AF4"/>
    <w:rsid w:val="00B87DBB"/>
    <w:rsid w:val="00B903E5"/>
    <w:rsid w:val="00B90DCA"/>
    <w:rsid w:val="00B91032"/>
    <w:rsid w:val="00B912FA"/>
    <w:rsid w:val="00B917BA"/>
    <w:rsid w:val="00B917EA"/>
    <w:rsid w:val="00B918EC"/>
    <w:rsid w:val="00B92765"/>
    <w:rsid w:val="00B9278C"/>
    <w:rsid w:val="00B94653"/>
    <w:rsid w:val="00B94A58"/>
    <w:rsid w:val="00B94CD0"/>
    <w:rsid w:val="00B94E8E"/>
    <w:rsid w:val="00B94EEE"/>
    <w:rsid w:val="00B95072"/>
    <w:rsid w:val="00B955E3"/>
    <w:rsid w:val="00B95F8F"/>
    <w:rsid w:val="00B969EA"/>
    <w:rsid w:val="00B96B7A"/>
    <w:rsid w:val="00B96CCE"/>
    <w:rsid w:val="00B973E0"/>
    <w:rsid w:val="00B97ACD"/>
    <w:rsid w:val="00B97AD3"/>
    <w:rsid w:val="00BA0876"/>
    <w:rsid w:val="00BA10F9"/>
    <w:rsid w:val="00BA120A"/>
    <w:rsid w:val="00BA179E"/>
    <w:rsid w:val="00BA216D"/>
    <w:rsid w:val="00BA21C8"/>
    <w:rsid w:val="00BA2438"/>
    <w:rsid w:val="00BA2B70"/>
    <w:rsid w:val="00BA3229"/>
    <w:rsid w:val="00BA3A2C"/>
    <w:rsid w:val="00BA3DB4"/>
    <w:rsid w:val="00BA45DE"/>
    <w:rsid w:val="00BA50DC"/>
    <w:rsid w:val="00BA5B43"/>
    <w:rsid w:val="00BA6833"/>
    <w:rsid w:val="00BA6BB0"/>
    <w:rsid w:val="00BA7270"/>
    <w:rsid w:val="00BA762A"/>
    <w:rsid w:val="00BA77A8"/>
    <w:rsid w:val="00BB02EE"/>
    <w:rsid w:val="00BB0927"/>
    <w:rsid w:val="00BB0CA3"/>
    <w:rsid w:val="00BB1B33"/>
    <w:rsid w:val="00BB2250"/>
    <w:rsid w:val="00BB2361"/>
    <w:rsid w:val="00BB2604"/>
    <w:rsid w:val="00BB2608"/>
    <w:rsid w:val="00BB2A4E"/>
    <w:rsid w:val="00BB2D7B"/>
    <w:rsid w:val="00BB33E1"/>
    <w:rsid w:val="00BB3D48"/>
    <w:rsid w:val="00BB41CD"/>
    <w:rsid w:val="00BB5108"/>
    <w:rsid w:val="00BB5636"/>
    <w:rsid w:val="00BB595C"/>
    <w:rsid w:val="00BB6D78"/>
    <w:rsid w:val="00BC012E"/>
    <w:rsid w:val="00BC088B"/>
    <w:rsid w:val="00BC120E"/>
    <w:rsid w:val="00BC16F8"/>
    <w:rsid w:val="00BC2D86"/>
    <w:rsid w:val="00BC3641"/>
    <w:rsid w:val="00BC3779"/>
    <w:rsid w:val="00BC4432"/>
    <w:rsid w:val="00BC47C5"/>
    <w:rsid w:val="00BC4E61"/>
    <w:rsid w:val="00BC5151"/>
    <w:rsid w:val="00BC5549"/>
    <w:rsid w:val="00BC631A"/>
    <w:rsid w:val="00BC6428"/>
    <w:rsid w:val="00BC65B4"/>
    <w:rsid w:val="00BC6B76"/>
    <w:rsid w:val="00BC7B51"/>
    <w:rsid w:val="00BD0231"/>
    <w:rsid w:val="00BD05F5"/>
    <w:rsid w:val="00BD12E7"/>
    <w:rsid w:val="00BD1505"/>
    <w:rsid w:val="00BD1ADE"/>
    <w:rsid w:val="00BD1F26"/>
    <w:rsid w:val="00BD2427"/>
    <w:rsid w:val="00BD2543"/>
    <w:rsid w:val="00BD26C4"/>
    <w:rsid w:val="00BD2B68"/>
    <w:rsid w:val="00BD2DA3"/>
    <w:rsid w:val="00BD3AB4"/>
    <w:rsid w:val="00BD3F32"/>
    <w:rsid w:val="00BD42B0"/>
    <w:rsid w:val="00BD42CD"/>
    <w:rsid w:val="00BD4AD8"/>
    <w:rsid w:val="00BD538E"/>
    <w:rsid w:val="00BD566C"/>
    <w:rsid w:val="00BD6417"/>
    <w:rsid w:val="00BD67A3"/>
    <w:rsid w:val="00BD6BFA"/>
    <w:rsid w:val="00BD6E9B"/>
    <w:rsid w:val="00BD722F"/>
    <w:rsid w:val="00BD77A2"/>
    <w:rsid w:val="00BD77DA"/>
    <w:rsid w:val="00BD7A32"/>
    <w:rsid w:val="00BE0A3E"/>
    <w:rsid w:val="00BE0A68"/>
    <w:rsid w:val="00BE165A"/>
    <w:rsid w:val="00BE1698"/>
    <w:rsid w:val="00BE1CBA"/>
    <w:rsid w:val="00BE2835"/>
    <w:rsid w:val="00BE2D93"/>
    <w:rsid w:val="00BE2FA3"/>
    <w:rsid w:val="00BE3E9B"/>
    <w:rsid w:val="00BE4532"/>
    <w:rsid w:val="00BE465B"/>
    <w:rsid w:val="00BE4985"/>
    <w:rsid w:val="00BE6B1E"/>
    <w:rsid w:val="00BE720B"/>
    <w:rsid w:val="00BE7C5A"/>
    <w:rsid w:val="00BE7D14"/>
    <w:rsid w:val="00BF0349"/>
    <w:rsid w:val="00BF1806"/>
    <w:rsid w:val="00BF1D54"/>
    <w:rsid w:val="00BF2066"/>
    <w:rsid w:val="00BF2640"/>
    <w:rsid w:val="00BF2ACC"/>
    <w:rsid w:val="00BF2AEB"/>
    <w:rsid w:val="00BF2C0B"/>
    <w:rsid w:val="00BF30ED"/>
    <w:rsid w:val="00BF3BAB"/>
    <w:rsid w:val="00BF477D"/>
    <w:rsid w:val="00BF5468"/>
    <w:rsid w:val="00BF7B27"/>
    <w:rsid w:val="00C00A4A"/>
    <w:rsid w:val="00C00B0F"/>
    <w:rsid w:val="00C00BA6"/>
    <w:rsid w:val="00C02FD4"/>
    <w:rsid w:val="00C0331C"/>
    <w:rsid w:val="00C03A4D"/>
    <w:rsid w:val="00C049B3"/>
    <w:rsid w:val="00C04DB3"/>
    <w:rsid w:val="00C05231"/>
    <w:rsid w:val="00C0548F"/>
    <w:rsid w:val="00C0620A"/>
    <w:rsid w:val="00C067CA"/>
    <w:rsid w:val="00C07095"/>
    <w:rsid w:val="00C07103"/>
    <w:rsid w:val="00C100CD"/>
    <w:rsid w:val="00C11039"/>
    <w:rsid w:val="00C1138B"/>
    <w:rsid w:val="00C114B2"/>
    <w:rsid w:val="00C128A8"/>
    <w:rsid w:val="00C1329C"/>
    <w:rsid w:val="00C1335B"/>
    <w:rsid w:val="00C13AA3"/>
    <w:rsid w:val="00C13C0B"/>
    <w:rsid w:val="00C14617"/>
    <w:rsid w:val="00C14FE6"/>
    <w:rsid w:val="00C1531A"/>
    <w:rsid w:val="00C15816"/>
    <w:rsid w:val="00C15D2B"/>
    <w:rsid w:val="00C15F1F"/>
    <w:rsid w:val="00C1673A"/>
    <w:rsid w:val="00C16ED0"/>
    <w:rsid w:val="00C171C3"/>
    <w:rsid w:val="00C173A7"/>
    <w:rsid w:val="00C17AD0"/>
    <w:rsid w:val="00C17E5F"/>
    <w:rsid w:val="00C2036F"/>
    <w:rsid w:val="00C20D43"/>
    <w:rsid w:val="00C2227C"/>
    <w:rsid w:val="00C22B46"/>
    <w:rsid w:val="00C22F99"/>
    <w:rsid w:val="00C23759"/>
    <w:rsid w:val="00C23FF1"/>
    <w:rsid w:val="00C240B7"/>
    <w:rsid w:val="00C2527D"/>
    <w:rsid w:val="00C253B9"/>
    <w:rsid w:val="00C262AE"/>
    <w:rsid w:val="00C26983"/>
    <w:rsid w:val="00C26AE1"/>
    <w:rsid w:val="00C26F0B"/>
    <w:rsid w:val="00C276FB"/>
    <w:rsid w:val="00C27750"/>
    <w:rsid w:val="00C27A02"/>
    <w:rsid w:val="00C301EC"/>
    <w:rsid w:val="00C3045A"/>
    <w:rsid w:val="00C30940"/>
    <w:rsid w:val="00C30DB6"/>
    <w:rsid w:val="00C30FD1"/>
    <w:rsid w:val="00C31188"/>
    <w:rsid w:val="00C314CC"/>
    <w:rsid w:val="00C31530"/>
    <w:rsid w:val="00C316A9"/>
    <w:rsid w:val="00C31A02"/>
    <w:rsid w:val="00C31D48"/>
    <w:rsid w:val="00C31F73"/>
    <w:rsid w:val="00C356A7"/>
    <w:rsid w:val="00C359F1"/>
    <w:rsid w:val="00C35A27"/>
    <w:rsid w:val="00C36B4C"/>
    <w:rsid w:val="00C37178"/>
    <w:rsid w:val="00C37F0C"/>
    <w:rsid w:val="00C40CAF"/>
    <w:rsid w:val="00C41824"/>
    <w:rsid w:val="00C42249"/>
    <w:rsid w:val="00C423F1"/>
    <w:rsid w:val="00C4243D"/>
    <w:rsid w:val="00C42E07"/>
    <w:rsid w:val="00C43024"/>
    <w:rsid w:val="00C43992"/>
    <w:rsid w:val="00C43C15"/>
    <w:rsid w:val="00C442FA"/>
    <w:rsid w:val="00C44440"/>
    <w:rsid w:val="00C446C1"/>
    <w:rsid w:val="00C44A8D"/>
    <w:rsid w:val="00C46036"/>
    <w:rsid w:val="00C46B2D"/>
    <w:rsid w:val="00C47AC5"/>
    <w:rsid w:val="00C50074"/>
    <w:rsid w:val="00C50734"/>
    <w:rsid w:val="00C509A1"/>
    <w:rsid w:val="00C50DBB"/>
    <w:rsid w:val="00C51BE8"/>
    <w:rsid w:val="00C51E31"/>
    <w:rsid w:val="00C52218"/>
    <w:rsid w:val="00C52570"/>
    <w:rsid w:val="00C526A3"/>
    <w:rsid w:val="00C52F93"/>
    <w:rsid w:val="00C53530"/>
    <w:rsid w:val="00C536EF"/>
    <w:rsid w:val="00C53B52"/>
    <w:rsid w:val="00C53D95"/>
    <w:rsid w:val="00C54012"/>
    <w:rsid w:val="00C54620"/>
    <w:rsid w:val="00C54D72"/>
    <w:rsid w:val="00C55A36"/>
    <w:rsid w:val="00C56419"/>
    <w:rsid w:val="00C56604"/>
    <w:rsid w:val="00C56FF4"/>
    <w:rsid w:val="00C5721E"/>
    <w:rsid w:val="00C574DC"/>
    <w:rsid w:val="00C57DF5"/>
    <w:rsid w:val="00C600FF"/>
    <w:rsid w:val="00C6031C"/>
    <w:rsid w:val="00C60364"/>
    <w:rsid w:val="00C608D0"/>
    <w:rsid w:val="00C60B58"/>
    <w:rsid w:val="00C60C79"/>
    <w:rsid w:val="00C60DF9"/>
    <w:rsid w:val="00C614EF"/>
    <w:rsid w:val="00C62DF0"/>
    <w:rsid w:val="00C636BB"/>
    <w:rsid w:val="00C6400F"/>
    <w:rsid w:val="00C642E7"/>
    <w:rsid w:val="00C6433E"/>
    <w:rsid w:val="00C64687"/>
    <w:rsid w:val="00C64850"/>
    <w:rsid w:val="00C64C69"/>
    <w:rsid w:val="00C650AB"/>
    <w:rsid w:val="00C651D0"/>
    <w:rsid w:val="00C65381"/>
    <w:rsid w:val="00C65E26"/>
    <w:rsid w:val="00C65F54"/>
    <w:rsid w:val="00C66BF3"/>
    <w:rsid w:val="00C67A29"/>
    <w:rsid w:val="00C708BD"/>
    <w:rsid w:val="00C709AA"/>
    <w:rsid w:val="00C70F9F"/>
    <w:rsid w:val="00C71C8A"/>
    <w:rsid w:val="00C71FB9"/>
    <w:rsid w:val="00C726F2"/>
    <w:rsid w:val="00C733D7"/>
    <w:rsid w:val="00C735A1"/>
    <w:rsid w:val="00C74EE5"/>
    <w:rsid w:val="00C75262"/>
    <w:rsid w:val="00C754FF"/>
    <w:rsid w:val="00C755B0"/>
    <w:rsid w:val="00C75701"/>
    <w:rsid w:val="00C75BE3"/>
    <w:rsid w:val="00C75E9A"/>
    <w:rsid w:val="00C76F51"/>
    <w:rsid w:val="00C770EA"/>
    <w:rsid w:val="00C77193"/>
    <w:rsid w:val="00C77606"/>
    <w:rsid w:val="00C77687"/>
    <w:rsid w:val="00C777E3"/>
    <w:rsid w:val="00C802B1"/>
    <w:rsid w:val="00C809A6"/>
    <w:rsid w:val="00C80E6A"/>
    <w:rsid w:val="00C817BC"/>
    <w:rsid w:val="00C81A56"/>
    <w:rsid w:val="00C81A71"/>
    <w:rsid w:val="00C82EE5"/>
    <w:rsid w:val="00C83557"/>
    <w:rsid w:val="00C835F5"/>
    <w:rsid w:val="00C8362F"/>
    <w:rsid w:val="00C83C31"/>
    <w:rsid w:val="00C84160"/>
    <w:rsid w:val="00C84AAF"/>
    <w:rsid w:val="00C8524C"/>
    <w:rsid w:val="00C855A6"/>
    <w:rsid w:val="00C87829"/>
    <w:rsid w:val="00C87BA4"/>
    <w:rsid w:val="00C87DD5"/>
    <w:rsid w:val="00C87E3D"/>
    <w:rsid w:val="00C90FB8"/>
    <w:rsid w:val="00C90FCD"/>
    <w:rsid w:val="00C91028"/>
    <w:rsid w:val="00C912FA"/>
    <w:rsid w:val="00C913BE"/>
    <w:rsid w:val="00C914FA"/>
    <w:rsid w:val="00C92B1F"/>
    <w:rsid w:val="00C93462"/>
    <w:rsid w:val="00C936AE"/>
    <w:rsid w:val="00C9429E"/>
    <w:rsid w:val="00C94AA0"/>
    <w:rsid w:val="00C95627"/>
    <w:rsid w:val="00C956AF"/>
    <w:rsid w:val="00C97932"/>
    <w:rsid w:val="00C97D5E"/>
    <w:rsid w:val="00CA1946"/>
    <w:rsid w:val="00CA1C0E"/>
    <w:rsid w:val="00CA203B"/>
    <w:rsid w:val="00CA20A8"/>
    <w:rsid w:val="00CA276E"/>
    <w:rsid w:val="00CA2893"/>
    <w:rsid w:val="00CA2A15"/>
    <w:rsid w:val="00CA2EA3"/>
    <w:rsid w:val="00CA39A8"/>
    <w:rsid w:val="00CA5441"/>
    <w:rsid w:val="00CA591E"/>
    <w:rsid w:val="00CA6819"/>
    <w:rsid w:val="00CA6914"/>
    <w:rsid w:val="00CA6C73"/>
    <w:rsid w:val="00CA6C98"/>
    <w:rsid w:val="00CA6EBA"/>
    <w:rsid w:val="00CA7350"/>
    <w:rsid w:val="00CB0A2E"/>
    <w:rsid w:val="00CB0BFE"/>
    <w:rsid w:val="00CB1096"/>
    <w:rsid w:val="00CB18D3"/>
    <w:rsid w:val="00CB1A53"/>
    <w:rsid w:val="00CB68DB"/>
    <w:rsid w:val="00CB6BDC"/>
    <w:rsid w:val="00CB6C28"/>
    <w:rsid w:val="00CB6D9D"/>
    <w:rsid w:val="00CC0594"/>
    <w:rsid w:val="00CC0DA1"/>
    <w:rsid w:val="00CC0E05"/>
    <w:rsid w:val="00CC1117"/>
    <w:rsid w:val="00CC116B"/>
    <w:rsid w:val="00CC1603"/>
    <w:rsid w:val="00CC1DFE"/>
    <w:rsid w:val="00CC23E7"/>
    <w:rsid w:val="00CC38E6"/>
    <w:rsid w:val="00CC4099"/>
    <w:rsid w:val="00CC431F"/>
    <w:rsid w:val="00CC435D"/>
    <w:rsid w:val="00CC44B7"/>
    <w:rsid w:val="00CC57FB"/>
    <w:rsid w:val="00CC7393"/>
    <w:rsid w:val="00CD1C28"/>
    <w:rsid w:val="00CD1E45"/>
    <w:rsid w:val="00CD226D"/>
    <w:rsid w:val="00CD27BB"/>
    <w:rsid w:val="00CD3935"/>
    <w:rsid w:val="00CD3AB8"/>
    <w:rsid w:val="00CD5333"/>
    <w:rsid w:val="00CD5647"/>
    <w:rsid w:val="00CD5CF6"/>
    <w:rsid w:val="00CD5D7D"/>
    <w:rsid w:val="00CD5DA5"/>
    <w:rsid w:val="00CD6EEC"/>
    <w:rsid w:val="00CD743A"/>
    <w:rsid w:val="00CD791E"/>
    <w:rsid w:val="00CD7BB1"/>
    <w:rsid w:val="00CE17EE"/>
    <w:rsid w:val="00CE1820"/>
    <w:rsid w:val="00CE334F"/>
    <w:rsid w:val="00CE4032"/>
    <w:rsid w:val="00CE47A0"/>
    <w:rsid w:val="00CE4D93"/>
    <w:rsid w:val="00CE5E84"/>
    <w:rsid w:val="00CE6013"/>
    <w:rsid w:val="00CE6618"/>
    <w:rsid w:val="00CE678E"/>
    <w:rsid w:val="00CE6792"/>
    <w:rsid w:val="00CE78EB"/>
    <w:rsid w:val="00CE7900"/>
    <w:rsid w:val="00CE7A8C"/>
    <w:rsid w:val="00CE7E7D"/>
    <w:rsid w:val="00CE7F2E"/>
    <w:rsid w:val="00CF0045"/>
    <w:rsid w:val="00CF012D"/>
    <w:rsid w:val="00CF09E9"/>
    <w:rsid w:val="00CF2007"/>
    <w:rsid w:val="00CF20B6"/>
    <w:rsid w:val="00CF2241"/>
    <w:rsid w:val="00CF247D"/>
    <w:rsid w:val="00CF2974"/>
    <w:rsid w:val="00CF331F"/>
    <w:rsid w:val="00CF33E8"/>
    <w:rsid w:val="00CF4460"/>
    <w:rsid w:val="00CF4ED1"/>
    <w:rsid w:val="00CF4F36"/>
    <w:rsid w:val="00CF5425"/>
    <w:rsid w:val="00CF63B7"/>
    <w:rsid w:val="00CF6808"/>
    <w:rsid w:val="00CF72E3"/>
    <w:rsid w:val="00CF77B2"/>
    <w:rsid w:val="00CF789F"/>
    <w:rsid w:val="00D0080A"/>
    <w:rsid w:val="00D01149"/>
    <w:rsid w:val="00D0168A"/>
    <w:rsid w:val="00D0175C"/>
    <w:rsid w:val="00D02910"/>
    <w:rsid w:val="00D02AC0"/>
    <w:rsid w:val="00D02B10"/>
    <w:rsid w:val="00D032A3"/>
    <w:rsid w:val="00D03A81"/>
    <w:rsid w:val="00D03BD8"/>
    <w:rsid w:val="00D03C61"/>
    <w:rsid w:val="00D047CD"/>
    <w:rsid w:val="00D0601F"/>
    <w:rsid w:val="00D067B6"/>
    <w:rsid w:val="00D06B8C"/>
    <w:rsid w:val="00D073D9"/>
    <w:rsid w:val="00D076BF"/>
    <w:rsid w:val="00D103F5"/>
    <w:rsid w:val="00D10869"/>
    <w:rsid w:val="00D1107B"/>
    <w:rsid w:val="00D11146"/>
    <w:rsid w:val="00D1161D"/>
    <w:rsid w:val="00D11837"/>
    <w:rsid w:val="00D11FB4"/>
    <w:rsid w:val="00D125E1"/>
    <w:rsid w:val="00D126F4"/>
    <w:rsid w:val="00D12F66"/>
    <w:rsid w:val="00D13123"/>
    <w:rsid w:val="00D142DD"/>
    <w:rsid w:val="00D14CE3"/>
    <w:rsid w:val="00D14E5C"/>
    <w:rsid w:val="00D157B2"/>
    <w:rsid w:val="00D163A2"/>
    <w:rsid w:val="00D16FBF"/>
    <w:rsid w:val="00D17616"/>
    <w:rsid w:val="00D176F9"/>
    <w:rsid w:val="00D17B73"/>
    <w:rsid w:val="00D17C26"/>
    <w:rsid w:val="00D17CD4"/>
    <w:rsid w:val="00D2058C"/>
    <w:rsid w:val="00D20DB5"/>
    <w:rsid w:val="00D21477"/>
    <w:rsid w:val="00D2158E"/>
    <w:rsid w:val="00D21F21"/>
    <w:rsid w:val="00D22036"/>
    <w:rsid w:val="00D22769"/>
    <w:rsid w:val="00D22AFE"/>
    <w:rsid w:val="00D22D7F"/>
    <w:rsid w:val="00D233D6"/>
    <w:rsid w:val="00D23811"/>
    <w:rsid w:val="00D2425F"/>
    <w:rsid w:val="00D25796"/>
    <w:rsid w:val="00D25E54"/>
    <w:rsid w:val="00D264D5"/>
    <w:rsid w:val="00D266E6"/>
    <w:rsid w:val="00D275F3"/>
    <w:rsid w:val="00D30081"/>
    <w:rsid w:val="00D30772"/>
    <w:rsid w:val="00D30D16"/>
    <w:rsid w:val="00D31036"/>
    <w:rsid w:val="00D31441"/>
    <w:rsid w:val="00D31543"/>
    <w:rsid w:val="00D31D41"/>
    <w:rsid w:val="00D32B1A"/>
    <w:rsid w:val="00D3418A"/>
    <w:rsid w:val="00D343DB"/>
    <w:rsid w:val="00D34D05"/>
    <w:rsid w:val="00D3572E"/>
    <w:rsid w:val="00D35B33"/>
    <w:rsid w:val="00D369E6"/>
    <w:rsid w:val="00D37938"/>
    <w:rsid w:val="00D37A36"/>
    <w:rsid w:val="00D40A86"/>
    <w:rsid w:val="00D40C88"/>
    <w:rsid w:val="00D42DD8"/>
    <w:rsid w:val="00D42F6A"/>
    <w:rsid w:val="00D42F6D"/>
    <w:rsid w:val="00D43147"/>
    <w:rsid w:val="00D4398E"/>
    <w:rsid w:val="00D43D09"/>
    <w:rsid w:val="00D43E7A"/>
    <w:rsid w:val="00D44852"/>
    <w:rsid w:val="00D44C74"/>
    <w:rsid w:val="00D44E40"/>
    <w:rsid w:val="00D45BC5"/>
    <w:rsid w:val="00D45FC0"/>
    <w:rsid w:val="00D461D2"/>
    <w:rsid w:val="00D46733"/>
    <w:rsid w:val="00D47394"/>
    <w:rsid w:val="00D4743A"/>
    <w:rsid w:val="00D477B3"/>
    <w:rsid w:val="00D4793A"/>
    <w:rsid w:val="00D47C43"/>
    <w:rsid w:val="00D50F2A"/>
    <w:rsid w:val="00D518AF"/>
    <w:rsid w:val="00D51BC1"/>
    <w:rsid w:val="00D52C22"/>
    <w:rsid w:val="00D52E4A"/>
    <w:rsid w:val="00D5350B"/>
    <w:rsid w:val="00D54F29"/>
    <w:rsid w:val="00D55110"/>
    <w:rsid w:val="00D554C5"/>
    <w:rsid w:val="00D56183"/>
    <w:rsid w:val="00D567C3"/>
    <w:rsid w:val="00D57FEF"/>
    <w:rsid w:val="00D60359"/>
    <w:rsid w:val="00D60AB4"/>
    <w:rsid w:val="00D60B40"/>
    <w:rsid w:val="00D61011"/>
    <w:rsid w:val="00D61290"/>
    <w:rsid w:val="00D61FD2"/>
    <w:rsid w:val="00D626DF"/>
    <w:rsid w:val="00D62F6E"/>
    <w:rsid w:val="00D63951"/>
    <w:rsid w:val="00D63A29"/>
    <w:rsid w:val="00D63C5D"/>
    <w:rsid w:val="00D64F61"/>
    <w:rsid w:val="00D658D4"/>
    <w:rsid w:val="00D65B72"/>
    <w:rsid w:val="00D65C49"/>
    <w:rsid w:val="00D65E8D"/>
    <w:rsid w:val="00D66DBE"/>
    <w:rsid w:val="00D67301"/>
    <w:rsid w:val="00D67C1F"/>
    <w:rsid w:val="00D704CC"/>
    <w:rsid w:val="00D709CA"/>
    <w:rsid w:val="00D70C3C"/>
    <w:rsid w:val="00D71212"/>
    <w:rsid w:val="00D713C1"/>
    <w:rsid w:val="00D71B5E"/>
    <w:rsid w:val="00D71D7D"/>
    <w:rsid w:val="00D72AAF"/>
    <w:rsid w:val="00D7309B"/>
    <w:rsid w:val="00D7322B"/>
    <w:rsid w:val="00D7341F"/>
    <w:rsid w:val="00D735DA"/>
    <w:rsid w:val="00D73659"/>
    <w:rsid w:val="00D73737"/>
    <w:rsid w:val="00D737E7"/>
    <w:rsid w:val="00D73939"/>
    <w:rsid w:val="00D73AB8"/>
    <w:rsid w:val="00D74912"/>
    <w:rsid w:val="00D752C4"/>
    <w:rsid w:val="00D76244"/>
    <w:rsid w:val="00D7717D"/>
    <w:rsid w:val="00D774C5"/>
    <w:rsid w:val="00D775CA"/>
    <w:rsid w:val="00D7794C"/>
    <w:rsid w:val="00D77C6C"/>
    <w:rsid w:val="00D77DE3"/>
    <w:rsid w:val="00D80D7C"/>
    <w:rsid w:val="00D810E6"/>
    <w:rsid w:val="00D82238"/>
    <w:rsid w:val="00D826C9"/>
    <w:rsid w:val="00D8306A"/>
    <w:rsid w:val="00D83827"/>
    <w:rsid w:val="00D83A06"/>
    <w:rsid w:val="00D83B62"/>
    <w:rsid w:val="00D83B89"/>
    <w:rsid w:val="00D83D5A"/>
    <w:rsid w:val="00D856F2"/>
    <w:rsid w:val="00D86082"/>
    <w:rsid w:val="00D8626A"/>
    <w:rsid w:val="00D865DF"/>
    <w:rsid w:val="00D87BE1"/>
    <w:rsid w:val="00D87E64"/>
    <w:rsid w:val="00D87F1D"/>
    <w:rsid w:val="00D9044C"/>
    <w:rsid w:val="00D90D1F"/>
    <w:rsid w:val="00D91348"/>
    <w:rsid w:val="00D91604"/>
    <w:rsid w:val="00D92D14"/>
    <w:rsid w:val="00D948EE"/>
    <w:rsid w:val="00D9518C"/>
    <w:rsid w:val="00D95FA6"/>
    <w:rsid w:val="00D95FFD"/>
    <w:rsid w:val="00D9607A"/>
    <w:rsid w:val="00D971DC"/>
    <w:rsid w:val="00D97BBA"/>
    <w:rsid w:val="00D97CD9"/>
    <w:rsid w:val="00DA0818"/>
    <w:rsid w:val="00DA1813"/>
    <w:rsid w:val="00DA239C"/>
    <w:rsid w:val="00DA2A80"/>
    <w:rsid w:val="00DA2BFF"/>
    <w:rsid w:val="00DA2EE0"/>
    <w:rsid w:val="00DA3619"/>
    <w:rsid w:val="00DA3961"/>
    <w:rsid w:val="00DA3EDD"/>
    <w:rsid w:val="00DA41EF"/>
    <w:rsid w:val="00DA51B2"/>
    <w:rsid w:val="00DA568C"/>
    <w:rsid w:val="00DA62CD"/>
    <w:rsid w:val="00DA6AEB"/>
    <w:rsid w:val="00DA6B5F"/>
    <w:rsid w:val="00DA700B"/>
    <w:rsid w:val="00DB06EF"/>
    <w:rsid w:val="00DB0EB1"/>
    <w:rsid w:val="00DB2836"/>
    <w:rsid w:val="00DB4E49"/>
    <w:rsid w:val="00DB610F"/>
    <w:rsid w:val="00DB6D68"/>
    <w:rsid w:val="00DB71EB"/>
    <w:rsid w:val="00DC035C"/>
    <w:rsid w:val="00DC0753"/>
    <w:rsid w:val="00DC0904"/>
    <w:rsid w:val="00DC0DC6"/>
    <w:rsid w:val="00DC13D1"/>
    <w:rsid w:val="00DC1629"/>
    <w:rsid w:val="00DC170A"/>
    <w:rsid w:val="00DC1C12"/>
    <w:rsid w:val="00DC1CC3"/>
    <w:rsid w:val="00DC2DDF"/>
    <w:rsid w:val="00DC4D4D"/>
    <w:rsid w:val="00DC5AB1"/>
    <w:rsid w:val="00DC688B"/>
    <w:rsid w:val="00DC76E5"/>
    <w:rsid w:val="00DC7BC3"/>
    <w:rsid w:val="00DC7F16"/>
    <w:rsid w:val="00DD03DD"/>
    <w:rsid w:val="00DD0B06"/>
    <w:rsid w:val="00DD0F7C"/>
    <w:rsid w:val="00DD192D"/>
    <w:rsid w:val="00DD1A25"/>
    <w:rsid w:val="00DD1D3B"/>
    <w:rsid w:val="00DD2495"/>
    <w:rsid w:val="00DD25D3"/>
    <w:rsid w:val="00DD3993"/>
    <w:rsid w:val="00DD3D31"/>
    <w:rsid w:val="00DD411E"/>
    <w:rsid w:val="00DD47DA"/>
    <w:rsid w:val="00DD4866"/>
    <w:rsid w:val="00DD5056"/>
    <w:rsid w:val="00DD5EBE"/>
    <w:rsid w:val="00DD6955"/>
    <w:rsid w:val="00DD786E"/>
    <w:rsid w:val="00DD7B36"/>
    <w:rsid w:val="00DE0082"/>
    <w:rsid w:val="00DE104C"/>
    <w:rsid w:val="00DE1799"/>
    <w:rsid w:val="00DE1B8C"/>
    <w:rsid w:val="00DE200F"/>
    <w:rsid w:val="00DE2DCD"/>
    <w:rsid w:val="00DE36C3"/>
    <w:rsid w:val="00DE39DF"/>
    <w:rsid w:val="00DE4257"/>
    <w:rsid w:val="00DE4781"/>
    <w:rsid w:val="00DE60A2"/>
    <w:rsid w:val="00DE64CA"/>
    <w:rsid w:val="00DE6D76"/>
    <w:rsid w:val="00DE76CE"/>
    <w:rsid w:val="00DF0172"/>
    <w:rsid w:val="00DF1369"/>
    <w:rsid w:val="00DF1EBE"/>
    <w:rsid w:val="00DF2555"/>
    <w:rsid w:val="00DF37F1"/>
    <w:rsid w:val="00DF4031"/>
    <w:rsid w:val="00DF4A0A"/>
    <w:rsid w:val="00DF51F7"/>
    <w:rsid w:val="00DF59E4"/>
    <w:rsid w:val="00DF5A95"/>
    <w:rsid w:val="00DF69A1"/>
    <w:rsid w:val="00DF6FD3"/>
    <w:rsid w:val="00DF701B"/>
    <w:rsid w:val="00DF7823"/>
    <w:rsid w:val="00DF7A82"/>
    <w:rsid w:val="00DF7D1F"/>
    <w:rsid w:val="00E000C2"/>
    <w:rsid w:val="00E00159"/>
    <w:rsid w:val="00E00330"/>
    <w:rsid w:val="00E0039C"/>
    <w:rsid w:val="00E00C22"/>
    <w:rsid w:val="00E02295"/>
    <w:rsid w:val="00E02C2B"/>
    <w:rsid w:val="00E04113"/>
    <w:rsid w:val="00E04134"/>
    <w:rsid w:val="00E041BF"/>
    <w:rsid w:val="00E04A1E"/>
    <w:rsid w:val="00E04A66"/>
    <w:rsid w:val="00E04C78"/>
    <w:rsid w:val="00E058B5"/>
    <w:rsid w:val="00E058C5"/>
    <w:rsid w:val="00E058D8"/>
    <w:rsid w:val="00E0654B"/>
    <w:rsid w:val="00E06608"/>
    <w:rsid w:val="00E06C95"/>
    <w:rsid w:val="00E06DD7"/>
    <w:rsid w:val="00E06ED1"/>
    <w:rsid w:val="00E10EB1"/>
    <w:rsid w:val="00E117E6"/>
    <w:rsid w:val="00E11D39"/>
    <w:rsid w:val="00E122D3"/>
    <w:rsid w:val="00E127AE"/>
    <w:rsid w:val="00E14137"/>
    <w:rsid w:val="00E14A9A"/>
    <w:rsid w:val="00E14BA9"/>
    <w:rsid w:val="00E15426"/>
    <w:rsid w:val="00E15442"/>
    <w:rsid w:val="00E15457"/>
    <w:rsid w:val="00E1565F"/>
    <w:rsid w:val="00E15D9F"/>
    <w:rsid w:val="00E16922"/>
    <w:rsid w:val="00E16BAE"/>
    <w:rsid w:val="00E17892"/>
    <w:rsid w:val="00E20A4D"/>
    <w:rsid w:val="00E22A8E"/>
    <w:rsid w:val="00E23231"/>
    <w:rsid w:val="00E24142"/>
    <w:rsid w:val="00E24BCF"/>
    <w:rsid w:val="00E256DE"/>
    <w:rsid w:val="00E2625D"/>
    <w:rsid w:val="00E26672"/>
    <w:rsid w:val="00E26B91"/>
    <w:rsid w:val="00E26DA8"/>
    <w:rsid w:val="00E272F0"/>
    <w:rsid w:val="00E2731C"/>
    <w:rsid w:val="00E276BD"/>
    <w:rsid w:val="00E27E9D"/>
    <w:rsid w:val="00E3008F"/>
    <w:rsid w:val="00E3029E"/>
    <w:rsid w:val="00E303D3"/>
    <w:rsid w:val="00E305A1"/>
    <w:rsid w:val="00E30F08"/>
    <w:rsid w:val="00E30F98"/>
    <w:rsid w:val="00E31A42"/>
    <w:rsid w:val="00E32152"/>
    <w:rsid w:val="00E32919"/>
    <w:rsid w:val="00E33973"/>
    <w:rsid w:val="00E339F0"/>
    <w:rsid w:val="00E345FB"/>
    <w:rsid w:val="00E357B0"/>
    <w:rsid w:val="00E368D6"/>
    <w:rsid w:val="00E36AF1"/>
    <w:rsid w:val="00E37743"/>
    <w:rsid w:val="00E40213"/>
    <w:rsid w:val="00E40389"/>
    <w:rsid w:val="00E4194F"/>
    <w:rsid w:val="00E41D68"/>
    <w:rsid w:val="00E42524"/>
    <w:rsid w:val="00E4296E"/>
    <w:rsid w:val="00E43283"/>
    <w:rsid w:val="00E44864"/>
    <w:rsid w:val="00E44EF7"/>
    <w:rsid w:val="00E45469"/>
    <w:rsid w:val="00E45CD2"/>
    <w:rsid w:val="00E45CEF"/>
    <w:rsid w:val="00E45F12"/>
    <w:rsid w:val="00E45F2C"/>
    <w:rsid w:val="00E464C4"/>
    <w:rsid w:val="00E471A3"/>
    <w:rsid w:val="00E47581"/>
    <w:rsid w:val="00E47CBB"/>
    <w:rsid w:val="00E52645"/>
    <w:rsid w:val="00E5346F"/>
    <w:rsid w:val="00E53951"/>
    <w:rsid w:val="00E53D5E"/>
    <w:rsid w:val="00E53D87"/>
    <w:rsid w:val="00E54352"/>
    <w:rsid w:val="00E551DE"/>
    <w:rsid w:val="00E5559B"/>
    <w:rsid w:val="00E55841"/>
    <w:rsid w:val="00E55916"/>
    <w:rsid w:val="00E55987"/>
    <w:rsid w:val="00E56930"/>
    <w:rsid w:val="00E56A32"/>
    <w:rsid w:val="00E56EC1"/>
    <w:rsid w:val="00E5766A"/>
    <w:rsid w:val="00E57A1A"/>
    <w:rsid w:val="00E57B3B"/>
    <w:rsid w:val="00E57B67"/>
    <w:rsid w:val="00E603BA"/>
    <w:rsid w:val="00E60694"/>
    <w:rsid w:val="00E60BBA"/>
    <w:rsid w:val="00E60CAC"/>
    <w:rsid w:val="00E61155"/>
    <w:rsid w:val="00E61306"/>
    <w:rsid w:val="00E619B8"/>
    <w:rsid w:val="00E628FD"/>
    <w:rsid w:val="00E6298D"/>
    <w:rsid w:val="00E6355A"/>
    <w:rsid w:val="00E63858"/>
    <w:rsid w:val="00E641D7"/>
    <w:rsid w:val="00E64D3D"/>
    <w:rsid w:val="00E64EF8"/>
    <w:rsid w:val="00E66920"/>
    <w:rsid w:val="00E66F9B"/>
    <w:rsid w:val="00E70124"/>
    <w:rsid w:val="00E70303"/>
    <w:rsid w:val="00E70AD5"/>
    <w:rsid w:val="00E70FE4"/>
    <w:rsid w:val="00E713C9"/>
    <w:rsid w:val="00E72E66"/>
    <w:rsid w:val="00E734B5"/>
    <w:rsid w:val="00E73BB5"/>
    <w:rsid w:val="00E7457F"/>
    <w:rsid w:val="00E75392"/>
    <w:rsid w:val="00E75565"/>
    <w:rsid w:val="00E755D6"/>
    <w:rsid w:val="00E75851"/>
    <w:rsid w:val="00E75D2C"/>
    <w:rsid w:val="00E76451"/>
    <w:rsid w:val="00E76E27"/>
    <w:rsid w:val="00E771D6"/>
    <w:rsid w:val="00E77B95"/>
    <w:rsid w:val="00E8040A"/>
    <w:rsid w:val="00E80C61"/>
    <w:rsid w:val="00E815F3"/>
    <w:rsid w:val="00E816C8"/>
    <w:rsid w:val="00E816D5"/>
    <w:rsid w:val="00E83724"/>
    <w:rsid w:val="00E84CFE"/>
    <w:rsid w:val="00E84E41"/>
    <w:rsid w:val="00E84F41"/>
    <w:rsid w:val="00E8513B"/>
    <w:rsid w:val="00E85E93"/>
    <w:rsid w:val="00E8655E"/>
    <w:rsid w:val="00E86A7B"/>
    <w:rsid w:val="00E86B19"/>
    <w:rsid w:val="00E86BDD"/>
    <w:rsid w:val="00E87355"/>
    <w:rsid w:val="00E87A21"/>
    <w:rsid w:val="00E902C9"/>
    <w:rsid w:val="00E90BAC"/>
    <w:rsid w:val="00E90BFC"/>
    <w:rsid w:val="00E90D38"/>
    <w:rsid w:val="00E91068"/>
    <w:rsid w:val="00E91D76"/>
    <w:rsid w:val="00E92E78"/>
    <w:rsid w:val="00E937F3"/>
    <w:rsid w:val="00E93F35"/>
    <w:rsid w:val="00E94131"/>
    <w:rsid w:val="00E94C04"/>
    <w:rsid w:val="00E94F62"/>
    <w:rsid w:val="00E9506D"/>
    <w:rsid w:val="00E95270"/>
    <w:rsid w:val="00E956E5"/>
    <w:rsid w:val="00E95DD9"/>
    <w:rsid w:val="00E96E49"/>
    <w:rsid w:val="00E97308"/>
    <w:rsid w:val="00E97484"/>
    <w:rsid w:val="00E9760E"/>
    <w:rsid w:val="00EA0125"/>
    <w:rsid w:val="00EA156F"/>
    <w:rsid w:val="00EA16D6"/>
    <w:rsid w:val="00EA1B62"/>
    <w:rsid w:val="00EA2099"/>
    <w:rsid w:val="00EA2A34"/>
    <w:rsid w:val="00EA2B35"/>
    <w:rsid w:val="00EA3532"/>
    <w:rsid w:val="00EA38CB"/>
    <w:rsid w:val="00EA4338"/>
    <w:rsid w:val="00EA4A45"/>
    <w:rsid w:val="00EA5107"/>
    <w:rsid w:val="00EA51A7"/>
    <w:rsid w:val="00EA5B96"/>
    <w:rsid w:val="00EA5CB8"/>
    <w:rsid w:val="00EA6822"/>
    <w:rsid w:val="00EA736F"/>
    <w:rsid w:val="00EA7403"/>
    <w:rsid w:val="00EA7A46"/>
    <w:rsid w:val="00EA7BFC"/>
    <w:rsid w:val="00EB07B9"/>
    <w:rsid w:val="00EB0C99"/>
    <w:rsid w:val="00EB0DEF"/>
    <w:rsid w:val="00EB0E8B"/>
    <w:rsid w:val="00EB1273"/>
    <w:rsid w:val="00EB1454"/>
    <w:rsid w:val="00EB1914"/>
    <w:rsid w:val="00EB19EE"/>
    <w:rsid w:val="00EB1A4B"/>
    <w:rsid w:val="00EB1C57"/>
    <w:rsid w:val="00EB2328"/>
    <w:rsid w:val="00EB4544"/>
    <w:rsid w:val="00EB4A69"/>
    <w:rsid w:val="00EB5B19"/>
    <w:rsid w:val="00EB5B36"/>
    <w:rsid w:val="00EB638E"/>
    <w:rsid w:val="00EB64A9"/>
    <w:rsid w:val="00EB6A90"/>
    <w:rsid w:val="00EC0CEB"/>
    <w:rsid w:val="00EC0DFB"/>
    <w:rsid w:val="00EC14D3"/>
    <w:rsid w:val="00EC15BE"/>
    <w:rsid w:val="00EC1A48"/>
    <w:rsid w:val="00EC1EB3"/>
    <w:rsid w:val="00EC1FE3"/>
    <w:rsid w:val="00EC23F4"/>
    <w:rsid w:val="00EC2B5E"/>
    <w:rsid w:val="00EC306D"/>
    <w:rsid w:val="00EC3803"/>
    <w:rsid w:val="00EC3D76"/>
    <w:rsid w:val="00EC4B08"/>
    <w:rsid w:val="00EC4F1E"/>
    <w:rsid w:val="00EC5545"/>
    <w:rsid w:val="00EC62F4"/>
    <w:rsid w:val="00EC6679"/>
    <w:rsid w:val="00EC69A4"/>
    <w:rsid w:val="00EC6F40"/>
    <w:rsid w:val="00EC7AC6"/>
    <w:rsid w:val="00EC7E06"/>
    <w:rsid w:val="00ED0178"/>
    <w:rsid w:val="00ED0412"/>
    <w:rsid w:val="00ED0D45"/>
    <w:rsid w:val="00ED2139"/>
    <w:rsid w:val="00ED248C"/>
    <w:rsid w:val="00ED2AA0"/>
    <w:rsid w:val="00ED2E16"/>
    <w:rsid w:val="00ED41D4"/>
    <w:rsid w:val="00ED442B"/>
    <w:rsid w:val="00ED4868"/>
    <w:rsid w:val="00ED507B"/>
    <w:rsid w:val="00ED50D4"/>
    <w:rsid w:val="00ED50EC"/>
    <w:rsid w:val="00ED6C48"/>
    <w:rsid w:val="00ED7577"/>
    <w:rsid w:val="00ED7D90"/>
    <w:rsid w:val="00EE072C"/>
    <w:rsid w:val="00EE10D5"/>
    <w:rsid w:val="00EE10EC"/>
    <w:rsid w:val="00EE1198"/>
    <w:rsid w:val="00EE13CA"/>
    <w:rsid w:val="00EE1C53"/>
    <w:rsid w:val="00EE2B0E"/>
    <w:rsid w:val="00EE2BBE"/>
    <w:rsid w:val="00EE398E"/>
    <w:rsid w:val="00EE3CD2"/>
    <w:rsid w:val="00EE4AC1"/>
    <w:rsid w:val="00EE57EE"/>
    <w:rsid w:val="00EE65E6"/>
    <w:rsid w:val="00EE7993"/>
    <w:rsid w:val="00EF08F6"/>
    <w:rsid w:val="00EF09EE"/>
    <w:rsid w:val="00EF153B"/>
    <w:rsid w:val="00EF1707"/>
    <w:rsid w:val="00EF1DB9"/>
    <w:rsid w:val="00EF20DD"/>
    <w:rsid w:val="00EF22F7"/>
    <w:rsid w:val="00EF3CF4"/>
    <w:rsid w:val="00EF3D88"/>
    <w:rsid w:val="00EF3F47"/>
    <w:rsid w:val="00EF44CB"/>
    <w:rsid w:val="00EF4EFD"/>
    <w:rsid w:val="00EF51E8"/>
    <w:rsid w:val="00EF62DB"/>
    <w:rsid w:val="00EF661D"/>
    <w:rsid w:val="00EF6C47"/>
    <w:rsid w:val="00EF706A"/>
    <w:rsid w:val="00EF782D"/>
    <w:rsid w:val="00F00173"/>
    <w:rsid w:val="00F0047C"/>
    <w:rsid w:val="00F0095D"/>
    <w:rsid w:val="00F00BBA"/>
    <w:rsid w:val="00F01264"/>
    <w:rsid w:val="00F021C2"/>
    <w:rsid w:val="00F023A4"/>
    <w:rsid w:val="00F03A1D"/>
    <w:rsid w:val="00F03DE9"/>
    <w:rsid w:val="00F05298"/>
    <w:rsid w:val="00F059D7"/>
    <w:rsid w:val="00F05E2A"/>
    <w:rsid w:val="00F07319"/>
    <w:rsid w:val="00F07C7A"/>
    <w:rsid w:val="00F1000F"/>
    <w:rsid w:val="00F10AC3"/>
    <w:rsid w:val="00F111D9"/>
    <w:rsid w:val="00F1146F"/>
    <w:rsid w:val="00F11D66"/>
    <w:rsid w:val="00F11E31"/>
    <w:rsid w:val="00F11E66"/>
    <w:rsid w:val="00F12425"/>
    <w:rsid w:val="00F124EA"/>
    <w:rsid w:val="00F12E87"/>
    <w:rsid w:val="00F13057"/>
    <w:rsid w:val="00F13EC5"/>
    <w:rsid w:val="00F144E0"/>
    <w:rsid w:val="00F14667"/>
    <w:rsid w:val="00F161BD"/>
    <w:rsid w:val="00F1639D"/>
    <w:rsid w:val="00F16599"/>
    <w:rsid w:val="00F167CB"/>
    <w:rsid w:val="00F16A6E"/>
    <w:rsid w:val="00F17150"/>
    <w:rsid w:val="00F17502"/>
    <w:rsid w:val="00F17728"/>
    <w:rsid w:val="00F213DB"/>
    <w:rsid w:val="00F2211B"/>
    <w:rsid w:val="00F2276D"/>
    <w:rsid w:val="00F22CF0"/>
    <w:rsid w:val="00F236DD"/>
    <w:rsid w:val="00F23A81"/>
    <w:rsid w:val="00F2436B"/>
    <w:rsid w:val="00F24ACF"/>
    <w:rsid w:val="00F24ECF"/>
    <w:rsid w:val="00F251F5"/>
    <w:rsid w:val="00F25573"/>
    <w:rsid w:val="00F2673D"/>
    <w:rsid w:val="00F2697B"/>
    <w:rsid w:val="00F26A73"/>
    <w:rsid w:val="00F2741B"/>
    <w:rsid w:val="00F27AA9"/>
    <w:rsid w:val="00F27EDF"/>
    <w:rsid w:val="00F31492"/>
    <w:rsid w:val="00F31629"/>
    <w:rsid w:val="00F3215B"/>
    <w:rsid w:val="00F3267A"/>
    <w:rsid w:val="00F328D9"/>
    <w:rsid w:val="00F32978"/>
    <w:rsid w:val="00F32C06"/>
    <w:rsid w:val="00F34E31"/>
    <w:rsid w:val="00F361DA"/>
    <w:rsid w:val="00F36A64"/>
    <w:rsid w:val="00F36E83"/>
    <w:rsid w:val="00F370E1"/>
    <w:rsid w:val="00F375DD"/>
    <w:rsid w:val="00F37751"/>
    <w:rsid w:val="00F37A5C"/>
    <w:rsid w:val="00F40472"/>
    <w:rsid w:val="00F410D9"/>
    <w:rsid w:val="00F410F5"/>
    <w:rsid w:val="00F412F2"/>
    <w:rsid w:val="00F41F0F"/>
    <w:rsid w:val="00F4273D"/>
    <w:rsid w:val="00F44616"/>
    <w:rsid w:val="00F44881"/>
    <w:rsid w:val="00F44BBD"/>
    <w:rsid w:val="00F45A52"/>
    <w:rsid w:val="00F45D81"/>
    <w:rsid w:val="00F46169"/>
    <w:rsid w:val="00F461F6"/>
    <w:rsid w:val="00F46934"/>
    <w:rsid w:val="00F50391"/>
    <w:rsid w:val="00F505EC"/>
    <w:rsid w:val="00F50AC0"/>
    <w:rsid w:val="00F50B3C"/>
    <w:rsid w:val="00F51263"/>
    <w:rsid w:val="00F5131D"/>
    <w:rsid w:val="00F518DE"/>
    <w:rsid w:val="00F5265E"/>
    <w:rsid w:val="00F532B2"/>
    <w:rsid w:val="00F539ED"/>
    <w:rsid w:val="00F53CFA"/>
    <w:rsid w:val="00F5439F"/>
    <w:rsid w:val="00F54CC9"/>
    <w:rsid w:val="00F55A5B"/>
    <w:rsid w:val="00F5604C"/>
    <w:rsid w:val="00F5687F"/>
    <w:rsid w:val="00F56C55"/>
    <w:rsid w:val="00F56CB0"/>
    <w:rsid w:val="00F56DE2"/>
    <w:rsid w:val="00F57AED"/>
    <w:rsid w:val="00F60123"/>
    <w:rsid w:val="00F603F4"/>
    <w:rsid w:val="00F61FBC"/>
    <w:rsid w:val="00F625ED"/>
    <w:rsid w:val="00F62FB3"/>
    <w:rsid w:val="00F63090"/>
    <w:rsid w:val="00F64FF0"/>
    <w:rsid w:val="00F65721"/>
    <w:rsid w:val="00F65F5D"/>
    <w:rsid w:val="00F6643D"/>
    <w:rsid w:val="00F671D1"/>
    <w:rsid w:val="00F672D3"/>
    <w:rsid w:val="00F67D29"/>
    <w:rsid w:val="00F70088"/>
    <w:rsid w:val="00F7061F"/>
    <w:rsid w:val="00F7111F"/>
    <w:rsid w:val="00F711A9"/>
    <w:rsid w:val="00F713FC"/>
    <w:rsid w:val="00F71DCF"/>
    <w:rsid w:val="00F72101"/>
    <w:rsid w:val="00F72438"/>
    <w:rsid w:val="00F7289B"/>
    <w:rsid w:val="00F73715"/>
    <w:rsid w:val="00F73D3D"/>
    <w:rsid w:val="00F7436D"/>
    <w:rsid w:val="00F74440"/>
    <w:rsid w:val="00F7498C"/>
    <w:rsid w:val="00F74A06"/>
    <w:rsid w:val="00F74CE6"/>
    <w:rsid w:val="00F75BCC"/>
    <w:rsid w:val="00F76376"/>
    <w:rsid w:val="00F765AB"/>
    <w:rsid w:val="00F76CC5"/>
    <w:rsid w:val="00F77600"/>
    <w:rsid w:val="00F77AB2"/>
    <w:rsid w:val="00F77E8B"/>
    <w:rsid w:val="00F802DF"/>
    <w:rsid w:val="00F80604"/>
    <w:rsid w:val="00F814B6"/>
    <w:rsid w:val="00F81878"/>
    <w:rsid w:val="00F81E8D"/>
    <w:rsid w:val="00F820C8"/>
    <w:rsid w:val="00F8244D"/>
    <w:rsid w:val="00F83970"/>
    <w:rsid w:val="00F84267"/>
    <w:rsid w:val="00F84357"/>
    <w:rsid w:val="00F84D4F"/>
    <w:rsid w:val="00F856C1"/>
    <w:rsid w:val="00F86A3A"/>
    <w:rsid w:val="00F86CD9"/>
    <w:rsid w:val="00F87760"/>
    <w:rsid w:val="00F87797"/>
    <w:rsid w:val="00F87AFF"/>
    <w:rsid w:val="00F90274"/>
    <w:rsid w:val="00F90731"/>
    <w:rsid w:val="00F90C31"/>
    <w:rsid w:val="00F9109F"/>
    <w:rsid w:val="00F91365"/>
    <w:rsid w:val="00F919C4"/>
    <w:rsid w:val="00F92B57"/>
    <w:rsid w:val="00F933D8"/>
    <w:rsid w:val="00F93B28"/>
    <w:rsid w:val="00F93C4C"/>
    <w:rsid w:val="00F94307"/>
    <w:rsid w:val="00F9451E"/>
    <w:rsid w:val="00F94818"/>
    <w:rsid w:val="00F94E17"/>
    <w:rsid w:val="00F94E29"/>
    <w:rsid w:val="00F95393"/>
    <w:rsid w:val="00F96022"/>
    <w:rsid w:val="00F9607C"/>
    <w:rsid w:val="00F9655F"/>
    <w:rsid w:val="00F966D7"/>
    <w:rsid w:val="00F96709"/>
    <w:rsid w:val="00F97262"/>
    <w:rsid w:val="00F97660"/>
    <w:rsid w:val="00F97A8B"/>
    <w:rsid w:val="00FA0F2B"/>
    <w:rsid w:val="00FA135E"/>
    <w:rsid w:val="00FA1B8A"/>
    <w:rsid w:val="00FA220A"/>
    <w:rsid w:val="00FA2210"/>
    <w:rsid w:val="00FA2570"/>
    <w:rsid w:val="00FA3E5F"/>
    <w:rsid w:val="00FA4D17"/>
    <w:rsid w:val="00FA4E6F"/>
    <w:rsid w:val="00FA4FD3"/>
    <w:rsid w:val="00FA542B"/>
    <w:rsid w:val="00FA5C54"/>
    <w:rsid w:val="00FA5F51"/>
    <w:rsid w:val="00FA6000"/>
    <w:rsid w:val="00FA66BB"/>
    <w:rsid w:val="00FA67D1"/>
    <w:rsid w:val="00FA6E77"/>
    <w:rsid w:val="00FA725D"/>
    <w:rsid w:val="00FA7EED"/>
    <w:rsid w:val="00FB074C"/>
    <w:rsid w:val="00FB09EB"/>
    <w:rsid w:val="00FB0D8F"/>
    <w:rsid w:val="00FB15DA"/>
    <w:rsid w:val="00FB1BB4"/>
    <w:rsid w:val="00FB20D2"/>
    <w:rsid w:val="00FB22AA"/>
    <w:rsid w:val="00FB25C4"/>
    <w:rsid w:val="00FB2790"/>
    <w:rsid w:val="00FB33FE"/>
    <w:rsid w:val="00FB3582"/>
    <w:rsid w:val="00FB3B65"/>
    <w:rsid w:val="00FB3DF5"/>
    <w:rsid w:val="00FB41E5"/>
    <w:rsid w:val="00FB468C"/>
    <w:rsid w:val="00FB4BBD"/>
    <w:rsid w:val="00FB4C6A"/>
    <w:rsid w:val="00FB540E"/>
    <w:rsid w:val="00FB769E"/>
    <w:rsid w:val="00FB7FF6"/>
    <w:rsid w:val="00FC00F1"/>
    <w:rsid w:val="00FC040C"/>
    <w:rsid w:val="00FC0E94"/>
    <w:rsid w:val="00FC1EAE"/>
    <w:rsid w:val="00FC2A35"/>
    <w:rsid w:val="00FC374A"/>
    <w:rsid w:val="00FC380D"/>
    <w:rsid w:val="00FC3F3B"/>
    <w:rsid w:val="00FC3F98"/>
    <w:rsid w:val="00FC43D0"/>
    <w:rsid w:val="00FC4B26"/>
    <w:rsid w:val="00FC4F62"/>
    <w:rsid w:val="00FC5200"/>
    <w:rsid w:val="00FC5296"/>
    <w:rsid w:val="00FC611E"/>
    <w:rsid w:val="00FC68F0"/>
    <w:rsid w:val="00FC6D45"/>
    <w:rsid w:val="00FC7224"/>
    <w:rsid w:val="00FC7E2D"/>
    <w:rsid w:val="00FD0A4B"/>
    <w:rsid w:val="00FD218A"/>
    <w:rsid w:val="00FD21F0"/>
    <w:rsid w:val="00FD2867"/>
    <w:rsid w:val="00FD2E1C"/>
    <w:rsid w:val="00FD2F56"/>
    <w:rsid w:val="00FD3F27"/>
    <w:rsid w:val="00FD3FA4"/>
    <w:rsid w:val="00FD419A"/>
    <w:rsid w:val="00FD4223"/>
    <w:rsid w:val="00FD44A5"/>
    <w:rsid w:val="00FD486B"/>
    <w:rsid w:val="00FD488A"/>
    <w:rsid w:val="00FD6489"/>
    <w:rsid w:val="00FD667F"/>
    <w:rsid w:val="00FD7BDE"/>
    <w:rsid w:val="00FE038E"/>
    <w:rsid w:val="00FE0B27"/>
    <w:rsid w:val="00FE0FA5"/>
    <w:rsid w:val="00FE11FF"/>
    <w:rsid w:val="00FE1885"/>
    <w:rsid w:val="00FE20CB"/>
    <w:rsid w:val="00FE216C"/>
    <w:rsid w:val="00FE3232"/>
    <w:rsid w:val="00FE409C"/>
    <w:rsid w:val="00FE4AF3"/>
    <w:rsid w:val="00FE4F82"/>
    <w:rsid w:val="00FE50FF"/>
    <w:rsid w:val="00FE597A"/>
    <w:rsid w:val="00FE6E07"/>
    <w:rsid w:val="00FE6EFE"/>
    <w:rsid w:val="00FF014E"/>
    <w:rsid w:val="00FF0B6D"/>
    <w:rsid w:val="00FF16C1"/>
    <w:rsid w:val="00FF1AE9"/>
    <w:rsid w:val="00FF275A"/>
    <w:rsid w:val="00FF2B03"/>
    <w:rsid w:val="00FF30BA"/>
    <w:rsid w:val="00FF30D6"/>
    <w:rsid w:val="00FF35FB"/>
    <w:rsid w:val="00FF3FDF"/>
    <w:rsid w:val="00FF4A72"/>
    <w:rsid w:val="00FF5AF1"/>
    <w:rsid w:val="00FF606F"/>
    <w:rsid w:val="00FF7A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572A415"/>
  <w15:docId w15:val="{FA3FE57F-3A75-4ABA-AF7E-D5B59162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84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ft,Style 27,Char Char Char Char Char,Style 11,Char Char Char, Char, 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ft Char,Style 27 Char,Style 11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Appel note de bas de p.,Ref"/>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CommentText">
    <w:name w:val="annotation text"/>
    <w:basedOn w:val="Normal"/>
    <w:link w:val="CommentTextChar"/>
    <w:unhideWhenUsed/>
    <w:rsid w:val="00D032A3"/>
    <w:pPr>
      <w:spacing w:line="240" w:lineRule="auto"/>
    </w:pPr>
  </w:style>
  <w:style w:type="character" w:customStyle="1" w:styleId="CommentTextChar">
    <w:name w:val="Comment Text Char"/>
    <w:basedOn w:val="DefaultParagraphFont"/>
    <w:link w:val="CommentText"/>
    <w:rsid w:val="00D032A3"/>
    <w:rPr>
      <w:rFonts w:ascii="Times New Roman" w:eastAsia="Times New Roman" w:hAnsi="Times New Roman" w:cs="Times New Roman"/>
      <w:sz w:val="20"/>
      <w:szCs w:val="20"/>
      <w:lang w:eastAsia="en-US"/>
    </w:rPr>
  </w:style>
  <w:style w:type="character" w:styleId="CommentReference">
    <w:name w:val="annotation reference"/>
    <w:rsid w:val="00D032A3"/>
    <w:rPr>
      <w:sz w:val="16"/>
      <w:szCs w:val="16"/>
    </w:rPr>
  </w:style>
  <w:style w:type="paragraph" w:styleId="CommentSubject">
    <w:name w:val="annotation subject"/>
    <w:basedOn w:val="CommentText"/>
    <w:next w:val="CommentText"/>
    <w:link w:val="CommentSubjectChar"/>
    <w:uiPriority w:val="99"/>
    <w:semiHidden/>
    <w:unhideWhenUsed/>
    <w:rsid w:val="003065AF"/>
    <w:rPr>
      <w:b/>
      <w:bCs/>
    </w:rPr>
  </w:style>
  <w:style w:type="character" w:customStyle="1" w:styleId="CommentSubjectChar">
    <w:name w:val="Comment Subject Char"/>
    <w:basedOn w:val="CommentTextChar"/>
    <w:link w:val="CommentSubject"/>
    <w:uiPriority w:val="99"/>
    <w:semiHidden/>
    <w:rsid w:val="003065AF"/>
    <w:rPr>
      <w:rFonts w:ascii="Times New Roman" w:eastAsia="Times New Roman" w:hAnsi="Times New Roman" w:cs="Times New Roman"/>
      <w:b/>
      <w:bCs/>
      <w:sz w:val="20"/>
      <w:szCs w:val="20"/>
      <w:lang w:eastAsia="en-US"/>
    </w:rPr>
  </w:style>
  <w:style w:type="paragraph" w:customStyle="1" w:styleId="Default">
    <w:name w:val="Default"/>
    <w:rsid w:val="003065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ingleTxtGChar">
    <w:name w:val="_ Single Txt_G Char"/>
    <w:link w:val="SingleTxtG"/>
    <w:locked/>
    <w:rsid w:val="00AD6FC3"/>
    <w:rPr>
      <w:rFonts w:ascii="Times New Roman" w:hAnsi="Times New Roman" w:cs="Times New Roman"/>
      <w:sz w:val="20"/>
      <w:szCs w:val="20"/>
    </w:rPr>
  </w:style>
  <w:style w:type="character" w:styleId="Emphasis">
    <w:name w:val="Emphasis"/>
    <w:basedOn w:val="DefaultParagraphFont"/>
    <w:uiPriority w:val="20"/>
    <w:qFormat/>
    <w:rsid w:val="008D0778"/>
    <w:rPr>
      <w:i/>
      <w:iCs/>
    </w:rPr>
  </w:style>
  <w:style w:type="character" w:styleId="Hyperlink">
    <w:name w:val="Hyperlink"/>
    <w:basedOn w:val="DefaultParagraphFont"/>
    <w:uiPriority w:val="99"/>
    <w:unhideWhenUsed/>
    <w:rsid w:val="008070CC"/>
    <w:rPr>
      <w:color w:val="0000FF"/>
      <w:u w:val="single"/>
    </w:rPr>
  </w:style>
  <w:style w:type="character" w:customStyle="1" w:styleId="textcolumn">
    <w:name w:val="textcolumn"/>
    <w:basedOn w:val="DefaultParagraphFont"/>
    <w:rsid w:val="00954943"/>
  </w:style>
  <w:style w:type="character" w:customStyle="1" w:styleId="sb8d990e2">
    <w:name w:val="sb8d990e2"/>
    <w:basedOn w:val="DefaultParagraphFont"/>
    <w:rsid w:val="006176DB"/>
  </w:style>
  <w:style w:type="character" w:customStyle="1" w:styleId="s6b621b36">
    <w:name w:val="s6b621b36"/>
    <w:basedOn w:val="DefaultParagraphFont"/>
    <w:rsid w:val="006176DB"/>
  </w:style>
  <w:style w:type="character" w:customStyle="1" w:styleId="column">
    <w:name w:val="column"/>
    <w:basedOn w:val="DefaultParagraphFont"/>
    <w:rsid w:val="00D71D7D"/>
  </w:style>
  <w:style w:type="paragraph" w:styleId="Revision">
    <w:name w:val="Revision"/>
    <w:hidden/>
    <w:uiPriority w:val="99"/>
    <w:semiHidden/>
    <w:rsid w:val="003F2EEE"/>
    <w:pPr>
      <w:spacing w:after="0" w:line="240" w:lineRule="auto"/>
    </w:pPr>
    <w:rPr>
      <w:rFonts w:ascii="Times New Roman" w:eastAsia="Times New Roman" w:hAnsi="Times New Roman" w:cs="Times New Roman"/>
      <w:sz w:val="20"/>
      <w:szCs w:val="20"/>
      <w:lang w:eastAsia="en-US"/>
    </w:rPr>
  </w:style>
  <w:style w:type="character" w:customStyle="1" w:styleId="hi1">
    <w:name w:val="hi1"/>
    <w:basedOn w:val="DefaultParagraphFont"/>
    <w:rsid w:val="000B4C93"/>
    <w:rPr>
      <w:color w:val="000000"/>
      <w:shd w:val="clear" w:color="auto" w:fill="D8D8D8"/>
    </w:rPr>
  </w:style>
  <w:style w:type="character" w:customStyle="1" w:styleId="etymspan2">
    <w:name w:val="etymspan2"/>
    <w:basedOn w:val="DefaultParagraphFont"/>
    <w:rsid w:val="000B4C93"/>
  </w:style>
  <w:style w:type="character" w:customStyle="1" w:styleId="sc">
    <w:name w:val="sc"/>
    <w:basedOn w:val="DefaultParagraphFont"/>
    <w:rsid w:val="000B4C93"/>
  </w:style>
  <w:style w:type="character" w:customStyle="1" w:styleId="oxencycl-headword">
    <w:name w:val="oxencycl-headword"/>
    <w:basedOn w:val="DefaultParagraphFont"/>
    <w:rsid w:val="000B4C93"/>
  </w:style>
  <w:style w:type="character" w:customStyle="1" w:styleId="headwordinfo2">
    <w:name w:val="headwordinfo2"/>
    <w:basedOn w:val="DefaultParagraphFont"/>
    <w:rsid w:val="000B4C93"/>
    <w:rPr>
      <w:sz w:val="16"/>
      <w:szCs w:val="16"/>
    </w:rPr>
  </w:style>
  <w:style w:type="character" w:customStyle="1" w:styleId="pronunciation-secondarycontent">
    <w:name w:val="pronunciation-secondarycontent"/>
    <w:basedOn w:val="DefaultParagraphFont"/>
    <w:rsid w:val="000B4C93"/>
  </w:style>
  <w:style w:type="character" w:customStyle="1" w:styleId="availabilityicon1">
    <w:name w:val="availabilityicon1"/>
    <w:basedOn w:val="DefaultParagraphFont"/>
    <w:rsid w:val="000B4C93"/>
  </w:style>
  <w:style w:type="character" w:customStyle="1" w:styleId="1">
    <w:name w:val="未解決のメンション1"/>
    <w:basedOn w:val="DefaultParagraphFont"/>
    <w:uiPriority w:val="99"/>
    <w:semiHidden/>
    <w:unhideWhenUsed/>
    <w:rsid w:val="001478EE"/>
    <w:rPr>
      <w:color w:val="605E5C"/>
      <w:shd w:val="clear" w:color="auto" w:fill="E1DFDD"/>
    </w:rPr>
  </w:style>
  <w:style w:type="character" w:customStyle="1" w:styleId="definitionelem">
    <w:name w:val="definitionelem"/>
    <w:basedOn w:val="DefaultParagraphFont"/>
    <w:rsid w:val="005D0DA6"/>
  </w:style>
  <w:style w:type="character" w:styleId="Strong">
    <w:name w:val="Strong"/>
    <w:basedOn w:val="DefaultParagraphFont"/>
    <w:uiPriority w:val="22"/>
    <w:qFormat/>
    <w:rsid w:val="005D0DA6"/>
    <w:rPr>
      <w:b/>
      <w:bCs/>
    </w:rPr>
  </w:style>
  <w:style w:type="character" w:customStyle="1" w:styleId="partofspeech1">
    <w:name w:val="partofspeech1"/>
    <w:basedOn w:val="DefaultParagraphFont"/>
    <w:rsid w:val="005D0DA6"/>
    <w:rPr>
      <w:i/>
      <w:iCs/>
    </w:rPr>
  </w:style>
  <w:style w:type="paragraph" w:customStyle="1" w:styleId="se22">
    <w:name w:val="se22"/>
    <w:basedOn w:val="Normal"/>
    <w:rsid w:val="005D0DA6"/>
    <w:pPr>
      <w:suppressAutoHyphens w:val="0"/>
      <w:spacing w:line="240" w:lineRule="auto"/>
      <w:ind w:hanging="300"/>
    </w:pPr>
    <w:rPr>
      <w:sz w:val="24"/>
      <w:szCs w:val="24"/>
      <w:lang w:eastAsia="zh-CN"/>
    </w:rPr>
  </w:style>
  <w:style w:type="character" w:customStyle="1" w:styleId="examplegroup2">
    <w:name w:val="examplegroup2"/>
    <w:basedOn w:val="DefaultParagraphFont"/>
    <w:rsid w:val="005D0DA6"/>
  </w:style>
  <w:style w:type="character" w:customStyle="1" w:styleId="grammargroup">
    <w:name w:val="grammargroup"/>
    <w:basedOn w:val="DefaultParagraphFont"/>
    <w:rsid w:val="005D0DA6"/>
  </w:style>
  <w:style w:type="paragraph" w:styleId="NormalWeb">
    <w:name w:val="Normal (Web)"/>
    <w:basedOn w:val="Normal"/>
    <w:uiPriority w:val="99"/>
    <w:unhideWhenUsed/>
    <w:rsid w:val="00F7498C"/>
    <w:pPr>
      <w:suppressAutoHyphens w:val="0"/>
      <w:spacing w:before="100" w:beforeAutospacing="1" w:after="100" w:afterAutospacing="1" w:line="240" w:lineRule="auto"/>
    </w:pPr>
    <w:rPr>
      <w:sz w:val="24"/>
      <w:szCs w:val="24"/>
      <w:lang w:eastAsia="en-GB"/>
    </w:rPr>
  </w:style>
  <w:style w:type="paragraph" w:customStyle="1" w:styleId="Bullet1">
    <w:name w:val="Bullet 1"/>
    <w:basedOn w:val="Normal"/>
    <w:rsid w:val="00A450A0"/>
    <w:pPr>
      <w:numPr>
        <w:numId w:val="11"/>
      </w:numPr>
      <w:suppressAutoHyphens w:val="0"/>
      <w:spacing w:before="120" w:line="240" w:lineRule="auto"/>
    </w:pPr>
    <w:rPr>
      <w:sz w:val="24"/>
      <w:lang w:val="en-AU" w:eastAsia="en-AU"/>
    </w:rPr>
  </w:style>
  <w:style w:type="paragraph" w:customStyle="1" w:styleId="Paragraphnumbered">
    <w:name w:val="Paragraph (numbered)"/>
    <w:basedOn w:val="Normal"/>
    <w:rsid w:val="00C56FF4"/>
    <w:pPr>
      <w:numPr>
        <w:numId w:val="14"/>
      </w:numPr>
      <w:suppressAutoHyphens w:val="0"/>
      <w:spacing w:before="240" w:line="240" w:lineRule="auto"/>
    </w:pPr>
    <w:rPr>
      <w:sz w:val="24"/>
      <w:lang w:val="en-AU" w:eastAsia="en-AU"/>
    </w:rPr>
  </w:style>
  <w:style w:type="character" w:customStyle="1" w:styleId="sfbbfee58">
    <w:name w:val="sfbbfee58"/>
    <w:basedOn w:val="DefaultParagraphFont"/>
    <w:rsid w:val="0030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0155">
      <w:bodyDiv w:val="1"/>
      <w:marLeft w:val="0"/>
      <w:marRight w:val="0"/>
      <w:marTop w:val="0"/>
      <w:marBottom w:val="0"/>
      <w:divBdr>
        <w:top w:val="none" w:sz="0" w:space="0" w:color="auto"/>
        <w:left w:val="none" w:sz="0" w:space="0" w:color="auto"/>
        <w:bottom w:val="none" w:sz="0" w:space="0" w:color="auto"/>
        <w:right w:val="none" w:sz="0" w:space="0" w:color="auto"/>
      </w:divBdr>
    </w:div>
    <w:div w:id="56560466">
      <w:bodyDiv w:val="1"/>
      <w:marLeft w:val="0"/>
      <w:marRight w:val="0"/>
      <w:marTop w:val="0"/>
      <w:marBottom w:val="0"/>
      <w:divBdr>
        <w:top w:val="none" w:sz="0" w:space="0" w:color="auto"/>
        <w:left w:val="none" w:sz="0" w:space="0" w:color="auto"/>
        <w:bottom w:val="none" w:sz="0" w:space="0" w:color="auto"/>
        <w:right w:val="none" w:sz="0" w:space="0" w:color="auto"/>
      </w:divBdr>
    </w:div>
    <w:div w:id="74209239">
      <w:bodyDiv w:val="1"/>
      <w:marLeft w:val="0"/>
      <w:marRight w:val="0"/>
      <w:marTop w:val="0"/>
      <w:marBottom w:val="0"/>
      <w:divBdr>
        <w:top w:val="none" w:sz="0" w:space="0" w:color="auto"/>
        <w:left w:val="none" w:sz="0" w:space="0" w:color="auto"/>
        <w:bottom w:val="none" w:sz="0" w:space="0" w:color="auto"/>
        <w:right w:val="none" w:sz="0" w:space="0" w:color="auto"/>
      </w:divBdr>
    </w:div>
    <w:div w:id="74711932">
      <w:bodyDiv w:val="1"/>
      <w:marLeft w:val="0"/>
      <w:marRight w:val="0"/>
      <w:marTop w:val="0"/>
      <w:marBottom w:val="0"/>
      <w:divBdr>
        <w:top w:val="none" w:sz="0" w:space="0" w:color="auto"/>
        <w:left w:val="none" w:sz="0" w:space="0" w:color="auto"/>
        <w:bottom w:val="none" w:sz="0" w:space="0" w:color="auto"/>
        <w:right w:val="none" w:sz="0" w:space="0" w:color="auto"/>
      </w:divBdr>
    </w:div>
    <w:div w:id="82647559">
      <w:bodyDiv w:val="1"/>
      <w:marLeft w:val="0"/>
      <w:marRight w:val="0"/>
      <w:marTop w:val="0"/>
      <w:marBottom w:val="0"/>
      <w:divBdr>
        <w:top w:val="none" w:sz="0" w:space="0" w:color="auto"/>
        <w:left w:val="none" w:sz="0" w:space="0" w:color="auto"/>
        <w:bottom w:val="none" w:sz="0" w:space="0" w:color="auto"/>
        <w:right w:val="none" w:sz="0" w:space="0" w:color="auto"/>
      </w:divBdr>
    </w:div>
    <w:div w:id="92941404">
      <w:bodyDiv w:val="1"/>
      <w:marLeft w:val="0"/>
      <w:marRight w:val="0"/>
      <w:marTop w:val="0"/>
      <w:marBottom w:val="0"/>
      <w:divBdr>
        <w:top w:val="none" w:sz="0" w:space="0" w:color="auto"/>
        <w:left w:val="none" w:sz="0" w:space="0" w:color="auto"/>
        <w:bottom w:val="none" w:sz="0" w:space="0" w:color="auto"/>
        <w:right w:val="none" w:sz="0" w:space="0" w:color="auto"/>
      </w:divBdr>
    </w:div>
    <w:div w:id="121928491">
      <w:bodyDiv w:val="1"/>
      <w:marLeft w:val="0"/>
      <w:marRight w:val="0"/>
      <w:marTop w:val="0"/>
      <w:marBottom w:val="0"/>
      <w:divBdr>
        <w:top w:val="none" w:sz="0" w:space="0" w:color="auto"/>
        <w:left w:val="none" w:sz="0" w:space="0" w:color="auto"/>
        <w:bottom w:val="none" w:sz="0" w:space="0" w:color="auto"/>
        <w:right w:val="none" w:sz="0" w:space="0" w:color="auto"/>
      </w:divBdr>
    </w:div>
    <w:div w:id="126316096">
      <w:bodyDiv w:val="1"/>
      <w:marLeft w:val="0"/>
      <w:marRight w:val="0"/>
      <w:marTop w:val="0"/>
      <w:marBottom w:val="0"/>
      <w:divBdr>
        <w:top w:val="none" w:sz="0" w:space="0" w:color="auto"/>
        <w:left w:val="none" w:sz="0" w:space="0" w:color="auto"/>
        <w:bottom w:val="none" w:sz="0" w:space="0" w:color="auto"/>
        <w:right w:val="none" w:sz="0" w:space="0" w:color="auto"/>
      </w:divBdr>
    </w:div>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39884566">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152572600">
      <w:bodyDiv w:val="1"/>
      <w:marLeft w:val="0"/>
      <w:marRight w:val="0"/>
      <w:marTop w:val="0"/>
      <w:marBottom w:val="0"/>
      <w:divBdr>
        <w:top w:val="none" w:sz="0" w:space="0" w:color="auto"/>
        <w:left w:val="none" w:sz="0" w:space="0" w:color="auto"/>
        <w:bottom w:val="none" w:sz="0" w:space="0" w:color="auto"/>
        <w:right w:val="none" w:sz="0" w:space="0" w:color="auto"/>
      </w:divBdr>
    </w:div>
    <w:div w:id="154032275">
      <w:bodyDiv w:val="1"/>
      <w:marLeft w:val="0"/>
      <w:marRight w:val="0"/>
      <w:marTop w:val="0"/>
      <w:marBottom w:val="0"/>
      <w:divBdr>
        <w:top w:val="none" w:sz="0" w:space="0" w:color="auto"/>
        <w:left w:val="none" w:sz="0" w:space="0" w:color="auto"/>
        <w:bottom w:val="none" w:sz="0" w:space="0" w:color="auto"/>
        <w:right w:val="none" w:sz="0" w:space="0" w:color="auto"/>
      </w:divBdr>
    </w:div>
    <w:div w:id="156658299">
      <w:bodyDiv w:val="1"/>
      <w:marLeft w:val="0"/>
      <w:marRight w:val="0"/>
      <w:marTop w:val="0"/>
      <w:marBottom w:val="0"/>
      <w:divBdr>
        <w:top w:val="none" w:sz="0" w:space="0" w:color="auto"/>
        <w:left w:val="none" w:sz="0" w:space="0" w:color="auto"/>
        <w:bottom w:val="none" w:sz="0" w:space="0" w:color="auto"/>
        <w:right w:val="none" w:sz="0" w:space="0" w:color="auto"/>
      </w:divBdr>
    </w:div>
    <w:div w:id="159733666">
      <w:bodyDiv w:val="1"/>
      <w:marLeft w:val="0"/>
      <w:marRight w:val="0"/>
      <w:marTop w:val="0"/>
      <w:marBottom w:val="0"/>
      <w:divBdr>
        <w:top w:val="none" w:sz="0" w:space="0" w:color="auto"/>
        <w:left w:val="none" w:sz="0" w:space="0" w:color="auto"/>
        <w:bottom w:val="none" w:sz="0" w:space="0" w:color="auto"/>
        <w:right w:val="none" w:sz="0" w:space="0" w:color="auto"/>
      </w:divBdr>
    </w:div>
    <w:div w:id="174660971">
      <w:bodyDiv w:val="1"/>
      <w:marLeft w:val="0"/>
      <w:marRight w:val="0"/>
      <w:marTop w:val="0"/>
      <w:marBottom w:val="0"/>
      <w:divBdr>
        <w:top w:val="none" w:sz="0" w:space="0" w:color="auto"/>
        <w:left w:val="none" w:sz="0" w:space="0" w:color="auto"/>
        <w:bottom w:val="none" w:sz="0" w:space="0" w:color="auto"/>
        <w:right w:val="none" w:sz="0" w:space="0" w:color="auto"/>
      </w:divBdr>
    </w:div>
    <w:div w:id="185413874">
      <w:bodyDiv w:val="1"/>
      <w:marLeft w:val="0"/>
      <w:marRight w:val="0"/>
      <w:marTop w:val="0"/>
      <w:marBottom w:val="0"/>
      <w:divBdr>
        <w:top w:val="none" w:sz="0" w:space="0" w:color="auto"/>
        <w:left w:val="none" w:sz="0" w:space="0" w:color="auto"/>
        <w:bottom w:val="none" w:sz="0" w:space="0" w:color="auto"/>
        <w:right w:val="none" w:sz="0" w:space="0" w:color="auto"/>
      </w:divBdr>
    </w:div>
    <w:div w:id="222494909">
      <w:bodyDiv w:val="1"/>
      <w:marLeft w:val="0"/>
      <w:marRight w:val="0"/>
      <w:marTop w:val="0"/>
      <w:marBottom w:val="0"/>
      <w:divBdr>
        <w:top w:val="none" w:sz="0" w:space="0" w:color="auto"/>
        <w:left w:val="none" w:sz="0" w:space="0" w:color="auto"/>
        <w:bottom w:val="none" w:sz="0" w:space="0" w:color="auto"/>
        <w:right w:val="none" w:sz="0" w:space="0" w:color="auto"/>
      </w:divBdr>
    </w:div>
    <w:div w:id="25521456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63534758">
      <w:bodyDiv w:val="1"/>
      <w:marLeft w:val="0"/>
      <w:marRight w:val="0"/>
      <w:marTop w:val="0"/>
      <w:marBottom w:val="0"/>
      <w:divBdr>
        <w:top w:val="none" w:sz="0" w:space="0" w:color="auto"/>
        <w:left w:val="none" w:sz="0" w:space="0" w:color="auto"/>
        <w:bottom w:val="none" w:sz="0" w:space="0" w:color="auto"/>
        <w:right w:val="none" w:sz="0" w:space="0" w:color="auto"/>
      </w:divBdr>
    </w:div>
    <w:div w:id="265313357">
      <w:bodyDiv w:val="1"/>
      <w:marLeft w:val="0"/>
      <w:marRight w:val="0"/>
      <w:marTop w:val="0"/>
      <w:marBottom w:val="0"/>
      <w:divBdr>
        <w:top w:val="none" w:sz="0" w:space="0" w:color="auto"/>
        <w:left w:val="none" w:sz="0" w:space="0" w:color="auto"/>
        <w:bottom w:val="none" w:sz="0" w:space="0" w:color="auto"/>
        <w:right w:val="none" w:sz="0" w:space="0" w:color="auto"/>
      </w:divBdr>
    </w:div>
    <w:div w:id="266013265">
      <w:bodyDiv w:val="1"/>
      <w:marLeft w:val="0"/>
      <w:marRight w:val="0"/>
      <w:marTop w:val="0"/>
      <w:marBottom w:val="0"/>
      <w:divBdr>
        <w:top w:val="none" w:sz="0" w:space="0" w:color="auto"/>
        <w:left w:val="none" w:sz="0" w:space="0" w:color="auto"/>
        <w:bottom w:val="none" w:sz="0" w:space="0" w:color="auto"/>
        <w:right w:val="none" w:sz="0" w:space="0" w:color="auto"/>
      </w:divBdr>
    </w:div>
    <w:div w:id="266424276">
      <w:bodyDiv w:val="1"/>
      <w:marLeft w:val="0"/>
      <w:marRight w:val="0"/>
      <w:marTop w:val="0"/>
      <w:marBottom w:val="0"/>
      <w:divBdr>
        <w:top w:val="none" w:sz="0" w:space="0" w:color="auto"/>
        <w:left w:val="none" w:sz="0" w:space="0" w:color="auto"/>
        <w:bottom w:val="none" w:sz="0" w:space="0" w:color="auto"/>
        <w:right w:val="none" w:sz="0" w:space="0" w:color="auto"/>
      </w:divBdr>
    </w:div>
    <w:div w:id="289630515">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304824199">
      <w:bodyDiv w:val="1"/>
      <w:marLeft w:val="0"/>
      <w:marRight w:val="0"/>
      <w:marTop w:val="0"/>
      <w:marBottom w:val="0"/>
      <w:divBdr>
        <w:top w:val="none" w:sz="0" w:space="0" w:color="auto"/>
        <w:left w:val="none" w:sz="0" w:space="0" w:color="auto"/>
        <w:bottom w:val="none" w:sz="0" w:space="0" w:color="auto"/>
        <w:right w:val="none" w:sz="0" w:space="0" w:color="auto"/>
      </w:divBdr>
    </w:div>
    <w:div w:id="326371267">
      <w:bodyDiv w:val="1"/>
      <w:marLeft w:val="0"/>
      <w:marRight w:val="0"/>
      <w:marTop w:val="0"/>
      <w:marBottom w:val="0"/>
      <w:divBdr>
        <w:top w:val="none" w:sz="0" w:space="0" w:color="auto"/>
        <w:left w:val="none" w:sz="0" w:space="0" w:color="auto"/>
        <w:bottom w:val="none" w:sz="0" w:space="0" w:color="auto"/>
        <w:right w:val="none" w:sz="0" w:space="0" w:color="auto"/>
      </w:divBdr>
    </w:div>
    <w:div w:id="363596814">
      <w:bodyDiv w:val="1"/>
      <w:marLeft w:val="0"/>
      <w:marRight w:val="0"/>
      <w:marTop w:val="0"/>
      <w:marBottom w:val="0"/>
      <w:divBdr>
        <w:top w:val="none" w:sz="0" w:space="0" w:color="auto"/>
        <w:left w:val="none" w:sz="0" w:space="0" w:color="auto"/>
        <w:bottom w:val="none" w:sz="0" w:space="0" w:color="auto"/>
        <w:right w:val="none" w:sz="0" w:space="0" w:color="auto"/>
      </w:divBdr>
    </w:div>
    <w:div w:id="370808017">
      <w:bodyDiv w:val="1"/>
      <w:marLeft w:val="0"/>
      <w:marRight w:val="0"/>
      <w:marTop w:val="0"/>
      <w:marBottom w:val="0"/>
      <w:divBdr>
        <w:top w:val="none" w:sz="0" w:space="0" w:color="auto"/>
        <w:left w:val="none" w:sz="0" w:space="0" w:color="auto"/>
        <w:bottom w:val="none" w:sz="0" w:space="0" w:color="auto"/>
        <w:right w:val="none" w:sz="0" w:space="0" w:color="auto"/>
      </w:divBdr>
    </w:div>
    <w:div w:id="402920401">
      <w:bodyDiv w:val="1"/>
      <w:marLeft w:val="0"/>
      <w:marRight w:val="0"/>
      <w:marTop w:val="0"/>
      <w:marBottom w:val="0"/>
      <w:divBdr>
        <w:top w:val="none" w:sz="0" w:space="0" w:color="auto"/>
        <w:left w:val="none" w:sz="0" w:space="0" w:color="auto"/>
        <w:bottom w:val="none" w:sz="0" w:space="0" w:color="auto"/>
        <w:right w:val="none" w:sz="0" w:space="0" w:color="auto"/>
      </w:divBdr>
    </w:div>
    <w:div w:id="405764521">
      <w:bodyDiv w:val="1"/>
      <w:marLeft w:val="0"/>
      <w:marRight w:val="0"/>
      <w:marTop w:val="0"/>
      <w:marBottom w:val="0"/>
      <w:divBdr>
        <w:top w:val="none" w:sz="0" w:space="0" w:color="auto"/>
        <w:left w:val="none" w:sz="0" w:space="0" w:color="auto"/>
        <w:bottom w:val="none" w:sz="0" w:space="0" w:color="auto"/>
        <w:right w:val="none" w:sz="0" w:space="0" w:color="auto"/>
      </w:divBdr>
    </w:div>
    <w:div w:id="408118671">
      <w:bodyDiv w:val="1"/>
      <w:marLeft w:val="0"/>
      <w:marRight w:val="0"/>
      <w:marTop w:val="0"/>
      <w:marBottom w:val="0"/>
      <w:divBdr>
        <w:top w:val="none" w:sz="0" w:space="0" w:color="auto"/>
        <w:left w:val="none" w:sz="0" w:space="0" w:color="auto"/>
        <w:bottom w:val="none" w:sz="0" w:space="0" w:color="auto"/>
        <w:right w:val="none" w:sz="0" w:space="0" w:color="auto"/>
      </w:divBdr>
    </w:div>
    <w:div w:id="408770383">
      <w:bodyDiv w:val="1"/>
      <w:marLeft w:val="0"/>
      <w:marRight w:val="0"/>
      <w:marTop w:val="0"/>
      <w:marBottom w:val="0"/>
      <w:divBdr>
        <w:top w:val="none" w:sz="0" w:space="0" w:color="auto"/>
        <w:left w:val="none" w:sz="0" w:space="0" w:color="auto"/>
        <w:bottom w:val="none" w:sz="0" w:space="0" w:color="auto"/>
        <w:right w:val="none" w:sz="0" w:space="0" w:color="auto"/>
      </w:divBdr>
    </w:div>
    <w:div w:id="423459156">
      <w:bodyDiv w:val="1"/>
      <w:marLeft w:val="0"/>
      <w:marRight w:val="0"/>
      <w:marTop w:val="0"/>
      <w:marBottom w:val="0"/>
      <w:divBdr>
        <w:top w:val="none" w:sz="0" w:space="0" w:color="auto"/>
        <w:left w:val="none" w:sz="0" w:space="0" w:color="auto"/>
        <w:bottom w:val="none" w:sz="0" w:space="0" w:color="auto"/>
        <w:right w:val="none" w:sz="0" w:space="0" w:color="auto"/>
      </w:divBdr>
    </w:div>
    <w:div w:id="429349537">
      <w:bodyDiv w:val="1"/>
      <w:marLeft w:val="0"/>
      <w:marRight w:val="0"/>
      <w:marTop w:val="0"/>
      <w:marBottom w:val="0"/>
      <w:divBdr>
        <w:top w:val="none" w:sz="0" w:space="0" w:color="auto"/>
        <w:left w:val="none" w:sz="0" w:space="0" w:color="auto"/>
        <w:bottom w:val="none" w:sz="0" w:space="0" w:color="auto"/>
        <w:right w:val="none" w:sz="0" w:space="0" w:color="auto"/>
      </w:divBdr>
    </w:div>
    <w:div w:id="439952297">
      <w:bodyDiv w:val="1"/>
      <w:marLeft w:val="0"/>
      <w:marRight w:val="0"/>
      <w:marTop w:val="0"/>
      <w:marBottom w:val="0"/>
      <w:divBdr>
        <w:top w:val="none" w:sz="0" w:space="0" w:color="auto"/>
        <w:left w:val="none" w:sz="0" w:space="0" w:color="auto"/>
        <w:bottom w:val="none" w:sz="0" w:space="0" w:color="auto"/>
        <w:right w:val="none" w:sz="0" w:space="0" w:color="auto"/>
      </w:divBdr>
    </w:div>
    <w:div w:id="447049332">
      <w:bodyDiv w:val="1"/>
      <w:marLeft w:val="0"/>
      <w:marRight w:val="0"/>
      <w:marTop w:val="0"/>
      <w:marBottom w:val="0"/>
      <w:divBdr>
        <w:top w:val="none" w:sz="0" w:space="0" w:color="auto"/>
        <w:left w:val="none" w:sz="0" w:space="0" w:color="auto"/>
        <w:bottom w:val="none" w:sz="0" w:space="0" w:color="auto"/>
        <w:right w:val="none" w:sz="0" w:space="0" w:color="auto"/>
      </w:divBdr>
    </w:div>
    <w:div w:id="494616521">
      <w:bodyDiv w:val="1"/>
      <w:marLeft w:val="0"/>
      <w:marRight w:val="0"/>
      <w:marTop w:val="0"/>
      <w:marBottom w:val="0"/>
      <w:divBdr>
        <w:top w:val="none" w:sz="0" w:space="0" w:color="auto"/>
        <w:left w:val="none" w:sz="0" w:space="0" w:color="auto"/>
        <w:bottom w:val="none" w:sz="0" w:space="0" w:color="auto"/>
        <w:right w:val="none" w:sz="0" w:space="0" w:color="auto"/>
      </w:divBdr>
    </w:div>
    <w:div w:id="496194146">
      <w:bodyDiv w:val="1"/>
      <w:marLeft w:val="0"/>
      <w:marRight w:val="0"/>
      <w:marTop w:val="0"/>
      <w:marBottom w:val="0"/>
      <w:divBdr>
        <w:top w:val="none" w:sz="0" w:space="0" w:color="auto"/>
        <w:left w:val="none" w:sz="0" w:space="0" w:color="auto"/>
        <w:bottom w:val="none" w:sz="0" w:space="0" w:color="auto"/>
        <w:right w:val="none" w:sz="0" w:space="0" w:color="auto"/>
      </w:divBdr>
    </w:div>
    <w:div w:id="500973191">
      <w:bodyDiv w:val="1"/>
      <w:marLeft w:val="0"/>
      <w:marRight w:val="0"/>
      <w:marTop w:val="0"/>
      <w:marBottom w:val="0"/>
      <w:divBdr>
        <w:top w:val="none" w:sz="0" w:space="0" w:color="auto"/>
        <w:left w:val="none" w:sz="0" w:space="0" w:color="auto"/>
        <w:bottom w:val="none" w:sz="0" w:space="0" w:color="auto"/>
        <w:right w:val="none" w:sz="0" w:space="0" w:color="auto"/>
      </w:divBdr>
    </w:div>
    <w:div w:id="504903400">
      <w:bodyDiv w:val="1"/>
      <w:marLeft w:val="0"/>
      <w:marRight w:val="0"/>
      <w:marTop w:val="0"/>
      <w:marBottom w:val="0"/>
      <w:divBdr>
        <w:top w:val="none" w:sz="0" w:space="0" w:color="auto"/>
        <w:left w:val="none" w:sz="0" w:space="0" w:color="auto"/>
        <w:bottom w:val="none" w:sz="0" w:space="0" w:color="auto"/>
        <w:right w:val="none" w:sz="0" w:space="0" w:color="auto"/>
      </w:divBdr>
      <w:divsChild>
        <w:div w:id="2063207689">
          <w:marLeft w:val="0"/>
          <w:marRight w:val="0"/>
          <w:marTop w:val="0"/>
          <w:marBottom w:val="0"/>
          <w:divBdr>
            <w:top w:val="none" w:sz="0" w:space="0" w:color="auto"/>
            <w:left w:val="none" w:sz="0" w:space="0" w:color="auto"/>
            <w:bottom w:val="none" w:sz="0" w:space="0" w:color="auto"/>
            <w:right w:val="none" w:sz="0" w:space="0" w:color="auto"/>
          </w:divBdr>
          <w:divsChild>
            <w:div w:id="122580532">
              <w:marLeft w:val="0"/>
              <w:marRight w:val="0"/>
              <w:marTop w:val="0"/>
              <w:marBottom w:val="0"/>
              <w:divBdr>
                <w:top w:val="none" w:sz="0" w:space="0" w:color="auto"/>
                <w:left w:val="none" w:sz="0" w:space="0" w:color="auto"/>
                <w:bottom w:val="none" w:sz="0" w:space="0" w:color="auto"/>
                <w:right w:val="none" w:sz="0" w:space="0" w:color="auto"/>
              </w:divBdr>
              <w:divsChild>
                <w:div w:id="1521092482">
                  <w:marLeft w:val="0"/>
                  <w:marRight w:val="0"/>
                  <w:marTop w:val="0"/>
                  <w:marBottom w:val="0"/>
                  <w:divBdr>
                    <w:top w:val="none" w:sz="0" w:space="0" w:color="auto"/>
                    <w:left w:val="none" w:sz="0" w:space="0" w:color="auto"/>
                    <w:bottom w:val="none" w:sz="0" w:space="0" w:color="auto"/>
                    <w:right w:val="none" w:sz="0" w:space="0" w:color="auto"/>
                  </w:divBdr>
                  <w:divsChild>
                    <w:div w:id="1249998495">
                      <w:marLeft w:val="420"/>
                      <w:marRight w:val="0"/>
                      <w:marTop w:val="0"/>
                      <w:marBottom w:val="0"/>
                      <w:divBdr>
                        <w:top w:val="none" w:sz="0" w:space="0" w:color="auto"/>
                        <w:left w:val="none" w:sz="0" w:space="0" w:color="auto"/>
                        <w:bottom w:val="none" w:sz="0" w:space="0" w:color="auto"/>
                        <w:right w:val="none" w:sz="0" w:space="0" w:color="auto"/>
                      </w:divBdr>
                      <w:divsChild>
                        <w:div w:id="1843279200">
                          <w:marLeft w:val="0"/>
                          <w:marRight w:val="0"/>
                          <w:marTop w:val="0"/>
                          <w:marBottom w:val="0"/>
                          <w:divBdr>
                            <w:top w:val="none" w:sz="0" w:space="0" w:color="auto"/>
                            <w:left w:val="none" w:sz="0" w:space="0" w:color="auto"/>
                            <w:bottom w:val="none" w:sz="0" w:space="0" w:color="auto"/>
                            <w:right w:val="none" w:sz="0" w:space="0" w:color="auto"/>
                          </w:divBdr>
                          <w:divsChild>
                            <w:div w:id="1503159659">
                              <w:marLeft w:val="0"/>
                              <w:marRight w:val="0"/>
                              <w:marTop w:val="0"/>
                              <w:marBottom w:val="0"/>
                              <w:divBdr>
                                <w:top w:val="none" w:sz="0" w:space="0" w:color="auto"/>
                                <w:left w:val="none" w:sz="0" w:space="0" w:color="auto"/>
                                <w:bottom w:val="none" w:sz="0" w:space="0" w:color="auto"/>
                                <w:right w:val="none" w:sz="0" w:space="0" w:color="auto"/>
                              </w:divBdr>
                              <w:divsChild>
                                <w:div w:id="97482055">
                                  <w:marLeft w:val="0"/>
                                  <w:marRight w:val="0"/>
                                  <w:marTop w:val="0"/>
                                  <w:marBottom w:val="0"/>
                                  <w:divBdr>
                                    <w:top w:val="none" w:sz="0" w:space="0" w:color="auto"/>
                                    <w:left w:val="none" w:sz="0" w:space="0" w:color="auto"/>
                                    <w:bottom w:val="none" w:sz="0" w:space="0" w:color="auto"/>
                                    <w:right w:val="none" w:sz="0" w:space="0" w:color="auto"/>
                                  </w:divBdr>
                                  <w:divsChild>
                                    <w:div w:id="421609643">
                                      <w:marLeft w:val="0"/>
                                      <w:marRight w:val="0"/>
                                      <w:marTop w:val="0"/>
                                      <w:marBottom w:val="0"/>
                                      <w:divBdr>
                                        <w:top w:val="none" w:sz="0" w:space="0" w:color="auto"/>
                                        <w:left w:val="none" w:sz="0" w:space="0" w:color="auto"/>
                                        <w:bottom w:val="none" w:sz="0" w:space="0" w:color="auto"/>
                                        <w:right w:val="none" w:sz="0" w:space="0" w:color="auto"/>
                                      </w:divBdr>
                                      <w:divsChild>
                                        <w:div w:id="198642675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406680">
      <w:bodyDiv w:val="1"/>
      <w:marLeft w:val="0"/>
      <w:marRight w:val="0"/>
      <w:marTop w:val="0"/>
      <w:marBottom w:val="0"/>
      <w:divBdr>
        <w:top w:val="none" w:sz="0" w:space="0" w:color="auto"/>
        <w:left w:val="none" w:sz="0" w:space="0" w:color="auto"/>
        <w:bottom w:val="none" w:sz="0" w:space="0" w:color="auto"/>
        <w:right w:val="none" w:sz="0" w:space="0" w:color="auto"/>
      </w:divBdr>
    </w:div>
    <w:div w:id="506481615">
      <w:bodyDiv w:val="1"/>
      <w:marLeft w:val="0"/>
      <w:marRight w:val="0"/>
      <w:marTop w:val="0"/>
      <w:marBottom w:val="0"/>
      <w:divBdr>
        <w:top w:val="none" w:sz="0" w:space="0" w:color="auto"/>
        <w:left w:val="none" w:sz="0" w:space="0" w:color="auto"/>
        <w:bottom w:val="none" w:sz="0" w:space="0" w:color="auto"/>
        <w:right w:val="none" w:sz="0" w:space="0" w:color="auto"/>
      </w:divBdr>
    </w:div>
    <w:div w:id="509569035">
      <w:bodyDiv w:val="1"/>
      <w:marLeft w:val="0"/>
      <w:marRight w:val="0"/>
      <w:marTop w:val="0"/>
      <w:marBottom w:val="0"/>
      <w:divBdr>
        <w:top w:val="none" w:sz="0" w:space="0" w:color="auto"/>
        <w:left w:val="none" w:sz="0" w:space="0" w:color="auto"/>
        <w:bottom w:val="none" w:sz="0" w:space="0" w:color="auto"/>
        <w:right w:val="none" w:sz="0" w:space="0" w:color="auto"/>
      </w:divBdr>
    </w:div>
    <w:div w:id="512063647">
      <w:bodyDiv w:val="1"/>
      <w:marLeft w:val="0"/>
      <w:marRight w:val="0"/>
      <w:marTop w:val="0"/>
      <w:marBottom w:val="0"/>
      <w:divBdr>
        <w:top w:val="none" w:sz="0" w:space="0" w:color="auto"/>
        <w:left w:val="none" w:sz="0" w:space="0" w:color="auto"/>
        <w:bottom w:val="none" w:sz="0" w:space="0" w:color="auto"/>
        <w:right w:val="none" w:sz="0" w:space="0" w:color="auto"/>
      </w:divBdr>
    </w:div>
    <w:div w:id="528376400">
      <w:bodyDiv w:val="1"/>
      <w:marLeft w:val="0"/>
      <w:marRight w:val="0"/>
      <w:marTop w:val="0"/>
      <w:marBottom w:val="0"/>
      <w:divBdr>
        <w:top w:val="none" w:sz="0" w:space="0" w:color="auto"/>
        <w:left w:val="none" w:sz="0" w:space="0" w:color="auto"/>
        <w:bottom w:val="none" w:sz="0" w:space="0" w:color="auto"/>
        <w:right w:val="none" w:sz="0" w:space="0" w:color="auto"/>
      </w:divBdr>
    </w:div>
    <w:div w:id="538013253">
      <w:bodyDiv w:val="1"/>
      <w:marLeft w:val="0"/>
      <w:marRight w:val="0"/>
      <w:marTop w:val="0"/>
      <w:marBottom w:val="0"/>
      <w:divBdr>
        <w:top w:val="none" w:sz="0" w:space="0" w:color="auto"/>
        <w:left w:val="none" w:sz="0" w:space="0" w:color="auto"/>
        <w:bottom w:val="none" w:sz="0" w:space="0" w:color="auto"/>
        <w:right w:val="none" w:sz="0" w:space="0" w:color="auto"/>
      </w:divBdr>
    </w:div>
    <w:div w:id="543060418">
      <w:bodyDiv w:val="1"/>
      <w:marLeft w:val="0"/>
      <w:marRight w:val="0"/>
      <w:marTop w:val="0"/>
      <w:marBottom w:val="0"/>
      <w:divBdr>
        <w:top w:val="none" w:sz="0" w:space="0" w:color="auto"/>
        <w:left w:val="none" w:sz="0" w:space="0" w:color="auto"/>
        <w:bottom w:val="none" w:sz="0" w:space="0" w:color="auto"/>
        <w:right w:val="none" w:sz="0" w:space="0" w:color="auto"/>
      </w:divBdr>
    </w:div>
    <w:div w:id="552237909">
      <w:bodyDiv w:val="1"/>
      <w:marLeft w:val="0"/>
      <w:marRight w:val="0"/>
      <w:marTop w:val="0"/>
      <w:marBottom w:val="0"/>
      <w:divBdr>
        <w:top w:val="none" w:sz="0" w:space="0" w:color="auto"/>
        <w:left w:val="none" w:sz="0" w:space="0" w:color="auto"/>
        <w:bottom w:val="none" w:sz="0" w:space="0" w:color="auto"/>
        <w:right w:val="none" w:sz="0" w:space="0" w:color="auto"/>
      </w:divBdr>
      <w:divsChild>
        <w:div w:id="1393433105">
          <w:marLeft w:val="0"/>
          <w:marRight w:val="0"/>
          <w:marTop w:val="0"/>
          <w:marBottom w:val="0"/>
          <w:divBdr>
            <w:top w:val="none" w:sz="0" w:space="0" w:color="auto"/>
            <w:left w:val="none" w:sz="0" w:space="0" w:color="auto"/>
            <w:bottom w:val="none" w:sz="0" w:space="0" w:color="auto"/>
            <w:right w:val="none" w:sz="0" w:space="0" w:color="auto"/>
          </w:divBdr>
          <w:divsChild>
            <w:div w:id="779647103">
              <w:marLeft w:val="0"/>
              <w:marRight w:val="0"/>
              <w:marTop w:val="0"/>
              <w:marBottom w:val="0"/>
              <w:divBdr>
                <w:top w:val="none" w:sz="0" w:space="0" w:color="auto"/>
                <w:left w:val="none" w:sz="0" w:space="0" w:color="auto"/>
                <w:bottom w:val="none" w:sz="0" w:space="0" w:color="auto"/>
                <w:right w:val="none" w:sz="0" w:space="0" w:color="auto"/>
              </w:divBdr>
              <w:divsChild>
                <w:div w:id="789319582">
                  <w:marLeft w:val="0"/>
                  <w:marRight w:val="0"/>
                  <w:marTop w:val="0"/>
                  <w:marBottom w:val="0"/>
                  <w:divBdr>
                    <w:top w:val="none" w:sz="0" w:space="0" w:color="auto"/>
                    <w:left w:val="none" w:sz="0" w:space="0" w:color="auto"/>
                    <w:bottom w:val="none" w:sz="0" w:space="0" w:color="auto"/>
                    <w:right w:val="none" w:sz="0" w:space="0" w:color="auto"/>
                  </w:divBdr>
                  <w:divsChild>
                    <w:div w:id="1421367236">
                      <w:marLeft w:val="420"/>
                      <w:marRight w:val="0"/>
                      <w:marTop w:val="0"/>
                      <w:marBottom w:val="0"/>
                      <w:divBdr>
                        <w:top w:val="none" w:sz="0" w:space="0" w:color="auto"/>
                        <w:left w:val="none" w:sz="0" w:space="0" w:color="auto"/>
                        <w:bottom w:val="none" w:sz="0" w:space="0" w:color="auto"/>
                        <w:right w:val="none" w:sz="0" w:space="0" w:color="auto"/>
                      </w:divBdr>
                      <w:divsChild>
                        <w:div w:id="2119325911">
                          <w:marLeft w:val="0"/>
                          <w:marRight w:val="0"/>
                          <w:marTop w:val="0"/>
                          <w:marBottom w:val="0"/>
                          <w:divBdr>
                            <w:top w:val="none" w:sz="0" w:space="0" w:color="auto"/>
                            <w:left w:val="none" w:sz="0" w:space="0" w:color="auto"/>
                            <w:bottom w:val="none" w:sz="0" w:space="0" w:color="auto"/>
                            <w:right w:val="none" w:sz="0" w:space="0" w:color="auto"/>
                          </w:divBdr>
                          <w:divsChild>
                            <w:div w:id="1956713290">
                              <w:marLeft w:val="0"/>
                              <w:marRight w:val="0"/>
                              <w:marTop w:val="0"/>
                              <w:marBottom w:val="0"/>
                              <w:divBdr>
                                <w:top w:val="none" w:sz="0" w:space="0" w:color="auto"/>
                                <w:left w:val="none" w:sz="0" w:space="0" w:color="auto"/>
                                <w:bottom w:val="none" w:sz="0" w:space="0" w:color="auto"/>
                                <w:right w:val="none" w:sz="0" w:space="0" w:color="auto"/>
                              </w:divBdr>
                              <w:divsChild>
                                <w:div w:id="526211802">
                                  <w:marLeft w:val="0"/>
                                  <w:marRight w:val="0"/>
                                  <w:marTop w:val="0"/>
                                  <w:marBottom w:val="0"/>
                                  <w:divBdr>
                                    <w:top w:val="none" w:sz="0" w:space="0" w:color="auto"/>
                                    <w:left w:val="none" w:sz="0" w:space="0" w:color="auto"/>
                                    <w:bottom w:val="none" w:sz="0" w:space="0" w:color="auto"/>
                                    <w:right w:val="none" w:sz="0" w:space="0" w:color="auto"/>
                                  </w:divBdr>
                                  <w:divsChild>
                                    <w:div w:id="1490486029">
                                      <w:marLeft w:val="0"/>
                                      <w:marRight w:val="0"/>
                                      <w:marTop w:val="0"/>
                                      <w:marBottom w:val="0"/>
                                      <w:divBdr>
                                        <w:top w:val="none" w:sz="0" w:space="0" w:color="auto"/>
                                        <w:left w:val="none" w:sz="0" w:space="0" w:color="auto"/>
                                        <w:bottom w:val="none" w:sz="0" w:space="0" w:color="auto"/>
                                        <w:right w:val="none" w:sz="0" w:space="0" w:color="auto"/>
                                      </w:divBdr>
                                      <w:divsChild>
                                        <w:div w:id="15368427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382848">
      <w:bodyDiv w:val="1"/>
      <w:marLeft w:val="0"/>
      <w:marRight w:val="0"/>
      <w:marTop w:val="0"/>
      <w:marBottom w:val="0"/>
      <w:divBdr>
        <w:top w:val="none" w:sz="0" w:space="0" w:color="auto"/>
        <w:left w:val="none" w:sz="0" w:space="0" w:color="auto"/>
        <w:bottom w:val="none" w:sz="0" w:space="0" w:color="auto"/>
        <w:right w:val="none" w:sz="0" w:space="0" w:color="auto"/>
      </w:divBdr>
    </w:div>
    <w:div w:id="584143538">
      <w:bodyDiv w:val="1"/>
      <w:marLeft w:val="0"/>
      <w:marRight w:val="0"/>
      <w:marTop w:val="0"/>
      <w:marBottom w:val="0"/>
      <w:divBdr>
        <w:top w:val="none" w:sz="0" w:space="0" w:color="auto"/>
        <w:left w:val="none" w:sz="0" w:space="0" w:color="auto"/>
        <w:bottom w:val="none" w:sz="0" w:space="0" w:color="auto"/>
        <w:right w:val="none" w:sz="0" w:space="0" w:color="auto"/>
      </w:divBdr>
    </w:div>
    <w:div w:id="584346287">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24434893">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668485597">
      <w:bodyDiv w:val="1"/>
      <w:marLeft w:val="0"/>
      <w:marRight w:val="0"/>
      <w:marTop w:val="0"/>
      <w:marBottom w:val="0"/>
      <w:divBdr>
        <w:top w:val="none" w:sz="0" w:space="0" w:color="auto"/>
        <w:left w:val="none" w:sz="0" w:space="0" w:color="auto"/>
        <w:bottom w:val="none" w:sz="0" w:space="0" w:color="auto"/>
        <w:right w:val="none" w:sz="0" w:space="0" w:color="auto"/>
      </w:divBdr>
    </w:div>
    <w:div w:id="669260514">
      <w:bodyDiv w:val="1"/>
      <w:marLeft w:val="0"/>
      <w:marRight w:val="0"/>
      <w:marTop w:val="0"/>
      <w:marBottom w:val="0"/>
      <w:divBdr>
        <w:top w:val="none" w:sz="0" w:space="0" w:color="auto"/>
        <w:left w:val="none" w:sz="0" w:space="0" w:color="auto"/>
        <w:bottom w:val="none" w:sz="0" w:space="0" w:color="auto"/>
        <w:right w:val="none" w:sz="0" w:space="0" w:color="auto"/>
      </w:divBdr>
    </w:div>
    <w:div w:id="67056672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768083609">
      <w:bodyDiv w:val="1"/>
      <w:marLeft w:val="0"/>
      <w:marRight w:val="0"/>
      <w:marTop w:val="0"/>
      <w:marBottom w:val="0"/>
      <w:divBdr>
        <w:top w:val="none" w:sz="0" w:space="0" w:color="auto"/>
        <w:left w:val="none" w:sz="0" w:space="0" w:color="auto"/>
        <w:bottom w:val="none" w:sz="0" w:space="0" w:color="auto"/>
        <w:right w:val="none" w:sz="0" w:space="0" w:color="auto"/>
      </w:divBdr>
    </w:div>
    <w:div w:id="772627416">
      <w:bodyDiv w:val="1"/>
      <w:marLeft w:val="0"/>
      <w:marRight w:val="0"/>
      <w:marTop w:val="0"/>
      <w:marBottom w:val="0"/>
      <w:divBdr>
        <w:top w:val="none" w:sz="0" w:space="0" w:color="auto"/>
        <w:left w:val="none" w:sz="0" w:space="0" w:color="auto"/>
        <w:bottom w:val="none" w:sz="0" w:space="0" w:color="auto"/>
        <w:right w:val="none" w:sz="0" w:space="0" w:color="auto"/>
      </w:divBdr>
    </w:div>
    <w:div w:id="785782498">
      <w:bodyDiv w:val="1"/>
      <w:marLeft w:val="0"/>
      <w:marRight w:val="0"/>
      <w:marTop w:val="0"/>
      <w:marBottom w:val="0"/>
      <w:divBdr>
        <w:top w:val="none" w:sz="0" w:space="0" w:color="auto"/>
        <w:left w:val="none" w:sz="0" w:space="0" w:color="auto"/>
        <w:bottom w:val="none" w:sz="0" w:space="0" w:color="auto"/>
        <w:right w:val="none" w:sz="0" w:space="0" w:color="auto"/>
      </w:divBdr>
    </w:div>
    <w:div w:id="850026520">
      <w:bodyDiv w:val="1"/>
      <w:marLeft w:val="0"/>
      <w:marRight w:val="0"/>
      <w:marTop w:val="0"/>
      <w:marBottom w:val="0"/>
      <w:divBdr>
        <w:top w:val="none" w:sz="0" w:space="0" w:color="auto"/>
        <w:left w:val="none" w:sz="0" w:space="0" w:color="auto"/>
        <w:bottom w:val="none" w:sz="0" w:space="0" w:color="auto"/>
        <w:right w:val="none" w:sz="0" w:space="0" w:color="auto"/>
      </w:divBdr>
    </w:div>
    <w:div w:id="865022719">
      <w:bodyDiv w:val="1"/>
      <w:marLeft w:val="0"/>
      <w:marRight w:val="0"/>
      <w:marTop w:val="0"/>
      <w:marBottom w:val="0"/>
      <w:divBdr>
        <w:top w:val="none" w:sz="0" w:space="0" w:color="auto"/>
        <w:left w:val="none" w:sz="0" w:space="0" w:color="auto"/>
        <w:bottom w:val="none" w:sz="0" w:space="0" w:color="auto"/>
        <w:right w:val="none" w:sz="0" w:space="0" w:color="auto"/>
      </w:divBdr>
    </w:div>
    <w:div w:id="868110043">
      <w:bodyDiv w:val="1"/>
      <w:marLeft w:val="0"/>
      <w:marRight w:val="0"/>
      <w:marTop w:val="0"/>
      <w:marBottom w:val="0"/>
      <w:divBdr>
        <w:top w:val="none" w:sz="0" w:space="0" w:color="auto"/>
        <w:left w:val="none" w:sz="0" w:space="0" w:color="auto"/>
        <w:bottom w:val="none" w:sz="0" w:space="0" w:color="auto"/>
        <w:right w:val="none" w:sz="0" w:space="0" w:color="auto"/>
      </w:divBdr>
    </w:div>
    <w:div w:id="870147553">
      <w:bodyDiv w:val="1"/>
      <w:marLeft w:val="0"/>
      <w:marRight w:val="0"/>
      <w:marTop w:val="0"/>
      <w:marBottom w:val="0"/>
      <w:divBdr>
        <w:top w:val="none" w:sz="0" w:space="0" w:color="auto"/>
        <w:left w:val="none" w:sz="0" w:space="0" w:color="auto"/>
        <w:bottom w:val="none" w:sz="0" w:space="0" w:color="auto"/>
        <w:right w:val="none" w:sz="0" w:space="0" w:color="auto"/>
      </w:divBdr>
      <w:divsChild>
        <w:div w:id="18627746">
          <w:marLeft w:val="0"/>
          <w:marRight w:val="0"/>
          <w:marTop w:val="0"/>
          <w:marBottom w:val="0"/>
          <w:divBdr>
            <w:top w:val="none" w:sz="0" w:space="0" w:color="auto"/>
            <w:left w:val="none" w:sz="0" w:space="0" w:color="auto"/>
            <w:bottom w:val="none" w:sz="0" w:space="0" w:color="auto"/>
            <w:right w:val="none" w:sz="0" w:space="0" w:color="auto"/>
          </w:divBdr>
          <w:divsChild>
            <w:div w:id="1027683088">
              <w:marLeft w:val="0"/>
              <w:marRight w:val="0"/>
              <w:marTop w:val="0"/>
              <w:marBottom w:val="0"/>
              <w:divBdr>
                <w:top w:val="none" w:sz="0" w:space="0" w:color="auto"/>
                <w:left w:val="none" w:sz="0" w:space="0" w:color="auto"/>
                <w:bottom w:val="none" w:sz="0" w:space="0" w:color="auto"/>
                <w:right w:val="none" w:sz="0" w:space="0" w:color="auto"/>
              </w:divBdr>
              <w:divsChild>
                <w:div w:id="1438408929">
                  <w:marLeft w:val="0"/>
                  <w:marRight w:val="0"/>
                  <w:marTop w:val="0"/>
                  <w:marBottom w:val="0"/>
                  <w:divBdr>
                    <w:top w:val="none" w:sz="0" w:space="0" w:color="auto"/>
                    <w:left w:val="none" w:sz="0" w:space="0" w:color="auto"/>
                    <w:bottom w:val="none" w:sz="0" w:space="0" w:color="auto"/>
                    <w:right w:val="none" w:sz="0" w:space="0" w:color="auto"/>
                  </w:divBdr>
                  <w:divsChild>
                    <w:div w:id="500118360">
                      <w:marLeft w:val="420"/>
                      <w:marRight w:val="0"/>
                      <w:marTop w:val="0"/>
                      <w:marBottom w:val="0"/>
                      <w:divBdr>
                        <w:top w:val="none" w:sz="0" w:space="0" w:color="auto"/>
                        <w:left w:val="none" w:sz="0" w:space="0" w:color="auto"/>
                        <w:bottom w:val="none" w:sz="0" w:space="0" w:color="auto"/>
                        <w:right w:val="none" w:sz="0" w:space="0" w:color="auto"/>
                      </w:divBdr>
                      <w:divsChild>
                        <w:div w:id="893540799">
                          <w:marLeft w:val="0"/>
                          <w:marRight w:val="0"/>
                          <w:marTop w:val="0"/>
                          <w:marBottom w:val="0"/>
                          <w:divBdr>
                            <w:top w:val="none" w:sz="0" w:space="0" w:color="auto"/>
                            <w:left w:val="none" w:sz="0" w:space="0" w:color="auto"/>
                            <w:bottom w:val="none" w:sz="0" w:space="0" w:color="auto"/>
                            <w:right w:val="none" w:sz="0" w:space="0" w:color="auto"/>
                          </w:divBdr>
                          <w:divsChild>
                            <w:div w:id="1218005335">
                              <w:marLeft w:val="0"/>
                              <w:marRight w:val="0"/>
                              <w:marTop w:val="0"/>
                              <w:marBottom w:val="0"/>
                              <w:divBdr>
                                <w:top w:val="none" w:sz="0" w:space="0" w:color="auto"/>
                                <w:left w:val="none" w:sz="0" w:space="0" w:color="auto"/>
                                <w:bottom w:val="none" w:sz="0" w:space="0" w:color="auto"/>
                                <w:right w:val="none" w:sz="0" w:space="0" w:color="auto"/>
                              </w:divBdr>
                              <w:divsChild>
                                <w:div w:id="462119124">
                                  <w:marLeft w:val="0"/>
                                  <w:marRight w:val="0"/>
                                  <w:marTop w:val="0"/>
                                  <w:marBottom w:val="0"/>
                                  <w:divBdr>
                                    <w:top w:val="none" w:sz="0" w:space="0" w:color="auto"/>
                                    <w:left w:val="none" w:sz="0" w:space="0" w:color="auto"/>
                                    <w:bottom w:val="none" w:sz="0" w:space="0" w:color="auto"/>
                                    <w:right w:val="none" w:sz="0" w:space="0" w:color="auto"/>
                                  </w:divBdr>
                                  <w:divsChild>
                                    <w:div w:id="2121296644">
                                      <w:marLeft w:val="0"/>
                                      <w:marRight w:val="0"/>
                                      <w:marTop w:val="0"/>
                                      <w:marBottom w:val="0"/>
                                      <w:divBdr>
                                        <w:top w:val="none" w:sz="0" w:space="0" w:color="auto"/>
                                        <w:left w:val="none" w:sz="0" w:space="0" w:color="auto"/>
                                        <w:bottom w:val="none" w:sz="0" w:space="0" w:color="auto"/>
                                        <w:right w:val="none" w:sz="0" w:space="0" w:color="auto"/>
                                      </w:divBdr>
                                      <w:divsChild>
                                        <w:div w:id="15420112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879703241">
      <w:bodyDiv w:val="1"/>
      <w:marLeft w:val="0"/>
      <w:marRight w:val="0"/>
      <w:marTop w:val="0"/>
      <w:marBottom w:val="0"/>
      <w:divBdr>
        <w:top w:val="none" w:sz="0" w:space="0" w:color="auto"/>
        <w:left w:val="none" w:sz="0" w:space="0" w:color="auto"/>
        <w:bottom w:val="none" w:sz="0" w:space="0" w:color="auto"/>
        <w:right w:val="none" w:sz="0" w:space="0" w:color="auto"/>
      </w:divBdr>
    </w:div>
    <w:div w:id="883491163">
      <w:bodyDiv w:val="1"/>
      <w:marLeft w:val="0"/>
      <w:marRight w:val="0"/>
      <w:marTop w:val="0"/>
      <w:marBottom w:val="0"/>
      <w:divBdr>
        <w:top w:val="none" w:sz="0" w:space="0" w:color="auto"/>
        <w:left w:val="none" w:sz="0" w:space="0" w:color="auto"/>
        <w:bottom w:val="none" w:sz="0" w:space="0" w:color="auto"/>
        <w:right w:val="none" w:sz="0" w:space="0" w:color="auto"/>
      </w:divBdr>
    </w:div>
    <w:div w:id="911357272">
      <w:bodyDiv w:val="1"/>
      <w:marLeft w:val="0"/>
      <w:marRight w:val="0"/>
      <w:marTop w:val="0"/>
      <w:marBottom w:val="0"/>
      <w:divBdr>
        <w:top w:val="none" w:sz="0" w:space="0" w:color="auto"/>
        <w:left w:val="none" w:sz="0" w:space="0" w:color="auto"/>
        <w:bottom w:val="none" w:sz="0" w:space="0" w:color="auto"/>
        <w:right w:val="none" w:sz="0" w:space="0" w:color="auto"/>
      </w:divBdr>
    </w:div>
    <w:div w:id="920335455">
      <w:bodyDiv w:val="1"/>
      <w:marLeft w:val="0"/>
      <w:marRight w:val="0"/>
      <w:marTop w:val="0"/>
      <w:marBottom w:val="0"/>
      <w:divBdr>
        <w:top w:val="none" w:sz="0" w:space="0" w:color="auto"/>
        <w:left w:val="none" w:sz="0" w:space="0" w:color="auto"/>
        <w:bottom w:val="none" w:sz="0" w:space="0" w:color="auto"/>
        <w:right w:val="none" w:sz="0" w:space="0" w:color="auto"/>
      </w:divBdr>
    </w:div>
    <w:div w:id="921911450">
      <w:bodyDiv w:val="1"/>
      <w:marLeft w:val="0"/>
      <w:marRight w:val="0"/>
      <w:marTop w:val="0"/>
      <w:marBottom w:val="0"/>
      <w:divBdr>
        <w:top w:val="none" w:sz="0" w:space="0" w:color="auto"/>
        <w:left w:val="none" w:sz="0" w:space="0" w:color="auto"/>
        <w:bottom w:val="none" w:sz="0" w:space="0" w:color="auto"/>
        <w:right w:val="none" w:sz="0" w:space="0" w:color="auto"/>
      </w:divBdr>
    </w:div>
    <w:div w:id="929045806">
      <w:bodyDiv w:val="1"/>
      <w:marLeft w:val="0"/>
      <w:marRight w:val="0"/>
      <w:marTop w:val="0"/>
      <w:marBottom w:val="0"/>
      <w:divBdr>
        <w:top w:val="none" w:sz="0" w:space="0" w:color="auto"/>
        <w:left w:val="none" w:sz="0" w:space="0" w:color="auto"/>
        <w:bottom w:val="none" w:sz="0" w:space="0" w:color="auto"/>
        <w:right w:val="none" w:sz="0" w:space="0" w:color="auto"/>
      </w:divBdr>
    </w:div>
    <w:div w:id="965702096">
      <w:bodyDiv w:val="1"/>
      <w:marLeft w:val="0"/>
      <w:marRight w:val="0"/>
      <w:marTop w:val="0"/>
      <w:marBottom w:val="0"/>
      <w:divBdr>
        <w:top w:val="none" w:sz="0" w:space="0" w:color="auto"/>
        <w:left w:val="none" w:sz="0" w:space="0" w:color="auto"/>
        <w:bottom w:val="none" w:sz="0" w:space="0" w:color="auto"/>
        <w:right w:val="none" w:sz="0" w:space="0" w:color="auto"/>
      </w:divBdr>
    </w:div>
    <w:div w:id="981230916">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022898404">
      <w:bodyDiv w:val="1"/>
      <w:marLeft w:val="0"/>
      <w:marRight w:val="0"/>
      <w:marTop w:val="0"/>
      <w:marBottom w:val="0"/>
      <w:divBdr>
        <w:top w:val="none" w:sz="0" w:space="0" w:color="auto"/>
        <w:left w:val="none" w:sz="0" w:space="0" w:color="auto"/>
        <w:bottom w:val="none" w:sz="0" w:space="0" w:color="auto"/>
        <w:right w:val="none" w:sz="0" w:space="0" w:color="auto"/>
      </w:divBdr>
    </w:div>
    <w:div w:id="1025013551">
      <w:bodyDiv w:val="1"/>
      <w:marLeft w:val="0"/>
      <w:marRight w:val="0"/>
      <w:marTop w:val="0"/>
      <w:marBottom w:val="0"/>
      <w:divBdr>
        <w:top w:val="none" w:sz="0" w:space="0" w:color="auto"/>
        <w:left w:val="none" w:sz="0" w:space="0" w:color="auto"/>
        <w:bottom w:val="none" w:sz="0" w:space="0" w:color="auto"/>
        <w:right w:val="none" w:sz="0" w:space="0" w:color="auto"/>
      </w:divBdr>
    </w:div>
    <w:div w:id="1042634856">
      <w:bodyDiv w:val="1"/>
      <w:marLeft w:val="0"/>
      <w:marRight w:val="0"/>
      <w:marTop w:val="0"/>
      <w:marBottom w:val="0"/>
      <w:divBdr>
        <w:top w:val="none" w:sz="0" w:space="0" w:color="auto"/>
        <w:left w:val="none" w:sz="0" w:space="0" w:color="auto"/>
        <w:bottom w:val="none" w:sz="0" w:space="0" w:color="auto"/>
        <w:right w:val="none" w:sz="0" w:space="0" w:color="auto"/>
      </w:divBdr>
    </w:div>
    <w:div w:id="1050156803">
      <w:bodyDiv w:val="1"/>
      <w:marLeft w:val="0"/>
      <w:marRight w:val="0"/>
      <w:marTop w:val="0"/>
      <w:marBottom w:val="0"/>
      <w:divBdr>
        <w:top w:val="none" w:sz="0" w:space="0" w:color="auto"/>
        <w:left w:val="none" w:sz="0" w:space="0" w:color="auto"/>
        <w:bottom w:val="none" w:sz="0" w:space="0" w:color="auto"/>
        <w:right w:val="none" w:sz="0" w:space="0" w:color="auto"/>
      </w:divBdr>
    </w:div>
    <w:div w:id="1060976427">
      <w:bodyDiv w:val="1"/>
      <w:marLeft w:val="0"/>
      <w:marRight w:val="0"/>
      <w:marTop w:val="0"/>
      <w:marBottom w:val="0"/>
      <w:divBdr>
        <w:top w:val="none" w:sz="0" w:space="0" w:color="auto"/>
        <w:left w:val="none" w:sz="0" w:space="0" w:color="auto"/>
        <w:bottom w:val="none" w:sz="0" w:space="0" w:color="auto"/>
        <w:right w:val="none" w:sz="0" w:space="0" w:color="auto"/>
      </w:divBdr>
    </w:div>
    <w:div w:id="1063986265">
      <w:bodyDiv w:val="1"/>
      <w:marLeft w:val="0"/>
      <w:marRight w:val="0"/>
      <w:marTop w:val="0"/>
      <w:marBottom w:val="0"/>
      <w:divBdr>
        <w:top w:val="none" w:sz="0" w:space="0" w:color="auto"/>
        <w:left w:val="none" w:sz="0" w:space="0" w:color="auto"/>
        <w:bottom w:val="none" w:sz="0" w:space="0" w:color="auto"/>
        <w:right w:val="none" w:sz="0" w:space="0" w:color="auto"/>
      </w:divBdr>
    </w:div>
    <w:div w:id="1079250967">
      <w:bodyDiv w:val="1"/>
      <w:marLeft w:val="0"/>
      <w:marRight w:val="0"/>
      <w:marTop w:val="0"/>
      <w:marBottom w:val="0"/>
      <w:divBdr>
        <w:top w:val="none" w:sz="0" w:space="0" w:color="auto"/>
        <w:left w:val="none" w:sz="0" w:space="0" w:color="auto"/>
        <w:bottom w:val="none" w:sz="0" w:space="0" w:color="auto"/>
        <w:right w:val="none" w:sz="0" w:space="0" w:color="auto"/>
      </w:divBdr>
    </w:div>
    <w:div w:id="1081290331">
      <w:bodyDiv w:val="1"/>
      <w:marLeft w:val="0"/>
      <w:marRight w:val="0"/>
      <w:marTop w:val="0"/>
      <w:marBottom w:val="0"/>
      <w:divBdr>
        <w:top w:val="none" w:sz="0" w:space="0" w:color="auto"/>
        <w:left w:val="none" w:sz="0" w:space="0" w:color="auto"/>
        <w:bottom w:val="none" w:sz="0" w:space="0" w:color="auto"/>
        <w:right w:val="none" w:sz="0" w:space="0" w:color="auto"/>
      </w:divBdr>
    </w:div>
    <w:div w:id="1115710198">
      <w:bodyDiv w:val="1"/>
      <w:marLeft w:val="0"/>
      <w:marRight w:val="0"/>
      <w:marTop w:val="0"/>
      <w:marBottom w:val="0"/>
      <w:divBdr>
        <w:top w:val="none" w:sz="0" w:space="0" w:color="auto"/>
        <w:left w:val="none" w:sz="0" w:space="0" w:color="auto"/>
        <w:bottom w:val="none" w:sz="0" w:space="0" w:color="auto"/>
        <w:right w:val="none" w:sz="0" w:space="0" w:color="auto"/>
      </w:divBdr>
    </w:div>
    <w:div w:id="1119647051">
      <w:bodyDiv w:val="1"/>
      <w:marLeft w:val="0"/>
      <w:marRight w:val="0"/>
      <w:marTop w:val="0"/>
      <w:marBottom w:val="0"/>
      <w:divBdr>
        <w:top w:val="none" w:sz="0" w:space="0" w:color="auto"/>
        <w:left w:val="none" w:sz="0" w:space="0" w:color="auto"/>
        <w:bottom w:val="none" w:sz="0" w:space="0" w:color="auto"/>
        <w:right w:val="none" w:sz="0" w:space="0" w:color="auto"/>
      </w:divBdr>
    </w:div>
    <w:div w:id="1120879375">
      <w:bodyDiv w:val="1"/>
      <w:marLeft w:val="0"/>
      <w:marRight w:val="0"/>
      <w:marTop w:val="0"/>
      <w:marBottom w:val="0"/>
      <w:divBdr>
        <w:top w:val="none" w:sz="0" w:space="0" w:color="auto"/>
        <w:left w:val="none" w:sz="0" w:space="0" w:color="auto"/>
        <w:bottom w:val="none" w:sz="0" w:space="0" w:color="auto"/>
        <w:right w:val="none" w:sz="0" w:space="0" w:color="auto"/>
      </w:divBdr>
    </w:div>
    <w:div w:id="1125201321">
      <w:bodyDiv w:val="1"/>
      <w:marLeft w:val="0"/>
      <w:marRight w:val="0"/>
      <w:marTop w:val="0"/>
      <w:marBottom w:val="0"/>
      <w:divBdr>
        <w:top w:val="none" w:sz="0" w:space="0" w:color="auto"/>
        <w:left w:val="none" w:sz="0" w:space="0" w:color="auto"/>
        <w:bottom w:val="none" w:sz="0" w:space="0" w:color="auto"/>
        <w:right w:val="none" w:sz="0" w:space="0" w:color="auto"/>
      </w:divBdr>
    </w:div>
    <w:div w:id="1134786789">
      <w:bodyDiv w:val="1"/>
      <w:marLeft w:val="0"/>
      <w:marRight w:val="0"/>
      <w:marTop w:val="0"/>
      <w:marBottom w:val="0"/>
      <w:divBdr>
        <w:top w:val="none" w:sz="0" w:space="0" w:color="auto"/>
        <w:left w:val="none" w:sz="0" w:space="0" w:color="auto"/>
        <w:bottom w:val="none" w:sz="0" w:space="0" w:color="auto"/>
        <w:right w:val="none" w:sz="0" w:space="0" w:color="auto"/>
      </w:divBdr>
    </w:div>
    <w:div w:id="1151480894">
      <w:bodyDiv w:val="1"/>
      <w:marLeft w:val="0"/>
      <w:marRight w:val="0"/>
      <w:marTop w:val="0"/>
      <w:marBottom w:val="0"/>
      <w:divBdr>
        <w:top w:val="none" w:sz="0" w:space="0" w:color="auto"/>
        <w:left w:val="none" w:sz="0" w:space="0" w:color="auto"/>
        <w:bottom w:val="none" w:sz="0" w:space="0" w:color="auto"/>
        <w:right w:val="none" w:sz="0" w:space="0" w:color="auto"/>
      </w:divBdr>
    </w:div>
    <w:div w:id="1188253463">
      <w:bodyDiv w:val="1"/>
      <w:marLeft w:val="0"/>
      <w:marRight w:val="0"/>
      <w:marTop w:val="0"/>
      <w:marBottom w:val="0"/>
      <w:divBdr>
        <w:top w:val="none" w:sz="0" w:space="0" w:color="auto"/>
        <w:left w:val="none" w:sz="0" w:space="0" w:color="auto"/>
        <w:bottom w:val="none" w:sz="0" w:space="0" w:color="auto"/>
        <w:right w:val="none" w:sz="0" w:space="0" w:color="auto"/>
      </w:divBdr>
    </w:div>
    <w:div w:id="1257523122">
      <w:bodyDiv w:val="1"/>
      <w:marLeft w:val="0"/>
      <w:marRight w:val="0"/>
      <w:marTop w:val="0"/>
      <w:marBottom w:val="0"/>
      <w:divBdr>
        <w:top w:val="none" w:sz="0" w:space="0" w:color="auto"/>
        <w:left w:val="none" w:sz="0" w:space="0" w:color="auto"/>
        <w:bottom w:val="none" w:sz="0" w:space="0" w:color="auto"/>
        <w:right w:val="none" w:sz="0" w:space="0" w:color="auto"/>
      </w:divBdr>
    </w:div>
    <w:div w:id="1263953760">
      <w:bodyDiv w:val="1"/>
      <w:marLeft w:val="0"/>
      <w:marRight w:val="0"/>
      <w:marTop w:val="0"/>
      <w:marBottom w:val="0"/>
      <w:divBdr>
        <w:top w:val="none" w:sz="0" w:space="0" w:color="auto"/>
        <w:left w:val="none" w:sz="0" w:space="0" w:color="auto"/>
        <w:bottom w:val="none" w:sz="0" w:space="0" w:color="auto"/>
        <w:right w:val="none" w:sz="0" w:space="0" w:color="auto"/>
      </w:divBdr>
    </w:div>
    <w:div w:id="1285698765">
      <w:bodyDiv w:val="1"/>
      <w:marLeft w:val="0"/>
      <w:marRight w:val="0"/>
      <w:marTop w:val="0"/>
      <w:marBottom w:val="0"/>
      <w:divBdr>
        <w:top w:val="none" w:sz="0" w:space="0" w:color="auto"/>
        <w:left w:val="none" w:sz="0" w:space="0" w:color="auto"/>
        <w:bottom w:val="none" w:sz="0" w:space="0" w:color="auto"/>
        <w:right w:val="none" w:sz="0" w:space="0" w:color="auto"/>
      </w:divBdr>
    </w:div>
    <w:div w:id="1309439476">
      <w:bodyDiv w:val="1"/>
      <w:marLeft w:val="0"/>
      <w:marRight w:val="0"/>
      <w:marTop w:val="0"/>
      <w:marBottom w:val="0"/>
      <w:divBdr>
        <w:top w:val="none" w:sz="0" w:space="0" w:color="auto"/>
        <w:left w:val="none" w:sz="0" w:space="0" w:color="auto"/>
        <w:bottom w:val="none" w:sz="0" w:space="0" w:color="auto"/>
        <w:right w:val="none" w:sz="0" w:space="0" w:color="auto"/>
      </w:divBdr>
      <w:divsChild>
        <w:div w:id="1012414974">
          <w:marLeft w:val="0"/>
          <w:marRight w:val="0"/>
          <w:marTop w:val="0"/>
          <w:marBottom w:val="0"/>
          <w:divBdr>
            <w:top w:val="none" w:sz="0" w:space="0" w:color="auto"/>
            <w:left w:val="none" w:sz="0" w:space="0" w:color="auto"/>
            <w:bottom w:val="none" w:sz="0" w:space="0" w:color="auto"/>
            <w:right w:val="none" w:sz="0" w:space="0" w:color="auto"/>
          </w:divBdr>
          <w:divsChild>
            <w:div w:id="2086147355">
              <w:marLeft w:val="0"/>
              <w:marRight w:val="0"/>
              <w:marTop w:val="0"/>
              <w:marBottom w:val="0"/>
              <w:divBdr>
                <w:top w:val="none" w:sz="0" w:space="0" w:color="auto"/>
                <w:left w:val="none" w:sz="0" w:space="0" w:color="auto"/>
                <w:bottom w:val="none" w:sz="0" w:space="0" w:color="auto"/>
                <w:right w:val="none" w:sz="0" w:space="0" w:color="auto"/>
              </w:divBdr>
              <w:divsChild>
                <w:div w:id="1608273705">
                  <w:marLeft w:val="0"/>
                  <w:marRight w:val="0"/>
                  <w:marTop w:val="0"/>
                  <w:marBottom w:val="0"/>
                  <w:divBdr>
                    <w:top w:val="none" w:sz="0" w:space="0" w:color="auto"/>
                    <w:left w:val="none" w:sz="0" w:space="0" w:color="auto"/>
                    <w:bottom w:val="none" w:sz="0" w:space="0" w:color="auto"/>
                    <w:right w:val="none" w:sz="0" w:space="0" w:color="auto"/>
                  </w:divBdr>
                  <w:divsChild>
                    <w:div w:id="1028021380">
                      <w:marLeft w:val="420"/>
                      <w:marRight w:val="0"/>
                      <w:marTop w:val="0"/>
                      <w:marBottom w:val="0"/>
                      <w:divBdr>
                        <w:top w:val="none" w:sz="0" w:space="0" w:color="auto"/>
                        <w:left w:val="none" w:sz="0" w:space="0" w:color="auto"/>
                        <w:bottom w:val="none" w:sz="0" w:space="0" w:color="auto"/>
                        <w:right w:val="none" w:sz="0" w:space="0" w:color="auto"/>
                      </w:divBdr>
                      <w:divsChild>
                        <w:div w:id="533424490">
                          <w:marLeft w:val="0"/>
                          <w:marRight w:val="0"/>
                          <w:marTop w:val="0"/>
                          <w:marBottom w:val="0"/>
                          <w:divBdr>
                            <w:top w:val="none" w:sz="0" w:space="0" w:color="auto"/>
                            <w:left w:val="none" w:sz="0" w:space="0" w:color="auto"/>
                            <w:bottom w:val="none" w:sz="0" w:space="0" w:color="auto"/>
                            <w:right w:val="none" w:sz="0" w:space="0" w:color="auto"/>
                          </w:divBdr>
                          <w:divsChild>
                            <w:div w:id="246698210">
                              <w:marLeft w:val="0"/>
                              <w:marRight w:val="0"/>
                              <w:marTop w:val="0"/>
                              <w:marBottom w:val="0"/>
                              <w:divBdr>
                                <w:top w:val="none" w:sz="0" w:space="0" w:color="auto"/>
                                <w:left w:val="none" w:sz="0" w:space="0" w:color="auto"/>
                                <w:bottom w:val="none" w:sz="0" w:space="0" w:color="auto"/>
                                <w:right w:val="none" w:sz="0" w:space="0" w:color="auto"/>
                              </w:divBdr>
                              <w:divsChild>
                                <w:div w:id="476805746">
                                  <w:marLeft w:val="0"/>
                                  <w:marRight w:val="0"/>
                                  <w:marTop w:val="0"/>
                                  <w:marBottom w:val="0"/>
                                  <w:divBdr>
                                    <w:top w:val="none" w:sz="0" w:space="0" w:color="auto"/>
                                    <w:left w:val="none" w:sz="0" w:space="0" w:color="auto"/>
                                    <w:bottom w:val="none" w:sz="0" w:space="0" w:color="auto"/>
                                    <w:right w:val="none" w:sz="0" w:space="0" w:color="auto"/>
                                  </w:divBdr>
                                  <w:divsChild>
                                    <w:div w:id="2025476936">
                                      <w:marLeft w:val="0"/>
                                      <w:marRight w:val="0"/>
                                      <w:marTop w:val="0"/>
                                      <w:marBottom w:val="0"/>
                                      <w:divBdr>
                                        <w:top w:val="none" w:sz="0" w:space="0" w:color="auto"/>
                                        <w:left w:val="none" w:sz="0" w:space="0" w:color="auto"/>
                                        <w:bottom w:val="none" w:sz="0" w:space="0" w:color="auto"/>
                                        <w:right w:val="none" w:sz="0" w:space="0" w:color="auto"/>
                                      </w:divBdr>
                                      <w:divsChild>
                                        <w:div w:id="13268577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503944">
      <w:bodyDiv w:val="1"/>
      <w:marLeft w:val="0"/>
      <w:marRight w:val="0"/>
      <w:marTop w:val="0"/>
      <w:marBottom w:val="0"/>
      <w:divBdr>
        <w:top w:val="none" w:sz="0" w:space="0" w:color="auto"/>
        <w:left w:val="none" w:sz="0" w:space="0" w:color="auto"/>
        <w:bottom w:val="none" w:sz="0" w:space="0" w:color="auto"/>
        <w:right w:val="none" w:sz="0" w:space="0" w:color="auto"/>
      </w:divBdr>
    </w:div>
    <w:div w:id="1332180956">
      <w:bodyDiv w:val="1"/>
      <w:marLeft w:val="0"/>
      <w:marRight w:val="0"/>
      <w:marTop w:val="0"/>
      <w:marBottom w:val="0"/>
      <w:divBdr>
        <w:top w:val="none" w:sz="0" w:space="0" w:color="auto"/>
        <w:left w:val="none" w:sz="0" w:space="0" w:color="auto"/>
        <w:bottom w:val="none" w:sz="0" w:space="0" w:color="auto"/>
        <w:right w:val="none" w:sz="0" w:space="0" w:color="auto"/>
      </w:divBdr>
    </w:div>
    <w:div w:id="1334526029">
      <w:bodyDiv w:val="1"/>
      <w:marLeft w:val="0"/>
      <w:marRight w:val="0"/>
      <w:marTop w:val="0"/>
      <w:marBottom w:val="0"/>
      <w:divBdr>
        <w:top w:val="none" w:sz="0" w:space="0" w:color="auto"/>
        <w:left w:val="none" w:sz="0" w:space="0" w:color="auto"/>
        <w:bottom w:val="none" w:sz="0" w:space="0" w:color="auto"/>
        <w:right w:val="none" w:sz="0" w:space="0" w:color="auto"/>
      </w:divBdr>
    </w:div>
    <w:div w:id="1349022254">
      <w:bodyDiv w:val="1"/>
      <w:marLeft w:val="0"/>
      <w:marRight w:val="0"/>
      <w:marTop w:val="0"/>
      <w:marBottom w:val="0"/>
      <w:divBdr>
        <w:top w:val="none" w:sz="0" w:space="0" w:color="auto"/>
        <w:left w:val="none" w:sz="0" w:space="0" w:color="auto"/>
        <w:bottom w:val="none" w:sz="0" w:space="0" w:color="auto"/>
        <w:right w:val="none" w:sz="0" w:space="0" w:color="auto"/>
      </w:divBdr>
    </w:div>
    <w:div w:id="1352680485">
      <w:bodyDiv w:val="1"/>
      <w:marLeft w:val="0"/>
      <w:marRight w:val="0"/>
      <w:marTop w:val="0"/>
      <w:marBottom w:val="0"/>
      <w:divBdr>
        <w:top w:val="none" w:sz="0" w:space="0" w:color="auto"/>
        <w:left w:val="none" w:sz="0" w:space="0" w:color="auto"/>
        <w:bottom w:val="none" w:sz="0" w:space="0" w:color="auto"/>
        <w:right w:val="none" w:sz="0" w:space="0" w:color="auto"/>
      </w:divBdr>
      <w:divsChild>
        <w:div w:id="344401718">
          <w:marLeft w:val="0"/>
          <w:marRight w:val="0"/>
          <w:marTop w:val="0"/>
          <w:marBottom w:val="0"/>
          <w:divBdr>
            <w:top w:val="none" w:sz="0" w:space="0" w:color="auto"/>
            <w:left w:val="none" w:sz="0" w:space="0" w:color="auto"/>
            <w:bottom w:val="none" w:sz="0" w:space="0" w:color="auto"/>
            <w:right w:val="none" w:sz="0" w:space="0" w:color="auto"/>
          </w:divBdr>
          <w:divsChild>
            <w:div w:id="1539857972">
              <w:marLeft w:val="0"/>
              <w:marRight w:val="0"/>
              <w:marTop w:val="0"/>
              <w:marBottom w:val="0"/>
              <w:divBdr>
                <w:top w:val="none" w:sz="0" w:space="0" w:color="auto"/>
                <w:left w:val="none" w:sz="0" w:space="0" w:color="auto"/>
                <w:bottom w:val="none" w:sz="0" w:space="0" w:color="auto"/>
                <w:right w:val="none" w:sz="0" w:space="0" w:color="auto"/>
              </w:divBdr>
              <w:divsChild>
                <w:div w:id="1018849283">
                  <w:marLeft w:val="0"/>
                  <w:marRight w:val="0"/>
                  <w:marTop w:val="0"/>
                  <w:marBottom w:val="0"/>
                  <w:divBdr>
                    <w:top w:val="none" w:sz="0" w:space="0" w:color="auto"/>
                    <w:left w:val="none" w:sz="0" w:space="0" w:color="auto"/>
                    <w:bottom w:val="none" w:sz="0" w:space="0" w:color="auto"/>
                    <w:right w:val="none" w:sz="0" w:space="0" w:color="auto"/>
                  </w:divBdr>
                  <w:divsChild>
                    <w:div w:id="1726639510">
                      <w:marLeft w:val="420"/>
                      <w:marRight w:val="0"/>
                      <w:marTop w:val="0"/>
                      <w:marBottom w:val="0"/>
                      <w:divBdr>
                        <w:top w:val="none" w:sz="0" w:space="0" w:color="auto"/>
                        <w:left w:val="none" w:sz="0" w:space="0" w:color="auto"/>
                        <w:bottom w:val="none" w:sz="0" w:space="0" w:color="auto"/>
                        <w:right w:val="none" w:sz="0" w:space="0" w:color="auto"/>
                      </w:divBdr>
                      <w:divsChild>
                        <w:div w:id="1122070488">
                          <w:marLeft w:val="0"/>
                          <w:marRight w:val="0"/>
                          <w:marTop w:val="0"/>
                          <w:marBottom w:val="0"/>
                          <w:divBdr>
                            <w:top w:val="none" w:sz="0" w:space="0" w:color="auto"/>
                            <w:left w:val="none" w:sz="0" w:space="0" w:color="auto"/>
                            <w:bottom w:val="none" w:sz="0" w:space="0" w:color="auto"/>
                            <w:right w:val="none" w:sz="0" w:space="0" w:color="auto"/>
                          </w:divBdr>
                          <w:divsChild>
                            <w:div w:id="1199201989">
                              <w:marLeft w:val="0"/>
                              <w:marRight w:val="0"/>
                              <w:marTop w:val="0"/>
                              <w:marBottom w:val="0"/>
                              <w:divBdr>
                                <w:top w:val="none" w:sz="0" w:space="0" w:color="auto"/>
                                <w:left w:val="none" w:sz="0" w:space="0" w:color="auto"/>
                                <w:bottom w:val="none" w:sz="0" w:space="0" w:color="auto"/>
                                <w:right w:val="none" w:sz="0" w:space="0" w:color="auto"/>
                              </w:divBdr>
                              <w:divsChild>
                                <w:div w:id="1136919377">
                                  <w:marLeft w:val="0"/>
                                  <w:marRight w:val="0"/>
                                  <w:marTop w:val="0"/>
                                  <w:marBottom w:val="0"/>
                                  <w:divBdr>
                                    <w:top w:val="none" w:sz="0" w:space="0" w:color="auto"/>
                                    <w:left w:val="none" w:sz="0" w:space="0" w:color="auto"/>
                                    <w:bottom w:val="none" w:sz="0" w:space="0" w:color="auto"/>
                                    <w:right w:val="none" w:sz="0" w:space="0" w:color="auto"/>
                                  </w:divBdr>
                                  <w:divsChild>
                                    <w:div w:id="391123497">
                                      <w:marLeft w:val="0"/>
                                      <w:marRight w:val="0"/>
                                      <w:marTop w:val="0"/>
                                      <w:marBottom w:val="0"/>
                                      <w:divBdr>
                                        <w:top w:val="none" w:sz="0" w:space="0" w:color="auto"/>
                                        <w:left w:val="none" w:sz="0" w:space="0" w:color="auto"/>
                                        <w:bottom w:val="none" w:sz="0" w:space="0" w:color="auto"/>
                                        <w:right w:val="none" w:sz="0" w:space="0" w:color="auto"/>
                                      </w:divBdr>
                                      <w:divsChild>
                                        <w:div w:id="209809348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268435">
      <w:bodyDiv w:val="1"/>
      <w:marLeft w:val="0"/>
      <w:marRight w:val="0"/>
      <w:marTop w:val="0"/>
      <w:marBottom w:val="0"/>
      <w:divBdr>
        <w:top w:val="none" w:sz="0" w:space="0" w:color="auto"/>
        <w:left w:val="none" w:sz="0" w:space="0" w:color="auto"/>
        <w:bottom w:val="none" w:sz="0" w:space="0" w:color="auto"/>
        <w:right w:val="none" w:sz="0" w:space="0" w:color="auto"/>
      </w:divBdr>
    </w:div>
    <w:div w:id="1368797925">
      <w:bodyDiv w:val="1"/>
      <w:marLeft w:val="0"/>
      <w:marRight w:val="0"/>
      <w:marTop w:val="0"/>
      <w:marBottom w:val="0"/>
      <w:divBdr>
        <w:top w:val="none" w:sz="0" w:space="0" w:color="auto"/>
        <w:left w:val="none" w:sz="0" w:space="0" w:color="auto"/>
        <w:bottom w:val="none" w:sz="0" w:space="0" w:color="auto"/>
        <w:right w:val="none" w:sz="0" w:space="0" w:color="auto"/>
      </w:divBdr>
    </w:div>
    <w:div w:id="1369791848">
      <w:bodyDiv w:val="1"/>
      <w:marLeft w:val="0"/>
      <w:marRight w:val="0"/>
      <w:marTop w:val="0"/>
      <w:marBottom w:val="0"/>
      <w:divBdr>
        <w:top w:val="none" w:sz="0" w:space="0" w:color="auto"/>
        <w:left w:val="none" w:sz="0" w:space="0" w:color="auto"/>
        <w:bottom w:val="none" w:sz="0" w:space="0" w:color="auto"/>
        <w:right w:val="none" w:sz="0" w:space="0" w:color="auto"/>
      </w:divBdr>
    </w:div>
    <w:div w:id="138884420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453354859">
      <w:bodyDiv w:val="1"/>
      <w:marLeft w:val="0"/>
      <w:marRight w:val="0"/>
      <w:marTop w:val="0"/>
      <w:marBottom w:val="0"/>
      <w:divBdr>
        <w:top w:val="none" w:sz="0" w:space="0" w:color="auto"/>
        <w:left w:val="none" w:sz="0" w:space="0" w:color="auto"/>
        <w:bottom w:val="none" w:sz="0" w:space="0" w:color="auto"/>
        <w:right w:val="none" w:sz="0" w:space="0" w:color="auto"/>
      </w:divBdr>
    </w:div>
    <w:div w:id="1468624166">
      <w:bodyDiv w:val="1"/>
      <w:marLeft w:val="0"/>
      <w:marRight w:val="0"/>
      <w:marTop w:val="0"/>
      <w:marBottom w:val="0"/>
      <w:divBdr>
        <w:top w:val="none" w:sz="0" w:space="0" w:color="auto"/>
        <w:left w:val="none" w:sz="0" w:space="0" w:color="auto"/>
        <w:bottom w:val="none" w:sz="0" w:space="0" w:color="auto"/>
        <w:right w:val="none" w:sz="0" w:space="0" w:color="auto"/>
      </w:divBdr>
    </w:div>
    <w:div w:id="1475836234">
      <w:bodyDiv w:val="1"/>
      <w:marLeft w:val="0"/>
      <w:marRight w:val="0"/>
      <w:marTop w:val="0"/>
      <w:marBottom w:val="0"/>
      <w:divBdr>
        <w:top w:val="none" w:sz="0" w:space="0" w:color="auto"/>
        <w:left w:val="none" w:sz="0" w:space="0" w:color="auto"/>
        <w:bottom w:val="none" w:sz="0" w:space="0" w:color="auto"/>
        <w:right w:val="none" w:sz="0" w:space="0" w:color="auto"/>
      </w:divBdr>
    </w:div>
    <w:div w:id="1490709707">
      <w:bodyDiv w:val="1"/>
      <w:marLeft w:val="0"/>
      <w:marRight w:val="0"/>
      <w:marTop w:val="0"/>
      <w:marBottom w:val="0"/>
      <w:divBdr>
        <w:top w:val="none" w:sz="0" w:space="0" w:color="auto"/>
        <w:left w:val="none" w:sz="0" w:space="0" w:color="auto"/>
        <w:bottom w:val="none" w:sz="0" w:space="0" w:color="auto"/>
        <w:right w:val="none" w:sz="0" w:space="0" w:color="auto"/>
      </w:divBdr>
    </w:div>
    <w:div w:id="1493133480">
      <w:bodyDiv w:val="1"/>
      <w:marLeft w:val="0"/>
      <w:marRight w:val="0"/>
      <w:marTop w:val="0"/>
      <w:marBottom w:val="0"/>
      <w:divBdr>
        <w:top w:val="none" w:sz="0" w:space="0" w:color="auto"/>
        <w:left w:val="none" w:sz="0" w:space="0" w:color="auto"/>
        <w:bottom w:val="none" w:sz="0" w:space="0" w:color="auto"/>
        <w:right w:val="none" w:sz="0" w:space="0" w:color="auto"/>
      </w:divBdr>
    </w:div>
    <w:div w:id="1516118676">
      <w:bodyDiv w:val="1"/>
      <w:marLeft w:val="0"/>
      <w:marRight w:val="0"/>
      <w:marTop w:val="0"/>
      <w:marBottom w:val="0"/>
      <w:divBdr>
        <w:top w:val="none" w:sz="0" w:space="0" w:color="auto"/>
        <w:left w:val="none" w:sz="0" w:space="0" w:color="auto"/>
        <w:bottom w:val="none" w:sz="0" w:space="0" w:color="auto"/>
        <w:right w:val="none" w:sz="0" w:space="0" w:color="auto"/>
      </w:divBdr>
    </w:div>
    <w:div w:id="1521119138">
      <w:bodyDiv w:val="1"/>
      <w:marLeft w:val="0"/>
      <w:marRight w:val="0"/>
      <w:marTop w:val="0"/>
      <w:marBottom w:val="0"/>
      <w:divBdr>
        <w:top w:val="none" w:sz="0" w:space="0" w:color="auto"/>
        <w:left w:val="none" w:sz="0" w:space="0" w:color="auto"/>
        <w:bottom w:val="none" w:sz="0" w:space="0" w:color="auto"/>
        <w:right w:val="none" w:sz="0" w:space="0" w:color="auto"/>
      </w:divBdr>
    </w:div>
    <w:div w:id="1528446065">
      <w:bodyDiv w:val="1"/>
      <w:marLeft w:val="0"/>
      <w:marRight w:val="0"/>
      <w:marTop w:val="0"/>
      <w:marBottom w:val="0"/>
      <w:divBdr>
        <w:top w:val="none" w:sz="0" w:space="0" w:color="auto"/>
        <w:left w:val="none" w:sz="0" w:space="0" w:color="auto"/>
        <w:bottom w:val="none" w:sz="0" w:space="0" w:color="auto"/>
        <w:right w:val="none" w:sz="0" w:space="0" w:color="auto"/>
      </w:divBdr>
    </w:div>
    <w:div w:id="1538590334">
      <w:bodyDiv w:val="1"/>
      <w:marLeft w:val="0"/>
      <w:marRight w:val="0"/>
      <w:marTop w:val="0"/>
      <w:marBottom w:val="0"/>
      <w:divBdr>
        <w:top w:val="none" w:sz="0" w:space="0" w:color="auto"/>
        <w:left w:val="none" w:sz="0" w:space="0" w:color="auto"/>
        <w:bottom w:val="none" w:sz="0" w:space="0" w:color="auto"/>
        <w:right w:val="none" w:sz="0" w:space="0" w:color="auto"/>
      </w:divBdr>
    </w:div>
    <w:div w:id="1538856588">
      <w:bodyDiv w:val="1"/>
      <w:marLeft w:val="0"/>
      <w:marRight w:val="0"/>
      <w:marTop w:val="0"/>
      <w:marBottom w:val="0"/>
      <w:divBdr>
        <w:top w:val="none" w:sz="0" w:space="0" w:color="auto"/>
        <w:left w:val="none" w:sz="0" w:space="0" w:color="auto"/>
        <w:bottom w:val="none" w:sz="0" w:space="0" w:color="auto"/>
        <w:right w:val="none" w:sz="0" w:space="0" w:color="auto"/>
      </w:divBdr>
    </w:div>
    <w:div w:id="1544634467">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08198899">
      <w:bodyDiv w:val="1"/>
      <w:marLeft w:val="0"/>
      <w:marRight w:val="0"/>
      <w:marTop w:val="0"/>
      <w:marBottom w:val="0"/>
      <w:divBdr>
        <w:top w:val="none" w:sz="0" w:space="0" w:color="auto"/>
        <w:left w:val="none" w:sz="0" w:space="0" w:color="auto"/>
        <w:bottom w:val="none" w:sz="0" w:space="0" w:color="auto"/>
        <w:right w:val="none" w:sz="0" w:space="0" w:color="auto"/>
      </w:divBdr>
    </w:div>
    <w:div w:id="1612203682">
      <w:bodyDiv w:val="1"/>
      <w:marLeft w:val="0"/>
      <w:marRight w:val="0"/>
      <w:marTop w:val="0"/>
      <w:marBottom w:val="0"/>
      <w:divBdr>
        <w:top w:val="none" w:sz="0" w:space="0" w:color="auto"/>
        <w:left w:val="none" w:sz="0" w:space="0" w:color="auto"/>
        <w:bottom w:val="none" w:sz="0" w:space="0" w:color="auto"/>
        <w:right w:val="none" w:sz="0" w:space="0" w:color="auto"/>
      </w:divBdr>
    </w:div>
    <w:div w:id="1623615319">
      <w:bodyDiv w:val="1"/>
      <w:marLeft w:val="0"/>
      <w:marRight w:val="0"/>
      <w:marTop w:val="0"/>
      <w:marBottom w:val="0"/>
      <w:divBdr>
        <w:top w:val="none" w:sz="0" w:space="0" w:color="auto"/>
        <w:left w:val="none" w:sz="0" w:space="0" w:color="auto"/>
        <w:bottom w:val="none" w:sz="0" w:space="0" w:color="auto"/>
        <w:right w:val="none" w:sz="0" w:space="0" w:color="auto"/>
      </w:divBdr>
    </w:div>
    <w:div w:id="1641618072">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1688755806">
      <w:bodyDiv w:val="1"/>
      <w:marLeft w:val="0"/>
      <w:marRight w:val="0"/>
      <w:marTop w:val="0"/>
      <w:marBottom w:val="0"/>
      <w:divBdr>
        <w:top w:val="none" w:sz="0" w:space="0" w:color="auto"/>
        <w:left w:val="none" w:sz="0" w:space="0" w:color="auto"/>
        <w:bottom w:val="none" w:sz="0" w:space="0" w:color="auto"/>
        <w:right w:val="none" w:sz="0" w:space="0" w:color="auto"/>
      </w:divBdr>
    </w:div>
    <w:div w:id="1694067136">
      <w:bodyDiv w:val="1"/>
      <w:marLeft w:val="0"/>
      <w:marRight w:val="0"/>
      <w:marTop w:val="0"/>
      <w:marBottom w:val="0"/>
      <w:divBdr>
        <w:top w:val="none" w:sz="0" w:space="0" w:color="auto"/>
        <w:left w:val="none" w:sz="0" w:space="0" w:color="auto"/>
        <w:bottom w:val="none" w:sz="0" w:space="0" w:color="auto"/>
        <w:right w:val="none" w:sz="0" w:space="0" w:color="auto"/>
      </w:divBdr>
    </w:div>
    <w:div w:id="1734310305">
      <w:bodyDiv w:val="1"/>
      <w:marLeft w:val="0"/>
      <w:marRight w:val="0"/>
      <w:marTop w:val="0"/>
      <w:marBottom w:val="0"/>
      <w:divBdr>
        <w:top w:val="none" w:sz="0" w:space="0" w:color="auto"/>
        <w:left w:val="none" w:sz="0" w:space="0" w:color="auto"/>
        <w:bottom w:val="none" w:sz="0" w:space="0" w:color="auto"/>
        <w:right w:val="none" w:sz="0" w:space="0" w:color="auto"/>
      </w:divBdr>
    </w:div>
    <w:div w:id="1747418010">
      <w:bodyDiv w:val="1"/>
      <w:marLeft w:val="0"/>
      <w:marRight w:val="0"/>
      <w:marTop w:val="0"/>
      <w:marBottom w:val="0"/>
      <w:divBdr>
        <w:top w:val="none" w:sz="0" w:space="0" w:color="auto"/>
        <w:left w:val="none" w:sz="0" w:space="0" w:color="auto"/>
        <w:bottom w:val="none" w:sz="0" w:space="0" w:color="auto"/>
        <w:right w:val="none" w:sz="0" w:space="0" w:color="auto"/>
      </w:divBdr>
    </w:div>
    <w:div w:id="1760713706">
      <w:bodyDiv w:val="1"/>
      <w:marLeft w:val="0"/>
      <w:marRight w:val="0"/>
      <w:marTop w:val="0"/>
      <w:marBottom w:val="0"/>
      <w:divBdr>
        <w:top w:val="none" w:sz="0" w:space="0" w:color="auto"/>
        <w:left w:val="none" w:sz="0" w:space="0" w:color="auto"/>
        <w:bottom w:val="none" w:sz="0" w:space="0" w:color="auto"/>
        <w:right w:val="none" w:sz="0" w:space="0" w:color="auto"/>
      </w:divBdr>
    </w:div>
    <w:div w:id="1795364585">
      <w:bodyDiv w:val="1"/>
      <w:marLeft w:val="0"/>
      <w:marRight w:val="0"/>
      <w:marTop w:val="0"/>
      <w:marBottom w:val="0"/>
      <w:divBdr>
        <w:top w:val="none" w:sz="0" w:space="0" w:color="auto"/>
        <w:left w:val="none" w:sz="0" w:space="0" w:color="auto"/>
        <w:bottom w:val="none" w:sz="0" w:space="0" w:color="auto"/>
        <w:right w:val="none" w:sz="0" w:space="0" w:color="auto"/>
      </w:divBdr>
    </w:div>
    <w:div w:id="1801417617">
      <w:bodyDiv w:val="1"/>
      <w:marLeft w:val="0"/>
      <w:marRight w:val="0"/>
      <w:marTop w:val="0"/>
      <w:marBottom w:val="0"/>
      <w:divBdr>
        <w:top w:val="none" w:sz="0" w:space="0" w:color="auto"/>
        <w:left w:val="none" w:sz="0" w:space="0" w:color="auto"/>
        <w:bottom w:val="none" w:sz="0" w:space="0" w:color="auto"/>
        <w:right w:val="none" w:sz="0" w:space="0" w:color="auto"/>
      </w:divBdr>
    </w:div>
    <w:div w:id="1842114379">
      <w:bodyDiv w:val="1"/>
      <w:marLeft w:val="0"/>
      <w:marRight w:val="0"/>
      <w:marTop w:val="0"/>
      <w:marBottom w:val="0"/>
      <w:divBdr>
        <w:top w:val="none" w:sz="0" w:space="0" w:color="auto"/>
        <w:left w:val="none" w:sz="0" w:space="0" w:color="auto"/>
        <w:bottom w:val="none" w:sz="0" w:space="0" w:color="auto"/>
        <w:right w:val="none" w:sz="0" w:space="0" w:color="auto"/>
      </w:divBdr>
    </w:div>
    <w:div w:id="1843278801">
      <w:bodyDiv w:val="1"/>
      <w:marLeft w:val="0"/>
      <w:marRight w:val="0"/>
      <w:marTop w:val="0"/>
      <w:marBottom w:val="0"/>
      <w:divBdr>
        <w:top w:val="none" w:sz="0" w:space="0" w:color="auto"/>
        <w:left w:val="none" w:sz="0" w:space="0" w:color="auto"/>
        <w:bottom w:val="none" w:sz="0" w:space="0" w:color="auto"/>
        <w:right w:val="none" w:sz="0" w:space="0" w:color="auto"/>
      </w:divBdr>
    </w:div>
    <w:div w:id="1859074785">
      <w:bodyDiv w:val="1"/>
      <w:marLeft w:val="0"/>
      <w:marRight w:val="0"/>
      <w:marTop w:val="0"/>
      <w:marBottom w:val="0"/>
      <w:divBdr>
        <w:top w:val="none" w:sz="0" w:space="0" w:color="auto"/>
        <w:left w:val="none" w:sz="0" w:space="0" w:color="auto"/>
        <w:bottom w:val="none" w:sz="0" w:space="0" w:color="auto"/>
        <w:right w:val="none" w:sz="0" w:space="0" w:color="auto"/>
      </w:divBdr>
    </w:div>
    <w:div w:id="1863741440">
      <w:bodyDiv w:val="1"/>
      <w:marLeft w:val="0"/>
      <w:marRight w:val="0"/>
      <w:marTop w:val="0"/>
      <w:marBottom w:val="0"/>
      <w:divBdr>
        <w:top w:val="none" w:sz="0" w:space="0" w:color="auto"/>
        <w:left w:val="none" w:sz="0" w:space="0" w:color="auto"/>
        <w:bottom w:val="none" w:sz="0" w:space="0" w:color="auto"/>
        <w:right w:val="none" w:sz="0" w:space="0" w:color="auto"/>
      </w:divBdr>
      <w:divsChild>
        <w:div w:id="916281213">
          <w:marLeft w:val="0"/>
          <w:marRight w:val="0"/>
          <w:marTop w:val="0"/>
          <w:marBottom w:val="0"/>
          <w:divBdr>
            <w:top w:val="none" w:sz="0" w:space="0" w:color="auto"/>
            <w:left w:val="none" w:sz="0" w:space="0" w:color="auto"/>
            <w:bottom w:val="none" w:sz="0" w:space="0" w:color="auto"/>
            <w:right w:val="none" w:sz="0" w:space="0" w:color="auto"/>
          </w:divBdr>
          <w:divsChild>
            <w:div w:id="2051802904">
              <w:marLeft w:val="0"/>
              <w:marRight w:val="0"/>
              <w:marTop w:val="0"/>
              <w:marBottom w:val="0"/>
              <w:divBdr>
                <w:top w:val="none" w:sz="0" w:space="0" w:color="auto"/>
                <w:left w:val="none" w:sz="0" w:space="0" w:color="auto"/>
                <w:bottom w:val="none" w:sz="0" w:space="0" w:color="auto"/>
                <w:right w:val="none" w:sz="0" w:space="0" w:color="auto"/>
              </w:divBdr>
              <w:divsChild>
                <w:div w:id="2129930339">
                  <w:marLeft w:val="0"/>
                  <w:marRight w:val="0"/>
                  <w:marTop w:val="0"/>
                  <w:marBottom w:val="0"/>
                  <w:divBdr>
                    <w:top w:val="none" w:sz="0" w:space="0" w:color="auto"/>
                    <w:left w:val="none" w:sz="0" w:space="0" w:color="auto"/>
                    <w:bottom w:val="none" w:sz="0" w:space="0" w:color="auto"/>
                    <w:right w:val="none" w:sz="0" w:space="0" w:color="auto"/>
                  </w:divBdr>
                  <w:divsChild>
                    <w:div w:id="255867187">
                      <w:marLeft w:val="420"/>
                      <w:marRight w:val="0"/>
                      <w:marTop w:val="0"/>
                      <w:marBottom w:val="0"/>
                      <w:divBdr>
                        <w:top w:val="none" w:sz="0" w:space="0" w:color="auto"/>
                        <w:left w:val="none" w:sz="0" w:space="0" w:color="auto"/>
                        <w:bottom w:val="none" w:sz="0" w:space="0" w:color="auto"/>
                        <w:right w:val="none" w:sz="0" w:space="0" w:color="auto"/>
                      </w:divBdr>
                      <w:divsChild>
                        <w:div w:id="1825927099">
                          <w:marLeft w:val="0"/>
                          <w:marRight w:val="0"/>
                          <w:marTop w:val="0"/>
                          <w:marBottom w:val="0"/>
                          <w:divBdr>
                            <w:top w:val="none" w:sz="0" w:space="0" w:color="auto"/>
                            <w:left w:val="none" w:sz="0" w:space="0" w:color="auto"/>
                            <w:bottom w:val="none" w:sz="0" w:space="0" w:color="auto"/>
                            <w:right w:val="none" w:sz="0" w:space="0" w:color="auto"/>
                          </w:divBdr>
                          <w:divsChild>
                            <w:div w:id="1331252119">
                              <w:marLeft w:val="0"/>
                              <w:marRight w:val="0"/>
                              <w:marTop w:val="0"/>
                              <w:marBottom w:val="0"/>
                              <w:divBdr>
                                <w:top w:val="none" w:sz="0" w:space="0" w:color="auto"/>
                                <w:left w:val="none" w:sz="0" w:space="0" w:color="auto"/>
                                <w:bottom w:val="none" w:sz="0" w:space="0" w:color="auto"/>
                                <w:right w:val="none" w:sz="0" w:space="0" w:color="auto"/>
                              </w:divBdr>
                              <w:divsChild>
                                <w:div w:id="610669555">
                                  <w:marLeft w:val="0"/>
                                  <w:marRight w:val="0"/>
                                  <w:marTop w:val="0"/>
                                  <w:marBottom w:val="0"/>
                                  <w:divBdr>
                                    <w:top w:val="none" w:sz="0" w:space="0" w:color="auto"/>
                                    <w:left w:val="none" w:sz="0" w:space="0" w:color="auto"/>
                                    <w:bottom w:val="none" w:sz="0" w:space="0" w:color="auto"/>
                                    <w:right w:val="none" w:sz="0" w:space="0" w:color="auto"/>
                                  </w:divBdr>
                                  <w:divsChild>
                                    <w:div w:id="780800152">
                                      <w:marLeft w:val="0"/>
                                      <w:marRight w:val="0"/>
                                      <w:marTop w:val="0"/>
                                      <w:marBottom w:val="0"/>
                                      <w:divBdr>
                                        <w:top w:val="none" w:sz="0" w:space="0" w:color="auto"/>
                                        <w:left w:val="none" w:sz="0" w:space="0" w:color="auto"/>
                                        <w:bottom w:val="none" w:sz="0" w:space="0" w:color="auto"/>
                                        <w:right w:val="none" w:sz="0" w:space="0" w:color="auto"/>
                                      </w:divBdr>
                                      <w:divsChild>
                                        <w:div w:id="127462651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416068">
      <w:bodyDiv w:val="1"/>
      <w:marLeft w:val="0"/>
      <w:marRight w:val="0"/>
      <w:marTop w:val="0"/>
      <w:marBottom w:val="0"/>
      <w:divBdr>
        <w:top w:val="none" w:sz="0" w:space="0" w:color="auto"/>
        <w:left w:val="none" w:sz="0" w:space="0" w:color="auto"/>
        <w:bottom w:val="none" w:sz="0" w:space="0" w:color="auto"/>
        <w:right w:val="none" w:sz="0" w:space="0" w:color="auto"/>
      </w:divBdr>
    </w:div>
    <w:div w:id="1901404408">
      <w:bodyDiv w:val="1"/>
      <w:marLeft w:val="0"/>
      <w:marRight w:val="0"/>
      <w:marTop w:val="0"/>
      <w:marBottom w:val="0"/>
      <w:divBdr>
        <w:top w:val="none" w:sz="0" w:space="0" w:color="auto"/>
        <w:left w:val="none" w:sz="0" w:space="0" w:color="auto"/>
        <w:bottom w:val="none" w:sz="0" w:space="0" w:color="auto"/>
        <w:right w:val="none" w:sz="0" w:space="0" w:color="auto"/>
      </w:divBdr>
    </w:div>
    <w:div w:id="1904876390">
      <w:bodyDiv w:val="1"/>
      <w:marLeft w:val="0"/>
      <w:marRight w:val="0"/>
      <w:marTop w:val="0"/>
      <w:marBottom w:val="0"/>
      <w:divBdr>
        <w:top w:val="none" w:sz="0" w:space="0" w:color="auto"/>
        <w:left w:val="none" w:sz="0" w:space="0" w:color="auto"/>
        <w:bottom w:val="none" w:sz="0" w:space="0" w:color="auto"/>
        <w:right w:val="none" w:sz="0" w:space="0" w:color="auto"/>
      </w:divBdr>
    </w:div>
    <w:div w:id="1922636044">
      <w:bodyDiv w:val="1"/>
      <w:marLeft w:val="0"/>
      <w:marRight w:val="0"/>
      <w:marTop w:val="0"/>
      <w:marBottom w:val="0"/>
      <w:divBdr>
        <w:top w:val="none" w:sz="0" w:space="0" w:color="auto"/>
        <w:left w:val="none" w:sz="0" w:space="0" w:color="auto"/>
        <w:bottom w:val="none" w:sz="0" w:space="0" w:color="auto"/>
        <w:right w:val="none" w:sz="0" w:space="0" w:color="auto"/>
      </w:divBdr>
    </w:div>
    <w:div w:id="1928731579">
      <w:bodyDiv w:val="1"/>
      <w:marLeft w:val="0"/>
      <w:marRight w:val="0"/>
      <w:marTop w:val="0"/>
      <w:marBottom w:val="0"/>
      <w:divBdr>
        <w:top w:val="none" w:sz="0" w:space="0" w:color="auto"/>
        <w:left w:val="none" w:sz="0" w:space="0" w:color="auto"/>
        <w:bottom w:val="none" w:sz="0" w:space="0" w:color="auto"/>
        <w:right w:val="none" w:sz="0" w:space="0" w:color="auto"/>
      </w:divBdr>
    </w:div>
    <w:div w:id="1932623574">
      <w:bodyDiv w:val="1"/>
      <w:marLeft w:val="0"/>
      <w:marRight w:val="0"/>
      <w:marTop w:val="0"/>
      <w:marBottom w:val="0"/>
      <w:divBdr>
        <w:top w:val="none" w:sz="0" w:space="0" w:color="auto"/>
        <w:left w:val="none" w:sz="0" w:space="0" w:color="auto"/>
        <w:bottom w:val="none" w:sz="0" w:space="0" w:color="auto"/>
        <w:right w:val="none" w:sz="0" w:space="0" w:color="auto"/>
      </w:divBdr>
    </w:div>
    <w:div w:id="1942489253">
      <w:bodyDiv w:val="1"/>
      <w:marLeft w:val="0"/>
      <w:marRight w:val="0"/>
      <w:marTop w:val="0"/>
      <w:marBottom w:val="0"/>
      <w:divBdr>
        <w:top w:val="none" w:sz="0" w:space="0" w:color="auto"/>
        <w:left w:val="none" w:sz="0" w:space="0" w:color="auto"/>
        <w:bottom w:val="none" w:sz="0" w:space="0" w:color="auto"/>
        <w:right w:val="none" w:sz="0" w:space="0" w:color="auto"/>
      </w:divBdr>
    </w:div>
    <w:div w:id="1954170152">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44793041">
      <w:bodyDiv w:val="1"/>
      <w:marLeft w:val="0"/>
      <w:marRight w:val="0"/>
      <w:marTop w:val="0"/>
      <w:marBottom w:val="0"/>
      <w:divBdr>
        <w:top w:val="none" w:sz="0" w:space="0" w:color="auto"/>
        <w:left w:val="none" w:sz="0" w:space="0" w:color="auto"/>
        <w:bottom w:val="none" w:sz="0" w:space="0" w:color="auto"/>
        <w:right w:val="none" w:sz="0" w:space="0" w:color="auto"/>
      </w:divBdr>
    </w:div>
    <w:div w:id="2054185722">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081100517">
      <w:bodyDiv w:val="1"/>
      <w:marLeft w:val="0"/>
      <w:marRight w:val="0"/>
      <w:marTop w:val="0"/>
      <w:marBottom w:val="0"/>
      <w:divBdr>
        <w:top w:val="none" w:sz="0" w:space="0" w:color="auto"/>
        <w:left w:val="none" w:sz="0" w:space="0" w:color="auto"/>
        <w:bottom w:val="none" w:sz="0" w:space="0" w:color="auto"/>
        <w:right w:val="none" w:sz="0" w:space="0" w:color="auto"/>
      </w:divBdr>
    </w:div>
    <w:div w:id="2087872291">
      <w:bodyDiv w:val="1"/>
      <w:marLeft w:val="0"/>
      <w:marRight w:val="0"/>
      <w:marTop w:val="0"/>
      <w:marBottom w:val="0"/>
      <w:divBdr>
        <w:top w:val="none" w:sz="0" w:space="0" w:color="auto"/>
        <w:left w:val="none" w:sz="0" w:space="0" w:color="auto"/>
        <w:bottom w:val="none" w:sz="0" w:space="0" w:color="auto"/>
        <w:right w:val="none" w:sz="0" w:space="0" w:color="auto"/>
      </w:divBdr>
    </w:div>
    <w:div w:id="2089762416">
      <w:bodyDiv w:val="1"/>
      <w:marLeft w:val="0"/>
      <w:marRight w:val="0"/>
      <w:marTop w:val="0"/>
      <w:marBottom w:val="0"/>
      <w:divBdr>
        <w:top w:val="none" w:sz="0" w:space="0" w:color="auto"/>
        <w:left w:val="none" w:sz="0" w:space="0" w:color="auto"/>
        <w:bottom w:val="none" w:sz="0" w:space="0" w:color="auto"/>
        <w:right w:val="none" w:sz="0" w:space="0" w:color="auto"/>
      </w:divBdr>
    </w:div>
    <w:div w:id="2093314629">
      <w:bodyDiv w:val="1"/>
      <w:marLeft w:val="0"/>
      <w:marRight w:val="0"/>
      <w:marTop w:val="0"/>
      <w:marBottom w:val="0"/>
      <w:divBdr>
        <w:top w:val="none" w:sz="0" w:space="0" w:color="auto"/>
        <w:left w:val="none" w:sz="0" w:space="0" w:color="auto"/>
        <w:bottom w:val="none" w:sz="0" w:space="0" w:color="auto"/>
        <w:right w:val="none" w:sz="0" w:space="0" w:color="auto"/>
      </w:divBdr>
    </w:div>
    <w:div w:id="2098204667">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 w:id="211852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HRBodies/CCPR/Membership/CV_ABDO_ROCHOL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se document" ma:contentTypeID="0x010100A70BC505B2949A43BBFACEE4A972077000E0AB6A012A73AF4CAFE3CE383E87D2F7" ma:contentTypeVersion="17" ma:contentTypeDescription="" ma:contentTypeScope="" ma:versionID="7732c5109fb48c39a7afca10a8239789">
  <xsd:schema xmlns:xsd="http://www.w3.org/2001/XMLSchema" xmlns:xs="http://www.w3.org/2001/XMLSchema" xmlns:p="http://schemas.microsoft.com/office/2006/metadata/properties" xmlns:ns2="843519ee-602c-4a77-9f98-e0b2d1df032d" xmlns:ns3="1bb7588e-e247-4215-aaaa-8ddb8e8e8079" xmlns:ns4="d0e6e1dd-cead-4b20-a8ab-6c17962cc4ab" xmlns:ns5="2d113eb4-e65a-468c-82cb-a0357bc1037f" targetNamespace="http://schemas.microsoft.com/office/2006/metadata/properties" ma:root="true" ma:fieldsID="9c21b8c842bae9d1267c904587dc4f63" ns2:_="" ns3:_="" ns4:_="" ns5:_="">
    <xsd:import namespace="843519ee-602c-4a77-9f98-e0b2d1df032d"/>
    <xsd:import namespace="1bb7588e-e247-4215-aaaa-8ddb8e8e8079"/>
    <xsd:import namespace="d0e6e1dd-cead-4b20-a8ab-6c17962cc4ab"/>
    <xsd:import namespace="2d113eb4-e65a-468c-82cb-a0357bc1037f"/>
    <xsd:element name="properties">
      <xsd:complexType>
        <xsd:sequence>
          <xsd:element name="documentManagement">
            <xsd:complexType>
              <xsd:all>
                <xsd:element ref="ns2:Folder" minOccurs="0"/>
                <xsd:element ref="ns2:Cover_x0020_page" minOccurs="0"/>
                <xsd:element ref="ns3:Case" minOccurs="0"/>
                <xsd:element ref="ns4:Follow_x002d_up" minOccurs="0"/>
                <xsd:element ref="ns4:Inadmissibility" minOccurs="0"/>
                <xsd:element ref="ns4:Discontinuance" minOccurs="0"/>
                <xsd:element ref="ns4:List_x0020_of_x0020_documents" minOccurs="0"/>
                <xsd:element ref="ns4:Repetitive" minOccurs="0"/>
                <xsd:element ref="ns4:Chamber_1" minOccurs="0"/>
                <xsd:element ref="ns4:Chamber_2" minOccurs="0"/>
                <xsd:element ref="ns5:Drafts_x0020_adopted_x0020_by_x0020_the_x0020_chambers" minOccurs="0"/>
                <xsd:element ref="ns5:Admis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519ee-602c-4a77-9f98-e0b2d1df032d" elementFormDefault="qualified">
    <xsd:import namespace="http://schemas.microsoft.com/office/2006/documentManagement/types"/>
    <xsd:import namespace="http://schemas.microsoft.com/office/infopath/2007/PartnerControls"/>
    <xsd:element name="Folder" ma:index="8" nillable="true" ma:displayName="Folder" ma:default="-" ma:description="Please select the folder, if needed" ma:format="Dropdown" ma:internalName="Folder">
      <xsd:simpleType>
        <xsd:restriction base="dms:Choice">
          <xsd:enumeration value="-"/>
          <xsd:enumeration value="Folder 1"/>
          <xsd:enumeration value="Folder 2"/>
          <xsd:enumeration value="Folder 3"/>
          <xsd:enumeration value="Folder 4"/>
          <xsd:enumeration value="Folder 5"/>
          <xsd:enumeration value="Folder 6"/>
          <xsd:enumeration value="Folder 7"/>
          <xsd:enumeration value="Folder 8"/>
          <xsd:enumeration value="Folder 9"/>
          <xsd:enumeration value="Discontinuance Report"/>
          <xsd:enumeration value="Follow Up To Views"/>
        </xsd:restriction>
      </xsd:simpleType>
    </xsd:element>
    <xsd:element name="Cover_x0020_page" ma:index="9" nillable="true" ma:displayName="Cover page" ma:default="0" ma:description="Check the box if it is a cover page folder" ma:internalName="Cover_x0020_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b7588e-e247-4215-aaaa-8ddb8e8e8079" elementFormDefault="qualified">
    <xsd:import namespace="http://schemas.microsoft.com/office/2006/documentManagement/types"/>
    <xsd:import namespace="http://schemas.microsoft.com/office/infopath/2007/PartnerControls"/>
    <xsd:element name="Case" ma:index="10" nillable="true" ma:displayName="Case" ma:description="Please select a case" ma:list="{544f8d53-f405-494b-9312-94ad2f3a27a5}" ma:internalName="Ca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0e6e1dd-cead-4b20-a8ab-6c17962cc4ab" elementFormDefault="qualified">
    <xsd:import namespace="http://schemas.microsoft.com/office/2006/documentManagement/types"/>
    <xsd:import namespace="http://schemas.microsoft.com/office/infopath/2007/PartnerControls"/>
    <xsd:element name="Follow_x002d_up" ma:index="11" nillable="true" ma:displayName="Follow-up" ma:default="0" ma:description="Check the box if it is a follow-up report" ma:internalName="Follow_x002d_up">
      <xsd:simpleType>
        <xsd:restriction base="dms:Boolean"/>
      </xsd:simpleType>
    </xsd:element>
    <xsd:element name="Inadmissibility" ma:index="12" nillable="true" ma:displayName="Inadmissibility" ma:default="0" ma:description="Check the box if it is Indadmissibility" ma:internalName="Inadmissibility">
      <xsd:simpleType>
        <xsd:restriction base="dms:Boolean"/>
      </xsd:simpleType>
    </xsd:element>
    <xsd:element name="Discontinuance" ma:index="13" nillable="true" ma:displayName="Discontinuance" ma:default="0" ma:description="Select the box if it is Discontinuance" ma:internalName="Discontinuance">
      <xsd:simpleType>
        <xsd:restriction base="dms:Boolean"/>
      </xsd:simpleType>
    </xsd:element>
    <xsd:element name="List_x0020_of_x0020_documents" ma:index="14" nillable="true" ma:displayName="Drafts on the merits" ma:default="0" ma:description="Select the box if it is a Draft on the merits" ma:internalName="List_x0020_of_x0020_documents">
      <xsd:simpleType>
        <xsd:restriction base="dms:Boolean"/>
      </xsd:simpleType>
    </xsd:element>
    <xsd:element name="Repetitive" ma:index="15" nillable="true" ma:displayName="Repetitive" ma:default="0" ma:description="Select the box if it is repetive" ma:internalName="Repetitive">
      <xsd:simpleType>
        <xsd:restriction base="dms:Boolean"/>
      </xsd:simpleType>
    </xsd:element>
    <xsd:element name="Chamber_1" ma:index="16" nillable="true" ma:displayName="Chamber_1" ma:default="0" ma:description="Select the box if it is Chamber 1" ma:internalName="Chamber_1">
      <xsd:simpleType>
        <xsd:restriction base="dms:Boolean"/>
      </xsd:simpleType>
    </xsd:element>
    <xsd:element name="Chamber_2" ma:index="17" nillable="true" ma:displayName="Chamber_2" ma:default="0" ma:description="Select the box if it is Chamber 2" ma:internalName="Chamber_2">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d113eb4-e65a-468c-82cb-a0357bc1037f" elementFormDefault="qualified">
    <xsd:import namespace="http://schemas.microsoft.com/office/2006/documentManagement/types"/>
    <xsd:import namespace="http://schemas.microsoft.com/office/infopath/2007/PartnerControls"/>
    <xsd:element name="Drafts_x0020_adopted_x0020_by_x0020_the_x0020_chambers" ma:index="18" nillable="true" ma:displayName="Drafts adopted by the chambers" ma:default="0" ma:internalName="Drafts_x0020_adopted_x0020_by_x0020_the_x0020_chambers">
      <xsd:simpleType>
        <xsd:restriction base="dms:Boolean"/>
      </xsd:simpleType>
    </xsd:element>
    <xsd:element name="Admissible" ma:index="19" nillable="true" ma:displayName="Admissible" ma:default="0" ma:internalName="Admi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ver_x0020_page xmlns="843519ee-602c-4a77-9f98-e0b2d1df032d">false</Cover_x0020_page>
    <Folder xmlns="843519ee-602c-4a77-9f98-e0b2d1df032d">Folder 6</Folder>
    <Chamber_2 xmlns="d0e6e1dd-cead-4b20-a8ab-6c17962cc4ab">false</Chamber_2>
    <Inadmissibility xmlns="d0e6e1dd-cead-4b20-a8ab-6c17962cc4ab">false</Inadmissibility>
    <Chamber_1 xmlns="d0e6e1dd-cead-4b20-a8ab-6c17962cc4ab">false</Chamber_1>
    <Follow_x002d_up xmlns="d0e6e1dd-cead-4b20-a8ab-6c17962cc4ab">false</Follow_x002d_up>
    <Repetitive xmlns="d0e6e1dd-cead-4b20-a8ab-6c17962cc4ab">false</Repetitive>
    <Case xmlns="1bb7588e-e247-4215-aaaa-8ddb8e8e8079" xsi:nil="true"/>
    <Drafts_x0020_adopted_x0020_by_x0020_the_x0020_chambers xmlns="2d113eb4-e65a-468c-82cb-a0357bc1037f">false</Drafts_x0020_adopted_x0020_by_x0020_the_x0020_chambers>
    <Admissible xmlns="2d113eb4-e65a-468c-82cb-a0357bc1037f">false</Admissible>
    <Discontinuance xmlns="d0e6e1dd-cead-4b20-a8ab-6c17962cc4ab">false</Discontinuance>
    <List_x0020_of_x0020_documents xmlns="d0e6e1dd-cead-4b20-a8ab-6c17962cc4ab">false</List_x0020_of_x0020_document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538480-E455-4576-A1A8-F7E5414BA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519ee-602c-4a77-9f98-e0b2d1df032d"/>
    <ds:schemaRef ds:uri="1bb7588e-e247-4215-aaaa-8ddb8e8e8079"/>
    <ds:schemaRef ds:uri="d0e6e1dd-cead-4b20-a8ab-6c17962cc4ab"/>
    <ds:schemaRef ds:uri="2d113eb4-e65a-468c-82cb-a0357bc10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FBFEF-87AB-4657-BA14-A8AAEB7198A0}">
  <ds:schemaRefs>
    <ds:schemaRef ds:uri="http://schemas.openxmlformats.org/officeDocument/2006/bibliography"/>
  </ds:schemaRefs>
</ds:datastoreItem>
</file>

<file path=customXml/itemProps3.xml><?xml version="1.0" encoding="utf-8"?>
<ds:datastoreItem xmlns:ds="http://schemas.openxmlformats.org/officeDocument/2006/customXml" ds:itemID="{BDF6B080-11B2-4E54-B854-9CEB8A4EFD8B}">
  <ds:schemaRefs>
    <ds:schemaRef ds:uri="http://purl.org/dc/elements/1.1/"/>
    <ds:schemaRef ds:uri="843519ee-602c-4a77-9f98-e0b2d1df032d"/>
    <ds:schemaRef ds:uri="http://purl.org/dc/dcmitype/"/>
    <ds:schemaRef ds:uri="http://schemas.microsoft.com/office/2006/metadata/properties"/>
    <ds:schemaRef ds:uri="http://schemas.openxmlformats.org/package/2006/metadata/core-properties"/>
    <ds:schemaRef ds:uri="d0e6e1dd-cead-4b20-a8ab-6c17962cc4ab"/>
    <ds:schemaRef ds:uri="http://schemas.microsoft.com/office/infopath/2007/PartnerControls"/>
    <ds:schemaRef ds:uri="http://schemas.microsoft.com/office/2006/documentManagement/types"/>
    <ds:schemaRef ds:uri="http://purl.org/dc/terms/"/>
    <ds:schemaRef ds:uri="2d113eb4-e65a-468c-82cb-a0357bc1037f"/>
    <ds:schemaRef ds:uri="1bb7588e-e247-4215-aaaa-8ddb8e8e8079"/>
    <ds:schemaRef ds:uri="http://www.w3.org/XML/1998/namespace"/>
  </ds:schemaRefs>
</ds:datastoreItem>
</file>

<file path=customXml/itemProps4.xml><?xml version="1.0" encoding="utf-8"?>
<ds:datastoreItem xmlns:ds="http://schemas.openxmlformats.org/officeDocument/2006/customXml" ds:itemID="{6E168F54-51DB-46C3-9FA4-19EEC371B2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6784</Words>
  <Characters>38671</Characters>
  <DocSecurity>4</DocSecurity>
  <Lines>322</Lines>
  <Paragraphs>90</Paragraphs>
  <ScaleCrop>false</ScaleCrop>
  <HeadingPairs>
    <vt:vector size="10" baseType="variant">
      <vt:variant>
        <vt:lpstr>Title</vt:lpstr>
      </vt:variant>
      <vt:variant>
        <vt:i4>1</vt:i4>
      </vt:variant>
      <vt:variant>
        <vt:lpstr>タイトル</vt:lpstr>
      </vt:variant>
      <vt:variant>
        <vt:i4>1</vt:i4>
      </vt:variant>
      <vt:variant>
        <vt:lpstr>Título</vt:lpstr>
      </vt:variant>
      <vt:variant>
        <vt:i4>1</vt:i4>
      </vt:variant>
      <vt:variant>
        <vt:lpstr>Naslov</vt:lpstr>
      </vt:variant>
      <vt:variant>
        <vt:i4>1</vt:i4>
      </vt:variant>
      <vt:variant>
        <vt:lpstr>Titre</vt:lpstr>
      </vt:variant>
      <vt:variant>
        <vt:i4>1</vt:i4>
      </vt:variant>
    </vt:vector>
  </HeadingPairs>
  <TitlesOfParts>
    <vt:vector size="5" baseType="lpstr">
      <vt:lpstr>CCPR/C/138/DR/3073/2017/Rev.1</vt:lpstr>
      <vt:lpstr>CCPR/C/WG/134/DR/3077/2017</vt:lpstr>
      <vt:lpstr>CCPR/C/130/DR/2839/2016/Rev.1</vt:lpstr>
      <vt:lpstr>CCPR/C/WG/125/DR/2672/2015</vt:lpstr>
      <vt:lpstr>CCPR/C/WG/125/DR/2672/2015</vt:lpstr>
    </vt:vector>
  </TitlesOfParts>
  <LinksUpToDate>false</LinksUpToDate>
  <CharactersWithSpaces>45365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Printed>2023-07-14T14:51:00Z</cp:lastPrinted>
  <dcterms:created xsi:type="dcterms:W3CDTF">2023-11-29T14:33:00Z</dcterms:created>
  <dcterms:modified xsi:type="dcterms:W3CDTF">2023-11-29T14:33:00Z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0x010100A70BC505B2949A43BBFACEE4A972077000E0AB6A012A73AF4CAFE3CE383E87D2F7</vt:lpwstr>
  </property>
</Properties>
</file>