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731DB1" w14:paraId="4C70F4D5" w14:textId="77777777" w:rsidTr="00CA1AEA">
        <w:trPr>
          <w:cantSplit/>
          <w:trHeight w:hRule="exact" w:val="851"/>
        </w:trPr>
        <w:tc>
          <w:tcPr>
            <w:tcW w:w="1276" w:type="dxa"/>
            <w:tcBorders>
              <w:bottom w:val="single" w:sz="4" w:space="0" w:color="auto"/>
            </w:tcBorders>
            <w:vAlign w:val="bottom"/>
          </w:tcPr>
          <w:p w14:paraId="11D0EEF5" w14:textId="2CE11997" w:rsidR="00165C15" w:rsidRDefault="00165C15" w:rsidP="00CA1AEA">
            <w:pPr>
              <w:spacing w:after="80"/>
            </w:pPr>
          </w:p>
        </w:tc>
        <w:tc>
          <w:tcPr>
            <w:tcW w:w="2268" w:type="dxa"/>
            <w:tcBorders>
              <w:bottom w:val="single" w:sz="4" w:space="0" w:color="auto"/>
            </w:tcBorders>
            <w:vAlign w:val="bottom"/>
          </w:tcPr>
          <w:p w14:paraId="176BF0AB" w14:textId="06CC9872" w:rsidR="00165C15" w:rsidRPr="00731DB1" w:rsidRDefault="00165C15" w:rsidP="00CA1AEA">
            <w:pPr>
              <w:spacing w:after="80" w:line="300" w:lineRule="exact"/>
              <w:rPr>
                <w:b/>
                <w:sz w:val="24"/>
                <w:szCs w:val="24"/>
              </w:rPr>
            </w:pPr>
          </w:p>
        </w:tc>
        <w:tc>
          <w:tcPr>
            <w:tcW w:w="6095" w:type="dxa"/>
            <w:gridSpan w:val="2"/>
            <w:tcBorders>
              <w:bottom w:val="single" w:sz="4" w:space="0" w:color="auto"/>
            </w:tcBorders>
            <w:vAlign w:val="bottom"/>
          </w:tcPr>
          <w:p w14:paraId="22FC846C" w14:textId="0CA08981" w:rsidR="00165C15" w:rsidRPr="00731DB1" w:rsidRDefault="00FF3E9C" w:rsidP="00F950B6">
            <w:pPr>
              <w:suppressAutoHyphens w:val="0"/>
              <w:spacing w:after="20"/>
              <w:jc w:val="right"/>
            </w:pPr>
            <w:r w:rsidRPr="00731DB1">
              <w:rPr>
                <w:sz w:val="40"/>
              </w:rPr>
              <w:t>CCPR</w:t>
            </w:r>
            <w:r w:rsidR="00545744" w:rsidRPr="00731DB1">
              <w:t>/C</w:t>
            </w:r>
            <w:r w:rsidR="00165A4D" w:rsidRPr="00731DB1">
              <w:t>/</w:t>
            </w:r>
            <w:r w:rsidRPr="00731DB1">
              <w:t>1</w:t>
            </w:r>
            <w:r w:rsidR="00B53136" w:rsidRPr="00731DB1">
              <w:t>3</w:t>
            </w:r>
            <w:r w:rsidR="00F950B6" w:rsidRPr="00731DB1">
              <w:t>8</w:t>
            </w:r>
            <w:r w:rsidRPr="00731DB1">
              <w:t>/D/</w:t>
            </w:r>
            <w:r w:rsidR="00F950B6" w:rsidRPr="00731DB1">
              <w:t>2653/2015</w:t>
            </w:r>
          </w:p>
        </w:tc>
      </w:tr>
      <w:tr w:rsidR="00165C15" w:rsidRPr="00731DB1" w14:paraId="51117F6C" w14:textId="77777777" w:rsidTr="00CA1AEA">
        <w:trPr>
          <w:cantSplit/>
          <w:trHeight w:hRule="exact" w:val="2835"/>
        </w:trPr>
        <w:tc>
          <w:tcPr>
            <w:tcW w:w="1276" w:type="dxa"/>
            <w:tcBorders>
              <w:top w:val="single" w:sz="4" w:space="0" w:color="auto"/>
              <w:bottom w:val="single" w:sz="12" w:space="0" w:color="auto"/>
            </w:tcBorders>
          </w:tcPr>
          <w:p w14:paraId="246D61CD" w14:textId="05C7D1B0" w:rsidR="00165C15" w:rsidRPr="00731DB1" w:rsidRDefault="00165C15" w:rsidP="00CA1AEA">
            <w:pPr>
              <w:spacing w:before="120"/>
            </w:pPr>
          </w:p>
        </w:tc>
        <w:tc>
          <w:tcPr>
            <w:tcW w:w="5528" w:type="dxa"/>
            <w:gridSpan w:val="2"/>
            <w:tcBorders>
              <w:top w:val="single" w:sz="4" w:space="0" w:color="auto"/>
              <w:bottom w:val="single" w:sz="12" w:space="0" w:color="auto"/>
            </w:tcBorders>
          </w:tcPr>
          <w:p w14:paraId="6AEAA471" w14:textId="016E1B20" w:rsidR="00D54F47" w:rsidRDefault="00D54F47" w:rsidP="000014CA">
            <w:pPr>
              <w:spacing w:before="120" w:line="380" w:lineRule="exact"/>
              <w:rPr>
                <w:b/>
                <w:sz w:val="34"/>
                <w:szCs w:val="40"/>
              </w:rPr>
            </w:pPr>
          </w:p>
          <w:p w14:paraId="3AC91D0E" w14:textId="77777777" w:rsidR="005D4C42" w:rsidRPr="00E86AA2" w:rsidRDefault="005D4C42" w:rsidP="005D4C42">
            <w:pPr>
              <w:spacing w:before="120" w:line="380" w:lineRule="exact"/>
              <w:rPr>
                <w:b/>
                <w:sz w:val="34"/>
                <w:szCs w:val="40"/>
              </w:rPr>
            </w:pPr>
            <w:r>
              <w:rPr>
                <w:b/>
                <w:sz w:val="34"/>
                <w:szCs w:val="40"/>
              </w:rPr>
              <w:t>Advance unedited version</w:t>
            </w:r>
          </w:p>
          <w:p w14:paraId="134DC7D2" w14:textId="229FE396" w:rsidR="00D54F47" w:rsidRPr="00731DB1" w:rsidRDefault="00D54F47" w:rsidP="005D4C42">
            <w:pPr>
              <w:spacing w:before="120" w:line="380" w:lineRule="exact"/>
              <w:rPr>
                <w:sz w:val="34"/>
              </w:rPr>
            </w:pPr>
          </w:p>
        </w:tc>
        <w:tc>
          <w:tcPr>
            <w:tcW w:w="2835" w:type="dxa"/>
            <w:tcBorders>
              <w:top w:val="single" w:sz="4" w:space="0" w:color="auto"/>
              <w:bottom w:val="single" w:sz="12" w:space="0" w:color="auto"/>
            </w:tcBorders>
          </w:tcPr>
          <w:p w14:paraId="29F78EAB" w14:textId="1D6F4093" w:rsidR="00165C15" w:rsidRPr="00731DB1" w:rsidRDefault="00FF3E9C" w:rsidP="00FF3E9C">
            <w:pPr>
              <w:suppressAutoHyphens w:val="0"/>
              <w:spacing w:before="240"/>
            </w:pPr>
            <w:r w:rsidRPr="00731DB1">
              <w:t xml:space="preserve">Distr.: </w:t>
            </w:r>
            <w:r w:rsidR="00D54F47">
              <w:t>General</w:t>
            </w:r>
          </w:p>
          <w:p w14:paraId="76C0B6FE" w14:textId="2003B8C1" w:rsidR="00B53136" w:rsidRPr="00731DB1" w:rsidRDefault="00D54F47" w:rsidP="00FF3E9C">
            <w:pPr>
              <w:suppressAutoHyphens w:val="0"/>
            </w:pPr>
            <w:r>
              <w:t>7</w:t>
            </w:r>
            <w:r w:rsidR="00F75724" w:rsidRPr="00731DB1">
              <w:t xml:space="preserve"> </w:t>
            </w:r>
            <w:r>
              <w:t>July</w:t>
            </w:r>
            <w:r w:rsidR="00F950B6" w:rsidRPr="00731DB1">
              <w:t xml:space="preserve"> 2023</w:t>
            </w:r>
          </w:p>
          <w:p w14:paraId="72700732" w14:textId="77777777" w:rsidR="00F950B6" w:rsidRPr="00731DB1" w:rsidRDefault="00F950B6" w:rsidP="00FF3E9C">
            <w:pPr>
              <w:suppressAutoHyphens w:val="0"/>
            </w:pPr>
          </w:p>
          <w:p w14:paraId="2C6F9E1D" w14:textId="09E959DB" w:rsidR="00FF3E9C" w:rsidRPr="00731DB1" w:rsidRDefault="00B53136" w:rsidP="00FF3E9C">
            <w:pPr>
              <w:suppressAutoHyphens w:val="0"/>
            </w:pPr>
            <w:r w:rsidRPr="00731DB1">
              <w:t xml:space="preserve">English </w:t>
            </w:r>
            <w:r w:rsidR="00F75724" w:rsidRPr="00731DB1">
              <w:t>only</w:t>
            </w:r>
          </w:p>
        </w:tc>
      </w:tr>
    </w:tbl>
    <w:p w14:paraId="125A4A57" w14:textId="084C2FD7" w:rsidR="002A1EBD" w:rsidRPr="00731DB1" w:rsidRDefault="002A1EBD" w:rsidP="002A1EBD">
      <w:pPr>
        <w:spacing w:before="120"/>
        <w:rPr>
          <w:b/>
          <w:bCs/>
          <w:sz w:val="24"/>
          <w:szCs w:val="24"/>
        </w:rPr>
      </w:pPr>
      <w:r w:rsidRPr="00731DB1">
        <w:rPr>
          <w:b/>
          <w:bCs/>
          <w:sz w:val="24"/>
          <w:szCs w:val="24"/>
        </w:rPr>
        <w:t>Human Rights Committee</w:t>
      </w:r>
    </w:p>
    <w:p w14:paraId="3D79C68B" w14:textId="5DBF41F8" w:rsidR="002A1EBD" w:rsidRPr="00731DB1" w:rsidRDefault="00D54F47" w:rsidP="00D54F47">
      <w:pPr>
        <w:pStyle w:val="HChG"/>
        <w:ind w:firstLine="0"/>
      </w:pPr>
      <w:r w:rsidRPr="00DE5352">
        <w:rPr>
          <w:szCs w:val="28"/>
        </w:rPr>
        <w:t>Views</w:t>
      </w:r>
      <w:r w:rsidRPr="00FB7E0F">
        <w:rPr>
          <w:bCs/>
          <w:szCs w:val="28"/>
        </w:rPr>
        <w:t xml:space="preserve"> adopted by the Committee under the Optional Protocol, concerning </w:t>
      </w:r>
      <w:r>
        <w:rPr>
          <w:bCs/>
          <w:szCs w:val="28"/>
        </w:rPr>
        <w:t>c</w:t>
      </w:r>
      <w:r w:rsidR="002A1EBD" w:rsidRPr="00731DB1">
        <w:t xml:space="preserve">ommunication No. </w:t>
      </w:r>
      <w:r w:rsidR="00F710FF" w:rsidRPr="00731DB1">
        <w:t>2653/2015</w:t>
      </w:r>
      <w:r w:rsidRPr="005C03EB">
        <w:rPr>
          <w:rFonts w:eastAsia="MS Mincho"/>
          <w:b w:val="0"/>
          <w:bCs/>
          <w:sz w:val="24"/>
          <w:szCs w:val="24"/>
          <w:vertAlign w:val="superscript"/>
        </w:rPr>
        <w:footnoteReference w:customMarkFollows="1" w:id="1"/>
        <w:t>*</w:t>
      </w:r>
      <w:bookmarkStart w:id="0" w:name="_Hlk140846608"/>
      <w:r w:rsidRPr="005C03EB">
        <w:rPr>
          <w:rFonts w:eastAsia="MS Mincho"/>
          <w:b w:val="0"/>
          <w:bCs/>
          <w:kern w:val="24"/>
          <w:position w:val="6"/>
          <w:sz w:val="24"/>
          <w:szCs w:val="24"/>
          <w:vertAlign w:val="superscript"/>
        </w:rPr>
        <w:t>,</w:t>
      </w:r>
      <w:bookmarkEnd w:id="0"/>
      <w:r w:rsidRPr="005C03EB">
        <w:rPr>
          <w:rFonts w:eastAsia="MS Mincho"/>
          <w:b w:val="0"/>
          <w:bCs/>
          <w:kern w:val="24"/>
          <w:position w:val="6"/>
          <w:sz w:val="24"/>
          <w:szCs w:val="24"/>
          <w:vertAlign w:val="superscript"/>
        </w:rPr>
        <w:t xml:space="preserve"> </w:t>
      </w:r>
      <w:r w:rsidRPr="005C03EB">
        <w:rPr>
          <w:rFonts w:eastAsia="MS Mincho"/>
          <w:b w:val="0"/>
          <w:bCs/>
          <w:sz w:val="24"/>
          <w:szCs w:val="24"/>
          <w:vertAlign w:val="superscript"/>
        </w:rPr>
        <w:footnoteReference w:customMarkFollows="1" w:id="2"/>
        <w:t>**</w:t>
      </w:r>
    </w:p>
    <w:p w14:paraId="03C295F8" w14:textId="216DDF9B" w:rsidR="002A1EBD" w:rsidRPr="00731DB1" w:rsidRDefault="002A1EBD" w:rsidP="00F75724">
      <w:pPr>
        <w:pStyle w:val="H1G"/>
        <w:rPr>
          <w:b w:val="0"/>
          <w:bCs/>
          <w:sz w:val="20"/>
        </w:rPr>
      </w:pPr>
      <w:r w:rsidRPr="00731DB1">
        <w:tab/>
      </w:r>
      <w:r w:rsidRPr="00731DB1">
        <w:tab/>
      </w:r>
    </w:p>
    <w:p w14:paraId="1FC25D56" w14:textId="0F27F402" w:rsidR="00653FDF" w:rsidRPr="00731DB1" w:rsidRDefault="00653FDF" w:rsidP="00653FDF">
      <w:pPr>
        <w:pStyle w:val="SingleTxtG"/>
        <w:ind w:left="4536" w:hanging="3402"/>
        <w:jc w:val="left"/>
      </w:pPr>
      <w:r w:rsidRPr="00731DB1">
        <w:rPr>
          <w:i/>
          <w:iCs/>
        </w:rPr>
        <w:t>Communication submitted by:</w:t>
      </w:r>
      <w:r w:rsidRPr="00731DB1">
        <w:rPr>
          <w:i/>
        </w:rPr>
        <w:tab/>
      </w:r>
      <w:proofErr w:type="spellStart"/>
      <w:r w:rsidR="00F710FF" w:rsidRPr="00731DB1">
        <w:t>Ekens</w:t>
      </w:r>
      <w:proofErr w:type="spellEnd"/>
      <w:r w:rsidR="00F710FF" w:rsidRPr="00731DB1">
        <w:t xml:space="preserve"> Azubuike</w:t>
      </w:r>
      <w:r w:rsidR="003933AC" w:rsidRPr="00731DB1">
        <w:rPr>
          <w:i/>
        </w:rPr>
        <w:t xml:space="preserve"> </w:t>
      </w:r>
      <w:r w:rsidRPr="00731DB1">
        <w:t>(represented</w:t>
      </w:r>
      <w:r w:rsidR="003933AC" w:rsidRPr="00731DB1">
        <w:t xml:space="preserve"> by counsel</w:t>
      </w:r>
      <w:r w:rsidR="007B2F92" w:rsidRPr="00731DB1">
        <w:t xml:space="preserve"> Ms. </w:t>
      </w:r>
      <w:proofErr w:type="spellStart"/>
      <w:r w:rsidR="007B2F92" w:rsidRPr="00731DB1">
        <w:t>Barriere</w:t>
      </w:r>
      <w:proofErr w:type="spellEnd"/>
      <w:r w:rsidR="00294C0C" w:rsidRPr="00731DB1">
        <w:t xml:space="preserve">) </w:t>
      </w:r>
      <w:r w:rsidR="00FE743E" w:rsidRPr="00731DB1">
        <w:t xml:space="preserve"> </w:t>
      </w:r>
    </w:p>
    <w:p w14:paraId="7E8378E4" w14:textId="5444FB8B" w:rsidR="00653FDF" w:rsidRPr="00731DB1" w:rsidRDefault="00B53136" w:rsidP="00653FDF">
      <w:pPr>
        <w:pStyle w:val="SingleTxtG"/>
        <w:ind w:left="4536" w:hanging="3402"/>
        <w:jc w:val="left"/>
      </w:pPr>
      <w:r w:rsidRPr="00731DB1">
        <w:rPr>
          <w:i/>
          <w:iCs/>
        </w:rPr>
        <w:t>Alleged victim</w:t>
      </w:r>
      <w:r w:rsidR="00653FDF" w:rsidRPr="00731DB1">
        <w:rPr>
          <w:i/>
          <w:iCs/>
        </w:rPr>
        <w:t>:</w:t>
      </w:r>
      <w:r w:rsidR="00653FDF" w:rsidRPr="00731DB1">
        <w:rPr>
          <w:i/>
        </w:rPr>
        <w:tab/>
      </w:r>
      <w:r w:rsidR="00653FDF" w:rsidRPr="00731DB1">
        <w:t>The author</w:t>
      </w:r>
    </w:p>
    <w:p w14:paraId="14C1BC11" w14:textId="07B2C99A" w:rsidR="00653FDF" w:rsidRPr="00731DB1" w:rsidRDefault="00653FDF" w:rsidP="00653FDF">
      <w:pPr>
        <w:pStyle w:val="SingleTxtG"/>
        <w:ind w:left="4536" w:hanging="3402"/>
        <w:jc w:val="left"/>
      </w:pPr>
      <w:r w:rsidRPr="00731DB1">
        <w:rPr>
          <w:i/>
          <w:iCs/>
        </w:rPr>
        <w:t>State party:</w:t>
      </w:r>
      <w:r w:rsidRPr="00731DB1">
        <w:rPr>
          <w:i/>
        </w:rPr>
        <w:tab/>
      </w:r>
      <w:r w:rsidR="00526F68" w:rsidRPr="00731DB1">
        <w:t>Canada</w:t>
      </w:r>
      <w:r w:rsidR="000D430D" w:rsidRPr="00731DB1">
        <w:t xml:space="preserve"> </w:t>
      </w:r>
      <w:r w:rsidR="00FE743E" w:rsidRPr="00731DB1">
        <w:t xml:space="preserve"> </w:t>
      </w:r>
      <w:r w:rsidR="0024336D" w:rsidRPr="00731DB1">
        <w:t xml:space="preserve"> </w:t>
      </w:r>
    </w:p>
    <w:p w14:paraId="675887C1" w14:textId="55DEE779" w:rsidR="00653FDF" w:rsidRPr="00731DB1" w:rsidRDefault="00653FDF" w:rsidP="00653FDF">
      <w:pPr>
        <w:pStyle w:val="SingleTxtG"/>
        <w:ind w:left="4536" w:hanging="3402"/>
        <w:jc w:val="left"/>
      </w:pPr>
      <w:r w:rsidRPr="00731DB1">
        <w:rPr>
          <w:i/>
          <w:iCs/>
        </w:rPr>
        <w:t>Date of communication:</w:t>
      </w:r>
      <w:r w:rsidRPr="00731DB1">
        <w:rPr>
          <w:i/>
        </w:rPr>
        <w:tab/>
      </w:r>
      <w:r w:rsidR="00526F68" w:rsidRPr="00731DB1">
        <w:t>6 October 2015</w:t>
      </w:r>
      <w:r w:rsidR="001B5DB9" w:rsidRPr="00731DB1">
        <w:t xml:space="preserve"> </w:t>
      </w:r>
      <w:r w:rsidRPr="00731DB1">
        <w:t>(initial submission)</w:t>
      </w:r>
    </w:p>
    <w:p w14:paraId="4A5CDE10" w14:textId="0F4B719D" w:rsidR="00653FDF" w:rsidRPr="00731DB1" w:rsidRDefault="00653FDF" w:rsidP="00653FDF">
      <w:pPr>
        <w:pStyle w:val="SingleTxtG"/>
        <w:ind w:left="4536" w:hanging="3402"/>
        <w:jc w:val="left"/>
      </w:pPr>
      <w:r w:rsidRPr="00731DB1">
        <w:rPr>
          <w:i/>
          <w:iCs/>
        </w:rPr>
        <w:t>Document references:</w:t>
      </w:r>
      <w:r w:rsidRPr="00731DB1">
        <w:rPr>
          <w:i/>
        </w:rPr>
        <w:tab/>
      </w:r>
      <w:r w:rsidRPr="00731DB1">
        <w:t>Decision taken pursuant to rule 9</w:t>
      </w:r>
      <w:r w:rsidR="00F25A68" w:rsidRPr="00731DB1">
        <w:t xml:space="preserve">2 </w:t>
      </w:r>
      <w:r w:rsidRPr="00731DB1">
        <w:t>of the Committee</w:t>
      </w:r>
      <w:r w:rsidR="0039393F" w:rsidRPr="00731DB1">
        <w:t>’</w:t>
      </w:r>
      <w:r w:rsidRPr="00731DB1">
        <w:t xml:space="preserve">s rules of procedure, transmitted to the State party on </w:t>
      </w:r>
      <w:r w:rsidR="00526F68" w:rsidRPr="00731DB1">
        <w:t>7</w:t>
      </w:r>
      <w:r w:rsidR="002F697B" w:rsidRPr="00731DB1">
        <w:t xml:space="preserve"> October 201</w:t>
      </w:r>
      <w:r w:rsidR="00526F68" w:rsidRPr="00731DB1">
        <w:t>5</w:t>
      </w:r>
      <w:r w:rsidR="002F697B" w:rsidRPr="00731DB1">
        <w:t xml:space="preserve"> </w:t>
      </w:r>
      <w:r w:rsidRPr="00731DB1">
        <w:t>(not issued in document form)</w:t>
      </w:r>
    </w:p>
    <w:p w14:paraId="67BFFBAE" w14:textId="0AC8BB22" w:rsidR="00653FDF" w:rsidRPr="00731DB1" w:rsidRDefault="00653FDF" w:rsidP="00653FDF">
      <w:pPr>
        <w:pStyle w:val="SingleTxtG"/>
        <w:ind w:left="4536" w:hanging="3402"/>
        <w:jc w:val="left"/>
      </w:pPr>
      <w:r w:rsidRPr="00731DB1">
        <w:rPr>
          <w:i/>
          <w:iCs/>
        </w:rPr>
        <w:t xml:space="preserve">Date of adoption of </w:t>
      </w:r>
      <w:r w:rsidR="002C4C73" w:rsidRPr="00731DB1">
        <w:rPr>
          <w:i/>
          <w:iCs/>
        </w:rPr>
        <w:t>Views</w:t>
      </w:r>
      <w:r w:rsidRPr="00731DB1">
        <w:rPr>
          <w:i/>
          <w:iCs/>
        </w:rPr>
        <w:t>:</w:t>
      </w:r>
      <w:r w:rsidRPr="00731DB1">
        <w:rPr>
          <w:i/>
        </w:rPr>
        <w:tab/>
      </w:r>
      <w:r w:rsidR="00D54F47">
        <w:t>7</w:t>
      </w:r>
      <w:r w:rsidR="00DA1660" w:rsidRPr="00731DB1">
        <w:t xml:space="preserve"> </w:t>
      </w:r>
      <w:r w:rsidR="003933AC" w:rsidRPr="00731DB1">
        <w:t xml:space="preserve">July </w:t>
      </w:r>
      <w:r w:rsidRPr="00731DB1">
        <w:t>202</w:t>
      </w:r>
      <w:r w:rsidR="00526F68" w:rsidRPr="00731DB1">
        <w:t>3</w:t>
      </w:r>
    </w:p>
    <w:p w14:paraId="4B272351" w14:textId="012CE690" w:rsidR="00653FDF" w:rsidRPr="00731DB1" w:rsidRDefault="00653FDF" w:rsidP="00653FDF">
      <w:pPr>
        <w:pStyle w:val="SingleTxtG"/>
        <w:ind w:left="4536" w:hanging="3402"/>
        <w:jc w:val="left"/>
      </w:pPr>
      <w:r w:rsidRPr="00731DB1">
        <w:rPr>
          <w:i/>
          <w:iCs/>
        </w:rPr>
        <w:t>Subject matter:</w:t>
      </w:r>
      <w:r w:rsidRPr="00731DB1">
        <w:rPr>
          <w:i/>
        </w:rPr>
        <w:tab/>
      </w:r>
      <w:r w:rsidR="00BD1D0A" w:rsidRPr="00731DB1">
        <w:t>Deportation to Nigeria</w:t>
      </w:r>
      <w:r w:rsidR="00294C0C" w:rsidRPr="00731DB1">
        <w:t xml:space="preserve"> </w:t>
      </w:r>
    </w:p>
    <w:p w14:paraId="3782C3DA" w14:textId="66E692EC" w:rsidR="00653FDF" w:rsidRPr="00731DB1" w:rsidRDefault="00294C0C" w:rsidP="00653FDF">
      <w:pPr>
        <w:pStyle w:val="SingleTxtG"/>
        <w:ind w:left="4536" w:hanging="3402"/>
        <w:jc w:val="left"/>
      </w:pPr>
      <w:r w:rsidRPr="00731DB1">
        <w:rPr>
          <w:i/>
          <w:iCs/>
        </w:rPr>
        <w:t>Procedural issue</w:t>
      </w:r>
      <w:r w:rsidR="00A9024B">
        <w:rPr>
          <w:i/>
          <w:iCs/>
        </w:rPr>
        <w:t>s</w:t>
      </w:r>
      <w:r w:rsidR="00653FDF" w:rsidRPr="00731DB1">
        <w:rPr>
          <w:i/>
          <w:iCs/>
        </w:rPr>
        <w:t>:</w:t>
      </w:r>
      <w:r w:rsidR="00653FDF" w:rsidRPr="00731DB1">
        <w:rPr>
          <w:i/>
          <w:iCs/>
        </w:rPr>
        <w:tab/>
      </w:r>
      <w:r w:rsidR="00A9024B">
        <w:t xml:space="preserve">Admissibility - </w:t>
      </w:r>
      <w:r w:rsidR="00D11269" w:rsidRPr="00731DB1">
        <w:rPr>
          <w:iCs/>
        </w:rPr>
        <w:t>non-exhaustion of domestic remedies</w:t>
      </w:r>
      <w:r w:rsidR="008576EA" w:rsidRPr="00731DB1">
        <w:rPr>
          <w:iCs/>
        </w:rPr>
        <w:t>, lack of substantiation</w:t>
      </w:r>
      <w:r w:rsidR="00D11269" w:rsidRPr="00731DB1">
        <w:rPr>
          <w:iCs/>
        </w:rPr>
        <w:t xml:space="preserve"> </w:t>
      </w:r>
    </w:p>
    <w:p w14:paraId="2EA04B7A" w14:textId="1B55EB50" w:rsidR="00653FDF" w:rsidRPr="00731DB1" w:rsidRDefault="00653FDF" w:rsidP="00653FDF">
      <w:pPr>
        <w:pStyle w:val="SingleTxtG"/>
        <w:ind w:left="4536" w:hanging="3402"/>
        <w:jc w:val="left"/>
      </w:pPr>
      <w:r w:rsidRPr="00731DB1">
        <w:rPr>
          <w:i/>
          <w:iCs/>
        </w:rPr>
        <w:t>Substantive issue</w:t>
      </w:r>
      <w:r w:rsidR="00294C0C" w:rsidRPr="00731DB1">
        <w:rPr>
          <w:i/>
          <w:iCs/>
        </w:rPr>
        <w:t>s</w:t>
      </w:r>
      <w:r w:rsidRPr="00731DB1">
        <w:rPr>
          <w:i/>
          <w:iCs/>
        </w:rPr>
        <w:t>:</w:t>
      </w:r>
      <w:r w:rsidRPr="00731DB1">
        <w:rPr>
          <w:i/>
          <w:iCs/>
        </w:rPr>
        <w:tab/>
      </w:r>
      <w:proofErr w:type="gramStart"/>
      <w:r w:rsidR="004364D1" w:rsidRPr="00731DB1">
        <w:rPr>
          <w:iCs/>
        </w:rPr>
        <w:t>Non-refoulement</w:t>
      </w:r>
      <w:proofErr w:type="gramEnd"/>
      <w:r w:rsidR="004364D1" w:rsidRPr="00731DB1">
        <w:rPr>
          <w:iCs/>
        </w:rPr>
        <w:t>; torture; cruel</w:t>
      </w:r>
      <w:r w:rsidR="00E56FC0">
        <w:rPr>
          <w:iCs/>
        </w:rPr>
        <w:t>,</w:t>
      </w:r>
      <w:r w:rsidR="004364D1" w:rsidRPr="00731DB1">
        <w:rPr>
          <w:iCs/>
        </w:rPr>
        <w:t xml:space="preserve"> inhuman or degrading treatment or punishment</w:t>
      </w:r>
      <w:r w:rsidR="00A9024B">
        <w:rPr>
          <w:iCs/>
        </w:rPr>
        <w:t>; personal liberty and right to privacy</w:t>
      </w:r>
      <w:r w:rsidR="004364D1" w:rsidRPr="00731DB1">
        <w:rPr>
          <w:iCs/>
        </w:rPr>
        <w:t xml:space="preserve"> </w:t>
      </w:r>
    </w:p>
    <w:p w14:paraId="567C5385" w14:textId="2A948C65" w:rsidR="00653FDF" w:rsidRPr="00731DB1" w:rsidRDefault="00653FDF" w:rsidP="00653FDF">
      <w:pPr>
        <w:pStyle w:val="SingleTxtG"/>
        <w:ind w:left="4536" w:hanging="3402"/>
        <w:jc w:val="left"/>
      </w:pPr>
      <w:r w:rsidRPr="00731DB1">
        <w:rPr>
          <w:i/>
          <w:iCs/>
        </w:rPr>
        <w:t>Article of the Covenant:</w:t>
      </w:r>
      <w:r w:rsidRPr="00731DB1">
        <w:rPr>
          <w:i/>
          <w:iCs/>
        </w:rPr>
        <w:tab/>
      </w:r>
      <w:r w:rsidR="008576EA" w:rsidRPr="00731DB1">
        <w:rPr>
          <w:iCs/>
        </w:rPr>
        <w:t>6, 7,</w:t>
      </w:r>
      <w:r w:rsidR="004364D1" w:rsidRPr="00731DB1">
        <w:rPr>
          <w:iCs/>
        </w:rPr>
        <w:t xml:space="preserve"> 9 (1)</w:t>
      </w:r>
      <w:r w:rsidR="00CF77FD" w:rsidRPr="00731DB1">
        <w:rPr>
          <w:iCs/>
        </w:rPr>
        <w:t xml:space="preserve"> </w:t>
      </w:r>
      <w:r w:rsidR="008576EA" w:rsidRPr="00731DB1">
        <w:rPr>
          <w:iCs/>
        </w:rPr>
        <w:t>and 17</w:t>
      </w:r>
    </w:p>
    <w:p w14:paraId="6B524DB6" w14:textId="461DBCFF" w:rsidR="00F21052" w:rsidRPr="00731DB1" w:rsidRDefault="00653FDF" w:rsidP="00F612B2">
      <w:pPr>
        <w:pStyle w:val="SingleTxtG"/>
        <w:ind w:left="4536" w:hanging="3402"/>
        <w:jc w:val="left"/>
      </w:pPr>
      <w:r w:rsidRPr="00731DB1">
        <w:rPr>
          <w:i/>
          <w:iCs/>
        </w:rPr>
        <w:t>Article</w:t>
      </w:r>
      <w:r w:rsidR="00A9024B">
        <w:rPr>
          <w:i/>
          <w:iCs/>
        </w:rPr>
        <w:t>s</w:t>
      </w:r>
      <w:r w:rsidRPr="00731DB1">
        <w:rPr>
          <w:i/>
          <w:iCs/>
        </w:rPr>
        <w:t xml:space="preserve"> of the Optional Protocol:</w:t>
      </w:r>
      <w:r w:rsidRPr="00731DB1">
        <w:rPr>
          <w:i/>
          <w:iCs/>
        </w:rPr>
        <w:tab/>
      </w:r>
      <w:r w:rsidR="008576EA" w:rsidRPr="00731DB1">
        <w:rPr>
          <w:iCs/>
        </w:rPr>
        <w:t xml:space="preserve">2, 3, </w:t>
      </w:r>
      <w:r w:rsidR="00D3549E" w:rsidRPr="00731DB1">
        <w:t>5(2)(b)</w:t>
      </w:r>
    </w:p>
    <w:p w14:paraId="2E1DB392" w14:textId="398BCB8B" w:rsidR="006D1A4E" w:rsidRPr="00731DB1" w:rsidRDefault="00A4248B" w:rsidP="00F612B2">
      <w:pPr>
        <w:pStyle w:val="SingleTxtG"/>
        <w:spacing w:before="240"/>
      </w:pPr>
      <w:r w:rsidRPr="00731DB1">
        <w:t>1.</w:t>
      </w:r>
      <w:r w:rsidR="00E05667" w:rsidRPr="00731DB1">
        <w:t>1</w:t>
      </w:r>
      <w:r w:rsidRPr="00731DB1">
        <w:tab/>
      </w:r>
      <w:r w:rsidR="006D1A4E" w:rsidRPr="00731DB1">
        <w:t>The author of the communication, dated</w:t>
      </w:r>
      <w:r w:rsidR="00F536A2" w:rsidRPr="00731DB1">
        <w:t xml:space="preserve"> </w:t>
      </w:r>
      <w:r w:rsidR="00C97FE3" w:rsidRPr="00731DB1">
        <w:t>6 October 2015</w:t>
      </w:r>
      <w:r w:rsidR="006D1A4E" w:rsidRPr="00731DB1">
        <w:t>, is Mr.</w:t>
      </w:r>
      <w:r w:rsidR="00C97FE3" w:rsidRPr="00731DB1">
        <w:t xml:space="preserve"> </w:t>
      </w:r>
      <w:proofErr w:type="spellStart"/>
      <w:r w:rsidR="00C97FE3" w:rsidRPr="00731DB1">
        <w:t>Ekens</w:t>
      </w:r>
      <w:proofErr w:type="spellEnd"/>
      <w:r w:rsidR="00C97FE3" w:rsidRPr="00731DB1">
        <w:t xml:space="preserve"> Azubuike</w:t>
      </w:r>
      <w:r w:rsidR="006D1A4E" w:rsidRPr="00731DB1">
        <w:t>, a national of</w:t>
      </w:r>
      <w:r w:rsidR="00C97FE3" w:rsidRPr="00731DB1">
        <w:t xml:space="preserve"> Nigeria</w:t>
      </w:r>
      <w:r w:rsidR="00A23C08" w:rsidRPr="00731DB1">
        <w:t xml:space="preserve">, </w:t>
      </w:r>
      <w:r w:rsidR="006C1710" w:rsidRPr="00731DB1">
        <w:rPr>
          <w:lang w:val="en-US"/>
        </w:rPr>
        <w:t xml:space="preserve">born in </w:t>
      </w:r>
      <w:r w:rsidR="00266839" w:rsidRPr="00731DB1">
        <w:t xml:space="preserve">Imo State, </w:t>
      </w:r>
      <w:r w:rsidR="00C97FE3" w:rsidRPr="00731DB1">
        <w:t>on 13</w:t>
      </w:r>
      <w:r w:rsidR="006D1A4E" w:rsidRPr="00731DB1">
        <w:t xml:space="preserve"> </w:t>
      </w:r>
      <w:r w:rsidR="00C97FE3" w:rsidRPr="00731DB1">
        <w:t>February 1972</w:t>
      </w:r>
      <w:r w:rsidR="006D1A4E" w:rsidRPr="00731DB1">
        <w:t xml:space="preserve">. </w:t>
      </w:r>
      <w:r w:rsidR="008576EA" w:rsidRPr="00731DB1">
        <w:t xml:space="preserve">He </w:t>
      </w:r>
      <w:r w:rsidR="00294C0C" w:rsidRPr="00731DB1">
        <w:t xml:space="preserve">claims </w:t>
      </w:r>
      <w:r w:rsidR="00A9024B">
        <w:t>that</w:t>
      </w:r>
      <w:r w:rsidR="00294C0C" w:rsidRPr="00731DB1">
        <w:t xml:space="preserve"> his rights under article</w:t>
      </w:r>
      <w:r w:rsidR="00C97FE3" w:rsidRPr="00731DB1">
        <w:t>s</w:t>
      </w:r>
      <w:r w:rsidR="00294C0C" w:rsidRPr="00731DB1">
        <w:t xml:space="preserve"> </w:t>
      </w:r>
      <w:r w:rsidR="00C97FE3" w:rsidRPr="00731DB1">
        <w:rPr>
          <w:iCs/>
        </w:rPr>
        <w:t xml:space="preserve">6, 7 and 9 (1) </w:t>
      </w:r>
      <w:r w:rsidR="00294C0C" w:rsidRPr="00731DB1">
        <w:t>of the International Covenant on Civil and Political Rights (the Covenant)</w:t>
      </w:r>
      <w:r w:rsidR="00A9024B">
        <w:t xml:space="preserve"> would be violated</w:t>
      </w:r>
      <w:r w:rsidR="00294C0C" w:rsidRPr="00731DB1">
        <w:t>,</w:t>
      </w:r>
      <w:r w:rsidR="009F3325" w:rsidRPr="00731DB1">
        <w:t xml:space="preserve"> </w:t>
      </w:r>
      <w:r w:rsidR="00101046" w:rsidRPr="00731DB1">
        <w:t xml:space="preserve">if </w:t>
      </w:r>
      <w:r w:rsidR="00A9024B">
        <w:t>the State party</w:t>
      </w:r>
      <w:r w:rsidR="00C97FE3" w:rsidRPr="00731DB1">
        <w:t xml:space="preserve"> deported </w:t>
      </w:r>
      <w:r w:rsidR="00A9024B">
        <w:t xml:space="preserve">him </w:t>
      </w:r>
      <w:r w:rsidR="00C97FE3" w:rsidRPr="00731DB1">
        <w:t xml:space="preserve">to Nigeria, </w:t>
      </w:r>
      <w:r w:rsidR="00101046" w:rsidRPr="00731DB1">
        <w:t xml:space="preserve">where </w:t>
      </w:r>
      <w:r w:rsidR="00C97FE3" w:rsidRPr="00731DB1">
        <w:t xml:space="preserve">he would face a risk of torture or death due to his militancy in the </w:t>
      </w:r>
      <w:r w:rsidR="00A54AB9" w:rsidRPr="00731DB1">
        <w:t>Movement for the Actualization of the Sovereign State of Biafra (MASSOB)</w:t>
      </w:r>
      <w:r w:rsidR="00E56FC0">
        <w:t>.</w:t>
      </w:r>
      <w:r w:rsidR="00C97FE3" w:rsidRPr="00731DB1">
        <w:t xml:space="preserve"> In addition, he </w:t>
      </w:r>
      <w:r w:rsidR="00266839" w:rsidRPr="00731DB1">
        <w:t xml:space="preserve">claims that he </w:t>
      </w:r>
      <w:r w:rsidR="00C97FE3" w:rsidRPr="00731DB1">
        <w:t xml:space="preserve">would </w:t>
      </w:r>
      <w:r w:rsidR="00266839" w:rsidRPr="00731DB1">
        <w:t xml:space="preserve">be persecuted and </w:t>
      </w:r>
      <w:r w:rsidR="00266839" w:rsidRPr="00731DB1">
        <w:lastRenderedPageBreak/>
        <w:t>denied medical treatment</w:t>
      </w:r>
      <w:r w:rsidR="00C97FE3" w:rsidRPr="00731DB1">
        <w:t xml:space="preserve"> because of his </w:t>
      </w:r>
      <w:r w:rsidR="00101046" w:rsidRPr="00731DB1">
        <w:t xml:space="preserve">health </w:t>
      </w:r>
      <w:r w:rsidR="00C97FE3" w:rsidRPr="00731DB1">
        <w:t xml:space="preserve">condition </w:t>
      </w:r>
      <w:r w:rsidR="00101046" w:rsidRPr="00731DB1">
        <w:t>(</w:t>
      </w:r>
      <w:r w:rsidR="00C97FE3" w:rsidRPr="00731DB1">
        <w:t xml:space="preserve">HIV </w:t>
      </w:r>
      <w:r w:rsidR="00266839" w:rsidRPr="00731DB1">
        <w:t>positive</w:t>
      </w:r>
      <w:r w:rsidR="00101046" w:rsidRPr="00731DB1">
        <w:t>)</w:t>
      </w:r>
      <w:r w:rsidR="00266839" w:rsidRPr="00731DB1">
        <w:t xml:space="preserve">. </w:t>
      </w:r>
      <w:r w:rsidR="00A9024B">
        <w:t xml:space="preserve">The </w:t>
      </w:r>
      <w:r w:rsidR="006D1A4E" w:rsidRPr="00731DB1">
        <w:t xml:space="preserve">Optional Protocol to the Covenant </w:t>
      </w:r>
      <w:r w:rsidR="00A9024B">
        <w:t xml:space="preserve">entered into force for Canada </w:t>
      </w:r>
      <w:r w:rsidR="006D1A4E" w:rsidRPr="00731DB1">
        <w:t>on</w:t>
      </w:r>
      <w:r w:rsidR="00E05667" w:rsidRPr="00731DB1">
        <w:t xml:space="preserve"> 19 </w:t>
      </w:r>
      <w:r w:rsidR="00A9024B">
        <w:t>August</w:t>
      </w:r>
      <w:r w:rsidR="00E05667" w:rsidRPr="00731DB1">
        <w:t xml:space="preserve"> 1976</w:t>
      </w:r>
      <w:r w:rsidR="006D1A4E" w:rsidRPr="00731DB1">
        <w:t>.</w:t>
      </w:r>
      <w:r w:rsidR="00A9024B">
        <w:t xml:space="preserve"> The author is represented by counsel. </w:t>
      </w:r>
      <w:r w:rsidR="006D1A4E" w:rsidRPr="00731DB1">
        <w:t xml:space="preserve"> </w:t>
      </w:r>
    </w:p>
    <w:p w14:paraId="50B22E2D" w14:textId="4D66F4F4" w:rsidR="00E05667" w:rsidRPr="00731DB1" w:rsidRDefault="00E05667" w:rsidP="00F612B2">
      <w:pPr>
        <w:pStyle w:val="SingleTxtG"/>
        <w:spacing w:before="240"/>
      </w:pPr>
      <w:r w:rsidRPr="00731DB1">
        <w:t>1.2</w:t>
      </w:r>
      <w:r w:rsidRPr="00731DB1">
        <w:tab/>
        <w:t xml:space="preserve"> On 7 October 2015, the Special Rapporteur on New Communications and Interim Measures decided to grant interim measures </w:t>
      </w:r>
      <w:r w:rsidR="00A9024B">
        <w:t>sought by</w:t>
      </w:r>
      <w:r w:rsidRPr="00731DB1">
        <w:t xml:space="preserve"> the author, </w:t>
      </w:r>
      <w:r w:rsidR="00CB5A00" w:rsidRPr="00731DB1">
        <w:t xml:space="preserve">requesting the State party not </w:t>
      </w:r>
      <w:r w:rsidR="00EA1ACE" w:rsidRPr="00731DB1">
        <w:t xml:space="preserve">to </w:t>
      </w:r>
      <w:r w:rsidR="00CB5A00" w:rsidRPr="00731DB1">
        <w:t>deport him while his communication was examined</w:t>
      </w:r>
      <w:r w:rsidR="00EA1ACE" w:rsidRPr="00731DB1">
        <w:t xml:space="preserve"> by the Committee</w:t>
      </w:r>
      <w:r w:rsidR="00E56FC0">
        <w:t>.</w:t>
      </w:r>
      <w:r w:rsidR="00726EDA" w:rsidRPr="00731DB1">
        <w:rPr>
          <w:rStyle w:val="FootnoteReference"/>
        </w:rPr>
        <w:footnoteReference w:id="3"/>
      </w:r>
      <w:r w:rsidRPr="00731DB1">
        <w:t xml:space="preserve">  However, the author was deported on 6 October 2015,</w:t>
      </w:r>
      <w:r w:rsidR="00CB5A00" w:rsidRPr="00731DB1">
        <w:t xml:space="preserve"> </w:t>
      </w:r>
      <w:r w:rsidRPr="00731DB1">
        <w:t>before the Committee’s decision granting the interim measures reached the State party’s authorities.</w:t>
      </w:r>
      <w:r w:rsidR="0057478C" w:rsidRPr="00731DB1">
        <w:t xml:space="preserve"> Following the author’s return to Canada and arrest upon arrival in November 2015, </w:t>
      </w:r>
      <w:r w:rsidR="00CB5A00" w:rsidRPr="00731DB1">
        <w:t xml:space="preserve">the Committee </w:t>
      </w:r>
      <w:r w:rsidR="00A81ED6" w:rsidRPr="00731DB1">
        <w:t xml:space="preserve">on 2 December 2015 </w:t>
      </w:r>
      <w:r w:rsidR="00CB5A00" w:rsidRPr="00731DB1">
        <w:t xml:space="preserve">reminded the State party that the interim measures remained in effect while </w:t>
      </w:r>
      <w:r w:rsidR="006C1710" w:rsidRPr="00731DB1">
        <w:t xml:space="preserve">the </w:t>
      </w:r>
      <w:r w:rsidR="002657ED" w:rsidRPr="00731DB1">
        <w:t>communication</w:t>
      </w:r>
      <w:r w:rsidR="00CB5A00" w:rsidRPr="00731DB1">
        <w:t xml:space="preserve"> was </w:t>
      </w:r>
      <w:r w:rsidR="00A9024B">
        <w:t xml:space="preserve">being </w:t>
      </w:r>
      <w:r w:rsidR="00CB5A00" w:rsidRPr="00731DB1">
        <w:t xml:space="preserve">examined. </w:t>
      </w:r>
    </w:p>
    <w:p w14:paraId="1B243ED8" w14:textId="5E953711" w:rsidR="00E05667" w:rsidRPr="00731DB1" w:rsidRDefault="005E6215" w:rsidP="000530FC">
      <w:pPr>
        <w:pStyle w:val="SingleTxtG"/>
        <w:spacing w:before="240"/>
      </w:pPr>
      <w:r w:rsidRPr="00731DB1">
        <w:t>1.3</w:t>
      </w:r>
      <w:r w:rsidRPr="00731DB1">
        <w:tab/>
        <w:t>On 31 March 2016, the State party requested the Committee</w:t>
      </w:r>
      <w:r w:rsidR="006C1710" w:rsidRPr="00731DB1">
        <w:t xml:space="preserve"> to</w:t>
      </w:r>
      <w:r w:rsidRPr="00731DB1">
        <w:t xml:space="preserve"> lift the interim measures. </w:t>
      </w:r>
      <w:r w:rsidR="0056133E" w:rsidRPr="00731DB1">
        <w:t xml:space="preserve">Following the author’s comments </w:t>
      </w:r>
      <w:r w:rsidR="006C1710" w:rsidRPr="00731DB1">
        <w:t>on</w:t>
      </w:r>
      <w:r w:rsidR="0056133E" w:rsidRPr="00731DB1">
        <w:t xml:space="preserve"> the State party’s request, </w:t>
      </w:r>
      <w:r w:rsidR="002657ED" w:rsidRPr="00731DB1">
        <w:t xml:space="preserve">the Committee, </w:t>
      </w:r>
      <w:r w:rsidR="0056133E" w:rsidRPr="00731DB1">
        <w:t>o</w:t>
      </w:r>
      <w:r w:rsidR="00830F04" w:rsidRPr="00731DB1">
        <w:t xml:space="preserve">n 14 November 2016, requested </w:t>
      </w:r>
      <w:r w:rsidR="0056133E" w:rsidRPr="00731DB1">
        <w:t xml:space="preserve">him </w:t>
      </w:r>
      <w:r w:rsidR="00830F04" w:rsidRPr="00731DB1">
        <w:t>to provide some clarifications</w:t>
      </w:r>
      <w:r w:rsidR="00E56FC0">
        <w:t>.</w:t>
      </w:r>
      <w:r w:rsidR="00830F04" w:rsidRPr="00731DB1">
        <w:rPr>
          <w:rStyle w:val="FootnoteReference"/>
        </w:rPr>
        <w:footnoteReference w:id="4"/>
      </w:r>
      <w:r w:rsidR="000530FC" w:rsidRPr="00731DB1">
        <w:t xml:space="preserve"> </w:t>
      </w:r>
      <w:r w:rsidR="005556F9" w:rsidRPr="00731DB1">
        <w:t xml:space="preserve">On 19 May 2017, the State party requested the Committee to suspend the examination of the author’s case until a remedy </w:t>
      </w:r>
      <w:r w:rsidR="001C2EC9" w:rsidRPr="00731DB1">
        <w:t xml:space="preserve">he had requested </w:t>
      </w:r>
      <w:r w:rsidR="005556F9" w:rsidRPr="00731DB1">
        <w:t>(</w:t>
      </w:r>
      <w:r w:rsidR="001C2EC9" w:rsidRPr="00731DB1">
        <w:t xml:space="preserve">a </w:t>
      </w:r>
      <w:r w:rsidR="005556F9" w:rsidRPr="00731DB1">
        <w:t xml:space="preserve">second </w:t>
      </w:r>
      <w:r w:rsidRPr="00731DB1">
        <w:t>Pre-removal risk assessment</w:t>
      </w:r>
      <w:r w:rsidR="00BF377F" w:rsidRPr="00731DB1">
        <w:t xml:space="preserve"> (PRRA)</w:t>
      </w:r>
      <w:r w:rsidRPr="00731DB1">
        <w:t xml:space="preserve">) </w:t>
      </w:r>
      <w:r w:rsidR="001C2EC9" w:rsidRPr="00731DB1">
        <w:t xml:space="preserve">had been </w:t>
      </w:r>
      <w:r w:rsidR="005556F9" w:rsidRPr="00731DB1">
        <w:t>decided</w:t>
      </w:r>
      <w:r w:rsidR="00E56FC0">
        <w:t>.</w:t>
      </w:r>
      <w:r w:rsidR="00946BCB" w:rsidRPr="00731DB1">
        <w:t xml:space="preserve"> The State party also reiterated its request to lift the interim measures</w:t>
      </w:r>
      <w:r w:rsidRPr="00731DB1">
        <w:t xml:space="preserve">. </w:t>
      </w:r>
      <w:r w:rsidR="00946BCB" w:rsidRPr="00731DB1">
        <w:t xml:space="preserve">On 1 February 2018, after having reviewed </w:t>
      </w:r>
      <w:r w:rsidR="008A150D" w:rsidRPr="00731DB1">
        <w:t xml:space="preserve">the </w:t>
      </w:r>
      <w:r w:rsidR="00946BCB" w:rsidRPr="00731DB1">
        <w:t xml:space="preserve">submissions made by </w:t>
      </w:r>
      <w:r w:rsidR="005C5819" w:rsidRPr="00731DB1">
        <w:t xml:space="preserve">both </w:t>
      </w:r>
      <w:r w:rsidR="00946BCB" w:rsidRPr="00731DB1">
        <w:t>parties</w:t>
      </w:r>
      <w:r w:rsidR="00E56FC0">
        <w:t>,</w:t>
      </w:r>
      <w:r w:rsidR="00EE54F2" w:rsidRPr="00731DB1" w:rsidDel="00EE54F2">
        <w:rPr>
          <w:rStyle w:val="FootnoteReference"/>
        </w:rPr>
        <w:t xml:space="preserve"> </w:t>
      </w:r>
      <w:r w:rsidR="00946BCB" w:rsidRPr="00731DB1">
        <w:t xml:space="preserve"> the Committee decided to suspend the examination of the communication and to maintain the interim measures. </w:t>
      </w:r>
    </w:p>
    <w:p w14:paraId="221DD5D8" w14:textId="2F90935E" w:rsidR="002657ED" w:rsidRPr="00731DB1" w:rsidRDefault="000530FC" w:rsidP="00F612B2">
      <w:pPr>
        <w:pStyle w:val="SingleTxtG"/>
        <w:spacing w:before="240"/>
      </w:pPr>
      <w:r w:rsidRPr="00731DB1">
        <w:t>1.4</w:t>
      </w:r>
      <w:r w:rsidR="002657ED" w:rsidRPr="00731DB1">
        <w:tab/>
        <w:t>On 14 September 2020, the author requested the Committee to lift the suspension</w:t>
      </w:r>
      <w:r w:rsidR="00E56FC0">
        <w:t>.</w:t>
      </w:r>
      <w:r w:rsidR="00BF377F" w:rsidRPr="00731DB1">
        <w:t xml:space="preserve"> On 4 February 2022, the State party requested the Committee to maintain the suspension, as the author </w:t>
      </w:r>
      <w:r w:rsidR="005C5819" w:rsidRPr="00731DB1">
        <w:t xml:space="preserve">had </w:t>
      </w:r>
      <w:r w:rsidR="00BF377F" w:rsidRPr="00731DB1">
        <w:t>applied for a third PRRA</w:t>
      </w:r>
      <w:r w:rsidR="005C5819" w:rsidRPr="00731DB1">
        <w:t>,</w:t>
      </w:r>
      <w:r w:rsidR="00BF377F" w:rsidRPr="00731DB1">
        <w:t xml:space="preserve"> on 15 November 2021</w:t>
      </w:r>
      <w:r w:rsidR="00D8020E" w:rsidRPr="00731DB1">
        <w:t xml:space="preserve">, </w:t>
      </w:r>
      <w:r w:rsidR="00573F73" w:rsidRPr="00731DB1">
        <w:t>and had other judicial proceedings pending</w:t>
      </w:r>
      <w:r w:rsidR="00E56FC0">
        <w:t>.</w:t>
      </w:r>
      <w:r w:rsidR="00D8020E" w:rsidRPr="00731DB1">
        <w:rPr>
          <w:rStyle w:val="FootnoteReference"/>
        </w:rPr>
        <w:footnoteReference w:id="5"/>
      </w:r>
      <w:r w:rsidR="005C5819" w:rsidRPr="00731DB1">
        <w:t xml:space="preserve"> </w:t>
      </w:r>
    </w:p>
    <w:p w14:paraId="2803F4D1" w14:textId="0C063C01" w:rsidR="00D8020E" w:rsidRPr="00731DB1" w:rsidRDefault="000530FC" w:rsidP="00F612B2">
      <w:pPr>
        <w:pStyle w:val="SingleTxtG"/>
        <w:spacing w:before="240"/>
      </w:pPr>
      <w:r w:rsidRPr="00731DB1">
        <w:t>1.5</w:t>
      </w:r>
      <w:r w:rsidR="00D8020E" w:rsidRPr="00731DB1">
        <w:tab/>
        <w:t xml:space="preserve">On 12 July 2022, the State party </w:t>
      </w:r>
      <w:r w:rsidR="00973AFE" w:rsidRPr="00731DB1">
        <w:t>requested to lift the suspension, as the third PRRA application had been rejected on 7 March 2022. On 25 January 2023, the Special Rapporteur on New Communications and Interim Measures lift</w:t>
      </w:r>
      <w:r w:rsidR="000C3143" w:rsidRPr="00731DB1">
        <w:t>ed</w:t>
      </w:r>
      <w:r w:rsidR="00973AFE" w:rsidRPr="00731DB1">
        <w:t xml:space="preserve"> the suspension</w:t>
      </w:r>
      <w:r w:rsidR="000C3143" w:rsidRPr="00731DB1">
        <w:t>.</w:t>
      </w:r>
    </w:p>
    <w:p w14:paraId="53CEE6F7" w14:textId="587248D3" w:rsidR="00143DBF" w:rsidRPr="00731DB1" w:rsidRDefault="00700C23" w:rsidP="00700C23">
      <w:pPr>
        <w:pStyle w:val="H23G"/>
      </w:pPr>
      <w:r w:rsidRPr="00731DB1">
        <w:tab/>
      </w:r>
      <w:r w:rsidRPr="00731DB1">
        <w:tab/>
      </w:r>
      <w:r w:rsidR="00BC5769" w:rsidRPr="00731DB1">
        <w:t>Factual background</w:t>
      </w:r>
    </w:p>
    <w:p w14:paraId="0D0F97C2" w14:textId="3360B207" w:rsidR="00E05667" w:rsidRPr="00731DB1" w:rsidRDefault="00143DBF" w:rsidP="00A36C20">
      <w:pPr>
        <w:pStyle w:val="SingleTxtG"/>
        <w:rPr>
          <w:lang w:val="en-US"/>
        </w:rPr>
      </w:pPr>
      <w:r w:rsidRPr="00731DB1">
        <w:t>2.1</w:t>
      </w:r>
      <w:r w:rsidRPr="00731DB1">
        <w:tab/>
      </w:r>
      <w:r w:rsidR="00E05667" w:rsidRPr="00731DB1">
        <w:rPr>
          <w:lang w:val="en-US"/>
        </w:rPr>
        <w:t xml:space="preserve">The author became a member of MASSOB in 1999. He left Nigeria in 2000, following rumors that the police </w:t>
      </w:r>
      <w:r w:rsidR="005820AC" w:rsidRPr="00731DB1">
        <w:rPr>
          <w:lang w:val="en-US"/>
        </w:rPr>
        <w:t>were</w:t>
      </w:r>
      <w:r w:rsidR="00E05667" w:rsidRPr="00731DB1">
        <w:rPr>
          <w:lang w:val="en-US"/>
        </w:rPr>
        <w:t xml:space="preserve"> arresting MASSOB members. He requested asylum in Greece</w:t>
      </w:r>
      <w:r w:rsidR="005820AC" w:rsidRPr="00731DB1">
        <w:rPr>
          <w:lang w:val="en-US"/>
        </w:rPr>
        <w:t>,</w:t>
      </w:r>
      <w:r w:rsidR="00E05667" w:rsidRPr="00731DB1">
        <w:rPr>
          <w:lang w:val="en-US"/>
        </w:rPr>
        <w:t xml:space="preserve"> but </w:t>
      </w:r>
      <w:r w:rsidR="00B909A5" w:rsidRPr="00731DB1">
        <w:rPr>
          <w:lang w:val="en-US"/>
        </w:rPr>
        <w:t xml:space="preserve">it </w:t>
      </w:r>
      <w:r w:rsidR="00E05667" w:rsidRPr="00731DB1">
        <w:rPr>
          <w:lang w:val="en-US"/>
        </w:rPr>
        <w:t>was reject</w:t>
      </w:r>
      <w:r w:rsidR="008105FC" w:rsidRPr="00731DB1">
        <w:rPr>
          <w:lang w:val="en-US"/>
        </w:rPr>
        <w:t>ed</w:t>
      </w:r>
      <w:r w:rsidR="005820AC" w:rsidRPr="00731DB1">
        <w:rPr>
          <w:lang w:val="en-US"/>
        </w:rPr>
        <w:t xml:space="preserve">, so he </w:t>
      </w:r>
      <w:r w:rsidR="008105FC" w:rsidRPr="00731DB1">
        <w:rPr>
          <w:lang w:val="en-US"/>
        </w:rPr>
        <w:t>returned to Nigeria.</w:t>
      </w:r>
      <w:r w:rsidR="00E05667" w:rsidRPr="00731DB1">
        <w:rPr>
          <w:lang w:val="en-US"/>
        </w:rPr>
        <w:t xml:space="preserve"> In December 2003, he became a security agent for MASSOB in his region. He was responsible for organizing demonstrations, mobilizing members, holding the </w:t>
      </w:r>
      <w:proofErr w:type="gramStart"/>
      <w:r w:rsidR="00E05667" w:rsidRPr="00731DB1">
        <w:rPr>
          <w:lang w:val="en-US"/>
        </w:rPr>
        <w:t>flag</w:t>
      </w:r>
      <w:proofErr w:type="gramEnd"/>
      <w:r w:rsidR="00E05667" w:rsidRPr="00731DB1">
        <w:rPr>
          <w:lang w:val="en-US"/>
        </w:rPr>
        <w:t xml:space="preserve"> and printing t-shirts. In January 2004, he was arrested due to his militancy. He claims that he was detained for one week</w:t>
      </w:r>
      <w:r w:rsidR="000B7887" w:rsidRPr="00731DB1">
        <w:rPr>
          <w:lang w:val="en-US"/>
        </w:rPr>
        <w:t>, during which he was tortured</w:t>
      </w:r>
      <w:r w:rsidR="002A0389" w:rsidRPr="00731DB1">
        <w:rPr>
          <w:lang w:val="en-US"/>
        </w:rPr>
        <w:t xml:space="preserve">, </w:t>
      </w:r>
      <w:r w:rsidR="000B7887" w:rsidRPr="00731DB1">
        <w:rPr>
          <w:lang w:val="en-US"/>
        </w:rPr>
        <w:t>and that h</w:t>
      </w:r>
      <w:r w:rsidR="00E05667" w:rsidRPr="00731DB1">
        <w:rPr>
          <w:lang w:val="en-US"/>
        </w:rPr>
        <w:t>e was freed after he paid a bribe to the chief of the secret services in Imo State, A.</w:t>
      </w:r>
      <w:r w:rsidR="008105FC" w:rsidRPr="00731DB1">
        <w:rPr>
          <w:lang w:val="en-US"/>
        </w:rPr>
        <w:t>A.</w:t>
      </w:r>
      <w:r w:rsidR="00E05667" w:rsidRPr="00731DB1">
        <w:rPr>
          <w:lang w:val="en-US"/>
        </w:rPr>
        <w:t xml:space="preserve"> They agreed that the author would pay</w:t>
      </w:r>
      <w:r w:rsidR="00E05667" w:rsidRPr="00731DB1">
        <w:t xml:space="preserve"> A</w:t>
      </w:r>
      <w:r w:rsidR="008105FC" w:rsidRPr="00731DB1">
        <w:t>.A.</w:t>
      </w:r>
      <w:r w:rsidR="000B7887" w:rsidRPr="00731DB1">
        <w:t xml:space="preserve"> </w:t>
      </w:r>
      <w:r w:rsidR="00E05667" w:rsidRPr="00731DB1">
        <w:rPr>
          <w:lang w:val="en-US"/>
        </w:rPr>
        <w:t>for information on police operations against MASSOB. In 2005, A</w:t>
      </w:r>
      <w:r w:rsidR="008105FC" w:rsidRPr="00731DB1">
        <w:rPr>
          <w:lang w:val="en-US"/>
        </w:rPr>
        <w:t>.A</w:t>
      </w:r>
      <w:r w:rsidR="00073879" w:rsidRPr="00731DB1">
        <w:rPr>
          <w:lang w:val="en-US"/>
        </w:rPr>
        <w:t>.</w:t>
      </w:r>
      <w:r w:rsidR="00E05667" w:rsidRPr="00731DB1">
        <w:rPr>
          <w:lang w:val="en-US"/>
        </w:rPr>
        <w:t xml:space="preserve"> informed </w:t>
      </w:r>
      <w:r w:rsidR="000B7887" w:rsidRPr="00731DB1">
        <w:rPr>
          <w:lang w:val="en-US"/>
        </w:rPr>
        <w:t xml:space="preserve">the author </w:t>
      </w:r>
      <w:r w:rsidR="00E05667" w:rsidRPr="00731DB1">
        <w:rPr>
          <w:lang w:val="en-US"/>
        </w:rPr>
        <w:t>that a big operation against MASSOB was going to be carried out. The author decided to go into hiding and leave Nigeria,</w:t>
      </w:r>
      <w:r w:rsidR="000B7887" w:rsidRPr="00731DB1">
        <w:rPr>
          <w:lang w:val="en-US"/>
        </w:rPr>
        <w:t xml:space="preserve"> in contravention of MASSOB’</w:t>
      </w:r>
      <w:r w:rsidR="00A36C20" w:rsidRPr="00731DB1">
        <w:rPr>
          <w:lang w:val="en-US"/>
        </w:rPr>
        <w:t xml:space="preserve">s orders to stay and fight. </w:t>
      </w:r>
    </w:p>
    <w:p w14:paraId="08CC8D57" w14:textId="038E6039" w:rsidR="007F2D95" w:rsidRPr="00731DB1" w:rsidRDefault="00073879" w:rsidP="00360E01">
      <w:pPr>
        <w:pStyle w:val="SingleTxtG"/>
      </w:pPr>
      <w:r w:rsidRPr="00731DB1">
        <w:rPr>
          <w:lang w:val="en-US"/>
        </w:rPr>
        <w:t>2.2</w:t>
      </w:r>
      <w:r w:rsidR="00E05667" w:rsidRPr="00731DB1">
        <w:rPr>
          <w:lang w:val="en-US"/>
        </w:rPr>
        <w:tab/>
      </w:r>
      <w:r w:rsidR="00B6678F">
        <w:rPr>
          <w:lang w:val="en-US"/>
        </w:rPr>
        <w:t xml:space="preserve">The author and his female partner left Nigeria for Ireland and sought asylum there in October 2005, but their application was rejected. </w:t>
      </w:r>
      <w:r w:rsidR="00360E01" w:rsidRPr="00731DB1">
        <w:rPr>
          <w:lang w:val="en-US"/>
        </w:rPr>
        <w:t>I</w:t>
      </w:r>
      <w:r w:rsidR="00E05667" w:rsidRPr="00731DB1">
        <w:rPr>
          <w:lang w:val="en-US"/>
        </w:rPr>
        <w:t xml:space="preserve">n January </w:t>
      </w:r>
      <w:r w:rsidR="00360E01" w:rsidRPr="00731DB1">
        <w:rPr>
          <w:lang w:val="en-US"/>
        </w:rPr>
        <w:t>2007, the author</w:t>
      </w:r>
      <w:r w:rsidR="00870DF8" w:rsidRPr="00731DB1">
        <w:rPr>
          <w:lang w:val="en-US"/>
        </w:rPr>
        <w:t xml:space="preserve"> </w:t>
      </w:r>
      <w:r w:rsidR="00E05667" w:rsidRPr="00731DB1">
        <w:rPr>
          <w:lang w:val="en-US"/>
        </w:rPr>
        <w:t>left Ireland</w:t>
      </w:r>
      <w:r w:rsidRPr="00731DB1">
        <w:rPr>
          <w:vertAlign w:val="superscript"/>
          <w:lang w:val="en-US"/>
        </w:rPr>
        <w:t xml:space="preserve"> </w:t>
      </w:r>
      <w:r w:rsidR="00E05667" w:rsidRPr="00731DB1">
        <w:rPr>
          <w:lang w:val="en-US"/>
        </w:rPr>
        <w:t xml:space="preserve">for Ghana using a Ghanaian passport. He was detained </w:t>
      </w:r>
      <w:r w:rsidR="006B1158" w:rsidRPr="00731DB1">
        <w:rPr>
          <w:lang w:val="en-US"/>
        </w:rPr>
        <w:t xml:space="preserve">in Ghana </w:t>
      </w:r>
      <w:r w:rsidR="00E05667" w:rsidRPr="00731DB1">
        <w:rPr>
          <w:lang w:val="en-US"/>
        </w:rPr>
        <w:t>for 15 days because he was not the owner of the passport.</w:t>
      </w:r>
      <w:r w:rsidR="00870DF8" w:rsidRPr="00731DB1">
        <w:rPr>
          <w:lang w:val="en-US"/>
        </w:rPr>
        <w:t xml:space="preserve"> After being released</w:t>
      </w:r>
      <w:r w:rsidR="00E05667" w:rsidRPr="00731DB1">
        <w:rPr>
          <w:lang w:val="en-US"/>
        </w:rPr>
        <w:t xml:space="preserve">, he </w:t>
      </w:r>
      <w:r w:rsidR="00870DF8" w:rsidRPr="00731DB1">
        <w:rPr>
          <w:lang w:val="en-US"/>
        </w:rPr>
        <w:t xml:space="preserve">entered </w:t>
      </w:r>
      <w:r w:rsidR="00E05667" w:rsidRPr="00731DB1">
        <w:rPr>
          <w:lang w:val="en-US"/>
        </w:rPr>
        <w:t xml:space="preserve">Nigeria illegally. Once there, he learned that in December 2005 he had been convicted </w:t>
      </w:r>
      <w:r w:rsidR="00660E19" w:rsidRPr="00731DB1">
        <w:rPr>
          <w:lang w:val="en-US"/>
        </w:rPr>
        <w:t xml:space="preserve">and sentenced </w:t>
      </w:r>
      <w:r w:rsidR="00E05667" w:rsidRPr="00731DB1">
        <w:rPr>
          <w:lang w:val="en-US"/>
        </w:rPr>
        <w:t xml:space="preserve">to life </w:t>
      </w:r>
      <w:r w:rsidR="00B6678F">
        <w:rPr>
          <w:lang w:val="en-US"/>
        </w:rPr>
        <w:t>im</w:t>
      </w:r>
      <w:r w:rsidR="00E05667" w:rsidRPr="00731DB1">
        <w:rPr>
          <w:lang w:val="en-US"/>
        </w:rPr>
        <w:t>prison</w:t>
      </w:r>
      <w:r w:rsidR="00B6678F">
        <w:rPr>
          <w:lang w:val="en-US"/>
        </w:rPr>
        <w:t>ment</w:t>
      </w:r>
      <w:r w:rsidR="00E05667" w:rsidRPr="00731DB1">
        <w:rPr>
          <w:lang w:val="en-US"/>
        </w:rPr>
        <w:t xml:space="preserve"> due to his militancy in MASSOB. He </w:t>
      </w:r>
      <w:r w:rsidR="006B1158" w:rsidRPr="00731DB1">
        <w:rPr>
          <w:lang w:val="en-US"/>
        </w:rPr>
        <w:t xml:space="preserve">remained </w:t>
      </w:r>
      <w:r w:rsidR="00E05667" w:rsidRPr="00731DB1">
        <w:rPr>
          <w:lang w:val="en-US"/>
        </w:rPr>
        <w:t>hiding in Nigeria until May 2007, when he</w:t>
      </w:r>
      <w:r w:rsidR="00360E01" w:rsidRPr="00731DB1">
        <w:rPr>
          <w:lang w:val="en-US"/>
        </w:rPr>
        <w:t xml:space="preserve"> left</w:t>
      </w:r>
      <w:r w:rsidR="006E4FC1" w:rsidRPr="00731DB1">
        <w:rPr>
          <w:lang w:val="en-US"/>
        </w:rPr>
        <w:t>, using his brother’</w:t>
      </w:r>
      <w:r w:rsidR="00E05667" w:rsidRPr="00731DB1">
        <w:rPr>
          <w:lang w:val="en-US"/>
        </w:rPr>
        <w:t xml:space="preserve">s </w:t>
      </w:r>
      <w:proofErr w:type="gramStart"/>
      <w:r w:rsidR="00E05667" w:rsidRPr="00731DB1">
        <w:rPr>
          <w:lang w:val="en-US"/>
        </w:rPr>
        <w:t>passport</w:t>
      </w:r>
      <w:proofErr w:type="gramEnd"/>
      <w:r w:rsidR="00E05667" w:rsidRPr="00731DB1">
        <w:rPr>
          <w:lang w:val="en-US"/>
        </w:rPr>
        <w:t xml:space="preserve"> and paying a bribe to an immigration officer. He arrive</w:t>
      </w:r>
      <w:r w:rsidR="00870DF8" w:rsidRPr="00731DB1">
        <w:rPr>
          <w:lang w:val="en-US"/>
        </w:rPr>
        <w:t>d in Canada on 3 November 2007</w:t>
      </w:r>
      <w:r w:rsidR="00F33683" w:rsidRPr="00731DB1">
        <w:rPr>
          <w:lang w:val="en-US"/>
        </w:rPr>
        <w:t>,</w:t>
      </w:r>
      <w:r w:rsidR="006E4FC1" w:rsidRPr="00731DB1">
        <w:rPr>
          <w:lang w:val="en-US"/>
        </w:rPr>
        <w:t xml:space="preserve"> </w:t>
      </w:r>
      <w:r w:rsidR="00870DF8" w:rsidRPr="00731DB1">
        <w:rPr>
          <w:lang w:val="en-US"/>
        </w:rPr>
        <w:t>and</w:t>
      </w:r>
      <w:r w:rsidR="00E05667" w:rsidRPr="00731DB1">
        <w:t xml:space="preserve"> filed an asylum application. </w:t>
      </w:r>
    </w:p>
    <w:p w14:paraId="750F08D0" w14:textId="17F21083" w:rsidR="00482372" w:rsidRPr="00731DB1" w:rsidRDefault="007F2D95" w:rsidP="007A75B7">
      <w:pPr>
        <w:pStyle w:val="SingleTxtG"/>
      </w:pPr>
      <w:r w:rsidRPr="00731DB1">
        <w:lastRenderedPageBreak/>
        <w:t>2.3</w:t>
      </w:r>
      <w:r w:rsidRPr="00731DB1">
        <w:tab/>
      </w:r>
      <w:r w:rsidR="00F33683" w:rsidRPr="00731DB1">
        <w:t>The author</w:t>
      </w:r>
      <w:r w:rsidR="00E05667" w:rsidRPr="00731DB1">
        <w:t xml:space="preserve"> was granted refugee status by the Refugee Protection Division (RPD) on 26 March 2009, due</w:t>
      </w:r>
      <w:r w:rsidR="00F33683" w:rsidRPr="00731DB1">
        <w:t xml:space="preserve"> to his militancy in MASSOB.</w:t>
      </w:r>
      <w:r w:rsidR="00E05667" w:rsidRPr="00731DB1">
        <w:t xml:space="preserve"> </w:t>
      </w:r>
      <w:r w:rsidR="00E6493E" w:rsidRPr="00731DB1">
        <w:t xml:space="preserve">In </w:t>
      </w:r>
      <w:r w:rsidR="00E05667" w:rsidRPr="00731DB1">
        <w:t xml:space="preserve">February 2009, the </w:t>
      </w:r>
      <w:r w:rsidR="0097065F" w:rsidRPr="00731DB1">
        <w:t xml:space="preserve">Canada Border Services Agency (CBSA), asked the </w:t>
      </w:r>
      <w:r w:rsidR="00E05667" w:rsidRPr="00731DB1">
        <w:t xml:space="preserve">High Commission of Canada </w:t>
      </w:r>
      <w:r w:rsidR="00407CB2" w:rsidRPr="00731DB1">
        <w:t>in Ghana</w:t>
      </w:r>
      <w:r w:rsidR="0097065F" w:rsidRPr="00731DB1">
        <w:t xml:space="preserve"> to</w:t>
      </w:r>
      <w:r w:rsidR="00407CB2" w:rsidRPr="00731DB1">
        <w:t xml:space="preserve"> </w:t>
      </w:r>
      <w:r w:rsidR="0097065F" w:rsidRPr="00731DB1">
        <w:t>request</w:t>
      </w:r>
      <w:r w:rsidR="00E05667" w:rsidRPr="00731DB1">
        <w:t xml:space="preserve"> th</w:t>
      </w:r>
      <w:r w:rsidR="006B1158" w:rsidRPr="00731DB1">
        <w:t>at</w:t>
      </w:r>
      <w:r w:rsidR="00E05667" w:rsidRPr="00731DB1">
        <w:t xml:space="preserve"> </w:t>
      </w:r>
      <w:r w:rsidR="00407CB2" w:rsidRPr="00731DB1">
        <w:t>Interpol verify</w:t>
      </w:r>
      <w:r w:rsidR="00E05667" w:rsidRPr="00731DB1">
        <w:t xml:space="preserve"> the authenticity of the </w:t>
      </w:r>
      <w:r w:rsidR="00B6678F">
        <w:t>judgment</w:t>
      </w:r>
      <w:r w:rsidR="00E05667" w:rsidRPr="00731DB1">
        <w:t xml:space="preserve"> that convicted the author </w:t>
      </w:r>
      <w:r w:rsidR="00197873" w:rsidRPr="00731DB1">
        <w:t xml:space="preserve">and sentenced him </w:t>
      </w:r>
      <w:r w:rsidR="00E05667" w:rsidRPr="00731DB1">
        <w:t xml:space="preserve">to life imprisonment. In December 2010, Interpol Nigeria sent a letter to the Canadian authorities indicating that the </w:t>
      </w:r>
      <w:r w:rsidR="00B6678F">
        <w:t>judgment</w:t>
      </w:r>
      <w:r w:rsidR="00E05667" w:rsidRPr="00731DB1">
        <w:t xml:space="preserve"> in question was forged and requested the</w:t>
      </w:r>
      <w:r w:rsidR="000C01B9" w:rsidRPr="00731DB1">
        <w:t>ir</w:t>
      </w:r>
      <w:r w:rsidR="00E05667" w:rsidRPr="00731DB1">
        <w:t xml:space="preserve"> collaboration to apprehend the author. The author claims that</w:t>
      </w:r>
      <w:r w:rsidR="00197873" w:rsidRPr="00731DB1">
        <w:t>,</w:t>
      </w:r>
      <w:r w:rsidR="00E05667" w:rsidRPr="00731DB1">
        <w:t xml:space="preserve"> </w:t>
      </w:r>
      <w:proofErr w:type="gramStart"/>
      <w:r w:rsidR="00E05667" w:rsidRPr="00731DB1">
        <w:t>as a result of</w:t>
      </w:r>
      <w:proofErr w:type="gramEnd"/>
      <w:r w:rsidR="00E05667" w:rsidRPr="00731DB1">
        <w:t xml:space="preserve"> the </w:t>
      </w:r>
      <w:r w:rsidR="000C01B9" w:rsidRPr="00731DB1">
        <w:t>State party’</w:t>
      </w:r>
      <w:r w:rsidR="007A75B7" w:rsidRPr="00731DB1">
        <w:t>s</w:t>
      </w:r>
      <w:r w:rsidR="00E05667" w:rsidRPr="00731DB1">
        <w:t xml:space="preserve"> request to verify the authenticity of the </w:t>
      </w:r>
      <w:r w:rsidR="00B6678F">
        <w:t>judgment</w:t>
      </w:r>
      <w:r w:rsidR="00E05667" w:rsidRPr="00731DB1">
        <w:t xml:space="preserve">, his family </w:t>
      </w:r>
      <w:r w:rsidR="000C01B9" w:rsidRPr="00731DB1">
        <w:t xml:space="preserve">in Nigeria </w:t>
      </w:r>
      <w:r w:rsidR="007A75B7" w:rsidRPr="00731DB1">
        <w:t xml:space="preserve">was visited by </w:t>
      </w:r>
      <w:r w:rsidR="000C01B9" w:rsidRPr="00731DB1">
        <w:t xml:space="preserve">officials </w:t>
      </w:r>
      <w:r w:rsidR="00E05667" w:rsidRPr="00731DB1">
        <w:t xml:space="preserve">who asked for a bribe in order to state that the </w:t>
      </w:r>
      <w:r w:rsidR="00B6678F">
        <w:t>judgment</w:t>
      </w:r>
      <w:r w:rsidR="00E05667" w:rsidRPr="00731DB1">
        <w:t xml:space="preserve"> was authentic. T</w:t>
      </w:r>
      <w:r w:rsidR="007A75B7" w:rsidRPr="00731DB1">
        <w:t>he</w:t>
      </w:r>
      <w:r w:rsidR="00E05667" w:rsidRPr="00731DB1">
        <w:t>y did not pay</w:t>
      </w:r>
      <w:r w:rsidR="009E7D17" w:rsidRPr="00731DB1">
        <w:t xml:space="preserve"> </w:t>
      </w:r>
      <w:r w:rsidR="00676CE6" w:rsidRPr="00731DB1">
        <w:t>the bribe</w:t>
      </w:r>
      <w:r w:rsidR="00E05667" w:rsidRPr="00731DB1">
        <w:t xml:space="preserve">. </w:t>
      </w:r>
    </w:p>
    <w:p w14:paraId="34418BBE" w14:textId="31555E1A" w:rsidR="00E05667" w:rsidRPr="00731DB1" w:rsidRDefault="00482372" w:rsidP="008C296A">
      <w:pPr>
        <w:pStyle w:val="SingleTxtG"/>
        <w:rPr>
          <w:lang w:val="en-US"/>
        </w:rPr>
      </w:pPr>
      <w:r w:rsidRPr="00731DB1">
        <w:t>2.4</w:t>
      </w:r>
      <w:r w:rsidRPr="00731DB1">
        <w:tab/>
      </w:r>
      <w:r w:rsidR="00E05667" w:rsidRPr="00731DB1">
        <w:t xml:space="preserve">On 3 June 2014, the author’s refugee status was cancelled </w:t>
      </w:r>
      <w:r w:rsidR="00E6493E" w:rsidRPr="00731DB1">
        <w:t xml:space="preserve">by the Refugee Protection Division (RPD) </w:t>
      </w:r>
      <w:r w:rsidR="00676CE6" w:rsidRPr="00731DB1">
        <w:t xml:space="preserve">of Canada </w:t>
      </w:r>
      <w:r w:rsidR="00E6493E" w:rsidRPr="00731DB1">
        <w:t xml:space="preserve">because </w:t>
      </w:r>
      <w:r w:rsidR="00E05667" w:rsidRPr="00731DB1">
        <w:t xml:space="preserve">the </w:t>
      </w:r>
      <w:r w:rsidR="00C7625D">
        <w:t>judgment</w:t>
      </w:r>
      <w:r w:rsidR="0097065F" w:rsidRPr="00731DB1">
        <w:t xml:space="preserve"> </w:t>
      </w:r>
      <w:r w:rsidR="00F35AE9" w:rsidRPr="00731DB1">
        <w:t xml:space="preserve">convicting him </w:t>
      </w:r>
      <w:r w:rsidR="0097065F" w:rsidRPr="00731DB1">
        <w:t>was forged</w:t>
      </w:r>
      <w:r w:rsidR="00E6493E" w:rsidRPr="00731DB1">
        <w:t xml:space="preserve"> and </w:t>
      </w:r>
      <w:r w:rsidR="00F35AE9" w:rsidRPr="00731DB1">
        <w:t>because</w:t>
      </w:r>
      <w:r w:rsidR="00E6493E" w:rsidRPr="00731DB1">
        <w:t xml:space="preserve"> </w:t>
      </w:r>
      <w:r w:rsidR="00F35AE9" w:rsidRPr="00731DB1">
        <w:t xml:space="preserve">the author did not provide </w:t>
      </w:r>
      <w:r w:rsidR="00663911" w:rsidRPr="00731DB1">
        <w:t>other</w:t>
      </w:r>
      <w:r w:rsidR="009E7D17" w:rsidRPr="00731DB1">
        <w:t xml:space="preserve"> </w:t>
      </w:r>
      <w:r w:rsidR="00F35AE9" w:rsidRPr="00731DB1">
        <w:t>evidence which would justify granting him a refugee status</w:t>
      </w:r>
      <w:r w:rsidR="0097065F" w:rsidRPr="00731DB1">
        <w:t>.</w:t>
      </w:r>
      <w:r w:rsidR="00E05667" w:rsidRPr="00731DB1">
        <w:t xml:space="preserve"> The author </w:t>
      </w:r>
      <w:r w:rsidR="00C9738F" w:rsidRPr="00731DB1">
        <w:t xml:space="preserve">challenged </w:t>
      </w:r>
      <w:r w:rsidR="00E05667" w:rsidRPr="00731DB1">
        <w:t xml:space="preserve">this decision </w:t>
      </w:r>
      <w:r w:rsidR="00C9738F" w:rsidRPr="00731DB1">
        <w:t xml:space="preserve">before </w:t>
      </w:r>
      <w:r w:rsidR="00E05667" w:rsidRPr="00731DB1">
        <w:t xml:space="preserve">the Federal Court, which rejected </w:t>
      </w:r>
      <w:r w:rsidR="00C9738F" w:rsidRPr="00731DB1">
        <w:t xml:space="preserve">his appeal </w:t>
      </w:r>
      <w:r w:rsidR="00E05667" w:rsidRPr="00731DB1">
        <w:t xml:space="preserve">on 29 April 2015. </w:t>
      </w:r>
      <w:r w:rsidR="00AB3D19" w:rsidRPr="00731DB1">
        <w:t xml:space="preserve">The Court </w:t>
      </w:r>
      <w:r w:rsidR="00E05667" w:rsidRPr="00731DB1">
        <w:t xml:space="preserve">considered that the </w:t>
      </w:r>
      <w:r w:rsidRPr="00731DB1">
        <w:t xml:space="preserve">State party’s authorities </w:t>
      </w:r>
      <w:r w:rsidR="00E05667" w:rsidRPr="00731DB1">
        <w:t>may ask foreign authorities to verify documents</w:t>
      </w:r>
      <w:r w:rsidR="00F264B9" w:rsidRPr="00731DB1">
        <w:t xml:space="preserve"> </w:t>
      </w:r>
      <w:proofErr w:type="gramStart"/>
      <w:r w:rsidR="00F264B9" w:rsidRPr="00731DB1">
        <w:t>provided that</w:t>
      </w:r>
      <w:proofErr w:type="gramEnd"/>
      <w:r w:rsidR="00F264B9" w:rsidRPr="00731DB1">
        <w:t xml:space="preserve"> </w:t>
      </w:r>
      <w:r w:rsidR="00E05667" w:rsidRPr="00731DB1">
        <w:t xml:space="preserve">there is a balance between public interest and the right to privacy, which was respected in the author’s case. </w:t>
      </w:r>
      <w:r w:rsidR="00AB3D19" w:rsidRPr="00731DB1">
        <w:t xml:space="preserve">The Court indicated that Interpol informed </w:t>
      </w:r>
      <w:r w:rsidR="001E1139" w:rsidRPr="00731DB1">
        <w:t xml:space="preserve">the State party </w:t>
      </w:r>
      <w:r w:rsidR="00AB3D19" w:rsidRPr="00731DB1">
        <w:t xml:space="preserve">that there was no </w:t>
      </w:r>
      <w:r w:rsidR="00780A58" w:rsidRPr="00731DB1">
        <w:t>j</w:t>
      </w:r>
      <w:r w:rsidR="00AB3D19" w:rsidRPr="00731DB1">
        <w:t xml:space="preserve">udge with the name stated in the judgement working at the High Court of the Judicial District of Orlu. </w:t>
      </w:r>
      <w:r w:rsidR="00E05667" w:rsidRPr="00731DB1">
        <w:t xml:space="preserve">The Court </w:t>
      </w:r>
      <w:r w:rsidR="00AB3D19" w:rsidRPr="00731DB1">
        <w:t xml:space="preserve">further </w:t>
      </w:r>
      <w:r w:rsidR="00E05667" w:rsidRPr="00731DB1">
        <w:t xml:space="preserve">dismissed </w:t>
      </w:r>
      <w:r w:rsidR="0023691F" w:rsidRPr="00731DB1">
        <w:t>two letters from the police addressed to</w:t>
      </w:r>
      <w:r w:rsidRPr="00731DB1">
        <w:t xml:space="preserve"> the author’s lawyer </w:t>
      </w:r>
      <w:r w:rsidR="00E05667" w:rsidRPr="00731DB1">
        <w:t xml:space="preserve">submitted </w:t>
      </w:r>
      <w:r w:rsidR="00E6493E" w:rsidRPr="00731DB1">
        <w:t>as evidence</w:t>
      </w:r>
      <w:r w:rsidR="003C170B">
        <w:t>,</w:t>
      </w:r>
      <w:r w:rsidRPr="00731DB1">
        <w:rPr>
          <w:rStyle w:val="FootnoteReference"/>
        </w:rPr>
        <w:footnoteReference w:id="6"/>
      </w:r>
      <w:r w:rsidR="00E05667" w:rsidRPr="00731DB1">
        <w:t xml:space="preserve"> as there were differences in how the lawyer’s name was written in the headline and in the signature. </w:t>
      </w:r>
    </w:p>
    <w:p w14:paraId="5F02B5D7" w14:textId="4C9B853D" w:rsidR="001803F7" w:rsidRPr="00731DB1" w:rsidRDefault="00F126CC" w:rsidP="00E05667">
      <w:pPr>
        <w:pStyle w:val="SingleTxtG"/>
      </w:pPr>
      <w:r w:rsidRPr="00731DB1">
        <w:t>2.5</w:t>
      </w:r>
      <w:r w:rsidR="00E05667" w:rsidRPr="00731DB1">
        <w:tab/>
      </w:r>
      <w:r w:rsidR="001803F7" w:rsidRPr="00731DB1">
        <w:t>Following a request by the Ministry of Public Safety to investigate whether the author would fall into the category of a person inadmissible to Canada because of his participation in terrorist activities</w:t>
      </w:r>
      <w:r w:rsidR="003C170B">
        <w:t>,</w:t>
      </w:r>
      <w:r w:rsidR="001803F7" w:rsidRPr="00731DB1">
        <w:rPr>
          <w:rStyle w:val="FootnoteReference"/>
        </w:rPr>
        <w:footnoteReference w:id="7"/>
      </w:r>
      <w:r w:rsidR="001803F7" w:rsidRPr="00731DB1">
        <w:t xml:space="preserve"> on 26 June 2014 the Immigration and Refugee Board (IRB) concluded that he did not fall within such category. The IRB indicated that although the author was a member of MASSOB, there was no reasonable ground to believe that MASSOB had engaged in acts of subversion against the Nigerian government.</w:t>
      </w:r>
    </w:p>
    <w:p w14:paraId="4A62A9FE" w14:textId="05536482" w:rsidR="00AF4AEE" w:rsidRPr="00731DB1" w:rsidRDefault="00AF4AEE" w:rsidP="00E05667">
      <w:pPr>
        <w:pStyle w:val="SingleTxtG"/>
      </w:pPr>
      <w:r w:rsidRPr="00731DB1">
        <w:t>2.6</w:t>
      </w:r>
      <w:r w:rsidRPr="00731DB1">
        <w:tab/>
        <w:t xml:space="preserve">On 16 September 2014, the Ministry of Immigration, Citizenship and Refugees rejected the author’s first request of </w:t>
      </w:r>
      <w:r w:rsidR="00CD0E52" w:rsidRPr="00731DB1">
        <w:t xml:space="preserve">permanent residence based on Humanitarian and </w:t>
      </w:r>
      <w:r w:rsidR="00304DAA" w:rsidRPr="00731DB1">
        <w:t>C</w:t>
      </w:r>
      <w:r w:rsidR="00CD0E52" w:rsidRPr="00731DB1">
        <w:t>ompassionate considerations (</w:t>
      </w:r>
      <w:r w:rsidRPr="00731DB1">
        <w:t>H&amp;C</w:t>
      </w:r>
      <w:r w:rsidR="00CD0E52" w:rsidRPr="00731DB1">
        <w:t>)</w:t>
      </w:r>
      <w:r w:rsidRPr="00731DB1">
        <w:t xml:space="preserve">, </w:t>
      </w:r>
      <w:r w:rsidR="005146C3" w:rsidRPr="00731DB1">
        <w:t xml:space="preserve">which he had </w:t>
      </w:r>
      <w:r w:rsidRPr="00731DB1">
        <w:t>submitted in 20</w:t>
      </w:r>
      <w:r w:rsidR="00B11DED" w:rsidRPr="00731DB1">
        <w:t>09.</w:t>
      </w:r>
    </w:p>
    <w:p w14:paraId="519ACE31" w14:textId="4C724099" w:rsidR="00E05667" w:rsidRPr="00731DB1" w:rsidRDefault="00AF4AEE" w:rsidP="00F566ED">
      <w:pPr>
        <w:pStyle w:val="SingleTxtG"/>
      </w:pPr>
      <w:r w:rsidRPr="00731DB1">
        <w:t>2.7</w:t>
      </w:r>
      <w:r w:rsidR="001803F7" w:rsidRPr="00731DB1">
        <w:tab/>
      </w:r>
      <w:r w:rsidR="00E05667" w:rsidRPr="00731DB1">
        <w:t>On 17 October 2014, the author submitted a PRRA, indicating that he would present evidence in a later communica</w:t>
      </w:r>
      <w:r w:rsidR="00342E61" w:rsidRPr="00731DB1">
        <w:t xml:space="preserve">tion. </w:t>
      </w:r>
      <w:r w:rsidR="00E05667" w:rsidRPr="00731DB1">
        <w:t>By mistake he sent the evidence to the wrong email address</w:t>
      </w:r>
      <w:r w:rsidR="003C170B">
        <w:t>.</w:t>
      </w:r>
      <w:r w:rsidR="00342E61" w:rsidRPr="00731DB1">
        <w:rPr>
          <w:rStyle w:val="FootnoteReference"/>
        </w:rPr>
        <w:footnoteReference w:id="8"/>
      </w:r>
      <w:r w:rsidR="00E05667" w:rsidRPr="00731DB1">
        <w:t xml:space="preserve"> On 25 February 2015, </w:t>
      </w:r>
      <w:r w:rsidR="005A451B" w:rsidRPr="00731DB1">
        <w:t xml:space="preserve">the PRRA was rejected. </w:t>
      </w:r>
      <w:r w:rsidR="00E31895" w:rsidRPr="00731DB1">
        <w:t>The PRRA officer analysed three letters provided by the author which supported his allegations that the Niger</w:t>
      </w:r>
      <w:r w:rsidR="006F5BF1" w:rsidRPr="00731DB1">
        <w:t>ian authorities would persecute him</w:t>
      </w:r>
      <w:r w:rsidR="00E31895" w:rsidRPr="00731DB1">
        <w:t xml:space="preserve"> if </w:t>
      </w:r>
      <w:r w:rsidR="00BB3E96" w:rsidRPr="00731DB1">
        <w:t xml:space="preserve">he were </w:t>
      </w:r>
      <w:r w:rsidR="00E31895" w:rsidRPr="00731DB1">
        <w:t xml:space="preserve">returned: a) </w:t>
      </w:r>
      <w:r w:rsidR="002335B3" w:rsidRPr="00731DB1">
        <w:t xml:space="preserve">a </w:t>
      </w:r>
      <w:r w:rsidR="00E31895" w:rsidRPr="00731DB1">
        <w:t xml:space="preserve">letter dated 16 December 2010 from the Interpol (Nigeria) that confirms that the </w:t>
      </w:r>
      <w:r w:rsidR="005011C3">
        <w:t>j</w:t>
      </w:r>
      <w:r w:rsidR="00E31895" w:rsidRPr="00731DB1">
        <w:t xml:space="preserve">udgement convicting the author was fake; b) </w:t>
      </w:r>
      <w:r w:rsidR="002335B3" w:rsidRPr="00731DB1">
        <w:t xml:space="preserve">a </w:t>
      </w:r>
      <w:r w:rsidR="00E31895" w:rsidRPr="00731DB1">
        <w:t>letter dated 2 December 2010 from the author’s lawyer in Nigeria indicating that the Nigerian authorities were aware of the author’s asylum request in Canada</w:t>
      </w:r>
      <w:r w:rsidR="002335B3" w:rsidRPr="00731DB1">
        <w:t>;</w:t>
      </w:r>
      <w:r w:rsidR="00E31895" w:rsidRPr="00731DB1">
        <w:t xml:space="preserve"> and c) </w:t>
      </w:r>
      <w:r w:rsidR="002335B3" w:rsidRPr="00731DB1">
        <w:t xml:space="preserve">a </w:t>
      </w:r>
      <w:r w:rsidR="00E31895" w:rsidRPr="00731DB1">
        <w:t xml:space="preserve">letter addressed to the author’s lawyer in Nigeria requesting him to cooperate with the authorities to apprehend the author for having falsified the judgement. The PRRA officer considered that </w:t>
      </w:r>
      <w:r w:rsidR="002B7E4A" w:rsidRPr="00731DB1">
        <w:t xml:space="preserve">the two letters related to the lawyer </w:t>
      </w:r>
      <w:r w:rsidR="00E31895" w:rsidRPr="00731DB1">
        <w:t xml:space="preserve">had little </w:t>
      </w:r>
      <w:r w:rsidR="00F566ED" w:rsidRPr="00731DB1">
        <w:t xml:space="preserve">evidentiary </w:t>
      </w:r>
      <w:r w:rsidR="00E31895" w:rsidRPr="00731DB1">
        <w:t xml:space="preserve">weight, as </w:t>
      </w:r>
      <w:r w:rsidR="00F566ED" w:rsidRPr="00731DB1">
        <w:t>they were written with different letterheads and were typed with varying font styles and sizes. In addition, the inconsistencies found in the</w:t>
      </w:r>
      <w:r w:rsidR="002B7E4A" w:rsidRPr="00731DB1">
        <w:t xml:space="preserve">m </w:t>
      </w:r>
      <w:r w:rsidR="00F566ED" w:rsidRPr="00731DB1">
        <w:t>weakened their reliability</w:t>
      </w:r>
      <w:r w:rsidR="0050369E" w:rsidRPr="00731DB1">
        <w:t xml:space="preserve"> as evidence</w:t>
      </w:r>
      <w:r w:rsidR="00F566ED" w:rsidRPr="00731DB1">
        <w:t xml:space="preserve">. </w:t>
      </w:r>
      <w:r w:rsidR="005A451B" w:rsidRPr="00731DB1">
        <w:t xml:space="preserve">The PRRA officer </w:t>
      </w:r>
      <w:r w:rsidR="00F566ED" w:rsidRPr="00731DB1">
        <w:t xml:space="preserve">further </w:t>
      </w:r>
      <w:r w:rsidR="005A451B" w:rsidRPr="00731DB1">
        <w:t xml:space="preserve">indicated that </w:t>
      </w:r>
      <w:r w:rsidR="00E05667" w:rsidRPr="00731DB1">
        <w:t>according to objective sources</w:t>
      </w:r>
      <w:r w:rsidR="003C170B">
        <w:t>,</w:t>
      </w:r>
      <w:r w:rsidR="005A451B" w:rsidRPr="00731DB1">
        <w:rPr>
          <w:rStyle w:val="FootnoteReference"/>
        </w:rPr>
        <w:footnoteReference w:id="9"/>
      </w:r>
      <w:r w:rsidR="00E05667" w:rsidRPr="00731DB1">
        <w:t xml:space="preserve"> despite the crackdown on certain MASSOB members, only leaders and organizers appear</w:t>
      </w:r>
      <w:r w:rsidR="005A451B" w:rsidRPr="00731DB1">
        <w:t>ed</w:t>
      </w:r>
      <w:r w:rsidR="00E05667" w:rsidRPr="00731DB1">
        <w:t xml:space="preserve"> to attract the attention of Nigerian officials. The PRRA officer </w:t>
      </w:r>
      <w:r w:rsidR="00F566ED" w:rsidRPr="00731DB1">
        <w:t xml:space="preserve">indicated </w:t>
      </w:r>
      <w:r w:rsidR="00E05667" w:rsidRPr="00731DB1">
        <w:t>that, as the author’s involvement with MASSOB dated from before his departure from Nigeria -</w:t>
      </w:r>
      <w:r w:rsidR="0041011F" w:rsidRPr="00731DB1">
        <w:t xml:space="preserve">- </w:t>
      </w:r>
      <w:r w:rsidR="00E05667" w:rsidRPr="00731DB1">
        <w:t>in 2005</w:t>
      </w:r>
      <w:r w:rsidR="0041011F" w:rsidRPr="00731DB1">
        <w:t xml:space="preserve"> -</w:t>
      </w:r>
      <w:r w:rsidR="00E05667" w:rsidRPr="00731DB1">
        <w:t>-</w:t>
      </w:r>
      <w:r w:rsidR="002B7E4A" w:rsidRPr="00731DB1">
        <w:t xml:space="preserve"> </w:t>
      </w:r>
      <w:r w:rsidR="00E05667" w:rsidRPr="00731DB1">
        <w:t xml:space="preserve">and </w:t>
      </w:r>
      <w:r w:rsidR="00ED6A8C" w:rsidRPr="00731DB1">
        <w:t xml:space="preserve">considering </w:t>
      </w:r>
      <w:r w:rsidR="00E05667" w:rsidRPr="00731DB1">
        <w:t xml:space="preserve">that he had not demonstrated that he had carried out any activities related to MASSOB after that date, he would not be exposed to a risk of persecution </w:t>
      </w:r>
      <w:r w:rsidR="00E05667" w:rsidRPr="00731DB1">
        <w:lastRenderedPageBreak/>
        <w:t xml:space="preserve">if </w:t>
      </w:r>
      <w:r w:rsidR="00470D70" w:rsidRPr="00731DB1">
        <w:t xml:space="preserve">he were </w:t>
      </w:r>
      <w:r w:rsidR="00E05667" w:rsidRPr="00731DB1">
        <w:t xml:space="preserve">returned to Nigeria. </w:t>
      </w:r>
      <w:r w:rsidR="00346D09" w:rsidRPr="00731DB1">
        <w:t>On 27 March 2015, t</w:t>
      </w:r>
      <w:r w:rsidR="00E05667" w:rsidRPr="00731DB1">
        <w:t xml:space="preserve">he author </w:t>
      </w:r>
      <w:r w:rsidR="00346D09" w:rsidRPr="00731DB1">
        <w:t xml:space="preserve">requested leave for appeal </w:t>
      </w:r>
      <w:r w:rsidR="00E05667" w:rsidRPr="00731DB1">
        <w:t>to the Federal Court which on</w:t>
      </w:r>
      <w:r w:rsidR="00D02529" w:rsidRPr="00731DB1">
        <w:t xml:space="preserve"> 30 June 2015</w:t>
      </w:r>
      <w:r w:rsidR="00E05667" w:rsidRPr="00731DB1">
        <w:t>, denied the author’s request</w:t>
      </w:r>
      <w:r w:rsidR="005A451B" w:rsidRPr="00731DB1">
        <w:t>.</w:t>
      </w:r>
    </w:p>
    <w:p w14:paraId="3D5CBC6E" w14:textId="293B623C" w:rsidR="002267AD" w:rsidRPr="00731DB1" w:rsidRDefault="00AF4AEE" w:rsidP="00F566ED">
      <w:pPr>
        <w:pStyle w:val="SingleTxtG"/>
      </w:pPr>
      <w:r w:rsidRPr="00731DB1">
        <w:t>2.8</w:t>
      </w:r>
      <w:r w:rsidR="00D02529" w:rsidRPr="00731DB1">
        <w:tab/>
      </w:r>
      <w:r w:rsidR="00D02529" w:rsidRPr="00102AFC">
        <w:rPr>
          <w:color w:val="000000" w:themeColor="text1"/>
        </w:rPr>
        <w:t>On 6 October 2015, the author was deported.</w:t>
      </w:r>
      <w:r w:rsidR="00D02529" w:rsidRPr="003C170B">
        <w:t xml:space="preserve"> </w:t>
      </w:r>
      <w:r w:rsidR="002267AD" w:rsidRPr="00731DB1">
        <w:t>The author indicates that he was detained upon arrival in Nigeria</w:t>
      </w:r>
      <w:r w:rsidR="00A02015" w:rsidRPr="00731DB1">
        <w:t xml:space="preserve"> </w:t>
      </w:r>
      <w:r w:rsidR="002267AD" w:rsidRPr="00731DB1">
        <w:t>and was subject</w:t>
      </w:r>
      <w:r w:rsidR="00823773" w:rsidRPr="00731DB1">
        <w:t>ed</w:t>
      </w:r>
      <w:r w:rsidR="002267AD" w:rsidRPr="00731DB1">
        <w:t xml:space="preserve"> to torture and ill treatment</w:t>
      </w:r>
      <w:r w:rsidR="001D0FC7" w:rsidRPr="00731DB1">
        <w:t xml:space="preserve">. He </w:t>
      </w:r>
      <w:r w:rsidR="002E2577" w:rsidRPr="00731DB1">
        <w:t xml:space="preserve">claims that he </w:t>
      </w:r>
      <w:r w:rsidR="001D0FC7" w:rsidRPr="00731DB1">
        <w:t xml:space="preserve">was initially held for about 48 hours at the airport, </w:t>
      </w:r>
      <w:r w:rsidR="00470D70" w:rsidRPr="00731DB1">
        <w:t xml:space="preserve">after which </w:t>
      </w:r>
      <w:r w:rsidR="002E2577" w:rsidRPr="00731DB1">
        <w:t xml:space="preserve">he </w:t>
      </w:r>
      <w:r w:rsidR="001D0FC7" w:rsidRPr="00731DB1">
        <w:t>was transferred to</w:t>
      </w:r>
      <w:r w:rsidR="002E2577" w:rsidRPr="00731DB1">
        <w:t xml:space="preserve"> a</w:t>
      </w:r>
      <w:r w:rsidR="001D0FC7" w:rsidRPr="00731DB1">
        <w:t xml:space="preserve"> </w:t>
      </w:r>
      <w:r w:rsidR="002E2577" w:rsidRPr="00731DB1">
        <w:t>clandestine</w:t>
      </w:r>
      <w:r w:rsidR="00635A8F" w:rsidRPr="00731DB1">
        <w:t xml:space="preserve"> detention centre in Lagos</w:t>
      </w:r>
      <w:r w:rsidR="001D0FC7" w:rsidRPr="00731DB1">
        <w:t xml:space="preserve"> </w:t>
      </w:r>
      <w:r w:rsidR="002E2577" w:rsidRPr="00731DB1">
        <w:t xml:space="preserve">for about two weeks during which he was tortured. </w:t>
      </w:r>
      <w:r w:rsidR="00A02015" w:rsidRPr="00731DB1">
        <w:t xml:space="preserve">He was then </w:t>
      </w:r>
      <w:r w:rsidR="002E2577" w:rsidRPr="00731DB1">
        <w:t>transferred to a federal prison where he was detained in very bad conditions.</w:t>
      </w:r>
      <w:r w:rsidR="00402B6E" w:rsidRPr="00731DB1">
        <w:t xml:space="preserve"> </w:t>
      </w:r>
      <w:r w:rsidR="00DB788A" w:rsidRPr="00731DB1">
        <w:t>On 18 November 2015, h</w:t>
      </w:r>
      <w:r w:rsidR="00E026C7" w:rsidRPr="00731DB1">
        <w:t>e</w:t>
      </w:r>
      <w:r w:rsidR="00DB788A" w:rsidRPr="00731DB1">
        <w:t xml:space="preserve"> allegedly</w:t>
      </w:r>
      <w:r w:rsidR="00E026C7" w:rsidRPr="00731DB1">
        <w:t xml:space="preserve"> escape</w:t>
      </w:r>
      <w:r w:rsidR="002A7127" w:rsidRPr="00731DB1">
        <w:t>d</w:t>
      </w:r>
      <w:r w:rsidR="00E026C7" w:rsidRPr="00731DB1">
        <w:t xml:space="preserve"> from prison </w:t>
      </w:r>
      <w:r w:rsidR="00464CE4" w:rsidRPr="00731DB1">
        <w:t>with the help of some MASSOB members</w:t>
      </w:r>
      <w:r w:rsidR="00E026C7" w:rsidRPr="00731DB1">
        <w:t xml:space="preserve">. </w:t>
      </w:r>
    </w:p>
    <w:p w14:paraId="7D69C67F" w14:textId="25B98557" w:rsidR="00D02529" w:rsidRPr="00731DB1" w:rsidRDefault="00AF4AEE" w:rsidP="00F566ED">
      <w:pPr>
        <w:pStyle w:val="SingleTxtG"/>
        <w:rPr>
          <w:rFonts w:eastAsia="MS Mincho"/>
          <w:lang w:eastAsia="en-US"/>
        </w:rPr>
      </w:pPr>
      <w:r w:rsidRPr="00731DB1">
        <w:t>2.9</w:t>
      </w:r>
      <w:r w:rsidR="002267AD" w:rsidRPr="00731DB1">
        <w:tab/>
      </w:r>
      <w:r w:rsidR="00D228F8" w:rsidRPr="00731DB1">
        <w:t xml:space="preserve">Thereafter, the author returned to Canada on 19 November 2015, using his refugee travel document </w:t>
      </w:r>
      <w:r w:rsidR="007865F8" w:rsidRPr="00731DB1">
        <w:t xml:space="preserve">provided </w:t>
      </w:r>
      <w:r w:rsidR="00D228F8" w:rsidRPr="00731DB1">
        <w:t xml:space="preserve">by the Canadian authorities. </w:t>
      </w:r>
      <w:r w:rsidR="00D02529" w:rsidRPr="00731DB1">
        <w:t>He was arrested upon arrival</w:t>
      </w:r>
      <w:r w:rsidR="00283011" w:rsidRPr="00731DB1">
        <w:t xml:space="preserve"> until 17 February 2016</w:t>
      </w:r>
      <w:r w:rsidR="007E19B4" w:rsidRPr="00731DB1">
        <w:t>, when he was released on bail</w:t>
      </w:r>
      <w:r w:rsidR="00D02529" w:rsidRPr="00731DB1">
        <w:t>.</w:t>
      </w:r>
      <w:r w:rsidR="00D92D5E" w:rsidRPr="00731DB1">
        <w:rPr>
          <w:rFonts w:eastAsia="MS Mincho"/>
          <w:sz w:val="22"/>
          <w:szCs w:val="22"/>
          <w:lang w:eastAsia="en-US"/>
        </w:rPr>
        <w:t xml:space="preserve"> </w:t>
      </w:r>
      <w:r w:rsidR="002B12F0" w:rsidRPr="00731DB1">
        <w:rPr>
          <w:rFonts w:eastAsia="MS Mincho"/>
          <w:lang w:eastAsia="en-US"/>
        </w:rPr>
        <w:t xml:space="preserve">He </w:t>
      </w:r>
      <w:r w:rsidR="00D92D5E" w:rsidRPr="00731DB1">
        <w:rPr>
          <w:rFonts w:eastAsia="MS Mincho"/>
          <w:lang w:eastAsia="en-US"/>
        </w:rPr>
        <w:t xml:space="preserve">indicates that a day after his arrival, he was transferred to a detention facility for </w:t>
      </w:r>
      <w:r w:rsidR="008B239E" w:rsidRPr="00731DB1">
        <w:rPr>
          <w:rFonts w:eastAsia="MS Mincho"/>
          <w:lang w:eastAsia="en-US"/>
        </w:rPr>
        <w:t xml:space="preserve">persons </w:t>
      </w:r>
      <w:r w:rsidR="00D92D5E" w:rsidRPr="00731DB1">
        <w:rPr>
          <w:rFonts w:eastAsia="MS Mincho"/>
          <w:lang w:eastAsia="en-US"/>
        </w:rPr>
        <w:t xml:space="preserve">accused of criminal offences. He made numerous complaints about his detention, including that he </w:t>
      </w:r>
      <w:r w:rsidR="008B239E" w:rsidRPr="00731DB1">
        <w:rPr>
          <w:rFonts w:eastAsia="MS Mincho"/>
          <w:lang w:eastAsia="en-US"/>
        </w:rPr>
        <w:t xml:space="preserve">should </w:t>
      </w:r>
      <w:r w:rsidR="00524EC9" w:rsidRPr="00731DB1">
        <w:rPr>
          <w:rFonts w:eastAsia="MS Mincho"/>
          <w:lang w:eastAsia="en-US"/>
        </w:rPr>
        <w:t xml:space="preserve">rather be </w:t>
      </w:r>
      <w:r w:rsidR="008B239E" w:rsidRPr="00731DB1">
        <w:rPr>
          <w:rFonts w:eastAsia="MS Mincho"/>
          <w:lang w:eastAsia="en-US"/>
        </w:rPr>
        <w:t>held in an immigration facility</w:t>
      </w:r>
      <w:r w:rsidR="00E0122B" w:rsidRPr="00731DB1">
        <w:rPr>
          <w:rFonts w:eastAsia="MS Mincho"/>
          <w:lang w:eastAsia="en-US"/>
        </w:rPr>
        <w:t xml:space="preserve">, </w:t>
      </w:r>
      <w:r w:rsidR="00D92D5E" w:rsidRPr="00731DB1">
        <w:rPr>
          <w:rFonts w:eastAsia="MS Mincho"/>
          <w:lang w:eastAsia="en-US"/>
        </w:rPr>
        <w:t xml:space="preserve">that he was not allowed </w:t>
      </w:r>
      <w:r w:rsidR="002B12F0" w:rsidRPr="00731DB1">
        <w:rPr>
          <w:rFonts w:eastAsia="MS Mincho"/>
          <w:lang w:eastAsia="en-US"/>
        </w:rPr>
        <w:t xml:space="preserve">to present </w:t>
      </w:r>
      <w:r w:rsidR="00D92D5E" w:rsidRPr="00731DB1">
        <w:rPr>
          <w:rFonts w:eastAsia="MS Mincho"/>
          <w:lang w:eastAsia="en-US"/>
        </w:rPr>
        <w:t>witnesses at detention hearings</w:t>
      </w:r>
      <w:r w:rsidR="00FE5B12" w:rsidRPr="00731DB1">
        <w:rPr>
          <w:rFonts w:eastAsia="MS Mincho"/>
          <w:lang w:eastAsia="en-US"/>
        </w:rPr>
        <w:t>, and</w:t>
      </w:r>
      <w:r w:rsidR="00D92D5E" w:rsidRPr="00731DB1">
        <w:rPr>
          <w:rFonts w:eastAsia="MS Mincho"/>
          <w:lang w:eastAsia="en-US"/>
        </w:rPr>
        <w:t xml:space="preserve"> that all his requests for transfer were denied</w:t>
      </w:r>
      <w:r w:rsidR="003C170B">
        <w:rPr>
          <w:rFonts w:eastAsia="MS Mincho"/>
          <w:lang w:eastAsia="en-US"/>
        </w:rPr>
        <w:t>.</w:t>
      </w:r>
      <w:r w:rsidR="00D92D5E" w:rsidRPr="00731DB1">
        <w:rPr>
          <w:rFonts w:eastAsia="MS Mincho"/>
          <w:vertAlign w:val="superscript"/>
          <w:lang w:eastAsia="en-US"/>
        </w:rPr>
        <w:footnoteReference w:id="10"/>
      </w:r>
    </w:p>
    <w:p w14:paraId="6DDCE03E" w14:textId="48D82868" w:rsidR="00151DB1" w:rsidRPr="00731DB1" w:rsidRDefault="00AF4AEE" w:rsidP="00151DB1">
      <w:pPr>
        <w:pStyle w:val="SingleTxtG"/>
        <w:rPr>
          <w:rFonts w:eastAsia="MS Mincho"/>
        </w:rPr>
      </w:pPr>
      <w:r w:rsidRPr="00731DB1">
        <w:rPr>
          <w:rFonts w:eastAsia="MS Mincho"/>
          <w:lang w:eastAsia="en-US"/>
        </w:rPr>
        <w:t>2.10</w:t>
      </w:r>
      <w:r w:rsidR="00151DB1" w:rsidRPr="00731DB1">
        <w:rPr>
          <w:rFonts w:eastAsia="MS Mincho"/>
          <w:lang w:eastAsia="en-US"/>
        </w:rPr>
        <w:tab/>
      </w:r>
      <w:r w:rsidR="00D3378D" w:rsidRPr="00731DB1">
        <w:rPr>
          <w:rFonts w:eastAsia="MS Mincho"/>
          <w:lang w:eastAsia="en-US"/>
        </w:rPr>
        <w:t>T</w:t>
      </w:r>
      <w:r w:rsidR="00151DB1" w:rsidRPr="00731DB1">
        <w:rPr>
          <w:rFonts w:eastAsia="MS Mincho"/>
          <w:lang w:eastAsia="en-US"/>
        </w:rPr>
        <w:t>he author</w:t>
      </w:r>
      <w:r w:rsidR="00D3378D" w:rsidRPr="00731DB1">
        <w:rPr>
          <w:rFonts w:eastAsia="MS Mincho"/>
          <w:lang w:eastAsia="en-US"/>
        </w:rPr>
        <w:t xml:space="preserve"> </w:t>
      </w:r>
      <w:r w:rsidR="00151DB1" w:rsidRPr="00731DB1">
        <w:rPr>
          <w:rFonts w:eastAsia="MS Mincho"/>
          <w:lang w:eastAsia="en-US"/>
        </w:rPr>
        <w:t>claims</w:t>
      </w:r>
      <w:r w:rsidR="00D3378D" w:rsidRPr="00731DB1">
        <w:rPr>
          <w:rFonts w:eastAsia="MS Mincho"/>
          <w:lang w:eastAsia="en-US"/>
        </w:rPr>
        <w:t xml:space="preserve"> that</w:t>
      </w:r>
      <w:r w:rsidR="00151DB1" w:rsidRPr="00731DB1">
        <w:rPr>
          <w:rFonts w:eastAsia="MS Mincho"/>
          <w:lang w:eastAsia="en-US"/>
        </w:rPr>
        <w:t xml:space="preserve"> on 29 June 2016, members of the Nigerian Department of State Security (DSS) visited </w:t>
      </w:r>
      <w:r w:rsidR="00D3378D" w:rsidRPr="00731DB1">
        <w:rPr>
          <w:rFonts w:eastAsia="MS Mincho"/>
          <w:lang w:eastAsia="en-US"/>
        </w:rPr>
        <w:t>his</w:t>
      </w:r>
      <w:r w:rsidR="00151DB1" w:rsidRPr="00731DB1">
        <w:rPr>
          <w:rFonts w:eastAsia="MS Mincho"/>
          <w:lang w:eastAsia="en-US"/>
        </w:rPr>
        <w:t xml:space="preserve"> lawyer, in relation to the investigation related to his escape from prison on 18 November 2015. A new warrant of arrest against </w:t>
      </w:r>
      <w:r w:rsidR="00FE5B12" w:rsidRPr="00731DB1">
        <w:rPr>
          <w:rFonts w:eastAsia="MS Mincho"/>
          <w:lang w:eastAsia="en-US"/>
        </w:rPr>
        <w:t xml:space="preserve">him </w:t>
      </w:r>
      <w:r w:rsidR="00151DB1" w:rsidRPr="00731DB1">
        <w:rPr>
          <w:rFonts w:eastAsia="MS Mincho"/>
          <w:lang w:eastAsia="en-US"/>
        </w:rPr>
        <w:t xml:space="preserve">was issued on 16 June 2016, charging him </w:t>
      </w:r>
      <w:r w:rsidR="00FE5B12" w:rsidRPr="00731DB1">
        <w:rPr>
          <w:rFonts w:eastAsia="MS Mincho"/>
          <w:lang w:eastAsia="en-US"/>
        </w:rPr>
        <w:t xml:space="preserve">with </w:t>
      </w:r>
      <w:r w:rsidR="00151DB1" w:rsidRPr="00731DB1">
        <w:rPr>
          <w:rFonts w:eastAsia="MS Mincho"/>
          <w:lang w:eastAsia="en-US"/>
        </w:rPr>
        <w:t xml:space="preserve">jailbreak and treason. On 7 July 2016, </w:t>
      </w:r>
      <w:r w:rsidR="00822330" w:rsidRPr="00731DB1">
        <w:rPr>
          <w:rFonts w:eastAsia="MS Mincho"/>
          <w:lang w:eastAsia="en-US"/>
        </w:rPr>
        <w:t xml:space="preserve">N.O., </w:t>
      </w:r>
      <w:r w:rsidR="00151DB1" w:rsidRPr="00731DB1">
        <w:rPr>
          <w:rFonts w:eastAsia="MS Mincho"/>
          <w:lang w:eastAsia="en-US"/>
        </w:rPr>
        <w:t xml:space="preserve">the author’s lawyer in Nigeria decided to stop representing him, </w:t>
      </w:r>
      <w:r w:rsidR="00151DB1" w:rsidRPr="00731DB1">
        <w:rPr>
          <w:rFonts w:eastAsia="MS Mincho"/>
        </w:rPr>
        <w:t>as he feared for his life and the life of his family due to threats received from the Nigerian authorities in connection with his work representing the author</w:t>
      </w:r>
      <w:r w:rsidR="00CD3601">
        <w:rPr>
          <w:rFonts w:eastAsia="MS Mincho"/>
        </w:rPr>
        <w:t>.</w:t>
      </w:r>
      <w:r w:rsidR="00151DB1" w:rsidRPr="00731DB1">
        <w:rPr>
          <w:rStyle w:val="FootnoteReference"/>
          <w:rFonts w:eastAsia="MS Mincho"/>
        </w:rPr>
        <w:footnoteReference w:id="11"/>
      </w:r>
      <w:r w:rsidR="00151DB1" w:rsidRPr="00731DB1">
        <w:rPr>
          <w:rFonts w:eastAsia="MS Mincho"/>
        </w:rPr>
        <w:t xml:space="preserve"> </w:t>
      </w:r>
      <w:r w:rsidR="00F67363" w:rsidRPr="00731DB1">
        <w:rPr>
          <w:rFonts w:eastAsia="MS Mincho"/>
        </w:rPr>
        <w:t>A new lawyer</w:t>
      </w:r>
      <w:r w:rsidR="007E66DC" w:rsidRPr="00731DB1">
        <w:rPr>
          <w:rFonts w:eastAsia="MS Mincho"/>
        </w:rPr>
        <w:t>, A.D.,</w:t>
      </w:r>
      <w:r w:rsidR="00F67363" w:rsidRPr="00731DB1">
        <w:rPr>
          <w:rFonts w:eastAsia="MS Mincho"/>
        </w:rPr>
        <w:t xml:space="preserve"> started to represent him in June 2017</w:t>
      </w:r>
      <w:r w:rsidR="00CD3601">
        <w:rPr>
          <w:rFonts w:eastAsia="MS Mincho"/>
        </w:rPr>
        <w:t>.</w:t>
      </w:r>
      <w:r w:rsidR="00F67363" w:rsidRPr="00731DB1">
        <w:rPr>
          <w:rStyle w:val="FootnoteReference"/>
          <w:rFonts w:eastAsia="MS Mincho"/>
        </w:rPr>
        <w:footnoteReference w:id="12"/>
      </w:r>
      <w:r w:rsidR="00F67363" w:rsidRPr="00731DB1">
        <w:rPr>
          <w:rFonts w:eastAsia="MS Mincho"/>
        </w:rPr>
        <w:t xml:space="preserve"> </w:t>
      </w:r>
    </w:p>
    <w:p w14:paraId="0556B992" w14:textId="2792FC1E" w:rsidR="001E2F63" w:rsidRPr="00731DB1" w:rsidRDefault="00AF4AEE" w:rsidP="002D6501">
      <w:pPr>
        <w:pStyle w:val="SingleTxtG"/>
        <w:rPr>
          <w:rFonts w:eastAsia="MS Mincho"/>
          <w:lang w:eastAsia="en-US"/>
        </w:rPr>
      </w:pPr>
      <w:r w:rsidRPr="00731DB1">
        <w:rPr>
          <w:rFonts w:eastAsia="MS Mincho"/>
          <w:lang w:eastAsia="en-US"/>
        </w:rPr>
        <w:t>2.11</w:t>
      </w:r>
      <w:r w:rsidR="00283011" w:rsidRPr="00731DB1">
        <w:rPr>
          <w:rFonts w:eastAsia="MS Mincho"/>
          <w:lang w:eastAsia="en-US"/>
        </w:rPr>
        <w:tab/>
      </w:r>
      <w:r w:rsidR="00AA584E" w:rsidRPr="00731DB1">
        <w:rPr>
          <w:rFonts w:eastAsia="MS Mincho"/>
          <w:lang w:eastAsia="en-US"/>
        </w:rPr>
        <w:t xml:space="preserve">On 24 March 2016, the author submitted a second PRRA application. </w:t>
      </w:r>
      <w:r w:rsidR="007E66DC" w:rsidRPr="00731DB1">
        <w:rPr>
          <w:rFonts w:eastAsia="MS Mincho"/>
          <w:lang w:eastAsia="en-US"/>
        </w:rPr>
        <w:t xml:space="preserve">It </w:t>
      </w:r>
      <w:r w:rsidR="00AA584E" w:rsidRPr="00731DB1">
        <w:rPr>
          <w:rFonts w:eastAsia="MS Mincho"/>
          <w:lang w:eastAsia="en-US"/>
        </w:rPr>
        <w:t>was rejected at</w:t>
      </w:r>
      <w:r w:rsidR="007E66DC" w:rsidRPr="00731DB1">
        <w:rPr>
          <w:rFonts w:eastAsia="MS Mincho"/>
          <w:lang w:eastAsia="en-US"/>
        </w:rPr>
        <w:t xml:space="preserve"> a</w:t>
      </w:r>
      <w:r w:rsidR="00AA584E" w:rsidRPr="00731DB1">
        <w:rPr>
          <w:rFonts w:eastAsia="MS Mincho"/>
          <w:lang w:eastAsia="en-US"/>
        </w:rPr>
        <w:t xml:space="preserve"> first stage (on 31 May 2016);</w:t>
      </w:r>
      <w:r w:rsidR="00DB4E5B" w:rsidRPr="00731DB1">
        <w:rPr>
          <w:rFonts w:eastAsia="MS Mincho"/>
          <w:lang w:eastAsia="en-US"/>
        </w:rPr>
        <w:t xml:space="preserve"> however, the Ministry of Immigration, Refugees and Citizenship</w:t>
      </w:r>
      <w:r w:rsidR="00F861EF" w:rsidRPr="00731DB1">
        <w:rPr>
          <w:rFonts w:eastAsia="MS Mincho"/>
          <w:lang w:eastAsia="en-US"/>
        </w:rPr>
        <w:t xml:space="preserve"> intervened and </w:t>
      </w:r>
      <w:r w:rsidR="00AA584E" w:rsidRPr="00731DB1">
        <w:rPr>
          <w:rFonts w:eastAsia="MS Mincho"/>
          <w:lang w:eastAsia="en-US"/>
        </w:rPr>
        <w:t xml:space="preserve">decided that </w:t>
      </w:r>
      <w:r w:rsidR="00F861EF" w:rsidRPr="00731DB1">
        <w:rPr>
          <w:rFonts w:eastAsia="MS Mincho"/>
          <w:lang w:eastAsia="en-US"/>
        </w:rPr>
        <w:t xml:space="preserve">the application </w:t>
      </w:r>
      <w:r w:rsidR="00AA584E" w:rsidRPr="00731DB1">
        <w:rPr>
          <w:rFonts w:eastAsia="MS Mincho"/>
          <w:lang w:eastAsia="en-US"/>
        </w:rPr>
        <w:t>would be reviewed</w:t>
      </w:r>
      <w:r w:rsidR="00DB4E5B" w:rsidRPr="00731DB1">
        <w:rPr>
          <w:rFonts w:eastAsia="MS Mincho"/>
          <w:lang w:eastAsia="en-US"/>
        </w:rPr>
        <w:t xml:space="preserve">, including evidence </w:t>
      </w:r>
      <w:r w:rsidR="007E66DC" w:rsidRPr="00731DB1">
        <w:rPr>
          <w:rFonts w:eastAsia="MS Mincho"/>
          <w:lang w:eastAsia="en-US"/>
        </w:rPr>
        <w:t xml:space="preserve">regarding </w:t>
      </w:r>
      <w:r w:rsidR="00DB4E5B" w:rsidRPr="00731DB1">
        <w:rPr>
          <w:rFonts w:eastAsia="MS Mincho"/>
          <w:lang w:eastAsia="en-US"/>
        </w:rPr>
        <w:t>the events occurred after the rejection of</w:t>
      </w:r>
      <w:r w:rsidR="002D6501" w:rsidRPr="00731DB1">
        <w:rPr>
          <w:rFonts w:eastAsia="MS Mincho"/>
          <w:lang w:eastAsia="en-US"/>
        </w:rPr>
        <w:t xml:space="preserve"> the author’s</w:t>
      </w:r>
      <w:r w:rsidR="00DB4E5B" w:rsidRPr="00731DB1">
        <w:rPr>
          <w:rFonts w:eastAsia="MS Mincho"/>
          <w:lang w:eastAsia="en-US"/>
        </w:rPr>
        <w:t xml:space="preserve"> first PRRA</w:t>
      </w:r>
      <w:r w:rsidR="00AA584E" w:rsidRPr="00731DB1">
        <w:rPr>
          <w:rFonts w:eastAsia="MS Mincho"/>
          <w:lang w:eastAsia="en-US"/>
        </w:rPr>
        <w:t>.</w:t>
      </w:r>
      <w:r w:rsidR="007E19B4" w:rsidRPr="00731DB1">
        <w:rPr>
          <w:rFonts w:eastAsia="MS Mincho"/>
          <w:lang w:eastAsia="en-US"/>
        </w:rPr>
        <w:t xml:space="preserve"> </w:t>
      </w:r>
      <w:r w:rsidR="00EA30DB" w:rsidRPr="00731DB1">
        <w:rPr>
          <w:rFonts w:eastAsia="MS Mincho"/>
          <w:lang w:eastAsia="en-US"/>
        </w:rPr>
        <w:t>In May 2017, t</w:t>
      </w:r>
      <w:r w:rsidR="00402B6E" w:rsidRPr="00731DB1">
        <w:rPr>
          <w:rFonts w:eastAsia="MS Mincho"/>
          <w:lang w:eastAsia="en-US"/>
        </w:rPr>
        <w:t>he PRRA agent requested the author to provide t</w:t>
      </w:r>
      <w:r w:rsidR="00EA30DB" w:rsidRPr="00731DB1">
        <w:rPr>
          <w:rFonts w:eastAsia="MS Mincho"/>
          <w:lang w:eastAsia="en-US"/>
        </w:rPr>
        <w:t>he originals of some documents</w:t>
      </w:r>
      <w:r w:rsidR="00CD3601">
        <w:rPr>
          <w:rFonts w:eastAsia="MS Mincho"/>
          <w:lang w:eastAsia="en-US"/>
        </w:rPr>
        <w:t>.</w:t>
      </w:r>
      <w:r w:rsidR="00EA30DB" w:rsidRPr="00731DB1">
        <w:rPr>
          <w:rStyle w:val="FootnoteReference"/>
          <w:rFonts w:eastAsia="MS Mincho"/>
          <w:lang w:eastAsia="en-US"/>
        </w:rPr>
        <w:footnoteReference w:id="13"/>
      </w:r>
      <w:r w:rsidR="00EA30DB" w:rsidRPr="00731DB1">
        <w:rPr>
          <w:rFonts w:eastAsia="MS Mincho"/>
          <w:lang w:eastAsia="en-US"/>
        </w:rPr>
        <w:t xml:space="preserve"> </w:t>
      </w:r>
    </w:p>
    <w:p w14:paraId="0DD1DA7F" w14:textId="134DA598" w:rsidR="00B25A33" w:rsidRPr="00731DB1" w:rsidRDefault="00AF4AEE" w:rsidP="002D6501">
      <w:pPr>
        <w:pStyle w:val="SingleTxtG"/>
        <w:rPr>
          <w:rFonts w:eastAsia="MS Mincho"/>
          <w:lang w:eastAsia="en-US"/>
        </w:rPr>
      </w:pPr>
      <w:r w:rsidRPr="00731DB1">
        <w:rPr>
          <w:rFonts w:eastAsia="MS Mincho"/>
          <w:lang w:eastAsia="en-US"/>
        </w:rPr>
        <w:t>2.</w:t>
      </w:r>
      <w:r w:rsidR="001E2F63" w:rsidRPr="00731DB1">
        <w:rPr>
          <w:rFonts w:eastAsia="MS Mincho"/>
          <w:lang w:eastAsia="en-US"/>
        </w:rPr>
        <w:t>1</w:t>
      </w:r>
      <w:r w:rsidRPr="00731DB1">
        <w:rPr>
          <w:rFonts w:eastAsia="MS Mincho"/>
          <w:lang w:eastAsia="en-US"/>
        </w:rPr>
        <w:t>2</w:t>
      </w:r>
      <w:r w:rsidR="001E2F63" w:rsidRPr="00731DB1">
        <w:rPr>
          <w:rFonts w:eastAsia="MS Mincho"/>
          <w:lang w:eastAsia="en-US"/>
        </w:rPr>
        <w:tab/>
      </w:r>
      <w:r w:rsidR="00DB4E5B" w:rsidRPr="00731DB1">
        <w:rPr>
          <w:rFonts w:eastAsia="MS Mincho"/>
          <w:lang w:eastAsia="en-US"/>
        </w:rPr>
        <w:t>On 1 May 2018, the author’s second PRRA was rejected</w:t>
      </w:r>
      <w:r w:rsidR="000F53FC" w:rsidRPr="00731DB1">
        <w:rPr>
          <w:rFonts w:eastAsia="MS Mincho"/>
          <w:lang w:eastAsia="en-US"/>
        </w:rPr>
        <w:t xml:space="preserve"> because</w:t>
      </w:r>
      <w:r w:rsidR="002D6501" w:rsidRPr="00731DB1">
        <w:rPr>
          <w:rFonts w:eastAsia="MS Mincho"/>
          <w:lang w:eastAsia="en-US"/>
        </w:rPr>
        <w:t xml:space="preserve"> the author lacked credibility. The PRRA agent analysed the evidence submitted by the author in relation to his detention in Nigeria following the deportation</w:t>
      </w:r>
      <w:r w:rsidR="001E2F63" w:rsidRPr="00731DB1">
        <w:rPr>
          <w:rFonts w:eastAsia="MS Mincho"/>
          <w:lang w:eastAsia="en-US"/>
        </w:rPr>
        <w:t>, and</w:t>
      </w:r>
      <w:r w:rsidR="002D6501" w:rsidRPr="00731DB1">
        <w:rPr>
          <w:rFonts w:eastAsia="MS Mincho"/>
          <w:lang w:eastAsia="en-US"/>
        </w:rPr>
        <w:t xml:space="preserve"> the risk faced by MASSOB members, including the author’s allegation that he had been confirmed as chief security officer </w:t>
      </w:r>
      <w:r w:rsidR="009F053E" w:rsidRPr="00731DB1">
        <w:rPr>
          <w:rFonts w:eastAsia="MS Mincho"/>
          <w:lang w:eastAsia="en-US"/>
        </w:rPr>
        <w:t xml:space="preserve">of MASSOB </w:t>
      </w:r>
      <w:r w:rsidR="002D6501" w:rsidRPr="00731DB1">
        <w:rPr>
          <w:rFonts w:eastAsia="MS Mincho"/>
          <w:lang w:eastAsia="en-US"/>
        </w:rPr>
        <w:t xml:space="preserve">in November 2015, while in detention in Nigeria. </w:t>
      </w:r>
      <w:r w:rsidR="00097A94" w:rsidRPr="00731DB1">
        <w:rPr>
          <w:rFonts w:eastAsia="MS Mincho"/>
          <w:lang w:eastAsia="en-US"/>
        </w:rPr>
        <w:t>T</w:t>
      </w:r>
      <w:r w:rsidR="002D6501" w:rsidRPr="00731DB1">
        <w:rPr>
          <w:rFonts w:eastAsia="MS Mincho"/>
          <w:lang w:eastAsia="en-US"/>
        </w:rPr>
        <w:t xml:space="preserve">he PRRA agent took note of </w:t>
      </w:r>
      <w:r w:rsidR="002D6501" w:rsidRPr="00731DB1">
        <w:rPr>
          <w:rFonts w:eastAsia="MS Mincho"/>
          <w:lang w:eastAsia="en-US"/>
        </w:rPr>
        <w:lastRenderedPageBreak/>
        <w:t xml:space="preserve">several public reports and press articles </w:t>
      </w:r>
      <w:proofErr w:type="gramStart"/>
      <w:r w:rsidR="002D6501" w:rsidRPr="00731DB1">
        <w:rPr>
          <w:rFonts w:eastAsia="MS Mincho"/>
          <w:lang w:eastAsia="en-US"/>
        </w:rPr>
        <w:t>on the situation of</w:t>
      </w:r>
      <w:proofErr w:type="gramEnd"/>
      <w:r w:rsidR="002D6501" w:rsidRPr="00731DB1">
        <w:rPr>
          <w:rFonts w:eastAsia="MS Mincho"/>
          <w:lang w:eastAsia="en-US"/>
        </w:rPr>
        <w:t xml:space="preserve"> MASSOB members</w:t>
      </w:r>
      <w:r w:rsidR="00CD3601">
        <w:rPr>
          <w:rFonts w:eastAsia="MS Mincho"/>
          <w:lang w:eastAsia="en-US"/>
        </w:rPr>
        <w:t>.</w:t>
      </w:r>
      <w:r w:rsidR="002D6501" w:rsidRPr="00731DB1">
        <w:rPr>
          <w:rStyle w:val="FootnoteReference"/>
          <w:rFonts w:eastAsia="MS Mincho"/>
          <w:lang w:eastAsia="en-US"/>
        </w:rPr>
        <w:footnoteReference w:id="14"/>
      </w:r>
      <w:r w:rsidR="002D6501" w:rsidRPr="00731DB1">
        <w:rPr>
          <w:rFonts w:eastAsia="MS Mincho"/>
          <w:lang w:eastAsia="en-US"/>
        </w:rPr>
        <w:t xml:space="preserve"> </w:t>
      </w:r>
      <w:r w:rsidR="00097A94" w:rsidRPr="00731DB1">
        <w:rPr>
          <w:rFonts w:eastAsia="MS Mincho"/>
          <w:lang w:eastAsia="en-US"/>
        </w:rPr>
        <w:t xml:space="preserve">Further, </w:t>
      </w:r>
      <w:r w:rsidR="002D6501" w:rsidRPr="00731DB1">
        <w:rPr>
          <w:rFonts w:eastAsia="MS Mincho"/>
          <w:lang w:eastAsia="en-US"/>
        </w:rPr>
        <w:t>he examined the evidence submitted by the author in relation to his membership of MASSOB</w:t>
      </w:r>
      <w:r w:rsidR="002D6501" w:rsidRPr="00731DB1">
        <w:rPr>
          <w:rStyle w:val="FootnoteReference"/>
          <w:rFonts w:eastAsia="MS Mincho"/>
          <w:lang w:eastAsia="en-US"/>
        </w:rPr>
        <w:footnoteReference w:id="15"/>
      </w:r>
      <w:r w:rsidR="002D6501" w:rsidRPr="00731DB1">
        <w:rPr>
          <w:rFonts w:eastAsia="MS Mincho"/>
          <w:lang w:eastAsia="en-US"/>
        </w:rPr>
        <w:t xml:space="preserve"> and indicated </w:t>
      </w:r>
      <w:r w:rsidR="00A42A25" w:rsidRPr="00731DB1">
        <w:rPr>
          <w:rFonts w:eastAsia="MS Mincho"/>
          <w:lang w:eastAsia="en-US"/>
        </w:rPr>
        <w:t xml:space="preserve">that </w:t>
      </w:r>
      <w:r w:rsidR="002D6501" w:rsidRPr="00731DB1">
        <w:rPr>
          <w:rFonts w:eastAsia="MS Mincho"/>
          <w:lang w:eastAsia="en-US"/>
        </w:rPr>
        <w:t>if the documents provided by the author were genuine, they would support</w:t>
      </w:r>
      <w:r w:rsidR="000D4FF5" w:rsidRPr="00731DB1">
        <w:rPr>
          <w:rFonts w:eastAsia="MS Mincho"/>
          <w:lang w:eastAsia="en-US"/>
        </w:rPr>
        <w:t xml:space="preserve"> </w:t>
      </w:r>
      <w:r w:rsidR="001E2F63" w:rsidRPr="00731DB1">
        <w:rPr>
          <w:rFonts w:eastAsia="MS Mincho"/>
          <w:lang w:eastAsia="en-US"/>
        </w:rPr>
        <w:t>his allegations</w:t>
      </w:r>
      <w:r w:rsidR="002D6501" w:rsidRPr="00731DB1">
        <w:rPr>
          <w:rFonts w:eastAsia="MS Mincho"/>
          <w:lang w:eastAsia="en-US"/>
        </w:rPr>
        <w:t xml:space="preserve">. However, </w:t>
      </w:r>
      <w:r w:rsidR="00097A94" w:rsidRPr="00731DB1">
        <w:rPr>
          <w:rFonts w:eastAsia="MS Mincho"/>
          <w:lang w:eastAsia="en-US"/>
        </w:rPr>
        <w:t xml:space="preserve">he </w:t>
      </w:r>
      <w:r w:rsidR="002D6501" w:rsidRPr="00731DB1">
        <w:rPr>
          <w:rFonts w:eastAsia="MS Mincho"/>
          <w:lang w:eastAsia="en-US"/>
        </w:rPr>
        <w:t xml:space="preserve">considered that the </w:t>
      </w:r>
      <w:r w:rsidR="00D82314" w:rsidRPr="00731DB1">
        <w:rPr>
          <w:rFonts w:eastAsia="MS Mincho"/>
          <w:lang w:eastAsia="en-US"/>
        </w:rPr>
        <w:t xml:space="preserve">documents </w:t>
      </w:r>
      <w:r w:rsidR="002D6501" w:rsidRPr="00731DB1">
        <w:rPr>
          <w:rFonts w:eastAsia="MS Mincho"/>
          <w:lang w:eastAsia="en-US"/>
        </w:rPr>
        <w:t>could not be considered as authentic</w:t>
      </w:r>
      <w:r w:rsidR="0005649B" w:rsidRPr="00731DB1">
        <w:rPr>
          <w:rFonts w:eastAsia="MS Mincho"/>
          <w:lang w:eastAsia="en-US"/>
        </w:rPr>
        <w:t>. F</w:t>
      </w:r>
      <w:r w:rsidR="002D6501" w:rsidRPr="00731DB1">
        <w:rPr>
          <w:rFonts w:eastAsia="MS Mincho"/>
          <w:lang w:eastAsia="en-US"/>
        </w:rPr>
        <w:t xml:space="preserve">or example, </w:t>
      </w:r>
      <w:r w:rsidR="00097A94" w:rsidRPr="00731DB1">
        <w:rPr>
          <w:rFonts w:eastAsia="MS Mincho"/>
          <w:lang w:eastAsia="en-US"/>
        </w:rPr>
        <w:t>he</w:t>
      </w:r>
      <w:r w:rsidR="002D6501" w:rsidRPr="00731DB1">
        <w:rPr>
          <w:rFonts w:eastAsia="MS Mincho"/>
          <w:lang w:eastAsia="en-US"/>
        </w:rPr>
        <w:t xml:space="preserve"> noted that the </w:t>
      </w:r>
      <w:r w:rsidR="00A42A25" w:rsidRPr="00731DB1">
        <w:rPr>
          <w:rFonts w:eastAsia="MS Mincho"/>
          <w:lang w:eastAsia="en-US"/>
        </w:rPr>
        <w:t>warrant of a</w:t>
      </w:r>
      <w:r w:rsidR="002D6501" w:rsidRPr="00731DB1">
        <w:rPr>
          <w:rFonts w:eastAsia="MS Mincho"/>
          <w:lang w:eastAsia="en-US"/>
        </w:rPr>
        <w:t>rrest of 17 June 2016 was a black and white photocopy with no seals or other security features; that the letters from the individuals and organizations confirming the author’s MASSOB membership were copies or scans, with signatures which looked identical; and that some of the documents were submitted through the author’s lawyer in Nigeria, who was the same lawyer who submitted and verified the court judgement which had been found to be a forgery.</w:t>
      </w:r>
      <w:r w:rsidR="004842FD" w:rsidRPr="00731DB1">
        <w:rPr>
          <w:rFonts w:eastAsia="MS Mincho"/>
          <w:lang w:eastAsia="en-US"/>
        </w:rPr>
        <w:t xml:space="preserve"> In addition, the PRRA agent referred to a</w:t>
      </w:r>
      <w:r w:rsidR="000D4FF5" w:rsidRPr="00731DB1">
        <w:rPr>
          <w:rFonts w:eastAsia="MS Mincho"/>
          <w:lang w:eastAsia="en-US"/>
        </w:rPr>
        <w:t>n</w:t>
      </w:r>
      <w:r w:rsidR="004842FD" w:rsidRPr="00731DB1">
        <w:rPr>
          <w:rFonts w:eastAsia="MS Mincho"/>
          <w:lang w:eastAsia="en-US"/>
        </w:rPr>
        <w:t xml:space="preserve"> </w:t>
      </w:r>
      <w:r w:rsidR="001E2F63" w:rsidRPr="00731DB1">
        <w:rPr>
          <w:rFonts w:eastAsia="MS Mincho"/>
          <w:lang w:eastAsia="en-US"/>
        </w:rPr>
        <w:t xml:space="preserve">IRB </w:t>
      </w:r>
      <w:r w:rsidR="004842FD" w:rsidRPr="00731DB1">
        <w:rPr>
          <w:rFonts w:eastAsia="MS Mincho"/>
          <w:lang w:eastAsia="en-US"/>
        </w:rPr>
        <w:t>report</w:t>
      </w:r>
      <w:r w:rsidR="001E2F63" w:rsidRPr="00731DB1">
        <w:rPr>
          <w:rFonts w:eastAsia="MS Mincho"/>
          <w:lang w:eastAsia="en-US"/>
        </w:rPr>
        <w:t xml:space="preserve"> according to which fraudulent documents are easily available in Nigeria</w:t>
      </w:r>
      <w:r w:rsidR="00CD3601">
        <w:rPr>
          <w:rFonts w:eastAsia="MS Mincho"/>
          <w:lang w:eastAsia="en-US"/>
        </w:rPr>
        <w:t>.</w:t>
      </w:r>
      <w:r w:rsidR="001E2F63" w:rsidRPr="00731DB1">
        <w:rPr>
          <w:rStyle w:val="FootnoteReference"/>
          <w:rFonts w:eastAsia="MS Mincho"/>
          <w:lang w:eastAsia="en-US"/>
        </w:rPr>
        <w:footnoteReference w:id="16"/>
      </w:r>
      <w:r w:rsidR="001E2F63" w:rsidRPr="00731DB1">
        <w:rPr>
          <w:rFonts w:eastAsia="MS Mincho"/>
          <w:lang w:eastAsia="en-US"/>
        </w:rPr>
        <w:t xml:space="preserve"> </w:t>
      </w:r>
      <w:r w:rsidR="004842FD" w:rsidRPr="00731DB1">
        <w:rPr>
          <w:rFonts w:eastAsia="MS Mincho"/>
          <w:lang w:eastAsia="en-US"/>
        </w:rPr>
        <w:t xml:space="preserve"> </w:t>
      </w:r>
      <w:r w:rsidR="001E2F63" w:rsidRPr="00731DB1">
        <w:rPr>
          <w:rFonts w:eastAsia="MS Mincho"/>
          <w:lang w:eastAsia="en-US"/>
        </w:rPr>
        <w:t xml:space="preserve">The agent further noted that even after he </w:t>
      </w:r>
      <w:r w:rsidR="00B224A4" w:rsidRPr="00102AFC">
        <w:rPr>
          <w:rFonts w:eastAsia="MS Mincho"/>
          <w:color w:val="000000" w:themeColor="text1"/>
          <w:lang w:eastAsia="en-US"/>
        </w:rPr>
        <w:t>received</w:t>
      </w:r>
      <w:r w:rsidR="00B224A4" w:rsidRPr="00731DB1">
        <w:rPr>
          <w:rFonts w:eastAsia="MS Mincho"/>
          <w:color w:val="FF0000"/>
          <w:lang w:eastAsia="en-US"/>
        </w:rPr>
        <w:t xml:space="preserve"> </w:t>
      </w:r>
      <w:r w:rsidR="001E2F63" w:rsidRPr="00731DB1">
        <w:rPr>
          <w:rFonts w:eastAsia="MS Mincho"/>
          <w:lang w:eastAsia="en-US"/>
        </w:rPr>
        <w:t>the originals, he continued to have concerns about their authenticity</w:t>
      </w:r>
      <w:r w:rsidR="00DF11FD" w:rsidRPr="00731DB1">
        <w:rPr>
          <w:rFonts w:eastAsia="MS Mincho"/>
          <w:lang w:eastAsia="en-US"/>
        </w:rPr>
        <w:t>,</w:t>
      </w:r>
      <w:r w:rsidR="001E2F63" w:rsidRPr="00731DB1">
        <w:rPr>
          <w:rFonts w:eastAsia="MS Mincho"/>
          <w:lang w:eastAsia="en-US"/>
        </w:rPr>
        <w:t xml:space="preserve"> for instance, the arrest warrant seemed to be a copy in colour and its stamps were from the notary and not fr</w:t>
      </w:r>
      <w:r w:rsidR="00DF11FD" w:rsidRPr="00731DB1">
        <w:rPr>
          <w:rFonts w:eastAsia="MS Mincho"/>
          <w:lang w:eastAsia="en-US"/>
        </w:rPr>
        <w:t>o</w:t>
      </w:r>
      <w:r w:rsidR="001E2F63" w:rsidRPr="00731DB1">
        <w:rPr>
          <w:rFonts w:eastAsia="MS Mincho"/>
          <w:lang w:eastAsia="en-US"/>
        </w:rPr>
        <w:t>m the warrant itself. Moreover, the notary attesting the authenticity of the documents was the same notary wh</w:t>
      </w:r>
      <w:r w:rsidR="00836B11">
        <w:rPr>
          <w:rFonts w:eastAsia="MS Mincho"/>
          <w:lang w:eastAsia="en-US"/>
        </w:rPr>
        <w:t>ich</w:t>
      </w:r>
      <w:r w:rsidR="001E2F63" w:rsidRPr="00731DB1">
        <w:rPr>
          <w:rFonts w:eastAsia="MS Mincho"/>
          <w:lang w:eastAsia="en-US"/>
        </w:rPr>
        <w:t xml:space="preserve"> attested the authenticity of the forged judgement. The PRRA agent also referred to the author’s history of submitting false documents, </w:t>
      </w:r>
      <w:r w:rsidR="00DF11FD" w:rsidRPr="00731DB1">
        <w:rPr>
          <w:rFonts w:eastAsia="MS Mincho"/>
          <w:lang w:eastAsia="en-US"/>
        </w:rPr>
        <w:t xml:space="preserve">i.e., </w:t>
      </w:r>
      <w:r w:rsidR="001E2F63" w:rsidRPr="00731DB1">
        <w:rPr>
          <w:rFonts w:eastAsia="MS Mincho"/>
          <w:lang w:eastAsia="en-US"/>
        </w:rPr>
        <w:t xml:space="preserve">the false judgement and the use of the travel document which he said he had lost. Therefore, </w:t>
      </w:r>
      <w:r w:rsidR="00DF11FD" w:rsidRPr="00731DB1">
        <w:rPr>
          <w:rFonts w:eastAsia="MS Mincho"/>
          <w:lang w:eastAsia="en-US"/>
        </w:rPr>
        <w:t xml:space="preserve">he </w:t>
      </w:r>
      <w:r w:rsidR="001E2F63" w:rsidRPr="00731DB1">
        <w:rPr>
          <w:rFonts w:eastAsia="MS Mincho"/>
          <w:lang w:eastAsia="en-US"/>
        </w:rPr>
        <w:t>concluded that the documents could not be considered as authentic. The PRRA agent also consider</w:t>
      </w:r>
      <w:r w:rsidR="00DF11FD" w:rsidRPr="00731DB1">
        <w:rPr>
          <w:rFonts w:eastAsia="MS Mincho"/>
          <w:lang w:eastAsia="en-US"/>
        </w:rPr>
        <w:t>ed</w:t>
      </w:r>
      <w:r w:rsidR="001E2F63" w:rsidRPr="00731DB1">
        <w:rPr>
          <w:rFonts w:eastAsia="MS Mincho"/>
          <w:lang w:eastAsia="en-US"/>
        </w:rPr>
        <w:t xml:space="preserve"> that the </w:t>
      </w:r>
      <w:r w:rsidR="00B5776C" w:rsidRPr="00731DB1">
        <w:rPr>
          <w:rFonts w:eastAsia="MS Mincho"/>
          <w:lang w:eastAsia="en-US"/>
        </w:rPr>
        <w:t xml:space="preserve">author’s </w:t>
      </w:r>
      <w:r w:rsidR="001E2F63" w:rsidRPr="00731DB1">
        <w:rPr>
          <w:rFonts w:eastAsia="MS Mincho"/>
          <w:lang w:eastAsia="en-US"/>
        </w:rPr>
        <w:t>statements were full of inconsistencies</w:t>
      </w:r>
      <w:r w:rsidR="00400E2E" w:rsidRPr="00731DB1">
        <w:rPr>
          <w:rFonts w:eastAsia="MS Mincho"/>
          <w:lang w:eastAsia="en-US"/>
        </w:rPr>
        <w:t>;</w:t>
      </w:r>
      <w:r w:rsidR="001E2F63" w:rsidRPr="00731DB1">
        <w:rPr>
          <w:rFonts w:eastAsia="MS Mincho"/>
          <w:lang w:eastAsia="en-US"/>
        </w:rPr>
        <w:t xml:space="preserve"> for instance, he did not provide information </w:t>
      </w:r>
      <w:r w:rsidR="005E48DE" w:rsidRPr="00731DB1">
        <w:rPr>
          <w:rFonts w:eastAsia="MS Mincho"/>
          <w:lang w:eastAsia="en-US"/>
        </w:rPr>
        <w:t xml:space="preserve">regarding </w:t>
      </w:r>
      <w:r w:rsidR="001E2F63" w:rsidRPr="00731DB1">
        <w:rPr>
          <w:rFonts w:eastAsia="MS Mincho"/>
          <w:lang w:eastAsia="en-US"/>
        </w:rPr>
        <w:t xml:space="preserve">the </w:t>
      </w:r>
      <w:r w:rsidR="00836B11">
        <w:rPr>
          <w:rFonts w:eastAsia="MS Mincho"/>
          <w:lang w:eastAsia="en-US"/>
        </w:rPr>
        <w:t>origin</w:t>
      </w:r>
      <w:r w:rsidR="001E2F63" w:rsidRPr="00731DB1">
        <w:rPr>
          <w:rFonts w:eastAsia="MS Mincho"/>
          <w:lang w:eastAsia="en-US"/>
        </w:rPr>
        <w:t xml:space="preserve"> of the documents, and </w:t>
      </w:r>
      <w:r w:rsidR="005E48DE" w:rsidRPr="00731DB1">
        <w:rPr>
          <w:rFonts w:eastAsia="MS Mincho"/>
          <w:lang w:eastAsia="en-US"/>
        </w:rPr>
        <w:t xml:space="preserve">when questioned about </w:t>
      </w:r>
      <w:r w:rsidR="001E2F63" w:rsidRPr="00731DB1">
        <w:rPr>
          <w:rFonts w:eastAsia="MS Mincho"/>
          <w:lang w:eastAsia="en-US"/>
        </w:rPr>
        <w:t xml:space="preserve">the concerns regarding the </w:t>
      </w:r>
      <w:r w:rsidR="005E48DE" w:rsidRPr="00731DB1">
        <w:rPr>
          <w:rFonts w:eastAsia="MS Mincho"/>
          <w:lang w:eastAsia="en-US"/>
        </w:rPr>
        <w:t xml:space="preserve">authenticity of the </w:t>
      </w:r>
      <w:r w:rsidR="001E2F63" w:rsidRPr="00731DB1">
        <w:rPr>
          <w:rFonts w:eastAsia="MS Mincho"/>
          <w:lang w:eastAsia="en-US"/>
        </w:rPr>
        <w:t xml:space="preserve">documents provided by his former lawyer in Nigeria, </w:t>
      </w:r>
      <w:r w:rsidR="000F03E8" w:rsidRPr="00731DB1">
        <w:rPr>
          <w:rFonts w:eastAsia="MS Mincho"/>
          <w:lang w:eastAsia="en-US"/>
        </w:rPr>
        <w:t xml:space="preserve">he </w:t>
      </w:r>
      <w:r w:rsidR="00F5790E" w:rsidRPr="00731DB1">
        <w:rPr>
          <w:rFonts w:eastAsia="MS Mincho"/>
          <w:lang w:eastAsia="en-US"/>
        </w:rPr>
        <w:t xml:space="preserve">merely </w:t>
      </w:r>
      <w:r w:rsidR="001E2F63" w:rsidRPr="00731DB1">
        <w:rPr>
          <w:rFonts w:eastAsia="MS Mincho"/>
          <w:lang w:eastAsia="en-US"/>
        </w:rPr>
        <w:t>indicated that he trust</w:t>
      </w:r>
      <w:r w:rsidR="000F03E8" w:rsidRPr="00731DB1">
        <w:rPr>
          <w:rFonts w:eastAsia="MS Mincho"/>
          <w:lang w:eastAsia="en-US"/>
        </w:rPr>
        <w:t xml:space="preserve">ed his lawyer, who </w:t>
      </w:r>
      <w:r w:rsidR="001E2F63" w:rsidRPr="00731DB1">
        <w:rPr>
          <w:rFonts w:eastAsia="MS Mincho"/>
          <w:lang w:eastAsia="en-US"/>
        </w:rPr>
        <w:t xml:space="preserve">had no interest in forging documents. </w:t>
      </w:r>
    </w:p>
    <w:p w14:paraId="1F1C446D" w14:textId="5F73834A" w:rsidR="00D02529" w:rsidRPr="00731DB1" w:rsidRDefault="00AF4AEE" w:rsidP="00AF4AEE">
      <w:pPr>
        <w:pStyle w:val="SingleTxtG"/>
        <w:rPr>
          <w:rFonts w:eastAsia="MS Mincho"/>
          <w:lang w:eastAsia="en-US"/>
        </w:rPr>
      </w:pPr>
      <w:r w:rsidRPr="00731DB1">
        <w:rPr>
          <w:rFonts w:eastAsia="MS Mincho"/>
          <w:lang w:eastAsia="en-US"/>
        </w:rPr>
        <w:t>2.13</w:t>
      </w:r>
      <w:r w:rsidR="00B25A33" w:rsidRPr="00731DB1">
        <w:rPr>
          <w:rFonts w:eastAsia="MS Mincho"/>
          <w:lang w:eastAsia="en-US"/>
        </w:rPr>
        <w:tab/>
        <w:t>Regarding the author’s allegations of having been subject</w:t>
      </w:r>
      <w:r w:rsidR="004E614C" w:rsidRPr="00731DB1">
        <w:rPr>
          <w:rFonts w:eastAsia="MS Mincho"/>
          <w:lang w:eastAsia="en-US"/>
        </w:rPr>
        <w:t>ed</w:t>
      </w:r>
      <w:r w:rsidR="00B25A33" w:rsidRPr="00731DB1">
        <w:rPr>
          <w:rFonts w:eastAsia="MS Mincho"/>
          <w:lang w:eastAsia="en-US"/>
        </w:rPr>
        <w:t xml:space="preserve"> to torture in Nigeria, the PRRA agent indicated that the author failed to provide details in his </w:t>
      </w:r>
      <w:r w:rsidR="00EE68DD" w:rsidRPr="00731DB1">
        <w:rPr>
          <w:rFonts w:eastAsia="MS Mincho"/>
          <w:lang w:eastAsia="en-US"/>
        </w:rPr>
        <w:t>a</w:t>
      </w:r>
      <w:r w:rsidR="00B25A33" w:rsidRPr="00731DB1">
        <w:rPr>
          <w:rFonts w:eastAsia="MS Mincho"/>
          <w:lang w:eastAsia="en-US"/>
        </w:rPr>
        <w:t xml:space="preserve">pplication or submissions prior to the oral hearing. In addition, his statements were inconsistent, for example, he initially said that he had a scar </w:t>
      </w:r>
      <w:r w:rsidR="000A014D" w:rsidRPr="00731DB1">
        <w:rPr>
          <w:rFonts w:eastAsia="MS Mincho"/>
          <w:lang w:eastAsia="en-US"/>
        </w:rPr>
        <w:t xml:space="preserve">on </w:t>
      </w:r>
      <w:r w:rsidR="00B25A33" w:rsidRPr="00731DB1">
        <w:rPr>
          <w:rFonts w:eastAsia="MS Mincho"/>
          <w:lang w:eastAsia="en-US"/>
        </w:rPr>
        <w:t>his head resulting from the torture, but when asked to show it, he changed this statement, saying that it was not really a scar. Moreover, the documents supporting the author’s allegations that he denounced the torture to Canadian authorities</w:t>
      </w:r>
      <w:r w:rsidR="00CD3601">
        <w:rPr>
          <w:rFonts w:eastAsia="MS Mincho"/>
          <w:lang w:eastAsia="en-US"/>
        </w:rPr>
        <w:t>,</w:t>
      </w:r>
      <w:r w:rsidR="00A05A0A" w:rsidRPr="00731DB1">
        <w:rPr>
          <w:rStyle w:val="FootnoteReference"/>
          <w:rFonts w:eastAsia="MS Mincho"/>
          <w:lang w:eastAsia="en-US"/>
        </w:rPr>
        <w:footnoteReference w:id="17"/>
      </w:r>
      <w:r w:rsidR="00B25A33" w:rsidRPr="00731DB1">
        <w:rPr>
          <w:rFonts w:eastAsia="MS Mincho"/>
          <w:lang w:eastAsia="en-US"/>
        </w:rPr>
        <w:t xml:space="preserve"> had not much evidentiary weight, as the alleged injuries were self-reported and were not con</w:t>
      </w:r>
      <w:r w:rsidR="00A42A25" w:rsidRPr="00731DB1">
        <w:rPr>
          <w:rFonts w:eastAsia="MS Mincho"/>
          <w:lang w:eastAsia="en-US"/>
        </w:rPr>
        <w:t xml:space="preserve">firmed by medical professionals; further the author did not seek medical treatment after being released. </w:t>
      </w:r>
      <w:r w:rsidR="00B25A33" w:rsidRPr="00731DB1">
        <w:rPr>
          <w:rFonts w:eastAsia="MS Mincho"/>
          <w:lang w:eastAsia="en-US"/>
        </w:rPr>
        <w:t xml:space="preserve"> </w:t>
      </w:r>
      <w:r w:rsidR="00A42A25" w:rsidRPr="00731DB1">
        <w:rPr>
          <w:rFonts w:eastAsia="MS Mincho"/>
          <w:lang w:eastAsia="en-US"/>
        </w:rPr>
        <w:t xml:space="preserve">The PRRA agent concluded that the author lacked credibility overall and was not able to demonstrate his membership </w:t>
      </w:r>
      <w:r w:rsidR="00836B11">
        <w:rPr>
          <w:rFonts w:eastAsia="MS Mincho"/>
          <w:lang w:eastAsia="en-US"/>
        </w:rPr>
        <w:t>of</w:t>
      </w:r>
      <w:r w:rsidR="00A42A25" w:rsidRPr="00731DB1">
        <w:rPr>
          <w:rFonts w:eastAsia="MS Mincho"/>
          <w:lang w:eastAsia="en-US"/>
        </w:rPr>
        <w:t xml:space="preserve"> MASSOB since his departure from Nigeria in 2005. The</w:t>
      </w:r>
      <w:r w:rsidR="00EE68DD" w:rsidRPr="00731DB1">
        <w:rPr>
          <w:rFonts w:eastAsia="MS Mincho"/>
          <w:lang w:eastAsia="en-US"/>
        </w:rPr>
        <w:t>refore,</w:t>
      </w:r>
      <w:r w:rsidR="00A42A25" w:rsidRPr="00731DB1">
        <w:rPr>
          <w:rFonts w:eastAsia="MS Mincho"/>
          <w:lang w:eastAsia="en-US"/>
        </w:rPr>
        <w:t xml:space="preserve"> there was no evidence that the author was wanted in Nigeria</w:t>
      </w:r>
      <w:r w:rsidR="002F2105" w:rsidRPr="00731DB1">
        <w:rPr>
          <w:rFonts w:eastAsia="MS Mincho"/>
          <w:lang w:eastAsia="en-US"/>
        </w:rPr>
        <w:t xml:space="preserve">, </w:t>
      </w:r>
      <w:r w:rsidR="00A42A25" w:rsidRPr="00731DB1">
        <w:rPr>
          <w:rFonts w:eastAsia="MS Mincho"/>
          <w:lang w:eastAsia="en-US"/>
        </w:rPr>
        <w:t>that he was seen as a threat by Nigerian authorities or that he would face a risk if returned there.</w:t>
      </w:r>
      <w:r w:rsidRPr="00731DB1">
        <w:rPr>
          <w:rFonts w:eastAsia="MS Mincho"/>
          <w:lang w:eastAsia="en-US"/>
        </w:rPr>
        <w:t xml:space="preserve"> On 28 May 2018, the author requested </w:t>
      </w:r>
      <w:r w:rsidR="0055180D" w:rsidRPr="00731DB1">
        <w:rPr>
          <w:rFonts w:eastAsia="MS Mincho"/>
          <w:lang w:eastAsia="en-US"/>
        </w:rPr>
        <w:t xml:space="preserve">from </w:t>
      </w:r>
      <w:r w:rsidR="00D12E4D" w:rsidRPr="00731DB1">
        <w:rPr>
          <w:rFonts w:eastAsia="MS Mincho"/>
          <w:lang w:eastAsia="en-US"/>
        </w:rPr>
        <w:t xml:space="preserve">the Federal Court </w:t>
      </w:r>
      <w:r w:rsidRPr="00731DB1">
        <w:rPr>
          <w:rFonts w:eastAsia="MS Mincho"/>
          <w:lang w:eastAsia="en-US"/>
        </w:rPr>
        <w:t xml:space="preserve">leave </w:t>
      </w:r>
      <w:r w:rsidR="0055180D" w:rsidRPr="00731DB1">
        <w:rPr>
          <w:rFonts w:eastAsia="MS Mincho"/>
          <w:lang w:eastAsia="en-US"/>
        </w:rPr>
        <w:t xml:space="preserve">to </w:t>
      </w:r>
      <w:r w:rsidRPr="00731DB1">
        <w:rPr>
          <w:rFonts w:eastAsia="MS Mincho"/>
          <w:lang w:eastAsia="en-US"/>
        </w:rPr>
        <w:t xml:space="preserve">appeal </w:t>
      </w:r>
      <w:r w:rsidR="0055180D" w:rsidRPr="00731DB1">
        <w:rPr>
          <w:rFonts w:eastAsia="MS Mincho"/>
          <w:lang w:eastAsia="en-US"/>
        </w:rPr>
        <w:t>the</w:t>
      </w:r>
      <w:r w:rsidR="005D34AA" w:rsidRPr="00731DB1">
        <w:rPr>
          <w:rFonts w:eastAsia="MS Mincho"/>
          <w:lang w:eastAsia="en-US"/>
        </w:rPr>
        <w:t xml:space="preserve"> </w:t>
      </w:r>
      <w:r w:rsidR="0055180D" w:rsidRPr="00731DB1">
        <w:rPr>
          <w:rFonts w:eastAsia="MS Mincho"/>
          <w:lang w:eastAsia="en-US"/>
        </w:rPr>
        <w:t xml:space="preserve">agent’s </w:t>
      </w:r>
      <w:r w:rsidRPr="00731DB1">
        <w:rPr>
          <w:rFonts w:eastAsia="MS Mincho"/>
          <w:lang w:eastAsia="en-US"/>
        </w:rPr>
        <w:t>decision</w:t>
      </w:r>
      <w:r w:rsidR="00D12E4D" w:rsidRPr="00731DB1">
        <w:rPr>
          <w:rFonts w:eastAsia="MS Mincho"/>
          <w:lang w:eastAsia="en-US"/>
        </w:rPr>
        <w:t xml:space="preserve">. His request was rejected </w:t>
      </w:r>
      <w:r w:rsidRPr="00731DB1">
        <w:rPr>
          <w:rFonts w:eastAsia="MS Mincho"/>
          <w:lang w:eastAsia="en-US"/>
        </w:rPr>
        <w:t xml:space="preserve">on 30 August 2018. </w:t>
      </w:r>
    </w:p>
    <w:p w14:paraId="7EAB92EE" w14:textId="7867A46B" w:rsidR="00A42A25" w:rsidRPr="00731DB1" w:rsidRDefault="00AF4AEE" w:rsidP="008E2E37">
      <w:pPr>
        <w:pStyle w:val="SingleTxtG"/>
        <w:rPr>
          <w:rFonts w:eastAsia="MS Mincho"/>
          <w:lang w:eastAsia="en-US"/>
        </w:rPr>
      </w:pPr>
      <w:r w:rsidRPr="00731DB1">
        <w:rPr>
          <w:rFonts w:eastAsia="MS Mincho"/>
          <w:lang w:eastAsia="en-US"/>
        </w:rPr>
        <w:t>2.14</w:t>
      </w:r>
      <w:r w:rsidR="00CD0E52" w:rsidRPr="00731DB1">
        <w:rPr>
          <w:rFonts w:eastAsia="MS Mincho"/>
          <w:lang w:eastAsia="en-US"/>
        </w:rPr>
        <w:tab/>
        <w:t>On 27 December 2018, the author submitted a second H&amp;C</w:t>
      </w:r>
      <w:r w:rsidR="00D12E4D" w:rsidRPr="00731DB1">
        <w:rPr>
          <w:rFonts w:eastAsia="MS Mincho"/>
          <w:lang w:eastAsia="en-US"/>
        </w:rPr>
        <w:t>.</w:t>
      </w:r>
      <w:r w:rsidR="00CD0E52" w:rsidRPr="00731DB1">
        <w:rPr>
          <w:rFonts w:eastAsia="MS Mincho"/>
          <w:lang w:eastAsia="en-US"/>
        </w:rPr>
        <w:t xml:space="preserve"> </w:t>
      </w:r>
      <w:r w:rsidR="00D12E4D" w:rsidRPr="00731DB1">
        <w:rPr>
          <w:rFonts w:eastAsia="MS Mincho"/>
          <w:lang w:eastAsia="en-US"/>
        </w:rPr>
        <w:t xml:space="preserve">He alleged that he would face a very difficult situation in Nigeria </w:t>
      </w:r>
      <w:r w:rsidR="00104362" w:rsidRPr="00731DB1">
        <w:rPr>
          <w:rFonts w:eastAsia="MS Mincho"/>
          <w:lang w:eastAsia="en-US"/>
        </w:rPr>
        <w:t xml:space="preserve">due to </w:t>
      </w:r>
      <w:r w:rsidR="00D12E4D" w:rsidRPr="00731DB1">
        <w:rPr>
          <w:rFonts w:eastAsia="MS Mincho"/>
          <w:lang w:eastAsia="en-US"/>
        </w:rPr>
        <w:t xml:space="preserve">his condition of </w:t>
      </w:r>
      <w:r w:rsidR="00104362" w:rsidRPr="00731DB1">
        <w:rPr>
          <w:rFonts w:eastAsia="MS Mincho"/>
          <w:lang w:eastAsia="en-US"/>
        </w:rPr>
        <w:t xml:space="preserve">being </w:t>
      </w:r>
      <w:r w:rsidR="00D12E4D" w:rsidRPr="00731DB1">
        <w:rPr>
          <w:rFonts w:eastAsia="MS Mincho"/>
          <w:lang w:eastAsia="en-US"/>
        </w:rPr>
        <w:t>HIV positive</w:t>
      </w:r>
      <w:r w:rsidR="003A04B4" w:rsidRPr="00731DB1">
        <w:rPr>
          <w:rFonts w:eastAsia="MS Mincho"/>
          <w:lang w:eastAsia="en-US"/>
        </w:rPr>
        <w:t xml:space="preserve">. In particular, he alleged that </w:t>
      </w:r>
      <w:r w:rsidR="00D12E4D" w:rsidRPr="00731DB1">
        <w:rPr>
          <w:rFonts w:eastAsia="MS Mincho"/>
          <w:lang w:eastAsia="en-US"/>
        </w:rPr>
        <w:t xml:space="preserve">medical treatment for the disease was inadequate there, medicines, when available, were very expensive, and the government would refuse to provide him with such medicines, given his history as a MASSOB member. </w:t>
      </w:r>
      <w:r w:rsidR="004E614C" w:rsidRPr="00731DB1">
        <w:rPr>
          <w:rFonts w:eastAsia="MS Mincho"/>
          <w:lang w:eastAsia="en-US"/>
        </w:rPr>
        <w:t xml:space="preserve">Furthermore, </w:t>
      </w:r>
      <w:r w:rsidR="00CD1A9F" w:rsidRPr="00731DB1">
        <w:rPr>
          <w:rFonts w:eastAsia="MS Mincho"/>
          <w:lang w:eastAsia="en-US"/>
        </w:rPr>
        <w:t xml:space="preserve">HIV positive persons were discriminated </w:t>
      </w:r>
      <w:r w:rsidR="003A04B4" w:rsidRPr="00731DB1">
        <w:rPr>
          <w:rFonts w:eastAsia="MS Mincho"/>
          <w:lang w:eastAsia="en-US"/>
        </w:rPr>
        <w:t xml:space="preserve">against </w:t>
      </w:r>
      <w:r w:rsidR="00CD1A9F" w:rsidRPr="00731DB1">
        <w:rPr>
          <w:rFonts w:eastAsia="MS Mincho"/>
          <w:lang w:eastAsia="en-US"/>
        </w:rPr>
        <w:t xml:space="preserve">in Nigeria. </w:t>
      </w:r>
      <w:r w:rsidR="00D12E4D" w:rsidRPr="00731DB1">
        <w:rPr>
          <w:rFonts w:eastAsia="MS Mincho"/>
          <w:lang w:eastAsia="en-US"/>
        </w:rPr>
        <w:t>The author also referred to his difficult personal situation, as he was not allowed to see his son, who live</w:t>
      </w:r>
      <w:r w:rsidR="00EE68DD" w:rsidRPr="00731DB1">
        <w:rPr>
          <w:rFonts w:eastAsia="MS Mincho"/>
          <w:lang w:eastAsia="en-US"/>
        </w:rPr>
        <w:t>d</w:t>
      </w:r>
      <w:r w:rsidR="00D12E4D" w:rsidRPr="00731DB1">
        <w:rPr>
          <w:rFonts w:eastAsia="MS Mincho"/>
          <w:lang w:eastAsia="en-US"/>
        </w:rPr>
        <w:t xml:space="preserve"> in Ireland with his ex-partner. He also referred to the killing of his brother while in custody in Nigeria. On 20 July 2020, the author’s H&amp;C </w:t>
      </w:r>
      <w:proofErr w:type="spellStart"/>
      <w:r w:rsidR="00391F0A">
        <w:rPr>
          <w:rFonts w:eastAsia="MS Mincho"/>
          <w:lang w:eastAsia="en-US"/>
        </w:rPr>
        <w:t>application</w:t>
      </w:r>
      <w:r w:rsidR="00D12E4D" w:rsidRPr="00731DB1">
        <w:rPr>
          <w:rFonts w:eastAsia="MS Mincho"/>
          <w:lang w:eastAsia="en-US"/>
        </w:rPr>
        <w:t>t</w:t>
      </w:r>
      <w:proofErr w:type="spellEnd"/>
      <w:r w:rsidR="00D12E4D" w:rsidRPr="00731DB1">
        <w:rPr>
          <w:rFonts w:eastAsia="MS Mincho"/>
          <w:lang w:eastAsia="en-US"/>
        </w:rPr>
        <w:t xml:space="preserve"> was rejected.  The agent considered that the author did not demonstrate that, if returned to Nigeria, he would face a situation which would </w:t>
      </w:r>
      <w:r w:rsidR="008E2E37" w:rsidRPr="00731DB1">
        <w:rPr>
          <w:rFonts w:eastAsia="MS Mincho"/>
          <w:lang w:eastAsia="en-US"/>
        </w:rPr>
        <w:t xml:space="preserve">justify granting him </w:t>
      </w:r>
      <w:r w:rsidR="008E2E37" w:rsidRPr="00731DB1">
        <w:t>permanent residence on</w:t>
      </w:r>
      <w:r w:rsidR="008E2E37" w:rsidRPr="00731DB1">
        <w:rPr>
          <w:rFonts w:eastAsia="MS Mincho"/>
          <w:lang w:eastAsia="en-US"/>
        </w:rPr>
        <w:t xml:space="preserve"> </w:t>
      </w:r>
      <w:r w:rsidR="00D12E4D" w:rsidRPr="00731DB1">
        <w:rPr>
          <w:rFonts w:eastAsia="MS Mincho"/>
          <w:lang w:eastAsia="en-US"/>
        </w:rPr>
        <w:t xml:space="preserve">humanitarian and compassionate grounds. The agent </w:t>
      </w:r>
      <w:r w:rsidR="00D12E4D" w:rsidRPr="00731DB1">
        <w:rPr>
          <w:rFonts w:eastAsia="MS Mincho"/>
          <w:lang w:eastAsia="en-US"/>
        </w:rPr>
        <w:lastRenderedPageBreak/>
        <w:t xml:space="preserve">acknowledged that there was corruption, </w:t>
      </w:r>
      <w:proofErr w:type="gramStart"/>
      <w:r w:rsidR="00D12E4D" w:rsidRPr="00731DB1">
        <w:rPr>
          <w:rFonts w:eastAsia="MS Mincho"/>
          <w:lang w:eastAsia="en-US"/>
        </w:rPr>
        <w:t>poverty</w:t>
      </w:r>
      <w:proofErr w:type="gramEnd"/>
      <w:r w:rsidR="00D12E4D" w:rsidRPr="00731DB1">
        <w:rPr>
          <w:rFonts w:eastAsia="MS Mincho"/>
          <w:lang w:eastAsia="en-US"/>
        </w:rPr>
        <w:t xml:space="preserve"> and crime in Nigeria, but </w:t>
      </w:r>
      <w:r w:rsidR="002D0546" w:rsidRPr="00731DB1">
        <w:rPr>
          <w:rFonts w:eastAsia="MS Mincho"/>
          <w:lang w:eastAsia="en-US"/>
        </w:rPr>
        <w:t xml:space="preserve">indicated </w:t>
      </w:r>
      <w:r w:rsidR="00D12E4D" w:rsidRPr="00731DB1">
        <w:rPr>
          <w:rFonts w:eastAsia="MS Mincho"/>
          <w:lang w:eastAsia="en-US"/>
        </w:rPr>
        <w:t xml:space="preserve">that the author had not demonstrated how he could be impacted personally by such factors. Concerning the author’s allegations related to his HIV </w:t>
      </w:r>
      <w:r w:rsidR="008E2E37" w:rsidRPr="00731DB1">
        <w:rPr>
          <w:rFonts w:eastAsia="MS Mincho"/>
          <w:lang w:eastAsia="en-US"/>
        </w:rPr>
        <w:t>status</w:t>
      </w:r>
      <w:r w:rsidR="00D12E4D" w:rsidRPr="00731DB1">
        <w:rPr>
          <w:rFonts w:eastAsia="MS Mincho"/>
          <w:lang w:eastAsia="en-US"/>
        </w:rPr>
        <w:t xml:space="preserve">, the agent indicated that the author failed to prove that he would face personal difficulties that are not experienced by the general population or by someone in a situation similar to his, in particular taking into account that the Nigerian government has taken measures to address discrimination </w:t>
      </w:r>
      <w:r w:rsidR="002D0546" w:rsidRPr="00731DB1">
        <w:rPr>
          <w:rFonts w:eastAsia="MS Mincho"/>
          <w:lang w:eastAsia="en-US"/>
        </w:rPr>
        <w:t xml:space="preserve">of </w:t>
      </w:r>
      <w:r w:rsidR="00D12E4D" w:rsidRPr="00731DB1">
        <w:rPr>
          <w:rFonts w:eastAsia="MS Mincho"/>
          <w:lang w:eastAsia="en-US"/>
        </w:rPr>
        <w:t>persons living with HIV/AIDS</w:t>
      </w:r>
      <w:r w:rsidR="008E2E37" w:rsidRPr="00731DB1">
        <w:rPr>
          <w:rFonts w:eastAsia="MS Mincho"/>
          <w:lang w:eastAsia="en-US"/>
        </w:rPr>
        <w:t xml:space="preserve">, such as the </w:t>
      </w:r>
      <w:r w:rsidR="00D12E4D" w:rsidRPr="00731DB1">
        <w:rPr>
          <w:rFonts w:eastAsia="MS Mincho"/>
          <w:lang w:eastAsia="en-US"/>
        </w:rPr>
        <w:t xml:space="preserve">Anti-Discrimination Act of 2014. Moreover, the agent noted that there are agencies in Nigeria that provide support and anti-retroviral </w:t>
      </w:r>
      <w:r w:rsidR="00637D3D" w:rsidRPr="00731DB1">
        <w:rPr>
          <w:rFonts w:eastAsia="MS Mincho"/>
          <w:lang w:eastAsia="en-US"/>
        </w:rPr>
        <w:t>t</w:t>
      </w:r>
      <w:r w:rsidR="00D12E4D" w:rsidRPr="00731DB1">
        <w:rPr>
          <w:rFonts w:eastAsia="MS Mincho"/>
          <w:lang w:eastAsia="en-US"/>
        </w:rPr>
        <w:t xml:space="preserve">herapy at no cost. Regarding the author’s allegations regarding his mental health, the agent noted that the author </w:t>
      </w:r>
      <w:r w:rsidR="00637D3D" w:rsidRPr="00731DB1">
        <w:rPr>
          <w:rFonts w:eastAsia="MS Mincho"/>
          <w:lang w:eastAsia="en-US"/>
        </w:rPr>
        <w:t xml:space="preserve">had </w:t>
      </w:r>
      <w:r w:rsidR="00D12E4D" w:rsidRPr="00731DB1">
        <w:rPr>
          <w:rFonts w:eastAsia="MS Mincho"/>
          <w:lang w:eastAsia="en-US"/>
        </w:rPr>
        <w:t xml:space="preserve">provided a medical certificate of 2008 which had not been updated, according to which he would need medication and psychotherapy. The agent considered that, as mental health treatment was available in Nigeria, this allegation would not be </w:t>
      </w:r>
      <w:proofErr w:type="gramStart"/>
      <w:r w:rsidR="00D12E4D" w:rsidRPr="00731DB1">
        <w:rPr>
          <w:rFonts w:eastAsia="MS Mincho"/>
          <w:lang w:eastAsia="en-US"/>
        </w:rPr>
        <w:t>taken into account</w:t>
      </w:r>
      <w:proofErr w:type="gramEnd"/>
      <w:r w:rsidR="00D12E4D" w:rsidRPr="00731DB1">
        <w:rPr>
          <w:rFonts w:eastAsia="MS Mincho"/>
          <w:lang w:eastAsia="en-US"/>
        </w:rPr>
        <w:t xml:space="preserve">. </w:t>
      </w:r>
      <w:r w:rsidR="00F83552" w:rsidRPr="00731DB1">
        <w:rPr>
          <w:rFonts w:eastAsia="MS Mincho"/>
          <w:lang w:eastAsia="en-US"/>
        </w:rPr>
        <w:t>T</w:t>
      </w:r>
      <w:r w:rsidR="00637D3D" w:rsidRPr="00731DB1">
        <w:rPr>
          <w:rFonts w:eastAsia="MS Mincho"/>
          <w:lang w:eastAsia="en-US"/>
        </w:rPr>
        <w:t xml:space="preserve">he author’s allegations related </w:t>
      </w:r>
      <w:r w:rsidR="00F83552" w:rsidRPr="00731DB1">
        <w:rPr>
          <w:rFonts w:eastAsia="MS Mincho"/>
          <w:lang w:eastAsia="en-US"/>
        </w:rPr>
        <w:t xml:space="preserve">to </w:t>
      </w:r>
      <w:r w:rsidR="00637D3D" w:rsidRPr="00731DB1">
        <w:rPr>
          <w:rFonts w:eastAsia="MS Mincho"/>
          <w:lang w:eastAsia="en-US"/>
        </w:rPr>
        <w:t>his son</w:t>
      </w:r>
      <w:r w:rsidR="00F83552" w:rsidRPr="00731DB1">
        <w:rPr>
          <w:rFonts w:eastAsia="MS Mincho"/>
          <w:lang w:eastAsia="en-US"/>
        </w:rPr>
        <w:t xml:space="preserve"> were </w:t>
      </w:r>
      <w:r w:rsidR="00637D3D" w:rsidRPr="00731DB1">
        <w:rPr>
          <w:rFonts w:eastAsia="MS Mincho"/>
          <w:lang w:eastAsia="en-US"/>
        </w:rPr>
        <w:t xml:space="preserve">found vague. </w:t>
      </w:r>
      <w:r w:rsidR="00112FD1" w:rsidRPr="00731DB1">
        <w:rPr>
          <w:rFonts w:eastAsia="MS Mincho"/>
          <w:lang w:eastAsia="en-US"/>
        </w:rPr>
        <w:t>On 3 August 2020, the author requested the Federal Court leave for appeal for judicial review of the decision</w:t>
      </w:r>
      <w:r w:rsidR="00391F0A">
        <w:rPr>
          <w:rFonts w:eastAsia="MS Mincho"/>
          <w:lang w:eastAsia="en-US"/>
        </w:rPr>
        <w:t xml:space="preserve"> on the H&amp;C application</w:t>
      </w:r>
      <w:r w:rsidR="00112FD1" w:rsidRPr="00731DB1">
        <w:rPr>
          <w:rFonts w:eastAsia="MS Mincho"/>
          <w:lang w:eastAsia="en-US"/>
        </w:rPr>
        <w:t xml:space="preserve">. His request was rejected on </w:t>
      </w:r>
      <w:r w:rsidR="003E1A4D" w:rsidRPr="00731DB1">
        <w:rPr>
          <w:rFonts w:eastAsia="MS Mincho"/>
          <w:lang w:eastAsia="en-US"/>
        </w:rPr>
        <w:t>22 January 2021.</w:t>
      </w:r>
      <w:r w:rsidR="00A00522" w:rsidRPr="00731DB1">
        <w:rPr>
          <w:rFonts w:eastAsia="Times New Roman"/>
          <w:lang w:eastAsia="en-US"/>
        </w:rPr>
        <w:t xml:space="preserve"> </w:t>
      </w:r>
    </w:p>
    <w:p w14:paraId="52C35587" w14:textId="3B1B8971" w:rsidR="00E15746" w:rsidRPr="00731DB1" w:rsidRDefault="003E1A4D" w:rsidP="00EA51E3">
      <w:pPr>
        <w:pStyle w:val="SingleTxtG"/>
        <w:rPr>
          <w:rFonts w:eastAsia="MS Mincho"/>
        </w:rPr>
      </w:pPr>
      <w:r w:rsidRPr="00731DB1">
        <w:rPr>
          <w:rFonts w:eastAsia="MS Mincho"/>
          <w:lang w:eastAsia="en-US"/>
        </w:rPr>
        <w:t>2.15</w:t>
      </w:r>
      <w:r w:rsidRPr="00731DB1">
        <w:rPr>
          <w:rFonts w:eastAsia="MS Mincho"/>
          <w:lang w:eastAsia="en-US"/>
        </w:rPr>
        <w:tab/>
        <w:t>On 15 November 2021, the author applied for a third PRRA</w:t>
      </w:r>
      <w:r w:rsidR="00656FC0" w:rsidRPr="00731DB1">
        <w:rPr>
          <w:rFonts w:eastAsia="MS Mincho"/>
          <w:lang w:eastAsia="en-US"/>
        </w:rPr>
        <w:t>, claiming that as MASSOB member, he would face a risk if deported to Nigeria</w:t>
      </w:r>
      <w:r w:rsidR="00E15746" w:rsidRPr="00731DB1">
        <w:rPr>
          <w:rFonts w:eastAsia="MS Mincho"/>
          <w:lang w:eastAsia="en-US"/>
        </w:rPr>
        <w:t>. It was rejected on 7 March 2022</w:t>
      </w:r>
      <w:r w:rsidR="00EA51E3" w:rsidRPr="00731DB1">
        <w:rPr>
          <w:rFonts w:eastAsia="MS Mincho"/>
          <w:lang w:eastAsia="en-US"/>
        </w:rPr>
        <w:t>. T</w:t>
      </w:r>
      <w:r w:rsidR="00656FC0" w:rsidRPr="00731DB1">
        <w:rPr>
          <w:rFonts w:eastAsia="MS Mincho"/>
        </w:rPr>
        <w:t>he PRRA officer analysed several pieces of evidence submitted by the author, including a letter dated 21 June 2018, signed by the Movement of Biafrans in Nigeria (MOBIN) which indicated that the author</w:t>
      </w:r>
      <w:r w:rsidR="00931788" w:rsidRPr="00731DB1">
        <w:rPr>
          <w:rFonts w:eastAsia="MS Mincho"/>
        </w:rPr>
        <w:t xml:space="preserve"> was</w:t>
      </w:r>
      <w:r w:rsidR="00656FC0" w:rsidRPr="00731DB1">
        <w:rPr>
          <w:rFonts w:eastAsia="MS Mincho"/>
        </w:rPr>
        <w:t xml:space="preserve"> a known Biafran activist and MASSOB member since 1999. The PRRA agent gave little weigh to</w:t>
      </w:r>
      <w:r w:rsidR="00105218" w:rsidRPr="00731DB1">
        <w:rPr>
          <w:rFonts w:eastAsia="MS Mincho"/>
        </w:rPr>
        <w:t xml:space="preserve"> </w:t>
      </w:r>
      <w:r w:rsidR="00971C6D" w:rsidRPr="00731DB1">
        <w:rPr>
          <w:rFonts w:eastAsia="MS Mincho"/>
        </w:rPr>
        <w:t>the letter</w:t>
      </w:r>
      <w:r w:rsidR="00656FC0" w:rsidRPr="00731DB1">
        <w:rPr>
          <w:rFonts w:eastAsia="MS Mincho"/>
        </w:rPr>
        <w:t>, as MASSOB and MOBIN are separate organizations and he found not credible that MOBIN would provide a letter to a member from another organization</w:t>
      </w:r>
      <w:r w:rsidR="00EA51E3" w:rsidRPr="00731DB1">
        <w:rPr>
          <w:rFonts w:eastAsia="MS Mincho"/>
        </w:rPr>
        <w:t>.</w:t>
      </w:r>
      <w:r w:rsidR="00656FC0" w:rsidRPr="00731DB1">
        <w:rPr>
          <w:rFonts w:eastAsia="MS Mincho"/>
        </w:rPr>
        <w:t xml:space="preserve"> The </w:t>
      </w:r>
      <w:r w:rsidR="00D91E2D" w:rsidRPr="00731DB1">
        <w:rPr>
          <w:rFonts w:eastAsia="MS Mincho"/>
        </w:rPr>
        <w:t>agent</w:t>
      </w:r>
      <w:r w:rsidR="00656FC0" w:rsidRPr="00731DB1">
        <w:rPr>
          <w:rFonts w:eastAsia="MS Mincho"/>
        </w:rPr>
        <w:t xml:space="preserve"> also analysed a warrant dated 26 July 2019, in which it was stated that the author had been charged with “jailbreak and treason felony”. The </w:t>
      </w:r>
      <w:r w:rsidR="00D91E2D" w:rsidRPr="00731DB1">
        <w:rPr>
          <w:rFonts w:eastAsia="MS Mincho"/>
        </w:rPr>
        <w:t>a</w:t>
      </w:r>
      <w:r w:rsidR="00656FC0" w:rsidRPr="00731DB1">
        <w:rPr>
          <w:rFonts w:eastAsia="MS Mincho"/>
        </w:rPr>
        <w:t>gent gave little evidentiary weight to</w:t>
      </w:r>
      <w:r w:rsidR="007E0F66" w:rsidRPr="00731DB1">
        <w:rPr>
          <w:rFonts w:eastAsia="MS Mincho"/>
        </w:rPr>
        <w:t xml:space="preserve"> </w:t>
      </w:r>
      <w:r w:rsidR="000A7BB4" w:rsidRPr="00731DB1">
        <w:rPr>
          <w:rFonts w:eastAsia="MS Mincho"/>
        </w:rPr>
        <w:t>the warrant</w:t>
      </w:r>
      <w:r w:rsidR="00656FC0" w:rsidRPr="00731DB1">
        <w:rPr>
          <w:rFonts w:eastAsia="MS Mincho"/>
        </w:rPr>
        <w:t xml:space="preserve">, as </w:t>
      </w:r>
      <w:r w:rsidR="00EA51E3" w:rsidRPr="00731DB1">
        <w:rPr>
          <w:rFonts w:eastAsia="MS Mincho"/>
        </w:rPr>
        <w:t xml:space="preserve">the author did not provide any evidence or explanations regarding how </w:t>
      </w:r>
      <w:r w:rsidR="00931788" w:rsidRPr="00731DB1">
        <w:rPr>
          <w:rFonts w:eastAsia="MS Mincho"/>
        </w:rPr>
        <w:t xml:space="preserve">it </w:t>
      </w:r>
      <w:r w:rsidR="00EA51E3" w:rsidRPr="00731DB1">
        <w:rPr>
          <w:rFonts w:eastAsia="MS Mincho"/>
        </w:rPr>
        <w:t xml:space="preserve">came to his possession, </w:t>
      </w:r>
      <w:r w:rsidR="00272D6A" w:rsidRPr="00731DB1">
        <w:rPr>
          <w:rFonts w:eastAsia="MS Mincho"/>
        </w:rPr>
        <w:t xml:space="preserve">only </w:t>
      </w:r>
      <w:r w:rsidR="00EA51E3" w:rsidRPr="00731DB1">
        <w:rPr>
          <w:rFonts w:eastAsia="MS Mincho"/>
        </w:rPr>
        <w:t>indicat</w:t>
      </w:r>
      <w:r w:rsidR="00272D6A" w:rsidRPr="00731DB1">
        <w:rPr>
          <w:rFonts w:eastAsia="MS Mincho"/>
        </w:rPr>
        <w:t>ing</w:t>
      </w:r>
      <w:r w:rsidR="00EA51E3" w:rsidRPr="00731DB1">
        <w:rPr>
          <w:rFonts w:eastAsia="MS Mincho"/>
        </w:rPr>
        <w:t xml:space="preserve"> that his lawyer in Nigeria had sent it to him. Moreover, the warrant seemed to be a photocopy signed and stamped by the same judge who had signed the arrest warrant dated 17 June 2016 which was found </w:t>
      </w:r>
      <w:r w:rsidR="00D91E2D" w:rsidRPr="00731DB1">
        <w:rPr>
          <w:rFonts w:eastAsia="MS Mincho"/>
        </w:rPr>
        <w:t xml:space="preserve">false </w:t>
      </w:r>
      <w:r w:rsidR="00EA51E3" w:rsidRPr="00731DB1">
        <w:rPr>
          <w:rFonts w:eastAsia="MS Mincho"/>
        </w:rPr>
        <w:t xml:space="preserve">during the second PRRA proceeding. The PRRA agent also examined a letter addressed to the author, dated 21 October 2021, in which </w:t>
      </w:r>
      <w:r w:rsidR="00CD71D3" w:rsidRPr="00731DB1">
        <w:rPr>
          <w:rFonts w:eastAsia="MS Mincho"/>
        </w:rPr>
        <w:t xml:space="preserve">he </w:t>
      </w:r>
      <w:r w:rsidR="00F900A8" w:rsidRPr="00731DB1">
        <w:rPr>
          <w:rFonts w:eastAsia="MS Mincho"/>
        </w:rPr>
        <w:t>wa</w:t>
      </w:r>
      <w:r w:rsidR="00EA51E3" w:rsidRPr="00731DB1">
        <w:rPr>
          <w:rFonts w:eastAsia="MS Mincho"/>
        </w:rPr>
        <w:t>s invited to present himself to the police in Orlu on 17 January 2022; and an affidavit by a government official, H.U., appointed by the Imo State government</w:t>
      </w:r>
      <w:r w:rsidR="00F900A8" w:rsidRPr="00731DB1">
        <w:rPr>
          <w:rFonts w:eastAsia="MS Mincho"/>
        </w:rPr>
        <w:t xml:space="preserve"> to</w:t>
      </w:r>
      <w:r w:rsidR="00EA51E3" w:rsidRPr="00731DB1">
        <w:rPr>
          <w:rFonts w:eastAsia="MS Mincho"/>
        </w:rPr>
        <w:t xml:space="preserve"> find</w:t>
      </w:r>
      <w:r w:rsidR="00F900A8" w:rsidRPr="00731DB1">
        <w:rPr>
          <w:rFonts w:eastAsia="MS Mincho"/>
        </w:rPr>
        <w:t xml:space="preserve"> </w:t>
      </w:r>
      <w:r w:rsidR="00EA51E3" w:rsidRPr="00731DB1">
        <w:rPr>
          <w:rFonts w:eastAsia="MS Mincho"/>
        </w:rPr>
        <w:t>prisoners who had escaped fr</w:t>
      </w:r>
      <w:r w:rsidR="00CD71D3" w:rsidRPr="00731DB1">
        <w:rPr>
          <w:rFonts w:eastAsia="MS Mincho"/>
        </w:rPr>
        <w:t>o</w:t>
      </w:r>
      <w:r w:rsidR="00EA51E3" w:rsidRPr="00731DB1">
        <w:rPr>
          <w:rFonts w:eastAsia="MS Mincho"/>
        </w:rPr>
        <w:t xml:space="preserve">m the Owerri prison. The affidavit indicated that the author’s name appeared in the record of prisoners who had escaped, and that if </w:t>
      </w:r>
      <w:r w:rsidR="00F900A8" w:rsidRPr="00731DB1">
        <w:rPr>
          <w:rFonts w:eastAsia="MS Mincho"/>
        </w:rPr>
        <w:t>he</w:t>
      </w:r>
      <w:r w:rsidR="00EA51E3" w:rsidRPr="00731DB1">
        <w:rPr>
          <w:rFonts w:eastAsia="MS Mincho"/>
        </w:rPr>
        <w:t xml:space="preserve"> did not surrender, H.U had the authority to apprehend him. The PRRA agent indicated that the signature in this document </w:t>
      </w:r>
      <w:r w:rsidR="004C796F" w:rsidRPr="00731DB1">
        <w:rPr>
          <w:rFonts w:eastAsia="MS Mincho"/>
        </w:rPr>
        <w:t xml:space="preserve">was </w:t>
      </w:r>
      <w:r w:rsidR="00EA51E3" w:rsidRPr="00731DB1">
        <w:rPr>
          <w:rFonts w:eastAsia="MS Mincho"/>
        </w:rPr>
        <w:t>illegible and that the address under it was in Lagos. Moreover, the affidavit was not accompanied by the government official’s credentials. After analysing other documents submitted by the author</w:t>
      </w:r>
      <w:r w:rsidR="008419E4">
        <w:rPr>
          <w:rFonts w:eastAsia="MS Mincho"/>
        </w:rPr>
        <w:t>,</w:t>
      </w:r>
      <w:r w:rsidR="00EA51E3" w:rsidRPr="00731DB1">
        <w:rPr>
          <w:rStyle w:val="FootnoteReference"/>
          <w:rFonts w:eastAsia="MS Mincho"/>
        </w:rPr>
        <w:footnoteReference w:id="18"/>
      </w:r>
      <w:r w:rsidR="00EA51E3" w:rsidRPr="00731DB1">
        <w:rPr>
          <w:rFonts w:eastAsia="MS Mincho"/>
        </w:rPr>
        <w:t xml:space="preserve"> the PRRA officer concluded that he did not present new evidence that would refute the previous findings in relation to his credibility, as established in the second PRRA’s decision. In addition, the PRRA officer </w:t>
      </w:r>
      <w:proofErr w:type="gramStart"/>
      <w:r w:rsidR="00EA51E3" w:rsidRPr="00731DB1">
        <w:rPr>
          <w:rFonts w:eastAsia="MS Mincho"/>
        </w:rPr>
        <w:t>took into account</w:t>
      </w:r>
      <w:proofErr w:type="gramEnd"/>
      <w:r w:rsidR="00EA51E3" w:rsidRPr="00731DB1">
        <w:rPr>
          <w:rFonts w:eastAsia="MS Mincho"/>
        </w:rPr>
        <w:t xml:space="preserve"> the author’s history o</w:t>
      </w:r>
      <w:r w:rsidR="00CD71D3" w:rsidRPr="00731DB1">
        <w:rPr>
          <w:rFonts w:eastAsia="MS Mincho"/>
        </w:rPr>
        <w:t>f</w:t>
      </w:r>
      <w:r w:rsidR="00EA51E3" w:rsidRPr="00731DB1">
        <w:rPr>
          <w:rFonts w:eastAsia="MS Mincho"/>
        </w:rPr>
        <w:t xml:space="preserve"> submitting fake documents and </w:t>
      </w:r>
      <w:r w:rsidR="00001A4B" w:rsidRPr="00731DB1">
        <w:rPr>
          <w:rFonts w:eastAsia="MS Mincho"/>
        </w:rPr>
        <w:t>lying</w:t>
      </w:r>
      <w:r w:rsidR="00EA51E3" w:rsidRPr="00731DB1">
        <w:rPr>
          <w:rFonts w:eastAsia="MS Mincho"/>
        </w:rPr>
        <w:t xml:space="preserve">, and the fact that he had appeared as not credible during his oral hearing. </w:t>
      </w:r>
      <w:r w:rsidR="00656FC0" w:rsidRPr="00731DB1">
        <w:rPr>
          <w:rFonts w:eastAsia="MS Mincho"/>
          <w:lang w:eastAsia="en-US"/>
        </w:rPr>
        <w:t xml:space="preserve">The PRRA agent further considered that </w:t>
      </w:r>
      <w:r w:rsidR="00BA2F44" w:rsidRPr="00731DB1">
        <w:rPr>
          <w:rFonts w:eastAsia="MS Mincho"/>
          <w:lang w:eastAsia="en-US"/>
        </w:rPr>
        <w:t xml:space="preserve">the </w:t>
      </w:r>
      <w:r w:rsidR="00AC7F69" w:rsidRPr="00731DB1">
        <w:rPr>
          <w:rFonts w:eastAsia="MS Mincho"/>
          <w:lang w:eastAsia="en-US"/>
        </w:rPr>
        <w:t xml:space="preserve">difficult </w:t>
      </w:r>
      <w:r w:rsidR="00BA2F44" w:rsidRPr="00731DB1">
        <w:rPr>
          <w:rFonts w:eastAsia="MS Mincho"/>
          <w:lang w:eastAsia="en-US"/>
        </w:rPr>
        <w:t xml:space="preserve">conditions </w:t>
      </w:r>
      <w:r w:rsidR="007E0F66" w:rsidRPr="00731DB1">
        <w:rPr>
          <w:rFonts w:eastAsia="MS Mincho"/>
          <w:lang w:eastAsia="en-US"/>
        </w:rPr>
        <w:t>in Nigeria we</w:t>
      </w:r>
      <w:r w:rsidR="00E15746" w:rsidRPr="00731DB1">
        <w:rPr>
          <w:rFonts w:eastAsia="MS Mincho"/>
          <w:lang w:eastAsia="en-US"/>
        </w:rPr>
        <w:t xml:space="preserve">re </w:t>
      </w:r>
      <w:r w:rsidR="00AC7F69" w:rsidRPr="00731DB1">
        <w:rPr>
          <w:rFonts w:eastAsia="MS Mincho"/>
          <w:lang w:eastAsia="en-US"/>
        </w:rPr>
        <w:t xml:space="preserve">experienced by </w:t>
      </w:r>
      <w:r w:rsidR="00E15746" w:rsidRPr="00731DB1">
        <w:rPr>
          <w:rFonts w:eastAsia="MS Mincho"/>
          <w:lang w:eastAsia="en-US"/>
        </w:rPr>
        <w:t>the general population</w:t>
      </w:r>
      <w:r w:rsidR="00AC7F69" w:rsidRPr="00731DB1">
        <w:rPr>
          <w:rFonts w:eastAsia="MS Mincho"/>
          <w:lang w:eastAsia="en-US"/>
        </w:rPr>
        <w:t xml:space="preserve"> and did not affect the author personally</w:t>
      </w:r>
      <w:r w:rsidR="00E15746" w:rsidRPr="00731DB1">
        <w:rPr>
          <w:rFonts w:eastAsia="MS Mincho"/>
          <w:lang w:eastAsia="en-US"/>
        </w:rPr>
        <w:t xml:space="preserve">. </w:t>
      </w:r>
    </w:p>
    <w:p w14:paraId="0CAE7F89" w14:textId="2CA215BD" w:rsidR="003E1A4D" w:rsidRPr="00731DB1" w:rsidRDefault="00E15746" w:rsidP="00637D3D">
      <w:pPr>
        <w:pStyle w:val="SingleTxtG"/>
        <w:rPr>
          <w:rFonts w:eastAsia="MS Mincho"/>
          <w:lang w:val="en-US" w:eastAsia="en-US"/>
        </w:rPr>
      </w:pPr>
      <w:r w:rsidRPr="00731DB1">
        <w:rPr>
          <w:rFonts w:eastAsia="MS Mincho"/>
          <w:lang w:eastAsia="en-US"/>
        </w:rPr>
        <w:t>2.16</w:t>
      </w:r>
      <w:r w:rsidRPr="00731DB1">
        <w:rPr>
          <w:rFonts w:eastAsia="MS Mincho"/>
          <w:sz w:val="22"/>
          <w:szCs w:val="22"/>
          <w:lang w:eastAsia="en-US"/>
        </w:rPr>
        <w:tab/>
      </w:r>
      <w:r w:rsidR="00F900A8" w:rsidRPr="00731DB1">
        <w:rPr>
          <w:rFonts w:eastAsia="MS Mincho"/>
          <w:lang w:eastAsia="en-US"/>
        </w:rPr>
        <w:t>O</w:t>
      </w:r>
      <w:r w:rsidR="003E1A4D" w:rsidRPr="00731DB1">
        <w:rPr>
          <w:rFonts w:eastAsia="MS Mincho"/>
          <w:lang w:eastAsia="en-US"/>
        </w:rPr>
        <w:t>n 27 April 2021, the author applied to the Federal Court of Appeal (FCA) for leave to appeal the negative decision of 22 January 2021</w:t>
      </w:r>
      <w:r w:rsidR="00B958A5" w:rsidRPr="00731DB1">
        <w:rPr>
          <w:rFonts w:eastAsia="MS Mincho"/>
          <w:lang w:eastAsia="en-US"/>
        </w:rPr>
        <w:t xml:space="preserve"> (see para.</w:t>
      </w:r>
      <w:r w:rsidR="00E61784" w:rsidRPr="00731DB1">
        <w:rPr>
          <w:rFonts w:eastAsia="MS Mincho"/>
          <w:lang w:eastAsia="en-US"/>
        </w:rPr>
        <w:t xml:space="preserve"> </w:t>
      </w:r>
      <w:r w:rsidR="00B958A5" w:rsidRPr="00731DB1">
        <w:rPr>
          <w:rFonts w:eastAsia="MS Mincho"/>
          <w:lang w:eastAsia="en-US"/>
        </w:rPr>
        <w:t>2.14)</w:t>
      </w:r>
      <w:r w:rsidR="003E1A4D" w:rsidRPr="00731DB1">
        <w:rPr>
          <w:rFonts w:eastAsia="MS Mincho"/>
          <w:lang w:eastAsia="en-US"/>
        </w:rPr>
        <w:t>. The FCA rejected the author’s request</w:t>
      </w:r>
      <w:r w:rsidR="008419E4">
        <w:rPr>
          <w:rFonts w:eastAsia="MS Mincho"/>
          <w:lang w:eastAsia="en-US"/>
        </w:rPr>
        <w:t>.</w:t>
      </w:r>
      <w:r w:rsidR="003E1A4D" w:rsidRPr="00731DB1">
        <w:rPr>
          <w:rFonts w:eastAsia="MS Mincho"/>
          <w:sz w:val="22"/>
          <w:szCs w:val="22"/>
          <w:lang w:eastAsia="en-US"/>
        </w:rPr>
        <w:t xml:space="preserve"> </w:t>
      </w:r>
      <w:r w:rsidR="003E1A4D" w:rsidRPr="00731DB1">
        <w:rPr>
          <w:rFonts w:eastAsia="MS Mincho"/>
          <w:lang w:eastAsia="en-US"/>
        </w:rPr>
        <w:t>On 24 September 2021, the author sought leave to appeal the FCA’s decision before the Supreme Court. On 24 December 2021, the Supreme Court accepted his application on the condition that he submit additional materials</w:t>
      </w:r>
      <w:r w:rsidR="003E1A4D" w:rsidRPr="00731DB1">
        <w:rPr>
          <w:rFonts w:eastAsia="MS Mincho"/>
          <w:lang w:val="en-US" w:eastAsia="en-US"/>
        </w:rPr>
        <w:t>.</w:t>
      </w:r>
      <w:r w:rsidRPr="00731DB1">
        <w:t xml:space="preserve"> However, </w:t>
      </w:r>
      <w:r w:rsidRPr="00731DB1">
        <w:rPr>
          <w:lang w:val="en-US"/>
        </w:rPr>
        <w:t xml:space="preserve">on 21 April 2022, </w:t>
      </w:r>
      <w:r w:rsidRPr="00731DB1">
        <w:rPr>
          <w:rFonts w:eastAsia="MS Mincho"/>
          <w:lang w:val="en-US" w:eastAsia="en-US"/>
        </w:rPr>
        <w:t xml:space="preserve">the Supreme Court rejected the author’s application.  </w:t>
      </w:r>
    </w:p>
    <w:p w14:paraId="4E254416" w14:textId="6128B1A0" w:rsidR="00D12E4D" w:rsidRPr="00731DB1" w:rsidRDefault="00735DED" w:rsidP="00B41BA4">
      <w:pPr>
        <w:pStyle w:val="SingleTxtG"/>
        <w:rPr>
          <w:rFonts w:eastAsia="MS Mincho"/>
          <w:lang w:eastAsia="en-US"/>
        </w:rPr>
      </w:pPr>
      <w:r w:rsidRPr="00731DB1">
        <w:rPr>
          <w:rFonts w:eastAsia="MS Mincho"/>
          <w:lang w:eastAsia="en-US"/>
        </w:rPr>
        <w:t>2.1</w:t>
      </w:r>
      <w:r w:rsidR="00001A4B" w:rsidRPr="00731DB1">
        <w:rPr>
          <w:rFonts w:eastAsia="MS Mincho"/>
          <w:lang w:eastAsia="en-US"/>
        </w:rPr>
        <w:t>7</w:t>
      </w:r>
      <w:r w:rsidR="00D12E4D" w:rsidRPr="00731DB1">
        <w:rPr>
          <w:rFonts w:eastAsia="MS Mincho"/>
          <w:lang w:eastAsia="en-US"/>
        </w:rPr>
        <w:tab/>
      </w:r>
      <w:r w:rsidR="00AC7F69" w:rsidRPr="00731DB1">
        <w:rPr>
          <w:rFonts w:eastAsia="MS Mincho"/>
          <w:lang w:eastAsia="en-US"/>
        </w:rPr>
        <w:t>Separately</w:t>
      </w:r>
      <w:r w:rsidRPr="00731DB1">
        <w:rPr>
          <w:rFonts w:eastAsia="MS Mincho"/>
          <w:lang w:eastAsia="en-US"/>
        </w:rPr>
        <w:t>, in</w:t>
      </w:r>
      <w:r w:rsidR="003E1A4D" w:rsidRPr="00731DB1">
        <w:rPr>
          <w:rFonts w:eastAsia="MS Mincho"/>
          <w:lang w:eastAsia="en-US"/>
        </w:rPr>
        <w:t xml:space="preserve"> </w:t>
      </w:r>
      <w:r w:rsidR="00D12E4D" w:rsidRPr="00731DB1">
        <w:rPr>
          <w:rFonts w:eastAsia="MS Mincho"/>
          <w:lang w:eastAsia="en-US"/>
        </w:rPr>
        <w:t>January 2020</w:t>
      </w:r>
      <w:r w:rsidR="003E1A4D" w:rsidRPr="00731DB1">
        <w:rPr>
          <w:rFonts w:eastAsia="MS Mincho"/>
          <w:lang w:eastAsia="en-US"/>
        </w:rPr>
        <w:t>,</w:t>
      </w:r>
      <w:r w:rsidR="00D12E4D" w:rsidRPr="00731DB1">
        <w:rPr>
          <w:rFonts w:eastAsia="MS Mincho"/>
          <w:lang w:eastAsia="en-US"/>
        </w:rPr>
        <w:t xml:space="preserve"> criminal charges</w:t>
      </w:r>
      <w:r w:rsidR="00637D3D" w:rsidRPr="00731DB1">
        <w:rPr>
          <w:rFonts w:eastAsia="MS Mincho"/>
          <w:lang w:eastAsia="en-US"/>
        </w:rPr>
        <w:t xml:space="preserve"> were brought against the author for the use of a falsified </w:t>
      </w:r>
      <w:r w:rsidR="003E1A4D" w:rsidRPr="00731DB1">
        <w:rPr>
          <w:rFonts w:eastAsia="MS Mincho"/>
          <w:lang w:eastAsia="en-US"/>
        </w:rPr>
        <w:t>50-dollar</w:t>
      </w:r>
      <w:r w:rsidR="00637D3D" w:rsidRPr="00731DB1">
        <w:rPr>
          <w:rFonts w:eastAsia="MS Mincho"/>
          <w:lang w:eastAsia="en-US"/>
        </w:rPr>
        <w:t xml:space="preserve"> bill. </w:t>
      </w:r>
      <w:r w:rsidR="00F900A8" w:rsidRPr="00731DB1">
        <w:rPr>
          <w:rFonts w:eastAsia="MS Mincho"/>
          <w:lang w:eastAsia="en-US"/>
        </w:rPr>
        <w:t>T</w:t>
      </w:r>
      <w:r w:rsidR="008659EE" w:rsidRPr="00731DB1">
        <w:rPr>
          <w:rFonts w:eastAsia="MS Mincho"/>
          <w:lang w:eastAsia="en-US"/>
        </w:rPr>
        <w:t xml:space="preserve">he criminal proceedings against </w:t>
      </w:r>
      <w:r w:rsidR="00CC48F2" w:rsidRPr="00731DB1">
        <w:rPr>
          <w:rFonts w:eastAsia="MS Mincho"/>
          <w:lang w:eastAsia="en-US"/>
        </w:rPr>
        <w:t xml:space="preserve">him </w:t>
      </w:r>
      <w:r w:rsidR="008659EE" w:rsidRPr="00731DB1">
        <w:rPr>
          <w:rFonts w:eastAsia="MS Mincho"/>
          <w:lang w:eastAsia="en-US"/>
        </w:rPr>
        <w:t>had the effect of staying his removal until they were concluded</w:t>
      </w:r>
      <w:r w:rsidR="008419E4">
        <w:rPr>
          <w:rFonts w:eastAsia="MS Mincho"/>
          <w:lang w:eastAsia="en-US"/>
        </w:rPr>
        <w:t>.</w:t>
      </w:r>
      <w:r w:rsidR="008659EE" w:rsidRPr="00561864">
        <w:rPr>
          <w:rFonts w:eastAsia="MS Mincho"/>
          <w:sz w:val="18"/>
          <w:szCs w:val="18"/>
          <w:vertAlign w:val="superscript"/>
          <w:lang w:eastAsia="en-US"/>
        </w:rPr>
        <w:footnoteReference w:id="19"/>
      </w:r>
      <w:r w:rsidR="008659EE" w:rsidRPr="00731DB1">
        <w:rPr>
          <w:rFonts w:eastAsia="MS Mincho"/>
          <w:sz w:val="22"/>
          <w:szCs w:val="22"/>
          <w:lang w:eastAsia="en-US"/>
        </w:rPr>
        <w:t xml:space="preserve"> </w:t>
      </w:r>
      <w:r w:rsidR="00C42046" w:rsidRPr="00731DB1">
        <w:rPr>
          <w:rFonts w:eastAsia="MS Mincho"/>
          <w:lang w:eastAsia="en-US"/>
        </w:rPr>
        <w:t xml:space="preserve">In addition, on 24 June 2020, the author was </w:t>
      </w:r>
      <w:r w:rsidR="00C42046" w:rsidRPr="00731DB1">
        <w:rPr>
          <w:rFonts w:eastAsia="MS Mincho"/>
          <w:lang w:eastAsia="en-US"/>
        </w:rPr>
        <w:lastRenderedPageBreak/>
        <w:t>arrested</w:t>
      </w:r>
      <w:r w:rsidR="00B41BA4" w:rsidRPr="00731DB1">
        <w:rPr>
          <w:rFonts w:eastAsia="MS Mincho"/>
          <w:lang w:eastAsia="en-US"/>
        </w:rPr>
        <w:t>,</w:t>
      </w:r>
      <w:r w:rsidR="00C42046" w:rsidRPr="00731DB1">
        <w:rPr>
          <w:rFonts w:eastAsia="MS Mincho"/>
          <w:lang w:eastAsia="en-US"/>
        </w:rPr>
        <w:t xml:space="preserve"> accused of having stolen 55 vehicles in 2019, using fake bank drafts.</w:t>
      </w:r>
      <w:r w:rsidR="00B41BA4" w:rsidRPr="00731DB1">
        <w:rPr>
          <w:rFonts w:eastAsia="MS Mincho"/>
          <w:lang w:eastAsia="en-US"/>
        </w:rPr>
        <w:t xml:space="preserve"> </w:t>
      </w:r>
      <w:r w:rsidR="00CD71D3" w:rsidRPr="00731DB1">
        <w:rPr>
          <w:rFonts w:eastAsia="MS Mincho"/>
          <w:lang w:eastAsia="en-US"/>
        </w:rPr>
        <w:t xml:space="preserve">The parties have not </w:t>
      </w:r>
      <w:r w:rsidR="00B41BA4" w:rsidRPr="00731DB1">
        <w:rPr>
          <w:rFonts w:eastAsia="MS Mincho"/>
          <w:lang w:eastAsia="en-US"/>
        </w:rPr>
        <w:t xml:space="preserve">provided </w:t>
      </w:r>
      <w:r w:rsidR="00CD71D3" w:rsidRPr="00731DB1">
        <w:rPr>
          <w:rFonts w:eastAsia="MS Mincho"/>
          <w:lang w:eastAsia="en-US"/>
        </w:rPr>
        <w:t xml:space="preserve">any information </w:t>
      </w:r>
      <w:r w:rsidR="00B41BA4" w:rsidRPr="00731DB1">
        <w:rPr>
          <w:rFonts w:eastAsia="MS Mincho"/>
          <w:lang w:eastAsia="en-US"/>
        </w:rPr>
        <w:t>in relation to the outcome of the</w:t>
      </w:r>
      <w:r w:rsidR="00CD71D3" w:rsidRPr="00731DB1">
        <w:rPr>
          <w:rFonts w:eastAsia="MS Mincho"/>
          <w:lang w:eastAsia="en-US"/>
        </w:rPr>
        <w:t>se</w:t>
      </w:r>
      <w:r w:rsidR="00B41BA4" w:rsidRPr="00731DB1">
        <w:rPr>
          <w:rFonts w:eastAsia="MS Mincho"/>
          <w:lang w:eastAsia="en-US"/>
        </w:rPr>
        <w:t xml:space="preserve"> criminal proceedings. </w:t>
      </w:r>
      <w:r w:rsidR="00C42046" w:rsidRPr="00731DB1">
        <w:rPr>
          <w:rFonts w:eastAsia="MS Mincho"/>
          <w:lang w:eastAsia="en-US"/>
        </w:rPr>
        <w:t xml:space="preserve"> </w:t>
      </w:r>
    </w:p>
    <w:p w14:paraId="6914D4F8" w14:textId="16487137" w:rsidR="00031FFC" w:rsidRPr="00731DB1" w:rsidRDefault="00E31C70" w:rsidP="00E31C70">
      <w:pPr>
        <w:pStyle w:val="H23G"/>
      </w:pPr>
      <w:r w:rsidRPr="00731DB1">
        <w:tab/>
      </w:r>
      <w:r w:rsidRPr="00731DB1">
        <w:tab/>
      </w:r>
      <w:r w:rsidR="007E0F66" w:rsidRPr="00731DB1">
        <w:t>The complaint</w:t>
      </w:r>
    </w:p>
    <w:p w14:paraId="40C56A4C" w14:textId="32ED4ABE" w:rsidR="007E0F66" w:rsidRPr="00731DB1" w:rsidRDefault="007E0F66" w:rsidP="0095150C">
      <w:pPr>
        <w:pStyle w:val="SingleTxtG"/>
      </w:pPr>
      <w:r w:rsidRPr="00731DB1">
        <w:t>3.1</w:t>
      </w:r>
      <w:r w:rsidRPr="00731DB1">
        <w:tab/>
        <w:t>The author</w:t>
      </w:r>
      <w:r w:rsidR="003472E0" w:rsidRPr="00731DB1">
        <w:t xml:space="preserve"> alleges that if returned to Nigeria his rights under articles 6, 7 and 9(1) would be violated. He</w:t>
      </w:r>
      <w:r w:rsidRPr="00731DB1">
        <w:t xml:space="preserve"> submits that if he </w:t>
      </w:r>
      <w:r w:rsidR="00561864">
        <w:t>were</w:t>
      </w:r>
      <w:r w:rsidR="00F25388" w:rsidRPr="00731DB1">
        <w:t xml:space="preserve"> deported</w:t>
      </w:r>
      <w:r w:rsidRPr="00731DB1">
        <w:t xml:space="preserve">, he would face a real risk of torture or death from the authorities based on his militancy in MASSOB. </w:t>
      </w:r>
      <w:r w:rsidR="001806FD" w:rsidRPr="00731DB1">
        <w:t>The author claims that he would</w:t>
      </w:r>
      <w:r w:rsidRPr="00731DB1">
        <w:t xml:space="preserve"> be identified upon arrival </w:t>
      </w:r>
      <w:r w:rsidR="00561864">
        <w:t xml:space="preserve">because </w:t>
      </w:r>
      <w:r w:rsidRPr="00731DB1">
        <w:t xml:space="preserve">the State party </w:t>
      </w:r>
      <w:r w:rsidR="00561864">
        <w:t xml:space="preserve">made the Nigerian authorities aware, in the context of the expulsion order, of the judgment by the Nigerian court </w:t>
      </w:r>
      <w:r w:rsidR="006E4D51" w:rsidRPr="00731DB1">
        <w:t xml:space="preserve">sentencing him </w:t>
      </w:r>
      <w:r w:rsidRPr="00731DB1">
        <w:t xml:space="preserve">to life imprisonment. This ruling contained </w:t>
      </w:r>
      <w:r w:rsidR="008B7894" w:rsidRPr="00731DB1">
        <w:t xml:space="preserve">information about </w:t>
      </w:r>
      <w:r w:rsidRPr="00731DB1">
        <w:t>the author</w:t>
      </w:r>
      <w:r w:rsidR="003E22F0" w:rsidRPr="00731DB1">
        <w:t xml:space="preserve"> </w:t>
      </w:r>
      <w:r w:rsidRPr="00731DB1">
        <w:t>and his functions</w:t>
      </w:r>
      <w:r w:rsidR="0095150C" w:rsidRPr="00731DB1">
        <w:t xml:space="preserve"> as </w:t>
      </w:r>
      <w:r w:rsidR="008B7894" w:rsidRPr="00731DB1">
        <w:t xml:space="preserve">a </w:t>
      </w:r>
      <w:r w:rsidR="0095150C" w:rsidRPr="00731DB1">
        <w:t>member of MASSOB</w:t>
      </w:r>
      <w:r w:rsidR="001806FD" w:rsidRPr="00731DB1">
        <w:t xml:space="preserve">. By contacting the Nigerian authorities directly, </w:t>
      </w:r>
      <w:r w:rsidR="0095150C" w:rsidRPr="00731DB1">
        <w:t xml:space="preserve">the </w:t>
      </w:r>
      <w:r w:rsidR="001806FD" w:rsidRPr="00731DB1">
        <w:t xml:space="preserve">State party’s </w:t>
      </w:r>
      <w:r w:rsidR="0095150C" w:rsidRPr="00731DB1">
        <w:t xml:space="preserve">authorities failed to </w:t>
      </w:r>
      <w:proofErr w:type="gramStart"/>
      <w:r w:rsidR="0095150C" w:rsidRPr="00731DB1">
        <w:t>take into account</w:t>
      </w:r>
      <w:proofErr w:type="gramEnd"/>
      <w:r w:rsidR="0095150C" w:rsidRPr="00731DB1">
        <w:t xml:space="preserve"> UNHCR’s Handbook on </w:t>
      </w:r>
      <w:r w:rsidR="00916C64" w:rsidRPr="00731DB1">
        <w:t>p</w:t>
      </w:r>
      <w:r w:rsidR="0095150C" w:rsidRPr="00731DB1">
        <w:t>rocedur</w:t>
      </w:r>
      <w:r w:rsidR="00353771" w:rsidRPr="00731DB1">
        <w:t xml:space="preserve">es </w:t>
      </w:r>
      <w:r w:rsidR="003E22F0" w:rsidRPr="00731DB1">
        <w:t>on the determination of refugee status</w:t>
      </w:r>
      <w:r w:rsidR="008B7894" w:rsidRPr="00731DB1">
        <w:t>,</w:t>
      </w:r>
      <w:r w:rsidR="003E22F0" w:rsidRPr="00731DB1">
        <w:t xml:space="preserve"> </w:t>
      </w:r>
      <w:r w:rsidR="00353771" w:rsidRPr="00731DB1">
        <w:t xml:space="preserve">which indicates that </w:t>
      </w:r>
      <w:r w:rsidR="0095150C" w:rsidRPr="00731DB1">
        <w:t>independent sources</w:t>
      </w:r>
      <w:r w:rsidR="00353771" w:rsidRPr="00731DB1">
        <w:t xml:space="preserve"> </w:t>
      </w:r>
      <w:r w:rsidR="008B7894" w:rsidRPr="00731DB1">
        <w:t xml:space="preserve">(such as an embassy fact-finding mission or NGOs) </w:t>
      </w:r>
      <w:r w:rsidR="00353771" w:rsidRPr="00731DB1">
        <w:t>should be used</w:t>
      </w:r>
      <w:r w:rsidR="003472E0" w:rsidRPr="00731DB1">
        <w:t xml:space="preserve"> instead of local authorities</w:t>
      </w:r>
      <w:r w:rsidR="0095150C" w:rsidRPr="00731DB1">
        <w:t>.</w:t>
      </w:r>
      <w:r w:rsidR="00F25388" w:rsidRPr="00731DB1">
        <w:t xml:space="preserve"> The author also indicates that even if it w</w:t>
      </w:r>
      <w:r w:rsidR="000C3EB9" w:rsidRPr="00731DB1">
        <w:t>ere</w:t>
      </w:r>
      <w:r w:rsidR="00F25388" w:rsidRPr="00731DB1">
        <w:t xml:space="preserve"> true that the judgement was fake, his rights would still be violated, as the objective conditions to grant him the refugee status were fulfilled and there is no “good faith” requirement </w:t>
      </w:r>
      <w:r w:rsidR="006C04EB" w:rsidRPr="00731DB1">
        <w:t xml:space="preserve">in </w:t>
      </w:r>
      <w:r w:rsidR="00F25388" w:rsidRPr="00731DB1">
        <w:t>the 1951 Refugee Convention.</w:t>
      </w:r>
    </w:p>
    <w:p w14:paraId="3B9B77B1" w14:textId="73CB298E" w:rsidR="007E0F66" w:rsidRPr="00731DB1" w:rsidRDefault="007E0F66" w:rsidP="007E0F66">
      <w:pPr>
        <w:pStyle w:val="SingleTxtG"/>
      </w:pPr>
      <w:r w:rsidRPr="00731DB1">
        <w:t>3.2</w:t>
      </w:r>
      <w:r w:rsidRPr="00731DB1">
        <w:tab/>
        <w:t xml:space="preserve"> The author </w:t>
      </w:r>
      <w:r w:rsidR="003472E0" w:rsidRPr="00731DB1">
        <w:t xml:space="preserve">adds </w:t>
      </w:r>
      <w:r w:rsidRPr="00731DB1">
        <w:t>that the State party’s authorities had recognized the risk he would be subjected to if deported to Nigeria, as established in the decision grant</w:t>
      </w:r>
      <w:r w:rsidR="003E22F0" w:rsidRPr="00731DB1">
        <w:t xml:space="preserve">ing </w:t>
      </w:r>
      <w:r w:rsidRPr="00731DB1">
        <w:t xml:space="preserve">him </w:t>
      </w:r>
      <w:r w:rsidR="00561864">
        <w:t>refugee status</w:t>
      </w:r>
      <w:r w:rsidRPr="00731DB1">
        <w:t xml:space="preserve"> in 2009, which stated that he was a </w:t>
      </w:r>
      <w:r w:rsidR="0097391B" w:rsidRPr="00731DB1">
        <w:t>high</w:t>
      </w:r>
      <w:r w:rsidR="005C773C" w:rsidRPr="00731DB1">
        <w:t>-</w:t>
      </w:r>
      <w:r w:rsidR="0097391B" w:rsidRPr="00731DB1">
        <w:t xml:space="preserve">ranking member of </w:t>
      </w:r>
      <w:r w:rsidR="003E22F0" w:rsidRPr="00731DB1">
        <w:t>MASSOB</w:t>
      </w:r>
      <w:r w:rsidR="00D13FE1">
        <w:t>.</w:t>
      </w:r>
      <w:r w:rsidR="0030159D" w:rsidRPr="00731DB1">
        <w:rPr>
          <w:rStyle w:val="FootnoteReference"/>
        </w:rPr>
        <w:footnoteReference w:id="20"/>
      </w:r>
      <w:r w:rsidRPr="00731DB1">
        <w:t xml:space="preserve"> The author also quotes several reports stating that MASSOB members are targeted by the Nigerian authorities wh</w:t>
      </w:r>
      <w:r w:rsidR="00561864">
        <w:t>ich</w:t>
      </w:r>
      <w:r w:rsidRPr="00731DB1">
        <w:t xml:space="preserve"> arrest and torture them</w:t>
      </w:r>
      <w:r w:rsidR="003E22F0" w:rsidRPr="00731DB1">
        <w:t xml:space="preserve"> </w:t>
      </w:r>
      <w:r w:rsidR="008E7404" w:rsidRPr="00731DB1">
        <w:t xml:space="preserve">and </w:t>
      </w:r>
      <w:r w:rsidRPr="00731DB1">
        <w:t>subject them to extrajudicial executions or enforced disappearances</w:t>
      </w:r>
      <w:r w:rsidR="00D13FE1">
        <w:t>.</w:t>
      </w:r>
      <w:r w:rsidRPr="00731DB1">
        <w:rPr>
          <w:vertAlign w:val="superscript"/>
        </w:rPr>
        <w:footnoteReference w:id="21"/>
      </w:r>
      <w:r w:rsidRPr="00731DB1">
        <w:t xml:space="preserve"> </w:t>
      </w:r>
    </w:p>
    <w:p w14:paraId="2D97053C" w14:textId="104FC098" w:rsidR="007E0F66" w:rsidRPr="00731DB1" w:rsidRDefault="007E0F66" w:rsidP="007E0F66">
      <w:pPr>
        <w:pStyle w:val="SingleTxtG"/>
      </w:pPr>
      <w:r w:rsidRPr="00731DB1">
        <w:t>3.3</w:t>
      </w:r>
      <w:r w:rsidRPr="00731DB1">
        <w:tab/>
        <w:t xml:space="preserve">The author also claims that being HIV positive would put him at risk if returned to Nigeria, as it is known that people with HIV are heavily discriminated </w:t>
      </w:r>
      <w:r w:rsidR="00916C64" w:rsidRPr="00731DB1">
        <w:t xml:space="preserve">against </w:t>
      </w:r>
      <w:r w:rsidRPr="00731DB1">
        <w:t>in Nigeria</w:t>
      </w:r>
      <w:r w:rsidR="00561864">
        <w:t>, without access to adequate medical services</w:t>
      </w:r>
      <w:r w:rsidR="00ED1C0F" w:rsidRPr="00731DB1">
        <w:t>. The author claims that people with HIV</w:t>
      </w:r>
      <w:r w:rsidRPr="00731DB1">
        <w:t xml:space="preserve"> can be denied medical care and can lose their job</w:t>
      </w:r>
      <w:r w:rsidR="004F39CD">
        <w:t>.</w:t>
      </w:r>
      <w:r w:rsidR="0030159D" w:rsidRPr="00731DB1">
        <w:rPr>
          <w:rStyle w:val="FootnoteReference"/>
        </w:rPr>
        <w:footnoteReference w:id="22"/>
      </w:r>
      <w:r w:rsidRPr="00731DB1">
        <w:t xml:space="preserve"> In addition, there is a perception that people with HIV are homosexuals, which also puts them at risk of persecution. </w:t>
      </w:r>
    </w:p>
    <w:p w14:paraId="15B097B4" w14:textId="6F67B79C" w:rsidR="007E0F66" w:rsidRPr="00731DB1" w:rsidRDefault="007E0F66" w:rsidP="007E0F66">
      <w:pPr>
        <w:pStyle w:val="SingleTxtG"/>
      </w:pPr>
      <w:r w:rsidRPr="00731DB1">
        <w:t>3.4</w:t>
      </w:r>
      <w:r w:rsidRPr="00731DB1">
        <w:tab/>
      </w:r>
      <w:r w:rsidR="00ED1C0F" w:rsidRPr="00731DB1">
        <w:t xml:space="preserve">Moreover, the </w:t>
      </w:r>
      <w:r w:rsidRPr="00731DB1">
        <w:t>author considers that there is a cumulative effect in his situation, as he is a MASSOB member and HIV positive. He c</w:t>
      </w:r>
      <w:r w:rsidR="00C761B7" w:rsidRPr="00731DB1">
        <w:t>ould</w:t>
      </w:r>
      <w:r w:rsidRPr="00731DB1">
        <w:t xml:space="preserve"> be targeted by the authorities </w:t>
      </w:r>
      <w:proofErr w:type="gramStart"/>
      <w:r w:rsidRPr="00731DB1">
        <w:t>and also</w:t>
      </w:r>
      <w:proofErr w:type="gramEnd"/>
      <w:r w:rsidRPr="00731DB1">
        <w:t xml:space="preserve"> be subjected to persecution by anti-gay groups. </w:t>
      </w:r>
    </w:p>
    <w:p w14:paraId="4915392D" w14:textId="304F9AB4" w:rsidR="0095150C" w:rsidRPr="00731DB1" w:rsidRDefault="0095150C" w:rsidP="0095150C">
      <w:pPr>
        <w:pStyle w:val="SingleTxtG"/>
      </w:pPr>
      <w:r w:rsidRPr="00731DB1">
        <w:t>3.5</w:t>
      </w:r>
      <w:r w:rsidRPr="00731DB1">
        <w:tab/>
        <w:t>The author further considers that his rights were not respected during the PRRA proceedings</w:t>
      </w:r>
      <w:r w:rsidR="00C761B7" w:rsidRPr="00731DB1">
        <w:t xml:space="preserve"> and </w:t>
      </w:r>
      <w:r w:rsidRPr="00731DB1">
        <w:t>th</w:t>
      </w:r>
      <w:r w:rsidR="00C761B7" w:rsidRPr="00731DB1">
        <w:t xml:space="preserve">at </w:t>
      </w:r>
      <w:r w:rsidRPr="00731DB1">
        <w:t xml:space="preserve">those proceedings were not effective. For instance, in relation to the first PRRA request, he indicates that </w:t>
      </w:r>
      <w:r w:rsidR="00A946A9" w:rsidRPr="00731DB1">
        <w:t xml:space="preserve">the agent </w:t>
      </w:r>
      <w:r w:rsidRPr="00731DB1">
        <w:t xml:space="preserve">failed to </w:t>
      </w:r>
      <w:proofErr w:type="gramStart"/>
      <w:r w:rsidRPr="00731DB1">
        <w:t>take into account</w:t>
      </w:r>
      <w:proofErr w:type="gramEnd"/>
      <w:r w:rsidRPr="00731DB1">
        <w:t xml:space="preserve"> evidence that he had submitted</w:t>
      </w:r>
      <w:r w:rsidR="00213C1E" w:rsidRPr="00731DB1">
        <w:t xml:space="preserve"> </w:t>
      </w:r>
      <w:r w:rsidR="00623F68" w:rsidRPr="00731DB1">
        <w:t>(</w:t>
      </w:r>
      <w:r w:rsidRPr="00731DB1">
        <w:t>the information he sent to the wrong email address</w:t>
      </w:r>
      <w:r w:rsidR="00E0753B" w:rsidRPr="00731DB1">
        <w:t>, see para. 2.7</w:t>
      </w:r>
      <w:r w:rsidR="00623F68" w:rsidRPr="00731DB1">
        <w:t xml:space="preserve">) which </w:t>
      </w:r>
      <w:r w:rsidRPr="00731DB1">
        <w:t>referr</w:t>
      </w:r>
      <w:r w:rsidR="00623F68" w:rsidRPr="00731DB1">
        <w:t>ed</w:t>
      </w:r>
      <w:r w:rsidRPr="00731DB1">
        <w:t xml:space="preserve"> to the impossibility of being adequately treated for HIV in Nigeria and the fact that having HIV would put</w:t>
      </w:r>
      <w:r w:rsidR="003472E0" w:rsidRPr="00731DB1">
        <w:t xml:space="preserve"> him in a dangerous situation</w:t>
      </w:r>
      <w:r w:rsidRPr="00731DB1">
        <w:t xml:space="preserve">. </w:t>
      </w:r>
      <w:r w:rsidR="00C761B7" w:rsidRPr="00731DB1">
        <w:t>H</w:t>
      </w:r>
      <w:r w:rsidR="000530FC" w:rsidRPr="00731DB1">
        <w:t xml:space="preserve">e states that this decision, as well as those taken in the second and third PRRA proceedings, </w:t>
      </w:r>
      <w:r w:rsidR="0032149E" w:rsidRPr="00731DB1">
        <w:t xml:space="preserve">contradicted </w:t>
      </w:r>
      <w:r w:rsidRPr="00731DB1">
        <w:t xml:space="preserve">what </w:t>
      </w:r>
      <w:r w:rsidR="0032149E" w:rsidRPr="00731DB1">
        <w:t xml:space="preserve">had </w:t>
      </w:r>
      <w:r w:rsidRPr="00731DB1">
        <w:t xml:space="preserve">previously </w:t>
      </w:r>
      <w:r w:rsidR="0032149E" w:rsidRPr="00731DB1">
        <w:t xml:space="preserve">been </w:t>
      </w:r>
      <w:r w:rsidRPr="00731DB1">
        <w:t xml:space="preserve">established by </w:t>
      </w:r>
      <w:r w:rsidR="000530FC" w:rsidRPr="00731DB1">
        <w:t>the State party’s authorities</w:t>
      </w:r>
      <w:r w:rsidRPr="00731DB1">
        <w:t xml:space="preserve"> when he was granted </w:t>
      </w:r>
      <w:r w:rsidR="00561864">
        <w:t>refugee status</w:t>
      </w:r>
      <w:r w:rsidRPr="00731DB1">
        <w:t xml:space="preserve">, in particular </w:t>
      </w:r>
      <w:proofErr w:type="gramStart"/>
      <w:r w:rsidRPr="00731DB1">
        <w:t>taking into account</w:t>
      </w:r>
      <w:proofErr w:type="gramEnd"/>
      <w:r w:rsidRPr="00731DB1">
        <w:t xml:space="preserve"> that the allegedly falsified judgment was a very secondary point in </w:t>
      </w:r>
      <w:r w:rsidR="000530FC" w:rsidRPr="00731DB1">
        <w:t xml:space="preserve">the </w:t>
      </w:r>
      <w:r w:rsidR="009026AD" w:rsidRPr="00731DB1">
        <w:t xml:space="preserve">decision </w:t>
      </w:r>
      <w:r w:rsidR="000530FC" w:rsidRPr="00731DB1">
        <w:t xml:space="preserve">granting asylum, as </w:t>
      </w:r>
      <w:r w:rsidRPr="00731DB1">
        <w:t>it was hardly mentioned in it. In addition, the author claims that the appeals to the Federal Court were not an effective remedy, as it was not possible to present new evidence.</w:t>
      </w:r>
      <w:r w:rsidR="001775B4" w:rsidRPr="00731DB1">
        <w:rPr>
          <w:rFonts w:eastAsia="Times New Roman"/>
          <w:lang w:eastAsia="en-US"/>
        </w:rPr>
        <w:t xml:space="preserve"> </w:t>
      </w:r>
    </w:p>
    <w:p w14:paraId="608D964E" w14:textId="692C1A28" w:rsidR="00397E5D" w:rsidRPr="00731DB1" w:rsidRDefault="003472E0" w:rsidP="00C42046">
      <w:pPr>
        <w:pStyle w:val="SingleTxtG"/>
      </w:pPr>
      <w:r w:rsidRPr="00731DB1">
        <w:t>3.6</w:t>
      </w:r>
      <w:r w:rsidRPr="00731DB1">
        <w:tab/>
      </w:r>
      <w:r w:rsidR="00D06F4D">
        <w:t xml:space="preserve">Finally, </w:t>
      </w:r>
      <w:r w:rsidRPr="00731DB1">
        <w:t xml:space="preserve">the author denies the State party’s allegation that he never claimed abuse by Nigerian authorities following his deportation on 6 October 2015. </w:t>
      </w:r>
      <w:r w:rsidR="001775B4" w:rsidRPr="00731DB1">
        <w:t xml:space="preserve">He </w:t>
      </w:r>
      <w:r w:rsidRPr="00731DB1">
        <w:t>states that he informed the Canadian authorities about his detention and torture</w:t>
      </w:r>
      <w:r w:rsidR="00D06F4D">
        <w:t xml:space="preserve"> in Nigeria</w:t>
      </w:r>
      <w:r w:rsidRPr="00731DB1">
        <w:t xml:space="preserve">, and that during his detention, he was examined by a doctor who confirmed symptoms of </w:t>
      </w:r>
      <w:r w:rsidR="00D06F4D">
        <w:t>previous</w:t>
      </w:r>
      <w:r w:rsidRPr="00731DB1">
        <w:t xml:space="preserve"> torture.</w:t>
      </w:r>
      <w:r w:rsidR="001775B4" w:rsidRPr="00731DB1">
        <w:t xml:space="preserve"> </w:t>
      </w:r>
      <w:r w:rsidR="001775B4" w:rsidRPr="00731DB1">
        <w:lastRenderedPageBreak/>
        <w:t xml:space="preserve">However, the State party’s authorities denied him access to proper medical </w:t>
      </w:r>
      <w:r w:rsidR="00D06F4D">
        <w:t>care</w:t>
      </w:r>
      <w:r w:rsidR="001775B4" w:rsidRPr="00731DB1">
        <w:t xml:space="preserve"> or psychological follow-up.</w:t>
      </w:r>
    </w:p>
    <w:p w14:paraId="3F3E3CEA" w14:textId="5FFBD436" w:rsidR="000E7F64" w:rsidRPr="00731DB1" w:rsidRDefault="000E7F64" w:rsidP="00C42046">
      <w:pPr>
        <w:pStyle w:val="SingleTxtG"/>
        <w:rPr>
          <w:b/>
        </w:rPr>
      </w:pPr>
      <w:r w:rsidRPr="00731DB1">
        <w:rPr>
          <w:b/>
        </w:rPr>
        <w:t xml:space="preserve">Author’s further information </w:t>
      </w:r>
    </w:p>
    <w:p w14:paraId="289F008B" w14:textId="78A88DC3" w:rsidR="00A35841" w:rsidRPr="00731DB1" w:rsidRDefault="0012347D" w:rsidP="00C42046">
      <w:pPr>
        <w:pStyle w:val="SingleTxtG"/>
      </w:pPr>
      <w:r w:rsidRPr="00731DB1">
        <w:t>4.1</w:t>
      </w:r>
      <w:r w:rsidRPr="00731DB1">
        <w:tab/>
      </w:r>
      <w:r w:rsidR="00536C16" w:rsidRPr="00731DB1">
        <w:t>On 26 August, 12 and 14 September 2020, the author provided additional information.</w:t>
      </w:r>
      <w:r w:rsidR="00005711" w:rsidRPr="00731DB1">
        <w:t xml:space="preserve"> He claims that the CBS</w:t>
      </w:r>
      <w:r w:rsidR="00446244" w:rsidRPr="00731DB1">
        <w:t>A</w:t>
      </w:r>
      <w:r w:rsidR="00D04263" w:rsidRPr="00731DB1">
        <w:t xml:space="preserve"> </w:t>
      </w:r>
      <w:r w:rsidR="00C761B7" w:rsidRPr="00731DB1">
        <w:t>i</w:t>
      </w:r>
      <w:r w:rsidR="00005711" w:rsidRPr="00731DB1">
        <w:t>s conspiring against him as a reprisal for having submitted the communication</w:t>
      </w:r>
      <w:r w:rsidR="001E7FA8" w:rsidRPr="00731DB1">
        <w:t xml:space="preserve"> to the Committee</w:t>
      </w:r>
      <w:r w:rsidR="00005711" w:rsidRPr="00731DB1">
        <w:t xml:space="preserve">. </w:t>
      </w:r>
      <w:r w:rsidR="001E7FA8" w:rsidRPr="00731DB1">
        <w:t>He indicates that i</w:t>
      </w:r>
      <w:r w:rsidR="00446244" w:rsidRPr="00731DB1">
        <w:t xml:space="preserve">n July 2018, </w:t>
      </w:r>
      <w:r w:rsidR="001E7FA8" w:rsidRPr="00731DB1">
        <w:t xml:space="preserve">he </w:t>
      </w:r>
      <w:r w:rsidR="00005711" w:rsidRPr="00731DB1">
        <w:t>submitted a complaint in this regard to the CBSA</w:t>
      </w:r>
      <w:r w:rsidR="00446244" w:rsidRPr="00731DB1">
        <w:t xml:space="preserve"> indicating that two CBSA officers wanted to “frame him” </w:t>
      </w:r>
      <w:r w:rsidR="007A2F5B" w:rsidRPr="00731DB1">
        <w:t>and to “see him dead”</w:t>
      </w:r>
      <w:r w:rsidR="001E7FA8" w:rsidRPr="00731DB1">
        <w:t>,</w:t>
      </w:r>
      <w:r w:rsidR="007A2F5B" w:rsidRPr="00731DB1">
        <w:t xml:space="preserve"> </w:t>
      </w:r>
      <w:r w:rsidR="00446244" w:rsidRPr="00731DB1">
        <w:t>and that one of them was responsible for the ill treatment he suffered while in detention after he returned to Canada in November 2015</w:t>
      </w:r>
      <w:r w:rsidR="00D04263" w:rsidRPr="00731DB1">
        <w:t xml:space="preserve">. </w:t>
      </w:r>
      <w:r w:rsidR="00446244" w:rsidRPr="00731DB1">
        <w:t xml:space="preserve">The author provides a reply from the CBSA dated </w:t>
      </w:r>
      <w:r w:rsidR="00D04263" w:rsidRPr="00731DB1">
        <w:t>24 August 2018</w:t>
      </w:r>
      <w:r w:rsidR="007A2F5B" w:rsidRPr="00731DB1">
        <w:t>,</w:t>
      </w:r>
      <w:r w:rsidR="00D04263" w:rsidRPr="00731DB1">
        <w:t xml:space="preserve"> in which the Director of the Enforcement and Intelligence Operations Division indicated that the author did not provide any details regarding the alleged ill treatment; that the author’s allegations against the CBSA officers were ill-founded</w:t>
      </w:r>
      <w:r w:rsidR="007A2F5B" w:rsidRPr="00731DB1">
        <w:t>, as no evidence was provided to substantiate them</w:t>
      </w:r>
      <w:r w:rsidR="00D04263" w:rsidRPr="00731DB1">
        <w:t>;</w:t>
      </w:r>
      <w:r w:rsidR="007A2F5B" w:rsidRPr="00731DB1">
        <w:t xml:space="preserve"> and that </w:t>
      </w:r>
      <w:r w:rsidR="005234C4" w:rsidRPr="00731DB1">
        <w:t xml:space="preserve">when </w:t>
      </w:r>
      <w:r w:rsidR="007A2F5B" w:rsidRPr="00731DB1">
        <w:t>the author</w:t>
      </w:r>
      <w:r w:rsidR="00D04263" w:rsidRPr="00731DB1">
        <w:t xml:space="preserve"> was received in the CBSA</w:t>
      </w:r>
      <w:r w:rsidR="002660B5" w:rsidRPr="00731DB1">
        <w:t>’s</w:t>
      </w:r>
      <w:r w:rsidR="00D04263" w:rsidRPr="00731DB1">
        <w:t xml:space="preserve"> office to hear </w:t>
      </w:r>
      <w:r w:rsidR="005234C4" w:rsidRPr="00731DB1">
        <w:t xml:space="preserve">his </w:t>
      </w:r>
      <w:r w:rsidR="00D04263" w:rsidRPr="00731DB1">
        <w:t>complaint,</w:t>
      </w:r>
      <w:r w:rsidR="007A2F5B" w:rsidRPr="00731DB1">
        <w:t xml:space="preserve"> he constantly interrupted</w:t>
      </w:r>
      <w:r w:rsidR="00D04263" w:rsidRPr="00731DB1">
        <w:t xml:space="preserve"> the interviewer, </w:t>
      </w:r>
      <w:r w:rsidR="007A2F5B" w:rsidRPr="00731DB1">
        <w:t xml:space="preserve">so it was </w:t>
      </w:r>
      <w:r w:rsidR="00D04263" w:rsidRPr="00731DB1">
        <w:t xml:space="preserve">suggested that </w:t>
      </w:r>
      <w:r w:rsidR="002660B5" w:rsidRPr="00731DB1">
        <w:t>he submitted</w:t>
      </w:r>
      <w:r w:rsidR="00D04263" w:rsidRPr="00731DB1">
        <w:t xml:space="preserve"> another complaint in </w:t>
      </w:r>
      <w:r w:rsidR="005234C4" w:rsidRPr="00731DB1">
        <w:t>writing</w:t>
      </w:r>
      <w:r w:rsidR="00D04263" w:rsidRPr="00731DB1">
        <w:t xml:space="preserve">. </w:t>
      </w:r>
    </w:p>
    <w:p w14:paraId="75509603" w14:textId="5B3CD4B2" w:rsidR="00A35841" w:rsidRPr="00731DB1" w:rsidRDefault="00A35841" w:rsidP="00C42046">
      <w:pPr>
        <w:pStyle w:val="SingleTxtG"/>
      </w:pPr>
      <w:r w:rsidRPr="00731DB1">
        <w:t>4.2</w:t>
      </w:r>
      <w:r w:rsidRPr="00731DB1">
        <w:tab/>
      </w:r>
      <w:r w:rsidR="00EE61E2" w:rsidRPr="00731DB1">
        <w:t>T</w:t>
      </w:r>
      <w:r w:rsidR="00F74A03" w:rsidRPr="00731DB1">
        <w:t xml:space="preserve">he author </w:t>
      </w:r>
      <w:r w:rsidR="00226B7A">
        <w:t>also</w:t>
      </w:r>
      <w:r w:rsidR="00EE61E2" w:rsidRPr="00731DB1">
        <w:t xml:space="preserve"> </w:t>
      </w:r>
      <w:r w:rsidR="00F74A03" w:rsidRPr="00731DB1">
        <w:t xml:space="preserve">submits that he contracted tuberculosis </w:t>
      </w:r>
      <w:r w:rsidRPr="00731DB1">
        <w:t xml:space="preserve">and HIV </w:t>
      </w:r>
      <w:r w:rsidR="00F74A03" w:rsidRPr="00731DB1">
        <w:t xml:space="preserve">while </w:t>
      </w:r>
      <w:r w:rsidR="00D864CF" w:rsidRPr="00731DB1">
        <w:t xml:space="preserve">in the custody of the State party’s authorities </w:t>
      </w:r>
      <w:r w:rsidR="00F74A03" w:rsidRPr="00731DB1">
        <w:t>in</w:t>
      </w:r>
      <w:r w:rsidR="005C0C8E" w:rsidRPr="00731DB1">
        <w:t xml:space="preserve"> 2007</w:t>
      </w:r>
      <w:r w:rsidR="000B1FED">
        <w:t>.</w:t>
      </w:r>
      <w:r w:rsidR="00C669F8" w:rsidRPr="00731DB1">
        <w:rPr>
          <w:rStyle w:val="FootnoteReference"/>
        </w:rPr>
        <w:footnoteReference w:id="23"/>
      </w:r>
      <w:r w:rsidR="00F74A03" w:rsidRPr="00731DB1">
        <w:t xml:space="preserve"> </w:t>
      </w:r>
      <w:r w:rsidRPr="00731DB1">
        <w:t xml:space="preserve">The author claims that since that moment, he has been </w:t>
      </w:r>
      <w:r w:rsidR="00B61233" w:rsidRPr="00731DB1">
        <w:t>receiv</w:t>
      </w:r>
      <w:r w:rsidR="00A929CD" w:rsidRPr="00731DB1">
        <w:t>ing</w:t>
      </w:r>
      <w:r w:rsidR="00B61233" w:rsidRPr="00731DB1">
        <w:t xml:space="preserve"> </w:t>
      </w:r>
      <w:r w:rsidRPr="00731DB1">
        <w:t>medical treatment that costs 1300 USD per month which is not available in Nigeria</w:t>
      </w:r>
      <w:r w:rsidR="00D864CF" w:rsidRPr="00731DB1">
        <w:t>,</w:t>
      </w:r>
      <w:r w:rsidRPr="00731DB1">
        <w:t xml:space="preserve"> and even if available</w:t>
      </w:r>
      <w:r w:rsidR="00D864CF" w:rsidRPr="00731DB1">
        <w:t>,</w:t>
      </w:r>
      <w:r w:rsidRPr="00731DB1">
        <w:t xml:space="preserve"> </w:t>
      </w:r>
      <w:r w:rsidR="00D864CF" w:rsidRPr="00731DB1">
        <w:t xml:space="preserve">it </w:t>
      </w:r>
      <w:r w:rsidRPr="00731DB1">
        <w:t xml:space="preserve">would not be accessible, as the minimum wage in Nigeria is 35 USD per month. </w:t>
      </w:r>
    </w:p>
    <w:p w14:paraId="49E6ACFE" w14:textId="0EEB19ED" w:rsidR="002660B5" w:rsidRPr="00731DB1" w:rsidRDefault="00A35841" w:rsidP="004E02AC">
      <w:pPr>
        <w:pStyle w:val="SingleTxtG"/>
      </w:pPr>
      <w:r w:rsidRPr="00731DB1">
        <w:t xml:space="preserve">He adds that his residence was raided on 24 June 2020, following a criminal investigation </w:t>
      </w:r>
      <w:r w:rsidR="002E2A73">
        <w:t>of his suspected</w:t>
      </w:r>
      <w:r w:rsidRPr="00731DB1">
        <w:t xml:space="preserve"> theft of 55 vehicles. The author claims that the investigation is part of the State party’s authorities</w:t>
      </w:r>
      <w:r w:rsidR="00C669F8" w:rsidRPr="00731DB1">
        <w:t>’ effort</w:t>
      </w:r>
      <w:r w:rsidRPr="00731DB1">
        <w:t xml:space="preserve"> to tarnish his reputation, as a reprisal </w:t>
      </w:r>
      <w:r w:rsidR="00C669F8" w:rsidRPr="00731DB1">
        <w:t>for</w:t>
      </w:r>
      <w:r w:rsidRPr="00731DB1">
        <w:t xml:space="preserve"> having submitted the communication to the Committee.   </w:t>
      </w:r>
    </w:p>
    <w:p w14:paraId="4931BC06" w14:textId="6696C846" w:rsidR="00653FDF" w:rsidRPr="00731DB1" w:rsidRDefault="00D212CF" w:rsidP="008A319D">
      <w:pPr>
        <w:pStyle w:val="H23G"/>
        <w:spacing w:before="120"/>
        <w:ind w:left="0" w:firstLine="0"/>
      </w:pPr>
      <w:r w:rsidRPr="00731DB1">
        <w:tab/>
      </w:r>
      <w:r w:rsidRPr="00731DB1">
        <w:tab/>
      </w:r>
      <w:r w:rsidR="00653FDF" w:rsidRPr="00731DB1">
        <w:t>State party</w:t>
      </w:r>
      <w:r w:rsidR="0039393F" w:rsidRPr="00731DB1">
        <w:t>’</w:t>
      </w:r>
      <w:r w:rsidR="00EF52D7" w:rsidRPr="00731DB1">
        <w:t xml:space="preserve">s observations on </w:t>
      </w:r>
      <w:r w:rsidR="002E2A73">
        <w:t xml:space="preserve">the </w:t>
      </w:r>
      <w:r w:rsidR="00411650" w:rsidRPr="00731DB1">
        <w:t>admissibility</w:t>
      </w:r>
      <w:r w:rsidR="005D5DA4" w:rsidRPr="00731DB1">
        <w:t xml:space="preserve"> and the merits</w:t>
      </w:r>
      <w:r w:rsidR="00653FDF" w:rsidRPr="00731DB1">
        <w:t xml:space="preserve"> </w:t>
      </w:r>
    </w:p>
    <w:p w14:paraId="4F38EE7E" w14:textId="423D8E6B" w:rsidR="00DD64F9" w:rsidRPr="00731DB1" w:rsidRDefault="000E7F64" w:rsidP="006E4FC1">
      <w:pPr>
        <w:pStyle w:val="SingleTxtG"/>
      </w:pPr>
      <w:r w:rsidRPr="00731DB1">
        <w:t>5</w:t>
      </w:r>
      <w:r w:rsidR="00653FDF" w:rsidRPr="00731DB1">
        <w:t>.1</w:t>
      </w:r>
      <w:r w:rsidR="005D5DA4" w:rsidRPr="00731DB1">
        <w:tab/>
        <w:t>On</w:t>
      </w:r>
      <w:r w:rsidR="001775B4" w:rsidRPr="00731DB1">
        <w:t xml:space="preserve"> 11 January 2021</w:t>
      </w:r>
      <w:r w:rsidR="00DD64F9" w:rsidRPr="00731DB1">
        <w:t xml:space="preserve">, the State party submitted its observations on </w:t>
      </w:r>
      <w:r w:rsidR="004A7B87">
        <w:t xml:space="preserve">the </w:t>
      </w:r>
      <w:r w:rsidR="00DD64F9" w:rsidRPr="00731DB1">
        <w:t xml:space="preserve">admissibility </w:t>
      </w:r>
      <w:r w:rsidR="005D5DA4" w:rsidRPr="00731DB1">
        <w:t xml:space="preserve">and the merits </w:t>
      </w:r>
      <w:r w:rsidR="00DD64F9" w:rsidRPr="00731DB1">
        <w:t>of the com</w:t>
      </w:r>
      <w:r w:rsidR="005D5DA4" w:rsidRPr="00731DB1">
        <w:t xml:space="preserve">munication. </w:t>
      </w:r>
    </w:p>
    <w:p w14:paraId="5C7B8E2B" w14:textId="20D59A31" w:rsidR="0061625B" w:rsidRPr="00731DB1" w:rsidRDefault="000E7F64" w:rsidP="00F55EBA">
      <w:pPr>
        <w:pStyle w:val="SingleTxtG"/>
      </w:pPr>
      <w:r w:rsidRPr="00731DB1">
        <w:t>5</w:t>
      </w:r>
      <w:r w:rsidR="00DD64F9" w:rsidRPr="00731DB1">
        <w:t>.2</w:t>
      </w:r>
      <w:r w:rsidR="00DD64F9" w:rsidRPr="00731DB1">
        <w:tab/>
      </w:r>
      <w:r w:rsidR="00A5362F" w:rsidRPr="00731DB1">
        <w:t xml:space="preserve">The State party submits that the communication is inadmissible because the author did not exhaust the </w:t>
      </w:r>
      <w:r w:rsidR="004A7B87">
        <w:t xml:space="preserve">available </w:t>
      </w:r>
      <w:r w:rsidR="00A5362F" w:rsidRPr="00731DB1">
        <w:t>domestic remedies</w:t>
      </w:r>
      <w:r w:rsidR="00CE53D1" w:rsidRPr="00731DB1">
        <w:t xml:space="preserve">, since </w:t>
      </w:r>
      <w:r w:rsidR="0061625B" w:rsidRPr="00731DB1">
        <w:t xml:space="preserve">the author’s request to the Federal Court </w:t>
      </w:r>
      <w:r w:rsidR="00AF1B18" w:rsidRPr="00731DB1">
        <w:t xml:space="preserve">for </w:t>
      </w:r>
      <w:r w:rsidR="0061625B" w:rsidRPr="00731DB1">
        <w:t xml:space="preserve">leave </w:t>
      </w:r>
      <w:r w:rsidR="004A7B87">
        <w:t>to</w:t>
      </w:r>
      <w:r w:rsidR="0061625B" w:rsidRPr="00731DB1">
        <w:t xml:space="preserve"> appeal the </w:t>
      </w:r>
      <w:r w:rsidR="00CA3A56" w:rsidRPr="00731DB1">
        <w:t xml:space="preserve">rejection of </w:t>
      </w:r>
      <w:r w:rsidR="0061625B" w:rsidRPr="00731DB1">
        <w:t xml:space="preserve">his second H&amp;C </w:t>
      </w:r>
      <w:r w:rsidR="004A7B87">
        <w:t>application</w:t>
      </w:r>
      <w:r w:rsidR="0061625B" w:rsidRPr="00731DB1">
        <w:t xml:space="preserve"> was pending when </w:t>
      </w:r>
      <w:r w:rsidR="00CE53D1" w:rsidRPr="00731DB1">
        <w:t xml:space="preserve">the State party </w:t>
      </w:r>
      <w:r w:rsidR="0061625B" w:rsidRPr="00731DB1">
        <w:t>submitted its observations</w:t>
      </w:r>
      <w:r w:rsidR="00801DF1" w:rsidRPr="00731DB1">
        <w:t xml:space="preserve"> (see para. 2.14)</w:t>
      </w:r>
      <w:r w:rsidR="0061625B" w:rsidRPr="00731DB1">
        <w:t xml:space="preserve">. </w:t>
      </w:r>
      <w:r w:rsidR="00801DF1" w:rsidRPr="00731DB1">
        <w:t>The State party indicates</w:t>
      </w:r>
      <w:r w:rsidR="004070B7" w:rsidRPr="00731DB1">
        <w:t xml:space="preserve"> </w:t>
      </w:r>
      <w:r w:rsidR="001055EF" w:rsidRPr="00731DB1">
        <w:t xml:space="preserve">that </w:t>
      </w:r>
      <w:r w:rsidR="00CA3A56" w:rsidRPr="00731DB1">
        <w:t xml:space="preserve">an </w:t>
      </w:r>
      <w:r w:rsidR="001055EF" w:rsidRPr="00731DB1">
        <w:t xml:space="preserve">appeal to the Federal Court </w:t>
      </w:r>
      <w:r w:rsidR="00CA3A56" w:rsidRPr="00731DB1">
        <w:t xml:space="preserve">regarding </w:t>
      </w:r>
      <w:r w:rsidR="00E95F79" w:rsidRPr="00731DB1">
        <w:t xml:space="preserve">a </w:t>
      </w:r>
      <w:r w:rsidR="00CA3A56" w:rsidRPr="00731DB1">
        <w:t xml:space="preserve">rejection </w:t>
      </w:r>
      <w:r w:rsidR="00E95F79" w:rsidRPr="00731DB1">
        <w:t xml:space="preserve">of a H&amp;C </w:t>
      </w:r>
      <w:r w:rsidR="004A7B87">
        <w:t>application</w:t>
      </w:r>
      <w:r w:rsidR="00E95F79" w:rsidRPr="00731DB1">
        <w:t xml:space="preserve"> </w:t>
      </w:r>
      <w:r w:rsidR="001055EF" w:rsidRPr="00731DB1">
        <w:t>consti</w:t>
      </w:r>
      <w:r w:rsidR="00A36E94" w:rsidRPr="00731DB1">
        <w:t>tutes</w:t>
      </w:r>
      <w:r w:rsidR="001055EF" w:rsidRPr="00731DB1">
        <w:t xml:space="preserve"> an effective remedy to avoid any irreparable </w:t>
      </w:r>
      <w:r w:rsidR="004C2C8F" w:rsidRPr="00731DB1">
        <w:t xml:space="preserve">harm </w:t>
      </w:r>
      <w:r w:rsidR="00A36E94" w:rsidRPr="00731DB1">
        <w:t xml:space="preserve">caused by </w:t>
      </w:r>
      <w:r w:rsidR="004C2C8F" w:rsidRPr="00731DB1">
        <w:t xml:space="preserve">a subsequent </w:t>
      </w:r>
      <w:r w:rsidR="00A36E94" w:rsidRPr="00731DB1">
        <w:t>deportation</w:t>
      </w:r>
      <w:r w:rsidR="00490B7B">
        <w:t>.</w:t>
      </w:r>
      <w:r w:rsidR="001735CD" w:rsidRPr="00731DB1">
        <w:rPr>
          <w:rStyle w:val="FootnoteReference"/>
        </w:rPr>
        <w:footnoteReference w:id="24"/>
      </w:r>
      <w:r w:rsidR="001055EF" w:rsidRPr="00731DB1">
        <w:t xml:space="preserve">  </w:t>
      </w:r>
      <w:r w:rsidR="00801DF1" w:rsidRPr="00731DB1">
        <w:t xml:space="preserve"> </w:t>
      </w:r>
    </w:p>
    <w:p w14:paraId="56E46D45" w14:textId="2F239699" w:rsidR="000A5AA8" w:rsidRPr="00731DB1" w:rsidRDefault="000E7F64" w:rsidP="007C0E7F">
      <w:pPr>
        <w:pStyle w:val="SingleTxtG"/>
      </w:pPr>
      <w:r w:rsidRPr="00731DB1">
        <w:t>5</w:t>
      </w:r>
      <w:r w:rsidR="0061625B" w:rsidRPr="00731DB1">
        <w:t>.3</w:t>
      </w:r>
      <w:r w:rsidR="0061625B" w:rsidRPr="00731DB1">
        <w:tab/>
      </w:r>
      <w:r w:rsidR="00E336B8" w:rsidRPr="00731DB1">
        <w:t>T</w:t>
      </w:r>
      <w:r w:rsidR="00A5362F" w:rsidRPr="00731DB1">
        <w:t xml:space="preserve">he State party </w:t>
      </w:r>
      <w:r w:rsidR="00E336B8" w:rsidRPr="00731DB1">
        <w:t xml:space="preserve">further submits </w:t>
      </w:r>
      <w:r w:rsidR="00A5362F" w:rsidRPr="00731DB1">
        <w:t xml:space="preserve">that </w:t>
      </w:r>
      <w:r w:rsidR="0075281C" w:rsidRPr="00731DB1">
        <w:t xml:space="preserve">the author’s allegations under article 9(1) are incompatible </w:t>
      </w:r>
      <w:proofErr w:type="spellStart"/>
      <w:r w:rsidR="0061625B" w:rsidRPr="00731DB1">
        <w:rPr>
          <w:i/>
        </w:rPr>
        <w:t>ratione</w:t>
      </w:r>
      <w:proofErr w:type="spellEnd"/>
      <w:r w:rsidR="0061625B" w:rsidRPr="00731DB1">
        <w:rPr>
          <w:i/>
        </w:rPr>
        <w:t xml:space="preserve"> </w:t>
      </w:r>
      <w:proofErr w:type="spellStart"/>
      <w:r w:rsidR="0061625B" w:rsidRPr="00731DB1">
        <w:rPr>
          <w:i/>
        </w:rPr>
        <w:t>materiae</w:t>
      </w:r>
      <w:proofErr w:type="spellEnd"/>
      <w:r w:rsidR="0061625B" w:rsidRPr="00731DB1">
        <w:t xml:space="preserve">, </w:t>
      </w:r>
      <w:r w:rsidR="0075281C" w:rsidRPr="00731DB1">
        <w:t xml:space="preserve">since that </w:t>
      </w:r>
      <w:r w:rsidR="0061625B" w:rsidRPr="00731DB1">
        <w:t xml:space="preserve">provision does not impose a </w:t>
      </w:r>
      <w:r w:rsidR="0061625B" w:rsidRPr="00731DB1">
        <w:rPr>
          <w:i/>
        </w:rPr>
        <w:t>non-refoulement</w:t>
      </w:r>
      <w:r w:rsidR="0061625B" w:rsidRPr="00731DB1">
        <w:t xml:space="preserve"> o</w:t>
      </w:r>
      <w:r w:rsidR="00884E7A" w:rsidRPr="00731DB1">
        <w:t>bligation on the State parties</w:t>
      </w:r>
      <w:r w:rsidR="00A5362F" w:rsidRPr="00731DB1">
        <w:t xml:space="preserve">. </w:t>
      </w:r>
      <w:proofErr w:type="gramStart"/>
      <w:r w:rsidR="00E336B8" w:rsidRPr="00731DB1">
        <w:t xml:space="preserve">In particular, </w:t>
      </w:r>
      <w:r w:rsidR="00884E7A" w:rsidRPr="00731DB1">
        <w:t>State</w:t>
      </w:r>
      <w:proofErr w:type="gramEnd"/>
      <w:r w:rsidR="00884E7A" w:rsidRPr="00731DB1">
        <w:t xml:space="preserve"> parties </w:t>
      </w:r>
      <w:r w:rsidR="00E336B8" w:rsidRPr="00731DB1">
        <w:t xml:space="preserve">that </w:t>
      </w:r>
      <w:r w:rsidR="00884E7A" w:rsidRPr="00731DB1">
        <w:t xml:space="preserve">deport a </w:t>
      </w:r>
      <w:r w:rsidR="00F97D56" w:rsidRPr="00731DB1">
        <w:t xml:space="preserve">person, following a decision by </w:t>
      </w:r>
      <w:r w:rsidR="008C1FF1" w:rsidRPr="00731DB1">
        <w:t xml:space="preserve">its </w:t>
      </w:r>
      <w:r w:rsidR="00884E7A" w:rsidRPr="00731DB1">
        <w:t>domestic</w:t>
      </w:r>
      <w:r w:rsidR="00F97D56" w:rsidRPr="00731DB1">
        <w:t xml:space="preserve"> authorities, </w:t>
      </w:r>
      <w:r w:rsidR="00884E7A" w:rsidRPr="00731DB1">
        <w:t xml:space="preserve">are not obliged to ensure that the person’s rights under article 9(1) are respected in </w:t>
      </w:r>
      <w:r w:rsidR="00F97D56" w:rsidRPr="00731DB1">
        <w:t xml:space="preserve">the </w:t>
      </w:r>
      <w:r w:rsidR="00884E7A" w:rsidRPr="00731DB1">
        <w:t xml:space="preserve">country </w:t>
      </w:r>
      <w:r w:rsidR="00DC2F59" w:rsidRPr="00731DB1">
        <w:t xml:space="preserve">to which </w:t>
      </w:r>
      <w:r w:rsidR="00884E7A" w:rsidRPr="00731DB1">
        <w:t>the person is deported. The State party refers to the General Comment N</w:t>
      </w:r>
      <w:r w:rsidR="00DC2F59" w:rsidRPr="00731DB1">
        <w:t>o</w:t>
      </w:r>
      <w:r w:rsidR="004C7D76" w:rsidRPr="00731DB1">
        <w:t xml:space="preserve">. 35, according to which </w:t>
      </w:r>
      <w:r w:rsidR="00F97D56" w:rsidRPr="00731DB1">
        <w:t>only prolonged arbitrary detention may amount to inhuman treatment prohibited by article 7 of the Covenant</w:t>
      </w:r>
      <w:r w:rsidR="00490B7B">
        <w:t>,</w:t>
      </w:r>
      <w:r w:rsidR="00F97D56" w:rsidRPr="00731DB1">
        <w:rPr>
          <w:rStyle w:val="FootnoteReference"/>
        </w:rPr>
        <w:footnoteReference w:id="25"/>
      </w:r>
      <w:r w:rsidR="00F97D56" w:rsidRPr="00731DB1">
        <w:t xml:space="preserve"> which</w:t>
      </w:r>
      <w:r w:rsidR="00E83DB1" w:rsidRPr="00731DB1">
        <w:t>,</w:t>
      </w:r>
      <w:r w:rsidR="00F97D56" w:rsidRPr="00731DB1">
        <w:t xml:space="preserve"> in the view of the S</w:t>
      </w:r>
      <w:r w:rsidR="00537E1F" w:rsidRPr="00731DB1">
        <w:t>tate party,</w:t>
      </w:r>
      <w:r w:rsidR="00F97D56" w:rsidRPr="00731DB1">
        <w:t xml:space="preserve"> </w:t>
      </w:r>
      <w:r w:rsidR="00537E1F" w:rsidRPr="00731DB1">
        <w:t>c</w:t>
      </w:r>
      <w:r w:rsidR="00F97D56" w:rsidRPr="00731DB1">
        <w:t xml:space="preserve">onfirms </w:t>
      </w:r>
      <w:r w:rsidR="00E336B8" w:rsidRPr="00731DB1">
        <w:t xml:space="preserve">that the </w:t>
      </w:r>
      <w:r w:rsidR="00E83DB1" w:rsidRPr="00731DB1">
        <w:t xml:space="preserve">Covenant does not impose an </w:t>
      </w:r>
      <w:r w:rsidR="008C1FF1" w:rsidRPr="00731DB1">
        <w:t xml:space="preserve">obligation to ensure the enjoyment of all </w:t>
      </w:r>
      <w:r w:rsidR="00E83DB1" w:rsidRPr="00731DB1">
        <w:t xml:space="preserve">of </w:t>
      </w:r>
      <w:r w:rsidR="008C1FF1" w:rsidRPr="00731DB1">
        <w:t xml:space="preserve">the rights </w:t>
      </w:r>
      <w:r w:rsidR="00E83DB1" w:rsidRPr="00731DB1">
        <w:t>it contains</w:t>
      </w:r>
      <w:r w:rsidR="007A27BE">
        <w:t xml:space="preserve"> outside the respective territory</w:t>
      </w:r>
      <w:r w:rsidR="00490B7B">
        <w:t>.</w:t>
      </w:r>
      <w:r w:rsidR="008C1FF1" w:rsidRPr="00731DB1">
        <w:rPr>
          <w:rStyle w:val="FootnoteReference"/>
        </w:rPr>
        <w:footnoteReference w:id="26"/>
      </w:r>
      <w:r w:rsidR="00F97D56" w:rsidRPr="00731DB1">
        <w:t xml:space="preserve"> </w:t>
      </w:r>
      <w:r w:rsidR="002A30A8" w:rsidRPr="00731DB1">
        <w:t xml:space="preserve">Moreover, the State party indicates that according to the Committee’s jurisprudence, a person’s rights under the Covenant could be violated by a deportation </w:t>
      </w:r>
      <w:r w:rsidR="000A5AA8" w:rsidRPr="00731DB1">
        <w:t xml:space="preserve">only </w:t>
      </w:r>
      <w:r w:rsidR="002A30A8" w:rsidRPr="00731DB1">
        <w:t xml:space="preserve">if the country </w:t>
      </w:r>
      <w:r w:rsidR="00070D8C" w:rsidRPr="00731DB1">
        <w:t xml:space="preserve">to which </w:t>
      </w:r>
      <w:r w:rsidR="002A30A8" w:rsidRPr="00731DB1">
        <w:t>the person is deported would violate the person’s rights under articles 6 and 7</w:t>
      </w:r>
      <w:r w:rsidR="007A27BE">
        <w:t xml:space="preserve"> of the Covenant</w:t>
      </w:r>
      <w:r w:rsidR="002A30A8" w:rsidRPr="00731DB1">
        <w:t xml:space="preserve">. </w:t>
      </w:r>
      <w:r w:rsidR="000A5AA8" w:rsidRPr="00731DB1">
        <w:t xml:space="preserve">It adds that States have the sovereign power to regulate immigration matters and that if the Covenant </w:t>
      </w:r>
      <w:r w:rsidR="000A5AA8" w:rsidRPr="00731DB1">
        <w:lastRenderedPageBreak/>
        <w:t>allowed for its extraterritorial application, it would be usurping the States’ powers in this respect</w:t>
      </w:r>
      <w:r w:rsidR="00490B7B">
        <w:t>.</w:t>
      </w:r>
      <w:r w:rsidR="003706AF" w:rsidRPr="00731DB1">
        <w:rPr>
          <w:rStyle w:val="FootnoteReference"/>
        </w:rPr>
        <w:footnoteReference w:id="27"/>
      </w:r>
      <w:r w:rsidR="000A5AA8" w:rsidRPr="00731DB1">
        <w:t xml:space="preserve"> </w:t>
      </w:r>
    </w:p>
    <w:p w14:paraId="19C32559" w14:textId="03552CD9" w:rsidR="008A2074" w:rsidRPr="00731DB1" w:rsidRDefault="000E7F64" w:rsidP="007C0E7F">
      <w:pPr>
        <w:pStyle w:val="SingleTxtG"/>
      </w:pPr>
      <w:r w:rsidRPr="00731DB1">
        <w:t>5</w:t>
      </w:r>
      <w:r w:rsidR="007C0E7F" w:rsidRPr="00731DB1">
        <w:t>.4</w:t>
      </w:r>
      <w:r w:rsidR="007C0E7F" w:rsidRPr="00731DB1">
        <w:tab/>
      </w:r>
      <w:r w:rsidR="00A5362F" w:rsidRPr="00731DB1">
        <w:t xml:space="preserve">The State party also submits that the author did not substantiate his claims regarding articles 6 and 7 of the Covenant. </w:t>
      </w:r>
      <w:r w:rsidR="003A750A" w:rsidRPr="00731DB1">
        <w:t>T</w:t>
      </w:r>
      <w:r w:rsidR="0061625B" w:rsidRPr="00731DB1">
        <w:t xml:space="preserve">he State party indicates that </w:t>
      </w:r>
      <w:r w:rsidR="007C0E7F" w:rsidRPr="00731DB1">
        <w:t xml:space="preserve">the author failed to establish </w:t>
      </w:r>
      <w:r w:rsidR="00F71EEF" w:rsidRPr="00731DB1">
        <w:t xml:space="preserve">for </w:t>
      </w:r>
      <w:r w:rsidR="007C0E7F" w:rsidRPr="00731DB1">
        <w:t xml:space="preserve">admissibility purposes that he would face a real, </w:t>
      </w:r>
      <w:proofErr w:type="gramStart"/>
      <w:r w:rsidR="007C0E7F" w:rsidRPr="00731DB1">
        <w:t>personalized</w:t>
      </w:r>
      <w:proofErr w:type="gramEnd"/>
      <w:r w:rsidR="007C0E7F" w:rsidRPr="00731DB1">
        <w:t xml:space="preserve"> and continuous risk if deported to Nigeria. The author failed to demonstrate that the Nigerian authorities are looking for him or that he would be killed or subjected to torture or ill treatment, in particular </w:t>
      </w:r>
      <w:proofErr w:type="gramStart"/>
      <w:r w:rsidR="007C0E7F" w:rsidRPr="00731DB1">
        <w:t>taking into account</w:t>
      </w:r>
      <w:proofErr w:type="gramEnd"/>
      <w:r w:rsidR="007C0E7F" w:rsidRPr="00731DB1">
        <w:t xml:space="preserve"> that he left </w:t>
      </w:r>
      <w:r w:rsidR="008B38ED" w:rsidRPr="00731DB1">
        <w:t xml:space="preserve">the </w:t>
      </w:r>
      <w:r w:rsidR="007C0E7F" w:rsidRPr="00731DB1">
        <w:t xml:space="preserve">country more than 13 years ago. </w:t>
      </w:r>
      <w:r w:rsidR="00203D5E" w:rsidRPr="00731DB1">
        <w:t xml:space="preserve">The State party considers that the author has not demonstrated, even </w:t>
      </w:r>
      <w:r w:rsidR="00203D5E" w:rsidRPr="00731DB1">
        <w:rPr>
          <w:i/>
        </w:rPr>
        <w:t>prima facie</w:t>
      </w:r>
      <w:r w:rsidR="00203D5E" w:rsidRPr="00731DB1">
        <w:t xml:space="preserve">, that </w:t>
      </w:r>
      <w:r w:rsidR="00F71EEF" w:rsidRPr="00731DB1">
        <w:t xml:space="preserve">if deported, </w:t>
      </w:r>
      <w:r w:rsidR="00203D5E" w:rsidRPr="00731DB1">
        <w:t>he would face a real risk of irreparable harm,</w:t>
      </w:r>
      <w:r w:rsidR="00203D5E" w:rsidRPr="00731DB1">
        <w:rPr>
          <w:rFonts w:eastAsia="Times New Roman"/>
          <w:sz w:val="24"/>
          <w:lang w:eastAsia="en-US"/>
        </w:rPr>
        <w:t xml:space="preserve"> </w:t>
      </w:r>
      <w:r w:rsidR="00203D5E" w:rsidRPr="00731DB1">
        <w:t>such as that contemplated by art</w:t>
      </w:r>
      <w:r w:rsidR="004C7D76" w:rsidRPr="00731DB1">
        <w:t>icles 6 and 7 of the Covenant</w:t>
      </w:r>
      <w:r w:rsidR="00490B7B">
        <w:t>.</w:t>
      </w:r>
      <w:r w:rsidR="00203D5E" w:rsidRPr="00731DB1">
        <w:rPr>
          <w:rStyle w:val="FootnoteReference"/>
        </w:rPr>
        <w:footnoteReference w:id="28"/>
      </w:r>
      <w:r w:rsidR="003A0782" w:rsidRPr="00731DB1">
        <w:t xml:space="preserve"> </w:t>
      </w:r>
      <w:r w:rsidR="00F71EEF" w:rsidRPr="00731DB1">
        <w:t>T</w:t>
      </w:r>
      <w:r w:rsidR="00203D5E" w:rsidRPr="00731DB1">
        <w:t xml:space="preserve">he State party indicates that </w:t>
      </w:r>
      <w:r w:rsidR="002719DD" w:rsidRPr="00731DB1">
        <w:t xml:space="preserve">several domestic authorities </w:t>
      </w:r>
      <w:r w:rsidR="00F71EEF" w:rsidRPr="00731DB1">
        <w:t xml:space="preserve">had </w:t>
      </w:r>
      <w:r w:rsidR="002719DD" w:rsidRPr="00731DB1">
        <w:t xml:space="preserve">analysed the author’s claims and all concluded that </w:t>
      </w:r>
      <w:r w:rsidR="004C7D76" w:rsidRPr="00731DB1">
        <w:t xml:space="preserve">he </w:t>
      </w:r>
      <w:r w:rsidR="002719DD" w:rsidRPr="00731DB1">
        <w:t>did not demonstrate that he would face a</w:t>
      </w:r>
      <w:r w:rsidR="004C7D76" w:rsidRPr="00731DB1">
        <w:t>ny</w:t>
      </w:r>
      <w:r w:rsidR="002719DD" w:rsidRPr="00731DB1">
        <w:t xml:space="preserve"> risk if deported to Nigeria</w:t>
      </w:r>
      <w:r w:rsidR="004C4E21" w:rsidRPr="00731DB1">
        <w:t>. In particular</w:t>
      </w:r>
      <w:r w:rsidR="002719DD" w:rsidRPr="00731DB1">
        <w:t xml:space="preserve">, </w:t>
      </w:r>
      <w:r w:rsidR="004C4E21" w:rsidRPr="00731DB1">
        <w:t xml:space="preserve">the author made </w:t>
      </w:r>
      <w:r w:rsidR="002719DD" w:rsidRPr="00731DB1">
        <w:t>several incoheren</w:t>
      </w:r>
      <w:r w:rsidR="004C4E21" w:rsidRPr="00731DB1">
        <w:t xml:space="preserve">t </w:t>
      </w:r>
      <w:r w:rsidR="002719DD" w:rsidRPr="00731DB1">
        <w:t>an</w:t>
      </w:r>
      <w:r w:rsidR="004C7D76" w:rsidRPr="00731DB1">
        <w:t xml:space="preserve">d </w:t>
      </w:r>
      <w:r w:rsidR="004C4E21" w:rsidRPr="00731DB1">
        <w:t>contradictory allegations</w:t>
      </w:r>
      <w:r w:rsidR="004C7D76" w:rsidRPr="00731DB1">
        <w:t xml:space="preserve">, he </w:t>
      </w:r>
      <w:r w:rsidR="004C4E21" w:rsidRPr="00731DB1">
        <w:t xml:space="preserve">submitted </w:t>
      </w:r>
      <w:r w:rsidR="002719DD" w:rsidRPr="00731DB1">
        <w:t xml:space="preserve">fake documents, </w:t>
      </w:r>
      <w:r w:rsidR="004C7D76" w:rsidRPr="00731DB1">
        <w:t xml:space="preserve">and </w:t>
      </w:r>
      <w:r w:rsidR="002719DD" w:rsidRPr="00731DB1">
        <w:t>made false statements, in</w:t>
      </w:r>
      <w:r w:rsidR="004C4E21" w:rsidRPr="00731DB1">
        <w:t xml:space="preserve">cluding </w:t>
      </w:r>
      <w:r w:rsidR="00B12249" w:rsidRPr="00731DB1">
        <w:t xml:space="preserve">regarding the loss of his </w:t>
      </w:r>
      <w:r w:rsidR="002719DD" w:rsidRPr="00731DB1">
        <w:t>refugee travel document</w:t>
      </w:r>
      <w:r w:rsidR="00B12249" w:rsidRPr="00731DB1">
        <w:t xml:space="preserve"> </w:t>
      </w:r>
      <w:r w:rsidR="00823E19" w:rsidRPr="00731DB1">
        <w:t>(</w:t>
      </w:r>
      <w:r w:rsidR="00B12249" w:rsidRPr="00731DB1">
        <w:t>which he used afterwards</w:t>
      </w:r>
      <w:r w:rsidR="00823E19" w:rsidRPr="00731DB1">
        <w:t>)</w:t>
      </w:r>
      <w:r w:rsidR="002719DD" w:rsidRPr="00731DB1">
        <w:t xml:space="preserve">. </w:t>
      </w:r>
      <w:r w:rsidR="00C0790F" w:rsidRPr="00731DB1">
        <w:t>T</w:t>
      </w:r>
      <w:r w:rsidR="002719DD" w:rsidRPr="00731DB1">
        <w:t>hese assessments were confirmed by the Federal Court which reviewed the evidence submitted by the autho</w:t>
      </w:r>
      <w:r w:rsidR="00B12249" w:rsidRPr="00731DB1">
        <w:t>r.</w:t>
      </w:r>
      <w:r w:rsidR="003A0782" w:rsidRPr="00731DB1">
        <w:t xml:space="preserve"> The State party considers that</w:t>
      </w:r>
      <w:r w:rsidR="00B12249" w:rsidRPr="00731DB1">
        <w:t xml:space="preserve"> </w:t>
      </w:r>
      <w:r w:rsidR="003A0782" w:rsidRPr="00731DB1">
        <w:t xml:space="preserve">the Committee is not in position to examine the credibility of the author, as it has not had the possibility to hear him directly. </w:t>
      </w:r>
      <w:r w:rsidR="002719DD" w:rsidRPr="00731DB1">
        <w:t xml:space="preserve"> </w:t>
      </w:r>
    </w:p>
    <w:p w14:paraId="036EF00C" w14:textId="05651E8A" w:rsidR="0061625B" w:rsidRPr="00731DB1" w:rsidRDefault="008A2074" w:rsidP="007C0E7F">
      <w:pPr>
        <w:pStyle w:val="SingleTxtG"/>
      </w:pPr>
      <w:r w:rsidRPr="00731DB1">
        <w:t>5.5</w:t>
      </w:r>
      <w:r w:rsidRPr="00731DB1">
        <w:tab/>
      </w:r>
      <w:r w:rsidR="00F71EEF" w:rsidRPr="00731DB1">
        <w:t>T</w:t>
      </w:r>
      <w:r w:rsidR="003A0782" w:rsidRPr="00731DB1">
        <w:t xml:space="preserve">he State party </w:t>
      </w:r>
      <w:r w:rsidR="00F71EEF" w:rsidRPr="00731DB1">
        <w:t xml:space="preserve">also </w:t>
      </w:r>
      <w:r w:rsidR="003A0782" w:rsidRPr="00731DB1">
        <w:t xml:space="preserve">indicates that </w:t>
      </w:r>
      <w:r w:rsidRPr="00731DB1">
        <w:t>the author has not provide</w:t>
      </w:r>
      <w:r w:rsidR="0097653C" w:rsidRPr="00731DB1">
        <w:t>d</w:t>
      </w:r>
      <w:r w:rsidRPr="00731DB1">
        <w:t xml:space="preserve"> sufficient evidence to substantiate his claims before </w:t>
      </w:r>
      <w:r w:rsidR="00EA4EB7" w:rsidRPr="00731DB1">
        <w:t xml:space="preserve">either </w:t>
      </w:r>
      <w:r w:rsidRPr="00731DB1">
        <w:t xml:space="preserve">the domestic authorities </w:t>
      </w:r>
      <w:r w:rsidR="00C116FB" w:rsidRPr="00731DB1">
        <w:t xml:space="preserve">or </w:t>
      </w:r>
      <w:r w:rsidRPr="00731DB1">
        <w:t xml:space="preserve">the Committee. Moreover, the significant number of incoherencies and contradictions </w:t>
      </w:r>
      <w:r w:rsidR="00FE4A05" w:rsidRPr="00731DB1">
        <w:t xml:space="preserve">in his account </w:t>
      </w:r>
      <w:r w:rsidRPr="00731DB1">
        <w:t>has weaken</w:t>
      </w:r>
      <w:r w:rsidR="00A407A9" w:rsidRPr="00731DB1">
        <w:t>ed</w:t>
      </w:r>
      <w:r w:rsidRPr="00731DB1">
        <w:t xml:space="preserve"> the credibility of the evidence </w:t>
      </w:r>
      <w:r w:rsidR="002A401D" w:rsidRPr="00731DB1">
        <w:t xml:space="preserve">he </w:t>
      </w:r>
      <w:r w:rsidRPr="00731DB1">
        <w:t xml:space="preserve">submitted. </w:t>
      </w:r>
      <w:r w:rsidR="008851D7" w:rsidRPr="00731DB1">
        <w:t xml:space="preserve">For </w:t>
      </w:r>
      <w:r w:rsidR="00BC308C" w:rsidRPr="00731DB1">
        <w:t xml:space="preserve">example, the State party indicates that </w:t>
      </w:r>
      <w:r w:rsidR="002A401D" w:rsidRPr="00731DB1">
        <w:t>the author has not provided any evidence regarding his allegations of having been subjected to torture by the Nigerian authorities in 2004 and in 2015</w:t>
      </w:r>
      <w:r w:rsidR="005E55C0" w:rsidRPr="00731DB1">
        <w:t>. T</w:t>
      </w:r>
      <w:r w:rsidR="002A401D" w:rsidRPr="00731DB1">
        <w:t>he medical certificate concerning the first date referred to the author’s version of the facts</w:t>
      </w:r>
      <w:r w:rsidR="00625BC6" w:rsidRPr="00731DB1">
        <w:t xml:space="preserve">. As to </w:t>
      </w:r>
      <w:r w:rsidR="00A407A9" w:rsidRPr="00731DB1">
        <w:t>the second allegation,</w:t>
      </w:r>
      <w:r w:rsidR="002A401D" w:rsidRPr="00731DB1">
        <w:t xml:space="preserve"> the author change</w:t>
      </w:r>
      <w:r w:rsidR="00541563" w:rsidRPr="00731DB1">
        <w:t>d</w:t>
      </w:r>
      <w:r w:rsidR="002A401D" w:rsidRPr="00731DB1">
        <w:t xml:space="preserve"> his story </w:t>
      </w:r>
      <w:r w:rsidR="00625BC6" w:rsidRPr="00731DB1">
        <w:t xml:space="preserve">during the interview with the PRRA agent </w:t>
      </w:r>
      <w:r w:rsidR="002A401D" w:rsidRPr="00731DB1">
        <w:t xml:space="preserve">and did </w:t>
      </w:r>
      <w:r w:rsidR="00A407A9" w:rsidRPr="00731DB1">
        <w:t xml:space="preserve">not allow the agent to </w:t>
      </w:r>
      <w:r w:rsidR="00591DF8" w:rsidRPr="00731DB1">
        <w:t xml:space="preserve">examine </w:t>
      </w:r>
      <w:r w:rsidR="00A407A9" w:rsidRPr="00731DB1">
        <w:t>his</w:t>
      </w:r>
      <w:r w:rsidR="002A401D" w:rsidRPr="00731DB1">
        <w:t xml:space="preserve"> skull</w:t>
      </w:r>
      <w:r w:rsidR="000E3843" w:rsidRPr="00731DB1">
        <w:t xml:space="preserve"> for signs of torture</w:t>
      </w:r>
      <w:r w:rsidR="002A401D" w:rsidRPr="00731DB1">
        <w:t xml:space="preserve">. </w:t>
      </w:r>
      <w:r w:rsidR="00541563" w:rsidRPr="00731DB1">
        <w:t xml:space="preserve">The State party further indicates that the author has not provided sufficient proof that the Nigerian authorities are </w:t>
      </w:r>
      <w:r w:rsidR="000E3843" w:rsidRPr="00731DB1">
        <w:t xml:space="preserve">searching </w:t>
      </w:r>
      <w:r w:rsidR="00541563" w:rsidRPr="00731DB1">
        <w:t>for him</w:t>
      </w:r>
      <w:r w:rsidR="000E3843" w:rsidRPr="00731DB1">
        <w:t>. F</w:t>
      </w:r>
      <w:r w:rsidR="00BF6248" w:rsidRPr="00731DB1">
        <w:t xml:space="preserve">or instance, he has not demonstrated that he is an active MASSOB member, taking into account that </w:t>
      </w:r>
      <w:r w:rsidR="000E3843" w:rsidRPr="00731DB1">
        <w:t xml:space="preserve">the domestic authorities concluded that </w:t>
      </w:r>
      <w:r w:rsidR="00BF6248" w:rsidRPr="00731DB1">
        <w:t>the documents he provided to demonstrate such membership do not have a</w:t>
      </w:r>
      <w:r w:rsidR="009A1DF9" w:rsidRPr="00731DB1">
        <w:t>n</w:t>
      </w:r>
      <w:r w:rsidR="00BF6248" w:rsidRPr="00731DB1">
        <w:t>y evidentiary weight</w:t>
      </w:r>
      <w:r w:rsidR="00003C97">
        <w:t>.</w:t>
      </w:r>
      <w:r w:rsidR="00BA36C7" w:rsidRPr="00731DB1">
        <w:rPr>
          <w:rStyle w:val="FootnoteReference"/>
        </w:rPr>
        <w:footnoteReference w:id="29"/>
      </w:r>
      <w:r w:rsidR="00BF6248" w:rsidRPr="00731DB1">
        <w:t xml:space="preserve"> </w:t>
      </w:r>
      <w:r w:rsidR="007C065F" w:rsidRPr="00731DB1">
        <w:t>In addition, t</w:t>
      </w:r>
      <w:r w:rsidR="00BF6248" w:rsidRPr="00731DB1">
        <w:t>he State party refers to a 2020 report by the UK Home Office, according to which</w:t>
      </w:r>
      <w:r w:rsidR="007C065F" w:rsidRPr="00731DB1">
        <w:t>,</w:t>
      </w:r>
      <w:r w:rsidR="00BF6248" w:rsidRPr="00731DB1">
        <w:t xml:space="preserve"> </w:t>
      </w:r>
      <w:r w:rsidR="00BA36C7" w:rsidRPr="00731DB1">
        <w:t>by that year</w:t>
      </w:r>
      <w:r w:rsidR="007C065F" w:rsidRPr="00731DB1">
        <w:t>,</w:t>
      </w:r>
      <w:r w:rsidR="00BA36C7" w:rsidRPr="00731DB1">
        <w:t xml:space="preserve"> MASSOB</w:t>
      </w:r>
      <w:r w:rsidR="007C065F" w:rsidRPr="00731DB1">
        <w:t xml:space="preserve"> had split i</w:t>
      </w:r>
      <w:r w:rsidR="00A407A9" w:rsidRPr="00731DB1">
        <w:t>n several small groups which had</w:t>
      </w:r>
      <w:r w:rsidR="007C065F" w:rsidRPr="00731DB1">
        <w:t xml:space="preserve"> made it lose importance</w:t>
      </w:r>
      <w:r w:rsidR="00003C97">
        <w:t>.</w:t>
      </w:r>
      <w:r w:rsidR="007C065F" w:rsidRPr="00731DB1">
        <w:rPr>
          <w:rStyle w:val="FootnoteReference"/>
        </w:rPr>
        <w:footnoteReference w:id="30"/>
      </w:r>
      <w:r w:rsidR="007C065F" w:rsidRPr="00731DB1">
        <w:t xml:space="preserve"> Therefore, the State party maintains that it </w:t>
      </w:r>
      <w:r w:rsidR="00A407A9" w:rsidRPr="00731DB1">
        <w:t xml:space="preserve">is </w:t>
      </w:r>
      <w:r w:rsidR="0012576E" w:rsidRPr="00731DB1">
        <w:t>un</w:t>
      </w:r>
      <w:r w:rsidR="007C065F" w:rsidRPr="00731DB1">
        <w:t>likely that the Nigerian authorities are interested in persecuting MASSOB</w:t>
      </w:r>
      <w:r w:rsidR="00922004" w:rsidRPr="00731DB1">
        <w:t xml:space="preserve"> members, and </w:t>
      </w:r>
      <w:r w:rsidR="000E3843" w:rsidRPr="00731DB1">
        <w:t xml:space="preserve">if </w:t>
      </w:r>
      <w:r w:rsidR="00922004" w:rsidRPr="00731DB1">
        <w:t xml:space="preserve">they are, they </w:t>
      </w:r>
      <w:r w:rsidR="003E6EB4" w:rsidRPr="00731DB1">
        <w:t>would focus on individuals</w:t>
      </w:r>
      <w:r w:rsidR="002062C8" w:rsidRPr="00731DB1">
        <w:t xml:space="preserve"> who, unlike the author,</w:t>
      </w:r>
      <w:r w:rsidR="003E6EB4" w:rsidRPr="00731DB1">
        <w:t xml:space="preserve"> </w:t>
      </w:r>
      <w:r w:rsidR="002062C8" w:rsidRPr="00731DB1">
        <w:t xml:space="preserve">engaged in separatist </w:t>
      </w:r>
      <w:r w:rsidR="00AA0F86" w:rsidRPr="00731DB1">
        <w:t>activities</w:t>
      </w:r>
      <w:r w:rsidR="00922004" w:rsidRPr="00731DB1">
        <w:t>.</w:t>
      </w:r>
    </w:p>
    <w:p w14:paraId="087E6095" w14:textId="523F1C03" w:rsidR="00327250" w:rsidRPr="00731DB1" w:rsidRDefault="00922004" w:rsidP="007C0E7F">
      <w:pPr>
        <w:pStyle w:val="SingleTxtG"/>
      </w:pPr>
      <w:r w:rsidRPr="00731DB1">
        <w:t>5.6</w:t>
      </w:r>
      <w:r w:rsidRPr="00731DB1">
        <w:tab/>
      </w:r>
      <w:r w:rsidR="00A407A9" w:rsidRPr="00731DB1">
        <w:t>Regarding the author’s allegations that he had contracted tuberculosis</w:t>
      </w:r>
      <w:r w:rsidR="006D59D6" w:rsidRPr="00731DB1">
        <w:t xml:space="preserve"> while in detention in Canada</w:t>
      </w:r>
      <w:r w:rsidR="00A407A9" w:rsidRPr="00731DB1">
        <w:t xml:space="preserve">, the State party </w:t>
      </w:r>
      <w:r w:rsidR="00E27F11" w:rsidRPr="00731DB1">
        <w:t xml:space="preserve">asserts </w:t>
      </w:r>
      <w:r w:rsidR="00A407A9" w:rsidRPr="00731DB1">
        <w:t xml:space="preserve">that </w:t>
      </w:r>
      <w:r w:rsidR="00197018" w:rsidRPr="00731DB1">
        <w:t>the medical certificate submitted by him, besides being undated, indicates that he has non-active tuberculosis which means that he does not need medical treatment.</w:t>
      </w:r>
      <w:r w:rsidR="009106F1" w:rsidRPr="00731DB1">
        <w:t xml:space="preserve"> Furthermore</w:t>
      </w:r>
      <w:r w:rsidR="00197018" w:rsidRPr="00731DB1">
        <w:t>, the State party indicates that none of the documents provided by the author demonstrate that he would not be able to find treatment for his</w:t>
      </w:r>
      <w:r w:rsidR="00442E81" w:rsidRPr="00731DB1">
        <w:t xml:space="preserve"> medical conditions in Nigeria.</w:t>
      </w:r>
    </w:p>
    <w:p w14:paraId="4C5076CA" w14:textId="28557453" w:rsidR="00922004" w:rsidRPr="00731DB1" w:rsidRDefault="00327250" w:rsidP="007C0E7F">
      <w:pPr>
        <w:pStyle w:val="SingleTxtG"/>
      </w:pPr>
      <w:r w:rsidRPr="00731DB1">
        <w:t>5.7</w:t>
      </w:r>
      <w:r w:rsidRPr="00731DB1">
        <w:tab/>
        <w:t>The State party refers to the Committee’</w:t>
      </w:r>
      <w:r w:rsidR="008C2881" w:rsidRPr="00731DB1">
        <w:t>s jurisprudence</w:t>
      </w:r>
      <w:r w:rsidR="00197018" w:rsidRPr="00731DB1">
        <w:t xml:space="preserve"> </w:t>
      </w:r>
      <w:r w:rsidR="008C2881" w:rsidRPr="00731DB1">
        <w:t xml:space="preserve">according to which it </w:t>
      </w:r>
      <w:r w:rsidR="00354183" w:rsidRPr="00731DB1">
        <w:t xml:space="preserve">is for the </w:t>
      </w:r>
      <w:r w:rsidR="008C2881" w:rsidRPr="00731DB1">
        <w:t xml:space="preserve">domestic authorities to assess the facts and evidence, and that a significant weight should be given to their decisions unless the author demonstrates that such decisions are manifestly arbitrary or constitute a denial of justice, which the author has not done in the present case.  </w:t>
      </w:r>
    </w:p>
    <w:p w14:paraId="18A8EE2F" w14:textId="4B18CCD4" w:rsidR="00067DC5" w:rsidRPr="00731DB1" w:rsidRDefault="000E7F64" w:rsidP="0012347D">
      <w:pPr>
        <w:pStyle w:val="SingleTxtG"/>
      </w:pPr>
      <w:r w:rsidRPr="00731DB1">
        <w:t>5</w:t>
      </w:r>
      <w:r w:rsidR="00A407A9" w:rsidRPr="00731DB1">
        <w:t>.</w:t>
      </w:r>
      <w:r w:rsidR="00270381" w:rsidRPr="00731DB1">
        <w:t>8</w:t>
      </w:r>
      <w:r w:rsidR="00067DC5" w:rsidRPr="00731DB1">
        <w:tab/>
      </w:r>
      <w:r w:rsidR="00354183" w:rsidRPr="00731DB1">
        <w:t>Lastly</w:t>
      </w:r>
      <w:r w:rsidR="00067DC5" w:rsidRPr="00731DB1">
        <w:t>, the State party submits that</w:t>
      </w:r>
      <w:r w:rsidR="00354183" w:rsidRPr="00731DB1">
        <w:t>,</w:t>
      </w:r>
      <w:r w:rsidR="00067DC5" w:rsidRPr="00731DB1">
        <w:t xml:space="preserve"> in case the Committee considers the communication </w:t>
      </w:r>
      <w:r w:rsidR="00354183" w:rsidRPr="00731DB1">
        <w:t xml:space="preserve">to be </w:t>
      </w:r>
      <w:r w:rsidR="00067DC5" w:rsidRPr="00731DB1">
        <w:t>admissible, the author’s claims are manifestly unfounded</w:t>
      </w:r>
      <w:r w:rsidR="0012347D" w:rsidRPr="00731DB1">
        <w:t xml:space="preserve"> because of several reasons: </w:t>
      </w:r>
      <w:r w:rsidR="009106F1" w:rsidRPr="00731DB1">
        <w:t xml:space="preserve">there is no credible proof that the author had been subjected to torture in </w:t>
      </w:r>
      <w:r w:rsidR="009106F1" w:rsidRPr="00731DB1">
        <w:lastRenderedPageBreak/>
        <w:t>Nigeria; the author’s lack</w:t>
      </w:r>
      <w:r w:rsidR="0012347D" w:rsidRPr="00731DB1">
        <w:t xml:space="preserve">s </w:t>
      </w:r>
      <w:r w:rsidR="009106F1" w:rsidRPr="00731DB1">
        <w:t xml:space="preserve">credibility; the </w:t>
      </w:r>
      <w:r w:rsidR="0012347D" w:rsidRPr="00731DB1">
        <w:t xml:space="preserve">author’s </w:t>
      </w:r>
      <w:r w:rsidR="009106F1" w:rsidRPr="00731DB1">
        <w:t xml:space="preserve">evidence </w:t>
      </w:r>
      <w:r w:rsidR="00426E3B" w:rsidRPr="00731DB1">
        <w:t xml:space="preserve">lacks </w:t>
      </w:r>
      <w:r w:rsidR="009106F1" w:rsidRPr="00731DB1">
        <w:t>evident</w:t>
      </w:r>
      <w:r w:rsidR="0012347D" w:rsidRPr="00731DB1">
        <w:t>iary value, as it</w:t>
      </w:r>
      <w:r w:rsidR="009106F1" w:rsidRPr="00731DB1">
        <w:t xml:space="preserve"> contain fake documents, including the judgement convicting him to life </w:t>
      </w:r>
      <w:r w:rsidR="00F47756">
        <w:t>im</w:t>
      </w:r>
      <w:r w:rsidR="009106F1" w:rsidRPr="00731DB1">
        <w:t>prison</w:t>
      </w:r>
      <w:r w:rsidR="00F47756">
        <w:t>ment</w:t>
      </w:r>
      <w:r w:rsidR="009106F1" w:rsidRPr="00731DB1">
        <w:t xml:space="preserve"> which has been confirmed as non-authentic</w:t>
      </w:r>
      <w:r w:rsidR="0012347D" w:rsidRPr="00731DB1">
        <w:t>;</w:t>
      </w:r>
      <w:r w:rsidR="009106F1" w:rsidRPr="00731DB1">
        <w:t xml:space="preserve"> and the author has not demonstrated his participation in any political activity linked to MASSOB at least since 2007.  </w:t>
      </w:r>
    </w:p>
    <w:p w14:paraId="6C227A26" w14:textId="20E32BD8" w:rsidR="00A005EF" w:rsidRPr="00731DB1" w:rsidRDefault="00700C23" w:rsidP="00700C23">
      <w:pPr>
        <w:pStyle w:val="H23G"/>
      </w:pPr>
      <w:r w:rsidRPr="00731DB1">
        <w:tab/>
      </w:r>
      <w:r w:rsidRPr="00731DB1">
        <w:tab/>
      </w:r>
      <w:r w:rsidR="00001DA0" w:rsidRPr="00731DB1">
        <w:t xml:space="preserve">Author’s </w:t>
      </w:r>
      <w:r w:rsidR="00A005EF" w:rsidRPr="00731DB1">
        <w:t>comments</w:t>
      </w:r>
      <w:r w:rsidR="00001DA0" w:rsidRPr="00731DB1">
        <w:t xml:space="preserve"> on the State party’s observations on the admissibility and merits </w:t>
      </w:r>
    </w:p>
    <w:p w14:paraId="16CD1A79" w14:textId="30BEF723" w:rsidR="002C7FE0" w:rsidRPr="00731DB1" w:rsidRDefault="00AE4D53" w:rsidP="00D212CF">
      <w:pPr>
        <w:pStyle w:val="SingleTxtG"/>
      </w:pPr>
      <w:r w:rsidRPr="00731DB1">
        <w:t>6.1</w:t>
      </w:r>
      <w:r w:rsidRPr="00731DB1">
        <w:tab/>
        <w:t xml:space="preserve">On </w:t>
      </w:r>
      <w:r w:rsidR="004E02AC" w:rsidRPr="00731DB1">
        <w:t>2</w:t>
      </w:r>
      <w:r w:rsidRPr="00731DB1">
        <w:t xml:space="preserve">4 </w:t>
      </w:r>
      <w:r w:rsidR="004E02AC" w:rsidRPr="00731DB1">
        <w:t xml:space="preserve">January </w:t>
      </w:r>
      <w:r w:rsidRPr="00731DB1">
        <w:t>20</w:t>
      </w:r>
      <w:r w:rsidR="004E02AC" w:rsidRPr="00731DB1">
        <w:t>22</w:t>
      </w:r>
      <w:r w:rsidRPr="00731DB1">
        <w:t xml:space="preserve">, the author submitted </w:t>
      </w:r>
      <w:r w:rsidR="00A413DE" w:rsidRPr="00731DB1">
        <w:t xml:space="preserve">his comments on </w:t>
      </w:r>
      <w:r w:rsidRPr="00731DB1">
        <w:t>the State party’s observations</w:t>
      </w:r>
      <w:r w:rsidR="009F3978" w:rsidRPr="00731DB1">
        <w:t xml:space="preserve">. </w:t>
      </w:r>
      <w:r w:rsidR="00A00522" w:rsidRPr="00731DB1">
        <w:t>T</w:t>
      </w:r>
      <w:r w:rsidR="009F3978" w:rsidRPr="00731DB1">
        <w:t xml:space="preserve">he author </w:t>
      </w:r>
      <w:r w:rsidR="00A00522" w:rsidRPr="00731DB1">
        <w:t xml:space="preserve">considers that he has exhausted the domestic remedies, as </w:t>
      </w:r>
      <w:r w:rsidR="009F3978" w:rsidRPr="00731DB1">
        <w:t xml:space="preserve">his appeal to the Federal Court in relation to the second H&amp;C </w:t>
      </w:r>
      <w:r w:rsidR="00AB0A90">
        <w:t xml:space="preserve">application </w:t>
      </w:r>
      <w:r w:rsidR="009F3978" w:rsidRPr="00731DB1">
        <w:t>was rejected on 22 January 2021</w:t>
      </w:r>
      <w:r w:rsidR="00B50EDD" w:rsidRPr="00731DB1">
        <w:t>,</w:t>
      </w:r>
      <w:r w:rsidR="009F3978" w:rsidRPr="00731DB1">
        <w:t xml:space="preserve"> and the appeal against this decision was rejected on 3 May 2021. </w:t>
      </w:r>
    </w:p>
    <w:p w14:paraId="72D36B48" w14:textId="2A79E284" w:rsidR="006B1455" w:rsidRPr="00731DB1" w:rsidRDefault="002C7FE0" w:rsidP="00962B7D">
      <w:pPr>
        <w:pStyle w:val="SingleTxtG"/>
      </w:pPr>
      <w:r w:rsidRPr="00731DB1">
        <w:t>6.2</w:t>
      </w:r>
      <w:r w:rsidR="00B50EDD" w:rsidRPr="00731DB1">
        <w:tab/>
        <w:t xml:space="preserve">Regarding the State’s party’s argument that </w:t>
      </w:r>
      <w:r w:rsidR="005F3285" w:rsidRPr="00731DB1">
        <w:t xml:space="preserve">his allegations under article 9(1) are incompatible </w:t>
      </w:r>
      <w:proofErr w:type="spellStart"/>
      <w:r w:rsidR="005F3285" w:rsidRPr="00731DB1">
        <w:rPr>
          <w:i/>
        </w:rPr>
        <w:t>ratione</w:t>
      </w:r>
      <w:proofErr w:type="spellEnd"/>
      <w:r w:rsidR="005F3285" w:rsidRPr="00731DB1">
        <w:rPr>
          <w:i/>
        </w:rPr>
        <w:t xml:space="preserve"> </w:t>
      </w:r>
      <w:proofErr w:type="spellStart"/>
      <w:r w:rsidR="005F3285" w:rsidRPr="00731DB1">
        <w:rPr>
          <w:i/>
        </w:rPr>
        <w:t>materiae</w:t>
      </w:r>
      <w:proofErr w:type="spellEnd"/>
      <w:r w:rsidR="005F3285" w:rsidRPr="00731DB1">
        <w:t xml:space="preserve">, the author indicates that the </w:t>
      </w:r>
      <w:r w:rsidR="005F3285" w:rsidRPr="00731DB1">
        <w:rPr>
          <w:i/>
        </w:rPr>
        <w:t>non-refoulement</w:t>
      </w:r>
      <w:r w:rsidR="005F3285" w:rsidRPr="00731DB1">
        <w:t xml:space="preserve"> principle is a rule of international customary law, and that it applies to all kinds of removals, including deportations</w:t>
      </w:r>
      <w:r w:rsidR="008E064D" w:rsidRPr="00731DB1">
        <w:t>,</w:t>
      </w:r>
      <w:r w:rsidR="005F3285" w:rsidRPr="00731DB1">
        <w:t xml:space="preserve"> </w:t>
      </w:r>
      <w:r w:rsidR="00B4247B" w:rsidRPr="00731DB1">
        <w:t xml:space="preserve">regarding </w:t>
      </w:r>
      <w:r w:rsidR="005F3285" w:rsidRPr="00731DB1">
        <w:t>person</w:t>
      </w:r>
      <w:r w:rsidR="00B4247B" w:rsidRPr="00731DB1">
        <w:t>s</w:t>
      </w:r>
      <w:r w:rsidR="005F3285" w:rsidRPr="00731DB1">
        <w:t xml:space="preserve"> </w:t>
      </w:r>
      <w:r w:rsidR="00B4247B" w:rsidRPr="00731DB1">
        <w:t>who</w:t>
      </w:r>
      <w:r w:rsidR="005F3285" w:rsidRPr="00731DB1">
        <w:t xml:space="preserve"> fear threats to </w:t>
      </w:r>
      <w:r w:rsidR="00B4247B" w:rsidRPr="00731DB1">
        <w:t>their</w:t>
      </w:r>
      <w:r w:rsidR="005F3285" w:rsidRPr="00731DB1">
        <w:t xml:space="preserve"> li</w:t>
      </w:r>
      <w:r w:rsidR="00B4247B" w:rsidRPr="00731DB1">
        <w:t>ves</w:t>
      </w:r>
      <w:r w:rsidR="005F3285" w:rsidRPr="00731DB1">
        <w:t xml:space="preserve"> or t</w:t>
      </w:r>
      <w:r w:rsidR="00B4247B" w:rsidRPr="00731DB1">
        <w:t>heir</w:t>
      </w:r>
      <w:r w:rsidR="005F3285" w:rsidRPr="00731DB1">
        <w:t xml:space="preserve"> freedoms </w:t>
      </w:r>
      <w:r w:rsidR="00B4247B" w:rsidRPr="00731DB1">
        <w:t xml:space="preserve">under </w:t>
      </w:r>
      <w:r w:rsidR="005F3285" w:rsidRPr="00731DB1">
        <w:t>the 1951 Convention on Refug</w:t>
      </w:r>
      <w:r w:rsidR="00F92647" w:rsidRPr="00731DB1">
        <w:t>e</w:t>
      </w:r>
      <w:r w:rsidR="005F3285" w:rsidRPr="00731DB1">
        <w:t xml:space="preserve">es. </w:t>
      </w:r>
    </w:p>
    <w:p w14:paraId="1F7ABF91" w14:textId="346A149D" w:rsidR="00592228" w:rsidRPr="00731DB1" w:rsidRDefault="005F3285" w:rsidP="00592228">
      <w:pPr>
        <w:pStyle w:val="SingleTxtG"/>
      </w:pPr>
      <w:r w:rsidRPr="00731DB1">
        <w:t>6.3</w:t>
      </w:r>
      <w:r w:rsidRPr="00731DB1">
        <w:tab/>
        <w:t xml:space="preserve">Concerning the argument that the author has not demonstrated that he would face a foreseeable risk </w:t>
      </w:r>
      <w:r w:rsidR="001F6EC8" w:rsidRPr="00731DB1">
        <w:t xml:space="preserve">of being tortured or killed </w:t>
      </w:r>
      <w:r w:rsidRPr="00731DB1">
        <w:t xml:space="preserve">if deported, the author states that </w:t>
      </w:r>
      <w:r w:rsidR="009E6F46" w:rsidRPr="00731DB1">
        <w:t>he has been consistently being active with MASSOB since 199</w:t>
      </w:r>
      <w:r w:rsidR="004B6195" w:rsidRPr="00731DB1">
        <w:t>9</w:t>
      </w:r>
      <w:r w:rsidR="009E6F46" w:rsidRPr="00731DB1">
        <w:t xml:space="preserve"> and that he has demonstrated </w:t>
      </w:r>
      <w:r w:rsidR="006A44EA" w:rsidRPr="00731DB1">
        <w:t xml:space="preserve">this </w:t>
      </w:r>
      <w:r w:rsidR="009E6F46" w:rsidRPr="00731DB1">
        <w:t xml:space="preserve">in the asylum proceedings. </w:t>
      </w:r>
      <w:r w:rsidR="00592228" w:rsidRPr="00731DB1">
        <w:t xml:space="preserve">The author </w:t>
      </w:r>
      <w:r w:rsidR="00C82DD7" w:rsidRPr="00731DB1">
        <w:t xml:space="preserve">further </w:t>
      </w:r>
      <w:r w:rsidR="00592228" w:rsidRPr="00731DB1">
        <w:t>claims having seen MASSOB members being killed and abducted by the Nigerian Police</w:t>
      </w:r>
      <w:r w:rsidR="00DB47FE" w:rsidRPr="00731DB1">
        <w:t>.</w:t>
      </w:r>
      <w:r w:rsidR="00592228" w:rsidRPr="00731DB1">
        <w:t xml:space="preserve"> </w:t>
      </w:r>
    </w:p>
    <w:p w14:paraId="07BAF88D" w14:textId="2D0E808B" w:rsidR="007E7CB0" w:rsidRPr="00731DB1" w:rsidRDefault="007E7CB0" w:rsidP="00EF14FE">
      <w:pPr>
        <w:pStyle w:val="SingleTxtG"/>
      </w:pPr>
      <w:r w:rsidRPr="00731DB1">
        <w:t>6.4</w:t>
      </w:r>
      <w:r w:rsidRPr="00731DB1">
        <w:tab/>
      </w:r>
      <w:r w:rsidR="009E6F46" w:rsidRPr="00731DB1">
        <w:t xml:space="preserve">He </w:t>
      </w:r>
      <w:r w:rsidR="00EB1D9E" w:rsidRPr="00731DB1">
        <w:t xml:space="preserve">asserts </w:t>
      </w:r>
      <w:r w:rsidR="009E6F46" w:rsidRPr="00731DB1">
        <w:t>that the State party has violated several provisions of international</w:t>
      </w:r>
      <w:r w:rsidR="004B6195" w:rsidRPr="00731DB1">
        <w:rPr>
          <w:rStyle w:val="FootnoteReference"/>
        </w:rPr>
        <w:footnoteReference w:id="31"/>
      </w:r>
      <w:r w:rsidR="009E6F46" w:rsidRPr="00731DB1">
        <w:t xml:space="preserve"> and domestic law</w:t>
      </w:r>
      <w:r w:rsidR="008E064D" w:rsidRPr="00731DB1">
        <w:rPr>
          <w:rStyle w:val="FootnoteReference"/>
        </w:rPr>
        <w:footnoteReference w:id="32"/>
      </w:r>
      <w:r w:rsidR="009E6F46" w:rsidRPr="00731DB1">
        <w:t xml:space="preserve"> by </w:t>
      </w:r>
      <w:r w:rsidR="00A257E0" w:rsidRPr="00731DB1">
        <w:t xml:space="preserve">withdrawing his refugee status </w:t>
      </w:r>
      <w:r w:rsidR="00EB1D9E" w:rsidRPr="00731DB1">
        <w:t xml:space="preserve">after violating </w:t>
      </w:r>
      <w:r w:rsidR="009E6F46" w:rsidRPr="00731DB1">
        <w:t>the confidentially principle that governs asylum proceedings</w:t>
      </w:r>
      <w:r w:rsidR="00EB1D9E" w:rsidRPr="00731DB1">
        <w:t xml:space="preserve"> by </w:t>
      </w:r>
      <w:r w:rsidR="009E6F46" w:rsidRPr="00731DB1">
        <w:t>contact</w:t>
      </w:r>
      <w:r w:rsidR="00EB1D9E" w:rsidRPr="00731DB1">
        <w:t>ing</w:t>
      </w:r>
      <w:r w:rsidR="009E6F46" w:rsidRPr="00731DB1">
        <w:t xml:space="preserve"> the authorities </w:t>
      </w:r>
      <w:r w:rsidR="00EB1D9E" w:rsidRPr="00731DB1">
        <w:t xml:space="preserve">in </w:t>
      </w:r>
      <w:r w:rsidR="004B6195" w:rsidRPr="00731DB1">
        <w:t>Nigeria</w:t>
      </w:r>
      <w:r w:rsidR="00592228" w:rsidRPr="00731DB1">
        <w:t>,</w:t>
      </w:r>
      <w:r w:rsidR="004B6195" w:rsidRPr="00731DB1">
        <w:t xml:space="preserve"> </w:t>
      </w:r>
      <w:r w:rsidR="009E6F46" w:rsidRPr="00731DB1">
        <w:t xml:space="preserve">who are his persecutors. </w:t>
      </w:r>
      <w:r w:rsidR="00A331FA" w:rsidRPr="00731DB1">
        <w:t xml:space="preserve">The author adds that the verification of the judgement made by the State party’s authorities has violated his rights under article 17 of the Covenant. </w:t>
      </w:r>
    </w:p>
    <w:p w14:paraId="0019E07F" w14:textId="64A59CC8" w:rsidR="005F3285" w:rsidRPr="00731DB1" w:rsidRDefault="007E7CB0" w:rsidP="00EF14FE">
      <w:pPr>
        <w:pStyle w:val="SingleTxtG"/>
      </w:pPr>
      <w:r w:rsidRPr="00731DB1">
        <w:t>6.5</w:t>
      </w:r>
      <w:r w:rsidRPr="00731DB1">
        <w:tab/>
      </w:r>
      <w:r w:rsidR="00EF14FE" w:rsidRPr="00731DB1">
        <w:t xml:space="preserve">The author also states that the State party’s authorities </w:t>
      </w:r>
      <w:r w:rsidR="000A393B" w:rsidRPr="00731DB1">
        <w:t xml:space="preserve">made legal and factual errors </w:t>
      </w:r>
      <w:r w:rsidR="00EF14FE" w:rsidRPr="00731DB1">
        <w:t xml:space="preserve">in assessing several points of his claims, including the </w:t>
      </w:r>
      <w:r w:rsidR="000A393B" w:rsidRPr="00731DB1">
        <w:t>un</w:t>
      </w:r>
      <w:r w:rsidR="00EF14FE" w:rsidRPr="00731DB1">
        <w:t>availability of medical treatment require</w:t>
      </w:r>
      <w:r w:rsidR="004A2107" w:rsidRPr="00731DB1">
        <w:t>d</w:t>
      </w:r>
      <w:r w:rsidR="00EF14FE" w:rsidRPr="00731DB1">
        <w:t xml:space="preserve"> </w:t>
      </w:r>
      <w:r w:rsidR="004A2107" w:rsidRPr="00731DB1">
        <w:t xml:space="preserve">by </w:t>
      </w:r>
      <w:r w:rsidR="00EF14FE" w:rsidRPr="00731DB1">
        <w:t>HIV positive person</w:t>
      </w:r>
      <w:r w:rsidR="004A2107" w:rsidRPr="00731DB1">
        <w:t>s</w:t>
      </w:r>
      <w:r w:rsidR="00EF14FE" w:rsidRPr="00731DB1">
        <w:t xml:space="preserve"> in N</w:t>
      </w:r>
      <w:r w:rsidRPr="00731DB1">
        <w:t xml:space="preserve">igeria, </w:t>
      </w:r>
      <w:proofErr w:type="gramStart"/>
      <w:r w:rsidRPr="00731DB1">
        <w:t>in p</w:t>
      </w:r>
      <w:r w:rsidR="003D6804" w:rsidRPr="00731DB1">
        <w:t>articular due</w:t>
      </w:r>
      <w:proofErr w:type="gramEnd"/>
      <w:r w:rsidR="003D6804" w:rsidRPr="00731DB1">
        <w:t xml:space="preserve"> to its high cost and </w:t>
      </w:r>
      <w:r w:rsidRPr="00731DB1">
        <w:t>the discrimination he would face t</w:t>
      </w:r>
      <w:r w:rsidR="004A2107" w:rsidRPr="00731DB1">
        <w:t>here. The author claims that these</w:t>
      </w:r>
      <w:r w:rsidRPr="00731DB1">
        <w:t xml:space="preserve"> allegation</w:t>
      </w:r>
      <w:r w:rsidR="00724731" w:rsidRPr="00731DB1">
        <w:t>s were</w:t>
      </w:r>
      <w:r w:rsidRPr="00731DB1">
        <w:t xml:space="preserve"> </w:t>
      </w:r>
      <w:r w:rsidR="004A2107" w:rsidRPr="00731DB1">
        <w:t>duly supported by</w:t>
      </w:r>
      <w:r w:rsidRPr="00731DB1">
        <w:t xml:space="preserve"> evidence provided during the asylum proceedings. In addition, the State party’s authorities did not properly assess that the Nigerian authorities will not be in position </w:t>
      </w:r>
      <w:r w:rsidR="00AD6A3A" w:rsidRPr="00731DB1">
        <w:t xml:space="preserve">to </w:t>
      </w:r>
      <w:r w:rsidRPr="00731DB1">
        <w:t xml:space="preserve">protect him </w:t>
      </w:r>
      <w:r w:rsidR="00A257E0" w:rsidRPr="00731DB1">
        <w:t>against discrimination</w:t>
      </w:r>
      <w:r w:rsidR="001831DA" w:rsidRPr="00731DB1">
        <w:t xml:space="preserve"> or</w:t>
      </w:r>
      <w:r w:rsidR="00A257E0" w:rsidRPr="00731DB1">
        <w:t xml:space="preserve"> </w:t>
      </w:r>
      <w:r w:rsidR="00AD6A3A" w:rsidRPr="00731DB1">
        <w:t xml:space="preserve">provide him with necessary </w:t>
      </w:r>
      <w:r w:rsidR="00724731" w:rsidRPr="00731DB1">
        <w:t>HIV</w:t>
      </w:r>
      <w:r w:rsidRPr="00731DB1">
        <w:t xml:space="preserve"> medication. </w:t>
      </w:r>
    </w:p>
    <w:p w14:paraId="54040A1C" w14:textId="41E62582" w:rsidR="00A257E0" w:rsidRPr="00731DB1" w:rsidRDefault="00A257E0" w:rsidP="009562B7">
      <w:pPr>
        <w:pStyle w:val="SingleTxtG"/>
      </w:pPr>
      <w:r w:rsidRPr="00731DB1">
        <w:t>6.6</w:t>
      </w:r>
      <w:r w:rsidRPr="00731DB1">
        <w:tab/>
      </w:r>
      <w:r w:rsidR="00C82DD7" w:rsidRPr="00731DB1">
        <w:t xml:space="preserve">The author also refers to violations </w:t>
      </w:r>
      <w:r w:rsidR="00D95267">
        <w:t>of</w:t>
      </w:r>
      <w:r w:rsidR="00C82DD7" w:rsidRPr="00731DB1">
        <w:t xml:space="preserve"> his rights during the asylum proceedings,</w:t>
      </w:r>
      <w:r w:rsidR="004D4A42" w:rsidRPr="00731DB1">
        <w:t xml:space="preserve"> among others</w:t>
      </w:r>
      <w:r w:rsidR="00C82DD7" w:rsidRPr="00731DB1">
        <w:t xml:space="preserve">: </w:t>
      </w:r>
      <w:r w:rsidR="006C6A88" w:rsidRPr="00731DB1">
        <w:t>mistreatment suffered before his deportation in October 2015</w:t>
      </w:r>
      <w:r w:rsidR="00C849A6">
        <w:t>;</w:t>
      </w:r>
      <w:r w:rsidR="006C6A88" w:rsidRPr="00731DB1">
        <w:rPr>
          <w:rStyle w:val="FootnoteReference"/>
        </w:rPr>
        <w:footnoteReference w:id="33"/>
      </w:r>
      <w:r w:rsidR="006C6A88" w:rsidRPr="00731DB1">
        <w:t xml:space="preserve"> seizure of his MASSOB card confirming his reinstatement as </w:t>
      </w:r>
      <w:r w:rsidR="00AA69A1" w:rsidRPr="00731DB1">
        <w:t>c</w:t>
      </w:r>
      <w:r w:rsidR="006C6A88" w:rsidRPr="00731DB1">
        <w:t xml:space="preserve">hief </w:t>
      </w:r>
      <w:r w:rsidR="00AA69A1" w:rsidRPr="00731DB1">
        <w:t>s</w:t>
      </w:r>
      <w:r w:rsidR="006C6A88" w:rsidRPr="00731DB1">
        <w:t xml:space="preserve">ecurity officer </w:t>
      </w:r>
      <w:r w:rsidR="002B09B4" w:rsidRPr="00731DB1">
        <w:t xml:space="preserve">upon </w:t>
      </w:r>
      <w:r w:rsidR="006C6A88" w:rsidRPr="00731DB1">
        <w:t>his return to Canada in November 2015</w:t>
      </w:r>
      <w:r w:rsidR="00C849A6">
        <w:t>;</w:t>
      </w:r>
      <w:r w:rsidR="006C6A88" w:rsidRPr="00731DB1">
        <w:rPr>
          <w:rStyle w:val="FootnoteReference"/>
        </w:rPr>
        <w:footnoteReference w:id="34"/>
      </w:r>
      <w:r w:rsidR="006C6A88" w:rsidRPr="00731DB1">
        <w:t xml:space="preserve"> </w:t>
      </w:r>
      <w:r w:rsidR="00E646FA" w:rsidRPr="00731DB1">
        <w:t>misconduct of a CBSA officer</w:t>
      </w:r>
      <w:r w:rsidR="00D06C16" w:rsidRPr="00731DB1">
        <w:t xml:space="preserve"> who disliked him because of his</w:t>
      </w:r>
      <w:r w:rsidR="004A2107" w:rsidRPr="00731DB1">
        <w:t xml:space="preserve"> political views</w:t>
      </w:r>
      <w:r w:rsidR="00E646FA" w:rsidRPr="00731DB1">
        <w:t xml:space="preserve">; </w:t>
      </w:r>
      <w:r w:rsidR="00D06C16" w:rsidRPr="00731DB1">
        <w:t xml:space="preserve">dismissal of his complaints against </w:t>
      </w:r>
      <w:r w:rsidR="00297B3C" w:rsidRPr="00731DB1">
        <w:t xml:space="preserve">this </w:t>
      </w:r>
      <w:r w:rsidR="00D06C16" w:rsidRPr="00731DB1">
        <w:t xml:space="preserve">CBSA officer; mistreatment at the detention centre </w:t>
      </w:r>
      <w:r w:rsidR="00C744CA" w:rsidRPr="00731DB1">
        <w:t xml:space="preserve">where </w:t>
      </w:r>
      <w:r w:rsidR="00D06C16" w:rsidRPr="00731DB1">
        <w:t xml:space="preserve">he was held after his return; </w:t>
      </w:r>
      <w:r w:rsidR="004D4A42" w:rsidRPr="00731DB1">
        <w:t>denial of medical follow-up for persons w</w:t>
      </w:r>
      <w:r w:rsidR="00891021" w:rsidRPr="00731DB1">
        <w:t>ho have</w:t>
      </w:r>
      <w:r w:rsidR="004D4A42" w:rsidRPr="00731DB1">
        <w:t xml:space="preserve"> been subjected to torture; being kept in a maximum security detention facility instead of in an immigration facility</w:t>
      </w:r>
      <w:r w:rsidR="007C6FA4" w:rsidRPr="00731DB1">
        <w:t>; having contracted HIV and tuberculosis while detained</w:t>
      </w:r>
      <w:r w:rsidR="004B3B39" w:rsidRPr="00731DB1">
        <w:t xml:space="preserve">; not having given </w:t>
      </w:r>
      <w:r w:rsidR="000B69A6" w:rsidRPr="00731DB1">
        <w:t xml:space="preserve">adequate </w:t>
      </w:r>
      <w:r w:rsidR="004B3B39" w:rsidRPr="00731DB1">
        <w:t>weigh</w:t>
      </w:r>
      <w:r w:rsidR="003D6804" w:rsidRPr="00731DB1">
        <w:t>t</w:t>
      </w:r>
      <w:r w:rsidR="004B3B39" w:rsidRPr="00731DB1">
        <w:t xml:space="preserve"> to the </w:t>
      </w:r>
      <w:r w:rsidR="00C744CA" w:rsidRPr="00731DB1">
        <w:t xml:space="preserve">medical </w:t>
      </w:r>
      <w:r w:rsidR="004B3B39" w:rsidRPr="00731DB1">
        <w:t xml:space="preserve">report indicating he suffers from PTSD </w:t>
      </w:r>
      <w:r w:rsidR="004E7C3E" w:rsidRPr="00731DB1">
        <w:t>and ignoring the impact that a removal would have on his mental health</w:t>
      </w:r>
      <w:r w:rsidR="000304FB" w:rsidRPr="00731DB1">
        <w:t xml:space="preserve">. </w:t>
      </w:r>
      <w:r w:rsidR="009562B7" w:rsidRPr="00731DB1">
        <w:t xml:space="preserve">The author affirms that he never lied, misrepresented </w:t>
      </w:r>
      <w:proofErr w:type="gramStart"/>
      <w:r w:rsidR="009562B7" w:rsidRPr="00731DB1">
        <w:t>facts</w:t>
      </w:r>
      <w:proofErr w:type="gramEnd"/>
      <w:r w:rsidR="009562B7" w:rsidRPr="00731DB1">
        <w:t xml:space="preserve"> or used fake documents during the asylum proceedings. Moreover, t</w:t>
      </w:r>
      <w:r w:rsidR="000304FB" w:rsidRPr="00731DB1">
        <w:t xml:space="preserve">he author reiterates that the CBSA has a plan to kill him or frame him as a reprisal of his communication to the Committee. </w:t>
      </w:r>
    </w:p>
    <w:p w14:paraId="39CDB667" w14:textId="62EDDF7B" w:rsidR="00AF1826" w:rsidRPr="00731DB1" w:rsidRDefault="00AF1826" w:rsidP="00EF14FE">
      <w:pPr>
        <w:pStyle w:val="SingleTxtG"/>
      </w:pPr>
      <w:r w:rsidRPr="00731DB1">
        <w:t>6.7</w:t>
      </w:r>
      <w:r w:rsidRPr="00731DB1">
        <w:tab/>
        <w:t xml:space="preserve">The author </w:t>
      </w:r>
      <w:r w:rsidR="00C14A05" w:rsidRPr="00731DB1">
        <w:t xml:space="preserve">also comments </w:t>
      </w:r>
      <w:r w:rsidR="00917A7E" w:rsidRPr="00731DB1">
        <w:t xml:space="preserve">on the State party’s </w:t>
      </w:r>
      <w:r w:rsidR="00C14A05" w:rsidRPr="00731DB1">
        <w:t xml:space="preserve">violations of its </w:t>
      </w:r>
      <w:r w:rsidR="00917A7E" w:rsidRPr="00731DB1">
        <w:t>obligations under international law</w:t>
      </w:r>
      <w:r w:rsidR="00C849A6">
        <w:t>,</w:t>
      </w:r>
      <w:r w:rsidR="00A331FA" w:rsidRPr="00731DB1">
        <w:rPr>
          <w:rStyle w:val="FootnoteReference"/>
        </w:rPr>
        <w:footnoteReference w:id="35"/>
      </w:r>
      <w:r w:rsidR="00917A7E" w:rsidRPr="00731DB1">
        <w:t xml:space="preserve"> </w:t>
      </w:r>
      <w:proofErr w:type="gramStart"/>
      <w:r w:rsidR="00917A7E" w:rsidRPr="00731DB1">
        <w:t>in particular regarding</w:t>
      </w:r>
      <w:proofErr w:type="gramEnd"/>
      <w:r w:rsidR="00917A7E" w:rsidRPr="00731DB1">
        <w:t xml:space="preserve"> the principle of </w:t>
      </w:r>
      <w:r w:rsidR="00917A7E" w:rsidRPr="00731DB1">
        <w:rPr>
          <w:i/>
        </w:rPr>
        <w:t>non-refoulement</w:t>
      </w:r>
      <w:r w:rsidR="00917A7E" w:rsidRPr="00731DB1">
        <w:t xml:space="preserve">, as the immigration authorities did not </w:t>
      </w:r>
      <w:r w:rsidR="001C080D" w:rsidRPr="00731DB1">
        <w:t xml:space="preserve">consider </w:t>
      </w:r>
      <w:r w:rsidR="00917A7E" w:rsidRPr="00731DB1">
        <w:t>the risk he would be exposed to as an HIV positive person in Nigeria</w:t>
      </w:r>
      <w:r w:rsidR="004A2107" w:rsidRPr="00731DB1">
        <w:t>. In addition,</w:t>
      </w:r>
      <w:r w:rsidR="00917A7E" w:rsidRPr="00731DB1">
        <w:t xml:space="preserve"> the immigration officers were selective </w:t>
      </w:r>
      <w:r w:rsidR="001C080D" w:rsidRPr="00731DB1">
        <w:t xml:space="preserve">and inconsistent in reviewing </w:t>
      </w:r>
      <w:r w:rsidR="009B7464" w:rsidRPr="00731DB1">
        <w:t>the evidence</w:t>
      </w:r>
      <w:r w:rsidR="001C080D" w:rsidRPr="00731DB1">
        <w:t xml:space="preserve"> he </w:t>
      </w:r>
      <w:proofErr w:type="gramStart"/>
      <w:r w:rsidR="001C080D" w:rsidRPr="00731DB1">
        <w:t>submitted</w:t>
      </w:r>
      <w:proofErr w:type="gramEnd"/>
      <w:r w:rsidR="001C080D" w:rsidRPr="00731DB1">
        <w:t xml:space="preserve"> and they </w:t>
      </w:r>
      <w:r w:rsidR="004546CB" w:rsidRPr="00731DB1">
        <w:t>misinterpreted the law.</w:t>
      </w:r>
      <w:r w:rsidR="00917A7E" w:rsidRPr="00731DB1">
        <w:t xml:space="preserve"> </w:t>
      </w:r>
      <w:r w:rsidR="00BB7E5D" w:rsidRPr="00731DB1">
        <w:t xml:space="preserve">The author further </w:t>
      </w:r>
      <w:r w:rsidR="00BB7E5D" w:rsidRPr="00731DB1">
        <w:lastRenderedPageBreak/>
        <w:t xml:space="preserve">questions the reasoning of </w:t>
      </w:r>
      <w:r w:rsidR="004A2107" w:rsidRPr="00731DB1">
        <w:t>the State party authoritie</w:t>
      </w:r>
      <w:r w:rsidR="000F65F7" w:rsidRPr="00731DB1">
        <w:t>s’ decisions</w:t>
      </w:r>
      <w:r w:rsidR="004A2107" w:rsidRPr="00731DB1">
        <w:t xml:space="preserve">, </w:t>
      </w:r>
      <w:proofErr w:type="gramStart"/>
      <w:r w:rsidR="004A2107" w:rsidRPr="00731DB1">
        <w:t>in particular</w:t>
      </w:r>
      <w:r w:rsidR="000F65F7" w:rsidRPr="00731DB1">
        <w:t xml:space="preserve"> those</w:t>
      </w:r>
      <w:proofErr w:type="gramEnd"/>
      <w:r w:rsidR="000F65F7" w:rsidRPr="00731DB1">
        <w:t xml:space="preserve"> regarding his</w:t>
      </w:r>
      <w:r w:rsidR="00BB7E5D" w:rsidRPr="00731DB1">
        <w:t xml:space="preserve"> H</w:t>
      </w:r>
      <w:r w:rsidR="00555C70" w:rsidRPr="00731DB1">
        <w:t>&amp;</w:t>
      </w:r>
      <w:r w:rsidR="00BB7E5D" w:rsidRPr="00731DB1">
        <w:t>C</w:t>
      </w:r>
      <w:r w:rsidR="000F65F7" w:rsidRPr="00731DB1">
        <w:t xml:space="preserve"> </w:t>
      </w:r>
      <w:r w:rsidR="00D95267">
        <w:t>applications</w:t>
      </w:r>
      <w:r w:rsidR="00555C70" w:rsidRPr="00731DB1">
        <w:t xml:space="preserve">.  </w:t>
      </w:r>
    </w:p>
    <w:p w14:paraId="47CA6E40" w14:textId="65D8B156" w:rsidR="00930CFC" w:rsidRPr="00731DB1" w:rsidRDefault="00700C23" w:rsidP="00700C23">
      <w:pPr>
        <w:pStyle w:val="H23G"/>
      </w:pPr>
      <w:r w:rsidRPr="00731DB1">
        <w:tab/>
      </w:r>
      <w:r w:rsidRPr="00731DB1">
        <w:tab/>
      </w:r>
      <w:r w:rsidR="00930CFC" w:rsidRPr="00731DB1">
        <w:t xml:space="preserve">State party’s </w:t>
      </w:r>
      <w:r w:rsidR="0011056E" w:rsidRPr="00731DB1">
        <w:t xml:space="preserve">further </w:t>
      </w:r>
      <w:r w:rsidR="00930CFC" w:rsidRPr="00731DB1">
        <w:t>observations</w:t>
      </w:r>
    </w:p>
    <w:p w14:paraId="23C139B4" w14:textId="01D9E1DB" w:rsidR="00D2153C" w:rsidRPr="00731DB1" w:rsidRDefault="00930CFC" w:rsidP="00EE5A3F">
      <w:pPr>
        <w:pStyle w:val="SingleTxtG"/>
      </w:pPr>
      <w:r w:rsidRPr="00731DB1">
        <w:t>7.1</w:t>
      </w:r>
      <w:r w:rsidRPr="00731DB1">
        <w:tab/>
      </w:r>
      <w:r w:rsidR="0053435A" w:rsidRPr="00731DB1">
        <w:t>On 4</w:t>
      </w:r>
      <w:r w:rsidRPr="00731DB1">
        <w:t xml:space="preserve"> </w:t>
      </w:r>
      <w:r w:rsidR="0053435A" w:rsidRPr="00731DB1">
        <w:t>February and 11 July 2022, the State party submitted</w:t>
      </w:r>
      <w:r w:rsidR="00A1347E" w:rsidRPr="00731DB1">
        <w:t xml:space="preserve"> an update on the author’s situation</w:t>
      </w:r>
      <w:r w:rsidR="00794411" w:rsidRPr="00731DB1">
        <w:t xml:space="preserve"> and </w:t>
      </w:r>
      <w:r w:rsidR="007D22E6" w:rsidRPr="00731DB1">
        <w:t xml:space="preserve">referred to </w:t>
      </w:r>
      <w:r w:rsidR="00794411" w:rsidRPr="00731DB1">
        <w:t xml:space="preserve">his </w:t>
      </w:r>
      <w:r w:rsidR="007D22E6" w:rsidRPr="00731DB1">
        <w:t xml:space="preserve">comments on the admissibility and </w:t>
      </w:r>
      <w:r w:rsidR="00D95267">
        <w:t xml:space="preserve">the </w:t>
      </w:r>
      <w:r w:rsidR="007D22E6" w:rsidRPr="00731DB1">
        <w:t xml:space="preserve">merits. </w:t>
      </w:r>
      <w:r w:rsidR="00794411" w:rsidRPr="00731DB1">
        <w:t>T</w:t>
      </w:r>
      <w:r w:rsidR="00210575" w:rsidRPr="00731DB1">
        <w:t>he author had access to all legal and administrative guarantees provided by law</w:t>
      </w:r>
      <w:r w:rsidR="00794411" w:rsidRPr="00731DB1">
        <w:t xml:space="preserve"> </w:t>
      </w:r>
      <w:r w:rsidR="00105C97" w:rsidRPr="00731DB1">
        <w:t xml:space="preserve">and his allegations that the State party’s authorities </w:t>
      </w:r>
      <w:r w:rsidR="00422AC9" w:rsidRPr="00731DB1">
        <w:t>were selective, incurred in inconsistencies</w:t>
      </w:r>
      <w:r w:rsidR="005A31BC" w:rsidRPr="00731DB1">
        <w:t>,</w:t>
      </w:r>
      <w:r w:rsidR="00422AC9" w:rsidRPr="00731DB1">
        <w:t xml:space="preserve"> and misinterpreted the law</w:t>
      </w:r>
      <w:r w:rsidR="00794411" w:rsidRPr="00731DB1">
        <w:t xml:space="preserve"> are</w:t>
      </w:r>
      <w:r w:rsidR="00422AC9" w:rsidRPr="00731DB1">
        <w:t xml:space="preserve"> ill-founded. The State party also submit</w:t>
      </w:r>
      <w:r w:rsidR="00794411" w:rsidRPr="00731DB1">
        <w:t>s</w:t>
      </w:r>
      <w:r w:rsidR="00422AC9" w:rsidRPr="00731DB1">
        <w:t xml:space="preserve"> that the author lacks credibility</w:t>
      </w:r>
      <w:r w:rsidR="00794411" w:rsidRPr="00731DB1">
        <w:t xml:space="preserve">, as he </w:t>
      </w:r>
      <w:r w:rsidR="003D6804" w:rsidRPr="00731DB1">
        <w:t xml:space="preserve">lied during the immigration proceedings, </w:t>
      </w:r>
      <w:r w:rsidR="00422AC9" w:rsidRPr="00731DB1">
        <w:t>used falsified documents</w:t>
      </w:r>
      <w:r w:rsidR="003D6804" w:rsidRPr="00731DB1">
        <w:t xml:space="preserve">, and </w:t>
      </w:r>
      <w:r w:rsidR="005A31BC" w:rsidRPr="00731DB1">
        <w:t xml:space="preserve">provided statements that contained </w:t>
      </w:r>
      <w:r w:rsidR="00422AC9" w:rsidRPr="00731DB1">
        <w:t xml:space="preserve">many factual inconsistencies. The State party also </w:t>
      </w:r>
      <w:r w:rsidR="00794411" w:rsidRPr="00731DB1">
        <w:t>reiterated</w:t>
      </w:r>
      <w:r w:rsidR="00422AC9" w:rsidRPr="00731DB1">
        <w:t xml:space="preserve"> that it is not within the </w:t>
      </w:r>
      <w:r w:rsidR="00552829" w:rsidRPr="00731DB1">
        <w:t xml:space="preserve">Committee’s </w:t>
      </w:r>
      <w:r w:rsidR="00422AC9" w:rsidRPr="00731DB1">
        <w:t xml:space="preserve">scope of review to re-evaluate findings of credibility made by </w:t>
      </w:r>
      <w:r w:rsidR="00FF41DA" w:rsidRPr="00731DB1">
        <w:t xml:space="preserve">the </w:t>
      </w:r>
      <w:r w:rsidR="00422AC9" w:rsidRPr="00731DB1">
        <w:t>domestic</w:t>
      </w:r>
      <w:r w:rsidR="00FF41DA" w:rsidRPr="00731DB1">
        <w:t xml:space="preserve"> authorities</w:t>
      </w:r>
      <w:r w:rsidR="00422AC9" w:rsidRPr="00731DB1">
        <w:t>, who have had</w:t>
      </w:r>
      <w:r w:rsidR="00FF41DA" w:rsidRPr="00731DB1">
        <w:t xml:space="preserve"> the benefit of observing/</w:t>
      </w:r>
      <w:r w:rsidR="00422AC9" w:rsidRPr="00731DB1">
        <w:t>hearing the author</w:t>
      </w:r>
      <w:r w:rsidR="00C849A6">
        <w:t>.</w:t>
      </w:r>
      <w:r w:rsidR="00E75B49" w:rsidRPr="00731DB1">
        <w:rPr>
          <w:rStyle w:val="FootnoteReference"/>
        </w:rPr>
        <w:footnoteReference w:id="36"/>
      </w:r>
      <w:r w:rsidR="00422AC9" w:rsidRPr="00731DB1">
        <w:t xml:space="preserve"> </w:t>
      </w:r>
      <w:r w:rsidR="00FF41DA" w:rsidRPr="00731DB1">
        <w:t xml:space="preserve">The State party adds that the author’s allegations reflect his dissatisfaction with the outcome of the asylum </w:t>
      </w:r>
      <w:r w:rsidR="00A43D5C" w:rsidRPr="00731DB1">
        <w:t>proceedings</w:t>
      </w:r>
      <w:r w:rsidR="005F2F14" w:rsidRPr="00731DB1">
        <w:t>,</w:t>
      </w:r>
      <w:r w:rsidR="00A43D5C" w:rsidRPr="00731DB1">
        <w:t xml:space="preserve"> and </w:t>
      </w:r>
      <w:r w:rsidR="005F2F14" w:rsidRPr="00731DB1">
        <w:t xml:space="preserve">it </w:t>
      </w:r>
      <w:r w:rsidR="00FF41DA" w:rsidRPr="00731DB1">
        <w:t xml:space="preserve">refers to the Committee’s jurisprudence according to which it is </w:t>
      </w:r>
      <w:r w:rsidR="00A43D5C" w:rsidRPr="00731DB1">
        <w:t>generally for the organs of State parties to examine the facts and evidence of the case in order to determine whether a risk exists, unless it can be established that the assessment was arbitrary or amounted to a manifest error or denial of justice</w:t>
      </w:r>
      <w:r w:rsidR="00C849A6">
        <w:t>.</w:t>
      </w:r>
      <w:r w:rsidR="00A43D5C" w:rsidRPr="00731DB1">
        <w:rPr>
          <w:rStyle w:val="FootnoteReference"/>
        </w:rPr>
        <w:footnoteReference w:id="37"/>
      </w:r>
      <w:r w:rsidR="00EE5A3F" w:rsidRPr="00731DB1">
        <w:t xml:space="preserve"> </w:t>
      </w:r>
    </w:p>
    <w:p w14:paraId="537CC7FA" w14:textId="1EBA33CD" w:rsidR="00EE5A3F" w:rsidRPr="00731DB1" w:rsidRDefault="00EE5A3F" w:rsidP="00EE5A3F">
      <w:pPr>
        <w:pStyle w:val="SingleTxtG"/>
      </w:pPr>
      <w:r w:rsidRPr="00731DB1">
        <w:t>7.2</w:t>
      </w:r>
      <w:r w:rsidRPr="00731DB1">
        <w:tab/>
        <w:t xml:space="preserve">Regarding the author’s allegation in relation to article 17, the State party indicates that its authorities </w:t>
      </w:r>
      <w:proofErr w:type="gramStart"/>
      <w:r w:rsidRPr="00731DB1">
        <w:t>took into account</w:t>
      </w:r>
      <w:proofErr w:type="gramEnd"/>
      <w:r w:rsidRPr="00731DB1">
        <w:t xml:space="preserve"> the author’s privacy rights</w:t>
      </w:r>
      <w:r w:rsidR="0038308F" w:rsidRPr="00731DB1">
        <w:t xml:space="preserve">. It </w:t>
      </w:r>
      <w:r w:rsidRPr="00731DB1">
        <w:t xml:space="preserve">refers to the domestic decision on the matter, according to which the verification of the false judgement was conducted in a manner that </w:t>
      </w:r>
      <w:r w:rsidR="0038308F" w:rsidRPr="00731DB1">
        <w:t xml:space="preserve">respected </w:t>
      </w:r>
      <w:r w:rsidRPr="00731DB1">
        <w:t>the author’s privacy rights</w:t>
      </w:r>
      <w:r w:rsidR="00C849A6">
        <w:t>.</w:t>
      </w:r>
      <w:r w:rsidRPr="00731DB1">
        <w:rPr>
          <w:rStyle w:val="FootnoteReference"/>
        </w:rPr>
        <w:footnoteReference w:id="38"/>
      </w:r>
      <w:r w:rsidRPr="00731DB1">
        <w:t xml:space="preserve"> </w:t>
      </w:r>
      <w:r w:rsidR="0038308F" w:rsidRPr="00731DB1">
        <w:t>T</w:t>
      </w:r>
      <w:r w:rsidR="009F2E2A" w:rsidRPr="00731DB1">
        <w:t xml:space="preserve">he author did not provide evidence that his rights under </w:t>
      </w:r>
      <w:r w:rsidR="0038308F" w:rsidRPr="00731DB1">
        <w:t xml:space="preserve">article 17 </w:t>
      </w:r>
      <w:r w:rsidR="009F2E2A" w:rsidRPr="00731DB1">
        <w:t>were violated.</w:t>
      </w:r>
    </w:p>
    <w:p w14:paraId="0C87D64E" w14:textId="073C3935" w:rsidR="00D91756" w:rsidRPr="00731DB1" w:rsidRDefault="00700C23" w:rsidP="00700C23">
      <w:pPr>
        <w:pStyle w:val="H23G"/>
      </w:pPr>
      <w:r w:rsidRPr="00731DB1">
        <w:tab/>
      </w:r>
      <w:r w:rsidRPr="00731DB1">
        <w:tab/>
      </w:r>
      <w:r w:rsidR="0007304A" w:rsidRPr="00731DB1">
        <w:t>A</w:t>
      </w:r>
      <w:r w:rsidR="00D91756" w:rsidRPr="00731DB1">
        <w:t>dditional comments</w:t>
      </w:r>
      <w:r w:rsidR="0007304A" w:rsidRPr="00731DB1">
        <w:t xml:space="preserve"> by the author</w:t>
      </w:r>
    </w:p>
    <w:p w14:paraId="137DD445" w14:textId="679BF4F3" w:rsidR="000C5E55" w:rsidRPr="00731DB1" w:rsidRDefault="00DF3BFD" w:rsidP="000C5E55">
      <w:pPr>
        <w:pStyle w:val="SingleTxtG"/>
      </w:pPr>
      <w:r w:rsidRPr="00731DB1">
        <w:rPr>
          <w:rFonts w:eastAsia="Times New Roman"/>
          <w:lang w:eastAsia="en-US"/>
        </w:rPr>
        <w:t>8</w:t>
      </w:r>
      <w:r w:rsidR="00D91756" w:rsidRPr="00731DB1">
        <w:rPr>
          <w:rFonts w:eastAsia="Times New Roman"/>
          <w:lang w:eastAsia="en-US"/>
        </w:rPr>
        <w:t>.</w:t>
      </w:r>
      <w:r w:rsidR="00D91756" w:rsidRPr="00731DB1">
        <w:rPr>
          <w:rFonts w:eastAsia="Times New Roman"/>
          <w:lang w:eastAsia="en-US"/>
        </w:rPr>
        <w:tab/>
      </w:r>
      <w:r w:rsidR="00427639" w:rsidRPr="00731DB1">
        <w:rPr>
          <w:rFonts w:eastAsia="Times New Roman"/>
          <w:lang w:eastAsia="en-US"/>
        </w:rPr>
        <w:t xml:space="preserve"> </w:t>
      </w:r>
      <w:r w:rsidR="007713E1" w:rsidRPr="00731DB1">
        <w:rPr>
          <w:rFonts w:eastAsia="Times New Roman"/>
          <w:lang w:eastAsia="en-US"/>
        </w:rPr>
        <w:t>O</w:t>
      </w:r>
      <w:r w:rsidR="00427639" w:rsidRPr="00731DB1">
        <w:rPr>
          <w:rFonts w:eastAsia="Times New Roman"/>
          <w:lang w:eastAsia="en-US"/>
        </w:rPr>
        <w:t>n</w:t>
      </w:r>
      <w:r w:rsidR="007713E1" w:rsidRPr="00731DB1">
        <w:rPr>
          <w:rFonts w:eastAsia="Times New Roman"/>
          <w:lang w:eastAsia="en-US"/>
        </w:rPr>
        <w:t xml:space="preserve"> 4 and 10</w:t>
      </w:r>
      <w:r w:rsidR="00427639" w:rsidRPr="00731DB1">
        <w:rPr>
          <w:rFonts w:eastAsia="Times New Roman"/>
          <w:lang w:eastAsia="en-US"/>
        </w:rPr>
        <w:t xml:space="preserve"> February, </w:t>
      </w:r>
      <w:r w:rsidR="007713E1" w:rsidRPr="00731DB1">
        <w:rPr>
          <w:rFonts w:eastAsia="Times New Roman"/>
          <w:lang w:eastAsia="en-US"/>
        </w:rPr>
        <w:t xml:space="preserve">16 </w:t>
      </w:r>
      <w:r w:rsidR="00427639" w:rsidRPr="00731DB1">
        <w:rPr>
          <w:rFonts w:eastAsia="Times New Roman"/>
          <w:lang w:eastAsia="en-US"/>
        </w:rPr>
        <w:t xml:space="preserve">March and </w:t>
      </w:r>
      <w:r w:rsidR="007713E1" w:rsidRPr="00731DB1">
        <w:rPr>
          <w:rFonts w:eastAsia="Times New Roman"/>
          <w:lang w:eastAsia="en-US"/>
        </w:rPr>
        <w:t xml:space="preserve">29 </w:t>
      </w:r>
      <w:r w:rsidR="00427639" w:rsidRPr="00731DB1">
        <w:rPr>
          <w:rFonts w:eastAsia="Times New Roman"/>
          <w:lang w:eastAsia="en-US"/>
        </w:rPr>
        <w:t xml:space="preserve">April </w:t>
      </w:r>
      <w:r w:rsidR="00AA09F5" w:rsidRPr="00731DB1">
        <w:rPr>
          <w:rFonts w:eastAsia="Times New Roman"/>
          <w:lang w:eastAsia="en-US"/>
        </w:rPr>
        <w:t xml:space="preserve">2022 and </w:t>
      </w:r>
      <w:r w:rsidR="00CD6AB8" w:rsidRPr="00731DB1">
        <w:rPr>
          <w:rFonts w:eastAsia="Times New Roman"/>
          <w:lang w:eastAsia="en-US"/>
        </w:rPr>
        <w:t>on 23 and 27</w:t>
      </w:r>
      <w:r w:rsidR="00427639" w:rsidRPr="00731DB1">
        <w:rPr>
          <w:rFonts w:eastAsia="Times New Roman"/>
          <w:lang w:eastAsia="en-US"/>
        </w:rPr>
        <w:t xml:space="preserve"> </w:t>
      </w:r>
      <w:r w:rsidR="00AA09F5" w:rsidRPr="00731DB1">
        <w:rPr>
          <w:rFonts w:eastAsia="Times New Roman"/>
          <w:lang w:eastAsia="en-US"/>
        </w:rPr>
        <w:t>January 2023</w:t>
      </w:r>
      <w:r w:rsidR="00D91756" w:rsidRPr="00731DB1">
        <w:rPr>
          <w:rFonts w:eastAsia="Times New Roman"/>
          <w:lang w:eastAsia="en-US"/>
        </w:rPr>
        <w:t>, the author submitted</w:t>
      </w:r>
      <w:r w:rsidR="00A1347E" w:rsidRPr="00731DB1">
        <w:rPr>
          <w:rFonts w:eastAsia="Times New Roman"/>
          <w:lang w:eastAsia="en-US"/>
        </w:rPr>
        <w:t xml:space="preserve"> </w:t>
      </w:r>
      <w:r w:rsidR="00427639" w:rsidRPr="00731DB1">
        <w:rPr>
          <w:rFonts w:eastAsia="Times New Roman"/>
          <w:lang w:eastAsia="en-US"/>
        </w:rPr>
        <w:t xml:space="preserve">several </w:t>
      </w:r>
      <w:r w:rsidR="00A1347E" w:rsidRPr="00731DB1">
        <w:rPr>
          <w:rFonts w:eastAsia="Times New Roman"/>
          <w:lang w:eastAsia="en-US"/>
        </w:rPr>
        <w:t>update</w:t>
      </w:r>
      <w:r w:rsidR="00427639" w:rsidRPr="00731DB1">
        <w:rPr>
          <w:rFonts w:eastAsia="Times New Roman"/>
          <w:lang w:eastAsia="en-US"/>
        </w:rPr>
        <w:t>s</w:t>
      </w:r>
      <w:r w:rsidR="00A1347E" w:rsidRPr="00731DB1">
        <w:rPr>
          <w:rFonts w:eastAsia="Times New Roman"/>
          <w:lang w:eastAsia="en-US"/>
        </w:rPr>
        <w:t xml:space="preserve"> on his situation. </w:t>
      </w:r>
      <w:r w:rsidR="007713E1" w:rsidRPr="00731DB1">
        <w:rPr>
          <w:rFonts w:eastAsia="Times New Roman"/>
          <w:lang w:eastAsia="en-US"/>
        </w:rPr>
        <w:t>He reiterated his previous allegations and</w:t>
      </w:r>
      <w:r w:rsidR="00A96E18" w:rsidRPr="00731DB1">
        <w:rPr>
          <w:rFonts w:eastAsia="Times New Roman"/>
          <w:lang w:eastAsia="en-US"/>
        </w:rPr>
        <w:t xml:space="preserve"> provided further </w:t>
      </w:r>
      <w:proofErr w:type="gramStart"/>
      <w:r w:rsidR="00A96E18" w:rsidRPr="00731DB1">
        <w:rPr>
          <w:rFonts w:eastAsia="Times New Roman"/>
          <w:lang w:eastAsia="en-US"/>
        </w:rPr>
        <w:t>documentation</w:t>
      </w:r>
      <w:r w:rsidR="00E250EE">
        <w:rPr>
          <w:rFonts w:eastAsia="Times New Roman"/>
          <w:lang w:eastAsia="en-US"/>
        </w:rPr>
        <w:t>.</w:t>
      </w:r>
      <w:r w:rsidR="00A96E18" w:rsidRPr="00731DB1">
        <w:rPr>
          <w:rFonts w:eastAsia="Times New Roman"/>
          <w:lang w:eastAsia="en-US"/>
        </w:rPr>
        <w:t>.</w:t>
      </w:r>
      <w:proofErr w:type="gramEnd"/>
      <w:r w:rsidR="00A96E18" w:rsidRPr="00731DB1">
        <w:rPr>
          <w:rFonts w:eastAsia="Times New Roman"/>
          <w:lang w:eastAsia="en-US"/>
        </w:rPr>
        <w:t xml:space="preserve"> </w:t>
      </w:r>
      <w:r w:rsidR="00C664F7" w:rsidRPr="00731DB1">
        <w:rPr>
          <w:rFonts w:eastAsia="Times New Roman"/>
          <w:lang w:eastAsia="en-US"/>
        </w:rPr>
        <w:t xml:space="preserve"> </w:t>
      </w:r>
    </w:p>
    <w:p w14:paraId="5DF3F8CA" w14:textId="77777777" w:rsidR="00653FDF" w:rsidRPr="00731DB1" w:rsidRDefault="00653FDF" w:rsidP="00714586">
      <w:pPr>
        <w:pStyle w:val="H23G"/>
        <w:spacing w:before="120"/>
      </w:pPr>
      <w:r w:rsidRPr="00731DB1">
        <w:tab/>
      </w:r>
      <w:r w:rsidRPr="00731DB1">
        <w:tab/>
        <w:t>Issues and proceedings before the Committee</w:t>
      </w:r>
    </w:p>
    <w:p w14:paraId="739C5770" w14:textId="77777777" w:rsidR="00653FDF" w:rsidRPr="00731DB1" w:rsidRDefault="00653FDF" w:rsidP="00714586">
      <w:pPr>
        <w:pStyle w:val="H4G"/>
        <w:spacing w:before="120"/>
      </w:pPr>
      <w:r w:rsidRPr="00731DB1">
        <w:tab/>
      </w:r>
      <w:r w:rsidRPr="00731DB1">
        <w:tab/>
        <w:t>Consideration of admissibility</w:t>
      </w:r>
    </w:p>
    <w:p w14:paraId="3BD1FF51" w14:textId="1784C35E" w:rsidR="00310A8C" w:rsidRDefault="00ED4CBE" w:rsidP="00310A8C">
      <w:pPr>
        <w:pStyle w:val="SingleTxtG"/>
      </w:pPr>
      <w:r w:rsidRPr="00731DB1">
        <w:t>9.</w:t>
      </w:r>
      <w:r w:rsidR="00310A8C" w:rsidRPr="00731DB1">
        <w:t>1</w:t>
      </w:r>
      <w:r w:rsidR="00310A8C" w:rsidRPr="00731DB1">
        <w:tab/>
        <w:t>Before considering any claim contained in a communication, the Committee must decide, in accordance with rule 9</w:t>
      </w:r>
      <w:r w:rsidR="0041564D" w:rsidRPr="00731DB1">
        <w:t>7</w:t>
      </w:r>
      <w:r w:rsidR="00310A8C" w:rsidRPr="00731DB1">
        <w:t xml:space="preserve"> of its rules of procedure, whether the communication is admissible under the Optional Protocol.</w:t>
      </w:r>
    </w:p>
    <w:p w14:paraId="5B47BD8C" w14:textId="5218C67E" w:rsidR="00985239" w:rsidRPr="00985239" w:rsidRDefault="00985239" w:rsidP="00985239">
      <w:pPr>
        <w:pStyle w:val="SingleTxtG"/>
        <w:rPr>
          <w:rFonts w:eastAsia="Times New Roman"/>
          <w:bCs/>
          <w:lang w:eastAsia="en-US"/>
        </w:rPr>
      </w:pPr>
      <w:r>
        <w:t>9.2</w:t>
      </w:r>
      <w:r>
        <w:tab/>
        <w:t xml:space="preserve">The </w:t>
      </w:r>
      <w:r w:rsidRPr="007603BA">
        <w:rPr>
          <w:rFonts w:eastAsia="Times New Roman"/>
          <w:bCs/>
          <w:lang w:eastAsia="en-US"/>
        </w:rPr>
        <w:t xml:space="preserve">Committee has ascertained, as required under article 5 (2) (a), of the Optional Protocol, that the same matter is not being examined under another procedure of international investigation or settlement. </w:t>
      </w:r>
    </w:p>
    <w:p w14:paraId="4CEFBBDE" w14:textId="7EB4BB9E" w:rsidR="004F128A" w:rsidRPr="00731DB1" w:rsidRDefault="00ED4CBE" w:rsidP="004F128A">
      <w:pPr>
        <w:pStyle w:val="SingleTxtG"/>
        <w:rPr>
          <w:rFonts w:eastAsia="MS Mincho"/>
          <w:lang w:eastAsia="en-US"/>
        </w:rPr>
      </w:pPr>
      <w:r w:rsidRPr="00731DB1">
        <w:t>9.</w:t>
      </w:r>
      <w:r w:rsidR="00985239">
        <w:t>3</w:t>
      </w:r>
      <w:r w:rsidRPr="00731DB1">
        <w:tab/>
      </w:r>
      <w:r w:rsidRPr="00731DB1">
        <w:rPr>
          <w:lang w:eastAsia="en-US"/>
        </w:rPr>
        <w:t xml:space="preserve">The Committee notes the State party’s argument that the author has not exhausted the domestic remedies </w:t>
      </w:r>
      <w:r w:rsidR="0099201A" w:rsidRPr="00731DB1">
        <w:rPr>
          <w:lang w:eastAsia="en-US"/>
        </w:rPr>
        <w:t xml:space="preserve">because </w:t>
      </w:r>
      <w:r w:rsidRPr="00731DB1">
        <w:rPr>
          <w:lang w:eastAsia="en-US"/>
        </w:rPr>
        <w:t xml:space="preserve">when </w:t>
      </w:r>
      <w:r w:rsidR="0099201A" w:rsidRPr="00731DB1">
        <w:rPr>
          <w:lang w:eastAsia="en-US"/>
        </w:rPr>
        <w:t xml:space="preserve">the State </w:t>
      </w:r>
      <w:r w:rsidR="00985239">
        <w:rPr>
          <w:lang w:eastAsia="en-US"/>
        </w:rPr>
        <w:t>p</w:t>
      </w:r>
      <w:r w:rsidR="0099201A" w:rsidRPr="00731DB1">
        <w:rPr>
          <w:lang w:eastAsia="en-US"/>
        </w:rPr>
        <w:t xml:space="preserve">arty </w:t>
      </w:r>
      <w:r w:rsidRPr="00731DB1">
        <w:rPr>
          <w:lang w:eastAsia="en-US"/>
        </w:rPr>
        <w:t>submitted its observations</w:t>
      </w:r>
      <w:r w:rsidR="00985239">
        <w:rPr>
          <w:lang w:eastAsia="en-US"/>
        </w:rPr>
        <w:t>,</w:t>
      </w:r>
      <w:r w:rsidRPr="00731DB1">
        <w:rPr>
          <w:lang w:eastAsia="en-US"/>
        </w:rPr>
        <w:t xml:space="preserve"> the </w:t>
      </w:r>
      <w:r w:rsidR="0099201A" w:rsidRPr="00731DB1">
        <w:rPr>
          <w:lang w:eastAsia="en-US"/>
        </w:rPr>
        <w:t xml:space="preserve">author’s </w:t>
      </w:r>
      <w:r w:rsidRPr="00731DB1">
        <w:rPr>
          <w:lang w:eastAsia="en-US"/>
        </w:rPr>
        <w:t xml:space="preserve">leave </w:t>
      </w:r>
      <w:r w:rsidR="0099201A" w:rsidRPr="00731DB1">
        <w:rPr>
          <w:lang w:eastAsia="en-US"/>
        </w:rPr>
        <w:t xml:space="preserve">to </w:t>
      </w:r>
      <w:r w:rsidRPr="00731DB1">
        <w:rPr>
          <w:lang w:eastAsia="en-US"/>
        </w:rPr>
        <w:t xml:space="preserve">appeal the rejection of </w:t>
      </w:r>
      <w:r w:rsidR="0099201A" w:rsidRPr="00731DB1">
        <w:rPr>
          <w:lang w:eastAsia="en-US"/>
        </w:rPr>
        <w:t xml:space="preserve">his </w:t>
      </w:r>
      <w:r w:rsidRPr="00731DB1">
        <w:rPr>
          <w:lang w:eastAsia="en-US"/>
        </w:rPr>
        <w:t xml:space="preserve">second H&amp;C </w:t>
      </w:r>
      <w:r w:rsidR="00985239">
        <w:rPr>
          <w:lang w:eastAsia="en-US"/>
        </w:rPr>
        <w:t>application</w:t>
      </w:r>
      <w:r w:rsidRPr="00731DB1">
        <w:rPr>
          <w:lang w:eastAsia="en-US"/>
        </w:rPr>
        <w:t xml:space="preserve"> was pending before the Federal Court. The Committee however </w:t>
      </w:r>
      <w:r w:rsidR="00D63D0D" w:rsidRPr="00731DB1">
        <w:rPr>
          <w:lang w:eastAsia="en-US"/>
        </w:rPr>
        <w:t>observes</w:t>
      </w:r>
      <w:r w:rsidRPr="00731DB1">
        <w:rPr>
          <w:lang w:eastAsia="en-US"/>
        </w:rPr>
        <w:t xml:space="preserve"> that on </w:t>
      </w:r>
      <w:r w:rsidR="004F128A" w:rsidRPr="00731DB1">
        <w:rPr>
          <w:rFonts w:eastAsia="MS Mincho"/>
          <w:lang w:eastAsia="en-US"/>
        </w:rPr>
        <w:t xml:space="preserve">22 January 2021, the Court rejected the author’s request. Therefore, the Committee considers that that the requirements of article 5 (2) (b) of the Optional Protocol have been met. </w:t>
      </w:r>
    </w:p>
    <w:p w14:paraId="62CBCF8D" w14:textId="768E861F" w:rsidR="00854319" w:rsidRPr="00731DB1" w:rsidRDefault="004F128A" w:rsidP="00854319">
      <w:pPr>
        <w:pStyle w:val="SingleTxtG"/>
      </w:pPr>
      <w:r w:rsidRPr="00731DB1">
        <w:t>9.</w:t>
      </w:r>
      <w:r w:rsidR="00985239">
        <w:t>4</w:t>
      </w:r>
      <w:r w:rsidRPr="00731DB1">
        <w:tab/>
        <w:t>The Committee notes the author’s allegations that</w:t>
      </w:r>
      <w:r w:rsidR="00406936" w:rsidRPr="00731DB1">
        <w:t>,</w:t>
      </w:r>
      <w:r w:rsidRPr="00731DB1">
        <w:t xml:space="preserve"> by contacting the Nigerian authorities </w:t>
      </w:r>
      <w:proofErr w:type="gramStart"/>
      <w:r w:rsidRPr="00731DB1">
        <w:t>in order to</w:t>
      </w:r>
      <w:proofErr w:type="gramEnd"/>
      <w:r w:rsidRPr="00731DB1">
        <w:t xml:space="preserve"> verify the judgement that </w:t>
      </w:r>
      <w:r w:rsidR="005466B1" w:rsidRPr="00731DB1">
        <w:t xml:space="preserve">allegedly </w:t>
      </w:r>
      <w:r w:rsidRPr="00731DB1">
        <w:t xml:space="preserve">convicted him </w:t>
      </w:r>
      <w:r w:rsidR="000C2F83" w:rsidRPr="00731DB1">
        <w:t xml:space="preserve">and sentenced him </w:t>
      </w:r>
      <w:r w:rsidRPr="00731DB1">
        <w:t xml:space="preserve">to life </w:t>
      </w:r>
      <w:r w:rsidR="00985239">
        <w:t>im</w:t>
      </w:r>
      <w:r w:rsidRPr="00731DB1">
        <w:t>prison</w:t>
      </w:r>
      <w:r w:rsidR="00985239">
        <w:t>ment</w:t>
      </w:r>
      <w:r w:rsidRPr="00731DB1">
        <w:t>, the State party violated his rights under article 17 of the Covenant</w:t>
      </w:r>
      <w:r w:rsidR="00985239">
        <w:t xml:space="preserve"> as the author’s family in Nigeria was exposed</w:t>
      </w:r>
      <w:r w:rsidRPr="00731DB1">
        <w:t xml:space="preserve">. The Committee also notes the State party’s argument that the author’s privacy rights were respected and that the author did not substantiate </w:t>
      </w:r>
      <w:r w:rsidR="00AD3BB3" w:rsidRPr="00731DB1">
        <w:t xml:space="preserve">his </w:t>
      </w:r>
      <w:r w:rsidRPr="00731DB1">
        <w:t xml:space="preserve">allegations. The Committee notes that </w:t>
      </w:r>
      <w:r w:rsidR="005466B1" w:rsidRPr="00731DB1">
        <w:t>the</w:t>
      </w:r>
      <w:r w:rsidRPr="00731DB1">
        <w:t xml:space="preserve"> </w:t>
      </w:r>
      <w:r w:rsidR="005466B1" w:rsidRPr="00731DB1">
        <w:t xml:space="preserve">author’s </w:t>
      </w:r>
      <w:r w:rsidR="003C61F0" w:rsidRPr="00731DB1">
        <w:t xml:space="preserve">claim </w:t>
      </w:r>
      <w:r w:rsidR="005466B1" w:rsidRPr="00731DB1">
        <w:t xml:space="preserve">in relation to article 17 </w:t>
      </w:r>
      <w:r w:rsidR="003C61F0" w:rsidRPr="00731DB1">
        <w:t xml:space="preserve">was </w:t>
      </w:r>
      <w:r w:rsidRPr="00731DB1">
        <w:t xml:space="preserve">raised after the submission of the communication in </w:t>
      </w:r>
      <w:r w:rsidR="003C61F0" w:rsidRPr="00731DB1">
        <w:t xml:space="preserve">response </w:t>
      </w:r>
      <w:r w:rsidRPr="00731DB1">
        <w:t xml:space="preserve">to the State party’s </w:t>
      </w:r>
      <w:r w:rsidRPr="00731DB1">
        <w:lastRenderedPageBreak/>
        <w:t xml:space="preserve">observations. </w:t>
      </w:r>
      <w:r w:rsidR="00854319" w:rsidRPr="00731DB1">
        <w:t xml:space="preserve">The </w:t>
      </w:r>
      <w:r w:rsidRPr="00731DB1">
        <w:t>Committee</w:t>
      </w:r>
      <w:r w:rsidR="00854319" w:rsidRPr="00731DB1">
        <w:t xml:space="preserve"> also</w:t>
      </w:r>
      <w:r w:rsidRPr="00731DB1">
        <w:t xml:space="preserve"> </w:t>
      </w:r>
      <w:r w:rsidR="00854319" w:rsidRPr="00731DB1">
        <w:t>notes</w:t>
      </w:r>
      <w:r w:rsidRPr="00731DB1">
        <w:t xml:space="preserve"> that the author has not </w:t>
      </w:r>
      <w:r w:rsidR="005466B1" w:rsidRPr="00731DB1">
        <w:t xml:space="preserve">developed </w:t>
      </w:r>
      <w:r w:rsidR="003C61F0" w:rsidRPr="00731DB1">
        <w:t>this claim</w:t>
      </w:r>
      <w:r w:rsidR="005466B1" w:rsidRPr="00731DB1">
        <w:t xml:space="preserve">, </w:t>
      </w:r>
      <w:r w:rsidR="003C61F0" w:rsidRPr="00731DB1">
        <w:t xml:space="preserve">nor </w:t>
      </w:r>
      <w:r w:rsidR="005466B1" w:rsidRPr="00731DB1">
        <w:t xml:space="preserve">has he </w:t>
      </w:r>
      <w:r w:rsidRPr="00731DB1">
        <w:t xml:space="preserve">provided any evidence to </w:t>
      </w:r>
      <w:r w:rsidR="003C61F0" w:rsidRPr="00731DB1">
        <w:t>support it</w:t>
      </w:r>
      <w:r w:rsidRPr="00731DB1">
        <w:t xml:space="preserve">. Therefore, </w:t>
      </w:r>
      <w:r w:rsidR="00854319" w:rsidRPr="00731DB1">
        <w:t>the Committee considers that the author has failed to sufficiently substantiate the alleg</w:t>
      </w:r>
      <w:r w:rsidR="00E3115D" w:rsidRPr="00731DB1">
        <w:t xml:space="preserve">ed violation of article 17 </w:t>
      </w:r>
      <w:r w:rsidR="00854319" w:rsidRPr="00731DB1">
        <w:t xml:space="preserve">for the purposes of admissibility. Accordingly, </w:t>
      </w:r>
      <w:bookmarkStart w:id="1" w:name="_Hlk135076370"/>
      <w:r w:rsidR="00854319" w:rsidRPr="00731DB1">
        <w:t>it declares this part of the communication inadmissible under article 2 of the Optional Protocol.</w:t>
      </w:r>
      <w:bookmarkEnd w:id="1"/>
    </w:p>
    <w:p w14:paraId="22221EC1" w14:textId="53CFFC89" w:rsidR="00ED4CBE" w:rsidRPr="00731DB1" w:rsidRDefault="00997D74" w:rsidP="00881903">
      <w:pPr>
        <w:pStyle w:val="SingleTxtG"/>
        <w:rPr>
          <w:color w:val="FF0000"/>
        </w:rPr>
      </w:pPr>
      <w:r w:rsidRPr="00731DB1">
        <w:t>9.</w:t>
      </w:r>
      <w:r w:rsidR="004D735B">
        <w:t>5</w:t>
      </w:r>
      <w:r w:rsidR="00D62864" w:rsidRPr="00731DB1">
        <w:tab/>
        <w:t xml:space="preserve">The Committee notes </w:t>
      </w:r>
      <w:r w:rsidR="00881903" w:rsidRPr="00731DB1">
        <w:t xml:space="preserve">the author’s claim that his rights under article 9(1) </w:t>
      </w:r>
      <w:r w:rsidR="00985239">
        <w:t xml:space="preserve">of the Covenant </w:t>
      </w:r>
      <w:r w:rsidR="00881903" w:rsidRPr="00731DB1">
        <w:t xml:space="preserve">would be violated if </w:t>
      </w:r>
      <w:r w:rsidR="00E3115D" w:rsidRPr="00731DB1">
        <w:t xml:space="preserve">he were </w:t>
      </w:r>
      <w:r w:rsidR="00881903" w:rsidRPr="00731DB1">
        <w:t xml:space="preserve">deported to Nigeria. The Committee also notes the State party’s argument that these allegations are incompatible </w:t>
      </w:r>
      <w:proofErr w:type="spellStart"/>
      <w:r w:rsidR="00881903" w:rsidRPr="00731DB1">
        <w:rPr>
          <w:i/>
          <w:iCs/>
        </w:rPr>
        <w:t>ratione</w:t>
      </w:r>
      <w:proofErr w:type="spellEnd"/>
      <w:r w:rsidR="00881903" w:rsidRPr="00731DB1">
        <w:rPr>
          <w:i/>
          <w:iCs/>
        </w:rPr>
        <w:t xml:space="preserve"> </w:t>
      </w:r>
      <w:proofErr w:type="spellStart"/>
      <w:r w:rsidR="00881903" w:rsidRPr="00731DB1">
        <w:rPr>
          <w:i/>
          <w:iCs/>
        </w:rPr>
        <w:t>materiae</w:t>
      </w:r>
      <w:proofErr w:type="spellEnd"/>
      <w:r w:rsidR="00CD25DB" w:rsidRPr="00731DB1">
        <w:rPr>
          <w:i/>
          <w:iCs/>
        </w:rPr>
        <w:t xml:space="preserve"> </w:t>
      </w:r>
      <w:r w:rsidR="00CD25DB" w:rsidRPr="00731DB1">
        <w:t>with the Covenant</w:t>
      </w:r>
      <w:r w:rsidR="00881903" w:rsidRPr="00731DB1">
        <w:t xml:space="preserve">, as </w:t>
      </w:r>
      <w:r w:rsidR="00B026B5" w:rsidRPr="00731DB1">
        <w:t xml:space="preserve">article 9(1) </w:t>
      </w:r>
      <w:r w:rsidR="00881903" w:rsidRPr="00731DB1">
        <w:t xml:space="preserve">does not impose a </w:t>
      </w:r>
      <w:r w:rsidR="00881903" w:rsidRPr="00731DB1">
        <w:rPr>
          <w:i/>
        </w:rPr>
        <w:t>non-refoulement</w:t>
      </w:r>
      <w:r w:rsidR="00881903" w:rsidRPr="00731DB1">
        <w:t xml:space="preserve"> obligation on</w:t>
      </w:r>
      <w:r w:rsidR="00CD25DB" w:rsidRPr="00731DB1">
        <w:t xml:space="preserve"> </w:t>
      </w:r>
      <w:r w:rsidR="00881903" w:rsidRPr="00731DB1">
        <w:t xml:space="preserve">State parties. The Committee observes that the author has made a general </w:t>
      </w:r>
      <w:r w:rsidR="00B026B5" w:rsidRPr="00731DB1">
        <w:t xml:space="preserve">assertion </w:t>
      </w:r>
      <w:r w:rsidR="00881903" w:rsidRPr="00731DB1">
        <w:t xml:space="preserve">without providing any </w:t>
      </w:r>
      <w:r w:rsidR="00B026B5" w:rsidRPr="00731DB1">
        <w:t xml:space="preserve">information </w:t>
      </w:r>
      <w:r w:rsidR="00881903" w:rsidRPr="00731DB1">
        <w:t xml:space="preserve">or evidence as to why deportation to Nigeria would violate his rights under this provision. </w:t>
      </w:r>
      <w:r w:rsidR="004D735B">
        <w:t>In particular, he has not established substantial grounds for believing that he would face a real risk of a severe violation of his liberty or security, which might result in an irreparable harm</w:t>
      </w:r>
      <w:r w:rsidR="004D735B">
        <w:rPr>
          <w:rStyle w:val="FootnoteReference"/>
        </w:rPr>
        <w:footnoteReference w:id="39"/>
      </w:r>
      <w:r w:rsidR="004D735B">
        <w:t xml:space="preserve"> that would be commensurate to the irreparable harm contemplated by articles 6 and 7 of the Covenant</w:t>
      </w:r>
      <w:r w:rsidR="004D735B" w:rsidRPr="00731DB1">
        <w:t>.</w:t>
      </w:r>
      <w:r w:rsidR="004D735B">
        <w:rPr>
          <w:rStyle w:val="FootnoteReference"/>
        </w:rPr>
        <w:footnoteReference w:id="40"/>
      </w:r>
      <w:r w:rsidR="004D735B" w:rsidRPr="00731DB1">
        <w:t xml:space="preserve"> </w:t>
      </w:r>
      <w:r w:rsidR="00881903" w:rsidRPr="00731DB1">
        <w:t xml:space="preserve">Therefore, </w:t>
      </w:r>
      <w:r w:rsidR="004D735B">
        <w:t>the Committee</w:t>
      </w:r>
      <w:r w:rsidR="00881903" w:rsidRPr="00731DB1">
        <w:t xml:space="preserve"> considers that the author has not substantiated these allegations and it declares this part of the communication inadmissible under article 2 of the Optional Protocol.</w:t>
      </w:r>
      <w:r w:rsidR="004F128A" w:rsidRPr="00731DB1">
        <w:t xml:space="preserve"> </w:t>
      </w:r>
    </w:p>
    <w:p w14:paraId="5C875408" w14:textId="6D17E789" w:rsidR="00674DB7" w:rsidRPr="00731DB1" w:rsidRDefault="004F128A" w:rsidP="00310A8C">
      <w:pPr>
        <w:pStyle w:val="SingleTxtG"/>
      </w:pPr>
      <w:r w:rsidRPr="00731DB1">
        <w:t>9</w:t>
      </w:r>
      <w:r w:rsidR="00674DB7" w:rsidRPr="00731DB1">
        <w:t>.</w:t>
      </w:r>
      <w:r w:rsidR="004D735B">
        <w:t>6</w:t>
      </w:r>
      <w:r w:rsidR="00674DB7" w:rsidRPr="00731DB1">
        <w:tab/>
        <w:t>The Committee considers that the author has sufficiently substantiated, for purposes of admissibility, his claims under article</w:t>
      </w:r>
      <w:r w:rsidR="00D70D49" w:rsidRPr="00731DB1">
        <w:t>s 6 and</w:t>
      </w:r>
      <w:r w:rsidR="00674DB7" w:rsidRPr="00731DB1">
        <w:t xml:space="preserve"> </w:t>
      </w:r>
      <w:r w:rsidR="00D70D49" w:rsidRPr="00731DB1">
        <w:t xml:space="preserve">7 </w:t>
      </w:r>
      <w:r w:rsidR="00674DB7" w:rsidRPr="00731DB1">
        <w:t xml:space="preserve">of the Covenant. </w:t>
      </w:r>
      <w:r w:rsidR="004974D3" w:rsidRPr="00731DB1">
        <w:t>Accordingly, it declares th</w:t>
      </w:r>
      <w:r w:rsidR="00764FA7" w:rsidRPr="00731DB1">
        <w:t>is part of the</w:t>
      </w:r>
      <w:r w:rsidR="004974D3" w:rsidRPr="00731DB1">
        <w:t xml:space="preserve"> communication admissible and proceeds with its consideration on the merits. </w:t>
      </w:r>
    </w:p>
    <w:p w14:paraId="778D4E62" w14:textId="3961CE24" w:rsidR="009A1A1D" w:rsidRPr="00731DB1" w:rsidRDefault="009A1A1D" w:rsidP="00700C23">
      <w:pPr>
        <w:pStyle w:val="H4G"/>
      </w:pPr>
      <w:r w:rsidRPr="00731DB1">
        <w:tab/>
      </w:r>
      <w:r w:rsidRPr="00731DB1">
        <w:tab/>
        <w:t xml:space="preserve">Consideration of the merits </w:t>
      </w:r>
    </w:p>
    <w:p w14:paraId="0304FC11" w14:textId="769BFB6D" w:rsidR="009A1A1D" w:rsidRPr="00731DB1" w:rsidRDefault="00DC503A" w:rsidP="00700C23">
      <w:pPr>
        <w:pStyle w:val="SingleTxtG"/>
      </w:pPr>
      <w:r w:rsidRPr="00731DB1">
        <w:rPr>
          <w:iCs/>
        </w:rPr>
        <w:t>10</w:t>
      </w:r>
      <w:r w:rsidR="009A1A1D" w:rsidRPr="00731DB1">
        <w:rPr>
          <w:iCs/>
        </w:rPr>
        <w:t>.1</w:t>
      </w:r>
      <w:r w:rsidR="009A1A1D" w:rsidRPr="00731DB1">
        <w:rPr>
          <w:iCs/>
        </w:rPr>
        <w:tab/>
      </w:r>
      <w:r w:rsidR="009A1A1D" w:rsidRPr="00731DB1">
        <w:t xml:space="preserve">The Human Rights Committee has considered the communication </w:t>
      </w:r>
      <w:proofErr w:type="gramStart"/>
      <w:r w:rsidR="009A1A1D" w:rsidRPr="00731DB1">
        <w:t>in light of</w:t>
      </w:r>
      <w:proofErr w:type="gramEnd"/>
      <w:r w:rsidR="009A1A1D" w:rsidRPr="00731DB1">
        <w:t xml:space="preserve"> all the information made available to it by the parties, as provided for under article 5 (1) of the Optional Protocol. </w:t>
      </w:r>
    </w:p>
    <w:p w14:paraId="7146D264" w14:textId="1726C74B" w:rsidR="0002335D" w:rsidRPr="00731DB1" w:rsidRDefault="009A1A1D" w:rsidP="005306A1">
      <w:pPr>
        <w:pStyle w:val="SingleTxtG"/>
        <w:rPr>
          <w:color w:val="FF0000"/>
        </w:rPr>
      </w:pPr>
      <w:r w:rsidRPr="00731DB1">
        <w:t>1</w:t>
      </w:r>
      <w:r w:rsidR="00DC503A" w:rsidRPr="00731DB1">
        <w:t>0</w:t>
      </w:r>
      <w:r w:rsidRPr="00731DB1">
        <w:t>.2</w:t>
      </w:r>
      <w:r w:rsidR="00DC503A" w:rsidRPr="00731DB1">
        <w:tab/>
        <w:t xml:space="preserve">The Committee notes the author’s claim that his removal to </w:t>
      </w:r>
      <w:r w:rsidR="005216C1" w:rsidRPr="00731DB1">
        <w:t>Nigeria</w:t>
      </w:r>
      <w:r w:rsidR="00DC503A" w:rsidRPr="00731DB1">
        <w:t xml:space="preserve"> would expose h</w:t>
      </w:r>
      <w:r w:rsidR="005216C1" w:rsidRPr="00731DB1">
        <w:t>im</w:t>
      </w:r>
      <w:r w:rsidR="00DC503A" w:rsidRPr="00731DB1">
        <w:t xml:space="preserve"> to treatment contrary to articles 6 and 7 of the Covenant</w:t>
      </w:r>
      <w:r w:rsidR="00CD25DB" w:rsidRPr="00731DB1">
        <w:t xml:space="preserve">, as he </w:t>
      </w:r>
      <w:r w:rsidR="005216C1" w:rsidRPr="00731DB1">
        <w:t>fear</w:t>
      </w:r>
      <w:r w:rsidR="00CD25DB" w:rsidRPr="00731DB1">
        <w:t>s</w:t>
      </w:r>
      <w:r w:rsidR="005216C1" w:rsidRPr="00731DB1">
        <w:t xml:space="preserve"> being subjected to torture or ill </w:t>
      </w:r>
      <w:r w:rsidR="00470989" w:rsidRPr="00731DB1">
        <w:t>treatment or</w:t>
      </w:r>
      <w:r w:rsidR="005216C1" w:rsidRPr="00731DB1">
        <w:t xml:space="preserve"> being killed by the Nigerian authorities because of his membership</w:t>
      </w:r>
      <w:r w:rsidR="00CD25DB" w:rsidRPr="00731DB1">
        <w:t xml:space="preserve"> of MASSOB</w:t>
      </w:r>
      <w:r w:rsidR="005216C1" w:rsidRPr="00731DB1">
        <w:t xml:space="preserve">. The Committee further notes the author’s allegations that being HIV positive would put him at </w:t>
      </w:r>
      <w:r w:rsidR="00D174F6" w:rsidRPr="00731DB1">
        <w:t xml:space="preserve">a further </w:t>
      </w:r>
      <w:r w:rsidR="005216C1" w:rsidRPr="00731DB1">
        <w:t>risk</w:t>
      </w:r>
      <w:r w:rsidR="00CE02C7" w:rsidRPr="00731DB1">
        <w:t xml:space="preserve"> because</w:t>
      </w:r>
      <w:r w:rsidR="00CB2D92" w:rsidRPr="00731DB1">
        <w:t xml:space="preserve"> </w:t>
      </w:r>
      <w:r w:rsidR="005216C1" w:rsidRPr="00731DB1">
        <w:t xml:space="preserve">people with HIV </w:t>
      </w:r>
      <w:r w:rsidR="00CE02C7" w:rsidRPr="00731DB1">
        <w:t xml:space="preserve">in Nigeria </w:t>
      </w:r>
      <w:r w:rsidR="005216C1" w:rsidRPr="00731DB1">
        <w:t>are heavily discriminated</w:t>
      </w:r>
      <w:r w:rsidR="00DD1042" w:rsidRPr="00731DB1">
        <w:t xml:space="preserve"> and</w:t>
      </w:r>
      <w:r w:rsidR="005216C1" w:rsidRPr="00731DB1">
        <w:t xml:space="preserve"> can be denied medical care</w:t>
      </w:r>
      <w:r w:rsidR="00E63A37">
        <w:t>, and that the treatment of his inactive tuberculosis would not be available</w:t>
      </w:r>
      <w:r w:rsidR="00D174F6" w:rsidRPr="00731DB1">
        <w:t xml:space="preserve">. The Committee </w:t>
      </w:r>
      <w:r w:rsidR="0062460A" w:rsidRPr="00731DB1">
        <w:t xml:space="preserve">also </w:t>
      </w:r>
      <w:r w:rsidR="00D174F6" w:rsidRPr="00731DB1">
        <w:t xml:space="preserve">notes the author’s allegations that </w:t>
      </w:r>
      <w:r w:rsidR="0062460A" w:rsidRPr="00731DB1">
        <w:t>he</w:t>
      </w:r>
      <w:r w:rsidR="00E46B18" w:rsidRPr="00731DB1">
        <w:t xml:space="preserve"> would be easily identified upon arrival</w:t>
      </w:r>
      <w:r w:rsidR="005F328E" w:rsidRPr="00731DB1">
        <w:t xml:space="preserve"> in the country due to </w:t>
      </w:r>
      <w:r w:rsidR="00E46B18" w:rsidRPr="00731DB1">
        <w:t>the exchanges between the State party and the Nigerian authorities</w:t>
      </w:r>
      <w:r w:rsidR="002856C4" w:rsidRPr="00731DB1">
        <w:t xml:space="preserve"> </w:t>
      </w:r>
      <w:r w:rsidR="00E46B18" w:rsidRPr="00731DB1">
        <w:t xml:space="preserve">in relation to </w:t>
      </w:r>
      <w:r w:rsidR="002856C4" w:rsidRPr="00731DB1">
        <w:t xml:space="preserve">verifying </w:t>
      </w:r>
      <w:r w:rsidR="00E46B18" w:rsidRPr="00731DB1">
        <w:t xml:space="preserve">the judgement </w:t>
      </w:r>
      <w:r w:rsidR="00C903B7" w:rsidRPr="00731DB1">
        <w:t xml:space="preserve">convicting him and </w:t>
      </w:r>
      <w:proofErr w:type="gramStart"/>
      <w:r w:rsidR="00C903B7" w:rsidRPr="00731DB1">
        <w:t xml:space="preserve">sentencing </w:t>
      </w:r>
      <w:r w:rsidR="00E46B18" w:rsidRPr="00731DB1">
        <w:t xml:space="preserve"> him</w:t>
      </w:r>
      <w:proofErr w:type="gramEnd"/>
      <w:r w:rsidR="00E46B18" w:rsidRPr="00731DB1">
        <w:t xml:space="preserve"> to life </w:t>
      </w:r>
      <w:r w:rsidR="00E63A37">
        <w:t>im</w:t>
      </w:r>
      <w:r w:rsidR="00E46B18" w:rsidRPr="00731DB1">
        <w:t>prison</w:t>
      </w:r>
      <w:r w:rsidR="00E63A37">
        <w:t>ment</w:t>
      </w:r>
      <w:r w:rsidR="00E46B18" w:rsidRPr="00731DB1">
        <w:t xml:space="preserve">. </w:t>
      </w:r>
    </w:p>
    <w:p w14:paraId="2A80C222" w14:textId="308541DE" w:rsidR="00C45FED" w:rsidRPr="00731DB1" w:rsidRDefault="00C45FED" w:rsidP="00167F8C">
      <w:pPr>
        <w:pStyle w:val="SingleTxtG"/>
      </w:pPr>
      <w:r w:rsidRPr="00731DB1">
        <w:t>10.3</w:t>
      </w:r>
      <w:r w:rsidRPr="00731DB1">
        <w:tab/>
      </w:r>
      <w:r w:rsidR="003816CA" w:rsidRPr="00731DB1">
        <w:t>The Committee also notes the State party’s argument that the author did not substantiate his claims</w:t>
      </w:r>
      <w:r w:rsidR="00626EDF" w:rsidRPr="00731DB1">
        <w:t xml:space="preserve">. In particular, the State party argued that the author </w:t>
      </w:r>
      <w:r w:rsidR="003816CA" w:rsidRPr="00731DB1">
        <w:t xml:space="preserve">failed to demonstrate that he would face a real, </w:t>
      </w:r>
      <w:proofErr w:type="gramStart"/>
      <w:r w:rsidR="003816CA" w:rsidRPr="00731DB1">
        <w:t>personalized</w:t>
      </w:r>
      <w:proofErr w:type="gramEnd"/>
      <w:r w:rsidR="003816CA" w:rsidRPr="00731DB1">
        <w:t xml:space="preserve"> and continuous risk</w:t>
      </w:r>
      <w:r w:rsidR="00961F87" w:rsidRPr="00731DB1">
        <w:t xml:space="preserve"> of irreparable harm</w:t>
      </w:r>
      <w:r w:rsidR="003816CA" w:rsidRPr="00731DB1">
        <w:t xml:space="preserve"> if deported to Nigeria, </w:t>
      </w:r>
      <w:r w:rsidR="00DD1042" w:rsidRPr="00731DB1">
        <w:t xml:space="preserve">as </w:t>
      </w:r>
      <w:r w:rsidR="003816CA" w:rsidRPr="00731DB1">
        <w:t>he did not prove that the Nigerian authorities are looking for him or that he would be killed or subjected to torture or ill treatment,</w:t>
      </w:r>
      <w:r w:rsidR="00BC10DA" w:rsidRPr="00731DB1">
        <w:t xml:space="preserve"> given</w:t>
      </w:r>
      <w:r w:rsidR="003816CA" w:rsidRPr="00731DB1">
        <w:t xml:space="preserve"> that he left </w:t>
      </w:r>
      <w:r w:rsidR="006A7ACB" w:rsidRPr="00731DB1">
        <w:t xml:space="preserve">the </w:t>
      </w:r>
      <w:r w:rsidR="003816CA" w:rsidRPr="00731DB1">
        <w:t>country more than 13 years ago.</w:t>
      </w:r>
      <w:r w:rsidR="00BC10DA" w:rsidRPr="00731DB1">
        <w:t xml:space="preserve"> </w:t>
      </w:r>
    </w:p>
    <w:p w14:paraId="7636C6E1" w14:textId="01AA5B58" w:rsidR="00C56278" w:rsidRPr="00731DB1" w:rsidRDefault="00C56278" w:rsidP="0062460A">
      <w:pPr>
        <w:pStyle w:val="SingleTxtG"/>
        <w:spacing w:line="240" w:lineRule="auto"/>
        <w:rPr>
          <w:rFonts w:eastAsia="Times New Roman"/>
          <w:lang w:eastAsia="en-US"/>
        </w:rPr>
      </w:pPr>
      <w:r w:rsidRPr="00731DB1">
        <w:t>10.4</w:t>
      </w:r>
      <w:r w:rsidRPr="00731DB1">
        <w:tab/>
      </w:r>
      <w:r w:rsidRPr="00731DB1">
        <w:rPr>
          <w:rFonts w:eastAsia="Times New Roman"/>
          <w:lang w:eastAsia="en-US"/>
        </w:rPr>
        <w:t>The Committee recalls its general comment No. 31</w:t>
      </w:r>
      <w:r w:rsidR="005A7295" w:rsidRPr="00731DB1">
        <w:rPr>
          <w:rFonts w:eastAsia="Times New Roman"/>
          <w:lang w:eastAsia="en-US"/>
        </w:rPr>
        <w:t>,</w:t>
      </w:r>
      <w:r w:rsidRPr="00731DB1">
        <w:rPr>
          <w:rFonts w:eastAsia="Times New Roman"/>
          <w:lang w:eastAsia="en-US"/>
        </w:rPr>
        <w:t xml:space="preserve"> which refers to the obligation of State parties not to extradite, deport, expel or otherwise remove a person from their territory when there are substantial grounds for believing that there is a real risk of irreparable harm such as that contemplated by articles 6 and 7 of the Covenant</w:t>
      </w:r>
      <w:r w:rsidR="007C1687">
        <w:rPr>
          <w:rFonts w:eastAsia="Times New Roman"/>
          <w:lang w:eastAsia="en-US"/>
        </w:rPr>
        <w:t>.</w:t>
      </w:r>
      <w:r w:rsidRPr="00731DB1">
        <w:rPr>
          <w:rFonts w:eastAsia="Times New Roman"/>
          <w:vertAlign w:val="superscript"/>
          <w:lang w:eastAsia="en-US"/>
        </w:rPr>
        <w:footnoteReference w:id="41"/>
      </w:r>
      <w:r w:rsidRPr="00731DB1">
        <w:rPr>
          <w:rFonts w:eastAsia="Times New Roman"/>
          <w:lang w:eastAsia="en-US"/>
        </w:rPr>
        <w:t xml:space="preserve"> The Committee has also indicated that the risk must be personal and that there is a high threshold for providing substantial grounds to establish that a real risk of irreparable harm exists</w:t>
      </w:r>
      <w:r w:rsidR="007C1687">
        <w:rPr>
          <w:rFonts w:eastAsia="Times New Roman"/>
          <w:lang w:eastAsia="en-US"/>
        </w:rPr>
        <w:t>.</w:t>
      </w:r>
      <w:r w:rsidR="0062460A" w:rsidRPr="00731DB1">
        <w:rPr>
          <w:rFonts w:eastAsia="Times New Roman"/>
          <w:vertAlign w:val="superscript"/>
          <w:lang w:eastAsia="en-US"/>
        </w:rPr>
        <w:footnoteReference w:id="42"/>
      </w:r>
      <w:r w:rsidRPr="00731DB1">
        <w:rPr>
          <w:rFonts w:eastAsia="Times New Roman"/>
          <w:lang w:eastAsia="en-US"/>
        </w:rPr>
        <w:t xml:space="preserve"> </w:t>
      </w:r>
      <w:r w:rsidR="008B4C6A" w:rsidRPr="00731DB1">
        <w:rPr>
          <w:rFonts w:eastAsia="Times New Roman"/>
          <w:lang w:eastAsia="en-US"/>
        </w:rPr>
        <w:t>In making this assessment</w:t>
      </w:r>
      <w:r w:rsidRPr="00731DB1">
        <w:rPr>
          <w:rFonts w:eastAsia="Times New Roman"/>
          <w:lang w:eastAsia="en-US"/>
        </w:rPr>
        <w:t>, all relevant facts and circumstances must be considered, including the general human rights situation in the country of origin</w:t>
      </w:r>
      <w:r w:rsidR="007C1687">
        <w:rPr>
          <w:rFonts w:eastAsia="Times New Roman"/>
          <w:lang w:eastAsia="en-US"/>
        </w:rPr>
        <w:t>.</w:t>
      </w:r>
      <w:r w:rsidRPr="00731DB1">
        <w:rPr>
          <w:rFonts w:eastAsia="Times New Roman"/>
          <w:vertAlign w:val="superscript"/>
          <w:lang w:eastAsia="en-US"/>
        </w:rPr>
        <w:footnoteReference w:id="43"/>
      </w:r>
      <w:r w:rsidRPr="00731DB1">
        <w:rPr>
          <w:rFonts w:eastAsia="Times New Roman"/>
          <w:lang w:eastAsia="en-US"/>
        </w:rPr>
        <w:t xml:space="preserve"> </w:t>
      </w:r>
      <w:r w:rsidRPr="00731DB1">
        <w:rPr>
          <w:lang w:val="en-US"/>
        </w:rPr>
        <w:t xml:space="preserve">The Committee </w:t>
      </w:r>
      <w:r w:rsidR="0062460A" w:rsidRPr="00731DB1">
        <w:rPr>
          <w:lang w:val="en-US"/>
        </w:rPr>
        <w:t xml:space="preserve">also </w:t>
      </w:r>
      <w:r w:rsidRPr="00731DB1">
        <w:rPr>
          <w:lang w:val="en-US"/>
        </w:rPr>
        <w:t xml:space="preserve">recalls its jurisprudence </w:t>
      </w:r>
      <w:r w:rsidRPr="00731DB1">
        <w:rPr>
          <w:lang w:val="en-US"/>
        </w:rPr>
        <w:lastRenderedPageBreak/>
        <w:t xml:space="preserve">that significant weight should be given to </w:t>
      </w:r>
      <w:r w:rsidR="00F1307A" w:rsidRPr="00731DB1">
        <w:rPr>
          <w:lang w:val="en-US"/>
        </w:rPr>
        <w:t xml:space="preserve">the State party’s </w:t>
      </w:r>
      <w:r w:rsidRPr="00731DB1">
        <w:rPr>
          <w:lang w:val="en-US"/>
        </w:rPr>
        <w:t xml:space="preserve">assessment, and that it is generally for the </w:t>
      </w:r>
      <w:r w:rsidR="00446E9B" w:rsidRPr="00731DB1">
        <w:rPr>
          <w:lang w:val="en-US"/>
        </w:rPr>
        <w:t xml:space="preserve">authorities </w:t>
      </w:r>
      <w:r w:rsidRPr="00731DB1">
        <w:rPr>
          <w:lang w:val="en-US"/>
        </w:rPr>
        <w:t>of State parties to examine the facts and evidence of the case</w:t>
      </w:r>
      <w:r w:rsidRPr="00731DB1">
        <w:rPr>
          <w:b/>
          <w:lang w:val="en-US"/>
        </w:rPr>
        <w:t xml:space="preserve"> </w:t>
      </w:r>
      <w:r w:rsidRPr="00731DB1">
        <w:rPr>
          <w:lang w:val="en-US"/>
        </w:rPr>
        <w:t>in order to determine whether such a risk exists, unless it can be established that the assessment was arbitrary or amounted to a manifest error or denial of justice</w:t>
      </w:r>
      <w:r w:rsidRPr="00731DB1">
        <w:rPr>
          <w:vertAlign w:val="superscript"/>
        </w:rPr>
        <w:footnoteReference w:id="44"/>
      </w:r>
      <w:r w:rsidR="0062460A" w:rsidRPr="00731DB1">
        <w:rPr>
          <w:lang w:val="en-US"/>
        </w:rPr>
        <w:t>.</w:t>
      </w:r>
    </w:p>
    <w:p w14:paraId="71553269" w14:textId="7F7EDE0F" w:rsidR="000D79DE" w:rsidRPr="00731DB1" w:rsidRDefault="0062460A" w:rsidP="00E90150">
      <w:pPr>
        <w:spacing w:after="120" w:line="240" w:lineRule="auto"/>
        <w:ind w:left="1134" w:right="1134"/>
        <w:jc w:val="both"/>
      </w:pPr>
      <w:r w:rsidRPr="00731DB1">
        <w:rPr>
          <w:lang w:val="en-US"/>
        </w:rPr>
        <w:t>10.5</w:t>
      </w:r>
      <w:r w:rsidRPr="00731DB1">
        <w:rPr>
          <w:lang w:val="en-US"/>
        </w:rPr>
        <w:tab/>
      </w:r>
      <w:r w:rsidR="00AA70BC" w:rsidRPr="00731DB1">
        <w:rPr>
          <w:lang w:val="en-US"/>
        </w:rPr>
        <w:t>T</w:t>
      </w:r>
      <w:r w:rsidRPr="00731DB1">
        <w:t xml:space="preserve">he Committee </w:t>
      </w:r>
      <w:r w:rsidR="00343122" w:rsidRPr="00731DB1">
        <w:t>notes</w:t>
      </w:r>
      <w:r w:rsidRPr="00731DB1">
        <w:t xml:space="preserve"> that the </w:t>
      </w:r>
      <w:r w:rsidR="00C436D7" w:rsidRPr="00731DB1">
        <w:t xml:space="preserve">author </w:t>
      </w:r>
      <w:r w:rsidR="00AA70BC" w:rsidRPr="00731DB1">
        <w:t xml:space="preserve">was able to </w:t>
      </w:r>
      <w:r w:rsidR="00C436D7" w:rsidRPr="00731DB1">
        <w:t>submi</w:t>
      </w:r>
      <w:r w:rsidR="00AA70BC" w:rsidRPr="00731DB1">
        <w:t>t</w:t>
      </w:r>
      <w:r w:rsidR="00C436D7" w:rsidRPr="00731DB1">
        <w:t xml:space="preserve"> three PRRAs, two H&amp;C </w:t>
      </w:r>
      <w:r w:rsidR="00D574BD">
        <w:t>applications</w:t>
      </w:r>
      <w:r w:rsidR="00525E94" w:rsidRPr="00731DB1">
        <w:t>,</w:t>
      </w:r>
      <w:r w:rsidR="00343122" w:rsidRPr="00731DB1">
        <w:t xml:space="preserve"> as well as leaves for appeal regarding each of these decisions to </w:t>
      </w:r>
      <w:r w:rsidR="00B32BC2" w:rsidRPr="00731DB1">
        <w:t xml:space="preserve">various </w:t>
      </w:r>
      <w:r w:rsidR="00AA70BC" w:rsidRPr="00731DB1">
        <w:t xml:space="preserve">tribunals, </w:t>
      </w:r>
      <w:r w:rsidR="00B32BC2" w:rsidRPr="00731DB1">
        <w:t xml:space="preserve">including </w:t>
      </w:r>
      <w:r w:rsidR="00343122" w:rsidRPr="00731DB1">
        <w:t>the Federal Court, the Federal Court of Appeal</w:t>
      </w:r>
      <w:r w:rsidR="00BE7AE5" w:rsidRPr="00731DB1">
        <w:t>,</w:t>
      </w:r>
      <w:r w:rsidR="00343122" w:rsidRPr="00731DB1">
        <w:t xml:space="preserve"> and </w:t>
      </w:r>
      <w:r w:rsidR="00AA70BC" w:rsidRPr="00731DB1">
        <w:t>t</w:t>
      </w:r>
      <w:r w:rsidR="00343122" w:rsidRPr="00731DB1">
        <w:t xml:space="preserve">he Supreme Court. The Committee </w:t>
      </w:r>
      <w:r w:rsidR="00391740" w:rsidRPr="00731DB1">
        <w:t xml:space="preserve">observers </w:t>
      </w:r>
      <w:r w:rsidR="00343122" w:rsidRPr="00731DB1">
        <w:t xml:space="preserve">that </w:t>
      </w:r>
      <w:r w:rsidR="00E11597" w:rsidRPr="00731DB1">
        <w:t>al</w:t>
      </w:r>
      <w:r w:rsidR="00AA70BC" w:rsidRPr="00731DB1">
        <w:t>though</w:t>
      </w:r>
      <w:r w:rsidR="00021F01" w:rsidRPr="00731DB1">
        <w:t>, in principle,</w:t>
      </w:r>
      <w:r w:rsidR="00E90150" w:rsidRPr="00731DB1">
        <w:t xml:space="preserve"> </w:t>
      </w:r>
      <w:r w:rsidR="00343122" w:rsidRPr="00731DB1">
        <w:t xml:space="preserve">the </w:t>
      </w:r>
      <w:r w:rsidR="00E90150" w:rsidRPr="00731DB1">
        <w:t xml:space="preserve">PRRA does not review new evidence, </w:t>
      </w:r>
      <w:r w:rsidR="00333B91" w:rsidRPr="00731DB1">
        <w:t xml:space="preserve">the decision-makers of </w:t>
      </w:r>
      <w:r w:rsidR="00E90150" w:rsidRPr="00731DB1">
        <w:t xml:space="preserve">the second </w:t>
      </w:r>
      <w:r w:rsidR="00B32BC2" w:rsidRPr="00731DB1">
        <w:t xml:space="preserve">and third </w:t>
      </w:r>
      <w:r w:rsidR="00E90150" w:rsidRPr="00731DB1">
        <w:t>PRRA</w:t>
      </w:r>
      <w:r w:rsidR="00333B91" w:rsidRPr="00731DB1">
        <w:t>s</w:t>
      </w:r>
      <w:r w:rsidR="00E90150" w:rsidRPr="00731DB1">
        <w:t xml:space="preserve"> review</w:t>
      </w:r>
      <w:r w:rsidR="003938FD" w:rsidRPr="00731DB1">
        <w:t>ed</w:t>
      </w:r>
      <w:r w:rsidR="00E90150" w:rsidRPr="00731DB1">
        <w:t xml:space="preserve"> evidence related to events </w:t>
      </w:r>
      <w:r w:rsidR="003938FD" w:rsidRPr="00731DB1">
        <w:t xml:space="preserve">that </w:t>
      </w:r>
      <w:r w:rsidR="00E90150" w:rsidRPr="00731DB1">
        <w:t xml:space="preserve">occurred after the rejection of the author’s first </w:t>
      </w:r>
      <w:r w:rsidR="00B32BC2" w:rsidRPr="00731DB1">
        <w:t xml:space="preserve">and second </w:t>
      </w:r>
      <w:r w:rsidR="00E90150" w:rsidRPr="00731DB1">
        <w:t>PRRA</w:t>
      </w:r>
      <w:r w:rsidR="00D574BD">
        <w:t>s</w:t>
      </w:r>
      <w:r w:rsidR="00021F01" w:rsidRPr="00731DB1">
        <w:t xml:space="preserve">. </w:t>
      </w:r>
    </w:p>
    <w:p w14:paraId="134AE2EA" w14:textId="14C6E860" w:rsidR="00C436D7" w:rsidRPr="00731DB1" w:rsidRDefault="000D79DE" w:rsidP="00E90150">
      <w:pPr>
        <w:spacing w:after="120" w:line="240" w:lineRule="auto"/>
        <w:ind w:left="1134" w:right="1134"/>
        <w:jc w:val="both"/>
      </w:pPr>
      <w:r w:rsidRPr="00731DB1">
        <w:t>10.6</w:t>
      </w:r>
      <w:r w:rsidRPr="00731DB1">
        <w:tab/>
      </w:r>
      <w:r w:rsidR="00021F01" w:rsidRPr="00731DB1">
        <w:t>The Committee also note</w:t>
      </w:r>
      <w:r w:rsidR="00333B91" w:rsidRPr="00731DB1">
        <w:t>s</w:t>
      </w:r>
      <w:r w:rsidR="00021F01" w:rsidRPr="00731DB1">
        <w:t xml:space="preserve"> that the author</w:t>
      </w:r>
      <w:r w:rsidR="00AA70BC" w:rsidRPr="00731DB1">
        <w:t xml:space="preserve"> was represented</w:t>
      </w:r>
      <w:r w:rsidR="00DA3BBD" w:rsidRPr="00731DB1">
        <w:t xml:space="preserve"> by counsel</w:t>
      </w:r>
      <w:r w:rsidR="00FC43DB" w:rsidRPr="00731DB1">
        <w:t xml:space="preserve"> at least until the second PRRA</w:t>
      </w:r>
      <w:r w:rsidR="00F070E1" w:rsidRPr="00731DB1">
        <w:t xml:space="preserve">. He also </w:t>
      </w:r>
      <w:r w:rsidR="00021F01" w:rsidRPr="00731DB1">
        <w:t>had the possibility to submit written evidence and deliver</w:t>
      </w:r>
      <w:r w:rsidR="007148F8" w:rsidRPr="00731DB1">
        <w:t>ed</w:t>
      </w:r>
      <w:r w:rsidR="00021F01" w:rsidRPr="00731DB1">
        <w:t xml:space="preserve"> oral statements</w:t>
      </w:r>
      <w:r w:rsidR="00F070E1" w:rsidRPr="00731DB1">
        <w:t xml:space="preserve"> during the proceedings</w:t>
      </w:r>
      <w:r w:rsidR="00021F01" w:rsidRPr="00731DB1">
        <w:t>.</w:t>
      </w:r>
    </w:p>
    <w:p w14:paraId="514E0C60" w14:textId="4CB28DAC" w:rsidR="00325FCE" w:rsidRPr="00731DB1" w:rsidRDefault="00021F01" w:rsidP="00DC587E">
      <w:pPr>
        <w:spacing w:after="120" w:line="240" w:lineRule="auto"/>
        <w:ind w:left="1134" w:right="1134"/>
        <w:jc w:val="both"/>
      </w:pPr>
      <w:r w:rsidRPr="00731DB1">
        <w:t>10.</w:t>
      </w:r>
      <w:r w:rsidR="000D79DE" w:rsidRPr="00731DB1">
        <w:t>7</w:t>
      </w:r>
      <w:r w:rsidRPr="00731DB1">
        <w:tab/>
      </w:r>
      <w:r w:rsidR="00525E94" w:rsidRPr="00731DB1">
        <w:t xml:space="preserve">In relation to the author’s claims that he would be subjected to violations of his rights under articles 6 and 7 of the Covenant because of his MASSOB membership, </w:t>
      </w:r>
      <w:r w:rsidR="00325FCE" w:rsidRPr="00731DB1">
        <w:t>the Committee note</w:t>
      </w:r>
      <w:r w:rsidR="00DE30DD" w:rsidRPr="00731DB1">
        <w:t>s</w:t>
      </w:r>
      <w:r w:rsidR="00BA7D0D" w:rsidRPr="00731DB1">
        <w:t>, firstly,</w:t>
      </w:r>
      <w:r w:rsidR="00DE30DD" w:rsidRPr="00731DB1">
        <w:t xml:space="preserve"> </w:t>
      </w:r>
      <w:r w:rsidR="00325FCE" w:rsidRPr="00731DB1">
        <w:t xml:space="preserve">that </w:t>
      </w:r>
      <w:r w:rsidR="00DE30DD" w:rsidRPr="00731DB1">
        <w:t xml:space="preserve">when </w:t>
      </w:r>
      <w:r w:rsidR="00325FCE" w:rsidRPr="00731DB1">
        <w:t xml:space="preserve">requested to verify the authenticity of the ruling which convicted </w:t>
      </w:r>
      <w:r w:rsidR="008D125A" w:rsidRPr="00731DB1">
        <w:t>the author</w:t>
      </w:r>
      <w:r w:rsidR="00325FCE" w:rsidRPr="00731DB1">
        <w:t xml:space="preserve"> </w:t>
      </w:r>
      <w:r w:rsidR="00FE4FE2" w:rsidRPr="00731DB1">
        <w:t xml:space="preserve">and sentenced him </w:t>
      </w:r>
      <w:r w:rsidR="00325FCE" w:rsidRPr="00731DB1">
        <w:t xml:space="preserve">to life </w:t>
      </w:r>
      <w:r w:rsidR="00D574BD">
        <w:t>im</w:t>
      </w:r>
      <w:r w:rsidR="00325FCE" w:rsidRPr="00731DB1">
        <w:t>prison</w:t>
      </w:r>
      <w:r w:rsidR="00D574BD">
        <w:t>ment</w:t>
      </w:r>
      <w:r w:rsidR="00DC587E" w:rsidRPr="00731DB1">
        <w:t>,</w:t>
      </w:r>
      <w:r w:rsidR="00325FCE" w:rsidRPr="00731DB1">
        <w:t xml:space="preserve"> </w:t>
      </w:r>
      <w:r w:rsidR="00DE30DD" w:rsidRPr="00731DB1">
        <w:t xml:space="preserve">Interpol </w:t>
      </w:r>
      <w:r w:rsidR="00325FCE" w:rsidRPr="00731DB1">
        <w:t xml:space="preserve">confirmed that </w:t>
      </w:r>
      <w:r w:rsidR="00D107C6" w:rsidRPr="00731DB1">
        <w:t xml:space="preserve">it </w:t>
      </w:r>
      <w:r w:rsidR="00325FCE" w:rsidRPr="00731DB1">
        <w:t>was</w:t>
      </w:r>
      <w:r w:rsidR="00D107C6" w:rsidRPr="00731DB1">
        <w:t xml:space="preserve"> fake</w:t>
      </w:r>
      <w:r w:rsidR="00325FCE" w:rsidRPr="00731DB1">
        <w:t xml:space="preserve">, as the judge signing it had never been part of the </w:t>
      </w:r>
      <w:r w:rsidR="00DC587E" w:rsidRPr="00731DB1">
        <w:t>tribunal</w:t>
      </w:r>
      <w:r w:rsidR="00325FCE" w:rsidRPr="00731DB1">
        <w:t xml:space="preserve"> </w:t>
      </w:r>
      <w:r w:rsidR="00DC587E" w:rsidRPr="00731DB1">
        <w:t xml:space="preserve">which had supposedly issued </w:t>
      </w:r>
      <w:r w:rsidR="00E5392C" w:rsidRPr="00731DB1">
        <w:t>the ruling</w:t>
      </w:r>
      <w:r w:rsidR="00DC587E" w:rsidRPr="00731DB1">
        <w:t xml:space="preserve">. In this regard, the Committee notes the State party’s argument that the verification of the judgement was conducted according to </w:t>
      </w:r>
      <w:r w:rsidR="007A22C4" w:rsidRPr="00731DB1">
        <w:t>domestic</w:t>
      </w:r>
      <w:r w:rsidR="00DC587E" w:rsidRPr="00731DB1">
        <w:t xml:space="preserve"> legislation. The Committee takes note of the Federal Court’s decision of 29 April 2015, which considered that authorities are allowed to verify documents </w:t>
      </w:r>
      <w:proofErr w:type="gramStart"/>
      <w:r w:rsidR="00DC587E" w:rsidRPr="00731DB1">
        <w:t>provided that</w:t>
      </w:r>
      <w:proofErr w:type="gramEnd"/>
      <w:r w:rsidR="00DC587E" w:rsidRPr="00731DB1">
        <w:t xml:space="preserve"> </w:t>
      </w:r>
      <w:r w:rsidR="003047A5" w:rsidRPr="00731DB1">
        <w:t xml:space="preserve">they strike </w:t>
      </w:r>
      <w:r w:rsidR="00DC587E" w:rsidRPr="00731DB1">
        <w:t xml:space="preserve">a balance between public interest and the right to privacy. The Committee </w:t>
      </w:r>
      <w:r w:rsidR="003C25C2" w:rsidRPr="00731DB1">
        <w:t xml:space="preserve">acknowledges </w:t>
      </w:r>
      <w:r w:rsidR="00DC587E" w:rsidRPr="00731DB1">
        <w:t>that State</w:t>
      </w:r>
      <w:r w:rsidR="007A22C4" w:rsidRPr="00731DB1">
        <w:t xml:space="preserve"> parties have the power to determine</w:t>
      </w:r>
      <w:r w:rsidR="00D8406A" w:rsidRPr="00731DB1">
        <w:t xml:space="preserve"> who can stay in their territory and </w:t>
      </w:r>
      <w:r w:rsidR="00D359B6" w:rsidRPr="00731DB1">
        <w:t xml:space="preserve">may </w:t>
      </w:r>
      <w:r w:rsidR="00D8406A" w:rsidRPr="00731DB1">
        <w:t>carry out verifications necessary</w:t>
      </w:r>
      <w:r w:rsidR="007A22C4" w:rsidRPr="00731DB1">
        <w:t xml:space="preserve"> </w:t>
      </w:r>
      <w:r w:rsidR="0054243F" w:rsidRPr="00731DB1">
        <w:t xml:space="preserve">to make </w:t>
      </w:r>
      <w:r w:rsidR="000324F9" w:rsidRPr="00731DB1">
        <w:t xml:space="preserve">such a </w:t>
      </w:r>
      <w:r w:rsidR="0054243F" w:rsidRPr="00731DB1">
        <w:t>determination</w:t>
      </w:r>
      <w:r w:rsidR="00D8406A" w:rsidRPr="00731DB1">
        <w:t xml:space="preserve">, </w:t>
      </w:r>
      <w:r w:rsidR="001303FC" w:rsidRPr="00731DB1">
        <w:t xml:space="preserve">provided </w:t>
      </w:r>
      <w:r w:rsidR="00D107C6" w:rsidRPr="00731DB1">
        <w:t>t</w:t>
      </w:r>
      <w:r w:rsidR="00D8406A" w:rsidRPr="00731DB1">
        <w:t xml:space="preserve">hat the rights of the persons involved are respected. The Committee observes that the author failed to demonstrate that </w:t>
      </w:r>
      <w:r w:rsidR="00DE30DD" w:rsidRPr="00731DB1">
        <w:t>this</w:t>
      </w:r>
      <w:r w:rsidR="00D8406A" w:rsidRPr="00731DB1">
        <w:t xml:space="preserve"> was not </w:t>
      </w:r>
      <w:r w:rsidR="00886BDC" w:rsidRPr="00731DB1">
        <w:t xml:space="preserve">done </w:t>
      </w:r>
      <w:r w:rsidR="001303FC" w:rsidRPr="00731DB1">
        <w:t xml:space="preserve">with respect to the review of his </w:t>
      </w:r>
      <w:r w:rsidR="00D8406A" w:rsidRPr="00731DB1">
        <w:t>case.</w:t>
      </w:r>
    </w:p>
    <w:p w14:paraId="1F0239AE" w14:textId="7F592B2F" w:rsidR="00CB0757" w:rsidRPr="00731DB1" w:rsidRDefault="007A22C4" w:rsidP="00947D56">
      <w:pPr>
        <w:spacing w:after="120" w:line="240" w:lineRule="auto"/>
        <w:ind w:left="1134" w:right="1134"/>
        <w:jc w:val="both"/>
      </w:pPr>
      <w:r w:rsidRPr="00731DB1">
        <w:t>10.</w:t>
      </w:r>
      <w:r w:rsidR="000D79DE" w:rsidRPr="00731DB1">
        <w:t>8</w:t>
      </w:r>
      <w:r w:rsidRPr="00731DB1">
        <w:tab/>
      </w:r>
      <w:r w:rsidR="00DE30DD" w:rsidRPr="00731DB1">
        <w:t>Secondly</w:t>
      </w:r>
      <w:r w:rsidRPr="00731DB1">
        <w:t>, t</w:t>
      </w:r>
      <w:r w:rsidR="00021F01" w:rsidRPr="00731DB1">
        <w:t>he Committee notes that</w:t>
      </w:r>
      <w:r w:rsidR="00525E94" w:rsidRPr="00731DB1">
        <w:t xml:space="preserve"> the State party’s authorities analysed the evidence provided by the author</w:t>
      </w:r>
      <w:r w:rsidR="002B4D19" w:rsidRPr="00731DB1">
        <w:t xml:space="preserve"> at all stages of the proceedings. The Committee notes that the </w:t>
      </w:r>
      <w:r w:rsidR="00947D56" w:rsidRPr="00731DB1">
        <w:t xml:space="preserve">agent who decided </w:t>
      </w:r>
      <w:r w:rsidR="002B4D19" w:rsidRPr="00731DB1">
        <w:t xml:space="preserve">the first PRRA examined two letters according to which the Nigerian authorities </w:t>
      </w:r>
      <w:r w:rsidR="00947D56" w:rsidRPr="00731DB1">
        <w:t xml:space="preserve">were searching </w:t>
      </w:r>
      <w:r w:rsidR="002B4D19" w:rsidRPr="00731DB1">
        <w:t xml:space="preserve">for </w:t>
      </w:r>
      <w:r w:rsidR="00D107C6" w:rsidRPr="00731DB1">
        <w:t>the author</w:t>
      </w:r>
      <w:r w:rsidR="00947D56" w:rsidRPr="00731DB1">
        <w:t xml:space="preserve">. The agent determined that the letters were not credible because they contained </w:t>
      </w:r>
      <w:r w:rsidR="002B4D19" w:rsidRPr="00731DB1">
        <w:t xml:space="preserve">inconsistencies and mistakes. </w:t>
      </w:r>
      <w:r w:rsidR="00C96B9A" w:rsidRPr="00731DB1">
        <w:t>T</w:t>
      </w:r>
      <w:r w:rsidR="002B4D19" w:rsidRPr="00731DB1">
        <w:t xml:space="preserve">he </w:t>
      </w:r>
      <w:r w:rsidR="00C96B9A" w:rsidRPr="00731DB1">
        <w:t xml:space="preserve">agent who decided </w:t>
      </w:r>
      <w:r w:rsidR="002B4D19" w:rsidRPr="00731DB1">
        <w:t xml:space="preserve">the second PRRA analysed </w:t>
      </w:r>
      <w:r w:rsidR="001A54D4" w:rsidRPr="00731DB1">
        <w:t>a warrant of arrest dated 17 June 2016</w:t>
      </w:r>
      <w:r w:rsidR="00195B1D" w:rsidRPr="00731DB1">
        <w:t>,</w:t>
      </w:r>
      <w:r w:rsidR="001A54D4" w:rsidRPr="00731DB1">
        <w:t xml:space="preserve"> several letters confirming the author’s membership </w:t>
      </w:r>
      <w:r w:rsidR="00D574BD">
        <w:t>of</w:t>
      </w:r>
      <w:r w:rsidR="001A54D4" w:rsidRPr="00731DB1">
        <w:t xml:space="preserve"> MASSOB</w:t>
      </w:r>
      <w:r w:rsidR="00195B1D" w:rsidRPr="00731DB1">
        <w:t>,</w:t>
      </w:r>
      <w:r w:rsidR="001A54D4" w:rsidRPr="00731DB1">
        <w:t xml:space="preserve"> and </w:t>
      </w:r>
      <w:r w:rsidR="00195B1D" w:rsidRPr="00731DB1">
        <w:t xml:space="preserve">other </w:t>
      </w:r>
      <w:r w:rsidR="001A54D4" w:rsidRPr="00731DB1">
        <w:t xml:space="preserve">documents submitted through his lawyer in Nigeria. The Committee notes that the PRRA agent considered that </w:t>
      </w:r>
      <w:r w:rsidR="00D107C6" w:rsidRPr="00731DB1">
        <w:t>such</w:t>
      </w:r>
      <w:r w:rsidR="001A54D4" w:rsidRPr="00731DB1">
        <w:t xml:space="preserve"> evidence had low credibility</w:t>
      </w:r>
      <w:r w:rsidR="00325FCE" w:rsidRPr="00731DB1">
        <w:t>, as some of the documents, in particular the warrant of arrest, were photocopies with</w:t>
      </w:r>
      <w:r w:rsidR="00D5121F" w:rsidRPr="00731DB1">
        <w:t>out</w:t>
      </w:r>
      <w:r w:rsidR="00325FCE" w:rsidRPr="00731DB1">
        <w:t xml:space="preserve"> seals or other security features; the signatures </w:t>
      </w:r>
      <w:r w:rsidR="00FF4DCF" w:rsidRPr="00731DB1">
        <w:t xml:space="preserve">on </w:t>
      </w:r>
      <w:r w:rsidR="00325FCE" w:rsidRPr="00731DB1">
        <w:t xml:space="preserve">the letters </w:t>
      </w:r>
      <w:r w:rsidR="00410012" w:rsidRPr="00731DB1">
        <w:t xml:space="preserve">appeared </w:t>
      </w:r>
      <w:r w:rsidR="00325FCE" w:rsidRPr="00731DB1">
        <w:t>to be identical</w:t>
      </w:r>
      <w:r w:rsidR="00390789" w:rsidRPr="00731DB1">
        <w:t>;</w:t>
      </w:r>
      <w:r w:rsidR="00325FCE" w:rsidRPr="00731DB1">
        <w:t xml:space="preserve"> and </w:t>
      </w:r>
      <w:r w:rsidR="00DE30DD" w:rsidRPr="00731DB1">
        <w:t xml:space="preserve">the </w:t>
      </w:r>
      <w:r w:rsidR="00325FCE" w:rsidRPr="00731DB1">
        <w:t xml:space="preserve">other documents were provided by the same lawyer who had provided the judgement which </w:t>
      </w:r>
      <w:r w:rsidR="00FF4DCF" w:rsidRPr="00731DB1">
        <w:t xml:space="preserve">was determined to be </w:t>
      </w:r>
      <w:r w:rsidR="00D52688" w:rsidRPr="00731DB1">
        <w:t xml:space="preserve">a </w:t>
      </w:r>
      <w:r w:rsidR="00325FCE" w:rsidRPr="00731DB1">
        <w:t xml:space="preserve">fake. </w:t>
      </w:r>
      <w:r w:rsidR="00527ED0" w:rsidRPr="00731DB1">
        <w:t>T</w:t>
      </w:r>
      <w:r w:rsidR="00390789" w:rsidRPr="00731DB1">
        <w:t xml:space="preserve">he author did not provide information as to how he </w:t>
      </w:r>
      <w:r w:rsidR="00883353" w:rsidRPr="00731DB1">
        <w:t xml:space="preserve">obtained </w:t>
      </w:r>
      <w:r w:rsidR="00390789" w:rsidRPr="00731DB1">
        <w:t>the</w:t>
      </w:r>
      <w:r w:rsidR="00CB0757" w:rsidRPr="00731DB1">
        <w:t>se</w:t>
      </w:r>
      <w:r w:rsidR="00390789" w:rsidRPr="00731DB1">
        <w:t xml:space="preserve"> documents, nor did he provide any evidence rebutting the </w:t>
      </w:r>
      <w:r w:rsidR="00527ED0" w:rsidRPr="00731DB1">
        <w:t xml:space="preserve">PRRA agent’s </w:t>
      </w:r>
      <w:r w:rsidR="00390789" w:rsidRPr="00731DB1">
        <w:t xml:space="preserve">assessment. </w:t>
      </w:r>
    </w:p>
    <w:p w14:paraId="55B5EC54" w14:textId="56768BA2" w:rsidR="00390789" w:rsidRPr="00731DB1" w:rsidRDefault="00EB795C" w:rsidP="00947D56">
      <w:pPr>
        <w:spacing w:after="120" w:line="240" w:lineRule="auto"/>
        <w:ind w:left="1134" w:right="1134"/>
        <w:jc w:val="both"/>
      </w:pPr>
      <w:r w:rsidRPr="00731DB1">
        <w:t>10.9</w:t>
      </w:r>
      <w:r w:rsidRPr="00731DB1">
        <w:tab/>
      </w:r>
      <w:r w:rsidR="00390789" w:rsidRPr="00731DB1">
        <w:t>Thirdly, the Committee</w:t>
      </w:r>
      <w:r w:rsidR="0097681A" w:rsidRPr="00731DB1">
        <w:t xml:space="preserve"> notes that the </w:t>
      </w:r>
      <w:r w:rsidR="00CB0757" w:rsidRPr="00731DB1">
        <w:t xml:space="preserve">agent who decided the </w:t>
      </w:r>
      <w:r w:rsidR="0097681A" w:rsidRPr="00731DB1">
        <w:t xml:space="preserve">third PRRA examined another arrest warrant dated 26 July 2019 and concluded that it was not credible, as </w:t>
      </w:r>
      <w:r w:rsidR="00286E9E" w:rsidRPr="00731DB1">
        <w:t xml:space="preserve">it </w:t>
      </w:r>
      <w:r w:rsidR="00CB0757" w:rsidRPr="00731DB1">
        <w:t xml:space="preserve">appeared </w:t>
      </w:r>
      <w:r w:rsidR="00286E9E" w:rsidRPr="00731DB1">
        <w:t xml:space="preserve">to be a photocopy signed by the same judge who </w:t>
      </w:r>
      <w:r w:rsidR="00CB0757" w:rsidRPr="00731DB1">
        <w:t xml:space="preserve">had </w:t>
      </w:r>
      <w:r w:rsidR="00286E9E" w:rsidRPr="00731DB1">
        <w:t xml:space="preserve">signed the other warrant which had been </w:t>
      </w:r>
      <w:r w:rsidR="006578E6" w:rsidRPr="00731DB1">
        <w:t xml:space="preserve">found to be </w:t>
      </w:r>
      <w:r w:rsidR="00286E9E" w:rsidRPr="00731DB1">
        <w:t>no</w:t>
      </w:r>
      <w:r w:rsidR="004F01D7" w:rsidRPr="00731DB1">
        <w:t>n-authentic</w:t>
      </w:r>
      <w:r w:rsidR="00286E9E" w:rsidRPr="00731DB1">
        <w:t xml:space="preserve">. The Committee also notes that the author only indicated that he </w:t>
      </w:r>
      <w:r w:rsidR="00CB0757" w:rsidRPr="00731DB1">
        <w:t xml:space="preserve">received </w:t>
      </w:r>
      <w:r w:rsidR="00286E9E" w:rsidRPr="00731DB1">
        <w:t>the documents through his new lawyer in Nigeria</w:t>
      </w:r>
      <w:r w:rsidR="00CB0757" w:rsidRPr="00731DB1">
        <w:t xml:space="preserve"> and did not </w:t>
      </w:r>
      <w:r w:rsidR="00286E9E" w:rsidRPr="00731DB1">
        <w:t>provid</w:t>
      </w:r>
      <w:r w:rsidR="00CB0757" w:rsidRPr="00731DB1">
        <w:t>e</w:t>
      </w:r>
      <w:r w:rsidR="00286E9E" w:rsidRPr="00731DB1">
        <w:t xml:space="preserve"> any </w:t>
      </w:r>
      <w:r w:rsidR="00B87392" w:rsidRPr="00731DB1">
        <w:t xml:space="preserve">additional </w:t>
      </w:r>
      <w:r w:rsidR="00286E9E" w:rsidRPr="00731DB1">
        <w:t>evidence</w:t>
      </w:r>
      <w:r w:rsidR="00B87392" w:rsidRPr="00731DB1">
        <w:t xml:space="preserve"> to support the documents’ authenticity</w:t>
      </w:r>
      <w:r w:rsidR="00286E9E" w:rsidRPr="00731DB1">
        <w:t xml:space="preserve">. </w:t>
      </w:r>
      <w:r w:rsidR="00087558" w:rsidRPr="00731DB1">
        <w:t xml:space="preserve">Lastly, the </w:t>
      </w:r>
      <w:r w:rsidR="00286E9E" w:rsidRPr="00731DB1">
        <w:t xml:space="preserve">Committee notes the State party’s </w:t>
      </w:r>
      <w:r w:rsidR="00087558" w:rsidRPr="00731DB1">
        <w:t xml:space="preserve">assertion </w:t>
      </w:r>
      <w:r w:rsidR="004F01D7" w:rsidRPr="00731DB1">
        <w:t xml:space="preserve">that, </w:t>
      </w:r>
      <w:r w:rsidR="00286E9E" w:rsidRPr="00731DB1">
        <w:t>according to public</w:t>
      </w:r>
      <w:r w:rsidR="00087558" w:rsidRPr="00731DB1">
        <w:t>ly</w:t>
      </w:r>
      <w:r w:rsidR="00286E9E" w:rsidRPr="00731DB1">
        <w:t xml:space="preserve"> available information, forged documents are easily obtained in Nigeria. </w:t>
      </w:r>
    </w:p>
    <w:p w14:paraId="314F7E57" w14:textId="3852243E" w:rsidR="004F01D7" w:rsidRPr="00731DB1" w:rsidRDefault="00286E9E" w:rsidP="002B4D19">
      <w:pPr>
        <w:spacing w:after="120" w:line="240" w:lineRule="auto"/>
        <w:ind w:left="1134" w:right="1134"/>
        <w:jc w:val="both"/>
      </w:pPr>
      <w:r w:rsidRPr="00731DB1">
        <w:t>10.</w:t>
      </w:r>
      <w:r w:rsidR="00EB795C" w:rsidRPr="00731DB1">
        <w:t>10</w:t>
      </w:r>
      <w:r w:rsidRPr="00731DB1">
        <w:tab/>
      </w:r>
      <w:r w:rsidR="00390789" w:rsidRPr="00731DB1">
        <w:t>Furthermore, the Committee note</w:t>
      </w:r>
      <w:r w:rsidR="0080666B" w:rsidRPr="00731DB1">
        <w:t>s</w:t>
      </w:r>
      <w:r w:rsidR="00390789" w:rsidRPr="00731DB1">
        <w:t xml:space="preserve"> that the State party’s authorities analysed the author’s allegations </w:t>
      </w:r>
      <w:r w:rsidR="0097681A" w:rsidRPr="00731DB1">
        <w:t>of having</w:t>
      </w:r>
      <w:r w:rsidR="00390789" w:rsidRPr="00731DB1">
        <w:t xml:space="preserve"> been subjected to </w:t>
      </w:r>
      <w:r w:rsidR="0097681A" w:rsidRPr="00731DB1">
        <w:t>torture after</w:t>
      </w:r>
      <w:r w:rsidR="00390789" w:rsidRPr="00731DB1">
        <w:t xml:space="preserve"> his </w:t>
      </w:r>
      <w:r w:rsidR="0097681A" w:rsidRPr="00731DB1">
        <w:t>deportation</w:t>
      </w:r>
      <w:r w:rsidR="00390789" w:rsidRPr="00731DB1">
        <w:t xml:space="preserve"> in October 2015</w:t>
      </w:r>
      <w:r w:rsidR="004F01D7" w:rsidRPr="00731DB1">
        <w:t xml:space="preserve"> and considered that they were not credible </w:t>
      </w:r>
      <w:r w:rsidR="00DD2AF5" w:rsidRPr="00731DB1">
        <w:t xml:space="preserve">because </w:t>
      </w:r>
      <w:r w:rsidR="0080666B" w:rsidRPr="00731DB1">
        <w:t>they contain</w:t>
      </w:r>
      <w:r w:rsidR="00DD2AF5" w:rsidRPr="00731DB1">
        <w:t>ed</w:t>
      </w:r>
      <w:r w:rsidR="0080666B" w:rsidRPr="00731DB1">
        <w:t xml:space="preserve"> </w:t>
      </w:r>
      <w:r w:rsidR="004F01D7" w:rsidRPr="00731DB1">
        <w:t>contradictions and inconsistencies</w:t>
      </w:r>
      <w:r w:rsidR="00A77AA5" w:rsidRPr="00731DB1">
        <w:t xml:space="preserve">. Moreover, </w:t>
      </w:r>
      <w:r w:rsidR="00E31C98" w:rsidRPr="00731DB1">
        <w:t xml:space="preserve">when </w:t>
      </w:r>
      <w:r w:rsidR="00A77AA5" w:rsidRPr="00731DB1">
        <w:t xml:space="preserve">the author was </w:t>
      </w:r>
      <w:r w:rsidR="004F01D7" w:rsidRPr="00731DB1">
        <w:t>asked to show hi</w:t>
      </w:r>
      <w:r w:rsidR="008E09B8" w:rsidRPr="00731DB1">
        <w:t>s</w:t>
      </w:r>
      <w:r w:rsidR="004F01D7" w:rsidRPr="00731DB1">
        <w:t xml:space="preserve"> scars, he changed </w:t>
      </w:r>
      <w:r w:rsidR="008E09B8" w:rsidRPr="00731DB1">
        <w:t>his</w:t>
      </w:r>
      <w:r w:rsidR="004F01D7" w:rsidRPr="00731DB1">
        <w:t xml:space="preserve"> version of the facts. The Committee further notes that </w:t>
      </w:r>
      <w:r w:rsidR="00A77AA5" w:rsidRPr="00731DB1">
        <w:t xml:space="preserve">the only evidence </w:t>
      </w:r>
      <w:r w:rsidR="002C77E1" w:rsidRPr="00731DB1">
        <w:t xml:space="preserve">that </w:t>
      </w:r>
      <w:r w:rsidR="00A77AA5" w:rsidRPr="00731DB1">
        <w:t xml:space="preserve">the author provided to contest the State </w:t>
      </w:r>
      <w:r w:rsidR="008E09B8" w:rsidRPr="00731DB1">
        <w:t xml:space="preserve">party’s </w:t>
      </w:r>
      <w:r w:rsidR="004F01D7" w:rsidRPr="00731DB1">
        <w:t xml:space="preserve">assessment </w:t>
      </w:r>
      <w:r w:rsidR="00A77AA5" w:rsidRPr="00731DB1">
        <w:t xml:space="preserve">was </w:t>
      </w:r>
      <w:r w:rsidR="004F01D7" w:rsidRPr="00731DB1">
        <w:t xml:space="preserve">a report containing his own statements in relation to his injuries which </w:t>
      </w:r>
      <w:r w:rsidR="00E31C98" w:rsidRPr="00731DB1">
        <w:t xml:space="preserve">had </w:t>
      </w:r>
      <w:r w:rsidR="004F01D7" w:rsidRPr="00731DB1">
        <w:t xml:space="preserve">not </w:t>
      </w:r>
      <w:r w:rsidR="00E31C98" w:rsidRPr="00731DB1">
        <w:t xml:space="preserve">been </w:t>
      </w:r>
      <w:r w:rsidR="004F01D7" w:rsidRPr="00731DB1">
        <w:t xml:space="preserve">verified by medical professionals. </w:t>
      </w:r>
      <w:r w:rsidR="00C700EA" w:rsidRPr="00731DB1">
        <w:t xml:space="preserve">Regarding the video submitted by the author, the Committee notes the State party’s argument that it is </w:t>
      </w:r>
      <w:r w:rsidR="00C700EA" w:rsidRPr="00731DB1">
        <w:lastRenderedPageBreak/>
        <w:t xml:space="preserve">impossible to know the identity of the </w:t>
      </w:r>
      <w:r w:rsidR="002C77E1" w:rsidRPr="00731DB1">
        <w:t xml:space="preserve">individuals </w:t>
      </w:r>
      <w:r w:rsidR="00C700EA" w:rsidRPr="00731DB1">
        <w:t xml:space="preserve">it </w:t>
      </w:r>
      <w:r w:rsidR="002C77E1" w:rsidRPr="00731DB1">
        <w:t xml:space="preserve">depicts or </w:t>
      </w:r>
      <w:r w:rsidR="00C700EA" w:rsidRPr="00731DB1">
        <w:t xml:space="preserve">their relationship </w:t>
      </w:r>
      <w:r w:rsidR="00AA5ECB" w:rsidRPr="00731DB1">
        <w:t xml:space="preserve">to </w:t>
      </w:r>
      <w:r w:rsidR="00C700EA" w:rsidRPr="00731DB1">
        <w:t>the author</w:t>
      </w:r>
      <w:r w:rsidR="00271F6C" w:rsidRPr="00731DB1">
        <w:t>; therefore</w:t>
      </w:r>
      <w:r w:rsidR="00D107C6" w:rsidRPr="00731DB1">
        <w:t>,</w:t>
      </w:r>
      <w:r w:rsidR="00271F6C" w:rsidRPr="00731DB1">
        <w:t xml:space="preserve"> it is not possible to </w:t>
      </w:r>
      <w:r w:rsidR="00D107C6" w:rsidRPr="00731DB1">
        <w:t>assess</w:t>
      </w:r>
      <w:r w:rsidR="00271F6C" w:rsidRPr="00731DB1">
        <w:t xml:space="preserve"> </w:t>
      </w:r>
      <w:r w:rsidR="00173B59" w:rsidRPr="00731DB1">
        <w:t xml:space="preserve">the video’s </w:t>
      </w:r>
      <w:r w:rsidR="00271F6C" w:rsidRPr="00731DB1">
        <w:t xml:space="preserve">relevance </w:t>
      </w:r>
      <w:r w:rsidR="00173B59" w:rsidRPr="00731DB1">
        <w:t xml:space="preserve">to </w:t>
      </w:r>
      <w:r w:rsidR="00271F6C" w:rsidRPr="00731DB1">
        <w:t>the communication.</w:t>
      </w:r>
    </w:p>
    <w:p w14:paraId="5AFC9042" w14:textId="79ED912C" w:rsidR="00021F01" w:rsidRPr="00731DB1" w:rsidRDefault="004F01D7" w:rsidP="00F8668E">
      <w:pPr>
        <w:spacing w:after="120" w:line="240" w:lineRule="auto"/>
        <w:ind w:left="1134" w:right="1134"/>
        <w:jc w:val="both"/>
      </w:pPr>
      <w:r w:rsidRPr="00731DB1">
        <w:t>10.</w:t>
      </w:r>
      <w:r w:rsidR="0080666B" w:rsidRPr="00731DB1">
        <w:t>1</w:t>
      </w:r>
      <w:r w:rsidR="00EB795C" w:rsidRPr="00731DB1">
        <w:t>1</w:t>
      </w:r>
      <w:r w:rsidRPr="00731DB1">
        <w:tab/>
        <w:t xml:space="preserve"> </w:t>
      </w:r>
      <w:r w:rsidR="008E09B8" w:rsidRPr="00731DB1">
        <w:t xml:space="preserve">Concerning the risk </w:t>
      </w:r>
      <w:r w:rsidR="00C02393" w:rsidRPr="00731DB1">
        <w:t xml:space="preserve">that the author </w:t>
      </w:r>
      <w:r w:rsidR="008E09B8" w:rsidRPr="00731DB1">
        <w:t xml:space="preserve">would face in Nigeria as an HIV positive </w:t>
      </w:r>
      <w:r w:rsidR="00F8668E" w:rsidRPr="00731DB1">
        <w:t>person</w:t>
      </w:r>
      <w:r w:rsidR="00D107C6" w:rsidRPr="00731DB1">
        <w:t>,</w:t>
      </w:r>
      <w:r w:rsidR="008E09B8" w:rsidRPr="00731DB1">
        <w:t xml:space="preserve"> </w:t>
      </w:r>
      <w:r w:rsidR="00992DF7">
        <w:t>and due to his latent tuberculosis</w:t>
      </w:r>
      <w:r w:rsidR="00992DF7" w:rsidRPr="00731DB1">
        <w:t xml:space="preserve">, </w:t>
      </w:r>
      <w:r w:rsidR="008E09B8" w:rsidRPr="00731DB1">
        <w:t xml:space="preserve">the Committee notes his allegations related to the high cost of medical treatment there and to the discrimination and persecution he would face because of his condition. </w:t>
      </w:r>
      <w:r w:rsidR="00F8668E" w:rsidRPr="00731DB1">
        <w:t>The Committee</w:t>
      </w:r>
      <w:r w:rsidR="007A50C4" w:rsidRPr="00731DB1">
        <w:t>, however,</w:t>
      </w:r>
      <w:r w:rsidR="00F8668E" w:rsidRPr="00731DB1">
        <w:t xml:space="preserve"> takes note of the second H&amp;C decision </w:t>
      </w:r>
      <w:r w:rsidR="00990FA9" w:rsidRPr="00731DB1">
        <w:t xml:space="preserve">of 20 July 2020, </w:t>
      </w:r>
      <w:r w:rsidR="00F8668E" w:rsidRPr="00731DB1">
        <w:t>which indicate</w:t>
      </w:r>
      <w:r w:rsidR="00990FA9" w:rsidRPr="00731DB1">
        <w:t>d</w:t>
      </w:r>
      <w:r w:rsidR="00F8668E" w:rsidRPr="00731DB1">
        <w:t xml:space="preserve"> that</w:t>
      </w:r>
      <w:r w:rsidR="00990FA9" w:rsidRPr="00731DB1">
        <w:t xml:space="preserve"> anti-retroviral treatment is provided at no cost in Nigeria and that the authorities there have taken measures to combat the discrimination against people with HIV, including the Anti-discrimination Act.</w:t>
      </w:r>
      <w:r w:rsidR="00FB420E" w:rsidRPr="00731DB1">
        <w:t xml:space="preserve"> The Committee </w:t>
      </w:r>
      <w:r w:rsidR="00AB0307" w:rsidRPr="00731DB1">
        <w:t xml:space="preserve">further </w:t>
      </w:r>
      <w:r w:rsidR="00271F6C" w:rsidRPr="00731DB1">
        <w:t>observe</w:t>
      </w:r>
      <w:r w:rsidR="00FB420E" w:rsidRPr="00731DB1">
        <w:t xml:space="preserve">s that the author did not </w:t>
      </w:r>
      <w:r w:rsidR="00AB0307" w:rsidRPr="00731DB1">
        <w:t xml:space="preserve">respond </w:t>
      </w:r>
      <w:r w:rsidR="00883981" w:rsidRPr="00731DB1">
        <w:t xml:space="preserve">to the State party’s statement that </w:t>
      </w:r>
      <w:r w:rsidR="00FB420E" w:rsidRPr="00731DB1">
        <w:t>medical treatment</w:t>
      </w:r>
      <w:r w:rsidR="00883981" w:rsidRPr="00731DB1">
        <w:t xml:space="preserve"> is available</w:t>
      </w:r>
      <w:r w:rsidR="00FB420E" w:rsidRPr="00731DB1">
        <w:t xml:space="preserve"> at no cost in Nigeria,</w:t>
      </w:r>
      <w:r w:rsidR="00883981" w:rsidRPr="00731DB1">
        <w:t xml:space="preserve"> </w:t>
      </w:r>
      <w:r w:rsidR="00AB0307" w:rsidRPr="00731DB1">
        <w:t xml:space="preserve">nor </w:t>
      </w:r>
      <w:r w:rsidR="00883981" w:rsidRPr="00731DB1">
        <w:t xml:space="preserve">did he </w:t>
      </w:r>
      <w:r w:rsidR="00FB420E" w:rsidRPr="00731DB1">
        <w:t>provid</w:t>
      </w:r>
      <w:r w:rsidR="00883981" w:rsidRPr="00731DB1">
        <w:t>e</w:t>
      </w:r>
      <w:r w:rsidR="00FB420E" w:rsidRPr="00731DB1">
        <w:t xml:space="preserve"> </w:t>
      </w:r>
      <w:r w:rsidR="007A50C4" w:rsidRPr="00731DB1">
        <w:t xml:space="preserve">substantiating </w:t>
      </w:r>
      <w:r w:rsidR="00FB420E" w:rsidRPr="00731DB1">
        <w:t xml:space="preserve">information or evidence regarding the discrimination </w:t>
      </w:r>
      <w:r w:rsidR="00175C2E" w:rsidRPr="00731DB1">
        <w:t xml:space="preserve">or </w:t>
      </w:r>
      <w:r w:rsidR="00FB420E" w:rsidRPr="00731DB1">
        <w:t>persecution he would be subjected to</w:t>
      </w:r>
      <w:r w:rsidR="00AB0307" w:rsidRPr="00731DB1">
        <w:t xml:space="preserve"> in that country</w:t>
      </w:r>
      <w:r w:rsidR="00883981" w:rsidRPr="00731DB1">
        <w:t>.</w:t>
      </w:r>
      <w:r w:rsidR="00FB420E" w:rsidRPr="00731DB1">
        <w:t xml:space="preserve"> </w:t>
      </w:r>
    </w:p>
    <w:p w14:paraId="08A598E5" w14:textId="34EF4648" w:rsidR="00167F8C" w:rsidRPr="00731DB1" w:rsidRDefault="00C700EA" w:rsidP="00167F8C">
      <w:pPr>
        <w:pStyle w:val="SingleTxtG"/>
      </w:pPr>
      <w:r w:rsidRPr="00731DB1">
        <w:t>10.1</w:t>
      </w:r>
      <w:r w:rsidR="00EB795C" w:rsidRPr="00731DB1">
        <w:t>2</w:t>
      </w:r>
      <w:r w:rsidRPr="00731DB1">
        <w:tab/>
        <w:t xml:space="preserve">The Committee also notes the author’s </w:t>
      </w:r>
      <w:r w:rsidR="00FF312A" w:rsidRPr="00731DB1">
        <w:t xml:space="preserve">statements </w:t>
      </w:r>
      <w:r w:rsidR="00CA4D91" w:rsidRPr="00731DB1">
        <w:t xml:space="preserve">concerning </w:t>
      </w:r>
      <w:r w:rsidRPr="00731DB1">
        <w:t xml:space="preserve">the asylum proceedings, in particular the </w:t>
      </w:r>
      <w:r w:rsidR="00FF312A" w:rsidRPr="00731DB1">
        <w:t xml:space="preserve">alleged </w:t>
      </w:r>
      <w:r w:rsidR="00175C2E" w:rsidRPr="00731DB1">
        <w:t xml:space="preserve">reprisals by the </w:t>
      </w:r>
      <w:r w:rsidRPr="00731DB1">
        <w:t xml:space="preserve">authorities for having submitted </w:t>
      </w:r>
      <w:r w:rsidR="00175C2E" w:rsidRPr="00731DB1">
        <w:t xml:space="preserve">a </w:t>
      </w:r>
      <w:r w:rsidRPr="00731DB1">
        <w:t>communication to the Committee.</w:t>
      </w:r>
      <w:r w:rsidR="00271F6C" w:rsidRPr="00731DB1">
        <w:t xml:space="preserve"> </w:t>
      </w:r>
      <w:r w:rsidR="00992DF7">
        <w:t>T</w:t>
      </w:r>
      <w:r w:rsidR="00167F8C" w:rsidRPr="00731DB1">
        <w:t xml:space="preserve">he State party’s authorities assessed several complaints by the author in relation to the alleged misconduct of </w:t>
      </w:r>
      <w:r w:rsidR="00544B54" w:rsidRPr="00731DB1">
        <w:t xml:space="preserve">the </w:t>
      </w:r>
      <w:r w:rsidR="00167F8C" w:rsidRPr="00731DB1">
        <w:t xml:space="preserve">immigration officers as well as the alleged mistreatment </w:t>
      </w:r>
      <w:r w:rsidR="00C27612" w:rsidRPr="00731DB1">
        <w:t xml:space="preserve">he </w:t>
      </w:r>
      <w:r w:rsidR="00167F8C" w:rsidRPr="00731DB1">
        <w:t xml:space="preserve">received while detained. The Committee </w:t>
      </w:r>
      <w:r w:rsidR="00555146" w:rsidRPr="00731DB1">
        <w:t>observes</w:t>
      </w:r>
      <w:r w:rsidR="00167F8C" w:rsidRPr="00731DB1">
        <w:t xml:space="preserve"> that the </w:t>
      </w:r>
      <w:r w:rsidR="00555146" w:rsidRPr="00731DB1">
        <w:t xml:space="preserve">State party’s authorities took the author’s allegations seriously but </w:t>
      </w:r>
      <w:r w:rsidR="00FC6CEF" w:rsidRPr="00731DB1">
        <w:t xml:space="preserve">concluded </w:t>
      </w:r>
      <w:r w:rsidR="00555146" w:rsidRPr="00731DB1">
        <w:t xml:space="preserve">that he </w:t>
      </w:r>
      <w:r w:rsidR="00FC6CEF" w:rsidRPr="00731DB1">
        <w:t xml:space="preserve">had </w:t>
      </w:r>
      <w:r w:rsidR="00555146" w:rsidRPr="00731DB1">
        <w:t xml:space="preserve">failed to </w:t>
      </w:r>
      <w:r w:rsidR="00FC6CEF" w:rsidRPr="00731DB1">
        <w:t xml:space="preserve">prove </w:t>
      </w:r>
      <w:r w:rsidR="00DE7F30" w:rsidRPr="00731DB1">
        <w:t>them</w:t>
      </w:r>
      <w:r w:rsidR="005306A1" w:rsidRPr="00731DB1">
        <w:t xml:space="preserve">. In addition, the author has </w:t>
      </w:r>
      <w:r w:rsidR="00FC6CEF" w:rsidRPr="00731DB1">
        <w:t xml:space="preserve">asserted </w:t>
      </w:r>
      <w:r w:rsidR="005306A1" w:rsidRPr="00731DB1">
        <w:t>that the State party</w:t>
      </w:r>
      <w:r w:rsidR="00EB489E" w:rsidRPr="00731DB1">
        <w:t xml:space="preserve"> is </w:t>
      </w:r>
      <w:r w:rsidR="00EB489E" w:rsidRPr="00731DB1">
        <w:rPr>
          <w:lang w:val="en-US"/>
        </w:rPr>
        <w:t>“</w:t>
      </w:r>
      <w:r w:rsidR="00EB489E" w:rsidRPr="00731DB1">
        <w:t>framing him” as a reprisal</w:t>
      </w:r>
      <w:r w:rsidR="00FC6CEF" w:rsidRPr="00731DB1">
        <w:t xml:space="preserve"> </w:t>
      </w:r>
      <w:r w:rsidR="005306A1" w:rsidRPr="00731DB1">
        <w:t>without</w:t>
      </w:r>
      <w:r w:rsidR="00FC6CEF" w:rsidRPr="00731DB1">
        <w:t>, however,</w:t>
      </w:r>
      <w:r w:rsidR="005306A1" w:rsidRPr="00731DB1">
        <w:t xml:space="preserve"> providing any evidence to </w:t>
      </w:r>
      <w:r w:rsidR="00FC6CEF" w:rsidRPr="00731DB1">
        <w:t>support this assertion</w:t>
      </w:r>
      <w:r w:rsidR="005306A1" w:rsidRPr="00731DB1">
        <w:t>.</w:t>
      </w:r>
    </w:p>
    <w:p w14:paraId="007D0073" w14:textId="657E95B2" w:rsidR="00555146" w:rsidRPr="00731DB1" w:rsidRDefault="00555146" w:rsidP="00D9732C">
      <w:pPr>
        <w:pStyle w:val="SingleTxtG"/>
        <w:rPr>
          <w:lang w:val="x-none"/>
        </w:rPr>
      </w:pPr>
      <w:r w:rsidRPr="00731DB1">
        <w:t>10.1</w:t>
      </w:r>
      <w:r w:rsidR="00EB795C" w:rsidRPr="00731DB1">
        <w:t>3</w:t>
      </w:r>
      <w:r w:rsidRPr="00731DB1">
        <w:tab/>
      </w:r>
      <w:r w:rsidR="004F6442" w:rsidRPr="00731DB1">
        <w:t xml:space="preserve">Lastly, the </w:t>
      </w:r>
      <w:r w:rsidR="00C12AB6" w:rsidRPr="00731DB1">
        <w:t xml:space="preserve">Committee notes the State party’s statement that the author’s claims were thoroughly reviewed by its </w:t>
      </w:r>
      <w:r w:rsidR="00C349FC" w:rsidRPr="00731DB1">
        <w:t xml:space="preserve">immigration </w:t>
      </w:r>
      <w:r w:rsidR="00C12AB6" w:rsidRPr="00731DB1">
        <w:t xml:space="preserve">authorities, </w:t>
      </w:r>
      <w:r w:rsidR="004F6442" w:rsidRPr="00731DB1">
        <w:t>wh</w:t>
      </w:r>
      <w:r w:rsidR="00992DF7">
        <w:t>ich</w:t>
      </w:r>
      <w:r w:rsidR="004F6442" w:rsidRPr="00731DB1">
        <w:t xml:space="preserve"> </w:t>
      </w:r>
      <w:r w:rsidR="00C12AB6" w:rsidRPr="00731DB1">
        <w:t xml:space="preserve">found that he </w:t>
      </w:r>
      <w:r w:rsidR="004F6442" w:rsidRPr="00731DB1">
        <w:t xml:space="preserve">submitted </w:t>
      </w:r>
      <w:r w:rsidR="00C12AB6" w:rsidRPr="00731DB1">
        <w:t>several incoheren</w:t>
      </w:r>
      <w:r w:rsidR="004F6442" w:rsidRPr="00731DB1">
        <w:t xml:space="preserve">t and </w:t>
      </w:r>
      <w:r w:rsidR="00C12AB6" w:rsidRPr="00731DB1">
        <w:t>contradict</w:t>
      </w:r>
      <w:r w:rsidR="004F6442" w:rsidRPr="00731DB1">
        <w:t>ory allegations</w:t>
      </w:r>
      <w:r w:rsidR="00C12AB6" w:rsidRPr="00731DB1">
        <w:t>, that he used fake documents, and made false statements</w:t>
      </w:r>
      <w:r w:rsidR="004F6442" w:rsidRPr="00731DB1">
        <w:t xml:space="preserve"> – all of which </w:t>
      </w:r>
      <w:r w:rsidRPr="00731DB1">
        <w:t>weakened the credibility of the evidence he submitted.</w:t>
      </w:r>
      <w:r w:rsidR="00C12AB6" w:rsidRPr="00731DB1">
        <w:rPr>
          <w:rFonts w:eastAsia="Times New Roman"/>
          <w:b/>
          <w:lang w:eastAsia="en-US"/>
        </w:rPr>
        <w:t xml:space="preserve"> </w:t>
      </w:r>
      <w:r w:rsidR="00C12AB6" w:rsidRPr="00731DB1">
        <w:t xml:space="preserve">The Committee further observes that the author has not </w:t>
      </w:r>
      <w:r w:rsidR="00F71E1D" w:rsidRPr="00731DB1">
        <w:t xml:space="preserve">identified </w:t>
      </w:r>
      <w:r w:rsidR="00C12AB6" w:rsidRPr="00731DB1">
        <w:t>any procedural irregularities in the asylum proceedings</w:t>
      </w:r>
      <w:r w:rsidR="00F71E1D" w:rsidRPr="00731DB1">
        <w:t xml:space="preserve">. It </w:t>
      </w:r>
      <w:r w:rsidR="00C12AB6" w:rsidRPr="00731DB1">
        <w:t xml:space="preserve">therefore considers that while the author disagrees with the </w:t>
      </w:r>
      <w:r w:rsidR="00BA7C78" w:rsidRPr="00731DB1">
        <w:t xml:space="preserve">conclusions of the </w:t>
      </w:r>
      <w:r w:rsidR="00C12AB6" w:rsidRPr="00731DB1">
        <w:t xml:space="preserve">State party’s authorities, he has failed to </w:t>
      </w:r>
      <w:r w:rsidR="00BA7C78" w:rsidRPr="00731DB1">
        <w:t xml:space="preserve">demonstrate </w:t>
      </w:r>
      <w:r w:rsidR="00C12AB6" w:rsidRPr="00731DB1">
        <w:t>that they were arbitrary or manifestly erroneous</w:t>
      </w:r>
      <w:r w:rsidR="00391E69" w:rsidRPr="00731DB1">
        <w:t xml:space="preserve"> or</w:t>
      </w:r>
      <w:r w:rsidR="00C12AB6" w:rsidRPr="00731DB1">
        <w:t xml:space="preserve"> amounted to a denial of justice</w:t>
      </w:r>
      <w:r w:rsidR="00CA2808">
        <w:t>.</w:t>
      </w:r>
      <w:r w:rsidR="00C12AB6" w:rsidRPr="00731DB1">
        <w:rPr>
          <w:vertAlign w:val="superscript"/>
        </w:rPr>
        <w:footnoteReference w:id="45"/>
      </w:r>
    </w:p>
    <w:p w14:paraId="318F69E5" w14:textId="4E2755DB" w:rsidR="00167F8C" w:rsidRPr="00FC693E" w:rsidRDefault="00167F8C" w:rsidP="00D9732C">
      <w:pPr>
        <w:pStyle w:val="SingleTxtG"/>
        <w:rPr>
          <w:rFonts w:eastAsia="Calibri"/>
        </w:rPr>
      </w:pPr>
      <w:r w:rsidRPr="00731DB1">
        <w:t>11.</w:t>
      </w:r>
      <w:r w:rsidRPr="00731DB1">
        <w:tab/>
      </w:r>
      <w:proofErr w:type="gramStart"/>
      <w:r w:rsidR="00D9732C" w:rsidRPr="00731DB1">
        <w:t>In light of</w:t>
      </w:r>
      <w:proofErr w:type="gramEnd"/>
      <w:r w:rsidR="00D9732C" w:rsidRPr="00731DB1">
        <w:t xml:space="preserve"> the above, t</w:t>
      </w:r>
      <w:r w:rsidRPr="00731DB1">
        <w:t xml:space="preserve">he Committee, acting under article 5 (4) of the Optional Protocol, </w:t>
      </w:r>
      <w:r w:rsidR="00BA7C78" w:rsidRPr="00731DB1">
        <w:t xml:space="preserve">concludes </w:t>
      </w:r>
      <w:r w:rsidRPr="00731DB1">
        <w:t>that the removal of the author to Nigeria would not violate h</w:t>
      </w:r>
      <w:r w:rsidR="00D9732C" w:rsidRPr="00731DB1">
        <w:t>is</w:t>
      </w:r>
      <w:r w:rsidRPr="00731DB1">
        <w:t xml:space="preserve"> rights under articles 6 and 7 of the Covenant.</w:t>
      </w:r>
      <w:r>
        <w:rPr>
          <w:rFonts w:eastAsia="Calibri"/>
        </w:rPr>
        <w:t xml:space="preserve"> </w:t>
      </w:r>
    </w:p>
    <w:p w14:paraId="782A4BEF" w14:textId="0830E08A" w:rsidR="006145A9" w:rsidRPr="00270381" w:rsidRDefault="00270381" w:rsidP="00270381">
      <w:pPr>
        <w:pStyle w:val="H4G"/>
        <w:keepNext w:val="0"/>
        <w:keepLines w:val="0"/>
        <w:spacing w:after="0" w:line="240" w:lineRule="atLeast"/>
        <w:ind w:firstLine="0"/>
        <w:jc w:val="center"/>
        <w:rPr>
          <w:i w:val="0"/>
          <w:iCs/>
          <w:u w:val="single"/>
        </w:rPr>
      </w:pPr>
      <w:r>
        <w:rPr>
          <w:i w:val="0"/>
          <w:iCs/>
        </w:rPr>
        <w:tab/>
      </w:r>
      <w:r w:rsidRPr="00270381">
        <w:rPr>
          <w:i w:val="0"/>
          <w:iCs/>
          <w:u w:val="single"/>
        </w:rPr>
        <w:tab/>
      </w:r>
      <w:r w:rsidRPr="00270381">
        <w:rPr>
          <w:i w:val="0"/>
          <w:iCs/>
          <w:u w:val="single"/>
        </w:rPr>
        <w:tab/>
      </w:r>
      <w:r w:rsidR="00D123DA">
        <w:rPr>
          <w:i w:val="0"/>
          <w:iCs/>
          <w:u w:val="single"/>
        </w:rPr>
        <w:tab/>
      </w:r>
    </w:p>
    <w:sectPr w:rsidR="006145A9" w:rsidRPr="00270381" w:rsidSect="00472FED">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B2318" w14:textId="77777777" w:rsidR="00B94E53" w:rsidRPr="00B903E5" w:rsidRDefault="00B94E53" w:rsidP="00B903E5">
      <w:pPr>
        <w:pStyle w:val="Footer"/>
      </w:pPr>
    </w:p>
  </w:endnote>
  <w:endnote w:type="continuationSeparator" w:id="0">
    <w:p w14:paraId="0EF029DB" w14:textId="77777777" w:rsidR="00B94E53" w:rsidRPr="00B903E5" w:rsidRDefault="00B94E53"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3A3F" w14:textId="388ABEFD" w:rsidR="00891021" w:rsidRDefault="00891021" w:rsidP="00FF3E9C">
    <w:pPr>
      <w:pStyle w:val="Footer"/>
      <w:tabs>
        <w:tab w:val="right" w:pos="9638"/>
      </w:tabs>
    </w:pPr>
    <w:r w:rsidRPr="00FF3E9C">
      <w:rPr>
        <w:b/>
        <w:bCs/>
        <w:sz w:val="18"/>
      </w:rPr>
      <w:fldChar w:fldCharType="begin"/>
    </w:r>
    <w:r w:rsidRPr="00FF3E9C">
      <w:rPr>
        <w:b/>
        <w:bCs/>
        <w:sz w:val="18"/>
      </w:rPr>
      <w:instrText xml:space="preserve"> PAGE  \* MERGEFORMAT </w:instrText>
    </w:r>
    <w:r w:rsidRPr="00FF3E9C">
      <w:rPr>
        <w:b/>
        <w:bCs/>
        <w:sz w:val="18"/>
      </w:rPr>
      <w:fldChar w:fldCharType="separate"/>
    </w:r>
    <w:r w:rsidR="001A3D42">
      <w:rPr>
        <w:b/>
        <w:bCs/>
        <w:noProof/>
        <w:sz w:val="18"/>
      </w:rPr>
      <w:t>6</w:t>
    </w:r>
    <w:r w:rsidRPr="00FF3E9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B493" w14:textId="4CB41A7C" w:rsidR="00891021" w:rsidRDefault="00891021" w:rsidP="00FF3E9C">
    <w:pPr>
      <w:pStyle w:val="Footer"/>
      <w:tabs>
        <w:tab w:val="right" w:pos="9638"/>
      </w:tabs>
    </w:pPr>
    <w:r>
      <w:tab/>
    </w:r>
    <w:r w:rsidRPr="00FF3E9C">
      <w:rPr>
        <w:b/>
        <w:bCs/>
        <w:sz w:val="18"/>
      </w:rPr>
      <w:fldChar w:fldCharType="begin"/>
    </w:r>
    <w:r w:rsidRPr="00FF3E9C">
      <w:rPr>
        <w:b/>
        <w:bCs/>
        <w:sz w:val="18"/>
      </w:rPr>
      <w:instrText xml:space="preserve"> PAGE  \* MERGEFORMAT </w:instrText>
    </w:r>
    <w:r w:rsidRPr="00FF3E9C">
      <w:rPr>
        <w:b/>
        <w:bCs/>
        <w:sz w:val="18"/>
      </w:rPr>
      <w:fldChar w:fldCharType="separate"/>
    </w:r>
    <w:r w:rsidR="001A3D42">
      <w:rPr>
        <w:b/>
        <w:bCs/>
        <w:noProof/>
        <w:sz w:val="18"/>
      </w:rPr>
      <w:t>5</w:t>
    </w:r>
    <w:r w:rsidRPr="00FF3E9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100A" w14:textId="06573866" w:rsidR="00891021" w:rsidRDefault="00525E37" w:rsidP="00525E37">
    <w:pPr>
      <w:pStyle w:val="Footer"/>
    </w:pPr>
    <w:r w:rsidRPr="0027112F">
      <w:rPr>
        <w:noProof/>
        <w:lang w:val="en-US"/>
      </w:rPr>
      <w:drawing>
        <wp:anchor distT="0" distB="0" distL="114300" distR="114300" simplePos="0" relativeHeight="251661312" behindDoc="0" locked="1" layoutInCell="1" allowOverlap="1" wp14:anchorId="0DB59A73" wp14:editId="0AF2F36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1E37F73" w14:textId="1270A73D" w:rsidR="00525E37" w:rsidRPr="00525E37" w:rsidRDefault="00525E37" w:rsidP="00525E37">
    <w:pPr>
      <w:pStyle w:val="Footer"/>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8267F" w14:textId="77777777" w:rsidR="00B94E53" w:rsidRPr="00B903E5" w:rsidRDefault="00B94E53" w:rsidP="00B903E5">
      <w:pPr>
        <w:tabs>
          <w:tab w:val="right" w:pos="2155"/>
        </w:tabs>
        <w:spacing w:after="80" w:line="240" w:lineRule="auto"/>
        <w:ind w:left="680"/>
      </w:pPr>
      <w:r>
        <w:rPr>
          <w:u w:val="single"/>
        </w:rPr>
        <w:tab/>
      </w:r>
    </w:p>
  </w:footnote>
  <w:footnote w:type="continuationSeparator" w:id="0">
    <w:p w14:paraId="49BEA9A9" w14:textId="77777777" w:rsidR="00B94E53" w:rsidRPr="00B903E5" w:rsidRDefault="00B94E53" w:rsidP="00B903E5">
      <w:pPr>
        <w:tabs>
          <w:tab w:val="right" w:pos="2155"/>
        </w:tabs>
        <w:spacing w:after="80" w:line="240" w:lineRule="auto"/>
        <w:ind w:left="680"/>
      </w:pPr>
      <w:r>
        <w:rPr>
          <w:u w:val="single"/>
        </w:rPr>
        <w:tab/>
      </w:r>
    </w:p>
  </w:footnote>
  <w:footnote w:id="1">
    <w:p w14:paraId="61EAAA65" w14:textId="77777777" w:rsidR="00D54F47" w:rsidRPr="00684585" w:rsidRDefault="00D54F47" w:rsidP="00D54F47">
      <w:pPr>
        <w:pStyle w:val="FootnoteText"/>
      </w:pPr>
      <w:r w:rsidRPr="00776A54">
        <w:rPr>
          <w:rStyle w:val="FootnoteReference"/>
          <w:vertAlign w:val="baseline"/>
        </w:rPr>
        <w:tab/>
        <w:t>*</w:t>
      </w:r>
      <w:r w:rsidRPr="00776A54">
        <w:rPr>
          <w:rStyle w:val="FootnoteReference"/>
          <w:vertAlign w:val="baseline"/>
        </w:rPr>
        <w:tab/>
      </w:r>
      <w:r w:rsidRPr="00684585">
        <w:t>Adopted by the Committee at its 13</w:t>
      </w:r>
      <w:r>
        <w:t>8</w:t>
      </w:r>
      <w:r w:rsidRPr="00776A54">
        <w:t>th</w:t>
      </w:r>
      <w:r w:rsidRPr="00684585">
        <w:t xml:space="preserve"> session (2</w:t>
      </w:r>
      <w:r>
        <w:t xml:space="preserve">6 June </w:t>
      </w:r>
      <w:r w:rsidRPr="00684585">
        <w:t>–</w:t>
      </w:r>
      <w:r>
        <w:t xml:space="preserve"> 26 July </w:t>
      </w:r>
      <w:r w:rsidRPr="00684585">
        <w:t>202</w:t>
      </w:r>
      <w:r>
        <w:t>3</w:t>
      </w:r>
      <w:r w:rsidRPr="00684585">
        <w:t>)</w:t>
      </w:r>
    </w:p>
  </w:footnote>
  <w:footnote w:id="2">
    <w:p w14:paraId="0297D311" w14:textId="77777777" w:rsidR="00D54F47" w:rsidRPr="00684585" w:rsidRDefault="00D54F47" w:rsidP="00D54F47">
      <w:pPr>
        <w:pStyle w:val="FootnoteText"/>
      </w:pPr>
      <w:r w:rsidRPr="00776A54">
        <w:rPr>
          <w:rStyle w:val="FootnoteReference"/>
          <w:vertAlign w:val="baseline"/>
        </w:rPr>
        <w:tab/>
        <w:t>**</w:t>
      </w:r>
      <w:r w:rsidRPr="00776A54">
        <w:rPr>
          <w:rStyle w:val="FootnoteReference"/>
          <w:vertAlign w:val="baseline"/>
        </w:rPr>
        <w:tab/>
      </w:r>
      <w:r w:rsidRPr="00684585">
        <w:t xml:space="preserve">The following members of the Committee participated in the examination of the communication: </w:t>
      </w:r>
      <w:r>
        <w:t xml:space="preserve">Tania María Abdo Rocholl, Farid Ahmadov, </w:t>
      </w:r>
      <w:r w:rsidRPr="00684585">
        <w:t xml:space="preserve">Wafaa Ashraf Moharram Bassim, </w:t>
      </w:r>
      <w:r>
        <w:t xml:space="preserve">Rodrigo A. Carazo, </w:t>
      </w:r>
      <w:r w:rsidRPr="00EB641F">
        <w:t>Yvonne Donders</w:t>
      </w:r>
      <w:r>
        <w:t xml:space="preserve">, </w:t>
      </w:r>
      <w:r w:rsidRPr="00684585">
        <w:t xml:space="preserve">Mahjoub El Haiba, Carlos Gómez Martínez, </w:t>
      </w:r>
      <w:r>
        <w:t xml:space="preserve">Laurence R. Helfer, </w:t>
      </w:r>
      <w:r w:rsidRPr="00CB3AA2">
        <w:t xml:space="preserve">Bacre Waly Ndiaye, </w:t>
      </w:r>
      <w:proofErr w:type="spellStart"/>
      <w:r>
        <w:t>Hernán</w:t>
      </w:r>
      <w:proofErr w:type="spellEnd"/>
      <w:r>
        <w:t xml:space="preserve"> Quezada Cabrera, </w:t>
      </w:r>
      <w:r w:rsidRPr="00684585">
        <w:t xml:space="preserve">José Manuel Santos Pais, </w:t>
      </w:r>
      <w:r>
        <w:t xml:space="preserve">Tijana </w:t>
      </w:r>
      <w:proofErr w:type="spellStart"/>
      <w:r>
        <w:t>Šurlan</w:t>
      </w:r>
      <w:proofErr w:type="spellEnd"/>
      <w:r>
        <w:t xml:space="preserve">, </w:t>
      </w:r>
      <w:proofErr w:type="spellStart"/>
      <w:r>
        <w:t>Kobauyah</w:t>
      </w:r>
      <w:proofErr w:type="spellEnd"/>
      <w:r>
        <w:t xml:space="preserve"> </w:t>
      </w:r>
      <w:proofErr w:type="spellStart"/>
      <w:r>
        <w:t>Tchamdja</w:t>
      </w:r>
      <w:proofErr w:type="spellEnd"/>
      <w:r>
        <w:t xml:space="preserve"> </w:t>
      </w:r>
      <w:proofErr w:type="spellStart"/>
      <w:r>
        <w:t>Kpatcha</w:t>
      </w:r>
      <w:proofErr w:type="spellEnd"/>
      <w:r>
        <w:t>, Teraya Koji, Hélène Tigroudja and Imeru Tamerat Yigezu.</w:t>
      </w:r>
      <w:r w:rsidRPr="008A0192">
        <w:t xml:space="preserve"> </w:t>
      </w:r>
      <w:r w:rsidRPr="00EB641F">
        <w:t>Pursuant to rule 108 of the</w:t>
      </w:r>
      <w:r>
        <w:t xml:space="preserve"> Committee’s r</w:t>
      </w:r>
      <w:r w:rsidRPr="00EB641F">
        <w:t xml:space="preserve">ules of </w:t>
      </w:r>
      <w:r>
        <w:t>p</w:t>
      </w:r>
      <w:r w:rsidRPr="00EB641F">
        <w:t xml:space="preserve">rocedure, </w:t>
      </w:r>
      <w:r w:rsidRPr="00C232F9">
        <w:t>Marcia V.J. Kran</w:t>
      </w:r>
      <w:r>
        <w:t xml:space="preserve"> </w:t>
      </w:r>
      <w:r w:rsidRPr="00EB641F">
        <w:t>did not part</w:t>
      </w:r>
      <w:r>
        <w:t>icipate</w:t>
      </w:r>
      <w:r w:rsidRPr="00EB641F">
        <w:t xml:space="preserve"> in the examination of the communication.</w:t>
      </w:r>
    </w:p>
  </w:footnote>
  <w:footnote w:id="3">
    <w:p w14:paraId="274C413E" w14:textId="2AD8B9B0" w:rsidR="00891021" w:rsidRPr="003A514C" w:rsidRDefault="00F75724" w:rsidP="00F75724">
      <w:pPr>
        <w:pStyle w:val="FootnoteText"/>
      </w:pPr>
      <w:r w:rsidRPr="003A514C">
        <w:tab/>
      </w:r>
      <w:r w:rsidR="00891021" w:rsidRPr="003A514C">
        <w:rPr>
          <w:rStyle w:val="FootnoteReference"/>
        </w:rPr>
        <w:footnoteRef/>
      </w:r>
      <w:r w:rsidR="00B027C9" w:rsidRPr="003A514C">
        <w:t xml:space="preserve"> </w:t>
      </w:r>
      <w:r w:rsidRPr="003A514C">
        <w:tab/>
      </w:r>
      <w:r w:rsidRPr="003A514C">
        <w:tab/>
      </w:r>
      <w:r w:rsidR="00B027C9" w:rsidRPr="003A514C">
        <w:t>T</w:t>
      </w:r>
      <w:r w:rsidR="00891021" w:rsidRPr="003A514C">
        <w:t xml:space="preserve">he Committee requested the State party to clarify some issues related to the asylum proceedings. </w:t>
      </w:r>
      <w:r w:rsidR="0057521D">
        <w:t xml:space="preserve">The State party </w:t>
      </w:r>
      <w:r w:rsidR="00891021" w:rsidRPr="003A514C">
        <w:t>repl</w:t>
      </w:r>
      <w:r w:rsidR="006C1710" w:rsidRPr="003A514C">
        <w:t>ied</w:t>
      </w:r>
      <w:r w:rsidR="00891021" w:rsidRPr="003A514C">
        <w:t xml:space="preserve"> on 7 December 2015. </w:t>
      </w:r>
    </w:p>
  </w:footnote>
  <w:footnote w:id="4">
    <w:p w14:paraId="6D6BDFE7" w14:textId="5758518E" w:rsidR="00891021" w:rsidRPr="003A514C" w:rsidRDefault="00F75724" w:rsidP="00F75724">
      <w:pPr>
        <w:pStyle w:val="FootnoteText"/>
      </w:pPr>
      <w:r w:rsidRPr="003A514C">
        <w:tab/>
      </w:r>
      <w:r w:rsidR="00891021" w:rsidRPr="003A514C">
        <w:rPr>
          <w:rStyle w:val="FootnoteReference"/>
        </w:rPr>
        <w:footnoteRef/>
      </w:r>
      <w:r w:rsidR="00891021" w:rsidRPr="003A514C">
        <w:t xml:space="preserve"> </w:t>
      </w:r>
      <w:r w:rsidRPr="003A514C">
        <w:tab/>
      </w:r>
      <w:r w:rsidRPr="003A514C">
        <w:tab/>
      </w:r>
      <w:r w:rsidR="0057521D">
        <w:t>The Committee</w:t>
      </w:r>
      <w:r w:rsidR="00F64D9D" w:rsidRPr="003A514C">
        <w:t xml:space="preserve"> </w:t>
      </w:r>
      <w:r w:rsidR="00891021" w:rsidRPr="003A514C">
        <w:t xml:space="preserve">requested to provide further information and supporting documentation regarding his allegations </w:t>
      </w:r>
      <w:r w:rsidR="00B027C9" w:rsidRPr="003A514C">
        <w:t xml:space="preserve">that </w:t>
      </w:r>
      <w:r w:rsidR="00891021" w:rsidRPr="003A514C">
        <w:t>he was detained and tortured in Nigeria after his deportation</w:t>
      </w:r>
      <w:r w:rsidR="00F64D9D" w:rsidRPr="003A514C">
        <w:t>,</w:t>
      </w:r>
      <w:r w:rsidR="00891021" w:rsidRPr="003A514C">
        <w:t xml:space="preserve"> and that he was subject to abusive treatment by the State party’s authorities from September 2015, while in custody. </w:t>
      </w:r>
    </w:p>
  </w:footnote>
  <w:footnote w:id="5">
    <w:p w14:paraId="7F5F5E71" w14:textId="1D7DEF88" w:rsidR="00891021" w:rsidRPr="003A514C" w:rsidRDefault="00891021" w:rsidP="009E4BC3">
      <w:pPr>
        <w:pStyle w:val="FootnoteText"/>
        <w:ind w:hanging="144"/>
      </w:pPr>
      <w:r w:rsidRPr="003A514C">
        <w:rPr>
          <w:rStyle w:val="FootnoteReference"/>
        </w:rPr>
        <w:footnoteRef/>
      </w:r>
      <w:r w:rsidRPr="003A514C">
        <w:t xml:space="preserve"> See para 2.17.</w:t>
      </w:r>
    </w:p>
  </w:footnote>
  <w:footnote w:id="6">
    <w:p w14:paraId="35C6EACC" w14:textId="3D35AE7C" w:rsidR="00891021" w:rsidRPr="003A514C" w:rsidRDefault="00F75724" w:rsidP="00F75724">
      <w:pPr>
        <w:pStyle w:val="FootnoteText"/>
      </w:pPr>
      <w:r w:rsidRPr="003A514C">
        <w:tab/>
      </w:r>
      <w:r w:rsidR="00891021" w:rsidRPr="003A514C">
        <w:rPr>
          <w:rStyle w:val="FootnoteReference"/>
        </w:rPr>
        <w:footnoteRef/>
      </w:r>
      <w:r w:rsidR="00891021" w:rsidRPr="003A514C">
        <w:t xml:space="preserve"> </w:t>
      </w:r>
      <w:r w:rsidRPr="003A514C">
        <w:tab/>
      </w:r>
      <w:r w:rsidRPr="003A514C">
        <w:tab/>
      </w:r>
      <w:r w:rsidR="0023691F" w:rsidRPr="003A514C">
        <w:t>T</w:t>
      </w:r>
      <w:r w:rsidR="00891021" w:rsidRPr="003A514C">
        <w:t>he letters were dated 2 December 2010 and 16 August 2012</w:t>
      </w:r>
      <w:r w:rsidR="000C5110" w:rsidRPr="003A514C">
        <w:t xml:space="preserve">, and indicated </w:t>
      </w:r>
      <w:r w:rsidR="00891021" w:rsidRPr="003A514C">
        <w:t>that the author had to report to the police</w:t>
      </w:r>
      <w:r w:rsidR="000C5110" w:rsidRPr="003A514C">
        <w:t>. They</w:t>
      </w:r>
      <w:r w:rsidR="00891021" w:rsidRPr="003A514C">
        <w:t xml:space="preserve"> also </w:t>
      </w:r>
      <w:r w:rsidR="000C5110" w:rsidRPr="003A514C">
        <w:t xml:space="preserve">referred to the author’s </w:t>
      </w:r>
      <w:r w:rsidR="00891021" w:rsidRPr="003A514C">
        <w:t>refugee claim in Canada</w:t>
      </w:r>
      <w:r w:rsidR="003C170B">
        <w:t>.</w:t>
      </w:r>
      <w:r w:rsidR="00891021" w:rsidRPr="003A514C">
        <w:t xml:space="preserve"> </w:t>
      </w:r>
    </w:p>
  </w:footnote>
  <w:footnote w:id="7">
    <w:p w14:paraId="57EE948A" w14:textId="00E4517C" w:rsidR="00891021" w:rsidRPr="003A514C" w:rsidRDefault="00F75724" w:rsidP="00F75724">
      <w:pPr>
        <w:pStyle w:val="FootnoteText"/>
      </w:pPr>
      <w:r w:rsidRPr="003A514C">
        <w:tab/>
      </w:r>
      <w:r w:rsidR="00891021" w:rsidRPr="003A514C">
        <w:rPr>
          <w:rStyle w:val="FootnoteReference"/>
        </w:rPr>
        <w:footnoteRef/>
      </w:r>
      <w:r w:rsidR="00891021" w:rsidRPr="003A514C">
        <w:t xml:space="preserve"> </w:t>
      </w:r>
      <w:r w:rsidRPr="003A514C">
        <w:tab/>
      </w:r>
      <w:r w:rsidRPr="003A514C">
        <w:tab/>
      </w:r>
      <w:r w:rsidR="00891021" w:rsidRPr="003A514C">
        <w:t>Pursuant to article 34(1) (f) of the Immigration and Refugee Protection Act</w:t>
      </w:r>
      <w:r w:rsidR="003C170B">
        <w:t>.</w:t>
      </w:r>
    </w:p>
  </w:footnote>
  <w:footnote w:id="8">
    <w:p w14:paraId="4F31216C" w14:textId="0C608C7A" w:rsidR="00891021" w:rsidRPr="003A514C" w:rsidRDefault="000014CA" w:rsidP="000014CA">
      <w:pPr>
        <w:pStyle w:val="FootnoteText"/>
      </w:pPr>
      <w:r w:rsidRPr="003A514C">
        <w:tab/>
      </w:r>
      <w:r w:rsidR="00891021" w:rsidRPr="003A514C">
        <w:rPr>
          <w:rStyle w:val="FootnoteReference"/>
        </w:rPr>
        <w:footnoteRef/>
      </w:r>
      <w:r w:rsidR="00891021" w:rsidRPr="003A514C">
        <w:t xml:space="preserve"> </w:t>
      </w:r>
      <w:r w:rsidRPr="003A514C">
        <w:tab/>
      </w:r>
      <w:r w:rsidR="007A5DA2" w:rsidRPr="003A514C">
        <w:t xml:space="preserve">He </w:t>
      </w:r>
      <w:r w:rsidR="00891021" w:rsidRPr="003A514C">
        <w:t xml:space="preserve">indicates that he submitted </w:t>
      </w:r>
      <w:r w:rsidR="007A5DA2" w:rsidRPr="003A514C">
        <w:t xml:space="preserve">a </w:t>
      </w:r>
      <w:r w:rsidR="00891021" w:rsidRPr="003A514C">
        <w:t>medical report indicating that he suffers from PTSD; evidence demonstrating that the communications between the State party’s authorities and the Interpol had put him at risk;</w:t>
      </w:r>
      <w:r w:rsidR="00AB3D19" w:rsidRPr="003A514C">
        <w:t xml:space="preserve"> </w:t>
      </w:r>
      <w:r w:rsidR="00891021" w:rsidRPr="003A514C">
        <w:t xml:space="preserve">that the Nigerian police had an extended practice of inflicting torture and ill treatment; </w:t>
      </w:r>
      <w:r w:rsidR="00AB3D19" w:rsidRPr="003A514C">
        <w:t>that MASSOB members are persecuted</w:t>
      </w:r>
      <w:r w:rsidR="00454640" w:rsidRPr="003A514C">
        <w:t>;</w:t>
      </w:r>
      <w:r w:rsidR="00AB3D19" w:rsidRPr="003A514C">
        <w:t xml:space="preserve"> </w:t>
      </w:r>
      <w:r w:rsidR="00891021" w:rsidRPr="003A514C">
        <w:t xml:space="preserve">and </w:t>
      </w:r>
      <w:r w:rsidR="00AB3D19" w:rsidRPr="003A514C">
        <w:t xml:space="preserve">that </w:t>
      </w:r>
      <w:r w:rsidR="00891021" w:rsidRPr="003A514C">
        <w:t>HIV positive persons</w:t>
      </w:r>
      <w:r w:rsidR="00AB3D19" w:rsidRPr="003A514C">
        <w:t xml:space="preserve"> are discriminated</w:t>
      </w:r>
      <w:r w:rsidR="00891021" w:rsidRPr="003A514C">
        <w:t xml:space="preserve"> in Nigeria. </w:t>
      </w:r>
    </w:p>
  </w:footnote>
  <w:footnote w:id="9">
    <w:p w14:paraId="50489CC5" w14:textId="39873D75" w:rsidR="00891021" w:rsidRPr="003A514C" w:rsidRDefault="000014CA" w:rsidP="000014CA">
      <w:pPr>
        <w:pStyle w:val="FootnoteText"/>
      </w:pPr>
      <w:r w:rsidRPr="003A514C">
        <w:tab/>
      </w:r>
      <w:r w:rsidR="00891021" w:rsidRPr="003A514C">
        <w:rPr>
          <w:rStyle w:val="FootnoteReference"/>
        </w:rPr>
        <w:footnoteRef/>
      </w:r>
      <w:r w:rsidR="00891021" w:rsidRPr="003A514C">
        <w:t xml:space="preserve"> </w:t>
      </w:r>
      <w:r w:rsidRPr="003A514C">
        <w:tab/>
      </w:r>
      <w:r w:rsidR="007A5DA2" w:rsidRPr="003A514C">
        <w:t>R</w:t>
      </w:r>
      <w:r w:rsidR="00891021" w:rsidRPr="003A514C">
        <w:t>eport</w:t>
      </w:r>
      <w:r w:rsidR="007A5DA2" w:rsidRPr="003A514C">
        <w:t>s</w:t>
      </w:r>
      <w:r w:rsidR="00891021" w:rsidRPr="003A514C">
        <w:t xml:space="preserve"> by the Danish Immigration Service (2005); US Department of State (2014)</w:t>
      </w:r>
      <w:r w:rsidR="003C170B">
        <w:t>.</w:t>
      </w:r>
    </w:p>
  </w:footnote>
  <w:footnote w:id="10">
    <w:p w14:paraId="2676309A" w14:textId="4C676BBD" w:rsidR="00891021" w:rsidRPr="003A514C" w:rsidRDefault="000014CA" w:rsidP="000014CA">
      <w:pPr>
        <w:pStyle w:val="FootnoteText"/>
      </w:pPr>
      <w:r w:rsidRPr="003A514C">
        <w:tab/>
      </w:r>
      <w:r w:rsidR="00891021" w:rsidRPr="003A514C">
        <w:rPr>
          <w:rStyle w:val="FootnoteReference"/>
        </w:rPr>
        <w:footnoteRef/>
      </w:r>
      <w:r w:rsidR="00891021" w:rsidRPr="003A514C">
        <w:t xml:space="preserve"> </w:t>
      </w:r>
      <w:r w:rsidRPr="003A514C">
        <w:tab/>
      </w:r>
      <w:r w:rsidR="001A3D42" w:rsidRPr="003A514C">
        <w:t xml:space="preserve">He </w:t>
      </w:r>
      <w:r w:rsidR="00891021" w:rsidRPr="003A514C">
        <w:t>provides two letters from the CBSA dated 22 December 2015 and 21 January 2016</w:t>
      </w:r>
      <w:r w:rsidR="005D0BB2" w:rsidRPr="003A514C">
        <w:t>,</w:t>
      </w:r>
      <w:r w:rsidR="00D3378D" w:rsidRPr="003A514C">
        <w:t xml:space="preserve"> </w:t>
      </w:r>
      <w:r w:rsidR="00891021" w:rsidRPr="003A514C">
        <w:t>stat</w:t>
      </w:r>
      <w:r w:rsidR="005D0BB2" w:rsidRPr="003A514C">
        <w:t>ing</w:t>
      </w:r>
      <w:r w:rsidR="00891021" w:rsidRPr="003A514C">
        <w:t xml:space="preserve"> that the author was not a suitable candidate</w:t>
      </w:r>
      <w:r w:rsidR="001A3D42" w:rsidRPr="003A514C">
        <w:t xml:space="preserve"> for transfer</w:t>
      </w:r>
      <w:r w:rsidR="00891021" w:rsidRPr="003A514C">
        <w:t xml:space="preserve">, </w:t>
      </w:r>
      <w:proofErr w:type="spellStart"/>
      <w:r w:rsidR="00891021" w:rsidRPr="003A514C">
        <w:t>i.e</w:t>
      </w:r>
      <w:proofErr w:type="spellEnd"/>
      <w:r w:rsidR="00891021" w:rsidRPr="003A514C">
        <w:t xml:space="preserve">, the letter from 2016 states that the </w:t>
      </w:r>
      <w:r w:rsidR="001A3D42" w:rsidRPr="003A514C">
        <w:t xml:space="preserve">rejection was </w:t>
      </w:r>
      <w:r w:rsidR="00891021" w:rsidRPr="003A514C">
        <w:t>based on “numerous behavioural factors,” including r</w:t>
      </w:r>
      <w:r w:rsidR="001A3D42" w:rsidRPr="003A514C">
        <w:t>eports of aggressive behaviour.</w:t>
      </w:r>
    </w:p>
  </w:footnote>
  <w:footnote w:id="11">
    <w:p w14:paraId="4EE600B3" w14:textId="4F739620" w:rsidR="00891021" w:rsidRPr="003A514C" w:rsidRDefault="00E31C70" w:rsidP="00E31C70">
      <w:pPr>
        <w:pStyle w:val="FootnoteText"/>
      </w:pPr>
      <w:r w:rsidRPr="003A514C">
        <w:tab/>
      </w:r>
      <w:r w:rsidR="00891021" w:rsidRPr="003A514C">
        <w:rPr>
          <w:rStyle w:val="FootnoteReference"/>
        </w:rPr>
        <w:footnoteRef/>
      </w:r>
      <w:r w:rsidR="00891021" w:rsidRPr="003A514C">
        <w:t xml:space="preserve"> </w:t>
      </w:r>
      <w:r w:rsidRPr="003A514C">
        <w:tab/>
      </w:r>
      <w:r w:rsidRPr="003A514C">
        <w:tab/>
      </w:r>
      <w:r w:rsidR="00891021" w:rsidRPr="003A514C">
        <w:t>The author provides a copy of the lawyer’s letter of resignation. The letter also indicates that that the DSS had detained Orlu District’s MASSOB President,</w:t>
      </w:r>
      <w:r w:rsidR="00B021BF" w:rsidRPr="003A514C">
        <w:t xml:space="preserve"> </w:t>
      </w:r>
      <w:r w:rsidR="00891021" w:rsidRPr="003A514C">
        <w:t xml:space="preserve">R. O., as he was the last person to visit the author before he escaped from prison. In addition, the lawyer affirms that Nigeria’s President </w:t>
      </w:r>
      <w:r w:rsidR="00CD3601">
        <w:t>-</w:t>
      </w:r>
      <w:r w:rsidR="00891021" w:rsidRPr="003A514C">
        <w:t>who fought in the civil war against the separatist movement in Biafra</w:t>
      </w:r>
      <w:r w:rsidR="00CD3601">
        <w:t xml:space="preserve"> </w:t>
      </w:r>
      <w:r w:rsidR="00891021" w:rsidRPr="003A514C">
        <w:t>- had ordered to clap down all “agitating groups” seeking Biafra’s independence, including MASSOB, and that many militants had been extra-judicially executed, imprisoned without charges, disappeared, or charged with treason lead</w:t>
      </w:r>
      <w:r w:rsidR="00D3378D" w:rsidRPr="003A514C">
        <w:t>ing</w:t>
      </w:r>
      <w:r w:rsidR="00891021" w:rsidRPr="003A514C">
        <w:t xml:space="preserve"> to life imprisonment.</w:t>
      </w:r>
      <w:r w:rsidR="00891021" w:rsidRPr="003A514C">
        <w:rPr>
          <w:rFonts w:eastAsia="MS Mincho"/>
          <w:sz w:val="22"/>
          <w:szCs w:val="22"/>
          <w:lang w:eastAsia="en-US"/>
        </w:rPr>
        <w:t xml:space="preserve"> </w:t>
      </w:r>
    </w:p>
  </w:footnote>
  <w:footnote w:id="12">
    <w:p w14:paraId="38725DC6" w14:textId="4F2AA3A2" w:rsidR="00891021" w:rsidRPr="003A514C" w:rsidRDefault="00E31C70" w:rsidP="00E31C70">
      <w:pPr>
        <w:pStyle w:val="FootnoteText"/>
      </w:pPr>
      <w:r w:rsidRPr="003A514C">
        <w:tab/>
      </w:r>
      <w:r w:rsidR="00891021" w:rsidRPr="003A514C">
        <w:rPr>
          <w:rStyle w:val="FootnoteReference"/>
        </w:rPr>
        <w:footnoteRef/>
      </w:r>
      <w:r w:rsidR="00891021" w:rsidRPr="003A514C">
        <w:t xml:space="preserve"> </w:t>
      </w:r>
      <w:r w:rsidRPr="003A514C">
        <w:tab/>
      </w:r>
      <w:r w:rsidRPr="003A514C">
        <w:tab/>
      </w:r>
      <w:r w:rsidR="00891021" w:rsidRPr="003A514C">
        <w:t xml:space="preserve">The author provides a letter dated 12 June 2017, indicating </w:t>
      </w:r>
      <w:r w:rsidR="00B40245" w:rsidRPr="003A514C">
        <w:t xml:space="preserve">so. </w:t>
      </w:r>
    </w:p>
  </w:footnote>
  <w:footnote w:id="13">
    <w:p w14:paraId="5D1E23E4" w14:textId="2053239E" w:rsidR="00891021" w:rsidRPr="003A514C" w:rsidRDefault="00E31C70" w:rsidP="00E31C70">
      <w:pPr>
        <w:pStyle w:val="FootnoteText"/>
      </w:pPr>
      <w:r w:rsidRPr="003A514C">
        <w:tab/>
      </w:r>
      <w:r w:rsidR="00891021" w:rsidRPr="003A514C">
        <w:rPr>
          <w:rStyle w:val="FootnoteReference"/>
        </w:rPr>
        <w:footnoteRef/>
      </w:r>
      <w:r w:rsidR="000F53FC" w:rsidRPr="003A514C">
        <w:t xml:space="preserve"> </w:t>
      </w:r>
      <w:r w:rsidRPr="003A514C">
        <w:tab/>
      </w:r>
      <w:r w:rsidRPr="003A514C">
        <w:tab/>
      </w:r>
      <w:r w:rsidR="00891021" w:rsidRPr="003A514C">
        <w:t xml:space="preserve">i) arrest warrant against the author for escaping jail dated 17 June 2016; ii) letter dated 29 January 2016, signed by Orlu District MASSOB’s President confirming the author’s membership and that he was confirmed as Orlu District’s Chief Security in November 2015, while in detention; iii) letter dated 29 March 2016, signed by MASSOB’s Chief of </w:t>
      </w:r>
      <w:proofErr w:type="spellStart"/>
      <w:r w:rsidR="00891021" w:rsidRPr="003A514C">
        <w:t>Umuna</w:t>
      </w:r>
      <w:proofErr w:type="spellEnd"/>
      <w:r w:rsidR="00891021" w:rsidRPr="003A514C">
        <w:t xml:space="preserve"> Orlu Chapter with the same content; letter from the Organization of African Emergent States dated 17 August 2016 confirming the same facts; iv) six letters issued in 2016, signed by the author’s former lawyer in Nigeria, N.O, indicating that the cooperation between the Canadian authorities and Interpol Nigeria had put the author at risk and that the Nigerian Government had increased the operations against all MASSOB members. In addition, the author provided the following documents to the State party’s authorities: i) letter dated 20 February 2017, signed by the MASSOB’s Chief of </w:t>
      </w:r>
      <w:proofErr w:type="spellStart"/>
      <w:r w:rsidR="00891021" w:rsidRPr="003A514C">
        <w:t>Umuna</w:t>
      </w:r>
      <w:proofErr w:type="spellEnd"/>
      <w:r w:rsidR="00891021" w:rsidRPr="003A514C">
        <w:t xml:space="preserve"> Orlu Chapter indicat</w:t>
      </w:r>
      <w:r w:rsidR="00F93177" w:rsidRPr="003A514C">
        <w:t>ing</w:t>
      </w:r>
      <w:r w:rsidR="00891021" w:rsidRPr="003A514C">
        <w:t xml:space="preserve"> that the author’s brother was killed while in custody in November 2016, and confirm</w:t>
      </w:r>
      <w:r w:rsidR="00F93177" w:rsidRPr="003A514C">
        <w:t>ing</w:t>
      </w:r>
      <w:r w:rsidR="00891021" w:rsidRPr="003A514C">
        <w:t xml:space="preserve"> that Orlu District’s MASSOB President, Mr. R. O. was in prison because he visited the author before he escaped; ii) letter from the author’s former lawyer in Nigeria, Mr. N.O referring  to the killing of 11 MASSOB members during a demonstration on 20 January 2017 (including pictures)</w:t>
      </w:r>
      <w:r w:rsidR="00CD3601">
        <w:t>.</w:t>
      </w:r>
      <w:r w:rsidR="00891021" w:rsidRPr="003A514C">
        <w:t xml:space="preserve"> </w:t>
      </w:r>
    </w:p>
  </w:footnote>
  <w:footnote w:id="14">
    <w:p w14:paraId="715C00D3" w14:textId="2C9C3F41" w:rsidR="00891021" w:rsidRPr="003A514C" w:rsidRDefault="00E31C70" w:rsidP="00E31C70">
      <w:pPr>
        <w:pStyle w:val="FootnoteText"/>
      </w:pPr>
      <w:r w:rsidRPr="003A514C">
        <w:tab/>
      </w:r>
      <w:r w:rsidR="00891021" w:rsidRPr="003A514C">
        <w:rPr>
          <w:rStyle w:val="FootnoteReference"/>
        </w:rPr>
        <w:footnoteRef/>
      </w:r>
      <w:r w:rsidR="00891021" w:rsidRPr="003A514C">
        <w:t xml:space="preserve"> </w:t>
      </w:r>
      <w:r w:rsidRPr="003A514C">
        <w:tab/>
      </w:r>
      <w:r w:rsidRPr="003A514C">
        <w:tab/>
      </w:r>
      <w:r w:rsidR="00891021" w:rsidRPr="003A514C">
        <w:t xml:space="preserve">Amnesty International, Nigeria: Bullets Were Raining Everywhere – Deadly Repression of Pro-Biafra Activists”; Freedom House, Freedom World Report, 2017; European Asylum Support Office, report on Nigeria, June 2017; US Department of State Country Report Nigeria, 2016, among others. </w:t>
      </w:r>
    </w:p>
  </w:footnote>
  <w:footnote w:id="15">
    <w:p w14:paraId="6457DE41" w14:textId="308A1DA5" w:rsidR="00891021" w:rsidRPr="003A514C" w:rsidRDefault="00E31C70" w:rsidP="00E31C70">
      <w:pPr>
        <w:pStyle w:val="FootnoteText"/>
      </w:pPr>
      <w:r w:rsidRPr="003A514C">
        <w:tab/>
      </w:r>
      <w:r w:rsidR="00891021" w:rsidRPr="003A514C">
        <w:rPr>
          <w:rStyle w:val="FootnoteReference"/>
        </w:rPr>
        <w:footnoteRef/>
      </w:r>
      <w:r w:rsidR="00891021" w:rsidRPr="003A514C">
        <w:t xml:space="preserve"> </w:t>
      </w:r>
      <w:r w:rsidRPr="003A514C">
        <w:tab/>
      </w:r>
      <w:r w:rsidRPr="003A514C">
        <w:tab/>
      </w:r>
      <w:r w:rsidR="00891021" w:rsidRPr="003A514C">
        <w:t xml:space="preserve">See footnote </w:t>
      </w:r>
      <w:r w:rsidR="00CD3601">
        <w:t>11.</w:t>
      </w:r>
    </w:p>
  </w:footnote>
  <w:footnote w:id="16">
    <w:p w14:paraId="7C6A901E" w14:textId="61DCA826" w:rsidR="00891021" w:rsidRPr="003A514C" w:rsidRDefault="00E31C70" w:rsidP="00E31C70">
      <w:pPr>
        <w:pStyle w:val="FootnoteText"/>
      </w:pPr>
      <w:r w:rsidRPr="003A514C">
        <w:tab/>
      </w:r>
      <w:r w:rsidR="00891021" w:rsidRPr="003A514C">
        <w:rPr>
          <w:rStyle w:val="FootnoteReference"/>
        </w:rPr>
        <w:footnoteRef/>
      </w:r>
      <w:r w:rsidR="004D2215" w:rsidRPr="003A514C">
        <w:t xml:space="preserve"> </w:t>
      </w:r>
      <w:r w:rsidRPr="003A514C">
        <w:tab/>
      </w:r>
      <w:r w:rsidRPr="003A514C">
        <w:tab/>
      </w:r>
      <w:r w:rsidR="000D4FF5" w:rsidRPr="003A514C">
        <w:t xml:space="preserve">He referred to </w:t>
      </w:r>
      <w:r w:rsidR="00891021" w:rsidRPr="003A514C">
        <w:t xml:space="preserve">UK Country of origin Information and Guidance: Nigeria, August 2016 which </w:t>
      </w:r>
      <w:r w:rsidR="004D2215" w:rsidRPr="003A514C">
        <w:t xml:space="preserve">confirms the use of </w:t>
      </w:r>
      <w:r w:rsidR="00891021" w:rsidRPr="003A514C">
        <w:t>forged documents in immigration proceedings.</w:t>
      </w:r>
    </w:p>
  </w:footnote>
  <w:footnote w:id="17">
    <w:p w14:paraId="5519BF10" w14:textId="276655A0" w:rsidR="00891021" w:rsidRPr="003A514C" w:rsidRDefault="00E31C70" w:rsidP="00E31C70">
      <w:pPr>
        <w:pStyle w:val="FootnoteText"/>
      </w:pPr>
      <w:r w:rsidRPr="003A514C">
        <w:tab/>
      </w:r>
      <w:r w:rsidR="00891021" w:rsidRPr="003A514C">
        <w:rPr>
          <w:rStyle w:val="FootnoteReference"/>
        </w:rPr>
        <w:footnoteRef/>
      </w:r>
      <w:r w:rsidR="00891021" w:rsidRPr="003A514C">
        <w:t xml:space="preserve"> </w:t>
      </w:r>
      <w:r w:rsidRPr="003A514C">
        <w:tab/>
      </w:r>
      <w:r w:rsidRPr="003A514C">
        <w:tab/>
      </w:r>
      <w:r w:rsidR="00891021" w:rsidRPr="003A514C">
        <w:t xml:space="preserve">The author provided a letter addressed to the prison authorities dated 15 December 2015, in which he complains of pain resulting from the torture; complaints indicating that he has been denied treatment; and a document describing the pain in his knee resulting from the </w:t>
      </w:r>
      <w:r w:rsidR="004E614C" w:rsidRPr="003A514C">
        <w:t>“</w:t>
      </w:r>
      <w:r w:rsidR="00891021" w:rsidRPr="003A514C">
        <w:t>torture suffered in October 2015</w:t>
      </w:r>
      <w:r w:rsidR="004E614C" w:rsidRPr="003A514C">
        <w:t>”.</w:t>
      </w:r>
    </w:p>
  </w:footnote>
  <w:footnote w:id="18">
    <w:p w14:paraId="72E529D5" w14:textId="17EC3EE3" w:rsidR="00891021" w:rsidRPr="003A514C" w:rsidRDefault="00E31C70" w:rsidP="00E31C70">
      <w:pPr>
        <w:pStyle w:val="FootnoteText"/>
      </w:pPr>
      <w:r w:rsidRPr="003A514C">
        <w:tab/>
      </w:r>
      <w:r w:rsidR="00891021" w:rsidRPr="003A514C">
        <w:rPr>
          <w:rStyle w:val="FootnoteReference"/>
        </w:rPr>
        <w:footnoteRef/>
      </w:r>
      <w:r w:rsidR="00891021" w:rsidRPr="003A514C">
        <w:t xml:space="preserve"> </w:t>
      </w:r>
      <w:r w:rsidRPr="003A514C">
        <w:tab/>
      </w:r>
      <w:r w:rsidRPr="003A514C">
        <w:tab/>
      </w:r>
      <w:r w:rsidR="00891021" w:rsidRPr="003A514C">
        <w:t>Among others: news articles related to the crackdown on IPOB and MASSOB members; alleged threats suffered by the author because he established the “</w:t>
      </w:r>
      <w:proofErr w:type="spellStart"/>
      <w:r w:rsidR="00891021" w:rsidRPr="003A514C">
        <w:t>Ekens</w:t>
      </w:r>
      <w:proofErr w:type="spellEnd"/>
      <w:r w:rsidR="00891021" w:rsidRPr="003A514C">
        <w:t xml:space="preserve"> Foundation International” a think tank helping political prisoners and refugees. The threats were related to political statements the author posted on the Foundation’s Facebook page.</w:t>
      </w:r>
    </w:p>
  </w:footnote>
  <w:footnote w:id="19">
    <w:p w14:paraId="6A9B82F5" w14:textId="6D6CFB06" w:rsidR="00891021" w:rsidRPr="003A514C" w:rsidRDefault="00E31C70" w:rsidP="00E31C70">
      <w:pPr>
        <w:pStyle w:val="FootnoteText"/>
        <w:rPr>
          <w:lang w:eastAsia="ja-JP"/>
        </w:rPr>
      </w:pPr>
      <w:r w:rsidRPr="003A514C">
        <w:tab/>
      </w:r>
      <w:r w:rsidR="00891021" w:rsidRPr="003A514C">
        <w:rPr>
          <w:rStyle w:val="FootnoteReference"/>
        </w:rPr>
        <w:footnoteRef/>
      </w:r>
      <w:r w:rsidR="00891021" w:rsidRPr="003A514C">
        <w:t xml:space="preserve"> </w:t>
      </w:r>
      <w:r w:rsidRPr="003A514C">
        <w:tab/>
      </w:r>
      <w:r w:rsidRPr="003A514C">
        <w:tab/>
      </w:r>
      <w:r w:rsidR="00891021" w:rsidRPr="003A514C">
        <w:t>Immigration and Refugee Protection Act, art. 50(a)</w:t>
      </w:r>
      <w:r w:rsidR="008419E4">
        <w:t>.</w:t>
      </w:r>
      <w:r w:rsidR="00891021" w:rsidRPr="003A514C">
        <w:t xml:space="preserve"> </w:t>
      </w:r>
    </w:p>
  </w:footnote>
  <w:footnote w:id="20">
    <w:p w14:paraId="3630EC65" w14:textId="0D7EB4F3" w:rsidR="00891021" w:rsidRPr="003A514C" w:rsidRDefault="00E31C70" w:rsidP="00E31C70">
      <w:pPr>
        <w:pStyle w:val="FootnoteText"/>
      </w:pPr>
      <w:r w:rsidRPr="003A514C">
        <w:tab/>
      </w:r>
      <w:r w:rsidR="00891021" w:rsidRPr="003A514C">
        <w:rPr>
          <w:rStyle w:val="FootnoteReference"/>
        </w:rPr>
        <w:footnoteRef/>
      </w:r>
      <w:r w:rsidR="00891021" w:rsidRPr="003A514C">
        <w:t xml:space="preserve"> </w:t>
      </w:r>
      <w:r w:rsidRPr="003A514C">
        <w:tab/>
      </w:r>
      <w:r w:rsidRPr="003A514C">
        <w:tab/>
      </w:r>
      <w:r w:rsidR="003E22F0" w:rsidRPr="003A514C">
        <w:t xml:space="preserve">According to the author’ such </w:t>
      </w:r>
      <w:r w:rsidR="00891021" w:rsidRPr="003A514C">
        <w:t>membership was recognized in the IRB’s decision of 26 June 2014 and in the first PRRA decision</w:t>
      </w:r>
      <w:r w:rsidR="00D13FE1">
        <w:t>.</w:t>
      </w:r>
    </w:p>
  </w:footnote>
  <w:footnote w:id="21">
    <w:p w14:paraId="3D496F88" w14:textId="5F75E24B" w:rsidR="00891021" w:rsidRPr="003A514C" w:rsidRDefault="00E31C70" w:rsidP="00E31C70">
      <w:pPr>
        <w:pStyle w:val="FootnoteText"/>
      </w:pPr>
      <w:r w:rsidRPr="003A514C">
        <w:tab/>
      </w:r>
      <w:r w:rsidR="00891021" w:rsidRPr="003A514C">
        <w:rPr>
          <w:rStyle w:val="FootnoteReference"/>
        </w:rPr>
        <w:footnoteRef/>
      </w:r>
      <w:r w:rsidR="00891021" w:rsidRPr="003A514C">
        <w:t xml:space="preserve"> </w:t>
      </w:r>
      <w:r w:rsidRPr="003A514C">
        <w:tab/>
      </w:r>
      <w:r w:rsidRPr="003A514C">
        <w:tab/>
      </w:r>
      <w:r w:rsidR="00891021" w:rsidRPr="003A514C">
        <w:t xml:space="preserve">He refers to an Amnesty International report quoted in a press article of September 2015 available at </w:t>
      </w:r>
      <w:hyperlink r:id="rId1" w:history="1">
        <w:r w:rsidR="00891021" w:rsidRPr="003A514C">
          <w:rPr>
            <w:rStyle w:val="Hyperlink"/>
          </w:rPr>
          <w:t>http://www.ibtimes.co.uk/nigeria-credible-evidence-that-pro-biafrans-are-targeted-by-police-says-amnesty-international-1519127</w:t>
        </w:r>
      </w:hyperlink>
      <w:r w:rsidR="00CF4D97">
        <w:rPr>
          <w:rStyle w:val="Hyperlink"/>
        </w:rPr>
        <w:t>.</w:t>
      </w:r>
      <w:r w:rsidR="00891021" w:rsidRPr="003A514C">
        <w:t xml:space="preserve"> </w:t>
      </w:r>
    </w:p>
  </w:footnote>
  <w:footnote w:id="22">
    <w:p w14:paraId="0433D94E" w14:textId="756C3007" w:rsidR="00891021" w:rsidRPr="003A514C" w:rsidRDefault="00E31C70" w:rsidP="00E31C70">
      <w:pPr>
        <w:pStyle w:val="FootnoteText"/>
      </w:pPr>
      <w:r w:rsidRPr="003A514C">
        <w:tab/>
      </w:r>
      <w:r w:rsidR="00891021" w:rsidRPr="003A514C">
        <w:rPr>
          <w:rStyle w:val="FootnoteReference"/>
        </w:rPr>
        <w:footnoteRef/>
      </w:r>
      <w:r w:rsidR="00891021" w:rsidRPr="003A514C">
        <w:t xml:space="preserve"> </w:t>
      </w:r>
      <w:r w:rsidRPr="003A514C">
        <w:tab/>
      </w:r>
      <w:r w:rsidRPr="003A514C">
        <w:tab/>
      </w:r>
      <w:r w:rsidR="00891021" w:rsidRPr="003A514C">
        <w:t xml:space="preserve">Commission de </w:t>
      </w:r>
      <w:proofErr w:type="spellStart"/>
      <w:r w:rsidR="00891021" w:rsidRPr="003A514C">
        <w:t>l’immigration</w:t>
      </w:r>
      <w:proofErr w:type="spellEnd"/>
      <w:r w:rsidR="00891021" w:rsidRPr="003A514C">
        <w:t xml:space="preserve"> et du </w:t>
      </w:r>
      <w:proofErr w:type="spellStart"/>
      <w:r w:rsidR="00891021" w:rsidRPr="003A514C">
        <w:t>statut</w:t>
      </w:r>
      <w:proofErr w:type="spellEnd"/>
      <w:r w:rsidR="00891021" w:rsidRPr="003A514C">
        <w:t xml:space="preserve"> du </w:t>
      </w:r>
      <w:proofErr w:type="spellStart"/>
      <w:r w:rsidR="00891021" w:rsidRPr="003A514C">
        <w:t>refugié</w:t>
      </w:r>
      <w:proofErr w:type="spellEnd"/>
      <w:r w:rsidR="00891021" w:rsidRPr="003A514C">
        <w:t xml:space="preserve"> du Canada,</w:t>
      </w:r>
      <w:r w:rsidR="003E22F0" w:rsidRPr="003A514C">
        <w:t xml:space="preserve"> </w:t>
      </w:r>
      <w:r w:rsidR="00891021" w:rsidRPr="003A514C">
        <w:t xml:space="preserve">Nigeria </w:t>
      </w:r>
      <w:proofErr w:type="spellStart"/>
      <w:r w:rsidR="00891021" w:rsidRPr="003A514C">
        <w:t>Treatement</w:t>
      </w:r>
      <w:proofErr w:type="spellEnd"/>
      <w:r w:rsidR="00891021" w:rsidRPr="003A514C">
        <w:t xml:space="preserve"> of persons with HIV/AIDS by society (2005-2007)</w:t>
      </w:r>
      <w:r w:rsidR="00D13FE1">
        <w:t>.</w:t>
      </w:r>
      <w:r w:rsidR="00891021" w:rsidRPr="003A514C">
        <w:t xml:space="preserve"> </w:t>
      </w:r>
    </w:p>
  </w:footnote>
  <w:footnote w:id="23">
    <w:p w14:paraId="00A776C9" w14:textId="571AD296" w:rsidR="00891021" w:rsidRPr="003A514C" w:rsidRDefault="00E31C70" w:rsidP="00E31C70">
      <w:pPr>
        <w:pStyle w:val="FootnoteText"/>
      </w:pPr>
      <w:r w:rsidRPr="003A514C">
        <w:tab/>
      </w:r>
      <w:r w:rsidR="00891021" w:rsidRPr="003A514C">
        <w:rPr>
          <w:rStyle w:val="FootnoteReference"/>
        </w:rPr>
        <w:footnoteRef/>
      </w:r>
      <w:r w:rsidR="00891021" w:rsidRPr="003A514C">
        <w:t xml:space="preserve"> </w:t>
      </w:r>
      <w:r w:rsidRPr="003A514C">
        <w:tab/>
      </w:r>
      <w:r w:rsidRPr="003A514C">
        <w:tab/>
      </w:r>
      <w:r w:rsidR="00891021" w:rsidRPr="003A514C">
        <w:t>He provides among others, a letter from the Ministry of Public Safety, dated 27 October 2008, stating that there was no evidence that he contracted HIV or Hepatitis B while detained. Regarding the tuberculosis, it states that the author was offered a test, as one person detained in the same facility as him resulted positive, but that following a test conducted on 13 November 2007, the result was negative</w:t>
      </w:r>
      <w:r w:rsidR="000B1FED">
        <w:t>.</w:t>
      </w:r>
      <w:r w:rsidR="00891021" w:rsidRPr="003A514C">
        <w:t xml:space="preserve"> </w:t>
      </w:r>
    </w:p>
  </w:footnote>
  <w:footnote w:id="24">
    <w:p w14:paraId="79E7DD79" w14:textId="17BEAF2E" w:rsidR="001735CD" w:rsidRPr="003A514C" w:rsidRDefault="00E31C70" w:rsidP="00E31C70">
      <w:pPr>
        <w:pStyle w:val="FootnoteText"/>
      </w:pPr>
      <w:r w:rsidRPr="003A514C">
        <w:tab/>
      </w:r>
      <w:r w:rsidR="001735CD" w:rsidRPr="003A514C">
        <w:rPr>
          <w:rStyle w:val="FootnoteReference"/>
        </w:rPr>
        <w:footnoteRef/>
      </w:r>
      <w:r w:rsidR="001735CD" w:rsidRPr="003A514C">
        <w:rPr>
          <w:lang w:val="pt-PT"/>
        </w:rPr>
        <w:t xml:space="preserve"> </w:t>
      </w:r>
      <w:r w:rsidRPr="003A514C">
        <w:rPr>
          <w:lang w:val="pt-PT"/>
        </w:rPr>
        <w:tab/>
      </w:r>
      <w:r w:rsidRPr="003A514C">
        <w:rPr>
          <w:lang w:val="pt-PT"/>
        </w:rPr>
        <w:tab/>
      </w:r>
      <w:r w:rsidR="001735CD" w:rsidRPr="003A514C">
        <w:rPr>
          <w:lang w:val="pt-PT"/>
        </w:rPr>
        <w:t xml:space="preserve">Refers to </w:t>
      </w:r>
      <w:r w:rsidR="001735CD" w:rsidRPr="003A514C">
        <w:rPr>
          <w:i/>
          <w:iCs/>
          <w:lang w:val="pt-PT"/>
        </w:rPr>
        <w:t>Dastgir v. Canada</w:t>
      </w:r>
      <w:r w:rsidR="001735CD" w:rsidRPr="003A514C">
        <w:rPr>
          <w:lang w:val="pt-PT"/>
        </w:rPr>
        <w:t xml:space="preserve"> (CCPR/C/94/D/1578/2007), para. </w:t>
      </w:r>
      <w:r w:rsidR="001735CD" w:rsidRPr="003A514C">
        <w:t>6.2</w:t>
      </w:r>
      <w:r w:rsidR="000B1FED">
        <w:t>.</w:t>
      </w:r>
      <w:r w:rsidR="001735CD" w:rsidRPr="003A514C">
        <w:t xml:space="preserve"> </w:t>
      </w:r>
    </w:p>
  </w:footnote>
  <w:footnote w:id="25">
    <w:p w14:paraId="65FCAFD9" w14:textId="35BB80D7" w:rsidR="00891021" w:rsidRPr="003A514C" w:rsidRDefault="00E31C70" w:rsidP="00E31C70">
      <w:pPr>
        <w:pStyle w:val="FootnoteText"/>
        <w:ind w:hanging="567"/>
      </w:pPr>
      <w:r w:rsidRPr="003A514C">
        <w:tab/>
      </w:r>
      <w:r w:rsidR="00891021" w:rsidRPr="003A514C">
        <w:rPr>
          <w:rStyle w:val="FootnoteReference"/>
        </w:rPr>
        <w:footnoteRef/>
      </w:r>
      <w:r w:rsidR="00891021" w:rsidRPr="003A514C">
        <w:t xml:space="preserve"> </w:t>
      </w:r>
      <w:r w:rsidRPr="003A514C">
        <w:tab/>
      </w:r>
      <w:r w:rsidRPr="003A514C">
        <w:tab/>
      </w:r>
      <w:r w:rsidR="00891021" w:rsidRPr="003A514C">
        <w:t>(CCPR/C/GC/35), para. 57</w:t>
      </w:r>
      <w:r w:rsidR="000B1FED">
        <w:t>.</w:t>
      </w:r>
    </w:p>
  </w:footnote>
  <w:footnote w:id="26">
    <w:p w14:paraId="19E7F0B0" w14:textId="59EDD232" w:rsidR="00891021" w:rsidRPr="003A514C" w:rsidRDefault="00E31C70" w:rsidP="00E31C70">
      <w:pPr>
        <w:pStyle w:val="FootnoteText"/>
      </w:pPr>
      <w:r w:rsidRPr="003A514C">
        <w:tab/>
      </w:r>
      <w:r w:rsidR="00891021" w:rsidRPr="003A514C">
        <w:rPr>
          <w:rStyle w:val="FootnoteReference"/>
        </w:rPr>
        <w:footnoteRef/>
      </w:r>
      <w:r w:rsidR="00891021" w:rsidRPr="003A514C">
        <w:t xml:space="preserve"> </w:t>
      </w:r>
      <w:r w:rsidRPr="003A514C">
        <w:tab/>
      </w:r>
      <w:r w:rsidRPr="003A514C">
        <w:tab/>
      </w:r>
      <w:r w:rsidR="00CB15D4" w:rsidRPr="003A514C">
        <w:t xml:space="preserve">The State party </w:t>
      </w:r>
      <w:r w:rsidR="00891021" w:rsidRPr="003A514C">
        <w:t xml:space="preserve">also refers to the General Comment 31 (CCPR/C/21/Rev.1/Add. 13), para. 12. </w:t>
      </w:r>
    </w:p>
  </w:footnote>
  <w:footnote w:id="27">
    <w:p w14:paraId="5F2FCA01" w14:textId="09532904" w:rsidR="00891021" w:rsidRPr="003A514C" w:rsidRDefault="00E31C70" w:rsidP="00E31C70">
      <w:pPr>
        <w:pStyle w:val="FootnoteText"/>
      </w:pPr>
      <w:r w:rsidRPr="003A514C">
        <w:tab/>
      </w:r>
      <w:r w:rsidR="00891021" w:rsidRPr="003A514C">
        <w:rPr>
          <w:rStyle w:val="FootnoteReference"/>
        </w:rPr>
        <w:footnoteRef/>
      </w:r>
      <w:r w:rsidR="00891021" w:rsidRPr="003A514C">
        <w:t xml:space="preserve"> </w:t>
      </w:r>
      <w:r w:rsidRPr="003A514C">
        <w:tab/>
      </w:r>
      <w:r w:rsidRPr="003A514C">
        <w:tab/>
      </w:r>
      <w:r w:rsidR="00CB15D4" w:rsidRPr="003A514C">
        <w:t xml:space="preserve">The State party </w:t>
      </w:r>
      <w:r w:rsidR="00891021" w:rsidRPr="003A514C">
        <w:t xml:space="preserve">refers to </w:t>
      </w:r>
      <w:r w:rsidR="00CB15D4" w:rsidRPr="003A514C">
        <w:t xml:space="preserve">the judgment of the </w:t>
      </w:r>
      <w:r w:rsidR="00891021" w:rsidRPr="003A514C">
        <w:t xml:space="preserve">European Court of Human Rights </w:t>
      </w:r>
      <w:r w:rsidR="00CB15D4" w:rsidRPr="003A514C">
        <w:t xml:space="preserve">in </w:t>
      </w:r>
      <w:r w:rsidR="00891021" w:rsidRPr="003A514C">
        <w:rPr>
          <w:i/>
        </w:rPr>
        <w:t>Soering v. United Kingdom</w:t>
      </w:r>
      <w:r w:rsidR="00891021" w:rsidRPr="003A514C">
        <w:t xml:space="preserve">, 1989, para. 86. </w:t>
      </w:r>
    </w:p>
  </w:footnote>
  <w:footnote w:id="28">
    <w:p w14:paraId="1E0B356A" w14:textId="334B5C1D" w:rsidR="00891021" w:rsidRPr="003A514C" w:rsidRDefault="00E31C70" w:rsidP="00E31C70">
      <w:pPr>
        <w:pStyle w:val="FootnoteText"/>
      </w:pPr>
      <w:r w:rsidRPr="003A514C">
        <w:tab/>
      </w:r>
      <w:r w:rsidR="00891021" w:rsidRPr="003A514C">
        <w:rPr>
          <w:rStyle w:val="FootnoteReference"/>
        </w:rPr>
        <w:footnoteRef/>
      </w:r>
      <w:r w:rsidR="00891021" w:rsidRPr="003A514C">
        <w:t xml:space="preserve"> </w:t>
      </w:r>
      <w:r w:rsidRPr="003A514C">
        <w:tab/>
      </w:r>
      <w:r w:rsidRPr="003A514C">
        <w:tab/>
      </w:r>
      <w:r w:rsidR="00891021" w:rsidRPr="003A514C">
        <w:t xml:space="preserve">It refers to </w:t>
      </w:r>
      <w:r w:rsidR="00445AF5">
        <w:t xml:space="preserve">the </w:t>
      </w:r>
      <w:r w:rsidR="00891021" w:rsidRPr="003A514C">
        <w:t xml:space="preserve">General Comment </w:t>
      </w:r>
      <w:r w:rsidR="00445AF5">
        <w:t xml:space="preserve">No. </w:t>
      </w:r>
      <w:r w:rsidR="00891021" w:rsidRPr="003A514C">
        <w:t>31, para. 12</w:t>
      </w:r>
      <w:r w:rsidR="000B1FED">
        <w:t>.</w:t>
      </w:r>
    </w:p>
  </w:footnote>
  <w:footnote w:id="29">
    <w:p w14:paraId="4839BF8D" w14:textId="6E9C4C02" w:rsidR="00891021" w:rsidRPr="003A514C" w:rsidRDefault="00E31C70" w:rsidP="00E31C70">
      <w:pPr>
        <w:pStyle w:val="FootnoteText"/>
      </w:pPr>
      <w:r w:rsidRPr="003A514C">
        <w:tab/>
      </w:r>
      <w:r w:rsidR="00891021" w:rsidRPr="003A514C">
        <w:rPr>
          <w:rStyle w:val="FootnoteReference"/>
        </w:rPr>
        <w:footnoteRef/>
      </w:r>
      <w:r w:rsidR="00891021" w:rsidRPr="003A514C">
        <w:t xml:space="preserve"> </w:t>
      </w:r>
      <w:r w:rsidRPr="003A514C">
        <w:tab/>
      </w:r>
      <w:r w:rsidRPr="003A514C">
        <w:tab/>
      </w:r>
      <w:r w:rsidR="00891021" w:rsidRPr="003A514C">
        <w:t xml:space="preserve">For instance, in relation to the arrest warrant of 2019, the State party indicates that the date (17 August 2016) does not coincide with the date provided to the Committee (17 June 2016) and contains legal mistakes that a Court would not make. </w:t>
      </w:r>
    </w:p>
  </w:footnote>
  <w:footnote w:id="30">
    <w:p w14:paraId="0339650D" w14:textId="725D200D" w:rsidR="00891021" w:rsidRPr="003A514C" w:rsidRDefault="00E31C70" w:rsidP="00E31C70">
      <w:pPr>
        <w:pStyle w:val="FootnoteText"/>
      </w:pPr>
      <w:r w:rsidRPr="003A514C">
        <w:tab/>
      </w:r>
      <w:r w:rsidR="00891021" w:rsidRPr="003A514C">
        <w:rPr>
          <w:rStyle w:val="FootnoteReference"/>
        </w:rPr>
        <w:footnoteRef/>
      </w:r>
      <w:r w:rsidR="00891021" w:rsidRPr="003A514C">
        <w:t xml:space="preserve"> </w:t>
      </w:r>
      <w:r w:rsidRPr="003A514C">
        <w:tab/>
      </w:r>
      <w:r w:rsidRPr="003A514C">
        <w:tab/>
      </w:r>
      <w:r w:rsidR="00891021" w:rsidRPr="003A514C">
        <w:t xml:space="preserve">UK Home Office, Country </w:t>
      </w:r>
      <w:proofErr w:type="gramStart"/>
      <w:r w:rsidR="00891021" w:rsidRPr="003A514C">
        <w:t>Policy</w:t>
      </w:r>
      <w:proofErr w:type="gramEnd"/>
      <w:r w:rsidR="00891021" w:rsidRPr="003A514C">
        <w:t xml:space="preserve"> and Information Note Nigeria: Biafran separatists, April 2020</w:t>
      </w:r>
      <w:r w:rsidR="00003C97">
        <w:t>.</w:t>
      </w:r>
    </w:p>
  </w:footnote>
  <w:footnote w:id="31">
    <w:p w14:paraId="21C623CE" w14:textId="3CD4D21B" w:rsidR="00891021" w:rsidRPr="003A514C" w:rsidRDefault="00E31C70" w:rsidP="00E31C70">
      <w:pPr>
        <w:pStyle w:val="FootnoteText"/>
      </w:pPr>
      <w:r w:rsidRPr="003A514C">
        <w:tab/>
      </w:r>
      <w:r w:rsidR="00891021" w:rsidRPr="003A514C">
        <w:rPr>
          <w:rStyle w:val="FootnoteReference"/>
        </w:rPr>
        <w:footnoteRef/>
      </w:r>
      <w:r w:rsidR="00891021" w:rsidRPr="003A514C">
        <w:t xml:space="preserve"> </w:t>
      </w:r>
      <w:r w:rsidRPr="003A514C">
        <w:tab/>
      </w:r>
      <w:r w:rsidRPr="003A514C">
        <w:tab/>
      </w:r>
      <w:r w:rsidR="00891021" w:rsidRPr="003A514C">
        <w:t>He refers to several provisions of the 1951 Refugee Convention.</w:t>
      </w:r>
    </w:p>
  </w:footnote>
  <w:footnote w:id="32">
    <w:p w14:paraId="1F581BE6" w14:textId="468D61C4" w:rsidR="008E064D" w:rsidRPr="003A514C" w:rsidRDefault="00E31C70" w:rsidP="00E31C70">
      <w:pPr>
        <w:pStyle w:val="FootnoteText"/>
      </w:pPr>
      <w:r w:rsidRPr="003A514C">
        <w:tab/>
      </w:r>
      <w:r w:rsidR="008E064D" w:rsidRPr="003A514C">
        <w:rPr>
          <w:rStyle w:val="FootnoteReference"/>
        </w:rPr>
        <w:footnoteRef/>
      </w:r>
      <w:r w:rsidR="008E064D" w:rsidRPr="003A514C">
        <w:t xml:space="preserve"> </w:t>
      </w:r>
      <w:r w:rsidRPr="003A514C">
        <w:tab/>
      </w:r>
      <w:r w:rsidRPr="003A514C">
        <w:tab/>
      </w:r>
      <w:r w:rsidR="008E064D" w:rsidRPr="003A514C">
        <w:t>Canadian Charter of Human Rights, among others</w:t>
      </w:r>
      <w:r w:rsidR="000348D9" w:rsidRPr="003A514C">
        <w:t>.</w:t>
      </w:r>
      <w:r w:rsidR="008E064D" w:rsidRPr="003A514C">
        <w:t xml:space="preserve"> </w:t>
      </w:r>
    </w:p>
  </w:footnote>
  <w:footnote w:id="33">
    <w:p w14:paraId="13A66273" w14:textId="587E13E0" w:rsidR="00891021" w:rsidRPr="003A514C" w:rsidRDefault="00E31C70" w:rsidP="00E31C70">
      <w:pPr>
        <w:pStyle w:val="FootnoteText"/>
      </w:pPr>
      <w:r w:rsidRPr="003A514C">
        <w:tab/>
      </w:r>
      <w:r w:rsidR="00891021" w:rsidRPr="003A514C">
        <w:rPr>
          <w:rStyle w:val="FootnoteReference"/>
        </w:rPr>
        <w:footnoteRef/>
      </w:r>
      <w:r w:rsidR="00891021" w:rsidRPr="003A514C">
        <w:t xml:space="preserve"> </w:t>
      </w:r>
      <w:r w:rsidRPr="003A514C">
        <w:tab/>
      </w:r>
      <w:r w:rsidRPr="003A514C">
        <w:tab/>
      </w:r>
      <w:r w:rsidR="00891021" w:rsidRPr="003A514C">
        <w:t xml:space="preserve">He claims having been threatened, intimidated, </w:t>
      </w:r>
      <w:proofErr w:type="gramStart"/>
      <w:r w:rsidR="00891021" w:rsidRPr="003A514C">
        <w:t>harassed</w:t>
      </w:r>
      <w:proofErr w:type="gramEnd"/>
      <w:r w:rsidR="00891021" w:rsidRPr="003A514C">
        <w:t xml:space="preserve"> and handcuffed</w:t>
      </w:r>
      <w:r w:rsidR="000348D9" w:rsidRPr="003A514C">
        <w:t>.</w:t>
      </w:r>
    </w:p>
  </w:footnote>
  <w:footnote w:id="34">
    <w:p w14:paraId="4E19AD18" w14:textId="3998B439" w:rsidR="00891021" w:rsidRPr="003A514C" w:rsidRDefault="00E31C70" w:rsidP="00E31C70">
      <w:pPr>
        <w:pStyle w:val="FootnoteText"/>
      </w:pPr>
      <w:r w:rsidRPr="003A514C">
        <w:tab/>
      </w:r>
      <w:r w:rsidR="00891021" w:rsidRPr="003A514C">
        <w:rPr>
          <w:rStyle w:val="FootnoteReference"/>
        </w:rPr>
        <w:footnoteRef/>
      </w:r>
      <w:r w:rsidR="00891021" w:rsidRPr="003A514C">
        <w:t xml:space="preserve"> </w:t>
      </w:r>
      <w:r w:rsidRPr="003A514C">
        <w:tab/>
      </w:r>
      <w:r w:rsidRPr="003A514C">
        <w:tab/>
      </w:r>
      <w:r w:rsidR="00891021" w:rsidRPr="003A514C">
        <w:t>He provides a copy</w:t>
      </w:r>
      <w:r w:rsidR="00C849A6">
        <w:t>.</w:t>
      </w:r>
      <w:r w:rsidR="00891021" w:rsidRPr="003A514C">
        <w:t xml:space="preserve"> </w:t>
      </w:r>
    </w:p>
  </w:footnote>
  <w:footnote w:id="35">
    <w:p w14:paraId="4207BF90" w14:textId="2580DC76" w:rsidR="00A331FA" w:rsidRPr="003A514C" w:rsidRDefault="00E31C70" w:rsidP="00E31C70">
      <w:pPr>
        <w:pStyle w:val="FootnoteText"/>
      </w:pPr>
      <w:r w:rsidRPr="003A514C">
        <w:tab/>
      </w:r>
      <w:r w:rsidR="00A331FA" w:rsidRPr="003A514C">
        <w:rPr>
          <w:rStyle w:val="FootnoteReference"/>
        </w:rPr>
        <w:footnoteRef/>
      </w:r>
      <w:r w:rsidR="00A331FA" w:rsidRPr="003A514C">
        <w:t xml:space="preserve"> </w:t>
      </w:r>
      <w:r w:rsidRPr="003A514C">
        <w:tab/>
      </w:r>
      <w:r w:rsidRPr="003A514C">
        <w:tab/>
      </w:r>
      <w:r w:rsidR="00A331FA" w:rsidRPr="003A514C">
        <w:t>He refers the 1951 Refugee C</w:t>
      </w:r>
      <w:r w:rsidR="004A2107" w:rsidRPr="003A514C">
        <w:t xml:space="preserve">onvention and the </w:t>
      </w:r>
      <w:r w:rsidR="00105C97" w:rsidRPr="003A514C">
        <w:t xml:space="preserve">Convention against Torture, </w:t>
      </w:r>
      <w:r w:rsidR="00A331FA" w:rsidRPr="003A514C">
        <w:t>among others.</w:t>
      </w:r>
    </w:p>
  </w:footnote>
  <w:footnote w:id="36">
    <w:p w14:paraId="78F21649" w14:textId="39D9E6BC" w:rsidR="00E75B49" w:rsidRPr="003A514C" w:rsidRDefault="00270381" w:rsidP="00270381">
      <w:pPr>
        <w:pStyle w:val="FootnoteText"/>
        <w:rPr>
          <w:lang w:val="pt-PT"/>
        </w:rPr>
      </w:pPr>
      <w:r w:rsidRPr="003A514C">
        <w:tab/>
      </w:r>
      <w:r w:rsidR="00E75B49" w:rsidRPr="003A514C">
        <w:rPr>
          <w:rStyle w:val="FootnoteReference"/>
        </w:rPr>
        <w:footnoteRef/>
      </w:r>
      <w:r w:rsidR="00E75B49" w:rsidRPr="003A514C">
        <w:t xml:space="preserve"> </w:t>
      </w:r>
      <w:r w:rsidRPr="003A514C">
        <w:tab/>
      </w:r>
      <w:r w:rsidR="00E75B49" w:rsidRPr="003A514C">
        <w:t>It refers to, for example</w:t>
      </w:r>
      <w:r w:rsidR="00794411" w:rsidRPr="003A514C">
        <w:t>,</w:t>
      </w:r>
      <w:r w:rsidR="00E75B49" w:rsidRPr="003A514C">
        <w:t xml:space="preserve"> </w:t>
      </w:r>
      <w:r w:rsidR="00E75B49" w:rsidRPr="003A514C">
        <w:rPr>
          <w:i/>
        </w:rPr>
        <w:t>X. v. Denmark</w:t>
      </w:r>
      <w:r w:rsidR="00E75B49" w:rsidRPr="003A514C">
        <w:t xml:space="preserve"> (CCPR/C/110/D/2007/2010), para. </w:t>
      </w:r>
      <w:r w:rsidR="00E75B49" w:rsidRPr="003A514C">
        <w:rPr>
          <w:lang w:val="pt-PT"/>
        </w:rPr>
        <w:t>9.3;</w:t>
      </w:r>
      <w:r w:rsidR="003D6804" w:rsidRPr="003A514C">
        <w:rPr>
          <w:lang w:val="pt-PT"/>
        </w:rPr>
        <w:t xml:space="preserve"> and </w:t>
      </w:r>
      <w:r w:rsidR="00D656C2" w:rsidRPr="003A514C">
        <w:rPr>
          <w:i/>
          <w:iCs/>
          <w:lang w:val="pt-PT"/>
        </w:rPr>
        <w:t xml:space="preserve">Kaur v. </w:t>
      </w:r>
      <w:r w:rsidR="00D656C2" w:rsidRPr="003A514C">
        <w:rPr>
          <w:i/>
          <w:iCs/>
          <w:lang w:val="pt-PT"/>
        </w:rPr>
        <w:t>Canada</w:t>
      </w:r>
      <w:r w:rsidR="00D656C2" w:rsidRPr="003A514C">
        <w:rPr>
          <w:lang w:val="pt-PT"/>
        </w:rPr>
        <w:t xml:space="preserve"> (CCPR/C/94/D/1455/2006)</w:t>
      </w:r>
      <w:r w:rsidR="003D6804" w:rsidRPr="003A514C">
        <w:rPr>
          <w:lang w:val="pt-PT"/>
        </w:rPr>
        <w:t>,</w:t>
      </w:r>
      <w:r w:rsidR="00D656C2" w:rsidRPr="003A514C">
        <w:rPr>
          <w:lang w:val="pt-PT"/>
        </w:rPr>
        <w:t xml:space="preserve"> para. 7.3</w:t>
      </w:r>
    </w:p>
  </w:footnote>
  <w:footnote w:id="37">
    <w:p w14:paraId="35D8FE64" w14:textId="6A1C9C4E" w:rsidR="00A43D5C" w:rsidRPr="003A514C" w:rsidRDefault="00270381" w:rsidP="00270381">
      <w:pPr>
        <w:pStyle w:val="FootnoteText"/>
      </w:pPr>
      <w:r w:rsidRPr="003A514C">
        <w:rPr>
          <w:lang w:val="pt-PT"/>
        </w:rPr>
        <w:tab/>
      </w:r>
      <w:r w:rsidR="00A43D5C" w:rsidRPr="003A514C">
        <w:rPr>
          <w:rStyle w:val="FootnoteReference"/>
        </w:rPr>
        <w:footnoteRef/>
      </w:r>
      <w:r w:rsidR="00A43D5C" w:rsidRPr="003A514C">
        <w:rPr>
          <w:lang w:val="pt-PT"/>
        </w:rPr>
        <w:t xml:space="preserve"> </w:t>
      </w:r>
      <w:r w:rsidRPr="003A514C">
        <w:rPr>
          <w:lang w:val="pt-PT"/>
        </w:rPr>
        <w:tab/>
      </w:r>
      <w:r w:rsidR="00A43D5C" w:rsidRPr="003A514C">
        <w:rPr>
          <w:lang w:val="pt-PT"/>
        </w:rPr>
        <w:t xml:space="preserve">Among others, </w:t>
      </w:r>
      <w:r w:rsidR="00A43D5C" w:rsidRPr="003A514C">
        <w:rPr>
          <w:i/>
          <w:lang w:val="pt-PT"/>
        </w:rPr>
        <w:t xml:space="preserve">W.K v. </w:t>
      </w:r>
      <w:r w:rsidR="00A43D5C" w:rsidRPr="003A514C">
        <w:rPr>
          <w:i/>
          <w:lang w:val="pt-PT"/>
        </w:rPr>
        <w:t>Canada</w:t>
      </w:r>
      <w:r w:rsidR="00A43D5C" w:rsidRPr="003A514C">
        <w:rPr>
          <w:lang w:val="pt-PT"/>
        </w:rPr>
        <w:t xml:space="preserve"> (CCPR/C/122/D/2292/2013); para. 10.3 and </w:t>
      </w:r>
      <w:r w:rsidR="00A43D5C" w:rsidRPr="003A514C">
        <w:rPr>
          <w:i/>
          <w:lang w:val="pt-PT"/>
        </w:rPr>
        <w:t>Monge Contreras v. Canada</w:t>
      </w:r>
      <w:r w:rsidR="00A43D5C" w:rsidRPr="003A514C">
        <w:rPr>
          <w:lang w:val="pt-PT"/>
        </w:rPr>
        <w:t xml:space="preserve"> (CCPR/C/119/D/2613/2015), para. </w:t>
      </w:r>
      <w:r w:rsidR="00A43D5C" w:rsidRPr="003A514C">
        <w:t>8.7</w:t>
      </w:r>
    </w:p>
  </w:footnote>
  <w:footnote w:id="38">
    <w:p w14:paraId="24A58FBB" w14:textId="58A2089D" w:rsidR="00EE5A3F" w:rsidRPr="003A514C" w:rsidRDefault="00270381" w:rsidP="00270381">
      <w:pPr>
        <w:pStyle w:val="FootnoteText"/>
      </w:pPr>
      <w:r w:rsidRPr="003A514C">
        <w:tab/>
      </w:r>
      <w:r w:rsidR="00EE5A3F" w:rsidRPr="003A514C">
        <w:rPr>
          <w:rStyle w:val="FootnoteReference"/>
        </w:rPr>
        <w:footnoteRef/>
      </w:r>
      <w:r w:rsidR="00EE5A3F" w:rsidRPr="003A514C">
        <w:t xml:space="preserve"> </w:t>
      </w:r>
      <w:r w:rsidRPr="003A514C">
        <w:tab/>
      </w:r>
      <w:r w:rsidR="00EE5A3F" w:rsidRPr="003A514C">
        <w:t xml:space="preserve">It </w:t>
      </w:r>
      <w:r w:rsidR="009F2E2A" w:rsidRPr="003A514C">
        <w:t>refers to General Comment N. 16</w:t>
      </w:r>
      <w:r w:rsidR="00C849A6">
        <w:t>.</w:t>
      </w:r>
    </w:p>
  </w:footnote>
  <w:footnote w:id="39">
    <w:p w14:paraId="43CD1051" w14:textId="77777777" w:rsidR="004D735B" w:rsidRDefault="004D735B" w:rsidP="004D735B">
      <w:pPr>
        <w:pStyle w:val="FootnoteText"/>
      </w:pPr>
      <w:r>
        <w:tab/>
        <w:t xml:space="preserve">      </w:t>
      </w:r>
      <w:r>
        <w:rPr>
          <w:rStyle w:val="FootnoteReference"/>
        </w:rPr>
        <w:footnoteRef/>
      </w:r>
      <w:r>
        <w:t xml:space="preserve">  </w:t>
      </w:r>
      <w:r w:rsidRPr="0022587C">
        <w:tab/>
      </w:r>
      <w:r>
        <w:t xml:space="preserve">General Comment No. 35 </w:t>
      </w:r>
      <w:r w:rsidRPr="0022587C">
        <w:t>(CCPR/C/GC/35), para. 57</w:t>
      </w:r>
      <w:r>
        <w:t>.</w:t>
      </w:r>
    </w:p>
  </w:footnote>
  <w:footnote w:id="40">
    <w:p w14:paraId="2CF7DDD3" w14:textId="77777777" w:rsidR="004D735B" w:rsidRPr="0076092E" w:rsidRDefault="004D735B" w:rsidP="004D735B">
      <w:pPr>
        <w:pStyle w:val="FootnoteText"/>
      </w:pPr>
      <w:r>
        <w:tab/>
        <w:t xml:space="preserve">                    </w:t>
      </w:r>
      <w:r>
        <w:rPr>
          <w:rStyle w:val="FootnoteReference"/>
        </w:rPr>
        <w:footnoteRef/>
      </w:r>
      <w:r w:rsidRPr="00607BB5">
        <w:t xml:space="preserve"> </w:t>
      </w:r>
      <w:r>
        <w:t xml:space="preserve"> </w:t>
      </w:r>
      <w:r w:rsidRPr="0022587C">
        <w:t xml:space="preserve">General Comment </w:t>
      </w:r>
      <w:r>
        <w:t xml:space="preserve">No. </w:t>
      </w:r>
      <w:r w:rsidRPr="0022587C">
        <w:t>31 (CCPR/C/21/Rev.1/Add. 13), para. 12.</w:t>
      </w:r>
      <w:r>
        <w:t xml:space="preserve"> See also </w:t>
      </w:r>
      <w:proofErr w:type="spellStart"/>
      <w:r w:rsidRPr="00577425">
        <w:rPr>
          <w:i/>
          <w:iCs/>
        </w:rPr>
        <w:t>Ch.H.O</w:t>
      </w:r>
      <w:proofErr w:type="spellEnd"/>
      <w:r w:rsidRPr="00577425">
        <w:rPr>
          <w:i/>
          <w:iCs/>
        </w:rPr>
        <w:t>. v. Canada</w:t>
      </w:r>
      <w:r>
        <w:t xml:space="preserve"> (</w:t>
      </w:r>
      <w:r w:rsidRPr="00577425">
        <w:t>CCPR/C/118/D/2195/2012</w:t>
      </w:r>
      <w:r>
        <w:t>), para. 9.5.</w:t>
      </w:r>
    </w:p>
  </w:footnote>
  <w:footnote w:id="41">
    <w:p w14:paraId="64D0A850" w14:textId="5A53507D" w:rsidR="00C56278" w:rsidRPr="003A514C" w:rsidRDefault="00C56278" w:rsidP="00E31C70">
      <w:pPr>
        <w:pStyle w:val="FootnoteText"/>
        <w:rPr>
          <w:lang w:val="pt-PT"/>
        </w:rPr>
      </w:pPr>
      <w:r w:rsidRPr="003A514C">
        <w:tab/>
      </w:r>
      <w:r w:rsidRPr="003A514C">
        <w:rPr>
          <w:rStyle w:val="FootnoteReference"/>
        </w:rPr>
        <w:footnoteRef/>
      </w:r>
      <w:r w:rsidRPr="003A514C">
        <w:rPr>
          <w:rStyle w:val="FootnoteReference"/>
        </w:rPr>
        <w:t xml:space="preserve"> </w:t>
      </w:r>
      <w:r w:rsidRPr="003A514C">
        <w:tab/>
        <w:t xml:space="preserve">See general comment No. 31 </w:t>
      </w:r>
      <w:r w:rsidR="00DD1042" w:rsidRPr="003A514C">
        <w:t>(CCPR/C/21/Rev.1/Add. 13),</w:t>
      </w:r>
      <w:r w:rsidRPr="003A514C">
        <w:t xml:space="preserve"> para. </w:t>
      </w:r>
      <w:r w:rsidRPr="003A514C">
        <w:rPr>
          <w:lang w:val="pt-PT"/>
        </w:rPr>
        <w:t>12.</w:t>
      </w:r>
    </w:p>
  </w:footnote>
  <w:footnote w:id="42">
    <w:p w14:paraId="5B75A851" w14:textId="534F23BF" w:rsidR="0062460A" w:rsidRPr="003A514C" w:rsidRDefault="0062460A" w:rsidP="00E31C70">
      <w:pPr>
        <w:pStyle w:val="FootnoteText"/>
        <w:rPr>
          <w:lang w:val="es-ES"/>
        </w:rPr>
      </w:pPr>
      <w:r w:rsidRPr="003A514C">
        <w:rPr>
          <w:lang w:val="pt-PT"/>
        </w:rPr>
        <w:tab/>
      </w:r>
      <w:r w:rsidRPr="003A514C">
        <w:rPr>
          <w:rStyle w:val="FootnoteReference"/>
        </w:rPr>
        <w:footnoteRef/>
      </w:r>
      <w:r w:rsidRPr="003A514C">
        <w:rPr>
          <w:rStyle w:val="FootnoteReference"/>
          <w:lang w:val="pt-PT"/>
        </w:rPr>
        <w:t xml:space="preserve"> </w:t>
      </w:r>
      <w:r w:rsidRPr="003A514C">
        <w:rPr>
          <w:lang w:val="pt-PT"/>
        </w:rPr>
        <w:tab/>
      </w:r>
      <w:r w:rsidRPr="003A514C">
        <w:rPr>
          <w:i/>
          <w:lang w:val="pt-PT"/>
        </w:rPr>
        <w:t>Y. v. Canada</w:t>
      </w:r>
      <w:r w:rsidRPr="003A514C">
        <w:rPr>
          <w:lang w:val="pt-PT"/>
        </w:rPr>
        <w:t xml:space="preserve"> (CCPR/C/114/D/2280/2013), para. </w:t>
      </w:r>
      <w:r w:rsidRPr="003A514C">
        <w:rPr>
          <w:lang w:val="es-ES"/>
        </w:rPr>
        <w:t xml:space="preserve">7.2; </w:t>
      </w:r>
      <w:r w:rsidRPr="003A514C">
        <w:rPr>
          <w:i/>
          <w:lang w:val="es-CO"/>
        </w:rPr>
        <w:t xml:space="preserve">P.T. v. </w:t>
      </w:r>
      <w:proofErr w:type="spellStart"/>
      <w:r w:rsidRPr="003A514C">
        <w:rPr>
          <w:i/>
          <w:lang w:val="es-CO"/>
        </w:rPr>
        <w:t>Denmark</w:t>
      </w:r>
      <w:proofErr w:type="spellEnd"/>
      <w:r w:rsidRPr="003A514C">
        <w:rPr>
          <w:lang w:val="es-CO"/>
        </w:rPr>
        <w:t xml:space="preserve"> (CCPR/C/113/D/2272/2013), </w:t>
      </w:r>
      <w:r w:rsidRPr="003A514C">
        <w:rPr>
          <w:lang w:val="es-ES"/>
        </w:rPr>
        <w:t>para. 7.2</w:t>
      </w:r>
    </w:p>
  </w:footnote>
  <w:footnote w:id="43">
    <w:p w14:paraId="339ABEA1" w14:textId="1E1B2CC8" w:rsidR="00C56278" w:rsidRPr="003A514C" w:rsidRDefault="00C56278" w:rsidP="00E31C70">
      <w:pPr>
        <w:pStyle w:val="FootnoteText"/>
        <w:rPr>
          <w:lang w:val="pt-PT"/>
        </w:rPr>
      </w:pPr>
      <w:r w:rsidRPr="003A514C">
        <w:rPr>
          <w:lang w:val="es-ES"/>
        </w:rPr>
        <w:tab/>
      </w:r>
      <w:r w:rsidRPr="003A514C">
        <w:rPr>
          <w:rStyle w:val="FootnoteReference"/>
        </w:rPr>
        <w:footnoteRef/>
      </w:r>
      <w:r w:rsidRPr="003A514C">
        <w:rPr>
          <w:rStyle w:val="FootnoteReference"/>
          <w:lang w:val="es-ES"/>
        </w:rPr>
        <w:t xml:space="preserve"> </w:t>
      </w:r>
      <w:r w:rsidRPr="003A514C">
        <w:rPr>
          <w:lang w:val="es-ES"/>
        </w:rPr>
        <w:tab/>
      </w:r>
      <w:r w:rsidRPr="007C1687">
        <w:rPr>
          <w:i/>
          <w:lang w:val="es-ES"/>
        </w:rPr>
        <w:t xml:space="preserve">X v. </w:t>
      </w:r>
      <w:r w:rsidRPr="00E63A37">
        <w:rPr>
          <w:i/>
          <w:lang w:val="es-ES"/>
        </w:rPr>
        <w:t>Sweden</w:t>
      </w:r>
      <w:r w:rsidRPr="003A514C">
        <w:rPr>
          <w:lang w:val="es-ES"/>
        </w:rPr>
        <w:t xml:space="preserve"> </w:t>
      </w:r>
      <w:r w:rsidRPr="003A514C">
        <w:rPr>
          <w:lang w:val="es-CO"/>
        </w:rPr>
        <w:t>(CCPR/C/103/D/1833/2008),</w:t>
      </w:r>
      <w:r w:rsidRPr="003A514C">
        <w:rPr>
          <w:lang w:val="es-ES"/>
        </w:rPr>
        <w:t xml:space="preserve"> para. </w:t>
      </w:r>
      <w:r w:rsidRPr="003A514C">
        <w:rPr>
          <w:lang w:val="pt-PT"/>
        </w:rPr>
        <w:t>5.18.</w:t>
      </w:r>
    </w:p>
  </w:footnote>
  <w:footnote w:id="44">
    <w:p w14:paraId="528FE6C7" w14:textId="66A53B45" w:rsidR="00C56278" w:rsidRPr="003A514C" w:rsidRDefault="00C56278" w:rsidP="00E31C70">
      <w:pPr>
        <w:pStyle w:val="FootnoteText"/>
        <w:rPr>
          <w:lang w:val="en-US"/>
        </w:rPr>
      </w:pPr>
      <w:r w:rsidRPr="003A514C">
        <w:rPr>
          <w:lang w:val="pt-PT"/>
        </w:rPr>
        <w:tab/>
      </w:r>
      <w:r w:rsidRPr="003A514C">
        <w:rPr>
          <w:rStyle w:val="FootnoteReference"/>
        </w:rPr>
        <w:footnoteRef/>
      </w:r>
      <w:r w:rsidRPr="003A514C">
        <w:rPr>
          <w:lang w:val="pt-PT"/>
        </w:rPr>
        <w:t xml:space="preserve"> </w:t>
      </w:r>
      <w:r w:rsidRPr="003A514C">
        <w:rPr>
          <w:lang w:val="pt-PT"/>
        </w:rPr>
        <w:tab/>
      </w:r>
      <w:r w:rsidRPr="00E63A37">
        <w:rPr>
          <w:i/>
          <w:iCs/>
          <w:lang w:val="pt-PT"/>
        </w:rPr>
        <w:t>Rasappu</w:t>
      </w:r>
      <w:r w:rsidRPr="007C1687">
        <w:rPr>
          <w:i/>
          <w:iCs/>
          <w:lang w:val="pt-PT"/>
        </w:rPr>
        <w:t xml:space="preserve"> v. </w:t>
      </w:r>
      <w:r w:rsidRPr="007C1687">
        <w:rPr>
          <w:i/>
          <w:iCs/>
          <w:lang w:val="pt-PT"/>
        </w:rPr>
        <w:t>Canada</w:t>
      </w:r>
      <w:r w:rsidRPr="003A514C">
        <w:rPr>
          <w:lang w:val="pt-PT"/>
        </w:rPr>
        <w:t xml:space="preserve"> (</w:t>
      </w:r>
      <w:r w:rsidRPr="003A514C">
        <w:rPr>
          <w:szCs w:val="18"/>
          <w:lang w:val="pt-PT"/>
        </w:rPr>
        <w:t xml:space="preserve">CCPR/C/115/D/2258/2013), para. </w:t>
      </w:r>
      <w:r w:rsidRPr="003A514C">
        <w:rPr>
          <w:szCs w:val="18"/>
          <w:lang w:val="en-US"/>
        </w:rPr>
        <w:t>7.3.</w:t>
      </w:r>
    </w:p>
  </w:footnote>
  <w:footnote w:id="45">
    <w:p w14:paraId="66FEA74C" w14:textId="7DD26FC4" w:rsidR="00C12AB6" w:rsidRPr="00B51354" w:rsidRDefault="00C12AB6" w:rsidP="00E31C70">
      <w:pPr>
        <w:pStyle w:val="FootnoteText"/>
      </w:pPr>
      <w:r w:rsidRPr="003A514C">
        <w:rPr>
          <w:lang w:val="en-US"/>
        </w:rPr>
        <w:tab/>
      </w:r>
      <w:r w:rsidRPr="003A514C">
        <w:rPr>
          <w:rStyle w:val="FootnoteReference"/>
        </w:rPr>
        <w:footnoteRef/>
      </w:r>
      <w:r w:rsidRPr="003A514C">
        <w:tab/>
        <w:t xml:space="preserve">See, inter </w:t>
      </w:r>
      <w:proofErr w:type="gramStart"/>
      <w:r w:rsidRPr="003A514C">
        <w:t xml:space="preserve">alia, </w:t>
      </w:r>
      <w:r w:rsidR="00CA2808" w:rsidRPr="00CA2808">
        <w:rPr>
          <w:i/>
          <w:iCs/>
        </w:rPr>
        <w:t xml:space="preserve"> </w:t>
      </w:r>
      <w:r w:rsidR="00CA2808" w:rsidRPr="00704EA0">
        <w:rPr>
          <w:i/>
          <w:iCs/>
        </w:rPr>
        <w:t>J.R.R.</w:t>
      </w:r>
      <w:proofErr w:type="gramEnd"/>
      <w:r w:rsidR="00CA2808" w:rsidRPr="00704EA0">
        <w:rPr>
          <w:i/>
          <w:iCs/>
        </w:rPr>
        <w:t xml:space="preserve"> et al. v. Denmark</w:t>
      </w:r>
      <w:r w:rsidR="00CA2808">
        <w:t xml:space="preserve"> (</w:t>
      </w:r>
      <w:r w:rsidR="00CA2808" w:rsidRPr="00704EA0">
        <w:t>CCPR/C/132/DR/2787/2016</w:t>
      </w:r>
      <w:r w:rsidR="00CA2808">
        <w:t>), para. 10.7.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D10D" w14:textId="278CDCF9" w:rsidR="00891021" w:rsidRDefault="00891021" w:rsidP="00FF3E9C">
    <w:pPr>
      <w:pStyle w:val="Header"/>
    </w:pPr>
    <w:r>
      <w:t>CCPR/C/138/D/2653/2015</w:t>
    </w:r>
    <w:r w:rsidR="005D4C42" w:rsidRPr="005D4C42">
      <w:t xml:space="preserve"> Advance unedited version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5090" w14:textId="1E0B195D" w:rsidR="00891021" w:rsidRDefault="00891021" w:rsidP="00FF3E9C">
    <w:pPr>
      <w:pStyle w:val="Header"/>
      <w:jc w:val="right"/>
    </w:pPr>
    <w:r>
      <w:t>CCPR/C/138/D/2653/2015</w:t>
    </w:r>
    <w:r w:rsidR="005D4C42" w:rsidRPr="005D4C42">
      <w:t xml:space="preserve"> Advance unedited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D733C2"/>
    <w:multiLevelType w:val="multilevel"/>
    <w:tmpl w:val="C4C06F56"/>
    <w:lvl w:ilvl="0">
      <w:start w:val="2"/>
      <w:numFmt w:val="decimal"/>
      <w:lvlText w:val="%1"/>
      <w:lvlJc w:val="left"/>
      <w:pPr>
        <w:ind w:left="360" w:hanging="360"/>
      </w:pPr>
      <w:rPr>
        <w:rFonts w:eastAsia="SimSun" w:hint="default"/>
      </w:rPr>
    </w:lvl>
    <w:lvl w:ilvl="1">
      <w:start w:val="6"/>
      <w:numFmt w:val="decimal"/>
      <w:lvlText w:val="%1.%2"/>
      <w:lvlJc w:val="left"/>
      <w:pPr>
        <w:ind w:left="1494" w:hanging="360"/>
      </w:pPr>
      <w:rPr>
        <w:rFonts w:eastAsia="SimSun" w:hint="default"/>
      </w:rPr>
    </w:lvl>
    <w:lvl w:ilvl="2">
      <w:start w:val="1"/>
      <w:numFmt w:val="decimal"/>
      <w:lvlText w:val="%1.%2.%3"/>
      <w:lvlJc w:val="left"/>
      <w:pPr>
        <w:ind w:left="2988" w:hanging="720"/>
      </w:pPr>
      <w:rPr>
        <w:rFonts w:eastAsia="SimSun" w:hint="default"/>
      </w:rPr>
    </w:lvl>
    <w:lvl w:ilvl="3">
      <w:start w:val="1"/>
      <w:numFmt w:val="decimal"/>
      <w:lvlText w:val="%1.%2.%3.%4"/>
      <w:lvlJc w:val="left"/>
      <w:pPr>
        <w:ind w:left="4122" w:hanging="720"/>
      </w:pPr>
      <w:rPr>
        <w:rFonts w:eastAsia="SimSun" w:hint="default"/>
      </w:rPr>
    </w:lvl>
    <w:lvl w:ilvl="4">
      <w:start w:val="1"/>
      <w:numFmt w:val="decimal"/>
      <w:lvlText w:val="%1.%2.%3.%4.%5"/>
      <w:lvlJc w:val="left"/>
      <w:pPr>
        <w:ind w:left="5256" w:hanging="720"/>
      </w:pPr>
      <w:rPr>
        <w:rFonts w:eastAsia="SimSun" w:hint="default"/>
      </w:rPr>
    </w:lvl>
    <w:lvl w:ilvl="5">
      <w:start w:val="1"/>
      <w:numFmt w:val="decimal"/>
      <w:lvlText w:val="%1.%2.%3.%4.%5.%6"/>
      <w:lvlJc w:val="left"/>
      <w:pPr>
        <w:ind w:left="6750" w:hanging="1080"/>
      </w:pPr>
      <w:rPr>
        <w:rFonts w:eastAsia="SimSun" w:hint="default"/>
      </w:rPr>
    </w:lvl>
    <w:lvl w:ilvl="6">
      <w:start w:val="1"/>
      <w:numFmt w:val="decimal"/>
      <w:lvlText w:val="%1.%2.%3.%4.%5.%6.%7"/>
      <w:lvlJc w:val="left"/>
      <w:pPr>
        <w:ind w:left="7884" w:hanging="1080"/>
      </w:pPr>
      <w:rPr>
        <w:rFonts w:eastAsia="SimSun" w:hint="default"/>
      </w:rPr>
    </w:lvl>
    <w:lvl w:ilvl="7">
      <w:start w:val="1"/>
      <w:numFmt w:val="decimal"/>
      <w:lvlText w:val="%1.%2.%3.%4.%5.%6.%7.%8"/>
      <w:lvlJc w:val="left"/>
      <w:pPr>
        <w:ind w:left="9378" w:hanging="1440"/>
      </w:pPr>
      <w:rPr>
        <w:rFonts w:eastAsia="SimSun" w:hint="default"/>
      </w:rPr>
    </w:lvl>
    <w:lvl w:ilvl="8">
      <w:start w:val="1"/>
      <w:numFmt w:val="decimal"/>
      <w:lvlText w:val="%1.%2.%3.%4.%5.%6.%7.%8.%9"/>
      <w:lvlJc w:val="left"/>
      <w:pPr>
        <w:ind w:left="10512" w:hanging="1440"/>
      </w:pPr>
      <w:rPr>
        <w:rFonts w:eastAsia="SimSun" w:hint="default"/>
      </w:rPr>
    </w:lvl>
  </w:abstractNum>
  <w:abstractNum w:abstractNumId="2" w15:restartNumberingAfterBreak="0">
    <w:nsid w:val="10E60AA4"/>
    <w:multiLevelType w:val="multilevel"/>
    <w:tmpl w:val="5E043E3C"/>
    <w:lvl w:ilvl="0">
      <w:start w:val="2"/>
      <w:numFmt w:val="decimal"/>
      <w:lvlText w:val="%1"/>
      <w:lvlJc w:val="left"/>
      <w:pPr>
        <w:ind w:left="360" w:hanging="360"/>
      </w:pPr>
      <w:rPr>
        <w:rFonts w:hint="default"/>
      </w:rPr>
    </w:lvl>
    <w:lvl w:ilvl="1">
      <w:start w:val="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626F09"/>
    <w:multiLevelType w:val="hybridMultilevel"/>
    <w:tmpl w:val="37982864"/>
    <w:lvl w:ilvl="0" w:tplc="73D4F5EE">
      <w:start w:val="14"/>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C15106"/>
    <w:multiLevelType w:val="multilevel"/>
    <w:tmpl w:val="07C09C5C"/>
    <w:lvl w:ilvl="0">
      <w:start w:val="1"/>
      <w:numFmt w:val="decimal"/>
      <w:lvlText w:val="%1."/>
      <w:lvlJc w:val="left"/>
      <w:pPr>
        <w:ind w:left="1689" w:hanging="555"/>
      </w:pPr>
      <w:rPr>
        <w:rFonts w:hint="default"/>
      </w:rPr>
    </w:lvl>
    <w:lvl w:ilvl="1">
      <w:start w:val="1"/>
      <w:numFmt w:val="decimal"/>
      <w:isLgl/>
      <w:lvlText w:val="%1.%2"/>
      <w:lvlJc w:val="left"/>
      <w:pPr>
        <w:ind w:left="1494" w:hanging="360"/>
      </w:pPr>
      <w:rPr>
        <w:rFonts w:hint="default"/>
        <w:b w:val="0"/>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8" w15:restartNumberingAfterBreak="0">
    <w:nsid w:val="4D22648A"/>
    <w:multiLevelType w:val="multilevel"/>
    <w:tmpl w:val="5BA64AE4"/>
    <w:lvl w:ilvl="0">
      <w:start w:val="2"/>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D645CBE"/>
    <w:multiLevelType w:val="hybridMultilevel"/>
    <w:tmpl w:val="334088C2"/>
    <w:lvl w:ilvl="0" w:tplc="CDEC788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8012A7"/>
    <w:multiLevelType w:val="multilevel"/>
    <w:tmpl w:val="870E837E"/>
    <w:lvl w:ilvl="0">
      <w:start w:val="2"/>
      <w:numFmt w:val="decimal"/>
      <w:lvlText w:val="%1"/>
      <w:lvlJc w:val="left"/>
      <w:pPr>
        <w:ind w:left="360" w:hanging="360"/>
      </w:pPr>
      <w:rPr>
        <w:rFonts w:eastAsia="SimSun" w:hint="default"/>
        <w:b w:val="0"/>
      </w:rPr>
    </w:lvl>
    <w:lvl w:ilvl="1">
      <w:start w:val="8"/>
      <w:numFmt w:val="decimal"/>
      <w:lvlText w:val="%1.%2"/>
      <w:lvlJc w:val="left"/>
      <w:pPr>
        <w:ind w:left="1494" w:hanging="360"/>
      </w:pPr>
      <w:rPr>
        <w:rFonts w:eastAsia="SimSun" w:hint="default"/>
        <w:b w:val="0"/>
      </w:rPr>
    </w:lvl>
    <w:lvl w:ilvl="2">
      <w:start w:val="1"/>
      <w:numFmt w:val="decimal"/>
      <w:lvlText w:val="%1.%2.%3"/>
      <w:lvlJc w:val="left"/>
      <w:pPr>
        <w:ind w:left="2988" w:hanging="720"/>
      </w:pPr>
      <w:rPr>
        <w:rFonts w:eastAsia="SimSun" w:hint="default"/>
        <w:b w:val="0"/>
      </w:rPr>
    </w:lvl>
    <w:lvl w:ilvl="3">
      <w:start w:val="1"/>
      <w:numFmt w:val="decimal"/>
      <w:lvlText w:val="%1.%2.%3.%4"/>
      <w:lvlJc w:val="left"/>
      <w:pPr>
        <w:ind w:left="4122" w:hanging="720"/>
      </w:pPr>
      <w:rPr>
        <w:rFonts w:eastAsia="SimSun" w:hint="default"/>
        <w:b w:val="0"/>
      </w:rPr>
    </w:lvl>
    <w:lvl w:ilvl="4">
      <w:start w:val="1"/>
      <w:numFmt w:val="decimal"/>
      <w:lvlText w:val="%1.%2.%3.%4.%5"/>
      <w:lvlJc w:val="left"/>
      <w:pPr>
        <w:ind w:left="5256" w:hanging="720"/>
      </w:pPr>
      <w:rPr>
        <w:rFonts w:eastAsia="SimSun" w:hint="default"/>
        <w:b w:val="0"/>
      </w:rPr>
    </w:lvl>
    <w:lvl w:ilvl="5">
      <w:start w:val="1"/>
      <w:numFmt w:val="decimal"/>
      <w:lvlText w:val="%1.%2.%3.%4.%5.%6"/>
      <w:lvlJc w:val="left"/>
      <w:pPr>
        <w:ind w:left="6750" w:hanging="1080"/>
      </w:pPr>
      <w:rPr>
        <w:rFonts w:eastAsia="SimSun" w:hint="default"/>
        <w:b w:val="0"/>
      </w:rPr>
    </w:lvl>
    <w:lvl w:ilvl="6">
      <w:start w:val="1"/>
      <w:numFmt w:val="decimal"/>
      <w:lvlText w:val="%1.%2.%3.%4.%5.%6.%7"/>
      <w:lvlJc w:val="left"/>
      <w:pPr>
        <w:ind w:left="7884" w:hanging="1080"/>
      </w:pPr>
      <w:rPr>
        <w:rFonts w:eastAsia="SimSun" w:hint="default"/>
        <w:b w:val="0"/>
      </w:rPr>
    </w:lvl>
    <w:lvl w:ilvl="7">
      <w:start w:val="1"/>
      <w:numFmt w:val="decimal"/>
      <w:lvlText w:val="%1.%2.%3.%4.%5.%6.%7.%8"/>
      <w:lvlJc w:val="left"/>
      <w:pPr>
        <w:ind w:left="9378" w:hanging="1440"/>
      </w:pPr>
      <w:rPr>
        <w:rFonts w:eastAsia="SimSun" w:hint="default"/>
        <w:b w:val="0"/>
      </w:rPr>
    </w:lvl>
    <w:lvl w:ilvl="8">
      <w:start w:val="1"/>
      <w:numFmt w:val="decimal"/>
      <w:lvlText w:val="%1.%2.%3.%4.%5.%6.%7.%8.%9"/>
      <w:lvlJc w:val="left"/>
      <w:pPr>
        <w:ind w:left="10512" w:hanging="1440"/>
      </w:pPr>
      <w:rPr>
        <w:rFonts w:eastAsia="SimSun" w:hint="default"/>
        <w:b w:val="0"/>
      </w:r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66191403">
    <w:abstractNumId w:val="6"/>
  </w:num>
  <w:num w:numId="2" w16cid:durableId="1365787651">
    <w:abstractNumId w:val="4"/>
  </w:num>
  <w:num w:numId="3" w16cid:durableId="2057851072">
    <w:abstractNumId w:val="0"/>
  </w:num>
  <w:num w:numId="4" w16cid:durableId="1405571982">
    <w:abstractNumId w:val="9"/>
  </w:num>
  <w:num w:numId="5" w16cid:durableId="992564006">
    <w:abstractNumId w:val="10"/>
  </w:num>
  <w:num w:numId="6" w16cid:durableId="1959413507">
    <w:abstractNumId w:val="13"/>
  </w:num>
  <w:num w:numId="7" w16cid:durableId="1073355207">
    <w:abstractNumId w:val="3"/>
  </w:num>
  <w:num w:numId="8" w16cid:durableId="1788499236">
    <w:abstractNumId w:val="5"/>
  </w:num>
  <w:num w:numId="9" w16cid:durableId="522403981">
    <w:abstractNumId w:val="7"/>
  </w:num>
  <w:num w:numId="10" w16cid:durableId="113453097">
    <w:abstractNumId w:val="14"/>
  </w:num>
  <w:num w:numId="11" w16cid:durableId="588347890">
    <w:abstractNumId w:val="12"/>
  </w:num>
  <w:num w:numId="12" w16cid:durableId="1812014249">
    <w:abstractNumId w:val="1"/>
  </w:num>
  <w:num w:numId="13" w16cid:durableId="1329334707">
    <w:abstractNumId w:val="2"/>
  </w:num>
  <w:num w:numId="14" w16cid:durableId="1861579188">
    <w:abstractNumId w:val="8"/>
  </w:num>
  <w:num w:numId="15" w16cid:durableId="13491396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GB" w:vendorID="64" w:dllVersion="6" w:nlCheck="1" w:checkStyle="0"/>
  <w:activeWritingStyle w:appName="MSWord" w:lang="es-ES" w:vendorID="64" w:dllVersion="6" w:nlCheck="1" w:checkStyle="0"/>
  <w:activeWritingStyle w:appName="MSWord" w:lang="en-US"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cs-CZ"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fr-FR" w:vendorID="64" w:dllVersion="0" w:nlCheck="1" w:checkStyle="0"/>
  <w:activeWritingStyle w:appName="MSWord" w:lang="es-ES" w:vendorID="64" w:dllVersion="0" w:nlCheck="1" w:checkStyle="0"/>
  <w:activeWritingStyle w:appName="MSWord" w:lang="es-419" w:vendorID="64" w:dllVersion="0" w:nlCheck="1" w:checkStyle="0"/>
  <w:activeWritingStyle w:appName="MSWord" w:lang="pt-PT" w:vendorID="64" w:dllVersion="0" w:nlCheck="1" w:checkStyle="0"/>
  <w:proofState w:spelling="clean" w:grammar="clean"/>
  <w:attachedTemplate r:id="rId1"/>
  <w:defaultTabStop w:val="567"/>
  <w:hyphenationZone w:val="425"/>
  <w:evenAndOddHeaders/>
  <w:characterSpacingControl w:val="doNotCompress"/>
  <w:hdrShapeDefaults>
    <o:shapedefaults v:ext="edit" spidmax="2050">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9F9"/>
    <w:rsid w:val="00000649"/>
    <w:rsid w:val="000014CA"/>
    <w:rsid w:val="00001A4B"/>
    <w:rsid w:val="00001DA0"/>
    <w:rsid w:val="00002AA9"/>
    <w:rsid w:val="00003C18"/>
    <w:rsid w:val="00003C97"/>
    <w:rsid w:val="00004858"/>
    <w:rsid w:val="00005711"/>
    <w:rsid w:val="00006B0C"/>
    <w:rsid w:val="00006F12"/>
    <w:rsid w:val="00010AB0"/>
    <w:rsid w:val="00011F92"/>
    <w:rsid w:val="00012E63"/>
    <w:rsid w:val="000134C6"/>
    <w:rsid w:val="00013E35"/>
    <w:rsid w:val="00013E49"/>
    <w:rsid w:val="00014A9C"/>
    <w:rsid w:val="0001721A"/>
    <w:rsid w:val="0001768B"/>
    <w:rsid w:val="000203B4"/>
    <w:rsid w:val="00020EB7"/>
    <w:rsid w:val="000212A7"/>
    <w:rsid w:val="00021791"/>
    <w:rsid w:val="00021F01"/>
    <w:rsid w:val="000232FB"/>
    <w:rsid w:val="0002335D"/>
    <w:rsid w:val="0002366C"/>
    <w:rsid w:val="00023885"/>
    <w:rsid w:val="00023924"/>
    <w:rsid w:val="0002680E"/>
    <w:rsid w:val="00027E71"/>
    <w:rsid w:val="000304FB"/>
    <w:rsid w:val="00030D8F"/>
    <w:rsid w:val="00031FFC"/>
    <w:rsid w:val="000324F9"/>
    <w:rsid w:val="00033B35"/>
    <w:rsid w:val="000348D9"/>
    <w:rsid w:val="00034E44"/>
    <w:rsid w:val="00035355"/>
    <w:rsid w:val="0003687C"/>
    <w:rsid w:val="00036A7F"/>
    <w:rsid w:val="000375E0"/>
    <w:rsid w:val="00037ADF"/>
    <w:rsid w:val="00037CAB"/>
    <w:rsid w:val="00041946"/>
    <w:rsid w:val="00042D64"/>
    <w:rsid w:val="00044B91"/>
    <w:rsid w:val="000457FE"/>
    <w:rsid w:val="00045C56"/>
    <w:rsid w:val="000463CF"/>
    <w:rsid w:val="00046E92"/>
    <w:rsid w:val="00047251"/>
    <w:rsid w:val="00047F94"/>
    <w:rsid w:val="000530FC"/>
    <w:rsid w:val="0005370B"/>
    <w:rsid w:val="000538F6"/>
    <w:rsid w:val="00053B15"/>
    <w:rsid w:val="00053EA6"/>
    <w:rsid w:val="0005494D"/>
    <w:rsid w:val="000563D0"/>
    <w:rsid w:val="0005649B"/>
    <w:rsid w:val="000600C3"/>
    <w:rsid w:val="00060D8A"/>
    <w:rsid w:val="00063D02"/>
    <w:rsid w:val="00064EC9"/>
    <w:rsid w:val="0006523D"/>
    <w:rsid w:val="00065424"/>
    <w:rsid w:val="00067DC5"/>
    <w:rsid w:val="00070AEE"/>
    <w:rsid w:val="00070D8C"/>
    <w:rsid w:val="0007304A"/>
    <w:rsid w:val="00073879"/>
    <w:rsid w:val="000740CC"/>
    <w:rsid w:val="00077ADC"/>
    <w:rsid w:val="00077ADD"/>
    <w:rsid w:val="00081C6A"/>
    <w:rsid w:val="00081E71"/>
    <w:rsid w:val="0008474F"/>
    <w:rsid w:val="00084A42"/>
    <w:rsid w:val="00085924"/>
    <w:rsid w:val="00086748"/>
    <w:rsid w:val="00086A9D"/>
    <w:rsid w:val="00087558"/>
    <w:rsid w:val="000911B3"/>
    <w:rsid w:val="00092452"/>
    <w:rsid w:val="00096F4D"/>
    <w:rsid w:val="00097580"/>
    <w:rsid w:val="00097A94"/>
    <w:rsid w:val="000A014D"/>
    <w:rsid w:val="000A04BE"/>
    <w:rsid w:val="000A1F88"/>
    <w:rsid w:val="000A387C"/>
    <w:rsid w:val="000A393B"/>
    <w:rsid w:val="000A46AA"/>
    <w:rsid w:val="000A52B3"/>
    <w:rsid w:val="000A5AA8"/>
    <w:rsid w:val="000A7BB4"/>
    <w:rsid w:val="000B151F"/>
    <w:rsid w:val="000B1FED"/>
    <w:rsid w:val="000B2235"/>
    <w:rsid w:val="000B3D01"/>
    <w:rsid w:val="000B44A3"/>
    <w:rsid w:val="000B46B9"/>
    <w:rsid w:val="000B4886"/>
    <w:rsid w:val="000B6653"/>
    <w:rsid w:val="000B69A6"/>
    <w:rsid w:val="000B69B3"/>
    <w:rsid w:val="000B7887"/>
    <w:rsid w:val="000C0181"/>
    <w:rsid w:val="000C01B9"/>
    <w:rsid w:val="000C04CA"/>
    <w:rsid w:val="000C0DCF"/>
    <w:rsid w:val="000C1F00"/>
    <w:rsid w:val="000C2447"/>
    <w:rsid w:val="000C2F77"/>
    <w:rsid w:val="000C2F83"/>
    <w:rsid w:val="000C3143"/>
    <w:rsid w:val="000C3EB9"/>
    <w:rsid w:val="000C3ECF"/>
    <w:rsid w:val="000C43F9"/>
    <w:rsid w:val="000C5110"/>
    <w:rsid w:val="000C5E55"/>
    <w:rsid w:val="000C6766"/>
    <w:rsid w:val="000D0009"/>
    <w:rsid w:val="000D3B35"/>
    <w:rsid w:val="000D430D"/>
    <w:rsid w:val="000D462C"/>
    <w:rsid w:val="000D4FF5"/>
    <w:rsid w:val="000D5930"/>
    <w:rsid w:val="000D6969"/>
    <w:rsid w:val="000D75A3"/>
    <w:rsid w:val="000D79DE"/>
    <w:rsid w:val="000E015C"/>
    <w:rsid w:val="000E3843"/>
    <w:rsid w:val="000E55DB"/>
    <w:rsid w:val="000E6628"/>
    <w:rsid w:val="000E7F64"/>
    <w:rsid w:val="000F03E8"/>
    <w:rsid w:val="000F0FF3"/>
    <w:rsid w:val="000F2054"/>
    <w:rsid w:val="000F3225"/>
    <w:rsid w:val="000F46FE"/>
    <w:rsid w:val="000F53FC"/>
    <w:rsid w:val="000F65F7"/>
    <w:rsid w:val="00100068"/>
    <w:rsid w:val="00100380"/>
    <w:rsid w:val="00101046"/>
    <w:rsid w:val="0010147C"/>
    <w:rsid w:val="00101A55"/>
    <w:rsid w:val="00102AFC"/>
    <w:rsid w:val="00104362"/>
    <w:rsid w:val="00105218"/>
    <w:rsid w:val="001055EF"/>
    <w:rsid w:val="00105C97"/>
    <w:rsid w:val="00105E9F"/>
    <w:rsid w:val="001068FD"/>
    <w:rsid w:val="001070CC"/>
    <w:rsid w:val="00110297"/>
    <w:rsid w:val="0011056E"/>
    <w:rsid w:val="00112486"/>
    <w:rsid w:val="00112FD1"/>
    <w:rsid w:val="001141B6"/>
    <w:rsid w:val="001151AA"/>
    <w:rsid w:val="00115573"/>
    <w:rsid w:val="00115763"/>
    <w:rsid w:val="001177A9"/>
    <w:rsid w:val="0011792A"/>
    <w:rsid w:val="00120D07"/>
    <w:rsid w:val="00122B98"/>
    <w:rsid w:val="0012347D"/>
    <w:rsid w:val="00123FD6"/>
    <w:rsid w:val="001241A6"/>
    <w:rsid w:val="0012467C"/>
    <w:rsid w:val="0012576E"/>
    <w:rsid w:val="00126A1A"/>
    <w:rsid w:val="001303FC"/>
    <w:rsid w:val="00130633"/>
    <w:rsid w:val="001312CC"/>
    <w:rsid w:val="0013166F"/>
    <w:rsid w:val="00131A86"/>
    <w:rsid w:val="00131D7A"/>
    <w:rsid w:val="00134000"/>
    <w:rsid w:val="00135F5B"/>
    <w:rsid w:val="00136351"/>
    <w:rsid w:val="001363E8"/>
    <w:rsid w:val="00137BE7"/>
    <w:rsid w:val="00137C34"/>
    <w:rsid w:val="001405A8"/>
    <w:rsid w:val="001409C8"/>
    <w:rsid w:val="00140F79"/>
    <w:rsid w:val="001411A0"/>
    <w:rsid w:val="001431DF"/>
    <w:rsid w:val="00143DBF"/>
    <w:rsid w:val="00145168"/>
    <w:rsid w:val="001459CA"/>
    <w:rsid w:val="001471AD"/>
    <w:rsid w:val="0015145F"/>
    <w:rsid w:val="00151507"/>
    <w:rsid w:val="00151DB1"/>
    <w:rsid w:val="00152776"/>
    <w:rsid w:val="00154249"/>
    <w:rsid w:val="00154635"/>
    <w:rsid w:val="00154BD7"/>
    <w:rsid w:val="00154CD3"/>
    <w:rsid w:val="001601B1"/>
    <w:rsid w:val="00160834"/>
    <w:rsid w:val="00162963"/>
    <w:rsid w:val="001644FE"/>
    <w:rsid w:val="00165A4D"/>
    <w:rsid w:val="00165C15"/>
    <w:rsid w:val="001666A1"/>
    <w:rsid w:val="00166898"/>
    <w:rsid w:val="001672EF"/>
    <w:rsid w:val="0016746C"/>
    <w:rsid w:val="00167F8C"/>
    <w:rsid w:val="0017321C"/>
    <w:rsid w:val="00173272"/>
    <w:rsid w:val="001735CD"/>
    <w:rsid w:val="00173B59"/>
    <w:rsid w:val="0017510B"/>
    <w:rsid w:val="0017594C"/>
    <w:rsid w:val="00175C2E"/>
    <w:rsid w:val="001769F0"/>
    <w:rsid w:val="00176F3A"/>
    <w:rsid w:val="001775B4"/>
    <w:rsid w:val="001802E8"/>
    <w:rsid w:val="001803F7"/>
    <w:rsid w:val="00180604"/>
    <w:rsid w:val="001806FD"/>
    <w:rsid w:val="00181ABB"/>
    <w:rsid w:val="00182255"/>
    <w:rsid w:val="001831DA"/>
    <w:rsid w:val="00187455"/>
    <w:rsid w:val="0019017A"/>
    <w:rsid w:val="00190AA5"/>
    <w:rsid w:val="00191841"/>
    <w:rsid w:val="00194B41"/>
    <w:rsid w:val="00194EAB"/>
    <w:rsid w:val="00195022"/>
    <w:rsid w:val="00195B1D"/>
    <w:rsid w:val="001968E1"/>
    <w:rsid w:val="00197018"/>
    <w:rsid w:val="00197873"/>
    <w:rsid w:val="001A02C3"/>
    <w:rsid w:val="001A13F9"/>
    <w:rsid w:val="001A1422"/>
    <w:rsid w:val="001A19EA"/>
    <w:rsid w:val="001A2E78"/>
    <w:rsid w:val="001A3447"/>
    <w:rsid w:val="001A3D42"/>
    <w:rsid w:val="001A4BAC"/>
    <w:rsid w:val="001A54D4"/>
    <w:rsid w:val="001A6F60"/>
    <w:rsid w:val="001A72A9"/>
    <w:rsid w:val="001A7B1C"/>
    <w:rsid w:val="001A7E36"/>
    <w:rsid w:val="001B2176"/>
    <w:rsid w:val="001B305A"/>
    <w:rsid w:val="001B3598"/>
    <w:rsid w:val="001B4182"/>
    <w:rsid w:val="001B48FF"/>
    <w:rsid w:val="001B511B"/>
    <w:rsid w:val="001B5DB9"/>
    <w:rsid w:val="001B5F2A"/>
    <w:rsid w:val="001B60B3"/>
    <w:rsid w:val="001B69D9"/>
    <w:rsid w:val="001C080D"/>
    <w:rsid w:val="001C2162"/>
    <w:rsid w:val="001C2937"/>
    <w:rsid w:val="001C29D7"/>
    <w:rsid w:val="001C2EC9"/>
    <w:rsid w:val="001C3CEA"/>
    <w:rsid w:val="001C41D3"/>
    <w:rsid w:val="001C50A2"/>
    <w:rsid w:val="001C521E"/>
    <w:rsid w:val="001C6697"/>
    <w:rsid w:val="001C68D4"/>
    <w:rsid w:val="001D0FC7"/>
    <w:rsid w:val="001D1729"/>
    <w:rsid w:val="001D1881"/>
    <w:rsid w:val="001D1AA3"/>
    <w:rsid w:val="001D1BE2"/>
    <w:rsid w:val="001D2306"/>
    <w:rsid w:val="001D2D6A"/>
    <w:rsid w:val="001D57BB"/>
    <w:rsid w:val="001D6F94"/>
    <w:rsid w:val="001D7193"/>
    <w:rsid w:val="001E0A01"/>
    <w:rsid w:val="001E0A73"/>
    <w:rsid w:val="001E1139"/>
    <w:rsid w:val="001E1FE4"/>
    <w:rsid w:val="001E232D"/>
    <w:rsid w:val="001E2F63"/>
    <w:rsid w:val="001E3A08"/>
    <w:rsid w:val="001E56F2"/>
    <w:rsid w:val="001E5B9B"/>
    <w:rsid w:val="001E7F7E"/>
    <w:rsid w:val="001E7FA8"/>
    <w:rsid w:val="001F0D86"/>
    <w:rsid w:val="001F0F8D"/>
    <w:rsid w:val="001F2ECA"/>
    <w:rsid w:val="001F46D9"/>
    <w:rsid w:val="001F4C84"/>
    <w:rsid w:val="001F5253"/>
    <w:rsid w:val="001F542B"/>
    <w:rsid w:val="001F68B2"/>
    <w:rsid w:val="001F69E9"/>
    <w:rsid w:val="001F6AEC"/>
    <w:rsid w:val="001F6EC8"/>
    <w:rsid w:val="001F74F2"/>
    <w:rsid w:val="001F78D1"/>
    <w:rsid w:val="00200100"/>
    <w:rsid w:val="00201E97"/>
    <w:rsid w:val="00203D5E"/>
    <w:rsid w:val="00204E40"/>
    <w:rsid w:val="002062A8"/>
    <w:rsid w:val="002062C8"/>
    <w:rsid w:val="002074F8"/>
    <w:rsid w:val="00207CAD"/>
    <w:rsid w:val="00207FA5"/>
    <w:rsid w:val="00210575"/>
    <w:rsid w:val="00210938"/>
    <w:rsid w:val="002114E1"/>
    <w:rsid w:val="00212970"/>
    <w:rsid w:val="00213C1E"/>
    <w:rsid w:val="002146D6"/>
    <w:rsid w:val="00215FD0"/>
    <w:rsid w:val="00216996"/>
    <w:rsid w:val="002170AD"/>
    <w:rsid w:val="0021794F"/>
    <w:rsid w:val="002211CC"/>
    <w:rsid w:val="00221803"/>
    <w:rsid w:val="00221BF6"/>
    <w:rsid w:val="002223AD"/>
    <w:rsid w:val="00222710"/>
    <w:rsid w:val="00222E90"/>
    <w:rsid w:val="00223F23"/>
    <w:rsid w:val="002240EC"/>
    <w:rsid w:val="00224817"/>
    <w:rsid w:val="002267AD"/>
    <w:rsid w:val="00226B7A"/>
    <w:rsid w:val="00226CBF"/>
    <w:rsid w:val="00226F2B"/>
    <w:rsid w:val="00230066"/>
    <w:rsid w:val="00230C46"/>
    <w:rsid w:val="00231278"/>
    <w:rsid w:val="002335B3"/>
    <w:rsid w:val="00234041"/>
    <w:rsid w:val="00234986"/>
    <w:rsid w:val="00234D43"/>
    <w:rsid w:val="00234F7B"/>
    <w:rsid w:val="002350C6"/>
    <w:rsid w:val="00236565"/>
    <w:rsid w:val="0023691F"/>
    <w:rsid w:val="00237B59"/>
    <w:rsid w:val="002417D5"/>
    <w:rsid w:val="00242A89"/>
    <w:rsid w:val="00242AF9"/>
    <w:rsid w:val="00242C84"/>
    <w:rsid w:val="00242E1C"/>
    <w:rsid w:val="0024303A"/>
    <w:rsid w:val="0024336D"/>
    <w:rsid w:val="00244E18"/>
    <w:rsid w:val="0024588E"/>
    <w:rsid w:val="0024613B"/>
    <w:rsid w:val="00247E2C"/>
    <w:rsid w:val="00247ED6"/>
    <w:rsid w:val="0025070F"/>
    <w:rsid w:val="00250D7F"/>
    <w:rsid w:val="00250FA1"/>
    <w:rsid w:val="00254DCE"/>
    <w:rsid w:val="0025572D"/>
    <w:rsid w:val="002564A7"/>
    <w:rsid w:val="002565EE"/>
    <w:rsid w:val="00257A64"/>
    <w:rsid w:val="002627F0"/>
    <w:rsid w:val="002657ED"/>
    <w:rsid w:val="00265B6E"/>
    <w:rsid w:val="002660B5"/>
    <w:rsid w:val="00266839"/>
    <w:rsid w:val="002676DD"/>
    <w:rsid w:val="00270381"/>
    <w:rsid w:val="002719DD"/>
    <w:rsid w:val="00271F6C"/>
    <w:rsid w:val="00272436"/>
    <w:rsid w:val="00272D6A"/>
    <w:rsid w:val="002755EB"/>
    <w:rsid w:val="00275C50"/>
    <w:rsid w:val="00275CB6"/>
    <w:rsid w:val="00275FB9"/>
    <w:rsid w:val="00276DD5"/>
    <w:rsid w:val="0027797D"/>
    <w:rsid w:val="00280AEE"/>
    <w:rsid w:val="00281271"/>
    <w:rsid w:val="002823EC"/>
    <w:rsid w:val="00283011"/>
    <w:rsid w:val="00284DB4"/>
    <w:rsid w:val="002856C4"/>
    <w:rsid w:val="00286E9E"/>
    <w:rsid w:val="0028752E"/>
    <w:rsid w:val="00290523"/>
    <w:rsid w:val="00292420"/>
    <w:rsid w:val="00294598"/>
    <w:rsid w:val="00294C0C"/>
    <w:rsid w:val="00296A57"/>
    <w:rsid w:val="0029744E"/>
    <w:rsid w:val="00297B3C"/>
    <w:rsid w:val="00297F84"/>
    <w:rsid w:val="002A0015"/>
    <w:rsid w:val="002A0389"/>
    <w:rsid w:val="002A1EBD"/>
    <w:rsid w:val="002A30A8"/>
    <w:rsid w:val="002A3599"/>
    <w:rsid w:val="002A37F3"/>
    <w:rsid w:val="002A401D"/>
    <w:rsid w:val="002A418A"/>
    <w:rsid w:val="002A4500"/>
    <w:rsid w:val="002A4519"/>
    <w:rsid w:val="002A4AFE"/>
    <w:rsid w:val="002A5510"/>
    <w:rsid w:val="002A5AC2"/>
    <w:rsid w:val="002A6188"/>
    <w:rsid w:val="002A6523"/>
    <w:rsid w:val="002A7127"/>
    <w:rsid w:val="002B020E"/>
    <w:rsid w:val="002B09B4"/>
    <w:rsid w:val="002B0A87"/>
    <w:rsid w:val="002B119F"/>
    <w:rsid w:val="002B12F0"/>
    <w:rsid w:val="002B14DB"/>
    <w:rsid w:val="002B19B7"/>
    <w:rsid w:val="002B1CFA"/>
    <w:rsid w:val="002B3226"/>
    <w:rsid w:val="002B35BC"/>
    <w:rsid w:val="002B4D19"/>
    <w:rsid w:val="002B4E3B"/>
    <w:rsid w:val="002B5B5C"/>
    <w:rsid w:val="002B5BD1"/>
    <w:rsid w:val="002B648D"/>
    <w:rsid w:val="002B6F6A"/>
    <w:rsid w:val="002B7081"/>
    <w:rsid w:val="002B7E4A"/>
    <w:rsid w:val="002C11B0"/>
    <w:rsid w:val="002C154E"/>
    <w:rsid w:val="002C1D9E"/>
    <w:rsid w:val="002C3977"/>
    <w:rsid w:val="002C4C73"/>
    <w:rsid w:val="002C5DEF"/>
    <w:rsid w:val="002C5E9F"/>
    <w:rsid w:val="002C6993"/>
    <w:rsid w:val="002C6CCC"/>
    <w:rsid w:val="002C72B3"/>
    <w:rsid w:val="002C77E1"/>
    <w:rsid w:val="002C7852"/>
    <w:rsid w:val="002C78DA"/>
    <w:rsid w:val="002C7EE6"/>
    <w:rsid w:val="002C7FE0"/>
    <w:rsid w:val="002D0546"/>
    <w:rsid w:val="002D06B9"/>
    <w:rsid w:val="002D2184"/>
    <w:rsid w:val="002D2BF2"/>
    <w:rsid w:val="002D4515"/>
    <w:rsid w:val="002D4D1B"/>
    <w:rsid w:val="002D605D"/>
    <w:rsid w:val="002D6299"/>
    <w:rsid w:val="002D6501"/>
    <w:rsid w:val="002D6C53"/>
    <w:rsid w:val="002D744B"/>
    <w:rsid w:val="002E0484"/>
    <w:rsid w:val="002E1EC4"/>
    <w:rsid w:val="002E2577"/>
    <w:rsid w:val="002E27CD"/>
    <w:rsid w:val="002E2A73"/>
    <w:rsid w:val="002E2B25"/>
    <w:rsid w:val="002E331B"/>
    <w:rsid w:val="002E3B50"/>
    <w:rsid w:val="002E3E75"/>
    <w:rsid w:val="002E4983"/>
    <w:rsid w:val="002E4CF3"/>
    <w:rsid w:val="002E5870"/>
    <w:rsid w:val="002E61A2"/>
    <w:rsid w:val="002E7696"/>
    <w:rsid w:val="002E7D45"/>
    <w:rsid w:val="002F06AD"/>
    <w:rsid w:val="002F0DC2"/>
    <w:rsid w:val="002F127A"/>
    <w:rsid w:val="002F1327"/>
    <w:rsid w:val="002F2105"/>
    <w:rsid w:val="002F22D8"/>
    <w:rsid w:val="002F2748"/>
    <w:rsid w:val="002F305A"/>
    <w:rsid w:val="002F407B"/>
    <w:rsid w:val="002F5595"/>
    <w:rsid w:val="002F5D30"/>
    <w:rsid w:val="002F697B"/>
    <w:rsid w:val="002F7DB5"/>
    <w:rsid w:val="0030159D"/>
    <w:rsid w:val="00301BFC"/>
    <w:rsid w:val="003020AC"/>
    <w:rsid w:val="003039DB"/>
    <w:rsid w:val="003047A5"/>
    <w:rsid w:val="00304DAA"/>
    <w:rsid w:val="00305778"/>
    <w:rsid w:val="00305868"/>
    <w:rsid w:val="00306E36"/>
    <w:rsid w:val="00310A8C"/>
    <w:rsid w:val="0031231C"/>
    <w:rsid w:val="00313507"/>
    <w:rsid w:val="0031418F"/>
    <w:rsid w:val="003209DB"/>
    <w:rsid w:val="0032149E"/>
    <w:rsid w:val="00323135"/>
    <w:rsid w:val="003238C4"/>
    <w:rsid w:val="00323AB9"/>
    <w:rsid w:val="00325FCE"/>
    <w:rsid w:val="003260E7"/>
    <w:rsid w:val="0032615F"/>
    <w:rsid w:val="003262DE"/>
    <w:rsid w:val="00326C6B"/>
    <w:rsid w:val="00327248"/>
    <w:rsid w:val="00327250"/>
    <w:rsid w:val="003276BF"/>
    <w:rsid w:val="00327ADC"/>
    <w:rsid w:val="00330B6C"/>
    <w:rsid w:val="00331323"/>
    <w:rsid w:val="003337E2"/>
    <w:rsid w:val="00333B91"/>
    <w:rsid w:val="003349EB"/>
    <w:rsid w:val="00334F6A"/>
    <w:rsid w:val="00336D0E"/>
    <w:rsid w:val="00341EC8"/>
    <w:rsid w:val="003421A3"/>
    <w:rsid w:val="00342AC8"/>
    <w:rsid w:val="00342E61"/>
    <w:rsid w:val="00343122"/>
    <w:rsid w:val="00343F23"/>
    <w:rsid w:val="0034675D"/>
    <w:rsid w:val="003469F9"/>
    <w:rsid w:val="00346D09"/>
    <w:rsid w:val="003472E0"/>
    <w:rsid w:val="0034795D"/>
    <w:rsid w:val="00347B36"/>
    <w:rsid w:val="00350335"/>
    <w:rsid w:val="00352581"/>
    <w:rsid w:val="00353305"/>
    <w:rsid w:val="00353771"/>
    <w:rsid w:val="00354183"/>
    <w:rsid w:val="00356C18"/>
    <w:rsid w:val="00357774"/>
    <w:rsid w:val="00360E01"/>
    <w:rsid w:val="00360E77"/>
    <w:rsid w:val="003612EC"/>
    <w:rsid w:val="00361B39"/>
    <w:rsid w:val="00365360"/>
    <w:rsid w:val="00365E8F"/>
    <w:rsid w:val="003706AF"/>
    <w:rsid w:val="00372C6F"/>
    <w:rsid w:val="003747D5"/>
    <w:rsid w:val="00375BF9"/>
    <w:rsid w:val="00380CE2"/>
    <w:rsid w:val="003816CA"/>
    <w:rsid w:val="00381A93"/>
    <w:rsid w:val="0038240B"/>
    <w:rsid w:val="0038308F"/>
    <w:rsid w:val="0038349B"/>
    <w:rsid w:val="00383CB3"/>
    <w:rsid w:val="00383D6A"/>
    <w:rsid w:val="00384C3E"/>
    <w:rsid w:val="00384EB0"/>
    <w:rsid w:val="00390789"/>
    <w:rsid w:val="00391740"/>
    <w:rsid w:val="00391E69"/>
    <w:rsid w:val="00391F0A"/>
    <w:rsid w:val="00392836"/>
    <w:rsid w:val="003933AC"/>
    <w:rsid w:val="003934D0"/>
    <w:rsid w:val="003938FD"/>
    <w:rsid w:val="0039393F"/>
    <w:rsid w:val="00394B36"/>
    <w:rsid w:val="00394E02"/>
    <w:rsid w:val="00396CCA"/>
    <w:rsid w:val="00397E5D"/>
    <w:rsid w:val="00397EBA"/>
    <w:rsid w:val="003A04B4"/>
    <w:rsid w:val="003A0782"/>
    <w:rsid w:val="003A0E1B"/>
    <w:rsid w:val="003A1AFF"/>
    <w:rsid w:val="003A3850"/>
    <w:rsid w:val="003A41E4"/>
    <w:rsid w:val="003A41F3"/>
    <w:rsid w:val="003A4A3D"/>
    <w:rsid w:val="003A4CD2"/>
    <w:rsid w:val="003A514C"/>
    <w:rsid w:val="003A6E17"/>
    <w:rsid w:val="003A717E"/>
    <w:rsid w:val="003A750A"/>
    <w:rsid w:val="003B0002"/>
    <w:rsid w:val="003B0607"/>
    <w:rsid w:val="003B12FD"/>
    <w:rsid w:val="003B15AD"/>
    <w:rsid w:val="003B1F26"/>
    <w:rsid w:val="003B27E0"/>
    <w:rsid w:val="003B2A86"/>
    <w:rsid w:val="003B3B5B"/>
    <w:rsid w:val="003B400C"/>
    <w:rsid w:val="003B4550"/>
    <w:rsid w:val="003B50A1"/>
    <w:rsid w:val="003B63D5"/>
    <w:rsid w:val="003B6FED"/>
    <w:rsid w:val="003B7CEF"/>
    <w:rsid w:val="003C0783"/>
    <w:rsid w:val="003C1396"/>
    <w:rsid w:val="003C170B"/>
    <w:rsid w:val="003C25C2"/>
    <w:rsid w:val="003C31B7"/>
    <w:rsid w:val="003C3BFD"/>
    <w:rsid w:val="003C52D4"/>
    <w:rsid w:val="003C5466"/>
    <w:rsid w:val="003C61F0"/>
    <w:rsid w:val="003D0086"/>
    <w:rsid w:val="003D06EA"/>
    <w:rsid w:val="003D13D9"/>
    <w:rsid w:val="003D277C"/>
    <w:rsid w:val="003D43D1"/>
    <w:rsid w:val="003D4AA6"/>
    <w:rsid w:val="003D50C0"/>
    <w:rsid w:val="003D6804"/>
    <w:rsid w:val="003E05B5"/>
    <w:rsid w:val="003E1A4D"/>
    <w:rsid w:val="003E22F0"/>
    <w:rsid w:val="003E24B4"/>
    <w:rsid w:val="003E2553"/>
    <w:rsid w:val="003E2A79"/>
    <w:rsid w:val="003E3DA3"/>
    <w:rsid w:val="003E4A3A"/>
    <w:rsid w:val="003E5736"/>
    <w:rsid w:val="003E6A65"/>
    <w:rsid w:val="003E6EB4"/>
    <w:rsid w:val="003F0620"/>
    <w:rsid w:val="003F11F0"/>
    <w:rsid w:val="003F1241"/>
    <w:rsid w:val="003F155E"/>
    <w:rsid w:val="003F258E"/>
    <w:rsid w:val="003F3BF5"/>
    <w:rsid w:val="003F3CF5"/>
    <w:rsid w:val="003F4236"/>
    <w:rsid w:val="003F57CD"/>
    <w:rsid w:val="003F5C0B"/>
    <w:rsid w:val="003F6145"/>
    <w:rsid w:val="00400E2E"/>
    <w:rsid w:val="00401A04"/>
    <w:rsid w:val="00402B6E"/>
    <w:rsid w:val="0040462A"/>
    <w:rsid w:val="004060C2"/>
    <w:rsid w:val="004066BC"/>
    <w:rsid w:val="0040687E"/>
    <w:rsid w:val="00406936"/>
    <w:rsid w:val="004070B7"/>
    <w:rsid w:val="00407CB2"/>
    <w:rsid w:val="00410012"/>
    <w:rsid w:val="0041011F"/>
    <w:rsid w:val="0041053A"/>
    <w:rsid w:val="00410B03"/>
    <w:rsid w:val="00410B31"/>
    <w:rsid w:val="00411650"/>
    <w:rsid w:val="0041325E"/>
    <w:rsid w:val="004148B8"/>
    <w:rsid w:val="004148FB"/>
    <w:rsid w:val="00414BB4"/>
    <w:rsid w:val="0041564D"/>
    <w:rsid w:val="00416AA9"/>
    <w:rsid w:val="00420E1B"/>
    <w:rsid w:val="0042211C"/>
    <w:rsid w:val="004228AA"/>
    <w:rsid w:val="004228DF"/>
    <w:rsid w:val="00422AC9"/>
    <w:rsid w:val="00422E12"/>
    <w:rsid w:val="00423279"/>
    <w:rsid w:val="004233D3"/>
    <w:rsid w:val="00423A57"/>
    <w:rsid w:val="00423FA6"/>
    <w:rsid w:val="00424C42"/>
    <w:rsid w:val="00424D66"/>
    <w:rsid w:val="004264A7"/>
    <w:rsid w:val="00426E3B"/>
    <w:rsid w:val="00427639"/>
    <w:rsid w:val="00427C85"/>
    <w:rsid w:val="004308ED"/>
    <w:rsid w:val="00431690"/>
    <w:rsid w:val="0043328A"/>
    <w:rsid w:val="00433474"/>
    <w:rsid w:val="0043409C"/>
    <w:rsid w:val="004341C9"/>
    <w:rsid w:val="00434293"/>
    <w:rsid w:val="004347FA"/>
    <w:rsid w:val="0043572B"/>
    <w:rsid w:val="004364D1"/>
    <w:rsid w:val="004375FF"/>
    <w:rsid w:val="00437C5F"/>
    <w:rsid w:val="00440200"/>
    <w:rsid w:val="004422DC"/>
    <w:rsid w:val="00442541"/>
    <w:rsid w:val="00442E2E"/>
    <w:rsid w:val="00442E81"/>
    <w:rsid w:val="004431E3"/>
    <w:rsid w:val="0044400C"/>
    <w:rsid w:val="00444612"/>
    <w:rsid w:val="00444646"/>
    <w:rsid w:val="004449D1"/>
    <w:rsid w:val="00444B07"/>
    <w:rsid w:val="00445AF5"/>
    <w:rsid w:val="00445EFB"/>
    <w:rsid w:val="00446244"/>
    <w:rsid w:val="00446E9B"/>
    <w:rsid w:val="00447EAC"/>
    <w:rsid w:val="00450DEC"/>
    <w:rsid w:val="00451634"/>
    <w:rsid w:val="00451E96"/>
    <w:rsid w:val="00452D51"/>
    <w:rsid w:val="0045376A"/>
    <w:rsid w:val="00454640"/>
    <w:rsid w:val="004546CB"/>
    <w:rsid w:val="004552A8"/>
    <w:rsid w:val="00456EAE"/>
    <w:rsid w:val="00457966"/>
    <w:rsid w:val="00460622"/>
    <w:rsid w:val="00461253"/>
    <w:rsid w:val="004620B3"/>
    <w:rsid w:val="00462C9F"/>
    <w:rsid w:val="00463010"/>
    <w:rsid w:val="00464CE4"/>
    <w:rsid w:val="00464F01"/>
    <w:rsid w:val="00466B16"/>
    <w:rsid w:val="00466F5E"/>
    <w:rsid w:val="00470718"/>
    <w:rsid w:val="00470989"/>
    <w:rsid w:val="00470D70"/>
    <w:rsid w:val="00472FED"/>
    <w:rsid w:val="00475314"/>
    <w:rsid w:val="00476D63"/>
    <w:rsid w:val="004775F0"/>
    <w:rsid w:val="0048046F"/>
    <w:rsid w:val="0048054B"/>
    <w:rsid w:val="004808C5"/>
    <w:rsid w:val="00481B2D"/>
    <w:rsid w:val="00482372"/>
    <w:rsid w:val="00483417"/>
    <w:rsid w:val="00483C89"/>
    <w:rsid w:val="004842FD"/>
    <w:rsid w:val="00486A7B"/>
    <w:rsid w:val="00490B7B"/>
    <w:rsid w:val="004924B4"/>
    <w:rsid w:val="0049354D"/>
    <w:rsid w:val="0049536F"/>
    <w:rsid w:val="004956A0"/>
    <w:rsid w:val="00495F78"/>
    <w:rsid w:val="004960D1"/>
    <w:rsid w:val="004966F7"/>
    <w:rsid w:val="00496C45"/>
    <w:rsid w:val="004974D3"/>
    <w:rsid w:val="004A064C"/>
    <w:rsid w:val="004A082C"/>
    <w:rsid w:val="004A1630"/>
    <w:rsid w:val="004A1BAC"/>
    <w:rsid w:val="004A2107"/>
    <w:rsid w:val="004A332E"/>
    <w:rsid w:val="004A6277"/>
    <w:rsid w:val="004A7AC3"/>
    <w:rsid w:val="004A7B87"/>
    <w:rsid w:val="004B0049"/>
    <w:rsid w:val="004B0FE5"/>
    <w:rsid w:val="004B27CC"/>
    <w:rsid w:val="004B3072"/>
    <w:rsid w:val="004B3B39"/>
    <w:rsid w:val="004B4CA9"/>
    <w:rsid w:val="004B6195"/>
    <w:rsid w:val="004B6B2C"/>
    <w:rsid w:val="004C0155"/>
    <w:rsid w:val="004C068D"/>
    <w:rsid w:val="004C0B40"/>
    <w:rsid w:val="004C0B5E"/>
    <w:rsid w:val="004C0E78"/>
    <w:rsid w:val="004C1F7C"/>
    <w:rsid w:val="004C2976"/>
    <w:rsid w:val="004C2B8F"/>
    <w:rsid w:val="004C2C8F"/>
    <w:rsid w:val="004C3A6E"/>
    <w:rsid w:val="004C3AE8"/>
    <w:rsid w:val="004C4E21"/>
    <w:rsid w:val="004C54A3"/>
    <w:rsid w:val="004C72AB"/>
    <w:rsid w:val="004C796F"/>
    <w:rsid w:val="004C7D76"/>
    <w:rsid w:val="004D0263"/>
    <w:rsid w:val="004D19CA"/>
    <w:rsid w:val="004D2215"/>
    <w:rsid w:val="004D30E3"/>
    <w:rsid w:val="004D48C2"/>
    <w:rsid w:val="004D4A42"/>
    <w:rsid w:val="004D53BA"/>
    <w:rsid w:val="004D63F5"/>
    <w:rsid w:val="004D69D6"/>
    <w:rsid w:val="004D6C4F"/>
    <w:rsid w:val="004D735B"/>
    <w:rsid w:val="004E02AC"/>
    <w:rsid w:val="004E137E"/>
    <w:rsid w:val="004E1B80"/>
    <w:rsid w:val="004E2C3D"/>
    <w:rsid w:val="004E3604"/>
    <w:rsid w:val="004E3851"/>
    <w:rsid w:val="004E5365"/>
    <w:rsid w:val="004E614C"/>
    <w:rsid w:val="004E73C3"/>
    <w:rsid w:val="004E7667"/>
    <w:rsid w:val="004E7C3E"/>
    <w:rsid w:val="004F01D7"/>
    <w:rsid w:val="004F128A"/>
    <w:rsid w:val="004F1685"/>
    <w:rsid w:val="004F1D1D"/>
    <w:rsid w:val="004F2294"/>
    <w:rsid w:val="004F2947"/>
    <w:rsid w:val="004F3501"/>
    <w:rsid w:val="004F39CD"/>
    <w:rsid w:val="004F4670"/>
    <w:rsid w:val="004F5159"/>
    <w:rsid w:val="004F5CFF"/>
    <w:rsid w:val="004F6442"/>
    <w:rsid w:val="004F6CAB"/>
    <w:rsid w:val="004F7A9A"/>
    <w:rsid w:val="004F7FC3"/>
    <w:rsid w:val="005006D5"/>
    <w:rsid w:val="00500F3B"/>
    <w:rsid w:val="005011C3"/>
    <w:rsid w:val="0050369E"/>
    <w:rsid w:val="00503D3D"/>
    <w:rsid w:val="00504074"/>
    <w:rsid w:val="005042C2"/>
    <w:rsid w:val="00504391"/>
    <w:rsid w:val="005078CD"/>
    <w:rsid w:val="00511294"/>
    <w:rsid w:val="005114E5"/>
    <w:rsid w:val="00511AE4"/>
    <w:rsid w:val="00512740"/>
    <w:rsid w:val="005127F0"/>
    <w:rsid w:val="00513369"/>
    <w:rsid w:val="00514586"/>
    <w:rsid w:val="005146C3"/>
    <w:rsid w:val="005209A8"/>
    <w:rsid w:val="005216C1"/>
    <w:rsid w:val="005223D6"/>
    <w:rsid w:val="005233B1"/>
    <w:rsid w:val="005234C4"/>
    <w:rsid w:val="00523895"/>
    <w:rsid w:val="00523DFC"/>
    <w:rsid w:val="005247B9"/>
    <w:rsid w:val="0052480D"/>
    <w:rsid w:val="00524EC9"/>
    <w:rsid w:val="00525E37"/>
    <w:rsid w:val="00525E94"/>
    <w:rsid w:val="00526B80"/>
    <w:rsid w:val="00526EBE"/>
    <w:rsid w:val="00526F68"/>
    <w:rsid w:val="00526F6B"/>
    <w:rsid w:val="0052765C"/>
    <w:rsid w:val="00527ED0"/>
    <w:rsid w:val="005301E8"/>
    <w:rsid w:val="005306A1"/>
    <w:rsid w:val="00530CC0"/>
    <w:rsid w:val="00530E21"/>
    <w:rsid w:val="005311C6"/>
    <w:rsid w:val="00531494"/>
    <w:rsid w:val="005324F0"/>
    <w:rsid w:val="00532C1B"/>
    <w:rsid w:val="005330D6"/>
    <w:rsid w:val="0053425A"/>
    <w:rsid w:val="0053435A"/>
    <w:rsid w:val="00534B5B"/>
    <w:rsid w:val="00534E4D"/>
    <w:rsid w:val="005360D2"/>
    <w:rsid w:val="00536C16"/>
    <w:rsid w:val="00537E1F"/>
    <w:rsid w:val="00541563"/>
    <w:rsid w:val="0054243F"/>
    <w:rsid w:val="00543BAB"/>
    <w:rsid w:val="00544B54"/>
    <w:rsid w:val="00545744"/>
    <w:rsid w:val="005466B1"/>
    <w:rsid w:val="00547178"/>
    <w:rsid w:val="00547F6E"/>
    <w:rsid w:val="00550B2A"/>
    <w:rsid w:val="00550B64"/>
    <w:rsid w:val="00550F1B"/>
    <w:rsid w:val="0055180D"/>
    <w:rsid w:val="005524DF"/>
    <w:rsid w:val="00552829"/>
    <w:rsid w:val="00555146"/>
    <w:rsid w:val="005556F9"/>
    <w:rsid w:val="00555C70"/>
    <w:rsid w:val="00556335"/>
    <w:rsid w:val="00556416"/>
    <w:rsid w:val="005570E2"/>
    <w:rsid w:val="00557E05"/>
    <w:rsid w:val="00560671"/>
    <w:rsid w:val="00560C91"/>
    <w:rsid w:val="0056133E"/>
    <w:rsid w:val="00561864"/>
    <w:rsid w:val="005619B0"/>
    <w:rsid w:val="00561D37"/>
    <w:rsid w:val="00562A02"/>
    <w:rsid w:val="00563C54"/>
    <w:rsid w:val="00564687"/>
    <w:rsid w:val="00564962"/>
    <w:rsid w:val="00565E82"/>
    <w:rsid w:val="00566AEA"/>
    <w:rsid w:val="00567803"/>
    <w:rsid w:val="005701A3"/>
    <w:rsid w:val="00570FEB"/>
    <w:rsid w:val="00571D56"/>
    <w:rsid w:val="00573A3E"/>
    <w:rsid w:val="00573F73"/>
    <w:rsid w:val="0057478C"/>
    <w:rsid w:val="0057511E"/>
    <w:rsid w:val="0057521D"/>
    <w:rsid w:val="005761C1"/>
    <w:rsid w:val="00576C14"/>
    <w:rsid w:val="00576EC1"/>
    <w:rsid w:val="00576F25"/>
    <w:rsid w:val="00577481"/>
    <w:rsid w:val="00577613"/>
    <w:rsid w:val="005818BE"/>
    <w:rsid w:val="00581F6A"/>
    <w:rsid w:val="00582015"/>
    <w:rsid w:val="005820AC"/>
    <w:rsid w:val="005824DC"/>
    <w:rsid w:val="0058450B"/>
    <w:rsid w:val="00585081"/>
    <w:rsid w:val="005858E9"/>
    <w:rsid w:val="005908DA"/>
    <w:rsid w:val="00591DF8"/>
    <w:rsid w:val="00592228"/>
    <w:rsid w:val="00594893"/>
    <w:rsid w:val="00594A60"/>
    <w:rsid w:val="00596CB2"/>
    <w:rsid w:val="00597CCC"/>
    <w:rsid w:val="00597E4C"/>
    <w:rsid w:val="005A07A3"/>
    <w:rsid w:val="005A08D1"/>
    <w:rsid w:val="005A08FC"/>
    <w:rsid w:val="005A0EC8"/>
    <w:rsid w:val="005A11EB"/>
    <w:rsid w:val="005A31BC"/>
    <w:rsid w:val="005A451B"/>
    <w:rsid w:val="005A5123"/>
    <w:rsid w:val="005A5828"/>
    <w:rsid w:val="005A5F43"/>
    <w:rsid w:val="005A7295"/>
    <w:rsid w:val="005A73DC"/>
    <w:rsid w:val="005B1957"/>
    <w:rsid w:val="005B198A"/>
    <w:rsid w:val="005B215E"/>
    <w:rsid w:val="005B46C9"/>
    <w:rsid w:val="005B4D5D"/>
    <w:rsid w:val="005B60A3"/>
    <w:rsid w:val="005C01D1"/>
    <w:rsid w:val="005C0AEA"/>
    <w:rsid w:val="005C0C8E"/>
    <w:rsid w:val="005C1B44"/>
    <w:rsid w:val="005C32D1"/>
    <w:rsid w:val="005C3335"/>
    <w:rsid w:val="005C4938"/>
    <w:rsid w:val="005C4F9F"/>
    <w:rsid w:val="005C5819"/>
    <w:rsid w:val="005C5C03"/>
    <w:rsid w:val="005C6244"/>
    <w:rsid w:val="005C6DB4"/>
    <w:rsid w:val="005C708A"/>
    <w:rsid w:val="005C773C"/>
    <w:rsid w:val="005C7912"/>
    <w:rsid w:val="005D0339"/>
    <w:rsid w:val="005D0BB2"/>
    <w:rsid w:val="005D0DDB"/>
    <w:rsid w:val="005D193B"/>
    <w:rsid w:val="005D3487"/>
    <w:rsid w:val="005D34AA"/>
    <w:rsid w:val="005D4C42"/>
    <w:rsid w:val="005D5DA4"/>
    <w:rsid w:val="005D65FD"/>
    <w:rsid w:val="005D76BD"/>
    <w:rsid w:val="005D77D2"/>
    <w:rsid w:val="005E0B75"/>
    <w:rsid w:val="005E2841"/>
    <w:rsid w:val="005E286B"/>
    <w:rsid w:val="005E3190"/>
    <w:rsid w:val="005E48DE"/>
    <w:rsid w:val="005E55C0"/>
    <w:rsid w:val="005E57BB"/>
    <w:rsid w:val="005E6096"/>
    <w:rsid w:val="005E6215"/>
    <w:rsid w:val="005E71D7"/>
    <w:rsid w:val="005F1912"/>
    <w:rsid w:val="005F21A5"/>
    <w:rsid w:val="005F2E03"/>
    <w:rsid w:val="005F2F14"/>
    <w:rsid w:val="005F3285"/>
    <w:rsid w:val="005F328E"/>
    <w:rsid w:val="005F3A4C"/>
    <w:rsid w:val="005F5B60"/>
    <w:rsid w:val="005F7548"/>
    <w:rsid w:val="006003DB"/>
    <w:rsid w:val="00601541"/>
    <w:rsid w:val="00601594"/>
    <w:rsid w:val="00602012"/>
    <w:rsid w:val="006039CE"/>
    <w:rsid w:val="00603D14"/>
    <w:rsid w:val="00603EEA"/>
    <w:rsid w:val="00604BF2"/>
    <w:rsid w:val="00604C2F"/>
    <w:rsid w:val="006064A0"/>
    <w:rsid w:val="0060712E"/>
    <w:rsid w:val="00607F32"/>
    <w:rsid w:val="0061381B"/>
    <w:rsid w:val="006145A9"/>
    <w:rsid w:val="0061625B"/>
    <w:rsid w:val="0061647D"/>
    <w:rsid w:val="006176EB"/>
    <w:rsid w:val="00620D2A"/>
    <w:rsid w:val="00622504"/>
    <w:rsid w:val="006227D7"/>
    <w:rsid w:val="00623929"/>
    <w:rsid w:val="00623F68"/>
    <w:rsid w:val="0062460A"/>
    <w:rsid w:val="00625BC6"/>
    <w:rsid w:val="00626EDF"/>
    <w:rsid w:val="0063004D"/>
    <w:rsid w:val="006329F9"/>
    <w:rsid w:val="00635256"/>
    <w:rsid w:val="00635A8F"/>
    <w:rsid w:val="00635C1B"/>
    <w:rsid w:val="00635F21"/>
    <w:rsid w:val="00636D31"/>
    <w:rsid w:val="00637C0A"/>
    <w:rsid w:val="00637D3D"/>
    <w:rsid w:val="006404EF"/>
    <w:rsid w:val="00641006"/>
    <w:rsid w:val="006412A5"/>
    <w:rsid w:val="00641420"/>
    <w:rsid w:val="00641FB1"/>
    <w:rsid w:val="00643DCA"/>
    <w:rsid w:val="00644A72"/>
    <w:rsid w:val="0064725B"/>
    <w:rsid w:val="00651AD9"/>
    <w:rsid w:val="00651F4A"/>
    <w:rsid w:val="00652B8C"/>
    <w:rsid w:val="00653FDF"/>
    <w:rsid w:val="00656FC0"/>
    <w:rsid w:val="006578E6"/>
    <w:rsid w:val="00657AA0"/>
    <w:rsid w:val="00660E19"/>
    <w:rsid w:val="006612A7"/>
    <w:rsid w:val="00661FC2"/>
    <w:rsid w:val="006629DC"/>
    <w:rsid w:val="00663911"/>
    <w:rsid w:val="00663C49"/>
    <w:rsid w:val="00664489"/>
    <w:rsid w:val="006648BA"/>
    <w:rsid w:val="00664961"/>
    <w:rsid w:val="006667DC"/>
    <w:rsid w:val="00667752"/>
    <w:rsid w:val="006678E9"/>
    <w:rsid w:val="006700A2"/>
    <w:rsid w:val="00671529"/>
    <w:rsid w:val="0067238C"/>
    <w:rsid w:val="00672A29"/>
    <w:rsid w:val="00673058"/>
    <w:rsid w:val="006734A0"/>
    <w:rsid w:val="00674DB7"/>
    <w:rsid w:val="00675CE5"/>
    <w:rsid w:val="00676CE6"/>
    <w:rsid w:val="006817CB"/>
    <w:rsid w:val="00682B77"/>
    <w:rsid w:val="006833EB"/>
    <w:rsid w:val="00683879"/>
    <w:rsid w:val="0068393C"/>
    <w:rsid w:val="00684011"/>
    <w:rsid w:val="00686ACB"/>
    <w:rsid w:val="00686BC6"/>
    <w:rsid w:val="00687458"/>
    <w:rsid w:val="0069000C"/>
    <w:rsid w:val="00690476"/>
    <w:rsid w:val="00690D0D"/>
    <w:rsid w:val="00691893"/>
    <w:rsid w:val="006925BD"/>
    <w:rsid w:val="00693947"/>
    <w:rsid w:val="00693ED8"/>
    <w:rsid w:val="00696446"/>
    <w:rsid w:val="006A0888"/>
    <w:rsid w:val="006A2207"/>
    <w:rsid w:val="006A3BD9"/>
    <w:rsid w:val="006A3E5E"/>
    <w:rsid w:val="006A44EA"/>
    <w:rsid w:val="006A55EE"/>
    <w:rsid w:val="006A62A1"/>
    <w:rsid w:val="006A7419"/>
    <w:rsid w:val="006A7ACB"/>
    <w:rsid w:val="006A7B1D"/>
    <w:rsid w:val="006B00D5"/>
    <w:rsid w:val="006B1130"/>
    <w:rsid w:val="006B1158"/>
    <w:rsid w:val="006B120D"/>
    <w:rsid w:val="006B1455"/>
    <w:rsid w:val="006B2188"/>
    <w:rsid w:val="006B29C2"/>
    <w:rsid w:val="006B7A88"/>
    <w:rsid w:val="006C04EB"/>
    <w:rsid w:val="006C0FFB"/>
    <w:rsid w:val="006C1710"/>
    <w:rsid w:val="006C2CFB"/>
    <w:rsid w:val="006C2D94"/>
    <w:rsid w:val="006C2F6E"/>
    <w:rsid w:val="006C3274"/>
    <w:rsid w:val="006C362E"/>
    <w:rsid w:val="006C50F5"/>
    <w:rsid w:val="006C61CF"/>
    <w:rsid w:val="006C6A88"/>
    <w:rsid w:val="006D04ED"/>
    <w:rsid w:val="006D10BC"/>
    <w:rsid w:val="006D10FE"/>
    <w:rsid w:val="006D1A4E"/>
    <w:rsid w:val="006D241F"/>
    <w:rsid w:val="006D33B8"/>
    <w:rsid w:val="006D35D1"/>
    <w:rsid w:val="006D3E49"/>
    <w:rsid w:val="006D42CE"/>
    <w:rsid w:val="006D4F15"/>
    <w:rsid w:val="006D5146"/>
    <w:rsid w:val="006D57C3"/>
    <w:rsid w:val="006D59D6"/>
    <w:rsid w:val="006D6334"/>
    <w:rsid w:val="006D7010"/>
    <w:rsid w:val="006D71E3"/>
    <w:rsid w:val="006E2EAD"/>
    <w:rsid w:val="006E4D51"/>
    <w:rsid w:val="006E4F57"/>
    <w:rsid w:val="006E4FC1"/>
    <w:rsid w:val="006E62C9"/>
    <w:rsid w:val="006F050D"/>
    <w:rsid w:val="006F1569"/>
    <w:rsid w:val="006F1BF0"/>
    <w:rsid w:val="006F20F4"/>
    <w:rsid w:val="006F409B"/>
    <w:rsid w:val="006F44D8"/>
    <w:rsid w:val="006F59CC"/>
    <w:rsid w:val="006F5BF1"/>
    <w:rsid w:val="006F6BCC"/>
    <w:rsid w:val="006F74B9"/>
    <w:rsid w:val="007001E1"/>
    <w:rsid w:val="00700C23"/>
    <w:rsid w:val="0070193E"/>
    <w:rsid w:val="0070294C"/>
    <w:rsid w:val="007034D3"/>
    <w:rsid w:val="00704462"/>
    <w:rsid w:val="00706EE4"/>
    <w:rsid w:val="007073BC"/>
    <w:rsid w:val="0070758A"/>
    <w:rsid w:val="0071157A"/>
    <w:rsid w:val="00711F0C"/>
    <w:rsid w:val="0071301F"/>
    <w:rsid w:val="00714586"/>
    <w:rsid w:val="007148F8"/>
    <w:rsid w:val="0071504F"/>
    <w:rsid w:val="007153FC"/>
    <w:rsid w:val="00715589"/>
    <w:rsid w:val="00716362"/>
    <w:rsid w:val="007171E1"/>
    <w:rsid w:val="0071771A"/>
    <w:rsid w:val="007208CE"/>
    <w:rsid w:val="0072166F"/>
    <w:rsid w:val="007217BB"/>
    <w:rsid w:val="00724731"/>
    <w:rsid w:val="007268F9"/>
    <w:rsid w:val="00726EDA"/>
    <w:rsid w:val="00731DB1"/>
    <w:rsid w:val="007327A0"/>
    <w:rsid w:val="007327EF"/>
    <w:rsid w:val="00735918"/>
    <w:rsid w:val="00735DED"/>
    <w:rsid w:val="00741453"/>
    <w:rsid w:val="00742539"/>
    <w:rsid w:val="0074581B"/>
    <w:rsid w:val="00747F88"/>
    <w:rsid w:val="00747F92"/>
    <w:rsid w:val="00750BCA"/>
    <w:rsid w:val="00750FFF"/>
    <w:rsid w:val="0075164F"/>
    <w:rsid w:val="0075281C"/>
    <w:rsid w:val="00752E8D"/>
    <w:rsid w:val="00753218"/>
    <w:rsid w:val="00753B9C"/>
    <w:rsid w:val="007545CB"/>
    <w:rsid w:val="007546E9"/>
    <w:rsid w:val="007558E1"/>
    <w:rsid w:val="00757941"/>
    <w:rsid w:val="00764135"/>
    <w:rsid w:val="00764FA7"/>
    <w:rsid w:val="00766FF9"/>
    <w:rsid w:val="007675CE"/>
    <w:rsid w:val="007713E1"/>
    <w:rsid w:val="00772678"/>
    <w:rsid w:val="0077399E"/>
    <w:rsid w:val="00775A61"/>
    <w:rsid w:val="00776266"/>
    <w:rsid w:val="00776B5B"/>
    <w:rsid w:val="00780A58"/>
    <w:rsid w:val="00781AD8"/>
    <w:rsid w:val="00783500"/>
    <w:rsid w:val="00784067"/>
    <w:rsid w:val="00784641"/>
    <w:rsid w:val="007865F8"/>
    <w:rsid w:val="007869AD"/>
    <w:rsid w:val="00791745"/>
    <w:rsid w:val="00791A87"/>
    <w:rsid w:val="00792516"/>
    <w:rsid w:val="00792682"/>
    <w:rsid w:val="00794411"/>
    <w:rsid w:val="007959A5"/>
    <w:rsid w:val="00796CF3"/>
    <w:rsid w:val="00796D58"/>
    <w:rsid w:val="007A08FC"/>
    <w:rsid w:val="007A1522"/>
    <w:rsid w:val="007A1A88"/>
    <w:rsid w:val="007A22C4"/>
    <w:rsid w:val="007A27BE"/>
    <w:rsid w:val="007A2F5B"/>
    <w:rsid w:val="007A34FA"/>
    <w:rsid w:val="007A3B31"/>
    <w:rsid w:val="007A4275"/>
    <w:rsid w:val="007A4935"/>
    <w:rsid w:val="007A50C4"/>
    <w:rsid w:val="007A5DA2"/>
    <w:rsid w:val="007A7544"/>
    <w:rsid w:val="007A75B7"/>
    <w:rsid w:val="007A7FE0"/>
    <w:rsid w:val="007B16D3"/>
    <w:rsid w:val="007B2F92"/>
    <w:rsid w:val="007B43C3"/>
    <w:rsid w:val="007B5CD8"/>
    <w:rsid w:val="007B6362"/>
    <w:rsid w:val="007B69C5"/>
    <w:rsid w:val="007C065F"/>
    <w:rsid w:val="007C0E7F"/>
    <w:rsid w:val="007C1687"/>
    <w:rsid w:val="007C2296"/>
    <w:rsid w:val="007C2DAC"/>
    <w:rsid w:val="007C3A60"/>
    <w:rsid w:val="007C42D1"/>
    <w:rsid w:val="007C47C0"/>
    <w:rsid w:val="007C4D2A"/>
    <w:rsid w:val="007C52B0"/>
    <w:rsid w:val="007C5DD9"/>
    <w:rsid w:val="007C6651"/>
    <w:rsid w:val="007C6731"/>
    <w:rsid w:val="007C6D95"/>
    <w:rsid w:val="007C6FA4"/>
    <w:rsid w:val="007C6FC1"/>
    <w:rsid w:val="007C7B9E"/>
    <w:rsid w:val="007D03AB"/>
    <w:rsid w:val="007D22E6"/>
    <w:rsid w:val="007D57D1"/>
    <w:rsid w:val="007D6786"/>
    <w:rsid w:val="007E0F36"/>
    <w:rsid w:val="007E0F66"/>
    <w:rsid w:val="007E19B4"/>
    <w:rsid w:val="007E1D08"/>
    <w:rsid w:val="007E2462"/>
    <w:rsid w:val="007E2AA3"/>
    <w:rsid w:val="007E4237"/>
    <w:rsid w:val="007E57A4"/>
    <w:rsid w:val="007E66DC"/>
    <w:rsid w:val="007E678F"/>
    <w:rsid w:val="007E6EB2"/>
    <w:rsid w:val="007E7421"/>
    <w:rsid w:val="007E7B1E"/>
    <w:rsid w:val="007E7CB0"/>
    <w:rsid w:val="007F07B1"/>
    <w:rsid w:val="007F2D95"/>
    <w:rsid w:val="007F605D"/>
    <w:rsid w:val="007F7DB6"/>
    <w:rsid w:val="00801D64"/>
    <w:rsid w:val="00801DF1"/>
    <w:rsid w:val="0080605D"/>
    <w:rsid w:val="0080666B"/>
    <w:rsid w:val="00807938"/>
    <w:rsid w:val="008105FC"/>
    <w:rsid w:val="00811731"/>
    <w:rsid w:val="0081183B"/>
    <w:rsid w:val="00812C07"/>
    <w:rsid w:val="00814581"/>
    <w:rsid w:val="00815114"/>
    <w:rsid w:val="0081737F"/>
    <w:rsid w:val="00817E57"/>
    <w:rsid w:val="00817F99"/>
    <w:rsid w:val="00822330"/>
    <w:rsid w:val="00823773"/>
    <w:rsid w:val="00823E19"/>
    <w:rsid w:val="00825D7B"/>
    <w:rsid w:val="008263C4"/>
    <w:rsid w:val="00826C7B"/>
    <w:rsid w:val="00827B88"/>
    <w:rsid w:val="00830F04"/>
    <w:rsid w:val="008320D7"/>
    <w:rsid w:val="00832941"/>
    <w:rsid w:val="00832E59"/>
    <w:rsid w:val="008330E7"/>
    <w:rsid w:val="00835B85"/>
    <w:rsid w:val="00836259"/>
    <w:rsid w:val="00836B11"/>
    <w:rsid w:val="00836C53"/>
    <w:rsid w:val="00840DF4"/>
    <w:rsid w:val="008419E4"/>
    <w:rsid w:val="00842F78"/>
    <w:rsid w:val="00844B0C"/>
    <w:rsid w:val="0084530D"/>
    <w:rsid w:val="00847786"/>
    <w:rsid w:val="00847F5E"/>
    <w:rsid w:val="0085047C"/>
    <w:rsid w:val="00850B59"/>
    <w:rsid w:val="00851F02"/>
    <w:rsid w:val="0085268A"/>
    <w:rsid w:val="00854215"/>
    <w:rsid w:val="00854319"/>
    <w:rsid w:val="00856D63"/>
    <w:rsid w:val="008576EA"/>
    <w:rsid w:val="00857E22"/>
    <w:rsid w:val="00860AC5"/>
    <w:rsid w:val="008611DC"/>
    <w:rsid w:val="008619E7"/>
    <w:rsid w:val="00861EB2"/>
    <w:rsid w:val="00864A8B"/>
    <w:rsid w:val="008659EE"/>
    <w:rsid w:val="00866CA1"/>
    <w:rsid w:val="00867BC6"/>
    <w:rsid w:val="00867FB5"/>
    <w:rsid w:val="00870DF8"/>
    <w:rsid w:val="00871512"/>
    <w:rsid w:val="008718D3"/>
    <w:rsid w:val="00872100"/>
    <w:rsid w:val="00872B85"/>
    <w:rsid w:val="008737DA"/>
    <w:rsid w:val="00873936"/>
    <w:rsid w:val="008749C6"/>
    <w:rsid w:val="00874A5A"/>
    <w:rsid w:val="00875908"/>
    <w:rsid w:val="00877AEF"/>
    <w:rsid w:val="00877D01"/>
    <w:rsid w:val="00880529"/>
    <w:rsid w:val="00880EB0"/>
    <w:rsid w:val="00881903"/>
    <w:rsid w:val="00882792"/>
    <w:rsid w:val="0088283B"/>
    <w:rsid w:val="00883353"/>
    <w:rsid w:val="00883981"/>
    <w:rsid w:val="00884046"/>
    <w:rsid w:val="00884E7A"/>
    <w:rsid w:val="008850CB"/>
    <w:rsid w:val="008850F6"/>
    <w:rsid w:val="008851D7"/>
    <w:rsid w:val="008858D0"/>
    <w:rsid w:val="00886BDC"/>
    <w:rsid w:val="00890EAC"/>
    <w:rsid w:val="00890ED3"/>
    <w:rsid w:val="00891021"/>
    <w:rsid w:val="00892E61"/>
    <w:rsid w:val="00892F66"/>
    <w:rsid w:val="00895108"/>
    <w:rsid w:val="0089560F"/>
    <w:rsid w:val="008965B0"/>
    <w:rsid w:val="008978B1"/>
    <w:rsid w:val="00897AFF"/>
    <w:rsid w:val="008A04F9"/>
    <w:rsid w:val="008A150D"/>
    <w:rsid w:val="008A1B33"/>
    <w:rsid w:val="008A1E05"/>
    <w:rsid w:val="008A2074"/>
    <w:rsid w:val="008A319D"/>
    <w:rsid w:val="008A4031"/>
    <w:rsid w:val="008A5380"/>
    <w:rsid w:val="008A54F2"/>
    <w:rsid w:val="008A6B26"/>
    <w:rsid w:val="008A6D80"/>
    <w:rsid w:val="008A704F"/>
    <w:rsid w:val="008B055A"/>
    <w:rsid w:val="008B08DD"/>
    <w:rsid w:val="008B0959"/>
    <w:rsid w:val="008B0DE5"/>
    <w:rsid w:val="008B1BC0"/>
    <w:rsid w:val="008B1F2D"/>
    <w:rsid w:val="008B239E"/>
    <w:rsid w:val="008B2402"/>
    <w:rsid w:val="008B26DC"/>
    <w:rsid w:val="008B38ED"/>
    <w:rsid w:val="008B4C6A"/>
    <w:rsid w:val="008B4F3C"/>
    <w:rsid w:val="008B57C5"/>
    <w:rsid w:val="008B6075"/>
    <w:rsid w:val="008B62EA"/>
    <w:rsid w:val="008B69CD"/>
    <w:rsid w:val="008B6F97"/>
    <w:rsid w:val="008B7894"/>
    <w:rsid w:val="008C0C6C"/>
    <w:rsid w:val="008C0CD4"/>
    <w:rsid w:val="008C1FF1"/>
    <w:rsid w:val="008C2881"/>
    <w:rsid w:val="008C296A"/>
    <w:rsid w:val="008C2CFB"/>
    <w:rsid w:val="008C48C6"/>
    <w:rsid w:val="008C535D"/>
    <w:rsid w:val="008C5739"/>
    <w:rsid w:val="008D046C"/>
    <w:rsid w:val="008D077E"/>
    <w:rsid w:val="008D0F0F"/>
    <w:rsid w:val="008D125A"/>
    <w:rsid w:val="008D22AD"/>
    <w:rsid w:val="008D2847"/>
    <w:rsid w:val="008D2F6C"/>
    <w:rsid w:val="008D3450"/>
    <w:rsid w:val="008D367C"/>
    <w:rsid w:val="008D4A96"/>
    <w:rsid w:val="008D4F21"/>
    <w:rsid w:val="008D67B6"/>
    <w:rsid w:val="008D69ED"/>
    <w:rsid w:val="008D76B6"/>
    <w:rsid w:val="008E0390"/>
    <w:rsid w:val="008E064D"/>
    <w:rsid w:val="008E08B1"/>
    <w:rsid w:val="008E09B8"/>
    <w:rsid w:val="008E11D5"/>
    <w:rsid w:val="008E2137"/>
    <w:rsid w:val="008E2E37"/>
    <w:rsid w:val="008E37C4"/>
    <w:rsid w:val="008E4E9F"/>
    <w:rsid w:val="008E509E"/>
    <w:rsid w:val="008E7404"/>
    <w:rsid w:val="008E7669"/>
    <w:rsid w:val="008F07D8"/>
    <w:rsid w:val="008F0B29"/>
    <w:rsid w:val="008F14B6"/>
    <w:rsid w:val="008F2A2F"/>
    <w:rsid w:val="008F3C41"/>
    <w:rsid w:val="008F4C72"/>
    <w:rsid w:val="008F4F66"/>
    <w:rsid w:val="008F5D2F"/>
    <w:rsid w:val="00900D60"/>
    <w:rsid w:val="009010B1"/>
    <w:rsid w:val="00901158"/>
    <w:rsid w:val="00902344"/>
    <w:rsid w:val="009026AD"/>
    <w:rsid w:val="00902EF7"/>
    <w:rsid w:val="00903A7D"/>
    <w:rsid w:val="00903F28"/>
    <w:rsid w:val="00907C6D"/>
    <w:rsid w:val="009102AE"/>
    <w:rsid w:val="009106F1"/>
    <w:rsid w:val="0091152F"/>
    <w:rsid w:val="0091187A"/>
    <w:rsid w:val="009125CD"/>
    <w:rsid w:val="009133C5"/>
    <w:rsid w:val="00913533"/>
    <w:rsid w:val="009136F2"/>
    <w:rsid w:val="00915A42"/>
    <w:rsid w:val="009163EE"/>
    <w:rsid w:val="00916C64"/>
    <w:rsid w:val="00917A7E"/>
    <w:rsid w:val="00917D24"/>
    <w:rsid w:val="009202DA"/>
    <w:rsid w:val="009219FA"/>
    <w:rsid w:val="00922004"/>
    <w:rsid w:val="009229EC"/>
    <w:rsid w:val="00923C9C"/>
    <w:rsid w:val="0092678C"/>
    <w:rsid w:val="00927196"/>
    <w:rsid w:val="00930124"/>
    <w:rsid w:val="00930CFC"/>
    <w:rsid w:val="0093153F"/>
    <w:rsid w:val="00931788"/>
    <w:rsid w:val="0093187D"/>
    <w:rsid w:val="009328E2"/>
    <w:rsid w:val="00934E57"/>
    <w:rsid w:val="00935340"/>
    <w:rsid w:val="00935908"/>
    <w:rsid w:val="0093706F"/>
    <w:rsid w:val="00937F75"/>
    <w:rsid w:val="00940AEE"/>
    <w:rsid w:val="009411B4"/>
    <w:rsid w:val="0094188C"/>
    <w:rsid w:val="00945C86"/>
    <w:rsid w:val="00946BCB"/>
    <w:rsid w:val="00947D56"/>
    <w:rsid w:val="00950BD3"/>
    <w:rsid w:val="0095150C"/>
    <w:rsid w:val="00952690"/>
    <w:rsid w:val="00952D2F"/>
    <w:rsid w:val="00954A57"/>
    <w:rsid w:val="00954C57"/>
    <w:rsid w:val="00954E2C"/>
    <w:rsid w:val="00955F88"/>
    <w:rsid w:val="009562B7"/>
    <w:rsid w:val="0095694F"/>
    <w:rsid w:val="00956DB4"/>
    <w:rsid w:val="00956EE4"/>
    <w:rsid w:val="0095728E"/>
    <w:rsid w:val="00960F9B"/>
    <w:rsid w:val="0096126B"/>
    <w:rsid w:val="0096154C"/>
    <w:rsid w:val="00961E2E"/>
    <w:rsid w:val="00961F87"/>
    <w:rsid w:val="00961FB1"/>
    <w:rsid w:val="00962364"/>
    <w:rsid w:val="00962B7D"/>
    <w:rsid w:val="00963123"/>
    <w:rsid w:val="009634ED"/>
    <w:rsid w:val="009637CB"/>
    <w:rsid w:val="00964096"/>
    <w:rsid w:val="009640E3"/>
    <w:rsid w:val="00967D19"/>
    <w:rsid w:val="0097065F"/>
    <w:rsid w:val="009709E8"/>
    <w:rsid w:val="00971C6D"/>
    <w:rsid w:val="0097391B"/>
    <w:rsid w:val="00973AFE"/>
    <w:rsid w:val="00974015"/>
    <w:rsid w:val="00974921"/>
    <w:rsid w:val="00974A30"/>
    <w:rsid w:val="009755D8"/>
    <w:rsid w:val="0097653C"/>
    <w:rsid w:val="0097681A"/>
    <w:rsid w:val="0098094F"/>
    <w:rsid w:val="009819C8"/>
    <w:rsid w:val="009826D0"/>
    <w:rsid w:val="009851C6"/>
    <w:rsid w:val="00985239"/>
    <w:rsid w:val="009866D6"/>
    <w:rsid w:val="009877E3"/>
    <w:rsid w:val="00987982"/>
    <w:rsid w:val="00990FA9"/>
    <w:rsid w:val="0099201A"/>
    <w:rsid w:val="00992DF7"/>
    <w:rsid w:val="00993573"/>
    <w:rsid w:val="009953BE"/>
    <w:rsid w:val="00996793"/>
    <w:rsid w:val="00996B9F"/>
    <w:rsid w:val="00997C19"/>
    <w:rsid w:val="00997D74"/>
    <w:rsid w:val="009A0038"/>
    <w:rsid w:val="009A1861"/>
    <w:rsid w:val="009A1A1D"/>
    <w:rsid w:val="009A1DF9"/>
    <w:rsid w:val="009A3576"/>
    <w:rsid w:val="009A5D03"/>
    <w:rsid w:val="009A66C2"/>
    <w:rsid w:val="009B1433"/>
    <w:rsid w:val="009B2F3E"/>
    <w:rsid w:val="009B4CB6"/>
    <w:rsid w:val="009B7145"/>
    <w:rsid w:val="009B7464"/>
    <w:rsid w:val="009C02FD"/>
    <w:rsid w:val="009C1E45"/>
    <w:rsid w:val="009C280F"/>
    <w:rsid w:val="009C2E24"/>
    <w:rsid w:val="009C3030"/>
    <w:rsid w:val="009C3C34"/>
    <w:rsid w:val="009C6ADE"/>
    <w:rsid w:val="009D0139"/>
    <w:rsid w:val="009D013A"/>
    <w:rsid w:val="009D1049"/>
    <w:rsid w:val="009D24D8"/>
    <w:rsid w:val="009D2B07"/>
    <w:rsid w:val="009D313C"/>
    <w:rsid w:val="009D4296"/>
    <w:rsid w:val="009D49C8"/>
    <w:rsid w:val="009D5EA1"/>
    <w:rsid w:val="009D6110"/>
    <w:rsid w:val="009D66AD"/>
    <w:rsid w:val="009D6AD8"/>
    <w:rsid w:val="009E04B5"/>
    <w:rsid w:val="009E11ED"/>
    <w:rsid w:val="009E1C75"/>
    <w:rsid w:val="009E1E19"/>
    <w:rsid w:val="009E27C3"/>
    <w:rsid w:val="009E42E8"/>
    <w:rsid w:val="009E4BC3"/>
    <w:rsid w:val="009E6F46"/>
    <w:rsid w:val="009E7D17"/>
    <w:rsid w:val="009F053E"/>
    <w:rsid w:val="009F0663"/>
    <w:rsid w:val="009F0A97"/>
    <w:rsid w:val="009F1B2C"/>
    <w:rsid w:val="009F2517"/>
    <w:rsid w:val="009F2E2A"/>
    <w:rsid w:val="009F3325"/>
    <w:rsid w:val="009F3862"/>
    <w:rsid w:val="009F3978"/>
    <w:rsid w:val="009F598D"/>
    <w:rsid w:val="009F5CDC"/>
    <w:rsid w:val="009F6027"/>
    <w:rsid w:val="009F75DF"/>
    <w:rsid w:val="00A00522"/>
    <w:rsid w:val="00A005EF"/>
    <w:rsid w:val="00A02015"/>
    <w:rsid w:val="00A021DF"/>
    <w:rsid w:val="00A0221F"/>
    <w:rsid w:val="00A051B5"/>
    <w:rsid w:val="00A056D9"/>
    <w:rsid w:val="00A05A0A"/>
    <w:rsid w:val="00A06127"/>
    <w:rsid w:val="00A06FD8"/>
    <w:rsid w:val="00A1347E"/>
    <w:rsid w:val="00A1400C"/>
    <w:rsid w:val="00A1498F"/>
    <w:rsid w:val="00A16580"/>
    <w:rsid w:val="00A213DE"/>
    <w:rsid w:val="00A22911"/>
    <w:rsid w:val="00A23459"/>
    <w:rsid w:val="00A23C08"/>
    <w:rsid w:val="00A2416A"/>
    <w:rsid w:val="00A24E17"/>
    <w:rsid w:val="00A2576C"/>
    <w:rsid w:val="00A257E0"/>
    <w:rsid w:val="00A25872"/>
    <w:rsid w:val="00A26920"/>
    <w:rsid w:val="00A26C04"/>
    <w:rsid w:val="00A331FA"/>
    <w:rsid w:val="00A3441A"/>
    <w:rsid w:val="00A35588"/>
    <w:rsid w:val="00A356F2"/>
    <w:rsid w:val="00A35841"/>
    <w:rsid w:val="00A35F6F"/>
    <w:rsid w:val="00A36C20"/>
    <w:rsid w:val="00A36E94"/>
    <w:rsid w:val="00A37812"/>
    <w:rsid w:val="00A40474"/>
    <w:rsid w:val="00A407A9"/>
    <w:rsid w:val="00A413DE"/>
    <w:rsid w:val="00A4248B"/>
    <w:rsid w:val="00A42A25"/>
    <w:rsid w:val="00A43D5C"/>
    <w:rsid w:val="00A443D6"/>
    <w:rsid w:val="00A4483D"/>
    <w:rsid w:val="00A44915"/>
    <w:rsid w:val="00A46103"/>
    <w:rsid w:val="00A52463"/>
    <w:rsid w:val="00A529D7"/>
    <w:rsid w:val="00A52C94"/>
    <w:rsid w:val="00A5362F"/>
    <w:rsid w:val="00A53C05"/>
    <w:rsid w:val="00A53D73"/>
    <w:rsid w:val="00A5437C"/>
    <w:rsid w:val="00A54AB9"/>
    <w:rsid w:val="00A563F7"/>
    <w:rsid w:val="00A566F5"/>
    <w:rsid w:val="00A56D71"/>
    <w:rsid w:val="00A57E3A"/>
    <w:rsid w:val="00A616DE"/>
    <w:rsid w:val="00A618E2"/>
    <w:rsid w:val="00A623B9"/>
    <w:rsid w:val="00A62657"/>
    <w:rsid w:val="00A63C36"/>
    <w:rsid w:val="00A63CF0"/>
    <w:rsid w:val="00A6451A"/>
    <w:rsid w:val="00A65302"/>
    <w:rsid w:val="00A66B11"/>
    <w:rsid w:val="00A72283"/>
    <w:rsid w:val="00A73536"/>
    <w:rsid w:val="00A73DB0"/>
    <w:rsid w:val="00A756BE"/>
    <w:rsid w:val="00A75B96"/>
    <w:rsid w:val="00A77387"/>
    <w:rsid w:val="00A775CF"/>
    <w:rsid w:val="00A77AA5"/>
    <w:rsid w:val="00A77C74"/>
    <w:rsid w:val="00A80494"/>
    <w:rsid w:val="00A814B9"/>
    <w:rsid w:val="00A81D52"/>
    <w:rsid w:val="00A81ED6"/>
    <w:rsid w:val="00A82463"/>
    <w:rsid w:val="00A82592"/>
    <w:rsid w:val="00A830BC"/>
    <w:rsid w:val="00A84C31"/>
    <w:rsid w:val="00A855CD"/>
    <w:rsid w:val="00A86663"/>
    <w:rsid w:val="00A9024B"/>
    <w:rsid w:val="00A90BB5"/>
    <w:rsid w:val="00A90EC5"/>
    <w:rsid w:val="00A929CD"/>
    <w:rsid w:val="00A93B2B"/>
    <w:rsid w:val="00A946A9"/>
    <w:rsid w:val="00A94B84"/>
    <w:rsid w:val="00A95800"/>
    <w:rsid w:val="00A96356"/>
    <w:rsid w:val="00A96C86"/>
    <w:rsid w:val="00A96E18"/>
    <w:rsid w:val="00A9781D"/>
    <w:rsid w:val="00AA09F5"/>
    <w:rsid w:val="00AA0F86"/>
    <w:rsid w:val="00AA160A"/>
    <w:rsid w:val="00AA1D05"/>
    <w:rsid w:val="00AA1D4E"/>
    <w:rsid w:val="00AA2A7B"/>
    <w:rsid w:val="00AA2EE1"/>
    <w:rsid w:val="00AA3009"/>
    <w:rsid w:val="00AA3AAE"/>
    <w:rsid w:val="00AA3BFE"/>
    <w:rsid w:val="00AA584E"/>
    <w:rsid w:val="00AA5ECB"/>
    <w:rsid w:val="00AA65BF"/>
    <w:rsid w:val="00AA6688"/>
    <w:rsid w:val="00AA681D"/>
    <w:rsid w:val="00AA69A1"/>
    <w:rsid w:val="00AA6B5A"/>
    <w:rsid w:val="00AA6D7C"/>
    <w:rsid w:val="00AA70BC"/>
    <w:rsid w:val="00AA74F2"/>
    <w:rsid w:val="00AA75E7"/>
    <w:rsid w:val="00AB0307"/>
    <w:rsid w:val="00AB03F7"/>
    <w:rsid w:val="00AB0A90"/>
    <w:rsid w:val="00AB24BE"/>
    <w:rsid w:val="00AB2AC3"/>
    <w:rsid w:val="00AB2B52"/>
    <w:rsid w:val="00AB3D19"/>
    <w:rsid w:val="00AB4EE3"/>
    <w:rsid w:val="00AB55C8"/>
    <w:rsid w:val="00AB590F"/>
    <w:rsid w:val="00AB5AFE"/>
    <w:rsid w:val="00AB7336"/>
    <w:rsid w:val="00AB7DAC"/>
    <w:rsid w:val="00AC09DC"/>
    <w:rsid w:val="00AC0A60"/>
    <w:rsid w:val="00AC4997"/>
    <w:rsid w:val="00AC7A6F"/>
    <w:rsid w:val="00AC7F69"/>
    <w:rsid w:val="00AD00A0"/>
    <w:rsid w:val="00AD017F"/>
    <w:rsid w:val="00AD0753"/>
    <w:rsid w:val="00AD0837"/>
    <w:rsid w:val="00AD0946"/>
    <w:rsid w:val="00AD0F59"/>
    <w:rsid w:val="00AD283F"/>
    <w:rsid w:val="00AD3B0A"/>
    <w:rsid w:val="00AD3BB3"/>
    <w:rsid w:val="00AD63F3"/>
    <w:rsid w:val="00AD68AD"/>
    <w:rsid w:val="00AD6A3A"/>
    <w:rsid w:val="00AE0B88"/>
    <w:rsid w:val="00AE0FE9"/>
    <w:rsid w:val="00AE188C"/>
    <w:rsid w:val="00AE1BAA"/>
    <w:rsid w:val="00AE1BF1"/>
    <w:rsid w:val="00AE2047"/>
    <w:rsid w:val="00AE28B2"/>
    <w:rsid w:val="00AE3219"/>
    <w:rsid w:val="00AE36DA"/>
    <w:rsid w:val="00AE4D53"/>
    <w:rsid w:val="00AE5F29"/>
    <w:rsid w:val="00AE6314"/>
    <w:rsid w:val="00AF068F"/>
    <w:rsid w:val="00AF1786"/>
    <w:rsid w:val="00AF1826"/>
    <w:rsid w:val="00AF1B18"/>
    <w:rsid w:val="00AF4712"/>
    <w:rsid w:val="00AF4AEE"/>
    <w:rsid w:val="00AF5854"/>
    <w:rsid w:val="00AF5B61"/>
    <w:rsid w:val="00AF6B46"/>
    <w:rsid w:val="00AF73E2"/>
    <w:rsid w:val="00AF7C7F"/>
    <w:rsid w:val="00B00838"/>
    <w:rsid w:val="00B0114F"/>
    <w:rsid w:val="00B0159A"/>
    <w:rsid w:val="00B021BF"/>
    <w:rsid w:val="00B02392"/>
    <w:rsid w:val="00B026B5"/>
    <w:rsid w:val="00B027C9"/>
    <w:rsid w:val="00B0439B"/>
    <w:rsid w:val="00B05694"/>
    <w:rsid w:val="00B0579B"/>
    <w:rsid w:val="00B05BE3"/>
    <w:rsid w:val="00B05DCC"/>
    <w:rsid w:val="00B05DEC"/>
    <w:rsid w:val="00B06045"/>
    <w:rsid w:val="00B062C8"/>
    <w:rsid w:val="00B06486"/>
    <w:rsid w:val="00B066F6"/>
    <w:rsid w:val="00B06C1E"/>
    <w:rsid w:val="00B06E53"/>
    <w:rsid w:val="00B11DED"/>
    <w:rsid w:val="00B12249"/>
    <w:rsid w:val="00B179D3"/>
    <w:rsid w:val="00B209E0"/>
    <w:rsid w:val="00B20AE0"/>
    <w:rsid w:val="00B216FF"/>
    <w:rsid w:val="00B224A4"/>
    <w:rsid w:val="00B22732"/>
    <w:rsid w:val="00B23A9D"/>
    <w:rsid w:val="00B25293"/>
    <w:rsid w:val="00B25A33"/>
    <w:rsid w:val="00B25A7E"/>
    <w:rsid w:val="00B25DF7"/>
    <w:rsid w:val="00B27A7C"/>
    <w:rsid w:val="00B27C5F"/>
    <w:rsid w:val="00B30A65"/>
    <w:rsid w:val="00B31DF3"/>
    <w:rsid w:val="00B32BC2"/>
    <w:rsid w:val="00B3382E"/>
    <w:rsid w:val="00B3392C"/>
    <w:rsid w:val="00B3401D"/>
    <w:rsid w:val="00B355A5"/>
    <w:rsid w:val="00B35946"/>
    <w:rsid w:val="00B36043"/>
    <w:rsid w:val="00B37A35"/>
    <w:rsid w:val="00B37FFB"/>
    <w:rsid w:val="00B40245"/>
    <w:rsid w:val="00B409D9"/>
    <w:rsid w:val="00B40B76"/>
    <w:rsid w:val="00B4191A"/>
    <w:rsid w:val="00B41BA4"/>
    <w:rsid w:val="00B4247B"/>
    <w:rsid w:val="00B42E36"/>
    <w:rsid w:val="00B4338F"/>
    <w:rsid w:val="00B43B15"/>
    <w:rsid w:val="00B44629"/>
    <w:rsid w:val="00B44E15"/>
    <w:rsid w:val="00B45CAB"/>
    <w:rsid w:val="00B46AE9"/>
    <w:rsid w:val="00B47723"/>
    <w:rsid w:val="00B504E7"/>
    <w:rsid w:val="00B50B16"/>
    <w:rsid w:val="00B50EDD"/>
    <w:rsid w:val="00B512ED"/>
    <w:rsid w:val="00B51804"/>
    <w:rsid w:val="00B521E7"/>
    <w:rsid w:val="00B52A6E"/>
    <w:rsid w:val="00B53136"/>
    <w:rsid w:val="00B53612"/>
    <w:rsid w:val="00B53871"/>
    <w:rsid w:val="00B53AA5"/>
    <w:rsid w:val="00B5776C"/>
    <w:rsid w:val="00B57960"/>
    <w:rsid w:val="00B61233"/>
    <w:rsid w:val="00B61CA9"/>
    <w:rsid w:val="00B62355"/>
    <w:rsid w:val="00B643AA"/>
    <w:rsid w:val="00B64BBD"/>
    <w:rsid w:val="00B6535A"/>
    <w:rsid w:val="00B65C1A"/>
    <w:rsid w:val="00B6678F"/>
    <w:rsid w:val="00B704D1"/>
    <w:rsid w:val="00B71246"/>
    <w:rsid w:val="00B71532"/>
    <w:rsid w:val="00B718D0"/>
    <w:rsid w:val="00B73888"/>
    <w:rsid w:val="00B73FCD"/>
    <w:rsid w:val="00B75483"/>
    <w:rsid w:val="00B75D0B"/>
    <w:rsid w:val="00B764E5"/>
    <w:rsid w:val="00B76F2D"/>
    <w:rsid w:val="00B77471"/>
    <w:rsid w:val="00B77CE8"/>
    <w:rsid w:val="00B80FE4"/>
    <w:rsid w:val="00B81463"/>
    <w:rsid w:val="00B81976"/>
    <w:rsid w:val="00B82B8D"/>
    <w:rsid w:val="00B84A96"/>
    <w:rsid w:val="00B85268"/>
    <w:rsid w:val="00B87392"/>
    <w:rsid w:val="00B903E5"/>
    <w:rsid w:val="00B909A5"/>
    <w:rsid w:val="00B91A60"/>
    <w:rsid w:val="00B91BD3"/>
    <w:rsid w:val="00B91FC7"/>
    <w:rsid w:val="00B92937"/>
    <w:rsid w:val="00B9332D"/>
    <w:rsid w:val="00B93678"/>
    <w:rsid w:val="00B93D32"/>
    <w:rsid w:val="00B94171"/>
    <w:rsid w:val="00B94D25"/>
    <w:rsid w:val="00B94E53"/>
    <w:rsid w:val="00B955EA"/>
    <w:rsid w:val="00B958A5"/>
    <w:rsid w:val="00B96624"/>
    <w:rsid w:val="00B972DE"/>
    <w:rsid w:val="00B97752"/>
    <w:rsid w:val="00BA0BE8"/>
    <w:rsid w:val="00BA106A"/>
    <w:rsid w:val="00BA111B"/>
    <w:rsid w:val="00BA2719"/>
    <w:rsid w:val="00BA2F44"/>
    <w:rsid w:val="00BA36C7"/>
    <w:rsid w:val="00BA3B01"/>
    <w:rsid w:val="00BA3FD8"/>
    <w:rsid w:val="00BA4762"/>
    <w:rsid w:val="00BA517E"/>
    <w:rsid w:val="00BA7A7E"/>
    <w:rsid w:val="00BA7C78"/>
    <w:rsid w:val="00BA7D0D"/>
    <w:rsid w:val="00BB0BF6"/>
    <w:rsid w:val="00BB0F82"/>
    <w:rsid w:val="00BB14E5"/>
    <w:rsid w:val="00BB1C83"/>
    <w:rsid w:val="00BB1D06"/>
    <w:rsid w:val="00BB1E33"/>
    <w:rsid w:val="00BB38A5"/>
    <w:rsid w:val="00BB3E96"/>
    <w:rsid w:val="00BB503C"/>
    <w:rsid w:val="00BB5BF1"/>
    <w:rsid w:val="00BB670C"/>
    <w:rsid w:val="00BB7942"/>
    <w:rsid w:val="00BB7E5D"/>
    <w:rsid w:val="00BC0192"/>
    <w:rsid w:val="00BC09B2"/>
    <w:rsid w:val="00BC0BE5"/>
    <w:rsid w:val="00BC10DA"/>
    <w:rsid w:val="00BC14E5"/>
    <w:rsid w:val="00BC1841"/>
    <w:rsid w:val="00BC1EC8"/>
    <w:rsid w:val="00BC2A6B"/>
    <w:rsid w:val="00BC2E4D"/>
    <w:rsid w:val="00BC308C"/>
    <w:rsid w:val="00BC39F4"/>
    <w:rsid w:val="00BC5051"/>
    <w:rsid w:val="00BC52E4"/>
    <w:rsid w:val="00BC5769"/>
    <w:rsid w:val="00BC5FB7"/>
    <w:rsid w:val="00BC7498"/>
    <w:rsid w:val="00BC7D7D"/>
    <w:rsid w:val="00BC7FFA"/>
    <w:rsid w:val="00BD1D0A"/>
    <w:rsid w:val="00BD299E"/>
    <w:rsid w:val="00BD2D23"/>
    <w:rsid w:val="00BD3A92"/>
    <w:rsid w:val="00BD4AEC"/>
    <w:rsid w:val="00BD507A"/>
    <w:rsid w:val="00BD6686"/>
    <w:rsid w:val="00BD69F3"/>
    <w:rsid w:val="00BD7B3E"/>
    <w:rsid w:val="00BE2B5E"/>
    <w:rsid w:val="00BE35B0"/>
    <w:rsid w:val="00BE3654"/>
    <w:rsid w:val="00BE592D"/>
    <w:rsid w:val="00BE655F"/>
    <w:rsid w:val="00BE72AC"/>
    <w:rsid w:val="00BE7AE5"/>
    <w:rsid w:val="00BE7FA8"/>
    <w:rsid w:val="00BF1836"/>
    <w:rsid w:val="00BF377F"/>
    <w:rsid w:val="00BF6248"/>
    <w:rsid w:val="00C0109D"/>
    <w:rsid w:val="00C01BD2"/>
    <w:rsid w:val="00C02393"/>
    <w:rsid w:val="00C042F1"/>
    <w:rsid w:val="00C044D1"/>
    <w:rsid w:val="00C054E2"/>
    <w:rsid w:val="00C062AD"/>
    <w:rsid w:val="00C0790F"/>
    <w:rsid w:val="00C10042"/>
    <w:rsid w:val="00C116FB"/>
    <w:rsid w:val="00C12A57"/>
    <w:rsid w:val="00C12AB6"/>
    <w:rsid w:val="00C13D0F"/>
    <w:rsid w:val="00C13EB2"/>
    <w:rsid w:val="00C140E7"/>
    <w:rsid w:val="00C14187"/>
    <w:rsid w:val="00C14A05"/>
    <w:rsid w:val="00C17356"/>
    <w:rsid w:val="00C21181"/>
    <w:rsid w:val="00C21FDB"/>
    <w:rsid w:val="00C22EF5"/>
    <w:rsid w:val="00C2393B"/>
    <w:rsid w:val="00C24797"/>
    <w:rsid w:val="00C271DD"/>
    <w:rsid w:val="00C27612"/>
    <w:rsid w:val="00C27CD3"/>
    <w:rsid w:val="00C30225"/>
    <w:rsid w:val="00C32091"/>
    <w:rsid w:val="00C3470A"/>
    <w:rsid w:val="00C349FC"/>
    <w:rsid w:val="00C35A27"/>
    <w:rsid w:val="00C377D2"/>
    <w:rsid w:val="00C42046"/>
    <w:rsid w:val="00C436D7"/>
    <w:rsid w:val="00C45CA2"/>
    <w:rsid w:val="00C45FED"/>
    <w:rsid w:val="00C46EA2"/>
    <w:rsid w:val="00C47318"/>
    <w:rsid w:val="00C47FE6"/>
    <w:rsid w:val="00C508BB"/>
    <w:rsid w:val="00C511F5"/>
    <w:rsid w:val="00C5149B"/>
    <w:rsid w:val="00C52447"/>
    <w:rsid w:val="00C52458"/>
    <w:rsid w:val="00C529D7"/>
    <w:rsid w:val="00C52F57"/>
    <w:rsid w:val="00C5305F"/>
    <w:rsid w:val="00C53C8F"/>
    <w:rsid w:val="00C54111"/>
    <w:rsid w:val="00C56278"/>
    <w:rsid w:val="00C56CB1"/>
    <w:rsid w:val="00C612D9"/>
    <w:rsid w:val="00C642A0"/>
    <w:rsid w:val="00C6468B"/>
    <w:rsid w:val="00C64A5D"/>
    <w:rsid w:val="00C64C34"/>
    <w:rsid w:val="00C664F7"/>
    <w:rsid w:val="00C669F8"/>
    <w:rsid w:val="00C66ADC"/>
    <w:rsid w:val="00C6786D"/>
    <w:rsid w:val="00C700EA"/>
    <w:rsid w:val="00C73798"/>
    <w:rsid w:val="00C744CA"/>
    <w:rsid w:val="00C7489B"/>
    <w:rsid w:val="00C761B7"/>
    <w:rsid w:val="00C7625D"/>
    <w:rsid w:val="00C775DF"/>
    <w:rsid w:val="00C81D81"/>
    <w:rsid w:val="00C82D8F"/>
    <w:rsid w:val="00C82DD7"/>
    <w:rsid w:val="00C83E4B"/>
    <w:rsid w:val="00C841F0"/>
    <w:rsid w:val="00C849A6"/>
    <w:rsid w:val="00C8503D"/>
    <w:rsid w:val="00C85602"/>
    <w:rsid w:val="00C86311"/>
    <w:rsid w:val="00C903B7"/>
    <w:rsid w:val="00C90870"/>
    <w:rsid w:val="00C90971"/>
    <w:rsid w:val="00C918BC"/>
    <w:rsid w:val="00C9194F"/>
    <w:rsid w:val="00C92091"/>
    <w:rsid w:val="00C928DF"/>
    <w:rsid w:val="00C93A5F"/>
    <w:rsid w:val="00C96B9A"/>
    <w:rsid w:val="00C9737B"/>
    <w:rsid w:val="00C9738F"/>
    <w:rsid w:val="00C97FE3"/>
    <w:rsid w:val="00CA1466"/>
    <w:rsid w:val="00CA1AEA"/>
    <w:rsid w:val="00CA2808"/>
    <w:rsid w:val="00CA3A56"/>
    <w:rsid w:val="00CA46AF"/>
    <w:rsid w:val="00CA4D91"/>
    <w:rsid w:val="00CA4E2B"/>
    <w:rsid w:val="00CA56F9"/>
    <w:rsid w:val="00CB0757"/>
    <w:rsid w:val="00CB0E1F"/>
    <w:rsid w:val="00CB1095"/>
    <w:rsid w:val="00CB116E"/>
    <w:rsid w:val="00CB15D4"/>
    <w:rsid w:val="00CB1E83"/>
    <w:rsid w:val="00CB2942"/>
    <w:rsid w:val="00CB2D92"/>
    <w:rsid w:val="00CB3A06"/>
    <w:rsid w:val="00CB5A00"/>
    <w:rsid w:val="00CB5BA8"/>
    <w:rsid w:val="00CB6AAD"/>
    <w:rsid w:val="00CB6E56"/>
    <w:rsid w:val="00CB7D1B"/>
    <w:rsid w:val="00CC1105"/>
    <w:rsid w:val="00CC1E30"/>
    <w:rsid w:val="00CC30A9"/>
    <w:rsid w:val="00CC36F9"/>
    <w:rsid w:val="00CC48F2"/>
    <w:rsid w:val="00CC7B0E"/>
    <w:rsid w:val="00CD0D37"/>
    <w:rsid w:val="00CD0E52"/>
    <w:rsid w:val="00CD1A9F"/>
    <w:rsid w:val="00CD2431"/>
    <w:rsid w:val="00CD255E"/>
    <w:rsid w:val="00CD25DB"/>
    <w:rsid w:val="00CD3601"/>
    <w:rsid w:val="00CD3FF1"/>
    <w:rsid w:val="00CD47DA"/>
    <w:rsid w:val="00CD4D82"/>
    <w:rsid w:val="00CD56E9"/>
    <w:rsid w:val="00CD5AFA"/>
    <w:rsid w:val="00CD63C9"/>
    <w:rsid w:val="00CD65F1"/>
    <w:rsid w:val="00CD6AB8"/>
    <w:rsid w:val="00CD71D3"/>
    <w:rsid w:val="00CD7D80"/>
    <w:rsid w:val="00CE02C7"/>
    <w:rsid w:val="00CE3BA5"/>
    <w:rsid w:val="00CE3D3E"/>
    <w:rsid w:val="00CE53D1"/>
    <w:rsid w:val="00CF1743"/>
    <w:rsid w:val="00CF2395"/>
    <w:rsid w:val="00CF2567"/>
    <w:rsid w:val="00CF3245"/>
    <w:rsid w:val="00CF45C7"/>
    <w:rsid w:val="00CF4D97"/>
    <w:rsid w:val="00CF4DA5"/>
    <w:rsid w:val="00CF53AD"/>
    <w:rsid w:val="00CF77FD"/>
    <w:rsid w:val="00D00F34"/>
    <w:rsid w:val="00D0138E"/>
    <w:rsid w:val="00D02529"/>
    <w:rsid w:val="00D03202"/>
    <w:rsid w:val="00D04263"/>
    <w:rsid w:val="00D0592F"/>
    <w:rsid w:val="00D06BEC"/>
    <w:rsid w:val="00D06C16"/>
    <w:rsid w:val="00D06F4D"/>
    <w:rsid w:val="00D107C6"/>
    <w:rsid w:val="00D10B4A"/>
    <w:rsid w:val="00D10D61"/>
    <w:rsid w:val="00D11269"/>
    <w:rsid w:val="00D1174D"/>
    <w:rsid w:val="00D11F75"/>
    <w:rsid w:val="00D1204B"/>
    <w:rsid w:val="00D123DA"/>
    <w:rsid w:val="00D12C21"/>
    <w:rsid w:val="00D12E4D"/>
    <w:rsid w:val="00D13FE1"/>
    <w:rsid w:val="00D14B31"/>
    <w:rsid w:val="00D14EBD"/>
    <w:rsid w:val="00D174F6"/>
    <w:rsid w:val="00D20144"/>
    <w:rsid w:val="00D212CF"/>
    <w:rsid w:val="00D2153C"/>
    <w:rsid w:val="00D21988"/>
    <w:rsid w:val="00D223E0"/>
    <w:rsid w:val="00D22624"/>
    <w:rsid w:val="00D228F8"/>
    <w:rsid w:val="00D23779"/>
    <w:rsid w:val="00D24B93"/>
    <w:rsid w:val="00D256E0"/>
    <w:rsid w:val="00D258FC"/>
    <w:rsid w:val="00D25B2B"/>
    <w:rsid w:val="00D305C7"/>
    <w:rsid w:val="00D30F2D"/>
    <w:rsid w:val="00D31BAF"/>
    <w:rsid w:val="00D31D71"/>
    <w:rsid w:val="00D3378D"/>
    <w:rsid w:val="00D3549E"/>
    <w:rsid w:val="00D359B6"/>
    <w:rsid w:val="00D3719B"/>
    <w:rsid w:val="00D371C9"/>
    <w:rsid w:val="00D37E4A"/>
    <w:rsid w:val="00D37F59"/>
    <w:rsid w:val="00D412CE"/>
    <w:rsid w:val="00D41812"/>
    <w:rsid w:val="00D4426D"/>
    <w:rsid w:val="00D450ED"/>
    <w:rsid w:val="00D45FB7"/>
    <w:rsid w:val="00D50B56"/>
    <w:rsid w:val="00D51179"/>
    <w:rsid w:val="00D5121B"/>
    <w:rsid w:val="00D5121F"/>
    <w:rsid w:val="00D5161C"/>
    <w:rsid w:val="00D52688"/>
    <w:rsid w:val="00D5297B"/>
    <w:rsid w:val="00D53116"/>
    <w:rsid w:val="00D5471C"/>
    <w:rsid w:val="00D54F47"/>
    <w:rsid w:val="00D55D1D"/>
    <w:rsid w:val="00D56429"/>
    <w:rsid w:val="00D57055"/>
    <w:rsid w:val="00D574BD"/>
    <w:rsid w:val="00D602DA"/>
    <w:rsid w:val="00D60814"/>
    <w:rsid w:val="00D61331"/>
    <w:rsid w:val="00D61447"/>
    <w:rsid w:val="00D614B8"/>
    <w:rsid w:val="00D616A4"/>
    <w:rsid w:val="00D61C69"/>
    <w:rsid w:val="00D62864"/>
    <w:rsid w:val="00D62A83"/>
    <w:rsid w:val="00D63C5B"/>
    <w:rsid w:val="00D63D0D"/>
    <w:rsid w:val="00D64B30"/>
    <w:rsid w:val="00D656C2"/>
    <w:rsid w:val="00D66212"/>
    <w:rsid w:val="00D706C0"/>
    <w:rsid w:val="00D70985"/>
    <w:rsid w:val="00D70C62"/>
    <w:rsid w:val="00D70D49"/>
    <w:rsid w:val="00D71A03"/>
    <w:rsid w:val="00D72A97"/>
    <w:rsid w:val="00D72AFA"/>
    <w:rsid w:val="00D73077"/>
    <w:rsid w:val="00D7458A"/>
    <w:rsid w:val="00D754F6"/>
    <w:rsid w:val="00D756A6"/>
    <w:rsid w:val="00D8020E"/>
    <w:rsid w:val="00D80C80"/>
    <w:rsid w:val="00D810C9"/>
    <w:rsid w:val="00D81F11"/>
    <w:rsid w:val="00D82314"/>
    <w:rsid w:val="00D82F01"/>
    <w:rsid w:val="00D8406A"/>
    <w:rsid w:val="00D84BE4"/>
    <w:rsid w:val="00D84E32"/>
    <w:rsid w:val="00D864CF"/>
    <w:rsid w:val="00D87BD3"/>
    <w:rsid w:val="00D90EF1"/>
    <w:rsid w:val="00D91756"/>
    <w:rsid w:val="00D91E2D"/>
    <w:rsid w:val="00D91EDD"/>
    <w:rsid w:val="00D92D5E"/>
    <w:rsid w:val="00D944C6"/>
    <w:rsid w:val="00D9512F"/>
    <w:rsid w:val="00D95267"/>
    <w:rsid w:val="00D95CDD"/>
    <w:rsid w:val="00D95E47"/>
    <w:rsid w:val="00D9732C"/>
    <w:rsid w:val="00DA0123"/>
    <w:rsid w:val="00DA06F5"/>
    <w:rsid w:val="00DA0DE6"/>
    <w:rsid w:val="00DA1660"/>
    <w:rsid w:val="00DA22B1"/>
    <w:rsid w:val="00DA31D2"/>
    <w:rsid w:val="00DA3785"/>
    <w:rsid w:val="00DA3BBD"/>
    <w:rsid w:val="00DA53F7"/>
    <w:rsid w:val="00DA62E1"/>
    <w:rsid w:val="00DA79CB"/>
    <w:rsid w:val="00DB04D3"/>
    <w:rsid w:val="00DB08C2"/>
    <w:rsid w:val="00DB191B"/>
    <w:rsid w:val="00DB1E00"/>
    <w:rsid w:val="00DB330B"/>
    <w:rsid w:val="00DB3507"/>
    <w:rsid w:val="00DB3694"/>
    <w:rsid w:val="00DB383D"/>
    <w:rsid w:val="00DB3BB9"/>
    <w:rsid w:val="00DB47FE"/>
    <w:rsid w:val="00DB4E5B"/>
    <w:rsid w:val="00DB6851"/>
    <w:rsid w:val="00DB788A"/>
    <w:rsid w:val="00DC1E03"/>
    <w:rsid w:val="00DC2F59"/>
    <w:rsid w:val="00DC42CA"/>
    <w:rsid w:val="00DC503A"/>
    <w:rsid w:val="00DC587E"/>
    <w:rsid w:val="00DC6B82"/>
    <w:rsid w:val="00DC7CE8"/>
    <w:rsid w:val="00DD0297"/>
    <w:rsid w:val="00DD05C9"/>
    <w:rsid w:val="00DD1042"/>
    <w:rsid w:val="00DD2AF5"/>
    <w:rsid w:val="00DD2BFD"/>
    <w:rsid w:val="00DD36E9"/>
    <w:rsid w:val="00DD4ECB"/>
    <w:rsid w:val="00DD64F9"/>
    <w:rsid w:val="00DD7C96"/>
    <w:rsid w:val="00DE0EA5"/>
    <w:rsid w:val="00DE12B6"/>
    <w:rsid w:val="00DE1AB8"/>
    <w:rsid w:val="00DE2DB3"/>
    <w:rsid w:val="00DE30DD"/>
    <w:rsid w:val="00DE3610"/>
    <w:rsid w:val="00DE3984"/>
    <w:rsid w:val="00DE42F5"/>
    <w:rsid w:val="00DE5814"/>
    <w:rsid w:val="00DE7F30"/>
    <w:rsid w:val="00DF0D17"/>
    <w:rsid w:val="00DF11FD"/>
    <w:rsid w:val="00DF21BF"/>
    <w:rsid w:val="00DF2A67"/>
    <w:rsid w:val="00DF3BFD"/>
    <w:rsid w:val="00DF65B0"/>
    <w:rsid w:val="00DF7B28"/>
    <w:rsid w:val="00DF7E26"/>
    <w:rsid w:val="00E00182"/>
    <w:rsid w:val="00E0122B"/>
    <w:rsid w:val="00E016D5"/>
    <w:rsid w:val="00E020DB"/>
    <w:rsid w:val="00E026C7"/>
    <w:rsid w:val="00E02C2B"/>
    <w:rsid w:val="00E043CE"/>
    <w:rsid w:val="00E05667"/>
    <w:rsid w:val="00E0753B"/>
    <w:rsid w:val="00E111DF"/>
    <w:rsid w:val="00E11597"/>
    <w:rsid w:val="00E1286B"/>
    <w:rsid w:val="00E12F9A"/>
    <w:rsid w:val="00E143AB"/>
    <w:rsid w:val="00E14877"/>
    <w:rsid w:val="00E15518"/>
    <w:rsid w:val="00E15746"/>
    <w:rsid w:val="00E15766"/>
    <w:rsid w:val="00E1614A"/>
    <w:rsid w:val="00E167D3"/>
    <w:rsid w:val="00E16ECF"/>
    <w:rsid w:val="00E16FBD"/>
    <w:rsid w:val="00E17FB8"/>
    <w:rsid w:val="00E20562"/>
    <w:rsid w:val="00E20C27"/>
    <w:rsid w:val="00E217DB"/>
    <w:rsid w:val="00E22221"/>
    <w:rsid w:val="00E24265"/>
    <w:rsid w:val="00E24511"/>
    <w:rsid w:val="00E250EE"/>
    <w:rsid w:val="00E2662D"/>
    <w:rsid w:val="00E2752F"/>
    <w:rsid w:val="00E27C55"/>
    <w:rsid w:val="00E27F11"/>
    <w:rsid w:val="00E3115D"/>
    <w:rsid w:val="00E31895"/>
    <w:rsid w:val="00E31C70"/>
    <w:rsid w:val="00E31C98"/>
    <w:rsid w:val="00E324AE"/>
    <w:rsid w:val="00E32B9C"/>
    <w:rsid w:val="00E33229"/>
    <w:rsid w:val="00E336B8"/>
    <w:rsid w:val="00E33E6D"/>
    <w:rsid w:val="00E34EB6"/>
    <w:rsid w:val="00E34F13"/>
    <w:rsid w:val="00E3722A"/>
    <w:rsid w:val="00E40972"/>
    <w:rsid w:val="00E419AC"/>
    <w:rsid w:val="00E41B5E"/>
    <w:rsid w:val="00E41D73"/>
    <w:rsid w:val="00E4398E"/>
    <w:rsid w:val="00E43B45"/>
    <w:rsid w:val="00E4403F"/>
    <w:rsid w:val="00E444A5"/>
    <w:rsid w:val="00E44745"/>
    <w:rsid w:val="00E46B18"/>
    <w:rsid w:val="00E50CC0"/>
    <w:rsid w:val="00E5102B"/>
    <w:rsid w:val="00E524C6"/>
    <w:rsid w:val="00E52A9A"/>
    <w:rsid w:val="00E5392C"/>
    <w:rsid w:val="00E56FC0"/>
    <w:rsid w:val="00E5746A"/>
    <w:rsid w:val="00E6119B"/>
    <w:rsid w:val="00E61784"/>
    <w:rsid w:val="00E61FE6"/>
    <w:rsid w:val="00E63463"/>
    <w:rsid w:val="00E63A37"/>
    <w:rsid w:val="00E646FA"/>
    <w:rsid w:val="00E6493E"/>
    <w:rsid w:val="00E6602D"/>
    <w:rsid w:val="00E6700B"/>
    <w:rsid w:val="00E70021"/>
    <w:rsid w:val="00E70AD3"/>
    <w:rsid w:val="00E70DA9"/>
    <w:rsid w:val="00E70FBA"/>
    <w:rsid w:val="00E71032"/>
    <w:rsid w:val="00E7236F"/>
    <w:rsid w:val="00E7310E"/>
    <w:rsid w:val="00E749A3"/>
    <w:rsid w:val="00E751EF"/>
    <w:rsid w:val="00E75B49"/>
    <w:rsid w:val="00E77AE6"/>
    <w:rsid w:val="00E77C6E"/>
    <w:rsid w:val="00E80371"/>
    <w:rsid w:val="00E80E9D"/>
    <w:rsid w:val="00E81064"/>
    <w:rsid w:val="00E8161F"/>
    <w:rsid w:val="00E820D2"/>
    <w:rsid w:val="00E83DB1"/>
    <w:rsid w:val="00E90150"/>
    <w:rsid w:val="00E910F2"/>
    <w:rsid w:val="00E91834"/>
    <w:rsid w:val="00E921BF"/>
    <w:rsid w:val="00E92DC8"/>
    <w:rsid w:val="00E941AD"/>
    <w:rsid w:val="00E943D2"/>
    <w:rsid w:val="00E95F79"/>
    <w:rsid w:val="00E96B63"/>
    <w:rsid w:val="00E96C5C"/>
    <w:rsid w:val="00E9733B"/>
    <w:rsid w:val="00E97AF1"/>
    <w:rsid w:val="00EA1238"/>
    <w:rsid w:val="00EA1ACE"/>
    <w:rsid w:val="00EA27A9"/>
    <w:rsid w:val="00EA28EE"/>
    <w:rsid w:val="00EA28F4"/>
    <w:rsid w:val="00EA2E29"/>
    <w:rsid w:val="00EA30DB"/>
    <w:rsid w:val="00EA4156"/>
    <w:rsid w:val="00EA48D4"/>
    <w:rsid w:val="00EA4C5B"/>
    <w:rsid w:val="00EA4EB7"/>
    <w:rsid w:val="00EA51E3"/>
    <w:rsid w:val="00EA5608"/>
    <w:rsid w:val="00EA6294"/>
    <w:rsid w:val="00EA751B"/>
    <w:rsid w:val="00EA7649"/>
    <w:rsid w:val="00EA7D2C"/>
    <w:rsid w:val="00EB1602"/>
    <w:rsid w:val="00EB1C90"/>
    <w:rsid w:val="00EB1D9E"/>
    <w:rsid w:val="00EB46BA"/>
    <w:rsid w:val="00EB489E"/>
    <w:rsid w:val="00EB49EB"/>
    <w:rsid w:val="00EB6BFC"/>
    <w:rsid w:val="00EB795C"/>
    <w:rsid w:val="00EB7C88"/>
    <w:rsid w:val="00EC1247"/>
    <w:rsid w:val="00EC3B9A"/>
    <w:rsid w:val="00EC4785"/>
    <w:rsid w:val="00EC484B"/>
    <w:rsid w:val="00EC5A87"/>
    <w:rsid w:val="00ED0231"/>
    <w:rsid w:val="00ED0EA0"/>
    <w:rsid w:val="00ED1C0F"/>
    <w:rsid w:val="00ED2B96"/>
    <w:rsid w:val="00ED4CBE"/>
    <w:rsid w:val="00ED64D2"/>
    <w:rsid w:val="00ED6A8C"/>
    <w:rsid w:val="00ED6C48"/>
    <w:rsid w:val="00ED7087"/>
    <w:rsid w:val="00EE14EF"/>
    <w:rsid w:val="00EE1A17"/>
    <w:rsid w:val="00EE3F56"/>
    <w:rsid w:val="00EE4102"/>
    <w:rsid w:val="00EE4B91"/>
    <w:rsid w:val="00EE54F2"/>
    <w:rsid w:val="00EE5A3F"/>
    <w:rsid w:val="00EE61E2"/>
    <w:rsid w:val="00EE68DD"/>
    <w:rsid w:val="00EF14FE"/>
    <w:rsid w:val="00EF2738"/>
    <w:rsid w:val="00EF2BF4"/>
    <w:rsid w:val="00EF2F82"/>
    <w:rsid w:val="00EF464B"/>
    <w:rsid w:val="00EF497E"/>
    <w:rsid w:val="00EF4D34"/>
    <w:rsid w:val="00EF51E4"/>
    <w:rsid w:val="00EF52D7"/>
    <w:rsid w:val="00EF5C2C"/>
    <w:rsid w:val="00EF61BB"/>
    <w:rsid w:val="00EF6E5C"/>
    <w:rsid w:val="00EF7A71"/>
    <w:rsid w:val="00F00177"/>
    <w:rsid w:val="00F006A5"/>
    <w:rsid w:val="00F014DF"/>
    <w:rsid w:val="00F03B1D"/>
    <w:rsid w:val="00F05D57"/>
    <w:rsid w:val="00F063CB"/>
    <w:rsid w:val="00F068B3"/>
    <w:rsid w:val="00F06FB8"/>
    <w:rsid w:val="00F070E1"/>
    <w:rsid w:val="00F0798D"/>
    <w:rsid w:val="00F07C30"/>
    <w:rsid w:val="00F11BFC"/>
    <w:rsid w:val="00F126CC"/>
    <w:rsid w:val="00F1307A"/>
    <w:rsid w:val="00F14E73"/>
    <w:rsid w:val="00F15396"/>
    <w:rsid w:val="00F16753"/>
    <w:rsid w:val="00F16856"/>
    <w:rsid w:val="00F16B74"/>
    <w:rsid w:val="00F21052"/>
    <w:rsid w:val="00F210DC"/>
    <w:rsid w:val="00F214B1"/>
    <w:rsid w:val="00F21E1B"/>
    <w:rsid w:val="00F226A8"/>
    <w:rsid w:val="00F231CE"/>
    <w:rsid w:val="00F234AF"/>
    <w:rsid w:val="00F242BB"/>
    <w:rsid w:val="00F243E8"/>
    <w:rsid w:val="00F25388"/>
    <w:rsid w:val="00F25A68"/>
    <w:rsid w:val="00F25DD2"/>
    <w:rsid w:val="00F264B9"/>
    <w:rsid w:val="00F27F6F"/>
    <w:rsid w:val="00F3137A"/>
    <w:rsid w:val="00F321A2"/>
    <w:rsid w:val="00F330D1"/>
    <w:rsid w:val="00F33683"/>
    <w:rsid w:val="00F341B4"/>
    <w:rsid w:val="00F34877"/>
    <w:rsid w:val="00F35A0D"/>
    <w:rsid w:val="00F35A39"/>
    <w:rsid w:val="00F35AE9"/>
    <w:rsid w:val="00F35B6A"/>
    <w:rsid w:val="00F36ED5"/>
    <w:rsid w:val="00F377BD"/>
    <w:rsid w:val="00F403AB"/>
    <w:rsid w:val="00F405D3"/>
    <w:rsid w:val="00F41AF2"/>
    <w:rsid w:val="00F41F0F"/>
    <w:rsid w:val="00F42DDA"/>
    <w:rsid w:val="00F43B8F"/>
    <w:rsid w:val="00F456D9"/>
    <w:rsid w:val="00F4575E"/>
    <w:rsid w:val="00F47756"/>
    <w:rsid w:val="00F47E9A"/>
    <w:rsid w:val="00F514B5"/>
    <w:rsid w:val="00F52441"/>
    <w:rsid w:val="00F536A2"/>
    <w:rsid w:val="00F53F3D"/>
    <w:rsid w:val="00F558D4"/>
    <w:rsid w:val="00F55EBA"/>
    <w:rsid w:val="00F56374"/>
    <w:rsid w:val="00F56529"/>
    <w:rsid w:val="00F566ED"/>
    <w:rsid w:val="00F5790E"/>
    <w:rsid w:val="00F60669"/>
    <w:rsid w:val="00F612B2"/>
    <w:rsid w:val="00F61A4E"/>
    <w:rsid w:val="00F61E8B"/>
    <w:rsid w:val="00F626B8"/>
    <w:rsid w:val="00F634E4"/>
    <w:rsid w:val="00F64C91"/>
    <w:rsid w:val="00F64D9D"/>
    <w:rsid w:val="00F65F5D"/>
    <w:rsid w:val="00F667D8"/>
    <w:rsid w:val="00F66BD0"/>
    <w:rsid w:val="00F67363"/>
    <w:rsid w:val="00F710FF"/>
    <w:rsid w:val="00F71E1D"/>
    <w:rsid w:val="00F71EEF"/>
    <w:rsid w:val="00F72A63"/>
    <w:rsid w:val="00F7368D"/>
    <w:rsid w:val="00F74A03"/>
    <w:rsid w:val="00F75724"/>
    <w:rsid w:val="00F777B4"/>
    <w:rsid w:val="00F813A7"/>
    <w:rsid w:val="00F82EF2"/>
    <w:rsid w:val="00F8349B"/>
    <w:rsid w:val="00F83552"/>
    <w:rsid w:val="00F83C4F"/>
    <w:rsid w:val="00F858F8"/>
    <w:rsid w:val="00F861EF"/>
    <w:rsid w:val="00F8668E"/>
    <w:rsid w:val="00F86A3A"/>
    <w:rsid w:val="00F875C6"/>
    <w:rsid w:val="00F900A8"/>
    <w:rsid w:val="00F9113B"/>
    <w:rsid w:val="00F91C2B"/>
    <w:rsid w:val="00F92647"/>
    <w:rsid w:val="00F92B7A"/>
    <w:rsid w:val="00F93177"/>
    <w:rsid w:val="00F94D16"/>
    <w:rsid w:val="00F950B6"/>
    <w:rsid w:val="00F953AC"/>
    <w:rsid w:val="00F9545B"/>
    <w:rsid w:val="00F9587E"/>
    <w:rsid w:val="00F95AB5"/>
    <w:rsid w:val="00F9693E"/>
    <w:rsid w:val="00F96CA5"/>
    <w:rsid w:val="00F9749D"/>
    <w:rsid w:val="00F97D56"/>
    <w:rsid w:val="00F97E1F"/>
    <w:rsid w:val="00FA09BB"/>
    <w:rsid w:val="00FA0EBA"/>
    <w:rsid w:val="00FA130A"/>
    <w:rsid w:val="00FA2220"/>
    <w:rsid w:val="00FA2C1B"/>
    <w:rsid w:val="00FA3A14"/>
    <w:rsid w:val="00FA3E4A"/>
    <w:rsid w:val="00FA3F8C"/>
    <w:rsid w:val="00FA46AF"/>
    <w:rsid w:val="00FA4967"/>
    <w:rsid w:val="00FA5594"/>
    <w:rsid w:val="00FA6313"/>
    <w:rsid w:val="00FA7177"/>
    <w:rsid w:val="00FB08A5"/>
    <w:rsid w:val="00FB15C6"/>
    <w:rsid w:val="00FB266B"/>
    <w:rsid w:val="00FB2A53"/>
    <w:rsid w:val="00FB2C0D"/>
    <w:rsid w:val="00FB420E"/>
    <w:rsid w:val="00FB4AB4"/>
    <w:rsid w:val="00FB7A9A"/>
    <w:rsid w:val="00FB7EC9"/>
    <w:rsid w:val="00FC0109"/>
    <w:rsid w:val="00FC0E85"/>
    <w:rsid w:val="00FC0F54"/>
    <w:rsid w:val="00FC1440"/>
    <w:rsid w:val="00FC2676"/>
    <w:rsid w:val="00FC378F"/>
    <w:rsid w:val="00FC43DB"/>
    <w:rsid w:val="00FC49AE"/>
    <w:rsid w:val="00FC4FE6"/>
    <w:rsid w:val="00FC5AC5"/>
    <w:rsid w:val="00FC6CEF"/>
    <w:rsid w:val="00FC7517"/>
    <w:rsid w:val="00FD15F9"/>
    <w:rsid w:val="00FD274A"/>
    <w:rsid w:val="00FD2B84"/>
    <w:rsid w:val="00FD32EF"/>
    <w:rsid w:val="00FD4BC8"/>
    <w:rsid w:val="00FD64CE"/>
    <w:rsid w:val="00FD64DE"/>
    <w:rsid w:val="00FD750D"/>
    <w:rsid w:val="00FE0C1B"/>
    <w:rsid w:val="00FE0D95"/>
    <w:rsid w:val="00FE1F24"/>
    <w:rsid w:val="00FE3772"/>
    <w:rsid w:val="00FE44B6"/>
    <w:rsid w:val="00FE4A05"/>
    <w:rsid w:val="00FE4FE2"/>
    <w:rsid w:val="00FE5B12"/>
    <w:rsid w:val="00FE5F7F"/>
    <w:rsid w:val="00FE743E"/>
    <w:rsid w:val="00FE7F8D"/>
    <w:rsid w:val="00FF0D9F"/>
    <w:rsid w:val="00FF275C"/>
    <w:rsid w:val="00FF312A"/>
    <w:rsid w:val="00FF3E9C"/>
    <w:rsid w:val="00FF41DA"/>
    <w:rsid w:val="00FF4DCF"/>
    <w:rsid w:val="00FF5074"/>
    <w:rsid w:val="00FF7484"/>
    <w:rsid w:val="00FF773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CBA169A"/>
  <w15:docId w15:val="{A3CD889B-DDCC-4E9C-8850-5DAAD3A2C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Ref,SUPERS,4_"/>
    <w:link w:val="Appelnotedebasde"/>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775A61"/>
    <w:rPr>
      <w:sz w:val="16"/>
      <w:szCs w:val="16"/>
    </w:rPr>
  </w:style>
  <w:style w:type="paragraph" w:styleId="CommentText">
    <w:name w:val="annotation text"/>
    <w:basedOn w:val="Normal"/>
    <w:link w:val="CommentTextChar"/>
    <w:uiPriority w:val="99"/>
    <w:unhideWhenUsed/>
    <w:rsid w:val="00775A61"/>
    <w:pPr>
      <w:spacing w:line="240" w:lineRule="auto"/>
    </w:pPr>
  </w:style>
  <w:style w:type="character" w:customStyle="1" w:styleId="CommentTextChar">
    <w:name w:val="Comment Text Char"/>
    <w:basedOn w:val="DefaultParagraphFont"/>
    <w:link w:val="CommentText"/>
    <w:uiPriority w:val="99"/>
    <w:rsid w:val="00775A61"/>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75A61"/>
    <w:rPr>
      <w:b/>
      <w:bCs/>
    </w:rPr>
  </w:style>
  <w:style w:type="character" w:customStyle="1" w:styleId="CommentSubjectChar">
    <w:name w:val="Comment Subject Char"/>
    <w:basedOn w:val="CommentTextChar"/>
    <w:link w:val="CommentSubject"/>
    <w:uiPriority w:val="99"/>
    <w:semiHidden/>
    <w:rsid w:val="00775A61"/>
    <w:rPr>
      <w:rFonts w:ascii="Times New Roman" w:eastAsia="Times New Roman" w:hAnsi="Times New Roman" w:cs="Times New Roman"/>
      <w:b/>
      <w:bCs/>
      <w:sz w:val="20"/>
      <w:szCs w:val="20"/>
      <w:lang w:eastAsia="en-US"/>
    </w:rPr>
  </w:style>
  <w:style w:type="paragraph" w:styleId="ListParagraph">
    <w:name w:val="List Paragraph"/>
    <w:basedOn w:val="Normal"/>
    <w:uiPriority w:val="34"/>
    <w:rsid w:val="00B53136"/>
    <w:pPr>
      <w:ind w:left="720"/>
      <w:contextualSpacing/>
    </w:pPr>
  </w:style>
  <w:style w:type="character" w:styleId="Hyperlink">
    <w:name w:val="Hyperlink"/>
    <w:basedOn w:val="DefaultParagraphFont"/>
    <w:uiPriority w:val="99"/>
    <w:unhideWhenUsed/>
    <w:rsid w:val="004F1D1D"/>
    <w:rPr>
      <w:color w:val="0000FF" w:themeColor="hyperlink"/>
      <w:u w:val="single"/>
    </w:rPr>
  </w:style>
  <w:style w:type="character" w:customStyle="1" w:styleId="SingleTxtGChar">
    <w:name w:val="_ Single Txt_G Char"/>
    <w:link w:val="SingleTxtG"/>
    <w:locked/>
    <w:rsid w:val="004D30E3"/>
    <w:rPr>
      <w:rFonts w:ascii="Times New Roman" w:hAnsi="Times New Roman" w:cs="Times New Roman"/>
      <w:sz w:val="20"/>
      <w:szCs w:val="20"/>
    </w:rPr>
  </w:style>
  <w:style w:type="paragraph" w:styleId="Revision">
    <w:name w:val="Revision"/>
    <w:hidden/>
    <w:uiPriority w:val="99"/>
    <w:semiHidden/>
    <w:rsid w:val="00BE35B0"/>
    <w:pPr>
      <w:spacing w:after="0" w:line="240" w:lineRule="auto"/>
    </w:pPr>
    <w:rPr>
      <w:rFonts w:ascii="Times New Roman" w:eastAsia="Times New Roman" w:hAnsi="Times New Roman" w:cs="Times New Roman"/>
      <w:sz w:val="20"/>
      <w:szCs w:val="20"/>
      <w:lang w:eastAsia="en-US"/>
    </w:rPr>
  </w:style>
  <w:style w:type="paragraph" w:styleId="NormalWeb">
    <w:name w:val="Normal (Web)"/>
    <w:basedOn w:val="Normal"/>
    <w:uiPriority w:val="99"/>
    <w:semiHidden/>
    <w:unhideWhenUsed/>
    <w:rsid w:val="00A90EC5"/>
    <w:rPr>
      <w:sz w:val="24"/>
      <w:szCs w:val="24"/>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uiPriority w:val="99"/>
    <w:rsid w:val="00F75724"/>
    <w:pPr>
      <w:suppressAutoHyphens w:val="0"/>
      <w:spacing w:before="120" w:after="120" w:line="240" w:lineRule="auto"/>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25528228">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346296429">
      <w:bodyDiv w:val="1"/>
      <w:marLeft w:val="0"/>
      <w:marRight w:val="0"/>
      <w:marTop w:val="0"/>
      <w:marBottom w:val="0"/>
      <w:divBdr>
        <w:top w:val="none" w:sz="0" w:space="0" w:color="auto"/>
        <w:left w:val="none" w:sz="0" w:space="0" w:color="auto"/>
        <w:bottom w:val="none" w:sz="0" w:space="0" w:color="auto"/>
        <w:right w:val="none" w:sz="0" w:space="0" w:color="auto"/>
      </w:divBdr>
    </w:div>
    <w:div w:id="357857479">
      <w:bodyDiv w:val="1"/>
      <w:marLeft w:val="0"/>
      <w:marRight w:val="0"/>
      <w:marTop w:val="0"/>
      <w:marBottom w:val="0"/>
      <w:divBdr>
        <w:top w:val="none" w:sz="0" w:space="0" w:color="auto"/>
        <w:left w:val="none" w:sz="0" w:space="0" w:color="auto"/>
        <w:bottom w:val="none" w:sz="0" w:space="0" w:color="auto"/>
        <w:right w:val="none" w:sz="0" w:space="0" w:color="auto"/>
      </w:divBdr>
    </w:div>
    <w:div w:id="478232536">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13653088">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956448363">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48332055">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083795711">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ibtimes.co.uk/nigeria-credible-evidence-that-pro-biafrans-are-targeted-by-police-says-amnesty-international-151912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se document" ma:contentTypeID="0x010100A70BC505B2949A43BBFACEE4A97207700077D80F7548CC8042885EAFE06D1D81B7" ma:contentTypeVersion="17" ma:contentTypeDescription="" ma:contentTypeScope="" ma:versionID="e2d80e92b9702163c77d9a76d901dea2">
  <xsd:schema xmlns:xsd="http://www.w3.org/2001/XMLSchema" xmlns:xs="http://www.w3.org/2001/XMLSchema" xmlns:p="http://schemas.microsoft.com/office/2006/metadata/properties" xmlns:ns2="843519ee-602c-4a77-9f98-e0b2d1df032d" xmlns:ns3="1bb7588e-e247-4215-aaaa-8ddb8e8e8079" xmlns:ns4="d0e6e1dd-cead-4b20-a8ab-6c17962cc4ab" xmlns:ns5="2d113eb4-e65a-468c-82cb-a0357bc1037f" targetNamespace="http://schemas.microsoft.com/office/2006/metadata/properties" ma:root="true" ma:fieldsID="9c21b8c842bae9d1267c904587dc4f63" ns2:_="" ns3:_="" ns4:_="" ns5:_="">
    <xsd:import namespace="843519ee-602c-4a77-9f98-e0b2d1df032d"/>
    <xsd:import namespace="1bb7588e-e247-4215-aaaa-8ddb8e8e8079"/>
    <xsd:import namespace="d0e6e1dd-cead-4b20-a8ab-6c17962cc4ab"/>
    <xsd:import namespace="2d113eb4-e65a-468c-82cb-a0357bc1037f"/>
    <xsd:element name="properties">
      <xsd:complexType>
        <xsd:sequence>
          <xsd:element name="documentManagement">
            <xsd:complexType>
              <xsd:all>
                <xsd:element ref="ns2:Folder" minOccurs="0"/>
                <xsd:element ref="ns2:Cover_x0020_page" minOccurs="0"/>
                <xsd:element ref="ns3:Case" minOccurs="0"/>
                <xsd:element ref="ns4:Follow_x002d_up" minOccurs="0"/>
                <xsd:element ref="ns4:Inadmissibility" minOccurs="0"/>
                <xsd:element ref="ns4:Discontinuance" minOccurs="0"/>
                <xsd:element ref="ns4:List_x0020_of_x0020_documents" minOccurs="0"/>
                <xsd:element ref="ns4:Repetitive" minOccurs="0"/>
                <xsd:element ref="ns4:Chamber_1" minOccurs="0"/>
                <xsd:element ref="ns4:Chamber_2" minOccurs="0"/>
                <xsd:element ref="ns5:Drafts_x0020_adopted_x0020_by_x0020_the_x0020_chambers" minOccurs="0"/>
                <xsd:element ref="ns5:Admis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519ee-602c-4a77-9f98-e0b2d1df032d" elementFormDefault="qualified">
    <xsd:import namespace="http://schemas.microsoft.com/office/2006/documentManagement/types"/>
    <xsd:import namespace="http://schemas.microsoft.com/office/infopath/2007/PartnerControls"/>
    <xsd:element name="Folder" ma:index="8" nillable="true" ma:displayName="Folder" ma:default="-" ma:description="Please select the folder, if needed" ma:format="Dropdown" ma:internalName="Folder">
      <xsd:simpleType>
        <xsd:restriction base="dms:Choice">
          <xsd:enumeration value="-"/>
          <xsd:enumeration value="Folder 1"/>
          <xsd:enumeration value="Folder 2"/>
          <xsd:enumeration value="Folder 3"/>
          <xsd:enumeration value="Folder 4"/>
          <xsd:enumeration value="Folder 5"/>
          <xsd:enumeration value="Folder 6"/>
          <xsd:enumeration value="Folder 7"/>
          <xsd:enumeration value="Folder 8"/>
          <xsd:enumeration value="Folder 9"/>
          <xsd:enumeration value="Discontinuance Report"/>
          <xsd:enumeration value="Follow Up To Views"/>
        </xsd:restriction>
      </xsd:simpleType>
    </xsd:element>
    <xsd:element name="Cover_x0020_page" ma:index="9" nillable="true" ma:displayName="Cover page" ma:default="0" ma:description="Check the box if it is a cover page folder" ma:internalName="Cover_x0020_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bb7588e-e247-4215-aaaa-8ddb8e8e8079" elementFormDefault="qualified">
    <xsd:import namespace="http://schemas.microsoft.com/office/2006/documentManagement/types"/>
    <xsd:import namespace="http://schemas.microsoft.com/office/infopath/2007/PartnerControls"/>
    <xsd:element name="Case" ma:index="10" nillable="true" ma:displayName="Case" ma:description="Please select a case" ma:list="{544f8d53-f405-494b-9312-94ad2f3a27a5}" ma:internalName="Ca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0e6e1dd-cead-4b20-a8ab-6c17962cc4ab" elementFormDefault="qualified">
    <xsd:import namespace="http://schemas.microsoft.com/office/2006/documentManagement/types"/>
    <xsd:import namespace="http://schemas.microsoft.com/office/infopath/2007/PartnerControls"/>
    <xsd:element name="Follow_x002d_up" ma:index="11" nillable="true" ma:displayName="Follow-up" ma:default="0" ma:description="Check the box if it is a follow-up report" ma:internalName="Follow_x002d_up">
      <xsd:simpleType>
        <xsd:restriction base="dms:Boolean"/>
      </xsd:simpleType>
    </xsd:element>
    <xsd:element name="Inadmissibility" ma:index="12" nillable="true" ma:displayName="Inadmissibility" ma:default="0" ma:description="Check the box if it is Indadmissibility" ma:internalName="Inadmissibility">
      <xsd:simpleType>
        <xsd:restriction base="dms:Boolean"/>
      </xsd:simpleType>
    </xsd:element>
    <xsd:element name="Discontinuance" ma:index="13" nillable="true" ma:displayName="Discontinuance" ma:default="0" ma:description="Select the box if it is Discontinuance" ma:internalName="Discontinuance">
      <xsd:simpleType>
        <xsd:restriction base="dms:Boolean"/>
      </xsd:simpleType>
    </xsd:element>
    <xsd:element name="List_x0020_of_x0020_documents" ma:index="14" nillable="true" ma:displayName="Drafts on the merits" ma:default="0" ma:description="Select the box if it is a Draft on the merits" ma:internalName="List_x0020_of_x0020_documents">
      <xsd:simpleType>
        <xsd:restriction base="dms:Boolean"/>
      </xsd:simpleType>
    </xsd:element>
    <xsd:element name="Repetitive" ma:index="15" nillable="true" ma:displayName="Repetitive" ma:default="0" ma:description="Select the box if it is repetive" ma:internalName="Repetitive">
      <xsd:simpleType>
        <xsd:restriction base="dms:Boolean"/>
      </xsd:simpleType>
    </xsd:element>
    <xsd:element name="Chamber_1" ma:index="16" nillable="true" ma:displayName="Chamber_1" ma:default="0" ma:description="Select the box if it is Chamber 1" ma:internalName="Chamber_1">
      <xsd:simpleType>
        <xsd:restriction base="dms:Boolean"/>
      </xsd:simpleType>
    </xsd:element>
    <xsd:element name="Chamber_2" ma:index="17" nillable="true" ma:displayName="Chamber_2" ma:default="0" ma:description="Select the box if it is Chamber 2" ma:internalName="Chamber_2">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d113eb4-e65a-468c-82cb-a0357bc1037f" elementFormDefault="qualified">
    <xsd:import namespace="http://schemas.microsoft.com/office/2006/documentManagement/types"/>
    <xsd:import namespace="http://schemas.microsoft.com/office/infopath/2007/PartnerControls"/>
    <xsd:element name="Drafts_x0020_adopted_x0020_by_x0020_the_x0020_chambers" ma:index="18" nillable="true" ma:displayName="Drafts adopted by the chambers" ma:default="0" ma:internalName="Drafts_x0020_adopted_x0020_by_x0020_the_x0020_chambers">
      <xsd:simpleType>
        <xsd:restriction base="dms:Boolean"/>
      </xsd:simpleType>
    </xsd:element>
    <xsd:element name="Admissible" ma:index="19" nillable="true" ma:displayName="Admissible" ma:default="0" ma:internalName="Admi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hamber_2 xmlns="d0e6e1dd-cead-4b20-a8ab-6c17962cc4ab">false</Chamber_2>
    <Inadmissibility xmlns="d0e6e1dd-cead-4b20-a8ab-6c17962cc4ab">false</Inadmissibility>
    <Chamber_1 xmlns="d0e6e1dd-cead-4b20-a8ab-6c17962cc4ab">false</Chamber_1>
    <Cover_x0020_page xmlns="843519ee-602c-4a77-9f98-e0b2d1df032d">false</Cover_x0020_page>
    <Follow_x002d_up xmlns="d0e6e1dd-cead-4b20-a8ab-6c17962cc4ab">false</Follow_x002d_up>
    <Repetitive xmlns="d0e6e1dd-cead-4b20-a8ab-6c17962cc4ab">false</Repetitive>
    <Case xmlns="1bb7588e-e247-4215-aaaa-8ddb8e8e8079" xsi:nil="true"/>
    <Folder xmlns="843519ee-602c-4a77-9f98-e0b2d1df032d">Folder 5</Folder>
    <Drafts_x0020_adopted_x0020_by_x0020_the_x0020_chambers xmlns="2d113eb4-e65a-468c-82cb-a0357bc1037f">false</Drafts_x0020_adopted_x0020_by_x0020_the_x0020_chambers>
    <Admissible xmlns="2d113eb4-e65a-468c-82cb-a0357bc1037f">false</Admissible>
    <Discontinuance xmlns="d0e6e1dd-cead-4b20-a8ab-6c17962cc4ab">false</Discontinuance>
    <List_x0020_of_x0020_documents xmlns="d0e6e1dd-cead-4b20-a8ab-6c17962cc4ab">false</List_x0020_of_x0020_documents>
  </documentManagement>
</p:properties>
</file>

<file path=customXml/itemProps1.xml><?xml version="1.0" encoding="utf-8"?>
<ds:datastoreItem xmlns:ds="http://schemas.openxmlformats.org/officeDocument/2006/customXml" ds:itemID="{2EB7DBCB-04DF-4662-8C57-4BDCF4A53DF2}">
  <ds:schemaRefs>
    <ds:schemaRef ds:uri="http://schemas.microsoft.com/sharepoint/v3/contenttype/forms"/>
  </ds:schemaRefs>
</ds:datastoreItem>
</file>

<file path=customXml/itemProps2.xml><?xml version="1.0" encoding="utf-8"?>
<ds:datastoreItem xmlns:ds="http://schemas.openxmlformats.org/officeDocument/2006/customXml" ds:itemID="{7F9484AB-061A-45C4-9BD2-2B83C2839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519ee-602c-4a77-9f98-e0b2d1df032d"/>
    <ds:schemaRef ds:uri="1bb7588e-e247-4215-aaaa-8ddb8e8e8079"/>
    <ds:schemaRef ds:uri="d0e6e1dd-cead-4b20-a8ab-6c17962cc4ab"/>
    <ds:schemaRef ds:uri="2d113eb4-e65a-468c-82cb-a0357bc10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61A788-1A58-4871-8CA2-D23EBF4289D7}">
  <ds:schemaRefs>
    <ds:schemaRef ds:uri="http://schemas.openxmlformats.org/officeDocument/2006/bibliography"/>
  </ds:schemaRefs>
</ds:datastoreItem>
</file>

<file path=customXml/itemProps4.xml><?xml version="1.0" encoding="utf-8"?>
<ds:datastoreItem xmlns:ds="http://schemas.openxmlformats.org/officeDocument/2006/customXml" ds:itemID="{BEF889C2-FD60-4D85-9575-1C0D806987C6}">
  <ds:schemaRefs>
    <ds:schemaRef ds:uri="http://schemas.microsoft.com/office/2006/metadata/properties"/>
    <ds:schemaRef ds:uri="http://schemas.microsoft.com/office/infopath/2007/PartnerControls"/>
    <ds:schemaRef ds:uri="d0e6e1dd-cead-4b20-a8ab-6c17962cc4ab"/>
    <ds:schemaRef ds:uri="843519ee-602c-4a77-9f98-e0b2d1df032d"/>
    <ds:schemaRef ds:uri="1bb7588e-e247-4215-aaaa-8ddb8e8e8079"/>
    <ds:schemaRef ds:uri="2d113eb4-e65a-468c-82cb-a0357bc1037f"/>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14</Pages>
  <Words>7830</Words>
  <Characters>44631</Characters>
  <DocSecurity>4</DocSecurity>
  <Lines>371</Lines>
  <Paragraphs>104</Paragraphs>
  <ScaleCrop>false</ScaleCrop>
  <HeadingPairs>
    <vt:vector size="6" baseType="variant">
      <vt:variant>
        <vt:lpstr>Title</vt:lpstr>
      </vt:variant>
      <vt:variant>
        <vt:i4>1</vt:i4>
      </vt:variant>
      <vt:variant>
        <vt:lpstr>Título</vt:lpstr>
      </vt:variant>
      <vt:variant>
        <vt:i4>1</vt:i4>
      </vt:variant>
      <vt:variant>
        <vt:lpstr>Naslov</vt:lpstr>
      </vt:variant>
      <vt:variant>
        <vt:i4>1</vt:i4>
      </vt:variant>
    </vt:vector>
  </HeadingPairs>
  <TitlesOfParts>
    <vt:vector size="3" baseType="lpstr">
      <vt:lpstr>CCPR/C/WG/138/DR/2653/2015</vt:lpstr>
      <vt:lpstr>CCPR/C/WG/138/DR/2653/2015</vt:lpstr>
      <vt:lpstr>CCPR/C/WG/129/DR/2780/2016</vt:lpstr>
    </vt:vector>
  </TitlesOfParts>
  <LinksUpToDate>false</LinksUpToDate>
  <CharactersWithSpaces>52357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Printed>2022-06-21T15:23:00Z</cp:lastPrinted>
  <dcterms:created xsi:type="dcterms:W3CDTF">2023-11-23T08:51:00Z</dcterms:created>
  <dcterms:modified xsi:type="dcterms:W3CDTF">2023-11-23T08:51:00Z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0x010100A70BC505B2949A43BBFACEE4A97207700077D80F7548CC8042885EAFE06D1D81B7</vt:lpwstr>
  </property>
</Properties>
</file>