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43748" w14:paraId="27948175" w14:textId="77777777" w:rsidTr="008A16F2">
        <w:trPr>
          <w:cantSplit/>
          <w:trHeight w:hRule="exact" w:val="1418"/>
        </w:trPr>
        <w:tc>
          <w:tcPr>
            <w:tcW w:w="1276" w:type="dxa"/>
            <w:tcBorders>
              <w:bottom w:val="single" w:sz="4" w:space="0" w:color="auto"/>
            </w:tcBorders>
            <w:vAlign w:val="bottom"/>
          </w:tcPr>
          <w:p w14:paraId="1704413B" w14:textId="77777777" w:rsidR="00B56E9C" w:rsidRPr="006636A1" w:rsidRDefault="00B56E9C" w:rsidP="00DC046E">
            <w:pPr>
              <w:spacing w:after="80"/>
              <w:rPr>
                <w:lang w:val="en-US"/>
              </w:rPr>
            </w:pPr>
          </w:p>
        </w:tc>
        <w:tc>
          <w:tcPr>
            <w:tcW w:w="2268" w:type="dxa"/>
            <w:tcBorders>
              <w:bottom w:val="single" w:sz="4" w:space="0" w:color="auto"/>
            </w:tcBorders>
            <w:vAlign w:val="bottom"/>
          </w:tcPr>
          <w:p w14:paraId="19473027" w14:textId="3527E7F7" w:rsidR="00B56E9C" w:rsidRPr="00B97172" w:rsidRDefault="00B56E9C" w:rsidP="00DC046E">
            <w:pPr>
              <w:spacing w:after="80" w:line="300" w:lineRule="exact"/>
              <w:rPr>
                <w:b/>
                <w:sz w:val="24"/>
                <w:szCs w:val="24"/>
              </w:rPr>
            </w:pPr>
          </w:p>
        </w:tc>
        <w:tc>
          <w:tcPr>
            <w:tcW w:w="6095" w:type="dxa"/>
            <w:gridSpan w:val="2"/>
            <w:tcBorders>
              <w:bottom w:val="single" w:sz="4" w:space="0" w:color="auto"/>
            </w:tcBorders>
            <w:vAlign w:val="bottom"/>
          </w:tcPr>
          <w:p w14:paraId="5B0F1917" w14:textId="0A84C88A" w:rsidR="0075370B" w:rsidRPr="00143748" w:rsidRDefault="008A16F2" w:rsidP="0086026C">
            <w:pPr>
              <w:jc w:val="right"/>
              <w:rPr>
                <w:lang w:val="fr-FR"/>
              </w:rPr>
            </w:pPr>
            <w:r w:rsidRPr="00143748">
              <w:rPr>
                <w:sz w:val="26"/>
                <w:szCs w:val="26"/>
                <w:lang w:val="fr-FR"/>
              </w:rPr>
              <w:t>CCPR</w:t>
            </w:r>
            <w:r w:rsidR="00093D76" w:rsidRPr="00143748">
              <w:rPr>
                <w:lang w:val="fr-FR"/>
              </w:rPr>
              <w:t>/C</w:t>
            </w:r>
            <w:r w:rsidR="00C62CFF" w:rsidRPr="00143748">
              <w:rPr>
                <w:lang w:val="fr-FR"/>
              </w:rPr>
              <w:t>/</w:t>
            </w:r>
            <w:r w:rsidR="00093D76" w:rsidRPr="00143748">
              <w:rPr>
                <w:lang w:val="fr-FR"/>
              </w:rPr>
              <w:t>137</w:t>
            </w:r>
            <w:r w:rsidRPr="00143748">
              <w:rPr>
                <w:lang w:val="fr-FR"/>
              </w:rPr>
              <w:t>/D/2</w:t>
            </w:r>
            <w:r w:rsidR="00093D76" w:rsidRPr="00143748">
              <w:rPr>
                <w:lang w:val="fr-FR"/>
              </w:rPr>
              <w:t>911</w:t>
            </w:r>
            <w:r w:rsidRPr="00143748">
              <w:rPr>
                <w:lang w:val="fr-FR"/>
              </w:rPr>
              <w:t>/201</w:t>
            </w:r>
            <w:r w:rsidR="00093D76" w:rsidRPr="00143748">
              <w:rPr>
                <w:lang w:val="fr-FR"/>
              </w:rPr>
              <w:t>6</w:t>
            </w:r>
            <w:r w:rsidR="0086026C" w:rsidRPr="00143748">
              <w:rPr>
                <w:lang w:val="fr-FR"/>
              </w:rPr>
              <w:t>,</w:t>
            </w:r>
            <w:r w:rsidR="00D33821" w:rsidRPr="00143748">
              <w:rPr>
                <w:lang w:val="fr-FR"/>
              </w:rPr>
              <w:t xml:space="preserve"> </w:t>
            </w:r>
            <w:r w:rsidR="00093D76" w:rsidRPr="00143748">
              <w:rPr>
                <w:sz w:val="26"/>
                <w:szCs w:val="26"/>
                <w:lang w:val="fr-FR"/>
              </w:rPr>
              <w:t>CCPR</w:t>
            </w:r>
            <w:r w:rsidR="00093D76" w:rsidRPr="00143748">
              <w:rPr>
                <w:lang w:val="fr-FR"/>
              </w:rPr>
              <w:t>/C/137</w:t>
            </w:r>
            <w:r w:rsidRPr="00143748">
              <w:rPr>
                <w:lang w:val="fr-FR"/>
              </w:rPr>
              <w:t>/D</w:t>
            </w:r>
            <w:r w:rsidR="00093D76" w:rsidRPr="00143748">
              <w:rPr>
                <w:lang w:val="fr-FR"/>
              </w:rPr>
              <w:t>/3081</w:t>
            </w:r>
            <w:r w:rsidRPr="00143748">
              <w:rPr>
                <w:lang w:val="fr-FR"/>
              </w:rPr>
              <w:t>/201</w:t>
            </w:r>
            <w:r w:rsidR="00093D76" w:rsidRPr="00143748">
              <w:rPr>
                <w:lang w:val="fr-FR"/>
              </w:rPr>
              <w:t>7</w:t>
            </w:r>
          </w:p>
          <w:p w14:paraId="6D4267C9" w14:textId="6DA48B0E" w:rsidR="008A16F2" w:rsidRPr="00143748" w:rsidRDefault="0086026C" w:rsidP="006F037F">
            <w:pPr>
              <w:jc w:val="right"/>
              <w:rPr>
                <w:lang w:val="fr-FR"/>
              </w:rPr>
            </w:pPr>
            <w:r w:rsidRPr="00143748">
              <w:rPr>
                <w:sz w:val="26"/>
                <w:szCs w:val="26"/>
                <w:lang w:val="fr-FR"/>
              </w:rPr>
              <w:t>CCPR</w:t>
            </w:r>
            <w:r w:rsidRPr="00143748">
              <w:rPr>
                <w:lang w:val="fr-FR"/>
              </w:rPr>
              <w:t>/C</w:t>
            </w:r>
            <w:r w:rsidR="00A24626" w:rsidRPr="00143748">
              <w:rPr>
                <w:lang w:val="fr-FR"/>
              </w:rPr>
              <w:t>/</w:t>
            </w:r>
            <w:r w:rsidRPr="00143748">
              <w:rPr>
                <w:lang w:val="fr-FR"/>
              </w:rPr>
              <w:t xml:space="preserve">137/D/3137/2018, </w:t>
            </w:r>
            <w:r w:rsidR="008A16F2" w:rsidRPr="00143748">
              <w:rPr>
                <w:sz w:val="26"/>
                <w:szCs w:val="26"/>
                <w:lang w:val="fr-FR"/>
              </w:rPr>
              <w:t>CCPR</w:t>
            </w:r>
            <w:r w:rsidR="008A16F2" w:rsidRPr="00143748">
              <w:rPr>
                <w:lang w:val="fr-FR"/>
              </w:rPr>
              <w:t>/C/13</w:t>
            </w:r>
            <w:r w:rsidR="00093D76" w:rsidRPr="00143748">
              <w:rPr>
                <w:lang w:val="fr-FR"/>
              </w:rPr>
              <w:t>7</w:t>
            </w:r>
            <w:r w:rsidR="008A16F2" w:rsidRPr="00143748">
              <w:rPr>
                <w:lang w:val="fr-FR"/>
              </w:rPr>
              <w:t>/D/</w:t>
            </w:r>
            <w:r w:rsidR="00093D76" w:rsidRPr="00143748">
              <w:rPr>
                <w:lang w:val="fr-FR"/>
              </w:rPr>
              <w:t>3150</w:t>
            </w:r>
            <w:r w:rsidR="008A16F2" w:rsidRPr="00143748">
              <w:rPr>
                <w:lang w:val="fr-FR"/>
              </w:rPr>
              <w:t>/201</w:t>
            </w:r>
            <w:r w:rsidR="00093D76" w:rsidRPr="00143748">
              <w:rPr>
                <w:lang w:val="fr-FR"/>
              </w:rPr>
              <w:t>8</w:t>
            </w:r>
          </w:p>
        </w:tc>
      </w:tr>
      <w:tr w:rsidR="00B56E9C" w14:paraId="03DCAF48" w14:textId="77777777" w:rsidTr="008A16F2">
        <w:trPr>
          <w:cantSplit/>
          <w:trHeight w:hRule="exact" w:val="1850"/>
        </w:trPr>
        <w:tc>
          <w:tcPr>
            <w:tcW w:w="1276" w:type="dxa"/>
            <w:tcBorders>
              <w:top w:val="single" w:sz="4" w:space="0" w:color="auto"/>
              <w:bottom w:val="single" w:sz="12" w:space="0" w:color="auto"/>
            </w:tcBorders>
          </w:tcPr>
          <w:p w14:paraId="07372DAA" w14:textId="5C778FF8" w:rsidR="00B56E9C" w:rsidRPr="00143748" w:rsidRDefault="00B56E9C" w:rsidP="00DC046E">
            <w:pPr>
              <w:spacing w:before="120"/>
              <w:rPr>
                <w:lang w:val="fr-FR"/>
              </w:rPr>
            </w:pPr>
          </w:p>
        </w:tc>
        <w:tc>
          <w:tcPr>
            <w:tcW w:w="5528" w:type="dxa"/>
            <w:gridSpan w:val="2"/>
            <w:tcBorders>
              <w:top w:val="single" w:sz="4" w:space="0" w:color="auto"/>
              <w:bottom w:val="single" w:sz="12" w:space="0" w:color="auto"/>
            </w:tcBorders>
          </w:tcPr>
          <w:p w14:paraId="502C56D3" w14:textId="77777777" w:rsidR="00143748" w:rsidRDefault="00143748" w:rsidP="009E6E7E">
            <w:pPr>
              <w:spacing w:before="120" w:line="380" w:lineRule="exact"/>
              <w:rPr>
                <w:b/>
                <w:sz w:val="34"/>
                <w:szCs w:val="40"/>
              </w:rPr>
            </w:pPr>
          </w:p>
          <w:p w14:paraId="1BB7A2C6" w14:textId="31136592" w:rsidR="00503C65" w:rsidRPr="00267F5F" w:rsidRDefault="00143748" w:rsidP="009E6E7E">
            <w:pPr>
              <w:spacing w:before="120" w:line="380" w:lineRule="exact"/>
              <w:rPr>
                <w:sz w:val="34"/>
              </w:rPr>
            </w:pPr>
            <w:r>
              <w:rPr>
                <w:b/>
                <w:sz w:val="34"/>
                <w:szCs w:val="40"/>
              </w:rPr>
              <w:t>Advance unedited version</w:t>
            </w:r>
          </w:p>
        </w:tc>
        <w:tc>
          <w:tcPr>
            <w:tcW w:w="2835" w:type="dxa"/>
            <w:tcBorders>
              <w:top w:val="single" w:sz="4" w:space="0" w:color="auto"/>
              <w:bottom w:val="single" w:sz="12" w:space="0" w:color="auto"/>
            </w:tcBorders>
          </w:tcPr>
          <w:p w14:paraId="6EEC488A" w14:textId="61961C7E" w:rsidR="00B56E9C" w:rsidRDefault="008A16F2" w:rsidP="008A16F2">
            <w:pPr>
              <w:spacing w:before="240" w:line="240" w:lineRule="exact"/>
            </w:pPr>
            <w:r>
              <w:t xml:space="preserve">Distr.: </w:t>
            </w:r>
            <w:r w:rsidR="000C1E22">
              <w:rPr>
                <w:rStyle w:val="Refdenotaalpie"/>
                <w:sz w:val="20"/>
                <w:vertAlign w:val="baseline"/>
              </w:rPr>
              <w:t>G</w:t>
            </w:r>
            <w:r w:rsidR="000C1E22">
              <w:t>eneral</w:t>
            </w:r>
          </w:p>
          <w:p w14:paraId="79A7C253" w14:textId="3A87EAE2" w:rsidR="008A16F2" w:rsidRPr="009124B3" w:rsidRDefault="000C1E22" w:rsidP="008A16F2">
            <w:pPr>
              <w:spacing w:line="240" w:lineRule="exact"/>
            </w:pPr>
            <w:r>
              <w:t>1</w:t>
            </w:r>
            <w:r w:rsidR="00C669B2">
              <w:t>9</w:t>
            </w:r>
            <w:r>
              <w:t xml:space="preserve"> April</w:t>
            </w:r>
            <w:r w:rsidR="00AB07FF">
              <w:t xml:space="preserve"> 2023</w:t>
            </w:r>
          </w:p>
          <w:p w14:paraId="33D6F572" w14:textId="77777777" w:rsidR="008A16F2" w:rsidRPr="00F23848" w:rsidRDefault="008A16F2" w:rsidP="008A16F2">
            <w:pPr>
              <w:spacing w:line="240" w:lineRule="exact"/>
            </w:pPr>
          </w:p>
          <w:p w14:paraId="5892E3AA" w14:textId="77777777" w:rsidR="008A16F2" w:rsidRDefault="008A16F2" w:rsidP="008A16F2">
            <w:pPr>
              <w:spacing w:line="240" w:lineRule="exact"/>
            </w:pPr>
            <w:r w:rsidRPr="009124B3">
              <w:t>Original: English</w:t>
            </w:r>
          </w:p>
          <w:p w14:paraId="1634D504" w14:textId="0B4AAE8F" w:rsidR="008A16F2" w:rsidRDefault="008A16F2" w:rsidP="00A24626">
            <w:pPr>
              <w:spacing w:line="240" w:lineRule="exact"/>
            </w:pPr>
          </w:p>
        </w:tc>
      </w:tr>
    </w:tbl>
    <w:p w14:paraId="443D12CE" w14:textId="15A4EF22" w:rsidR="00AB07FF" w:rsidRPr="007E2028" w:rsidRDefault="00397AFA">
      <w:pPr>
        <w:spacing w:before="120"/>
        <w:rPr>
          <w:b/>
          <w:bCs/>
          <w:sz w:val="24"/>
        </w:rPr>
      </w:pPr>
      <w:r w:rsidRPr="007E2028">
        <w:rPr>
          <w:b/>
          <w:bCs/>
          <w:sz w:val="24"/>
        </w:rPr>
        <w:t>Human Rights Committee</w:t>
      </w:r>
      <w:r w:rsidR="00AB07FF">
        <w:rPr>
          <w:b/>
          <w:bCs/>
          <w:sz w:val="24"/>
        </w:rPr>
        <w:br/>
      </w:r>
    </w:p>
    <w:p w14:paraId="760744C5" w14:textId="7376B800" w:rsidR="00EA285A" w:rsidRDefault="008A16F2" w:rsidP="00C62CFF">
      <w:pPr>
        <w:pStyle w:val="HChG"/>
      </w:pPr>
      <w:r>
        <w:tab/>
      </w:r>
      <w:r>
        <w:tab/>
      </w:r>
      <w:r w:rsidR="00250055" w:rsidRPr="00A5609C">
        <w:t>Views adopted by the Committee under article 5 (4) of the Optional Protocol, concerning</w:t>
      </w:r>
      <w:r w:rsidR="00250055" w:rsidRPr="00EA285A">
        <w:t xml:space="preserve"> </w:t>
      </w:r>
      <w:r w:rsidR="00250055">
        <w:t>c</w:t>
      </w:r>
      <w:r w:rsidRPr="00EA285A">
        <w:t>ommunications</w:t>
      </w:r>
      <w:r w:rsidRPr="00195A5A">
        <w:t xml:space="preserve"> </w:t>
      </w:r>
      <w:r w:rsidRPr="00EA285A">
        <w:t>Nos</w:t>
      </w:r>
      <w:r w:rsidRPr="00A7523A">
        <w:t xml:space="preserve">. </w:t>
      </w:r>
      <w:bookmarkStart w:id="0" w:name="_Hlk132219193"/>
      <w:r w:rsidR="00397AFA">
        <w:t xml:space="preserve">2911/2016, 3081/2017, </w:t>
      </w:r>
      <w:r w:rsidR="00773836">
        <w:t>3137/2018 3150/2018</w:t>
      </w:r>
      <w:bookmarkEnd w:id="0"/>
      <w:r w:rsidR="009601FC" w:rsidRPr="00A5609C">
        <w:footnoteReference w:customMarkFollows="1" w:id="2"/>
        <w:t>*’</w:t>
      </w:r>
      <w:r w:rsidR="009601FC" w:rsidRPr="00A5609C">
        <w:footnoteReference w:customMarkFollows="1" w:id="3"/>
        <w:t>**</w:t>
      </w:r>
    </w:p>
    <w:p w14:paraId="2E37D9CF" w14:textId="116A75D1" w:rsidR="007965A1" w:rsidRDefault="008A16F2" w:rsidP="007965A1">
      <w:pPr>
        <w:pStyle w:val="SingleTxtG"/>
        <w:ind w:left="4536" w:hanging="3402"/>
      </w:pPr>
      <w:r w:rsidRPr="00415BA0">
        <w:rPr>
          <w:i/>
        </w:rPr>
        <w:t>Communication</w:t>
      </w:r>
      <w:r>
        <w:rPr>
          <w:i/>
        </w:rPr>
        <w:t>s</w:t>
      </w:r>
      <w:r w:rsidRPr="00415BA0">
        <w:rPr>
          <w:i/>
        </w:rPr>
        <w:t xml:space="preserve"> submitted by:</w:t>
      </w:r>
      <w:r w:rsidRPr="00415BA0">
        <w:tab/>
      </w:r>
      <w:r w:rsidR="007965A1">
        <w:t xml:space="preserve">Larisa </w:t>
      </w:r>
      <w:proofErr w:type="spellStart"/>
      <w:r w:rsidR="007965A1">
        <w:t>Shchiryakova</w:t>
      </w:r>
      <w:proofErr w:type="spellEnd"/>
      <w:r w:rsidR="007965A1">
        <w:t xml:space="preserve"> (represented by counsel, Leonid </w:t>
      </w:r>
      <w:proofErr w:type="spellStart"/>
      <w:r w:rsidR="007965A1">
        <w:t>Sudalenko</w:t>
      </w:r>
      <w:proofErr w:type="spellEnd"/>
      <w:r w:rsidR="007965A1">
        <w:t xml:space="preserve">), Tatiana </w:t>
      </w:r>
      <w:proofErr w:type="spellStart"/>
      <w:r w:rsidR="007965A1">
        <w:t>Smotkina</w:t>
      </w:r>
      <w:proofErr w:type="spellEnd"/>
      <w:r w:rsidR="007965A1">
        <w:t xml:space="preserve"> (represented by counsel, Pavel </w:t>
      </w:r>
      <w:proofErr w:type="spellStart"/>
      <w:r w:rsidR="007965A1">
        <w:t>Levinov</w:t>
      </w:r>
      <w:proofErr w:type="spellEnd"/>
      <w:r w:rsidR="007965A1">
        <w:t xml:space="preserve">), Tamara </w:t>
      </w:r>
      <w:proofErr w:type="spellStart"/>
      <w:r w:rsidR="007965A1">
        <w:t>Shchepyotkina</w:t>
      </w:r>
      <w:proofErr w:type="spellEnd"/>
      <w:r w:rsidR="007965A1">
        <w:t xml:space="preserve"> (represented by counsel, Leonid </w:t>
      </w:r>
      <w:proofErr w:type="spellStart"/>
      <w:r w:rsidR="007965A1">
        <w:t>Sudalenko</w:t>
      </w:r>
      <w:proofErr w:type="spellEnd"/>
      <w:r w:rsidR="007965A1">
        <w:t xml:space="preserve">), and Dmitry </w:t>
      </w:r>
      <w:proofErr w:type="spellStart"/>
      <w:r w:rsidR="007965A1">
        <w:t>Lupach</w:t>
      </w:r>
      <w:proofErr w:type="spellEnd"/>
      <w:r w:rsidR="007965A1">
        <w:t xml:space="preserve"> (represented by counsel, Pavel </w:t>
      </w:r>
      <w:proofErr w:type="spellStart"/>
      <w:r w:rsidR="007965A1" w:rsidRPr="007965A1">
        <w:t>Levinov</w:t>
      </w:r>
      <w:proofErr w:type="spellEnd"/>
      <w:r w:rsidR="007965A1" w:rsidRPr="007965A1">
        <w:t>).</w:t>
      </w:r>
    </w:p>
    <w:p w14:paraId="6259BB0C" w14:textId="77777777" w:rsidR="008A16F2" w:rsidRPr="00415BA0" w:rsidRDefault="008A16F2" w:rsidP="008A16F2">
      <w:pPr>
        <w:pStyle w:val="SingleTxtG"/>
        <w:ind w:left="4536" w:hanging="3402"/>
        <w:jc w:val="left"/>
      </w:pPr>
      <w:r w:rsidRPr="00415BA0">
        <w:rPr>
          <w:i/>
        </w:rPr>
        <w:t>Alleged victim</w:t>
      </w:r>
      <w:r>
        <w:rPr>
          <w:i/>
        </w:rPr>
        <w:t>s</w:t>
      </w:r>
      <w:r w:rsidRPr="00415BA0">
        <w:rPr>
          <w:i/>
        </w:rPr>
        <w:t>:</w:t>
      </w:r>
      <w:r w:rsidRPr="00415BA0">
        <w:tab/>
      </w:r>
      <w:r>
        <w:t>T</w:t>
      </w:r>
      <w:r w:rsidRPr="00415BA0">
        <w:t>he author</w:t>
      </w:r>
      <w:r>
        <w:t>s</w:t>
      </w:r>
    </w:p>
    <w:p w14:paraId="2769ACF4" w14:textId="77777777" w:rsidR="008A16F2" w:rsidRPr="00415BA0" w:rsidRDefault="008A16F2" w:rsidP="008A16F2">
      <w:pPr>
        <w:pStyle w:val="SingleTxtG"/>
        <w:ind w:left="4536" w:hanging="3402"/>
        <w:jc w:val="left"/>
      </w:pPr>
      <w:r w:rsidRPr="00415BA0">
        <w:rPr>
          <w:i/>
        </w:rPr>
        <w:t>State party:</w:t>
      </w:r>
      <w:r w:rsidRPr="00415BA0">
        <w:tab/>
      </w:r>
      <w:bookmarkStart w:id="1" w:name="_Hlk132219245"/>
      <w:r w:rsidRPr="008216A5">
        <w:t>Belarus</w:t>
      </w:r>
      <w:bookmarkEnd w:id="1"/>
    </w:p>
    <w:p w14:paraId="1C1CCE35" w14:textId="77777777" w:rsidR="008A16F2" w:rsidRPr="00415BA0" w:rsidRDefault="008A16F2" w:rsidP="008A16F2">
      <w:pPr>
        <w:pStyle w:val="SingleTxtG"/>
        <w:ind w:left="4536" w:hanging="3402"/>
        <w:jc w:val="left"/>
      </w:pPr>
      <w:r w:rsidRPr="00415BA0">
        <w:rPr>
          <w:i/>
        </w:rPr>
        <w:t>Date</w:t>
      </w:r>
      <w:r>
        <w:rPr>
          <w:i/>
        </w:rPr>
        <w:t>s</w:t>
      </w:r>
      <w:r w:rsidRPr="00415BA0">
        <w:rPr>
          <w:i/>
        </w:rPr>
        <w:t xml:space="preserve"> of communication</w:t>
      </w:r>
      <w:r>
        <w:rPr>
          <w:i/>
        </w:rPr>
        <w:t>s</w:t>
      </w:r>
      <w:r w:rsidRPr="00415BA0">
        <w:rPr>
          <w:i/>
        </w:rPr>
        <w:t>:</w:t>
      </w:r>
      <w:r w:rsidRPr="00415BA0">
        <w:tab/>
      </w:r>
      <w:r w:rsidR="00397AFA">
        <w:t>20</w:t>
      </w:r>
      <w:r w:rsidRPr="002832FB">
        <w:t xml:space="preserve"> </w:t>
      </w:r>
      <w:r w:rsidR="00397AFA">
        <w:t>October</w:t>
      </w:r>
      <w:r w:rsidRPr="002832FB">
        <w:t xml:space="preserve"> 201</w:t>
      </w:r>
      <w:r w:rsidR="00397AFA">
        <w:t>6</w:t>
      </w:r>
      <w:r w:rsidRPr="002832FB">
        <w:t xml:space="preserve"> (communication No. </w:t>
      </w:r>
      <w:r w:rsidR="00397AFA">
        <w:t>2911/2016</w:t>
      </w:r>
      <w:r w:rsidRPr="002832FB">
        <w:t>); 2</w:t>
      </w:r>
      <w:r w:rsidR="00397AFA">
        <w:t>4</w:t>
      </w:r>
      <w:r w:rsidRPr="002832FB">
        <w:t xml:space="preserve"> </w:t>
      </w:r>
      <w:r w:rsidR="00397AFA">
        <w:t xml:space="preserve">February </w:t>
      </w:r>
      <w:r w:rsidRPr="002832FB">
        <w:t>201</w:t>
      </w:r>
      <w:r w:rsidR="00397AFA">
        <w:t>7</w:t>
      </w:r>
      <w:r w:rsidRPr="002832FB">
        <w:t xml:space="preserve"> (communication No. </w:t>
      </w:r>
      <w:r w:rsidR="00397AFA">
        <w:t>3081/2017</w:t>
      </w:r>
      <w:r w:rsidRPr="002832FB">
        <w:t xml:space="preserve">); </w:t>
      </w:r>
      <w:r w:rsidR="00773836">
        <w:t>8 November 2017</w:t>
      </w:r>
      <w:r w:rsidR="00773836" w:rsidRPr="002832FB">
        <w:t xml:space="preserve"> (communication No. </w:t>
      </w:r>
      <w:r w:rsidR="00773836">
        <w:t>3137/2018); and 27 December</w:t>
      </w:r>
      <w:r w:rsidRPr="002832FB">
        <w:t xml:space="preserve"> 201</w:t>
      </w:r>
      <w:r w:rsidR="00773836">
        <w:t>7</w:t>
      </w:r>
      <w:r w:rsidRPr="002832FB">
        <w:t xml:space="preserve"> (communication No. </w:t>
      </w:r>
      <w:r w:rsidR="00397AFA">
        <w:t>3150/2018</w:t>
      </w:r>
      <w:r w:rsidR="00773836">
        <w:t>)</w:t>
      </w:r>
      <w:r w:rsidR="00397AFA">
        <w:t xml:space="preserve"> </w:t>
      </w:r>
      <w:r w:rsidRPr="002832FB">
        <w:t>(initial</w:t>
      </w:r>
      <w:r w:rsidRPr="00F57EF6">
        <w:t xml:space="preserve"> submission</w:t>
      </w:r>
      <w:r>
        <w:t>s</w:t>
      </w:r>
      <w:r w:rsidRPr="00415BA0">
        <w:t>)</w:t>
      </w:r>
    </w:p>
    <w:p w14:paraId="181F7843" w14:textId="77777777" w:rsidR="008A16F2" w:rsidRPr="00291E45" w:rsidRDefault="008A16F2" w:rsidP="008A16F2">
      <w:pPr>
        <w:pStyle w:val="SingleTxtG"/>
        <w:ind w:left="4536" w:hanging="3402"/>
        <w:jc w:val="left"/>
        <w:rPr>
          <w:rFonts w:eastAsia="SimSun"/>
          <w:lang w:eastAsia="zh-CN"/>
        </w:rPr>
      </w:pPr>
      <w:r w:rsidRPr="00415BA0">
        <w:rPr>
          <w:i/>
        </w:rPr>
        <w:t>Document references:</w:t>
      </w:r>
      <w:r w:rsidRPr="00415BA0">
        <w:tab/>
      </w:r>
      <w:r w:rsidRPr="00291E45">
        <w:rPr>
          <w:rFonts w:eastAsia="SimSun"/>
          <w:lang w:eastAsia="zh-CN"/>
        </w:rPr>
        <w:t>Decision</w:t>
      </w:r>
      <w:r>
        <w:rPr>
          <w:rFonts w:eastAsia="SimSun"/>
          <w:lang w:eastAsia="zh-CN"/>
        </w:rPr>
        <w:t>s</w:t>
      </w:r>
      <w:r w:rsidRPr="00291E45">
        <w:rPr>
          <w:rFonts w:eastAsia="SimSun"/>
          <w:lang w:eastAsia="zh-CN"/>
        </w:rPr>
        <w:t xml:space="preserve"> taken pursuant to rule 92 of </w:t>
      </w:r>
      <w:r w:rsidRPr="006A2C46">
        <w:rPr>
          <w:rFonts w:eastAsia="SimSun"/>
          <w:lang w:eastAsia="zh-CN"/>
        </w:rPr>
        <w:t xml:space="preserve">the Committee’s rules of procedure, transmitted to the State party on </w:t>
      </w:r>
      <w:r w:rsidR="00773836">
        <w:rPr>
          <w:rFonts w:eastAsia="SimSun"/>
          <w:lang w:eastAsia="zh-CN"/>
        </w:rPr>
        <w:t>30</w:t>
      </w:r>
      <w:r w:rsidRPr="006A2C46">
        <w:rPr>
          <w:rFonts w:eastAsia="SimSun"/>
          <w:lang w:eastAsia="zh-CN"/>
        </w:rPr>
        <w:t xml:space="preserve"> December 201</w:t>
      </w:r>
      <w:r w:rsidR="00773836">
        <w:rPr>
          <w:rFonts w:eastAsia="SimSun"/>
          <w:lang w:eastAsia="zh-CN"/>
        </w:rPr>
        <w:t>6</w:t>
      </w:r>
      <w:r w:rsidRPr="006A2C46">
        <w:rPr>
          <w:rFonts w:eastAsia="SimSun"/>
          <w:lang w:eastAsia="zh-CN"/>
        </w:rPr>
        <w:t xml:space="preserve"> (communication No. </w:t>
      </w:r>
      <w:r w:rsidR="00773836">
        <w:t>2911/2016</w:t>
      </w:r>
      <w:r w:rsidRPr="006A2C46">
        <w:rPr>
          <w:rFonts w:eastAsia="SimSun"/>
          <w:lang w:eastAsia="zh-CN"/>
        </w:rPr>
        <w:t>); 1</w:t>
      </w:r>
      <w:r w:rsidR="00773836">
        <w:rPr>
          <w:rFonts w:eastAsia="SimSun"/>
          <w:lang w:eastAsia="zh-CN"/>
        </w:rPr>
        <w:t>9</w:t>
      </w:r>
      <w:r w:rsidRPr="006A2C46">
        <w:rPr>
          <w:rFonts w:eastAsia="SimSun"/>
          <w:lang w:eastAsia="zh-CN"/>
        </w:rPr>
        <w:t xml:space="preserve"> December 201</w:t>
      </w:r>
      <w:r w:rsidR="00773836">
        <w:rPr>
          <w:rFonts w:eastAsia="SimSun"/>
          <w:lang w:eastAsia="zh-CN"/>
        </w:rPr>
        <w:t>7</w:t>
      </w:r>
      <w:r w:rsidRPr="006A2C46">
        <w:rPr>
          <w:rFonts w:eastAsia="SimSun"/>
          <w:lang w:eastAsia="zh-CN"/>
        </w:rPr>
        <w:t xml:space="preserve"> (communication No. </w:t>
      </w:r>
      <w:r w:rsidR="00773836">
        <w:t>3081/2017</w:t>
      </w:r>
      <w:r w:rsidRPr="006A2C46">
        <w:rPr>
          <w:rFonts w:eastAsia="SimSun"/>
          <w:lang w:eastAsia="zh-CN"/>
        </w:rPr>
        <w:t xml:space="preserve">); </w:t>
      </w:r>
      <w:r w:rsidR="00773836">
        <w:t>1</w:t>
      </w:r>
      <w:r w:rsidR="00592A0B">
        <w:t>6</w:t>
      </w:r>
      <w:r w:rsidR="00773836" w:rsidRPr="002832FB">
        <w:t xml:space="preserve"> </w:t>
      </w:r>
      <w:r w:rsidR="00592A0B">
        <w:t>March</w:t>
      </w:r>
      <w:r w:rsidR="00773836" w:rsidRPr="002832FB">
        <w:t xml:space="preserve"> 201</w:t>
      </w:r>
      <w:r w:rsidR="00773836">
        <w:t>8</w:t>
      </w:r>
      <w:r w:rsidR="00773836" w:rsidRPr="006A2C46">
        <w:rPr>
          <w:rFonts w:eastAsia="SimSun"/>
          <w:lang w:eastAsia="zh-CN"/>
        </w:rPr>
        <w:t xml:space="preserve"> (communication No</w:t>
      </w:r>
      <w:r w:rsidR="00A25B9F">
        <w:rPr>
          <w:rFonts w:eastAsia="SimSun"/>
          <w:lang w:eastAsia="zh-CN"/>
        </w:rPr>
        <w:t>.</w:t>
      </w:r>
      <w:r w:rsidR="00773836">
        <w:rPr>
          <w:rFonts w:eastAsia="SimSun"/>
          <w:lang w:eastAsia="zh-CN"/>
        </w:rPr>
        <w:t xml:space="preserve"> </w:t>
      </w:r>
      <w:r w:rsidR="00773836">
        <w:t>3137/2018</w:t>
      </w:r>
      <w:r w:rsidR="00773836" w:rsidRPr="006A2C46">
        <w:rPr>
          <w:rFonts w:eastAsia="SimSun"/>
          <w:lang w:eastAsia="zh-CN"/>
        </w:rPr>
        <w:t xml:space="preserve">) </w:t>
      </w:r>
      <w:r w:rsidR="00773836">
        <w:rPr>
          <w:rFonts w:eastAsia="SimSun"/>
          <w:lang w:eastAsia="zh-CN"/>
        </w:rPr>
        <w:t>and</w:t>
      </w:r>
      <w:r w:rsidR="00F72F41">
        <w:rPr>
          <w:rFonts w:eastAsia="SimSun"/>
          <w:lang w:eastAsia="zh-CN"/>
        </w:rPr>
        <w:t xml:space="preserve"> </w:t>
      </w:r>
      <w:r w:rsidR="007D3B85">
        <w:rPr>
          <w:rFonts w:eastAsia="SimSun"/>
          <w:lang w:eastAsia="zh-CN"/>
        </w:rPr>
        <w:t xml:space="preserve">21 March 2018 </w:t>
      </w:r>
      <w:r w:rsidRPr="006A2C46">
        <w:rPr>
          <w:rFonts w:eastAsia="SimSun"/>
          <w:lang w:eastAsia="zh-CN"/>
        </w:rPr>
        <w:t xml:space="preserve">(communication No. </w:t>
      </w:r>
      <w:r w:rsidR="00773836">
        <w:t>3150/2018</w:t>
      </w:r>
      <w:r w:rsidR="00773836">
        <w:rPr>
          <w:rFonts w:eastAsia="SimSun"/>
          <w:lang w:eastAsia="zh-CN"/>
        </w:rPr>
        <w:t xml:space="preserve">) </w:t>
      </w:r>
    </w:p>
    <w:p w14:paraId="0A554DE0" w14:textId="14D737AF" w:rsidR="008A16F2" w:rsidRPr="00415BA0" w:rsidRDefault="008A16F2" w:rsidP="00C62CFF">
      <w:pPr>
        <w:pStyle w:val="SingleTxtG"/>
        <w:ind w:left="4536" w:hanging="3402"/>
        <w:jc w:val="left"/>
        <w:rPr>
          <w:i/>
        </w:rPr>
      </w:pPr>
      <w:r w:rsidRPr="00415BA0">
        <w:rPr>
          <w:i/>
        </w:rPr>
        <w:t>Date of adoption of Views:</w:t>
      </w:r>
      <w:r w:rsidRPr="00415BA0">
        <w:tab/>
      </w:r>
      <w:r w:rsidR="000C1E22">
        <w:t xml:space="preserve">14 </w:t>
      </w:r>
      <w:r w:rsidR="00773836">
        <w:t>March 2023</w:t>
      </w:r>
    </w:p>
    <w:p w14:paraId="0599524F" w14:textId="77777777" w:rsidR="008A16F2" w:rsidRDefault="008A16F2" w:rsidP="008A16F2">
      <w:pPr>
        <w:pStyle w:val="SingleTxtG"/>
        <w:ind w:left="4536" w:hanging="3402"/>
        <w:jc w:val="left"/>
      </w:pPr>
      <w:r w:rsidRPr="00415BA0">
        <w:rPr>
          <w:i/>
          <w:iCs/>
        </w:rPr>
        <w:t>Subject matter:</w:t>
      </w:r>
      <w:r w:rsidRPr="00415BA0">
        <w:tab/>
      </w:r>
      <w:r w:rsidR="008C34DF">
        <w:t>Sanctioning of journalists</w:t>
      </w:r>
      <w:r w:rsidR="00773836" w:rsidRPr="00B324CD">
        <w:t xml:space="preserve"> for</w:t>
      </w:r>
      <w:r w:rsidR="00773836">
        <w:t xml:space="preserve"> </w:t>
      </w:r>
      <w:r w:rsidR="00773836" w:rsidRPr="00635BAA">
        <w:rPr>
          <w:color w:val="000000"/>
          <w:lang w:eastAsia="en-GB"/>
        </w:rPr>
        <w:t xml:space="preserve">production and distribution of mass media products </w:t>
      </w:r>
      <w:r w:rsidR="008C34DF">
        <w:rPr>
          <w:lang w:val="en-US"/>
        </w:rPr>
        <w:t xml:space="preserve">without appropriate accreditation </w:t>
      </w:r>
    </w:p>
    <w:p w14:paraId="65F7628F" w14:textId="77777777" w:rsidR="008A16F2" w:rsidRPr="00C74394" w:rsidRDefault="008A16F2" w:rsidP="008A16F2">
      <w:pPr>
        <w:pStyle w:val="SingleTxtG"/>
        <w:ind w:left="4536" w:hanging="3402"/>
        <w:jc w:val="left"/>
        <w:rPr>
          <w:lang w:val="en-US"/>
        </w:rPr>
      </w:pPr>
      <w:r w:rsidRPr="00C74394">
        <w:rPr>
          <w:i/>
          <w:iCs/>
        </w:rPr>
        <w:lastRenderedPageBreak/>
        <w:t xml:space="preserve">Procedural issue: </w:t>
      </w:r>
      <w:r w:rsidRPr="00C74394">
        <w:rPr>
          <w:i/>
          <w:iCs/>
        </w:rPr>
        <w:tab/>
      </w:r>
      <w:r w:rsidRPr="0018377B">
        <w:t>Exhaustion of domestic remedies</w:t>
      </w:r>
      <w:r>
        <w:t xml:space="preserve">; substantiation of claims </w:t>
      </w:r>
    </w:p>
    <w:p w14:paraId="5E8CFB30" w14:textId="77777777" w:rsidR="008A16F2" w:rsidRPr="007059E2" w:rsidRDefault="008A16F2" w:rsidP="008A16F2">
      <w:pPr>
        <w:pStyle w:val="SingleTxtG"/>
        <w:ind w:left="4536" w:hanging="3402"/>
        <w:jc w:val="left"/>
      </w:pPr>
      <w:r w:rsidRPr="00C74394">
        <w:rPr>
          <w:i/>
          <w:iCs/>
        </w:rPr>
        <w:t xml:space="preserve">Substantive issues: </w:t>
      </w:r>
      <w:r w:rsidRPr="00C74394">
        <w:rPr>
          <w:i/>
          <w:iCs/>
        </w:rPr>
        <w:tab/>
      </w:r>
      <w:r w:rsidRPr="007059E2">
        <w:rPr>
          <w:iCs/>
        </w:rPr>
        <w:t xml:space="preserve">Freedom </w:t>
      </w:r>
      <w:r w:rsidRPr="007059E2">
        <w:t>of expression</w:t>
      </w:r>
      <w:r>
        <w:t xml:space="preserve"> </w:t>
      </w:r>
    </w:p>
    <w:p w14:paraId="618D4836" w14:textId="77777777" w:rsidR="008A16F2" w:rsidRPr="00385933" w:rsidRDefault="008A16F2" w:rsidP="008A16F2">
      <w:pPr>
        <w:pStyle w:val="SingleTxtG"/>
        <w:ind w:left="4536" w:hanging="3402"/>
        <w:jc w:val="left"/>
        <w:rPr>
          <w:lang w:val="en-US"/>
        </w:rPr>
      </w:pPr>
      <w:r w:rsidRPr="00C74394">
        <w:rPr>
          <w:i/>
          <w:iCs/>
        </w:rPr>
        <w:t>Articles of the Covenant:</w:t>
      </w:r>
      <w:r w:rsidRPr="00C74394">
        <w:t xml:space="preserve"> </w:t>
      </w:r>
      <w:r w:rsidRPr="00C74394">
        <w:tab/>
      </w:r>
      <w:r w:rsidRPr="00385933">
        <w:t>2 (2)</w:t>
      </w:r>
      <w:r>
        <w:t xml:space="preserve"> and </w:t>
      </w:r>
      <w:r w:rsidRPr="00385933">
        <w:t>(3)</w:t>
      </w:r>
      <w:r>
        <w:t>,</w:t>
      </w:r>
      <w:r w:rsidRPr="00385933">
        <w:t xml:space="preserve"> 19 </w:t>
      </w:r>
    </w:p>
    <w:p w14:paraId="04182F6A" w14:textId="77777777" w:rsidR="008A16F2" w:rsidRDefault="008A16F2" w:rsidP="008A16F2">
      <w:pPr>
        <w:pStyle w:val="SingleTxtG"/>
        <w:ind w:left="4536" w:hanging="3402"/>
        <w:jc w:val="left"/>
        <w:rPr>
          <w:iCs/>
        </w:rPr>
      </w:pPr>
      <w:r w:rsidRPr="00385933">
        <w:rPr>
          <w:i/>
          <w:iCs/>
        </w:rPr>
        <w:t>Articles of the Optional Protocol:</w:t>
      </w:r>
      <w:r w:rsidRPr="00385933">
        <w:rPr>
          <w:i/>
          <w:iCs/>
        </w:rPr>
        <w:tab/>
      </w:r>
      <w:r w:rsidRPr="00385933">
        <w:rPr>
          <w:iCs/>
        </w:rPr>
        <w:t>2</w:t>
      </w:r>
      <w:r>
        <w:rPr>
          <w:iCs/>
        </w:rPr>
        <w:t>, 3</w:t>
      </w:r>
      <w:r w:rsidRPr="00385933">
        <w:rPr>
          <w:iCs/>
        </w:rPr>
        <w:t xml:space="preserve"> and 5(2)(b)</w:t>
      </w:r>
    </w:p>
    <w:p w14:paraId="2EDFA949" w14:textId="77777777" w:rsidR="008A16F2" w:rsidRDefault="008A16F2" w:rsidP="008A16F2">
      <w:pPr>
        <w:pStyle w:val="SingleTxtG"/>
      </w:pPr>
      <w:r w:rsidRPr="00415BA0">
        <w:t>1.</w:t>
      </w:r>
      <w:r w:rsidR="00C848EB">
        <w:t>1</w:t>
      </w:r>
      <w:r>
        <w:tab/>
        <w:t xml:space="preserve">The authors of the communications are </w:t>
      </w:r>
      <w:r w:rsidR="00A25B9F">
        <w:t xml:space="preserve">Larisa </w:t>
      </w:r>
      <w:proofErr w:type="spellStart"/>
      <w:r w:rsidR="00A25B9F">
        <w:t>Shchiryakova</w:t>
      </w:r>
      <w:proofErr w:type="spellEnd"/>
      <w:r w:rsidR="00A25B9F">
        <w:t xml:space="preserve"> </w:t>
      </w:r>
      <w:r w:rsidR="00CD6D75">
        <w:t xml:space="preserve">(the first author) </w:t>
      </w:r>
      <w:r>
        <w:t>(communication No.</w:t>
      </w:r>
      <w:r w:rsidR="00A25B9F" w:rsidRPr="00A25B9F">
        <w:t xml:space="preserve"> </w:t>
      </w:r>
      <w:r w:rsidR="00A25B9F">
        <w:t>2911/2016</w:t>
      </w:r>
      <w:r>
        <w:t xml:space="preserve">), </w:t>
      </w:r>
      <w:r w:rsidR="00A25B9F">
        <w:t xml:space="preserve">Tatiana </w:t>
      </w:r>
      <w:proofErr w:type="spellStart"/>
      <w:r w:rsidR="00A25B9F">
        <w:t>Smotkina</w:t>
      </w:r>
      <w:proofErr w:type="spellEnd"/>
      <w:r w:rsidR="00CD6D75">
        <w:t xml:space="preserve"> (the second author)</w:t>
      </w:r>
      <w:r w:rsidR="00F72F41">
        <w:t xml:space="preserve"> </w:t>
      </w:r>
      <w:r>
        <w:t xml:space="preserve">(communication No. </w:t>
      </w:r>
      <w:r w:rsidR="00A25B9F">
        <w:t>3081/2017</w:t>
      </w:r>
      <w:r>
        <w:t xml:space="preserve">), </w:t>
      </w:r>
      <w:r w:rsidR="00A25B9F">
        <w:t xml:space="preserve">Dmitry </w:t>
      </w:r>
      <w:proofErr w:type="spellStart"/>
      <w:r w:rsidR="00A25B9F">
        <w:t>Lupach</w:t>
      </w:r>
      <w:proofErr w:type="spellEnd"/>
      <w:r w:rsidR="00A25B9F">
        <w:t xml:space="preserve"> </w:t>
      </w:r>
      <w:r w:rsidR="00CD6D75">
        <w:t xml:space="preserve">(the third author) </w:t>
      </w:r>
      <w:r>
        <w:t xml:space="preserve">(communication No. </w:t>
      </w:r>
      <w:r w:rsidR="00A25B9F">
        <w:t>3137/2018</w:t>
      </w:r>
      <w:r>
        <w:t xml:space="preserve">), </w:t>
      </w:r>
      <w:r w:rsidR="00A25B9F">
        <w:t xml:space="preserve">and Tamara </w:t>
      </w:r>
      <w:proofErr w:type="spellStart"/>
      <w:r w:rsidR="00A25B9F">
        <w:t>Shchepyotkina</w:t>
      </w:r>
      <w:proofErr w:type="spellEnd"/>
      <w:r w:rsidR="00CD6D75">
        <w:t xml:space="preserve"> (the fourth author) </w:t>
      </w:r>
      <w:r w:rsidRPr="00254887">
        <w:rPr>
          <w:lang w:val="en-US"/>
        </w:rPr>
        <w:t xml:space="preserve">(communication No. </w:t>
      </w:r>
      <w:r w:rsidR="00A25B9F">
        <w:t>3150/2018</w:t>
      </w:r>
      <w:r w:rsidRPr="00254887">
        <w:rPr>
          <w:lang w:val="en-US"/>
        </w:rPr>
        <w:t xml:space="preserve">). The authors are </w:t>
      </w:r>
      <w:r w:rsidRPr="00254887">
        <w:t xml:space="preserve">nationals of Belarus born in </w:t>
      </w:r>
      <w:r w:rsidR="00A25B9F" w:rsidRPr="00635BAA">
        <w:rPr>
          <w:color w:val="000000"/>
          <w:lang w:eastAsia="en-GB"/>
        </w:rPr>
        <w:t>1973</w:t>
      </w:r>
      <w:r>
        <w:rPr>
          <w:lang w:val="en-US"/>
        </w:rPr>
        <w:t xml:space="preserve">, </w:t>
      </w:r>
      <w:r w:rsidR="00A25B9F">
        <w:t>1976, 1967</w:t>
      </w:r>
      <w:r>
        <w:rPr>
          <w:lang w:val="en-US"/>
        </w:rPr>
        <w:t xml:space="preserve"> and </w:t>
      </w:r>
      <w:r w:rsidR="00A25B9F">
        <w:t>1952</w:t>
      </w:r>
      <w:r>
        <w:rPr>
          <w:lang w:val="en-US"/>
        </w:rPr>
        <w:t>,</w:t>
      </w:r>
      <w:r w:rsidRPr="00254887">
        <w:t xml:space="preserve"> respectively. They claim that </w:t>
      </w:r>
      <w:r w:rsidRPr="00331574">
        <w:t xml:space="preserve">the State party has violated their rights under articles </w:t>
      </w:r>
      <w:r>
        <w:t xml:space="preserve">2 (2), </w:t>
      </w:r>
      <w:r w:rsidR="00BD5D22">
        <w:t xml:space="preserve">2 </w:t>
      </w:r>
      <w:r>
        <w:t xml:space="preserve">(3) </w:t>
      </w:r>
      <w:r w:rsidR="00A25B9F">
        <w:t xml:space="preserve">and </w:t>
      </w:r>
      <w:r w:rsidRPr="00331574">
        <w:t>19 of the International Covenant on Civil and Political Rights. The Optional Protocol entered into force for Belarus on 30 December 1992. The author</w:t>
      </w:r>
      <w:r w:rsidR="00A25B9F">
        <w:t>s</w:t>
      </w:r>
      <w:r w:rsidRPr="00331574">
        <w:t xml:space="preserve"> are represented by counsel</w:t>
      </w:r>
      <w:r w:rsidR="008C34DF">
        <w:t>s</w:t>
      </w:r>
      <w:r w:rsidRPr="00331574">
        <w:t>.</w:t>
      </w:r>
    </w:p>
    <w:p w14:paraId="556E1CB3" w14:textId="77777777" w:rsidR="00C848EB" w:rsidRDefault="00C848EB" w:rsidP="00C848EB">
      <w:pPr>
        <w:pStyle w:val="SingleTxtG"/>
        <w:rPr>
          <w:sz w:val="22"/>
          <w:szCs w:val="22"/>
          <w:lang w:val="en-US"/>
        </w:rPr>
      </w:pPr>
      <w:r>
        <w:t>1.2</w:t>
      </w:r>
      <w:r>
        <w:tab/>
        <w:t>On 22 February 2023, pursuant to rule 97 (3) of the Committee’s rules of procedure, the Committee decided to join communications 2911/2016, 3081/2017, 3137/2018 and 3150/2018 submitted by four different authors, for a joint decision, in view of substantial factual and legal similarity.</w:t>
      </w:r>
    </w:p>
    <w:p w14:paraId="7C4FEE4B" w14:textId="77777777" w:rsidR="008A16F2" w:rsidRPr="00415BA0" w:rsidRDefault="008A16F2" w:rsidP="008A16F2">
      <w:pPr>
        <w:pStyle w:val="H23G"/>
      </w:pPr>
      <w:r w:rsidRPr="00415BA0">
        <w:tab/>
      </w:r>
      <w:r w:rsidRPr="00415BA0">
        <w:tab/>
        <w:t xml:space="preserve">The facts as </w:t>
      </w:r>
      <w:r w:rsidRPr="00E13975">
        <w:t>submitted</w:t>
      </w:r>
      <w:r w:rsidRPr="00415BA0">
        <w:t xml:space="preserve"> by the author</w:t>
      </w:r>
      <w:r>
        <w:t>s</w:t>
      </w:r>
    </w:p>
    <w:p w14:paraId="2175A956" w14:textId="1F7FFCF5" w:rsidR="008A16F2" w:rsidRDefault="008A16F2" w:rsidP="003A30F6">
      <w:pPr>
        <w:pStyle w:val="SingleTxtG"/>
      </w:pPr>
      <w:r>
        <w:t>2.1</w:t>
      </w:r>
      <w:r>
        <w:tab/>
      </w:r>
      <w:r w:rsidR="003A30F6">
        <w:t>All</w:t>
      </w:r>
      <w:r w:rsidRPr="00B774D4">
        <w:t xml:space="preserve"> author</w:t>
      </w:r>
      <w:r>
        <w:t>s</w:t>
      </w:r>
      <w:r w:rsidRPr="00B774D4">
        <w:t xml:space="preserve"> </w:t>
      </w:r>
      <w:r w:rsidR="00B143EE">
        <w:t>are journalists.</w:t>
      </w:r>
      <w:r>
        <w:t xml:space="preserve"> </w:t>
      </w:r>
      <w:r w:rsidR="00B143EE">
        <w:t xml:space="preserve">On various dates </w:t>
      </w:r>
      <w:r w:rsidR="009E3275">
        <w:t>between 2015 and 2017</w:t>
      </w:r>
      <w:r w:rsidR="005B540B">
        <w:t>,</w:t>
      </w:r>
      <w:r w:rsidR="009E3275">
        <w:t xml:space="preserve"> </w:t>
      </w:r>
      <w:r w:rsidR="00B143EE">
        <w:t xml:space="preserve">they </w:t>
      </w:r>
      <w:r w:rsidR="00A37498">
        <w:t>carried out interviews</w:t>
      </w:r>
      <w:r w:rsidR="005B540B">
        <w:t xml:space="preserve"> </w:t>
      </w:r>
      <w:r w:rsidR="009E3275">
        <w:t>on different topics in Belarus and posted audio/video recordings thereof at Polish internet media ‘</w:t>
      </w:r>
      <w:proofErr w:type="spellStart"/>
      <w:r w:rsidR="009E3275">
        <w:t>Belsat</w:t>
      </w:r>
      <w:proofErr w:type="spellEnd"/>
      <w:r w:rsidR="009E3275">
        <w:t>’ and/or radio ‘</w:t>
      </w:r>
      <w:proofErr w:type="spellStart"/>
      <w:r w:rsidR="009E3275">
        <w:t>Racja</w:t>
      </w:r>
      <w:proofErr w:type="spellEnd"/>
      <w:r w:rsidR="009E3275">
        <w:t>’.</w:t>
      </w:r>
      <w:r>
        <w:t xml:space="preserve"> </w:t>
      </w:r>
      <w:r w:rsidR="009E3275">
        <w:t xml:space="preserve">They were all found guilty </w:t>
      </w:r>
      <w:r w:rsidR="008C34DF">
        <w:t xml:space="preserve">by courts in Belarus </w:t>
      </w:r>
      <w:r w:rsidR="009E3275">
        <w:t>of violating article 22.9 (2) of the Administrative Offences Code (unlawful production and distribution of mass media products) for taking the interviews without being accredited at the Ministry of Foreign Affairs as journalist</w:t>
      </w:r>
      <w:r w:rsidR="00A37498">
        <w:t>s</w:t>
      </w:r>
      <w:r w:rsidR="009E3275">
        <w:t xml:space="preserve"> working for foreign mass media</w:t>
      </w:r>
      <w:r w:rsidR="00C62479">
        <w:t xml:space="preserve">, as required by the </w:t>
      </w:r>
      <w:r w:rsidR="00C62479" w:rsidRPr="00B324CD">
        <w:t xml:space="preserve">Law </w:t>
      </w:r>
      <w:r w:rsidR="00497805" w:rsidRPr="00B324CD">
        <w:t xml:space="preserve">on </w:t>
      </w:r>
      <w:r w:rsidR="00CB6E6E">
        <w:t xml:space="preserve">the </w:t>
      </w:r>
      <w:r w:rsidR="00497805" w:rsidRPr="00B324CD">
        <w:t>Mass Media</w:t>
      </w:r>
      <w:r w:rsidR="00497805">
        <w:t xml:space="preserve"> </w:t>
      </w:r>
      <w:r w:rsidR="00497805">
        <w:rPr>
          <w:lang w:val="en-US"/>
        </w:rPr>
        <w:t>No. 427-</w:t>
      </w:r>
      <w:r w:rsidR="00497805">
        <w:rPr>
          <w:lang w:val="uk-UA"/>
        </w:rPr>
        <w:t>З</w:t>
      </w:r>
      <w:r w:rsidR="00497805" w:rsidRPr="00821666">
        <w:t xml:space="preserve"> </w:t>
      </w:r>
      <w:r w:rsidR="00C62479">
        <w:t>of 17 July 2008</w:t>
      </w:r>
      <w:r w:rsidR="009E3275">
        <w:t xml:space="preserve">. </w:t>
      </w:r>
      <w:r w:rsidR="005B540B">
        <w:t>As a result, f</w:t>
      </w:r>
      <w:r w:rsidR="009E3275">
        <w:t xml:space="preserve">ines ranging from 220 to 335 EUR were imposed on </w:t>
      </w:r>
      <w:r w:rsidR="008C34DF">
        <w:t>all</w:t>
      </w:r>
      <w:r w:rsidR="009E3275">
        <w:t xml:space="preserve"> of them. All</w:t>
      </w:r>
      <w:r w:rsidRPr="00734CEF">
        <w:t xml:space="preserve"> </w:t>
      </w:r>
      <w:r w:rsidR="009E3275">
        <w:t xml:space="preserve">authors </w:t>
      </w:r>
      <w:r w:rsidR="00CD6D75">
        <w:t xml:space="preserve">unsuccessfully </w:t>
      </w:r>
      <w:r w:rsidR="009E3275">
        <w:t>appealed their administrative sentences to the regional courts</w:t>
      </w:r>
      <w:r w:rsidR="00CD6D75">
        <w:t>.</w:t>
      </w:r>
    </w:p>
    <w:p w14:paraId="39EE05E9" w14:textId="77777777" w:rsidR="004E038E" w:rsidRDefault="004E038E" w:rsidP="003A30F6">
      <w:pPr>
        <w:pStyle w:val="SingleTxtG"/>
      </w:pPr>
      <w:r>
        <w:t>2.2</w:t>
      </w:r>
      <w:r>
        <w:tab/>
      </w:r>
      <w:r w:rsidRPr="00734CEF">
        <w:t xml:space="preserve">The facts relevant to each individual </w:t>
      </w:r>
      <w:r>
        <w:t>communication</w:t>
      </w:r>
      <w:r w:rsidRPr="00734CEF">
        <w:t xml:space="preserve"> are summarized below.</w:t>
      </w:r>
    </w:p>
    <w:p w14:paraId="7B6581ED" w14:textId="77777777" w:rsidR="00701666" w:rsidRPr="00143748" w:rsidRDefault="00F72F41" w:rsidP="00F72F41">
      <w:pPr>
        <w:pStyle w:val="H4G"/>
        <w:rPr>
          <w:color w:val="000000"/>
          <w:lang w:val="fr-FR" w:eastAsia="en-GB"/>
        </w:rPr>
      </w:pPr>
      <w:r>
        <w:tab/>
      </w:r>
      <w:r>
        <w:tab/>
      </w:r>
      <w:r w:rsidR="004E038E" w:rsidRPr="00143748">
        <w:rPr>
          <w:lang w:val="fr-FR"/>
        </w:rPr>
        <w:t>Communication No.</w:t>
      </w:r>
      <w:r w:rsidR="00701666" w:rsidRPr="00143748">
        <w:rPr>
          <w:lang w:val="fr-FR"/>
        </w:rPr>
        <w:t xml:space="preserve"> 2911/2016, L</w:t>
      </w:r>
      <w:r w:rsidR="00701666" w:rsidRPr="00143748">
        <w:rPr>
          <w:color w:val="000000"/>
          <w:lang w:val="fr-FR" w:eastAsia="en-GB"/>
        </w:rPr>
        <w:t xml:space="preserve">arisa </w:t>
      </w:r>
      <w:proofErr w:type="spellStart"/>
      <w:r w:rsidR="00701666" w:rsidRPr="00143748">
        <w:rPr>
          <w:color w:val="000000"/>
          <w:lang w:val="fr-FR" w:eastAsia="en-GB"/>
        </w:rPr>
        <w:t>Shchiryakova</w:t>
      </w:r>
      <w:proofErr w:type="spellEnd"/>
      <w:r w:rsidR="00701666" w:rsidRPr="00143748">
        <w:rPr>
          <w:color w:val="000000"/>
          <w:lang w:val="fr-FR" w:eastAsia="en-GB"/>
        </w:rPr>
        <w:t xml:space="preserve"> v. Belarus</w:t>
      </w:r>
    </w:p>
    <w:p w14:paraId="0036497A" w14:textId="77777777" w:rsidR="00701666" w:rsidRDefault="00701666" w:rsidP="003A30F6">
      <w:pPr>
        <w:pStyle w:val="SingleTxtG"/>
        <w:rPr>
          <w:color w:val="000000"/>
          <w:lang w:eastAsia="en-GB"/>
        </w:rPr>
      </w:pPr>
      <w:r>
        <w:t>2.3</w:t>
      </w:r>
      <w:r>
        <w:tab/>
      </w:r>
      <w:r w:rsidRPr="00635BAA">
        <w:rPr>
          <w:color w:val="000000"/>
          <w:lang w:eastAsia="en-GB"/>
        </w:rPr>
        <w:t>On 20 November 2015, the author conducted interviews in Gomel region on the topic of orphaned children and later posted the video report on the internet. On an unspecified date, the video was broadcasted by the Polish satellite channel ‘</w:t>
      </w:r>
      <w:proofErr w:type="spellStart"/>
      <w:r w:rsidRPr="00635BAA">
        <w:rPr>
          <w:color w:val="000000"/>
          <w:lang w:eastAsia="en-GB"/>
        </w:rPr>
        <w:t>Belsat</w:t>
      </w:r>
      <w:proofErr w:type="spellEnd"/>
      <w:r w:rsidRPr="00635BAA">
        <w:rPr>
          <w:color w:val="000000"/>
          <w:lang w:eastAsia="en-GB"/>
        </w:rPr>
        <w:t>’. On 13 January 2016, the Gomel District Court in Gomel region fined the author to 4</w:t>
      </w:r>
      <w:r>
        <w:rPr>
          <w:color w:val="000000"/>
          <w:lang w:eastAsia="en-GB"/>
        </w:rPr>
        <w:t xml:space="preserve"> </w:t>
      </w:r>
      <w:r w:rsidRPr="00635BAA">
        <w:rPr>
          <w:color w:val="000000"/>
          <w:lang w:eastAsia="en-GB"/>
        </w:rPr>
        <w:t>620</w:t>
      </w:r>
      <w:r>
        <w:rPr>
          <w:color w:val="000000"/>
          <w:lang w:eastAsia="en-GB"/>
        </w:rPr>
        <w:t xml:space="preserve"> </w:t>
      </w:r>
      <w:r w:rsidRPr="00635BAA">
        <w:rPr>
          <w:color w:val="000000"/>
          <w:lang w:eastAsia="en-GB"/>
        </w:rPr>
        <w:t>000</w:t>
      </w:r>
      <w:r w:rsidR="00F72F41">
        <w:rPr>
          <w:color w:val="000000"/>
          <w:lang w:eastAsia="en-GB"/>
        </w:rPr>
        <w:t xml:space="preserve"> </w:t>
      </w:r>
      <w:r w:rsidRPr="00635BAA">
        <w:rPr>
          <w:color w:val="000000"/>
          <w:lang w:eastAsia="en-GB"/>
        </w:rPr>
        <w:t>Belarussian roubles</w:t>
      </w:r>
      <w:r>
        <w:rPr>
          <w:color w:val="000000"/>
          <w:lang w:eastAsia="en-GB"/>
        </w:rPr>
        <w:t xml:space="preserve"> (some 220 EUR)</w:t>
      </w:r>
      <w:r w:rsidRPr="00635BAA">
        <w:rPr>
          <w:color w:val="000000"/>
          <w:lang w:eastAsia="en-GB"/>
        </w:rPr>
        <w:t xml:space="preserve"> for violating article 22.9 (2) of the Administrative Offences Code. On 23 January 2016, the author filed a cassation appeal to the Gomel Regional Court, which rejected her complaint on 24 February 2016. The author appealed under the supervisory review proceedings to the Chair of the Gomel Regional Court on 2 March 2016 and to the Chair of the Supreme Court on 8 April 2016. Both appeals were rejected on 7 April and 26 May 2016, respectively. The author appealed under the supervisory review proceedings to the Gomel Regional Prosecutor’s Office on 31 May 2016 and to the Prosecutor General’s Office on 23 June 2016. Her appeals were rejected on 20 June and 14 July 2016, respectively.</w:t>
      </w:r>
    </w:p>
    <w:p w14:paraId="3DAD81D8" w14:textId="77777777" w:rsidR="00701666" w:rsidRDefault="00701666" w:rsidP="003A30F6">
      <w:pPr>
        <w:pStyle w:val="SingleTxtG"/>
        <w:rPr>
          <w:color w:val="000000"/>
          <w:lang w:eastAsia="en-GB"/>
        </w:rPr>
      </w:pPr>
      <w:r>
        <w:t>2.4</w:t>
      </w:r>
      <w:r>
        <w:tab/>
      </w:r>
      <w:r w:rsidRPr="00635BAA">
        <w:rPr>
          <w:color w:val="000000"/>
          <w:lang w:eastAsia="en-GB"/>
        </w:rPr>
        <w:t>On 18 February 2016, the author carried out a video recording of a meeting of the regional state institutions on the topic of refugees, and interviewed participants in the meeting. She posted the video report on the internet. On an unspecified date, the video was broadcasted by the Polish satellite channel ‘</w:t>
      </w:r>
      <w:proofErr w:type="spellStart"/>
      <w:r w:rsidRPr="00635BAA">
        <w:rPr>
          <w:color w:val="000000"/>
          <w:lang w:eastAsia="en-GB"/>
        </w:rPr>
        <w:t>Belsat</w:t>
      </w:r>
      <w:proofErr w:type="spellEnd"/>
      <w:r w:rsidRPr="00635BAA">
        <w:rPr>
          <w:color w:val="000000"/>
          <w:lang w:eastAsia="en-GB"/>
        </w:rPr>
        <w:t>’. On 15 April 2016, the Gomel District Court in Gomel region fined the author to 7</w:t>
      </w:r>
      <w:r>
        <w:rPr>
          <w:color w:val="000000"/>
          <w:lang w:eastAsia="en-GB"/>
        </w:rPr>
        <w:t xml:space="preserve"> </w:t>
      </w:r>
      <w:r w:rsidRPr="00635BAA">
        <w:rPr>
          <w:color w:val="000000"/>
          <w:lang w:eastAsia="en-GB"/>
        </w:rPr>
        <w:t>350</w:t>
      </w:r>
      <w:r>
        <w:rPr>
          <w:color w:val="000000"/>
          <w:lang w:eastAsia="en-GB"/>
        </w:rPr>
        <w:t xml:space="preserve"> </w:t>
      </w:r>
      <w:r w:rsidRPr="00635BAA">
        <w:rPr>
          <w:color w:val="000000"/>
          <w:lang w:eastAsia="en-GB"/>
        </w:rPr>
        <w:t>000</w:t>
      </w:r>
      <w:r w:rsidR="00F72F41">
        <w:rPr>
          <w:color w:val="000000"/>
          <w:lang w:eastAsia="en-GB"/>
        </w:rPr>
        <w:t xml:space="preserve"> </w:t>
      </w:r>
      <w:r w:rsidRPr="00635BAA">
        <w:rPr>
          <w:color w:val="000000"/>
          <w:lang w:eastAsia="en-GB"/>
        </w:rPr>
        <w:t>Belarussian roubles</w:t>
      </w:r>
      <w:r>
        <w:rPr>
          <w:color w:val="000000"/>
          <w:lang w:eastAsia="en-GB"/>
        </w:rPr>
        <w:t xml:space="preserve"> (some 335 EUR)</w:t>
      </w:r>
      <w:r w:rsidRPr="00635BAA">
        <w:rPr>
          <w:color w:val="000000"/>
          <w:lang w:eastAsia="en-GB"/>
        </w:rPr>
        <w:t xml:space="preserve"> for violating article 22.9 (2) of the Administrative Offences Code. On 17 April 2016, the author filed a cassation appeal to the Regional Court in Gomel, which rejected it on 20 May 2016. The author appealed under the supervisory review proceedings to the Chairs of the Gomel Regional Court on 30 May 2016 and of the Supreme Court on 11 July 2016. Both appeals were rejected on 6 July and 19 August 2016, respectively. The author appealed under the supervisory review proceedings to the Gomel Regional Prosecutor’s Office on 30 August </w:t>
      </w:r>
      <w:r w:rsidRPr="00635BAA">
        <w:rPr>
          <w:color w:val="000000"/>
          <w:lang w:eastAsia="en-GB"/>
        </w:rPr>
        <w:lastRenderedPageBreak/>
        <w:t>2016 and to the Prosecutor General’s Office on 16 September 2016. Her appeals were rejected on 9 September and 13 October 2016, respectively.</w:t>
      </w:r>
    </w:p>
    <w:p w14:paraId="445B21F9" w14:textId="77777777" w:rsidR="00701666" w:rsidRPr="00C05BC0" w:rsidRDefault="00F72F41" w:rsidP="00F72F41">
      <w:pPr>
        <w:pStyle w:val="H4G"/>
        <w:rPr>
          <w:b/>
          <w:bCs/>
        </w:rPr>
      </w:pPr>
      <w:r>
        <w:tab/>
      </w:r>
      <w:r>
        <w:tab/>
      </w:r>
      <w:r w:rsidR="00701666" w:rsidRPr="00701666">
        <w:t xml:space="preserve">Communication No. 3081/2017, Tatiana </w:t>
      </w:r>
      <w:proofErr w:type="spellStart"/>
      <w:r w:rsidR="00701666" w:rsidRPr="00701666">
        <w:t>Smotkina</w:t>
      </w:r>
      <w:proofErr w:type="spellEnd"/>
      <w:r w:rsidR="00701666" w:rsidRPr="00701666">
        <w:t xml:space="preserve"> v. Belarus</w:t>
      </w:r>
    </w:p>
    <w:p w14:paraId="773321E6" w14:textId="77777777" w:rsidR="00E95583" w:rsidRPr="00986ADA" w:rsidRDefault="00E95583" w:rsidP="00E95583">
      <w:pPr>
        <w:pStyle w:val="SingleTxtG"/>
        <w:rPr>
          <w:bCs/>
        </w:rPr>
      </w:pPr>
      <w:r>
        <w:t>2.</w:t>
      </w:r>
      <w:r w:rsidR="00E12B1F">
        <w:t>5</w:t>
      </w:r>
      <w:r>
        <w:tab/>
        <w:t xml:space="preserve">On 8 June 2015, </w:t>
      </w:r>
      <w:r w:rsidRPr="007D09A2">
        <w:t>t</w:t>
      </w:r>
      <w:r>
        <w:t xml:space="preserve">he author took photos and interviewed </w:t>
      </w:r>
      <w:r w:rsidR="00A37498">
        <w:t>a</w:t>
      </w:r>
      <w:r>
        <w:t xml:space="preserve"> municipal official about the children’s public event titled “Positive ways” organised by the local cultural department</w:t>
      </w:r>
      <w:r>
        <w:rPr>
          <w:color w:val="222222"/>
          <w:lang w:val="en"/>
        </w:rPr>
        <w:t>.</w:t>
      </w:r>
      <w:r>
        <w:t xml:space="preserve"> On 9 June 2015, the interview prepared by the author was posted on the internet site of the Polish radio station “</w:t>
      </w:r>
      <w:proofErr w:type="spellStart"/>
      <w:r>
        <w:t>Radue</w:t>
      </w:r>
      <w:proofErr w:type="spellEnd"/>
      <w:r>
        <w:t xml:space="preserve"> </w:t>
      </w:r>
      <w:proofErr w:type="spellStart"/>
      <w:r>
        <w:t>Ratsia</w:t>
      </w:r>
      <w:proofErr w:type="spellEnd"/>
      <w:r>
        <w:t xml:space="preserve">”. On 28 July 2015, the Court of </w:t>
      </w:r>
      <w:proofErr w:type="spellStart"/>
      <w:r>
        <w:t>Glybokskogo</w:t>
      </w:r>
      <w:proofErr w:type="spellEnd"/>
      <w:r>
        <w:t xml:space="preserve"> district fined the author to </w:t>
      </w:r>
      <w:r>
        <w:rPr>
          <w:bCs/>
        </w:rPr>
        <w:t xml:space="preserve">4 500 000 </w:t>
      </w:r>
      <w:r w:rsidRPr="00635BAA">
        <w:rPr>
          <w:color w:val="000000"/>
          <w:lang w:eastAsia="en-GB"/>
        </w:rPr>
        <w:t>Belarussian roubles</w:t>
      </w:r>
      <w:r>
        <w:rPr>
          <w:color w:val="000000"/>
          <w:lang w:eastAsia="en-GB"/>
        </w:rPr>
        <w:t xml:space="preserve"> </w:t>
      </w:r>
      <w:r>
        <w:rPr>
          <w:bCs/>
        </w:rPr>
        <w:t xml:space="preserve">(some </w:t>
      </w:r>
      <w:r>
        <w:t>268 EUR)</w:t>
      </w:r>
      <w:r>
        <w:rPr>
          <w:bCs/>
        </w:rPr>
        <w:t xml:space="preserve"> </w:t>
      </w:r>
      <w:r>
        <w:t>for violating article 22.9 (2) of t</w:t>
      </w:r>
      <w:r w:rsidR="00A37498">
        <w:t>he Administrative Offences Code</w:t>
      </w:r>
      <w:r>
        <w:t xml:space="preserve">. On 14 August 2015, the author appealed the decision of the Court of the </w:t>
      </w:r>
      <w:proofErr w:type="spellStart"/>
      <w:r>
        <w:t>Glybokskogo</w:t>
      </w:r>
      <w:proofErr w:type="spellEnd"/>
      <w:r>
        <w:t xml:space="preserve"> District to the </w:t>
      </w:r>
      <w:proofErr w:type="spellStart"/>
      <w:r>
        <w:t>Vitebsky</w:t>
      </w:r>
      <w:proofErr w:type="spellEnd"/>
      <w:r>
        <w:t xml:space="preserve"> Regional Court. </w:t>
      </w:r>
      <w:r w:rsidRPr="00986ADA">
        <w:t>On 1</w:t>
      </w:r>
      <w:r>
        <w:t>9</w:t>
      </w:r>
      <w:r w:rsidRPr="00986ADA">
        <w:t xml:space="preserve"> </w:t>
      </w:r>
      <w:r>
        <w:t>August</w:t>
      </w:r>
      <w:r w:rsidRPr="00986ADA">
        <w:t xml:space="preserve"> 201</w:t>
      </w:r>
      <w:r>
        <w:t>5</w:t>
      </w:r>
      <w:r w:rsidRPr="00986ADA">
        <w:t xml:space="preserve">, the </w:t>
      </w:r>
      <w:proofErr w:type="spellStart"/>
      <w:r>
        <w:t>Vitebsky</w:t>
      </w:r>
      <w:proofErr w:type="spellEnd"/>
      <w:r>
        <w:t xml:space="preserve"> Regional Court dismissed the appeal arguing that the author did not have an accreditation as a journalist neither in Belarus nor in international mass media outlets and as her publication was posted on the website of a foreign radio station, she ha</w:t>
      </w:r>
      <w:r w:rsidR="008B4363">
        <w:t>d</w:t>
      </w:r>
      <w:r>
        <w:t xml:space="preserve"> illegally produced and distributed mass media products. In January 2016, the author appealed the decision of the </w:t>
      </w:r>
      <w:proofErr w:type="spellStart"/>
      <w:r>
        <w:t>Vitebsky</w:t>
      </w:r>
      <w:proofErr w:type="spellEnd"/>
      <w:r>
        <w:t xml:space="preserve"> Regional Court to the </w:t>
      </w:r>
      <w:r>
        <w:rPr>
          <w:bCs/>
        </w:rPr>
        <w:t>Supreme Court of Belarus Republic.</w:t>
      </w:r>
      <w:r w:rsidRPr="00986ADA">
        <w:rPr>
          <w:bCs/>
        </w:rPr>
        <w:t xml:space="preserve"> </w:t>
      </w:r>
      <w:r>
        <w:rPr>
          <w:bCs/>
        </w:rPr>
        <w:t xml:space="preserve">On 14 March 2016, the Supreme Court of Belarus Republic </w:t>
      </w:r>
      <w:r w:rsidRPr="00F219C3">
        <w:rPr>
          <w:bCs/>
        </w:rPr>
        <w:t>did not find grounds for the re-adjudication of the case and rejected the complaint.</w:t>
      </w:r>
    </w:p>
    <w:p w14:paraId="7FA86997" w14:textId="77777777" w:rsidR="00E95583" w:rsidRDefault="00F72F41" w:rsidP="00F72F41">
      <w:pPr>
        <w:pStyle w:val="H4G"/>
      </w:pPr>
      <w:r>
        <w:tab/>
      </w:r>
      <w:r>
        <w:tab/>
      </w:r>
      <w:r w:rsidR="00E95583" w:rsidRPr="00E95583">
        <w:t xml:space="preserve">Communication No. 3137/2018, Dmitry </w:t>
      </w:r>
      <w:proofErr w:type="spellStart"/>
      <w:r w:rsidR="00E95583" w:rsidRPr="00E95583">
        <w:t>Lupach</w:t>
      </w:r>
      <w:proofErr w:type="spellEnd"/>
      <w:r w:rsidR="00E95583" w:rsidRPr="00E95583">
        <w:t xml:space="preserve"> v. Belarus</w:t>
      </w:r>
    </w:p>
    <w:p w14:paraId="7AE7BB91" w14:textId="77777777" w:rsidR="00E95583" w:rsidRDefault="00E95583" w:rsidP="00E95583">
      <w:pPr>
        <w:ind w:left="1170" w:right="1179" w:hanging="36"/>
        <w:jc w:val="both"/>
      </w:pPr>
      <w:r>
        <w:t>2.</w:t>
      </w:r>
      <w:r w:rsidR="00E12B1F">
        <w:t>6</w:t>
      </w:r>
      <w:r>
        <w:tab/>
        <w:t xml:space="preserve">On 26 August 2017, the author took a video-interview with Mr. P. and later published it on an independent TV web-site belsat.eu. On 6 October 2017, the Court of </w:t>
      </w:r>
      <w:proofErr w:type="spellStart"/>
      <w:r>
        <w:t>Gluboksky</w:t>
      </w:r>
      <w:proofErr w:type="spellEnd"/>
      <w:r>
        <w:t xml:space="preserve"> District of Vitebsk region fined the author to 690 </w:t>
      </w:r>
      <w:r w:rsidR="00932307" w:rsidRPr="00635BAA">
        <w:rPr>
          <w:color w:val="000000"/>
          <w:lang w:eastAsia="en-GB"/>
        </w:rPr>
        <w:t xml:space="preserve">Belarussian </w:t>
      </w:r>
      <w:r>
        <w:t>roubles (some 300 EUR) for violating article 22.9 (2) of the Administrative Offences Code. On 16 October 2017, the author filed an appeal to the Vitebsk Regional Court. The appeal was rejected by the Vitebsk Regional Court on 25 October 2017. The author has not appealed further under the supervisory review proceedings.</w:t>
      </w:r>
      <w:r w:rsidR="00F72F41">
        <w:t xml:space="preserve"> </w:t>
      </w:r>
    </w:p>
    <w:p w14:paraId="2713914E" w14:textId="77777777" w:rsidR="00E95583" w:rsidRPr="0086026C" w:rsidRDefault="00F72F41" w:rsidP="00F72F41">
      <w:pPr>
        <w:pStyle w:val="H4G"/>
        <w:rPr>
          <w:lang w:val="es-ES"/>
        </w:rPr>
      </w:pPr>
      <w:r w:rsidRPr="00FB2663">
        <w:tab/>
      </w:r>
      <w:r w:rsidRPr="00FB2663">
        <w:tab/>
      </w:r>
      <w:proofErr w:type="spellStart"/>
      <w:r w:rsidR="00E95583" w:rsidRPr="0086026C">
        <w:rPr>
          <w:lang w:val="es-ES"/>
        </w:rPr>
        <w:t>Communication</w:t>
      </w:r>
      <w:proofErr w:type="spellEnd"/>
      <w:r w:rsidR="00E95583" w:rsidRPr="0086026C">
        <w:rPr>
          <w:lang w:val="es-ES"/>
        </w:rPr>
        <w:t xml:space="preserve"> No. 3150/2018, Tamara </w:t>
      </w:r>
      <w:proofErr w:type="spellStart"/>
      <w:r w:rsidR="00E95583" w:rsidRPr="0086026C">
        <w:rPr>
          <w:lang w:val="es-ES"/>
        </w:rPr>
        <w:t>Shchepyotkina</w:t>
      </w:r>
      <w:proofErr w:type="spellEnd"/>
      <w:r w:rsidR="00E95583" w:rsidRPr="0086026C">
        <w:rPr>
          <w:lang w:val="es-ES"/>
        </w:rPr>
        <w:t xml:space="preserve"> v. Belarus</w:t>
      </w:r>
    </w:p>
    <w:p w14:paraId="34BA18E8" w14:textId="77777777" w:rsidR="00E95583" w:rsidRPr="00E95583" w:rsidRDefault="00E95583" w:rsidP="00E95583">
      <w:pPr>
        <w:ind w:left="1170" w:right="1179" w:hanging="36"/>
        <w:jc w:val="both"/>
      </w:pPr>
      <w:r>
        <w:t>2.</w:t>
      </w:r>
      <w:r w:rsidR="00E12B1F">
        <w:t>7</w:t>
      </w:r>
      <w:r>
        <w:tab/>
      </w:r>
      <w:r w:rsidR="00932307">
        <w:t xml:space="preserve">On 28 September 2017, the author interviewed several people about an upcoming court case in the building of the </w:t>
      </w:r>
      <w:proofErr w:type="spellStart"/>
      <w:r w:rsidR="00932307">
        <w:t>Kobrin</w:t>
      </w:r>
      <w:proofErr w:type="spellEnd"/>
      <w:r w:rsidR="00932307">
        <w:t xml:space="preserve"> District Court, Brest Region. She then placed the audio report </w:t>
      </w:r>
      <w:proofErr w:type="gramStart"/>
      <w:r w:rsidR="00932307">
        <w:t>in</w:t>
      </w:r>
      <w:proofErr w:type="gramEnd"/>
      <w:r w:rsidR="00932307">
        <w:t xml:space="preserve"> the Internet. It was later broadcasted by Polish radio company ‘</w:t>
      </w:r>
      <w:proofErr w:type="spellStart"/>
      <w:r w:rsidR="00932307">
        <w:t>Racja</w:t>
      </w:r>
      <w:proofErr w:type="spellEnd"/>
      <w:r w:rsidR="00932307">
        <w:t xml:space="preserve">’. On 15 November 2017, the Court of </w:t>
      </w:r>
      <w:r w:rsidR="00932307">
        <w:rPr>
          <w:lang w:val="en-US"/>
        </w:rPr>
        <w:t>B</w:t>
      </w:r>
      <w:proofErr w:type="spellStart"/>
      <w:r w:rsidR="00932307">
        <w:t>erezovsky</w:t>
      </w:r>
      <w:proofErr w:type="spellEnd"/>
      <w:r w:rsidR="00932307">
        <w:t xml:space="preserve"> District of Brest region fined the author to 575 </w:t>
      </w:r>
      <w:r w:rsidR="00932307" w:rsidRPr="00635BAA">
        <w:rPr>
          <w:color w:val="000000"/>
          <w:lang w:eastAsia="en-GB"/>
        </w:rPr>
        <w:t xml:space="preserve">Belarussian </w:t>
      </w:r>
      <w:r w:rsidR="00932307">
        <w:t xml:space="preserve">roubles (some 250 EUR) for violating article 22.9 (2) of the Administrative Offences Code. On 20 November 2017, the author filed an appeal to the Brest Regional Court, which rejected the appeal on 14 December 2017. The author has not appealed further under the supervisory review proceedings. </w:t>
      </w:r>
    </w:p>
    <w:p w14:paraId="625A3F44" w14:textId="77777777" w:rsidR="008A16F2" w:rsidRPr="00415BA0" w:rsidRDefault="008A16F2" w:rsidP="008A16F2">
      <w:pPr>
        <w:pStyle w:val="H23G"/>
        <w:ind w:right="36"/>
      </w:pPr>
      <w:r w:rsidRPr="00415BA0">
        <w:tab/>
      </w:r>
      <w:r w:rsidRPr="00415BA0">
        <w:tab/>
        <w:t>The complaint</w:t>
      </w:r>
      <w:r w:rsidR="003D0B7E">
        <w:t>s</w:t>
      </w:r>
    </w:p>
    <w:p w14:paraId="3B39FC61" w14:textId="77777777" w:rsidR="00C23A00" w:rsidRDefault="008A16F2" w:rsidP="00C23A00">
      <w:pPr>
        <w:pStyle w:val="SingleTxtG"/>
        <w:rPr>
          <w:color w:val="000000"/>
          <w:lang w:eastAsia="en-GB"/>
        </w:rPr>
      </w:pPr>
      <w:r w:rsidRPr="001215DB">
        <w:rPr>
          <w:lang w:val="en-US"/>
        </w:rPr>
        <w:t>3.</w:t>
      </w:r>
      <w:r w:rsidRPr="001215DB">
        <w:rPr>
          <w:lang w:val="en-US"/>
        </w:rPr>
        <w:tab/>
      </w:r>
      <w:r w:rsidRPr="004F01DA">
        <w:t>The authors claim that</w:t>
      </w:r>
      <w:r w:rsidR="00C23A00">
        <w:t xml:space="preserve"> </w:t>
      </w:r>
      <w:r w:rsidR="00C23A00" w:rsidRPr="00635BAA">
        <w:rPr>
          <w:color w:val="000000"/>
          <w:lang w:eastAsia="en-GB"/>
        </w:rPr>
        <w:t>the State party h</w:t>
      </w:r>
      <w:r w:rsidR="00C23A00">
        <w:rPr>
          <w:color w:val="000000"/>
          <w:lang w:eastAsia="en-GB"/>
        </w:rPr>
        <w:t>as violated their</w:t>
      </w:r>
      <w:r w:rsidR="00C23A00" w:rsidRPr="00635BAA">
        <w:rPr>
          <w:color w:val="000000"/>
          <w:lang w:eastAsia="en-GB"/>
        </w:rPr>
        <w:t xml:space="preserve"> rights under article 19 of the Covenant</w:t>
      </w:r>
      <w:r w:rsidR="008C34DF">
        <w:rPr>
          <w:color w:val="000000"/>
          <w:lang w:eastAsia="en-GB"/>
        </w:rPr>
        <w:t>. By requesting an accreditation</w:t>
      </w:r>
      <w:r w:rsidR="00932307">
        <w:rPr>
          <w:color w:val="000000"/>
          <w:lang w:eastAsia="en-GB"/>
        </w:rPr>
        <w:t xml:space="preserve"> for performing their professional duties</w:t>
      </w:r>
      <w:r w:rsidR="008C34DF">
        <w:rPr>
          <w:color w:val="000000"/>
          <w:lang w:eastAsia="en-GB"/>
        </w:rPr>
        <w:t xml:space="preserve">, the State party </w:t>
      </w:r>
      <w:r w:rsidR="00C23A00" w:rsidRPr="00635BAA">
        <w:rPr>
          <w:color w:val="000000"/>
          <w:lang w:eastAsia="en-GB"/>
        </w:rPr>
        <w:t>unnecessarily limit</w:t>
      </w:r>
      <w:r w:rsidR="008C34DF">
        <w:rPr>
          <w:color w:val="000000"/>
          <w:lang w:eastAsia="en-GB"/>
        </w:rPr>
        <w:t>ed</w:t>
      </w:r>
      <w:r w:rsidR="00C23A00" w:rsidRPr="00635BAA">
        <w:rPr>
          <w:color w:val="000000"/>
          <w:lang w:eastAsia="en-GB"/>
        </w:rPr>
        <w:t xml:space="preserve"> </w:t>
      </w:r>
      <w:r w:rsidR="00C23A00">
        <w:rPr>
          <w:color w:val="000000"/>
          <w:lang w:eastAsia="en-GB"/>
        </w:rPr>
        <w:t>their</w:t>
      </w:r>
      <w:r w:rsidR="00C23A00" w:rsidRPr="00635BAA">
        <w:rPr>
          <w:color w:val="000000"/>
          <w:lang w:eastAsia="en-GB"/>
        </w:rPr>
        <w:t xml:space="preserve"> freedom of expression.</w:t>
      </w:r>
      <w:r w:rsidR="00C23A00">
        <w:rPr>
          <w:color w:val="000000"/>
          <w:lang w:eastAsia="en-GB"/>
        </w:rPr>
        <w:t xml:space="preserve"> The first and the fourth author</w:t>
      </w:r>
      <w:r w:rsidR="00592A0B">
        <w:rPr>
          <w:color w:val="000000"/>
          <w:lang w:eastAsia="en-GB"/>
        </w:rPr>
        <w:t>s</w:t>
      </w:r>
      <w:r w:rsidR="00C23A00">
        <w:rPr>
          <w:color w:val="000000"/>
          <w:lang w:eastAsia="en-GB"/>
        </w:rPr>
        <w:t xml:space="preserve"> </w:t>
      </w:r>
      <w:r w:rsidR="00DF73E8">
        <w:rPr>
          <w:color w:val="000000"/>
          <w:lang w:eastAsia="en-GB"/>
        </w:rPr>
        <w:t xml:space="preserve">further </w:t>
      </w:r>
      <w:r w:rsidR="00C23A00">
        <w:rPr>
          <w:color w:val="000000"/>
          <w:lang w:eastAsia="en-GB"/>
        </w:rPr>
        <w:t xml:space="preserve">claim violation of article 19 in conjunction with </w:t>
      </w:r>
      <w:r w:rsidR="00C23A00" w:rsidRPr="00635BAA">
        <w:rPr>
          <w:color w:val="000000"/>
          <w:lang w:eastAsia="en-GB"/>
        </w:rPr>
        <w:t>article</w:t>
      </w:r>
      <w:r w:rsidR="00701666">
        <w:rPr>
          <w:color w:val="000000"/>
          <w:lang w:eastAsia="en-GB"/>
        </w:rPr>
        <w:t>s</w:t>
      </w:r>
      <w:r w:rsidR="00C23A00" w:rsidRPr="00635BAA">
        <w:rPr>
          <w:color w:val="000000"/>
          <w:lang w:eastAsia="en-GB"/>
        </w:rPr>
        <w:t xml:space="preserve"> 2 (2) and </w:t>
      </w:r>
      <w:r w:rsidR="00701666">
        <w:rPr>
          <w:color w:val="000000"/>
          <w:lang w:eastAsia="en-GB"/>
        </w:rPr>
        <w:t xml:space="preserve">2 </w:t>
      </w:r>
      <w:r w:rsidR="00C23A00" w:rsidRPr="00635BAA">
        <w:rPr>
          <w:color w:val="000000"/>
          <w:lang w:eastAsia="en-GB"/>
        </w:rPr>
        <w:t>(3</w:t>
      </w:r>
      <w:r w:rsidR="00C23A00">
        <w:rPr>
          <w:color w:val="000000"/>
          <w:lang w:eastAsia="en-GB"/>
        </w:rPr>
        <w:t xml:space="preserve">) </w:t>
      </w:r>
      <w:r w:rsidR="00C23A00" w:rsidRPr="00635BAA">
        <w:rPr>
          <w:color w:val="000000"/>
          <w:lang w:eastAsia="en-GB"/>
        </w:rPr>
        <w:t>(b)</w:t>
      </w:r>
      <w:r w:rsidR="00C23A00">
        <w:rPr>
          <w:color w:val="000000"/>
          <w:lang w:eastAsia="en-GB"/>
        </w:rPr>
        <w:t xml:space="preserve"> of the Covenant.</w:t>
      </w:r>
    </w:p>
    <w:p w14:paraId="3A93E590" w14:textId="77777777" w:rsidR="008A16F2" w:rsidRPr="00BF450E" w:rsidRDefault="008A16F2" w:rsidP="008A16F2">
      <w:pPr>
        <w:pStyle w:val="H23G"/>
        <w:ind w:right="-144"/>
      </w:pPr>
      <w:r>
        <w:tab/>
      </w:r>
      <w:r>
        <w:tab/>
      </w:r>
      <w:bookmarkStart w:id="2" w:name="_Hlk113452517"/>
      <w:r w:rsidRPr="00BF450E">
        <w:t>State party’s observations on admissibility</w:t>
      </w:r>
      <w:r>
        <w:t xml:space="preserve"> and merits</w:t>
      </w:r>
      <w:bookmarkEnd w:id="2"/>
    </w:p>
    <w:p w14:paraId="56DA945C" w14:textId="77777777" w:rsidR="00105CDA" w:rsidRDefault="008A16F2" w:rsidP="008A16F2">
      <w:pPr>
        <w:pStyle w:val="SingleTxtG"/>
        <w:rPr>
          <w:lang w:val="en-US"/>
        </w:rPr>
      </w:pPr>
      <w:r w:rsidRPr="00D53838">
        <w:t>4.</w:t>
      </w:r>
      <w:r>
        <w:t>1</w:t>
      </w:r>
      <w:r w:rsidRPr="00D53838">
        <w:tab/>
      </w:r>
      <w:r>
        <w:t xml:space="preserve">By notes </w:t>
      </w:r>
      <w:proofErr w:type="spellStart"/>
      <w:r>
        <w:t>verbales</w:t>
      </w:r>
      <w:proofErr w:type="spellEnd"/>
      <w:r>
        <w:t xml:space="preserve"> of</w:t>
      </w:r>
      <w:r w:rsidRPr="00D53838">
        <w:t xml:space="preserve"> </w:t>
      </w:r>
      <w:r w:rsidR="00592A0B">
        <w:t>21 September 2018</w:t>
      </w:r>
      <w:r w:rsidR="00CA52F0">
        <w:t>,</w:t>
      </w:r>
      <w:r>
        <w:rPr>
          <w:rStyle w:val="Refdenotaalpie"/>
        </w:rPr>
        <w:footnoteReference w:id="4"/>
      </w:r>
      <w:r w:rsidR="00592A0B">
        <w:t xml:space="preserve"> 1</w:t>
      </w:r>
      <w:r>
        <w:t>2</w:t>
      </w:r>
      <w:r w:rsidR="00592A0B">
        <w:t xml:space="preserve"> February 2018</w:t>
      </w:r>
      <w:r w:rsidR="00CA52F0">
        <w:t>,</w:t>
      </w:r>
      <w:r>
        <w:rPr>
          <w:rStyle w:val="Refdenotaalpie"/>
        </w:rPr>
        <w:footnoteReference w:id="5"/>
      </w:r>
      <w:r>
        <w:t xml:space="preserve"> </w:t>
      </w:r>
      <w:r w:rsidR="00592A0B">
        <w:t>1</w:t>
      </w:r>
      <w:r>
        <w:t>4</w:t>
      </w:r>
      <w:r w:rsidR="00592A0B">
        <w:t xml:space="preserve"> May 2018</w:t>
      </w:r>
      <w:r>
        <w:rPr>
          <w:rStyle w:val="Refdenotaalpie"/>
        </w:rPr>
        <w:footnoteReference w:id="6"/>
      </w:r>
      <w:r w:rsidRPr="00D53838">
        <w:t xml:space="preserve"> </w:t>
      </w:r>
      <w:r w:rsidR="00592A0B">
        <w:t xml:space="preserve">and </w:t>
      </w:r>
      <w:r w:rsidR="000C23DE">
        <w:t>8</w:t>
      </w:r>
      <w:r w:rsidR="007D3B85">
        <w:t xml:space="preserve"> </w:t>
      </w:r>
      <w:r w:rsidR="000C23DE">
        <w:t>May</w:t>
      </w:r>
      <w:r w:rsidR="007D3B85" w:rsidRPr="002832FB">
        <w:t xml:space="preserve"> 201</w:t>
      </w:r>
      <w:r w:rsidR="007D3B85">
        <w:t>8</w:t>
      </w:r>
      <w:r w:rsidR="00CA52F0">
        <w:t>,</w:t>
      </w:r>
      <w:r>
        <w:rPr>
          <w:rStyle w:val="Refdenotaalpie"/>
        </w:rPr>
        <w:footnoteReference w:id="7"/>
      </w:r>
      <w:r w:rsidRPr="00D53838">
        <w:t xml:space="preserve"> the State party submitted its observations on admissibility</w:t>
      </w:r>
      <w:r>
        <w:t xml:space="preserve"> and merits of the communications</w:t>
      </w:r>
      <w:r>
        <w:rPr>
          <w:lang w:val="en-US"/>
        </w:rPr>
        <w:t xml:space="preserve">. </w:t>
      </w:r>
    </w:p>
    <w:p w14:paraId="1A7A7F77" w14:textId="77777777" w:rsidR="008C232A" w:rsidRDefault="00105CDA" w:rsidP="008C232A">
      <w:pPr>
        <w:pStyle w:val="SingleTxtG"/>
        <w:rPr>
          <w:lang w:val="en-US"/>
        </w:rPr>
      </w:pPr>
      <w:r>
        <w:rPr>
          <w:lang w:val="en-US"/>
        </w:rPr>
        <w:lastRenderedPageBreak/>
        <w:t>4.2</w:t>
      </w:r>
      <w:r>
        <w:rPr>
          <w:lang w:val="en-US"/>
        </w:rPr>
        <w:tab/>
      </w:r>
      <w:r w:rsidR="008C232A">
        <w:rPr>
          <w:lang w:val="en-US"/>
        </w:rPr>
        <w:t xml:space="preserve">In respect of communication 2911/2016, the State party submits that the author used all available domestic remedies and had an opportunity to have her claims considered by domestic courts. </w:t>
      </w:r>
    </w:p>
    <w:p w14:paraId="6878BD3D" w14:textId="77777777" w:rsidR="008C232A" w:rsidRPr="00B92B1D" w:rsidRDefault="008C232A" w:rsidP="008C232A">
      <w:pPr>
        <w:pStyle w:val="SingleTxtG"/>
      </w:pPr>
      <w:r>
        <w:rPr>
          <w:lang w:val="en-US"/>
        </w:rPr>
        <w:t>4.3</w:t>
      </w:r>
      <w:r>
        <w:rPr>
          <w:lang w:val="en-US"/>
        </w:rPr>
        <w:tab/>
      </w:r>
      <w:r w:rsidR="00CD4987">
        <w:rPr>
          <w:lang w:val="en-US"/>
        </w:rPr>
        <w:t>Concerning communications</w:t>
      </w:r>
      <w:r>
        <w:rPr>
          <w:lang w:val="en-US"/>
        </w:rPr>
        <w:t xml:space="preserve"> Nos.</w:t>
      </w:r>
      <w:r w:rsidR="00CD4987">
        <w:rPr>
          <w:lang w:val="en-US"/>
        </w:rPr>
        <w:t xml:space="preserve"> 3081/2017</w:t>
      </w:r>
      <w:r>
        <w:rPr>
          <w:lang w:val="en-US"/>
        </w:rPr>
        <w:t>,</w:t>
      </w:r>
      <w:r w:rsidR="00CD4987">
        <w:rPr>
          <w:lang w:val="en-US"/>
        </w:rPr>
        <w:t xml:space="preserve"> </w:t>
      </w:r>
      <w:r w:rsidR="00CD4987">
        <w:t>3137/2018</w:t>
      </w:r>
      <w:r>
        <w:t xml:space="preserve"> and 3150/2018</w:t>
      </w:r>
      <w:r w:rsidR="00CD4987">
        <w:rPr>
          <w:lang w:val="en-US"/>
        </w:rPr>
        <w:t>, the State party submits that the author</w:t>
      </w:r>
      <w:r>
        <w:rPr>
          <w:lang w:val="en-US"/>
        </w:rPr>
        <w:t>s</w:t>
      </w:r>
      <w:r w:rsidR="00CD4987">
        <w:rPr>
          <w:lang w:val="en-US"/>
        </w:rPr>
        <w:t xml:space="preserve"> ha</w:t>
      </w:r>
      <w:r>
        <w:rPr>
          <w:lang w:val="en-US"/>
        </w:rPr>
        <w:t>d</w:t>
      </w:r>
      <w:r w:rsidR="00CD4987">
        <w:rPr>
          <w:lang w:val="en-US"/>
        </w:rPr>
        <w:t xml:space="preserve"> failed to </w:t>
      </w:r>
      <w:r w:rsidR="00CD4987">
        <w:t>exhaust all available domestic remedies</w:t>
      </w:r>
      <w:r>
        <w:t>. The author of communication</w:t>
      </w:r>
      <w:r w:rsidR="00CD4987">
        <w:t xml:space="preserve"> </w:t>
      </w:r>
      <w:r>
        <w:t xml:space="preserve">No. </w:t>
      </w:r>
      <w:r>
        <w:rPr>
          <w:lang w:val="en-US"/>
        </w:rPr>
        <w:t xml:space="preserve">3081/2017 </w:t>
      </w:r>
      <w:r w:rsidR="00CD4987">
        <w:t xml:space="preserve">had not submitted an appeal to </w:t>
      </w:r>
      <w:r w:rsidR="00CD4987">
        <w:rPr>
          <w:lang w:val="en-US"/>
        </w:rPr>
        <w:t>the Prosecutor General</w:t>
      </w:r>
      <w:r>
        <w:rPr>
          <w:lang w:val="en-US"/>
        </w:rPr>
        <w:t>. The authors of communications Nos.</w:t>
      </w:r>
      <w:r w:rsidRPr="008C232A">
        <w:t xml:space="preserve"> </w:t>
      </w:r>
      <w:r>
        <w:t>3137/2018 and 3150/2018</w:t>
      </w:r>
      <w:r w:rsidRPr="008C232A">
        <w:t xml:space="preserve"> </w:t>
      </w:r>
      <w:r>
        <w:t xml:space="preserve">had failed to appeal </w:t>
      </w:r>
      <w:r w:rsidR="00605380">
        <w:t>to the Chair</w:t>
      </w:r>
      <w:r>
        <w:t xml:space="preserve"> of a higher court and of the Supreme Court, as well as to the prosecutor’s office. The State party submits that in 2017, 97% of prosecutorial protests have been</w:t>
      </w:r>
      <w:r w:rsidR="005F4D22">
        <w:t xml:space="preserve"> accepted and considered</w:t>
      </w:r>
      <w:r>
        <w:t xml:space="preserve"> by the courts (3665 out of 3766) and that it is an effective remedy. The State party considers that the authors had failed to meet the requirements of articles 2 and 3 of the Optional Protocol due to non-exhaustion of domestic remedies and an abuse of </w:t>
      </w:r>
      <w:r w:rsidR="009C6053">
        <w:t xml:space="preserve">the right of </w:t>
      </w:r>
      <w:r>
        <w:t xml:space="preserve">submission. </w:t>
      </w:r>
    </w:p>
    <w:p w14:paraId="7B00B229" w14:textId="77777777" w:rsidR="00105CDA" w:rsidRDefault="008C232A" w:rsidP="008A16F2">
      <w:pPr>
        <w:pStyle w:val="SingleTxtG"/>
        <w:rPr>
          <w:lang w:val="en-US"/>
        </w:rPr>
      </w:pPr>
      <w:r>
        <w:t>4.4</w:t>
      </w:r>
      <w:r>
        <w:tab/>
      </w:r>
      <w:r>
        <w:rPr>
          <w:lang w:val="en-US"/>
        </w:rPr>
        <w:t>Regarding all communications</w:t>
      </w:r>
      <w:r w:rsidR="00705720">
        <w:rPr>
          <w:lang w:val="en-US"/>
        </w:rPr>
        <w:t>,</w:t>
      </w:r>
      <w:r>
        <w:rPr>
          <w:lang w:val="en-US"/>
        </w:rPr>
        <w:t xml:space="preserve"> t</w:t>
      </w:r>
      <w:r w:rsidR="00105CDA">
        <w:rPr>
          <w:lang w:val="en-US"/>
        </w:rPr>
        <w:t xml:space="preserve">he State party submits that the requirement for journalists to be accredited is aimed at creating conditions for realization of citizens’ constitutional rights and freedoms and cannot be interpreted as a limitation under article 19 (3) of the Covenant. </w:t>
      </w:r>
    </w:p>
    <w:p w14:paraId="64BFC966" w14:textId="77777777" w:rsidR="008A16F2" w:rsidRDefault="008A16F2" w:rsidP="008A16F2">
      <w:pPr>
        <w:pStyle w:val="H23G"/>
      </w:pPr>
      <w:r>
        <w:tab/>
      </w:r>
      <w:r>
        <w:tab/>
      </w:r>
      <w:r w:rsidRPr="009124B3">
        <w:t>Authors</w:t>
      </w:r>
      <w:r>
        <w:rPr>
          <w:lang w:val="en-US"/>
        </w:rPr>
        <w:t>’</w:t>
      </w:r>
      <w:r w:rsidRPr="009124B3">
        <w:t xml:space="preserve"> comments on the State party’s </w:t>
      </w:r>
      <w:r w:rsidRPr="00E13975">
        <w:t>observations</w:t>
      </w:r>
    </w:p>
    <w:p w14:paraId="2C9E4DA9" w14:textId="77777777" w:rsidR="008A16F2" w:rsidRPr="006106A5" w:rsidRDefault="008A16F2" w:rsidP="008A16F2">
      <w:pPr>
        <w:pStyle w:val="SingleTxtG"/>
      </w:pPr>
      <w:r w:rsidRPr="006D18D1">
        <w:t>5.1</w:t>
      </w:r>
      <w:r>
        <w:t xml:space="preserve"> </w:t>
      </w:r>
      <w:r w:rsidR="000C23DE">
        <w:tab/>
      </w:r>
      <w:r w:rsidRPr="006D18D1">
        <w:t xml:space="preserve">On </w:t>
      </w:r>
      <w:r w:rsidR="00E7506C">
        <w:t>5 November 2018</w:t>
      </w:r>
      <w:r>
        <w:rPr>
          <w:rStyle w:val="Refdenotaalpie"/>
        </w:rPr>
        <w:footnoteReference w:id="8"/>
      </w:r>
      <w:r w:rsidRPr="006D18D1">
        <w:t>,</w:t>
      </w:r>
      <w:r>
        <w:t xml:space="preserve"> 1</w:t>
      </w:r>
      <w:r w:rsidR="00E7506C">
        <w:t>2 June</w:t>
      </w:r>
      <w:r>
        <w:t xml:space="preserve"> </w:t>
      </w:r>
      <w:r w:rsidR="00E7506C">
        <w:t>2018</w:t>
      </w:r>
      <w:r>
        <w:rPr>
          <w:rStyle w:val="Refdenotaalpie"/>
        </w:rPr>
        <w:footnoteReference w:id="9"/>
      </w:r>
      <w:r>
        <w:t xml:space="preserve">, </w:t>
      </w:r>
      <w:r w:rsidR="00E7506C">
        <w:t>13 June 2018</w:t>
      </w:r>
      <w:r>
        <w:rPr>
          <w:rStyle w:val="Refdenotaalpie"/>
        </w:rPr>
        <w:footnoteReference w:id="10"/>
      </w:r>
      <w:r>
        <w:t xml:space="preserve"> and </w:t>
      </w:r>
      <w:r w:rsidR="00E7506C">
        <w:t>5 July 2018</w:t>
      </w:r>
      <w:r>
        <w:rPr>
          <w:rStyle w:val="Refdenotaalpie"/>
        </w:rPr>
        <w:footnoteReference w:id="11"/>
      </w:r>
      <w:r>
        <w:t>,</w:t>
      </w:r>
      <w:r w:rsidRPr="006D18D1">
        <w:t xml:space="preserve"> the author</w:t>
      </w:r>
      <w:r>
        <w:t>s</w:t>
      </w:r>
      <w:r w:rsidRPr="006D18D1">
        <w:t xml:space="preserve"> submitted </w:t>
      </w:r>
      <w:r>
        <w:t>their</w:t>
      </w:r>
      <w:r w:rsidRPr="006D18D1">
        <w:t xml:space="preserve"> comments</w:t>
      </w:r>
      <w:r>
        <w:t xml:space="preserve"> on the State party’s </w:t>
      </w:r>
      <w:r w:rsidR="00705720">
        <w:t xml:space="preserve">respective </w:t>
      </w:r>
      <w:r>
        <w:t>observations. Addressing the State party’s arguments as to the inadmissibility of the communications for</w:t>
      </w:r>
      <w:r w:rsidR="00F72F41">
        <w:t xml:space="preserve"> </w:t>
      </w:r>
      <w:r>
        <w:t xml:space="preserve">failure to </w:t>
      </w:r>
      <w:r w:rsidRPr="00452F4A">
        <w:t>exhaust domestic remedies,</w:t>
      </w:r>
      <w:r w:rsidR="000C23DE">
        <w:t xml:space="preserve"> the authors in communications N</w:t>
      </w:r>
      <w:r w:rsidRPr="00452F4A">
        <w:t xml:space="preserve">os. </w:t>
      </w:r>
      <w:r w:rsidR="000C23DE">
        <w:rPr>
          <w:lang w:val="en-US"/>
        </w:rPr>
        <w:t xml:space="preserve">3081/2017, </w:t>
      </w:r>
      <w:r w:rsidR="000C23DE">
        <w:t xml:space="preserve">3137/2018 and 3150/2018 </w:t>
      </w:r>
      <w:r w:rsidRPr="00452F4A">
        <w:t xml:space="preserve">submit that </w:t>
      </w:r>
      <w:r w:rsidRPr="00450EE3">
        <w:t>the supervisory review procedure does not constitute an effective domestic remedy, as it does not entail a fresh examination of the case and its outcome depends on the sole discretion of the relevant prosecutor or</w:t>
      </w:r>
      <w:r w:rsidR="00F72F41">
        <w:t xml:space="preserve"> </w:t>
      </w:r>
      <w:r w:rsidRPr="00450EE3">
        <w:t>judge.</w:t>
      </w:r>
      <w:r w:rsidR="00F72F41">
        <w:t xml:space="preserve"> </w:t>
      </w:r>
    </w:p>
    <w:p w14:paraId="50160CAF" w14:textId="77777777" w:rsidR="008A16F2" w:rsidRDefault="008A16F2" w:rsidP="008A16F2">
      <w:pPr>
        <w:pStyle w:val="SingleTxtG"/>
      </w:pPr>
      <w:r w:rsidRPr="006106A5">
        <w:t xml:space="preserve">5.2 </w:t>
      </w:r>
      <w:r w:rsidR="000C23DE">
        <w:tab/>
      </w:r>
      <w:r w:rsidRPr="006106A5">
        <w:t xml:space="preserve">In response to the State party’s observations on the merits, the author in communication </w:t>
      </w:r>
      <w:r w:rsidR="000C23DE">
        <w:t>N</w:t>
      </w:r>
      <w:r w:rsidRPr="006106A5">
        <w:t xml:space="preserve">o. </w:t>
      </w:r>
      <w:r w:rsidR="000C23DE">
        <w:t>2911/2016</w:t>
      </w:r>
      <w:r w:rsidRPr="006106A5">
        <w:t xml:space="preserve"> argues, </w:t>
      </w:r>
      <w:r w:rsidR="00A23DCE" w:rsidRPr="006106A5">
        <w:t xml:space="preserve">that </w:t>
      </w:r>
      <w:r w:rsidR="00A23DCE">
        <w:t xml:space="preserve">any restriction on the rights under article 19 (2) </w:t>
      </w:r>
      <w:proofErr w:type="gramStart"/>
      <w:r w:rsidR="00A23DCE">
        <w:t>has to</w:t>
      </w:r>
      <w:proofErr w:type="gramEnd"/>
      <w:r w:rsidR="00A23DCE">
        <w:t xml:space="preserve"> meet requirements of necessity and proportionality under article 19 (3)</w:t>
      </w:r>
      <w:r w:rsidR="00A23DCE" w:rsidRPr="00A23DCE">
        <w:t xml:space="preserve"> </w:t>
      </w:r>
      <w:r w:rsidR="00A23DCE">
        <w:t>of the Covenant. W</w:t>
      </w:r>
      <w:r w:rsidRPr="006106A5">
        <w:t>ith reference to the Committee’s jurisprudence</w:t>
      </w:r>
      <w:r>
        <w:t xml:space="preserve"> on the subject matter</w:t>
      </w:r>
      <w:r w:rsidRPr="006106A5">
        <w:t>,</w:t>
      </w:r>
      <w:r w:rsidRPr="006106A5">
        <w:rPr>
          <w:rStyle w:val="Refdenotaalpie"/>
          <w:lang w:val="ru-RU"/>
        </w:rPr>
        <w:footnoteReference w:id="12"/>
      </w:r>
      <w:r w:rsidRPr="006106A5">
        <w:t xml:space="preserve"> the</w:t>
      </w:r>
      <w:r w:rsidR="00A23DCE">
        <w:t xml:space="preserve"> author claims that the State party </w:t>
      </w:r>
      <w:proofErr w:type="gramStart"/>
      <w:r w:rsidR="00A23DCE">
        <w:t>has to</w:t>
      </w:r>
      <w:proofErr w:type="gramEnd"/>
      <w:r w:rsidR="00A23DCE">
        <w:t xml:space="preserve"> substantiate that the restrictions were necessary and proportionate in each particular case</w:t>
      </w:r>
      <w:r w:rsidR="002A76FA">
        <w:t>. She also claims</w:t>
      </w:r>
      <w:r w:rsidR="00F72F41">
        <w:t xml:space="preserve"> </w:t>
      </w:r>
      <w:r w:rsidR="00A23DCE">
        <w:t>that the</w:t>
      </w:r>
      <w:r w:rsidR="00705720">
        <w:t xml:space="preserve"> system of</w:t>
      </w:r>
      <w:r w:rsidR="00A23DCE">
        <w:t xml:space="preserve"> </w:t>
      </w:r>
      <w:r w:rsidR="00A23DCE" w:rsidRPr="00723722">
        <w:t>accreditation</w:t>
      </w:r>
      <w:r w:rsidR="00705720">
        <w:t xml:space="preserve"> is</w:t>
      </w:r>
      <w:r w:rsidR="00F72F41">
        <w:t xml:space="preserve"> </w:t>
      </w:r>
      <w:r w:rsidR="00A23DCE" w:rsidRPr="00723722">
        <w:t>permissible only where necessary to provide journalists with privileged access to certain places and/or events.</w:t>
      </w:r>
      <w:r w:rsidR="00961503" w:rsidRPr="00961503">
        <w:t xml:space="preserve"> </w:t>
      </w:r>
      <w:r w:rsidR="00961503">
        <w:t xml:space="preserve">In her case, the State party could not prove that the sanctions applied to the author for collecting and </w:t>
      </w:r>
      <w:proofErr w:type="spellStart"/>
      <w:r w:rsidR="00961503">
        <w:t>disseminatinig</w:t>
      </w:r>
      <w:proofErr w:type="spellEnd"/>
      <w:r w:rsidR="00961503">
        <w:t xml:space="preserve"> information were necessary and proportionate. </w:t>
      </w:r>
      <w:r w:rsidR="002A76FA">
        <w:t>Moreover, t</w:t>
      </w:r>
      <w:r w:rsidR="00961503">
        <w:t xml:space="preserve">he requirement of accreditation was not applicable in her case as she was not seeking a </w:t>
      </w:r>
      <w:r w:rsidR="00961503" w:rsidRPr="00723722">
        <w:t xml:space="preserve">privileged access to </w:t>
      </w:r>
      <w:r w:rsidR="00961503">
        <w:t>any</w:t>
      </w:r>
      <w:r w:rsidR="00961503" w:rsidRPr="00723722">
        <w:t xml:space="preserve"> places or events</w:t>
      </w:r>
      <w:r w:rsidR="00961503">
        <w:t>.</w:t>
      </w:r>
      <w:r w:rsidR="00F72F41">
        <w:t xml:space="preserve"> </w:t>
      </w:r>
    </w:p>
    <w:p w14:paraId="78F16991" w14:textId="77777777" w:rsidR="008A16F2" w:rsidRDefault="008A16F2" w:rsidP="008A16F2">
      <w:pPr>
        <w:pStyle w:val="H23G"/>
        <w:ind w:right="36"/>
      </w:pPr>
      <w:r w:rsidRPr="00415BA0">
        <w:tab/>
      </w:r>
      <w:r w:rsidRPr="00415BA0">
        <w:tab/>
        <w:t>Issues and proceedings before the Committee</w:t>
      </w:r>
    </w:p>
    <w:p w14:paraId="606BD144" w14:textId="77777777" w:rsidR="008A16F2" w:rsidRPr="005C4358" w:rsidRDefault="008A16F2" w:rsidP="008A16F2">
      <w:pPr>
        <w:pStyle w:val="H4G"/>
        <w:ind w:right="36"/>
        <w:rPr>
          <w:i w:val="0"/>
        </w:rPr>
      </w:pPr>
      <w:r>
        <w:tab/>
      </w:r>
      <w:r>
        <w:tab/>
      </w:r>
      <w:r w:rsidRPr="005C4358">
        <w:t>Consideration of admissibility</w:t>
      </w:r>
    </w:p>
    <w:p w14:paraId="234805A1" w14:textId="77777777" w:rsidR="008A16F2" w:rsidRPr="007C1857" w:rsidRDefault="008A16F2" w:rsidP="008A16F2">
      <w:pPr>
        <w:pStyle w:val="SingleTxtG"/>
      </w:pPr>
      <w:r w:rsidRPr="007C1857">
        <w:t>6.1</w:t>
      </w:r>
      <w:r w:rsidRPr="007C1857">
        <w:tab/>
        <w:t>Before considering any claim contained in a communication, the Committee must decide, in accordance with rule 97 of its rules of procedure, whether the communication is admissible under the Optional Protocol.</w:t>
      </w:r>
    </w:p>
    <w:p w14:paraId="1D0CC8DB" w14:textId="77777777" w:rsidR="008A16F2" w:rsidRPr="007C1857" w:rsidRDefault="008A16F2" w:rsidP="008A16F2">
      <w:pPr>
        <w:pStyle w:val="SingleTxtG"/>
      </w:pPr>
      <w:r w:rsidRPr="007C1857">
        <w:t>6.2</w:t>
      </w:r>
      <w:r w:rsidRPr="007C1857">
        <w:tab/>
        <w:t>The Committee has ascertained, as required under article 5 (2) (a) of the Optional Protocol, that the same matter is not being examined under another procedure of international investigation or settlement.</w:t>
      </w:r>
    </w:p>
    <w:p w14:paraId="0E824B75" w14:textId="77777777" w:rsidR="008A16F2" w:rsidRDefault="008A16F2" w:rsidP="005F4D22">
      <w:pPr>
        <w:pStyle w:val="SingleTxtG"/>
        <w:rPr>
          <w:lang w:val="en-US"/>
        </w:rPr>
      </w:pPr>
      <w:r w:rsidRPr="007C1857">
        <w:t>6.3</w:t>
      </w:r>
      <w:r w:rsidRPr="007C1857">
        <w:tab/>
      </w:r>
      <w:r w:rsidRPr="003D5DD4">
        <w:rPr>
          <w:lang w:val="en-US"/>
        </w:rPr>
        <w:t>The Committee notes the State party’s argument that the author</w:t>
      </w:r>
      <w:r>
        <w:rPr>
          <w:lang w:val="en-US"/>
        </w:rPr>
        <w:t>s</w:t>
      </w:r>
      <w:r w:rsidRPr="003D5DD4">
        <w:rPr>
          <w:lang w:val="en-US"/>
        </w:rPr>
        <w:t xml:space="preserve"> </w:t>
      </w:r>
      <w:r w:rsidR="00605380">
        <w:rPr>
          <w:lang w:val="en-US"/>
        </w:rPr>
        <w:t xml:space="preserve">in communications </w:t>
      </w:r>
      <w:r w:rsidR="00605380">
        <w:t xml:space="preserve">3081/2017, 3137/2018 and 3150/2018 </w:t>
      </w:r>
      <w:r w:rsidRPr="003D5DD4">
        <w:rPr>
          <w:lang w:val="en-US"/>
        </w:rPr>
        <w:t>ha</w:t>
      </w:r>
      <w:r>
        <w:rPr>
          <w:lang w:val="en-US"/>
        </w:rPr>
        <w:t>ve</w:t>
      </w:r>
      <w:r w:rsidRPr="003D5DD4">
        <w:rPr>
          <w:lang w:val="en-US"/>
        </w:rPr>
        <w:t xml:space="preserve"> failed to seek a supervisory review</w:t>
      </w:r>
      <w:r>
        <w:rPr>
          <w:lang w:val="en-US"/>
        </w:rPr>
        <w:t xml:space="preserve"> of the impugned decisions in their cases</w:t>
      </w:r>
      <w:r w:rsidRPr="003D5DD4">
        <w:rPr>
          <w:lang w:val="en-US"/>
        </w:rPr>
        <w:t xml:space="preserve"> </w:t>
      </w:r>
      <w:r w:rsidRPr="00B01905">
        <w:rPr>
          <w:lang w:val="en-US"/>
        </w:rPr>
        <w:t>by the Prosecutor</w:t>
      </w:r>
      <w:r w:rsidR="0070688F">
        <w:rPr>
          <w:lang w:val="en-US"/>
        </w:rPr>
        <w:t>’s and Prosecutor</w:t>
      </w:r>
      <w:r w:rsidR="00E7537B">
        <w:rPr>
          <w:lang w:val="en-US"/>
        </w:rPr>
        <w:t xml:space="preserve"> General</w:t>
      </w:r>
      <w:r w:rsidRPr="00B01905">
        <w:rPr>
          <w:lang w:val="en-US"/>
        </w:rPr>
        <w:t xml:space="preserve">’s Office or by </w:t>
      </w:r>
      <w:r w:rsidRPr="00B01905">
        <w:rPr>
          <w:lang w:val="en-US"/>
        </w:rPr>
        <w:lastRenderedPageBreak/>
        <w:t xml:space="preserve">the Chair </w:t>
      </w:r>
      <w:r>
        <w:rPr>
          <w:lang w:val="en-US"/>
        </w:rPr>
        <w:t xml:space="preserve">or Deputy Chair </w:t>
      </w:r>
      <w:r w:rsidRPr="00B01905">
        <w:rPr>
          <w:lang w:val="en-US"/>
        </w:rPr>
        <w:t>of</w:t>
      </w:r>
      <w:r w:rsidR="00F72F41">
        <w:rPr>
          <w:lang w:val="en-US"/>
        </w:rPr>
        <w:t xml:space="preserve"> </w:t>
      </w:r>
      <w:r w:rsidR="0070688F">
        <w:rPr>
          <w:lang w:val="en-US"/>
        </w:rPr>
        <w:t xml:space="preserve">a </w:t>
      </w:r>
      <w:r w:rsidR="00605380">
        <w:rPr>
          <w:lang w:val="en-US"/>
        </w:rPr>
        <w:t xml:space="preserve">higher court and of the </w:t>
      </w:r>
      <w:r w:rsidRPr="00B01905">
        <w:rPr>
          <w:lang w:val="en-US"/>
        </w:rPr>
        <w:t>Supreme Court</w:t>
      </w:r>
      <w:r>
        <w:rPr>
          <w:lang w:val="en-US"/>
        </w:rPr>
        <w:t xml:space="preserve"> of Belarus</w:t>
      </w:r>
      <w:r w:rsidRPr="00B01905">
        <w:rPr>
          <w:lang w:val="en-US"/>
        </w:rPr>
        <w:t>. In this context, the Committee considers that filing requests for supervisory review with the presi</w:t>
      </w:r>
      <w:r w:rsidRPr="003D5DD4">
        <w:rPr>
          <w:lang w:val="en-US"/>
        </w:rPr>
        <w:t>dent of a court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00EC0BE0">
        <w:rPr>
          <w:lang w:val="en-US"/>
        </w:rPr>
        <w:t xml:space="preserve">. </w:t>
      </w:r>
      <w:r w:rsidRPr="00FC13D9">
        <w:rPr>
          <w:lang w:val="en-US"/>
        </w:rPr>
        <w:t>The Committee further</w:t>
      </w:r>
      <w:r w:rsidRPr="004568BC">
        <w:rPr>
          <w:lang w:val="en-US"/>
        </w:rPr>
        <w:t xml:space="preserve"> recalls its jurisprudence, according to which a petition for supervisory review submitted to a prosecutor’s office</w:t>
      </w:r>
      <w:r>
        <w:rPr>
          <w:lang w:val="en-US"/>
        </w:rPr>
        <w:t>, dependent on the discretionary power of the prosecutor,</w:t>
      </w:r>
      <w:r w:rsidRPr="004568BC">
        <w:rPr>
          <w:lang w:val="en-US"/>
        </w:rPr>
        <w:t xml:space="preserve"> requesting a review of court decisions that have taken effect constitutes an extraordinary remedy, and thus does not constitute a remedy that must be exhausted for the purposes of article 5 (2) (b) of the Optional Protocol.</w:t>
      </w:r>
      <w:r w:rsidRPr="004568BC">
        <w:rPr>
          <w:vertAlign w:val="superscript"/>
          <w:lang w:val="en-US"/>
        </w:rPr>
        <w:footnoteReference w:id="13"/>
      </w:r>
      <w:r w:rsidRPr="004568BC">
        <w:rPr>
          <w:lang w:val="en-US"/>
        </w:rPr>
        <w:t xml:space="preserve"> </w:t>
      </w:r>
      <w:r w:rsidR="00EC0BE0" w:rsidRPr="009570D7">
        <w:rPr>
          <w:lang w:val="en-US"/>
        </w:rPr>
        <w:t xml:space="preserve">The Committee also notes </w:t>
      </w:r>
      <w:r w:rsidR="00EC0BE0">
        <w:rPr>
          <w:lang w:val="en-US"/>
        </w:rPr>
        <w:t>that the</w:t>
      </w:r>
      <w:r w:rsidR="005F4D22">
        <w:rPr>
          <w:lang w:val="en-US"/>
        </w:rPr>
        <w:t xml:space="preserve"> supervisory</w:t>
      </w:r>
      <w:r w:rsidR="00EC0BE0">
        <w:rPr>
          <w:lang w:val="en-US"/>
        </w:rPr>
        <w:t xml:space="preserve"> appeals </w:t>
      </w:r>
      <w:r w:rsidR="005F4D22">
        <w:rPr>
          <w:lang w:val="en-US"/>
        </w:rPr>
        <w:t xml:space="preserve">submitted by the first, third and fourth </w:t>
      </w:r>
      <w:proofErr w:type="spellStart"/>
      <w:r w:rsidR="005F4D22">
        <w:rPr>
          <w:lang w:val="en-US"/>
        </w:rPr>
        <w:t>authorts</w:t>
      </w:r>
      <w:proofErr w:type="spellEnd"/>
      <w:r w:rsidR="005F4D22">
        <w:rPr>
          <w:lang w:val="en-US"/>
        </w:rPr>
        <w:t xml:space="preserve"> to</w:t>
      </w:r>
      <w:r w:rsidR="00F72F41">
        <w:rPr>
          <w:lang w:val="en-US"/>
        </w:rPr>
        <w:t xml:space="preserve"> </w:t>
      </w:r>
      <w:r w:rsidR="00985ABF">
        <w:rPr>
          <w:lang w:val="en-US"/>
        </w:rPr>
        <w:t xml:space="preserve">a </w:t>
      </w:r>
      <w:r w:rsidR="005F4D22">
        <w:rPr>
          <w:lang w:val="en-US"/>
        </w:rPr>
        <w:t xml:space="preserve">higher court, and the appeals of the first author </w:t>
      </w:r>
      <w:r w:rsidR="00EC0BE0">
        <w:rPr>
          <w:lang w:val="en-US"/>
        </w:rPr>
        <w:t>to the Prosecutor’s Office, were not effective and that the circumstances under which sanction</w:t>
      </w:r>
      <w:r w:rsidR="005F4D22">
        <w:rPr>
          <w:lang w:val="en-US"/>
        </w:rPr>
        <w:t>s</w:t>
      </w:r>
      <w:r w:rsidR="00EC0BE0">
        <w:rPr>
          <w:lang w:val="en-US"/>
        </w:rPr>
        <w:t xml:space="preserve"> were </w:t>
      </w:r>
      <w:r w:rsidR="005F4D22">
        <w:rPr>
          <w:lang w:val="en-US"/>
        </w:rPr>
        <w:t xml:space="preserve">imposed, are </w:t>
      </w:r>
      <w:r w:rsidR="00EC0BE0">
        <w:rPr>
          <w:lang w:val="en-US"/>
        </w:rPr>
        <w:t xml:space="preserve">similar to </w:t>
      </w:r>
      <w:r w:rsidR="005F4D22">
        <w:rPr>
          <w:lang w:val="en-US"/>
        </w:rPr>
        <w:t>all</w:t>
      </w:r>
      <w:r w:rsidR="00EC0BE0">
        <w:rPr>
          <w:lang w:val="en-US"/>
        </w:rPr>
        <w:t xml:space="preserve"> authors. </w:t>
      </w:r>
      <w:r w:rsidRPr="003D5DD4">
        <w:rPr>
          <w:lang w:val="en-US"/>
        </w:rPr>
        <w:t>The Committee notes that in the present case, the author</w:t>
      </w:r>
      <w:r>
        <w:rPr>
          <w:lang w:val="en-US"/>
        </w:rPr>
        <w:t>s</w:t>
      </w:r>
      <w:r w:rsidRPr="003D5DD4">
        <w:rPr>
          <w:lang w:val="en-US"/>
        </w:rPr>
        <w:t xml:space="preserve"> ha</w:t>
      </w:r>
      <w:r>
        <w:rPr>
          <w:lang w:val="en-US"/>
        </w:rPr>
        <w:t>ve</w:t>
      </w:r>
      <w:r w:rsidRPr="003D5DD4">
        <w:rPr>
          <w:lang w:val="en-US"/>
        </w:rPr>
        <w:t xml:space="preserve"> exhausted all </w:t>
      </w:r>
      <w:r w:rsidR="00EC0BE0">
        <w:rPr>
          <w:lang w:val="en-US"/>
        </w:rPr>
        <w:t xml:space="preserve">effective </w:t>
      </w:r>
      <w:r w:rsidRPr="003D5DD4">
        <w:rPr>
          <w:lang w:val="en-US"/>
        </w:rPr>
        <w:t>domestic remedi</w:t>
      </w:r>
      <w:r w:rsidR="00EC0BE0">
        <w:rPr>
          <w:lang w:val="en-US"/>
        </w:rPr>
        <w:t>es</w:t>
      </w:r>
      <w:r w:rsidRPr="003D5DD4">
        <w:rPr>
          <w:lang w:val="en-US"/>
        </w:rPr>
        <w:t>, and therefore, the Committee considers that it is not precluded by article 5 (2) (b) of the Optional Protocol from examining the present communication.</w:t>
      </w:r>
      <w:r>
        <w:rPr>
          <w:lang w:val="en-US"/>
        </w:rPr>
        <w:t xml:space="preserve"> </w:t>
      </w:r>
    </w:p>
    <w:p w14:paraId="37958F70" w14:textId="77777777" w:rsidR="008A16F2" w:rsidRPr="00B008C1" w:rsidRDefault="008A16F2" w:rsidP="008A16F2">
      <w:pPr>
        <w:pStyle w:val="SingleTxtG"/>
        <w:rPr>
          <w:lang w:val="en-US"/>
        </w:rPr>
      </w:pPr>
      <w:r>
        <w:rPr>
          <w:lang w:val="en-US"/>
        </w:rPr>
        <w:t xml:space="preserve">6.4 </w:t>
      </w:r>
      <w:r w:rsidR="00EC0BE0">
        <w:rPr>
          <w:lang w:val="en-US"/>
        </w:rPr>
        <w:tab/>
      </w:r>
      <w:r w:rsidRPr="00F51E0E">
        <w:rPr>
          <w:lang w:val="en-US"/>
        </w:rPr>
        <w:t xml:space="preserve">The Committee takes note of the </w:t>
      </w:r>
      <w:r w:rsidR="00EC0BE0">
        <w:rPr>
          <w:color w:val="000000"/>
          <w:lang w:eastAsia="en-GB"/>
        </w:rPr>
        <w:t xml:space="preserve">first and the fourth </w:t>
      </w:r>
      <w:r w:rsidRPr="00F51E0E">
        <w:rPr>
          <w:lang w:val="en-US"/>
        </w:rPr>
        <w:t>authors’ claim</w:t>
      </w:r>
      <w:r>
        <w:rPr>
          <w:lang w:val="en-US"/>
        </w:rPr>
        <w:t>s</w:t>
      </w:r>
      <w:r w:rsidRPr="00F51E0E">
        <w:rPr>
          <w:lang w:val="en-US"/>
        </w:rPr>
        <w:t xml:space="preserve"> that the State party violated</w:t>
      </w:r>
      <w:r w:rsidR="00EC0BE0">
        <w:rPr>
          <w:lang w:val="en-US"/>
        </w:rPr>
        <w:t xml:space="preserve"> their rights under article 19</w:t>
      </w:r>
      <w:r w:rsidRPr="00F51E0E">
        <w:rPr>
          <w:lang w:val="en-US"/>
        </w:rPr>
        <w:t xml:space="preserve">, read in conjunction with article 2 (2) </w:t>
      </w:r>
      <w:r w:rsidRPr="00E13975">
        <w:t>of</w:t>
      </w:r>
      <w:r w:rsidRPr="00F51E0E">
        <w:rPr>
          <w:lang w:val="en-US"/>
        </w:rPr>
        <w:t xml:space="preserve"> the Covenant. The Committee reiterates that the provisions of article 2</w:t>
      </w:r>
      <w:r w:rsidR="00BD5D22">
        <w:rPr>
          <w:lang w:val="en-US"/>
        </w:rPr>
        <w:t xml:space="preserve"> of the Covenant</w:t>
      </w:r>
      <w:r w:rsidRPr="00F51E0E">
        <w:rPr>
          <w:lang w:val="en-US"/>
        </w:rPr>
        <w:t xml:space="preserve"> cannot be invoked in a claim in a communication under the Optional Protocol in conjunction with other provisions of the Covenant, except when the failure by the State party to observe its obligations under article 2 is </w:t>
      </w:r>
      <w:r w:rsidRPr="00B008C1">
        <w:rPr>
          <w:lang w:val="en-US"/>
        </w:rPr>
        <w:t>the proximate cause of a distinct violation of the Covenant directly affecting the individual claiming to be a victim.</w:t>
      </w:r>
      <w:r w:rsidR="003C71D4" w:rsidRPr="00B008C1">
        <w:rPr>
          <w:rStyle w:val="Refdenotaalpie"/>
        </w:rPr>
        <w:footnoteReference w:id="14"/>
      </w:r>
      <w:r w:rsidR="00F72F41">
        <w:rPr>
          <w:lang w:val="en-US"/>
        </w:rPr>
        <w:t xml:space="preserve"> </w:t>
      </w:r>
      <w:r w:rsidRPr="00B008C1">
        <w:rPr>
          <w:lang w:val="en-US"/>
        </w:rPr>
        <w:t xml:space="preserve">The Committee notes, however, that the </w:t>
      </w:r>
      <w:r w:rsidR="002A453B">
        <w:rPr>
          <w:lang w:val="en-US"/>
        </w:rPr>
        <w:t xml:space="preserve">first and fourth </w:t>
      </w:r>
      <w:r w:rsidRPr="00B008C1">
        <w:rPr>
          <w:lang w:val="en-US"/>
        </w:rPr>
        <w:t>authors have already alleged a violation of their rights under article 19 of the Covenant, resulting from the interpretation and application of the existing laws of the State party, and the Committee does not consider the examination of whether the State party has also violated its general obligations under article 2 (2), read in conjunction with article</w:t>
      </w:r>
      <w:r w:rsidR="00EC0BE0">
        <w:rPr>
          <w:lang w:val="en-US"/>
        </w:rPr>
        <w:t xml:space="preserve"> 19</w:t>
      </w:r>
      <w:r w:rsidRPr="00B008C1">
        <w:rPr>
          <w:lang w:val="en-US"/>
        </w:rPr>
        <w:t>, to be distinct from examination of the violation of th</w:t>
      </w:r>
      <w:r w:rsidR="00EC0BE0">
        <w:rPr>
          <w:lang w:val="en-US"/>
        </w:rPr>
        <w:t>e</w:t>
      </w:r>
      <w:r w:rsidR="002A453B">
        <w:rPr>
          <w:lang w:val="en-US"/>
        </w:rPr>
        <w:t>se</w:t>
      </w:r>
      <w:r w:rsidR="00EC0BE0">
        <w:rPr>
          <w:lang w:val="en-US"/>
        </w:rPr>
        <w:t xml:space="preserve"> authors’ rights under article</w:t>
      </w:r>
      <w:r w:rsidRPr="00B008C1">
        <w:rPr>
          <w:lang w:val="en-US"/>
        </w:rPr>
        <w:t xml:space="preserve"> 19 of the Covenant. The Committee therefore considers that the authors’ claims in that regard are incompatible with article 2 of the Covenant and thus inadmissible under article 3 of the Optional Protocol.</w:t>
      </w:r>
    </w:p>
    <w:p w14:paraId="7FAC7D8C" w14:textId="77777777" w:rsidR="008A16F2" w:rsidRPr="00B008C1" w:rsidRDefault="008A16F2" w:rsidP="008A16F2">
      <w:pPr>
        <w:pStyle w:val="SingleTxtG"/>
        <w:rPr>
          <w:lang w:val="en-US"/>
        </w:rPr>
      </w:pPr>
      <w:r w:rsidRPr="00B008C1">
        <w:rPr>
          <w:lang w:val="en-US"/>
        </w:rPr>
        <w:t>6.5</w:t>
      </w:r>
      <w:r w:rsidRPr="00B008C1">
        <w:rPr>
          <w:lang w:val="en-US"/>
        </w:rPr>
        <w:tab/>
        <w:t xml:space="preserve">The Committee further notes the </w:t>
      </w:r>
      <w:r w:rsidR="002A453B">
        <w:rPr>
          <w:lang w:val="en-US"/>
        </w:rPr>
        <w:t xml:space="preserve">same </w:t>
      </w:r>
      <w:r w:rsidRPr="00B008C1">
        <w:rPr>
          <w:lang w:val="en-US"/>
        </w:rPr>
        <w:t xml:space="preserve">authors’ claims </w:t>
      </w:r>
      <w:r w:rsidRPr="00B008C1">
        <w:t>under</w:t>
      </w:r>
      <w:r w:rsidRPr="00B008C1">
        <w:rPr>
          <w:lang w:val="en-US"/>
        </w:rPr>
        <w:t xml:space="preserve"> article 19, read in conjunction with article 2 (3</w:t>
      </w:r>
      <w:r w:rsidR="00BD5D22">
        <w:rPr>
          <w:lang w:val="en-US"/>
        </w:rPr>
        <w:t>)</w:t>
      </w:r>
      <w:r w:rsidR="00BD5D22" w:rsidRPr="00BD5D22">
        <w:rPr>
          <w:lang w:val="en-US"/>
        </w:rPr>
        <w:t xml:space="preserve"> </w:t>
      </w:r>
      <w:r w:rsidR="00BD5D22" w:rsidRPr="00B008C1">
        <w:rPr>
          <w:lang w:val="en-US"/>
        </w:rPr>
        <w:t>of the Covenant</w:t>
      </w:r>
      <w:r w:rsidRPr="00B008C1">
        <w:rPr>
          <w:lang w:val="en-US"/>
        </w:rPr>
        <w:t>. In the absence however of any further pertinent information on file, the Committee considers that the</w:t>
      </w:r>
      <w:r w:rsidR="002A453B">
        <w:rPr>
          <w:lang w:val="en-US"/>
        </w:rPr>
        <w:t>se</w:t>
      </w:r>
      <w:r w:rsidRPr="00B008C1">
        <w:rPr>
          <w:lang w:val="en-US"/>
        </w:rPr>
        <w:t xml:space="preserve"> authors have failed to sufficiently substantiate</w:t>
      </w:r>
      <w:r w:rsidR="00F72F41">
        <w:rPr>
          <w:lang w:val="en-US"/>
        </w:rPr>
        <w:t xml:space="preserve"> </w:t>
      </w:r>
      <w:r w:rsidR="002A453B">
        <w:rPr>
          <w:lang w:val="en-US"/>
        </w:rPr>
        <w:t xml:space="preserve">such </w:t>
      </w:r>
      <w:r w:rsidRPr="00B008C1">
        <w:rPr>
          <w:lang w:val="en-US"/>
        </w:rPr>
        <w:t>claims for the purposes of admissibility. Accordingly, it declares this part of the communication inadmissible under article 2 of the Optional Protocol.</w:t>
      </w:r>
    </w:p>
    <w:p w14:paraId="1759571A" w14:textId="77777777" w:rsidR="008A16F2" w:rsidRDefault="008A16F2" w:rsidP="008A16F2">
      <w:pPr>
        <w:pStyle w:val="SingleTxtG"/>
      </w:pPr>
      <w:r w:rsidRPr="00B008C1">
        <w:t>6.6</w:t>
      </w:r>
      <w:r w:rsidRPr="00B008C1">
        <w:tab/>
        <w:t>The Committee finally notes that</w:t>
      </w:r>
      <w:r w:rsidR="00DA7C5B" w:rsidRPr="00B008C1">
        <w:t xml:space="preserve"> the facts, as submitted </w:t>
      </w:r>
      <w:r w:rsidR="00B70D4C" w:rsidRPr="00B008C1">
        <w:t xml:space="preserve">by </w:t>
      </w:r>
      <w:r w:rsidR="00173423">
        <w:t xml:space="preserve">all </w:t>
      </w:r>
      <w:r w:rsidR="00B70D4C" w:rsidRPr="00B008C1">
        <w:t xml:space="preserve">the </w:t>
      </w:r>
      <w:r w:rsidR="00173423">
        <w:t xml:space="preserve">four </w:t>
      </w:r>
      <w:r w:rsidR="00B70D4C" w:rsidRPr="00B008C1">
        <w:t xml:space="preserve">authors </w:t>
      </w:r>
      <w:r w:rsidR="00F76E6C" w:rsidRPr="00B008C1">
        <w:t>i</w:t>
      </w:r>
      <w:r w:rsidR="00DA7C5B" w:rsidRPr="00B008C1">
        <w:t>n the</w:t>
      </w:r>
      <w:r w:rsidR="00B70D4C" w:rsidRPr="00B008C1">
        <w:t>ir</w:t>
      </w:r>
      <w:r w:rsidR="00DA7C5B" w:rsidRPr="00B008C1">
        <w:t xml:space="preserve"> respective communications,</w:t>
      </w:r>
      <w:r w:rsidR="00F72F41">
        <w:t xml:space="preserve"> </w:t>
      </w:r>
      <w:r w:rsidRPr="00B008C1">
        <w:t>raise issues under article 19 of the Covenant</w:t>
      </w:r>
      <w:r w:rsidR="00B70D4C" w:rsidRPr="00B008C1">
        <w:t>. The Committee</w:t>
      </w:r>
      <w:r w:rsidR="00810AAE" w:rsidRPr="00B008C1">
        <w:t>, therefore,</w:t>
      </w:r>
      <w:r w:rsidRPr="00B008C1">
        <w:t xml:space="preserve"> consider the </w:t>
      </w:r>
      <w:r w:rsidR="00F76E6C" w:rsidRPr="00B008C1">
        <w:t>communications</w:t>
      </w:r>
      <w:r w:rsidR="00B70D4C" w:rsidRPr="00B008C1">
        <w:t xml:space="preserve"> </w:t>
      </w:r>
      <w:r w:rsidRPr="00B008C1">
        <w:t>sufficiently substantiated for the purposes of admissibility,</w:t>
      </w:r>
      <w:r w:rsidR="00F76E6C" w:rsidRPr="00B008C1">
        <w:t xml:space="preserve"> </w:t>
      </w:r>
      <w:r w:rsidRPr="00B008C1">
        <w:t>and</w:t>
      </w:r>
      <w:r w:rsidRPr="00B70D4C">
        <w:t xml:space="preserve"> proceeds with their consideration of the merits.</w:t>
      </w:r>
    </w:p>
    <w:p w14:paraId="596F4202" w14:textId="77777777" w:rsidR="008A16F2" w:rsidRPr="00415BA0" w:rsidRDefault="008A16F2" w:rsidP="008A16F2">
      <w:pPr>
        <w:pStyle w:val="H4G"/>
        <w:ind w:right="36"/>
      </w:pPr>
      <w:r>
        <w:tab/>
      </w:r>
      <w:r>
        <w:tab/>
      </w:r>
      <w:r w:rsidRPr="00415BA0">
        <w:t>Considerations of the merits</w:t>
      </w:r>
    </w:p>
    <w:p w14:paraId="1C441E18" w14:textId="77777777" w:rsidR="008A16F2" w:rsidRPr="00AF1983" w:rsidRDefault="008A16F2" w:rsidP="008A16F2">
      <w:pPr>
        <w:pStyle w:val="SingleTxtG"/>
      </w:pPr>
      <w:r>
        <w:t>7.1</w:t>
      </w:r>
      <w:r>
        <w:tab/>
      </w:r>
      <w:r w:rsidRPr="00AF1983">
        <w:t>The Committee has considered the communication</w:t>
      </w:r>
      <w:r>
        <w:t>s</w:t>
      </w:r>
      <w:r w:rsidRPr="00AF1983">
        <w:t xml:space="preserve"> in the light of all the information made available to it by the </w:t>
      </w:r>
      <w:r w:rsidRPr="00E13975">
        <w:t>parties</w:t>
      </w:r>
      <w:r w:rsidRPr="00AF1983">
        <w:t>, as provided under article 5 (1) of the Optional Protocol.</w:t>
      </w:r>
    </w:p>
    <w:p w14:paraId="7C43509D" w14:textId="77777777" w:rsidR="008A16F2" w:rsidRDefault="008A16F2" w:rsidP="008A16F2">
      <w:pPr>
        <w:pStyle w:val="SingleTxtG"/>
      </w:pPr>
      <w:r w:rsidRPr="00AF1983">
        <w:t>7.2</w:t>
      </w:r>
      <w:r w:rsidRPr="00AF1983">
        <w:tab/>
      </w:r>
      <w:r w:rsidRPr="001834F5">
        <w:t xml:space="preserve">The Committee </w:t>
      </w:r>
      <w:r>
        <w:t>notes the authors’ claims that their right to freedom of expression ha</w:t>
      </w:r>
      <w:r w:rsidR="00E9414E">
        <w:t>s</w:t>
      </w:r>
      <w:r>
        <w:t xml:space="preserve"> been restricted in violation of article 19</w:t>
      </w:r>
      <w:r w:rsidR="00E9414E">
        <w:t xml:space="preserve"> </w:t>
      </w:r>
      <w:r>
        <w:t xml:space="preserve">of the Covenant, as they were </w:t>
      </w:r>
      <w:r w:rsidR="00E9414E">
        <w:t>fined for exercising journalist</w:t>
      </w:r>
      <w:r w:rsidR="004E486D">
        <w:t>ic</w:t>
      </w:r>
      <w:r w:rsidR="00E9414E">
        <w:t xml:space="preserve"> activity</w:t>
      </w:r>
      <w:r w:rsidR="004E486D">
        <w:t xml:space="preserve"> by </w:t>
      </w:r>
      <w:r w:rsidR="005F4D22">
        <w:t xml:space="preserve">carrying out </w:t>
      </w:r>
      <w:r w:rsidR="004E486D">
        <w:t>interview</w:t>
      </w:r>
      <w:r w:rsidR="005F4D22">
        <w:t xml:space="preserve">s </w:t>
      </w:r>
      <w:r w:rsidR="00E9414E">
        <w:t xml:space="preserve">in Belarus with </w:t>
      </w:r>
      <w:r w:rsidR="005F4D22">
        <w:t>their</w:t>
      </w:r>
      <w:r w:rsidR="00E9414E">
        <w:t xml:space="preserve"> subsequent publishing in</w:t>
      </w:r>
      <w:r w:rsidR="00F72F41">
        <w:t xml:space="preserve"> </w:t>
      </w:r>
      <w:r w:rsidR="00E9414E">
        <w:t xml:space="preserve">foreign mass media, without an accreditation </w:t>
      </w:r>
      <w:r w:rsidR="004E486D">
        <w:t>of</w:t>
      </w:r>
      <w:r w:rsidR="00E9414E">
        <w:t xml:space="preserve"> the Ministry of Foreign Affairs as</w:t>
      </w:r>
      <w:r w:rsidR="00F72F41">
        <w:t xml:space="preserve"> </w:t>
      </w:r>
      <w:r w:rsidR="00E9414E">
        <w:t>journalist</w:t>
      </w:r>
      <w:r w:rsidR="00440341">
        <w:t>s working for foreign mass media</w:t>
      </w:r>
      <w:r w:rsidR="00E9414E">
        <w:t xml:space="preserve"> in accordance with the Law </w:t>
      </w:r>
      <w:r w:rsidR="00CB6E6E">
        <w:t xml:space="preserve">the </w:t>
      </w:r>
      <w:r w:rsidR="00E9414E">
        <w:t>on Mass Media.</w:t>
      </w:r>
      <w:r w:rsidR="004E486D">
        <w:t xml:space="preserve"> The Committee notes </w:t>
      </w:r>
      <w:r w:rsidR="00494412">
        <w:t xml:space="preserve">their claim </w:t>
      </w:r>
      <w:r w:rsidR="004E486D">
        <w:t xml:space="preserve">that as a result, the authors were charged under </w:t>
      </w:r>
      <w:r w:rsidR="005F4D22">
        <w:t xml:space="preserve">article 22.9 (2) </w:t>
      </w:r>
      <w:r w:rsidR="005F4D22">
        <w:lastRenderedPageBreak/>
        <w:t xml:space="preserve">of the Administrative Offences Code for failing to comply with the requirements of the </w:t>
      </w:r>
      <w:r w:rsidR="00494412">
        <w:t xml:space="preserve">said </w:t>
      </w:r>
      <w:r w:rsidR="005F4D22">
        <w:t>Law.</w:t>
      </w:r>
      <w:r w:rsidR="00E9414E">
        <w:t xml:space="preserve"> </w:t>
      </w:r>
      <w:r w:rsidRPr="00FC13D9">
        <w:t>It also notes the authors’ argument that the authorities failed to explain why the restrictions imposed</w:t>
      </w:r>
      <w:r>
        <w:t xml:space="preserve"> on their rights were necessary </w:t>
      </w:r>
      <w:r w:rsidR="00B659B8">
        <w:t>and proportionate under</w:t>
      </w:r>
      <w:r>
        <w:t xml:space="preserve"> article 19 (3) of the Covenant. </w:t>
      </w:r>
    </w:p>
    <w:p w14:paraId="3D788555" w14:textId="77777777" w:rsidR="00686DB0" w:rsidRPr="00C30E8F" w:rsidRDefault="008A16F2" w:rsidP="00686DB0">
      <w:pPr>
        <w:pStyle w:val="SingleTxtG"/>
        <w:rPr>
          <w:lang w:val="en-US"/>
        </w:rPr>
      </w:pPr>
      <w:r>
        <w:t>7.3</w:t>
      </w:r>
      <w:r>
        <w:tab/>
      </w:r>
      <w:r w:rsidR="00686DB0" w:rsidRPr="00B324CD">
        <w:t xml:space="preserve">The Committee has </w:t>
      </w:r>
      <w:r w:rsidR="00E12ADA">
        <w:t xml:space="preserve">therefore </w:t>
      </w:r>
      <w:r w:rsidR="00686DB0" w:rsidRPr="00B324CD">
        <w:t>to consider whether the res</w:t>
      </w:r>
      <w:r w:rsidR="00686DB0">
        <w:t>trictions imposed on the author</w:t>
      </w:r>
      <w:r w:rsidR="00686DB0" w:rsidRPr="00B324CD">
        <w:t>s</w:t>
      </w:r>
      <w:r w:rsidR="00686DB0">
        <w:t>’</w:t>
      </w:r>
      <w:r w:rsidR="00686DB0" w:rsidRPr="00B324CD">
        <w:t xml:space="preserve"> freedom to </w:t>
      </w:r>
      <w:r w:rsidR="00686DB0">
        <w:t xml:space="preserve">gather and </w:t>
      </w:r>
      <w:r w:rsidR="0001615D">
        <w:t xml:space="preserve">impart information, which they exercised as journalists, </w:t>
      </w:r>
      <w:r w:rsidR="00686DB0" w:rsidRPr="00B324CD">
        <w:t xml:space="preserve">are justified under any of the criteria set out in article 19 (3) of the Covenant. The Committee recalls in that respect its general comment No. 34 (2011) </w:t>
      </w:r>
      <w:r w:rsidR="00686DB0" w:rsidRPr="00B324CD">
        <w:rPr>
          <w:snapToGrid w:val="0"/>
          <w:szCs w:val="24"/>
        </w:rPr>
        <w:t>on the freedoms of opinion and expression</w:t>
      </w:r>
      <w:r w:rsidR="00686DB0" w:rsidRPr="00B324CD">
        <w:t xml:space="preserve">, in which it stated, inter alia, that the freedom of expression </w:t>
      </w:r>
      <w:r w:rsidR="00E12ADA">
        <w:t xml:space="preserve">is </w:t>
      </w:r>
      <w:r w:rsidR="00686DB0" w:rsidRPr="00B324CD">
        <w:t>essential for any society and a foundation stone for every free and democratic society (para. 2). It notes that article 19 (3) allows restrictions on the freedom of expression, including the freedom to impart information and ideas, only to the extent that they are provided by law and only if they are necessary (a) for respect of the rights and reputation of others; or (b) for the protection of national security or public order (</w:t>
      </w:r>
      <w:proofErr w:type="spellStart"/>
      <w:r w:rsidR="00686DB0" w:rsidRPr="00867863">
        <w:rPr>
          <w:i/>
          <w:iCs/>
        </w:rPr>
        <w:t>ordre</w:t>
      </w:r>
      <w:proofErr w:type="spellEnd"/>
      <w:r w:rsidR="00686DB0" w:rsidRPr="00867863">
        <w:rPr>
          <w:i/>
          <w:iCs/>
        </w:rPr>
        <w:t xml:space="preserve"> public</w:t>
      </w:r>
      <w:r w:rsidR="00686DB0" w:rsidRPr="00B324CD">
        <w:t>), or of public health or morals. Finally, any restriction on freedom of expression must not be overbroad in nature, that is, it must be the least intrusive among the measures that might achieve the relevant protective function and proportionate to the interest to be protected.</w:t>
      </w:r>
      <w:r w:rsidR="00686DB0" w:rsidRPr="00B324CD">
        <w:rPr>
          <w:rStyle w:val="Refdenotaalpie"/>
        </w:rPr>
        <w:footnoteReference w:id="15"/>
      </w:r>
      <w:r w:rsidR="00C30E8F">
        <w:rPr>
          <w:lang w:val="en-US"/>
        </w:rPr>
        <w:t xml:space="preserve"> </w:t>
      </w:r>
      <w:r w:rsidR="00C30E8F" w:rsidRPr="00B57489">
        <w:rPr>
          <w:lang w:val="en-US"/>
        </w:rPr>
        <w:t>The Committee recalls that it is for the State party to demonstrate that the restrictions on the author’s rights under article 19 of the Covenant were necessary and proportionate.</w:t>
      </w:r>
      <w:r w:rsidR="00C30E8F">
        <w:rPr>
          <w:rStyle w:val="Refdenotaalpie"/>
          <w:lang w:val="en-US"/>
        </w:rPr>
        <w:footnoteReference w:id="16"/>
      </w:r>
      <w:r w:rsidR="00C30E8F" w:rsidRPr="00B57489">
        <w:rPr>
          <w:lang w:val="en-US"/>
        </w:rPr>
        <w:t xml:space="preserve"> </w:t>
      </w:r>
    </w:p>
    <w:p w14:paraId="539FCFBD" w14:textId="77777777" w:rsidR="00686DB0" w:rsidRPr="00B324CD" w:rsidRDefault="00E12B1F" w:rsidP="00686DB0">
      <w:pPr>
        <w:pStyle w:val="SingleTxtG"/>
      </w:pPr>
      <w:r>
        <w:t>7</w:t>
      </w:r>
      <w:r w:rsidR="00686DB0" w:rsidRPr="00B324CD">
        <w:t>.4</w:t>
      </w:r>
      <w:r w:rsidR="00686DB0" w:rsidRPr="00B324CD">
        <w:tab/>
        <w:t>The Committee observes that, in th</w:t>
      </w:r>
      <w:r w:rsidR="00686DB0">
        <w:t>e present case</w:t>
      </w:r>
      <w:r w:rsidR="007B2810">
        <w:t>s</w:t>
      </w:r>
      <w:r w:rsidR="00686DB0">
        <w:t xml:space="preserve">, </w:t>
      </w:r>
      <w:r w:rsidR="00F53E57">
        <w:t>the author</w:t>
      </w:r>
      <w:r w:rsidR="003653FD">
        <w:t>s</w:t>
      </w:r>
      <w:r w:rsidR="00F53E57">
        <w:t xml:space="preserve"> w</w:t>
      </w:r>
      <w:r w:rsidR="003653FD">
        <w:t>ere</w:t>
      </w:r>
      <w:r w:rsidR="00F53E57">
        <w:t xml:space="preserve"> sanctioned with a significant fine </w:t>
      </w:r>
      <w:proofErr w:type="gramStart"/>
      <w:r w:rsidR="00F53E57">
        <w:t>on the basis of</w:t>
      </w:r>
      <w:proofErr w:type="gramEnd"/>
      <w:r w:rsidR="00F53E57">
        <w:t xml:space="preserve"> the Law on the Mass Media, which entails </w:t>
      </w:r>
      <w:r w:rsidR="00686DB0">
        <w:t xml:space="preserve">the prohibition to </w:t>
      </w:r>
      <w:proofErr w:type="spellStart"/>
      <w:r w:rsidR="00686DB0">
        <w:t>exercize</w:t>
      </w:r>
      <w:proofErr w:type="spellEnd"/>
      <w:r w:rsidR="00686DB0">
        <w:t xml:space="preserve"> journalist activity in Belarus with further publication in foreign mass media without being </w:t>
      </w:r>
      <w:r w:rsidR="00196948">
        <w:t>accredited</w:t>
      </w:r>
      <w:r w:rsidR="00686DB0">
        <w:t xml:space="preserve"> as a representative </w:t>
      </w:r>
      <w:r w:rsidR="00686DB0" w:rsidRPr="00B324CD">
        <w:t xml:space="preserve">of the </w:t>
      </w:r>
      <w:r w:rsidR="00686DB0">
        <w:t>foreign media</w:t>
      </w:r>
      <w:r w:rsidR="00686DB0" w:rsidRPr="00B324CD">
        <w:t xml:space="preserve">. </w:t>
      </w:r>
      <w:r w:rsidR="00893528">
        <w:t xml:space="preserve">The Committee refers </w:t>
      </w:r>
      <w:r w:rsidR="00CD71F2">
        <w:t xml:space="preserve">in this respect </w:t>
      </w:r>
      <w:r w:rsidR="00893528">
        <w:t>to its General Comment 34 on freedoms of opinion and expression where the Committee</w:t>
      </w:r>
      <w:r w:rsidR="00F72F41">
        <w:t xml:space="preserve"> </w:t>
      </w:r>
      <w:r w:rsidR="00FE212B">
        <w:t xml:space="preserve">explicitly </w:t>
      </w:r>
      <w:r w:rsidR="00893528">
        <w:t>states that general State systems of registration or licensing of journalists are incompatible with article 19 (3) of the Covenant.</w:t>
      </w:r>
      <w:r w:rsidR="00F72F41">
        <w:t xml:space="preserve"> </w:t>
      </w:r>
      <w:r w:rsidR="00A965B8">
        <w:t>L</w:t>
      </w:r>
      <w:r w:rsidR="00893528">
        <w:t xml:space="preserve">imited accreditation schemes are permissible </w:t>
      </w:r>
      <w:r w:rsidR="00A965B8">
        <w:t xml:space="preserve">only where necessary </w:t>
      </w:r>
      <w:r w:rsidR="00893528">
        <w:t xml:space="preserve">to provide journalists with </w:t>
      </w:r>
      <w:r w:rsidR="00A965B8">
        <w:t xml:space="preserve">privileged </w:t>
      </w:r>
      <w:r w:rsidR="00893528">
        <w:t>access to certain events/places</w:t>
      </w:r>
      <w:r w:rsidR="00A965B8">
        <w:rPr>
          <w:rStyle w:val="Refdenotaalpie"/>
        </w:rPr>
        <w:footnoteReference w:id="17"/>
      </w:r>
      <w:r w:rsidR="00893528">
        <w:t xml:space="preserve">. Such schemes should </w:t>
      </w:r>
      <w:r w:rsidR="00CB5374">
        <w:t xml:space="preserve">further </w:t>
      </w:r>
      <w:r w:rsidR="00A965B8">
        <w:t xml:space="preserve">be applied in a manner that is non-discriminatory </w:t>
      </w:r>
      <w:r w:rsidR="00CB5374">
        <w:t xml:space="preserve">and </w:t>
      </w:r>
      <w:r w:rsidR="00893528">
        <w:t>meet the requirements of article 19</w:t>
      </w:r>
      <w:r w:rsidR="00F72F41">
        <w:t xml:space="preserve"> </w:t>
      </w:r>
      <w:r w:rsidR="00CB5374">
        <w:t>and other provisions of the Covenant</w:t>
      </w:r>
      <w:r w:rsidR="00893528">
        <w:t>.</w:t>
      </w:r>
      <w:r w:rsidR="00DE41C2" w:rsidRPr="00DE41C2">
        <w:t xml:space="preserve"> </w:t>
      </w:r>
      <w:r w:rsidR="00DE41C2" w:rsidRPr="00B324CD">
        <w:t xml:space="preserve">The Committee observes that </w:t>
      </w:r>
      <w:r w:rsidR="00DE41C2">
        <w:t>in the present case the State party relies on the provision of the Law on</w:t>
      </w:r>
      <w:r w:rsidR="00CB6E6E">
        <w:t xml:space="preserve"> the</w:t>
      </w:r>
      <w:r w:rsidR="00DE41C2">
        <w:t xml:space="preserve"> Mass Media for justifying restrictions on freedom</w:t>
      </w:r>
      <w:r w:rsidR="00B25476">
        <w:t xml:space="preserve"> </w:t>
      </w:r>
      <w:r w:rsidR="00DE41C2">
        <w:t xml:space="preserve">of expression of the authors. </w:t>
      </w:r>
      <w:r w:rsidR="003F179D">
        <w:t>The State party</w:t>
      </w:r>
      <w:r w:rsidR="00F72F41">
        <w:t xml:space="preserve"> </w:t>
      </w:r>
      <w:r w:rsidR="003F179D">
        <w:t xml:space="preserve">invokes </w:t>
      </w:r>
      <w:r w:rsidR="004626BD">
        <w:t xml:space="preserve">in this regard </w:t>
      </w:r>
      <w:r w:rsidR="003F179D">
        <w:t>a broad goal of ‘</w:t>
      </w:r>
      <w:r w:rsidR="003F179D">
        <w:rPr>
          <w:lang w:val="en-US"/>
        </w:rPr>
        <w:t xml:space="preserve">creating conditions for realization of citizens’ </w:t>
      </w:r>
      <w:r w:rsidR="003B33A0">
        <w:rPr>
          <w:lang w:val="en-US"/>
        </w:rPr>
        <w:t xml:space="preserve">constitutional </w:t>
      </w:r>
      <w:r w:rsidR="003F179D">
        <w:rPr>
          <w:lang w:val="en-US"/>
        </w:rPr>
        <w:t>rights</w:t>
      </w:r>
      <w:r w:rsidR="00A37498">
        <w:rPr>
          <w:lang w:val="en-US"/>
        </w:rPr>
        <w:t>’</w:t>
      </w:r>
      <w:r w:rsidR="003F179D">
        <w:rPr>
          <w:lang w:val="en-US"/>
        </w:rPr>
        <w:t xml:space="preserve"> as a reason for requesting accreditation of </w:t>
      </w:r>
      <w:proofErr w:type="gramStart"/>
      <w:r w:rsidR="003F179D">
        <w:rPr>
          <w:lang w:val="en-US"/>
        </w:rPr>
        <w:t>journalists</w:t>
      </w:r>
      <w:r w:rsidR="004626BD">
        <w:rPr>
          <w:lang w:val="en-US"/>
        </w:rPr>
        <w:t>, but</w:t>
      </w:r>
      <w:proofErr w:type="gramEnd"/>
      <w:r w:rsidR="004626BD">
        <w:rPr>
          <w:lang w:val="en-US"/>
        </w:rPr>
        <w:t xml:space="preserve"> does not </w:t>
      </w:r>
      <w:r w:rsidR="00A61B2F">
        <w:rPr>
          <w:lang w:val="en-US"/>
        </w:rPr>
        <w:t xml:space="preserve">explain or </w:t>
      </w:r>
      <w:r w:rsidR="004626BD">
        <w:rPr>
          <w:lang w:val="en-US"/>
        </w:rPr>
        <w:t xml:space="preserve">justify such </w:t>
      </w:r>
      <w:r w:rsidR="00A61B2F">
        <w:rPr>
          <w:lang w:val="en-US"/>
        </w:rPr>
        <w:t>statement</w:t>
      </w:r>
      <w:r w:rsidR="003F179D">
        <w:rPr>
          <w:lang w:val="en-US"/>
        </w:rPr>
        <w:t>.</w:t>
      </w:r>
      <w:r w:rsidR="009B2950">
        <w:t xml:space="preserve"> </w:t>
      </w:r>
      <w:r w:rsidR="008072EB">
        <w:t>The Committee considers that</w:t>
      </w:r>
      <w:r w:rsidR="00686DB0" w:rsidRPr="00B324CD">
        <w:t xml:space="preserve"> the </w:t>
      </w:r>
      <w:r w:rsidR="003B33A0">
        <w:t xml:space="preserve">restrictions </w:t>
      </w:r>
      <w:r w:rsidR="00686DB0" w:rsidRPr="00B324CD">
        <w:t>imposed on the author</w:t>
      </w:r>
      <w:r w:rsidR="0001615D">
        <w:t>s</w:t>
      </w:r>
      <w:r w:rsidR="00686DB0" w:rsidRPr="00B324CD">
        <w:t>,</w:t>
      </w:r>
      <w:r w:rsidR="00196948">
        <w:t xml:space="preserve"> which manifested on one hand, in the requirement to obtain accreditation</w:t>
      </w:r>
      <w:r w:rsidR="00DE2345">
        <w:t xml:space="preserve"> from the Ministry of Foreign Affairs,</w:t>
      </w:r>
      <w:r w:rsidR="00196948">
        <w:t xml:space="preserve"> and on the other hand</w:t>
      </w:r>
      <w:r w:rsidR="00DE2345">
        <w:t>,</w:t>
      </w:r>
      <w:r w:rsidR="00196948">
        <w:t xml:space="preserve"> in sanctions imposed on the authors for carrying out their professional activities without such accreditation,</w:t>
      </w:r>
      <w:r w:rsidR="00686DB0" w:rsidRPr="00B324CD">
        <w:t xml:space="preserve"> </w:t>
      </w:r>
      <w:r w:rsidR="00CB6E6E">
        <w:t>were</w:t>
      </w:r>
      <w:r w:rsidR="00CD71F2">
        <w:t xml:space="preserve"> indeed</w:t>
      </w:r>
      <w:r w:rsidR="00CB6E6E" w:rsidRPr="00B324CD">
        <w:t xml:space="preserve"> </w:t>
      </w:r>
      <w:r w:rsidR="00686DB0" w:rsidRPr="00B324CD">
        <w:t>based on domestic law</w:t>
      </w:r>
      <w:r w:rsidR="009B2950">
        <w:t xml:space="preserve">. However, </w:t>
      </w:r>
      <w:r w:rsidR="009B2950" w:rsidRPr="009B2950">
        <w:t>neither the State party nor the domestic courts have provided any explanations as to how such restrictions were justified pursuant to the conditions of necessity and proportionality as set out in article 19 (3) of the Covenant, and whether the penalties imposed (i.e. the administrative fines), even if based on law, were necessary</w:t>
      </w:r>
      <w:r w:rsidR="00CB5374">
        <w:t xml:space="preserve"> and</w:t>
      </w:r>
      <w:r w:rsidR="009B2950" w:rsidRPr="009B2950">
        <w:t xml:space="preserve"> proportionate and in compliance with any of the legitimate purposes listed in the mentioned provisions</w:t>
      </w:r>
      <w:r w:rsidR="009B2950">
        <w:t>.</w:t>
      </w:r>
      <w:r w:rsidR="00686DB0" w:rsidRPr="00B324CD">
        <w:t xml:space="preserve"> It therefore concludes that the authors</w:t>
      </w:r>
      <w:r w:rsidR="002A6EDA">
        <w:t>’</w:t>
      </w:r>
      <w:r w:rsidR="00686DB0" w:rsidRPr="00B324CD">
        <w:t xml:space="preserve"> rights under article 19 (2) of the Covenant have been violated.</w:t>
      </w:r>
      <w:r w:rsidR="00686DB0" w:rsidRPr="00B324CD">
        <w:rPr>
          <w:rStyle w:val="Refdenotaalpie"/>
        </w:rPr>
        <w:footnoteReference w:id="18"/>
      </w:r>
      <w:r w:rsidR="00686DB0" w:rsidRPr="00B324CD">
        <w:t xml:space="preserve"> </w:t>
      </w:r>
    </w:p>
    <w:p w14:paraId="34F178E7" w14:textId="77777777" w:rsidR="00686DB0" w:rsidRPr="00B324CD" w:rsidRDefault="00E12B1F" w:rsidP="00686DB0">
      <w:pPr>
        <w:pStyle w:val="SingleTxtG"/>
      </w:pPr>
      <w:r>
        <w:t>8</w:t>
      </w:r>
      <w:r w:rsidR="00686DB0" w:rsidRPr="00B324CD">
        <w:t>.</w:t>
      </w:r>
      <w:r w:rsidR="00686DB0" w:rsidRPr="00B324CD">
        <w:tab/>
        <w:t xml:space="preserve">The Committee, acting under article 5 (4) of the Optional Protocol, is of the view that the facts before it </w:t>
      </w:r>
      <w:proofErr w:type="gramStart"/>
      <w:r w:rsidR="00686DB0" w:rsidRPr="00B324CD">
        <w:t>disclose</w:t>
      </w:r>
      <w:proofErr w:type="gramEnd"/>
      <w:r w:rsidR="00686DB0" w:rsidRPr="00B324CD">
        <w:t xml:space="preserve"> a violation by the State party of article 19</w:t>
      </w:r>
      <w:r w:rsidR="002A6EDA">
        <w:t xml:space="preserve"> (2) </w:t>
      </w:r>
      <w:r w:rsidR="00686DB0" w:rsidRPr="00B324CD">
        <w:t xml:space="preserve">of the Covenant. </w:t>
      </w:r>
    </w:p>
    <w:p w14:paraId="2EB7F755" w14:textId="77777777" w:rsidR="00686DB0" w:rsidRPr="00B324CD" w:rsidRDefault="00E12B1F" w:rsidP="00686DB0">
      <w:pPr>
        <w:pStyle w:val="SingleTxtG"/>
      </w:pPr>
      <w:r>
        <w:t>9</w:t>
      </w:r>
      <w:r w:rsidR="00686DB0" w:rsidRPr="00B324CD">
        <w:t>.</w:t>
      </w:r>
      <w:r w:rsidR="00686DB0" w:rsidRPr="00B324CD">
        <w:tab/>
        <w:t>Pursuant to article 2 (3) (a) of the Covenant, the State party is under an obligation to provide the author</w:t>
      </w:r>
      <w:r w:rsidR="00286777">
        <w:t>s</w:t>
      </w:r>
      <w:r w:rsidR="00686DB0" w:rsidRPr="00B324CD">
        <w:t xml:space="preserve"> with an effective remedy. This requires it to make full reparation to individuals whose Covenant rights have been violated. Accordingly, the State party is </w:t>
      </w:r>
      <w:r w:rsidR="00686DB0" w:rsidRPr="00B324CD">
        <w:lastRenderedPageBreak/>
        <w:t>obligated, inter alia, to take appropriate steps to reimburse the current value of the fine and any legal costs incurred by the author</w:t>
      </w:r>
      <w:r w:rsidR="002A6EDA">
        <w:t>s</w:t>
      </w:r>
      <w:r w:rsidR="00686DB0" w:rsidRPr="00B324CD">
        <w:t xml:space="preserve"> in relation to the domestic proceedings. The State party is also under an obligation to take all steps necessary to prevent similar violations from occurring in the future. </w:t>
      </w:r>
      <w:r w:rsidR="002A6EDA" w:rsidRPr="00381A42">
        <w:t xml:space="preserve">In that connection, the Committee notes that </w:t>
      </w:r>
      <w:r w:rsidR="002A6EDA" w:rsidRPr="00D15767">
        <w:rPr>
          <w:lang w:val="en-US"/>
        </w:rPr>
        <w:t>it has dealt with similar cases in respect of the same laws and practices of the State party in a number of earlier communications,</w:t>
      </w:r>
      <w:r w:rsidR="002A6EDA">
        <w:rPr>
          <w:rStyle w:val="Refdenotaalpie"/>
          <w:lang w:val="en-US"/>
        </w:rPr>
        <w:footnoteReference w:id="19"/>
      </w:r>
      <w:r w:rsidR="002A6EDA" w:rsidRPr="00D15767">
        <w:rPr>
          <w:lang w:val="en-US"/>
        </w:rPr>
        <w:t xml:space="preserve"> and thus </w:t>
      </w:r>
      <w:r w:rsidR="002A6EDA" w:rsidRPr="00381A42">
        <w:t>the State party should revise its normative framework</w:t>
      </w:r>
      <w:r w:rsidR="002A6EDA">
        <w:t>, in particular its</w:t>
      </w:r>
      <w:r w:rsidR="002A6EDA" w:rsidRPr="00481477">
        <w:t xml:space="preserve"> Law on the</w:t>
      </w:r>
      <w:r w:rsidR="00F72F41">
        <w:t xml:space="preserve"> </w:t>
      </w:r>
      <w:r w:rsidR="002A6EDA" w:rsidRPr="00481477">
        <w:t>Mass Media</w:t>
      </w:r>
      <w:r w:rsidR="002A6EDA">
        <w:t>,</w:t>
      </w:r>
      <w:r w:rsidR="002A6EDA" w:rsidRPr="00381A42">
        <w:t xml:space="preserve"> consistent with its obligation under article 2 (2), with a view to ensuring that the rights under article 19 of the Covenant may be fully enjoyed in the State party</w:t>
      </w:r>
      <w:r w:rsidR="002A6EDA">
        <w:t>.</w:t>
      </w:r>
    </w:p>
    <w:p w14:paraId="6298414F" w14:textId="3A39AC9C" w:rsidR="00686DB0" w:rsidRPr="00361509" w:rsidRDefault="00686DB0" w:rsidP="00686DB0">
      <w:pPr>
        <w:pStyle w:val="SingleTxtG"/>
      </w:pPr>
      <w:r w:rsidRPr="00B324CD">
        <w:t>1</w:t>
      </w:r>
      <w:r w:rsidR="00E12B1F">
        <w:t>0</w:t>
      </w:r>
      <w:r w:rsidRPr="00B324CD">
        <w:t>.</w:t>
      </w:r>
      <w:r w:rsidRPr="00B324CD">
        <w:tab/>
      </w:r>
      <w:r w:rsidR="002066D3">
        <w:t xml:space="preserve">On </w:t>
      </w:r>
      <w:proofErr w:type="gramStart"/>
      <w:r w:rsidR="002066D3">
        <w:t xml:space="preserve">becoming </w:t>
      </w:r>
      <w:r w:rsidRPr="00B324CD">
        <w:t xml:space="preserve"> a</w:t>
      </w:r>
      <w:proofErr w:type="gramEnd"/>
      <w:r w:rsidRPr="00B324CD">
        <w:t xml:space="preserve"> party to the Optional Protocol, the State party has recognized the competence of the Committee to determine whether there has been a violation of the Covenant</w:t>
      </w:r>
      <w:r w:rsidR="002066D3">
        <w:t>. The present communication was submitted for consideration before the State party’s denunciation of the Optional Protocol became effective on 8 February 2023</w:t>
      </w:r>
      <w:r w:rsidR="00B613B2">
        <w:t>.</w:t>
      </w:r>
      <w:r w:rsidR="002066D3">
        <w:t xml:space="preserve"> </w:t>
      </w:r>
      <w:r w:rsidR="00B613B2">
        <w:t>I</w:t>
      </w:r>
      <w:r w:rsidR="002066D3">
        <w:t>n accordance with article 12 (2) of the Optional Protocol</w:t>
      </w:r>
      <w:r w:rsidR="00B613B2">
        <w:t xml:space="preserve">  and the Committee’s previous case law, the State party</w:t>
      </w:r>
      <w:r w:rsidR="002066D3">
        <w:t xml:space="preserve"> continues to be subject to the application of the Optional Protocol</w:t>
      </w:r>
      <w:r w:rsidR="00EF0988">
        <w:t xml:space="preserve"> as regards the present communication</w:t>
      </w:r>
      <w:r w:rsidR="002066D3">
        <w:t>.</w:t>
      </w:r>
      <w:r w:rsidR="002066D3">
        <w:rPr>
          <w:rStyle w:val="Refdenotaalpie"/>
        </w:rPr>
        <w:footnoteReference w:id="20"/>
      </w:r>
      <w:r w:rsidRPr="00B324CD">
        <w:t xml:space="preserve"> </w:t>
      </w:r>
      <w:r w:rsidR="00EF0988">
        <w:t xml:space="preserve"> Since p</w:t>
      </w:r>
      <w:r w:rsidRPr="00B324CD">
        <w:t xml:space="preserve">ursuant to article 2 of the Covenant, the State party has undertaken to ensure to all individuals within its territory </w:t>
      </w:r>
      <w:r w:rsidR="007B2810">
        <w:t>and</w:t>
      </w:r>
      <w:r w:rsidRPr="00B324CD">
        <w:t xml:space="preserve">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Pr="00B324CD">
        <w:rPr>
          <w:rFonts w:ascii="Arial Unicode MS"/>
        </w:rPr>
        <w:t>’</w:t>
      </w:r>
      <w:r w:rsidRPr="00B324CD">
        <w:t>s Views. The State party is also requested to publish the present Views and to have them widely disseminated in the official languages of the State party.</w:t>
      </w:r>
    </w:p>
    <w:p w14:paraId="060E4DD8" w14:textId="77777777" w:rsidR="00686DB0" w:rsidRPr="00361509" w:rsidRDefault="00686DB0" w:rsidP="00686DB0">
      <w:pPr>
        <w:pStyle w:val="SingleTxtG"/>
        <w:spacing w:before="240" w:after="0"/>
        <w:jc w:val="center"/>
      </w:pPr>
      <w:r w:rsidRPr="00361509">
        <w:rPr>
          <w:u w:val="single"/>
        </w:rPr>
        <w:tab/>
      </w:r>
      <w:r w:rsidRPr="00361509">
        <w:rPr>
          <w:u w:val="single"/>
        </w:rPr>
        <w:tab/>
      </w:r>
      <w:r w:rsidRPr="00361509">
        <w:rPr>
          <w:u w:val="single"/>
        </w:rPr>
        <w:tab/>
      </w:r>
      <w:r w:rsidRPr="00361509">
        <w:rPr>
          <w:u w:val="single"/>
        </w:rPr>
        <w:tab/>
      </w:r>
    </w:p>
    <w:p w14:paraId="6DCCF849" w14:textId="77777777" w:rsidR="008A16F2" w:rsidRPr="008A16F2" w:rsidRDefault="008A16F2" w:rsidP="00686DB0">
      <w:pPr>
        <w:pStyle w:val="SingleTxtG"/>
        <w:rPr>
          <w:u w:val="single"/>
        </w:rPr>
      </w:pPr>
    </w:p>
    <w:sectPr w:rsidR="008A16F2" w:rsidRPr="008A16F2" w:rsidSect="008A16F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0F38" w14:textId="77777777" w:rsidR="00A421A6" w:rsidRDefault="00A421A6"/>
  </w:endnote>
  <w:endnote w:type="continuationSeparator" w:id="0">
    <w:p w14:paraId="5A6EF0AC" w14:textId="77777777" w:rsidR="00A421A6" w:rsidRDefault="00A421A6"/>
  </w:endnote>
  <w:endnote w:type="continuationNotice" w:id="1">
    <w:p w14:paraId="2E061C7D" w14:textId="77777777" w:rsidR="00A421A6" w:rsidRDefault="00A42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79F6" w14:textId="77777777" w:rsidR="00245B81" w:rsidRPr="00F23848" w:rsidRDefault="00245B81" w:rsidP="00F23848">
    <w:pPr>
      <w:pStyle w:val="Piedepgina"/>
      <w:tabs>
        <w:tab w:val="right" w:pos="9598"/>
      </w:tabs>
      <w:rPr>
        <w:rFonts w:eastAsia="SimSun"/>
        <w:b/>
        <w:noProof/>
        <w:sz w:val="18"/>
        <w:lang w:eastAsia="zh-CN"/>
      </w:rPr>
    </w:pPr>
    <w:r w:rsidRPr="00F23848">
      <w:rPr>
        <w:rFonts w:eastAsia="SimSun"/>
        <w:b/>
        <w:noProof/>
        <w:sz w:val="18"/>
        <w:lang w:eastAsia="zh-CN"/>
      </w:rPr>
      <w:fldChar w:fldCharType="begin"/>
    </w:r>
    <w:r w:rsidRPr="00F23848">
      <w:rPr>
        <w:rFonts w:eastAsia="SimSun"/>
        <w:b/>
        <w:noProof/>
        <w:sz w:val="18"/>
        <w:lang w:eastAsia="zh-CN"/>
      </w:rPr>
      <w:instrText xml:space="preserve"> PAGE   \* MERGEFORMAT </w:instrText>
    </w:r>
    <w:r w:rsidRPr="00F23848">
      <w:rPr>
        <w:rFonts w:eastAsia="SimSun"/>
        <w:b/>
        <w:noProof/>
        <w:sz w:val="18"/>
        <w:lang w:eastAsia="zh-CN"/>
      </w:rPr>
      <w:fldChar w:fldCharType="separate"/>
    </w:r>
    <w:r w:rsidR="007E31D6">
      <w:rPr>
        <w:rFonts w:eastAsia="SimSun"/>
        <w:b/>
        <w:noProof/>
        <w:sz w:val="18"/>
        <w:lang w:eastAsia="zh-CN"/>
      </w:rPr>
      <w:t>6</w:t>
    </w:r>
    <w:r w:rsidRPr="00F23848">
      <w:rPr>
        <w:rFonts w:eastAsia="SimSun"/>
        <w:b/>
        <w:noProof/>
        <w:sz w:val="18"/>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F435" w14:textId="77777777" w:rsidR="00245B81" w:rsidRPr="00F23848" w:rsidRDefault="00245B81" w:rsidP="00F23848">
    <w:pPr>
      <w:pStyle w:val="Piedepgina"/>
      <w:jc w:val="right"/>
      <w:rPr>
        <w:b/>
        <w:sz w:val="18"/>
        <w:szCs w:val="18"/>
      </w:rPr>
    </w:pPr>
    <w:r w:rsidRPr="00F23848">
      <w:rPr>
        <w:b/>
        <w:sz w:val="18"/>
        <w:szCs w:val="18"/>
      </w:rPr>
      <w:fldChar w:fldCharType="begin"/>
    </w:r>
    <w:r w:rsidRPr="00F23848">
      <w:rPr>
        <w:b/>
        <w:sz w:val="18"/>
        <w:szCs w:val="18"/>
      </w:rPr>
      <w:instrText xml:space="preserve"> PAGE   \* MERGEFORMAT </w:instrText>
    </w:r>
    <w:r w:rsidRPr="00F23848">
      <w:rPr>
        <w:b/>
        <w:sz w:val="18"/>
        <w:szCs w:val="18"/>
      </w:rPr>
      <w:fldChar w:fldCharType="separate"/>
    </w:r>
    <w:r w:rsidR="007E31D6">
      <w:rPr>
        <w:b/>
        <w:noProof/>
        <w:sz w:val="18"/>
        <w:szCs w:val="18"/>
      </w:rPr>
      <w:t>7</w:t>
    </w:r>
    <w:r w:rsidRPr="00F23848">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ACD5" w14:textId="77777777" w:rsidR="00994BE3" w:rsidRDefault="00994BE3" w:rsidP="00994BE3">
    <w:pPr>
      <w:pStyle w:val="Piedepgina"/>
    </w:pPr>
    <w:r>
      <w:rPr>
        <w:noProof/>
        <w:lang w:eastAsia="en-GB"/>
      </w:rPr>
      <w:drawing>
        <wp:anchor distT="0" distB="0" distL="114300" distR="114300" simplePos="0" relativeHeight="251659264" behindDoc="1" locked="1" layoutInCell="1" allowOverlap="1" wp14:anchorId="42E22C02" wp14:editId="79BF2F7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0AF6A" w14:textId="77777777" w:rsidR="00A421A6" w:rsidRPr="000B175B" w:rsidRDefault="00A421A6" w:rsidP="000B175B">
      <w:pPr>
        <w:tabs>
          <w:tab w:val="right" w:pos="2155"/>
        </w:tabs>
        <w:spacing w:after="80"/>
        <w:ind w:left="680"/>
        <w:rPr>
          <w:u w:val="single"/>
        </w:rPr>
      </w:pPr>
      <w:r>
        <w:rPr>
          <w:u w:val="single"/>
        </w:rPr>
        <w:tab/>
      </w:r>
    </w:p>
  </w:footnote>
  <w:footnote w:type="continuationSeparator" w:id="0">
    <w:p w14:paraId="55543F79" w14:textId="77777777" w:rsidR="00A421A6" w:rsidRPr="00FC68B7" w:rsidRDefault="00A421A6" w:rsidP="00FC68B7">
      <w:pPr>
        <w:tabs>
          <w:tab w:val="left" w:pos="2155"/>
        </w:tabs>
        <w:spacing w:after="80"/>
        <w:ind w:left="680"/>
        <w:rPr>
          <w:u w:val="single"/>
        </w:rPr>
      </w:pPr>
      <w:r>
        <w:rPr>
          <w:u w:val="single"/>
        </w:rPr>
        <w:tab/>
      </w:r>
    </w:p>
  </w:footnote>
  <w:footnote w:type="continuationNotice" w:id="1">
    <w:p w14:paraId="42F50E29" w14:textId="77777777" w:rsidR="00A421A6" w:rsidRDefault="00A421A6"/>
  </w:footnote>
  <w:footnote w:id="2">
    <w:p w14:paraId="6AE70EA4" w14:textId="77777777" w:rsidR="009601FC" w:rsidRPr="007965A1" w:rsidRDefault="009601FC" w:rsidP="007965A1">
      <w:pPr>
        <w:pStyle w:val="Textonotapie"/>
      </w:pPr>
      <w:r>
        <w:tab/>
      </w:r>
      <w:r w:rsidRPr="0086746D">
        <w:t>*</w:t>
      </w:r>
      <w:r w:rsidRPr="007965A1">
        <w:tab/>
        <w:t>Adopted by the Committee at its 137th session (6-24 March 2023).</w:t>
      </w:r>
    </w:p>
    <w:p w14:paraId="3D29AAFB" w14:textId="0A9C1567" w:rsidR="009601FC" w:rsidRPr="00FF765E" w:rsidRDefault="009601FC" w:rsidP="007965A1">
      <w:pPr>
        <w:pStyle w:val="Textonotapie"/>
        <w:rPr>
          <w:bCs/>
        </w:rPr>
      </w:pPr>
      <w:r w:rsidRPr="007965A1">
        <w:tab/>
        <w:t>**</w:t>
      </w:r>
      <w:r w:rsidRPr="007965A1">
        <w:tab/>
        <w:t xml:space="preserve">The following members of the Committee participated in the examination of the communication: </w:t>
      </w:r>
      <w:hyperlink r:id="rId1" w:history="1">
        <w:r w:rsidRPr="007965A1">
          <w:rPr>
            <w:rStyle w:val="Hipervnculo"/>
          </w:rPr>
          <w:t>Tania María Abdo Rocholl,</w:t>
        </w:r>
      </w:hyperlink>
      <w:r w:rsidRPr="007965A1">
        <w:t xml:space="preserve"> Wafaa Ashraf Moharram </w:t>
      </w:r>
      <w:proofErr w:type="spellStart"/>
      <w:r w:rsidRPr="007965A1">
        <w:t>Bassim</w:t>
      </w:r>
      <w:proofErr w:type="spellEnd"/>
      <w:r w:rsidRPr="007965A1">
        <w:t>, Rodrigo A. Carazo, Yvon</w:t>
      </w:r>
      <w:r w:rsidR="004F6083" w:rsidRPr="007965A1">
        <w:t>n</w:t>
      </w:r>
      <w:r w:rsidRPr="007965A1">
        <w:t xml:space="preserve">e Donders, Mahjoub El Haiba, Laurence R. Helfer, Carlos Gomez Martinez, </w:t>
      </w:r>
      <w:proofErr w:type="spellStart"/>
      <w:r w:rsidRPr="007965A1">
        <w:t>Bacre</w:t>
      </w:r>
      <w:proofErr w:type="spellEnd"/>
      <w:r w:rsidRPr="007965A1">
        <w:t xml:space="preserve"> Waly Ndiaye, Marcia V.J. Kran, Hernan Quezada Cabrera, José Manuel Santos </w:t>
      </w:r>
      <w:proofErr w:type="spellStart"/>
      <w:r w:rsidRPr="007965A1">
        <w:t>Pais</w:t>
      </w:r>
      <w:proofErr w:type="spellEnd"/>
      <w:r w:rsidRPr="007965A1">
        <w:t xml:space="preserve">, </w:t>
      </w:r>
      <w:proofErr w:type="spellStart"/>
      <w:r w:rsidRPr="007965A1">
        <w:t>Chongrok</w:t>
      </w:r>
      <w:proofErr w:type="spellEnd"/>
      <w:r w:rsidRPr="007965A1">
        <w:t xml:space="preserve"> Soh, </w:t>
      </w:r>
      <w:proofErr w:type="spellStart"/>
      <w:r w:rsidRPr="007965A1">
        <w:t>Tijana</w:t>
      </w:r>
      <w:proofErr w:type="spellEnd"/>
      <w:r w:rsidRPr="007965A1">
        <w:t xml:space="preserve"> </w:t>
      </w:r>
      <w:proofErr w:type="spellStart"/>
      <w:r w:rsidRPr="007965A1">
        <w:t>Surlan</w:t>
      </w:r>
      <w:proofErr w:type="spellEnd"/>
      <w:r w:rsidRPr="007965A1">
        <w:t xml:space="preserve">, </w:t>
      </w:r>
      <w:proofErr w:type="spellStart"/>
      <w:r w:rsidRPr="007965A1">
        <w:t>Kobaujah</w:t>
      </w:r>
      <w:proofErr w:type="spellEnd"/>
      <w:r w:rsidRPr="007965A1">
        <w:t xml:space="preserve"> </w:t>
      </w:r>
      <w:proofErr w:type="spellStart"/>
      <w:r w:rsidRPr="007965A1">
        <w:t>Tchamdja</w:t>
      </w:r>
      <w:proofErr w:type="spellEnd"/>
      <w:r w:rsidRPr="007965A1">
        <w:t xml:space="preserve"> </w:t>
      </w:r>
      <w:proofErr w:type="spellStart"/>
      <w:r w:rsidRPr="007965A1">
        <w:t>Kpatcha</w:t>
      </w:r>
      <w:proofErr w:type="spellEnd"/>
      <w:r w:rsidRPr="007965A1">
        <w:t xml:space="preserve">, Koji </w:t>
      </w:r>
      <w:proofErr w:type="spellStart"/>
      <w:r w:rsidRPr="007965A1">
        <w:t>Teraya</w:t>
      </w:r>
      <w:proofErr w:type="spellEnd"/>
      <w:r w:rsidRPr="007965A1">
        <w:t xml:space="preserve">, Hélène </w:t>
      </w:r>
      <w:proofErr w:type="spellStart"/>
      <w:r w:rsidRPr="007965A1">
        <w:t>Tigroudja</w:t>
      </w:r>
      <w:proofErr w:type="spellEnd"/>
      <w:r w:rsidRPr="007965A1">
        <w:t xml:space="preserve"> and </w:t>
      </w:r>
      <w:proofErr w:type="spellStart"/>
      <w:r w:rsidRPr="007965A1">
        <w:t>Imeru</w:t>
      </w:r>
      <w:proofErr w:type="spellEnd"/>
      <w:r w:rsidRPr="007965A1">
        <w:t xml:space="preserve"> </w:t>
      </w:r>
      <w:proofErr w:type="spellStart"/>
      <w:r w:rsidRPr="007965A1">
        <w:t>Tamerat</w:t>
      </w:r>
      <w:proofErr w:type="spellEnd"/>
      <w:r w:rsidRPr="007965A1">
        <w:t xml:space="preserve"> </w:t>
      </w:r>
      <w:proofErr w:type="spellStart"/>
      <w:r w:rsidRPr="007965A1">
        <w:t>Yigezu</w:t>
      </w:r>
      <w:proofErr w:type="spellEnd"/>
      <w:r w:rsidRPr="007965A1">
        <w:t>.</w:t>
      </w:r>
      <w:r w:rsidRPr="00FF765E">
        <w:rPr>
          <w:bCs/>
        </w:rPr>
        <w:t xml:space="preserve"> </w:t>
      </w:r>
    </w:p>
    <w:p w14:paraId="02912D56" w14:textId="77777777" w:rsidR="009601FC" w:rsidRPr="00FF765E" w:rsidRDefault="009601FC" w:rsidP="009601FC">
      <w:pPr>
        <w:pStyle w:val="Textonotapie"/>
      </w:pPr>
    </w:p>
    <w:p w14:paraId="16850107" w14:textId="77777777" w:rsidR="009601FC" w:rsidRPr="00415D10" w:rsidRDefault="009601FC" w:rsidP="009601FC">
      <w:pPr>
        <w:pStyle w:val="Textonotapie"/>
        <w:rPr>
          <w:bCs/>
        </w:rPr>
      </w:pPr>
    </w:p>
    <w:p w14:paraId="078539A6" w14:textId="77777777" w:rsidR="009601FC" w:rsidRPr="00415D10" w:rsidRDefault="009601FC" w:rsidP="009601FC">
      <w:pPr>
        <w:pStyle w:val="Textonotapie"/>
      </w:pPr>
    </w:p>
    <w:p w14:paraId="1D014017" w14:textId="77777777" w:rsidR="009601FC" w:rsidRDefault="009601FC" w:rsidP="009601FC">
      <w:pPr>
        <w:pStyle w:val="Textonotapie"/>
      </w:pPr>
    </w:p>
  </w:footnote>
  <w:footnote w:id="3">
    <w:p w14:paraId="54048154" w14:textId="77777777" w:rsidR="009601FC" w:rsidRDefault="009601FC" w:rsidP="009601FC">
      <w:pPr>
        <w:pStyle w:val="Textonotapie"/>
      </w:pPr>
    </w:p>
  </w:footnote>
  <w:footnote w:id="4">
    <w:p w14:paraId="1C1B01B6" w14:textId="77777777" w:rsidR="00C30E8F" w:rsidRDefault="00C30E8F" w:rsidP="00C30E8F">
      <w:pPr>
        <w:pStyle w:val="Textonotapie"/>
        <w:jc w:val="both"/>
      </w:pPr>
      <w:r>
        <w:tab/>
      </w:r>
      <w:r>
        <w:rPr>
          <w:rStyle w:val="Refdenotaalpie"/>
        </w:rPr>
        <w:footnoteRef/>
      </w:r>
      <w:r>
        <w:t xml:space="preserve"> </w:t>
      </w:r>
      <w:r>
        <w:tab/>
        <w:t xml:space="preserve">In relation to communication No. 2911/2016. </w:t>
      </w:r>
    </w:p>
  </w:footnote>
  <w:footnote w:id="5">
    <w:p w14:paraId="531D76F6" w14:textId="77777777" w:rsidR="00C30E8F" w:rsidRDefault="00C30E8F" w:rsidP="00C30E8F">
      <w:pPr>
        <w:pStyle w:val="Textonotapie"/>
        <w:jc w:val="both"/>
      </w:pPr>
      <w:r>
        <w:tab/>
      </w:r>
      <w:r>
        <w:rPr>
          <w:rStyle w:val="Refdenotaalpie"/>
        </w:rPr>
        <w:footnoteRef/>
      </w:r>
      <w:r>
        <w:t xml:space="preserve"> </w:t>
      </w:r>
      <w:r>
        <w:tab/>
        <w:t>In relation to communication No. 3081/2017.</w:t>
      </w:r>
    </w:p>
  </w:footnote>
  <w:footnote w:id="6">
    <w:p w14:paraId="2C699F06" w14:textId="77777777" w:rsidR="00C30E8F" w:rsidRDefault="00C30E8F" w:rsidP="00C30E8F">
      <w:pPr>
        <w:pStyle w:val="Textonotapie"/>
        <w:jc w:val="both"/>
      </w:pPr>
      <w:r>
        <w:tab/>
      </w:r>
      <w:r>
        <w:rPr>
          <w:rStyle w:val="Refdenotaalpie"/>
        </w:rPr>
        <w:footnoteRef/>
      </w:r>
      <w:r>
        <w:t xml:space="preserve"> </w:t>
      </w:r>
      <w:r>
        <w:tab/>
        <w:t>In relation to communication No. 3137/2018.</w:t>
      </w:r>
    </w:p>
  </w:footnote>
  <w:footnote w:id="7">
    <w:p w14:paraId="6B0672FB" w14:textId="77777777" w:rsidR="00C30E8F" w:rsidRDefault="00C30E8F" w:rsidP="00C30E8F">
      <w:pPr>
        <w:pStyle w:val="Textonotapie"/>
        <w:jc w:val="both"/>
      </w:pPr>
      <w:r>
        <w:tab/>
      </w:r>
      <w:r>
        <w:rPr>
          <w:rStyle w:val="Refdenotaalpie"/>
        </w:rPr>
        <w:footnoteRef/>
      </w:r>
      <w:r>
        <w:t xml:space="preserve"> </w:t>
      </w:r>
      <w:r>
        <w:tab/>
        <w:t>In relation to communication No. 3150/2018.</w:t>
      </w:r>
    </w:p>
  </w:footnote>
  <w:footnote w:id="8">
    <w:p w14:paraId="71760429" w14:textId="77777777" w:rsidR="00C30E8F" w:rsidRDefault="00C30E8F" w:rsidP="00C30E8F">
      <w:pPr>
        <w:pStyle w:val="Textonotapie"/>
        <w:jc w:val="both"/>
      </w:pPr>
      <w:r>
        <w:tab/>
      </w:r>
      <w:r>
        <w:rPr>
          <w:rStyle w:val="Refdenotaalpie"/>
        </w:rPr>
        <w:footnoteRef/>
      </w:r>
      <w:r>
        <w:t xml:space="preserve"> </w:t>
      </w:r>
      <w:r>
        <w:tab/>
        <w:t>In communication no. 2911/2016.</w:t>
      </w:r>
    </w:p>
  </w:footnote>
  <w:footnote w:id="9">
    <w:p w14:paraId="578A9832" w14:textId="77777777" w:rsidR="00C30E8F" w:rsidRDefault="00C30E8F" w:rsidP="00C30E8F">
      <w:pPr>
        <w:pStyle w:val="Textonotapie"/>
        <w:jc w:val="both"/>
      </w:pPr>
      <w:r>
        <w:tab/>
      </w:r>
      <w:r>
        <w:rPr>
          <w:rStyle w:val="Refdenotaalpie"/>
        </w:rPr>
        <w:footnoteRef/>
      </w:r>
      <w:r>
        <w:t xml:space="preserve"> </w:t>
      </w:r>
      <w:r>
        <w:tab/>
        <w:t xml:space="preserve">In communication no. 3081/2017. </w:t>
      </w:r>
    </w:p>
  </w:footnote>
  <w:footnote w:id="10">
    <w:p w14:paraId="7AFDA761" w14:textId="77777777" w:rsidR="00C30E8F" w:rsidRDefault="00C30E8F" w:rsidP="00C30E8F">
      <w:pPr>
        <w:pStyle w:val="Textonotapie"/>
        <w:jc w:val="both"/>
      </w:pPr>
      <w:r>
        <w:tab/>
      </w:r>
      <w:r>
        <w:rPr>
          <w:rStyle w:val="Refdenotaalpie"/>
        </w:rPr>
        <w:footnoteRef/>
      </w:r>
      <w:r>
        <w:t xml:space="preserve"> </w:t>
      </w:r>
      <w:r>
        <w:tab/>
        <w:t>In communication no. 3137/2018.</w:t>
      </w:r>
    </w:p>
  </w:footnote>
  <w:footnote w:id="11">
    <w:p w14:paraId="700B1FAF" w14:textId="77777777" w:rsidR="00C30E8F" w:rsidRDefault="00C30E8F" w:rsidP="00C30E8F">
      <w:pPr>
        <w:pStyle w:val="Textonotapie"/>
        <w:jc w:val="both"/>
      </w:pPr>
      <w:r>
        <w:tab/>
      </w:r>
      <w:r>
        <w:rPr>
          <w:rStyle w:val="Refdenotaalpie"/>
        </w:rPr>
        <w:footnoteRef/>
      </w:r>
      <w:r>
        <w:t xml:space="preserve"> </w:t>
      </w:r>
      <w:r>
        <w:tab/>
        <w:t>In communication no. 3150/2018.</w:t>
      </w:r>
    </w:p>
  </w:footnote>
  <w:footnote w:id="12">
    <w:p w14:paraId="75CB68B1" w14:textId="77777777" w:rsidR="00C30E8F" w:rsidRPr="00AC5987" w:rsidRDefault="00C30E8F" w:rsidP="00C30E8F">
      <w:pPr>
        <w:pStyle w:val="Textonotapie"/>
        <w:jc w:val="both"/>
      </w:pPr>
      <w:r>
        <w:tab/>
      </w:r>
      <w:r>
        <w:rPr>
          <w:rStyle w:val="Refdenotaalpie"/>
        </w:rPr>
        <w:footnoteRef/>
      </w:r>
      <w:r>
        <w:t xml:space="preserve"> </w:t>
      </w:r>
      <w:r>
        <w:tab/>
        <w:t xml:space="preserve">Reference is made to </w:t>
      </w:r>
      <w:proofErr w:type="spellStart"/>
      <w:r>
        <w:rPr>
          <w:i/>
          <w:iCs/>
        </w:rPr>
        <w:t>Koktish</w:t>
      </w:r>
      <w:proofErr w:type="spellEnd"/>
      <w:r>
        <w:rPr>
          <w:i/>
          <w:iCs/>
        </w:rPr>
        <w:t xml:space="preserve"> v. Belarus</w:t>
      </w:r>
      <w:r>
        <w:t xml:space="preserve"> (CCPR/C/111/D/1985/2010).</w:t>
      </w:r>
      <w:r>
        <w:rPr>
          <w:sz w:val="20"/>
        </w:rPr>
        <w:t xml:space="preserve"> </w:t>
      </w:r>
    </w:p>
  </w:footnote>
  <w:footnote w:id="13">
    <w:p w14:paraId="177C52B4" w14:textId="77777777" w:rsidR="00C30E8F" w:rsidRPr="0086026C" w:rsidRDefault="00C30E8F" w:rsidP="00C30E8F">
      <w:pPr>
        <w:pStyle w:val="Textonotapie"/>
        <w:jc w:val="both"/>
        <w:rPr>
          <w:lang w:val="es-ES"/>
        </w:rPr>
      </w:pPr>
      <w:r w:rsidRPr="00AC5987">
        <w:tab/>
      </w:r>
      <w:r>
        <w:rPr>
          <w:rStyle w:val="Refdenotaalpie"/>
        </w:rPr>
        <w:footnoteRef/>
      </w:r>
      <w:r w:rsidRPr="003A29AC">
        <w:rPr>
          <w:lang w:val="es-ES"/>
        </w:rPr>
        <w:tab/>
      </w:r>
      <w:proofErr w:type="spellStart"/>
      <w:r w:rsidR="001D416F" w:rsidRPr="003E10C2">
        <w:rPr>
          <w:i/>
          <w:iCs/>
          <w:lang w:val="es-ES"/>
        </w:rPr>
        <w:t>Grygory</w:t>
      </w:r>
      <w:proofErr w:type="spellEnd"/>
      <w:r w:rsidR="001D416F" w:rsidRPr="003E10C2">
        <w:rPr>
          <w:i/>
          <w:iCs/>
          <w:lang w:val="es-ES"/>
        </w:rPr>
        <w:t xml:space="preserve"> </w:t>
      </w:r>
      <w:proofErr w:type="spellStart"/>
      <w:r w:rsidR="001D416F" w:rsidRPr="003E10C2">
        <w:rPr>
          <w:i/>
          <w:iCs/>
          <w:lang w:val="es-ES"/>
        </w:rPr>
        <w:t>Gryk</w:t>
      </w:r>
      <w:proofErr w:type="spellEnd"/>
      <w:r w:rsidR="001D416F" w:rsidRPr="003E10C2">
        <w:rPr>
          <w:i/>
          <w:iCs/>
          <w:lang w:val="es-ES"/>
        </w:rPr>
        <w:t xml:space="preserve"> v. Belarus</w:t>
      </w:r>
      <w:r w:rsidR="001D416F">
        <w:rPr>
          <w:lang w:val="es-ES"/>
        </w:rPr>
        <w:t xml:space="preserve"> (</w:t>
      </w:r>
      <w:r w:rsidR="001D416F" w:rsidRPr="00C81B11">
        <w:rPr>
          <w:lang w:val="es-ES"/>
        </w:rPr>
        <w:t>CCPR/C/136/D/2961/2017</w:t>
      </w:r>
      <w:r w:rsidR="001D416F">
        <w:rPr>
          <w:lang w:val="es-ES"/>
        </w:rPr>
        <w:t xml:space="preserve">), para. 6.3; </w:t>
      </w:r>
      <w:proofErr w:type="spellStart"/>
      <w:r w:rsidR="001D416F" w:rsidRPr="00142F0E">
        <w:rPr>
          <w:i/>
          <w:iCs/>
          <w:lang w:val="es-ES"/>
        </w:rPr>
        <w:t>Andrei</w:t>
      </w:r>
      <w:proofErr w:type="spellEnd"/>
      <w:r w:rsidR="001D416F" w:rsidRPr="00142F0E">
        <w:rPr>
          <w:i/>
          <w:iCs/>
          <w:lang w:val="es-ES"/>
        </w:rPr>
        <w:t xml:space="preserve"> </w:t>
      </w:r>
      <w:proofErr w:type="spellStart"/>
      <w:r w:rsidR="001D416F" w:rsidRPr="00142F0E">
        <w:rPr>
          <w:i/>
          <w:iCs/>
          <w:lang w:val="es-ES"/>
        </w:rPr>
        <w:t>Tolchin</w:t>
      </w:r>
      <w:proofErr w:type="spellEnd"/>
      <w:r w:rsidR="001D416F" w:rsidRPr="00142F0E">
        <w:rPr>
          <w:i/>
          <w:iCs/>
          <w:lang w:val="es-ES"/>
        </w:rPr>
        <w:t xml:space="preserve"> v. Belarus</w:t>
      </w:r>
      <w:r w:rsidR="001D416F">
        <w:rPr>
          <w:lang w:val="es-ES"/>
        </w:rPr>
        <w:t xml:space="preserve"> (</w:t>
      </w:r>
      <w:r w:rsidR="001D416F" w:rsidRPr="00C81B11">
        <w:rPr>
          <w:lang w:val="es-ES"/>
        </w:rPr>
        <w:t>CCPR/C/135/D/3241/2018</w:t>
      </w:r>
      <w:r w:rsidR="001D416F">
        <w:rPr>
          <w:lang w:val="es-ES"/>
        </w:rPr>
        <w:t xml:space="preserve">), para. 6.3; </w:t>
      </w:r>
      <w:proofErr w:type="spellStart"/>
      <w:r w:rsidR="001D416F" w:rsidRPr="003E10C2">
        <w:rPr>
          <w:i/>
          <w:iCs/>
          <w:lang w:val="es-ES"/>
        </w:rPr>
        <w:t>Natalya</w:t>
      </w:r>
      <w:proofErr w:type="spellEnd"/>
      <w:r w:rsidR="001D416F" w:rsidRPr="003E10C2">
        <w:rPr>
          <w:i/>
          <w:iCs/>
          <w:lang w:val="es-ES"/>
        </w:rPr>
        <w:t xml:space="preserve"> </w:t>
      </w:r>
      <w:proofErr w:type="spellStart"/>
      <w:r w:rsidR="001D416F" w:rsidRPr="003E10C2">
        <w:rPr>
          <w:i/>
          <w:iCs/>
          <w:lang w:val="es-ES"/>
        </w:rPr>
        <w:t>Shchukina</w:t>
      </w:r>
      <w:proofErr w:type="spellEnd"/>
      <w:r w:rsidR="001D416F" w:rsidRPr="003E10C2">
        <w:rPr>
          <w:i/>
          <w:iCs/>
          <w:lang w:val="es-ES"/>
        </w:rPr>
        <w:t xml:space="preserve"> v. Belarus</w:t>
      </w:r>
      <w:r w:rsidR="001D416F">
        <w:rPr>
          <w:lang w:val="es-ES"/>
        </w:rPr>
        <w:t xml:space="preserve"> (</w:t>
      </w:r>
      <w:r w:rsidR="001D416F" w:rsidRPr="00B23823">
        <w:rPr>
          <w:lang w:val="es-ES"/>
        </w:rPr>
        <w:t>CCPR/C/134/D/3242/2018</w:t>
      </w:r>
      <w:r w:rsidR="001D416F">
        <w:rPr>
          <w:lang w:val="es-ES"/>
        </w:rPr>
        <w:t>), para. 6.3.</w:t>
      </w:r>
    </w:p>
  </w:footnote>
  <w:footnote w:id="14">
    <w:p w14:paraId="177D755F" w14:textId="77777777" w:rsidR="00C30E8F" w:rsidRPr="00770C55" w:rsidRDefault="00C30E8F" w:rsidP="00C30E8F">
      <w:pPr>
        <w:pStyle w:val="Textonotapie"/>
        <w:jc w:val="both"/>
      </w:pPr>
      <w:r w:rsidRPr="0086026C">
        <w:rPr>
          <w:lang w:val="es-ES"/>
        </w:rPr>
        <w:tab/>
      </w:r>
      <w:r w:rsidRPr="00654CF8">
        <w:rPr>
          <w:rStyle w:val="Refdenotaalpie"/>
        </w:rPr>
        <w:footnoteRef/>
      </w:r>
      <w:r w:rsidRPr="00E044C7">
        <w:rPr>
          <w:lang w:val="es-ES"/>
        </w:rPr>
        <w:tab/>
      </w:r>
      <w:proofErr w:type="spellStart"/>
      <w:r w:rsidRPr="00E044C7">
        <w:rPr>
          <w:i/>
          <w:iCs/>
          <w:lang w:val="es-ES"/>
        </w:rPr>
        <w:t>Poliakov</w:t>
      </w:r>
      <w:proofErr w:type="spellEnd"/>
      <w:r w:rsidRPr="00E044C7">
        <w:rPr>
          <w:i/>
          <w:iCs/>
          <w:lang w:val="es-ES"/>
        </w:rPr>
        <w:t xml:space="preserve"> v. Belarus</w:t>
      </w:r>
      <w:r w:rsidRPr="00E044C7">
        <w:rPr>
          <w:lang w:val="es-ES"/>
        </w:rPr>
        <w:t xml:space="preserve"> (CCPR/C/111/D/2030/2011), para. </w:t>
      </w:r>
      <w:r w:rsidRPr="0086026C">
        <w:rPr>
          <w:lang w:val="es-ES"/>
        </w:rPr>
        <w:t xml:space="preserve">7.4.; </w:t>
      </w:r>
      <w:proofErr w:type="spellStart"/>
      <w:r w:rsidRPr="0086026C">
        <w:rPr>
          <w:i/>
          <w:iCs/>
          <w:lang w:val="es-ES"/>
        </w:rPr>
        <w:t>Zhukovsky</w:t>
      </w:r>
      <w:proofErr w:type="spellEnd"/>
      <w:r w:rsidRPr="0086026C">
        <w:rPr>
          <w:i/>
          <w:iCs/>
          <w:lang w:val="es-ES"/>
        </w:rPr>
        <w:t xml:space="preserve"> v. Belarus</w:t>
      </w:r>
      <w:r w:rsidRPr="0086026C">
        <w:rPr>
          <w:lang w:val="es-ES"/>
        </w:rPr>
        <w:t xml:space="preserve"> (CCPR/C/127/D/2724/2016), para. </w:t>
      </w:r>
      <w:r w:rsidRPr="00770C55">
        <w:t>6.4.</w:t>
      </w:r>
    </w:p>
  </w:footnote>
  <w:footnote w:id="15">
    <w:p w14:paraId="430C76E8" w14:textId="77777777" w:rsidR="00C30E8F" w:rsidRPr="00361509" w:rsidRDefault="00C30E8F" w:rsidP="00C30E8F">
      <w:pPr>
        <w:pStyle w:val="Textonotapie"/>
        <w:widowControl w:val="0"/>
        <w:tabs>
          <w:tab w:val="clear" w:pos="1021"/>
          <w:tab w:val="right" w:pos="1020"/>
        </w:tabs>
        <w:jc w:val="both"/>
      </w:pPr>
      <w:r w:rsidRPr="00361509">
        <w:tab/>
      </w:r>
      <w:r w:rsidRPr="00361509">
        <w:rPr>
          <w:rStyle w:val="Refdenotaalpie"/>
        </w:rPr>
        <w:footnoteRef/>
      </w:r>
      <w:r w:rsidRPr="00361509">
        <w:tab/>
      </w:r>
      <w:bookmarkStart w:id="3" w:name="_Hlk121840028"/>
      <w:r>
        <w:rPr>
          <w:rFonts w:eastAsia="Arial Unicode MS" w:hAnsi="Arial Unicode MS" w:cs="Arial Unicode MS"/>
        </w:rPr>
        <w:t>See the Committee</w:t>
      </w:r>
      <w:r>
        <w:rPr>
          <w:rFonts w:eastAsia="Arial Unicode MS" w:hAnsi="Arial Unicode MS" w:cs="Arial Unicode MS"/>
        </w:rPr>
        <w:t>’</w:t>
      </w:r>
      <w:r>
        <w:rPr>
          <w:rFonts w:eastAsia="Arial Unicode MS" w:hAnsi="Arial Unicode MS" w:cs="Arial Unicode MS"/>
        </w:rPr>
        <w:t>s g</w:t>
      </w:r>
      <w:r w:rsidRPr="00361509">
        <w:rPr>
          <w:rFonts w:eastAsia="Arial Unicode MS" w:hAnsi="Arial Unicode MS" w:cs="Arial Unicode MS"/>
        </w:rPr>
        <w:t xml:space="preserve">eneral </w:t>
      </w:r>
      <w:r>
        <w:rPr>
          <w:rFonts w:eastAsia="Arial Unicode MS" w:hAnsi="Arial Unicode MS" w:cs="Arial Unicode MS"/>
        </w:rPr>
        <w:t>c</w:t>
      </w:r>
      <w:r w:rsidRPr="00361509">
        <w:rPr>
          <w:rFonts w:eastAsia="Arial Unicode MS" w:hAnsi="Arial Unicode MS" w:cs="Arial Unicode MS"/>
        </w:rPr>
        <w:t>omment No 34</w:t>
      </w:r>
      <w:r>
        <w:rPr>
          <w:rFonts w:eastAsia="Arial Unicode MS" w:hAnsi="Arial Unicode MS" w:cs="Arial Unicode MS"/>
        </w:rPr>
        <w:t xml:space="preserve"> (2011)</w:t>
      </w:r>
      <w:r w:rsidRPr="00361509">
        <w:rPr>
          <w:rFonts w:eastAsia="Arial Unicode MS" w:hAnsi="Arial Unicode MS" w:cs="Arial Unicode MS"/>
        </w:rPr>
        <w:t xml:space="preserve"> </w:t>
      </w:r>
      <w:r>
        <w:rPr>
          <w:snapToGrid w:val="0"/>
          <w:szCs w:val="24"/>
        </w:rPr>
        <w:t>on the freedoms of opinion and expression</w:t>
      </w:r>
      <w:r w:rsidRPr="00361509">
        <w:rPr>
          <w:rFonts w:eastAsia="Arial Unicode MS" w:hAnsi="Arial Unicode MS" w:cs="Arial Unicode MS"/>
        </w:rPr>
        <w:t>, para.</w:t>
      </w:r>
      <w:r>
        <w:rPr>
          <w:rFonts w:eastAsia="Arial Unicode MS" w:hAnsi="Arial Unicode MS" w:cs="Arial Unicode MS"/>
        </w:rPr>
        <w:t> </w:t>
      </w:r>
      <w:r w:rsidRPr="00361509">
        <w:rPr>
          <w:rFonts w:eastAsia="Arial Unicode MS" w:hAnsi="Arial Unicode MS" w:cs="Arial Unicode MS"/>
        </w:rPr>
        <w:t>34.</w:t>
      </w:r>
      <w:r w:rsidRPr="00361509">
        <w:t xml:space="preserve"> </w:t>
      </w:r>
    </w:p>
    <w:bookmarkEnd w:id="3"/>
  </w:footnote>
  <w:footnote w:id="16">
    <w:p w14:paraId="503A815D" w14:textId="77777777" w:rsidR="00C30E8F" w:rsidRPr="0000608D" w:rsidRDefault="00C30E8F" w:rsidP="00C30E8F">
      <w:pPr>
        <w:pStyle w:val="Textonotapie"/>
      </w:pPr>
      <w:r w:rsidRPr="004D2793">
        <w:tab/>
      </w:r>
      <w:r>
        <w:rPr>
          <w:rStyle w:val="Refdenotaalpie"/>
        </w:rPr>
        <w:footnoteRef/>
      </w:r>
      <w:r w:rsidRPr="00DD3B7D">
        <w:rPr>
          <w:lang w:val="de-CH"/>
        </w:rPr>
        <w:t xml:space="preserve"> </w:t>
      </w:r>
      <w:r w:rsidRPr="00DD3B7D">
        <w:rPr>
          <w:lang w:val="de-CH"/>
        </w:rPr>
        <w:tab/>
      </w:r>
      <w:r w:rsidRPr="002A6EDA">
        <w:rPr>
          <w:i/>
          <w:lang w:val="de-CH"/>
        </w:rPr>
        <w:t>Androsenko v. Belarus</w:t>
      </w:r>
      <w:r w:rsidRPr="00DD3B7D">
        <w:rPr>
          <w:lang w:val="de-CH"/>
        </w:rPr>
        <w:t xml:space="preserve"> (CCPR/C/116/D/2092/2011), para. </w:t>
      </w:r>
      <w:r w:rsidRPr="0086026C">
        <w:t xml:space="preserve">7.3.; </w:t>
      </w:r>
      <w:proofErr w:type="spellStart"/>
      <w:r w:rsidRPr="0086026C">
        <w:rPr>
          <w:i/>
        </w:rPr>
        <w:t>Zhukovsky</w:t>
      </w:r>
      <w:proofErr w:type="spellEnd"/>
      <w:r w:rsidRPr="0086026C">
        <w:rPr>
          <w:i/>
        </w:rPr>
        <w:t xml:space="preserve"> v Belarus</w:t>
      </w:r>
      <w:r w:rsidR="002A6EDA" w:rsidRPr="0086026C">
        <w:t xml:space="preserve"> </w:t>
      </w:r>
      <w:r w:rsidRPr="0086026C">
        <w:t xml:space="preserve">(CCPR/C/127/D/2955/2017), para. </w:t>
      </w:r>
      <w:r w:rsidRPr="00B57489">
        <w:t>7.3.</w:t>
      </w:r>
    </w:p>
  </w:footnote>
  <w:footnote w:id="17">
    <w:p w14:paraId="6F81B9E1" w14:textId="77777777" w:rsidR="00A965B8" w:rsidRPr="003653FD" w:rsidRDefault="003653FD" w:rsidP="003653FD">
      <w:pPr>
        <w:pStyle w:val="Textonotapie"/>
        <w:tabs>
          <w:tab w:val="clear" w:pos="1021"/>
          <w:tab w:val="right" w:pos="900"/>
        </w:tabs>
        <w:ind w:left="1170" w:hanging="810"/>
        <w:rPr>
          <w:lang w:val="pt-PT"/>
        </w:rPr>
      </w:pPr>
      <w:r>
        <w:tab/>
      </w:r>
      <w:r w:rsidR="00A965B8">
        <w:rPr>
          <w:rStyle w:val="Refdenotaalpie"/>
        </w:rPr>
        <w:footnoteRef/>
      </w:r>
      <w:r w:rsidR="00A965B8">
        <w:t xml:space="preserve"> </w:t>
      </w:r>
      <w:r w:rsidR="00536539">
        <w:tab/>
      </w:r>
      <w:r w:rsidR="00A965B8" w:rsidRPr="00A965B8">
        <w:t>See the Committee’s general comment No 34 (2011) on the freedoms of opinion and expression, para. </w:t>
      </w:r>
      <w:r w:rsidR="00A965B8">
        <w:t>4</w:t>
      </w:r>
      <w:r w:rsidR="00A965B8" w:rsidRPr="00A965B8">
        <w:t xml:space="preserve">4. </w:t>
      </w:r>
    </w:p>
  </w:footnote>
  <w:footnote w:id="18">
    <w:p w14:paraId="5EC4D88F" w14:textId="77777777" w:rsidR="00C30E8F" w:rsidRPr="002558AE" w:rsidRDefault="00C30E8F" w:rsidP="00C30E8F">
      <w:pPr>
        <w:pStyle w:val="Textonotapie"/>
        <w:widowControl w:val="0"/>
        <w:tabs>
          <w:tab w:val="clear" w:pos="1021"/>
          <w:tab w:val="right" w:pos="1020"/>
        </w:tabs>
        <w:jc w:val="both"/>
        <w:rPr>
          <w:lang w:val="de-DE"/>
        </w:rPr>
      </w:pPr>
      <w:r w:rsidRPr="00361509">
        <w:tab/>
      </w:r>
      <w:r w:rsidRPr="00361509">
        <w:rPr>
          <w:rStyle w:val="Refdenotaalpie"/>
        </w:rPr>
        <w:footnoteRef/>
      </w:r>
      <w:r w:rsidRPr="002558AE">
        <w:rPr>
          <w:lang w:val="de-DE"/>
        </w:rPr>
        <w:tab/>
      </w:r>
      <w:r w:rsidRPr="002558AE">
        <w:rPr>
          <w:rFonts w:eastAsia="Arial Unicode MS" w:hAnsi="Arial Unicode MS" w:cs="Arial Unicode MS"/>
          <w:lang w:val="de-DE"/>
        </w:rPr>
        <w:t>See,</w:t>
      </w:r>
      <w:r w:rsidR="003653FD" w:rsidRPr="002558AE">
        <w:rPr>
          <w:rFonts w:eastAsia="Arial Unicode MS" w:hAnsi="Arial Unicode MS" w:cs="Arial Unicode MS"/>
          <w:lang w:val="de-DE"/>
        </w:rPr>
        <w:t xml:space="preserve"> e.g. </w:t>
      </w:r>
      <w:proofErr w:type="spellStart"/>
      <w:r w:rsidR="009B2C02" w:rsidRPr="002558AE">
        <w:rPr>
          <w:rFonts w:eastAsia="Arial Unicode MS" w:hAnsi="Arial Unicode MS" w:cs="Arial Unicode MS"/>
          <w:i/>
          <w:lang w:val="de-DE"/>
        </w:rPr>
        <w:t>Parfenenka</w:t>
      </w:r>
      <w:proofErr w:type="spellEnd"/>
      <w:r w:rsidR="009B2C02" w:rsidRPr="002558AE">
        <w:rPr>
          <w:rFonts w:eastAsia="Arial Unicode MS" w:hAnsi="Arial Unicode MS" w:cs="Arial Unicode MS"/>
          <w:i/>
          <w:lang w:val="de-DE"/>
        </w:rPr>
        <w:t xml:space="preserve"> v. Belarus </w:t>
      </w:r>
      <w:r w:rsidR="009B2C02" w:rsidRPr="002558AE">
        <w:rPr>
          <w:rFonts w:eastAsia="Arial Unicode MS" w:hAnsi="Arial Unicode MS" w:cs="Arial Unicode MS"/>
          <w:lang w:val="de-DE"/>
        </w:rPr>
        <w:t>(</w:t>
      </w:r>
      <w:r w:rsidR="00225924" w:rsidRPr="002558AE">
        <w:rPr>
          <w:lang w:val="de-DE"/>
        </w:rPr>
        <w:t>CCPR</w:t>
      </w:r>
      <w:r w:rsidR="00225924" w:rsidRPr="002558AE">
        <w:rPr>
          <w:color w:val="1D1B11" w:themeColor="background2" w:themeShade="1A"/>
          <w:lang w:val="de-DE"/>
        </w:rPr>
        <w:t>/C/134/DR/2737/2016</w:t>
      </w:r>
      <w:r w:rsidR="009B2C02" w:rsidRPr="002558AE">
        <w:rPr>
          <w:color w:val="1D1B11" w:themeColor="background2" w:themeShade="1A"/>
          <w:lang w:val="de-DE"/>
        </w:rPr>
        <w:t>)</w:t>
      </w:r>
      <w:r w:rsidR="00225924" w:rsidRPr="002558AE">
        <w:rPr>
          <w:color w:val="1D1B11" w:themeColor="background2" w:themeShade="1A"/>
          <w:lang w:val="de-DE"/>
        </w:rPr>
        <w:t xml:space="preserve">, </w:t>
      </w:r>
      <w:proofErr w:type="spellStart"/>
      <w:r w:rsidR="00225924" w:rsidRPr="002558AE">
        <w:rPr>
          <w:color w:val="1D1B11" w:themeColor="background2" w:themeShade="1A"/>
          <w:lang w:val="de-DE"/>
        </w:rPr>
        <w:t>para</w:t>
      </w:r>
      <w:proofErr w:type="spellEnd"/>
      <w:r w:rsidR="00225924" w:rsidRPr="002558AE">
        <w:rPr>
          <w:color w:val="1D1B11" w:themeColor="background2" w:themeShade="1A"/>
          <w:lang w:val="de-DE"/>
        </w:rPr>
        <w:t xml:space="preserve"> </w:t>
      </w:r>
      <w:r w:rsidR="003653FD" w:rsidRPr="002558AE">
        <w:rPr>
          <w:color w:val="1D1B11" w:themeColor="background2" w:themeShade="1A"/>
          <w:lang w:val="de-DE"/>
        </w:rPr>
        <w:t>7.5</w:t>
      </w:r>
    </w:p>
  </w:footnote>
  <w:footnote w:id="19">
    <w:p w14:paraId="40B4CE79" w14:textId="77777777" w:rsidR="002A6EDA" w:rsidRPr="002A6EDA" w:rsidRDefault="002A6EDA">
      <w:pPr>
        <w:pStyle w:val="Textonotapie"/>
        <w:rPr>
          <w:lang w:val="en-US"/>
        </w:rPr>
      </w:pPr>
      <w:r w:rsidRPr="002558AE">
        <w:rPr>
          <w:lang w:val="de-DE"/>
        </w:rPr>
        <w:tab/>
      </w:r>
      <w:r>
        <w:rPr>
          <w:rStyle w:val="Refdenotaalpie"/>
        </w:rPr>
        <w:footnoteRef/>
      </w:r>
      <w:r>
        <w:t xml:space="preserve"> </w:t>
      </w:r>
      <w:r>
        <w:tab/>
      </w:r>
      <w:r w:rsidR="00A650C0">
        <w:t>See, e.g.</w:t>
      </w:r>
      <w:r w:rsidR="008D1C7B">
        <w:t>,</w:t>
      </w:r>
      <w:r w:rsidR="00A650C0">
        <w:t xml:space="preserve"> </w:t>
      </w:r>
      <w:proofErr w:type="spellStart"/>
      <w:r w:rsidRPr="0086026C">
        <w:rPr>
          <w:i/>
        </w:rPr>
        <w:t>Zhukovsky</w:t>
      </w:r>
      <w:proofErr w:type="spellEnd"/>
      <w:r w:rsidRPr="0086026C">
        <w:rPr>
          <w:i/>
        </w:rPr>
        <w:t xml:space="preserve"> v Belarus</w:t>
      </w:r>
      <w:r w:rsidRPr="0086026C">
        <w:t xml:space="preserve"> (CCPR/C/127/D/2955/2017); </w:t>
      </w:r>
      <w:proofErr w:type="spellStart"/>
      <w:r w:rsidRPr="002A6EDA">
        <w:rPr>
          <w:i/>
        </w:rPr>
        <w:t>Shchiryakova</w:t>
      </w:r>
      <w:proofErr w:type="spellEnd"/>
      <w:r w:rsidRPr="002A6EDA">
        <w:rPr>
          <w:i/>
        </w:rPr>
        <w:t xml:space="preserve"> v.</w:t>
      </w:r>
      <w:r>
        <w:t xml:space="preserve"> </w:t>
      </w:r>
      <w:r w:rsidRPr="002A6EDA">
        <w:rPr>
          <w:i/>
        </w:rPr>
        <w:t>Belarus</w:t>
      </w:r>
      <w:r>
        <w:t xml:space="preserve"> (</w:t>
      </w:r>
      <w:r w:rsidRPr="0086026C">
        <w:t>CCPR/C/135/D/2848/2016)</w:t>
      </w:r>
    </w:p>
  </w:footnote>
  <w:footnote w:id="20">
    <w:p w14:paraId="7361E0B4" w14:textId="77777777" w:rsidR="002066D3" w:rsidRPr="002066D3" w:rsidRDefault="002066D3">
      <w:pPr>
        <w:pStyle w:val="Textonotapie"/>
        <w:rPr>
          <w:lang w:val="en-US"/>
        </w:rPr>
      </w:pPr>
      <w:r>
        <w:tab/>
      </w:r>
      <w:r>
        <w:rPr>
          <w:rStyle w:val="Refdenotaalpie"/>
        </w:rPr>
        <w:footnoteRef/>
      </w:r>
      <w:r>
        <w:tab/>
        <w:t xml:space="preserve">See </w:t>
      </w:r>
      <w:proofErr w:type="gramStart"/>
      <w:r>
        <w:t>e.g.</w:t>
      </w:r>
      <w:proofErr w:type="gramEnd"/>
      <w:r>
        <w:t xml:space="preserve"> </w:t>
      </w:r>
      <w:proofErr w:type="spellStart"/>
      <w:r>
        <w:rPr>
          <w:i/>
        </w:rPr>
        <w:t>Sextus</w:t>
      </w:r>
      <w:proofErr w:type="spellEnd"/>
      <w:r>
        <w:rPr>
          <w:i/>
        </w:rPr>
        <w:t xml:space="preserve"> v. Trinidad and Tobago </w:t>
      </w:r>
      <w:r>
        <w:t xml:space="preserve">(CCPR/C/72/D/818/1998), para. 10; </w:t>
      </w:r>
      <w:proofErr w:type="spellStart"/>
      <w:r w:rsidR="00D820CF">
        <w:rPr>
          <w:i/>
        </w:rPr>
        <w:t>Lobban</w:t>
      </w:r>
      <w:proofErr w:type="spellEnd"/>
      <w:r w:rsidR="00D820CF">
        <w:rPr>
          <w:i/>
        </w:rPr>
        <w:t xml:space="preserve"> v. Jamaica </w:t>
      </w:r>
      <w:r w:rsidR="00D820CF">
        <w:t>(CCPR/C/80/D/797/1998), para.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D2F6" w14:textId="760A1E31" w:rsidR="00C30E8F" w:rsidRPr="00143748" w:rsidRDefault="00C30E8F">
    <w:pPr>
      <w:pStyle w:val="Encabezado"/>
      <w:rPr>
        <w:sz w:val="20"/>
        <w:lang w:val="fr-FR"/>
      </w:rPr>
    </w:pPr>
    <w:r w:rsidRPr="00143748">
      <w:rPr>
        <w:lang w:val="fr-FR"/>
      </w:rPr>
      <w:t>CCPR/C/137/D/2911/2016, CCPR/C/137/D/3081/2017</w:t>
    </w:r>
    <w:r w:rsidRPr="00143748">
      <w:rPr>
        <w:sz w:val="20"/>
        <w:lang w:val="fr-FR"/>
      </w:rPr>
      <w:t xml:space="preserve"> </w:t>
    </w:r>
  </w:p>
  <w:p w14:paraId="1214ED47" w14:textId="43823D30" w:rsidR="00C30E8F" w:rsidRPr="00143748" w:rsidRDefault="00D33821" w:rsidP="00093D76">
    <w:pPr>
      <w:pStyle w:val="Encabezado"/>
    </w:pPr>
    <w:r w:rsidRPr="00143748">
      <w:t xml:space="preserve">CCPR/C/137/D/3137/2018, </w:t>
    </w:r>
    <w:r w:rsidR="00C30E8F" w:rsidRPr="00143748">
      <w:t>CCPR/C/137/D/3150/2018</w:t>
    </w:r>
    <w:r w:rsidR="00250055" w:rsidRPr="00143748">
      <w:t xml:space="preserve"> </w:t>
    </w:r>
    <w:r w:rsidR="00143748" w:rsidRPr="00143748">
      <w:t>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9992" w14:textId="1A77C2B8" w:rsidR="00D33821" w:rsidRPr="00D33821" w:rsidRDefault="00D33821" w:rsidP="00D33821">
    <w:pPr>
      <w:pStyle w:val="Encabezado"/>
      <w:jc w:val="right"/>
      <w:rPr>
        <w:sz w:val="20"/>
      </w:rPr>
    </w:pPr>
    <w:r>
      <w:t>CCPR/C/137/DR/2911/2016, CCPR/C/137/DR/3081/2017</w:t>
    </w:r>
  </w:p>
  <w:p w14:paraId="26EB53B4" w14:textId="5F9A0A67" w:rsidR="00C30E8F" w:rsidRPr="0086026C" w:rsidRDefault="00D33821" w:rsidP="00D33821">
    <w:pPr>
      <w:pStyle w:val="Encabezado"/>
      <w:jc w:val="right"/>
    </w:pPr>
    <w:r>
      <w:t>CCPR/C/137/D</w:t>
    </w:r>
    <w:r w:rsidR="00FB2663">
      <w:t>R</w:t>
    </w:r>
    <w:r>
      <w:t>/3137/2018, CCPR/C/137/DR/3150/2018</w:t>
    </w:r>
    <w:r w:rsidR="00250055" w:rsidRPr="00250055">
      <w:t xml:space="preserve"> </w:t>
    </w:r>
    <w:r w:rsidR="00143748" w:rsidRPr="00143748">
      <w:t>Advance unedited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2241" w14:textId="77777777" w:rsidR="00143748" w:rsidRDefault="001437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73363388">
    <w:abstractNumId w:val="0"/>
  </w:num>
  <w:num w:numId="2" w16cid:durableId="1385567621">
    <w:abstractNumId w:val="2"/>
  </w:num>
  <w:num w:numId="3" w16cid:durableId="1864780686">
    <w:abstractNumId w:val="1"/>
  </w:num>
  <w:num w:numId="4" w16cid:durableId="173165780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6" w:nlCheck="1" w:checkStyle="0"/>
  <w:activeWritingStyle w:appName="MSWord" w:lang="de-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F2"/>
    <w:rsid w:val="0001615D"/>
    <w:rsid w:val="000272B3"/>
    <w:rsid w:val="00036F31"/>
    <w:rsid w:val="0004278B"/>
    <w:rsid w:val="00050F6B"/>
    <w:rsid w:val="00057E97"/>
    <w:rsid w:val="00060C3A"/>
    <w:rsid w:val="000631F7"/>
    <w:rsid w:val="000659A3"/>
    <w:rsid w:val="00072C8C"/>
    <w:rsid w:val="000733B5"/>
    <w:rsid w:val="00081815"/>
    <w:rsid w:val="00084FEE"/>
    <w:rsid w:val="00091433"/>
    <w:rsid w:val="000931C0"/>
    <w:rsid w:val="00093D76"/>
    <w:rsid w:val="000B175B"/>
    <w:rsid w:val="000B1E65"/>
    <w:rsid w:val="000B3A0F"/>
    <w:rsid w:val="000B3F92"/>
    <w:rsid w:val="000B4EF7"/>
    <w:rsid w:val="000C1E22"/>
    <w:rsid w:val="000C23DE"/>
    <w:rsid w:val="000C2C03"/>
    <w:rsid w:val="000C2D2E"/>
    <w:rsid w:val="000D3E08"/>
    <w:rsid w:val="000E0415"/>
    <w:rsid w:val="000E0FBA"/>
    <w:rsid w:val="00105CDA"/>
    <w:rsid w:val="001103AA"/>
    <w:rsid w:val="001220E9"/>
    <w:rsid w:val="00143748"/>
    <w:rsid w:val="001507E7"/>
    <w:rsid w:val="00165F3A"/>
    <w:rsid w:val="00173423"/>
    <w:rsid w:val="00183968"/>
    <w:rsid w:val="00196948"/>
    <w:rsid w:val="001A177C"/>
    <w:rsid w:val="001A6686"/>
    <w:rsid w:val="001B4B04"/>
    <w:rsid w:val="001C6663"/>
    <w:rsid w:val="001C7895"/>
    <w:rsid w:val="001D0C8C"/>
    <w:rsid w:val="001D26DF"/>
    <w:rsid w:val="001D3A03"/>
    <w:rsid w:val="001D416F"/>
    <w:rsid w:val="001F4574"/>
    <w:rsid w:val="001F5DB1"/>
    <w:rsid w:val="001F740E"/>
    <w:rsid w:val="00202DA8"/>
    <w:rsid w:val="002066D3"/>
    <w:rsid w:val="00211E0B"/>
    <w:rsid w:val="00217AAD"/>
    <w:rsid w:val="00225924"/>
    <w:rsid w:val="0023210C"/>
    <w:rsid w:val="00245B81"/>
    <w:rsid w:val="00250055"/>
    <w:rsid w:val="002558AE"/>
    <w:rsid w:val="00255D60"/>
    <w:rsid w:val="002663E6"/>
    <w:rsid w:val="00267F5F"/>
    <w:rsid w:val="00286777"/>
    <w:rsid w:val="00286A9C"/>
    <w:rsid w:val="00286B4D"/>
    <w:rsid w:val="002908ED"/>
    <w:rsid w:val="00292059"/>
    <w:rsid w:val="002A453B"/>
    <w:rsid w:val="002A6EDA"/>
    <w:rsid w:val="002A76FA"/>
    <w:rsid w:val="002D5CA4"/>
    <w:rsid w:val="002E3B6A"/>
    <w:rsid w:val="002F175C"/>
    <w:rsid w:val="002F3610"/>
    <w:rsid w:val="00303187"/>
    <w:rsid w:val="003229D8"/>
    <w:rsid w:val="003306B1"/>
    <w:rsid w:val="00352709"/>
    <w:rsid w:val="003555A1"/>
    <w:rsid w:val="003567E4"/>
    <w:rsid w:val="003653FD"/>
    <w:rsid w:val="00367567"/>
    <w:rsid w:val="00371178"/>
    <w:rsid w:val="0038336C"/>
    <w:rsid w:val="00397AFA"/>
    <w:rsid w:val="003A29AC"/>
    <w:rsid w:val="003A30F6"/>
    <w:rsid w:val="003A6810"/>
    <w:rsid w:val="003B33A0"/>
    <w:rsid w:val="003C2CC4"/>
    <w:rsid w:val="003C71D4"/>
    <w:rsid w:val="003D0B7E"/>
    <w:rsid w:val="003D4B23"/>
    <w:rsid w:val="003F179D"/>
    <w:rsid w:val="003F2113"/>
    <w:rsid w:val="004076CD"/>
    <w:rsid w:val="00407EF0"/>
    <w:rsid w:val="00410C89"/>
    <w:rsid w:val="00426B9B"/>
    <w:rsid w:val="004325CB"/>
    <w:rsid w:val="00436B33"/>
    <w:rsid w:val="00440341"/>
    <w:rsid w:val="00442A83"/>
    <w:rsid w:val="0045063D"/>
    <w:rsid w:val="00451DF0"/>
    <w:rsid w:val="0045495B"/>
    <w:rsid w:val="004626BD"/>
    <w:rsid w:val="00487488"/>
    <w:rsid w:val="00492D51"/>
    <w:rsid w:val="00494412"/>
    <w:rsid w:val="00496AF0"/>
    <w:rsid w:val="00497805"/>
    <w:rsid w:val="004C4552"/>
    <w:rsid w:val="004D2793"/>
    <w:rsid w:val="004D49B5"/>
    <w:rsid w:val="004E038E"/>
    <w:rsid w:val="004E486D"/>
    <w:rsid w:val="004F5B88"/>
    <w:rsid w:val="004F6083"/>
    <w:rsid w:val="00503C65"/>
    <w:rsid w:val="00505A05"/>
    <w:rsid w:val="00514965"/>
    <w:rsid w:val="0052136D"/>
    <w:rsid w:val="0052775E"/>
    <w:rsid w:val="00536539"/>
    <w:rsid w:val="005420F2"/>
    <w:rsid w:val="005628B6"/>
    <w:rsid w:val="005848B3"/>
    <w:rsid w:val="00592A0B"/>
    <w:rsid w:val="005A12D1"/>
    <w:rsid w:val="005A3E5F"/>
    <w:rsid w:val="005B3DB3"/>
    <w:rsid w:val="005B540B"/>
    <w:rsid w:val="005C1A98"/>
    <w:rsid w:val="005D60D7"/>
    <w:rsid w:val="005E0636"/>
    <w:rsid w:val="005E16E3"/>
    <w:rsid w:val="005E311C"/>
    <w:rsid w:val="005F4D22"/>
    <w:rsid w:val="005F7717"/>
    <w:rsid w:val="005F7B75"/>
    <w:rsid w:val="006001EE"/>
    <w:rsid w:val="00605042"/>
    <w:rsid w:val="00605380"/>
    <w:rsid w:val="00611036"/>
    <w:rsid w:val="00611FC4"/>
    <w:rsid w:val="006176FB"/>
    <w:rsid w:val="0063059B"/>
    <w:rsid w:val="00640B26"/>
    <w:rsid w:val="00652D0A"/>
    <w:rsid w:val="0065657F"/>
    <w:rsid w:val="00662BB6"/>
    <w:rsid w:val="006636A1"/>
    <w:rsid w:val="00684C21"/>
    <w:rsid w:val="00686DB0"/>
    <w:rsid w:val="006B260C"/>
    <w:rsid w:val="006D37AF"/>
    <w:rsid w:val="006D51D0"/>
    <w:rsid w:val="006E3C6C"/>
    <w:rsid w:val="006E564B"/>
    <w:rsid w:val="006E7191"/>
    <w:rsid w:val="006F037F"/>
    <w:rsid w:val="00701666"/>
    <w:rsid w:val="00703577"/>
    <w:rsid w:val="00705720"/>
    <w:rsid w:val="0070688F"/>
    <w:rsid w:val="0072632A"/>
    <w:rsid w:val="007327D5"/>
    <w:rsid w:val="007411A3"/>
    <w:rsid w:val="0075370B"/>
    <w:rsid w:val="007629C8"/>
    <w:rsid w:val="00770C55"/>
    <w:rsid w:val="00773836"/>
    <w:rsid w:val="00786C35"/>
    <w:rsid w:val="007965A1"/>
    <w:rsid w:val="007A4C34"/>
    <w:rsid w:val="007A6D37"/>
    <w:rsid w:val="007B233C"/>
    <w:rsid w:val="007B2810"/>
    <w:rsid w:val="007B6BA5"/>
    <w:rsid w:val="007C3390"/>
    <w:rsid w:val="007C4F4B"/>
    <w:rsid w:val="007C784F"/>
    <w:rsid w:val="007D3B85"/>
    <w:rsid w:val="007E0B2D"/>
    <w:rsid w:val="007E2CC1"/>
    <w:rsid w:val="007E31D6"/>
    <w:rsid w:val="007F45DB"/>
    <w:rsid w:val="007F6611"/>
    <w:rsid w:val="007F7B16"/>
    <w:rsid w:val="00801843"/>
    <w:rsid w:val="008072EB"/>
    <w:rsid w:val="008105B8"/>
    <w:rsid w:val="00810AAE"/>
    <w:rsid w:val="008242D7"/>
    <w:rsid w:val="008257B1"/>
    <w:rsid w:val="00843767"/>
    <w:rsid w:val="00854E35"/>
    <w:rsid w:val="0086026C"/>
    <w:rsid w:val="0086779C"/>
    <w:rsid w:val="008679D9"/>
    <w:rsid w:val="00893528"/>
    <w:rsid w:val="008979B1"/>
    <w:rsid w:val="008A0542"/>
    <w:rsid w:val="008A16F2"/>
    <w:rsid w:val="008A1DB2"/>
    <w:rsid w:val="008A6B25"/>
    <w:rsid w:val="008A6C4F"/>
    <w:rsid w:val="008B2335"/>
    <w:rsid w:val="008B4363"/>
    <w:rsid w:val="008C232A"/>
    <w:rsid w:val="008C34DF"/>
    <w:rsid w:val="008D1C7B"/>
    <w:rsid w:val="008D2D6A"/>
    <w:rsid w:val="008E0678"/>
    <w:rsid w:val="008E57CF"/>
    <w:rsid w:val="00910F40"/>
    <w:rsid w:val="00912C08"/>
    <w:rsid w:val="009223CA"/>
    <w:rsid w:val="00932307"/>
    <w:rsid w:val="00932B01"/>
    <w:rsid w:val="00940F93"/>
    <w:rsid w:val="0094577D"/>
    <w:rsid w:val="0095347F"/>
    <w:rsid w:val="009601FC"/>
    <w:rsid w:val="00960756"/>
    <w:rsid w:val="00961503"/>
    <w:rsid w:val="009760F3"/>
    <w:rsid w:val="0097647A"/>
    <w:rsid w:val="00977B49"/>
    <w:rsid w:val="009822C9"/>
    <w:rsid w:val="00984BE1"/>
    <w:rsid w:val="00985ABF"/>
    <w:rsid w:val="009909F5"/>
    <w:rsid w:val="00994BE3"/>
    <w:rsid w:val="00994D7A"/>
    <w:rsid w:val="009A0E8D"/>
    <w:rsid w:val="009B158E"/>
    <w:rsid w:val="009B26E7"/>
    <w:rsid w:val="009B2950"/>
    <w:rsid w:val="009B2C02"/>
    <w:rsid w:val="009B5782"/>
    <w:rsid w:val="009C0CF3"/>
    <w:rsid w:val="009C6053"/>
    <w:rsid w:val="009D0EB8"/>
    <w:rsid w:val="009D4247"/>
    <w:rsid w:val="009E3275"/>
    <w:rsid w:val="009E6E7E"/>
    <w:rsid w:val="00A00A3F"/>
    <w:rsid w:val="00A01489"/>
    <w:rsid w:val="00A03FE8"/>
    <w:rsid w:val="00A22409"/>
    <w:rsid w:val="00A23DCE"/>
    <w:rsid w:val="00A24626"/>
    <w:rsid w:val="00A25B9F"/>
    <w:rsid w:val="00A338F1"/>
    <w:rsid w:val="00A37498"/>
    <w:rsid w:val="00A421A6"/>
    <w:rsid w:val="00A44615"/>
    <w:rsid w:val="00A61B2F"/>
    <w:rsid w:val="00A64F29"/>
    <w:rsid w:val="00A650C0"/>
    <w:rsid w:val="00A72F22"/>
    <w:rsid w:val="00A7360F"/>
    <w:rsid w:val="00A748A6"/>
    <w:rsid w:val="00A769F4"/>
    <w:rsid w:val="00A776B4"/>
    <w:rsid w:val="00A94361"/>
    <w:rsid w:val="00A965B8"/>
    <w:rsid w:val="00AA293C"/>
    <w:rsid w:val="00AA6186"/>
    <w:rsid w:val="00AB07FF"/>
    <w:rsid w:val="00AC1AA4"/>
    <w:rsid w:val="00AC21AC"/>
    <w:rsid w:val="00AF5C6B"/>
    <w:rsid w:val="00B0078E"/>
    <w:rsid w:val="00B008C1"/>
    <w:rsid w:val="00B11489"/>
    <w:rsid w:val="00B13E9B"/>
    <w:rsid w:val="00B143EE"/>
    <w:rsid w:val="00B178DE"/>
    <w:rsid w:val="00B25476"/>
    <w:rsid w:val="00B30179"/>
    <w:rsid w:val="00B339A7"/>
    <w:rsid w:val="00B5404A"/>
    <w:rsid w:val="00B56E4A"/>
    <w:rsid w:val="00B56E9C"/>
    <w:rsid w:val="00B613B2"/>
    <w:rsid w:val="00B64B1F"/>
    <w:rsid w:val="00B6553F"/>
    <w:rsid w:val="00B659B8"/>
    <w:rsid w:val="00B66E5E"/>
    <w:rsid w:val="00B70D4C"/>
    <w:rsid w:val="00B77D05"/>
    <w:rsid w:val="00B81206"/>
    <w:rsid w:val="00B81E12"/>
    <w:rsid w:val="00B9067B"/>
    <w:rsid w:val="00BB182A"/>
    <w:rsid w:val="00BB302D"/>
    <w:rsid w:val="00BB787B"/>
    <w:rsid w:val="00BC2C23"/>
    <w:rsid w:val="00BC74E9"/>
    <w:rsid w:val="00BD5D22"/>
    <w:rsid w:val="00BF68A8"/>
    <w:rsid w:val="00C11A03"/>
    <w:rsid w:val="00C12F75"/>
    <w:rsid w:val="00C145C4"/>
    <w:rsid w:val="00C1527C"/>
    <w:rsid w:val="00C23A00"/>
    <w:rsid w:val="00C30E8F"/>
    <w:rsid w:val="00C40480"/>
    <w:rsid w:val="00C41642"/>
    <w:rsid w:val="00C463DD"/>
    <w:rsid w:val="00C4724C"/>
    <w:rsid w:val="00C52E7F"/>
    <w:rsid w:val="00C62479"/>
    <w:rsid w:val="00C629A0"/>
    <w:rsid w:val="00C62CFF"/>
    <w:rsid w:val="00C62D12"/>
    <w:rsid w:val="00C669B2"/>
    <w:rsid w:val="00C745C3"/>
    <w:rsid w:val="00C8129B"/>
    <w:rsid w:val="00C848EB"/>
    <w:rsid w:val="00C85969"/>
    <w:rsid w:val="00C9167D"/>
    <w:rsid w:val="00C91EDA"/>
    <w:rsid w:val="00CA52F0"/>
    <w:rsid w:val="00CB5374"/>
    <w:rsid w:val="00CB6E6E"/>
    <w:rsid w:val="00CD4987"/>
    <w:rsid w:val="00CD6D75"/>
    <w:rsid w:val="00CD71F2"/>
    <w:rsid w:val="00CE1F72"/>
    <w:rsid w:val="00CE4A8F"/>
    <w:rsid w:val="00D2031B"/>
    <w:rsid w:val="00D25FE2"/>
    <w:rsid w:val="00D33821"/>
    <w:rsid w:val="00D43252"/>
    <w:rsid w:val="00D47EEA"/>
    <w:rsid w:val="00D530B2"/>
    <w:rsid w:val="00D54C0E"/>
    <w:rsid w:val="00D60A63"/>
    <w:rsid w:val="00D6226A"/>
    <w:rsid w:val="00D633BF"/>
    <w:rsid w:val="00D820CF"/>
    <w:rsid w:val="00D95303"/>
    <w:rsid w:val="00D95D6E"/>
    <w:rsid w:val="00D978C6"/>
    <w:rsid w:val="00DA3111"/>
    <w:rsid w:val="00DA3C1C"/>
    <w:rsid w:val="00DA7C5B"/>
    <w:rsid w:val="00DA7C97"/>
    <w:rsid w:val="00DB0C79"/>
    <w:rsid w:val="00DC046E"/>
    <w:rsid w:val="00DC737C"/>
    <w:rsid w:val="00DC77CA"/>
    <w:rsid w:val="00DE2345"/>
    <w:rsid w:val="00DE41C2"/>
    <w:rsid w:val="00DE6EBD"/>
    <w:rsid w:val="00DE7F67"/>
    <w:rsid w:val="00DF3F89"/>
    <w:rsid w:val="00DF6190"/>
    <w:rsid w:val="00DF73E8"/>
    <w:rsid w:val="00E12ADA"/>
    <w:rsid w:val="00E12B1F"/>
    <w:rsid w:val="00E27346"/>
    <w:rsid w:val="00E43E0E"/>
    <w:rsid w:val="00E52816"/>
    <w:rsid w:val="00E57D50"/>
    <w:rsid w:val="00E71BC8"/>
    <w:rsid w:val="00E7260F"/>
    <w:rsid w:val="00E7506C"/>
    <w:rsid w:val="00E7537B"/>
    <w:rsid w:val="00E779FC"/>
    <w:rsid w:val="00E86B1C"/>
    <w:rsid w:val="00E9414E"/>
    <w:rsid w:val="00E95583"/>
    <w:rsid w:val="00E95FD0"/>
    <w:rsid w:val="00E96630"/>
    <w:rsid w:val="00EA0661"/>
    <w:rsid w:val="00EA285A"/>
    <w:rsid w:val="00EB2581"/>
    <w:rsid w:val="00EB76AD"/>
    <w:rsid w:val="00EC0BE0"/>
    <w:rsid w:val="00EC5563"/>
    <w:rsid w:val="00ED7A2A"/>
    <w:rsid w:val="00EE4481"/>
    <w:rsid w:val="00EE7176"/>
    <w:rsid w:val="00EF0988"/>
    <w:rsid w:val="00EF1D7F"/>
    <w:rsid w:val="00F20C3D"/>
    <w:rsid w:val="00F236F4"/>
    <w:rsid w:val="00F23848"/>
    <w:rsid w:val="00F43E9E"/>
    <w:rsid w:val="00F44BFF"/>
    <w:rsid w:val="00F52788"/>
    <w:rsid w:val="00F53D05"/>
    <w:rsid w:val="00F53E57"/>
    <w:rsid w:val="00F6340A"/>
    <w:rsid w:val="00F63C6C"/>
    <w:rsid w:val="00F72F41"/>
    <w:rsid w:val="00F76E6C"/>
    <w:rsid w:val="00F9057C"/>
    <w:rsid w:val="00F906D7"/>
    <w:rsid w:val="00F93781"/>
    <w:rsid w:val="00F94F82"/>
    <w:rsid w:val="00FB2663"/>
    <w:rsid w:val="00FB3078"/>
    <w:rsid w:val="00FB5C1C"/>
    <w:rsid w:val="00FB613B"/>
    <w:rsid w:val="00FC33EC"/>
    <w:rsid w:val="00FC68B7"/>
    <w:rsid w:val="00FD42F8"/>
    <w:rsid w:val="00FE106A"/>
    <w:rsid w:val="00FE212B"/>
    <w:rsid w:val="00FE23B1"/>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C28ED"/>
  <w15:docId w15:val="{749D03C8-A8E7-458D-ADE1-17972E36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Ttulo1">
    <w:name w:val="heading 1"/>
    <w:aliases w:val="Table_G"/>
    <w:basedOn w:val="SingleTxtG"/>
    <w:next w:val="SingleTxtG"/>
    <w:qFormat/>
    <w:rsid w:val="000272B3"/>
    <w:pPr>
      <w:spacing w:after="0" w:line="240" w:lineRule="auto"/>
      <w:ind w:right="0"/>
      <w:jc w:val="left"/>
      <w:outlineLvl w:val="0"/>
    </w:pPr>
  </w:style>
  <w:style w:type="paragraph" w:styleId="Ttulo2">
    <w:name w:val="heading 2"/>
    <w:basedOn w:val="Normal"/>
    <w:next w:val="Normal"/>
    <w:semiHidden/>
    <w:qFormat/>
    <w:rsid w:val="000272B3"/>
    <w:pPr>
      <w:spacing w:line="240" w:lineRule="auto"/>
      <w:outlineLvl w:val="1"/>
    </w:pPr>
  </w:style>
  <w:style w:type="paragraph" w:styleId="Ttulo3">
    <w:name w:val="heading 3"/>
    <w:basedOn w:val="Normal"/>
    <w:next w:val="Normal"/>
    <w:semiHidden/>
    <w:qFormat/>
    <w:rsid w:val="000272B3"/>
    <w:pPr>
      <w:spacing w:line="240" w:lineRule="auto"/>
      <w:outlineLvl w:val="2"/>
    </w:pPr>
  </w:style>
  <w:style w:type="paragraph" w:styleId="Ttulo4">
    <w:name w:val="heading 4"/>
    <w:basedOn w:val="Normal"/>
    <w:next w:val="Normal"/>
    <w:semiHidden/>
    <w:qFormat/>
    <w:rsid w:val="000272B3"/>
    <w:pPr>
      <w:spacing w:line="240" w:lineRule="auto"/>
      <w:outlineLvl w:val="3"/>
    </w:pPr>
  </w:style>
  <w:style w:type="paragraph" w:styleId="Ttulo5">
    <w:name w:val="heading 5"/>
    <w:basedOn w:val="Normal"/>
    <w:next w:val="Normal"/>
    <w:semiHidden/>
    <w:qFormat/>
    <w:rsid w:val="000272B3"/>
    <w:pPr>
      <w:spacing w:line="240" w:lineRule="auto"/>
      <w:outlineLvl w:val="4"/>
    </w:pPr>
  </w:style>
  <w:style w:type="paragraph" w:styleId="Ttulo6">
    <w:name w:val="heading 6"/>
    <w:basedOn w:val="Normal"/>
    <w:next w:val="Normal"/>
    <w:semiHidden/>
    <w:qFormat/>
    <w:rsid w:val="000272B3"/>
    <w:pPr>
      <w:spacing w:line="240" w:lineRule="auto"/>
      <w:outlineLvl w:val="5"/>
    </w:pPr>
  </w:style>
  <w:style w:type="paragraph" w:styleId="Ttulo7">
    <w:name w:val="heading 7"/>
    <w:basedOn w:val="Normal"/>
    <w:next w:val="Normal"/>
    <w:semiHidden/>
    <w:qFormat/>
    <w:rsid w:val="000272B3"/>
    <w:pPr>
      <w:spacing w:line="240" w:lineRule="auto"/>
      <w:outlineLvl w:val="6"/>
    </w:pPr>
  </w:style>
  <w:style w:type="paragraph" w:styleId="Ttulo8">
    <w:name w:val="heading 8"/>
    <w:basedOn w:val="Normal"/>
    <w:next w:val="Normal"/>
    <w:semiHidden/>
    <w:qFormat/>
    <w:rsid w:val="000272B3"/>
    <w:pPr>
      <w:spacing w:line="240" w:lineRule="auto"/>
      <w:outlineLvl w:val="7"/>
    </w:pPr>
  </w:style>
  <w:style w:type="paragraph" w:styleId="Ttulo9">
    <w:name w:val="heading 9"/>
    <w:basedOn w:val="Normal"/>
    <w:next w:val="Normal"/>
    <w:semiHidden/>
    <w:qFormat/>
    <w:rsid w:val="000272B3"/>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Encabezado">
    <w:name w:val="header"/>
    <w:aliases w:val="6_G"/>
    <w:basedOn w:val="Normal"/>
    <w:link w:val="EncabezadoCar"/>
    <w:uiPriority w:val="99"/>
    <w:qFormat/>
    <w:rsid w:val="000272B3"/>
    <w:pPr>
      <w:pBdr>
        <w:bottom w:val="single" w:sz="4" w:space="4" w:color="auto"/>
      </w:pBdr>
      <w:spacing w:line="240" w:lineRule="auto"/>
    </w:pPr>
    <w:rPr>
      <w:b/>
      <w:sz w:val="18"/>
    </w:rPr>
  </w:style>
  <w:style w:type="table" w:styleId="Tablaconcuadrcula">
    <w:name w:val="Table Grid"/>
    <w:basedOn w:val="Tabla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uiPriority w:val="99"/>
    <w:rsid w:val="000272B3"/>
    <w:rPr>
      <w:color w:val="auto"/>
      <w:u w:val="none"/>
    </w:rPr>
  </w:style>
  <w:style w:type="character" w:styleId="Hipervnculovisitado">
    <w:name w:val="FollowedHyperlink"/>
    <w:basedOn w:val="Fuentedeprrafopredeter"/>
    <w:semiHidden/>
    <w:rsid w:val="000272B3"/>
    <w:rPr>
      <w:color w:val="auto"/>
      <w:u w:val="none"/>
    </w:rPr>
  </w:style>
  <w:style w:type="paragraph" w:styleId="Textonotapie">
    <w:name w:val="footnote text"/>
    <w:aliases w:val="5_G,Footnote Text Char Char Char Char Char,Footnote Text Char Char Char Char,Footnote reference,FA Fu,Footnote Text Char Char Char,Footnote Reference1, Char,Char,ft,Style 27,Char Char Char Char Char,Style 11, Char Char Char,fn"/>
    <w:basedOn w:val="Normal"/>
    <w:link w:val="TextonotapieCar"/>
    <w:qFormat/>
    <w:rsid w:val="000272B3"/>
    <w:pPr>
      <w:tabs>
        <w:tab w:val="right" w:pos="1021"/>
      </w:tabs>
      <w:spacing w:line="220" w:lineRule="exact"/>
      <w:ind w:left="1134" w:right="1134" w:hanging="1134"/>
    </w:pPr>
    <w:rPr>
      <w:sz w:val="18"/>
    </w:rPr>
  </w:style>
  <w:style w:type="paragraph" w:styleId="Textonotaalfinal">
    <w:name w:val="endnote text"/>
    <w:aliases w:val="2_G"/>
    <w:basedOn w:val="Textonotapie"/>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Refdenotaalfinal">
    <w:name w:val="endnote reference"/>
    <w:aliases w:val="1_G"/>
    <w:basedOn w:val="Refdenotaalpie"/>
    <w:qFormat/>
    <w:rsid w:val="000272B3"/>
    <w:rPr>
      <w:rFonts w:ascii="Times New Roman" w:hAnsi="Times New Roman"/>
      <w:sz w:val="18"/>
      <w:vertAlign w:val="superscript"/>
    </w:rPr>
  </w:style>
  <w:style w:type="character" w:styleId="Refdenotaalpie">
    <w:name w:val="footnote reference"/>
    <w:aliases w:val="4_G,Footnote number,ftref,Footnotes refss,Style 10,referencia nota al pie,BVI fnr,Footnote text,4_Footnote text,callout,Fago Fußnotenzeichen,16 Point,Superscript 6 Point,Footnote,Footnote symbol,f,Ref,4_,SUPERS"/>
    <w:basedOn w:val="Fuentedeprrafopredeter"/>
    <w:link w:val="Appelnotedebasde"/>
    <w:uiPriority w:val="99"/>
    <w:qFormat/>
    <w:rsid w:val="000272B3"/>
    <w:rPr>
      <w:rFonts w:ascii="Times New Roman" w:hAnsi="Times New Roman"/>
      <w:sz w:val="18"/>
      <w:vertAlign w:val="superscript"/>
    </w:rPr>
  </w:style>
  <w:style w:type="character" w:styleId="Nmerodepgina">
    <w:name w:val="page number"/>
    <w:aliases w:val="7_G"/>
    <w:basedOn w:val="Fuentedeprrafopredeter"/>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Piedepgina">
    <w:name w:val="footer"/>
    <w:aliases w:val="3_G"/>
    <w:basedOn w:val="Normal"/>
    <w:link w:val="PiedepginaCar"/>
    <w:uiPriority w:val="99"/>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uiPriority w:val="99"/>
    <w:semiHidden/>
    <w:rsid w:val="00FC33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TextonotapieCar">
    <w:name w:val="Texto nota pie Car"/>
    <w:aliases w:val="5_G Car,Footnote Text Char Char Char Char Char Car,Footnote Text Char Char Char Char Car,Footnote reference Car,FA Fu Car,Footnote Text Char Char Char Car,Footnote Reference1 Car, Char Car,Char Car,ft Car,Style 27 Car,Style 11 Car"/>
    <w:link w:val="Textonotapie"/>
    <w:locked/>
    <w:rsid w:val="008A16F2"/>
    <w:rPr>
      <w:sz w:val="18"/>
      <w:lang w:val="en-GB"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Refdenotaalpie"/>
    <w:uiPriority w:val="99"/>
    <w:rsid w:val="008A16F2"/>
    <w:pPr>
      <w:suppressAutoHyphens w:val="0"/>
      <w:spacing w:before="120" w:after="120" w:line="240" w:lineRule="auto"/>
    </w:pPr>
    <w:rPr>
      <w:sz w:val="18"/>
      <w:vertAlign w:val="superscript"/>
      <w:lang w:val="fr-FR" w:eastAsia="fr-FR"/>
    </w:rPr>
  </w:style>
  <w:style w:type="character" w:customStyle="1" w:styleId="EncabezadoCar">
    <w:name w:val="Encabezado Car"/>
    <w:aliases w:val="6_G Car"/>
    <w:basedOn w:val="Fuentedeprrafopredeter"/>
    <w:link w:val="Encabezado"/>
    <w:uiPriority w:val="99"/>
    <w:rsid w:val="008A16F2"/>
    <w:rPr>
      <w:b/>
      <w:sz w:val="18"/>
      <w:lang w:val="en-GB" w:eastAsia="en-US"/>
    </w:rPr>
  </w:style>
  <w:style w:type="character" w:customStyle="1" w:styleId="FootnoteTextChar">
    <w:name w:val="Footnote Text Char"/>
    <w:aliases w:val="Footnote reference Char1,Footnote Text Char Char Char Char2,Footnote Reference1 Char1, Char Char1,Char Char1,ft Char1"/>
    <w:basedOn w:val="Fuentedeprrafopredeter"/>
    <w:rsid w:val="008A16F2"/>
    <w:rPr>
      <w:rFonts w:ascii="Times New Roman" w:eastAsia="MS Mincho" w:hAnsi="Times New Roman" w:cs="Times New Roman"/>
      <w:sz w:val="20"/>
      <w:szCs w:val="20"/>
      <w:lang w:val="en-US" w:bidi="he-IL"/>
    </w:rPr>
  </w:style>
  <w:style w:type="character" w:customStyle="1" w:styleId="PiedepginaCar">
    <w:name w:val="Pie de página Car"/>
    <w:aliases w:val="3_G Car"/>
    <w:basedOn w:val="Fuentedeprrafopredeter"/>
    <w:link w:val="Piedepgina"/>
    <w:uiPriority w:val="99"/>
    <w:rsid w:val="008A16F2"/>
    <w:rPr>
      <w:sz w:val="16"/>
      <w:lang w:val="en-GB" w:eastAsia="en-US"/>
    </w:rPr>
  </w:style>
  <w:style w:type="character" w:customStyle="1" w:styleId="SingleTxtGChar">
    <w:name w:val="_ Single Txt_G Char"/>
    <w:link w:val="SingleTxtG"/>
    <w:locked/>
    <w:rsid w:val="008A16F2"/>
    <w:rPr>
      <w:lang w:val="en-GB" w:eastAsia="en-US"/>
    </w:rPr>
  </w:style>
  <w:style w:type="character" w:styleId="Refdecomentario">
    <w:name w:val="annotation reference"/>
    <w:basedOn w:val="Fuentedeprrafopredeter"/>
    <w:uiPriority w:val="99"/>
    <w:semiHidden/>
    <w:unhideWhenUsed/>
    <w:rsid w:val="008A16F2"/>
    <w:rPr>
      <w:sz w:val="16"/>
      <w:szCs w:val="16"/>
    </w:rPr>
  </w:style>
  <w:style w:type="paragraph" w:styleId="Textocomentario">
    <w:name w:val="annotation text"/>
    <w:basedOn w:val="Normal"/>
    <w:link w:val="TextocomentarioCar"/>
    <w:uiPriority w:val="99"/>
    <w:semiHidden/>
    <w:unhideWhenUsed/>
    <w:rsid w:val="008A16F2"/>
    <w:pPr>
      <w:suppressAutoHyphens w:val="0"/>
      <w:spacing w:line="240" w:lineRule="auto"/>
    </w:pPr>
    <w:rPr>
      <w:rFonts w:eastAsia="MS Mincho"/>
      <w:lang w:val="en-US" w:bidi="he-IL"/>
    </w:rPr>
  </w:style>
  <w:style w:type="character" w:customStyle="1" w:styleId="TextocomentarioCar">
    <w:name w:val="Texto comentario Car"/>
    <w:basedOn w:val="Fuentedeprrafopredeter"/>
    <w:link w:val="Textocomentario"/>
    <w:uiPriority w:val="99"/>
    <w:semiHidden/>
    <w:rsid w:val="008A16F2"/>
    <w:rPr>
      <w:rFonts w:eastAsia="MS Mincho"/>
      <w:lang w:val="en-US" w:eastAsia="en-US" w:bidi="he-IL"/>
    </w:rPr>
  </w:style>
  <w:style w:type="paragraph" w:styleId="Asuntodelcomentario">
    <w:name w:val="annotation subject"/>
    <w:basedOn w:val="Textocomentario"/>
    <w:next w:val="Textocomentario"/>
    <w:link w:val="AsuntodelcomentarioCar"/>
    <w:uiPriority w:val="99"/>
    <w:semiHidden/>
    <w:unhideWhenUsed/>
    <w:rsid w:val="008A16F2"/>
    <w:rPr>
      <w:b/>
      <w:bCs/>
    </w:rPr>
  </w:style>
  <w:style w:type="character" w:customStyle="1" w:styleId="AsuntodelcomentarioCar">
    <w:name w:val="Asunto del comentario Car"/>
    <w:basedOn w:val="TextocomentarioCar"/>
    <w:link w:val="Asuntodelcomentario"/>
    <w:uiPriority w:val="99"/>
    <w:semiHidden/>
    <w:rsid w:val="008A16F2"/>
    <w:rPr>
      <w:rFonts w:eastAsia="MS Mincho"/>
      <w:b/>
      <w:bCs/>
      <w:lang w:val="en-US" w:eastAsia="en-US" w:bidi="he-IL"/>
    </w:rPr>
  </w:style>
  <w:style w:type="paragraph" w:styleId="Revisin">
    <w:name w:val="Revision"/>
    <w:hidden/>
    <w:uiPriority w:val="99"/>
    <w:semiHidden/>
    <w:rsid w:val="008A16F2"/>
    <w:rPr>
      <w:rFonts w:eastAsia="MS Mincho"/>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21887">
      <w:bodyDiv w:val="1"/>
      <w:marLeft w:val="0"/>
      <w:marRight w:val="0"/>
      <w:marTop w:val="0"/>
      <w:marBottom w:val="0"/>
      <w:divBdr>
        <w:top w:val="none" w:sz="0" w:space="0" w:color="auto"/>
        <w:left w:val="none" w:sz="0" w:space="0" w:color="auto"/>
        <w:bottom w:val="none" w:sz="0" w:space="0" w:color="auto"/>
        <w:right w:val="none" w:sz="0" w:space="0" w:color="auto"/>
      </w:divBdr>
    </w:div>
    <w:div w:id="831330402">
      <w:bodyDiv w:val="1"/>
      <w:marLeft w:val="0"/>
      <w:marRight w:val="0"/>
      <w:marTop w:val="0"/>
      <w:marBottom w:val="0"/>
      <w:divBdr>
        <w:top w:val="none" w:sz="0" w:space="0" w:color="auto"/>
        <w:left w:val="none" w:sz="0" w:space="0" w:color="auto"/>
        <w:bottom w:val="none" w:sz="0" w:space="0" w:color="auto"/>
        <w:right w:val="none" w:sz="0" w:space="0" w:color="auto"/>
      </w:divBdr>
    </w:div>
    <w:div w:id="124167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Documents/HRBodies/CCPR/Membership/CV_ABDO_ROCHOLL.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3d816927-3f28-4ab7-b21d-0f111ed117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7868784E35C247B66C82C4A1181574" ma:contentTypeVersion="4" ma:contentTypeDescription="Create a new document." ma:contentTypeScope="" ma:versionID="c0cc1ed01a56f079b04c95ba70d8c2f7">
  <xsd:schema xmlns:xsd="http://www.w3.org/2001/XMLSchema" xmlns:xs="http://www.w3.org/2001/XMLSchema" xmlns:p="http://schemas.microsoft.com/office/2006/metadata/properties" xmlns:ns3="3d816927-3f28-4ab7-b21d-0f111ed11771" xmlns:ns4="945a2cc3-dde4-4090-840c-a98b2312892b" targetNamespace="http://schemas.microsoft.com/office/2006/metadata/properties" ma:root="true" ma:fieldsID="ebc449d379e7d30a72ef15e6003a0449" ns3:_="" ns4:_="">
    <xsd:import namespace="3d816927-3f28-4ab7-b21d-0f111ed11771"/>
    <xsd:import namespace="945a2cc3-dde4-4090-840c-a98b2312892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6927-3f28-4ab7-b21d-0f111ed11771"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5a2cc3-dde4-4090-840c-a98b2312892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3D1CD-89DA-4C6B-8BB0-E9E38F832472}">
  <ds:schemaRefs>
    <ds:schemaRef ds:uri="http://schemas.microsoft.com/sharepoint/v3/contenttype/forms"/>
  </ds:schemaRefs>
</ds:datastoreItem>
</file>

<file path=customXml/itemProps2.xml><?xml version="1.0" encoding="utf-8"?>
<ds:datastoreItem xmlns:ds="http://schemas.openxmlformats.org/officeDocument/2006/customXml" ds:itemID="{4E41C1DA-47F7-4FFE-AF78-BC8DA315A8CC}">
  <ds:schemaRefs>
    <ds:schemaRef ds:uri="http://schemas.openxmlformats.org/officeDocument/2006/bibliography"/>
  </ds:schemaRefs>
</ds:datastoreItem>
</file>

<file path=customXml/itemProps3.xml><?xml version="1.0" encoding="utf-8"?>
<ds:datastoreItem xmlns:ds="http://schemas.openxmlformats.org/officeDocument/2006/customXml" ds:itemID="{46B935F2-C02C-4A85-8934-817E73CE9E11}">
  <ds:schemaRefs>
    <ds:schemaRef ds:uri="http://schemas.microsoft.com/office/2006/metadata/properties"/>
    <ds:schemaRef ds:uri="http://schemas.microsoft.com/office/infopath/2007/PartnerControls"/>
    <ds:schemaRef ds:uri="3d816927-3f28-4ab7-b21d-0f111ed11771"/>
  </ds:schemaRefs>
</ds:datastoreItem>
</file>

<file path=customXml/itemProps4.xml><?xml version="1.0" encoding="utf-8"?>
<ds:datastoreItem xmlns:ds="http://schemas.openxmlformats.org/officeDocument/2006/customXml" ds:itemID="{A29B98AF-12D4-4A01-8414-5EB32AA77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6927-3f28-4ab7-b21d-0f111ed11771"/>
    <ds:schemaRef ds:uri="945a2cc3-dde4-4090-840c-a98b23128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3573</Words>
  <Characters>19657</Characters>
  <Application>Microsoft Office Word</Application>
  <DocSecurity>0</DocSecurity>
  <Lines>163</Lines>
  <Paragraphs>46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CCPR/C/137/DR/2911/2016</vt:lpstr>
      <vt:lpstr>CCPR/C/137/DR/2911/2016</vt:lpstr>
      <vt:lpstr>CCPR/C/WG/137/DR/2911/2016</vt:lpstr>
    </vt:vector>
  </TitlesOfParts>
  <Company>CSD</Company>
  <LinksUpToDate>false</LinksUpToDate>
  <CharactersWithSpaces>23184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CCPR/C/137/DR/2911/2016</dc:title>
  <dc:subject>2303482</dc:subject>
  <dc:creator>ABDELAZIM Mohamed</dc:creator>
  <cp:keywords>CCPR/C/136/DR/2909/2016, CCPR/C/136/DR/2910/2016</cp:keywords>
  <dc:description/>
  <cp:lastModifiedBy>Irene Aparicio</cp:lastModifiedBy>
  <cp:revision>2</cp:revision>
  <cp:lastPrinted>2023-04-19T17:44:00Z</cp:lastPrinted>
  <dcterms:created xsi:type="dcterms:W3CDTF">2023-09-28T10:48:00Z</dcterms:created>
  <dcterms:modified xsi:type="dcterms:W3CDTF">2023-09-28T10:48:00Z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0x010100777868784E35C247B66C82C4A1181574</vt:lpwstr>
  </property>
</Properties>
</file>