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5FE5C675" w14:textId="77777777" w:rsidTr="00CA1AEA">
        <w:trPr>
          <w:cantSplit/>
          <w:trHeight w:hRule="exact" w:val="851"/>
        </w:trPr>
        <w:tc>
          <w:tcPr>
            <w:tcW w:w="1276" w:type="dxa"/>
            <w:tcBorders>
              <w:bottom w:val="single" w:sz="4" w:space="0" w:color="auto"/>
            </w:tcBorders>
            <w:vAlign w:val="bottom"/>
          </w:tcPr>
          <w:p w14:paraId="6485F0E6" w14:textId="77777777" w:rsidR="00165C15" w:rsidRDefault="00165C15" w:rsidP="00CA1AEA">
            <w:pPr>
              <w:spacing w:after="80"/>
            </w:pPr>
          </w:p>
        </w:tc>
        <w:tc>
          <w:tcPr>
            <w:tcW w:w="2268" w:type="dxa"/>
            <w:tcBorders>
              <w:bottom w:val="single" w:sz="4" w:space="0" w:color="auto"/>
            </w:tcBorders>
            <w:vAlign w:val="bottom"/>
          </w:tcPr>
          <w:p w14:paraId="017783F2"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10D8CF7" w14:textId="4EE64FF7" w:rsidR="00165C15" w:rsidRPr="00D47EEA" w:rsidRDefault="00342D59" w:rsidP="006E3BB4">
            <w:pPr>
              <w:suppressAutoHyphens w:val="0"/>
              <w:spacing w:after="20"/>
              <w:jc w:val="right"/>
            </w:pPr>
            <w:r w:rsidRPr="00342D59">
              <w:rPr>
                <w:sz w:val="40"/>
              </w:rPr>
              <w:t>CCPR</w:t>
            </w:r>
            <w:r>
              <w:t>/C/</w:t>
            </w:r>
            <w:r w:rsidR="000C4B08" w:rsidRPr="000C4B08">
              <w:t>13</w:t>
            </w:r>
            <w:r w:rsidR="006E3BB4">
              <w:t>5</w:t>
            </w:r>
            <w:r w:rsidRPr="000C4B08">
              <w:t>/</w:t>
            </w:r>
            <w:bookmarkStart w:id="0" w:name="_GoBack"/>
            <w:bookmarkEnd w:id="0"/>
            <w:r w:rsidR="002D367E">
              <w:t>3050/2017</w:t>
            </w:r>
          </w:p>
        </w:tc>
      </w:tr>
      <w:tr w:rsidR="00165C15" w14:paraId="44FE5AA9" w14:textId="77777777" w:rsidTr="00CA1AEA">
        <w:trPr>
          <w:cantSplit/>
          <w:trHeight w:hRule="exact" w:val="2835"/>
        </w:trPr>
        <w:tc>
          <w:tcPr>
            <w:tcW w:w="1276" w:type="dxa"/>
            <w:tcBorders>
              <w:top w:val="single" w:sz="4" w:space="0" w:color="auto"/>
              <w:bottom w:val="single" w:sz="12" w:space="0" w:color="auto"/>
            </w:tcBorders>
          </w:tcPr>
          <w:p w14:paraId="0CFB5CEF" w14:textId="77777777" w:rsidR="00165C15" w:rsidRDefault="00165C15" w:rsidP="00CA1AEA">
            <w:pPr>
              <w:spacing w:before="120"/>
            </w:pPr>
            <w:r>
              <w:rPr>
                <w:noProof/>
                <w:lang w:eastAsia="en-GB"/>
              </w:rPr>
              <w:drawing>
                <wp:inline distT="0" distB="0" distL="0" distR="0" wp14:anchorId="2B6A9587" wp14:editId="32F71E9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682CE96" w14:textId="77777777" w:rsidR="00165C15" w:rsidRDefault="00165C15" w:rsidP="00CA1AEA">
            <w:pPr>
              <w:spacing w:before="120" w:line="380" w:lineRule="exact"/>
              <w:rPr>
                <w:b/>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p w14:paraId="0EA52776" w14:textId="77777777" w:rsidR="002057B1" w:rsidRDefault="002057B1" w:rsidP="00CA1AEA">
            <w:pPr>
              <w:spacing w:before="120" w:line="380" w:lineRule="exact"/>
              <w:rPr>
                <w:b/>
                <w:sz w:val="34"/>
                <w:szCs w:val="40"/>
              </w:rPr>
            </w:pPr>
          </w:p>
          <w:p w14:paraId="2228FBEA" w14:textId="7393F57A" w:rsidR="002057B1" w:rsidRPr="00267F5F" w:rsidRDefault="002057B1" w:rsidP="00CA1AEA">
            <w:pPr>
              <w:spacing w:before="120" w:line="380" w:lineRule="exact"/>
              <w:rPr>
                <w:sz w:val="34"/>
              </w:rPr>
            </w:pPr>
            <w:r>
              <w:rPr>
                <w:b/>
                <w:sz w:val="34"/>
                <w:szCs w:val="40"/>
              </w:rPr>
              <w:t>Advance unedited version</w:t>
            </w:r>
          </w:p>
        </w:tc>
        <w:tc>
          <w:tcPr>
            <w:tcW w:w="2835" w:type="dxa"/>
            <w:tcBorders>
              <w:top w:val="single" w:sz="4" w:space="0" w:color="auto"/>
              <w:bottom w:val="single" w:sz="12" w:space="0" w:color="auto"/>
            </w:tcBorders>
          </w:tcPr>
          <w:p w14:paraId="1955179A" w14:textId="433C5109" w:rsidR="00165C15" w:rsidRDefault="00342D59" w:rsidP="00342D59">
            <w:pPr>
              <w:suppressAutoHyphens w:val="0"/>
              <w:spacing w:before="240"/>
            </w:pPr>
            <w:r>
              <w:t xml:space="preserve">Distr.: </w:t>
            </w:r>
            <w:r w:rsidR="006F66BE">
              <w:t>General</w:t>
            </w:r>
          </w:p>
          <w:p w14:paraId="70772F62" w14:textId="7BFDA5CD" w:rsidR="00342D59" w:rsidRPr="000C4B08" w:rsidRDefault="006F66BE" w:rsidP="00342D59">
            <w:pPr>
              <w:suppressAutoHyphens w:val="0"/>
            </w:pPr>
            <w:r>
              <w:t>28 July</w:t>
            </w:r>
            <w:r w:rsidR="002D367E">
              <w:t xml:space="preserve"> 2022</w:t>
            </w:r>
          </w:p>
          <w:p w14:paraId="2761A489" w14:textId="77777777" w:rsidR="00342D59" w:rsidRDefault="00342D59" w:rsidP="00342D59">
            <w:pPr>
              <w:suppressAutoHyphens w:val="0"/>
            </w:pPr>
          </w:p>
          <w:p w14:paraId="2BE0A069" w14:textId="77777777" w:rsidR="00342D59" w:rsidRDefault="00342D59" w:rsidP="00342D59">
            <w:pPr>
              <w:suppressAutoHyphens w:val="0"/>
            </w:pPr>
            <w:r>
              <w:t>Original: English</w:t>
            </w:r>
          </w:p>
          <w:p w14:paraId="67F1DED4" w14:textId="4CCE9A04" w:rsidR="000E1C4E" w:rsidRDefault="000E1C4E" w:rsidP="00342D59">
            <w:pPr>
              <w:suppressAutoHyphens w:val="0"/>
            </w:pPr>
          </w:p>
        </w:tc>
      </w:tr>
    </w:tbl>
    <w:p w14:paraId="217E8C83" w14:textId="0124A806" w:rsidR="00D43B04" w:rsidRDefault="00D43B04" w:rsidP="00D43B04">
      <w:pPr>
        <w:spacing w:before="120"/>
        <w:rPr>
          <w:b/>
          <w:bCs/>
          <w:sz w:val="24"/>
        </w:rPr>
      </w:pPr>
      <w:r w:rsidRPr="007E2028">
        <w:rPr>
          <w:b/>
          <w:bCs/>
          <w:sz w:val="24"/>
        </w:rPr>
        <w:t>Human Rights Committee</w:t>
      </w:r>
    </w:p>
    <w:p w14:paraId="2A9CD759" w14:textId="07136612" w:rsidR="00D43B04" w:rsidRPr="00501B87" w:rsidRDefault="00D43B04" w:rsidP="009A7626">
      <w:pPr>
        <w:pStyle w:val="HChG"/>
      </w:pPr>
      <w:r w:rsidRPr="002F3906">
        <w:tab/>
      </w:r>
      <w:r w:rsidRPr="002F3906">
        <w:tab/>
      </w:r>
      <w:r w:rsidR="006F66BE" w:rsidRPr="006F66BE">
        <w:t xml:space="preserve">Decision adopted by the Committee under the Optional Protocol, concerning </w:t>
      </w:r>
      <w:r w:rsidRPr="009A7626">
        <w:t>Communication</w:t>
      </w:r>
      <w:r w:rsidRPr="002F3906">
        <w:t xml:space="preserve"> No. </w:t>
      </w:r>
      <w:r w:rsidR="002D367E">
        <w:t>3050</w:t>
      </w:r>
      <w:r w:rsidR="008E59A6">
        <w:t>/2017</w:t>
      </w:r>
      <w:r w:rsidR="006F66BE" w:rsidRPr="006F66BE">
        <w:footnoteReference w:customMarkFollows="1" w:id="1"/>
        <w:t>*’</w:t>
      </w:r>
      <w:r w:rsidR="006F66BE" w:rsidRPr="006F66BE">
        <w:footnoteReference w:customMarkFollows="1" w:id="2"/>
        <w:t>**</w:t>
      </w:r>
    </w:p>
    <w:p w14:paraId="2F6E4C7B" w14:textId="6EA7D0F2" w:rsidR="00AE7DAA" w:rsidRPr="00D549B4" w:rsidRDefault="00AE7DAA" w:rsidP="00D66BCD">
      <w:pPr>
        <w:pStyle w:val="SingleTxtG"/>
        <w:ind w:left="4536" w:hanging="3402"/>
        <w:jc w:val="left"/>
      </w:pPr>
      <w:r w:rsidRPr="007F4B1A">
        <w:rPr>
          <w:i/>
        </w:rPr>
        <w:t>Communication submitted by:</w:t>
      </w:r>
      <w:r>
        <w:rPr>
          <w:i/>
        </w:rPr>
        <w:tab/>
      </w:r>
      <w:r w:rsidR="006F66BE">
        <w:t>S.T.</w:t>
      </w:r>
      <w:r w:rsidR="00C10C4B">
        <w:t xml:space="preserve"> (not represented by counsel)</w:t>
      </w:r>
      <w:r w:rsidRPr="00D549B4">
        <w:t xml:space="preserve"> </w:t>
      </w:r>
    </w:p>
    <w:p w14:paraId="3578DCBB" w14:textId="7E24EC1F" w:rsidR="00AE7DAA" w:rsidRPr="00D549B4" w:rsidRDefault="00AE7DAA" w:rsidP="00D66BCD">
      <w:pPr>
        <w:pStyle w:val="SingleTxtG"/>
        <w:ind w:left="4536" w:hanging="3402"/>
        <w:jc w:val="left"/>
        <w:rPr>
          <w:iCs/>
        </w:rPr>
      </w:pPr>
      <w:r w:rsidRPr="00D549B4">
        <w:rPr>
          <w:i/>
        </w:rPr>
        <w:t>Alleged victim:</w:t>
      </w:r>
      <w:r w:rsidRPr="00D549B4">
        <w:rPr>
          <w:i/>
        </w:rPr>
        <w:tab/>
      </w:r>
      <w:r w:rsidRPr="00D549B4">
        <w:t>The author</w:t>
      </w:r>
      <w:r w:rsidR="003A5C40">
        <w:t xml:space="preserve"> </w:t>
      </w:r>
    </w:p>
    <w:p w14:paraId="78B8C7CC" w14:textId="0319C229" w:rsidR="00AE7DAA" w:rsidRPr="00D549B4" w:rsidRDefault="00AE7DAA" w:rsidP="00D66BCD">
      <w:pPr>
        <w:pStyle w:val="SingleTxtG"/>
        <w:ind w:left="4536" w:hanging="3402"/>
        <w:jc w:val="left"/>
      </w:pPr>
      <w:r w:rsidRPr="00D549B4">
        <w:rPr>
          <w:i/>
        </w:rPr>
        <w:t>State party:</w:t>
      </w:r>
      <w:r w:rsidRPr="00D549B4">
        <w:rPr>
          <w:i/>
        </w:rPr>
        <w:tab/>
      </w:r>
      <w:r w:rsidR="00C10C4B">
        <w:rPr>
          <w:iCs/>
        </w:rPr>
        <w:t xml:space="preserve">Republic of </w:t>
      </w:r>
      <w:r w:rsidR="003A5C40">
        <w:t>Moldova</w:t>
      </w:r>
    </w:p>
    <w:p w14:paraId="63D5E374" w14:textId="2E3FD10D" w:rsidR="00AE7DAA" w:rsidRPr="00D549B4" w:rsidRDefault="00AE7DAA" w:rsidP="00D66BCD">
      <w:pPr>
        <w:pStyle w:val="SingleTxtG"/>
        <w:ind w:left="4536" w:hanging="3402"/>
        <w:jc w:val="left"/>
      </w:pPr>
      <w:r w:rsidRPr="00D549B4">
        <w:rPr>
          <w:i/>
        </w:rPr>
        <w:t>Date of communication:</w:t>
      </w:r>
      <w:r w:rsidRPr="00D549B4">
        <w:rPr>
          <w:i/>
        </w:rPr>
        <w:tab/>
      </w:r>
      <w:r w:rsidR="003A5C40">
        <w:t>24 July 2017</w:t>
      </w:r>
      <w:r w:rsidR="00501B87" w:rsidRPr="00D549B4">
        <w:t xml:space="preserve"> </w:t>
      </w:r>
      <w:r w:rsidRPr="00D549B4">
        <w:t>(initial submission)</w:t>
      </w:r>
    </w:p>
    <w:p w14:paraId="1F83CD35" w14:textId="7E88D71A" w:rsidR="00AE7DAA" w:rsidRPr="00D549B4" w:rsidRDefault="00AE7DAA" w:rsidP="00D66BCD">
      <w:pPr>
        <w:pStyle w:val="SingleTxtG"/>
        <w:ind w:left="4536" w:hanging="3402"/>
        <w:jc w:val="left"/>
      </w:pPr>
      <w:r w:rsidRPr="00D549B4">
        <w:rPr>
          <w:i/>
        </w:rPr>
        <w:t>Document references:</w:t>
      </w:r>
      <w:r w:rsidRPr="00D549B4">
        <w:rPr>
          <w:i/>
        </w:rPr>
        <w:tab/>
      </w:r>
      <w:r w:rsidRPr="00D549B4">
        <w:t xml:space="preserve">Decision taken pursuant to rule 92 of the Committee’s rules of procedure, transmitted to the State party on </w:t>
      </w:r>
      <w:r w:rsidR="00AF79B8">
        <w:t>1 March 2017</w:t>
      </w:r>
      <w:r w:rsidRPr="00D549B4">
        <w:t xml:space="preserve"> (not issued in</w:t>
      </w:r>
      <w:r w:rsidR="00D66BCD" w:rsidRPr="00D549B4">
        <w:t xml:space="preserve"> </w:t>
      </w:r>
      <w:r w:rsidRPr="00D549B4">
        <w:t>document form)</w:t>
      </w:r>
    </w:p>
    <w:p w14:paraId="1E642B98" w14:textId="3707CA27" w:rsidR="00AE7DAA" w:rsidRPr="00D549B4" w:rsidRDefault="00AE7DAA" w:rsidP="00D66BCD">
      <w:pPr>
        <w:pStyle w:val="SingleTxtG"/>
        <w:ind w:left="4536" w:hanging="3402"/>
        <w:jc w:val="left"/>
      </w:pPr>
      <w:r w:rsidRPr="00D549B4">
        <w:rPr>
          <w:i/>
        </w:rPr>
        <w:t xml:space="preserve">Date of </w:t>
      </w:r>
      <w:r w:rsidRPr="00801120">
        <w:rPr>
          <w:i/>
        </w:rPr>
        <w:t xml:space="preserve">adoption of </w:t>
      </w:r>
      <w:r w:rsidR="00DD630D" w:rsidRPr="00801120">
        <w:rPr>
          <w:i/>
        </w:rPr>
        <w:t>decision</w:t>
      </w:r>
      <w:r w:rsidRPr="00801120">
        <w:rPr>
          <w:i/>
        </w:rPr>
        <w:t>:</w:t>
      </w:r>
      <w:r w:rsidRPr="00D549B4">
        <w:rPr>
          <w:i/>
        </w:rPr>
        <w:tab/>
      </w:r>
      <w:r w:rsidR="006F66BE">
        <w:t>27 July 2022</w:t>
      </w:r>
    </w:p>
    <w:p w14:paraId="03E928AF" w14:textId="79AE96DE" w:rsidR="00AE7DAA" w:rsidRPr="00215108" w:rsidRDefault="00AE7DAA" w:rsidP="00D66BCD">
      <w:pPr>
        <w:pStyle w:val="SingleTxtG"/>
        <w:ind w:left="4536" w:hanging="3402"/>
        <w:jc w:val="left"/>
        <w:rPr>
          <w:iCs/>
        </w:rPr>
      </w:pPr>
      <w:r w:rsidRPr="00215108">
        <w:rPr>
          <w:i/>
          <w:iCs/>
        </w:rPr>
        <w:t>Subject matter:</w:t>
      </w:r>
      <w:r w:rsidRPr="00D549B4">
        <w:rPr>
          <w:i/>
        </w:rPr>
        <w:tab/>
      </w:r>
      <w:r w:rsidR="00E401CF">
        <w:rPr>
          <w:iCs/>
        </w:rPr>
        <w:t>Denial of</w:t>
      </w:r>
      <w:r w:rsidR="00215108">
        <w:rPr>
          <w:iCs/>
        </w:rPr>
        <w:t xml:space="preserve"> membership of Bar Association</w:t>
      </w:r>
    </w:p>
    <w:p w14:paraId="22CA7979" w14:textId="271EB05C" w:rsidR="00AE7DAA" w:rsidRPr="00585602" w:rsidRDefault="00AE7DAA" w:rsidP="00D66BCD">
      <w:pPr>
        <w:pStyle w:val="SingleTxtG"/>
        <w:ind w:left="4536" w:hanging="3402"/>
        <w:jc w:val="left"/>
      </w:pPr>
      <w:r w:rsidRPr="00585602">
        <w:rPr>
          <w:i/>
          <w:iCs/>
        </w:rPr>
        <w:t>Procedural issues</w:t>
      </w:r>
      <w:r w:rsidRPr="00585602">
        <w:rPr>
          <w:i/>
        </w:rPr>
        <w:t>:</w:t>
      </w:r>
      <w:r w:rsidRPr="00585602">
        <w:rPr>
          <w:i/>
          <w:iCs/>
        </w:rPr>
        <w:tab/>
      </w:r>
      <w:r w:rsidR="00585602" w:rsidRPr="00585602">
        <w:t>L</w:t>
      </w:r>
      <w:r w:rsidR="00D44590" w:rsidRPr="00585602">
        <w:t>evel of substantiation of claims</w:t>
      </w:r>
    </w:p>
    <w:p w14:paraId="4CA2DDC4" w14:textId="4C87C1D4" w:rsidR="00AE7DAA" w:rsidRPr="00D549B4" w:rsidRDefault="00AE7DAA" w:rsidP="00D66BCD">
      <w:pPr>
        <w:pStyle w:val="SingleTxtG"/>
        <w:ind w:left="4536" w:hanging="3402"/>
        <w:jc w:val="left"/>
      </w:pPr>
      <w:r w:rsidRPr="00215108">
        <w:rPr>
          <w:i/>
          <w:iCs/>
        </w:rPr>
        <w:t>Substantive issues:</w:t>
      </w:r>
      <w:r w:rsidRPr="00D549B4">
        <w:rPr>
          <w:i/>
          <w:iCs/>
        </w:rPr>
        <w:tab/>
      </w:r>
      <w:r w:rsidR="00215108">
        <w:t>Discrimination based on nationality</w:t>
      </w:r>
      <w:r w:rsidRPr="00D549B4">
        <w:t xml:space="preserve">; </w:t>
      </w:r>
      <w:r w:rsidR="00C10C4B">
        <w:t xml:space="preserve">right to privacy; </w:t>
      </w:r>
      <w:r w:rsidRPr="00D549B4">
        <w:t xml:space="preserve">right to </w:t>
      </w:r>
      <w:r w:rsidR="00AF79B8">
        <w:t>an effective remedy</w:t>
      </w:r>
    </w:p>
    <w:p w14:paraId="1F2274A2" w14:textId="116286F7" w:rsidR="00AE7DAA" w:rsidRPr="00215108" w:rsidRDefault="00AE7DAA" w:rsidP="00D66BCD">
      <w:pPr>
        <w:pStyle w:val="SingleTxtG"/>
        <w:ind w:left="4536" w:hanging="3402"/>
        <w:jc w:val="left"/>
      </w:pPr>
      <w:r w:rsidRPr="00215108">
        <w:rPr>
          <w:i/>
          <w:iCs/>
        </w:rPr>
        <w:t>Articles of the Covenant</w:t>
      </w:r>
      <w:r w:rsidRPr="00215108">
        <w:rPr>
          <w:i/>
        </w:rPr>
        <w:t>:</w:t>
      </w:r>
      <w:r w:rsidRPr="00215108">
        <w:rPr>
          <w:i/>
          <w:iCs/>
        </w:rPr>
        <w:tab/>
      </w:r>
      <w:r w:rsidR="00AF79B8" w:rsidRPr="00215108">
        <w:t xml:space="preserve">2 </w:t>
      </w:r>
      <w:r w:rsidR="00553CBA">
        <w:t xml:space="preserve">(1) and </w:t>
      </w:r>
      <w:r w:rsidR="00AF79B8" w:rsidRPr="00215108">
        <w:t>(3)</w:t>
      </w:r>
      <w:r w:rsidR="00553CBA">
        <w:t>; 17</w:t>
      </w:r>
      <w:r w:rsidR="00AF79B8" w:rsidRPr="00215108">
        <w:t xml:space="preserve"> and </w:t>
      </w:r>
      <w:r w:rsidR="00215108" w:rsidRPr="00215108">
        <w:t>26</w:t>
      </w:r>
    </w:p>
    <w:p w14:paraId="07E128D2" w14:textId="15CAB0DA" w:rsidR="00AE7DAA" w:rsidRPr="00D549B4" w:rsidRDefault="00AE7DAA" w:rsidP="00D66BCD">
      <w:pPr>
        <w:pStyle w:val="SingleTxtG"/>
        <w:ind w:left="4536" w:hanging="3402"/>
        <w:jc w:val="left"/>
      </w:pPr>
      <w:r w:rsidRPr="00585602">
        <w:rPr>
          <w:i/>
          <w:iCs/>
        </w:rPr>
        <w:t>Article of the Optional Protocol:</w:t>
      </w:r>
      <w:r w:rsidRPr="00D549B4">
        <w:rPr>
          <w:i/>
          <w:iCs/>
        </w:rPr>
        <w:tab/>
      </w:r>
      <w:r w:rsidR="00575BF6">
        <w:rPr>
          <w:iCs/>
        </w:rPr>
        <w:t xml:space="preserve">2 </w:t>
      </w:r>
    </w:p>
    <w:p w14:paraId="38F9387A" w14:textId="2BD94985" w:rsidR="008E2771" w:rsidRPr="00C10C4B" w:rsidRDefault="00E10A47" w:rsidP="000A5EF6">
      <w:pPr>
        <w:pStyle w:val="SingleTxtG"/>
      </w:pPr>
      <w:r>
        <w:t>1</w:t>
      </w:r>
      <w:r w:rsidR="009553F9">
        <w:t>.</w:t>
      </w:r>
      <w:r>
        <w:tab/>
      </w:r>
      <w:r w:rsidR="00D66BCD" w:rsidRPr="00D549B4">
        <w:t>The author</w:t>
      </w:r>
      <w:r w:rsidR="008E2771">
        <w:t xml:space="preserve"> </w:t>
      </w:r>
      <w:r w:rsidR="00C10C4B">
        <w:t xml:space="preserve">of the communication </w:t>
      </w:r>
      <w:r w:rsidR="008E2771">
        <w:t xml:space="preserve">is </w:t>
      </w:r>
      <w:r w:rsidR="006F66BE">
        <w:t>S.T.</w:t>
      </w:r>
      <w:r w:rsidR="008E2771">
        <w:t xml:space="preserve">, born </w:t>
      </w:r>
      <w:r w:rsidR="00C10C4B">
        <w:t>in</w:t>
      </w:r>
      <w:r w:rsidR="008E2771">
        <w:t xml:space="preserve"> 1983. He claims to be a victim of a violation by the State party of his rights under article</w:t>
      </w:r>
      <w:r w:rsidR="00C10C4B">
        <w:t>s 2 (3), 17 read alone and in conjunction with article 2 (1), and of article</w:t>
      </w:r>
      <w:r w:rsidR="008E2771">
        <w:t xml:space="preserve"> 26 of Covenant. He is not represented by counsel.</w:t>
      </w:r>
      <w:r w:rsidR="008E2771" w:rsidRPr="008E2771">
        <w:rPr>
          <w:rFonts w:eastAsia="Times New Roman"/>
          <w:lang w:eastAsia="en-US"/>
        </w:rPr>
        <w:t xml:space="preserve"> </w:t>
      </w:r>
      <w:r w:rsidR="008E2771" w:rsidRPr="008E2771">
        <w:t xml:space="preserve">The Optional Protocol entered into force for the State party on </w:t>
      </w:r>
      <w:r w:rsidR="00C10C4B" w:rsidRPr="00C10C4B">
        <w:t>23 April 2008</w:t>
      </w:r>
      <w:r w:rsidR="008E2771" w:rsidRPr="00C10C4B">
        <w:t>.</w:t>
      </w:r>
    </w:p>
    <w:p w14:paraId="17423F42" w14:textId="58378C56" w:rsidR="008E2771" w:rsidRPr="008E2771" w:rsidRDefault="00FF09F1" w:rsidP="002B7706">
      <w:pPr>
        <w:pStyle w:val="H23G"/>
      </w:pPr>
      <w:r>
        <w:tab/>
      </w:r>
      <w:r>
        <w:tab/>
      </w:r>
      <w:r w:rsidR="008E2771" w:rsidRPr="008E2771">
        <w:t>The facts as presented by the author</w:t>
      </w:r>
    </w:p>
    <w:p w14:paraId="792CA506" w14:textId="1166A489" w:rsidR="008E2771" w:rsidRDefault="004556C5" w:rsidP="004556C5">
      <w:pPr>
        <w:pStyle w:val="SingleTxtG"/>
      </w:pPr>
      <w:r>
        <w:t>2.1</w:t>
      </w:r>
      <w:r>
        <w:tab/>
      </w:r>
      <w:r w:rsidR="008E2771">
        <w:t xml:space="preserve">The author is a Lithuanian national. He </w:t>
      </w:r>
      <w:r w:rsidR="00CA2194">
        <w:t>notes that he wishes</w:t>
      </w:r>
      <w:r w:rsidR="008E2771">
        <w:t xml:space="preserve"> to practice law in Moldova and in order to do so</w:t>
      </w:r>
      <w:r w:rsidR="00CA2194">
        <w:t xml:space="preserve"> to be able to</w:t>
      </w:r>
      <w:r w:rsidR="008E2771">
        <w:t xml:space="preserve"> apply for membership of the Bar </w:t>
      </w:r>
      <w:r w:rsidR="00ED1436">
        <w:t xml:space="preserve">Association </w:t>
      </w:r>
      <w:r w:rsidR="008E2771">
        <w:t xml:space="preserve">in </w:t>
      </w:r>
      <w:r w:rsidR="008E2771">
        <w:lastRenderedPageBreak/>
        <w:t xml:space="preserve">Chisinau, Moldova. He however notes that under article 10 </w:t>
      </w:r>
      <w:r w:rsidR="00C6694C">
        <w:t xml:space="preserve">(1) </w:t>
      </w:r>
      <w:r w:rsidR="008E2771">
        <w:t xml:space="preserve">of </w:t>
      </w:r>
      <w:r w:rsidR="000A5EF6" w:rsidRPr="000A5EF6">
        <w:rPr>
          <w:bCs/>
        </w:rPr>
        <w:t>law no. 1260, on the ‘Organization of the Legal Profession’</w:t>
      </w:r>
      <w:r w:rsidR="008E2771">
        <w:t xml:space="preserve">, a prerequisite to be admitted </w:t>
      </w:r>
      <w:r w:rsidR="00CA2194">
        <w:t>to</w:t>
      </w:r>
      <w:r w:rsidR="008E2771">
        <w:t xml:space="preserve"> the Bar is to have Moldovan citizenship.</w:t>
      </w:r>
      <w:r w:rsidR="00C6694C">
        <w:rPr>
          <w:rStyle w:val="FootnoteReference"/>
        </w:rPr>
        <w:footnoteReference w:id="3"/>
      </w:r>
      <w:r w:rsidR="008E2771">
        <w:t xml:space="preserve"> The author claims that he fulfils all other requirements to be admitted to the bar, except for the requirement o</w:t>
      </w:r>
      <w:r w:rsidR="00CA2194">
        <w:t>f</w:t>
      </w:r>
      <w:r w:rsidR="008E2771">
        <w:t xml:space="preserve"> citizenship.</w:t>
      </w:r>
    </w:p>
    <w:p w14:paraId="78A2AFDD" w14:textId="49E648F6" w:rsidR="008E2771" w:rsidRDefault="004556C5" w:rsidP="004556C5">
      <w:pPr>
        <w:pStyle w:val="SingleTxtG"/>
      </w:pPr>
      <w:r>
        <w:t>2.2</w:t>
      </w:r>
      <w:r>
        <w:tab/>
      </w:r>
      <w:r w:rsidR="00C6694C">
        <w:t>T</w:t>
      </w:r>
      <w:r w:rsidR="008E2771">
        <w:t>he author</w:t>
      </w:r>
      <w:r w:rsidR="00C6694C">
        <w:t xml:space="preserve"> </w:t>
      </w:r>
      <w:r w:rsidR="008E2771">
        <w:t xml:space="preserve">requested the Moldovan Bar Association to clarify the </w:t>
      </w:r>
      <w:r w:rsidR="00E10A47">
        <w:t xml:space="preserve">membership </w:t>
      </w:r>
      <w:r w:rsidR="008E2771">
        <w:t xml:space="preserve">requirements. He was informed </w:t>
      </w:r>
      <w:r w:rsidR="00C6694C">
        <w:t xml:space="preserve">on 8 November 2012 </w:t>
      </w:r>
      <w:r w:rsidR="008E2771">
        <w:t>that it was not possible for him to become a member of the bar</w:t>
      </w:r>
      <w:r w:rsidR="0049680A">
        <w:t>.</w:t>
      </w:r>
      <w:r w:rsidR="00C6694C">
        <w:t xml:space="preserve"> The author submitted further requests for </w:t>
      </w:r>
      <w:r w:rsidR="00CA2194">
        <w:t xml:space="preserve">clarification on </w:t>
      </w:r>
      <w:r w:rsidR="00C6694C">
        <w:t>the possibility of admission to the Bar in 2013 and 2014, however he did not receive replies to his letters.</w:t>
      </w:r>
    </w:p>
    <w:p w14:paraId="02F8C771" w14:textId="15FF3591" w:rsidR="008E2771" w:rsidRDefault="004556C5" w:rsidP="004556C5">
      <w:pPr>
        <w:pStyle w:val="SingleTxtG"/>
      </w:pPr>
      <w:r>
        <w:t>2.3</w:t>
      </w:r>
      <w:r>
        <w:tab/>
      </w:r>
      <w:r w:rsidR="008E2771">
        <w:t xml:space="preserve">On 10 September 2015, the author lodged a </w:t>
      </w:r>
      <w:r w:rsidR="00CA2194">
        <w:t>suit</w:t>
      </w:r>
      <w:r w:rsidR="008E2771">
        <w:t xml:space="preserve"> </w:t>
      </w:r>
      <w:r w:rsidR="00B00C6F">
        <w:t xml:space="preserve">against the State party </w:t>
      </w:r>
      <w:r w:rsidR="008E2771">
        <w:t xml:space="preserve">before the Tribunal of </w:t>
      </w:r>
      <w:proofErr w:type="spellStart"/>
      <w:r w:rsidR="008E2771">
        <w:t>Buiucani</w:t>
      </w:r>
      <w:proofErr w:type="spellEnd"/>
      <w:r w:rsidR="00CA2194">
        <w:t>,</w:t>
      </w:r>
      <w:r w:rsidR="008E2771">
        <w:t xml:space="preserve"> claiming that </w:t>
      </w:r>
      <w:r w:rsidR="00B00C6F">
        <w:t xml:space="preserve">article 10 (1) of </w:t>
      </w:r>
      <w:r w:rsidR="000A5EF6">
        <w:t>law no. 1260</w:t>
      </w:r>
      <w:r w:rsidR="008E2771">
        <w:t xml:space="preserve"> was contrary to article 26 of the Covenant. On 18 September 2015, the Tribunal found the author’s </w:t>
      </w:r>
      <w:r w:rsidR="00B00C6F">
        <w:t>claim</w:t>
      </w:r>
      <w:r w:rsidR="008E2771">
        <w:t xml:space="preserve"> to be inadmissible </w:t>
      </w:r>
      <w:r w:rsidR="00B00C6F">
        <w:t xml:space="preserve">under article 4 (c) of the Administrative Litigation Act no. 793 </w:t>
      </w:r>
      <w:r w:rsidR="008E2771">
        <w:t>as a c</w:t>
      </w:r>
      <w:r w:rsidR="00B00C6F">
        <w:t>omplaint claiming a</w:t>
      </w:r>
      <w:r w:rsidR="008E2771">
        <w:t xml:space="preserve"> contradiction between a legislative act and an international treaty may only be examined by the Constitutional Court. The author however </w:t>
      </w:r>
      <w:r w:rsidR="00B00C6F">
        <w:t>claims</w:t>
      </w:r>
      <w:r w:rsidR="008E2771">
        <w:t xml:space="preserve"> that</w:t>
      </w:r>
      <w:r w:rsidR="00E10A47">
        <w:t>,</w:t>
      </w:r>
      <w:r w:rsidR="008E2771">
        <w:t xml:space="preserve"> under article 25 of the Constitutional Court Act</w:t>
      </w:r>
      <w:r w:rsidR="00E10A47">
        <w:t>,</w:t>
      </w:r>
      <w:r w:rsidR="008E2771">
        <w:t xml:space="preserve"> only the President of the Republic, the Government, the Minister of Justice, the Prosecutor General, a Member of Parliament or a parliamentary group, as well as the Ombudsman and the National Assembly of </w:t>
      </w:r>
      <w:proofErr w:type="spellStart"/>
      <w:r w:rsidR="008E2771">
        <w:t>Gagauzia</w:t>
      </w:r>
      <w:proofErr w:type="spellEnd"/>
      <w:r w:rsidR="008E2771">
        <w:t xml:space="preserve"> have the right to lodge a petition before the Constitutional Court. He therefore argues that he </w:t>
      </w:r>
      <w:r w:rsidR="00B00C6F">
        <w:t>was</w:t>
      </w:r>
      <w:r w:rsidR="008E2771">
        <w:t xml:space="preserve"> unable to challenge </w:t>
      </w:r>
      <w:r w:rsidR="00825CCB">
        <w:t>law no. 1260</w:t>
      </w:r>
      <w:r w:rsidR="008E2771">
        <w:t xml:space="preserve"> before the Constitutional Court.</w:t>
      </w:r>
    </w:p>
    <w:p w14:paraId="477C803A" w14:textId="18CD4E9A" w:rsidR="008E2771" w:rsidRDefault="004556C5" w:rsidP="004556C5">
      <w:pPr>
        <w:pStyle w:val="SingleTxtG"/>
      </w:pPr>
      <w:r>
        <w:t>2.4</w:t>
      </w:r>
      <w:r>
        <w:tab/>
      </w:r>
      <w:r w:rsidR="008E2771">
        <w:t xml:space="preserve">The author appealed the decision of the Tribunal of </w:t>
      </w:r>
      <w:proofErr w:type="spellStart"/>
      <w:r w:rsidR="008E2771">
        <w:t>Buiucani</w:t>
      </w:r>
      <w:proofErr w:type="spellEnd"/>
      <w:r w:rsidR="008E2771">
        <w:t xml:space="preserve"> to the Appellate Court of Chisinau, before which he also submitted that the absence of an effective remedy breached his rights under article 2 (3) of the Covenant. On 2 February 2016 the Appellate Court upheld the decision of the first instance court</w:t>
      </w:r>
      <w:r w:rsidR="00B00C6F">
        <w:t>.</w:t>
      </w:r>
    </w:p>
    <w:p w14:paraId="2D8917CC" w14:textId="4CB5E5E5" w:rsidR="008E2771" w:rsidRPr="008E2771" w:rsidRDefault="006E3BB4" w:rsidP="006E3BB4">
      <w:pPr>
        <w:pStyle w:val="H23G"/>
      </w:pPr>
      <w:r>
        <w:tab/>
      </w:r>
      <w:r>
        <w:tab/>
      </w:r>
      <w:r w:rsidR="008E2771" w:rsidRPr="008E2771">
        <w:t>The complaint</w:t>
      </w:r>
    </w:p>
    <w:p w14:paraId="0694C236" w14:textId="7AB6BBA9" w:rsidR="008E2771" w:rsidRDefault="008E2771" w:rsidP="008E2771">
      <w:pPr>
        <w:pStyle w:val="SingleTxtG"/>
      </w:pPr>
      <w:r>
        <w:t>3.1</w:t>
      </w:r>
      <w:r>
        <w:tab/>
        <w:t xml:space="preserve">The author claims that his rights under article 26 </w:t>
      </w:r>
      <w:r w:rsidR="00E10A47">
        <w:t xml:space="preserve">of the Covenant </w:t>
      </w:r>
      <w:r>
        <w:t xml:space="preserve">have been violated due to discrimination </w:t>
      </w:r>
      <w:r w:rsidR="00B00C6F">
        <w:t>based on</w:t>
      </w:r>
      <w:r>
        <w:t xml:space="preserve"> nationality. He claims that there are no objective and reasonable grounds for denying him membership of the </w:t>
      </w:r>
      <w:r w:rsidR="00E10A47">
        <w:t xml:space="preserve">Moldovan </w:t>
      </w:r>
      <w:r>
        <w:t>Bar Association on grounds of nationality and that the prohibition for foreign nationals to practice law in Moldova is arbitrary and discriminatory.</w:t>
      </w:r>
    </w:p>
    <w:p w14:paraId="28997322" w14:textId="2289D073" w:rsidR="008E2771" w:rsidRDefault="008E2771" w:rsidP="008E2771">
      <w:pPr>
        <w:pStyle w:val="SingleTxtG"/>
      </w:pPr>
      <w:r>
        <w:t>3.2</w:t>
      </w:r>
      <w:r>
        <w:tab/>
        <w:t>The author also claims that his right to an effective remedy has been violated. He notes that</w:t>
      </w:r>
      <w:r w:rsidR="00E10A47">
        <w:t>,</w:t>
      </w:r>
      <w:r>
        <w:t xml:space="preserve"> under the Administrative Litigation Act</w:t>
      </w:r>
      <w:r w:rsidR="00E10A47">
        <w:t>,</w:t>
      </w:r>
      <w:r>
        <w:t xml:space="preserve"> courts cannot assess the legality of domestic legislation since this is </w:t>
      </w:r>
      <w:r w:rsidR="00CA2194">
        <w:t xml:space="preserve">within the </w:t>
      </w:r>
      <w:r w:rsidR="001A2AD9">
        <w:t>exclusive</w:t>
      </w:r>
      <w:r w:rsidR="00CA2194">
        <w:t xml:space="preserve"> </w:t>
      </w:r>
      <w:r>
        <w:t>competence of the Constitutional Court. He claims that</w:t>
      </w:r>
      <w:r w:rsidR="00E10A47">
        <w:t>,</w:t>
      </w:r>
      <w:r>
        <w:t xml:space="preserve"> under the Constitutional Court Act</w:t>
      </w:r>
      <w:r w:rsidR="00E10A47">
        <w:t>,</w:t>
      </w:r>
      <w:r>
        <w:t xml:space="preserve"> he is unable to challenge </w:t>
      </w:r>
      <w:r w:rsidR="00825CCB">
        <w:t>law no. 1260</w:t>
      </w:r>
      <w:r>
        <w:t xml:space="preserve"> before the Constitutional Court</w:t>
      </w:r>
      <w:r w:rsidR="00B00C6F">
        <w:t xml:space="preserve"> and therefore denied an effective remedy</w:t>
      </w:r>
      <w:r w:rsidR="0049680A">
        <w:t>.</w:t>
      </w:r>
    </w:p>
    <w:p w14:paraId="56C78B19" w14:textId="6969C2DF" w:rsidR="00086472" w:rsidRPr="00086472" w:rsidRDefault="00B152AD" w:rsidP="00B152AD">
      <w:pPr>
        <w:pStyle w:val="H23G"/>
      </w:pPr>
      <w:r>
        <w:tab/>
      </w:r>
      <w:r>
        <w:tab/>
      </w:r>
      <w:r w:rsidR="00086472" w:rsidRPr="00086472">
        <w:tab/>
        <w:t>State party's observations on admissibility and the merits</w:t>
      </w:r>
    </w:p>
    <w:p w14:paraId="4B41D711" w14:textId="18F0875B" w:rsidR="00F40BCC" w:rsidRDefault="00086472" w:rsidP="00F40BCC">
      <w:pPr>
        <w:pStyle w:val="SingleTxtG"/>
        <w:rPr>
          <w:bCs/>
        </w:rPr>
      </w:pPr>
      <w:r w:rsidRPr="00086472">
        <w:rPr>
          <w:lang w:val="x-none"/>
        </w:rPr>
        <w:t>4.1</w:t>
      </w:r>
      <w:r w:rsidRPr="00086472">
        <w:rPr>
          <w:lang w:val="x-none"/>
        </w:rPr>
        <w:tab/>
      </w:r>
      <w:r w:rsidRPr="00086472">
        <w:rPr>
          <w:bCs/>
        </w:rPr>
        <w:t xml:space="preserve">On </w:t>
      </w:r>
      <w:r w:rsidR="003A5A54">
        <w:rPr>
          <w:bCs/>
        </w:rPr>
        <w:t>22 December</w:t>
      </w:r>
      <w:r w:rsidR="00E66E2C">
        <w:rPr>
          <w:bCs/>
        </w:rPr>
        <w:t xml:space="preserve"> 2017</w:t>
      </w:r>
      <w:r w:rsidRPr="00086472">
        <w:rPr>
          <w:bCs/>
        </w:rPr>
        <w:t>, the State party submitted its observations on the admissibility</w:t>
      </w:r>
      <w:r w:rsidR="00E401CF">
        <w:rPr>
          <w:bCs/>
        </w:rPr>
        <w:t xml:space="preserve"> and the merits</w:t>
      </w:r>
      <w:r w:rsidRPr="00086472">
        <w:rPr>
          <w:bCs/>
        </w:rPr>
        <w:t xml:space="preserve"> of the communication. It submits that the communication should be found inadmissible </w:t>
      </w:r>
      <w:r w:rsidR="008E32F8">
        <w:rPr>
          <w:bCs/>
        </w:rPr>
        <w:t>as being manifestly ill-founded</w:t>
      </w:r>
      <w:r w:rsidRPr="00F45781">
        <w:rPr>
          <w:bCs/>
        </w:rPr>
        <w:t>.</w:t>
      </w:r>
      <w:r w:rsidRPr="00086472">
        <w:rPr>
          <w:bCs/>
        </w:rPr>
        <w:t xml:space="preserve"> </w:t>
      </w:r>
      <w:r w:rsidR="006C45FF">
        <w:rPr>
          <w:bCs/>
        </w:rPr>
        <w:t xml:space="preserve">The State party notes that </w:t>
      </w:r>
      <w:r w:rsidR="003A5A54">
        <w:rPr>
          <w:bCs/>
        </w:rPr>
        <w:t xml:space="preserve">under article 10 (1) of law no. 1260, </w:t>
      </w:r>
      <w:r w:rsidR="00F40BCC" w:rsidRPr="00F40BCC">
        <w:rPr>
          <w:bCs/>
        </w:rPr>
        <w:t xml:space="preserve">on the </w:t>
      </w:r>
      <w:r w:rsidR="00CA2194">
        <w:rPr>
          <w:bCs/>
        </w:rPr>
        <w:t>‘</w:t>
      </w:r>
      <w:r w:rsidR="00E401CF">
        <w:rPr>
          <w:bCs/>
        </w:rPr>
        <w:t>O</w:t>
      </w:r>
      <w:r w:rsidR="00F40BCC" w:rsidRPr="00F40BCC">
        <w:rPr>
          <w:bCs/>
        </w:rPr>
        <w:t xml:space="preserve">rganization of the </w:t>
      </w:r>
      <w:r w:rsidR="00E401CF">
        <w:rPr>
          <w:bCs/>
        </w:rPr>
        <w:t>L</w:t>
      </w:r>
      <w:r w:rsidR="00F40BCC" w:rsidRPr="00F40BCC">
        <w:rPr>
          <w:bCs/>
        </w:rPr>
        <w:t xml:space="preserve">egal </w:t>
      </w:r>
      <w:r w:rsidR="00E401CF">
        <w:rPr>
          <w:bCs/>
        </w:rPr>
        <w:t>P</w:t>
      </w:r>
      <w:r w:rsidR="00F40BCC" w:rsidRPr="00F40BCC">
        <w:rPr>
          <w:bCs/>
        </w:rPr>
        <w:t>rofession</w:t>
      </w:r>
      <w:r w:rsidR="00CA2194">
        <w:rPr>
          <w:bCs/>
        </w:rPr>
        <w:t>’</w:t>
      </w:r>
      <w:r w:rsidR="00F40BCC">
        <w:rPr>
          <w:bCs/>
        </w:rPr>
        <w:t xml:space="preserve">, </w:t>
      </w:r>
      <w:r w:rsidR="00CA2194">
        <w:rPr>
          <w:bCs/>
        </w:rPr>
        <w:t xml:space="preserve">dated </w:t>
      </w:r>
      <w:r w:rsidR="00CA2194" w:rsidRPr="00CA2194">
        <w:rPr>
          <w:bCs/>
        </w:rPr>
        <w:t>19 July 2002</w:t>
      </w:r>
      <w:r w:rsidR="00CA2194">
        <w:rPr>
          <w:bCs/>
        </w:rPr>
        <w:t xml:space="preserve">, </w:t>
      </w:r>
      <w:r w:rsidR="00F40BCC">
        <w:rPr>
          <w:bCs/>
        </w:rPr>
        <w:t xml:space="preserve">the </w:t>
      </w:r>
      <w:r w:rsidR="00F40BCC" w:rsidRPr="00F40BCC">
        <w:rPr>
          <w:bCs/>
        </w:rPr>
        <w:t>profession of lawyer can be practiced by a person who</w:t>
      </w:r>
      <w:r w:rsidR="00CA2194">
        <w:rPr>
          <w:bCs/>
        </w:rPr>
        <w:t>:</w:t>
      </w:r>
      <w:r w:rsidR="00F40BCC" w:rsidRPr="00F40BCC">
        <w:rPr>
          <w:bCs/>
        </w:rPr>
        <w:t xml:space="preserve"> is a citizen of the Republic of Moldova</w:t>
      </w:r>
      <w:r w:rsidR="00CA2194">
        <w:rPr>
          <w:bCs/>
        </w:rPr>
        <w:t>;</w:t>
      </w:r>
      <w:r w:rsidR="00F40BCC" w:rsidRPr="00F40BCC">
        <w:rPr>
          <w:bCs/>
        </w:rPr>
        <w:t xml:space="preserve"> has full capacity to practice</w:t>
      </w:r>
      <w:r w:rsidR="00CA2194">
        <w:rPr>
          <w:bCs/>
        </w:rPr>
        <w:t>;</w:t>
      </w:r>
      <w:r w:rsidR="00F40BCC" w:rsidRPr="00F40BCC">
        <w:rPr>
          <w:bCs/>
        </w:rPr>
        <w:t xml:space="preserve"> has a degree in law or its equivalent</w:t>
      </w:r>
      <w:r w:rsidR="00CA2194">
        <w:rPr>
          <w:bCs/>
        </w:rPr>
        <w:t>;</w:t>
      </w:r>
      <w:r w:rsidR="00F40BCC" w:rsidRPr="00F40BCC">
        <w:rPr>
          <w:bCs/>
        </w:rPr>
        <w:t xml:space="preserve"> has an impeccable reputation</w:t>
      </w:r>
      <w:r w:rsidR="00CA2194">
        <w:rPr>
          <w:bCs/>
        </w:rPr>
        <w:t>;</w:t>
      </w:r>
      <w:r w:rsidR="00F40BCC" w:rsidRPr="00F40BCC">
        <w:rPr>
          <w:bCs/>
        </w:rPr>
        <w:t xml:space="preserve"> and has been admitted to the profession of lawyer after passing the qualification examination.</w:t>
      </w:r>
      <w:r w:rsidR="00D91759" w:rsidRPr="00D91759">
        <w:t xml:space="preserve"> </w:t>
      </w:r>
      <w:r w:rsidR="004502D5">
        <w:rPr>
          <w:bCs/>
        </w:rPr>
        <w:t>Under article 6 (1) of law no. 1260, l</w:t>
      </w:r>
      <w:r w:rsidR="00D91759" w:rsidRPr="00D91759">
        <w:rPr>
          <w:bCs/>
        </w:rPr>
        <w:t xml:space="preserve">awyers </w:t>
      </w:r>
      <w:r w:rsidR="004502D5">
        <w:rPr>
          <w:bCs/>
        </w:rPr>
        <w:t xml:space="preserve">who are not nationals of the Republic of Moldova </w:t>
      </w:r>
      <w:r w:rsidR="00D91759" w:rsidRPr="00D91759">
        <w:rPr>
          <w:bCs/>
        </w:rPr>
        <w:t xml:space="preserve">may practice law in the </w:t>
      </w:r>
      <w:r w:rsidR="004502D5">
        <w:rPr>
          <w:bCs/>
        </w:rPr>
        <w:t>State party</w:t>
      </w:r>
      <w:r w:rsidR="00D91759" w:rsidRPr="00D91759">
        <w:rPr>
          <w:bCs/>
        </w:rPr>
        <w:t xml:space="preserve"> if they meet the </w:t>
      </w:r>
      <w:r w:rsidR="00E10A47">
        <w:rPr>
          <w:bCs/>
        </w:rPr>
        <w:t xml:space="preserve">remaining </w:t>
      </w:r>
      <w:r w:rsidR="00D91759" w:rsidRPr="00D91759">
        <w:rPr>
          <w:bCs/>
        </w:rPr>
        <w:t xml:space="preserve">conditions provided by </w:t>
      </w:r>
      <w:r w:rsidR="00E10A47">
        <w:rPr>
          <w:bCs/>
        </w:rPr>
        <w:t>article 10</w:t>
      </w:r>
      <w:r w:rsidR="000A5EF6">
        <w:rPr>
          <w:bCs/>
        </w:rPr>
        <w:t xml:space="preserve"> </w:t>
      </w:r>
      <w:r w:rsidR="00E10A47">
        <w:rPr>
          <w:bCs/>
        </w:rPr>
        <w:t>(1)</w:t>
      </w:r>
      <w:r w:rsidR="00D91759" w:rsidRPr="00D91759">
        <w:rPr>
          <w:bCs/>
        </w:rPr>
        <w:t>.</w:t>
      </w:r>
      <w:r w:rsidR="00D91759" w:rsidRPr="00D91759">
        <w:t xml:space="preserve"> </w:t>
      </w:r>
      <w:r w:rsidR="00CA2194">
        <w:t>In this regard</w:t>
      </w:r>
      <w:r w:rsidR="00E10A47">
        <w:t>,</w:t>
      </w:r>
      <w:r w:rsidR="00CA2194">
        <w:t xml:space="preserve"> the State party notes that a</w:t>
      </w:r>
      <w:r w:rsidR="004502D5">
        <w:t xml:space="preserve">rticle 6 (2) </w:t>
      </w:r>
      <w:r w:rsidR="00E401CF">
        <w:t>of law no. 12</w:t>
      </w:r>
      <w:r w:rsidR="008F0E15">
        <w:t>60</w:t>
      </w:r>
      <w:r w:rsidR="00E401CF">
        <w:t xml:space="preserve"> </w:t>
      </w:r>
      <w:r w:rsidR="004502D5">
        <w:t xml:space="preserve">stipulates that a </w:t>
      </w:r>
      <w:r w:rsidR="00D91759" w:rsidRPr="00D91759">
        <w:rPr>
          <w:bCs/>
        </w:rPr>
        <w:t xml:space="preserve">lawyer </w:t>
      </w:r>
      <w:r w:rsidR="004502D5">
        <w:rPr>
          <w:bCs/>
        </w:rPr>
        <w:t xml:space="preserve">who is not a national of the State party </w:t>
      </w:r>
      <w:r w:rsidR="00D91759" w:rsidRPr="00D91759">
        <w:rPr>
          <w:bCs/>
        </w:rPr>
        <w:t xml:space="preserve">can practice law in the </w:t>
      </w:r>
      <w:r w:rsidR="004502D5">
        <w:rPr>
          <w:bCs/>
        </w:rPr>
        <w:t xml:space="preserve">State party if they meet the qualification criteria in their </w:t>
      </w:r>
      <w:r w:rsidR="00D91759" w:rsidRPr="00D91759">
        <w:rPr>
          <w:bCs/>
        </w:rPr>
        <w:t xml:space="preserve">country of origin and </w:t>
      </w:r>
      <w:r w:rsidR="004502D5">
        <w:rPr>
          <w:bCs/>
        </w:rPr>
        <w:t>are</w:t>
      </w:r>
      <w:r w:rsidR="00D91759" w:rsidRPr="00D91759">
        <w:rPr>
          <w:bCs/>
        </w:rPr>
        <w:t xml:space="preserve"> registered in the special register kept by the Council of the Union of Lawyers of the Republic of Moldova.</w:t>
      </w:r>
      <w:r w:rsidR="004502D5" w:rsidRPr="004502D5">
        <w:t xml:space="preserve"> </w:t>
      </w:r>
      <w:r w:rsidR="004502D5">
        <w:t xml:space="preserve">Under article 6 (3) a </w:t>
      </w:r>
      <w:r w:rsidR="004502D5" w:rsidRPr="004502D5">
        <w:rPr>
          <w:bCs/>
        </w:rPr>
        <w:t xml:space="preserve">lawyer </w:t>
      </w:r>
      <w:r w:rsidR="004502D5">
        <w:rPr>
          <w:bCs/>
        </w:rPr>
        <w:t xml:space="preserve">who is not a national of the State party </w:t>
      </w:r>
      <w:r w:rsidR="004502D5" w:rsidRPr="004502D5">
        <w:rPr>
          <w:bCs/>
        </w:rPr>
        <w:t xml:space="preserve">cannot represent the interests of natural or legal persons before </w:t>
      </w:r>
      <w:r w:rsidR="004502D5">
        <w:rPr>
          <w:bCs/>
        </w:rPr>
        <w:t>domestic</w:t>
      </w:r>
      <w:r w:rsidR="004502D5" w:rsidRPr="004502D5">
        <w:rPr>
          <w:bCs/>
        </w:rPr>
        <w:t xml:space="preserve"> courts and in relations with </w:t>
      </w:r>
      <w:r w:rsidR="004502D5" w:rsidRPr="004502D5">
        <w:rPr>
          <w:bCs/>
        </w:rPr>
        <w:lastRenderedPageBreak/>
        <w:t xml:space="preserve">other public authorities, except for international arbitration. When the interests of the client so require or at </w:t>
      </w:r>
      <w:r w:rsidR="004502D5">
        <w:rPr>
          <w:bCs/>
        </w:rPr>
        <w:t>the</w:t>
      </w:r>
      <w:r w:rsidR="00E401CF">
        <w:rPr>
          <w:bCs/>
        </w:rPr>
        <w:t xml:space="preserve"> client’s</w:t>
      </w:r>
      <w:r w:rsidR="004502D5">
        <w:rPr>
          <w:bCs/>
        </w:rPr>
        <w:t xml:space="preserve"> </w:t>
      </w:r>
      <w:r w:rsidR="004502D5" w:rsidRPr="004502D5">
        <w:rPr>
          <w:bCs/>
        </w:rPr>
        <w:t xml:space="preserve">request, a lawyer who is not a national of the State party may assist </w:t>
      </w:r>
      <w:r w:rsidR="004502D5">
        <w:rPr>
          <w:bCs/>
        </w:rPr>
        <w:t>a</w:t>
      </w:r>
      <w:r w:rsidR="004502D5" w:rsidRPr="004502D5">
        <w:rPr>
          <w:bCs/>
        </w:rPr>
        <w:t xml:space="preserve"> lawyer </w:t>
      </w:r>
      <w:r w:rsidR="004502D5">
        <w:rPr>
          <w:bCs/>
        </w:rPr>
        <w:t>who is a national of the State party.</w:t>
      </w:r>
    </w:p>
    <w:p w14:paraId="5BC60733" w14:textId="03AD1341" w:rsidR="0008246F" w:rsidRDefault="0008246F" w:rsidP="00F40BCC">
      <w:pPr>
        <w:pStyle w:val="SingleTxtG"/>
        <w:rPr>
          <w:bCs/>
        </w:rPr>
      </w:pPr>
      <w:r>
        <w:rPr>
          <w:bCs/>
        </w:rPr>
        <w:t>4.2</w:t>
      </w:r>
      <w:r>
        <w:rPr>
          <w:bCs/>
        </w:rPr>
        <w:tab/>
      </w:r>
      <w:bookmarkStart w:id="1" w:name="_Hlk100241490"/>
      <w:r>
        <w:rPr>
          <w:bCs/>
        </w:rPr>
        <w:t xml:space="preserve">The State party </w:t>
      </w:r>
      <w:r w:rsidR="00E10A47">
        <w:rPr>
          <w:bCs/>
        </w:rPr>
        <w:t xml:space="preserve">refutes </w:t>
      </w:r>
      <w:r>
        <w:rPr>
          <w:bCs/>
        </w:rPr>
        <w:t xml:space="preserve">the author’s claim that the </w:t>
      </w:r>
      <w:r w:rsidR="00CA2194">
        <w:rPr>
          <w:bCs/>
        </w:rPr>
        <w:t xml:space="preserve">citizenship </w:t>
      </w:r>
      <w:r>
        <w:rPr>
          <w:bCs/>
        </w:rPr>
        <w:t>requirement for admission to the Bar amounts to a violation of article 26 of the Covenant.</w:t>
      </w:r>
      <w:r w:rsidR="00852F8B">
        <w:rPr>
          <w:bCs/>
        </w:rPr>
        <w:t xml:space="preserve"> It notes that article 6 of law no. 12</w:t>
      </w:r>
      <w:r w:rsidR="008F0E15">
        <w:rPr>
          <w:bCs/>
        </w:rPr>
        <w:t>60</w:t>
      </w:r>
      <w:r w:rsidR="00852F8B">
        <w:rPr>
          <w:bCs/>
        </w:rPr>
        <w:t xml:space="preserve"> </w:t>
      </w:r>
      <w:r w:rsidR="00852F8B" w:rsidRPr="00852F8B">
        <w:rPr>
          <w:bCs/>
        </w:rPr>
        <w:t xml:space="preserve">provides special provisions applicable to foreign citizens who would like to practice the profession of lawyer </w:t>
      </w:r>
      <w:r w:rsidR="00852F8B">
        <w:rPr>
          <w:bCs/>
        </w:rPr>
        <w:t>in the State party</w:t>
      </w:r>
      <w:r w:rsidR="00852F8B" w:rsidRPr="00852F8B">
        <w:rPr>
          <w:bCs/>
        </w:rPr>
        <w:t xml:space="preserve">, namely </w:t>
      </w:r>
      <w:r w:rsidR="00852F8B">
        <w:rPr>
          <w:bCs/>
        </w:rPr>
        <w:t>qualification to practice law in their</w:t>
      </w:r>
      <w:r w:rsidR="00852F8B" w:rsidRPr="00852F8B">
        <w:rPr>
          <w:bCs/>
        </w:rPr>
        <w:t xml:space="preserve"> country of origin and to be registered</w:t>
      </w:r>
      <w:r w:rsidR="00852F8B" w:rsidRPr="00852F8B">
        <w:rPr>
          <w:rFonts w:eastAsia="Times New Roman"/>
          <w:bCs/>
          <w:lang w:eastAsia="en-US"/>
        </w:rPr>
        <w:t xml:space="preserve"> </w:t>
      </w:r>
      <w:r w:rsidR="00852F8B">
        <w:rPr>
          <w:rFonts w:eastAsia="Times New Roman"/>
          <w:bCs/>
          <w:lang w:eastAsia="en-US"/>
        </w:rPr>
        <w:t xml:space="preserve">in the </w:t>
      </w:r>
      <w:r w:rsidR="00852F8B" w:rsidRPr="00852F8B">
        <w:rPr>
          <w:bCs/>
        </w:rPr>
        <w:t>register kept by the Council of the Union of Lawyers.</w:t>
      </w:r>
      <w:r w:rsidR="00F70D17" w:rsidRPr="00F70D17">
        <w:t xml:space="preserve"> </w:t>
      </w:r>
      <w:r w:rsidR="00F70D17">
        <w:t>It t</w:t>
      </w:r>
      <w:r w:rsidR="00F70D17" w:rsidRPr="00F70D17">
        <w:rPr>
          <w:bCs/>
        </w:rPr>
        <w:t>herefore</w:t>
      </w:r>
      <w:r w:rsidR="00F70D17">
        <w:rPr>
          <w:bCs/>
        </w:rPr>
        <w:t xml:space="preserve"> submits that</w:t>
      </w:r>
      <w:r w:rsidR="00F70D17" w:rsidRPr="00F70D17">
        <w:rPr>
          <w:bCs/>
        </w:rPr>
        <w:t xml:space="preserve"> the </w:t>
      </w:r>
      <w:r w:rsidR="00F70D17">
        <w:rPr>
          <w:bCs/>
        </w:rPr>
        <w:t>author’s</w:t>
      </w:r>
      <w:r w:rsidR="00F70D17" w:rsidRPr="00F70D17">
        <w:rPr>
          <w:bCs/>
        </w:rPr>
        <w:t xml:space="preserve"> </w:t>
      </w:r>
      <w:r w:rsidR="00F70D17">
        <w:rPr>
          <w:bCs/>
        </w:rPr>
        <w:t>claims</w:t>
      </w:r>
      <w:r w:rsidR="00F70D17" w:rsidRPr="00F70D17">
        <w:rPr>
          <w:bCs/>
        </w:rPr>
        <w:t xml:space="preserve"> that he would have no opportunity to practice law </w:t>
      </w:r>
      <w:r w:rsidR="00F70D17">
        <w:rPr>
          <w:bCs/>
        </w:rPr>
        <w:t xml:space="preserve">in the State party </w:t>
      </w:r>
      <w:r w:rsidR="00F70D17" w:rsidRPr="00F70D17">
        <w:rPr>
          <w:bCs/>
        </w:rPr>
        <w:t xml:space="preserve">are unfounded, as are </w:t>
      </w:r>
      <w:r w:rsidR="00F70D17">
        <w:rPr>
          <w:bCs/>
        </w:rPr>
        <w:t>his claims</w:t>
      </w:r>
      <w:r w:rsidR="00F70D17" w:rsidRPr="00F70D17">
        <w:rPr>
          <w:bCs/>
        </w:rPr>
        <w:t xml:space="preserve"> of his alleged discrimination.</w:t>
      </w:r>
    </w:p>
    <w:bookmarkEnd w:id="1"/>
    <w:p w14:paraId="19571A3A" w14:textId="00F3679C" w:rsidR="005D5648" w:rsidRDefault="002D1BCE" w:rsidP="008B5C7A">
      <w:pPr>
        <w:pStyle w:val="SingleTxtG"/>
        <w:rPr>
          <w:bCs/>
        </w:rPr>
      </w:pPr>
      <w:r>
        <w:rPr>
          <w:bCs/>
        </w:rPr>
        <w:t>4.3</w:t>
      </w:r>
      <w:r>
        <w:rPr>
          <w:bCs/>
        </w:rPr>
        <w:tab/>
        <w:t xml:space="preserve">The State party refers to the jurisprudence of the European Court of Human Rights in </w:t>
      </w:r>
      <w:proofErr w:type="spellStart"/>
      <w:r w:rsidRPr="009D0538">
        <w:rPr>
          <w:bCs/>
          <w:i/>
          <w:iCs/>
        </w:rPr>
        <w:t>Bigaeva</w:t>
      </w:r>
      <w:proofErr w:type="spellEnd"/>
      <w:r w:rsidRPr="009D0538">
        <w:rPr>
          <w:bCs/>
          <w:i/>
          <w:iCs/>
        </w:rPr>
        <w:t xml:space="preserve"> v. Greece</w:t>
      </w:r>
      <w:r>
        <w:rPr>
          <w:rStyle w:val="FootnoteReference"/>
          <w:bCs/>
        </w:rPr>
        <w:footnoteReference w:id="4"/>
      </w:r>
      <w:r w:rsidR="009D0538">
        <w:rPr>
          <w:bCs/>
        </w:rPr>
        <w:t xml:space="preserve"> in which the question of citizenship for </w:t>
      </w:r>
      <w:r w:rsidR="009D0538" w:rsidRPr="009D0538">
        <w:rPr>
          <w:bCs/>
        </w:rPr>
        <w:t xml:space="preserve">access to the legal profession </w:t>
      </w:r>
      <w:r w:rsidR="009D0538">
        <w:rPr>
          <w:bCs/>
        </w:rPr>
        <w:t>was also raised</w:t>
      </w:r>
      <w:r w:rsidR="009D0538" w:rsidRPr="009D0538">
        <w:rPr>
          <w:bCs/>
        </w:rPr>
        <w:t xml:space="preserve"> and in which the Court found that </w:t>
      </w:r>
      <w:r w:rsidR="005D5648">
        <w:rPr>
          <w:bCs/>
        </w:rPr>
        <w:t>S</w:t>
      </w:r>
      <w:r w:rsidR="009D0538" w:rsidRPr="009D0538">
        <w:rPr>
          <w:bCs/>
        </w:rPr>
        <w:t xml:space="preserve">tates have a certain margin of appreciation in determining whether and to </w:t>
      </w:r>
      <w:r w:rsidR="009D0538" w:rsidRPr="00F05B99">
        <w:rPr>
          <w:bCs/>
        </w:rPr>
        <w:t>what extent differences between otherwise similar situations justify distinctions in treatment</w:t>
      </w:r>
      <w:r w:rsidR="009064E9">
        <w:rPr>
          <w:bCs/>
        </w:rPr>
        <w:t>, and that</w:t>
      </w:r>
      <w:r w:rsidR="009D0538" w:rsidRPr="00F05B99">
        <w:rPr>
          <w:bCs/>
        </w:rPr>
        <w:t xml:space="preserve"> the </w:t>
      </w:r>
      <w:r w:rsidR="005D5648" w:rsidRPr="00F05B99">
        <w:rPr>
          <w:bCs/>
        </w:rPr>
        <w:t xml:space="preserve">European </w:t>
      </w:r>
      <w:r w:rsidR="009D0538" w:rsidRPr="00F05B99">
        <w:rPr>
          <w:bCs/>
        </w:rPr>
        <w:t>Convention</w:t>
      </w:r>
      <w:r w:rsidR="005D5648" w:rsidRPr="00F05B99">
        <w:rPr>
          <w:bCs/>
        </w:rPr>
        <w:t xml:space="preserve"> on Human Rights</w:t>
      </w:r>
      <w:r w:rsidR="009D0538" w:rsidRPr="00F05B99">
        <w:rPr>
          <w:bCs/>
        </w:rPr>
        <w:t xml:space="preserve"> does not guarantee the freedom to exercise a particular profession.</w:t>
      </w:r>
      <w:r w:rsidR="009D0538" w:rsidRPr="009D0538">
        <w:rPr>
          <w:bCs/>
        </w:rPr>
        <w:t xml:space="preserve"> </w:t>
      </w:r>
    </w:p>
    <w:p w14:paraId="518BD3A8" w14:textId="04B08C09" w:rsidR="009D0538" w:rsidRPr="009D0538" w:rsidRDefault="005D5648">
      <w:pPr>
        <w:pStyle w:val="SingleTxtG"/>
        <w:rPr>
          <w:bCs/>
        </w:rPr>
      </w:pPr>
      <w:r>
        <w:rPr>
          <w:bCs/>
        </w:rPr>
        <w:t>4.4</w:t>
      </w:r>
      <w:r>
        <w:rPr>
          <w:bCs/>
        </w:rPr>
        <w:tab/>
      </w:r>
      <w:r w:rsidR="00E1514B">
        <w:rPr>
          <w:bCs/>
        </w:rPr>
        <w:t xml:space="preserve">The State party </w:t>
      </w:r>
      <w:r>
        <w:rPr>
          <w:bCs/>
        </w:rPr>
        <w:t xml:space="preserve">further </w:t>
      </w:r>
      <w:r w:rsidR="00E1514B">
        <w:rPr>
          <w:bCs/>
        </w:rPr>
        <w:t>argues that a</w:t>
      </w:r>
      <w:r w:rsidR="00E1514B" w:rsidRPr="00E1514B">
        <w:rPr>
          <w:bCs/>
        </w:rPr>
        <w:t xml:space="preserve"> lawyer exercises a liberal profession</w:t>
      </w:r>
      <w:r w:rsidR="00E1514B">
        <w:rPr>
          <w:bCs/>
        </w:rPr>
        <w:t xml:space="preserve"> in the</w:t>
      </w:r>
      <w:r w:rsidR="00E1514B" w:rsidRPr="00E1514B">
        <w:rPr>
          <w:bCs/>
        </w:rPr>
        <w:t xml:space="preserve"> service of the public interest. </w:t>
      </w:r>
      <w:r w:rsidR="00E1514B">
        <w:rPr>
          <w:bCs/>
        </w:rPr>
        <w:t>It argues that</w:t>
      </w:r>
      <w:r w:rsidR="009064E9">
        <w:rPr>
          <w:bCs/>
        </w:rPr>
        <w:t>,</w:t>
      </w:r>
      <w:r w:rsidR="00E1514B">
        <w:rPr>
          <w:bCs/>
        </w:rPr>
        <w:t xml:space="preserve"> e</w:t>
      </w:r>
      <w:r w:rsidR="00E1514B" w:rsidRPr="00E1514B">
        <w:rPr>
          <w:bCs/>
        </w:rPr>
        <w:t xml:space="preserve">ven if this </w:t>
      </w:r>
      <w:r w:rsidR="00E1514B">
        <w:rPr>
          <w:bCs/>
        </w:rPr>
        <w:t>may</w:t>
      </w:r>
      <w:r w:rsidR="00E1514B" w:rsidRPr="00E1514B">
        <w:rPr>
          <w:bCs/>
        </w:rPr>
        <w:t xml:space="preserve"> not </w:t>
      </w:r>
      <w:r w:rsidR="00E1514B">
        <w:rPr>
          <w:bCs/>
        </w:rPr>
        <w:t xml:space="preserve">be </w:t>
      </w:r>
      <w:r w:rsidR="00E1514B" w:rsidRPr="00E1514B">
        <w:rPr>
          <w:bCs/>
        </w:rPr>
        <w:t>comparable to an activity carried out in public service, the lawyer is an auxiliary of justice, which in</w:t>
      </w:r>
      <w:r>
        <w:rPr>
          <w:bCs/>
        </w:rPr>
        <w:t>cludes</w:t>
      </w:r>
      <w:r w:rsidR="00E1514B" w:rsidRPr="00E1514B">
        <w:rPr>
          <w:bCs/>
        </w:rPr>
        <w:t xml:space="preserve"> specific obligations.</w:t>
      </w:r>
      <w:r w:rsidR="00E1514B" w:rsidRPr="00E1514B">
        <w:t xml:space="preserve"> </w:t>
      </w:r>
      <w:r w:rsidR="00E1514B">
        <w:rPr>
          <w:bCs/>
        </w:rPr>
        <w:t>It argues that</w:t>
      </w:r>
      <w:r w:rsidR="009064E9">
        <w:rPr>
          <w:bCs/>
        </w:rPr>
        <w:t>,</w:t>
      </w:r>
      <w:r w:rsidR="00E1514B">
        <w:rPr>
          <w:bCs/>
        </w:rPr>
        <w:t xml:space="preserve"> c</w:t>
      </w:r>
      <w:r w:rsidR="00E1514B" w:rsidRPr="00E1514B">
        <w:rPr>
          <w:bCs/>
        </w:rPr>
        <w:t xml:space="preserve">onsequently, </w:t>
      </w:r>
      <w:r w:rsidR="00E1514B">
        <w:rPr>
          <w:bCs/>
        </w:rPr>
        <w:t>States parties</w:t>
      </w:r>
      <w:r w:rsidR="00E1514B" w:rsidRPr="00E1514B">
        <w:rPr>
          <w:bCs/>
        </w:rPr>
        <w:t xml:space="preserve"> have a margin of discretion in defining the conditions </w:t>
      </w:r>
      <w:r>
        <w:rPr>
          <w:bCs/>
        </w:rPr>
        <w:t>for practicing law in its territory</w:t>
      </w:r>
      <w:r w:rsidR="00E1514B" w:rsidRPr="00E1514B">
        <w:rPr>
          <w:bCs/>
        </w:rPr>
        <w:t xml:space="preserve">, including </w:t>
      </w:r>
      <w:r>
        <w:rPr>
          <w:bCs/>
        </w:rPr>
        <w:t xml:space="preserve">the question as to whether </w:t>
      </w:r>
      <w:r w:rsidR="0058779E">
        <w:rPr>
          <w:bCs/>
        </w:rPr>
        <w:t xml:space="preserve">citizenship </w:t>
      </w:r>
      <w:r>
        <w:rPr>
          <w:bCs/>
        </w:rPr>
        <w:t>should be</w:t>
      </w:r>
      <w:r w:rsidR="00E1514B" w:rsidRPr="00E1514B">
        <w:rPr>
          <w:bCs/>
        </w:rPr>
        <w:t xml:space="preserve"> a requirement in this respect. </w:t>
      </w:r>
      <w:r>
        <w:rPr>
          <w:bCs/>
        </w:rPr>
        <w:t>L</w:t>
      </w:r>
      <w:r w:rsidR="00E1514B" w:rsidRPr="00E1514B">
        <w:rPr>
          <w:bCs/>
        </w:rPr>
        <w:t xml:space="preserve">egislation excluding </w:t>
      </w:r>
      <w:r w:rsidR="00E1514B">
        <w:rPr>
          <w:bCs/>
        </w:rPr>
        <w:t>non-</w:t>
      </w:r>
      <w:r w:rsidR="00E1514B" w:rsidRPr="00E1514B">
        <w:rPr>
          <w:bCs/>
        </w:rPr>
        <w:t xml:space="preserve">nationals from </w:t>
      </w:r>
      <w:r>
        <w:rPr>
          <w:bCs/>
        </w:rPr>
        <w:t>practicing law in a State party</w:t>
      </w:r>
      <w:r w:rsidR="00E1514B" w:rsidRPr="00E1514B">
        <w:rPr>
          <w:bCs/>
        </w:rPr>
        <w:t xml:space="preserve"> cannot </w:t>
      </w:r>
      <w:r w:rsidR="00E1514B">
        <w:rPr>
          <w:bCs/>
        </w:rPr>
        <w:t>therefore</w:t>
      </w:r>
      <w:r>
        <w:rPr>
          <w:bCs/>
        </w:rPr>
        <w:t>,</w:t>
      </w:r>
      <w:r w:rsidR="00E1514B">
        <w:rPr>
          <w:bCs/>
        </w:rPr>
        <w:t xml:space="preserve"> </w:t>
      </w:r>
      <w:r w:rsidR="00E1514B" w:rsidRPr="00E1514B">
        <w:rPr>
          <w:bCs/>
        </w:rPr>
        <w:t>in</w:t>
      </w:r>
      <w:r>
        <w:rPr>
          <w:bCs/>
        </w:rPr>
        <w:t xml:space="preserve"> and of itself,</w:t>
      </w:r>
      <w:r w:rsidR="00E1514B" w:rsidRPr="00E1514B">
        <w:rPr>
          <w:bCs/>
        </w:rPr>
        <w:t xml:space="preserve"> </w:t>
      </w:r>
      <w:r>
        <w:rPr>
          <w:bCs/>
        </w:rPr>
        <w:t>amount to</w:t>
      </w:r>
      <w:r w:rsidR="00E1514B" w:rsidRPr="00E1514B">
        <w:rPr>
          <w:bCs/>
        </w:rPr>
        <w:t xml:space="preserve"> a discriminatory distinction.</w:t>
      </w:r>
      <w:r w:rsidR="009C4FC0" w:rsidRPr="009C4FC0">
        <w:t xml:space="preserve"> </w:t>
      </w:r>
      <w:r w:rsidR="009C4FC0">
        <w:rPr>
          <w:bCs/>
        </w:rPr>
        <w:t>It argues that State party authorities are</w:t>
      </w:r>
      <w:r>
        <w:rPr>
          <w:bCs/>
        </w:rPr>
        <w:t xml:space="preserve"> therefore</w:t>
      </w:r>
      <w:r w:rsidR="009C4FC0">
        <w:rPr>
          <w:bCs/>
        </w:rPr>
        <w:t xml:space="preserve"> </w:t>
      </w:r>
      <w:r w:rsidR="009C4FC0" w:rsidRPr="009C4FC0">
        <w:rPr>
          <w:bCs/>
        </w:rPr>
        <w:t>entitled to impose conditions on the exercise of th</w:t>
      </w:r>
      <w:r>
        <w:rPr>
          <w:bCs/>
        </w:rPr>
        <w:t>e</w:t>
      </w:r>
      <w:r w:rsidR="009C4FC0" w:rsidRPr="009C4FC0">
        <w:rPr>
          <w:bCs/>
        </w:rPr>
        <w:t xml:space="preserve"> profession</w:t>
      </w:r>
      <w:r>
        <w:rPr>
          <w:bCs/>
        </w:rPr>
        <w:t xml:space="preserve"> of lawyer</w:t>
      </w:r>
      <w:r w:rsidR="009C4FC0" w:rsidRPr="009C4FC0">
        <w:rPr>
          <w:bCs/>
        </w:rPr>
        <w:t xml:space="preserve">, in particular with regard to nationality, and to exclude </w:t>
      </w:r>
      <w:r w:rsidR="009C4FC0">
        <w:rPr>
          <w:bCs/>
        </w:rPr>
        <w:t>non-nationals</w:t>
      </w:r>
      <w:r w:rsidR="009C4FC0" w:rsidRPr="009C4FC0">
        <w:rPr>
          <w:bCs/>
        </w:rPr>
        <w:t xml:space="preserve"> from it.</w:t>
      </w:r>
      <w:r w:rsidR="009C4FC0">
        <w:rPr>
          <w:bCs/>
        </w:rPr>
        <w:t xml:space="preserve"> </w:t>
      </w:r>
      <w:r w:rsidR="0058779E">
        <w:rPr>
          <w:bCs/>
        </w:rPr>
        <w:t>The State party</w:t>
      </w:r>
      <w:r w:rsidR="008B5C7A">
        <w:rPr>
          <w:bCs/>
        </w:rPr>
        <w:t xml:space="preserve"> further submits that the</w:t>
      </w:r>
      <w:r w:rsidR="008B5C7A" w:rsidRPr="008B5C7A">
        <w:rPr>
          <w:bCs/>
        </w:rPr>
        <w:t xml:space="preserve"> </w:t>
      </w:r>
      <w:r w:rsidR="008B5C7A">
        <w:rPr>
          <w:bCs/>
        </w:rPr>
        <w:t xml:space="preserve">conditions to </w:t>
      </w:r>
      <w:r>
        <w:rPr>
          <w:bCs/>
        </w:rPr>
        <w:t>practice law</w:t>
      </w:r>
      <w:r w:rsidR="008B5C7A">
        <w:rPr>
          <w:bCs/>
        </w:rPr>
        <w:t xml:space="preserve"> in the State party are </w:t>
      </w:r>
      <w:r w:rsidR="008B5C7A" w:rsidRPr="008B5C7A">
        <w:rPr>
          <w:bCs/>
        </w:rPr>
        <w:t xml:space="preserve">in no way arbitrary and corresponded to the legal provisions to that effect. </w:t>
      </w:r>
    </w:p>
    <w:p w14:paraId="2BF7AB76" w14:textId="44FDD57F" w:rsidR="007577B1" w:rsidRPr="007577B1" w:rsidRDefault="004B0B43" w:rsidP="004B0B43">
      <w:pPr>
        <w:pStyle w:val="H23G"/>
      </w:pPr>
      <w:r>
        <w:tab/>
      </w:r>
      <w:r>
        <w:tab/>
      </w:r>
      <w:r w:rsidR="00A925EC">
        <w:t>Author’</w:t>
      </w:r>
      <w:r w:rsidR="003A5A54">
        <w:t>s</w:t>
      </w:r>
      <w:r w:rsidR="007577B1" w:rsidRPr="007577B1">
        <w:t xml:space="preserve"> comments on the State party’s observations</w:t>
      </w:r>
    </w:p>
    <w:p w14:paraId="577995F2" w14:textId="1FDEBFB5" w:rsidR="007577B1" w:rsidRPr="007577B1" w:rsidRDefault="007577B1" w:rsidP="007577B1">
      <w:pPr>
        <w:pStyle w:val="SingleTxtG"/>
        <w:rPr>
          <w:bCs/>
        </w:rPr>
      </w:pPr>
      <w:r w:rsidRPr="007577B1">
        <w:rPr>
          <w:bCs/>
        </w:rPr>
        <w:t>5.1</w:t>
      </w:r>
      <w:r w:rsidRPr="007577B1">
        <w:rPr>
          <w:bCs/>
        </w:rPr>
        <w:tab/>
        <w:t xml:space="preserve">On </w:t>
      </w:r>
      <w:r w:rsidR="005B702D">
        <w:rPr>
          <w:bCs/>
        </w:rPr>
        <w:t>16 June 2018</w:t>
      </w:r>
      <w:r w:rsidRPr="007577B1">
        <w:rPr>
          <w:bCs/>
        </w:rPr>
        <w:t>, the author</w:t>
      </w:r>
      <w:r w:rsidR="005B702D">
        <w:rPr>
          <w:bCs/>
        </w:rPr>
        <w:t xml:space="preserve"> </w:t>
      </w:r>
      <w:r w:rsidRPr="007577B1">
        <w:rPr>
          <w:bCs/>
        </w:rPr>
        <w:t xml:space="preserve">submitted </w:t>
      </w:r>
      <w:r w:rsidR="005B702D">
        <w:rPr>
          <w:bCs/>
        </w:rPr>
        <w:t xml:space="preserve">his </w:t>
      </w:r>
      <w:r w:rsidRPr="007577B1">
        <w:rPr>
          <w:bCs/>
        </w:rPr>
        <w:t xml:space="preserve">comments on the </w:t>
      </w:r>
      <w:r w:rsidR="001C1340">
        <w:rPr>
          <w:bCs/>
        </w:rPr>
        <w:t xml:space="preserve">State party’s observations. </w:t>
      </w:r>
      <w:r w:rsidR="005B702D">
        <w:rPr>
          <w:bCs/>
        </w:rPr>
        <w:t>He</w:t>
      </w:r>
      <w:r w:rsidRPr="007577B1">
        <w:rPr>
          <w:bCs/>
        </w:rPr>
        <w:t xml:space="preserve"> maintain</w:t>
      </w:r>
      <w:r w:rsidR="005B702D">
        <w:rPr>
          <w:bCs/>
        </w:rPr>
        <w:t>s</w:t>
      </w:r>
      <w:r w:rsidRPr="007577B1">
        <w:rPr>
          <w:bCs/>
        </w:rPr>
        <w:t xml:space="preserve"> that the communication is admissible.</w:t>
      </w:r>
    </w:p>
    <w:p w14:paraId="5D76BE38" w14:textId="1C0E7F68" w:rsidR="00E53331" w:rsidRDefault="007577B1" w:rsidP="005B702D">
      <w:pPr>
        <w:pStyle w:val="SingleTxtG"/>
        <w:rPr>
          <w:bCs/>
        </w:rPr>
      </w:pPr>
      <w:r w:rsidRPr="007577B1">
        <w:rPr>
          <w:bCs/>
        </w:rPr>
        <w:t>5.2</w:t>
      </w:r>
      <w:r w:rsidR="001C1340">
        <w:rPr>
          <w:bCs/>
        </w:rPr>
        <w:tab/>
        <w:t xml:space="preserve">The </w:t>
      </w:r>
      <w:r w:rsidR="00A925EC">
        <w:rPr>
          <w:bCs/>
        </w:rPr>
        <w:t>author</w:t>
      </w:r>
      <w:r w:rsidR="005B702D">
        <w:rPr>
          <w:bCs/>
        </w:rPr>
        <w:t xml:space="preserve"> provides further information on the domestic legislation and notes that under a</w:t>
      </w:r>
      <w:r w:rsidR="005B702D" w:rsidRPr="005B702D">
        <w:rPr>
          <w:bCs/>
        </w:rPr>
        <w:t>rticle 10</w:t>
      </w:r>
      <w:r w:rsidR="005B702D">
        <w:rPr>
          <w:bCs/>
        </w:rPr>
        <w:t xml:space="preserve"> </w:t>
      </w:r>
      <w:r w:rsidR="005B702D" w:rsidRPr="005B702D">
        <w:rPr>
          <w:bCs/>
        </w:rPr>
        <w:t xml:space="preserve">(2) of </w:t>
      </w:r>
      <w:r w:rsidR="005B702D">
        <w:rPr>
          <w:bCs/>
        </w:rPr>
        <w:t xml:space="preserve">law </w:t>
      </w:r>
      <w:r w:rsidR="005B702D" w:rsidRPr="005B702D">
        <w:rPr>
          <w:bCs/>
        </w:rPr>
        <w:t>no. 1260</w:t>
      </w:r>
      <w:r w:rsidR="005B702D">
        <w:rPr>
          <w:bCs/>
        </w:rPr>
        <w:t>: “</w:t>
      </w:r>
      <w:r w:rsidR="005B702D" w:rsidRPr="005B702D">
        <w:rPr>
          <w:bCs/>
        </w:rPr>
        <w:t>Holders of the grade of doctor, as well as persons with a professional experience of a judge or</w:t>
      </w:r>
      <w:r w:rsidR="005B702D">
        <w:rPr>
          <w:bCs/>
        </w:rPr>
        <w:t xml:space="preserve"> </w:t>
      </w:r>
      <w:r w:rsidR="005B702D" w:rsidRPr="005B702D">
        <w:rPr>
          <w:bCs/>
        </w:rPr>
        <w:t>prosecutor not shorter than 10 years in a case of applying for the advocate licence within six months</w:t>
      </w:r>
      <w:r w:rsidR="005B702D">
        <w:rPr>
          <w:bCs/>
        </w:rPr>
        <w:t xml:space="preserve"> </w:t>
      </w:r>
      <w:r w:rsidR="005B702D" w:rsidRPr="005B702D">
        <w:rPr>
          <w:bCs/>
        </w:rPr>
        <w:t>after dismissal, are liberated from performing professional traineeship and passing the Bar exam.</w:t>
      </w:r>
      <w:r w:rsidR="005B702D">
        <w:rPr>
          <w:bCs/>
        </w:rPr>
        <w:t xml:space="preserve"> </w:t>
      </w:r>
      <w:r w:rsidR="005B702D" w:rsidRPr="005B702D">
        <w:rPr>
          <w:bCs/>
        </w:rPr>
        <w:t>The same rights are extended to the persons who have continued working in the field of law after</w:t>
      </w:r>
      <w:r w:rsidR="005B702D">
        <w:rPr>
          <w:bCs/>
        </w:rPr>
        <w:t xml:space="preserve"> </w:t>
      </w:r>
      <w:r w:rsidR="005B702D" w:rsidRPr="005B702D">
        <w:rPr>
          <w:bCs/>
        </w:rPr>
        <w:t>dismissal from the function of a judge or a prosecutor</w:t>
      </w:r>
      <w:r w:rsidR="0049680A">
        <w:rPr>
          <w:bCs/>
        </w:rPr>
        <w:t>.</w:t>
      </w:r>
      <w:r w:rsidR="005B702D">
        <w:rPr>
          <w:bCs/>
        </w:rPr>
        <w:t>”</w:t>
      </w:r>
      <w:r w:rsidR="0049680A">
        <w:rPr>
          <w:bCs/>
        </w:rPr>
        <w:t>.</w:t>
      </w:r>
      <w:r w:rsidR="005B702D">
        <w:rPr>
          <w:bCs/>
        </w:rPr>
        <w:t xml:space="preserve"> The author notes that he </w:t>
      </w:r>
      <w:r w:rsidR="005B702D" w:rsidRPr="005B702D">
        <w:rPr>
          <w:bCs/>
        </w:rPr>
        <w:t xml:space="preserve">acquired </w:t>
      </w:r>
      <w:r w:rsidR="005B702D">
        <w:rPr>
          <w:bCs/>
        </w:rPr>
        <w:t>a PhD</w:t>
      </w:r>
      <w:r w:rsidR="005B702D" w:rsidRPr="005B702D">
        <w:rPr>
          <w:bCs/>
        </w:rPr>
        <w:t xml:space="preserve"> in law </w:t>
      </w:r>
      <w:r w:rsidR="005B702D">
        <w:rPr>
          <w:bCs/>
        </w:rPr>
        <w:t xml:space="preserve">in November </w:t>
      </w:r>
      <w:r w:rsidR="005B702D" w:rsidRPr="005B702D">
        <w:rPr>
          <w:bCs/>
        </w:rPr>
        <w:t>2010 at the University of Paris I</w:t>
      </w:r>
      <w:r w:rsidR="005B702D">
        <w:rPr>
          <w:bCs/>
        </w:rPr>
        <w:t xml:space="preserve"> </w:t>
      </w:r>
      <w:r w:rsidR="005B702D" w:rsidRPr="005B702D">
        <w:rPr>
          <w:bCs/>
        </w:rPr>
        <w:t xml:space="preserve">Sorbonne </w:t>
      </w:r>
      <w:r w:rsidR="005B702D">
        <w:rPr>
          <w:bCs/>
        </w:rPr>
        <w:t xml:space="preserve">and has therefore </w:t>
      </w:r>
      <w:r w:rsidR="005B702D" w:rsidRPr="005B702D">
        <w:rPr>
          <w:bCs/>
        </w:rPr>
        <w:t xml:space="preserve">fulfilled the requirements for becoming an advocate in </w:t>
      </w:r>
      <w:r w:rsidR="005B702D">
        <w:rPr>
          <w:bCs/>
        </w:rPr>
        <w:t>the State party</w:t>
      </w:r>
      <w:r w:rsidR="005B702D" w:rsidRPr="005B702D">
        <w:rPr>
          <w:bCs/>
        </w:rPr>
        <w:t>, except the requirement of nationality.</w:t>
      </w:r>
      <w:r w:rsidR="005B702D">
        <w:rPr>
          <w:bCs/>
        </w:rPr>
        <w:t xml:space="preserve"> </w:t>
      </w:r>
      <w:r w:rsidR="005B702D" w:rsidRPr="005B702D">
        <w:rPr>
          <w:bCs/>
        </w:rPr>
        <w:t xml:space="preserve">After obtaining </w:t>
      </w:r>
      <w:r w:rsidR="005B702D">
        <w:rPr>
          <w:bCs/>
        </w:rPr>
        <w:t>his</w:t>
      </w:r>
      <w:r w:rsidR="005B702D" w:rsidRPr="005B702D">
        <w:rPr>
          <w:bCs/>
        </w:rPr>
        <w:t xml:space="preserve"> PhD </w:t>
      </w:r>
      <w:r w:rsidR="005B702D">
        <w:rPr>
          <w:bCs/>
        </w:rPr>
        <w:t>the author</w:t>
      </w:r>
      <w:r w:rsidR="005B702D" w:rsidRPr="005B702D">
        <w:rPr>
          <w:bCs/>
        </w:rPr>
        <w:t xml:space="preserve"> moved to Moldova. Due to </w:t>
      </w:r>
      <w:r w:rsidR="005B702D">
        <w:rPr>
          <w:bCs/>
        </w:rPr>
        <w:t xml:space="preserve">his </w:t>
      </w:r>
      <w:r w:rsidR="005B702D" w:rsidRPr="005B702D">
        <w:rPr>
          <w:bCs/>
        </w:rPr>
        <w:t xml:space="preserve">inability to </w:t>
      </w:r>
      <w:r w:rsidR="00ED1436">
        <w:rPr>
          <w:bCs/>
        </w:rPr>
        <w:t>be admitted to</w:t>
      </w:r>
      <w:r w:rsidR="00ED1436" w:rsidRPr="00ED1436">
        <w:rPr>
          <w:bCs/>
        </w:rPr>
        <w:t xml:space="preserve"> the Bar Association</w:t>
      </w:r>
      <w:r w:rsidR="00ED1436">
        <w:rPr>
          <w:bCs/>
        </w:rPr>
        <w:t xml:space="preserve"> in Chisinau</w:t>
      </w:r>
      <w:r w:rsidR="005B702D" w:rsidRPr="005B702D">
        <w:rPr>
          <w:bCs/>
        </w:rPr>
        <w:t xml:space="preserve">, </w:t>
      </w:r>
      <w:r w:rsidR="005B702D">
        <w:rPr>
          <w:bCs/>
        </w:rPr>
        <w:t>in June 2012,</w:t>
      </w:r>
      <w:r w:rsidR="005B702D" w:rsidRPr="005B702D">
        <w:rPr>
          <w:bCs/>
        </w:rPr>
        <w:t xml:space="preserve"> he became </w:t>
      </w:r>
      <w:r w:rsidR="0058779E">
        <w:rPr>
          <w:bCs/>
        </w:rPr>
        <w:t xml:space="preserve">an </w:t>
      </w:r>
      <w:r w:rsidR="005B702D" w:rsidRPr="005B702D">
        <w:rPr>
          <w:bCs/>
        </w:rPr>
        <w:t>advocate at the Bar of the Moldovan</w:t>
      </w:r>
      <w:r w:rsidR="005B702D">
        <w:rPr>
          <w:bCs/>
        </w:rPr>
        <w:t xml:space="preserve"> </w:t>
      </w:r>
      <w:r w:rsidR="005B702D" w:rsidRPr="005B702D">
        <w:rPr>
          <w:bCs/>
        </w:rPr>
        <w:t xml:space="preserve">Republic of </w:t>
      </w:r>
      <w:proofErr w:type="spellStart"/>
      <w:r w:rsidR="005B702D" w:rsidRPr="005B702D">
        <w:rPr>
          <w:bCs/>
        </w:rPr>
        <w:t>Transnistria</w:t>
      </w:r>
      <w:proofErr w:type="spellEnd"/>
      <w:r w:rsidR="005B702D" w:rsidRPr="005B702D">
        <w:rPr>
          <w:bCs/>
        </w:rPr>
        <w:t xml:space="preserve"> </w:t>
      </w:r>
      <w:r w:rsidR="005B702D">
        <w:rPr>
          <w:bCs/>
        </w:rPr>
        <w:t>and has continued</w:t>
      </w:r>
      <w:r w:rsidR="005B702D" w:rsidRPr="005B702D">
        <w:rPr>
          <w:bCs/>
        </w:rPr>
        <w:t xml:space="preserve"> to work as a </w:t>
      </w:r>
      <w:proofErr w:type="spellStart"/>
      <w:r w:rsidR="005B702D" w:rsidRPr="005B702D">
        <w:rPr>
          <w:bCs/>
        </w:rPr>
        <w:t>Transnistrian</w:t>
      </w:r>
      <w:proofErr w:type="spellEnd"/>
      <w:r w:rsidR="005B702D" w:rsidRPr="005B702D">
        <w:rPr>
          <w:bCs/>
        </w:rPr>
        <w:t xml:space="preserve"> advocate,</w:t>
      </w:r>
      <w:r w:rsidR="005B702D">
        <w:rPr>
          <w:bCs/>
        </w:rPr>
        <w:t xml:space="preserve"> </w:t>
      </w:r>
      <w:r w:rsidR="005B702D" w:rsidRPr="005B702D">
        <w:rPr>
          <w:bCs/>
        </w:rPr>
        <w:t>which</w:t>
      </w:r>
      <w:r w:rsidR="005B702D">
        <w:rPr>
          <w:bCs/>
        </w:rPr>
        <w:t xml:space="preserve"> he argues</w:t>
      </w:r>
      <w:r w:rsidR="005B702D" w:rsidRPr="005B702D">
        <w:rPr>
          <w:bCs/>
        </w:rPr>
        <w:t xml:space="preserve"> is a proof of his attachment to Moldova. He</w:t>
      </w:r>
      <w:r w:rsidR="005B702D">
        <w:rPr>
          <w:bCs/>
        </w:rPr>
        <w:t xml:space="preserve"> notes that he</w:t>
      </w:r>
      <w:r w:rsidR="005B702D" w:rsidRPr="005B702D">
        <w:rPr>
          <w:bCs/>
        </w:rPr>
        <w:t xml:space="preserve"> would be happy to move from </w:t>
      </w:r>
      <w:proofErr w:type="spellStart"/>
      <w:r w:rsidR="005B702D" w:rsidRPr="005B702D">
        <w:rPr>
          <w:bCs/>
        </w:rPr>
        <w:t>Transnistria</w:t>
      </w:r>
      <w:proofErr w:type="spellEnd"/>
      <w:r w:rsidR="005B702D" w:rsidRPr="005B702D">
        <w:rPr>
          <w:bCs/>
        </w:rPr>
        <w:t xml:space="preserve"> to Chisinau,</w:t>
      </w:r>
      <w:r w:rsidR="005B702D">
        <w:rPr>
          <w:bCs/>
        </w:rPr>
        <w:t xml:space="preserve"> </w:t>
      </w:r>
      <w:r w:rsidR="005B702D" w:rsidRPr="005B702D">
        <w:rPr>
          <w:bCs/>
        </w:rPr>
        <w:t xml:space="preserve">but </w:t>
      </w:r>
      <w:r w:rsidR="005B702D">
        <w:rPr>
          <w:bCs/>
        </w:rPr>
        <w:t>argues that a</w:t>
      </w:r>
      <w:r w:rsidR="005B702D" w:rsidRPr="005B702D">
        <w:rPr>
          <w:bCs/>
        </w:rPr>
        <w:t>rticle 10</w:t>
      </w:r>
      <w:r w:rsidR="005B702D">
        <w:rPr>
          <w:bCs/>
        </w:rPr>
        <w:t xml:space="preserve"> </w:t>
      </w:r>
      <w:r w:rsidR="005B702D" w:rsidRPr="005B702D">
        <w:rPr>
          <w:bCs/>
        </w:rPr>
        <w:t xml:space="preserve">(1) of </w:t>
      </w:r>
      <w:r w:rsidR="005B702D">
        <w:rPr>
          <w:bCs/>
        </w:rPr>
        <w:t>law no. 12</w:t>
      </w:r>
      <w:r w:rsidR="008F0E15">
        <w:rPr>
          <w:bCs/>
        </w:rPr>
        <w:t>60</w:t>
      </w:r>
      <w:r w:rsidR="005B702D">
        <w:rPr>
          <w:bCs/>
        </w:rPr>
        <w:t xml:space="preserve"> </w:t>
      </w:r>
      <w:r w:rsidR="005B702D" w:rsidRPr="005B702D">
        <w:rPr>
          <w:bCs/>
        </w:rPr>
        <w:t xml:space="preserve">prohibits him </w:t>
      </w:r>
      <w:r w:rsidR="005B702D">
        <w:rPr>
          <w:bCs/>
        </w:rPr>
        <w:t xml:space="preserve">from </w:t>
      </w:r>
      <w:r w:rsidR="005B702D" w:rsidRPr="005B702D">
        <w:rPr>
          <w:bCs/>
        </w:rPr>
        <w:t xml:space="preserve">doing </w:t>
      </w:r>
      <w:r w:rsidR="00ED1436">
        <w:rPr>
          <w:bCs/>
        </w:rPr>
        <w:t>so</w:t>
      </w:r>
      <w:r w:rsidR="005B702D" w:rsidRPr="005B702D">
        <w:rPr>
          <w:bCs/>
        </w:rPr>
        <w:t xml:space="preserve"> due to his nationality.</w:t>
      </w:r>
      <w:r w:rsidR="005B702D">
        <w:rPr>
          <w:bCs/>
        </w:rPr>
        <w:t xml:space="preserve"> The author further notes that he </w:t>
      </w:r>
      <w:r w:rsidR="005B702D" w:rsidRPr="005B702D">
        <w:rPr>
          <w:bCs/>
        </w:rPr>
        <w:t>has three titles of professor of law awarded in 2014 by the Russian New University</w:t>
      </w:r>
      <w:r w:rsidR="005B702D">
        <w:rPr>
          <w:bCs/>
        </w:rPr>
        <w:t xml:space="preserve">, Moscow, </w:t>
      </w:r>
      <w:r w:rsidR="005B702D" w:rsidRPr="005B702D">
        <w:rPr>
          <w:bCs/>
        </w:rPr>
        <w:t xml:space="preserve">the </w:t>
      </w:r>
      <w:proofErr w:type="spellStart"/>
      <w:r w:rsidR="005B702D" w:rsidRPr="005B702D">
        <w:rPr>
          <w:bCs/>
        </w:rPr>
        <w:t>Narxoz</w:t>
      </w:r>
      <w:proofErr w:type="spellEnd"/>
      <w:r w:rsidR="005B702D" w:rsidRPr="005B702D">
        <w:rPr>
          <w:bCs/>
        </w:rPr>
        <w:t xml:space="preserve"> University</w:t>
      </w:r>
      <w:r w:rsidR="005B702D">
        <w:rPr>
          <w:bCs/>
        </w:rPr>
        <w:t xml:space="preserve">, </w:t>
      </w:r>
      <w:r w:rsidR="005B702D" w:rsidRPr="005B702D">
        <w:rPr>
          <w:bCs/>
        </w:rPr>
        <w:t>Almaty and the Eurasian Academy of Law</w:t>
      </w:r>
      <w:r w:rsidR="005B702D">
        <w:rPr>
          <w:bCs/>
        </w:rPr>
        <w:t xml:space="preserve">, </w:t>
      </w:r>
      <w:r w:rsidR="005B702D" w:rsidRPr="005B702D">
        <w:rPr>
          <w:bCs/>
        </w:rPr>
        <w:t xml:space="preserve">Almaty. </w:t>
      </w:r>
    </w:p>
    <w:p w14:paraId="59C770B8" w14:textId="0CEA025E" w:rsidR="005B702D" w:rsidRDefault="005B702D" w:rsidP="00D155B6">
      <w:pPr>
        <w:pStyle w:val="SingleTxtG"/>
        <w:rPr>
          <w:bCs/>
        </w:rPr>
      </w:pPr>
      <w:r>
        <w:rPr>
          <w:bCs/>
        </w:rPr>
        <w:t>5.3</w:t>
      </w:r>
      <w:r>
        <w:rPr>
          <w:bCs/>
        </w:rPr>
        <w:tab/>
        <w:t>The author reiterates his argument that the State party legislation on the</w:t>
      </w:r>
      <w:r w:rsidR="00D155B6">
        <w:rPr>
          <w:bCs/>
        </w:rPr>
        <w:t xml:space="preserve"> regulation of the practice of law in the State party is arbitrary and discriminatory, the aims of which are neither reasonable nor objective. He claims that “the</w:t>
      </w:r>
      <w:r w:rsidR="00D155B6" w:rsidRPr="00D155B6">
        <w:rPr>
          <w:bCs/>
        </w:rPr>
        <w:t xml:space="preserve"> only aim of this discrimination is to</w:t>
      </w:r>
      <w:r w:rsidR="00D155B6">
        <w:rPr>
          <w:bCs/>
        </w:rPr>
        <w:t xml:space="preserve"> </w:t>
      </w:r>
      <w:r w:rsidR="00D155B6" w:rsidRPr="00D155B6">
        <w:rPr>
          <w:bCs/>
        </w:rPr>
        <w:t>prohibit exercise of the profession by independent persons, to allow the State party breach human rights</w:t>
      </w:r>
      <w:r w:rsidR="00D155B6">
        <w:rPr>
          <w:bCs/>
        </w:rPr>
        <w:t xml:space="preserve"> </w:t>
      </w:r>
      <w:r w:rsidR="00D155B6" w:rsidRPr="00D155B6">
        <w:rPr>
          <w:bCs/>
        </w:rPr>
        <w:t>on a large scale, to discriminate all inhabitants of the country, and to abuse law</w:t>
      </w:r>
      <w:r w:rsidR="00D155B6">
        <w:rPr>
          <w:bCs/>
        </w:rPr>
        <w:t>”</w:t>
      </w:r>
      <w:r w:rsidR="00D155B6" w:rsidRPr="00D155B6">
        <w:rPr>
          <w:bCs/>
        </w:rPr>
        <w:t>.</w:t>
      </w:r>
    </w:p>
    <w:p w14:paraId="38A38941" w14:textId="6349EFB3" w:rsidR="00936F67" w:rsidRDefault="00936F67" w:rsidP="00642A3D">
      <w:pPr>
        <w:pStyle w:val="SingleTxtG"/>
        <w:rPr>
          <w:bCs/>
          <w:iCs/>
        </w:rPr>
      </w:pPr>
      <w:r>
        <w:rPr>
          <w:bCs/>
          <w:iCs/>
        </w:rPr>
        <w:lastRenderedPageBreak/>
        <w:t>5.4</w:t>
      </w:r>
      <w:r>
        <w:rPr>
          <w:bCs/>
          <w:iCs/>
        </w:rPr>
        <w:tab/>
        <w:t xml:space="preserve">The author further reiterates </w:t>
      </w:r>
      <w:r w:rsidR="00ED1436">
        <w:rPr>
          <w:bCs/>
          <w:iCs/>
        </w:rPr>
        <w:t xml:space="preserve">his argument </w:t>
      </w:r>
      <w:r>
        <w:rPr>
          <w:bCs/>
          <w:iCs/>
        </w:rPr>
        <w:t>that the domestic legislation</w:t>
      </w:r>
      <w:r w:rsidR="00ED1436">
        <w:rPr>
          <w:bCs/>
          <w:iCs/>
        </w:rPr>
        <w:t xml:space="preserve"> on the conditions for the practice of law in the State party</w:t>
      </w:r>
      <w:r>
        <w:rPr>
          <w:bCs/>
          <w:iCs/>
        </w:rPr>
        <w:t xml:space="preserve"> does not pursue a</w:t>
      </w:r>
      <w:r w:rsidRPr="00936F67">
        <w:rPr>
          <w:bCs/>
          <w:iCs/>
        </w:rPr>
        <w:t xml:space="preserve"> legitimate aim</w:t>
      </w:r>
      <w:r w:rsidR="00ED1436">
        <w:rPr>
          <w:bCs/>
          <w:iCs/>
        </w:rPr>
        <w:t>,</w:t>
      </w:r>
      <w:r>
        <w:rPr>
          <w:bCs/>
          <w:iCs/>
        </w:rPr>
        <w:t xml:space="preserve"> </w:t>
      </w:r>
      <w:r w:rsidR="0058779E">
        <w:rPr>
          <w:bCs/>
          <w:iCs/>
        </w:rPr>
        <w:t>and he argues that it</w:t>
      </w:r>
      <w:r>
        <w:rPr>
          <w:bCs/>
          <w:iCs/>
        </w:rPr>
        <w:t xml:space="preserve"> aims at: “</w:t>
      </w:r>
      <w:r w:rsidRPr="00936F67">
        <w:rPr>
          <w:bCs/>
          <w:iCs/>
        </w:rPr>
        <w:t>a</w:t>
      </w:r>
      <w:r>
        <w:rPr>
          <w:bCs/>
          <w:iCs/>
        </w:rPr>
        <w:t>)</w:t>
      </w:r>
      <w:r w:rsidRPr="00936F67">
        <w:rPr>
          <w:bCs/>
          <w:iCs/>
        </w:rPr>
        <w:t xml:space="preserve"> prohibiting establishment of independent advocates in Moldova, since this would</w:t>
      </w:r>
      <w:r>
        <w:rPr>
          <w:bCs/>
          <w:iCs/>
        </w:rPr>
        <w:t xml:space="preserve"> </w:t>
      </w:r>
      <w:r w:rsidRPr="00936F67">
        <w:rPr>
          <w:bCs/>
          <w:iCs/>
        </w:rPr>
        <w:t>disturb the Moldovan Government to conduct large-scale human rights breaches, to</w:t>
      </w:r>
      <w:r>
        <w:rPr>
          <w:bCs/>
          <w:iCs/>
        </w:rPr>
        <w:t xml:space="preserve"> </w:t>
      </w:r>
      <w:r w:rsidRPr="00936F67">
        <w:rPr>
          <w:bCs/>
          <w:iCs/>
        </w:rPr>
        <w:t>operate in a corruptive manner, to threaten and punish advocates for human rights</w:t>
      </w:r>
      <w:r>
        <w:rPr>
          <w:bCs/>
          <w:iCs/>
        </w:rPr>
        <w:t xml:space="preserve"> </w:t>
      </w:r>
      <w:r w:rsidRPr="00936F67">
        <w:rPr>
          <w:bCs/>
          <w:iCs/>
        </w:rPr>
        <w:t>defence;</w:t>
      </w:r>
      <w:r>
        <w:rPr>
          <w:bCs/>
          <w:iCs/>
        </w:rPr>
        <w:t xml:space="preserve"> </w:t>
      </w:r>
      <w:r w:rsidRPr="00936F67">
        <w:rPr>
          <w:bCs/>
          <w:iCs/>
        </w:rPr>
        <w:t>b</w:t>
      </w:r>
      <w:r>
        <w:rPr>
          <w:bCs/>
          <w:iCs/>
        </w:rPr>
        <w:t>)</w:t>
      </w:r>
      <w:r w:rsidRPr="00936F67">
        <w:rPr>
          <w:bCs/>
          <w:iCs/>
        </w:rPr>
        <w:t xml:space="preserve"> protecting the job market from highly qualified foreign nationals;</w:t>
      </w:r>
      <w:r>
        <w:rPr>
          <w:bCs/>
          <w:iCs/>
        </w:rPr>
        <w:t xml:space="preserve"> </w:t>
      </w:r>
      <w:r w:rsidRPr="00936F67">
        <w:rPr>
          <w:bCs/>
          <w:iCs/>
        </w:rPr>
        <w:t>c</w:t>
      </w:r>
      <w:r>
        <w:rPr>
          <w:bCs/>
          <w:iCs/>
        </w:rPr>
        <w:t>)</w:t>
      </w:r>
      <w:r w:rsidRPr="00936F67">
        <w:rPr>
          <w:bCs/>
          <w:iCs/>
        </w:rPr>
        <w:t xml:space="preserve"> lowering the quality of legal services to Moldovan residents in order to prevent</w:t>
      </w:r>
      <w:r>
        <w:rPr>
          <w:bCs/>
          <w:iCs/>
        </w:rPr>
        <w:t xml:space="preserve"> </w:t>
      </w:r>
      <w:r w:rsidRPr="00936F67">
        <w:rPr>
          <w:bCs/>
          <w:iCs/>
        </w:rPr>
        <w:t>development of democracy;</w:t>
      </w:r>
      <w:r>
        <w:rPr>
          <w:bCs/>
          <w:iCs/>
        </w:rPr>
        <w:t xml:space="preserve"> d) </w:t>
      </w:r>
      <w:r w:rsidRPr="00936F67">
        <w:rPr>
          <w:bCs/>
          <w:iCs/>
        </w:rPr>
        <w:t xml:space="preserve"> maintaining a mono-ethnic and mono-cultural society;</w:t>
      </w:r>
      <w:r>
        <w:rPr>
          <w:bCs/>
          <w:iCs/>
        </w:rPr>
        <w:t xml:space="preserve"> e)</w:t>
      </w:r>
      <w:r w:rsidRPr="00936F67">
        <w:rPr>
          <w:bCs/>
          <w:iCs/>
        </w:rPr>
        <w:t xml:space="preserve"> enforcing xenophobia, creating obstacles to peace and global cultural integration.</w:t>
      </w:r>
      <w:r>
        <w:rPr>
          <w:bCs/>
          <w:iCs/>
        </w:rPr>
        <w:t>” He argues that as such “</w:t>
      </w:r>
      <w:r w:rsidRPr="00936F67">
        <w:rPr>
          <w:bCs/>
          <w:iCs/>
        </w:rPr>
        <w:t>the objective of this discrimination is absolutely illegitimate</w:t>
      </w:r>
      <w:r>
        <w:rPr>
          <w:bCs/>
          <w:iCs/>
        </w:rPr>
        <w:t>”</w:t>
      </w:r>
      <w:r w:rsidR="002C2C49">
        <w:rPr>
          <w:bCs/>
          <w:iCs/>
        </w:rPr>
        <w:t xml:space="preserve"> and </w:t>
      </w:r>
      <w:r w:rsidRPr="00936F67">
        <w:rPr>
          <w:bCs/>
          <w:iCs/>
        </w:rPr>
        <w:t xml:space="preserve">not necessary in a democratic society. </w:t>
      </w:r>
    </w:p>
    <w:p w14:paraId="522E891A" w14:textId="243547B1" w:rsidR="00642A3D" w:rsidRDefault="00642A3D" w:rsidP="00642A3D">
      <w:pPr>
        <w:pStyle w:val="SingleTxtG"/>
        <w:rPr>
          <w:bCs/>
          <w:iCs/>
        </w:rPr>
      </w:pPr>
      <w:r>
        <w:rPr>
          <w:bCs/>
          <w:iCs/>
        </w:rPr>
        <w:t>5.5</w:t>
      </w:r>
      <w:r>
        <w:rPr>
          <w:bCs/>
          <w:iCs/>
        </w:rPr>
        <w:tab/>
        <w:t xml:space="preserve">The author further </w:t>
      </w:r>
      <w:r w:rsidR="00E93FD9">
        <w:rPr>
          <w:bCs/>
          <w:iCs/>
        </w:rPr>
        <w:t>submits</w:t>
      </w:r>
      <w:r>
        <w:rPr>
          <w:bCs/>
          <w:iCs/>
        </w:rPr>
        <w:t xml:space="preserve"> that the conditions under law no. 12</w:t>
      </w:r>
      <w:r w:rsidR="008F0E15">
        <w:rPr>
          <w:bCs/>
          <w:iCs/>
        </w:rPr>
        <w:t>60</w:t>
      </w:r>
      <w:r>
        <w:rPr>
          <w:bCs/>
          <w:iCs/>
        </w:rPr>
        <w:t xml:space="preserve"> are</w:t>
      </w:r>
      <w:r w:rsidRPr="00642A3D">
        <w:rPr>
          <w:bCs/>
          <w:iCs/>
        </w:rPr>
        <w:t xml:space="preserve"> disproportional</w:t>
      </w:r>
      <w:r>
        <w:rPr>
          <w:bCs/>
          <w:iCs/>
        </w:rPr>
        <w:t xml:space="preserve"> </w:t>
      </w:r>
      <w:r w:rsidR="00ED1436">
        <w:rPr>
          <w:bCs/>
          <w:iCs/>
        </w:rPr>
        <w:t xml:space="preserve">to the aim pursued, </w:t>
      </w:r>
      <w:r>
        <w:rPr>
          <w:bCs/>
          <w:iCs/>
        </w:rPr>
        <w:t xml:space="preserve">as </w:t>
      </w:r>
      <w:r w:rsidR="00E93FD9">
        <w:rPr>
          <w:bCs/>
          <w:iCs/>
        </w:rPr>
        <w:t xml:space="preserve">he argues that </w:t>
      </w:r>
      <w:r>
        <w:rPr>
          <w:bCs/>
          <w:iCs/>
        </w:rPr>
        <w:t xml:space="preserve">the </w:t>
      </w:r>
      <w:r w:rsidR="00ED1436">
        <w:rPr>
          <w:bCs/>
          <w:iCs/>
        </w:rPr>
        <w:t>requirements referred to by the State party under article 6 of law no. 12</w:t>
      </w:r>
      <w:r w:rsidR="008F0E15">
        <w:rPr>
          <w:bCs/>
          <w:iCs/>
        </w:rPr>
        <w:t>60</w:t>
      </w:r>
      <w:r w:rsidR="00ED1436">
        <w:rPr>
          <w:bCs/>
          <w:iCs/>
        </w:rPr>
        <w:t xml:space="preserve"> would require an</w:t>
      </w:r>
      <w:r w:rsidRPr="00642A3D">
        <w:rPr>
          <w:bCs/>
          <w:iCs/>
        </w:rPr>
        <w:t xml:space="preserve"> applicant to go back to his country of origin in order</w:t>
      </w:r>
      <w:r>
        <w:rPr>
          <w:bCs/>
          <w:iCs/>
        </w:rPr>
        <w:t xml:space="preserve"> </w:t>
      </w:r>
      <w:r w:rsidRPr="00642A3D">
        <w:rPr>
          <w:bCs/>
          <w:iCs/>
        </w:rPr>
        <w:t>to qualify in that country</w:t>
      </w:r>
      <w:r w:rsidR="0049680A">
        <w:rPr>
          <w:bCs/>
          <w:iCs/>
        </w:rPr>
        <w:t>.</w:t>
      </w:r>
      <w:r w:rsidRPr="00642A3D">
        <w:rPr>
          <w:bCs/>
          <w:iCs/>
        </w:rPr>
        <w:t xml:space="preserve"> </w:t>
      </w:r>
      <w:r>
        <w:rPr>
          <w:bCs/>
          <w:iCs/>
        </w:rPr>
        <w:t>He claims that t</w:t>
      </w:r>
      <w:r w:rsidRPr="00642A3D">
        <w:rPr>
          <w:bCs/>
          <w:iCs/>
        </w:rPr>
        <w:t xml:space="preserve">his requirement is a disproportional intervention in </w:t>
      </w:r>
      <w:r>
        <w:rPr>
          <w:bCs/>
          <w:iCs/>
        </w:rPr>
        <w:t xml:space="preserve">the </w:t>
      </w:r>
      <w:r w:rsidRPr="00642A3D">
        <w:rPr>
          <w:bCs/>
          <w:iCs/>
        </w:rPr>
        <w:t>privacy of a perso</w:t>
      </w:r>
      <w:r>
        <w:rPr>
          <w:bCs/>
          <w:iCs/>
        </w:rPr>
        <w:t xml:space="preserve">n as </w:t>
      </w:r>
      <w:r w:rsidR="00ED1436">
        <w:rPr>
          <w:bCs/>
          <w:iCs/>
        </w:rPr>
        <w:t>an</w:t>
      </w:r>
      <w:r>
        <w:rPr>
          <w:bCs/>
          <w:iCs/>
        </w:rPr>
        <w:t xml:space="preserve"> applicant </w:t>
      </w:r>
      <w:r w:rsidRPr="00642A3D">
        <w:rPr>
          <w:bCs/>
          <w:iCs/>
        </w:rPr>
        <w:t>might not wish to leave Moldova, but to seek his professional and cultural integration in</w:t>
      </w:r>
      <w:r>
        <w:rPr>
          <w:bCs/>
          <w:iCs/>
        </w:rPr>
        <w:t xml:space="preserve"> </w:t>
      </w:r>
      <w:r w:rsidRPr="00642A3D">
        <w:rPr>
          <w:bCs/>
          <w:iCs/>
        </w:rPr>
        <w:t>Moldova</w:t>
      </w:r>
      <w:r w:rsidR="0049680A">
        <w:rPr>
          <w:bCs/>
          <w:iCs/>
        </w:rPr>
        <w:t>.</w:t>
      </w:r>
      <w:r>
        <w:rPr>
          <w:bCs/>
          <w:iCs/>
        </w:rPr>
        <w:t xml:space="preserve"> He further argues that m</w:t>
      </w:r>
      <w:r w:rsidRPr="00642A3D">
        <w:rPr>
          <w:bCs/>
          <w:iCs/>
        </w:rPr>
        <w:t>oreover, a person loses the right to exercise as a foreign State advocate in Moldova at the point where</w:t>
      </w:r>
      <w:r>
        <w:rPr>
          <w:bCs/>
          <w:iCs/>
        </w:rPr>
        <w:t xml:space="preserve"> </w:t>
      </w:r>
      <w:r w:rsidRPr="00642A3D">
        <w:rPr>
          <w:bCs/>
          <w:iCs/>
        </w:rPr>
        <w:t xml:space="preserve">he </w:t>
      </w:r>
      <w:r w:rsidR="00E93FD9">
        <w:rPr>
          <w:bCs/>
          <w:iCs/>
        </w:rPr>
        <w:t xml:space="preserve">or she </w:t>
      </w:r>
      <w:r w:rsidRPr="00642A3D">
        <w:rPr>
          <w:bCs/>
          <w:iCs/>
        </w:rPr>
        <w:t xml:space="preserve">stops </w:t>
      </w:r>
      <w:r w:rsidR="00E93FD9">
        <w:rPr>
          <w:bCs/>
          <w:iCs/>
        </w:rPr>
        <w:t>their</w:t>
      </w:r>
      <w:r w:rsidRPr="00642A3D">
        <w:rPr>
          <w:bCs/>
          <w:iCs/>
        </w:rPr>
        <w:t xml:space="preserve"> membership in a foreign Bar Association. </w:t>
      </w:r>
      <w:r>
        <w:rPr>
          <w:bCs/>
          <w:iCs/>
        </w:rPr>
        <w:t>He claims that t</w:t>
      </w:r>
      <w:r w:rsidRPr="00642A3D">
        <w:rPr>
          <w:bCs/>
          <w:iCs/>
        </w:rPr>
        <w:t>his rule is disproportional, since it requires the</w:t>
      </w:r>
      <w:r>
        <w:rPr>
          <w:bCs/>
          <w:iCs/>
        </w:rPr>
        <w:t xml:space="preserve"> </w:t>
      </w:r>
      <w:r w:rsidRPr="00642A3D">
        <w:rPr>
          <w:bCs/>
          <w:iCs/>
        </w:rPr>
        <w:t>advocate to be integrated in a foreign State, to pay taxes in the foreign State, and to have an address</w:t>
      </w:r>
      <w:r>
        <w:rPr>
          <w:bCs/>
          <w:iCs/>
        </w:rPr>
        <w:t xml:space="preserve"> </w:t>
      </w:r>
      <w:r w:rsidRPr="00642A3D">
        <w:rPr>
          <w:bCs/>
          <w:iCs/>
        </w:rPr>
        <w:t xml:space="preserve">in the foreign State. </w:t>
      </w:r>
      <w:r>
        <w:rPr>
          <w:bCs/>
          <w:iCs/>
        </w:rPr>
        <w:t>He claims that t</w:t>
      </w:r>
      <w:r w:rsidRPr="00642A3D">
        <w:rPr>
          <w:bCs/>
          <w:iCs/>
        </w:rPr>
        <w:t>his is particularly disproportional when the advocate is a refugee or is afraid to</w:t>
      </w:r>
      <w:r>
        <w:rPr>
          <w:bCs/>
          <w:iCs/>
        </w:rPr>
        <w:t xml:space="preserve"> </w:t>
      </w:r>
      <w:r w:rsidRPr="00642A3D">
        <w:rPr>
          <w:bCs/>
          <w:iCs/>
        </w:rPr>
        <w:t>return to a foreign State due to persecution.</w:t>
      </w:r>
      <w:r>
        <w:rPr>
          <w:bCs/>
          <w:iCs/>
        </w:rPr>
        <w:t xml:space="preserve"> He further claims that practicing law</w:t>
      </w:r>
      <w:r w:rsidRPr="00642A3D">
        <w:rPr>
          <w:bCs/>
          <w:iCs/>
        </w:rPr>
        <w:t xml:space="preserve"> as a foreign State advocate </w:t>
      </w:r>
      <w:r w:rsidR="00E93FD9">
        <w:rPr>
          <w:bCs/>
          <w:iCs/>
        </w:rPr>
        <w:t xml:space="preserve">in the State party </w:t>
      </w:r>
      <w:r w:rsidRPr="00642A3D">
        <w:rPr>
          <w:bCs/>
          <w:iCs/>
        </w:rPr>
        <w:t>implies lower rights both in</w:t>
      </w:r>
      <w:r>
        <w:rPr>
          <w:bCs/>
          <w:iCs/>
        </w:rPr>
        <w:t xml:space="preserve"> </w:t>
      </w:r>
      <w:r w:rsidRPr="00642A3D">
        <w:rPr>
          <w:bCs/>
          <w:iCs/>
        </w:rPr>
        <w:t xml:space="preserve">representing clients, as well as </w:t>
      </w:r>
      <w:r>
        <w:rPr>
          <w:bCs/>
          <w:iCs/>
        </w:rPr>
        <w:t>“</w:t>
      </w:r>
      <w:r w:rsidRPr="00642A3D">
        <w:rPr>
          <w:bCs/>
          <w:iCs/>
        </w:rPr>
        <w:t>in self-government of the Advocates Union of Moldova</w:t>
      </w:r>
      <w:r>
        <w:rPr>
          <w:bCs/>
          <w:iCs/>
        </w:rPr>
        <w:t>”</w:t>
      </w:r>
      <w:r w:rsidRPr="00642A3D">
        <w:rPr>
          <w:bCs/>
          <w:iCs/>
        </w:rPr>
        <w:t>.</w:t>
      </w:r>
    </w:p>
    <w:p w14:paraId="6048A8C8" w14:textId="2B0C205A" w:rsidR="00553CBA" w:rsidRDefault="00553CBA" w:rsidP="00C958E7">
      <w:pPr>
        <w:pStyle w:val="SingleTxtG"/>
        <w:rPr>
          <w:bCs/>
          <w:iCs/>
        </w:rPr>
      </w:pPr>
      <w:r>
        <w:rPr>
          <w:bCs/>
          <w:iCs/>
        </w:rPr>
        <w:t>5.6</w:t>
      </w:r>
      <w:r>
        <w:rPr>
          <w:bCs/>
          <w:iCs/>
        </w:rPr>
        <w:tab/>
        <w:t>T</w:t>
      </w:r>
      <w:r w:rsidRPr="00553CBA">
        <w:rPr>
          <w:bCs/>
          <w:iCs/>
        </w:rPr>
        <w:t xml:space="preserve">he </w:t>
      </w:r>
      <w:r>
        <w:rPr>
          <w:bCs/>
          <w:iCs/>
        </w:rPr>
        <w:t xml:space="preserve">author </w:t>
      </w:r>
      <w:r w:rsidR="00ED1436">
        <w:rPr>
          <w:bCs/>
          <w:iCs/>
        </w:rPr>
        <w:t>submits</w:t>
      </w:r>
      <w:r>
        <w:rPr>
          <w:bCs/>
          <w:iCs/>
        </w:rPr>
        <w:t xml:space="preserve"> that the r</w:t>
      </w:r>
      <w:r w:rsidRPr="00553CBA">
        <w:rPr>
          <w:bCs/>
          <w:iCs/>
        </w:rPr>
        <w:t xml:space="preserve">ight to privacy and to private life under </w:t>
      </w:r>
      <w:r>
        <w:rPr>
          <w:bCs/>
          <w:iCs/>
        </w:rPr>
        <w:t>a</w:t>
      </w:r>
      <w:r w:rsidRPr="00553CBA">
        <w:rPr>
          <w:bCs/>
          <w:iCs/>
        </w:rPr>
        <w:t>rticle 17</w:t>
      </w:r>
      <w:r>
        <w:rPr>
          <w:bCs/>
          <w:iCs/>
        </w:rPr>
        <w:t xml:space="preserve"> of the Covenant includes</w:t>
      </w:r>
      <w:r w:rsidRPr="00553CBA">
        <w:rPr>
          <w:bCs/>
          <w:iCs/>
        </w:rPr>
        <w:t xml:space="preserve"> the right to exercise any profession in the private </w:t>
      </w:r>
      <w:r>
        <w:rPr>
          <w:bCs/>
          <w:iCs/>
        </w:rPr>
        <w:t>sector and that his</w:t>
      </w:r>
      <w:r w:rsidRPr="00553CBA">
        <w:rPr>
          <w:bCs/>
          <w:iCs/>
        </w:rPr>
        <w:t xml:space="preserve"> right to private life </w:t>
      </w:r>
      <w:r>
        <w:rPr>
          <w:bCs/>
          <w:iCs/>
        </w:rPr>
        <w:t>under article 17</w:t>
      </w:r>
      <w:r w:rsidRPr="00553CBA">
        <w:rPr>
          <w:bCs/>
          <w:iCs/>
        </w:rPr>
        <w:t>,</w:t>
      </w:r>
      <w:r>
        <w:rPr>
          <w:bCs/>
          <w:iCs/>
        </w:rPr>
        <w:t xml:space="preserve"> read</w:t>
      </w:r>
      <w:r w:rsidRPr="00553CBA">
        <w:rPr>
          <w:bCs/>
          <w:iCs/>
        </w:rPr>
        <w:t xml:space="preserve"> in conjunction with</w:t>
      </w:r>
      <w:r>
        <w:rPr>
          <w:bCs/>
          <w:iCs/>
        </w:rPr>
        <w:t xml:space="preserve"> a</w:t>
      </w:r>
      <w:r w:rsidRPr="00553CBA">
        <w:rPr>
          <w:bCs/>
          <w:iCs/>
        </w:rPr>
        <w:t>rticle 2</w:t>
      </w:r>
      <w:r>
        <w:rPr>
          <w:bCs/>
          <w:iCs/>
        </w:rPr>
        <w:t xml:space="preserve"> </w:t>
      </w:r>
      <w:r w:rsidRPr="00553CBA">
        <w:rPr>
          <w:bCs/>
          <w:iCs/>
        </w:rPr>
        <w:t xml:space="preserve">(1) of the Covenant, </w:t>
      </w:r>
      <w:r>
        <w:rPr>
          <w:bCs/>
          <w:iCs/>
        </w:rPr>
        <w:t>has therefore been violated</w:t>
      </w:r>
      <w:r w:rsidR="00E93FD9">
        <w:rPr>
          <w:bCs/>
          <w:iCs/>
        </w:rPr>
        <w:t>,</w:t>
      </w:r>
      <w:r>
        <w:rPr>
          <w:bCs/>
          <w:iCs/>
        </w:rPr>
        <w:t xml:space="preserve"> as </w:t>
      </w:r>
      <w:r w:rsidRPr="00553CBA">
        <w:rPr>
          <w:bCs/>
          <w:iCs/>
        </w:rPr>
        <w:t xml:space="preserve">the only justification for </w:t>
      </w:r>
      <w:r>
        <w:rPr>
          <w:bCs/>
          <w:iCs/>
        </w:rPr>
        <w:t>the breach</w:t>
      </w:r>
      <w:r w:rsidRPr="00553CBA">
        <w:rPr>
          <w:bCs/>
          <w:iCs/>
        </w:rPr>
        <w:t xml:space="preserve"> is his foreign nationality</w:t>
      </w:r>
      <w:r w:rsidR="0049680A">
        <w:rPr>
          <w:bCs/>
          <w:iCs/>
        </w:rPr>
        <w:t>.</w:t>
      </w:r>
      <w:r w:rsidR="003A637E">
        <w:rPr>
          <w:bCs/>
          <w:iCs/>
        </w:rPr>
        <w:t xml:space="preserve"> He reiterates his argument that his rights under article 2 (3) of the </w:t>
      </w:r>
      <w:r w:rsidR="00C958E7">
        <w:rPr>
          <w:bCs/>
          <w:iCs/>
        </w:rPr>
        <w:t>Covenant have been violated as a</w:t>
      </w:r>
      <w:r w:rsidR="00C958E7" w:rsidRPr="00C958E7">
        <w:rPr>
          <w:bCs/>
          <w:iCs/>
        </w:rPr>
        <w:t>rticle 4</w:t>
      </w:r>
      <w:r w:rsidR="00C958E7">
        <w:rPr>
          <w:bCs/>
          <w:iCs/>
        </w:rPr>
        <w:t xml:space="preserve"> </w:t>
      </w:r>
      <w:r w:rsidR="00C958E7" w:rsidRPr="00C958E7">
        <w:rPr>
          <w:bCs/>
          <w:iCs/>
        </w:rPr>
        <w:t>(</w:t>
      </w:r>
      <w:r w:rsidR="00C958E7">
        <w:rPr>
          <w:bCs/>
          <w:iCs/>
        </w:rPr>
        <w:t>c</w:t>
      </w:r>
      <w:r w:rsidR="00C958E7" w:rsidRPr="00C958E7">
        <w:rPr>
          <w:bCs/>
          <w:iCs/>
        </w:rPr>
        <w:t>) of the Administrative Litigation Act pr</w:t>
      </w:r>
      <w:r w:rsidR="00C958E7">
        <w:rPr>
          <w:bCs/>
          <w:iCs/>
        </w:rPr>
        <w:t>events</w:t>
      </w:r>
      <w:r w:rsidR="00C958E7" w:rsidRPr="00C958E7">
        <w:rPr>
          <w:bCs/>
          <w:iCs/>
        </w:rPr>
        <w:t xml:space="preserve"> domestic courts </w:t>
      </w:r>
      <w:r w:rsidR="00C958E7">
        <w:rPr>
          <w:bCs/>
          <w:iCs/>
        </w:rPr>
        <w:t>from examining the</w:t>
      </w:r>
      <w:r w:rsidR="00C958E7" w:rsidRPr="00C958E7">
        <w:rPr>
          <w:bCs/>
          <w:iCs/>
        </w:rPr>
        <w:t xml:space="preserve"> legality of domestic legislative acts</w:t>
      </w:r>
      <w:r w:rsidR="00C958E7">
        <w:rPr>
          <w:bCs/>
          <w:iCs/>
        </w:rPr>
        <w:t xml:space="preserve"> as</w:t>
      </w:r>
      <w:r w:rsidR="00C958E7" w:rsidRPr="00C958E7">
        <w:rPr>
          <w:bCs/>
          <w:iCs/>
        </w:rPr>
        <w:t xml:space="preserve"> this is </w:t>
      </w:r>
      <w:r w:rsidR="00C958E7">
        <w:rPr>
          <w:bCs/>
          <w:iCs/>
        </w:rPr>
        <w:t xml:space="preserve">within the exclusive </w:t>
      </w:r>
      <w:r w:rsidR="00C958E7" w:rsidRPr="00C958E7">
        <w:rPr>
          <w:bCs/>
          <w:iCs/>
        </w:rPr>
        <w:t>competence of the Constitutional Court</w:t>
      </w:r>
      <w:r w:rsidR="00C958E7">
        <w:rPr>
          <w:bCs/>
          <w:iCs/>
        </w:rPr>
        <w:t xml:space="preserve"> and as a</w:t>
      </w:r>
      <w:r w:rsidR="00C958E7" w:rsidRPr="00C958E7">
        <w:rPr>
          <w:bCs/>
          <w:iCs/>
        </w:rPr>
        <w:t xml:space="preserve">rticle 25 of the Constitutional Court Act </w:t>
      </w:r>
      <w:r w:rsidR="00C958E7">
        <w:rPr>
          <w:bCs/>
          <w:iCs/>
        </w:rPr>
        <w:t>prevents him from lodging a petition before the Constitutional Court (see para. 2.3).</w:t>
      </w:r>
    </w:p>
    <w:p w14:paraId="3AA160BF" w14:textId="478301F0" w:rsidR="00575BF6" w:rsidRPr="00575BF6" w:rsidRDefault="004B0B43" w:rsidP="004B0B43">
      <w:pPr>
        <w:pStyle w:val="H23G"/>
      </w:pPr>
      <w:r>
        <w:tab/>
      </w:r>
      <w:r>
        <w:tab/>
      </w:r>
      <w:r w:rsidR="00575BF6" w:rsidRPr="00575BF6">
        <w:t>Issues and proceedings before the Committee</w:t>
      </w:r>
    </w:p>
    <w:p w14:paraId="5C0944FE" w14:textId="0A5BE2FA" w:rsidR="00575BF6" w:rsidRPr="00575BF6" w:rsidRDefault="00575BF6" w:rsidP="004B0B43">
      <w:pPr>
        <w:pStyle w:val="H4G"/>
      </w:pPr>
      <w:r>
        <w:tab/>
      </w:r>
      <w:r w:rsidR="004B0B43">
        <w:tab/>
      </w:r>
      <w:r w:rsidR="004B0B43">
        <w:tab/>
      </w:r>
      <w:r w:rsidRPr="00575BF6">
        <w:t>Consideration of admissibility</w:t>
      </w:r>
    </w:p>
    <w:p w14:paraId="6AA8BAA8" w14:textId="1B629362" w:rsidR="00575BF6" w:rsidRPr="00575BF6" w:rsidRDefault="008A25BB" w:rsidP="00575BF6">
      <w:pPr>
        <w:pStyle w:val="SingleTxtG"/>
        <w:rPr>
          <w:bCs/>
          <w:iCs/>
          <w:lang w:val="x-none"/>
        </w:rPr>
      </w:pPr>
      <w:r>
        <w:rPr>
          <w:bCs/>
          <w:iCs/>
        </w:rPr>
        <w:t>6</w:t>
      </w:r>
      <w:r w:rsidR="00575BF6" w:rsidRPr="00575BF6">
        <w:rPr>
          <w:bCs/>
          <w:iCs/>
          <w:lang w:val="x-none"/>
        </w:rPr>
        <w:t>.1</w:t>
      </w:r>
      <w:r w:rsidR="00575BF6" w:rsidRPr="00575BF6">
        <w:rPr>
          <w:bCs/>
          <w:iCs/>
          <w:lang w:val="x-none"/>
        </w:rPr>
        <w:tab/>
        <w:t>Before considering any claims contained in a communication, the Committee must decide, in accordance with rule 97 of its rules of procedure, whether the communication is admissible under the Optional Protocol to the Covenant.</w:t>
      </w:r>
    </w:p>
    <w:p w14:paraId="660DBEEF" w14:textId="7A8F9CB1" w:rsidR="00575BF6" w:rsidRDefault="008A25BB" w:rsidP="00575BF6">
      <w:pPr>
        <w:pStyle w:val="SingleTxtG"/>
        <w:rPr>
          <w:bCs/>
          <w:iCs/>
        </w:rPr>
      </w:pPr>
      <w:r>
        <w:rPr>
          <w:bCs/>
          <w:iCs/>
        </w:rPr>
        <w:t>6</w:t>
      </w:r>
      <w:r w:rsidR="00575BF6" w:rsidRPr="00575BF6">
        <w:rPr>
          <w:bCs/>
          <w:iCs/>
        </w:rPr>
        <w:t>.2</w:t>
      </w:r>
      <w:r w:rsidR="00575BF6" w:rsidRPr="00575BF6">
        <w:rPr>
          <w:bCs/>
          <w:iCs/>
        </w:rPr>
        <w:tab/>
        <w:t>The Committee has ascertained, as required under article 5 (2) (a) of the Optional Protocol, that the same matter is not being examined under another procedure of international investigation or settlement.</w:t>
      </w:r>
    </w:p>
    <w:p w14:paraId="545385E4" w14:textId="787EB0F0" w:rsidR="00243F71" w:rsidRPr="00575BF6" w:rsidRDefault="008A25BB" w:rsidP="00575BF6">
      <w:pPr>
        <w:pStyle w:val="SingleTxtG"/>
        <w:rPr>
          <w:bCs/>
          <w:iCs/>
        </w:rPr>
      </w:pPr>
      <w:r>
        <w:rPr>
          <w:bCs/>
          <w:iCs/>
        </w:rPr>
        <w:t>6</w:t>
      </w:r>
      <w:r w:rsidR="00243F71">
        <w:rPr>
          <w:bCs/>
          <w:iCs/>
        </w:rPr>
        <w:t>.3</w:t>
      </w:r>
      <w:r w:rsidR="00243F71">
        <w:rPr>
          <w:bCs/>
          <w:iCs/>
        </w:rPr>
        <w:tab/>
      </w:r>
      <w:r w:rsidR="00243F71" w:rsidRPr="00243F71">
        <w:rPr>
          <w:bCs/>
          <w:iCs/>
        </w:rPr>
        <w:t>The Committee notes the author’s claim that he has exhausted all effective domestic remedies available to h</w:t>
      </w:r>
      <w:r w:rsidR="00243F71">
        <w:rPr>
          <w:bCs/>
          <w:iCs/>
        </w:rPr>
        <w:t>im</w:t>
      </w:r>
      <w:r w:rsidR="00243F71" w:rsidRPr="00243F71">
        <w:rPr>
          <w:bCs/>
          <w:iCs/>
        </w:rPr>
        <w:t>. In the absence of any objection by the State party in that connection, the Committee considers that the requirements of article 5 (2) (b) of the Optional Protocol have been met.</w:t>
      </w:r>
    </w:p>
    <w:p w14:paraId="74618035" w14:textId="12BEA13F" w:rsidR="00243F71" w:rsidRDefault="008A25BB" w:rsidP="004559CA">
      <w:pPr>
        <w:pStyle w:val="SingleTxtG"/>
        <w:rPr>
          <w:bCs/>
          <w:iCs/>
        </w:rPr>
      </w:pPr>
      <w:r>
        <w:rPr>
          <w:bCs/>
          <w:iCs/>
        </w:rPr>
        <w:t>6</w:t>
      </w:r>
      <w:r w:rsidR="00575BF6" w:rsidRPr="00575BF6">
        <w:rPr>
          <w:bCs/>
          <w:iCs/>
        </w:rPr>
        <w:t>.</w:t>
      </w:r>
      <w:r w:rsidR="00243F71">
        <w:rPr>
          <w:bCs/>
          <w:iCs/>
        </w:rPr>
        <w:t>4</w:t>
      </w:r>
      <w:r w:rsidR="00575BF6" w:rsidRPr="00575BF6">
        <w:rPr>
          <w:bCs/>
          <w:iCs/>
        </w:rPr>
        <w:tab/>
      </w:r>
      <w:r w:rsidR="00575BF6" w:rsidRPr="00BC39A4">
        <w:rPr>
          <w:bCs/>
          <w:iCs/>
        </w:rPr>
        <w:t xml:space="preserve">The Committee notes </w:t>
      </w:r>
      <w:r w:rsidR="00F65A38" w:rsidRPr="00BC39A4">
        <w:rPr>
          <w:bCs/>
          <w:iCs/>
        </w:rPr>
        <w:t xml:space="preserve">the State party’s submission that </w:t>
      </w:r>
      <w:r w:rsidR="00277328" w:rsidRPr="00277328">
        <w:rPr>
          <w:bCs/>
          <w:iCs/>
        </w:rPr>
        <w:t xml:space="preserve">the communication is inadmissible due to insufficient substantiation. </w:t>
      </w:r>
      <w:r w:rsidR="00243F71">
        <w:rPr>
          <w:bCs/>
          <w:iCs/>
        </w:rPr>
        <w:t xml:space="preserve">The Committee notes the author’s claim that his </w:t>
      </w:r>
      <w:r w:rsidR="004559CA" w:rsidRPr="004559CA">
        <w:rPr>
          <w:bCs/>
          <w:iCs/>
        </w:rPr>
        <w:t xml:space="preserve">right to an effective remedy </w:t>
      </w:r>
      <w:r w:rsidR="004559CA">
        <w:rPr>
          <w:bCs/>
          <w:iCs/>
        </w:rPr>
        <w:t xml:space="preserve">under article 2 (3) of the Covenant </w:t>
      </w:r>
      <w:r w:rsidR="004559CA" w:rsidRPr="004559CA">
        <w:rPr>
          <w:bCs/>
          <w:iCs/>
        </w:rPr>
        <w:t>has been violated</w:t>
      </w:r>
      <w:r w:rsidR="004559CA">
        <w:rPr>
          <w:bCs/>
          <w:iCs/>
        </w:rPr>
        <w:t xml:space="preserve"> as</w:t>
      </w:r>
      <w:r w:rsidR="004559CA" w:rsidRPr="004559CA">
        <w:rPr>
          <w:bCs/>
          <w:iCs/>
        </w:rPr>
        <w:t xml:space="preserve"> the Administrative Litigation Act</w:t>
      </w:r>
      <w:r w:rsidR="004559CA">
        <w:rPr>
          <w:bCs/>
          <w:iCs/>
        </w:rPr>
        <w:t xml:space="preserve"> stipulates that examination of </w:t>
      </w:r>
      <w:r w:rsidR="004559CA" w:rsidRPr="004559CA">
        <w:rPr>
          <w:bCs/>
          <w:iCs/>
        </w:rPr>
        <w:t>the legality of domestic legislation is within the exclusive competence of the Constitutional Court</w:t>
      </w:r>
      <w:r w:rsidR="004559CA">
        <w:rPr>
          <w:bCs/>
          <w:iCs/>
        </w:rPr>
        <w:t>, and as he lack</w:t>
      </w:r>
      <w:r w:rsidR="00E93FD9">
        <w:rPr>
          <w:bCs/>
          <w:iCs/>
        </w:rPr>
        <w:t>s</w:t>
      </w:r>
      <w:r w:rsidR="004559CA">
        <w:rPr>
          <w:bCs/>
          <w:iCs/>
        </w:rPr>
        <w:t xml:space="preserve"> standing to bring such a petition before the </w:t>
      </w:r>
      <w:r w:rsidR="004559CA" w:rsidRPr="004559CA">
        <w:rPr>
          <w:bCs/>
          <w:iCs/>
        </w:rPr>
        <w:t>Constitutional Court</w:t>
      </w:r>
      <w:r w:rsidR="004559CA">
        <w:rPr>
          <w:bCs/>
          <w:iCs/>
        </w:rPr>
        <w:t xml:space="preserve">. </w:t>
      </w:r>
      <w:r w:rsidR="004559CA" w:rsidRPr="004559CA">
        <w:rPr>
          <w:bCs/>
          <w:iCs/>
        </w:rPr>
        <w:t xml:space="preserve">The Committee recalls its jurisprudence, which indicates that the provisions of article 2 set forth a general obligation for States parties and cannot give rise, when invoked separately, to a claim in a </w:t>
      </w:r>
      <w:r w:rsidR="004559CA" w:rsidRPr="004559CA">
        <w:rPr>
          <w:bCs/>
          <w:iCs/>
        </w:rPr>
        <w:lastRenderedPageBreak/>
        <w:t>communication under the Optional Protocol.</w:t>
      </w:r>
      <w:r w:rsidR="004559CA">
        <w:rPr>
          <w:rStyle w:val="FootnoteReference"/>
          <w:bCs/>
          <w:iCs/>
        </w:rPr>
        <w:footnoteReference w:id="5"/>
      </w:r>
      <w:r w:rsidR="004559CA" w:rsidRPr="004559CA">
        <w:rPr>
          <w:bCs/>
          <w:iCs/>
        </w:rPr>
        <w:t xml:space="preserve"> Accordingly, it concludes that this part of the communication is inadmissible under article 2 of the Optional Protocol.</w:t>
      </w:r>
    </w:p>
    <w:p w14:paraId="4D166946" w14:textId="52A390E4" w:rsidR="00D2161E" w:rsidRPr="00D2161E" w:rsidRDefault="008A25BB" w:rsidP="00D2161E">
      <w:pPr>
        <w:pStyle w:val="SingleTxtG"/>
        <w:rPr>
          <w:bCs/>
          <w:iCs/>
        </w:rPr>
      </w:pPr>
      <w:r>
        <w:rPr>
          <w:bCs/>
          <w:iCs/>
        </w:rPr>
        <w:t>6</w:t>
      </w:r>
      <w:r w:rsidR="00D2161E">
        <w:rPr>
          <w:bCs/>
          <w:iCs/>
        </w:rPr>
        <w:t>.5</w:t>
      </w:r>
      <w:r w:rsidR="00D2161E">
        <w:rPr>
          <w:bCs/>
          <w:iCs/>
        </w:rPr>
        <w:tab/>
        <w:t>The Committee further notes the author’s claim that his right to</w:t>
      </w:r>
      <w:r w:rsidR="00D2161E" w:rsidRPr="00D2161E">
        <w:rPr>
          <w:bCs/>
          <w:iCs/>
        </w:rPr>
        <w:t xml:space="preserve"> private life under article 17</w:t>
      </w:r>
      <w:r w:rsidR="00E93FD9">
        <w:rPr>
          <w:bCs/>
          <w:iCs/>
        </w:rPr>
        <w:t>,</w:t>
      </w:r>
      <w:r w:rsidR="00D2161E">
        <w:rPr>
          <w:bCs/>
          <w:iCs/>
        </w:rPr>
        <w:t xml:space="preserve"> </w:t>
      </w:r>
      <w:r w:rsidR="00D2161E" w:rsidRPr="00D2161E">
        <w:rPr>
          <w:bCs/>
          <w:iCs/>
        </w:rPr>
        <w:t xml:space="preserve">read </w:t>
      </w:r>
      <w:r w:rsidR="00D2161E">
        <w:rPr>
          <w:bCs/>
          <w:iCs/>
        </w:rPr>
        <w:t xml:space="preserve">alone and </w:t>
      </w:r>
      <w:r w:rsidR="00D2161E" w:rsidRPr="00D2161E">
        <w:rPr>
          <w:bCs/>
          <w:iCs/>
        </w:rPr>
        <w:t xml:space="preserve">in conjunction with article 2 (1) of the Covenant, has </w:t>
      </w:r>
      <w:r w:rsidR="00D2161E">
        <w:rPr>
          <w:bCs/>
          <w:iCs/>
        </w:rPr>
        <w:t xml:space="preserve">been violated due to his inability to practice law in the State party. The Committee notes that the author has not provided any further specific information or argumentation </w:t>
      </w:r>
      <w:r w:rsidR="00B3008D">
        <w:rPr>
          <w:bCs/>
          <w:iCs/>
        </w:rPr>
        <w:t>to justify</w:t>
      </w:r>
      <w:r w:rsidR="00D2161E">
        <w:rPr>
          <w:bCs/>
          <w:iCs/>
        </w:rPr>
        <w:t xml:space="preserve"> this claim and therefore finds it inadmissible for lack of sufficient substantiation </w:t>
      </w:r>
      <w:r w:rsidR="00D2161E" w:rsidRPr="00D2161E">
        <w:rPr>
          <w:bCs/>
          <w:iCs/>
        </w:rPr>
        <w:t>under article 2 of the Optional Protocol.</w:t>
      </w:r>
    </w:p>
    <w:p w14:paraId="1ED2B0DF" w14:textId="1D2D0538" w:rsidR="00844B55" w:rsidRDefault="008A25BB" w:rsidP="00F06BA8">
      <w:pPr>
        <w:pStyle w:val="SingleTxtG"/>
        <w:rPr>
          <w:bCs/>
          <w:iCs/>
        </w:rPr>
      </w:pPr>
      <w:r>
        <w:rPr>
          <w:bCs/>
          <w:iCs/>
        </w:rPr>
        <w:t>6</w:t>
      </w:r>
      <w:r w:rsidR="00D2161E">
        <w:rPr>
          <w:bCs/>
          <w:iCs/>
        </w:rPr>
        <w:t>.6</w:t>
      </w:r>
      <w:r w:rsidR="00D2161E">
        <w:rPr>
          <w:bCs/>
          <w:iCs/>
        </w:rPr>
        <w:tab/>
        <w:t xml:space="preserve">The Committee </w:t>
      </w:r>
      <w:r w:rsidR="006B751B">
        <w:rPr>
          <w:bCs/>
          <w:iCs/>
        </w:rPr>
        <w:t>notes the</w:t>
      </w:r>
      <w:r w:rsidR="00277328" w:rsidRPr="00277328">
        <w:rPr>
          <w:bCs/>
          <w:iCs/>
        </w:rPr>
        <w:t xml:space="preserve"> </w:t>
      </w:r>
      <w:r w:rsidR="00243F71">
        <w:rPr>
          <w:bCs/>
          <w:iCs/>
        </w:rPr>
        <w:t>author’s</w:t>
      </w:r>
      <w:r w:rsidR="006B751B">
        <w:rPr>
          <w:bCs/>
          <w:iCs/>
        </w:rPr>
        <w:t xml:space="preserve"> </w:t>
      </w:r>
      <w:r w:rsidR="00243F71" w:rsidRPr="00243F71">
        <w:rPr>
          <w:bCs/>
          <w:iCs/>
        </w:rPr>
        <w:t xml:space="preserve">claims that his rights under article 26 </w:t>
      </w:r>
      <w:r w:rsidR="00D2161E">
        <w:rPr>
          <w:bCs/>
          <w:iCs/>
        </w:rPr>
        <w:t xml:space="preserve">of the Covenant </w:t>
      </w:r>
      <w:r>
        <w:rPr>
          <w:bCs/>
          <w:iCs/>
        </w:rPr>
        <w:t xml:space="preserve">have been violated </w:t>
      </w:r>
      <w:r w:rsidR="00D2161E">
        <w:rPr>
          <w:bCs/>
          <w:iCs/>
        </w:rPr>
        <w:t>as he has been denied the possibility to practice law in the State party due to his inability to apply</w:t>
      </w:r>
      <w:r w:rsidR="00243F71">
        <w:rPr>
          <w:bCs/>
          <w:iCs/>
        </w:rPr>
        <w:t xml:space="preserve"> for membership of the Bar Association of Chisinau</w:t>
      </w:r>
      <w:r>
        <w:rPr>
          <w:bCs/>
          <w:iCs/>
        </w:rPr>
        <w:t>,</w:t>
      </w:r>
      <w:r w:rsidR="00D2161E">
        <w:rPr>
          <w:bCs/>
          <w:iCs/>
        </w:rPr>
        <w:t xml:space="preserve"> based on </w:t>
      </w:r>
      <w:r>
        <w:rPr>
          <w:bCs/>
          <w:iCs/>
        </w:rPr>
        <w:t>not being a national of the State party</w:t>
      </w:r>
      <w:r w:rsidR="00243F71" w:rsidRPr="00243F71">
        <w:rPr>
          <w:bCs/>
          <w:iCs/>
        </w:rPr>
        <w:t xml:space="preserve">. </w:t>
      </w:r>
      <w:r>
        <w:rPr>
          <w:bCs/>
          <w:iCs/>
        </w:rPr>
        <w:t>It notes his</w:t>
      </w:r>
      <w:r w:rsidR="00243F71" w:rsidRPr="00243F71">
        <w:rPr>
          <w:bCs/>
          <w:iCs/>
        </w:rPr>
        <w:t xml:space="preserve"> claims that there are no objective and reasonable grounds for denying him membership of the Bar Association on grounds of nationality and that the prohibition for foreign nationals to practice law in </w:t>
      </w:r>
      <w:r>
        <w:rPr>
          <w:bCs/>
          <w:iCs/>
        </w:rPr>
        <w:t>the State party</w:t>
      </w:r>
      <w:r w:rsidR="00243F71" w:rsidRPr="00243F71">
        <w:rPr>
          <w:bCs/>
          <w:iCs/>
        </w:rPr>
        <w:t xml:space="preserve"> is </w:t>
      </w:r>
      <w:r>
        <w:rPr>
          <w:bCs/>
          <w:iCs/>
        </w:rPr>
        <w:t xml:space="preserve">therefore </w:t>
      </w:r>
      <w:r w:rsidR="00243F71" w:rsidRPr="00243F71">
        <w:rPr>
          <w:bCs/>
          <w:iCs/>
        </w:rPr>
        <w:t>arbitrary and discriminatory.</w:t>
      </w:r>
      <w:r>
        <w:rPr>
          <w:bCs/>
          <w:iCs/>
        </w:rPr>
        <w:t xml:space="preserve"> The Committee notes the State party’s submission that </w:t>
      </w:r>
      <w:r w:rsidRPr="008A25BB">
        <w:rPr>
          <w:bCs/>
          <w:iCs/>
        </w:rPr>
        <w:t>article 6 of law no. 12</w:t>
      </w:r>
      <w:r w:rsidR="008F0E15">
        <w:rPr>
          <w:bCs/>
          <w:iCs/>
        </w:rPr>
        <w:t>60</w:t>
      </w:r>
      <w:r w:rsidRPr="008A25BB">
        <w:rPr>
          <w:bCs/>
          <w:iCs/>
        </w:rPr>
        <w:t xml:space="preserve"> provides special provisions applicable to </w:t>
      </w:r>
      <w:r w:rsidR="00E93FD9">
        <w:rPr>
          <w:bCs/>
          <w:iCs/>
        </w:rPr>
        <w:t>non-nationals</w:t>
      </w:r>
      <w:r w:rsidRPr="008A25BB">
        <w:rPr>
          <w:bCs/>
          <w:iCs/>
        </w:rPr>
        <w:t xml:space="preserve"> who would like to practice the profession of lawyer in the State party, namely qualification to practice law in their country of origin and to be registered in the register kept by the Council of the Union of Lawyers</w:t>
      </w:r>
      <w:r w:rsidR="00E93FD9">
        <w:rPr>
          <w:bCs/>
          <w:iCs/>
        </w:rPr>
        <w:t>,</w:t>
      </w:r>
      <w:r>
        <w:rPr>
          <w:bCs/>
          <w:iCs/>
        </w:rPr>
        <w:t xml:space="preserve"> and </w:t>
      </w:r>
      <w:r w:rsidRPr="008A25BB">
        <w:rPr>
          <w:bCs/>
          <w:iCs/>
        </w:rPr>
        <w:t xml:space="preserve">that the author’s claims that he would have no opportunity to practice law in the State party are </w:t>
      </w:r>
      <w:r>
        <w:rPr>
          <w:bCs/>
          <w:iCs/>
        </w:rPr>
        <w:t xml:space="preserve">therefore </w:t>
      </w:r>
      <w:r w:rsidRPr="008A25BB">
        <w:rPr>
          <w:bCs/>
          <w:iCs/>
        </w:rPr>
        <w:t>unfounded.</w:t>
      </w:r>
      <w:r>
        <w:rPr>
          <w:bCs/>
          <w:iCs/>
        </w:rPr>
        <w:t xml:space="preserve"> The Committee also notes that the author has not refuted that he could practice law in the State party under the conditions prescribed by article 6 of law no. 12</w:t>
      </w:r>
      <w:r w:rsidR="00C920A7">
        <w:rPr>
          <w:bCs/>
          <w:iCs/>
        </w:rPr>
        <w:t>60</w:t>
      </w:r>
      <w:r>
        <w:rPr>
          <w:bCs/>
          <w:iCs/>
        </w:rPr>
        <w:t xml:space="preserve">, but notes </w:t>
      </w:r>
      <w:r w:rsidR="00F06BA8">
        <w:rPr>
          <w:bCs/>
          <w:iCs/>
        </w:rPr>
        <w:t>his claim</w:t>
      </w:r>
      <w:r>
        <w:rPr>
          <w:bCs/>
          <w:iCs/>
        </w:rPr>
        <w:t xml:space="preserve"> that the conditions</w:t>
      </w:r>
      <w:r w:rsidR="00F06BA8">
        <w:rPr>
          <w:bCs/>
          <w:iCs/>
        </w:rPr>
        <w:t xml:space="preserve"> prescribed under law no. 12</w:t>
      </w:r>
      <w:r w:rsidR="00C920A7">
        <w:rPr>
          <w:bCs/>
          <w:iCs/>
        </w:rPr>
        <w:t>60</w:t>
      </w:r>
      <w:r w:rsidR="00F06BA8">
        <w:rPr>
          <w:bCs/>
          <w:iCs/>
        </w:rPr>
        <w:t xml:space="preserve"> </w:t>
      </w:r>
      <w:r>
        <w:rPr>
          <w:bCs/>
          <w:iCs/>
        </w:rPr>
        <w:t xml:space="preserve">would not allow him to practice law in the State party on the same conditions as a national of the State party. </w:t>
      </w:r>
    </w:p>
    <w:p w14:paraId="1BAB12BC" w14:textId="4C855118" w:rsidR="00847A84" w:rsidRPr="002A51AB" w:rsidRDefault="00844B55" w:rsidP="006E3BB4">
      <w:pPr>
        <w:pStyle w:val="SingleTxtG"/>
        <w:rPr>
          <w:u w:val="single"/>
        </w:rPr>
      </w:pPr>
      <w:r>
        <w:t>6.7</w:t>
      </w:r>
      <w:r>
        <w:tab/>
      </w:r>
      <w:r w:rsidR="00847A84" w:rsidRPr="00847A84">
        <w:t>The Committee recalls its general comment No. 18 (1989) on non-discrimination in which it stated that the term “discrimination” as used in the Covenant should be understood to imply any distinction, exclusion, restriction or preference which is based on any ground such as race, colour, sex, language, religion, political or other opinion, national or social origin, property, birth or other status, and which has the purpose or effect of nullifying or impairing the recognition, enjoyment or exercise by all persons, on an equal footing, of all rights and freedoms.</w:t>
      </w:r>
      <w:r w:rsidR="00847A84" w:rsidRPr="00847A84">
        <w:rPr>
          <w:vertAlign w:val="superscript"/>
        </w:rPr>
        <w:footnoteReference w:id="6"/>
      </w:r>
      <w:r w:rsidR="00847A84" w:rsidRPr="00847A84">
        <w:t xml:space="preserve"> However, not every differentiation in treatment based on the grounds listed in article 26 amounts to discrimination, as long as it is based on reasonable and objective criteria and is in pursuit of an aim that is legitimate under the Covenant.</w:t>
      </w:r>
      <w:r w:rsidR="00847A84" w:rsidRPr="00847A84">
        <w:rPr>
          <w:vertAlign w:val="superscript"/>
        </w:rPr>
        <w:footnoteReference w:id="7"/>
      </w:r>
      <w:r w:rsidR="00847A84" w:rsidRPr="00847A84">
        <w:t xml:space="preserve"> </w:t>
      </w:r>
      <w:r w:rsidR="00847A84" w:rsidRPr="00847A84">
        <w:rPr>
          <w:lang w:val="en-CA"/>
        </w:rPr>
        <w:t>In the present case, the Committee notes that the parties disagree as to the conditions for non-nationals to practice law in the State party. The Committee however, notes that the author has not refuted the State party’s information that non-nationals of the State party are able to practice law in the State party under the conditions prescribed by law no. 12</w:t>
      </w:r>
      <w:r w:rsidR="00F06920">
        <w:rPr>
          <w:lang w:val="en-CA"/>
        </w:rPr>
        <w:t>60</w:t>
      </w:r>
      <w:r w:rsidR="00847A84" w:rsidRPr="00847A84">
        <w:rPr>
          <w:lang w:val="en-CA"/>
        </w:rPr>
        <w:t xml:space="preserve">, but that he has argued that said conditions are not proportional and </w:t>
      </w:r>
      <w:r w:rsidR="006E4A2D">
        <w:rPr>
          <w:lang w:val="en-CA"/>
        </w:rPr>
        <w:t xml:space="preserve">are </w:t>
      </w:r>
      <w:r w:rsidR="00847A84" w:rsidRPr="00847A84">
        <w:rPr>
          <w:lang w:val="en-CA"/>
        </w:rPr>
        <w:t xml:space="preserve">unduly burdensome. The Committee however notes that the author has not provided any further specific information and argumentation to said claims, nor any information on whether he has applied for registration in the </w:t>
      </w:r>
      <w:r w:rsidR="00847A84" w:rsidRPr="00847A84">
        <w:t>register kept by the Council of the Union of Lawyers as prescribed under law no. 12</w:t>
      </w:r>
      <w:r w:rsidR="00F06920">
        <w:t>60</w:t>
      </w:r>
      <w:r w:rsidR="00847A84" w:rsidRPr="00847A84">
        <w:t xml:space="preserve">. </w:t>
      </w:r>
      <w:r w:rsidR="00B3008D">
        <w:t>Neither has he justified that he would be prevented from becoming a qualified lawyer in his country of origin for meeting the conditions of law no. 12</w:t>
      </w:r>
      <w:r w:rsidR="00F06920">
        <w:t>60</w:t>
      </w:r>
      <w:r w:rsidR="00B3008D">
        <w:t xml:space="preserve">. </w:t>
      </w:r>
      <w:r w:rsidR="00847A84" w:rsidRPr="00847A84">
        <w:t xml:space="preserve">It </w:t>
      </w:r>
      <w:r w:rsidR="00847A84" w:rsidRPr="00847A84">
        <w:rPr>
          <w:lang w:val="en-CA"/>
        </w:rPr>
        <w:t>considers</w:t>
      </w:r>
      <w:r w:rsidR="006E4A2D">
        <w:rPr>
          <w:lang w:val="en-CA"/>
        </w:rPr>
        <w:t xml:space="preserve"> therefore</w:t>
      </w:r>
      <w:r w:rsidR="00847A84" w:rsidRPr="00847A84">
        <w:rPr>
          <w:lang w:val="en-CA"/>
        </w:rPr>
        <w:t xml:space="preserve"> that the author has failed, based on the information on file, to substantiate, for purposes of admissibility, that </w:t>
      </w:r>
      <w:r w:rsidR="00847A84" w:rsidRPr="00847A84">
        <w:t>the differentiation in treatment based on nationality w</w:t>
      </w:r>
      <w:r w:rsidR="006E4A2D">
        <w:t>as</w:t>
      </w:r>
      <w:r w:rsidR="00847A84" w:rsidRPr="00847A84">
        <w:t xml:space="preserve"> not based on reasonable and objective criteria and in pursuit </w:t>
      </w:r>
      <w:r w:rsidR="00847A84" w:rsidRPr="006E3BB4">
        <w:t>of</w:t>
      </w:r>
      <w:r w:rsidR="00847A84" w:rsidRPr="00847A84">
        <w:t xml:space="preserve"> a legitimate aim</w:t>
      </w:r>
      <w:r w:rsidR="00847A84" w:rsidRPr="00847A84">
        <w:rPr>
          <w:lang w:val="en-CA"/>
        </w:rPr>
        <w:t xml:space="preserve">. </w:t>
      </w:r>
      <w:r w:rsidR="00847A84" w:rsidRPr="00847A84">
        <w:t xml:space="preserve">The Committee therefore declares the author’s claims under article 26 of the Covenant insufficiently substantiated and thus inadmissible under article 2 of the Optional Protocol. </w:t>
      </w:r>
    </w:p>
    <w:p w14:paraId="09C0C653" w14:textId="0DAD6ADE" w:rsidR="00575BF6" w:rsidRPr="00575BF6" w:rsidRDefault="0088738E" w:rsidP="00575BF6">
      <w:pPr>
        <w:pStyle w:val="SingleTxtG"/>
        <w:rPr>
          <w:bCs/>
        </w:rPr>
      </w:pPr>
      <w:r>
        <w:rPr>
          <w:bCs/>
        </w:rPr>
        <w:t>7</w:t>
      </w:r>
      <w:r w:rsidR="00575BF6" w:rsidRPr="00575BF6">
        <w:rPr>
          <w:bCs/>
        </w:rPr>
        <w:t>.</w:t>
      </w:r>
      <w:r w:rsidR="00575BF6" w:rsidRPr="00575BF6">
        <w:rPr>
          <w:bCs/>
        </w:rPr>
        <w:tab/>
        <w:t>The Committee therefore decides:</w:t>
      </w:r>
    </w:p>
    <w:p w14:paraId="43852423" w14:textId="6AA57759" w:rsidR="00575BF6" w:rsidRPr="00575BF6" w:rsidRDefault="00575BF6" w:rsidP="002B7706">
      <w:pPr>
        <w:pStyle w:val="SingleTxtG"/>
        <w:ind w:left="2268" w:hanging="567"/>
        <w:rPr>
          <w:bCs/>
        </w:rPr>
      </w:pPr>
      <w:r w:rsidRPr="00575BF6">
        <w:rPr>
          <w:bCs/>
        </w:rPr>
        <w:lastRenderedPageBreak/>
        <w:t>(a)</w:t>
      </w:r>
      <w:r w:rsidRPr="00575BF6">
        <w:rPr>
          <w:bCs/>
        </w:rPr>
        <w:tab/>
        <w:t>That the communication is inadmissible under article</w:t>
      </w:r>
      <w:r w:rsidR="00DB66C6">
        <w:rPr>
          <w:bCs/>
        </w:rPr>
        <w:t xml:space="preserve"> 2</w:t>
      </w:r>
      <w:r w:rsidR="00851236">
        <w:rPr>
          <w:bCs/>
        </w:rPr>
        <w:t xml:space="preserve"> </w:t>
      </w:r>
      <w:r w:rsidRPr="00575BF6">
        <w:rPr>
          <w:bCs/>
        </w:rPr>
        <w:t>of the Optional Protocol;</w:t>
      </w:r>
    </w:p>
    <w:p w14:paraId="65C81F37" w14:textId="19C76CF9" w:rsidR="00575BF6" w:rsidRPr="00575BF6" w:rsidRDefault="00575BF6" w:rsidP="0049680A">
      <w:pPr>
        <w:pStyle w:val="SingleTxtG"/>
        <w:ind w:firstLine="567"/>
        <w:rPr>
          <w:bCs/>
        </w:rPr>
      </w:pPr>
      <w:r w:rsidRPr="00575BF6">
        <w:rPr>
          <w:bCs/>
        </w:rPr>
        <w:t>(b)</w:t>
      </w:r>
      <w:r w:rsidRPr="00575BF6">
        <w:rPr>
          <w:bCs/>
        </w:rPr>
        <w:tab/>
        <w:t>That the decision shall be communicated to the State party and to the author.</w:t>
      </w:r>
    </w:p>
    <w:p w14:paraId="3BAA64A8" w14:textId="50E98669" w:rsidR="00D66BCD" w:rsidRDefault="00733D13" w:rsidP="00733D13">
      <w:pPr>
        <w:pStyle w:val="SingleTxtG"/>
        <w:jc w:val="center"/>
        <w:rPr>
          <w:u w:val="single"/>
        </w:rPr>
      </w:pPr>
      <w:r>
        <w:rPr>
          <w:u w:val="single"/>
        </w:rPr>
        <w:tab/>
      </w:r>
      <w:r>
        <w:rPr>
          <w:u w:val="single"/>
        </w:rPr>
        <w:tab/>
      </w:r>
      <w:r>
        <w:rPr>
          <w:u w:val="single"/>
        </w:rPr>
        <w:tab/>
      </w:r>
      <w:r w:rsidR="00B152AD">
        <w:rPr>
          <w:u w:val="single"/>
        </w:rPr>
        <w:tab/>
      </w:r>
    </w:p>
    <w:sectPr w:rsidR="00D66BCD" w:rsidSect="00472FE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54E17" w14:textId="77777777" w:rsidR="00FF6E25" w:rsidRPr="00B903E5" w:rsidRDefault="00FF6E25" w:rsidP="00B903E5">
      <w:pPr>
        <w:pStyle w:val="Footer"/>
      </w:pPr>
    </w:p>
  </w:endnote>
  <w:endnote w:type="continuationSeparator" w:id="0">
    <w:p w14:paraId="78DEA82B" w14:textId="77777777" w:rsidR="00FF6E25" w:rsidRPr="00B903E5" w:rsidRDefault="00FF6E25"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7F1B9" w14:textId="204A96F2" w:rsidR="00A925EC" w:rsidRDefault="00A925EC" w:rsidP="009A7626">
    <w:pPr>
      <w:pStyle w:val="Footer"/>
      <w:tabs>
        <w:tab w:val="right" w:pos="9638"/>
      </w:tabs>
    </w:pPr>
    <w:r w:rsidRPr="00342D59">
      <w:rPr>
        <w:b/>
        <w:bCs/>
        <w:sz w:val="18"/>
      </w:rPr>
      <w:fldChar w:fldCharType="begin"/>
    </w:r>
    <w:r w:rsidRPr="00342D59">
      <w:rPr>
        <w:b/>
        <w:bCs/>
        <w:sz w:val="18"/>
      </w:rPr>
      <w:instrText xml:space="preserve"> PAGE  \* MERGEFORMAT </w:instrText>
    </w:r>
    <w:r w:rsidRPr="00342D59">
      <w:rPr>
        <w:b/>
        <w:bCs/>
        <w:sz w:val="18"/>
      </w:rPr>
      <w:fldChar w:fldCharType="separate"/>
    </w:r>
    <w:r w:rsidR="003E4C20">
      <w:rPr>
        <w:b/>
        <w:bCs/>
        <w:noProof/>
        <w:sz w:val="18"/>
      </w:rPr>
      <w:t>6</w:t>
    </w:r>
    <w:r w:rsidRPr="00342D5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7F054" w14:textId="193CAB48" w:rsidR="00A925EC" w:rsidRDefault="00A925EC" w:rsidP="00342D59">
    <w:pPr>
      <w:pStyle w:val="Footer"/>
      <w:tabs>
        <w:tab w:val="right" w:pos="9638"/>
      </w:tabs>
    </w:pPr>
    <w:r>
      <w:tab/>
    </w:r>
    <w:r w:rsidRPr="00342D59">
      <w:rPr>
        <w:b/>
        <w:bCs/>
        <w:sz w:val="18"/>
      </w:rPr>
      <w:fldChar w:fldCharType="begin"/>
    </w:r>
    <w:r w:rsidRPr="00342D59">
      <w:rPr>
        <w:b/>
        <w:bCs/>
        <w:sz w:val="18"/>
      </w:rPr>
      <w:instrText xml:space="preserve"> PAGE  \* MERGEFORMAT </w:instrText>
    </w:r>
    <w:r w:rsidRPr="00342D59">
      <w:rPr>
        <w:b/>
        <w:bCs/>
        <w:sz w:val="18"/>
      </w:rPr>
      <w:fldChar w:fldCharType="separate"/>
    </w:r>
    <w:r w:rsidR="003E4C20">
      <w:rPr>
        <w:b/>
        <w:bCs/>
        <w:noProof/>
        <w:sz w:val="18"/>
      </w:rPr>
      <w:t>5</w:t>
    </w:r>
    <w:r w:rsidRPr="00342D5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2C343" w14:textId="0B5122C1" w:rsidR="00547B3F" w:rsidRPr="00896103" w:rsidRDefault="00547B3F" w:rsidP="00896103">
    <w:pPr>
      <w:pStyle w:val="Footer"/>
    </w:pPr>
    <w:r w:rsidRPr="0027112F">
      <w:rPr>
        <w:noProof/>
        <w:lang w:eastAsia="en-GB"/>
      </w:rPr>
      <w:drawing>
        <wp:anchor distT="0" distB="0" distL="114300" distR="114300" simplePos="0" relativeHeight="251659264" behindDoc="0" locked="1" layoutInCell="1" allowOverlap="1" wp14:anchorId="00CEE958" wp14:editId="1CDA93D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0"/>
        <w:lang w:eastAsia="en-GB"/>
      </w:rPr>
      <w:drawing>
        <wp:anchor distT="0" distB="0" distL="114300" distR="114300" simplePos="0" relativeHeight="251660288" behindDoc="0" locked="0" layoutInCell="1" allowOverlap="1" wp14:anchorId="1183FD2E" wp14:editId="3072A5D2">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3DB18" w14:textId="77777777" w:rsidR="00FF6E25" w:rsidRPr="00B903E5" w:rsidRDefault="00FF6E25" w:rsidP="00B903E5">
      <w:pPr>
        <w:tabs>
          <w:tab w:val="right" w:pos="2155"/>
        </w:tabs>
        <w:spacing w:after="80" w:line="240" w:lineRule="auto"/>
        <w:ind w:left="680"/>
      </w:pPr>
      <w:r>
        <w:rPr>
          <w:u w:val="single"/>
        </w:rPr>
        <w:tab/>
      </w:r>
    </w:p>
  </w:footnote>
  <w:footnote w:type="continuationSeparator" w:id="0">
    <w:p w14:paraId="002C3C4B" w14:textId="77777777" w:rsidR="00FF6E25" w:rsidRPr="00B903E5" w:rsidRDefault="00FF6E25" w:rsidP="00B903E5">
      <w:pPr>
        <w:tabs>
          <w:tab w:val="right" w:pos="2155"/>
        </w:tabs>
        <w:spacing w:after="80" w:line="240" w:lineRule="auto"/>
        <w:ind w:left="680"/>
      </w:pPr>
      <w:r>
        <w:rPr>
          <w:u w:val="single"/>
        </w:rPr>
        <w:tab/>
      </w:r>
    </w:p>
  </w:footnote>
  <w:footnote w:id="1">
    <w:p w14:paraId="1B5F08BF" w14:textId="77777777" w:rsidR="006F66BE" w:rsidRPr="0086746D" w:rsidRDefault="006F66BE" w:rsidP="006F66BE">
      <w:pPr>
        <w:pStyle w:val="FootnoteText"/>
      </w:pPr>
      <w:r>
        <w:tab/>
      </w:r>
      <w:r w:rsidRPr="0086746D">
        <w:t>*</w:t>
      </w:r>
      <w:r w:rsidRPr="0086746D">
        <w:tab/>
        <w:t xml:space="preserve">Adopted by the Committee at its </w:t>
      </w:r>
      <w:r>
        <w:t>135th session</w:t>
      </w:r>
      <w:r w:rsidRPr="0086746D">
        <w:t xml:space="preserve"> (</w:t>
      </w:r>
      <w:r>
        <w:t>27 June – 27 July 2022</w:t>
      </w:r>
      <w:r w:rsidRPr="0086746D">
        <w:t>).</w:t>
      </w:r>
    </w:p>
    <w:p w14:paraId="27DF395E" w14:textId="0E3F63FC" w:rsidR="006F66BE" w:rsidRPr="00A3360D" w:rsidRDefault="006F66BE" w:rsidP="006F66BE">
      <w:pPr>
        <w:pStyle w:val="FootnoteText"/>
        <w:rPr>
          <w:bCs/>
          <w:lang w:val="en-US"/>
        </w:rPr>
      </w:pPr>
      <w:r w:rsidRPr="0086746D">
        <w:tab/>
        <w:t>**</w:t>
      </w:r>
      <w:r w:rsidRPr="0086746D">
        <w:tab/>
        <w:t xml:space="preserve">The following members of the Committee participated in the examination of the communication: </w:t>
      </w:r>
      <w:hyperlink r:id="rId1" w:history="1">
        <w:r w:rsidRPr="00896103">
          <w:t xml:space="preserve">Tania </w:t>
        </w:r>
        <w:proofErr w:type="spellStart"/>
        <w:r w:rsidRPr="00896103">
          <w:t>María</w:t>
        </w:r>
        <w:proofErr w:type="spellEnd"/>
        <w:r w:rsidRPr="00896103">
          <w:t xml:space="preserve"> </w:t>
        </w:r>
        <w:proofErr w:type="spellStart"/>
        <w:r w:rsidRPr="00896103">
          <w:t>Abdo</w:t>
        </w:r>
        <w:proofErr w:type="spellEnd"/>
        <w:r w:rsidRPr="00896103">
          <w:t xml:space="preserve"> </w:t>
        </w:r>
        <w:proofErr w:type="spellStart"/>
        <w:r w:rsidRPr="00896103">
          <w:t>Rocholl</w:t>
        </w:r>
        <w:proofErr w:type="spellEnd"/>
        <w:r w:rsidRPr="00896103">
          <w:t>,</w:t>
        </w:r>
      </w:hyperlink>
      <w:r w:rsidRPr="00896103">
        <w:rPr>
          <w:bCs/>
        </w:rPr>
        <w:t xml:space="preserve"> </w:t>
      </w:r>
      <w:proofErr w:type="spellStart"/>
      <w:r w:rsidRPr="00896103">
        <w:rPr>
          <w:bCs/>
        </w:rPr>
        <w:t>Wafaa</w:t>
      </w:r>
      <w:proofErr w:type="spellEnd"/>
      <w:r w:rsidRPr="00896103">
        <w:rPr>
          <w:bCs/>
        </w:rPr>
        <w:t xml:space="preserve"> Ashraf </w:t>
      </w:r>
      <w:proofErr w:type="spellStart"/>
      <w:r w:rsidRPr="00896103">
        <w:rPr>
          <w:bCs/>
        </w:rPr>
        <w:t>Moharram</w:t>
      </w:r>
      <w:proofErr w:type="spellEnd"/>
      <w:r w:rsidRPr="00896103">
        <w:rPr>
          <w:bCs/>
        </w:rPr>
        <w:t xml:space="preserve"> </w:t>
      </w:r>
      <w:proofErr w:type="spellStart"/>
      <w:r w:rsidRPr="00896103">
        <w:rPr>
          <w:bCs/>
        </w:rPr>
        <w:t>Bassim</w:t>
      </w:r>
      <w:proofErr w:type="spellEnd"/>
      <w:r w:rsidRPr="00896103">
        <w:rPr>
          <w:bCs/>
        </w:rPr>
        <w:t xml:space="preserve">, </w:t>
      </w:r>
      <w:proofErr w:type="spellStart"/>
      <w:r w:rsidRPr="00896103">
        <w:rPr>
          <w:bCs/>
        </w:rPr>
        <w:t>Yadh</w:t>
      </w:r>
      <w:proofErr w:type="spellEnd"/>
      <w:r w:rsidRPr="00896103">
        <w:rPr>
          <w:bCs/>
        </w:rPr>
        <w:t xml:space="preserve"> Ben </w:t>
      </w:r>
      <w:proofErr w:type="spellStart"/>
      <w:r w:rsidRPr="00896103">
        <w:rPr>
          <w:bCs/>
        </w:rPr>
        <w:t>Achour</w:t>
      </w:r>
      <w:proofErr w:type="spellEnd"/>
      <w:r w:rsidRPr="00896103">
        <w:rPr>
          <w:bCs/>
        </w:rPr>
        <w:t xml:space="preserve">, Arif Bulkan, </w:t>
      </w:r>
      <w:proofErr w:type="spellStart"/>
      <w:r w:rsidRPr="00896103">
        <w:rPr>
          <w:bCs/>
        </w:rPr>
        <w:t>Mahjoub</w:t>
      </w:r>
      <w:proofErr w:type="spellEnd"/>
      <w:r w:rsidRPr="00896103">
        <w:rPr>
          <w:bCs/>
        </w:rPr>
        <w:t xml:space="preserve"> El </w:t>
      </w:r>
      <w:proofErr w:type="spellStart"/>
      <w:r w:rsidRPr="00896103">
        <w:rPr>
          <w:bCs/>
        </w:rPr>
        <w:t>Haiba</w:t>
      </w:r>
      <w:proofErr w:type="spellEnd"/>
      <w:r w:rsidRPr="00896103">
        <w:rPr>
          <w:bCs/>
        </w:rPr>
        <w:t xml:space="preserve">, Shuichi </w:t>
      </w:r>
      <w:proofErr w:type="spellStart"/>
      <w:r w:rsidRPr="00896103">
        <w:rPr>
          <w:bCs/>
        </w:rPr>
        <w:t>Furuya</w:t>
      </w:r>
      <w:proofErr w:type="spellEnd"/>
      <w:r w:rsidRPr="00896103">
        <w:rPr>
          <w:bCs/>
        </w:rPr>
        <w:t xml:space="preserve">, </w:t>
      </w:r>
      <w:r w:rsidRPr="00896103">
        <w:rPr>
          <w:bCs/>
          <w:lang w:val="en-US"/>
        </w:rPr>
        <w:t>Car</w:t>
      </w:r>
      <w:r>
        <w:rPr>
          <w:bCs/>
          <w:lang w:val="en-US"/>
        </w:rPr>
        <w:t>los Gomez Martinez</w:t>
      </w:r>
      <w:r w:rsidRPr="00A3360D">
        <w:rPr>
          <w:bCs/>
          <w:lang w:val="en-US"/>
        </w:rPr>
        <w:t xml:space="preserve">, Marcia V.J. </w:t>
      </w:r>
      <w:proofErr w:type="spellStart"/>
      <w:r w:rsidRPr="00A3360D">
        <w:rPr>
          <w:bCs/>
          <w:lang w:val="en-US"/>
        </w:rPr>
        <w:t>Kran</w:t>
      </w:r>
      <w:proofErr w:type="spellEnd"/>
      <w:r w:rsidRPr="00A3360D">
        <w:rPr>
          <w:bCs/>
          <w:lang w:val="en-US"/>
        </w:rPr>
        <w:t xml:space="preserve">, </w:t>
      </w:r>
      <w:r>
        <w:rPr>
          <w:bCs/>
          <w:lang w:val="en-US"/>
        </w:rPr>
        <w:t xml:space="preserve">Duncan </w:t>
      </w:r>
      <w:proofErr w:type="spellStart"/>
      <w:r>
        <w:rPr>
          <w:bCs/>
          <w:lang w:val="en-US"/>
        </w:rPr>
        <w:t>Laki</w:t>
      </w:r>
      <w:proofErr w:type="spellEnd"/>
      <w:r>
        <w:rPr>
          <w:bCs/>
          <w:lang w:val="en-US"/>
        </w:rPr>
        <w:t xml:space="preserve"> </w:t>
      </w:r>
      <w:proofErr w:type="spellStart"/>
      <w:r>
        <w:rPr>
          <w:bCs/>
          <w:lang w:val="en-US"/>
        </w:rPr>
        <w:t>Muhumuza</w:t>
      </w:r>
      <w:proofErr w:type="spellEnd"/>
      <w:r>
        <w:rPr>
          <w:bCs/>
          <w:lang w:val="en-US"/>
        </w:rPr>
        <w:t xml:space="preserve">, </w:t>
      </w:r>
      <w:proofErr w:type="spellStart"/>
      <w:r w:rsidRPr="00A3360D">
        <w:rPr>
          <w:bCs/>
          <w:lang w:val="en-US"/>
        </w:rPr>
        <w:t>Photini</w:t>
      </w:r>
      <w:proofErr w:type="spellEnd"/>
      <w:r w:rsidRPr="00A3360D">
        <w:rPr>
          <w:bCs/>
          <w:lang w:val="en-US"/>
        </w:rPr>
        <w:t xml:space="preserve"> </w:t>
      </w:r>
      <w:proofErr w:type="spellStart"/>
      <w:r w:rsidRPr="00A3360D">
        <w:rPr>
          <w:bCs/>
          <w:lang w:val="en-US"/>
        </w:rPr>
        <w:t>Pazartzis</w:t>
      </w:r>
      <w:proofErr w:type="spellEnd"/>
      <w:r w:rsidRPr="00A3360D">
        <w:rPr>
          <w:bCs/>
          <w:lang w:val="en-US"/>
        </w:rPr>
        <w:t xml:space="preserve">, </w:t>
      </w:r>
      <w:r>
        <w:rPr>
          <w:bCs/>
          <w:lang w:val="en-US"/>
        </w:rPr>
        <w:t xml:space="preserve">Hernan Quezada Cabrera, </w:t>
      </w:r>
      <w:proofErr w:type="spellStart"/>
      <w:r w:rsidRPr="00A3360D">
        <w:rPr>
          <w:bCs/>
          <w:lang w:val="en-US"/>
        </w:rPr>
        <w:t>Vasilka</w:t>
      </w:r>
      <w:proofErr w:type="spellEnd"/>
      <w:r w:rsidRPr="00A3360D">
        <w:rPr>
          <w:bCs/>
          <w:lang w:val="en-US"/>
        </w:rPr>
        <w:t xml:space="preserve"> </w:t>
      </w:r>
      <w:proofErr w:type="spellStart"/>
      <w:r w:rsidRPr="00A3360D">
        <w:rPr>
          <w:bCs/>
          <w:lang w:val="en-US"/>
        </w:rPr>
        <w:t>Sancin</w:t>
      </w:r>
      <w:proofErr w:type="spellEnd"/>
      <w:r w:rsidRPr="00A3360D">
        <w:rPr>
          <w:bCs/>
          <w:lang w:val="en-US"/>
        </w:rPr>
        <w:t xml:space="preserve">, José Manuel Santos </w:t>
      </w:r>
      <w:proofErr w:type="spellStart"/>
      <w:r w:rsidRPr="00A3360D">
        <w:rPr>
          <w:bCs/>
          <w:lang w:val="en-US"/>
        </w:rPr>
        <w:t>Pais</w:t>
      </w:r>
      <w:proofErr w:type="spellEnd"/>
      <w:r w:rsidRPr="00A3360D">
        <w:rPr>
          <w:bCs/>
          <w:lang w:val="en-US"/>
        </w:rPr>
        <w:t xml:space="preserve">, </w:t>
      </w:r>
      <w:proofErr w:type="spellStart"/>
      <w:r>
        <w:rPr>
          <w:bCs/>
          <w:lang w:val="en-US"/>
        </w:rPr>
        <w:t>Chongrok</w:t>
      </w:r>
      <w:proofErr w:type="spellEnd"/>
      <w:r>
        <w:rPr>
          <w:bCs/>
          <w:lang w:val="en-US"/>
        </w:rPr>
        <w:t xml:space="preserve"> </w:t>
      </w:r>
      <w:proofErr w:type="spellStart"/>
      <w:r>
        <w:rPr>
          <w:bCs/>
          <w:lang w:val="en-US"/>
        </w:rPr>
        <w:t>Soh</w:t>
      </w:r>
      <w:proofErr w:type="spellEnd"/>
      <w:r w:rsidRPr="00A3360D">
        <w:rPr>
          <w:bCs/>
          <w:lang w:val="en-US"/>
        </w:rPr>
        <w:t xml:space="preserve">, </w:t>
      </w:r>
      <w:proofErr w:type="spellStart"/>
      <w:r>
        <w:rPr>
          <w:bCs/>
          <w:lang w:val="en-US"/>
        </w:rPr>
        <w:t>Kobaujah</w:t>
      </w:r>
      <w:proofErr w:type="spellEnd"/>
      <w:r>
        <w:rPr>
          <w:bCs/>
          <w:lang w:val="en-US"/>
        </w:rPr>
        <w:t xml:space="preserve"> </w:t>
      </w:r>
      <w:proofErr w:type="spellStart"/>
      <w:r>
        <w:rPr>
          <w:bCs/>
          <w:lang w:val="en-US"/>
        </w:rPr>
        <w:t>Tchamdja</w:t>
      </w:r>
      <w:proofErr w:type="spellEnd"/>
      <w:r>
        <w:rPr>
          <w:bCs/>
          <w:lang w:val="en-US"/>
        </w:rPr>
        <w:t xml:space="preserve"> </w:t>
      </w:r>
      <w:proofErr w:type="spellStart"/>
      <w:r>
        <w:rPr>
          <w:bCs/>
          <w:lang w:val="en-US"/>
        </w:rPr>
        <w:t>Kpatcha</w:t>
      </w:r>
      <w:proofErr w:type="spellEnd"/>
      <w:r>
        <w:rPr>
          <w:bCs/>
          <w:lang w:val="en-US"/>
        </w:rPr>
        <w:t xml:space="preserve">, Hélène Tigroudja, </w:t>
      </w:r>
      <w:proofErr w:type="spellStart"/>
      <w:r>
        <w:rPr>
          <w:bCs/>
          <w:lang w:val="en-US"/>
        </w:rPr>
        <w:t>Imeru</w:t>
      </w:r>
      <w:proofErr w:type="spellEnd"/>
      <w:r>
        <w:rPr>
          <w:bCs/>
          <w:lang w:val="en-US"/>
        </w:rPr>
        <w:t xml:space="preserve"> </w:t>
      </w:r>
      <w:proofErr w:type="spellStart"/>
      <w:r>
        <w:rPr>
          <w:bCs/>
          <w:lang w:val="en-US"/>
        </w:rPr>
        <w:t>Tamerat</w:t>
      </w:r>
      <w:proofErr w:type="spellEnd"/>
      <w:r>
        <w:rPr>
          <w:bCs/>
          <w:lang w:val="en-US"/>
        </w:rPr>
        <w:t xml:space="preserve"> </w:t>
      </w:r>
      <w:proofErr w:type="spellStart"/>
      <w:r>
        <w:rPr>
          <w:bCs/>
          <w:lang w:val="en-US"/>
        </w:rPr>
        <w:t>Yigezu</w:t>
      </w:r>
      <w:proofErr w:type="spellEnd"/>
      <w:r w:rsidRPr="00A3360D">
        <w:rPr>
          <w:bCs/>
          <w:lang w:val="en-US"/>
        </w:rPr>
        <w:t xml:space="preserve"> and Gentian Zyberi. </w:t>
      </w:r>
    </w:p>
    <w:p w14:paraId="39A8848B" w14:textId="77777777" w:rsidR="006F66BE" w:rsidRPr="00A3360D" w:rsidRDefault="006F66BE" w:rsidP="006F66BE">
      <w:pPr>
        <w:pStyle w:val="FootnoteText"/>
        <w:rPr>
          <w:lang w:val="en-US"/>
        </w:rPr>
      </w:pPr>
    </w:p>
    <w:p w14:paraId="10F1A795" w14:textId="77777777" w:rsidR="006F66BE" w:rsidRPr="00415D10" w:rsidRDefault="006F66BE" w:rsidP="006F66BE">
      <w:pPr>
        <w:pStyle w:val="FootnoteText"/>
        <w:rPr>
          <w:bCs/>
          <w:lang w:val="en-US"/>
        </w:rPr>
      </w:pPr>
    </w:p>
    <w:p w14:paraId="21B6C5DD" w14:textId="77777777" w:rsidR="006F66BE" w:rsidRPr="00415D10" w:rsidRDefault="006F66BE" w:rsidP="006F66BE">
      <w:pPr>
        <w:pStyle w:val="FootnoteText"/>
        <w:rPr>
          <w:lang w:val="en-US"/>
        </w:rPr>
      </w:pPr>
    </w:p>
    <w:p w14:paraId="7BD174BE" w14:textId="77777777" w:rsidR="006F66BE" w:rsidRDefault="006F66BE" w:rsidP="006F66BE">
      <w:pPr>
        <w:pStyle w:val="FootnoteText"/>
      </w:pPr>
    </w:p>
  </w:footnote>
  <w:footnote w:id="2">
    <w:p w14:paraId="2D78857A" w14:textId="77777777" w:rsidR="006F66BE" w:rsidRDefault="006F66BE" w:rsidP="006F66BE">
      <w:pPr>
        <w:pStyle w:val="FootnoteText"/>
      </w:pPr>
    </w:p>
  </w:footnote>
  <w:footnote w:id="3">
    <w:p w14:paraId="56C61D03" w14:textId="13D29812" w:rsidR="00C6694C" w:rsidRDefault="006E3BB4" w:rsidP="006E3BB4">
      <w:pPr>
        <w:pStyle w:val="FootnoteText"/>
      </w:pPr>
      <w:r>
        <w:tab/>
      </w:r>
      <w:r w:rsidR="00C6694C">
        <w:rPr>
          <w:rStyle w:val="FootnoteReference"/>
        </w:rPr>
        <w:footnoteRef/>
      </w:r>
      <w:r w:rsidR="00C6694C">
        <w:t xml:space="preserve"> </w:t>
      </w:r>
      <w:r>
        <w:tab/>
      </w:r>
      <w:r>
        <w:tab/>
      </w:r>
      <w:r w:rsidR="00C6694C">
        <w:t xml:space="preserve">The author notes that Chapter II, article 10 (1) of </w:t>
      </w:r>
      <w:r w:rsidR="00825CCB">
        <w:t>law no. 1260</w:t>
      </w:r>
      <w:r w:rsidR="00C6694C">
        <w:t xml:space="preserve"> stipulates that: “Advocate’s activity may be performed by a person who </w:t>
      </w:r>
      <w:r w:rsidR="00C6694C" w:rsidRPr="006E3BB4">
        <w:t>is</w:t>
      </w:r>
      <w:r w:rsidR="00C6694C">
        <w:t xml:space="preserve"> a national of the Republic of Moldova […]”.</w:t>
      </w:r>
    </w:p>
  </w:footnote>
  <w:footnote w:id="4">
    <w:p w14:paraId="06C77A91" w14:textId="5F1CFD86" w:rsidR="002D1BCE" w:rsidRDefault="006E3BB4" w:rsidP="006E3BB4">
      <w:pPr>
        <w:pStyle w:val="FootnoteText"/>
      </w:pPr>
      <w:r>
        <w:tab/>
      </w:r>
      <w:r w:rsidR="002D1BCE">
        <w:rPr>
          <w:rStyle w:val="FootnoteReference"/>
        </w:rPr>
        <w:footnoteRef/>
      </w:r>
      <w:r w:rsidR="002D1BCE">
        <w:t xml:space="preserve"> </w:t>
      </w:r>
      <w:r>
        <w:tab/>
      </w:r>
      <w:r>
        <w:tab/>
      </w:r>
      <w:r w:rsidR="002D1BCE">
        <w:t xml:space="preserve">Application </w:t>
      </w:r>
      <w:r w:rsidR="002D1BCE" w:rsidRPr="006E3BB4">
        <w:t>No</w:t>
      </w:r>
      <w:r w:rsidR="002D1BCE">
        <w:t>. 26713/05, judg</w:t>
      </w:r>
      <w:r w:rsidR="009D0538">
        <w:t>ement of 28 May 2009.</w:t>
      </w:r>
    </w:p>
  </w:footnote>
  <w:footnote w:id="5">
    <w:p w14:paraId="474852B4" w14:textId="2A1156ED" w:rsidR="004559CA" w:rsidRDefault="006E3BB4" w:rsidP="006E3BB4">
      <w:pPr>
        <w:pStyle w:val="FootnoteText"/>
      </w:pPr>
      <w:r>
        <w:tab/>
      </w:r>
      <w:r w:rsidR="004559CA">
        <w:rPr>
          <w:rStyle w:val="FootnoteReference"/>
        </w:rPr>
        <w:footnoteRef/>
      </w:r>
      <w:r w:rsidR="004559CA">
        <w:t xml:space="preserve"> </w:t>
      </w:r>
      <w:r>
        <w:tab/>
      </w:r>
      <w:r>
        <w:tab/>
      </w:r>
      <w:r w:rsidR="004559CA" w:rsidRPr="004559CA">
        <w:t xml:space="preserve">For example, </w:t>
      </w:r>
      <w:r w:rsidR="004559CA" w:rsidRPr="004559CA">
        <w:rPr>
          <w:i/>
          <w:iCs/>
        </w:rPr>
        <w:t xml:space="preserve">A.P. v. Ukraine </w:t>
      </w:r>
      <w:r w:rsidR="004559CA" w:rsidRPr="004559CA">
        <w:t xml:space="preserve">(CCPR/C/105/D/1834/2008), para. 8.5; and </w:t>
      </w:r>
      <w:proofErr w:type="spellStart"/>
      <w:r w:rsidR="004559CA" w:rsidRPr="004559CA">
        <w:rPr>
          <w:i/>
          <w:iCs/>
        </w:rPr>
        <w:t>Peirano</w:t>
      </w:r>
      <w:proofErr w:type="spellEnd"/>
      <w:r w:rsidR="004559CA" w:rsidRPr="004559CA">
        <w:rPr>
          <w:i/>
          <w:iCs/>
        </w:rPr>
        <w:t xml:space="preserve"> Basso v. Uruguay </w:t>
      </w:r>
      <w:r w:rsidR="004559CA" w:rsidRPr="004559CA">
        <w:t xml:space="preserve">(CCPR/C/100/D/1887/2009), para. 9.4.  </w:t>
      </w:r>
    </w:p>
  </w:footnote>
  <w:footnote w:id="6">
    <w:p w14:paraId="7EF20FFB" w14:textId="77777777" w:rsidR="00847A84" w:rsidRDefault="00847A84" w:rsidP="006E3BB4">
      <w:pPr>
        <w:pStyle w:val="FootnoteText"/>
        <w:rPr>
          <w:lang w:eastAsia="en-US"/>
        </w:rPr>
      </w:pPr>
      <w:r>
        <w:tab/>
      </w:r>
      <w:r>
        <w:rPr>
          <w:rStyle w:val="FootnoteReference"/>
        </w:rPr>
        <w:footnoteRef/>
      </w:r>
      <w:r>
        <w:tab/>
        <w:t xml:space="preserve">See general comment </w:t>
      </w:r>
      <w:r w:rsidRPr="006E3BB4">
        <w:t>No</w:t>
      </w:r>
      <w:r>
        <w:t>. 18, para. 7.</w:t>
      </w:r>
    </w:p>
  </w:footnote>
  <w:footnote w:id="7">
    <w:p w14:paraId="275C0E84" w14:textId="2E21145D" w:rsidR="00847A84" w:rsidRDefault="00847A84" w:rsidP="006E3BB4">
      <w:pPr>
        <w:pStyle w:val="FootnoteText"/>
      </w:pPr>
      <w:r>
        <w:tab/>
      </w:r>
      <w:r>
        <w:rPr>
          <w:rStyle w:val="FootnoteReference"/>
        </w:rPr>
        <w:footnoteRef/>
      </w:r>
      <w:r>
        <w:tab/>
        <w:t xml:space="preserve">Ibid., para. 13. See also </w:t>
      </w:r>
      <w:r w:rsidR="007365C4">
        <w:t>inter alia,</w:t>
      </w:r>
      <w:r w:rsidR="006E6BAA">
        <w:t xml:space="preserve"> </w:t>
      </w:r>
      <w:r>
        <w:rPr>
          <w:i/>
        </w:rPr>
        <w:t>G v. Australia</w:t>
      </w:r>
      <w:r>
        <w:t xml:space="preserve">, </w:t>
      </w:r>
      <w:r w:rsidR="006E6BAA">
        <w:t>(</w:t>
      </w:r>
      <w:r w:rsidR="006E6BAA" w:rsidRPr="006E6BAA">
        <w:t>CCPR/C/119/D/2172/2012</w:t>
      </w:r>
      <w:r w:rsidR="006E6BAA">
        <w:t>),</w:t>
      </w:r>
      <w:r w:rsidR="006E6BAA" w:rsidRPr="006E6BAA">
        <w:t xml:space="preserve"> </w:t>
      </w:r>
      <w:r>
        <w:t xml:space="preserve">para. 7.12; </w:t>
      </w:r>
      <w:proofErr w:type="spellStart"/>
      <w:r>
        <w:rPr>
          <w:i/>
        </w:rPr>
        <w:t>Drda</w:t>
      </w:r>
      <w:proofErr w:type="spellEnd"/>
      <w:r>
        <w:rPr>
          <w:i/>
        </w:rPr>
        <w:t xml:space="preserve"> v. Czech</w:t>
      </w:r>
      <w:r>
        <w:t xml:space="preserve"> </w:t>
      </w:r>
      <w:r>
        <w:rPr>
          <w:i/>
        </w:rPr>
        <w:t>Republic</w:t>
      </w:r>
      <w:r>
        <w:t xml:space="preserve"> (CCPR/C/</w:t>
      </w:r>
      <w:r w:rsidRPr="006E3BB4">
        <w:t>100</w:t>
      </w:r>
      <w:r>
        <w:t>/D/1581/2007), para. 7.2</w:t>
      </w:r>
      <w:r>
        <w:rPr>
          <w:i/>
        </w:rPr>
        <w:t>;</w:t>
      </w:r>
      <w:r>
        <w:t xml:space="preserve"> </w:t>
      </w:r>
      <w:proofErr w:type="spellStart"/>
      <w:r>
        <w:rPr>
          <w:i/>
        </w:rPr>
        <w:t>Danning</w:t>
      </w:r>
      <w:proofErr w:type="spellEnd"/>
      <w:r>
        <w:rPr>
          <w:i/>
        </w:rPr>
        <w:t xml:space="preserve"> v. Netherlands</w:t>
      </w:r>
      <w:r>
        <w:t xml:space="preserve"> (CCPR/C/29/D/180/1984), paras</w:t>
      </w:r>
      <w:r w:rsidRPr="006E3BB4">
        <w:t>.</w:t>
      </w:r>
      <w:r>
        <w:t xml:space="preserve"> 13−14.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C7CCB" w14:textId="794C087A" w:rsidR="00A925EC" w:rsidRPr="000B68DE" w:rsidRDefault="00A925EC" w:rsidP="00342D59">
    <w:pPr>
      <w:pStyle w:val="Header"/>
      <w:rPr>
        <w:color w:val="FF0000"/>
      </w:rPr>
    </w:pPr>
    <w:r>
      <w:t>CCPR/C/13</w:t>
    </w:r>
    <w:r w:rsidR="00630B22">
      <w:t>5</w:t>
    </w:r>
    <w:r>
      <w:t>/</w:t>
    </w:r>
    <w:r w:rsidR="005503F8">
      <w:t>D</w:t>
    </w:r>
    <w:r w:rsidR="00896103">
      <w:t>/</w:t>
    </w:r>
    <w:r w:rsidR="006E3BB4">
      <w:t>3050</w:t>
    </w:r>
    <w:r>
      <w:t>/2017</w:t>
    </w:r>
    <w:r w:rsidR="002057B1" w:rsidRPr="002057B1">
      <w:t xml:space="preserve"> Advance unedited version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BF01D" w14:textId="0E4EB260" w:rsidR="00A925EC" w:rsidRDefault="00A925EC" w:rsidP="00342D59">
    <w:pPr>
      <w:pStyle w:val="Header"/>
      <w:jc w:val="right"/>
    </w:pPr>
    <w:r>
      <w:t>CCPR/C/13</w:t>
    </w:r>
    <w:r w:rsidR="00630B22">
      <w:t>5</w:t>
    </w:r>
    <w:r>
      <w:t>/</w:t>
    </w:r>
    <w:r w:rsidR="005503F8">
      <w:t>D</w:t>
    </w:r>
    <w:r w:rsidR="00896103">
      <w:t>/</w:t>
    </w:r>
    <w:r w:rsidR="00630B22">
      <w:t>3050</w:t>
    </w:r>
    <w:r w:rsidR="003B45B8">
      <w:t>/2017</w:t>
    </w:r>
    <w:r w:rsidR="002057B1" w:rsidRPr="002057B1">
      <w:t xml:space="preserve"> Advance unedited version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C8258" w14:textId="77777777" w:rsidR="00896103" w:rsidRDefault="00896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605EB7"/>
    <w:multiLevelType w:val="multilevel"/>
    <w:tmpl w:val="9E40A83A"/>
    <w:lvl w:ilvl="0">
      <w:start w:val="1"/>
      <w:numFmt w:val="decimal"/>
      <w:lvlText w:val="%1"/>
      <w:lvlJc w:val="left"/>
      <w:pPr>
        <w:ind w:left="570" w:hanging="570"/>
      </w:pPr>
      <w:rPr>
        <w:rFonts w:hint="default"/>
      </w:rPr>
    </w:lvl>
    <w:lvl w:ilvl="1">
      <w:start w:val="1"/>
      <w:numFmt w:val="decimal"/>
      <w:lvlText w:val="%1.%2"/>
      <w:lvlJc w:val="left"/>
      <w:pPr>
        <w:ind w:left="1704" w:hanging="57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523C77"/>
    <w:multiLevelType w:val="hybridMultilevel"/>
    <w:tmpl w:val="95820BF0"/>
    <w:lvl w:ilvl="0" w:tplc="4E14BEE2">
      <w:start w:val="2"/>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6543CC0"/>
    <w:multiLevelType w:val="multilevel"/>
    <w:tmpl w:val="AF64064A"/>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6"/>
  </w:num>
  <w:num w:numId="5">
    <w:abstractNumId w:val="7"/>
  </w:num>
  <w:num w:numId="6">
    <w:abstractNumId w:val="9"/>
  </w:num>
  <w:num w:numId="7">
    <w:abstractNumId w:val="2"/>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bordersDoNotSurroundHeader/>
  <w:bordersDoNotSurroundFooter/>
  <w:activeWritingStyle w:appName="MSWord" w:lang="es-ES_tradnl" w:vendorID="64" w:dllVersion="6" w:nlCheck="1" w:checkStyle="0"/>
  <w:activeWritingStyle w:appName="MSWord" w:lang="es-ES"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CO"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fr-FR" w:vendorID="64" w:dllVersion="6" w:nlCheck="1" w:checkStyle="1"/>
  <w:activeWritingStyle w:appName="MSWord" w:lang="en-CA" w:vendorID="64" w:dllVersion="0" w:nlCheck="1" w:checkStyle="0"/>
  <w:activeWritingStyle w:appName="MSWord" w:lang="en-CA" w:vendorID="64" w:dllVersion="6" w:nlCheck="1" w:checkStyle="0"/>
  <w:activeWritingStyle w:appName="MSWord" w:lang="en-GB" w:vendorID="64" w:dllVersion="131078" w:nlCheck="1" w:checkStyle="0"/>
  <w:proofState w:spelling="clean" w:grammar="clean"/>
  <w:defaultTabStop w:val="567"/>
  <w:hyphenationZone w:val="425"/>
  <w:evenAndOddHeaders/>
  <w:characterSpacingControl w:val="doNotCompress"/>
  <w:hdrShapeDefaults>
    <o:shapedefaults v:ext="edit" spidmax="2050">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2F"/>
    <w:rsid w:val="0000112F"/>
    <w:rsid w:val="0002502D"/>
    <w:rsid w:val="00027C21"/>
    <w:rsid w:val="00046E92"/>
    <w:rsid w:val="0006523D"/>
    <w:rsid w:val="0007657A"/>
    <w:rsid w:val="0008246F"/>
    <w:rsid w:val="00085355"/>
    <w:rsid w:val="00086472"/>
    <w:rsid w:val="0009796A"/>
    <w:rsid w:val="000A5EF6"/>
    <w:rsid w:val="000B61F7"/>
    <w:rsid w:val="000B6707"/>
    <w:rsid w:val="000B68DE"/>
    <w:rsid w:val="000C17CB"/>
    <w:rsid w:val="000C1B6A"/>
    <w:rsid w:val="000C4B08"/>
    <w:rsid w:val="000D3EA6"/>
    <w:rsid w:val="000E1C4E"/>
    <w:rsid w:val="000E61B0"/>
    <w:rsid w:val="000F5E5C"/>
    <w:rsid w:val="000F7AE0"/>
    <w:rsid w:val="001045C9"/>
    <w:rsid w:val="00105F24"/>
    <w:rsid w:val="00122927"/>
    <w:rsid w:val="00131D7A"/>
    <w:rsid w:val="00133599"/>
    <w:rsid w:val="00152068"/>
    <w:rsid w:val="00165C15"/>
    <w:rsid w:val="00180BB1"/>
    <w:rsid w:val="0019173D"/>
    <w:rsid w:val="001A2AD9"/>
    <w:rsid w:val="001A6819"/>
    <w:rsid w:val="001B4A8B"/>
    <w:rsid w:val="001B7589"/>
    <w:rsid w:val="001C00D7"/>
    <w:rsid w:val="001C1340"/>
    <w:rsid w:val="001D7A39"/>
    <w:rsid w:val="001D7C86"/>
    <w:rsid w:val="001E4C12"/>
    <w:rsid w:val="001F19A3"/>
    <w:rsid w:val="002057B1"/>
    <w:rsid w:val="00206A31"/>
    <w:rsid w:val="002107FE"/>
    <w:rsid w:val="00213ACE"/>
    <w:rsid w:val="00215108"/>
    <w:rsid w:val="00235FA9"/>
    <w:rsid w:val="00236F79"/>
    <w:rsid w:val="00243F71"/>
    <w:rsid w:val="00247E2C"/>
    <w:rsid w:val="00255520"/>
    <w:rsid w:val="00273C52"/>
    <w:rsid w:val="00277328"/>
    <w:rsid w:val="00294824"/>
    <w:rsid w:val="002A51AB"/>
    <w:rsid w:val="002A56CA"/>
    <w:rsid w:val="002B7706"/>
    <w:rsid w:val="002B78A4"/>
    <w:rsid w:val="002C2C49"/>
    <w:rsid w:val="002D1BCE"/>
    <w:rsid w:val="002D367E"/>
    <w:rsid w:val="002D6C53"/>
    <w:rsid w:val="002E0382"/>
    <w:rsid w:val="002F2163"/>
    <w:rsid w:val="002F5595"/>
    <w:rsid w:val="00307A92"/>
    <w:rsid w:val="00325EA2"/>
    <w:rsid w:val="00334ECF"/>
    <w:rsid w:val="00334F6A"/>
    <w:rsid w:val="00342AC8"/>
    <w:rsid w:val="00342D59"/>
    <w:rsid w:val="00360463"/>
    <w:rsid w:val="0036286D"/>
    <w:rsid w:val="00364C44"/>
    <w:rsid w:val="003A5A54"/>
    <w:rsid w:val="003A5C40"/>
    <w:rsid w:val="003A637E"/>
    <w:rsid w:val="003B4550"/>
    <w:rsid w:val="003B45B8"/>
    <w:rsid w:val="003C4B23"/>
    <w:rsid w:val="003E405C"/>
    <w:rsid w:val="003E4C20"/>
    <w:rsid w:val="004502D5"/>
    <w:rsid w:val="004556C5"/>
    <w:rsid w:val="004559CA"/>
    <w:rsid w:val="00461253"/>
    <w:rsid w:val="00472FED"/>
    <w:rsid w:val="00483213"/>
    <w:rsid w:val="0049680A"/>
    <w:rsid w:val="004A161B"/>
    <w:rsid w:val="004B0B43"/>
    <w:rsid w:val="004B42EB"/>
    <w:rsid w:val="004D4609"/>
    <w:rsid w:val="004F3BE6"/>
    <w:rsid w:val="004F4EEB"/>
    <w:rsid w:val="004F7301"/>
    <w:rsid w:val="00501B87"/>
    <w:rsid w:val="005042C2"/>
    <w:rsid w:val="00526B3F"/>
    <w:rsid w:val="00534158"/>
    <w:rsid w:val="00547B3F"/>
    <w:rsid w:val="005503F8"/>
    <w:rsid w:val="00553CBA"/>
    <w:rsid w:val="00575BF6"/>
    <w:rsid w:val="00581AC2"/>
    <w:rsid w:val="00585498"/>
    <w:rsid w:val="00585602"/>
    <w:rsid w:val="0058779E"/>
    <w:rsid w:val="005B702D"/>
    <w:rsid w:val="005D5648"/>
    <w:rsid w:val="005D65FD"/>
    <w:rsid w:val="006045A4"/>
    <w:rsid w:val="00611FE2"/>
    <w:rsid w:val="00630B22"/>
    <w:rsid w:val="00631904"/>
    <w:rsid w:val="00635B98"/>
    <w:rsid w:val="00642A3D"/>
    <w:rsid w:val="00646844"/>
    <w:rsid w:val="00651C86"/>
    <w:rsid w:val="00653954"/>
    <w:rsid w:val="006638A7"/>
    <w:rsid w:val="0066543C"/>
    <w:rsid w:val="00671529"/>
    <w:rsid w:val="006743C9"/>
    <w:rsid w:val="00696BF0"/>
    <w:rsid w:val="006B46C4"/>
    <w:rsid w:val="006B751B"/>
    <w:rsid w:val="006C45FF"/>
    <w:rsid w:val="006D5FB7"/>
    <w:rsid w:val="006E3BB4"/>
    <w:rsid w:val="006E4A2D"/>
    <w:rsid w:val="006E6BAA"/>
    <w:rsid w:val="006F16D3"/>
    <w:rsid w:val="006F4CAA"/>
    <w:rsid w:val="006F66BE"/>
    <w:rsid w:val="0071578B"/>
    <w:rsid w:val="00722039"/>
    <w:rsid w:val="007268F9"/>
    <w:rsid w:val="007327A0"/>
    <w:rsid w:val="00733D13"/>
    <w:rsid w:val="007365C4"/>
    <w:rsid w:val="00751F0C"/>
    <w:rsid w:val="007577B1"/>
    <w:rsid w:val="007A1746"/>
    <w:rsid w:val="007A570D"/>
    <w:rsid w:val="007C52B0"/>
    <w:rsid w:val="007C723F"/>
    <w:rsid w:val="00801120"/>
    <w:rsid w:val="008127BE"/>
    <w:rsid w:val="00817E57"/>
    <w:rsid w:val="00823B09"/>
    <w:rsid w:val="00825CCB"/>
    <w:rsid w:val="00844B55"/>
    <w:rsid w:val="0084616B"/>
    <w:rsid w:val="00847A84"/>
    <w:rsid w:val="00851236"/>
    <w:rsid w:val="00852F8B"/>
    <w:rsid w:val="00855B61"/>
    <w:rsid w:val="0088738E"/>
    <w:rsid w:val="00896103"/>
    <w:rsid w:val="008A25BB"/>
    <w:rsid w:val="008A7C36"/>
    <w:rsid w:val="008B5C7A"/>
    <w:rsid w:val="008D3450"/>
    <w:rsid w:val="008E2771"/>
    <w:rsid w:val="008E32F8"/>
    <w:rsid w:val="008E59A6"/>
    <w:rsid w:val="008F0E15"/>
    <w:rsid w:val="009064E9"/>
    <w:rsid w:val="0092319B"/>
    <w:rsid w:val="00924BEB"/>
    <w:rsid w:val="009357B5"/>
    <w:rsid w:val="009367CF"/>
    <w:rsid w:val="00936F67"/>
    <w:rsid w:val="009411B4"/>
    <w:rsid w:val="009553F9"/>
    <w:rsid w:val="00956373"/>
    <w:rsid w:val="00970566"/>
    <w:rsid w:val="00971508"/>
    <w:rsid w:val="00983737"/>
    <w:rsid w:val="00987D33"/>
    <w:rsid w:val="009A5B48"/>
    <w:rsid w:val="009A7626"/>
    <w:rsid w:val="009C4FC0"/>
    <w:rsid w:val="009D0139"/>
    <w:rsid w:val="009D0538"/>
    <w:rsid w:val="009D6644"/>
    <w:rsid w:val="009E1322"/>
    <w:rsid w:val="009E1449"/>
    <w:rsid w:val="009F5CDC"/>
    <w:rsid w:val="00A004FA"/>
    <w:rsid w:val="00A16443"/>
    <w:rsid w:val="00A23459"/>
    <w:rsid w:val="00A2498E"/>
    <w:rsid w:val="00A467A9"/>
    <w:rsid w:val="00A614FE"/>
    <w:rsid w:val="00A61FF9"/>
    <w:rsid w:val="00A6394A"/>
    <w:rsid w:val="00A70C2C"/>
    <w:rsid w:val="00A734FF"/>
    <w:rsid w:val="00A775CF"/>
    <w:rsid w:val="00A90B1C"/>
    <w:rsid w:val="00A925EC"/>
    <w:rsid w:val="00A959F6"/>
    <w:rsid w:val="00A96F60"/>
    <w:rsid w:val="00AD083D"/>
    <w:rsid w:val="00AD68B4"/>
    <w:rsid w:val="00AE2D34"/>
    <w:rsid w:val="00AE7DAA"/>
    <w:rsid w:val="00AF79B8"/>
    <w:rsid w:val="00B00C6F"/>
    <w:rsid w:val="00B04D19"/>
    <w:rsid w:val="00B06045"/>
    <w:rsid w:val="00B07827"/>
    <w:rsid w:val="00B152AD"/>
    <w:rsid w:val="00B26BBB"/>
    <w:rsid w:val="00B3008D"/>
    <w:rsid w:val="00B46933"/>
    <w:rsid w:val="00B53AA5"/>
    <w:rsid w:val="00B64B25"/>
    <w:rsid w:val="00B66BC4"/>
    <w:rsid w:val="00B72733"/>
    <w:rsid w:val="00B82076"/>
    <w:rsid w:val="00B903E5"/>
    <w:rsid w:val="00B927EF"/>
    <w:rsid w:val="00BA3926"/>
    <w:rsid w:val="00BC39A4"/>
    <w:rsid w:val="00BD080C"/>
    <w:rsid w:val="00BE3A16"/>
    <w:rsid w:val="00C10C4B"/>
    <w:rsid w:val="00C1205A"/>
    <w:rsid w:val="00C234CE"/>
    <w:rsid w:val="00C27B1A"/>
    <w:rsid w:val="00C34A4D"/>
    <w:rsid w:val="00C35A27"/>
    <w:rsid w:val="00C54307"/>
    <w:rsid w:val="00C6694C"/>
    <w:rsid w:val="00C735E4"/>
    <w:rsid w:val="00C75687"/>
    <w:rsid w:val="00C759F9"/>
    <w:rsid w:val="00C920A7"/>
    <w:rsid w:val="00C958E7"/>
    <w:rsid w:val="00CA1AEA"/>
    <w:rsid w:val="00CA2194"/>
    <w:rsid w:val="00CA53E5"/>
    <w:rsid w:val="00CC0755"/>
    <w:rsid w:val="00CD1E4C"/>
    <w:rsid w:val="00CE1691"/>
    <w:rsid w:val="00D155B6"/>
    <w:rsid w:val="00D2161E"/>
    <w:rsid w:val="00D43B04"/>
    <w:rsid w:val="00D44590"/>
    <w:rsid w:val="00D53F63"/>
    <w:rsid w:val="00D549B4"/>
    <w:rsid w:val="00D66710"/>
    <w:rsid w:val="00D66BCD"/>
    <w:rsid w:val="00D82FD7"/>
    <w:rsid w:val="00D8485D"/>
    <w:rsid w:val="00D91759"/>
    <w:rsid w:val="00DA5E1D"/>
    <w:rsid w:val="00DA6952"/>
    <w:rsid w:val="00DB4F63"/>
    <w:rsid w:val="00DB66C6"/>
    <w:rsid w:val="00DB6F1D"/>
    <w:rsid w:val="00DD2BDD"/>
    <w:rsid w:val="00DD630D"/>
    <w:rsid w:val="00DE2869"/>
    <w:rsid w:val="00E02C2B"/>
    <w:rsid w:val="00E10A47"/>
    <w:rsid w:val="00E14344"/>
    <w:rsid w:val="00E1514B"/>
    <w:rsid w:val="00E17BEB"/>
    <w:rsid w:val="00E26403"/>
    <w:rsid w:val="00E401CF"/>
    <w:rsid w:val="00E53331"/>
    <w:rsid w:val="00E66E2C"/>
    <w:rsid w:val="00E67525"/>
    <w:rsid w:val="00E721F2"/>
    <w:rsid w:val="00E83814"/>
    <w:rsid w:val="00E856E4"/>
    <w:rsid w:val="00E93B6F"/>
    <w:rsid w:val="00E93FD9"/>
    <w:rsid w:val="00EB53A5"/>
    <w:rsid w:val="00EB6F89"/>
    <w:rsid w:val="00EC4D2A"/>
    <w:rsid w:val="00ED1436"/>
    <w:rsid w:val="00ED4071"/>
    <w:rsid w:val="00ED6C48"/>
    <w:rsid w:val="00EE4048"/>
    <w:rsid w:val="00F03957"/>
    <w:rsid w:val="00F05B99"/>
    <w:rsid w:val="00F06920"/>
    <w:rsid w:val="00F06BA8"/>
    <w:rsid w:val="00F07EE9"/>
    <w:rsid w:val="00F167C2"/>
    <w:rsid w:val="00F17D0A"/>
    <w:rsid w:val="00F20743"/>
    <w:rsid w:val="00F231F9"/>
    <w:rsid w:val="00F40BCC"/>
    <w:rsid w:val="00F41F0F"/>
    <w:rsid w:val="00F45781"/>
    <w:rsid w:val="00F51C56"/>
    <w:rsid w:val="00F62C6C"/>
    <w:rsid w:val="00F65A38"/>
    <w:rsid w:val="00F65F5D"/>
    <w:rsid w:val="00F70CDA"/>
    <w:rsid w:val="00F70D17"/>
    <w:rsid w:val="00F86A3A"/>
    <w:rsid w:val="00FB14AF"/>
    <w:rsid w:val="00FF09F1"/>
    <w:rsid w:val="00FF3B22"/>
    <w:rsid w:val="00FF6E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18A579"/>
  <w15:docId w15:val="{6302FCB7-51F4-4EA8-BE3D-3FF5F7F0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Ref,SUPERS"/>
    <w:link w:val="Appelnotedebasde"/>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AE7DAA"/>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80BB1"/>
    <w:rPr>
      <w:sz w:val="16"/>
      <w:szCs w:val="16"/>
    </w:rPr>
  </w:style>
  <w:style w:type="paragraph" w:styleId="CommentText">
    <w:name w:val="annotation text"/>
    <w:basedOn w:val="Normal"/>
    <w:link w:val="CommentTextChar"/>
    <w:uiPriority w:val="99"/>
    <w:semiHidden/>
    <w:unhideWhenUsed/>
    <w:rsid w:val="00180BB1"/>
    <w:pPr>
      <w:spacing w:line="240" w:lineRule="auto"/>
    </w:pPr>
  </w:style>
  <w:style w:type="character" w:customStyle="1" w:styleId="CommentTextChar">
    <w:name w:val="Comment Text Char"/>
    <w:basedOn w:val="DefaultParagraphFont"/>
    <w:link w:val="CommentText"/>
    <w:uiPriority w:val="99"/>
    <w:semiHidden/>
    <w:rsid w:val="00180BB1"/>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80BB1"/>
    <w:rPr>
      <w:b/>
      <w:bCs/>
    </w:rPr>
  </w:style>
  <w:style w:type="character" w:customStyle="1" w:styleId="CommentSubjectChar">
    <w:name w:val="Comment Subject Char"/>
    <w:basedOn w:val="CommentTextChar"/>
    <w:link w:val="CommentSubject"/>
    <w:uiPriority w:val="99"/>
    <w:semiHidden/>
    <w:rsid w:val="00180BB1"/>
    <w:rPr>
      <w:rFonts w:ascii="Times New Roman" w:eastAsia="Times New Roman" w:hAnsi="Times New Roman" w:cs="Times New Roman"/>
      <w:b/>
      <w:bCs/>
      <w:sz w:val="20"/>
      <w:szCs w:val="20"/>
      <w:lang w:eastAsia="en-US"/>
    </w:rPr>
  </w:style>
  <w:style w:type="paragraph" w:styleId="Revision">
    <w:name w:val="Revision"/>
    <w:hidden/>
    <w:uiPriority w:val="99"/>
    <w:semiHidden/>
    <w:rsid w:val="00A70C2C"/>
    <w:pPr>
      <w:spacing w:after="0" w:line="240" w:lineRule="auto"/>
    </w:pPr>
    <w:rPr>
      <w:rFonts w:ascii="Times New Roman" w:eastAsia="Times New Roman" w:hAnsi="Times New Roman" w:cs="Times New Roman"/>
      <w:sz w:val="20"/>
      <w:szCs w:val="20"/>
      <w:lang w:eastAsia="en-US"/>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49680A"/>
    <w:pPr>
      <w:suppressAutoHyphens w:val="0"/>
      <w:spacing w:before="120" w:after="120" w:line="240" w:lineRule="auto"/>
    </w:pPr>
    <w:rPr>
      <w:rFonts w:eastAsia="SimSun" w:cstheme="minorBidi"/>
      <w:sz w:val="18"/>
      <w:szCs w:val="22"/>
      <w:vertAlign w:val="superscript"/>
      <w:lang w:eastAsia="zh-CN"/>
    </w:rPr>
  </w:style>
  <w:style w:type="character" w:styleId="Hyperlink">
    <w:name w:val="Hyperlink"/>
    <w:basedOn w:val="DefaultParagraphFont"/>
    <w:uiPriority w:val="99"/>
    <w:unhideWhenUsed/>
    <w:rsid w:val="00825CCB"/>
    <w:rPr>
      <w:color w:val="0000FF" w:themeColor="hyperlink"/>
      <w:u w:val="single"/>
    </w:rPr>
  </w:style>
  <w:style w:type="character" w:customStyle="1" w:styleId="UnresolvedMention1">
    <w:name w:val="Unresolved Mention1"/>
    <w:basedOn w:val="DefaultParagraphFont"/>
    <w:uiPriority w:val="99"/>
    <w:semiHidden/>
    <w:unhideWhenUsed/>
    <w:rsid w:val="00825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395934677">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766924475">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051534511">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426340644">
      <w:bodyDiv w:val="1"/>
      <w:marLeft w:val="0"/>
      <w:marRight w:val="0"/>
      <w:marTop w:val="0"/>
      <w:marBottom w:val="0"/>
      <w:divBdr>
        <w:top w:val="none" w:sz="0" w:space="0" w:color="auto"/>
        <w:left w:val="none" w:sz="0" w:space="0" w:color="auto"/>
        <w:bottom w:val="none" w:sz="0" w:space="0" w:color="auto"/>
        <w:right w:val="none" w:sz="0" w:space="0" w:color="auto"/>
      </w:divBdr>
    </w:div>
    <w:div w:id="1597326130">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1763843546">
      <w:bodyDiv w:val="1"/>
      <w:marLeft w:val="0"/>
      <w:marRight w:val="0"/>
      <w:marTop w:val="0"/>
      <w:marBottom w:val="0"/>
      <w:divBdr>
        <w:top w:val="none" w:sz="0" w:space="0" w:color="auto"/>
        <w:left w:val="none" w:sz="0" w:space="0" w:color="auto"/>
        <w:bottom w:val="none" w:sz="0" w:space="0" w:color="auto"/>
        <w:right w:val="none" w:sz="0" w:space="0" w:color="auto"/>
      </w:divBdr>
    </w:div>
    <w:div w:id="1967856408">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HRBodies/CCPR/Membership/CV_ABDO_ROCHOL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C4563-FB79-45E6-BAFA-1C5B85EF2F0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61A1488-C408-4C3E-BA93-EF2B31F0AA17}"/>
</file>

<file path=customXml/itemProps3.xml><?xml version="1.0" encoding="utf-8"?>
<ds:datastoreItem xmlns:ds="http://schemas.openxmlformats.org/officeDocument/2006/customXml" ds:itemID="{DEB17338-FE5D-43B2-8518-28535838F4F7}">
  <ds:schemaRefs>
    <ds:schemaRef ds:uri="http://schemas.microsoft.com/sharepoint/v3/contenttype/forms"/>
  </ds:schemaRefs>
</ds:datastoreItem>
</file>

<file path=customXml/itemProps4.xml><?xml version="1.0" encoding="utf-8"?>
<ds:datastoreItem xmlns:ds="http://schemas.openxmlformats.org/officeDocument/2006/customXml" ds:itemID="{70BB0495-61FF-41A8-ACAC-208438DDD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2890</Words>
  <Characters>16476</Characters>
  <Application>Microsoft Office Word</Application>
  <DocSecurity>0</DocSecurity>
  <Lines>137</Lines>
  <Paragraphs>38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CCPR/C/135/DR/3050/2017</vt:lpstr>
      <vt:lpstr>CCPR/C/WG/SS/DR/####/YYYY</vt:lpstr>
    </vt:vector>
  </TitlesOfParts>
  <Company>DCM</Company>
  <LinksUpToDate>false</LinksUpToDate>
  <CharactersWithSpaces>19328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CCPR/C/135/DR/3050/2017</dc:title>
  <dc:subject>2209706</dc:subject>
  <dc:creator>pae</dc:creator>
  <cp:keywords/>
  <dc:description>REVISED TEMPLATE FOR CCPR PRE-SESSION DRAFT COMMUNICATIONS</dc:description>
  <cp:lastModifiedBy>Mohamed Abdelazim</cp:lastModifiedBy>
  <cp:revision>4</cp:revision>
  <cp:lastPrinted>2022-11-14T14:28:00Z</cp:lastPrinted>
  <dcterms:created xsi:type="dcterms:W3CDTF">2022-11-14T14:22:00Z</dcterms:created>
  <dcterms:modified xsi:type="dcterms:W3CDTF">2022-11-14T14:29:00Z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