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E54D3" w14:paraId="5A89FBA4" w14:textId="77777777" w:rsidTr="002B7BC7">
        <w:trPr>
          <w:trHeight w:hRule="exact" w:val="851"/>
        </w:trPr>
        <w:tc>
          <w:tcPr>
            <w:tcW w:w="1276" w:type="dxa"/>
            <w:tcBorders>
              <w:bottom w:val="single" w:sz="4" w:space="0" w:color="auto"/>
            </w:tcBorders>
          </w:tcPr>
          <w:p w14:paraId="2C020349" w14:textId="77777777" w:rsidR="006F71EA" w:rsidRPr="00DB58B5" w:rsidRDefault="006F71EA" w:rsidP="007D7472"/>
        </w:tc>
        <w:tc>
          <w:tcPr>
            <w:tcW w:w="2268" w:type="dxa"/>
            <w:tcBorders>
              <w:bottom w:val="single" w:sz="4" w:space="0" w:color="auto"/>
            </w:tcBorders>
            <w:vAlign w:val="bottom"/>
          </w:tcPr>
          <w:p w14:paraId="6444C901" w14:textId="77777777" w:rsidR="006F71EA" w:rsidRPr="00DE54D3" w:rsidRDefault="006F71EA" w:rsidP="002B7BC7">
            <w:pPr>
              <w:spacing w:after="80" w:line="300" w:lineRule="exact"/>
              <w:rPr>
                <w:sz w:val="28"/>
              </w:rPr>
            </w:pPr>
            <w:r w:rsidRPr="00DE54D3">
              <w:rPr>
                <w:sz w:val="28"/>
              </w:rPr>
              <w:t>Nations Unies</w:t>
            </w:r>
          </w:p>
        </w:tc>
        <w:tc>
          <w:tcPr>
            <w:tcW w:w="6095" w:type="dxa"/>
            <w:gridSpan w:val="2"/>
            <w:tcBorders>
              <w:bottom w:val="single" w:sz="4" w:space="0" w:color="auto"/>
            </w:tcBorders>
            <w:vAlign w:val="bottom"/>
          </w:tcPr>
          <w:p w14:paraId="3DE02220" w14:textId="43CEA8CE" w:rsidR="006F71EA" w:rsidRPr="00DF2AA7" w:rsidRDefault="00DF2AA7" w:rsidP="00312063">
            <w:pPr>
              <w:jc w:val="right"/>
            </w:pPr>
            <w:r w:rsidRPr="00DF2AA7">
              <w:rPr>
                <w:sz w:val="40"/>
              </w:rPr>
              <w:t>CCPR</w:t>
            </w:r>
            <w:r>
              <w:t>/C/134/D/3320/2019</w:t>
            </w:r>
          </w:p>
        </w:tc>
      </w:tr>
      <w:tr w:rsidR="006F71EA" w:rsidRPr="00DE54D3" w14:paraId="3E0A9463" w14:textId="77777777" w:rsidTr="002B7BC7">
        <w:trPr>
          <w:trHeight w:hRule="exact" w:val="2835"/>
        </w:trPr>
        <w:tc>
          <w:tcPr>
            <w:tcW w:w="1276" w:type="dxa"/>
            <w:tcBorders>
              <w:top w:val="single" w:sz="4" w:space="0" w:color="auto"/>
              <w:bottom w:val="single" w:sz="12" w:space="0" w:color="auto"/>
            </w:tcBorders>
          </w:tcPr>
          <w:p w14:paraId="7A87B07F" w14:textId="77777777" w:rsidR="006F71EA" w:rsidRPr="00DE54D3" w:rsidRDefault="006F71EA" w:rsidP="002B7BC7">
            <w:pPr>
              <w:spacing w:before="120"/>
              <w:jc w:val="center"/>
            </w:pPr>
            <w:r w:rsidRPr="00DE54D3">
              <w:rPr>
                <w:noProof/>
                <w:lang w:val="en-GB" w:eastAsia="en-GB"/>
              </w:rPr>
              <w:drawing>
                <wp:inline distT="0" distB="0" distL="0" distR="0" wp14:anchorId="6320FA19" wp14:editId="03277B2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C1278DD" w14:textId="77777777" w:rsidR="00545E98" w:rsidRDefault="006F71EA" w:rsidP="002B7BC7">
            <w:pPr>
              <w:spacing w:before="120" w:line="380" w:lineRule="exact"/>
              <w:rPr>
                <w:b/>
                <w:sz w:val="34"/>
                <w:szCs w:val="34"/>
              </w:rPr>
            </w:pPr>
            <w:r w:rsidRPr="00DE54D3">
              <w:rPr>
                <w:b/>
                <w:sz w:val="34"/>
                <w:szCs w:val="34"/>
              </w:rPr>
              <w:t>Pacte international relatif</w:t>
            </w:r>
            <w:r w:rsidRPr="00DE54D3">
              <w:rPr>
                <w:b/>
                <w:sz w:val="34"/>
                <w:szCs w:val="34"/>
              </w:rPr>
              <w:br/>
              <w:t>aux droits civils et politiques</w:t>
            </w:r>
          </w:p>
          <w:p w14:paraId="3D23FAE0" w14:textId="77777777" w:rsidR="00397820" w:rsidRDefault="00397820" w:rsidP="002B7BC7">
            <w:pPr>
              <w:spacing w:before="120" w:line="380" w:lineRule="exact"/>
              <w:rPr>
                <w:b/>
                <w:sz w:val="34"/>
                <w:szCs w:val="34"/>
              </w:rPr>
            </w:pPr>
          </w:p>
          <w:p w14:paraId="27EAAD18" w14:textId="77777777" w:rsidR="00397820" w:rsidRDefault="00397820" w:rsidP="002B7BC7">
            <w:pPr>
              <w:spacing w:before="120" w:line="380" w:lineRule="exact"/>
              <w:rPr>
                <w:b/>
                <w:sz w:val="34"/>
                <w:szCs w:val="34"/>
              </w:rPr>
            </w:pPr>
          </w:p>
          <w:p w14:paraId="428AE3E2" w14:textId="762124C8" w:rsidR="00397820" w:rsidRPr="00DE54D3" w:rsidRDefault="00397820" w:rsidP="002B7BC7">
            <w:pPr>
              <w:spacing w:before="120" w:line="380" w:lineRule="exact"/>
              <w:rPr>
                <w:b/>
                <w:sz w:val="34"/>
                <w:szCs w:val="34"/>
              </w:rPr>
            </w:pPr>
            <w:r>
              <w:rPr>
                <w:b/>
                <w:sz w:val="34"/>
                <w:szCs w:val="34"/>
              </w:rPr>
              <w:t>VERSION AVANCÉE NON ÉDITÉE</w:t>
            </w:r>
          </w:p>
        </w:tc>
        <w:tc>
          <w:tcPr>
            <w:tcW w:w="2835" w:type="dxa"/>
            <w:tcBorders>
              <w:top w:val="single" w:sz="4" w:space="0" w:color="auto"/>
              <w:bottom w:val="single" w:sz="12" w:space="0" w:color="auto"/>
            </w:tcBorders>
          </w:tcPr>
          <w:p w14:paraId="655536BB" w14:textId="662F0742" w:rsidR="006F71EA" w:rsidRPr="00DE54D3" w:rsidRDefault="006656E7" w:rsidP="002B7BC7">
            <w:pPr>
              <w:spacing w:before="240"/>
            </w:pPr>
            <w:proofErr w:type="spellStart"/>
            <w:r w:rsidRPr="00AB0815">
              <w:t>Distr</w:t>
            </w:r>
            <w:proofErr w:type="spellEnd"/>
            <w:r w:rsidRPr="00AB0815">
              <w:t xml:space="preserve">. </w:t>
            </w:r>
            <w:r w:rsidR="00312063" w:rsidRPr="00312063">
              <w:t>générale</w:t>
            </w:r>
          </w:p>
          <w:p w14:paraId="112197C7" w14:textId="241C607C" w:rsidR="007D7472" w:rsidRPr="00DE54D3" w:rsidRDefault="0022224C" w:rsidP="007D7472">
            <w:pPr>
              <w:spacing w:line="240" w:lineRule="exact"/>
            </w:pPr>
            <w:r>
              <w:t>26 mai</w:t>
            </w:r>
            <w:r w:rsidR="00A92D13" w:rsidRPr="00DE54D3">
              <w:t xml:space="preserve"> 20</w:t>
            </w:r>
            <w:r w:rsidR="006656E7">
              <w:t>2</w:t>
            </w:r>
            <w:r w:rsidR="00CC3C58">
              <w:t>2</w:t>
            </w:r>
          </w:p>
          <w:p w14:paraId="50C859BA" w14:textId="77777777" w:rsidR="007D7472" w:rsidRPr="00DE54D3" w:rsidRDefault="007D7472" w:rsidP="007D7472">
            <w:pPr>
              <w:spacing w:line="240" w:lineRule="exact"/>
            </w:pPr>
          </w:p>
          <w:p w14:paraId="31270365" w14:textId="77777777" w:rsidR="00A92D13" w:rsidRPr="00DE54D3" w:rsidRDefault="00A92D13" w:rsidP="00A92D13">
            <w:pPr>
              <w:spacing w:line="240" w:lineRule="exact"/>
            </w:pPr>
            <w:r w:rsidRPr="00DE54D3">
              <w:t>Original : français</w:t>
            </w:r>
          </w:p>
          <w:p w14:paraId="40BA16D4" w14:textId="6FAE3BED" w:rsidR="007D7472" w:rsidRPr="00DE54D3" w:rsidRDefault="007D7472" w:rsidP="00A92D13">
            <w:pPr>
              <w:spacing w:line="240" w:lineRule="exact"/>
            </w:pPr>
            <w:bookmarkStart w:id="0" w:name="_GoBack"/>
            <w:bookmarkEnd w:id="0"/>
          </w:p>
        </w:tc>
      </w:tr>
    </w:tbl>
    <w:p w14:paraId="0546C57D" w14:textId="77777777" w:rsidR="00312063" w:rsidRDefault="00312063" w:rsidP="00312063">
      <w:pPr>
        <w:spacing w:before="120"/>
        <w:rPr>
          <w:b/>
          <w:sz w:val="24"/>
          <w:szCs w:val="24"/>
        </w:rPr>
      </w:pPr>
      <w:r w:rsidRPr="00DF3BF1">
        <w:rPr>
          <w:b/>
          <w:sz w:val="24"/>
          <w:szCs w:val="24"/>
        </w:rPr>
        <w:t>Comité des droits de l</w:t>
      </w:r>
      <w:r>
        <w:rPr>
          <w:b/>
          <w:sz w:val="24"/>
          <w:szCs w:val="24"/>
        </w:rPr>
        <w:t>’</w:t>
      </w:r>
      <w:r w:rsidRPr="00DF3BF1">
        <w:rPr>
          <w:b/>
          <w:sz w:val="24"/>
          <w:szCs w:val="24"/>
        </w:rPr>
        <w:t>homme</w:t>
      </w:r>
    </w:p>
    <w:p w14:paraId="2B024174" w14:textId="2E063F22" w:rsidR="00E85C42" w:rsidRPr="00DE54D3" w:rsidRDefault="00312063" w:rsidP="00054493">
      <w:pPr>
        <w:pStyle w:val="H1G"/>
      </w:pPr>
      <w:r w:rsidRPr="00AB0815">
        <w:tab/>
      </w:r>
      <w:r w:rsidRPr="00AB0815">
        <w:tab/>
      </w:r>
      <w:r w:rsidRPr="00D95BA7">
        <w:t xml:space="preserve">Constatations adoptées par le Comité au titre de l’article 5 (par. 4) du Protocole facultatif, concernant la </w:t>
      </w:r>
      <w:r>
        <w:br/>
      </w:r>
      <w:r w:rsidRPr="00D95BA7">
        <w:t>communication n</w:t>
      </w:r>
      <w:r w:rsidRPr="004D1002">
        <w:rPr>
          <w:vertAlign w:val="superscript"/>
        </w:rPr>
        <w:t>o</w:t>
      </w:r>
      <w:r w:rsidRPr="00D95BA7">
        <w:t> </w:t>
      </w:r>
      <w:r>
        <w:t>3320</w:t>
      </w:r>
      <w:r w:rsidRPr="00D95BA7">
        <w:t>/201</w:t>
      </w:r>
      <w:r>
        <w:t>9</w:t>
      </w:r>
      <w:r w:rsidRPr="00755A70">
        <w:rPr>
          <w:rStyle w:val="FootnoteReference"/>
          <w:bCs/>
          <w:sz w:val="20"/>
          <w:vertAlign w:val="baseline"/>
        </w:rPr>
        <w:footnoteReference w:customMarkFollows="1" w:id="2"/>
        <w:t>*</w:t>
      </w:r>
      <w:r w:rsidRPr="00755A70">
        <w:rPr>
          <w:vertAlign w:val="superscript"/>
        </w:rPr>
        <w:t xml:space="preserve">, </w:t>
      </w:r>
      <w:r w:rsidRPr="00755A70">
        <w:rPr>
          <w:rStyle w:val="FootnoteReference"/>
          <w:bCs/>
          <w:sz w:val="20"/>
          <w:vertAlign w:val="baseline"/>
        </w:rPr>
        <w:footnoteReference w:customMarkFollows="1" w:id="3"/>
        <w:t>**</w:t>
      </w:r>
    </w:p>
    <w:tbl>
      <w:tblPr>
        <w:tblStyle w:val="TableGrid"/>
        <w:tblW w:w="6805"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52"/>
        <w:gridCol w:w="4253"/>
      </w:tblGrid>
      <w:tr w:rsidR="00410779" w:rsidRPr="00DE54D3" w14:paraId="004A1ABB" w14:textId="77777777" w:rsidTr="00410779">
        <w:tc>
          <w:tcPr>
            <w:tcW w:w="2552" w:type="dxa"/>
          </w:tcPr>
          <w:p w14:paraId="1095CF8B" w14:textId="13CF8F0D" w:rsidR="00410779" w:rsidRPr="00DE54D3" w:rsidRDefault="00410779" w:rsidP="00410779">
            <w:pPr>
              <w:pStyle w:val="SingleTxtG"/>
              <w:ind w:left="0" w:right="0"/>
              <w:jc w:val="left"/>
              <w:rPr>
                <w:i/>
              </w:rPr>
            </w:pPr>
            <w:r w:rsidRPr="00DE54D3">
              <w:rPr>
                <w:i/>
              </w:rPr>
              <w:t>Communication présentée par</w:t>
            </w:r>
            <w:r w:rsidRPr="00DE54D3">
              <w:t> :</w:t>
            </w:r>
          </w:p>
        </w:tc>
        <w:tc>
          <w:tcPr>
            <w:tcW w:w="4253" w:type="dxa"/>
          </w:tcPr>
          <w:p w14:paraId="5E47B726" w14:textId="19CFFCF6" w:rsidR="00410779" w:rsidRPr="00DE54D3" w:rsidRDefault="006656E7" w:rsidP="006656E7">
            <w:pPr>
              <w:spacing w:after="120"/>
              <w:jc w:val="both"/>
              <w:textAlignment w:val="baseline"/>
              <w:rPr>
                <w:kern w:val="3"/>
                <w:lang w:val="fr-FR"/>
              </w:rPr>
            </w:pPr>
            <w:r>
              <w:t xml:space="preserve">Salah </w:t>
            </w:r>
            <w:proofErr w:type="spellStart"/>
            <w:r>
              <w:t>Drif</w:t>
            </w:r>
            <w:proofErr w:type="spellEnd"/>
            <w:r w:rsidR="00172AD4" w:rsidRPr="00DE54D3">
              <w:t xml:space="preserve"> et </w:t>
            </w:r>
            <w:proofErr w:type="spellStart"/>
            <w:r>
              <w:t>Khoukha</w:t>
            </w:r>
            <w:proofErr w:type="spellEnd"/>
            <w:r>
              <w:t xml:space="preserve"> </w:t>
            </w:r>
            <w:proofErr w:type="spellStart"/>
            <w:r>
              <w:t>Rafraf</w:t>
            </w:r>
            <w:proofErr w:type="spellEnd"/>
            <w:r w:rsidR="00410779" w:rsidRPr="00DE54D3">
              <w:rPr>
                <w:lang w:val="fr-FR"/>
              </w:rPr>
              <w:t xml:space="preserve"> </w:t>
            </w:r>
            <w:r>
              <w:rPr>
                <w:lang w:val="fr-FR"/>
              </w:rPr>
              <w:t>(</w:t>
            </w:r>
            <w:r w:rsidR="00410779" w:rsidRPr="00DE54D3">
              <w:rPr>
                <w:lang w:val="fr-FR"/>
              </w:rPr>
              <w:t>représenté</w:t>
            </w:r>
            <w:r w:rsidR="00172AD4" w:rsidRPr="00DE54D3">
              <w:rPr>
                <w:lang w:val="fr-FR"/>
              </w:rPr>
              <w:t>s</w:t>
            </w:r>
            <w:r w:rsidR="00410779" w:rsidRPr="00DE54D3">
              <w:rPr>
                <w:lang w:val="fr-FR"/>
              </w:rPr>
              <w:t xml:space="preserve"> par</w:t>
            </w:r>
            <w:r w:rsidR="000B40BF" w:rsidRPr="00DE54D3">
              <w:rPr>
                <w:lang w:val="fr-FR"/>
              </w:rPr>
              <w:t xml:space="preserve"> un conseil,</w:t>
            </w:r>
            <w:r w:rsidR="00410779" w:rsidRPr="00DE54D3">
              <w:rPr>
                <w:lang w:val="fr-FR"/>
              </w:rPr>
              <w:t xml:space="preserve"> </w:t>
            </w:r>
            <w:proofErr w:type="spellStart"/>
            <w:r w:rsidR="006404CD" w:rsidRPr="00DE54D3">
              <w:rPr>
                <w:lang w:val="fr-FR"/>
              </w:rPr>
              <w:t>Nassera</w:t>
            </w:r>
            <w:proofErr w:type="spellEnd"/>
            <w:r w:rsidR="006404CD" w:rsidRPr="00DE54D3">
              <w:rPr>
                <w:lang w:val="fr-FR"/>
              </w:rPr>
              <w:t xml:space="preserve"> </w:t>
            </w:r>
            <w:proofErr w:type="spellStart"/>
            <w:r w:rsidR="006404CD" w:rsidRPr="00DE54D3">
              <w:rPr>
                <w:lang w:val="fr-FR"/>
              </w:rPr>
              <w:t>Dutour</w:t>
            </w:r>
            <w:proofErr w:type="spellEnd"/>
            <w:r w:rsidR="00C55B22" w:rsidRPr="00DE54D3">
              <w:rPr>
                <w:lang w:val="fr-FR"/>
              </w:rPr>
              <w:t>,</w:t>
            </w:r>
            <w:r w:rsidR="006404CD" w:rsidRPr="00DE54D3">
              <w:rPr>
                <w:lang w:val="fr-FR"/>
              </w:rPr>
              <w:t xml:space="preserve"> du Collectif des familles de disparu(e)s en Algérie</w:t>
            </w:r>
            <w:r>
              <w:rPr>
                <w:lang w:val="fr-FR"/>
              </w:rPr>
              <w:t>)</w:t>
            </w:r>
          </w:p>
        </w:tc>
      </w:tr>
      <w:tr w:rsidR="00410779" w:rsidRPr="00DE54D3" w14:paraId="56B3498D" w14:textId="77777777" w:rsidTr="00410779">
        <w:tc>
          <w:tcPr>
            <w:tcW w:w="2552" w:type="dxa"/>
          </w:tcPr>
          <w:p w14:paraId="35F016F4" w14:textId="2D8B3492" w:rsidR="00410779" w:rsidRPr="00DE54D3" w:rsidRDefault="00BF17AB" w:rsidP="00410779">
            <w:pPr>
              <w:pStyle w:val="SingleTxtG"/>
              <w:ind w:left="0" w:right="0"/>
              <w:jc w:val="left"/>
              <w:rPr>
                <w:i/>
              </w:rPr>
            </w:pPr>
            <w:r w:rsidRPr="00DE54D3">
              <w:rPr>
                <w:i/>
              </w:rPr>
              <w:t>Victime(s) présumée(s)</w:t>
            </w:r>
            <w:r w:rsidR="00410779" w:rsidRPr="00DE54D3">
              <w:t> :</w:t>
            </w:r>
          </w:p>
        </w:tc>
        <w:tc>
          <w:tcPr>
            <w:tcW w:w="4253" w:type="dxa"/>
          </w:tcPr>
          <w:p w14:paraId="56AD701F" w14:textId="78284E60" w:rsidR="00410779" w:rsidRPr="00DE54D3" w:rsidRDefault="00172AD4" w:rsidP="006656E7">
            <w:pPr>
              <w:spacing w:after="120"/>
              <w:jc w:val="both"/>
              <w:textAlignment w:val="baseline"/>
              <w:rPr>
                <w:kern w:val="3"/>
                <w:lang w:val="fr-FR"/>
              </w:rPr>
            </w:pPr>
            <w:r w:rsidRPr="00DE54D3">
              <w:rPr>
                <w:kern w:val="3"/>
                <w:lang w:val="fr-FR"/>
              </w:rPr>
              <w:t xml:space="preserve">Les </w:t>
            </w:r>
            <w:r w:rsidR="00410779" w:rsidRPr="00DE54D3">
              <w:rPr>
                <w:kern w:val="3"/>
                <w:lang w:val="fr-FR"/>
              </w:rPr>
              <w:t>auteur</w:t>
            </w:r>
            <w:r w:rsidRPr="00DE54D3">
              <w:rPr>
                <w:kern w:val="3"/>
                <w:lang w:val="fr-FR"/>
              </w:rPr>
              <w:t>s</w:t>
            </w:r>
            <w:r w:rsidR="00410779" w:rsidRPr="00DE54D3">
              <w:rPr>
                <w:kern w:val="3"/>
                <w:lang w:val="fr-FR"/>
              </w:rPr>
              <w:t xml:space="preserve"> et </w:t>
            </w:r>
            <w:r w:rsidR="006656E7">
              <w:rPr>
                <w:kern w:val="3"/>
                <w:lang w:val="fr-FR"/>
              </w:rPr>
              <w:t xml:space="preserve">Omar </w:t>
            </w:r>
            <w:proofErr w:type="spellStart"/>
            <w:r w:rsidR="006656E7">
              <w:rPr>
                <w:kern w:val="3"/>
                <w:lang w:val="fr-FR"/>
              </w:rPr>
              <w:t>Drif</w:t>
            </w:r>
            <w:proofErr w:type="spellEnd"/>
            <w:r w:rsidR="00BF1606" w:rsidRPr="00DE54D3">
              <w:rPr>
                <w:kern w:val="3"/>
                <w:lang w:val="fr-FR"/>
              </w:rPr>
              <w:t xml:space="preserve"> (</w:t>
            </w:r>
            <w:r w:rsidR="006404CD" w:rsidRPr="00DE54D3">
              <w:rPr>
                <w:kern w:val="3"/>
                <w:lang w:val="fr-FR"/>
              </w:rPr>
              <w:t>fils</w:t>
            </w:r>
            <w:r w:rsidR="00410779" w:rsidRPr="00DE54D3">
              <w:rPr>
                <w:kern w:val="3"/>
                <w:lang w:val="fr-FR"/>
              </w:rPr>
              <w:t xml:space="preserve"> de</w:t>
            </w:r>
            <w:r w:rsidRPr="00DE54D3">
              <w:rPr>
                <w:kern w:val="3"/>
                <w:lang w:val="fr-FR"/>
              </w:rPr>
              <w:t>s</w:t>
            </w:r>
            <w:r w:rsidR="00410779" w:rsidRPr="00DE54D3">
              <w:rPr>
                <w:kern w:val="3"/>
                <w:lang w:val="fr-FR"/>
              </w:rPr>
              <w:t xml:space="preserve"> </w:t>
            </w:r>
            <w:r w:rsidRPr="00DE54D3">
              <w:rPr>
                <w:kern w:val="3"/>
                <w:lang w:val="fr-FR"/>
              </w:rPr>
              <w:t>a</w:t>
            </w:r>
            <w:r w:rsidR="00410779" w:rsidRPr="00DE54D3">
              <w:rPr>
                <w:kern w:val="3"/>
                <w:lang w:val="fr-FR"/>
              </w:rPr>
              <w:t>uteur</w:t>
            </w:r>
            <w:r w:rsidRPr="00DE54D3">
              <w:rPr>
                <w:kern w:val="3"/>
                <w:lang w:val="fr-FR"/>
              </w:rPr>
              <w:t>s</w:t>
            </w:r>
            <w:r w:rsidR="00410779" w:rsidRPr="00DE54D3">
              <w:rPr>
                <w:kern w:val="3"/>
                <w:lang w:val="fr-FR"/>
              </w:rPr>
              <w:t>)</w:t>
            </w:r>
          </w:p>
        </w:tc>
      </w:tr>
      <w:tr w:rsidR="00410779" w:rsidRPr="00DE54D3" w14:paraId="1B220EB0" w14:textId="77777777" w:rsidTr="00410779">
        <w:tc>
          <w:tcPr>
            <w:tcW w:w="2552" w:type="dxa"/>
          </w:tcPr>
          <w:p w14:paraId="37197C77" w14:textId="77777777" w:rsidR="00410779" w:rsidRPr="00DE54D3" w:rsidRDefault="00410779" w:rsidP="00410779">
            <w:pPr>
              <w:pStyle w:val="SingleTxtG"/>
              <w:ind w:left="0" w:right="0"/>
              <w:jc w:val="left"/>
              <w:rPr>
                <w:i/>
              </w:rPr>
            </w:pPr>
            <w:r w:rsidRPr="00DE54D3">
              <w:rPr>
                <w:i/>
              </w:rPr>
              <w:t>État partie</w:t>
            </w:r>
            <w:r w:rsidRPr="00DE54D3">
              <w:t> :</w:t>
            </w:r>
          </w:p>
        </w:tc>
        <w:tc>
          <w:tcPr>
            <w:tcW w:w="4253" w:type="dxa"/>
          </w:tcPr>
          <w:p w14:paraId="67C8BDB1" w14:textId="77777777" w:rsidR="00410779" w:rsidRPr="00DE54D3" w:rsidRDefault="00410779" w:rsidP="00410779">
            <w:pPr>
              <w:spacing w:after="120"/>
              <w:textAlignment w:val="baseline"/>
              <w:rPr>
                <w:kern w:val="3"/>
                <w:lang w:val="fr-FR"/>
              </w:rPr>
            </w:pPr>
            <w:r w:rsidRPr="00DE54D3">
              <w:rPr>
                <w:kern w:val="3"/>
                <w:lang w:val="fr-FR"/>
              </w:rPr>
              <w:t>Algérie</w:t>
            </w:r>
          </w:p>
        </w:tc>
      </w:tr>
      <w:tr w:rsidR="00410779" w:rsidRPr="00DE54D3" w14:paraId="21B6B84F" w14:textId="77777777" w:rsidTr="00410779">
        <w:tc>
          <w:tcPr>
            <w:tcW w:w="2552" w:type="dxa"/>
          </w:tcPr>
          <w:p w14:paraId="049A322F" w14:textId="77777777" w:rsidR="00410779" w:rsidRPr="00DE54D3" w:rsidRDefault="00410779" w:rsidP="00410779">
            <w:pPr>
              <w:pStyle w:val="SingleTxtG"/>
              <w:ind w:left="0" w:right="0"/>
              <w:jc w:val="left"/>
              <w:rPr>
                <w:i/>
              </w:rPr>
            </w:pPr>
            <w:r w:rsidRPr="00DE54D3">
              <w:rPr>
                <w:i/>
                <w:kern w:val="3"/>
                <w:lang w:val="fr-FR"/>
              </w:rPr>
              <w:t>Date de la communication </w:t>
            </w:r>
            <w:r w:rsidRPr="00DE54D3">
              <w:rPr>
                <w:kern w:val="3"/>
                <w:lang w:val="fr-FR"/>
              </w:rPr>
              <w:t>:</w:t>
            </w:r>
          </w:p>
        </w:tc>
        <w:tc>
          <w:tcPr>
            <w:tcW w:w="4253" w:type="dxa"/>
          </w:tcPr>
          <w:p w14:paraId="2A83EA0D" w14:textId="1DA3217E" w:rsidR="00410779" w:rsidRPr="00DE54D3" w:rsidRDefault="006656E7" w:rsidP="006656E7">
            <w:pPr>
              <w:spacing w:after="120"/>
              <w:textAlignment w:val="baseline"/>
              <w:rPr>
                <w:kern w:val="3"/>
                <w:lang w:val="fr-FR"/>
              </w:rPr>
            </w:pPr>
            <w:r>
              <w:rPr>
                <w:kern w:val="3"/>
                <w:lang w:val="fr-FR"/>
              </w:rPr>
              <w:t>20</w:t>
            </w:r>
            <w:r w:rsidR="00172AD4" w:rsidRPr="00DE54D3">
              <w:rPr>
                <w:kern w:val="3"/>
                <w:lang w:val="fr-FR"/>
              </w:rPr>
              <w:t xml:space="preserve"> </w:t>
            </w:r>
            <w:r>
              <w:rPr>
                <w:kern w:val="3"/>
                <w:lang w:val="fr-FR"/>
              </w:rPr>
              <w:t>janvier</w:t>
            </w:r>
            <w:r w:rsidR="000B1EC0" w:rsidRPr="00DE54D3">
              <w:rPr>
                <w:kern w:val="3"/>
                <w:lang w:val="fr-FR"/>
              </w:rPr>
              <w:t xml:space="preserve"> </w:t>
            </w:r>
            <w:r w:rsidR="00410779" w:rsidRPr="00DE54D3">
              <w:rPr>
                <w:kern w:val="3"/>
                <w:lang w:val="fr-FR"/>
              </w:rPr>
              <w:t>201</w:t>
            </w:r>
            <w:r w:rsidR="00172AD4" w:rsidRPr="00DE54D3">
              <w:rPr>
                <w:kern w:val="3"/>
                <w:lang w:val="fr-FR"/>
              </w:rPr>
              <w:t>7</w:t>
            </w:r>
            <w:r w:rsidR="00410779" w:rsidRPr="00DE54D3">
              <w:rPr>
                <w:kern w:val="3"/>
                <w:lang w:val="fr-FR"/>
              </w:rPr>
              <w:t xml:space="preserve"> (date de la lettre initiale)</w:t>
            </w:r>
          </w:p>
        </w:tc>
      </w:tr>
      <w:tr w:rsidR="00410779" w:rsidRPr="00DE54D3" w14:paraId="7D46B830" w14:textId="77777777" w:rsidTr="00410779">
        <w:tc>
          <w:tcPr>
            <w:tcW w:w="2552" w:type="dxa"/>
          </w:tcPr>
          <w:p w14:paraId="79C98264" w14:textId="77777777" w:rsidR="00410779" w:rsidRPr="00DE54D3" w:rsidRDefault="00410779" w:rsidP="00410779">
            <w:pPr>
              <w:pStyle w:val="SingleTxtG"/>
              <w:ind w:left="0" w:right="0"/>
              <w:jc w:val="left"/>
              <w:rPr>
                <w:i/>
              </w:rPr>
            </w:pPr>
            <w:r w:rsidRPr="00DE54D3">
              <w:rPr>
                <w:i/>
                <w:kern w:val="3"/>
                <w:lang w:val="fr-FR"/>
              </w:rPr>
              <w:t>Références </w:t>
            </w:r>
            <w:r w:rsidRPr="00DE54D3">
              <w:rPr>
                <w:kern w:val="3"/>
                <w:lang w:val="fr-FR"/>
              </w:rPr>
              <w:t>:</w:t>
            </w:r>
          </w:p>
        </w:tc>
        <w:tc>
          <w:tcPr>
            <w:tcW w:w="4253" w:type="dxa"/>
          </w:tcPr>
          <w:p w14:paraId="429C3269" w14:textId="56558C6A" w:rsidR="00410779" w:rsidRPr="00DE54D3" w:rsidRDefault="00CB16AA" w:rsidP="006656E7">
            <w:pPr>
              <w:spacing w:after="120"/>
              <w:jc w:val="both"/>
              <w:textAlignment w:val="baseline"/>
              <w:rPr>
                <w:kern w:val="3"/>
                <w:lang w:val="fr-FR"/>
              </w:rPr>
            </w:pPr>
            <w:r w:rsidRPr="00DE54D3">
              <w:rPr>
                <w:kern w:val="3"/>
                <w:lang w:val="fr-FR"/>
              </w:rPr>
              <w:t xml:space="preserve">Décision prise en application de l’article </w:t>
            </w:r>
            <w:r w:rsidR="003553A0" w:rsidRPr="00DE54D3">
              <w:rPr>
                <w:kern w:val="3"/>
                <w:lang w:val="fr-FR"/>
              </w:rPr>
              <w:t xml:space="preserve">92 </w:t>
            </w:r>
            <w:r w:rsidRPr="00DE54D3">
              <w:rPr>
                <w:kern w:val="3"/>
                <w:lang w:val="fr-FR"/>
              </w:rPr>
              <w:t>du règlement intérieur du Comité</w:t>
            </w:r>
            <w:r w:rsidR="00410779" w:rsidRPr="00DE54D3">
              <w:rPr>
                <w:kern w:val="3"/>
                <w:lang w:val="fr-FR"/>
              </w:rPr>
              <w:t xml:space="preserve">, communiquée à l’État partie le </w:t>
            </w:r>
            <w:r w:rsidR="006656E7">
              <w:rPr>
                <w:kern w:val="3"/>
                <w:lang w:val="fr-FR"/>
              </w:rPr>
              <w:t>15 mars</w:t>
            </w:r>
            <w:r w:rsidR="00007EB9" w:rsidRPr="00DE54D3">
              <w:rPr>
                <w:kern w:val="3"/>
                <w:lang w:val="fr-FR"/>
              </w:rPr>
              <w:t xml:space="preserve"> </w:t>
            </w:r>
            <w:r w:rsidR="00975D7C" w:rsidRPr="00DE54D3">
              <w:rPr>
                <w:kern w:val="3"/>
                <w:lang w:val="fr-FR"/>
              </w:rPr>
              <w:t>201</w:t>
            </w:r>
            <w:r w:rsidR="006656E7">
              <w:rPr>
                <w:kern w:val="3"/>
                <w:lang w:val="fr-FR"/>
              </w:rPr>
              <w:t>9</w:t>
            </w:r>
            <w:r w:rsidR="00410779" w:rsidRPr="00DE54D3">
              <w:rPr>
                <w:kern w:val="3"/>
                <w:lang w:val="fr-FR"/>
              </w:rPr>
              <w:t xml:space="preserve"> (non publiée sous forme de document)</w:t>
            </w:r>
          </w:p>
        </w:tc>
      </w:tr>
      <w:tr w:rsidR="00410779" w:rsidRPr="00DE54D3" w14:paraId="4445062D" w14:textId="77777777" w:rsidTr="00410779">
        <w:tc>
          <w:tcPr>
            <w:tcW w:w="2552" w:type="dxa"/>
          </w:tcPr>
          <w:p w14:paraId="1D1505AC" w14:textId="77777777" w:rsidR="00410779" w:rsidRPr="00DE54D3" w:rsidRDefault="00410779" w:rsidP="00410779">
            <w:pPr>
              <w:spacing w:after="120"/>
              <w:textAlignment w:val="baseline"/>
              <w:rPr>
                <w:kern w:val="3"/>
                <w:lang w:val="fr-FR"/>
              </w:rPr>
            </w:pPr>
            <w:r w:rsidRPr="00DE54D3">
              <w:rPr>
                <w:i/>
                <w:kern w:val="3"/>
                <w:lang w:val="fr-FR"/>
              </w:rPr>
              <w:t>Date des constatations </w:t>
            </w:r>
            <w:r w:rsidRPr="00DE54D3">
              <w:rPr>
                <w:kern w:val="3"/>
                <w:lang w:val="fr-FR"/>
              </w:rPr>
              <w:t>:</w:t>
            </w:r>
          </w:p>
        </w:tc>
        <w:tc>
          <w:tcPr>
            <w:tcW w:w="4253" w:type="dxa"/>
          </w:tcPr>
          <w:p w14:paraId="4A875141" w14:textId="40B0BC9D" w:rsidR="00410779" w:rsidRPr="00DE54D3" w:rsidRDefault="00312063" w:rsidP="00410779">
            <w:pPr>
              <w:spacing w:after="120"/>
              <w:textAlignment w:val="baseline"/>
              <w:rPr>
                <w:kern w:val="3"/>
                <w:lang w:val="fr-FR"/>
              </w:rPr>
            </w:pPr>
            <w:r>
              <w:rPr>
                <w:kern w:val="3"/>
                <w:lang w:val="fr-FR"/>
              </w:rPr>
              <w:t>4</w:t>
            </w:r>
            <w:r w:rsidR="006656E7">
              <w:rPr>
                <w:kern w:val="3"/>
                <w:lang w:val="fr-FR"/>
              </w:rPr>
              <w:t xml:space="preserve"> mars 2022</w:t>
            </w:r>
          </w:p>
        </w:tc>
      </w:tr>
      <w:tr w:rsidR="00410779" w:rsidRPr="00DE54D3" w14:paraId="7E782687" w14:textId="77777777" w:rsidTr="00410779">
        <w:tc>
          <w:tcPr>
            <w:tcW w:w="2552" w:type="dxa"/>
          </w:tcPr>
          <w:p w14:paraId="270AC4D7" w14:textId="77777777" w:rsidR="00410779" w:rsidRPr="00DE54D3" w:rsidRDefault="00410779" w:rsidP="00410779">
            <w:pPr>
              <w:spacing w:after="120"/>
              <w:textAlignment w:val="baseline"/>
              <w:rPr>
                <w:kern w:val="3"/>
                <w:lang w:val="fr-FR"/>
              </w:rPr>
            </w:pPr>
            <w:r w:rsidRPr="00DE54D3">
              <w:rPr>
                <w:lang w:val="fr-FR"/>
              </w:rPr>
              <w:br w:type="page"/>
            </w:r>
            <w:r w:rsidRPr="00DE54D3">
              <w:rPr>
                <w:rFonts w:ascii="Calibri" w:hAnsi="Calibri" w:cs="Arial"/>
                <w:kern w:val="3"/>
                <w:lang w:val="fr-FR" w:eastAsia="en-GB"/>
              </w:rPr>
              <w:br w:type="page"/>
            </w:r>
            <w:r w:rsidRPr="00DE54D3">
              <w:rPr>
                <w:i/>
                <w:iCs/>
                <w:kern w:val="3"/>
                <w:lang w:val="fr-FR"/>
              </w:rPr>
              <w:t>Objet </w:t>
            </w:r>
            <w:r w:rsidRPr="00DE54D3">
              <w:rPr>
                <w:kern w:val="3"/>
                <w:lang w:val="fr-FR"/>
              </w:rPr>
              <w:t>:</w:t>
            </w:r>
          </w:p>
        </w:tc>
        <w:tc>
          <w:tcPr>
            <w:tcW w:w="4253" w:type="dxa"/>
          </w:tcPr>
          <w:p w14:paraId="632E336F" w14:textId="77777777" w:rsidR="00410779" w:rsidRPr="00DE54D3" w:rsidRDefault="00BF1606" w:rsidP="00BF1606">
            <w:pPr>
              <w:spacing w:after="120"/>
              <w:textAlignment w:val="baseline"/>
              <w:rPr>
                <w:kern w:val="3"/>
                <w:lang w:val="fr-FR"/>
              </w:rPr>
            </w:pPr>
            <w:r w:rsidRPr="00DE54D3">
              <w:rPr>
                <w:kern w:val="3"/>
                <w:lang w:val="fr-FR"/>
              </w:rPr>
              <w:t>Disparition forcée</w:t>
            </w:r>
          </w:p>
        </w:tc>
      </w:tr>
      <w:tr w:rsidR="00410779" w:rsidRPr="00DE54D3" w14:paraId="3955BADE" w14:textId="77777777" w:rsidTr="00410779">
        <w:tc>
          <w:tcPr>
            <w:tcW w:w="2552" w:type="dxa"/>
          </w:tcPr>
          <w:p w14:paraId="626AF6E3" w14:textId="77777777" w:rsidR="00410779" w:rsidRPr="00DE54D3" w:rsidRDefault="00410779" w:rsidP="00410779">
            <w:pPr>
              <w:spacing w:after="120"/>
              <w:textAlignment w:val="baseline"/>
              <w:rPr>
                <w:i/>
                <w:iCs/>
                <w:kern w:val="3"/>
                <w:lang w:val="fr-FR"/>
              </w:rPr>
            </w:pPr>
            <w:r w:rsidRPr="00DE54D3">
              <w:rPr>
                <w:i/>
                <w:iCs/>
                <w:kern w:val="3"/>
                <w:lang w:val="fr-FR"/>
              </w:rPr>
              <w:t>Question(s) de procédure </w:t>
            </w:r>
            <w:r w:rsidRPr="00DE54D3">
              <w:rPr>
                <w:kern w:val="3"/>
                <w:lang w:val="fr-FR"/>
              </w:rPr>
              <w:t>:</w:t>
            </w:r>
          </w:p>
        </w:tc>
        <w:tc>
          <w:tcPr>
            <w:tcW w:w="4253" w:type="dxa"/>
          </w:tcPr>
          <w:p w14:paraId="3C8E4765" w14:textId="77777777" w:rsidR="00410779" w:rsidRPr="00DE54D3" w:rsidRDefault="00BF1606" w:rsidP="00007EB9">
            <w:pPr>
              <w:spacing w:after="120"/>
              <w:textAlignment w:val="baseline"/>
              <w:rPr>
                <w:kern w:val="3"/>
                <w:lang w:val="fr-FR"/>
              </w:rPr>
            </w:pPr>
            <w:r w:rsidRPr="00DE54D3">
              <w:rPr>
                <w:kern w:val="3"/>
                <w:lang w:val="fr-FR"/>
              </w:rPr>
              <w:t>Épuisement des recours internes</w:t>
            </w:r>
          </w:p>
        </w:tc>
      </w:tr>
      <w:tr w:rsidR="00410779" w:rsidRPr="00DE54D3" w14:paraId="20736EFE" w14:textId="77777777" w:rsidTr="00410779">
        <w:tc>
          <w:tcPr>
            <w:tcW w:w="2552" w:type="dxa"/>
          </w:tcPr>
          <w:p w14:paraId="28EEB3F0" w14:textId="77777777" w:rsidR="00410779" w:rsidRPr="00DE54D3" w:rsidRDefault="00410779" w:rsidP="00410779">
            <w:pPr>
              <w:spacing w:after="120"/>
              <w:textAlignment w:val="baseline"/>
              <w:rPr>
                <w:kern w:val="3"/>
                <w:lang w:val="fr-FR"/>
              </w:rPr>
            </w:pPr>
            <w:r w:rsidRPr="00DE54D3">
              <w:rPr>
                <w:i/>
                <w:iCs/>
                <w:kern w:val="3"/>
                <w:lang w:val="fr-FR"/>
              </w:rPr>
              <w:t>Question(s) de fond </w:t>
            </w:r>
            <w:r w:rsidRPr="00DE54D3">
              <w:rPr>
                <w:kern w:val="3"/>
                <w:lang w:val="fr-FR"/>
              </w:rPr>
              <w:t>:</w:t>
            </w:r>
          </w:p>
        </w:tc>
        <w:tc>
          <w:tcPr>
            <w:tcW w:w="4253" w:type="dxa"/>
          </w:tcPr>
          <w:p w14:paraId="6879B722" w14:textId="77777777" w:rsidR="00410779" w:rsidRPr="00DE54D3" w:rsidRDefault="00BF1606" w:rsidP="00007EB9">
            <w:pPr>
              <w:spacing w:after="120"/>
              <w:jc w:val="both"/>
              <w:textAlignment w:val="baseline"/>
              <w:rPr>
                <w:kern w:val="3"/>
                <w:lang w:val="fr-FR"/>
              </w:rPr>
            </w:pPr>
            <w:r w:rsidRPr="00DE54D3">
              <w:rPr>
                <w:lang w:val="fr-FR"/>
              </w:rPr>
              <w:t>Droit à un recours utile ; peine ou traitement cruel, inhumain ou dégrad</w:t>
            </w:r>
            <w:r w:rsidR="00B90B76" w:rsidRPr="00DE54D3">
              <w:rPr>
                <w:lang w:val="fr-FR"/>
              </w:rPr>
              <w:t xml:space="preserve">ant ; liberté et sécurité de la </w:t>
            </w:r>
            <w:r w:rsidRPr="00DE54D3">
              <w:rPr>
                <w:lang w:val="fr-FR"/>
              </w:rPr>
              <w:lastRenderedPageBreak/>
              <w:t>personne ; dignité</w:t>
            </w:r>
            <w:r w:rsidR="00B90B76" w:rsidRPr="00DE54D3">
              <w:rPr>
                <w:lang w:val="fr-FR"/>
              </w:rPr>
              <w:t xml:space="preserve"> humaine ; reconnaissance de la </w:t>
            </w:r>
            <w:r w:rsidRPr="00DE54D3">
              <w:rPr>
                <w:lang w:val="fr-FR"/>
              </w:rPr>
              <w:t>personnalité juridique</w:t>
            </w:r>
          </w:p>
        </w:tc>
      </w:tr>
      <w:tr w:rsidR="00410779" w:rsidRPr="00DE54D3" w14:paraId="40472A6D" w14:textId="77777777" w:rsidTr="00410779">
        <w:tc>
          <w:tcPr>
            <w:tcW w:w="2552" w:type="dxa"/>
          </w:tcPr>
          <w:p w14:paraId="0775BF5F" w14:textId="77777777" w:rsidR="00410779" w:rsidRPr="00DE54D3" w:rsidRDefault="00410779" w:rsidP="00410779">
            <w:pPr>
              <w:spacing w:after="120"/>
              <w:textAlignment w:val="baseline"/>
              <w:rPr>
                <w:kern w:val="3"/>
                <w:lang w:val="fr-FR"/>
              </w:rPr>
            </w:pPr>
            <w:r w:rsidRPr="00DE54D3">
              <w:rPr>
                <w:i/>
                <w:iCs/>
                <w:kern w:val="3"/>
                <w:lang w:val="fr-FR"/>
              </w:rPr>
              <w:lastRenderedPageBreak/>
              <w:t>Article(s) du Pacte </w:t>
            </w:r>
            <w:r w:rsidRPr="00DE54D3">
              <w:rPr>
                <w:kern w:val="3"/>
                <w:lang w:val="fr-FR"/>
              </w:rPr>
              <w:t>:</w:t>
            </w:r>
          </w:p>
        </w:tc>
        <w:tc>
          <w:tcPr>
            <w:tcW w:w="4253" w:type="dxa"/>
          </w:tcPr>
          <w:p w14:paraId="4B3B62B9" w14:textId="15F5885E" w:rsidR="00410779" w:rsidRPr="00DE54D3" w:rsidRDefault="006B2617" w:rsidP="00877442">
            <w:pPr>
              <w:spacing w:after="120"/>
              <w:textAlignment w:val="baseline"/>
              <w:rPr>
                <w:kern w:val="3"/>
                <w:lang w:val="fr-FR"/>
              </w:rPr>
            </w:pPr>
            <w:r w:rsidRPr="00DE54D3">
              <w:rPr>
                <w:kern w:val="3"/>
                <w:lang w:val="fr-FR"/>
              </w:rPr>
              <w:t xml:space="preserve">2 (par. </w:t>
            </w:r>
            <w:r w:rsidR="00BF1606" w:rsidRPr="00DE54D3">
              <w:rPr>
                <w:kern w:val="3"/>
                <w:lang w:val="fr-FR"/>
              </w:rPr>
              <w:t xml:space="preserve">2 et </w:t>
            </w:r>
            <w:r w:rsidR="00410779" w:rsidRPr="00DE54D3">
              <w:rPr>
                <w:kern w:val="3"/>
                <w:lang w:val="fr-FR"/>
              </w:rPr>
              <w:t>3), 6, 7, 9</w:t>
            </w:r>
            <w:r w:rsidR="00BF1606" w:rsidRPr="00DE54D3">
              <w:rPr>
                <w:kern w:val="3"/>
                <w:lang w:val="fr-FR"/>
              </w:rPr>
              <w:t xml:space="preserve">, </w:t>
            </w:r>
            <w:r w:rsidR="00410779" w:rsidRPr="00DE54D3">
              <w:rPr>
                <w:kern w:val="3"/>
                <w:lang w:val="fr-FR"/>
              </w:rPr>
              <w:t>10</w:t>
            </w:r>
            <w:r w:rsidR="00877442">
              <w:rPr>
                <w:kern w:val="3"/>
                <w:lang w:val="fr-FR"/>
              </w:rPr>
              <w:t>,</w:t>
            </w:r>
            <w:r w:rsidR="00BF1606" w:rsidRPr="00DE54D3">
              <w:rPr>
                <w:kern w:val="3"/>
                <w:lang w:val="fr-FR"/>
              </w:rPr>
              <w:t xml:space="preserve"> </w:t>
            </w:r>
            <w:r w:rsidR="00EA21D5" w:rsidRPr="00DE54D3">
              <w:rPr>
                <w:kern w:val="3"/>
                <w:lang w:val="fr-FR"/>
              </w:rPr>
              <w:t>14</w:t>
            </w:r>
            <w:r w:rsidR="00877442">
              <w:rPr>
                <w:kern w:val="3"/>
                <w:lang w:val="fr-FR"/>
              </w:rPr>
              <w:t xml:space="preserve"> et 16</w:t>
            </w:r>
          </w:p>
        </w:tc>
      </w:tr>
      <w:tr w:rsidR="00410779" w:rsidRPr="00DE54D3" w14:paraId="703785BC" w14:textId="77777777" w:rsidTr="00410779">
        <w:tc>
          <w:tcPr>
            <w:tcW w:w="2552" w:type="dxa"/>
          </w:tcPr>
          <w:p w14:paraId="05335B90" w14:textId="77777777" w:rsidR="00410779" w:rsidRPr="00DE54D3" w:rsidRDefault="00410779" w:rsidP="00410779">
            <w:pPr>
              <w:spacing w:after="120"/>
              <w:textAlignment w:val="baseline"/>
              <w:rPr>
                <w:kern w:val="3"/>
                <w:lang w:val="fr-FR"/>
              </w:rPr>
            </w:pPr>
            <w:r w:rsidRPr="00DE54D3">
              <w:rPr>
                <w:i/>
                <w:iCs/>
                <w:kern w:val="3"/>
                <w:lang w:val="fr-FR"/>
              </w:rPr>
              <w:t>Article(s) du Protocole facultatif </w:t>
            </w:r>
            <w:r w:rsidRPr="00DE54D3">
              <w:rPr>
                <w:kern w:val="3"/>
                <w:lang w:val="fr-FR"/>
              </w:rPr>
              <w:t>:</w:t>
            </w:r>
          </w:p>
        </w:tc>
        <w:tc>
          <w:tcPr>
            <w:tcW w:w="4253" w:type="dxa"/>
          </w:tcPr>
          <w:p w14:paraId="1E4C4D20" w14:textId="6D1BA8D4" w:rsidR="00410779" w:rsidRPr="00DE54D3" w:rsidRDefault="00051C21" w:rsidP="00410779">
            <w:pPr>
              <w:spacing w:after="120"/>
              <w:textAlignment w:val="baseline"/>
              <w:rPr>
                <w:kern w:val="3"/>
                <w:lang w:val="fr-FR"/>
              </w:rPr>
            </w:pPr>
            <w:r w:rsidRPr="00DE54D3">
              <w:rPr>
                <w:kern w:val="3"/>
                <w:lang w:val="fr-FR"/>
              </w:rPr>
              <w:t xml:space="preserve">2, 3 et 5 (par. </w:t>
            </w:r>
            <w:r w:rsidR="00BF1606" w:rsidRPr="00DE54D3">
              <w:rPr>
                <w:kern w:val="3"/>
                <w:lang w:val="fr-FR"/>
              </w:rPr>
              <w:t>2)</w:t>
            </w:r>
          </w:p>
        </w:tc>
      </w:tr>
    </w:tbl>
    <w:p w14:paraId="68825363" w14:textId="64DA09E8" w:rsidR="00410779" w:rsidRPr="00DE54D3" w:rsidRDefault="000319C3" w:rsidP="00054493">
      <w:pPr>
        <w:pStyle w:val="SingleTxtG"/>
        <w:spacing w:before="240"/>
      </w:pPr>
      <w:r w:rsidRPr="00DE54D3">
        <w:t>1.</w:t>
      </w:r>
      <w:r w:rsidR="00F2328C" w:rsidRPr="00DE54D3">
        <w:t>1</w:t>
      </w:r>
      <w:r w:rsidR="00172AD4" w:rsidRPr="00DE54D3">
        <w:tab/>
        <w:t xml:space="preserve">Les </w:t>
      </w:r>
      <w:r w:rsidR="00410779" w:rsidRPr="00DE54D3">
        <w:t>auteur</w:t>
      </w:r>
      <w:r w:rsidR="00172AD4" w:rsidRPr="00DE54D3">
        <w:t>s</w:t>
      </w:r>
      <w:r w:rsidR="00410779" w:rsidRPr="00DE54D3">
        <w:t xml:space="preserve"> de la com</w:t>
      </w:r>
      <w:r w:rsidR="00CD24CE" w:rsidRPr="00DE54D3">
        <w:t>munication</w:t>
      </w:r>
      <w:r w:rsidR="00410779" w:rsidRPr="00DE54D3">
        <w:t xml:space="preserve"> </w:t>
      </w:r>
      <w:r w:rsidR="00172AD4" w:rsidRPr="00DE54D3">
        <w:t>sont</w:t>
      </w:r>
      <w:r w:rsidR="00410779" w:rsidRPr="00DE54D3">
        <w:t xml:space="preserve"> </w:t>
      </w:r>
      <w:r w:rsidR="006656E7" w:rsidRPr="006656E7">
        <w:t xml:space="preserve">Salah </w:t>
      </w:r>
      <w:proofErr w:type="spellStart"/>
      <w:r w:rsidR="006656E7" w:rsidRPr="006656E7">
        <w:t>Drif</w:t>
      </w:r>
      <w:proofErr w:type="spellEnd"/>
      <w:r w:rsidR="00172AD4" w:rsidRPr="00DE54D3">
        <w:t xml:space="preserve"> et son épouse </w:t>
      </w:r>
      <w:proofErr w:type="spellStart"/>
      <w:r w:rsidR="006656E7" w:rsidRPr="006656E7">
        <w:t>Khoukha</w:t>
      </w:r>
      <w:proofErr w:type="spellEnd"/>
      <w:r w:rsidR="006656E7" w:rsidRPr="006656E7">
        <w:t xml:space="preserve"> </w:t>
      </w:r>
      <w:proofErr w:type="spellStart"/>
      <w:r w:rsidR="006656E7" w:rsidRPr="006656E7">
        <w:t>Rafraf</w:t>
      </w:r>
      <w:proofErr w:type="spellEnd"/>
      <w:r w:rsidR="00410779" w:rsidRPr="00DE54D3">
        <w:t xml:space="preserve">, </w:t>
      </w:r>
      <w:r w:rsidR="00CB13EB" w:rsidRPr="00DE54D3">
        <w:t xml:space="preserve">tous deux </w:t>
      </w:r>
      <w:r w:rsidR="00410779" w:rsidRPr="00DE54D3">
        <w:t xml:space="preserve">de nationalité </w:t>
      </w:r>
      <w:r w:rsidR="003533BE" w:rsidRPr="00DE54D3">
        <w:t xml:space="preserve">algérienne. </w:t>
      </w:r>
      <w:r w:rsidR="00172AD4" w:rsidRPr="00DE54D3">
        <w:t>Ils font</w:t>
      </w:r>
      <w:r w:rsidR="00410779" w:rsidRPr="00DE54D3">
        <w:t xml:space="preserve"> val</w:t>
      </w:r>
      <w:r w:rsidR="00CD24CE" w:rsidRPr="00DE54D3">
        <w:t xml:space="preserve">oir que </w:t>
      </w:r>
      <w:r w:rsidR="00172AD4" w:rsidRPr="00DE54D3">
        <w:t>leur</w:t>
      </w:r>
      <w:r w:rsidR="00CD24CE" w:rsidRPr="00DE54D3">
        <w:t xml:space="preserve"> </w:t>
      </w:r>
      <w:r w:rsidR="00A74808" w:rsidRPr="00DE54D3">
        <w:t>fils</w:t>
      </w:r>
      <w:r w:rsidR="006656E7">
        <w:t xml:space="preserve">, Omar </w:t>
      </w:r>
      <w:proofErr w:type="spellStart"/>
      <w:r w:rsidR="006656E7">
        <w:t>Drif</w:t>
      </w:r>
      <w:proofErr w:type="spellEnd"/>
      <w:r w:rsidR="00410779" w:rsidRPr="00DE54D3">
        <w:t xml:space="preserve">, né </w:t>
      </w:r>
      <w:r w:rsidR="00EA21D5" w:rsidRPr="00DE54D3">
        <w:t xml:space="preserve">le </w:t>
      </w:r>
      <w:r w:rsidR="006656E7">
        <w:t xml:space="preserve">29 </w:t>
      </w:r>
      <w:r w:rsidR="00B21729">
        <w:t>novembre</w:t>
      </w:r>
      <w:r w:rsidR="00172AD4" w:rsidRPr="00DE54D3">
        <w:t xml:space="preserve"> </w:t>
      </w:r>
      <w:r w:rsidR="003533BE" w:rsidRPr="00DE54D3">
        <w:t>19</w:t>
      </w:r>
      <w:r w:rsidR="006656E7">
        <w:t>68</w:t>
      </w:r>
      <w:r w:rsidR="00410779" w:rsidRPr="00DE54D3">
        <w:t xml:space="preserve">, </w:t>
      </w:r>
      <w:r w:rsidR="00CB13EB" w:rsidRPr="00DE54D3">
        <w:t xml:space="preserve">également </w:t>
      </w:r>
      <w:r w:rsidR="00410779" w:rsidRPr="00DE54D3">
        <w:t xml:space="preserve">de nationalité algérienne, </w:t>
      </w:r>
      <w:r w:rsidR="003533BE" w:rsidRPr="00DE54D3">
        <w:t xml:space="preserve">est victime d’une disparition forcée imputable à l’État partie, en violation </w:t>
      </w:r>
      <w:r w:rsidR="00877442" w:rsidRPr="00877442">
        <w:t>des paragraphes 2 et 3 de l’article 2 ainsi que des articles</w:t>
      </w:r>
      <w:r w:rsidR="00647D87" w:rsidRPr="00DE54D3">
        <w:t xml:space="preserve"> </w:t>
      </w:r>
      <w:r w:rsidR="003533BE" w:rsidRPr="00DE54D3">
        <w:t>6, 7, 9, 10</w:t>
      </w:r>
      <w:r w:rsidR="00172AD4" w:rsidRPr="00DE54D3">
        <w:t xml:space="preserve"> et</w:t>
      </w:r>
      <w:r w:rsidR="003533BE" w:rsidRPr="00DE54D3">
        <w:t xml:space="preserve"> </w:t>
      </w:r>
      <w:r w:rsidR="00EA21D5" w:rsidRPr="00DE54D3">
        <w:t>16</w:t>
      </w:r>
      <w:r w:rsidR="00A74808" w:rsidRPr="00DE54D3">
        <w:t xml:space="preserve"> </w:t>
      </w:r>
      <w:r w:rsidR="003533BE" w:rsidRPr="00DE54D3">
        <w:t>du Pacte. L</w:t>
      </w:r>
      <w:r w:rsidR="00172AD4" w:rsidRPr="00DE54D3">
        <w:t xml:space="preserve">es </w:t>
      </w:r>
      <w:r w:rsidR="003533BE" w:rsidRPr="00DE54D3">
        <w:t>auteur</w:t>
      </w:r>
      <w:r w:rsidR="00172AD4" w:rsidRPr="00DE54D3">
        <w:t>s</w:t>
      </w:r>
      <w:r w:rsidR="003533BE" w:rsidRPr="00DE54D3">
        <w:t xml:space="preserve"> </w:t>
      </w:r>
      <w:r w:rsidR="00172AD4" w:rsidRPr="00DE54D3">
        <w:t>soutiennent</w:t>
      </w:r>
      <w:r w:rsidR="00713F25" w:rsidRPr="00DE54D3">
        <w:t xml:space="preserve"> par ailleurs </w:t>
      </w:r>
      <w:r w:rsidR="00FC66C6" w:rsidRPr="00DE54D3">
        <w:t>être</w:t>
      </w:r>
      <w:r w:rsidR="003533BE" w:rsidRPr="00DE54D3">
        <w:t xml:space="preserve"> victime</w:t>
      </w:r>
      <w:r w:rsidR="00172AD4" w:rsidRPr="00DE54D3">
        <w:t>s</w:t>
      </w:r>
      <w:r w:rsidR="003533BE" w:rsidRPr="00DE54D3">
        <w:t xml:space="preserve"> d</w:t>
      </w:r>
      <w:r w:rsidR="00FC66C6" w:rsidRPr="00DE54D3">
        <w:t>’un</w:t>
      </w:r>
      <w:r w:rsidR="003533BE" w:rsidRPr="00DE54D3">
        <w:t>e violation</w:t>
      </w:r>
      <w:r w:rsidR="00647D87" w:rsidRPr="00DE54D3">
        <w:t xml:space="preserve"> </w:t>
      </w:r>
      <w:r w:rsidR="00FC66C6" w:rsidRPr="00DE54D3">
        <w:t xml:space="preserve">de </w:t>
      </w:r>
      <w:r w:rsidR="00172AD4" w:rsidRPr="00DE54D3">
        <w:t>leurs</w:t>
      </w:r>
      <w:r w:rsidR="00FC66C6" w:rsidRPr="00DE54D3">
        <w:t xml:space="preserve"> droits en vertu </w:t>
      </w:r>
      <w:r w:rsidR="00975D7C" w:rsidRPr="00DE54D3">
        <w:t>de</w:t>
      </w:r>
      <w:r w:rsidR="004F02EF" w:rsidRPr="00DE54D3">
        <w:t>s</w:t>
      </w:r>
      <w:r w:rsidR="00647D87" w:rsidRPr="00DE54D3">
        <w:t xml:space="preserve"> </w:t>
      </w:r>
      <w:r w:rsidR="00DD232B">
        <w:t xml:space="preserve">paragraphes 2 et </w:t>
      </w:r>
      <w:r w:rsidR="00C131D2" w:rsidRPr="00DE54D3">
        <w:t>3 de l’</w:t>
      </w:r>
      <w:r w:rsidR="00172AD4" w:rsidRPr="00DE54D3">
        <w:t xml:space="preserve">article 2 </w:t>
      </w:r>
      <w:r w:rsidR="00DD232B">
        <w:t xml:space="preserve">ainsi que des articles </w:t>
      </w:r>
      <w:r w:rsidR="00172AD4" w:rsidRPr="00DE54D3">
        <w:t>7 et</w:t>
      </w:r>
      <w:r w:rsidR="00975D7C" w:rsidRPr="00DE54D3">
        <w:t xml:space="preserve"> 14</w:t>
      </w:r>
      <w:r w:rsidR="003533BE" w:rsidRPr="00DE54D3">
        <w:t xml:space="preserve"> du Pacte.</w:t>
      </w:r>
      <w:r w:rsidR="00410779" w:rsidRPr="00DE54D3">
        <w:t xml:space="preserve"> Le Pacte et le Protocole facultatif s’y rapportant sont entrés en vigueur pour l’Éta</w:t>
      </w:r>
      <w:r w:rsidR="00DD232B">
        <w:t>t partie le 12 </w:t>
      </w:r>
      <w:r w:rsidR="002B3A75" w:rsidRPr="00DE54D3">
        <w:t>décembre 1989. L</w:t>
      </w:r>
      <w:r w:rsidR="00172AD4" w:rsidRPr="00DE54D3">
        <w:t xml:space="preserve">es </w:t>
      </w:r>
      <w:r w:rsidR="002B3A75" w:rsidRPr="00DE54D3">
        <w:t>auteur</w:t>
      </w:r>
      <w:r w:rsidR="00172AD4" w:rsidRPr="00DE54D3">
        <w:t>s sont</w:t>
      </w:r>
      <w:r w:rsidR="00410779" w:rsidRPr="00DE54D3">
        <w:t xml:space="preserve"> représenté</w:t>
      </w:r>
      <w:r w:rsidR="00172AD4" w:rsidRPr="00DE54D3">
        <w:t>s</w:t>
      </w:r>
      <w:r w:rsidR="00410779" w:rsidRPr="00DE54D3">
        <w:t xml:space="preserve"> par</w:t>
      </w:r>
      <w:r w:rsidR="002B3A75" w:rsidRPr="00DE54D3">
        <w:t xml:space="preserve"> </w:t>
      </w:r>
      <w:r w:rsidR="007E7B73" w:rsidRPr="00DE54D3">
        <w:t xml:space="preserve">un conseil, </w:t>
      </w:r>
      <w:proofErr w:type="spellStart"/>
      <w:r w:rsidR="00AB5D7D" w:rsidRPr="00DE54D3">
        <w:t>Nassera</w:t>
      </w:r>
      <w:proofErr w:type="spellEnd"/>
      <w:r w:rsidR="00AB5D7D" w:rsidRPr="00DE54D3">
        <w:t xml:space="preserve"> </w:t>
      </w:r>
      <w:proofErr w:type="spellStart"/>
      <w:r w:rsidR="00AB5D7D" w:rsidRPr="00DE54D3">
        <w:t>Dutour</w:t>
      </w:r>
      <w:proofErr w:type="spellEnd"/>
      <w:r w:rsidR="007E7B73" w:rsidRPr="00DE54D3">
        <w:t>,</w:t>
      </w:r>
      <w:r w:rsidR="00AB5D7D" w:rsidRPr="00DE54D3">
        <w:t xml:space="preserve"> du Collectif des familles de disparu(e)s en Algérie</w:t>
      </w:r>
      <w:r w:rsidR="00410779" w:rsidRPr="00DE54D3">
        <w:t>.</w:t>
      </w:r>
    </w:p>
    <w:p w14:paraId="6AC5E902" w14:textId="7B58D8B0" w:rsidR="00F2328C" w:rsidRPr="00DE54D3" w:rsidRDefault="00877442" w:rsidP="00F2328C">
      <w:pPr>
        <w:pStyle w:val="SingleTxtG"/>
      </w:pPr>
      <w:r>
        <w:t>1.2</w:t>
      </w:r>
      <w:r>
        <w:tab/>
        <w:t>Le 4 juillet 2019</w:t>
      </w:r>
      <w:r w:rsidR="00F2328C" w:rsidRPr="00DE54D3">
        <w:t xml:space="preserve">, le Comité, </w:t>
      </w:r>
      <w:r w:rsidR="00B0323A" w:rsidRPr="00DE54D3">
        <w:t xml:space="preserve">agissant </w:t>
      </w:r>
      <w:r w:rsidR="00F2328C" w:rsidRPr="00DE54D3">
        <w:t xml:space="preserve">par l’intermédiaire </w:t>
      </w:r>
      <w:r w:rsidR="009A500D" w:rsidRPr="00DE54D3">
        <w:t>du</w:t>
      </w:r>
      <w:r w:rsidR="00F2328C" w:rsidRPr="00DE54D3">
        <w:t xml:space="preserve"> Rapporteur spécial chargé des nouvelles communications et des mesures provisoires, a décidé de ne pas séparer l’examen de la recevabilité de celui du fond de la communication.</w:t>
      </w:r>
    </w:p>
    <w:p w14:paraId="4588EF15" w14:textId="2AE93C9A" w:rsidR="00410779" w:rsidRPr="00DE54D3" w:rsidRDefault="00410779" w:rsidP="00A312D0">
      <w:pPr>
        <w:pStyle w:val="H23G"/>
        <w:ind w:firstLine="0"/>
      </w:pPr>
      <w:r w:rsidRPr="00DE54D3">
        <w:tab/>
        <w:t>Rappel des faits présentés par l</w:t>
      </w:r>
      <w:r w:rsidR="00172AD4" w:rsidRPr="00DE54D3">
        <w:t xml:space="preserve">es </w:t>
      </w:r>
      <w:r w:rsidRPr="00DE54D3">
        <w:t>auteur</w:t>
      </w:r>
      <w:r w:rsidR="00172AD4" w:rsidRPr="00DE54D3">
        <w:t>s</w:t>
      </w:r>
    </w:p>
    <w:p w14:paraId="3148CE20" w14:textId="5740B4E4" w:rsidR="00BB31ED" w:rsidRPr="00DE54D3" w:rsidRDefault="00D868EB" w:rsidP="00BB31ED">
      <w:pPr>
        <w:pStyle w:val="SingleTxtG"/>
      </w:pPr>
      <w:r w:rsidRPr="00DE54D3">
        <w:t>2.1</w:t>
      </w:r>
      <w:r w:rsidRPr="00DE54D3">
        <w:tab/>
      </w:r>
      <w:r w:rsidR="006122F2" w:rsidRPr="006122F2">
        <w:t xml:space="preserve">Célibataire, </w:t>
      </w:r>
      <w:r w:rsidR="006122F2">
        <w:t xml:space="preserve">Omar </w:t>
      </w:r>
      <w:proofErr w:type="spellStart"/>
      <w:r w:rsidR="006122F2">
        <w:t>Drif</w:t>
      </w:r>
      <w:proofErr w:type="spellEnd"/>
      <w:r w:rsidR="006122F2" w:rsidRPr="006122F2">
        <w:t xml:space="preserve"> </w:t>
      </w:r>
      <w:r w:rsidR="00B21729">
        <w:t xml:space="preserve">travaillait dans son atelier de menuiserie dans la commune de </w:t>
      </w:r>
      <w:proofErr w:type="spellStart"/>
      <w:r w:rsidR="00B21729">
        <w:t>Koléa</w:t>
      </w:r>
      <w:proofErr w:type="spellEnd"/>
      <w:r w:rsidR="00B21729">
        <w:t xml:space="preserve"> et </w:t>
      </w:r>
      <w:r w:rsidR="006122F2" w:rsidRPr="006122F2">
        <w:t xml:space="preserve">habitait avec sa famille à </w:t>
      </w:r>
      <w:proofErr w:type="spellStart"/>
      <w:r w:rsidR="006122F2" w:rsidRPr="006122F2">
        <w:t>Berbissa</w:t>
      </w:r>
      <w:proofErr w:type="spellEnd"/>
      <w:r w:rsidR="006122F2" w:rsidRPr="006122F2">
        <w:t xml:space="preserve">. </w:t>
      </w:r>
      <w:r w:rsidR="005324F1">
        <w:t>L</w:t>
      </w:r>
      <w:r w:rsidR="005324F1" w:rsidRPr="005324F1">
        <w:t>e 29 janvier 1995</w:t>
      </w:r>
      <w:r w:rsidR="005324F1">
        <w:t xml:space="preserve">, son frère </w:t>
      </w:r>
      <w:r w:rsidR="005324F1" w:rsidRPr="006122F2">
        <w:t xml:space="preserve">Allal </w:t>
      </w:r>
      <w:proofErr w:type="spellStart"/>
      <w:r w:rsidR="005324F1" w:rsidRPr="006122F2">
        <w:t>Drif</w:t>
      </w:r>
      <w:proofErr w:type="spellEnd"/>
      <w:r w:rsidR="005324F1">
        <w:t xml:space="preserve"> a été interpelé par les gendarmes et amené à la gendarmerie de </w:t>
      </w:r>
      <w:proofErr w:type="spellStart"/>
      <w:r w:rsidR="005324F1">
        <w:t>Berbissa</w:t>
      </w:r>
      <w:proofErr w:type="spellEnd"/>
      <w:r w:rsidR="005324F1">
        <w:rPr>
          <w:rStyle w:val="FootnoteReference"/>
        </w:rPr>
        <w:footnoteReference w:id="4"/>
      </w:r>
      <w:r w:rsidR="005324F1">
        <w:t xml:space="preserve">. </w:t>
      </w:r>
      <w:r w:rsidR="006122F2" w:rsidRPr="006122F2">
        <w:t xml:space="preserve">Le 9 juin 1995, </w:t>
      </w:r>
      <w:r w:rsidR="00B21729">
        <w:t xml:space="preserve">quand il rentrait chez lui </w:t>
      </w:r>
      <w:proofErr w:type="gramStart"/>
      <w:r w:rsidR="00B21729">
        <w:t>accompagné</w:t>
      </w:r>
      <w:proofErr w:type="gramEnd"/>
      <w:r w:rsidR="00B21729">
        <w:t xml:space="preserve"> de quatre amis, </w:t>
      </w:r>
      <w:r w:rsidR="006122F2" w:rsidRPr="006122F2">
        <w:t xml:space="preserve">il a été interpellé par des gendarmes en uniforme et armés, qui se déplaçaient dans des véhicules officiels. Ils lui ont dit qu’ils avaient l’ordre de l’arrêter et de l’emmener à la gendarmerie. </w:t>
      </w:r>
      <w:r w:rsidR="00B21729">
        <w:t>Les q</w:t>
      </w:r>
      <w:r w:rsidR="006122F2" w:rsidRPr="006122F2">
        <w:t xml:space="preserve">uatre </w:t>
      </w:r>
      <w:r w:rsidR="00B21729">
        <w:t>amis</w:t>
      </w:r>
      <w:r w:rsidR="006122F2" w:rsidRPr="006122F2">
        <w:t xml:space="preserve"> ont identifié parmi les gendarmes le chef de la brigade, B</w:t>
      </w:r>
      <w:r w:rsidR="00052F40">
        <w:t>.</w:t>
      </w:r>
      <w:r w:rsidR="006122F2" w:rsidRPr="006122F2">
        <w:t>, et le garde communal A</w:t>
      </w:r>
      <w:r w:rsidR="00052F40">
        <w:t>.</w:t>
      </w:r>
      <w:r w:rsidR="006122F2" w:rsidRPr="006122F2">
        <w:t>S</w:t>
      </w:r>
      <w:r w:rsidR="00052F40">
        <w:t>.</w:t>
      </w:r>
      <w:r w:rsidR="006122F2" w:rsidRPr="006122F2">
        <w:t xml:space="preserve"> Les deux hommes </w:t>
      </w:r>
      <w:r w:rsidR="00B21729">
        <w:t xml:space="preserve">étaient bien connus des habitants de la commune car ils </w:t>
      </w:r>
      <w:r w:rsidR="006122F2" w:rsidRPr="006122F2">
        <w:t>seraient responsables de la plupart des disparitions qui ont eu lieu dans la ville à cette époque.</w:t>
      </w:r>
    </w:p>
    <w:p w14:paraId="51185EC4" w14:textId="25F704B7" w:rsidR="00BB31ED" w:rsidRPr="00DE54D3" w:rsidRDefault="00BB31ED" w:rsidP="0039009A">
      <w:pPr>
        <w:pStyle w:val="SingleTxtG"/>
      </w:pPr>
      <w:r w:rsidRPr="00DE54D3">
        <w:t>2.2</w:t>
      </w:r>
      <w:r w:rsidRPr="00DE54D3">
        <w:tab/>
      </w:r>
      <w:r w:rsidR="00052F40" w:rsidRPr="009C540F">
        <w:t>Après avoir été alertée, l</w:t>
      </w:r>
      <w:r w:rsidR="00B169BB">
        <w:t>’</w:t>
      </w:r>
      <w:r w:rsidR="00052F40" w:rsidRPr="009C540F">
        <w:t>a</w:t>
      </w:r>
      <w:r w:rsidR="00B169BB">
        <w:t>uteure</w:t>
      </w:r>
      <w:r w:rsidR="00052F40" w:rsidRPr="009C540F">
        <w:t xml:space="preserve"> s’est rendue avec sa fille à la gendarmerie </w:t>
      </w:r>
      <w:r w:rsidR="00E72808">
        <w:t xml:space="preserve">de </w:t>
      </w:r>
      <w:proofErr w:type="spellStart"/>
      <w:r w:rsidR="00E72808">
        <w:t>Berbissa</w:t>
      </w:r>
      <w:proofErr w:type="spellEnd"/>
      <w:r w:rsidR="00E72808">
        <w:t xml:space="preserve"> </w:t>
      </w:r>
      <w:r w:rsidR="00052F40" w:rsidRPr="009C540F">
        <w:t>afin d’obtenir des informations concernant l’arrestation de son fils</w:t>
      </w:r>
      <w:r w:rsidR="00052F40">
        <w:t>. B.</w:t>
      </w:r>
      <w:r w:rsidR="00052F40" w:rsidRPr="009C540F">
        <w:t>, le chef de la brigade, a indiqué qu’Omar était bien là, qu’il avait été dénoncé par quelqu’un et qu’il serait relâché après l’enquête. Il est resté évasif sur les raisons de l’arrestation. L</w:t>
      </w:r>
      <w:r w:rsidR="00B169BB">
        <w:t>’</w:t>
      </w:r>
      <w:r w:rsidR="00052F40" w:rsidRPr="009C540F">
        <w:t>a</w:t>
      </w:r>
      <w:r w:rsidR="00B169BB">
        <w:t>uteure</w:t>
      </w:r>
      <w:r w:rsidR="00052F40" w:rsidRPr="009C540F">
        <w:t xml:space="preserve"> est retournée plusieurs fois</w:t>
      </w:r>
      <w:r w:rsidR="00052F40">
        <w:rPr>
          <w:rStyle w:val="FootnoteReference"/>
        </w:rPr>
        <w:footnoteReference w:id="5"/>
      </w:r>
      <w:r w:rsidR="00052F40" w:rsidRPr="009C540F">
        <w:t xml:space="preserve"> à la brigade</w:t>
      </w:r>
      <w:r w:rsidR="00052F40">
        <w:t>,</w:t>
      </w:r>
      <w:r w:rsidR="00052F40" w:rsidRPr="009C540F">
        <w:t xml:space="preserve"> mais n’a jamais pu obtenir plus d’informations. En 1996, la famille a entendu une rumeur selon laquelle Omar était dans un camp dans le sud.</w:t>
      </w:r>
      <w:r w:rsidR="00B169BB">
        <w:t xml:space="preserve"> En revanche, </w:t>
      </w:r>
      <w:r w:rsidR="00B169BB" w:rsidRPr="00522CF1">
        <w:t>en 2011</w:t>
      </w:r>
      <w:r w:rsidR="00B169BB">
        <w:t>, les auteurs ont reçu</w:t>
      </w:r>
      <w:r w:rsidR="00B169BB" w:rsidRPr="001144CC">
        <w:t xml:space="preserve"> des informations selon lesquelles Omar se trouvait encore à la gendarmerie de </w:t>
      </w:r>
      <w:proofErr w:type="spellStart"/>
      <w:r w:rsidR="00B169BB" w:rsidRPr="001144CC">
        <w:t>Berbissa</w:t>
      </w:r>
      <w:proofErr w:type="spellEnd"/>
      <w:r w:rsidR="00B169BB" w:rsidRPr="001144CC">
        <w:t>.</w:t>
      </w:r>
    </w:p>
    <w:p w14:paraId="1EF39E93" w14:textId="5BD24205" w:rsidR="00B21729" w:rsidRDefault="00BB31ED" w:rsidP="00BB31ED">
      <w:pPr>
        <w:pStyle w:val="SingleTxtG"/>
      </w:pPr>
      <w:r w:rsidRPr="00DE54D3">
        <w:t>2.3</w:t>
      </w:r>
      <w:r w:rsidRPr="00DE54D3">
        <w:tab/>
      </w:r>
      <w:r w:rsidR="00052F40" w:rsidRPr="0042139F">
        <w:t xml:space="preserve">Les </w:t>
      </w:r>
      <w:r w:rsidR="00937493">
        <w:t>auteurs</w:t>
      </w:r>
      <w:r w:rsidR="00052F40" w:rsidRPr="0042139F">
        <w:t xml:space="preserve"> se sont adressés </w:t>
      </w:r>
      <w:r w:rsidR="00B0326D">
        <w:t>aux</w:t>
      </w:r>
      <w:r w:rsidR="00052F40" w:rsidRPr="0042139F">
        <w:t xml:space="preserve"> autorités compétentes</w:t>
      </w:r>
      <w:r w:rsidR="00052F40" w:rsidRPr="002220CB">
        <w:t xml:space="preserve"> </w:t>
      </w:r>
      <w:r w:rsidR="00052F40" w:rsidRPr="0042139F">
        <w:t>disponibles, tant administratives que judiciaires, afin d’éclaircir les motifs de la détention de leur fils et connaî</w:t>
      </w:r>
      <w:r w:rsidR="00052F40">
        <w:t>t</w:t>
      </w:r>
      <w:r w:rsidR="00052F40" w:rsidRPr="0042139F">
        <w:t>re son sort.</w:t>
      </w:r>
      <w:r w:rsidR="00052F40">
        <w:t xml:space="preserve"> Quant aux </w:t>
      </w:r>
      <w:r w:rsidR="00052F40" w:rsidRPr="00052F40">
        <w:t>autorités administratives</w:t>
      </w:r>
      <w:r w:rsidR="00052F40">
        <w:t>,</w:t>
      </w:r>
      <w:r w:rsidR="00052F40" w:rsidRPr="0042139F">
        <w:t xml:space="preserve"> </w:t>
      </w:r>
      <w:r w:rsidR="00052F40">
        <w:t>l’auteure</w:t>
      </w:r>
      <w:r w:rsidR="00052F40" w:rsidRPr="0042139F">
        <w:t xml:space="preserve"> a to</w:t>
      </w:r>
      <w:r w:rsidR="00052F40">
        <w:t xml:space="preserve">ut d’abord envoyé deux lettres – </w:t>
      </w:r>
      <w:r w:rsidR="00052F40" w:rsidRPr="0042139F">
        <w:t xml:space="preserve">le </w:t>
      </w:r>
      <w:r w:rsidR="00052F40">
        <w:t>28 et le 31 août 1997 –</w:t>
      </w:r>
      <w:r w:rsidR="00052F40" w:rsidRPr="0042139F">
        <w:t xml:space="preserve"> au Médiateur de la République</w:t>
      </w:r>
      <w:r w:rsidR="00052F40">
        <w:t>,</w:t>
      </w:r>
      <w:r w:rsidR="00052F40" w:rsidRPr="0042139F">
        <w:t xml:space="preserve"> qui a répond</w:t>
      </w:r>
      <w:r w:rsidR="00052F40">
        <w:t xml:space="preserve">u </w:t>
      </w:r>
      <w:r w:rsidR="007A7810">
        <w:t xml:space="preserve">le 15 octobre 1997 </w:t>
      </w:r>
      <w:r w:rsidR="00052F40">
        <w:t>qu’il accusait réception,</w:t>
      </w:r>
      <w:r w:rsidR="00052F40" w:rsidRPr="0042139F">
        <w:t xml:space="preserve"> qu’il avait transmis le dossier aux services compétents pour obtenir plus d’information</w:t>
      </w:r>
      <w:r w:rsidR="00052F40">
        <w:t>,</w:t>
      </w:r>
      <w:r w:rsidR="00052F40" w:rsidRPr="0042139F">
        <w:t xml:space="preserve"> et qu’il l’informera</w:t>
      </w:r>
      <w:r w:rsidR="00052F40">
        <w:t>it</w:t>
      </w:r>
      <w:r w:rsidR="00052F40" w:rsidRPr="0042139F">
        <w:t xml:space="preserve"> des suites données à sa demande. </w:t>
      </w:r>
      <w:r w:rsidR="00052F40">
        <w:t>En 1997</w:t>
      </w:r>
      <w:r w:rsidR="00052F40">
        <w:rPr>
          <w:rStyle w:val="FootnoteReference"/>
        </w:rPr>
        <w:footnoteReference w:id="6"/>
      </w:r>
      <w:r w:rsidR="00052F40">
        <w:t>, l’auteur a reçu un autre courrier du Médiateur de la République l’informant qu’il avait bien reçu son courrier</w:t>
      </w:r>
      <w:r w:rsidR="00052F40">
        <w:rPr>
          <w:rStyle w:val="FootnoteReference"/>
        </w:rPr>
        <w:footnoteReference w:id="7"/>
      </w:r>
      <w:r w:rsidR="00052F40">
        <w:t xml:space="preserve"> concernant les membres de sa famille et qu’il ne manquerait pas de le tenir informé</w:t>
      </w:r>
      <w:r w:rsidR="00B21729">
        <w:t xml:space="preserve"> des résultats obtenus.</w:t>
      </w:r>
    </w:p>
    <w:p w14:paraId="2EF8676F" w14:textId="1BE2E0AA" w:rsidR="00B602EA" w:rsidRDefault="00B21729" w:rsidP="00BB31ED">
      <w:pPr>
        <w:pStyle w:val="SingleTxtG"/>
      </w:pPr>
      <w:r>
        <w:t>2.4</w:t>
      </w:r>
      <w:r>
        <w:tab/>
      </w:r>
      <w:r w:rsidR="00052F40" w:rsidRPr="0042139F">
        <w:t>Le 3 janvier 199</w:t>
      </w:r>
      <w:r w:rsidR="00052F40">
        <w:t>8, l</w:t>
      </w:r>
      <w:r>
        <w:t>’</w:t>
      </w:r>
      <w:r w:rsidR="00052F40">
        <w:t>a</w:t>
      </w:r>
      <w:r>
        <w:t>uteure</w:t>
      </w:r>
      <w:r w:rsidR="00052F40">
        <w:t xml:space="preserve"> a </w:t>
      </w:r>
      <w:r w:rsidR="007A7810">
        <w:t xml:space="preserve">adressé </w:t>
      </w:r>
      <w:r w:rsidR="00052F40">
        <w:t>une lettre au M</w:t>
      </w:r>
      <w:r w:rsidR="00052F40" w:rsidRPr="0042139F">
        <w:t xml:space="preserve">inistre de </w:t>
      </w:r>
      <w:r w:rsidR="00052F40">
        <w:t>la J</w:t>
      </w:r>
      <w:r w:rsidR="00052F40" w:rsidRPr="0042139F">
        <w:t xml:space="preserve">ustice. </w:t>
      </w:r>
      <w:r>
        <w:t xml:space="preserve">Par lettre du </w:t>
      </w:r>
      <w:r w:rsidRPr="00B21729">
        <w:t>25 août 1998</w:t>
      </w:r>
      <w:r>
        <w:t>,</w:t>
      </w:r>
      <w:r w:rsidR="00052F40" w:rsidRPr="0042139F">
        <w:t xml:space="preserve"> elle </w:t>
      </w:r>
      <w:r w:rsidR="00052F40">
        <w:t>a été</w:t>
      </w:r>
      <w:r w:rsidR="00052F40" w:rsidRPr="0042139F">
        <w:t xml:space="preserve"> convoquée</w:t>
      </w:r>
      <w:r>
        <w:t xml:space="preserve"> pour</w:t>
      </w:r>
      <w:r w:rsidR="00052F40" w:rsidRPr="0042139F">
        <w:t xml:space="preserve"> </w:t>
      </w:r>
      <w:r>
        <w:t>l</w:t>
      </w:r>
      <w:r w:rsidRPr="0042139F">
        <w:t>e 28 octobre 1998</w:t>
      </w:r>
      <w:r>
        <w:t xml:space="preserve"> </w:t>
      </w:r>
      <w:r w:rsidR="00052F40" w:rsidRPr="0042139F">
        <w:t xml:space="preserve">au bureau d’accueil de la Wilaya </w:t>
      </w:r>
      <w:r w:rsidR="00052F40" w:rsidRPr="0042139F">
        <w:lastRenderedPageBreak/>
        <w:t>au sujet de la disparition d</w:t>
      </w:r>
      <w:r>
        <w:t>’Omar</w:t>
      </w:r>
      <w:r w:rsidR="00052F40" w:rsidRPr="0042139F">
        <w:t>. Le 24 août 1998 et</w:t>
      </w:r>
      <w:r w:rsidR="007A7810">
        <w:t xml:space="preserve"> le 7 novembre 1998, les auteurs</w:t>
      </w:r>
      <w:r w:rsidR="00052F40" w:rsidRPr="0042139F">
        <w:t xml:space="preserve"> </w:t>
      </w:r>
      <w:r w:rsidR="00052F40">
        <w:t>ont adressé</w:t>
      </w:r>
      <w:r w:rsidR="00052F40" w:rsidRPr="0042139F">
        <w:t xml:space="preserve"> de nouveau deux a</w:t>
      </w:r>
      <w:r w:rsidR="00052F40">
        <w:t>utres lettres à l’attention du Ministre de la J</w:t>
      </w:r>
      <w:r w:rsidR="00052F40" w:rsidRPr="0042139F">
        <w:t>ustice. Le 30 août 1999, l</w:t>
      </w:r>
      <w:r w:rsidR="007A7810">
        <w:t>’</w:t>
      </w:r>
      <w:r w:rsidR="00052F40" w:rsidRPr="0042139F">
        <w:t>a</w:t>
      </w:r>
      <w:r w:rsidR="007A7810">
        <w:t>uteure</w:t>
      </w:r>
      <w:r w:rsidR="00052F40" w:rsidRPr="0042139F">
        <w:t xml:space="preserve"> </w:t>
      </w:r>
      <w:r w:rsidR="00052F40">
        <w:t xml:space="preserve">a </w:t>
      </w:r>
      <w:r w:rsidR="00052F40" w:rsidRPr="0042139F">
        <w:t>adress</w:t>
      </w:r>
      <w:r w:rsidR="00052F40">
        <w:t>é</w:t>
      </w:r>
      <w:r w:rsidR="00052F40" w:rsidRPr="0042139F">
        <w:t xml:space="preserve"> une lettre au Président de la République dans laquelle elle </w:t>
      </w:r>
      <w:r w:rsidR="00052F40">
        <w:t xml:space="preserve">exprime son angoisse pour le reste de sa famille et </w:t>
      </w:r>
      <w:r w:rsidR="00052F40" w:rsidRPr="0042139F">
        <w:t xml:space="preserve">demande à </w:t>
      </w:r>
      <w:r w:rsidR="007A7810" w:rsidRPr="0042139F">
        <w:t>connaî</w:t>
      </w:r>
      <w:r w:rsidR="007A7810">
        <w:t>t</w:t>
      </w:r>
      <w:r w:rsidR="007A7810" w:rsidRPr="0042139F">
        <w:t>re</w:t>
      </w:r>
      <w:r w:rsidR="00052F40" w:rsidRPr="0042139F">
        <w:t xml:space="preserve"> la vérité et à ce que les autorités s’impliquent réellement dans la recherche de son fils. Le 13 décembre 1999, </w:t>
      </w:r>
      <w:r w:rsidR="007A7810" w:rsidRPr="0042139F">
        <w:t>plusieurs parent</w:t>
      </w:r>
      <w:r w:rsidR="007A7810">
        <w:t>s de disparus – dont l’auteure – ont signé</w:t>
      </w:r>
      <w:r w:rsidR="007A7810" w:rsidRPr="0042139F">
        <w:t xml:space="preserve"> </w:t>
      </w:r>
      <w:r w:rsidR="00052F40" w:rsidRPr="0042139F">
        <w:t>une lettre commune adressée au Président de la République. Le 13 avril 2003, l</w:t>
      </w:r>
      <w:r w:rsidR="007A7810">
        <w:t>’auteur a saisi</w:t>
      </w:r>
      <w:r w:rsidR="00052F40" w:rsidRPr="0042139F">
        <w:t xml:space="preserve"> </w:t>
      </w:r>
      <w:r w:rsidR="007A7810">
        <w:t xml:space="preserve">à nouveau le </w:t>
      </w:r>
      <w:r w:rsidR="00052F40">
        <w:t>M</w:t>
      </w:r>
      <w:r w:rsidR="00052F40" w:rsidRPr="0042139F">
        <w:t>inistre de l</w:t>
      </w:r>
      <w:r w:rsidR="00052F40">
        <w:t>a J</w:t>
      </w:r>
      <w:r w:rsidR="00052F40" w:rsidRPr="0042139F">
        <w:t xml:space="preserve">ustice, </w:t>
      </w:r>
      <w:r w:rsidR="007A7810">
        <w:t>le</w:t>
      </w:r>
      <w:r w:rsidR="00052F40" w:rsidRPr="0042139F">
        <w:t xml:space="preserve"> chef du Gouvernement, </w:t>
      </w:r>
      <w:r w:rsidR="007A7810">
        <w:t>le</w:t>
      </w:r>
      <w:r w:rsidR="00052F40" w:rsidRPr="0042139F">
        <w:t xml:space="preserve"> Président de la</w:t>
      </w:r>
      <w:r w:rsidR="007A7810">
        <w:t xml:space="preserve"> République et</w:t>
      </w:r>
      <w:r w:rsidR="00052F40">
        <w:t xml:space="preserve"> la Commission N</w:t>
      </w:r>
      <w:r w:rsidR="00052F40" w:rsidRPr="0042139F">
        <w:t>ationale consultative de promotion et de protection des Droits de l’Homme. Le 27 août 2006, l</w:t>
      </w:r>
      <w:r w:rsidR="007A7810">
        <w:t>’</w:t>
      </w:r>
      <w:r w:rsidR="00052F40" w:rsidRPr="0042139F">
        <w:t>a</w:t>
      </w:r>
      <w:r w:rsidR="007A7810">
        <w:t>uteure</w:t>
      </w:r>
      <w:r w:rsidR="00052F40">
        <w:t xml:space="preserve"> a adressé </w:t>
      </w:r>
      <w:r w:rsidR="007A7810">
        <w:t xml:space="preserve">encore une fois </w:t>
      </w:r>
      <w:r w:rsidR="00052F40">
        <w:t>des courriers au M</w:t>
      </w:r>
      <w:r w:rsidR="00052F40" w:rsidRPr="0042139F">
        <w:t>inistre de la Justice, au chef du Gouvernement, au Président de la</w:t>
      </w:r>
      <w:r w:rsidR="007A7810">
        <w:t xml:space="preserve"> République,</w:t>
      </w:r>
      <w:r w:rsidR="00052F40">
        <w:t xml:space="preserve"> à la Commission N</w:t>
      </w:r>
      <w:r w:rsidR="00052F40" w:rsidRPr="0042139F">
        <w:t>ationale consultative de promotion et de protecti</w:t>
      </w:r>
      <w:r w:rsidR="00052F40">
        <w:t>on des Droits de l’Homme et au Ministre de l’I</w:t>
      </w:r>
      <w:r w:rsidR="00052F40" w:rsidRPr="0042139F">
        <w:t>ntérieur.</w:t>
      </w:r>
      <w:r w:rsidR="007A7810">
        <w:t xml:space="preserve"> Elle a rappelé aux autorités qu’elle effectuait les </w:t>
      </w:r>
      <w:r w:rsidR="00CA3649">
        <w:t>mêmes</w:t>
      </w:r>
      <w:r w:rsidR="007A7810">
        <w:t xml:space="preserve"> </w:t>
      </w:r>
      <w:r w:rsidR="00CA3649">
        <w:t>démarches</w:t>
      </w:r>
      <w:r w:rsidR="007A7810">
        <w:t xml:space="preserve"> depuis 10 ans</w:t>
      </w:r>
      <w:r w:rsidR="00CA3649">
        <w:t xml:space="preserve"> pour connaître l’endroit où se trouvait son fils, sans toutefois n’avoir de réponse.</w:t>
      </w:r>
    </w:p>
    <w:p w14:paraId="69D1A4FC" w14:textId="24B5BC1B" w:rsidR="00CA3649" w:rsidRDefault="00CA3649" w:rsidP="00BB31ED">
      <w:pPr>
        <w:pStyle w:val="SingleTxtG"/>
      </w:pPr>
      <w:r>
        <w:t>2.5</w:t>
      </w:r>
      <w:r>
        <w:tab/>
      </w:r>
      <w:r w:rsidR="00FE7B35" w:rsidRPr="00FE7B35">
        <w:t xml:space="preserve">Le 7 septembre 2006, les </w:t>
      </w:r>
      <w:r w:rsidR="00FE7B35">
        <w:t>auteurs</w:t>
      </w:r>
      <w:r w:rsidR="00FE7B35" w:rsidRPr="00FE7B35">
        <w:t xml:space="preserve"> ont reçu une réponse du chef du Gouvernement dans laquelle il a accusé réception de l</w:t>
      </w:r>
      <w:r w:rsidR="00FE7B35">
        <w:t>a lettre envoyée antérieurement</w:t>
      </w:r>
      <w:r w:rsidR="00FE7B35" w:rsidRPr="00FE7B35">
        <w:t xml:space="preserve"> et a indiqué qu’il avait transmis la demande à la Commission nationale Consultative de promotion et de protections des Droits de l’Homme. Le 27 décembre 2006, les </w:t>
      </w:r>
      <w:r w:rsidR="00FE7B35">
        <w:t>auteurs</w:t>
      </w:r>
      <w:r w:rsidR="00FE7B35" w:rsidRPr="00FE7B35">
        <w:t xml:space="preserve"> ont reçu une nouvelle réponse de la part des services de la Présidence, par laquelle il leur a été demandé de se présenter au tribunal le plus proche de leur domicile afin d’effectuer les démarches nécessaires à l’obtention d’une indemnisation en application de </w:t>
      </w:r>
      <w:r w:rsidR="00FE7B35">
        <w:t xml:space="preserve">l’ordonnance </w:t>
      </w:r>
      <w:r w:rsidR="00FE7B35" w:rsidRPr="00DE54D3">
        <w:t>n</w:t>
      </w:r>
      <w:r w:rsidR="00FE7B35" w:rsidRPr="00DE54D3">
        <w:rPr>
          <w:vertAlign w:val="superscript"/>
        </w:rPr>
        <w:t>o</w:t>
      </w:r>
      <w:r w:rsidR="00FE7B35" w:rsidRPr="00DE54D3">
        <w:t xml:space="preserve"> 06-01 du 27</w:t>
      </w:r>
      <w:r w:rsidR="00DD232B">
        <w:t xml:space="preserve"> </w:t>
      </w:r>
      <w:r w:rsidR="00FE7B35" w:rsidRPr="00DE54D3">
        <w:t>février</w:t>
      </w:r>
      <w:r w:rsidR="00DD232B">
        <w:t xml:space="preserve"> </w:t>
      </w:r>
      <w:r w:rsidR="00FE7B35" w:rsidRPr="00DE54D3">
        <w:t>2006 portant mise en œuvre de la Charte pour la paix et la réconciliation nationale</w:t>
      </w:r>
      <w:r w:rsidR="00FE7B35" w:rsidRPr="00FE7B35">
        <w:t xml:space="preserve">. Les </w:t>
      </w:r>
      <w:r w:rsidR="00FE7B35">
        <w:t>auteurs</w:t>
      </w:r>
      <w:r w:rsidR="00FE7B35" w:rsidRPr="00FE7B35">
        <w:t xml:space="preserve"> ont refusé catégoriquement cette indemnisation qui implique qu’ils abandonnent les démarches qu’ils ont entamées pour découvrir la vérité sur le sort de leur fils.</w:t>
      </w:r>
    </w:p>
    <w:p w14:paraId="0F3551D2" w14:textId="6E8D1115" w:rsidR="00FE7B35" w:rsidRDefault="00FE7B35" w:rsidP="00BB31ED">
      <w:pPr>
        <w:pStyle w:val="SingleTxtG"/>
      </w:pPr>
      <w:r>
        <w:t>2.6</w:t>
      </w:r>
      <w:r>
        <w:tab/>
      </w:r>
      <w:r w:rsidRPr="00FE7B35">
        <w:t xml:space="preserve">Le 13 mars 2007, les </w:t>
      </w:r>
      <w:r>
        <w:t>auteurs</w:t>
      </w:r>
      <w:r w:rsidRPr="00FE7B35">
        <w:t xml:space="preserve"> se sont adressés au chef du Gouvernement et au Président de la République. Le 11 mai 2009, ils ont envoyé une nouvelle plainte au Président de la République, au Ministre de la Justice et au Ministre de l’Intérie</w:t>
      </w:r>
      <w:r>
        <w:t>ur. Le 12 juin 2011, les auteurs</w:t>
      </w:r>
      <w:r w:rsidRPr="00FE7B35">
        <w:t xml:space="preserve"> se sont adressés au Président de la République et au Ministre de la Justice</w:t>
      </w:r>
      <w:r>
        <w:t>, en demandant</w:t>
      </w:r>
      <w:r w:rsidRPr="00FE7B35">
        <w:t xml:space="preserve"> à l’É</w:t>
      </w:r>
      <w:r>
        <w:t>t</w:t>
      </w:r>
      <w:r w:rsidRPr="00FE7B35">
        <w:t>at de donner suite à leur droit d’accéder à une enquête effective afin de connaître les motifs d</w:t>
      </w:r>
      <w:r>
        <w:t>e l</w:t>
      </w:r>
      <w:r w:rsidRPr="00FE7B35">
        <w:t xml:space="preserve">’arrestation de leur fils et la vérité sur son sort. Dans cette lettre, ils font référence aux instruments internationaux de promotion et de protection des droits de l’Homme, tels que le Pacte et la Charte Africaine des droits de l’Homme et des peuples. Les </w:t>
      </w:r>
      <w:r>
        <w:t>auteurs</w:t>
      </w:r>
      <w:r w:rsidRPr="00FE7B35">
        <w:t xml:space="preserve"> n’ont reçu aucune réponse à ces dernières sollicitations.</w:t>
      </w:r>
    </w:p>
    <w:p w14:paraId="4A596E8B" w14:textId="6303561F" w:rsidR="006C7412" w:rsidRDefault="00FE7B35" w:rsidP="006C7412">
      <w:pPr>
        <w:pStyle w:val="SingleTxtG"/>
      </w:pPr>
      <w:r>
        <w:t>2.7</w:t>
      </w:r>
      <w:r>
        <w:tab/>
        <w:t>Concernant les recours judiciaires, l</w:t>
      </w:r>
      <w:r w:rsidRPr="00973D55">
        <w:t>e 17 novembre 1996, l</w:t>
      </w:r>
      <w:r>
        <w:t>’auteur a été</w:t>
      </w:r>
      <w:r w:rsidRPr="00973D55">
        <w:t xml:space="preserve"> convoqué par la police judiciaire de Tipaza pour la disparition de s</w:t>
      </w:r>
      <w:r>
        <w:t>on</w:t>
      </w:r>
      <w:r w:rsidRPr="00973D55">
        <w:t xml:space="preserve"> fils</w:t>
      </w:r>
      <w:r>
        <w:rPr>
          <w:rStyle w:val="FootnoteReference"/>
        </w:rPr>
        <w:footnoteReference w:id="8"/>
      </w:r>
      <w:r w:rsidRPr="00973D55">
        <w:t xml:space="preserve">. </w:t>
      </w:r>
      <w:r w:rsidR="006C7412">
        <w:t xml:space="preserve">Le 4 mars 1999, l’auteure a reçu une convocation émanant du tribunal militaire de Blida lui enjoignant </w:t>
      </w:r>
      <w:r w:rsidR="00DD232B">
        <w:t>de s’y présenter le 19 </w:t>
      </w:r>
      <w:r w:rsidR="006C7412">
        <w:t xml:space="preserve">avril 1999. À </w:t>
      </w:r>
      <w:r w:rsidR="00EB1473">
        <w:t xml:space="preserve">une date non </w:t>
      </w:r>
      <w:r w:rsidR="006C7412">
        <w:t>précisée, les auteurs ont saisi le Procureur de la République près le tribunal militaire de Blida pour se renseigner sur l’avancée de l’enquête. Ils lui ont également communiqué qu’ils avaient été entendus par la gendarmerie à sa demande, mais qu’ils n’ont plus eu de nouvelles.</w:t>
      </w:r>
    </w:p>
    <w:p w14:paraId="7BA0C0C5" w14:textId="185BA9BF" w:rsidR="0088019B" w:rsidRDefault="00526A90" w:rsidP="00526A90">
      <w:pPr>
        <w:pStyle w:val="SingleTxtG"/>
      </w:pPr>
      <w:r>
        <w:t>2.</w:t>
      </w:r>
      <w:r w:rsidR="008765CB">
        <w:t>8</w:t>
      </w:r>
      <w:r>
        <w:tab/>
        <w:t xml:space="preserve">Le 13 septembre 2004, face à l’inertie des autorités, l’auteur a déposé encore une fois une plainte auprès du juge d’instruction du tribunal de </w:t>
      </w:r>
      <w:proofErr w:type="spellStart"/>
      <w:r>
        <w:t>Koléa</w:t>
      </w:r>
      <w:proofErr w:type="spellEnd"/>
      <w:r>
        <w:t xml:space="preserve"> contre les deux gardes communaux auteurs de l’arrestation de leur fils. Cependant, aucune suite n’a été donnée. Le 27 août 2006, l’auteure a saisi le Procureur de la République p</w:t>
      </w:r>
      <w:r w:rsidR="00DD232B">
        <w:t xml:space="preserve">rès le tribunal de </w:t>
      </w:r>
      <w:proofErr w:type="spellStart"/>
      <w:r w:rsidR="00DD232B">
        <w:t>Koléa</w:t>
      </w:r>
      <w:proofErr w:type="spellEnd"/>
      <w:r w:rsidR="00DD232B">
        <w:t>. Le 21 </w:t>
      </w:r>
      <w:r>
        <w:t xml:space="preserve">février 2007, elle a réitéré sa demande </w:t>
      </w:r>
      <w:r w:rsidR="0088019B">
        <w:t xml:space="preserve">auprès du procureur </w:t>
      </w:r>
      <w:r w:rsidR="001C281B">
        <w:t>pour demander l</w:t>
      </w:r>
      <w:r>
        <w:t xml:space="preserve">’ouverture d’une enquête pour élucider le sort qui avait été réservé à son fils. </w:t>
      </w:r>
      <w:r w:rsidR="0088019B">
        <w:t>Pourtant, c</w:t>
      </w:r>
      <w:r>
        <w:t xml:space="preserve">es plaintes n’ont eu aucune suite. </w:t>
      </w:r>
      <w:r w:rsidR="0088019B">
        <w:t>Ensuite, l</w:t>
      </w:r>
      <w:r>
        <w:t xml:space="preserve">e 11 mai 2009, les </w:t>
      </w:r>
      <w:r w:rsidR="0088019B">
        <w:t>auteurs</w:t>
      </w:r>
      <w:r>
        <w:t xml:space="preserve"> ont adressé une nouvelle plainte au Procureur de la République </w:t>
      </w:r>
      <w:r w:rsidR="0088019B">
        <w:t>près le</w:t>
      </w:r>
      <w:r>
        <w:t xml:space="preserve"> tribunal de </w:t>
      </w:r>
      <w:proofErr w:type="spellStart"/>
      <w:r>
        <w:t>Koléa</w:t>
      </w:r>
      <w:proofErr w:type="spellEnd"/>
      <w:r w:rsidR="0088019B" w:rsidRPr="0088019B">
        <w:t xml:space="preserve"> </w:t>
      </w:r>
      <w:r w:rsidR="0088019B">
        <w:t>pour demander, une nouvelle fois, l’ouverture d’une enquête</w:t>
      </w:r>
      <w:r>
        <w:t>. Ils ont reçu deux réponses dont l’une les informant que le dossier avait été transmis à la Commission Nationale consultative de promotion et de protections des Droits de l’Ho</w:t>
      </w:r>
      <w:r w:rsidR="0088019B">
        <w:t>mme, et que cette autorité n’était</w:t>
      </w:r>
      <w:r>
        <w:t xml:space="preserve"> </w:t>
      </w:r>
      <w:r w:rsidR="0088019B">
        <w:t xml:space="preserve">cependant </w:t>
      </w:r>
      <w:r>
        <w:t xml:space="preserve">pas compétente pour l’ouverture d’une enquête. Les auteurs ont alors réitéré leur refus de percevoir l’indemnisation et </w:t>
      </w:r>
      <w:r w:rsidR="0088019B">
        <w:t xml:space="preserve">ont </w:t>
      </w:r>
      <w:r>
        <w:t>d</w:t>
      </w:r>
      <w:r w:rsidR="0088019B">
        <w:t>emandé à connaître la vérité.</w:t>
      </w:r>
    </w:p>
    <w:p w14:paraId="790005B1" w14:textId="151A3A02" w:rsidR="003C7F19" w:rsidRPr="00DE54D3" w:rsidRDefault="0088019B" w:rsidP="00EB1473">
      <w:pPr>
        <w:pStyle w:val="SingleTxtG"/>
      </w:pPr>
      <w:r>
        <w:t>2.</w:t>
      </w:r>
      <w:r w:rsidR="008765CB">
        <w:t>9</w:t>
      </w:r>
      <w:r>
        <w:tab/>
      </w:r>
      <w:r w:rsidR="00526A90">
        <w:t>Le 12 juin 2011, l</w:t>
      </w:r>
      <w:r>
        <w:t>’</w:t>
      </w:r>
      <w:r w:rsidR="00526A90">
        <w:t>a</w:t>
      </w:r>
      <w:r>
        <w:t>uteure</w:t>
      </w:r>
      <w:r w:rsidR="00526A90">
        <w:t xml:space="preserve"> a saisi le tribunal de </w:t>
      </w:r>
      <w:proofErr w:type="spellStart"/>
      <w:r w:rsidR="00526A90">
        <w:t>Koléa</w:t>
      </w:r>
      <w:proofErr w:type="spellEnd"/>
      <w:r w:rsidR="00526A90">
        <w:t xml:space="preserve"> en adressant une plainte au Procureur de la République </w:t>
      </w:r>
      <w:r>
        <w:t xml:space="preserve">près ce tribunal </w:t>
      </w:r>
      <w:r w:rsidR="00526A90">
        <w:t xml:space="preserve">pour demander l’ouverture d’une enquête. </w:t>
      </w:r>
      <w:r>
        <w:t xml:space="preserve">À </w:t>
      </w:r>
      <w:r w:rsidR="00EB1473">
        <w:t xml:space="preserve">une date non </w:t>
      </w:r>
      <w:r>
        <w:t>précisée, les auteurs ont saisi le Procureur de la République près le t</w:t>
      </w:r>
      <w:r w:rsidR="00526A90">
        <w:t>ribunal militaire de Bli</w:t>
      </w:r>
      <w:r>
        <w:t>da</w:t>
      </w:r>
      <w:r w:rsidR="00526A90">
        <w:t xml:space="preserve">, </w:t>
      </w:r>
      <w:r>
        <w:t xml:space="preserve">en expliquant que malgré le fait qu’ils se soient adressés </w:t>
      </w:r>
      <w:r w:rsidR="00526A90">
        <w:t xml:space="preserve">au tribunal civil de </w:t>
      </w:r>
      <w:proofErr w:type="spellStart"/>
      <w:r w:rsidR="00526A90">
        <w:t>Koléa</w:t>
      </w:r>
      <w:proofErr w:type="spellEnd"/>
      <w:r>
        <w:t>, leur plainte n’a jamais abouti</w:t>
      </w:r>
      <w:r w:rsidR="00526A90">
        <w:t>.</w:t>
      </w:r>
    </w:p>
    <w:p w14:paraId="10E75BB4" w14:textId="56F529F5" w:rsidR="00BB31ED" w:rsidRPr="00DE54D3" w:rsidRDefault="00D4732B" w:rsidP="00D31A56">
      <w:pPr>
        <w:pStyle w:val="SingleTxtG"/>
      </w:pPr>
      <w:r w:rsidRPr="00DE54D3">
        <w:t>2.1</w:t>
      </w:r>
      <w:r w:rsidR="008765CB">
        <w:t>0</w:t>
      </w:r>
      <w:r w:rsidR="00785276" w:rsidRPr="00DE54D3">
        <w:tab/>
        <w:t xml:space="preserve">Le </w:t>
      </w:r>
      <w:r w:rsidR="00EB1473">
        <w:t xml:space="preserve">cas d’Omar </w:t>
      </w:r>
      <w:proofErr w:type="spellStart"/>
      <w:r w:rsidR="00EB1473">
        <w:t>Drif</w:t>
      </w:r>
      <w:proofErr w:type="spellEnd"/>
      <w:r w:rsidR="00D31A56" w:rsidRPr="00DE54D3">
        <w:t xml:space="preserve"> a également été soumis au Groupe de travail sur les disparitions forcées ou involontaires le </w:t>
      </w:r>
      <w:r w:rsidR="00EB1473">
        <w:t>25 juin</w:t>
      </w:r>
      <w:r w:rsidR="00D31A56" w:rsidRPr="00DE54D3">
        <w:t xml:space="preserve"> 200</w:t>
      </w:r>
      <w:r w:rsidR="00EB1473">
        <w:t>9</w:t>
      </w:r>
      <w:r w:rsidR="00D31A56" w:rsidRPr="00DE54D3">
        <w:t xml:space="preserve">. </w:t>
      </w:r>
      <w:r w:rsidR="00EB1473">
        <w:t xml:space="preserve">Sept </w:t>
      </w:r>
      <w:r w:rsidR="00D31A56" w:rsidRPr="00DE54D3">
        <w:t>ans après</w:t>
      </w:r>
      <w:r w:rsidR="00F23A9F" w:rsidRPr="00DE54D3">
        <w:t xml:space="preserve"> la saisie du Groupe de travail, </w:t>
      </w:r>
      <w:r w:rsidR="00B1185C" w:rsidRPr="00DE54D3">
        <w:t>les autorités</w:t>
      </w:r>
      <w:r w:rsidR="00D31A56" w:rsidRPr="00DE54D3">
        <w:t xml:space="preserve"> algérien</w:t>
      </w:r>
      <w:r w:rsidR="00B1185C" w:rsidRPr="00DE54D3">
        <w:t>nes</w:t>
      </w:r>
      <w:r w:rsidR="00D31A56" w:rsidRPr="00DE54D3">
        <w:t xml:space="preserve"> n’a</w:t>
      </w:r>
      <w:r w:rsidR="00B1185C" w:rsidRPr="00DE54D3">
        <w:t>vaient</w:t>
      </w:r>
      <w:r w:rsidR="00D31A56" w:rsidRPr="00DE54D3">
        <w:t xml:space="preserve"> toujours pas élucidé l’affaire</w:t>
      </w:r>
      <w:r w:rsidR="008F77FB">
        <w:rPr>
          <w:rStyle w:val="FootnoteReference"/>
        </w:rPr>
        <w:footnoteReference w:id="9"/>
      </w:r>
      <w:r w:rsidR="00D31A56" w:rsidRPr="00DE54D3">
        <w:t>.</w:t>
      </w:r>
    </w:p>
    <w:p w14:paraId="16B5BA5F" w14:textId="61FDD0F6" w:rsidR="00410779" w:rsidRPr="00DE54D3" w:rsidRDefault="00A16DB8" w:rsidP="00410779">
      <w:pPr>
        <w:pStyle w:val="SingleTxtG"/>
      </w:pPr>
      <w:r w:rsidRPr="00DE54D3">
        <w:t>2.1</w:t>
      </w:r>
      <w:r w:rsidR="008765CB">
        <w:t>1</w:t>
      </w:r>
      <w:r w:rsidR="0063461C" w:rsidRPr="00DE54D3">
        <w:tab/>
      </w:r>
      <w:r w:rsidR="00590872" w:rsidRPr="00DE54D3">
        <w:t>Malgré tous les efforts de</w:t>
      </w:r>
      <w:r w:rsidR="00D14AC8" w:rsidRPr="00DE54D3">
        <w:t>s</w:t>
      </w:r>
      <w:r w:rsidR="00590872" w:rsidRPr="00DE54D3">
        <w:t xml:space="preserve"> auteur</w:t>
      </w:r>
      <w:r w:rsidR="00D14AC8" w:rsidRPr="00DE54D3">
        <w:t>s</w:t>
      </w:r>
      <w:r w:rsidR="00590872" w:rsidRPr="00DE54D3">
        <w:t xml:space="preserve">, aucune enquête n’a été </w:t>
      </w:r>
      <w:r w:rsidR="004B5F9D" w:rsidRPr="00DE54D3">
        <w:t>ouverte</w:t>
      </w:r>
      <w:r w:rsidR="007C4695" w:rsidRPr="00DE54D3">
        <w:t xml:space="preserve"> par les autorités étatiques compétentes</w:t>
      </w:r>
      <w:r w:rsidR="00D14AC8" w:rsidRPr="00DE54D3">
        <w:t xml:space="preserve">. Les </w:t>
      </w:r>
      <w:r w:rsidR="00590872" w:rsidRPr="00DE54D3">
        <w:t>auteur</w:t>
      </w:r>
      <w:r w:rsidR="00D14AC8" w:rsidRPr="00DE54D3">
        <w:t>s</w:t>
      </w:r>
      <w:r w:rsidR="00590872" w:rsidRPr="00DE54D3">
        <w:t xml:space="preserve"> soul</w:t>
      </w:r>
      <w:r w:rsidR="004B5F9D" w:rsidRPr="00DE54D3">
        <w:t>igne</w:t>
      </w:r>
      <w:r w:rsidR="00D14AC8" w:rsidRPr="00DE54D3">
        <w:t>nt</w:t>
      </w:r>
      <w:r w:rsidR="004B5F9D" w:rsidRPr="00DE54D3">
        <w:t xml:space="preserve"> qu’</w:t>
      </w:r>
      <w:r w:rsidR="00D14AC8" w:rsidRPr="00DE54D3">
        <w:t>il leur</w:t>
      </w:r>
      <w:r w:rsidR="00713F25" w:rsidRPr="00DE54D3">
        <w:t xml:space="preserve"> est </w:t>
      </w:r>
      <w:r w:rsidR="00590872" w:rsidRPr="00DE54D3">
        <w:t xml:space="preserve">aujourd’hui </w:t>
      </w:r>
      <w:r w:rsidR="00713F25" w:rsidRPr="00DE54D3">
        <w:t>impossib</w:t>
      </w:r>
      <w:r w:rsidR="00590872" w:rsidRPr="00DE54D3">
        <w:t>l</w:t>
      </w:r>
      <w:r w:rsidR="00713F25" w:rsidRPr="00DE54D3">
        <w:t>e</w:t>
      </w:r>
      <w:r w:rsidR="00590872" w:rsidRPr="00DE54D3">
        <w:t xml:space="preserve"> légale</w:t>
      </w:r>
      <w:r w:rsidR="00713F25" w:rsidRPr="00DE54D3">
        <w:t>ment</w:t>
      </w:r>
      <w:r w:rsidR="00590872" w:rsidRPr="00DE54D3">
        <w:t xml:space="preserve"> de recourir à une instance judiciaire</w:t>
      </w:r>
      <w:r w:rsidR="008B0D71" w:rsidRPr="00DE54D3">
        <w:t>,</w:t>
      </w:r>
      <w:r w:rsidR="00590872" w:rsidRPr="00DE54D3">
        <w:t xml:space="preserve"> après la promulgation de l’ordonnance n</w:t>
      </w:r>
      <w:r w:rsidR="00590872" w:rsidRPr="00DE54D3">
        <w:rPr>
          <w:vertAlign w:val="superscript"/>
        </w:rPr>
        <w:t>o</w:t>
      </w:r>
      <w:r w:rsidR="00346FEA" w:rsidRPr="00DE54D3">
        <w:t xml:space="preserve"> </w:t>
      </w:r>
      <w:r w:rsidR="00590872" w:rsidRPr="00DE54D3">
        <w:t xml:space="preserve">06-01 </w:t>
      </w:r>
      <w:r w:rsidR="000C0721" w:rsidRPr="00DE54D3">
        <w:t>du 27</w:t>
      </w:r>
      <w:r w:rsidR="00DD232B">
        <w:t xml:space="preserve"> </w:t>
      </w:r>
      <w:r w:rsidR="000C0721" w:rsidRPr="00DE54D3">
        <w:t>février</w:t>
      </w:r>
      <w:r w:rsidR="00DD232B">
        <w:t xml:space="preserve"> </w:t>
      </w:r>
      <w:r w:rsidR="000C0721" w:rsidRPr="00DE54D3">
        <w:t xml:space="preserve">2006 </w:t>
      </w:r>
      <w:r w:rsidR="00590872" w:rsidRPr="00DE54D3">
        <w:t>portant mise en œuvre de la Charte pour la paix et la réconciliation nationale</w:t>
      </w:r>
      <w:r w:rsidR="00713F25" w:rsidRPr="00DE54D3">
        <w:t>. L</w:t>
      </w:r>
      <w:r w:rsidR="00590872" w:rsidRPr="00DE54D3">
        <w:t>es recours internes</w:t>
      </w:r>
      <w:r w:rsidR="008B0D71" w:rsidRPr="00DE54D3">
        <w:t>,</w:t>
      </w:r>
      <w:r w:rsidR="00590872" w:rsidRPr="00DE54D3">
        <w:t xml:space="preserve"> </w:t>
      </w:r>
      <w:r w:rsidR="00713F25" w:rsidRPr="00DE54D3">
        <w:t xml:space="preserve">qui </w:t>
      </w:r>
      <w:r w:rsidR="00C10BC3" w:rsidRPr="00DE54D3">
        <w:t>étaient</w:t>
      </w:r>
      <w:r w:rsidR="00713F25" w:rsidRPr="00DE54D3">
        <w:t xml:space="preserve"> </w:t>
      </w:r>
      <w:r w:rsidR="007A6B00" w:rsidRPr="00DE54D3">
        <w:t xml:space="preserve">d’ailleurs </w:t>
      </w:r>
      <w:r w:rsidR="00713F25" w:rsidRPr="00DE54D3">
        <w:t>inutiles et inefficaces</w:t>
      </w:r>
      <w:r w:rsidR="007A6B00" w:rsidRPr="00DE54D3">
        <w:t>,</w:t>
      </w:r>
      <w:r w:rsidR="00590872" w:rsidRPr="00DE54D3">
        <w:t xml:space="preserve"> </w:t>
      </w:r>
      <w:r w:rsidR="007A6B00" w:rsidRPr="00DE54D3">
        <w:t>ne sont</w:t>
      </w:r>
      <w:r w:rsidR="00C10BC3" w:rsidRPr="00DE54D3">
        <w:t xml:space="preserve"> de ce fait plus disponibles</w:t>
      </w:r>
      <w:r w:rsidR="00590872" w:rsidRPr="00DE54D3">
        <w:t xml:space="preserve">. </w:t>
      </w:r>
      <w:r w:rsidR="00F860A4" w:rsidRPr="00DE54D3">
        <w:t>En effet, selon l</w:t>
      </w:r>
      <w:r w:rsidR="00590872" w:rsidRPr="00DE54D3">
        <w:t>a Charte pour la paix et la réconciliation nationale</w:t>
      </w:r>
      <w:r w:rsidR="007A6B00" w:rsidRPr="00DE54D3">
        <w:t>,</w:t>
      </w:r>
      <w:r w:rsidR="00590872" w:rsidRPr="00DE54D3">
        <w:t xml:space="preserve"> « les actes répréhensibles d’agents de l’État</w:t>
      </w:r>
      <w:r w:rsidR="00CD01D2" w:rsidRPr="00DE54D3">
        <w:t>,</w:t>
      </w:r>
      <w:r w:rsidR="00590872" w:rsidRPr="00DE54D3">
        <w:t xml:space="preserve"> qui ont été sanctionnés par la justice chaque fois qu’ils ont été établis, ne sauraient servir de prétexte pour jeter le discrédit sur l’ensemble des forces de l’ordre qui ont accompli leur devoir, avec l’appui des citoyens et au service de la Patrie ».</w:t>
      </w:r>
    </w:p>
    <w:p w14:paraId="54BB87E8" w14:textId="5C68AB88" w:rsidR="00590872" w:rsidRPr="00DE54D3" w:rsidRDefault="00D14AC8" w:rsidP="00410779">
      <w:pPr>
        <w:pStyle w:val="SingleTxtG"/>
      </w:pPr>
      <w:r w:rsidRPr="00DE54D3">
        <w:t>2.1</w:t>
      </w:r>
      <w:r w:rsidR="008765CB">
        <w:t>2</w:t>
      </w:r>
      <w:r w:rsidR="00590872" w:rsidRPr="00DE54D3">
        <w:tab/>
      </w:r>
      <w:r w:rsidR="00713F25" w:rsidRPr="00DE54D3">
        <w:t xml:space="preserve">Selon </w:t>
      </w:r>
      <w:r w:rsidRPr="00DE54D3">
        <w:t xml:space="preserve">les </w:t>
      </w:r>
      <w:r w:rsidR="00590872" w:rsidRPr="00DE54D3">
        <w:t>auteur</w:t>
      </w:r>
      <w:r w:rsidRPr="00DE54D3">
        <w:t>s</w:t>
      </w:r>
      <w:r w:rsidR="00590872" w:rsidRPr="00DE54D3">
        <w:t xml:space="preserve">, l’ordonnance </w:t>
      </w:r>
      <w:r w:rsidR="004E41CF" w:rsidRPr="00DE54D3">
        <w:t>n</w:t>
      </w:r>
      <w:r w:rsidR="004E41CF" w:rsidRPr="00DE54D3">
        <w:rPr>
          <w:vertAlign w:val="superscript"/>
        </w:rPr>
        <w:t>o</w:t>
      </w:r>
      <w:r w:rsidR="004E41CF" w:rsidRPr="00DE54D3">
        <w:t xml:space="preserve"> 06-01 </w:t>
      </w:r>
      <w:r w:rsidR="00590872" w:rsidRPr="00DE54D3">
        <w:t>interdit sous peine de poursuites pénales le recours à la justice, ce qui dispense les victimes de la nécessité d’épuiser les voies de recours internes. Cette ordonnance interdit en effet toute plainte pour disparition ou autre crime, son article</w:t>
      </w:r>
      <w:r w:rsidR="00346FEA" w:rsidRPr="00DE54D3">
        <w:t xml:space="preserve"> </w:t>
      </w:r>
      <w:r w:rsidR="00590872" w:rsidRPr="00DE54D3">
        <w:t>45 disposant qu</w:t>
      </w:r>
      <w:proofErr w:type="gramStart"/>
      <w:r w:rsidR="00590872" w:rsidRPr="00DE54D3">
        <w:t>’«</w:t>
      </w:r>
      <w:proofErr w:type="gramEnd"/>
      <w:r w:rsidR="00590872" w:rsidRPr="00DE54D3">
        <w:t xml:space="preserve"> aucune poursuite ne peut être engagée, à titre individuel ou collectif, à l’encontre des éléments des forces de défense et de sécurité de la République, toutes composantes confondues, pour des actions menées en vue de la protection des personnes et des biens, de la sauvegarde de la Nation et de la préservation des institutions de la République algérienne démocratique et populaire ». </w:t>
      </w:r>
      <w:r w:rsidR="00713F25" w:rsidRPr="00DE54D3">
        <w:t>E</w:t>
      </w:r>
      <w:r w:rsidR="00590872" w:rsidRPr="00DE54D3">
        <w:t xml:space="preserve">n vertu de cette disposition, </w:t>
      </w:r>
      <w:r w:rsidR="00713F25" w:rsidRPr="00DE54D3">
        <w:t xml:space="preserve">toute dénonciation ou plainte doit </w:t>
      </w:r>
      <w:r w:rsidR="00590872" w:rsidRPr="00DE54D3">
        <w:t>être déclarée irrecevable par l’autorité judiciaire</w:t>
      </w:r>
      <w:r w:rsidR="00346FEA" w:rsidRPr="00DE54D3">
        <w:t xml:space="preserve"> compétente. De plus, l’article </w:t>
      </w:r>
      <w:r w:rsidR="00590872" w:rsidRPr="00DE54D3">
        <w:t xml:space="preserve">46 de la même ordonnance prévoit </w:t>
      </w:r>
      <w:r w:rsidR="006941FE" w:rsidRPr="00DE54D3">
        <w:t xml:space="preserve">ce qui suit : </w:t>
      </w:r>
      <w:r w:rsidR="00590872" w:rsidRPr="00DE54D3">
        <w:t>« </w:t>
      </w:r>
      <w:r w:rsidR="006941FE" w:rsidRPr="00DE54D3">
        <w:t>E</w:t>
      </w:r>
      <w:r w:rsidR="00590872" w:rsidRPr="00DE54D3">
        <w:t>st puni d’un emprisonnement de trois (3) ans à cinq (5) ans et d’une amende de 250 000 à 500</w:t>
      </w:r>
      <w:r w:rsidR="00346FEA" w:rsidRPr="00DE54D3">
        <w:t xml:space="preserve"> 000 </w:t>
      </w:r>
      <w:r w:rsidR="007E0377" w:rsidRPr="00DE54D3">
        <w:t>[dinars algériens]</w:t>
      </w:r>
      <w:r w:rsidR="00590872" w:rsidRPr="00DE54D3">
        <w:t>, quiconque qui, par ses déclarations, écrits ou tout autre acte, utilise ou instrumentalise les blessures de la tragédie nationale</w:t>
      </w:r>
      <w:r w:rsidR="007E0377" w:rsidRPr="00DE54D3">
        <w:t>,</w:t>
      </w:r>
      <w:r w:rsidR="00590872" w:rsidRPr="00DE54D3">
        <w:t xml:space="preserve"> pour porter atteinte aux institutions de la République algérienne démocratique et populaire, fragiliser l’État, nuire à l’honorabilité de ses agents qui l’ont dignement servie, ou ternir l’image de l’Algérie sur le plan international. Les poursuites pénales sont engagées d’office par le ministère public. En cas de récidive, la peine prévue </w:t>
      </w:r>
      <w:r w:rsidR="00DB733A" w:rsidRPr="00DE54D3">
        <w:t>au présent</w:t>
      </w:r>
      <w:r w:rsidR="00590872" w:rsidRPr="00DE54D3">
        <w:t xml:space="preserve"> article est </w:t>
      </w:r>
      <w:r w:rsidR="00DB733A" w:rsidRPr="00DE54D3">
        <w:t>portée au double</w:t>
      </w:r>
      <w:r w:rsidR="00590872" w:rsidRPr="00DE54D3">
        <w:t>.</w:t>
      </w:r>
      <w:r w:rsidR="00DB733A" w:rsidRPr="00DE54D3">
        <w:t> »</w:t>
      </w:r>
    </w:p>
    <w:p w14:paraId="3959AE5E" w14:textId="77777777" w:rsidR="00410779" w:rsidRPr="00DE54D3" w:rsidRDefault="00A312D0" w:rsidP="00A312D0">
      <w:pPr>
        <w:pStyle w:val="H23G"/>
        <w:ind w:firstLine="0"/>
        <w:rPr>
          <w:lang w:val="fr-FR"/>
        </w:rPr>
      </w:pPr>
      <w:r w:rsidRPr="00DE54D3">
        <w:rPr>
          <w:lang w:val="fr-FR"/>
        </w:rPr>
        <w:tab/>
      </w:r>
      <w:r w:rsidR="00410779" w:rsidRPr="00DE54D3">
        <w:rPr>
          <w:lang w:val="fr-FR"/>
        </w:rPr>
        <w:t>Teneur de la plainte</w:t>
      </w:r>
    </w:p>
    <w:p w14:paraId="4FE1CE16" w14:textId="08823CC0" w:rsidR="00E1086B" w:rsidRDefault="00410779" w:rsidP="004E57C5">
      <w:pPr>
        <w:pStyle w:val="SingleTxtG"/>
      </w:pPr>
      <w:r w:rsidRPr="00DE54D3">
        <w:t>3.1</w:t>
      </w:r>
      <w:r w:rsidRPr="00DE54D3">
        <w:tab/>
      </w:r>
      <w:r w:rsidR="00C03233" w:rsidRPr="00DE54D3">
        <w:t xml:space="preserve">Les auteurs demandent au Comité de constater que l’État partie a violé les articles </w:t>
      </w:r>
      <w:r w:rsidR="00C03233">
        <w:t xml:space="preserve">2 (par. 2 et par. 3), </w:t>
      </w:r>
      <w:r w:rsidR="00C03233" w:rsidRPr="00DE54D3">
        <w:t xml:space="preserve">6, 7, 9, 10 et 16 du Pacte à l’égard </w:t>
      </w:r>
      <w:r w:rsidR="00C03233">
        <w:t xml:space="preserve">d’Omar </w:t>
      </w:r>
      <w:proofErr w:type="spellStart"/>
      <w:r w:rsidR="00C03233">
        <w:t>Drif</w:t>
      </w:r>
      <w:proofErr w:type="spellEnd"/>
      <w:r w:rsidR="00DD232B">
        <w:t xml:space="preserve">, et les paragraphes </w:t>
      </w:r>
      <w:r w:rsidR="00C03233" w:rsidRPr="00DE54D3">
        <w:t xml:space="preserve">2 et 3 de l’article 2 ainsi que les articles 7 et 14 du </w:t>
      </w:r>
      <w:r w:rsidR="00DD232B">
        <w:t>Pacte à leur égard.</w:t>
      </w:r>
    </w:p>
    <w:p w14:paraId="408312E2" w14:textId="4CFC74CB" w:rsidR="00410779" w:rsidRPr="00DE54D3" w:rsidRDefault="00E1086B" w:rsidP="004E57C5">
      <w:pPr>
        <w:pStyle w:val="SingleTxtG"/>
      </w:pPr>
      <w:r>
        <w:t>3.2</w:t>
      </w:r>
      <w:r>
        <w:tab/>
      </w:r>
      <w:r w:rsidR="00B31C3A" w:rsidRPr="00DE54D3">
        <w:t>L</w:t>
      </w:r>
      <w:r w:rsidR="00A83D41" w:rsidRPr="00DE54D3">
        <w:t xml:space="preserve">es </w:t>
      </w:r>
      <w:r w:rsidR="00B31C3A" w:rsidRPr="00DE54D3">
        <w:t>auteur</w:t>
      </w:r>
      <w:r w:rsidR="00A83D41" w:rsidRPr="00DE54D3">
        <w:t>s</w:t>
      </w:r>
      <w:r w:rsidR="00B31C3A" w:rsidRPr="00DE54D3">
        <w:t xml:space="preserve"> allègue</w:t>
      </w:r>
      <w:r w:rsidR="00A83D41" w:rsidRPr="00DE54D3">
        <w:t>nt</w:t>
      </w:r>
      <w:r w:rsidR="00B31C3A" w:rsidRPr="00DE54D3">
        <w:t xml:space="preserve"> que </w:t>
      </w:r>
      <w:r w:rsidR="00A83D41" w:rsidRPr="00DE54D3">
        <w:t xml:space="preserve">leur </w:t>
      </w:r>
      <w:r w:rsidR="004F0A41" w:rsidRPr="00DE54D3">
        <w:t>fils</w:t>
      </w:r>
      <w:r w:rsidR="00EB745A" w:rsidRPr="00DE54D3">
        <w:t xml:space="preserve"> est victime d’une</w:t>
      </w:r>
      <w:r w:rsidR="00DE171C" w:rsidRPr="00DE54D3">
        <w:t xml:space="preserve"> disparition</w:t>
      </w:r>
      <w:r w:rsidR="00203E86">
        <w:t xml:space="preserve"> forcée</w:t>
      </w:r>
      <w:r w:rsidR="00B31C3A" w:rsidRPr="00DE54D3">
        <w:t>.</w:t>
      </w:r>
      <w:r w:rsidR="00A83D41" w:rsidRPr="00DE54D3">
        <w:t xml:space="preserve"> </w:t>
      </w:r>
      <w:r w:rsidR="00203E86">
        <w:t xml:space="preserve">Ils </w:t>
      </w:r>
      <w:r w:rsidR="004E57C5" w:rsidRPr="00DE54D3">
        <w:t>affirme</w:t>
      </w:r>
      <w:r w:rsidR="00A83D41" w:rsidRPr="00DE54D3">
        <w:t>nt</w:t>
      </w:r>
      <w:r w:rsidR="004E57C5" w:rsidRPr="00DE54D3">
        <w:t xml:space="preserve"> qu’en dépit </w:t>
      </w:r>
      <w:r w:rsidR="00CC5D98" w:rsidRPr="00DE54D3">
        <w:t>du fait</w:t>
      </w:r>
      <w:r w:rsidR="004E57C5" w:rsidRPr="00DE54D3">
        <w:t xml:space="preserve"> </w:t>
      </w:r>
      <w:r w:rsidR="00EB745A" w:rsidRPr="00DE54D3">
        <w:t>qu’auc</w:t>
      </w:r>
      <w:r w:rsidR="004E57C5" w:rsidRPr="00DE54D3">
        <w:t xml:space="preserve">une disposition du Pacte ne </w:t>
      </w:r>
      <w:r w:rsidR="00CC5D98" w:rsidRPr="00DE54D3">
        <w:t>fait</w:t>
      </w:r>
      <w:r w:rsidR="00EB745A" w:rsidRPr="00DE54D3">
        <w:t xml:space="preserve"> expressément mention </w:t>
      </w:r>
      <w:r w:rsidR="00F860A4" w:rsidRPr="00DE54D3">
        <w:t xml:space="preserve">des </w:t>
      </w:r>
      <w:r w:rsidR="00EB745A" w:rsidRPr="00DE54D3">
        <w:t xml:space="preserve">disparitions forcées, la pratique implique des violations du </w:t>
      </w:r>
      <w:bookmarkStart w:id="1" w:name="_Hlk27397930"/>
      <w:r w:rsidR="00EB745A" w:rsidRPr="00DE54D3">
        <w:t xml:space="preserve">droit à la vie, du droit </w:t>
      </w:r>
      <w:r w:rsidR="00CC5D98" w:rsidRPr="00DE54D3">
        <w:t>de</w:t>
      </w:r>
      <w:r w:rsidR="00EB745A" w:rsidRPr="00DE54D3">
        <w:t xml:space="preserve"> ne pas être soumis à la torture et autres peines ou traitements </w:t>
      </w:r>
      <w:r w:rsidR="0095743C" w:rsidRPr="00DE54D3">
        <w:t xml:space="preserve">cruels, </w:t>
      </w:r>
      <w:r w:rsidR="00EB745A" w:rsidRPr="00DE54D3">
        <w:t>inhumains ou dégradants</w:t>
      </w:r>
      <w:r w:rsidR="009A486F" w:rsidRPr="00DE54D3">
        <w:t>,</w:t>
      </w:r>
      <w:r w:rsidR="00EB745A" w:rsidRPr="00DE54D3">
        <w:t xml:space="preserve"> et du droit à la liberté et à la sécurité de la personne</w:t>
      </w:r>
      <w:bookmarkEnd w:id="1"/>
      <w:r w:rsidR="00DD232B">
        <w:t>.</w:t>
      </w:r>
    </w:p>
    <w:p w14:paraId="70EDBDFC" w14:textId="498ED7C7" w:rsidR="00EB745A" w:rsidRPr="00DE54D3" w:rsidRDefault="00806BA0">
      <w:pPr>
        <w:pStyle w:val="SingleTxtG"/>
      </w:pPr>
      <w:r w:rsidRPr="00DE54D3">
        <w:t>3.</w:t>
      </w:r>
      <w:r w:rsidR="00E1086B">
        <w:t>3</w:t>
      </w:r>
      <w:r w:rsidRPr="00DE54D3">
        <w:tab/>
      </w:r>
      <w:r w:rsidR="000A5209" w:rsidRPr="00DE54D3">
        <w:t xml:space="preserve">Les </w:t>
      </w:r>
      <w:r w:rsidR="00662ADA" w:rsidRPr="00DE54D3">
        <w:t>auteur</w:t>
      </w:r>
      <w:r w:rsidR="000A5209" w:rsidRPr="00DE54D3">
        <w:t>s</w:t>
      </w:r>
      <w:r w:rsidR="004E57C5" w:rsidRPr="00DE54D3">
        <w:t xml:space="preserve"> rappelle</w:t>
      </w:r>
      <w:r w:rsidR="000A5209" w:rsidRPr="00DE54D3">
        <w:t>nt</w:t>
      </w:r>
      <w:r w:rsidR="004E57C5" w:rsidRPr="00DE54D3">
        <w:t xml:space="preserve"> l’évolution de la</w:t>
      </w:r>
      <w:r w:rsidR="00662ADA" w:rsidRPr="00DE54D3">
        <w:t xml:space="preserve"> jurispruden</w:t>
      </w:r>
      <w:r w:rsidR="004E57C5" w:rsidRPr="00DE54D3">
        <w:t>ce</w:t>
      </w:r>
      <w:r w:rsidR="00662ADA" w:rsidRPr="00DE54D3">
        <w:t xml:space="preserve"> du Comité </w:t>
      </w:r>
      <w:r w:rsidR="004E57C5" w:rsidRPr="00DE54D3">
        <w:t>en matière de disparition</w:t>
      </w:r>
      <w:r w:rsidR="00927692" w:rsidRPr="00DE54D3">
        <w:t>s</w:t>
      </w:r>
      <w:r w:rsidR="004E57C5" w:rsidRPr="00DE54D3">
        <w:t xml:space="preserve"> forcée</w:t>
      </w:r>
      <w:r w:rsidR="00927692" w:rsidRPr="00DE54D3">
        <w:t>s</w:t>
      </w:r>
      <w:r w:rsidR="00662ADA" w:rsidRPr="00DE54D3">
        <w:t xml:space="preserve"> et estime</w:t>
      </w:r>
      <w:r w:rsidR="000A5209" w:rsidRPr="00DE54D3">
        <w:t>nt</w:t>
      </w:r>
      <w:r w:rsidR="00662ADA" w:rsidRPr="00DE54D3">
        <w:t xml:space="preserve"> que le seul risque pour </w:t>
      </w:r>
      <w:r w:rsidR="00927692" w:rsidRPr="00DE54D3">
        <w:t>une</w:t>
      </w:r>
      <w:r w:rsidR="00662ADA" w:rsidRPr="00DE54D3">
        <w:t xml:space="preserve"> personne de p</w:t>
      </w:r>
      <w:r w:rsidR="004E57C5" w:rsidRPr="00DE54D3">
        <w:t>erdre la vie dans le contexte d’une telle</w:t>
      </w:r>
      <w:r w:rsidR="00662ADA" w:rsidRPr="00DE54D3">
        <w:t xml:space="preserve"> disparition est suffisant pour conclure à une violation dir</w:t>
      </w:r>
      <w:r w:rsidR="000A5209" w:rsidRPr="00DE54D3">
        <w:t>ecte de l’article </w:t>
      </w:r>
      <w:r w:rsidR="00662ADA" w:rsidRPr="00DE54D3">
        <w:t>6 du Pacte.</w:t>
      </w:r>
      <w:r w:rsidR="006E64B0" w:rsidRPr="006E64B0">
        <w:t xml:space="preserve"> </w:t>
      </w:r>
      <w:r w:rsidR="006E64B0">
        <w:t xml:space="preserve">Ils </w:t>
      </w:r>
      <w:r w:rsidR="006E64B0" w:rsidRPr="006E64B0">
        <w:t>rappelle</w:t>
      </w:r>
      <w:r w:rsidR="006E64B0">
        <w:t>nt</w:t>
      </w:r>
      <w:r w:rsidR="006E64B0" w:rsidRPr="006E64B0">
        <w:t xml:space="preserve"> les faits</w:t>
      </w:r>
      <w:r w:rsidR="006E64B0">
        <w:t xml:space="preserve"> entourant la disparition de leur</w:t>
      </w:r>
      <w:r w:rsidR="006E64B0" w:rsidRPr="006E64B0">
        <w:t xml:space="preserve"> fils et estime</w:t>
      </w:r>
      <w:r w:rsidR="006E64B0">
        <w:t xml:space="preserve">nt qu’au regard du temps écoulé – à savoir, 21 ans – et en l’absence de toute information, il y a de fortes présomptions qu’il soit décédé en détention alors qu’il était placé sous la protection des autorités. </w:t>
      </w:r>
      <w:r w:rsidR="00580595" w:rsidRPr="00DE54D3">
        <w:t xml:space="preserve">Vu l’absence d’enquête approfondie sur </w:t>
      </w:r>
      <w:r w:rsidR="006E64B0">
        <w:t xml:space="preserve">la disparition d’Omar </w:t>
      </w:r>
      <w:proofErr w:type="spellStart"/>
      <w:r w:rsidR="006E64B0">
        <w:t>Drif</w:t>
      </w:r>
      <w:proofErr w:type="spellEnd"/>
      <w:r w:rsidR="00580595" w:rsidRPr="00DE54D3">
        <w:t>, l</w:t>
      </w:r>
      <w:r w:rsidR="000A5209" w:rsidRPr="00DE54D3">
        <w:t>es auteurs</w:t>
      </w:r>
      <w:r w:rsidR="00662ADA" w:rsidRPr="00DE54D3">
        <w:t xml:space="preserve"> estime</w:t>
      </w:r>
      <w:r w:rsidR="000A5209" w:rsidRPr="00DE54D3">
        <w:t>nt</w:t>
      </w:r>
      <w:r w:rsidR="00662ADA" w:rsidRPr="00DE54D3">
        <w:t xml:space="preserve"> que l’État partie a failli à son obligation de protéger </w:t>
      </w:r>
      <w:r w:rsidR="00580595" w:rsidRPr="00DE54D3">
        <w:t>son</w:t>
      </w:r>
      <w:r w:rsidR="00662ADA" w:rsidRPr="00DE54D3">
        <w:t xml:space="preserve"> droit à la vie et de prendre des mesures pour enquêter sur ce qui lui était arrivé, en violation </w:t>
      </w:r>
      <w:r w:rsidR="00DD232B">
        <w:t xml:space="preserve">du paragraphe </w:t>
      </w:r>
      <w:r w:rsidR="009600D5" w:rsidRPr="00DE54D3">
        <w:t xml:space="preserve">1 </w:t>
      </w:r>
      <w:r w:rsidR="00662ADA" w:rsidRPr="00DE54D3">
        <w:t>de l’article</w:t>
      </w:r>
      <w:r w:rsidR="00DD232B">
        <w:t> </w:t>
      </w:r>
      <w:r w:rsidR="00662ADA" w:rsidRPr="00DE54D3">
        <w:t xml:space="preserve">6 </w:t>
      </w:r>
      <w:r w:rsidR="00B42677" w:rsidRPr="00DE54D3">
        <w:t>du Pacte</w:t>
      </w:r>
      <w:r w:rsidR="001D6FFA" w:rsidRPr="00DE54D3">
        <w:t>.</w:t>
      </w:r>
    </w:p>
    <w:p w14:paraId="6B9E55E5" w14:textId="7F788FA1" w:rsidR="001D6FFA" w:rsidRPr="00DE54D3" w:rsidRDefault="00CA6A11" w:rsidP="00D85E61">
      <w:pPr>
        <w:pStyle w:val="SingleTxtG"/>
        <w:rPr>
          <w:lang w:val="fr-FR"/>
        </w:rPr>
      </w:pPr>
      <w:r w:rsidRPr="00DE54D3">
        <w:t>3</w:t>
      </w:r>
      <w:r w:rsidR="00A437E4" w:rsidRPr="00DE54D3">
        <w:t>.</w:t>
      </w:r>
      <w:r w:rsidR="00E1086B">
        <w:t>4</w:t>
      </w:r>
      <w:r w:rsidRPr="00DE54D3">
        <w:tab/>
      </w:r>
      <w:r w:rsidR="00973222" w:rsidRPr="00DE54D3">
        <w:t xml:space="preserve">Les </w:t>
      </w:r>
      <w:r w:rsidR="00892CDB" w:rsidRPr="00DE54D3">
        <w:t>auteur</w:t>
      </w:r>
      <w:r w:rsidR="00973222" w:rsidRPr="00DE54D3">
        <w:t>s</w:t>
      </w:r>
      <w:r w:rsidR="00892CDB" w:rsidRPr="00DE54D3">
        <w:t xml:space="preserve"> rappelle</w:t>
      </w:r>
      <w:r w:rsidR="00973222" w:rsidRPr="00DE54D3">
        <w:t>nt</w:t>
      </w:r>
      <w:r w:rsidR="000460B6" w:rsidRPr="00DE54D3">
        <w:rPr>
          <w:lang w:val="fr-FR"/>
        </w:rPr>
        <w:t xml:space="preserve"> les circonstances ento</w:t>
      </w:r>
      <w:r w:rsidR="00973222" w:rsidRPr="00DE54D3">
        <w:rPr>
          <w:lang w:val="fr-FR"/>
        </w:rPr>
        <w:t>urant la disparition de leur</w:t>
      </w:r>
      <w:r w:rsidR="000460B6" w:rsidRPr="00DE54D3">
        <w:rPr>
          <w:lang w:val="fr-FR"/>
        </w:rPr>
        <w:t xml:space="preserve"> fils, à savoir</w:t>
      </w:r>
      <w:r w:rsidR="00892CDB" w:rsidRPr="00DE54D3">
        <w:rPr>
          <w:lang w:val="fr-FR"/>
        </w:rPr>
        <w:t xml:space="preserve"> l’absence totale d’information</w:t>
      </w:r>
      <w:r w:rsidR="009600D5" w:rsidRPr="00DE54D3">
        <w:rPr>
          <w:lang w:val="fr-FR"/>
        </w:rPr>
        <w:t>s</w:t>
      </w:r>
      <w:r w:rsidR="000460B6" w:rsidRPr="00DE54D3">
        <w:rPr>
          <w:lang w:val="fr-FR"/>
        </w:rPr>
        <w:t xml:space="preserve"> su</w:t>
      </w:r>
      <w:r w:rsidR="00892CDB" w:rsidRPr="00DE54D3">
        <w:rPr>
          <w:lang w:val="fr-FR"/>
        </w:rPr>
        <w:t>r sa détention</w:t>
      </w:r>
      <w:r w:rsidR="00FD51AB" w:rsidRPr="00DE54D3">
        <w:rPr>
          <w:lang w:val="fr-FR"/>
        </w:rPr>
        <w:t xml:space="preserve"> et</w:t>
      </w:r>
      <w:r w:rsidR="000460B6" w:rsidRPr="00DE54D3">
        <w:rPr>
          <w:lang w:val="fr-FR"/>
        </w:rPr>
        <w:t xml:space="preserve"> son état de santé, </w:t>
      </w:r>
      <w:r w:rsidR="00FD51AB" w:rsidRPr="00DE54D3">
        <w:rPr>
          <w:lang w:val="fr-FR"/>
        </w:rPr>
        <w:t>ainsi que</w:t>
      </w:r>
      <w:r w:rsidR="000460B6" w:rsidRPr="00DE54D3">
        <w:rPr>
          <w:lang w:val="fr-FR"/>
        </w:rPr>
        <w:t xml:space="preserve"> l’absence de communication avec s</w:t>
      </w:r>
      <w:r w:rsidR="00480CA6" w:rsidRPr="00DE54D3">
        <w:rPr>
          <w:lang w:val="fr-FR"/>
        </w:rPr>
        <w:t>a famille et le monde extérieur</w:t>
      </w:r>
      <w:r w:rsidR="000460B6" w:rsidRPr="00DE54D3">
        <w:rPr>
          <w:lang w:val="fr-FR"/>
        </w:rPr>
        <w:t xml:space="preserve">. </w:t>
      </w:r>
      <w:r w:rsidR="00480CA6" w:rsidRPr="00DE54D3">
        <w:rPr>
          <w:lang w:val="fr-FR"/>
        </w:rPr>
        <w:t xml:space="preserve">Ils </w:t>
      </w:r>
      <w:r w:rsidR="00882D9B" w:rsidRPr="00DE54D3">
        <w:rPr>
          <w:lang w:val="fr-FR"/>
        </w:rPr>
        <w:t>rappelle</w:t>
      </w:r>
      <w:r w:rsidR="00480CA6" w:rsidRPr="00DE54D3">
        <w:rPr>
          <w:lang w:val="fr-FR"/>
        </w:rPr>
        <w:t>nt</w:t>
      </w:r>
      <w:r w:rsidR="00882D9B" w:rsidRPr="00DE54D3">
        <w:rPr>
          <w:lang w:val="fr-FR"/>
        </w:rPr>
        <w:t xml:space="preserve"> qu’une détention arbitraire prolongée augmente le risque de torture et de traitements </w:t>
      </w:r>
      <w:r w:rsidR="00FD51AB" w:rsidRPr="00DE54D3">
        <w:rPr>
          <w:lang w:val="fr-FR"/>
        </w:rPr>
        <w:t xml:space="preserve">cruels, </w:t>
      </w:r>
      <w:r w:rsidR="00882D9B" w:rsidRPr="00DE54D3">
        <w:rPr>
          <w:lang w:val="fr-FR"/>
        </w:rPr>
        <w:t xml:space="preserve">inhumains ou dégradants. </w:t>
      </w:r>
      <w:r w:rsidR="00892CDB" w:rsidRPr="00DE54D3">
        <w:rPr>
          <w:lang w:val="fr-FR"/>
        </w:rPr>
        <w:t>S</w:t>
      </w:r>
      <w:r w:rsidR="000460B6" w:rsidRPr="00DE54D3">
        <w:rPr>
          <w:lang w:val="fr-FR"/>
        </w:rPr>
        <w:t xml:space="preserve">e référant </w:t>
      </w:r>
      <w:r w:rsidR="00480CA6" w:rsidRPr="00DE54D3">
        <w:rPr>
          <w:lang w:val="fr-FR"/>
        </w:rPr>
        <w:t xml:space="preserve">à la jurisprudence du Comité, les </w:t>
      </w:r>
      <w:r w:rsidR="000460B6" w:rsidRPr="00DE54D3">
        <w:rPr>
          <w:lang w:val="fr-FR"/>
        </w:rPr>
        <w:t>auteur</w:t>
      </w:r>
      <w:r w:rsidR="00480CA6" w:rsidRPr="00DE54D3">
        <w:rPr>
          <w:lang w:val="fr-FR"/>
        </w:rPr>
        <w:t>s</w:t>
      </w:r>
      <w:r w:rsidR="000460B6" w:rsidRPr="00DE54D3">
        <w:rPr>
          <w:lang w:val="fr-FR"/>
        </w:rPr>
        <w:t xml:space="preserve"> souligne</w:t>
      </w:r>
      <w:r w:rsidR="00480CA6" w:rsidRPr="00DE54D3">
        <w:rPr>
          <w:lang w:val="fr-FR"/>
        </w:rPr>
        <w:t>nt</w:t>
      </w:r>
      <w:r w:rsidR="000460B6" w:rsidRPr="00DE54D3">
        <w:rPr>
          <w:lang w:val="fr-FR"/>
        </w:rPr>
        <w:t xml:space="preserve"> également que l’angoisse, l’incertitude et la détresse provoquées par la disparition </w:t>
      </w:r>
      <w:r w:rsidR="001A5660">
        <w:rPr>
          <w:lang w:val="fr-FR"/>
        </w:rPr>
        <w:t xml:space="preserve">d’Omar </w:t>
      </w:r>
      <w:proofErr w:type="spellStart"/>
      <w:r w:rsidR="001A5660">
        <w:rPr>
          <w:lang w:val="fr-FR"/>
        </w:rPr>
        <w:t>Drif</w:t>
      </w:r>
      <w:proofErr w:type="spellEnd"/>
      <w:r w:rsidR="000460B6" w:rsidRPr="00DE54D3">
        <w:rPr>
          <w:lang w:val="fr-FR"/>
        </w:rPr>
        <w:t xml:space="preserve"> </w:t>
      </w:r>
      <w:r w:rsidR="009069BA">
        <w:rPr>
          <w:lang w:val="fr-FR"/>
        </w:rPr>
        <w:t xml:space="preserve">et par le fait que les autorités les ont enjoint à poursuivre la procédure d’indemnisation prévue par la Charte </w:t>
      </w:r>
      <w:r w:rsidR="000460B6" w:rsidRPr="00DE54D3">
        <w:rPr>
          <w:lang w:val="fr-FR"/>
        </w:rPr>
        <w:t xml:space="preserve">constituent une forme de traitement </w:t>
      </w:r>
      <w:r w:rsidR="00244DE9" w:rsidRPr="00DE54D3">
        <w:rPr>
          <w:lang w:val="fr-FR"/>
        </w:rPr>
        <w:t xml:space="preserve">cruel, </w:t>
      </w:r>
      <w:r w:rsidR="000460B6" w:rsidRPr="00DE54D3">
        <w:rPr>
          <w:lang w:val="fr-FR"/>
        </w:rPr>
        <w:t xml:space="preserve">inhumain ou dégradant pour </w:t>
      </w:r>
      <w:r w:rsidR="007629DC" w:rsidRPr="00DE54D3">
        <w:rPr>
          <w:lang w:val="fr-FR"/>
        </w:rPr>
        <w:t xml:space="preserve">sa </w:t>
      </w:r>
      <w:r w:rsidR="00480CA6" w:rsidRPr="00DE54D3">
        <w:rPr>
          <w:lang w:val="fr-FR"/>
        </w:rPr>
        <w:t xml:space="preserve">famille. </w:t>
      </w:r>
      <w:r w:rsidR="009069BA">
        <w:rPr>
          <w:lang w:val="fr-FR"/>
        </w:rPr>
        <w:t xml:space="preserve">De même, le fait que l’un des frères d’Omar </w:t>
      </w:r>
      <w:proofErr w:type="spellStart"/>
      <w:r w:rsidR="009069BA">
        <w:rPr>
          <w:lang w:val="fr-FR"/>
        </w:rPr>
        <w:t>Drif</w:t>
      </w:r>
      <w:proofErr w:type="spellEnd"/>
      <w:r w:rsidR="009069BA">
        <w:rPr>
          <w:lang w:val="fr-FR"/>
        </w:rPr>
        <w:t xml:space="preserve"> ait également disparu et que les autorités n’aient à aucun moment cherché à soulager cette souffrance en menant des enquêtes effectives pour éclaircir les motifs des arrestati</w:t>
      </w:r>
      <w:r w:rsidR="00411D3F">
        <w:rPr>
          <w:lang w:val="fr-FR"/>
        </w:rPr>
        <w:t>ons des deux fils et le sort qui</w:t>
      </w:r>
      <w:r w:rsidR="009069BA">
        <w:rPr>
          <w:lang w:val="fr-FR"/>
        </w:rPr>
        <w:t xml:space="preserve"> leur a été réservé ne font que nourrir la souffrance, le sentiment de frustration et l’angoisse profonde et continuelle des auteurs. </w:t>
      </w:r>
      <w:r w:rsidR="00480CA6" w:rsidRPr="00DE54D3">
        <w:rPr>
          <w:lang w:val="fr-FR"/>
        </w:rPr>
        <w:t xml:space="preserve">En conséquence, les </w:t>
      </w:r>
      <w:r w:rsidR="000460B6" w:rsidRPr="00DE54D3">
        <w:rPr>
          <w:lang w:val="fr-FR"/>
        </w:rPr>
        <w:t>auteur</w:t>
      </w:r>
      <w:r w:rsidR="00480CA6" w:rsidRPr="00DE54D3">
        <w:rPr>
          <w:lang w:val="fr-FR"/>
        </w:rPr>
        <w:t>s</w:t>
      </w:r>
      <w:r w:rsidR="000460B6" w:rsidRPr="00DE54D3">
        <w:rPr>
          <w:lang w:val="fr-FR"/>
        </w:rPr>
        <w:t xml:space="preserve"> allègue</w:t>
      </w:r>
      <w:r w:rsidR="00480CA6" w:rsidRPr="00DE54D3">
        <w:rPr>
          <w:lang w:val="fr-FR"/>
        </w:rPr>
        <w:t>nt</w:t>
      </w:r>
      <w:r w:rsidR="000460B6" w:rsidRPr="00DE54D3">
        <w:rPr>
          <w:lang w:val="fr-FR"/>
        </w:rPr>
        <w:t xml:space="preserve"> que l’État partie est responsable d’une violation de l’article 7</w:t>
      </w:r>
      <w:r w:rsidR="004B1F28" w:rsidRPr="00DE54D3">
        <w:rPr>
          <w:lang w:val="fr-FR"/>
        </w:rPr>
        <w:t xml:space="preserve"> du Pacte à leur égard</w:t>
      </w:r>
      <w:r w:rsidR="000460B6" w:rsidRPr="00DE54D3">
        <w:rPr>
          <w:lang w:val="fr-FR"/>
        </w:rPr>
        <w:t xml:space="preserve"> </w:t>
      </w:r>
      <w:r w:rsidR="005426EC" w:rsidRPr="00DE54D3">
        <w:rPr>
          <w:lang w:val="fr-FR"/>
        </w:rPr>
        <w:t xml:space="preserve">et </w:t>
      </w:r>
      <w:r w:rsidR="000460B6" w:rsidRPr="00DE54D3">
        <w:rPr>
          <w:lang w:val="fr-FR"/>
        </w:rPr>
        <w:t xml:space="preserve">à </w:t>
      </w:r>
      <w:r w:rsidR="004B1F28" w:rsidRPr="00DE54D3">
        <w:rPr>
          <w:lang w:val="fr-FR"/>
        </w:rPr>
        <w:t>celui</w:t>
      </w:r>
      <w:r w:rsidR="001A5660">
        <w:rPr>
          <w:lang w:val="fr-FR"/>
        </w:rPr>
        <w:t xml:space="preserve"> d’Omar </w:t>
      </w:r>
      <w:proofErr w:type="spellStart"/>
      <w:r w:rsidR="001A5660">
        <w:rPr>
          <w:lang w:val="fr-FR"/>
        </w:rPr>
        <w:t>Drif</w:t>
      </w:r>
      <w:proofErr w:type="spellEnd"/>
      <w:r w:rsidR="000460B6" w:rsidRPr="00DE54D3">
        <w:rPr>
          <w:lang w:val="fr-FR"/>
        </w:rPr>
        <w:t>.</w:t>
      </w:r>
    </w:p>
    <w:p w14:paraId="34521B04" w14:textId="204452DE" w:rsidR="00E40BC9" w:rsidRDefault="00E40BC9" w:rsidP="00D85E61">
      <w:pPr>
        <w:pStyle w:val="SingleTxtG"/>
      </w:pPr>
      <w:r w:rsidRPr="00DE54D3">
        <w:rPr>
          <w:lang w:val="fr-FR"/>
        </w:rPr>
        <w:t>3.</w:t>
      </w:r>
      <w:r w:rsidR="00E1086B">
        <w:rPr>
          <w:lang w:val="fr-FR"/>
        </w:rPr>
        <w:t>5</w:t>
      </w:r>
      <w:r w:rsidRPr="00DE54D3">
        <w:rPr>
          <w:lang w:val="fr-FR"/>
        </w:rPr>
        <w:tab/>
      </w:r>
      <w:r w:rsidR="007E1533" w:rsidRPr="00DE54D3">
        <w:t xml:space="preserve">Prenant en compte </w:t>
      </w:r>
      <w:r w:rsidR="002B3BCD" w:rsidRPr="00DE54D3">
        <w:t xml:space="preserve">le fait </w:t>
      </w:r>
      <w:r w:rsidR="002C7B8E">
        <w:t xml:space="preserve">qu’Omar </w:t>
      </w:r>
      <w:proofErr w:type="spellStart"/>
      <w:r w:rsidR="002C7B8E">
        <w:t>Drif</w:t>
      </w:r>
      <w:proofErr w:type="spellEnd"/>
      <w:r w:rsidR="007E1533" w:rsidRPr="00DE54D3">
        <w:t xml:space="preserve"> a été détenu au secret sans avoir accès à un avocat et sans être informé des motifs de son arrestation ou des charges retenues </w:t>
      </w:r>
      <w:r w:rsidR="002B3BCD" w:rsidRPr="00DE54D3">
        <w:t>contre lui</w:t>
      </w:r>
      <w:r w:rsidR="007E1533" w:rsidRPr="00DE54D3">
        <w:t xml:space="preserve">, que sa détention n’a pas été mentionnée dans les registres de garde à vue et qu’il n’y a aucune </w:t>
      </w:r>
      <w:r w:rsidR="00AF6693" w:rsidRPr="00DE54D3">
        <w:t xml:space="preserve">information </w:t>
      </w:r>
      <w:r w:rsidR="007E1533" w:rsidRPr="00DE54D3">
        <w:t xml:space="preserve">officielle </w:t>
      </w:r>
      <w:r w:rsidR="00AF6693" w:rsidRPr="00DE54D3">
        <w:t xml:space="preserve">quant à </w:t>
      </w:r>
      <w:r w:rsidR="007E1533" w:rsidRPr="00DE54D3">
        <w:t xml:space="preserve">sa localisation ou </w:t>
      </w:r>
      <w:r w:rsidR="009C7779" w:rsidRPr="00DE54D3">
        <w:t xml:space="preserve">à </w:t>
      </w:r>
      <w:r w:rsidR="007E1533" w:rsidRPr="00DE54D3">
        <w:t>son sort, les auteurs affirment qu’il a été privé de son droit à la liberté et à la sécurité</w:t>
      </w:r>
      <w:r w:rsidR="00D05124" w:rsidRPr="00DE54D3">
        <w:t xml:space="preserve"> de sa personne,</w:t>
      </w:r>
      <w:r w:rsidR="007E1533" w:rsidRPr="00DE54D3">
        <w:t xml:space="preserve"> et qu’il n’a </w:t>
      </w:r>
      <w:r w:rsidR="00AF6693" w:rsidRPr="00DE54D3">
        <w:t xml:space="preserve">pas </w:t>
      </w:r>
      <w:r w:rsidR="007E1533" w:rsidRPr="00DE54D3">
        <w:t>été en mesure d’introduire un recours devant un tribunal. Ils estiment en conséq</w:t>
      </w:r>
      <w:r w:rsidR="002C7B8E">
        <w:t xml:space="preserve">uence qu’Omar </w:t>
      </w:r>
      <w:proofErr w:type="spellStart"/>
      <w:r w:rsidR="002C7B8E">
        <w:t>Drif</w:t>
      </w:r>
      <w:proofErr w:type="spellEnd"/>
      <w:r w:rsidR="007E1533" w:rsidRPr="00DE54D3">
        <w:t xml:space="preserve"> a été privé des garanties énoncées à l’article 9 du Pacte</w:t>
      </w:r>
      <w:r w:rsidR="007F4CAC" w:rsidRPr="00DE54D3">
        <w:t>,</w:t>
      </w:r>
      <w:r w:rsidR="007E1533" w:rsidRPr="00DE54D3">
        <w:t xml:space="preserve"> </w:t>
      </w:r>
      <w:r w:rsidR="00065FD8" w:rsidRPr="00DE54D3">
        <w:t>notamment l’</w:t>
      </w:r>
      <w:r w:rsidR="007E1533" w:rsidRPr="00DE54D3">
        <w:t>accès à un recours utile, impliquant une violation dudit article à son égard.</w:t>
      </w:r>
    </w:p>
    <w:p w14:paraId="4CE346CA" w14:textId="28B48EBB" w:rsidR="007716D8" w:rsidRPr="00DE54D3" w:rsidRDefault="00E1086B" w:rsidP="00FD5C57">
      <w:pPr>
        <w:pStyle w:val="SingleTxtG"/>
      </w:pPr>
      <w:r>
        <w:t>3.6</w:t>
      </w:r>
      <w:r w:rsidR="00C03233">
        <w:rPr>
          <w:lang w:val="fr-FR"/>
        </w:rPr>
        <w:tab/>
      </w:r>
      <w:r w:rsidR="007629DC" w:rsidRPr="00DE54D3">
        <w:t>L</w:t>
      </w:r>
      <w:r w:rsidR="003F6DEF" w:rsidRPr="00DE54D3">
        <w:t xml:space="preserve">es </w:t>
      </w:r>
      <w:r w:rsidR="00BD2DD9" w:rsidRPr="00DE54D3">
        <w:t>auteur</w:t>
      </w:r>
      <w:r w:rsidR="003F6DEF" w:rsidRPr="00DE54D3">
        <w:t>s</w:t>
      </w:r>
      <w:r w:rsidR="00BD2DD9" w:rsidRPr="00DE54D3">
        <w:t xml:space="preserve"> affirme</w:t>
      </w:r>
      <w:r w:rsidR="003F6DEF" w:rsidRPr="00DE54D3">
        <w:t>nt</w:t>
      </w:r>
      <w:r w:rsidR="00BD2DD9" w:rsidRPr="00DE54D3">
        <w:t xml:space="preserve"> </w:t>
      </w:r>
      <w:r w:rsidR="007629DC" w:rsidRPr="00DE54D3">
        <w:t xml:space="preserve">ensuite </w:t>
      </w:r>
      <w:r w:rsidR="00BD2DD9" w:rsidRPr="00DE54D3">
        <w:t xml:space="preserve">qu’en l’absence d’enquête de la part des autorités algériennes, </w:t>
      </w:r>
      <w:r w:rsidR="002C7B8E">
        <w:t xml:space="preserve">Omar </w:t>
      </w:r>
      <w:proofErr w:type="spellStart"/>
      <w:r w:rsidR="002C7B8E">
        <w:t>Drif</w:t>
      </w:r>
      <w:proofErr w:type="spellEnd"/>
      <w:r w:rsidR="00892CDB" w:rsidRPr="00DE54D3">
        <w:t xml:space="preserve"> a</w:t>
      </w:r>
      <w:r w:rsidR="00BD2DD9" w:rsidRPr="00DE54D3">
        <w:t xml:space="preserve"> été privé de liberté et n’a</w:t>
      </w:r>
      <w:r w:rsidR="00892CDB" w:rsidRPr="00DE54D3">
        <w:t xml:space="preserve"> pas</w:t>
      </w:r>
      <w:r w:rsidR="00BD2DD9" w:rsidRPr="00DE54D3">
        <w:t xml:space="preserve"> été traité avec humanité et dignité, </w:t>
      </w:r>
      <w:r w:rsidR="007629DC" w:rsidRPr="00DE54D3">
        <w:t>en</w:t>
      </w:r>
      <w:r w:rsidR="001D712E" w:rsidRPr="00DE54D3">
        <w:t xml:space="preserve"> violation de l’article </w:t>
      </w:r>
      <w:r w:rsidR="00BD2DD9" w:rsidRPr="00DE54D3">
        <w:t>10 du Pacte à son égard.</w:t>
      </w:r>
    </w:p>
    <w:p w14:paraId="461F8129" w14:textId="70DC5D9C" w:rsidR="005004B1" w:rsidRPr="00DE54D3" w:rsidRDefault="005004B1" w:rsidP="00D85E61">
      <w:pPr>
        <w:pStyle w:val="SingleTxtG"/>
        <w:rPr>
          <w:lang w:val="fr-FR"/>
        </w:rPr>
      </w:pPr>
      <w:r w:rsidRPr="00DE54D3">
        <w:t>3.</w:t>
      </w:r>
      <w:r w:rsidR="00E1086B">
        <w:t>7</w:t>
      </w:r>
      <w:r w:rsidR="00C03233">
        <w:tab/>
      </w:r>
      <w:r w:rsidRPr="00DE54D3">
        <w:t>Rappelan</w:t>
      </w:r>
      <w:r w:rsidR="001D712E" w:rsidRPr="00DE54D3">
        <w:t xml:space="preserve">t les dispositions de l’article </w:t>
      </w:r>
      <w:r w:rsidRPr="00DE54D3">
        <w:t xml:space="preserve">14 du Pacte ainsi que </w:t>
      </w:r>
      <w:r w:rsidR="00E945D0" w:rsidRPr="00DE54D3">
        <w:t>le paragraphe</w:t>
      </w:r>
      <w:r w:rsidR="00DD232B">
        <w:t xml:space="preserve"> </w:t>
      </w:r>
      <w:r w:rsidR="00E945D0" w:rsidRPr="00DE54D3">
        <w:t xml:space="preserve">9 de </w:t>
      </w:r>
      <w:r w:rsidRPr="00DE54D3">
        <w:t>l’observation générale n</w:t>
      </w:r>
      <w:r w:rsidRPr="00DE54D3">
        <w:rPr>
          <w:vertAlign w:val="superscript"/>
        </w:rPr>
        <w:t>o</w:t>
      </w:r>
      <w:r w:rsidR="00DD232B">
        <w:t xml:space="preserve"> </w:t>
      </w:r>
      <w:r w:rsidRPr="00DE54D3">
        <w:t>32</w:t>
      </w:r>
      <w:r w:rsidR="00E82C91" w:rsidRPr="00DE54D3">
        <w:t xml:space="preserve"> (2007)</w:t>
      </w:r>
      <w:r w:rsidRPr="00DE54D3">
        <w:t xml:space="preserve"> du Comité</w:t>
      </w:r>
      <w:r w:rsidR="003F6DEF" w:rsidRPr="00DE54D3">
        <w:t xml:space="preserve">, les </w:t>
      </w:r>
      <w:r w:rsidRPr="00DE54D3">
        <w:t>auteur</w:t>
      </w:r>
      <w:r w:rsidR="003F6DEF" w:rsidRPr="00DE54D3">
        <w:t>s</w:t>
      </w:r>
      <w:r w:rsidRPr="00DE54D3">
        <w:t xml:space="preserve"> affirme</w:t>
      </w:r>
      <w:r w:rsidR="003F6DEF" w:rsidRPr="00DE54D3">
        <w:t>nt</w:t>
      </w:r>
      <w:r w:rsidRPr="00DE54D3">
        <w:t xml:space="preserve"> </w:t>
      </w:r>
      <w:r w:rsidR="005E7D5F" w:rsidRPr="00DE54D3">
        <w:t xml:space="preserve">que toutes les démarches engagées auprès des autorités judiciaires </w:t>
      </w:r>
      <w:r w:rsidR="002C7B8E">
        <w:t xml:space="preserve">et non-judiciaires </w:t>
      </w:r>
      <w:r w:rsidR="005E7D5F" w:rsidRPr="00DE54D3">
        <w:t>sont demeurées infructueuses</w:t>
      </w:r>
      <w:r w:rsidRPr="00DE54D3">
        <w:t>.</w:t>
      </w:r>
      <w:r w:rsidR="005E7D5F" w:rsidRPr="00DE54D3">
        <w:t xml:space="preserve"> </w:t>
      </w:r>
      <w:r w:rsidR="002F0BE9" w:rsidRPr="00DE54D3">
        <w:t>En outre, la Charte</w:t>
      </w:r>
      <w:r w:rsidR="00B7252A" w:rsidRPr="00DE54D3">
        <w:t xml:space="preserve"> pour la paix et la réconciliation nationale</w:t>
      </w:r>
      <w:r w:rsidR="002F0BE9" w:rsidRPr="00DE54D3">
        <w:t xml:space="preserve"> et l’article 45 de l’ordonnance n</w:t>
      </w:r>
      <w:r w:rsidR="002F0BE9" w:rsidRPr="00DE54D3">
        <w:rPr>
          <w:vertAlign w:val="superscript"/>
        </w:rPr>
        <w:t>o</w:t>
      </w:r>
      <w:r w:rsidR="002F0BE9" w:rsidRPr="00DE54D3">
        <w:t xml:space="preserve"> 06-01 </w:t>
      </w:r>
      <w:r w:rsidR="00A31053" w:rsidRPr="00DE54D3">
        <w:t>font obstacle à</w:t>
      </w:r>
      <w:r w:rsidR="002F0BE9" w:rsidRPr="00DE54D3">
        <w:t xml:space="preserve"> toute action judiciaire à l’encontre d’agents d</w:t>
      </w:r>
      <w:r w:rsidR="00B7252A" w:rsidRPr="00DE54D3">
        <w:t>e l</w:t>
      </w:r>
      <w:r w:rsidR="002F0BE9" w:rsidRPr="00DE54D3">
        <w:t>’État, empêchant les auteurs de faire entendre leur cause. L’État parti</w:t>
      </w:r>
      <w:r w:rsidR="00AF6693" w:rsidRPr="00DE54D3">
        <w:t>e</w:t>
      </w:r>
      <w:r w:rsidR="002F0BE9" w:rsidRPr="00DE54D3">
        <w:t xml:space="preserve"> a donc violé l’article 14</w:t>
      </w:r>
      <w:r w:rsidR="00D827B7" w:rsidRPr="00DE54D3">
        <w:t xml:space="preserve"> du Pacte</w:t>
      </w:r>
      <w:r w:rsidR="002F0BE9" w:rsidRPr="00DE54D3">
        <w:t xml:space="preserve"> à leur égard.</w:t>
      </w:r>
    </w:p>
    <w:p w14:paraId="41AACA33" w14:textId="6C1C513D" w:rsidR="00460B0D" w:rsidRDefault="00460B0D" w:rsidP="00D85E61">
      <w:pPr>
        <w:pStyle w:val="SingleTxtG"/>
        <w:rPr>
          <w:lang w:val="fr-FR"/>
        </w:rPr>
      </w:pPr>
      <w:r w:rsidRPr="00DE54D3">
        <w:rPr>
          <w:lang w:val="fr-FR"/>
        </w:rPr>
        <w:t>3.</w:t>
      </w:r>
      <w:r w:rsidR="00E1086B">
        <w:rPr>
          <w:lang w:val="fr-FR"/>
        </w:rPr>
        <w:t>8</w:t>
      </w:r>
      <w:r w:rsidR="00C03233">
        <w:rPr>
          <w:lang w:val="fr-FR"/>
        </w:rPr>
        <w:tab/>
      </w:r>
      <w:r w:rsidR="00301FB5" w:rsidRPr="00DE54D3">
        <w:rPr>
          <w:lang w:val="fr-FR"/>
        </w:rPr>
        <w:t xml:space="preserve">Les </w:t>
      </w:r>
      <w:r w:rsidR="00FA1D56" w:rsidRPr="00DE54D3">
        <w:rPr>
          <w:lang w:val="fr-FR"/>
        </w:rPr>
        <w:t>auteur</w:t>
      </w:r>
      <w:r w:rsidR="00301FB5" w:rsidRPr="00DE54D3">
        <w:rPr>
          <w:lang w:val="fr-FR"/>
        </w:rPr>
        <w:t>s</w:t>
      </w:r>
      <w:r w:rsidR="00FA1D56" w:rsidRPr="00DE54D3">
        <w:rPr>
          <w:lang w:val="fr-FR"/>
        </w:rPr>
        <w:t xml:space="preserve"> rappelle</w:t>
      </w:r>
      <w:r w:rsidR="00301FB5" w:rsidRPr="00DE54D3">
        <w:rPr>
          <w:lang w:val="fr-FR"/>
        </w:rPr>
        <w:t>nt</w:t>
      </w:r>
      <w:r w:rsidR="00FA1D56" w:rsidRPr="00DE54D3">
        <w:rPr>
          <w:lang w:val="fr-FR"/>
        </w:rPr>
        <w:t xml:space="preserve"> ensuite les dispositions de l’article 16 du Pacte et la jurisprudence constante du C</w:t>
      </w:r>
      <w:r w:rsidR="00892CDB" w:rsidRPr="00DE54D3">
        <w:rPr>
          <w:lang w:val="fr-FR"/>
        </w:rPr>
        <w:t>omité selon laquelle la soustraction</w:t>
      </w:r>
      <w:r w:rsidR="00FA1D56" w:rsidRPr="00DE54D3">
        <w:rPr>
          <w:lang w:val="fr-FR"/>
        </w:rPr>
        <w:t xml:space="preserve"> intentionnel</w:t>
      </w:r>
      <w:r w:rsidR="00892CDB" w:rsidRPr="00DE54D3">
        <w:rPr>
          <w:lang w:val="fr-FR"/>
        </w:rPr>
        <w:t>le</w:t>
      </w:r>
      <w:r w:rsidR="00FA1D56" w:rsidRPr="00DE54D3">
        <w:rPr>
          <w:lang w:val="fr-FR"/>
        </w:rPr>
        <w:t xml:space="preserve"> d’une personne </w:t>
      </w:r>
      <w:r w:rsidR="00892CDB" w:rsidRPr="00DE54D3">
        <w:rPr>
          <w:lang w:val="fr-FR"/>
        </w:rPr>
        <w:t>à</w:t>
      </w:r>
      <w:r w:rsidR="00FA1D56" w:rsidRPr="00DE54D3">
        <w:rPr>
          <w:lang w:val="fr-FR"/>
        </w:rPr>
        <w:t xml:space="preserve"> la protection de la loi pour une période prolongée peut constituer un refus de reconnaissance de sa personnalité juridique</w:t>
      </w:r>
      <w:r w:rsidR="00D827B7" w:rsidRPr="00DE54D3">
        <w:rPr>
          <w:lang w:val="fr-FR"/>
        </w:rPr>
        <w:t>,</w:t>
      </w:r>
      <w:r w:rsidR="00FA1D56" w:rsidRPr="00DE54D3">
        <w:rPr>
          <w:lang w:val="fr-FR"/>
        </w:rPr>
        <w:t xml:space="preserve"> si la victime </w:t>
      </w:r>
      <w:r w:rsidR="00A740B7" w:rsidRPr="00DE54D3">
        <w:rPr>
          <w:lang w:val="fr-FR"/>
        </w:rPr>
        <w:t xml:space="preserve">est </w:t>
      </w:r>
      <w:r w:rsidR="00FA1D56" w:rsidRPr="00DE54D3">
        <w:rPr>
          <w:lang w:val="fr-FR"/>
        </w:rPr>
        <w:t>entre les mains des autorités de l’État lors de sa dernière apparition, et si les efforts de ses proches pour avoir accès à des recours utiles, y compris devant les cours de justice, sont systématiquement empêchés</w:t>
      </w:r>
      <w:r w:rsidR="00E362FE" w:rsidRPr="00DE54D3">
        <w:rPr>
          <w:lang w:val="fr-FR"/>
        </w:rPr>
        <w:t xml:space="preserve">. </w:t>
      </w:r>
      <w:r w:rsidR="00301FB5" w:rsidRPr="00DE54D3">
        <w:rPr>
          <w:lang w:val="fr-FR"/>
        </w:rPr>
        <w:t xml:space="preserve">Ils </w:t>
      </w:r>
      <w:r w:rsidR="00E362FE" w:rsidRPr="00DE54D3">
        <w:rPr>
          <w:lang w:val="fr-FR"/>
        </w:rPr>
        <w:t>renvoie</w:t>
      </w:r>
      <w:r w:rsidR="00301FB5" w:rsidRPr="00DE54D3">
        <w:rPr>
          <w:lang w:val="fr-FR"/>
        </w:rPr>
        <w:t>nt</w:t>
      </w:r>
      <w:r w:rsidR="00E362FE" w:rsidRPr="00DE54D3">
        <w:rPr>
          <w:lang w:val="fr-FR"/>
        </w:rPr>
        <w:t xml:space="preserve"> </w:t>
      </w:r>
      <w:r w:rsidR="00BB3F1A" w:rsidRPr="00DE54D3">
        <w:rPr>
          <w:lang w:val="fr-FR"/>
        </w:rPr>
        <w:t xml:space="preserve">à cet effet </w:t>
      </w:r>
      <w:r w:rsidR="00E362FE" w:rsidRPr="00DE54D3">
        <w:rPr>
          <w:lang w:val="fr-FR"/>
        </w:rPr>
        <w:t xml:space="preserve">aux observations finales </w:t>
      </w:r>
      <w:r w:rsidR="00BB3F1A" w:rsidRPr="00DE54D3">
        <w:rPr>
          <w:lang w:val="fr-FR"/>
        </w:rPr>
        <w:t>du Comité sur le</w:t>
      </w:r>
      <w:r w:rsidR="00E362FE" w:rsidRPr="00DE54D3">
        <w:rPr>
          <w:lang w:val="fr-FR"/>
        </w:rPr>
        <w:t xml:space="preserve"> deuxième rapport périodique de </w:t>
      </w:r>
      <w:r w:rsidR="002D109C" w:rsidRPr="00DE54D3">
        <w:rPr>
          <w:lang w:val="fr-FR"/>
        </w:rPr>
        <w:t xml:space="preserve">l’Algérie au titre de l’article </w:t>
      </w:r>
      <w:r w:rsidR="00E362FE" w:rsidRPr="00DE54D3">
        <w:rPr>
          <w:lang w:val="fr-FR"/>
        </w:rPr>
        <w:t>40 du Pacte</w:t>
      </w:r>
      <w:r w:rsidR="00E362FE" w:rsidRPr="00DE54D3">
        <w:rPr>
          <w:vertAlign w:val="superscript"/>
          <w:lang w:val="fr-FR"/>
        </w:rPr>
        <w:footnoteReference w:id="10"/>
      </w:r>
      <w:r w:rsidR="00E362FE" w:rsidRPr="00DE54D3">
        <w:rPr>
          <w:lang w:val="fr-FR"/>
        </w:rPr>
        <w:t xml:space="preserve">, </w:t>
      </w:r>
      <w:r w:rsidR="00BB3F1A" w:rsidRPr="00DE54D3">
        <w:rPr>
          <w:lang w:val="fr-FR"/>
        </w:rPr>
        <w:t xml:space="preserve">dans lesquelles </w:t>
      </w:r>
      <w:r w:rsidR="00E362FE" w:rsidRPr="00DE54D3">
        <w:rPr>
          <w:lang w:val="fr-FR"/>
        </w:rPr>
        <w:t>le Comité a établi que les personnes disparues toujours en vie et détenues au secret voient leur droit à la reconnaissance de leur personnalité juridique, tel que consacré par l’a</w:t>
      </w:r>
      <w:r w:rsidR="000E1F75" w:rsidRPr="00DE54D3">
        <w:rPr>
          <w:lang w:val="fr-FR"/>
        </w:rPr>
        <w:t xml:space="preserve">rticle 16 du Pacte, violé. </w:t>
      </w:r>
      <w:r w:rsidR="00301FB5" w:rsidRPr="00DE54D3">
        <w:rPr>
          <w:lang w:val="fr-FR"/>
        </w:rPr>
        <w:t xml:space="preserve">Ils </w:t>
      </w:r>
      <w:r w:rsidR="00FA1D56" w:rsidRPr="00DE54D3">
        <w:rPr>
          <w:lang w:val="fr-FR"/>
        </w:rPr>
        <w:t>soutien</w:t>
      </w:r>
      <w:r w:rsidR="00301FB5" w:rsidRPr="00DE54D3">
        <w:rPr>
          <w:lang w:val="fr-FR"/>
        </w:rPr>
        <w:t>nen</w:t>
      </w:r>
      <w:r w:rsidR="00FA1D56" w:rsidRPr="00DE54D3">
        <w:rPr>
          <w:lang w:val="fr-FR"/>
        </w:rPr>
        <w:t xml:space="preserve">t en conséquence qu’en maintenant </w:t>
      </w:r>
      <w:r w:rsidR="002C7B8E">
        <w:rPr>
          <w:lang w:val="fr-FR"/>
        </w:rPr>
        <w:t xml:space="preserve">Omar </w:t>
      </w:r>
      <w:proofErr w:type="spellStart"/>
      <w:r w:rsidR="002C7B8E">
        <w:rPr>
          <w:lang w:val="fr-FR"/>
        </w:rPr>
        <w:t>Drif</w:t>
      </w:r>
      <w:proofErr w:type="spellEnd"/>
      <w:r w:rsidR="00FA1D56" w:rsidRPr="00DE54D3">
        <w:rPr>
          <w:lang w:val="fr-FR"/>
        </w:rPr>
        <w:t xml:space="preserve"> </w:t>
      </w:r>
      <w:r w:rsidR="00892CDB" w:rsidRPr="00DE54D3">
        <w:rPr>
          <w:lang w:val="fr-FR"/>
        </w:rPr>
        <w:t xml:space="preserve">en détention </w:t>
      </w:r>
      <w:r w:rsidR="00FA1D56" w:rsidRPr="00DE54D3">
        <w:rPr>
          <w:lang w:val="fr-FR"/>
        </w:rPr>
        <w:t xml:space="preserve">sans </w:t>
      </w:r>
      <w:r w:rsidR="00892CDB" w:rsidRPr="00DE54D3">
        <w:rPr>
          <w:lang w:val="fr-FR"/>
        </w:rPr>
        <w:t>en informer officiellement sa famille et ses proches</w:t>
      </w:r>
      <w:r w:rsidR="00FA1D56" w:rsidRPr="00DE54D3">
        <w:rPr>
          <w:lang w:val="fr-FR"/>
        </w:rPr>
        <w:t>, les autorités algériennes ont soustrait ce dernier à la protection de la loi et l’ont privé de son droit à la reconnaissance de sa personnalité juridique, en violation de l’article 16 du Pacte.</w:t>
      </w:r>
    </w:p>
    <w:p w14:paraId="45467F14" w14:textId="5D09BB13" w:rsidR="00C03233" w:rsidRPr="00DE54D3" w:rsidRDefault="00E1086B" w:rsidP="00C03233">
      <w:pPr>
        <w:pStyle w:val="SingleTxtG"/>
      </w:pPr>
      <w:r>
        <w:t>3.9</w:t>
      </w:r>
      <w:r w:rsidR="00C03233">
        <w:tab/>
      </w:r>
      <w:r w:rsidR="00C03233" w:rsidRPr="00DE54D3">
        <w:t>Les auteurs estiment que l’ordonnance n</w:t>
      </w:r>
      <w:r w:rsidR="00C03233" w:rsidRPr="00DE54D3">
        <w:rPr>
          <w:vertAlign w:val="superscript"/>
        </w:rPr>
        <w:t>o</w:t>
      </w:r>
      <w:r w:rsidR="00C03233" w:rsidRPr="00DE54D3">
        <w:t xml:space="preserve"> 06-01 constitue un manquement à l’obligation générale de l’État</w:t>
      </w:r>
      <w:r w:rsidR="00DD232B">
        <w:t xml:space="preserve"> partie consacrée au paragraphe </w:t>
      </w:r>
      <w:r w:rsidR="00C03233" w:rsidRPr="00DE54D3">
        <w:t xml:space="preserve">2 de l’article 2 du Pacte, </w:t>
      </w:r>
      <w:r w:rsidR="00C03233">
        <w:t>dans le</w:t>
      </w:r>
      <w:r w:rsidR="00C03233" w:rsidRPr="00DE54D3">
        <w:t xml:space="preserve"> sens </w:t>
      </w:r>
      <w:r w:rsidR="00C03233">
        <w:t>où</w:t>
      </w:r>
      <w:r w:rsidR="00C03233" w:rsidRPr="00DE54D3">
        <w:t xml:space="preserve"> ladite disposition implique également une obligation négative pour les États parties de ne pas adopter de mesures contraires au Pacte. En adoptant ladite ordonnance, en particulier son article 45, l’État partie aurait donc pris une mesure d’ordre législatif privant d’effet les droits reconnus dans le Pacte</w:t>
      </w:r>
      <w:r w:rsidR="00C03233" w:rsidRPr="00DE54D3">
        <w:rPr>
          <w:vertAlign w:val="superscript"/>
        </w:rPr>
        <w:footnoteReference w:id="11"/>
      </w:r>
      <w:r w:rsidR="00C03233" w:rsidRPr="00DE54D3">
        <w:t>, particulièrement le droit d’avoir accès à un recours effectif contre des violations des droits de l’homme. Depuis la promulgation de cette ordonnance, les auteurs ont été empêchés d’ester en justice. Ils estiment que le manquement à l’obl</w:t>
      </w:r>
      <w:r w:rsidR="00DD232B">
        <w:t xml:space="preserve">igation fixée par le paragraphe </w:t>
      </w:r>
      <w:r w:rsidR="00C03233" w:rsidRPr="00DE54D3">
        <w:t>2 de l’article 2 du Pacte, par action ou par omission, peut engager la responsabilité internationale de l’État partie</w:t>
      </w:r>
      <w:r w:rsidR="00C03233" w:rsidRPr="00DE54D3">
        <w:rPr>
          <w:vertAlign w:val="superscript"/>
        </w:rPr>
        <w:footnoteReference w:id="12"/>
      </w:r>
      <w:r w:rsidR="00C03233" w:rsidRPr="00DE54D3">
        <w:t>. Ils affirment qu’en dépit de toutes leurs démarches après l’entrée en vigueur de la Charte pour la paix et la réconciliation nationale et de ses textes d’application, leurs plaintes sont demeurées sans suite. Ils estiment en conséquence être victimes de cette disposition légi</w:t>
      </w:r>
      <w:r w:rsidR="00DD232B">
        <w:t xml:space="preserve">slative contraire au paragraphe </w:t>
      </w:r>
      <w:r w:rsidR="00C03233" w:rsidRPr="00DE54D3">
        <w:t>2 de l’article 2 du Pacte.</w:t>
      </w:r>
    </w:p>
    <w:p w14:paraId="1AF6591C" w14:textId="137571FF" w:rsidR="00C03233" w:rsidRPr="00DD232B" w:rsidRDefault="00E1086B" w:rsidP="00FD5C57">
      <w:pPr>
        <w:pStyle w:val="SingleTxtG"/>
      </w:pPr>
      <w:r>
        <w:t>3.10</w:t>
      </w:r>
      <w:r w:rsidR="00C03233">
        <w:tab/>
      </w:r>
      <w:r w:rsidR="00C03233" w:rsidRPr="00DE54D3">
        <w:t>Les auteurs ajoutent que les dispositions de l’ordonnance n</w:t>
      </w:r>
      <w:r w:rsidR="00C03233" w:rsidRPr="00DE54D3">
        <w:rPr>
          <w:vertAlign w:val="superscript"/>
        </w:rPr>
        <w:t>o</w:t>
      </w:r>
      <w:r w:rsidR="00C03233" w:rsidRPr="00DE54D3">
        <w:t xml:space="preserve"> 06-0</w:t>
      </w:r>
      <w:r w:rsidR="00DD232B">
        <w:t xml:space="preserve">1 sont contraires au paragraphe </w:t>
      </w:r>
      <w:r w:rsidR="00C03233" w:rsidRPr="00DE54D3">
        <w:t>3 de l’article 2 du Pacte, car elles ont pour effet d’empêcher toute poursuite pénale à l’encontre des auteurs présumés de disparitions forcées, lorsque ces personnes sont des agents de l’État. Cette ordonnance amnistie de fait les crimes commis durant la décennie passée, y compris les crimes les plus graves comme les disparitions forcées. Elle interdit aussi, sous peine d’emprisonnement, le recours à la justice pour faire la lumière sur le sort des victimes</w:t>
      </w:r>
      <w:r w:rsidR="00C03233" w:rsidRPr="00DE54D3">
        <w:rPr>
          <w:vertAlign w:val="superscript"/>
        </w:rPr>
        <w:footnoteReference w:id="13"/>
      </w:r>
      <w:r w:rsidR="00C03233" w:rsidRPr="00DE54D3">
        <w:t xml:space="preserve">. Les démarches effectuées par les auteurs auprès des autorités algériennes avant et après l’adoption de cette ordonnance se sont avérées inutiles, aucune réponse ne leur ayant été apportée sur le sort </w:t>
      </w:r>
      <w:r w:rsidR="00C03233">
        <w:t xml:space="preserve">d’Omar </w:t>
      </w:r>
      <w:proofErr w:type="spellStart"/>
      <w:r w:rsidR="00C03233">
        <w:t>Drif</w:t>
      </w:r>
      <w:proofErr w:type="spellEnd"/>
      <w:r w:rsidR="00C03233" w:rsidRPr="00DE54D3">
        <w:t>. Ce refus fait obstacle à l’efficacité des recours exercé</w:t>
      </w:r>
      <w:r w:rsidR="00DD232B">
        <w:t xml:space="preserve">s par sa famille. Le paragraphe </w:t>
      </w:r>
      <w:r w:rsidR="00C03233" w:rsidRPr="00DE54D3">
        <w:t>3 de l’article 2 du Pacte impose l’octroi d’une réparation aux personnes dont les droits reconnus par le Pacte ont été violés</w:t>
      </w:r>
      <w:r w:rsidR="00C03233" w:rsidRPr="00DE54D3">
        <w:rPr>
          <w:rStyle w:val="FootnoteReference"/>
        </w:rPr>
        <w:footnoteReference w:id="14"/>
      </w:r>
      <w:r w:rsidR="00C03233" w:rsidRPr="00DE54D3">
        <w:t>. Les articles 27 à 39 de l’ordonnance n</w:t>
      </w:r>
      <w:r w:rsidR="00C03233" w:rsidRPr="00DE54D3">
        <w:rPr>
          <w:vertAlign w:val="superscript"/>
        </w:rPr>
        <w:t>o</w:t>
      </w:r>
      <w:r w:rsidR="00DD232B">
        <w:t xml:space="preserve"> </w:t>
      </w:r>
      <w:r w:rsidR="00C03233" w:rsidRPr="00DE54D3">
        <w:t>06-01 ne prévoient qu’une simple indemnisation financière conditionnée à l’établissement d’un jugement de décès établi après une enquête infructueuse, l’article 38 excluant toute autre forme de réparation. Or, en pratique, aucune enquête n’est diligentée sur le sort du disparu, ni sur les auteurs de la disparition. Les auteurs rappellent que le Comité a estimé que le droit à un recours utile comportait nécessairement le droit à une réparation adéquate et le droit à la vérité, et a recommandé à l’État partie de s’engager à garantir que les disparus et/ou leurs familles disposent d’un recours utile et que bonne suite y est donnée, tout en veillant au respect du droit à indemnisation et à la réparation la plus complète possible</w:t>
      </w:r>
      <w:r w:rsidR="00C03233" w:rsidRPr="00DE54D3">
        <w:rPr>
          <w:rStyle w:val="FootnoteReference"/>
        </w:rPr>
        <w:footnoteReference w:id="15"/>
      </w:r>
      <w:r w:rsidR="00C03233" w:rsidRPr="00DE54D3">
        <w:t>. L’État pa</w:t>
      </w:r>
      <w:r w:rsidR="00DD232B">
        <w:t xml:space="preserve">rtie a donc violé le paragraphe </w:t>
      </w:r>
      <w:r w:rsidR="00C03233" w:rsidRPr="00DE54D3">
        <w:t>3 de l’article 2 du Pacte</w:t>
      </w:r>
      <w:r w:rsidR="00614D0E">
        <w:t>, lu conjointement avec l’article 7 du Pacte,</w:t>
      </w:r>
      <w:r w:rsidR="00C03233" w:rsidRPr="00DE54D3">
        <w:t xml:space="preserve"> à l’égard des auteurs.</w:t>
      </w:r>
    </w:p>
    <w:p w14:paraId="501BEB3B" w14:textId="7E561710" w:rsidR="001D6FFA" w:rsidRPr="00DE54D3" w:rsidRDefault="00301FB5" w:rsidP="00FD5C57">
      <w:pPr>
        <w:pStyle w:val="SingleTxtG"/>
      </w:pPr>
      <w:r w:rsidRPr="00DE54D3">
        <w:t>3.1</w:t>
      </w:r>
      <w:r w:rsidR="00E1086B">
        <w:t>1</w:t>
      </w:r>
      <w:r w:rsidR="007C1F1E" w:rsidRPr="00DE54D3">
        <w:tab/>
      </w:r>
      <w:r w:rsidR="001D712E" w:rsidRPr="00DE54D3">
        <w:t xml:space="preserve"> </w:t>
      </w:r>
      <w:r w:rsidR="00C03233">
        <w:t>Les auteurs</w:t>
      </w:r>
      <w:r w:rsidRPr="00DE54D3">
        <w:t xml:space="preserve"> </w:t>
      </w:r>
      <w:r w:rsidR="00560141" w:rsidRPr="00DE54D3">
        <w:t>demande</w:t>
      </w:r>
      <w:r w:rsidRPr="00DE54D3">
        <w:t>nt</w:t>
      </w:r>
      <w:r w:rsidR="00560141" w:rsidRPr="00DE54D3">
        <w:t xml:space="preserve"> au Comité de prier l’État partie d’ordonner des enquêtes indépendantes et impartiales en vue : a)</w:t>
      </w:r>
      <w:r w:rsidR="001D712E" w:rsidRPr="00DE54D3">
        <w:t xml:space="preserve"> </w:t>
      </w:r>
      <w:r w:rsidR="00560141" w:rsidRPr="00DE54D3">
        <w:t xml:space="preserve">de retrouver </w:t>
      </w:r>
      <w:r w:rsidR="00CD1636">
        <w:t xml:space="preserve">Omar </w:t>
      </w:r>
      <w:proofErr w:type="spellStart"/>
      <w:r w:rsidR="00CD1636">
        <w:t>Drif</w:t>
      </w:r>
      <w:proofErr w:type="spellEnd"/>
      <w:r w:rsidR="00560141" w:rsidRPr="00DE54D3">
        <w:t xml:space="preserve"> et de respecter </w:t>
      </w:r>
      <w:r w:rsidR="00585D1F" w:rsidRPr="00DE54D3">
        <w:t>l’</w:t>
      </w:r>
      <w:r w:rsidR="00560141" w:rsidRPr="00DE54D3">
        <w:t>engagement</w:t>
      </w:r>
      <w:r w:rsidR="00585D1F" w:rsidRPr="00DE54D3">
        <w:t xml:space="preserve"> de l’État partie</w:t>
      </w:r>
      <w:r w:rsidR="00560141" w:rsidRPr="00DE54D3">
        <w:t xml:space="preserve"> aux termes </w:t>
      </w:r>
      <w:r w:rsidR="00DD232B">
        <w:t xml:space="preserve">du paragraphe </w:t>
      </w:r>
      <w:r w:rsidR="00CC0A40" w:rsidRPr="00DE54D3">
        <w:t xml:space="preserve">3 </w:t>
      </w:r>
      <w:r w:rsidR="00560141" w:rsidRPr="00DE54D3">
        <w:t>de l’article</w:t>
      </w:r>
      <w:r w:rsidR="001D712E" w:rsidRPr="00DE54D3">
        <w:t xml:space="preserve"> </w:t>
      </w:r>
      <w:r w:rsidR="00560141" w:rsidRPr="00DE54D3">
        <w:t>2 du Pacte ; b)</w:t>
      </w:r>
      <w:r w:rsidR="001D712E" w:rsidRPr="00DE54D3">
        <w:t xml:space="preserve"> </w:t>
      </w:r>
      <w:r w:rsidR="00560141" w:rsidRPr="00DE54D3">
        <w:t xml:space="preserve">de déférer les auteurs </w:t>
      </w:r>
      <w:r w:rsidR="00892CDB" w:rsidRPr="00DE54D3">
        <w:t xml:space="preserve">matériels et intellectuels </w:t>
      </w:r>
      <w:r w:rsidR="00560141" w:rsidRPr="00DE54D3">
        <w:t xml:space="preserve">de cette disparition forcée devant les autorités civiles compétentes pour </w:t>
      </w:r>
      <w:r w:rsidR="00F96400" w:rsidRPr="00DE54D3">
        <w:t>qu’ils fassent</w:t>
      </w:r>
      <w:r w:rsidR="001D712E" w:rsidRPr="00DE54D3">
        <w:t xml:space="preserve"> l’objet de poursuites </w:t>
      </w:r>
      <w:r w:rsidR="00560141" w:rsidRPr="00DE54D3">
        <w:t xml:space="preserve">conformément </w:t>
      </w:r>
      <w:r w:rsidR="00DD232B">
        <w:t xml:space="preserve">au paragraphe </w:t>
      </w:r>
      <w:r w:rsidR="00F96400" w:rsidRPr="00DE54D3">
        <w:t>3 de</w:t>
      </w:r>
      <w:r w:rsidR="00560141" w:rsidRPr="00DE54D3">
        <w:t xml:space="preserve"> l’article</w:t>
      </w:r>
      <w:r w:rsidR="001D712E" w:rsidRPr="00DE54D3">
        <w:t xml:space="preserve"> </w:t>
      </w:r>
      <w:r w:rsidR="00560141" w:rsidRPr="00DE54D3">
        <w:t>2 du Pacte ; et c)</w:t>
      </w:r>
      <w:r w:rsidR="001D712E" w:rsidRPr="00DE54D3">
        <w:t xml:space="preserve"> </w:t>
      </w:r>
      <w:r w:rsidR="00560141" w:rsidRPr="00DE54D3">
        <w:t>d</w:t>
      </w:r>
      <w:r w:rsidR="00892CDB" w:rsidRPr="00DE54D3">
        <w:t>e garantir</w:t>
      </w:r>
      <w:r w:rsidR="00560141" w:rsidRPr="00DE54D3">
        <w:t xml:space="preserve"> à </w:t>
      </w:r>
      <w:r w:rsidR="00CD1636">
        <w:t xml:space="preserve">Omar </w:t>
      </w:r>
      <w:proofErr w:type="spellStart"/>
      <w:r w:rsidR="00CD1636">
        <w:t>Drif</w:t>
      </w:r>
      <w:proofErr w:type="spellEnd"/>
      <w:r w:rsidR="00560141" w:rsidRPr="00DE54D3">
        <w:t>, s’il est encore en vie, ainsi qu’à sa famille</w:t>
      </w:r>
      <w:r w:rsidR="00731466" w:rsidRPr="00DE54D3">
        <w:t>, l’accès à</w:t>
      </w:r>
      <w:r w:rsidR="00560141" w:rsidRPr="00DE54D3">
        <w:t xml:space="preserve"> une réparation adéquate, effective et rapide du préjudice subi, conformément </w:t>
      </w:r>
      <w:r w:rsidR="00DD232B">
        <w:t xml:space="preserve">au paragraphe </w:t>
      </w:r>
      <w:r w:rsidR="000E5A06" w:rsidRPr="00DE54D3">
        <w:t>3 de l’</w:t>
      </w:r>
      <w:r w:rsidR="00560141" w:rsidRPr="00DE54D3">
        <w:t>article</w:t>
      </w:r>
      <w:r w:rsidR="001D712E" w:rsidRPr="00DE54D3">
        <w:t xml:space="preserve"> 2</w:t>
      </w:r>
      <w:r w:rsidR="00560141" w:rsidRPr="00DE54D3">
        <w:t xml:space="preserve"> et </w:t>
      </w:r>
      <w:r w:rsidR="00DD232B">
        <w:t xml:space="preserve">à l’article </w:t>
      </w:r>
      <w:r w:rsidR="00560141" w:rsidRPr="00DE54D3">
        <w:t>9 du Pacte</w:t>
      </w:r>
      <w:r w:rsidR="00666DB7" w:rsidRPr="00DE54D3">
        <w:t xml:space="preserve">, incluant une indemnisation </w:t>
      </w:r>
      <w:r w:rsidR="00560141" w:rsidRPr="00DE54D3">
        <w:t>appropriée et proportionnée à la gravité de la violation</w:t>
      </w:r>
      <w:r w:rsidR="00A95D4C" w:rsidRPr="00DE54D3">
        <w:t>,</w:t>
      </w:r>
      <w:r w:rsidR="00AD1F5D" w:rsidRPr="00DE54D3">
        <w:t xml:space="preserve"> </w:t>
      </w:r>
      <w:r w:rsidR="00666DB7" w:rsidRPr="00DE54D3">
        <w:t xml:space="preserve">une </w:t>
      </w:r>
      <w:r w:rsidR="00560141" w:rsidRPr="00DE54D3">
        <w:t>réadaptation pleine et entière</w:t>
      </w:r>
      <w:r w:rsidR="0046354A" w:rsidRPr="00DE54D3">
        <w:t>, et des garanties de non-répétition</w:t>
      </w:r>
      <w:r w:rsidR="00560141" w:rsidRPr="00DE54D3">
        <w:t xml:space="preserve">. </w:t>
      </w:r>
      <w:r w:rsidRPr="00DE54D3">
        <w:t xml:space="preserve">Ils </w:t>
      </w:r>
      <w:r w:rsidR="00560141" w:rsidRPr="00DE54D3">
        <w:t>demande</w:t>
      </w:r>
      <w:r w:rsidRPr="00DE54D3">
        <w:t>nt</w:t>
      </w:r>
      <w:r w:rsidR="00560141" w:rsidRPr="00DE54D3">
        <w:t xml:space="preserve"> enfin au Comité d’enjoindre aux autorités algériennes d’abroger les articles</w:t>
      </w:r>
      <w:r w:rsidR="001D712E" w:rsidRPr="00DE54D3">
        <w:t xml:space="preserve"> </w:t>
      </w:r>
      <w:r w:rsidR="00560141" w:rsidRPr="00DE54D3">
        <w:t>27 à 39, 45 et 46 de l’ordonnance n</w:t>
      </w:r>
      <w:r w:rsidR="00560141" w:rsidRPr="00DE54D3">
        <w:rPr>
          <w:vertAlign w:val="superscript"/>
        </w:rPr>
        <w:t>o</w:t>
      </w:r>
      <w:r w:rsidR="001D712E" w:rsidRPr="00DE54D3">
        <w:t xml:space="preserve"> </w:t>
      </w:r>
      <w:r w:rsidR="00CD1636">
        <w:t>06-01</w:t>
      </w:r>
      <w:r w:rsidR="00560141" w:rsidRPr="00DE54D3">
        <w:t>.</w:t>
      </w:r>
    </w:p>
    <w:p w14:paraId="5A1C1511" w14:textId="77777777" w:rsidR="00B16156" w:rsidRPr="00DE54D3" w:rsidRDefault="001278AF" w:rsidP="00B16156">
      <w:pPr>
        <w:pStyle w:val="H23G"/>
        <w:rPr>
          <w:lang w:val="fr-FR"/>
        </w:rPr>
      </w:pPr>
      <w:r w:rsidRPr="00DE54D3">
        <w:tab/>
      </w:r>
      <w:r w:rsidRPr="00DE54D3">
        <w:tab/>
      </w:r>
      <w:r w:rsidR="00B16156" w:rsidRPr="00DE54D3">
        <w:rPr>
          <w:lang w:val="fr-FR"/>
        </w:rPr>
        <w:t>Obser</w:t>
      </w:r>
      <w:r w:rsidR="00672B49" w:rsidRPr="00DE54D3">
        <w:rPr>
          <w:lang w:val="fr-FR"/>
        </w:rPr>
        <w:t>vations de l’État partie</w:t>
      </w:r>
    </w:p>
    <w:p w14:paraId="026116D4" w14:textId="28201BB9" w:rsidR="007276E8" w:rsidRPr="00DE54D3" w:rsidRDefault="001D712E" w:rsidP="00BE493D">
      <w:pPr>
        <w:pStyle w:val="SingleTxtG"/>
        <w:rPr>
          <w:lang w:val="fr-FR"/>
        </w:rPr>
      </w:pPr>
      <w:r w:rsidRPr="00DE54D3">
        <w:rPr>
          <w:lang w:val="fr-FR"/>
        </w:rPr>
        <w:t>4.</w:t>
      </w:r>
      <w:r w:rsidR="00AF2E50">
        <w:rPr>
          <w:lang w:val="fr-FR"/>
        </w:rPr>
        <w:tab/>
        <w:t>Le 2</w:t>
      </w:r>
      <w:r w:rsidR="007276E8" w:rsidRPr="00DE54D3">
        <w:rPr>
          <w:lang w:val="fr-FR"/>
        </w:rPr>
        <w:t xml:space="preserve"> avril</w:t>
      </w:r>
      <w:r w:rsidR="00B16156" w:rsidRPr="00DE54D3">
        <w:rPr>
          <w:lang w:val="fr-FR"/>
        </w:rPr>
        <w:t xml:space="preserve"> 201</w:t>
      </w:r>
      <w:r w:rsidR="00AF2E50">
        <w:rPr>
          <w:lang w:val="fr-FR"/>
        </w:rPr>
        <w:t>9</w:t>
      </w:r>
      <w:r w:rsidR="00B16156" w:rsidRPr="00DE54D3">
        <w:rPr>
          <w:lang w:val="fr-FR"/>
        </w:rPr>
        <w:t xml:space="preserve">, </w:t>
      </w:r>
      <w:r w:rsidR="00E52E4F" w:rsidRPr="00DE54D3">
        <w:rPr>
          <w:lang w:val="fr-FR"/>
        </w:rPr>
        <w:t>l’État partie a invité le Comité à se ré</w:t>
      </w:r>
      <w:r w:rsidR="00731466" w:rsidRPr="00DE54D3">
        <w:rPr>
          <w:lang w:val="fr-FR"/>
        </w:rPr>
        <w:t xml:space="preserve">férer au </w:t>
      </w:r>
      <w:r w:rsidR="000E6181" w:rsidRPr="00DE54D3">
        <w:t>Mémorandum de référence du Gouvernement algérien sur le traitement de la question des disparitions à la lumière de la mise en œuvre de la Charte pour la paix et la réconciliation nationale</w:t>
      </w:r>
      <w:r w:rsidR="00E52E4F" w:rsidRPr="00DE54D3">
        <w:rPr>
          <w:lang w:val="fr-FR"/>
        </w:rPr>
        <w:t>.</w:t>
      </w:r>
      <w:r w:rsidR="00F2328C" w:rsidRPr="00DE54D3">
        <w:t xml:space="preserve"> </w:t>
      </w:r>
      <w:r w:rsidR="00F2328C" w:rsidRPr="00DE54D3">
        <w:rPr>
          <w:lang w:val="fr-FR"/>
        </w:rPr>
        <w:t xml:space="preserve">Le Comité ayant refusé que la recevabilité de la requête soit examinée séparément du fond, l’État partie a, le </w:t>
      </w:r>
      <w:r w:rsidR="0058565D">
        <w:rPr>
          <w:lang w:val="fr-FR"/>
        </w:rPr>
        <w:t>16 décembre 2020</w:t>
      </w:r>
      <w:r w:rsidR="00F2328C" w:rsidRPr="00DE54D3">
        <w:rPr>
          <w:lang w:val="fr-FR"/>
        </w:rPr>
        <w:t>, invité à nouveau le Comité à se référer au</w:t>
      </w:r>
      <w:r w:rsidR="003435C9" w:rsidRPr="00DE54D3">
        <w:rPr>
          <w:lang w:val="fr-FR"/>
        </w:rPr>
        <w:t>dit</w:t>
      </w:r>
      <w:r w:rsidR="00F2328C" w:rsidRPr="00DE54D3">
        <w:rPr>
          <w:lang w:val="fr-FR"/>
        </w:rPr>
        <w:t xml:space="preserve"> mémorandum de référence</w:t>
      </w:r>
      <w:r w:rsidR="00534D30" w:rsidRPr="00DE54D3">
        <w:rPr>
          <w:lang w:val="fr-FR"/>
        </w:rPr>
        <w:t>,</w:t>
      </w:r>
      <w:r w:rsidR="00F2328C" w:rsidRPr="00DE54D3">
        <w:rPr>
          <w:lang w:val="fr-FR"/>
        </w:rPr>
        <w:t xml:space="preserve"> contestant la recevabilité devant le Comité des communications en rapport avec la mise en œuvre de la Charte pour la paix et la réconciliation nationale</w:t>
      </w:r>
      <w:r w:rsidR="00534D30" w:rsidRPr="00DE54D3">
        <w:rPr>
          <w:lang w:val="fr-FR"/>
        </w:rPr>
        <w:t>,</w:t>
      </w:r>
      <w:r w:rsidR="00F2328C" w:rsidRPr="00DE54D3">
        <w:rPr>
          <w:lang w:val="fr-FR"/>
        </w:rPr>
        <w:t xml:space="preserve"> et, par conséquent, à ne pas se pencher sur le fond.</w:t>
      </w:r>
    </w:p>
    <w:p w14:paraId="61B57AD6" w14:textId="6EDE9F9B" w:rsidR="007276E8" w:rsidRPr="00DE54D3" w:rsidRDefault="007276E8" w:rsidP="00BE493D">
      <w:pPr>
        <w:pStyle w:val="H23G"/>
        <w:rPr>
          <w:lang w:val="fr-FR"/>
        </w:rPr>
      </w:pPr>
      <w:r w:rsidRPr="00DE54D3">
        <w:rPr>
          <w:lang w:val="fr-FR"/>
        </w:rPr>
        <w:tab/>
      </w:r>
      <w:r w:rsidR="00BE493D" w:rsidRPr="00DE54D3">
        <w:rPr>
          <w:lang w:val="fr-FR"/>
        </w:rPr>
        <w:tab/>
      </w:r>
      <w:r w:rsidRPr="00DE54D3">
        <w:rPr>
          <w:lang w:val="fr-FR"/>
        </w:rPr>
        <w:t>Commentaires des auteurs sur les observations de l’État partie</w:t>
      </w:r>
    </w:p>
    <w:p w14:paraId="0A3649F3" w14:textId="7A5D7540" w:rsidR="007276E8" w:rsidRPr="00DE54D3" w:rsidRDefault="007276E8" w:rsidP="00BE493D">
      <w:pPr>
        <w:pStyle w:val="SingleTxtG"/>
        <w:rPr>
          <w:b/>
          <w:lang w:val="fr-FR"/>
        </w:rPr>
      </w:pPr>
      <w:r w:rsidRPr="00DE54D3">
        <w:rPr>
          <w:lang w:val="fr-FR"/>
        </w:rPr>
        <w:t>5.1</w:t>
      </w:r>
      <w:r w:rsidRPr="00DE54D3">
        <w:rPr>
          <w:lang w:val="fr-FR"/>
        </w:rPr>
        <w:tab/>
        <w:t xml:space="preserve">Le </w:t>
      </w:r>
      <w:r w:rsidR="00C111F7" w:rsidRPr="00DE54D3">
        <w:rPr>
          <w:lang w:val="fr-FR"/>
        </w:rPr>
        <w:t>30 juin</w:t>
      </w:r>
      <w:r w:rsidRPr="00DE54D3">
        <w:rPr>
          <w:lang w:val="fr-FR"/>
        </w:rPr>
        <w:t xml:space="preserve"> 201</w:t>
      </w:r>
      <w:r w:rsidR="0058565D">
        <w:rPr>
          <w:lang w:val="fr-FR"/>
        </w:rPr>
        <w:t>9</w:t>
      </w:r>
      <w:r w:rsidRPr="00DE54D3">
        <w:rPr>
          <w:lang w:val="fr-FR"/>
        </w:rPr>
        <w:t xml:space="preserve">, les auteurs ont soumis des commentaires sur les observations de l’État partie sur la recevabilité. Ils soulignent que </w:t>
      </w:r>
      <w:r w:rsidR="003E350D">
        <w:t>c</w:t>
      </w:r>
      <w:r w:rsidRPr="00DE54D3">
        <w:t>es</w:t>
      </w:r>
      <w:r w:rsidRPr="00DE54D3">
        <w:rPr>
          <w:lang w:val="fr-FR"/>
        </w:rPr>
        <w:t xml:space="preserve"> observations ne font nullement mention de la recevabilité de la communication, des spécificités de l’affaire, ou des recours introduits par la famille de la victime, </w:t>
      </w:r>
      <w:r w:rsidR="000531A9" w:rsidRPr="00DE54D3">
        <w:rPr>
          <w:lang w:val="fr-FR"/>
        </w:rPr>
        <w:t>démontrant</w:t>
      </w:r>
      <w:r w:rsidRPr="00DE54D3">
        <w:rPr>
          <w:lang w:val="fr-FR"/>
        </w:rPr>
        <w:t xml:space="preserve"> le manque de sérieux et le mépris des autorités algériennes pour la procédure en cours devant le Comité. Ils </w:t>
      </w:r>
      <w:r w:rsidR="008A78C0" w:rsidRPr="00DE54D3">
        <w:rPr>
          <w:lang w:val="fr-FR"/>
        </w:rPr>
        <w:t>soulignent</w:t>
      </w:r>
      <w:r w:rsidRPr="00DE54D3">
        <w:rPr>
          <w:lang w:val="fr-FR"/>
        </w:rPr>
        <w:t xml:space="preserve"> également le caractère obsolète de ces observations, qui datent de juillet 2009.</w:t>
      </w:r>
    </w:p>
    <w:p w14:paraId="5FBFB077" w14:textId="71596BC7" w:rsidR="007276E8" w:rsidRPr="00DE54D3" w:rsidRDefault="007276E8" w:rsidP="00BE493D">
      <w:pPr>
        <w:pStyle w:val="SingleTxtG"/>
      </w:pPr>
      <w:r w:rsidRPr="00DE54D3">
        <w:rPr>
          <w:lang w:val="fr-FR"/>
        </w:rPr>
        <w:t>5.2</w:t>
      </w:r>
      <w:r w:rsidRPr="00DE54D3">
        <w:rPr>
          <w:lang w:val="fr-FR"/>
        </w:rPr>
        <w:tab/>
        <w:t>Rappelant qu’aucun recours n’a abouti à l’ouverture d’une enquête diligente ou à des poursuites pénales et que les autorités algériennes n’ont apporté aucun élément tangible laissant penser que des recherches effectives a</w:t>
      </w:r>
      <w:r w:rsidR="008A78C0" w:rsidRPr="00DE54D3">
        <w:rPr>
          <w:lang w:val="fr-FR"/>
        </w:rPr>
        <w:t>va</w:t>
      </w:r>
      <w:r w:rsidRPr="00DE54D3">
        <w:rPr>
          <w:lang w:val="fr-FR"/>
        </w:rPr>
        <w:t xml:space="preserve">ient été engagées pour retrouver </w:t>
      </w:r>
      <w:r w:rsidR="0058565D">
        <w:rPr>
          <w:lang w:val="fr-FR"/>
        </w:rPr>
        <w:t xml:space="preserve">Omar </w:t>
      </w:r>
      <w:proofErr w:type="spellStart"/>
      <w:r w:rsidR="0058565D">
        <w:rPr>
          <w:lang w:val="fr-FR"/>
        </w:rPr>
        <w:t>Drif</w:t>
      </w:r>
      <w:proofErr w:type="spellEnd"/>
      <w:r w:rsidRPr="00DE54D3">
        <w:rPr>
          <w:lang w:val="fr-FR"/>
        </w:rPr>
        <w:t xml:space="preserve"> et identifier les responsables de sa disparition, les auteurs concluent que les voies de recours internes ont été épuisées et que la requête doit être considérée comme recevable par le Comité</w:t>
      </w:r>
      <w:r w:rsidRPr="00DE54D3">
        <w:t>.</w:t>
      </w:r>
    </w:p>
    <w:p w14:paraId="57E1A01E" w14:textId="77777777" w:rsidR="007276E8" w:rsidRPr="00DE54D3" w:rsidRDefault="007276E8" w:rsidP="00C111F7">
      <w:pPr>
        <w:pStyle w:val="SingleTxtG"/>
        <w:rPr>
          <w:lang w:val="fr-FR"/>
        </w:rPr>
      </w:pPr>
      <w:r w:rsidRPr="00DE54D3">
        <w:t>5.3</w:t>
      </w:r>
      <w:r w:rsidRPr="00DE54D3">
        <w:tab/>
        <w:t>En se référant à la jurisprudence du Comité selon laquelle la Charte pour la paix et la réconciliation nationale ne peut être opposée aux individus soumettant une communication individuelle, les auteurs rappellent que les dispositions de la Charte ne représentent en rien une prise en charge adéquate du dossier des disparus, qui supposerait le respect du droit à la vérité, à la justice et à la réparation pleine et entière.</w:t>
      </w:r>
    </w:p>
    <w:p w14:paraId="05C88567" w14:textId="77777777" w:rsidR="00F572EE" w:rsidRPr="00DE54D3" w:rsidRDefault="00F572EE" w:rsidP="00F572EE">
      <w:pPr>
        <w:pStyle w:val="H23G"/>
      </w:pPr>
      <w:r w:rsidRPr="00DE54D3">
        <w:tab/>
      </w:r>
      <w:r w:rsidRPr="00DE54D3">
        <w:tab/>
        <w:t>Défaut de coopération de l’État partie</w:t>
      </w:r>
    </w:p>
    <w:p w14:paraId="78B28679" w14:textId="3D4509FF" w:rsidR="00F572EE" w:rsidRPr="00DE54D3" w:rsidRDefault="001919E8" w:rsidP="00F572EE">
      <w:pPr>
        <w:pStyle w:val="SingleTxtG"/>
        <w:rPr>
          <w:spacing w:val="-2"/>
        </w:rPr>
      </w:pPr>
      <w:r w:rsidRPr="00DE54D3">
        <w:rPr>
          <w:spacing w:val="-2"/>
        </w:rPr>
        <w:t>6</w:t>
      </w:r>
      <w:r w:rsidR="00F572EE" w:rsidRPr="00DE54D3">
        <w:rPr>
          <w:spacing w:val="-2"/>
        </w:rPr>
        <w:t>.</w:t>
      </w:r>
      <w:r w:rsidR="00F572EE" w:rsidRPr="00DE54D3">
        <w:rPr>
          <w:spacing w:val="-2"/>
        </w:rPr>
        <w:tab/>
      </w:r>
      <w:r w:rsidR="00E52E4F" w:rsidRPr="00DE54D3">
        <w:rPr>
          <w:spacing w:val="-2"/>
        </w:rPr>
        <w:t xml:space="preserve">Le Comité rappelle que </w:t>
      </w:r>
      <w:r w:rsidR="0058565D">
        <w:rPr>
          <w:spacing w:val="-2"/>
        </w:rPr>
        <w:t>le 2</w:t>
      </w:r>
      <w:r w:rsidR="00656E63" w:rsidRPr="00DE54D3">
        <w:rPr>
          <w:spacing w:val="-2"/>
        </w:rPr>
        <w:t xml:space="preserve"> avril </w:t>
      </w:r>
      <w:r w:rsidR="00E52E4F" w:rsidRPr="00DE54D3">
        <w:rPr>
          <w:spacing w:val="-2"/>
        </w:rPr>
        <w:t>201</w:t>
      </w:r>
      <w:r w:rsidR="0058565D">
        <w:rPr>
          <w:spacing w:val="-2"/>
        </w:rPr>
        <w:t>9</w:t>
      </w:r>
      <w:r w:rsidR="00E52E4F" w:rsidRPr="00DE54D3">
        <w:rPr>
          <w:spacing w:val="-2"/>
        </w:rPr>
        <w:t xml:space="preserve">, l’État partie a contesté la recevabilité de la communication en faisant référence </w:t>
      </w:r>
      <w:r w:rsidR="00072B37" w:rsidRPr="00DE54D3">
        <w:rPr>
          <w:spacing w:val="-2"/>
        </w:rPr>
        <w:t>au</w:t>
      </w:r>
      <w:r w:rsidR="00E52E4F" w:rsidRPr="00DE54D3">
        <w:rPr>
          <w:spacing w:val="-2"/>
        </w:rPr>
        <w:t xml:space="preserve"> Mémorandum de référence du Gouvernement algérien sur le traitement de la question des disparitions à la lumière de la mise en œuvre de la Charte pour la </w:t>
      </w:r>
      <w:r w:rsidR="001F2515" w:rsidRPr="00DE54D3">
        <w:rPr>
          <w:spacing w:val="-2"/>
        </w:rPr>
        <w:t>p</w:t>
      </w:r>
      <w:r w:rsidR="00E52E4F" w:rsidRPr="00DE54D3">
        <w:rPr>
          <w:spacing w:val="-2"/>
        </w:rPr>
        <w:t xml:space="preserve">aix et la </w:t>
      </w:r>
      <w:r w:rsidR="001F2515" w:rsidRPr="00DE54D3">
        <w:rPr>
          <w:spacing w:val="-2"/>
        </w:rPr>
        <w:t>r</w:t>
      </w:r>
      <w:r w:rsidR="00E52E4F" w:rsidRPr="00DE54D3">
        <w:rPr>
          <w:spacing w:val="-2"/>
        </w:rPr>
        <w:t xml:space="preserve">éconciliation </w:t>
      </w:r>
      <w:r w:rsidR="001F2515" w:rsidRPr="00DE54D3">
        <w:rPr>
          <w:spacing w:val="-2"/>
        </w:rPr>
        <w:t>n</w:t>
      </w:r>
      <w:r w:rsidR="00E52E4F" w:rsidRPr="00DE54D3">
        <w:rPr>
          <w:spacing w:val="-2"/>
        </w:rPr>
        <w:t xml:space="preserve">ationale. Les </w:t>
      </w:r>
      <w:r w:rsidR="0058565D">
        <w:rPr>
          <w:spacing w:val="-2"/>
        </w:rPr>
        <w:t>4 juillet 2019 et 3</w:t>
      </w:r>
      <w:r w:rsidR="00656E63" w:rsidRPr="00DE54D3">
        <w:rPr>
          <w:spacing w:val="-2"/>
        </w:rPr>
        <w:t xml:space="preserve"> septembre </w:t>
      </w:r>
      <w:r w:rsidR="00E52E4F" w:rsidRPr="00DE54D3">
        <w:rPr>
          <w:spacing w:val="-2"/>
        </w:rPr>
        <w:t>20</w:t>
      </w:r>
      <w:r w:rsidR="0058565D">
        <w:rPr>
          <w:spacing w:val="-2"/>
        </w:rPr>
        <w:t>20</w:t>
      </w:r>
      <w:r w:rsidR="00E52E4F" w:rsidRPr="00DE54D3">
        <w:rPr>
          <w:spacing w:val="-2"/>
        </w:rPr>
        <w:t>, l’État partie a été invité à présenter ses observations</w:t>
      </w:r>
      <w:r w:rsidR="003B3F53" w:rsidRPr="00DE54D3">
        <w:rPr>
          <w:spacing w:val="-2"/>
        </w:rPr>
        <w:t xml:space="preserve"> sur</w:t>
      </w:r>
      <w:r w:rsidR="00E52E4F" w:rsidRPr="00DE54D3">
        <w:rPr>
          <w:spacing w:val="-2"/>
        </w:rPr>
        <w:t xml:space="preserve"> le fond de la communication. Le Comité note qu’il n’a reçu aucune réponse et regrette l’absence de collaboration de l’État partie </w:t>
      </w:r>
      <w:r w:rsidR="007776A5" w:rsidRPr="00DE54D3">
        <w:rPr>
          <w:spacing w:val="-2"/>
        </w:rPr>
        <w:t>quant au partage de</w:t>
      </w:r>
      <w:r w:rsidR="00E52E4F" w:rsidRPr="00DE54D3">
        <w:rPr>
          <w:spacing w:val="-2"/>
        </w:rPr>
        <w:t xml:space="preserve"> ses observations sur la présente plainte. Conformément au paragraphe 2 de l’article 4 du Protocole facultatif, l’État partie est tenu d’enquêter de bonne foi sur toutes les allégations de violations du Pacte portées contre lui et ses représentants, et de transmettre au Comité les renseignements qu’il détient</w:t>
      </w:r>
      <w:r w:rsidR="00E52E4F" w:rsidRPr="00DE54D3">
        <w:rPr>
          <w:spacing w:val="-2"/>
          <w:vertAlign w:val="superscript"/>
        </w:rPr>
        <w:footnoteReference w:id="16"/>
      </w:r>
      <w:r w:rsidR="00E52E4F" w:rsidRPr="00DE54D3">
        <w:rPr>
          <w:spacing w:val="-2"/>
        </w:rPr>
        <w:t>.</w:t>
      </w:r>
    </w:p>
    <w:p w14:paraId="73DDC9CA" w14:textId="1520FD2D" w:rsidR="00410779" w:rsidRPr="00DE54D3" w:rsidRDefault="00F572EE" w:rsidP="00F572EE">
      <w:pPr>
        <w:pStyle w:val="H23G"/>
        <w:rPr>
          <w:lang w:val="fr-FR"/>
        </w:rPr>
      </w:pPr>
      <w:r w:rsidRPr="00DE54D3">
        <w:rPr>
          <w:lang w:val="fr-FR"/>
        </w:rPr>
        <w:tab/>
      </w:r>
      <w:r w:rsidRPr="00DE54D3">
        <w:rPr>
          <w:lang w:val="fr-FR"/>
        </w:rPr>
        <w:tab/>
      </w:r>
      <w:r w:rsidR="00410779" w:rsidRPr="00DE54D3">
        <w:rPr>
          <w:lang w:val="fr-FR"/>
        </w:rPr>
        <w:t>Délibérations du Comité</w:t>
      </w:r>
    </w:p>
    <w:p w14:paraId="1E9331B6" w14:textId="2D9D6EE8" w:rsidR="00410779" w:rsidRPr="00DE54D3" w:rsidRDefault="00410779" w:rsidP="00212F86">
      <w:pPr>
        <w:pStyle w:val="H4G"/>
        <w:ind w:firstLine="0"/>
        <w:rPr>
          <w:lang w:val="fr-FR"/>
        </w:rPr>
      </w:pPr>
      <w:r w:rsidRPr="00DE54D3">
        <w:rPr>
          <w:lang w:val="fr-FR"/>
        </w:rPr>
        <w:t>Examen de la recevabilité</w:t>
      </w:r>
    </w:p>
    <w:p w14:paraId="0FE6D92E" w14:textId="2D9FEF95" w:rsidR="00410779" w:rsidRPr="00DE54D3" w:rsidRDefault="001919E8" w:rsidP="0088574B">
      <w:pPr>
        <w:pStyle w:val="SingleTxtG"/>
        <w:spacing w:line="234" w:lineRule="atLeast"/>
        <w:rPr>
          <w:lang w:val="fr-FR"/>
        </w:rPr>
      </w:pPr>
      <w:r w:rsidRPr="00DE54D3">
        <w:rPr>
          <w:lang w:val="fr-FR"/>
        </w:rPr>
        <w:t>7</w:t>
      </w:r>
      <w:r w:rsidR="00410779" w:rsidRPr="00DE54D3">
        <w:rPr>
          <w:lang w:val="fr-FR"/>
        </w:rPr>
        <w:t>.1</w:t>
      </w:r>
      <w:r w:rsidR="00410779" w:rsidRPr="00DE54D3">
        <w:rPr>
          <w:lang w:val="fr-FR"/>
        </w:rPr>
        <w:tab/>
      </w:r>
      <w:r w:rsidR="006966BC" w:rsidRPr="00DE54D3">
        <w:rPr>
          <w:lang w:val="fr-FR"/>
        </w:rPr>
        <w:t xml:space="preserve">Avant d’examiner toute </w:t>
      </w:r>
      <w:r w:rsidR="006966BC" w:rsidRPr="00DE54D3">
        <w:t>plainte</w:t>
      </w:r>
      <w:r w:rsidR="006966BC" w:rsidRPr="00DE54D3">
        <w:rPr>
          <w:lang w:val="fr-FR"/>
        </w:rPr>
        <w:t xml:space="preserve"> soumise dans une communication, le Comité doit, conformément à l’article </w:t>
      </w:r>
      <w:r w:rsidR="003553A0" w:rsidRPr="00DE54D3">
        <w:rPr>
          <w:lang w:val="fr-FR"/>
        </w:rPr>
        <w:t xml:space="preserve">97 </w:t>
      </w:r>
      <w:r w:rsidR="006966BC" w:rsidRPr="00DE54D3">
        <w:rPr>
          <w:lang w:val="fr-FR"/>
        </w:rPr>
        <w:t>de son règlement intérieur, déterminer si la communication est recevable en vertu du Protocole facultatif</w:t>
      </w:r>
      <w:r w:rsidR="006A2073" w:rsidRPr="00DE54D3">
        <w:rPr>
          <w:lang w:val="fr-FR"/>
        </w:rPr>
        <w:t xml:space="preserve"> se rapportant au Pacte</w:t>
      </w:r>
      <w:r w:rsidR="006966BC" w:rsidRPr="00DE54D3">
        <w:rPr>
          <w:lang w:val="fr-FR"/>
        </w:rPr>
        <w:t>.</w:t>
      </w:r>
    </w:p>
    <w:p w14:paraId="262666D2" w14:textId="33FD5871" w:rsidR="00410779" w:rsidRPr="00DE54D3" w:rsidRDefault="001919E8" w:rsidP="0088574B">
      <w:pPr>
        <w:pStyle w:val="SingleTxtG"/>
        <w:spacing w:line="234" w:lineRule="atLeast"/>
        <w:rPr>
          <w:lang w:val="fr-FR"/>
        </w:rPr>
      </w:pPr>
      <w:r w:rsidRPr="00DE54D3">
        <w:rPr>
          <w:lang w:val="fr-FR"/>
        </w:rPr>
        <w:t>7</w:t>
      </w:r>
      <w:r w:rsidR="00410779" w:rsidRPr="00DE54D3">
        <w:rPr>
          <w:lang w:val="fr-FR"/>
        </w:rPr>
        <w:t>.2</w:t>
      </w:r>
      <w:r w:rsidR="00410779" w:rsidRPr="00DE54D3">
        <w:rPr>
          <w:lang w:val="fr-FR"/>
        </w:rPr>
        <w:tab/>
      </w:r>
      <w:r w:rsidR="00347037" w:rsidRPr="00DE54D3">
        <w:rPr>
          <w:lang w:val="fr-FR"/>
        </w:rPr>
        <w:t>Le Comité s’est assuré, comme il est tenu de le fai</w:t>
      </w:r>
      <w:r w:rsidR="00CC1AE8" w:rsidRPr="00DE54D3">
        <w:rPr>
          <w:lang w:val="fr-FR"/>
        </w:rPr>
        <w:t>re conformément au paragraphe 2 </w:t>
      </w:r>
      <w:r w:rsidR="00347037" w:rsidRPr="00DE54D3">
        <w:rPr>
          <w:lang w:val="fr-FR"/>
        </w:rPr>
        <w:t xml:space="preserve">a) de l’article 5 du Protocole facultatif, que la même question n’était pas déjà en cours d’examen devant une autre instance </w:t>
      </w:r>
      <w:r w:rsidR="00347037" w:rsidRPr="00DE54D3">
        <w:t>internationale</w:t>
      </w:r>
      <w:r w:rsidR="00347037" w:rsidRPr="00DE54D3">
        <w:rPr>
          <w:lang w:val="fr-FR"/>
        </w:rPr>
        <w:t xml:space="preserve"> d’enquête ou de règlement. Le Comité note que la disparition a été signalée au Groupe de travail sur les disparitions forcées ou involontaires. Toutefois, </w:t>
      </w:r>
      <w:r w:rsidR="006A2073" w:rsidRPr="00DE54D3">
        <w:rPr>
          <w:lang w:val="fr-FR"/>
        </w:rPr>
        <w:t>il</w:t>
      </w:r>
      <w:r w:rsidR="00347037" w:rsidRPr="00DE54D3">
        <w:rPr>
          <w:lang w:val="fr-FR"/>
        </w:rPr>
        <w:t xml:space="preserve"> rappelle que les procédures ou mécanismes extraconventionnels du Conseil des droits de l’homme ne relèvent généralement pas d’une procédure internationale d’enquête ou de règlement au sens </w:t>
      </w:r>
      <w:r w:rsidR="00BD75F3" w:rsidRPr="00DE54D3">
        <w:rPr>
          <w:lang w:val="fr-FR"/>
        </w:rPr>
        <w:t xml:space="preserve">du paragraphe 2 a) de l’article </w:t>
      </w:r>
      <w:r w:rsidR="00347037" w:rsidRPr="00DE54D3">
        <w:rPr>
          <w:lang w:val="fr-FR"/>
        </w:rPr>
        <w:t>5 du Protocole facultatif</w:t>
      </w:r>
      <w:r w:rsidR="00347037" w:rsidRPr="00DE54D3">
        <w:rPr>
          <w:vertAlign w:val="superscript"/>
        </w:rPr>
        <w:footnoteReference w:id="17"/>
      </w:r>
      <w:r w:rsidR="00347037" w:rsidRPr="00DE54D3">
        <w:rPr>
          <w:lang w:val="fr-FR"/>
        </w:rPr>
        <w:t>. En conséquence, le Comité estime que l’examen du cas</w:t>
      </w:r>
      <w:r w:rsidR="00660336">
        <w:rPr>
          <w:lang w:val="fr-FR"/>
        </w:rPr>
        <w:t xml:space="preserve"> d’Omar </w:t>
      </w:r>
      <w:proofErr w:type="spellStart"/>
      <w:r w:rsidR="00660336">
        <w:rPr>
          <w:lang w:val="fr-FR"/>
        </w:rPr>
        <w:t>Drif</w:t>
      </w:r>
      <w:proofErr w:type="spellEnd"/>
      <w:r w:rsidR="00347037" w:rsidRPr="00DE54D3">
        <w:rPr>
          <w:lang w:val="fr-FR"/>
        </w:rPr>
        <w:t xml:space="preserve"> par le Groupe de travail sur les disparitions forcées ou involontaires ne rend pas la communication irrecevable en vertu de cette disposition.</w:t>
      </w:r>
    </w:p>
    <w:p w14:paraId="2A43471B" w14:textId="4EE12A26" w:rsidR="00AF430B" w:rsidRPr="00DE54D3" w:rsidRDefault="00C62F50" w:rsidP="0088574B">
      <w:pPr>
        <w:pStyle w:val="SingleTxtG"/>
        <w:spacing w:line="234" w:lineRule="atLeast"/>
        <w:rPr>
          <w:lang w:val="fr-FR"/>
        </w:rPr>
      </w:pPr>
      <w:r w:rsidRPr="00DE54D3">
        <w:rPr>
          <w:lang w:val="fr-FR"/>
        </w:rPr>
        <w:t>7</w:t>
      </w:r>
      <w:r w:rsidR="00AF430B" w:rsidRPr="00DE54D3">
        <w:rPr>
          <w:lang w:val="fr-FR"/>
        </w:rPr>
        <w:t>.3</w:t>
      </w:r>
      <w:r w:rsidR="00AF430B" w:rsidRPr="00DE54D3">
        <w:rPr>
          <w:lang w:val="fr-FR"/>
        </w:rPr>
        <w:tab/>
        <w:t xml:space="preserve">Le Comité prend </w:t>
      </w:r>
      <w:r w:rsidR="00AF430B" w:rsidRPr="00DE54D3">
        <w:t>note</w:t>
      </w:r>
      <w:r w:rsidR="00AF430B" w:rsidRPr="00DE54D3">
        <w:rPr>
          <w:lang w:val="fr-FR"/>
        </w:rPr>
        <w:t xml:space="preserve"> </w:t>
      </w:r>
      <w:r w:rsidR="003C7137" w:rsidRPr="00DE54D3">
        <w:rPr>
          <w:lang w:val="fr-FR"/>
        </w:rPr>
        <w:t>de ce que</w:t>
      </w:r>
      <w:r w:rsidR="00AF430B" w:rsidRPr="00DE54D3">
        <w:rPr>
          <w:lang w:val="fr-FR"/>
        </w:rPr>
        <w:t xml:space="preserve"> l</w:t>
      </w:r>
      <w:r w:rsidRPr="00DE54D3">
        <w:rPr>
          <w:lang w:val="fr-FR"/>
        </w:rPr>
        <w:t xml:space="preserve">es </w:t>
      </w:r>
      <w:r w:rsidR="00AF430B" w:rsidRPr="00DE54D3">
        <w:rPr>
          <w:lang w:val="fr-FR"/>
        </w:rPr>
        <w:t>auteur</w:t>
      </w:r>
      <w:r w:rsidRPr="00DE54D3">
        <w:rPr>
          <w:lang w:val="fr-FR"/>
        </w:rPr>
        <w:t>s</w:t>
      </w:r>
      <w:r w:rsidR="003C7137" w:rsidRPr="00DE54D3">
        <w:rPr>
          <w:lang w:val="fr-FR"/>
        </w:rPr>
        <w:t xml:space="preserve"> affirme</w:t>
      </w:r>
      <w:r w:rsidRPr="00DE54D3">
        <w:rPr>
          <w:lang w:val="fr-FR"/>
        </w:rPr>
        <w:t>nt</w:t>
      </w:r>
      <w:r w:rsidR="003C7137" w:rsidRPr="00DE54D3">
        <w:rPr>
          <w:lang w:val="fr-FR"/>
        </w:rPr>
        <w:t xml:space="preserve"> </w:t>
      </w:r>
      <w:r w:rsidR="00B26347" w:rsidRPr="00DE54D3">
        <w:rPr>
          <w:lang w:val="fr-FR"/>
        </w:rPr>
        <w:t xml:space="preserve">avoir épuisé toutes </w:t>
      </w:r>
      <w:r w:rsidR="00AF430B" w:rsidRPr="00DE54D3">
        <w:rPr>
          <w:lang w:val="fr-FR"/>
        </w:rPr>
        <w:t xml:space="preserve">les voies de recours </w:t>
      </w:r>
      <w:r w:rsidR="00B26347" w:rsidRPr="00DE54D3">
        <w:rPr>
          <w:lang w:val="fr-FR"/>
        </w:rPr>
        <w:t>disponibles</w:t>
      </w:r>
      <w:r w:rsidR="003C7137" w:rsidRPr="00DE54D3">
        <w:rPr>
          <w:lang w:val="fr-FR"/>
        </w:rPr>
        <w:t xml:space="preserve"> et</w:t>
      </w:r>
      <w:r w:rsidR="00AF430B" w:rsidRPr="00DE54D3">
        <w:t xml:space="preserve"> que</w:t>
      </w:r>
      <w:r w:rsidR="003C7137" w:rsidRPr="00DE54D3">
        <w:t>,</w:t>
      </w:r>
      <w:r w:rsidR="00AF430B" w:rsidRPr="00DE54D3">
        <w:t xml:space="preserve"> pour contester la recevabilité de la communication, l’État partie se contente de renvoyer </w:t>
      </w:r>
      <w:r w:rsidR="00EF0ADD" w:rsidRPr="00DE54D3">
        <w:t>au Mémorandum</w:t>
      </w:r>
      <w:r w:rsidR="00AF430B" w:rsidRPr="00DE54D3">
        <w:t xml:space="preserve"> de référence </w:t>
      </w:r>
      <w:r w:rsidR="002B1C8C" w:rsidRPr="00DE54D3">
        <w:t xml:space="preserve">du Gouvernement algérien </w:t>
      </w:r>
      <w:r w:rsidR="00AF430B" w:rsidRPr="00DE54D3">
        <w:t xml:space="preserve">sur le traitement de la question des disparitions à la lumière de la mise en œuvre de la Charte pour la paix et la réconciliation nationale. </w:t>
      </w:r>
      <w:r w:rsidR="00B26347" w:rsidRPr="00DE54D3">
        <w:t>À cet égard</w:t>
      </w:r>
      <w:r w:rsidR="007136C2" w:rsidRPr="00DE54D3">
        <w:t xml:space="preserve">, le Comité rappelle </w:t>
      </w:r>
      <w:r w:rsidR="003D63A7">
        <w:t>qu’il a</w:t>
      </w:r>
      <w:r w:rsidR="006C3909" w:rsidRPr="00DE54D3">
        <w:t xml:space="preserve"> exprimé</w:t>
      </w:r>
      <w:r w:rsidR="00A73AF8">
        <w:t>,</w:t>
      </w:r>
      <w:r w:rsidR="008E2FBA" w:rsidRPr="00DE54D3">
        <w:t xml:space="preserve"> </w:t>
      </w:r>
      <w:r w:rsidR="003506A7">
        <w:t>d’une manière répétée</w:t>
      </w:r>
      <w:r w:rsidR="00A73AF8">
        <w:t>,</w:t>
      </w:r>
      <w:r w:rsidR="003D63A7">
        <w:t xml:space="preserve"> </w:t>
      </w:r>
      <w:r w:rsidR="00AF430B" w:rsidRPr="00DE54D3">
        <w:t>ses préoccupations de ce qu’en dépit de ses demandes répétées, l’État partie continu</w:t>
      </w:r>
      <w:r w:rsidR="008A2690" w:rsidRPr="00DE54D3">
        <w:t>ait</w:t>
      </w:r>
      <w:r w:rsidR="00AF430B" w:rsidRPr="00DE54D3">
        <w:t xml:space="preserve"> de faire systématiquement référence </w:t>
      </w:r>
      <w:r w:rsidR="00C946E6" w:rsidRPr="00DE54D3">
        <w:t>au document général type, dit « aide-mémoire »</w:t>
      </w:r>
      <w:r w:rsidR="00AF430B" w:rsidRPr="00DE54D3">
        <w:t xml:space="preserve">, sans répondre </w:t>
      </w:r>
      <w:r w:rsidR="008E2FBA" w:rsidRPr="00DE54D3">
        <w:t xml:space="preserve">spécifiquement </w:t>
      </w:r>
      <w:r w:rsidR="00AF430B" w:rsidRPr="00DE54D3">
        <w:t>aux allégations soumises par les auteurs</w:t>
      </w:r>
      <w:r w:rsidR="008E2FBA" w:rsidRPr="00DE54D3">
        <w:t xml:space="preserve"> de communications</w:t>
      </w:r>
      <w:r w:rsidR="003D63A7">
        <w:rPr>
          <w:rStyle w:val="FootnoteReference"/>
        </w:rPr>
        <w:footnoteReference w:id="18"/>
      </w:r>
      <w:r w:rsidR="00AF430B" w:rsidRPr="00DE54D3">
        <w:t xml:space="preserve">. En conséquence, le Comité </w:t>
      </w:r>
      <w:r w:rsidR="00A73AF8">
        <w:t xml:space="preserve">a </w:t>
      </w:r>
      <w:r w:rsidR="008A2690" w:rsidRPr="00DE54D3">
        <w:t>invit</w:t>
      </w:r>
      <w:r w:rsidR="00A73AF8">
        <w:t>é</w:t>
      </w:r>
      <w:r w:rsidR="00C946E6" w:rsidRPr="00DE54D3">
        <w:t xml:space="preserve"> de manière urgente l’État partie à coopérer de bonne foi dans le cadre de la procédure de communications individuelles en cessant de se référer à l</w:t>
      </w:r>
      <w:proofErr w:type="gramStart"/>
      <w:r w:rsidR="00C946E6" w:rsidRPr="00DE54D3">
        <w:t>’«</w:t>
      </w:r>
      <w:proofErr w:type="gramEnd"/>
      <w:r w:rsidR="00C946E6" w:rsidRPr="00DE54D3">
        <w:t xml:space="preserve"> aide-mémoire » et en répondant de manière individuelle et spécifique aux allégations des auteurs de </w:t>
      </w:r>
      <w:r w:rsidR="00F72E79" w:rsidRPr="00DE54D3">
        <w:t>communications</w:t>
      </w:r>
      <w:r w:rsidR="00C946E6" w:rsidRPr="00DE54D3">
        <w:t>.</w:t>
      </w:r>
    </w:p>
    <w:p w14:paraId="720B8EDA" w14:textId="2F1AC388" w:rsidR="00410779" w:rsidRDefault="00C62F50" w:rsidP="0088574B">
      <w:pPr>
        <w:pStyle w:val="SingleTxtG"/>
        <w:spacing w:line="234" w:lineRule="atLeast"/>
      </w:pPr>
      <w:r w:rsidRPr="00DE54D3">
        <w:rPr>
          <w:lang w:val="fr-FR"/>
        </w:rPr>
        <w:t>7</w:t>
      </w:r>
      <w:r w:rsidR="00410779" w:rsidRPr="00DE54D3">
        <w:rPr>
          <w:lang w:val="fr-FR"/>
        </w:rPr>
        <w:t>.</w:t>
      </w:r>
      <w:r w:rsidR="00D82B23" w:rsidRPr="00DE54D3">
        <w:rPr>
          <w:lang w:val="fr-FR"/>
        </w:rPr>
        <w:t>4</w:t>
      </w:r>
      <w:r w:rsidR="00410779" w:rsidRPr="00DE54D3">
        <w:tab/>
      </w:r>
      <w:r w:rsidR="003B3F53" w:rsidRPr="00DE54D3">
        <w:t>Le</w:t>
      </w:r>
      <w:r w:rsidR="0094378A" w:rsidRPr="00DE54D3">
        <w:t xml:space="preserve"> Comité rappelle</w:t>
      </w:r>
      <w:r w:rsidR="003B3F53" w:rsidRPr="00DE54D3">
        <w:t xml:space="preserve"> ensuite</w:t>
      </w:r>
      <w:r w:rsidR="0094378A" w:rsidRPr="00DE54D3">
        <w:t xml:space="preserve"> que l’État partie a non seulement le devoir de mener des enquêtes approfondies sur les violations supposées des droits de l’homme portées à l’attention de ses autorités, en particulier lorsqu’il s’agit d’atteintes au droit à la vie, mais aussi </w:t>
      </w:r>
      <w:r w:rsidR="00B6076D" w:rsidRPr="00DE54D3">
        <w:t xml:space="preserve">celui </w:t>
      </w:r>
      <w:r w:rsidR="0094378A" w:rsidRPr="00DE54D3">
        <w:t xml:space="preserve">de poursuivre quiconque est présumé responsable de ces violations, de procéder à son jugement et de prononcer une peine à son </w:t>
      </w:r>
      <w:r w:rsidR="00B6076D" w:rsidRPr="00DE54D3">
        <w:t>égard</w:t>
      </w:r>
      <w:r w:rsidR="0094378A" w:rsidRPr="00DE54D3">
        <w:rPr>
          <w:vertAlign w:val="superscript"/>
        </w:rPr>
        <w:footnoteReference w:id="19"/>
      </w:r>
      <w:r w:rsidR="0094378A" w:rsidRPr="00DE54D3">
        <w:t xml:space="preserve">. </w:t>
      </w:r>
      <w:r w:rsidR="004A7232">
        <w:t>Dans l’espèce, le Comité observe que l</w:t>
      </w:r>
      <w:r w:rsidRPr="00DE54D3">
        <w:t>es a</w:t>
      </w:r>
      <w:r w:rsidR="00BF02AC" w:rsidRPr="00DE54D3">
        <w:t>uteur</w:t>
      </w:r>
      <w:r w:rsidRPr="00DE54D3">
        <w:t>s</w:t>
      </w:r>
      <w:r w:rsidR="00394BD0" w:rsidRPr="00DE54D3">
        <w:t xml:space="preserve"> </w:t>
      </w:r>
      <w:r w:rsidRPr="00DE54D3">
        <w:t>ont</w:t>
      </w:r>
      <w:r w:rsidR="0094378A" w:rsidRPr="00DE54D3">
        <w:t xml:space="preserve">, à de nombreuses reprises, alerté les autorités compétentes sur </w:t>
      </w:r>
      <w:r w:rsidR="0094378A" w:rsidRPr="00DE54D3">
        <w:rPr>
          <w:bCs/>
        </w:rPr>
        <w:t>l</w:t>
      </w:r>
      <w:r w:rsidR="00D82B23" w:rsidRPr="00DE54D3">
        <w:rPr>
          <w:bCs/>
        </w:rPr>
        <w:t>a disparition forcée</w:t>
      </w:r>
      <w:r w:rsidR="0094378A" w:rsidRPr="00DE54D3">
        <w:t xml:space="preserve"> de </w:t>
      </w:r>
      <w:r w:rsidRPr="00DE54D3">
        <w:t>leur</w:t>
      </w:r>
      <w:r w:rsidR="00BF02AC" w:rsidRPr="00DE54D3">
        <w:t xml:space="preserve"> fils</w:t>
      </w:r>
      <w:r w:rsidR="0094378A" w:rsidRPr="00DE54D3">
        <w:t xml:space="preserve">, mais l’État partie n’a procédé à </w:t>
      </w:r>
      <w:r w:rsidR="00850492" w:rsidRPr="00DE54D3">
        <w:t xml:space="preserve">aucune </w:t>
      </w:r>
      <w:r w:rsidR="0094378A" w:rsidRPr="00DE54D3">
        <w:t xml:space="preserve">enquête sur </w:t>
      </w:r>
      <w:r w:rsidR="0094378A" w:rsidRPr="00DE54D3">
        <w:rPr>
          <w:bCs/>
        </w:rPr>
        <w:t xml:space="preserve">cette </w:t>
      </w:r>
      <w:r w:rsidR="00E92F2E">
        <w:rPr>
          <w:bCs/>
        </w:rPr>
        <w:t xml:space="preserve">grave </w:t>
      </w:r>
      <w:r w:rsidR="0094378A" w:rsidRPr="00DE54D3">
        <w:rPr>
          <w:bCs/>
        </w:rPr>
        <w:t>allégation</w:t>
      </w:r>
      <w:r w:rsidR="0094378A" w:rsidRPr="00DE54D3">
        <w:t xml:space="preserve">. </w:t>
      </w:r>
      <w:r w:rsidR="003B3F53" w:rsidRPr="00DE54D3">
        <w:t>L</w:t>
      </w:r>
      <w:r w:rsidR="006C69A9" w:rsidRPr="00DE54D3">
        <w:t>’État partie n’a</w:t>
      </w:r>
      <w:r w:rsidR="003B3F53" w:rsidRPr="00DE54D3">
        <w:t xml:space="preserve"> par ailleurs</w:t>
      </w:r>
      <w:r w:rsidR="006C69A9" w:rsidRPr="00DE54D3">
        <w:t xml:space="preserve"> apporté aucun élément d’explication spécifique dans ses ob</w:t>
      </w:r>
      <w:r w:rsidR="00394BD0" w:rsidRPr="00DE54D3">
        <w:t xml:space="preserve">servations en réponse au cas </w:t>
      </w:r>
      <w:r w:rsidR="00660336">
        <w:t xml:space="preserve">d’Omar </w:t>
      </w:r>
      <w:proofErr w:type="spellStart"/>
      <w:r w:rsidR="00660336">
        <w:t>Drif</w:t>
      </w:r>
      <w:proofErr w:type="spellEnd"/>
      <w:r w:rsidR="006C69A9" w:rsidRPr="00DE54D3">
        <w:t xml:space="preserve"> qui pourrait permettre de conclure qu’un recours efficace et disponible </w:t>
      </w:r>
      <w:r w:rsidR="00E92F2E" w:rsidRPr="00E92F2E">
        <w:t>serait ouvert, alors que l’ordonnance n</w:t>
      </w:r>
      <w:r w:rsidR="00E92F2E" w:rsidRPr="00054493">
        <w:rPr>
          <w:vertAlign w:val="superscript"/>
        </w:rPr>
        <w:t>o</w:t>
      </w:r>
      <w:r w:rsidR="00E92F2E" w:rsidRPr="00E92F2E">
        <w:t xml:space="preserve"> 06-01 continue d’être appliquée</w:t>
      </w:r>
      <w:r w:rsidR="0092627F">
        <w:t>, ayant pour effet de</w:t>
      </w:r>
      <w:r w:rsidR="00280D41">
        <w:t xml:space="preserve"> </w:t>
      </w:r>
      <w:r w:rsidR="001A52DA">
        <w:t xml:space="preserve">réduire le domaine d’application </w:t>
      </w:r>
      <w:r w:rsidR="00280D41">
        <w:t>du Pacte,</w:t>
      </w:r>
      <w:r w:rsidR="001552DF">
        <w:t xml:space="preserve"> </w:t>
      </w:r>
      <w:r w:rsidR="00E92F2E" w:rsidRPr="00E92F2E">
        <w:t>en dépit des recommandations du Comité concernant sa mise en conformité avec le Pacte</w:t>
      </w:r>
      <w:r w:rsidR="0094378A" w:rsidRPr="00DE54D3">
        <w:rPr>
          <w:vertAlign w:val="superscript"/>
        </w:rPr>
        <w:footnoteReference w:id="20"/>
      </w:r>
      <w:r w:rsidR="0094378A" w:rsidRPr="00DE54D3">
        <w:t>.</w:t>
      </w:r>
      <w:r w:rsidR="006C69A9" w:rsidRPr="00DE54D3">
        <w:t xml:space="preserve"> </w:t>
      </w:r>
      <w:r w:rsidR="0094378A" w:rsidRPr="00DE54D3">
        <w:t>Dans ces circonstances, le Comité estime que rien ne s’oppose à ce qu’il examine la communication conformément a</w:t>
      </w:r>
      <w:r w:rsidR="00BD75F3" w:rsidRPr="00DE54D3">
        <w:t xml:space="preserve">u paragraphe 2 b) de l’article </w:t>
      </w:r>
      <w:r w:rsidR="0094378A" w:rsidRPr="00DE54D3">
        <w:t>5 du Protocole facultatif.</w:t>
      </w:r>
    </w:p>
    <w:p w14:paraId="40B63EED" w14:textId="3F636653" w:rsidR="009A5C01" w:rsidRPr="00DE54D3" w:rsidRDefault="009A5C01" w:rsidP="0088574B">
      <w:pPr>
        <w:pStyle w:val="SingleTxtG"/>
        <w:spacing w:line="234" w:lineRule="atLeast"/>
      </w:pPr>
      <w:r>
        <w:t>7.5</w:t>
      </w:r>
      <w:r>
        <w:tab/>
      </w:r>
      <w:r w:rsidRPr="00DD69A6">
        <w:t xml:space="preserve">Par ailleurs, </w:t>
      </w:r>
      <w:r w:rsidR="00086F3F">
        <w:t xml:space="preserve">dans la mesure où </w:t>
      </w:r>
      <w:r w:rsidR="00086F3F" w:rsidRPr="00DD69A6">
        <w:t>il peut y avoi</w:t>
      </w:r>
      <w:r w:rsidR="00CC3C58">
        <w:t>r abus du droit de plainte si une</w:t>
      </w:r>
      <w:r w:rsidR="00086F3F" w:rsidRPr="00DD69A6">
        <w:t xml:space="preserve"> communication est soumise cinq ans après l’épuisement des recours internes par son auteur</w:t>
      </w:r>
      <w:r w:rsidR="00086F3F">
        <w:t xml:space="preserve"> – </w:t>
      </w:r>
      <w:r w:rsidR="00CC3C58">
        <w:t xml:space="preserve">et </w:t>
      </w:r>
      <w:r w:rsidR="00086F3F">
        <w:t xml:space="preserve">même si l’État partie ne l’a pas soulevé en l’espèce – </w:t>
      </w:r>
      <w:r w:rsidRPr="00DD69A6">
        <w:t xml:space="preserve">le Comité </w:t>
      </w:r>
      <w:r w:rsidR="00086F3F">
        <w:t xml:space="preserve">rappelle </w:t>
      </w:r>
      <w:r w:rsidR="004C5D29">
        <w:t xml:space="preserve">le caractère continu d’une disparition forcée, qui </w:t>
      </w:r>
      <w:r w:rsidR="00E14103">
        <w:t xml:space="preserve">implique  </w:t>
      </w:r>
      <w:r w:rsidR="004C5D29">
        <w:t xml:space="preserve">une </w:t>
      </w:r>
      <w:r w:rsidR="004C5D29" w:rsidRPr="00106A79">
        <w:t>obligation d’enquête</w:t>
      </w:r>
      <w:r w:rsidR="004C5D29">
        <w:t xml:space="preserve"> elle-même</w:t>
      </w:r>
      <w:r w:rsidR="004C5D29" w:rsidRPr="00106A79">
        <w:t xml:space="preserve"> continue</w:t>
      </w:r>
      <w:r w:rsidR="004C5D29">
        <w:t>, ce</w:t>
      </w:r>
      <w:r w:rsidR="004C5D29" w:rsidRPr="00106A79">
        <w:t xml:space="preserve"> qui dans le cas d’espèce est </w:t>
      </w:r>
      <w:r w:rsidR="004C5D29">
        <w:t xml:space="preserve">annihilé </w:t>
      </w:r>
      <w:r w:rsidR="004C5D29" w:rsidRPr="00106A79">
        <w:t xml:space="preserve">par </w:t>
      </w:r>
      <w:r w:rsidR="00CC3C58" w:rsidRPr="00DD69A6">
        <w:t>l’ordonnance nº 06-01</w:t>
      </w:r>
      <w:r w:rsidR="004C5D29">
        <w:t xml:space="preserve"> et ses effets</w:t>
      </w:r>
      <w:r w:rsidR="00CC3C58">
        <w:rPr>
          <w:rStyle w:val="FootnoteReference"/>
        </w:rPr>
        <w:footnoteReference w:id="21"/>
      </w:r>
      <w:r w:rsidR="004C5D29">
        <w:t>.</w:t>
      </w:r>
      <w:r w:rsidR="004C5D29" w:rsidRPr="00DD69A6" w:rsidDel="00086F3F">
        <w:t xml:space="preserve"> </w:t>
      </w:r>
      <w:r w:rsidRPr="00DD69A6">
        <w:t>Le Comité ne considère donc pas que dans les circonstances spéciales de l’espèce, la présente communication constitue un abus de droit.</w:t>
      </w:r>
    </w:p>
    <w:p w14:paraId="40743C4E" w14:textId="3274887B" w:rsidR="00A051D1" w:rsidRPr="00DE54D3" w:rsidRDefault="00C62F50" w:rsidP="0088574B">
      <w:pPr>
        <w:pStyle w:val="SingleTxtG"/>
        <w:spacing w:line="234" w:lineRule="atLeast"/>
        <w:rPr>
          <w:lang w:val="fr-FR"/>
        </w:rPr>
      </w:pPr>
      <w:r w:rsidRPr="00DE54D3">
        <w:t>7</w:t>
      </w:r>
      <w:r w:rsidR="004B1983">
        <w:t>.6</w:t>
      </w:r>
      <w:r w:rsidR="005A30AB" w:rsidRPr="00DE54D3">
        <w:tab/>
      </w:r>
      <w:r w:rsidRPr="00DE54D3">
        <w:rPr>
          <w:lang w:val="fr-FR"/>
        </w:rPr>
        <w:t xml:space="preserve">Le Comité note que les </w:t>
      </w:r>
      <w:r w:rsidR="00394BD0" w:rsidRPr="00DE54D3">
        <w:rPr>
          <w:lang w:val="fr-FR"/>
        </w:rPr>
        <w:t>auteur</w:t>
      </w:r>
      <w:r w:rsidRPr="00DE54D3">
        <w:rPr>
          <w:lang w:val="fr-FR"/>
        </w:rPr>
        <w:t>s ont</w:t>
      </w:r>
      <w:r w:rsidR="005F6467" w:rsidRPr="00DE54D3">
        <w:rPr>
          <w:lang w:val="fr-FR"/>
        </w:rPr>
        <w:t xml:space="preserve"> </w:t>
      </w:r>
      <w:r w:rsidR="003B3F53" w:rsidRPr="00DE54D3">
        <w:rPr>
          <w:lang w:val="fr-FR"/>
        </w:rPr>
        <w:t xml:space="preserve">également </w:t>
      </w:r>
      <w:r w:rsidR="005F6467" w:rsidRPr="00DE54D3">
        <w:rPr>
          <w:lang w:val="fr-FR"/>
        </w:rPr>
        <w:t xml:space="preserve">soulevé </w:t>
      </w:r>
      <w:r w:rsidR="003B3F53" w:rsidRPr="00DE54D3">
        <w:rPr>
          <w:lang w:val="fr-FR"/>
        </w:rPr>
        <w:t xml:space="preserve">une </w:t>
      </w:r>
      <w:r w:rsidR="00394BD0" w:rsidRPr="00DE54D3">
        <w:rPr>
          <w:lang w:val="fr-FR"/>
        </w:rPr>
        <w:t>violation</w:t>
      </w:r>
      <w:r w:rsidR="005F6467" w:rsidRPr="00DE54D3">
        <w:rPr>
          <w:lang w:val="fr-FR"/>
        </w:rPr>
        <w:t xml:space="preserve"> distincte des paragraphes 2 et 3</w:t>
      </w:r>
      <w:r w:rsidR="00BD75F3" w:rsidRPr="00DE54D3">
        <w:rPr>
          <w:lang w:val="fr-FR"/>
        </w:rPr>
        <w:t xml:space="preserve"> de l’article </w:t>
      </w:r>
      <w:r w:rsidR="00394BD0" w:rsidRPr="00DE54D3">
        <w:rPr>
          <w:lang w:val="fr-FR"/>
        </w:rPr>
        <w:t xml:space="preserve">2 du Pacte à </w:t>
      </w:r>
      <w:r w:rsidRPr="00DE54D3">
        <w:rPr>
          <w:lang w:val="fr-FR"/>
        </w:rPr>
        <w:t xml:space="preserve">leur </w:t>
      </w:r>
      <w:r w:rsidR="00394BD0" w:rsidRPr="00DE54D3">
        <w:rPr>
          <w:lang w:val="fr-FR"/>
        </w:rPr>
        <w:t xml:space="preserve">égard. </w:t>
      </w:r>
      <w:r w:rsidR="005526A5" w:rsidRPr="00DE54D3">
        <w:rPr>
          <w:lang w:val="fr-FR"/>
        </w:rPr>
        <w:t>Rappelant sa jurisprudence selon laquell</w:t>
      </w:r>
      <w:r w:rsidR="00BD75F3" w:rsidRPr="00DE54D3">
        <w:rPr>
          <w:lang w:val="fr-FR"/>
        </w:rPr>
        <w:t xml:space="preserve">e les dispositions de l’article </w:t>
      </w:r>
      <w:r w:rsidR="005526A5" w:rsidRPr="00DE54D3">
        <w:rPr>
          <w:lang w:val="fr-FR"/>
        </w:rPr>
        <w:t xml:space="preserve">2 énoncent des obligations générales à la charge des États parties et ne sauraient par elles-mêmes fonder un grief distinct au regard du Protocole facultatif </w:t>
      </w:r>
      <w:r w:rsidR="005D7FC1" w:rsidRPr="00DE54D3">
        <w:rPr>
          <w:lang w:val="fr-FR"/>
        </w:rPr>
        <w:t>du fait</w:t>
      </w:r>
      <w:r w:rsidR="005526A5" w:rsidRPr="00DE54D3">
        <w:rPr>
          <w:lang w:val="fr-FR"/>
        </w:rPr>
        <w:t xml:space="preserve"> qu’elles ne peuvent être invoquées que conjointement avec d’autres articles substantiels du Pacte</w:t>
      </w:r>
      <w:r w:rsidR="005526A5" w:rsidRPr="00DE54D3">
        <w:rPr>
          <w:vertAlign w:val="superscript"/>
        </w:rPr>
        <w:footnoteReference w:id="22"/>
      </w:r>
      <w:r w:rsidR="005526A5" w:rsidRPr="00DE54D3">
        <w:rPr>
          <w:lang w:val="fr-FR"/>
        </w:rPr>
        <w:t xml:space="preserve">, </w:t>
      </w:r>
      <w:r w:rsidR="005526A5" w:rsidRPr="00E722BA">
        <w:rPr>
          <w:lang w:val="fr-FR"/>
        </w:rPr>
        <w:t xml:space="preserve">le Comité considère que </w:t>
      </w:r>
      <w:r w:rsidR="003829AE" w:rsidRPr="00E722BA">
        <w:rPr>
          <w:lang w:val="fr-FR"/>
        </w:rPr>
        <w:t>les griefs de</w:t>
      </w:r>
      <w:r w:rsidRPr="00E722BA">
        <w:rPr>
          <w:lang w:val="fr-FR"/>
        </w:rPr>
        <w:t>s</w:t>
      </w:r>
      <w:r w:rsidR="003829AE" w:rsidRPr="00E722BA">
        <w:rPr>
          <w:lang w:val="fr-FR"/>
        </w:rPr>
        <w:t xml:space="preserve"> auteur</w:t>
      </w:r>
      <w:r w:rsidRPr="00E722BA">
        <w:rPr>
          <w:lang w:val="fr-FR"/>
        </w:rPr>
        <w:t>s</w:t>
      </w:r>
      <w:r w:rsidR="003829AE" w:rsidRPr="00E722BA">
        <w:rPr>
          <w:lang w:val="fr-FR"/>
        </w:rPr>
        <w:t xml:space="preserve"> au titre des paragraphes 2 et 3 de l’article 2</w:t>
      </w:r>
      <w:r w:rsidR="007B6728" w:rsidRPr="00E722BA">
        <w:rPr>
          <w:lang w:val="fr-FR"/>
        </w:rPr>
        <w:t xml:space="preserve"> du Pacte</w:t>
      </w:r>
      <w:r w:rsidR="003829AE" w:rsidRPr="00E722BA">
        <w:rPr>
          <w:lang w:val="fr-FR"/>
        </w:rPr>
        <w:t>, invoqués de manière séparée</w:t>
      </w:r>
      <w:r w:rsidR="00BD75F3" w:rsidRPr="00E722BA">
        <w:rPr>
          <w:lang w:val="fr-FR"/>
        </w:rPr>
        <w:t>,</w:t>
      </w:r>
      <w:r w:rsidR="003829AE" w:rsidRPr="00E722BA">
        <w:rPr>
          <w:lang w:val="fr-FR"/>
        </w:rPr>
        <w:t xml:space="preserve"> sont irrecevables au regard de l’article 3 du Protocole facultatif</w:t>
      </w:r>
      <w:r w:rsidR="000255AC" w:rsidRPr="00E722BA">
        <w:rPr>
          <w:rStyle w:val="FootnoteReference"/>
        </w:rPr>
        <w:footnoteReference w:id="23"/>
      </w:r>
      <w:r w:rsidR="005526A5" w:rsidRPr="00E722BA">
        <w:rPr>
          <w:lang w:val="fr-FR"/>
        </w:rPr>
        <w:t>.</w:t>
      </w:r>
    </w:p>
    <w:p w14:paraId="463A4098" w14:textId="63E3658A" w:rsidR="00410779" w:rsidRPr="00DE54D3" w:rsidRDefault="00C62F50" w:rsidP="0088574B">
      <w:pPr>
        <w:pStyle w:val="SingleTxtG"/>
        <w:spacing w:line="234" w:lineRule="atLeast"/>
        <w:rPr>
          <w:lang w:val="fr-FR"/>
        </w:rPr>
      </w:pPr>
      <w:r w:rsidRPr="00DE54D3">
        <w:t>7</w:t>
      </w:r>
      <w:r w:rsidR="007E75F7" w:rsidRPr="00DE54D3">
        <w:t>.</w:t>
      </w:r>
      <w:r w:rsidR="004B1983">
        <w:t>7</w:t>
      </w:r>
      <w:r w:rsidR="00410779" w:rsidRPr="00DE54D3">
        <w:tab/>
      </w:r>
      <w:r w:rsidR="005169BF" w:rsidRPr="00DE54D3">
        <w:t>Le Comité estime en revanche</w:t>
      </w:r>
      <w:r w:rsidRPr="00DE54D3">
        <w:t xml:space="preserve"> que les </w:t>
      </w:r>
      <w:r w:rsidR="00E558E8" w:rsidRPr="00DE54D3">
        <w:t>auteur</w:t>
      </w:r>
      <w:r w:rsidRPr="00DE54D3">
        <w:t>s ont suffisamment étayé leurs</w:t>
      </w:r>
      <w:r w:rsidR="00E558E8" w:rsidRPr="00DE54D3">
        <w:t xml:space="preserve"> </w:t>
      </w:r>
      <w:r w:rsidR="005169BF" w:rsidRPr="00DE54D3">
        <w:t xml:space="preserve">autres </w:t>
      </w:r>
      <w:r w:rsidR="00E558E8" w:rsidRPr="00DE54D3">
        <w:t xml:space="preserve">allégations aux fins de la recevabilité, et procède </w:t>
      </w:r>
      <w:r w:rsidR="003B3F53" w:rsidRPr="00DE54D3">
        <w:t>donc à l’examen</w:t>
      </w:r>
      <w:r w:rsidR="00E558E8" w:rsidRPr="00DE54D3">
        <w:t xml:space="preserve"> au fond des griefs formulés au titre </w:t>
      </w:r>
      <w:r w:rsidR="00DD232B">
        <w:t xml:space="preserve">du paragraphe 1 de l’article </w:t>
      </w:r>
      <w:r w:rsidR="002C250C" w:rsidRPr="00DE54D3">
        <w:t>6</w:t>
      </w:r>
      <w:r w:rsidR="005169BF" w:rsidRPr="00DE54D3">
        <w:t xml:space="preserve"> </w:t>
      </w:r>
      <w:r w:rsidR="00DE72C2" w:rsidRPr="00DE54D3">
        <w:t xml:space="preserve">et des articles </w:t>
      </w:r>
      <w:r w:rsidR="005169BF" w:rsidRPr="00DE54D3">
        <w:t>7, 9,</w:t>
      </w:r>
      <w:r w:rsidR="003829AE" w:rsidRPr="00DE54D3">
        <w:t xml:space="preserve"> 10</w:t>
      </w:r>
      <w:r w:rsidR="005169BF" w:rsidRPr="00DE54D3">
        <w:t xml:space="preserve">, </w:t>
      </w:r>
      <w:r w:rsidRPr="00DE54D3">
        <w:t>14 et</w:t>
      </w:r>
      <w:r w:rsidR="00437CD0" w:rsidRPr="00DE54D3">
        <w:t xml:space="preserve"> </w:t>
      </w:r>
      <w:r w:rsidR="005169BF" w:rsidRPr="00DE54D3">
        <w:t xml:space="preserve">16 </w:t>
      </w:r>
      <w:r w:rsidR="00E558E8" w:rsidRPr="00DE54D3">
        <w:t>du Pacte</w:t>
      </w:r>
      <w:r w:rsidR="00D66004">
        <w:t xml:space="preserve">, </w:t>
      </w:r>
      <w:r w:rsidR="00D66004" w:rsidRPr="00DF0AC0">
        <w:t xml:space="preserve">lus seuls et conjointement avec l’article </w:t>
      </w:r>
      <w:r w:rsidR="00D00CB1" w:rsidRPr="00DF0AC0">
        <w:t>2</w:t>
      </w:r>
      <w:r w:rsidR="00FB1F80" w:rsidRPr="00054493">
        <w:t xml:space="preserve"> (par. </w:t>
      </w:r>
      <w:r w:rsidR="00D00CB1" w:rsidRPr="00DF0AC0">
        <w:t>3</w:t>
      </w:r>
      <w:r w:rsidR="00FB1F80" w:rsidRPr="00054493">
        <w:t>)</w:t>
      </w:r>
      <w:r w:rsidR="00E558E8" w:rsidRPr="00DF0AC0">
        <w:t>.</w:t>
      </w:r>
    </w:p>
    <w:p w14:paraId="43CCF344" w14:textId="77777777" w:rsidR="00410779" w:rsidRPr="00DE54D3" w:rsidRDefault="00410779" w:rsidP="00D03855">
      <w:pPr>
        <w:pStyle w:val="H4G"/>
        <w:rPr>
          <w:lang w:val="fr-FR"/>
        </w:rPr>
      </w:pPr>
      <w:r w:rsidRPr="00DE54D3">
        <w:rPr>
          <w:lang w:val="fr-FR"/>
        </w:rPr>
        <w:tab/>
      </w:r>
      <w:r w:rsidRPr="00DE54D3">
        <w:rPr>
          <w:lang w:val="fr-FR"/>
        </w:rPr>
        <w:tab/>
        <w:t>Examen au fond</w:t>
      </w:r>
    </w:p>
    <w:p w14:paraId="289D4EB2" w14:textId="213E073D" w:rsidR="00410779" w:rsidRDefault="00C62F50" w:rsidP="00410779">
      <w:pPr>
        <w:pStyle w:val="SingleTxtG"/>
      </w:pPr>
      <w:r w:rsidRPr="00DE54D3">
        <w:rPr>
          <w:lang w:val="fr-FR"/>
        </w:rPr>
        <w:t>8</w:t>
      </w:r>
      <w:r w:rsidR="00410779" w:rsidRPr="00DE54D3">
        <w:t>.1</w:t>
      </w:r>
      <w:r w:rsidR="00410779" w:rsidRPr="00DE54D3">
        <w:tab/>
      </w:r>
      <w:r w:rsidR="00AD275A" w:rsidRPr="00DE54D3">
        <w:t>Conformément au paragraphe 1 de l’article 5 du Protocole facultatif, le Comité a examiné la présente communication en tenant compte de toutes les information</w:t>
      </w:r>
      <w:r w:rsidR="00C76F28" w:rsidRPr="00DE54D3">
        <w:t>s qui lui ont été communiquées.</w:t>
      </w:r>
    </w:p>
    <w:p w14:paraId="63A86063" w14:textId="1BABFD30" w:rsidR="0083411A" w:rsidRPr="00DE54D3" w:rsidRDefault="00ED2B8D" w:rsidP="00410779">
      <w:pPr>
        <w:pStyle w:val="SingleTxtG"/>
      </w:pPr>
      <w:r>
        <w:t>8.2</w:t>
      </w:r>
      <w:r>
        <w:tab/>
      </w:r>
      <w:r w:rsidRPr="00DE54D3">
        <w:t xml:space="preserve">Le Comité note que l’État partie s’est contenté de faire référence à ses observations collectives et générales qui avaient été transmises antérieurement au Groupe de travail sur les disparitions forcées ou involontaires et au Comité en lien avec d’autres communications, afin de confirmer sa position selon laquelle de telles affaires ont déjà été réglées dans le cadre de la mise en œuvre de la Charte pour la paix et la réconciliation nationale. </w:t>
      </w:r>
      <w:r w:rsidRPr="00424045">
        <w:t>Le Comité renvoie à sa jurisprudence</w:t>
      </w:r>
      <w:r w:rsidR="00424045">
        <w:rPr>
          <w:rStyle w:val="FootnoteReference"/>
        </w:rPr>
        <w:footnoteReference w:id="24"/>
      </w:r>
      <w:r w:rsidRPr="00424045">
        <w:t xml:space="preserve"> et rappelle que l’État partie ne saurait opposer les dispositions de ladite Charte à des personnes qui invoquent les dispositions du Pacte ou qui ont soumis ou pourraient soumettre des communications au Comité</w:t>
      </w:r>
      <w:r w:rsidR="00424045">
        <w:rPr>
          <w:rStyle w:val="FootnoteReference"/>
        </w:rPr>
        <w:footnoteReference w:id="25"/>
      </w:r>
      <w:r w:rsidRPr="00424045">
        <w:t xml:space="preserve">. </w:t>
      </w:r>
      <w:r w:rsidRPr="00DE54D3">
        <w:t>En l’absence d’inclusion des modifications recommandées par le Comité, l’ordonnance n</w:t>
      </w:r>
      <w:r w:rsidRPr="00DE54D3">
        <w:rPr>
          <w:vertAlign w:val="superscript"/>
        </w:rPr>
        <w:t>o</w:t>
      </w:r>
      <w:r w:rsidRPr="00DE54D3">
        <w:t xml:space="preserve"> 06-01 contribue dans le cas présent à l’impunité et ne peut donc, en l’état, être jugée compatible avec les dispositions du Pacte</w:t>
      </w:r>
      <w:r w:rsidRPr="00DE54D3">
        <w:rPr>
          <w:vertAlign w:val="superscript"/>
        </w:rPr>
        <w:footnoteReference w:id="26"/>
      </w:r>
      <w:r w:rsidRPr="00DE54D3">
        <w:t>.</w:t>
      </w:r>
    </w:p>
    <w:p w14:paraId="0DCE7A2B" w14:textId="3889F97E" w:rsidR="0090025C" w:rsidRPr="00DE54D3" w:rsidRDefault="00C62F50">
      <w:pPr>
        <w:pStyle w:val="SingleTxtG"/>
      </w:pPr>
      <w:r w:rsidRPr="00DE54D3">
        <w:t>8</w:t>
      </w:r>
      <w:r w:rsidR="00006AA7" w:rsidRPr="00DE54D3">
        <w:t>.</w:t>
      </w:r>
      <w:r w:rsidR="00ED2B8D">
        <w:t>3</w:t>
      </w:r>
      <w:r w:rsidR="00006AA7" w:rsidRPr="00DE54D3">
        <w:tab/>
      </w:r>
      <w:r w:rsidR="0090025C" w:rsidRPr="00DE54D3">
        <w:t>Le Comité note que l’État partie n’a pas répondu aux allégations de</w:t>
      </w:r>
      <w:r w:rsidRPr="00DE54D3">
        <w:t>s</w:t>
      </w:r>
      <w:r w:rsidR="0090025C" w:rsidRPr="00DE54D3">
        <w:t xml:space="preserve"> auteur</w:t>
      </w:r>
      <w:r w:rsidRPr="00DE54D3">
        <w:t>s</w:t>
      </w:r>
      <w:r w:rsidR="0090025C" w:rsidRPr="00DE54D3">
        <w:t xml:space="preserve"> sur le fond et rappelle sa jurisprudence selon laquelle la charge de la preuve ne doit pas incomber uniquement à l’auteur d’une communication, d’autant plus que celui-ci et l’État partie n’ont pas toujours un accès égal aux éléments de preuve et que</w:t>
      </w:r>
      <w:r w:rsidR="00852A51" w:rsidRPr="00DE54D3">
        <w:t>,</w:t>
      </w:r>
      <w:r w:rsidR="0090025C" w:rsidRPr="00DE54D3">
        <w:t xml:space="preserve"> souvent</w:t>
      </w:r>
      <w:r w:rsidR="00852A51" w:rsidRPr="00DE54D3">
        <w:t>,</w:t>
      </w:r>
      <w:r w:rsidR="0090025C" w:rsidRPr="00DE54D3">
        <w:t xml:space="preserve"> seul l’État partie dispose des renseignements nécessaires</w:t>
      </w:r>
      <w:r w:rsidR="0090025C" w:rsidRPr="00DE54D3">
        <w:rPr>
          <w:vertAlign w:val="superscript"/>
        </w:rPr>
        <w:footnoteReference w:id="27"/>
      </w:r>
      <w:r w:rsidR="003E01BD" w:rsidRPr="00DE54D3">
        <w:t>. Conforméme</w:t>
      </w:r>
      <w:r w:rsidR="00DD232B">
        <w:t xml:space="preserve">nt au paragraphe 2 de l’article </w:t>
      </w:r>
      <w:r w:rsidR="0090025C" w:rsidRPr="00DE54D3">
        <w:t>4 du Protocole facultatif, l’État partie est tenu d’enquêter de bonne foi sur toutes les allégations de violations du Pacte portées contre lui et ses représentants, et de transmettre au Comité les renseignements qu’il détient</w:t>
      </w:r>
      <w:r w:rsidR="0090025C" w:rsidRPr="00DE54D3">
        <w:rPr>
          <w:vertAlign w:val="superscript"/>
        </w:rPr>
        <w:footnoteReference w:id="28"/>
      </w:r>
      <w:r w:rsidR="0090025C" w:rsidRPr="00DE54D3">
        <w:t>. En l’absence d’explications de la part de l’État partie à ce sujet, il convient d’accorder tout le crédit voulu aux allégations de</w:t>
      </w:r>
      <w:r w:rsidRPr="00DE54D3">
        <w:t>s</w:t>
      </w:r>
      <w:r w:rsidR="0090025C" w:rsidRPr="00DE54D3">
        <w:t xml:space="preserve"> auteur</w:t>
      </w:r>
      <w:r w:rsidRPr="00DE54D3">
        <w:t>s</w:t>
      </w:r>
      <w:r w:rsidR="00F42223" w:rsidRPr="00DE54D3">
        <w:t>,</w:t>
      </w:r>
      <w:r w:rsidR="0090025C" w:rsidRPr="00DE54D3">
        <w:t xml:space="preserve"> dès lors que ces dernières sont suffisamment étayées.</w:t>
      </w:r>
    </w:p>
    <w:p w14:paraId="4531839C" w14:textId="2035180A" w:rsidR="0034335C" w:rsidRPr="00DE54D3" w:rsidRDefault="00C62F50" w:rsidP="0088574B">
      <w:pPr>
        <w:pStyle w:val="SingleTxtG"/>
        <w:spacing w:line="236" w:lineRule="atLeast"/>
        <w:rPr>
          <w:spacing w:val="-2"/>
        </w:rPr>
      </w:pPr>
      <w:r w:rsidRPr="00DE54D3">
        <w:t>8</w:t>
      </w:r>
      <w:r w:rsidR="00DD232B">
        <w:t>.</w:t>
      </w:r>
      <w:r w:rsidR="00ED2B8D">
        <w:t>4</w:t>
      </w:r>
      <w:r w:rsidR="0034335C" w:rsidRPr="00DE54D3">
        <w:tab/>
      </w:r>
      <w:r w:rsidR="0034335C" w:rsidRPr="00DE54D3">
        <w:rPr>
          <w:spacing w:val="-2"/>
        </w:rPr>
        <w:t>Le Comité rappelle que, si l’expression « disparition forcée » n’apparaît expressément dans aucun article du Pacte, la disparition forcée constitue un ensemble unique et intégré d’actes représentant une violation continue de plusieurs droits consacrés par cet instrument</w:t>
      </w:r>
      <w:r w:rsidR="0030235C" w:rsidRPr="00DE54D3">
        <w:rPr>
          <w:spacing w:val="-2"/>
        </w:rPr>
        <w:t xml:space="preserve">, tels que le droit à la vie, le droit de ne pas être soumis à la torture et autres peines ou traitements </w:t>
      </w:r>
      <w:r w:rsidR="00F41F55" w:rsidRPr="00DE54D3">
        <w:rPr>
          <w:spacing w:val="-2"/>
        </w:rPr>
        <w:t xml:space="preserve">cruels, </w:t>
      </w:r>
      <w:r w:rsidR="0030235C" w:rsidRPr="00DE54D3">
        <w:rPr>
          <w:spacing w:val="-2"/>
        </w:rPr>
        <w:t>inhumains ou dégradants, et le droit à la liberté et à la sécurité de la personne</w:t>
      </w:r>
      <w:r w:rsidR="0034335C" w:rsidRPr="00DE54D3">
        <w:rPr>
          <w:spacing w:val="-2"/>
          <w:vertAlign w:val="superscript"/>
        </w:rPr>
        <w:footnoteReference w:id="29"/>
      </w:r>
      <w:r w:rsidR="0034335C" w:rsidRPr="00DE54D3">
        <w:rPr>
          <w:spacing w:val="-2"/>
        </w:rPr>
        <w:t>.</w:t>
      </w:r>
    </w:p>
    <w:p w14:paraId="1792D629" w14:textId="7066F501" w:rsidR="00006AA7" w:rsidRPr="00DE54D3" w:rsidRDefault="00C62F50" w:rsidP="0088574B">
      <w:pPr>
        <w:pStyle w:val="SingleTxtG"/>
        <w:spacing w:line="236" w:lineRule="atLeast"/>
      </w:pPr>
      <w:r w:rsidRPr="00DE54D3">
        <w:t>8</w:t>
      </w:r>
      <w:r w:rsidR="00DD232B">
        <w:t>.</w:t>
      </w:r>
      <w:r w:rsidR="00ED2B8D">
        <w:t>5</w:t>
      </w:r>
      <w:r w:rsidR="00BA7352" w:rsidRPr="00DE54D3">
        <w:tab/>
      </w:r>
      <w:r w:rsidR="004005F3" w:rsidRPr="00DE54D3">
        <w:t xml:space="preserve">Le Comité note </w:t>
      </w:r>
      <w:r w:rsidR="009B3AA0" w:rsidRPr="00DE54D3">
        <w:t>que l</w:t>
      </w:r>
      <w:r w:rsidRPr="00DE54D3">
        <w:t xml:space="preserve">es </w:t>
      </w:r>
      <w:r w:rsidR="009B3AA0" w:rsidRPr="00DE54D3">
        <w:t>auteur</w:t>
      </w:r>
      <w:r w:rsidRPr="00DE54D3">
        <w:t>s</w:t>
      </w:r>
      <w:r w:rsidR="009B3AA0" w:rsidRPr="00DE54D3">
        <w:t xml:space="preserve"> </w:t>
      </w:r>
      <w:r w:rsidR="00A05146" w:rsidRPr="00DE54D3">
        <w:t>ont</w:t>
      </w:r>
      <w:r w:rsidR="009B3AA0" w:rsidRPr="00DE54D3">
        <w:t xml:space="preserve"> vu </w:t>
      </w:r>
      <w:r w:rsidR="00A05146" w:rsidRPr="00DE54D3">
        <w:t>leur</w:t>
      </w:r>
      <w:r w:rsidR="009B3AA0" w:rsidRPr="00DE54D3">
        <w:t xml:space="preserve"> fils pour la dernière fois </w:t>
      </w:r>
      <w:r w:rsidR="006735BF">
        <w:t xml:space="preserve">avant le 9 juin 1995, quand il rentrait chez lui </w:t>
      </w:r>
      <w:proofErr w:type="gramStart"/>
      <w:r w:rsidR="006735BF">
        <w:t>accompagné</w:t>
      </w:r>
      <w:proofErr w:type="gramEnd"/>
      <w:r w:rsidR="006735BF">
        <w:t xml:space="preserve"> de quatre amis. Ses amis ont identifié deux officiers de la gendarmerie de </w:t>
      </w:r>
      <w:proofErr w:type="spellStart"/>
      <w:r w:rsidR="006735BF">
        <w:t>Berbissa</w:t>
      </w:r>
      <w:proofErr w:type="spellEnd"/>
      <w:r w:rsidR="006735BF">
        <w:t xml:space="preserve"> et</w:t>
      </w:r>
      <w:r w:rsidR="00441D39">
        <w:t>,</w:t>
      </w:r>
      <w:r w:rsidR="006735BF">
        <w:t xml:space="preserve"> quand l’auteure est allée à la gendarmerie afin d’obtenir des informations concernant l’arrestation de son fils, un de ces deux officiers – qui était le chef de la brigade – lui ont confirmé la présence d’Omar </w:t>
      </w:r>
      <w:proofErr w:type="spellStart"/>
      <w:r w:rsidR="006735BF">
        <w:t>Drif</w:t>
      </w:r>
      <w:proofErr w:type="spellEnd"/>
      <w:r w:rsidR="006735BF">
        <w:t xml:space="preserve"> au sein de la gendarmerie. </w:t>
      </w:r>
      <w:r w:rsidR="00D97EBE" w:rsidRPr="00DE54D3">
        <w:t xml:space="preserve">Le Comité </w:t>
      </w:r>
      <w:r w:rsidR="00BA7352" w:rsidRPr="00DE54D3">
        <w:t xml:space="preserve">prend note </w:t>
      </w:r>
      <w:r w:rsidR="004B7CDE" w:rsidRPr="00DE54D3">
        <w:t>de ce</w:t>
      </w:r>
      <w:r w:rsidR="00BA7352" w:rsidRPr="00DE54D3">
        <w:t xml:space="preserve"> que l’État partie n’a fourni aucun élément permettant de dé</w:t>
      </w:r>
      <w:r w:rsidR="00986BE8" w:rsidRPr="00DE54D3">
        <w:t xml:space="preserve">terminer ce qu’il est advenu </w:t>
      </w:r>
      <w:r w:rsidR="006735BF">
        <w:t xml:space="preserve">d’Omar </w:t>
      </w:r>
      <w:proofErr w:type="spellStart"/>
      <w:r w:rsidR="006735BF">
        <w:t>Drif</w:t>
      </w:r>
      <w:proofErr w:type="spellEnd"/>
      <w:r w:rsidR="00BA7352" w:rsidRPr="00DE54D3">
        <w:t xml:space="preserve">. </w:t>
      </w:r>
      <w:r w:rsidR="00891E22" w:rsidRPr="00DE54D3">
        <w:t>Il</w:t>
      </w:r>
      <w:r w:rsidR="00BA7352" w:rsidRPr="00DE54D3">
        <w:t xml:space="preserve"> rappelle que, dans le cas des disparitions forcées, le fait de priver une personne de liberté</w:t>
      </w:r>
      <w:r w:rsidR="00891E22" w:rsidRPr="00DE54D3">
        <w:t>,</w:t>
      </w:r>
      <w:r w:rsidR="00BA7352" w:rsidRPr="00DE54D3">
        <w:t xml:space="preserve"> puis de refuser de reconnaître cette privation de liberté ou de dissimuler le sort réservé à la personne disparue revient à soustraire cette personne à la protection de la loi et fait peser sur sa vie un risque </w:t>
      </w:r>
      <w:r w:rsidR="00C1690E" w:rsidRPr="00DE54D3">
        <w:t xml:space="preserve">grave et </w:t>
      </w:r>
      <w:r w:rsidR="00CA0C4F" w:rsidRPr="00DE54D3">
        <w:t>constant</w:t>
      </w:r>
      <w:r w:rsidR="00BA7352" w:rsidRPr="00DE54D3">
        <w:t>, dont l’État est responsable</w:t>
      </w:r>
      <w:r w:rsidR="00BA7352" w:rsidRPr="00DE54D3">
        <w:rPr>
          <w:vertAlign w:val="superscript"/>
        </w:rPr>
        <w:footnoteReference w:id="30"/>
      </w:r>
      <w:r w:rsidR="00BA7352" w:rsidRPr="00DE54D3">
        <w:t>. En l’espèce, le Comité constate que l’État partie n’a fourni aucun élément susceptible de démontrer qu’il s’est acquitté de son o</w:t>
      </w:r>
      <w:r w:rsidR="00986BE8" w:rsidRPr="00DE54D3">
        <w:t xml:space="preserve">bligation de protéger la vie </w:t>
      </w:r>
      <w:r w:rsidR="006735BF">
        <w:t xml:space="preserve">d’Omar </w:t>
      </w:r>
      <w:proofErr w:type="spellStart"/>
      <w:r w:rsidR="006735BF">
        <w:t>Drif</w:t>
      </w:r>
      <w:proofErr w:type="spellEnd"/>
      <w:r w:rsidR="00BA7352" w:rsidRPr="00DE54D3">
        <w:t>. En conséquence, il conclut que l’État partie a failli à son o</w:t>
      </w:r>
      <w:r w:rsidR="00986BE8" w:rsidRPr="00DE54D3">
        <w:t xml:space="preserve">bligation de protéger la vie </w:t>
      </w:r>
      <w:r w:rsidR="006735BF">
        <w:t xml:space="preserve">d’Omar </w:t>
      </w:r>
      <w:proofErr w:type="spellStart"/>
      <w:r w:rsidR="006735BF">
        <w:t>Drif</w:t>
      </w:r>
      <w:proofErr w:type="spellEnd"/>
      <w:r w:rsidR="0032298B" w:rsidRPr="00DE54D3">
        <w:t xml:space="preserve">, en violation du paragraphe 1 de l’article </w:t>
      </w:r>
      <w:r w:rsidR="00BA7352" w:rsidRPr="00DE54D3">
        <w:t>6 du Pacte.</w:t>
      </w:r>
    </w:p>
    <w:p w14:paraId="772E983E" w14:textId="38D21429" w:rsidR="00F74C89" w:rsidRPr="00DE54D3" w:rsidRDefault="00A05146" w:rsidP="0088574B">
      <w:pPr>
        <w:pStyle w:val="SingleTxtG"/>
        <w:spacing w:line="236" w:lineRule="atLeast"/>
      </w:pPr>
      <w:r w:rsidRPr="00DE54D3">
        <w:t>8</w:t>
      </w:r>
      <w:r w:rsidR="00DD232B">
        <w:t>.</w:t>
      </w:r>
      <w:r w:rsidR="00ED2B8D">
        <w:t>6</w:t>
      </w:r>
      <w:r w:rsidR="00F74C89" w:rsidRPr="00DE54D3">
        <w:tab/>
      </w:r>
      <w:r w:rsidR="0032298B" w:rsidRPr="00DE54D3">
        <w:t>Le Comité reconnaît le degré de souffrance qu’implique une détention sans contact avec le monde extérieur pendant une durée indéfinie. Il rappelle son observation générale n</w:t>
      </w:r>
      <w:r w:rsidR="0032298B" w:rsidRPr="00DE54D3">
        <w:rPr>
          <w:vertAlign w:val="superscript"/>
        </w:rPr>
        <w:t>o</w:t>
      </w:r>
      <w:r w:rsidR="0032298B" w:rsidRPr="00DE54D3">
        <w:t xml:space="preserve"> 20 (1992) sur l’interdiction de la torture et des peines ou traitements cruels, inhumains ou dégradants, dans laquelle il recommande aux États parties de prendre des dispositions pour interdire la détention au secret. Il note en l’espèce qu’après avoir </w:t>
      </w:r>
      <w:r w:rsidR="006735BF">
        <w:t>eu des nouvelles de la part du chef de la brigade,</w:t>
      </w:r>
      <w:r w:rsidRPr="00DE54D3">
        <w:t xml:space="preserve"> </w:t>
      </w:r>
      <w:r w:rsidR="0015100B" w:rsidRPr="00DE54D3">
        <w:t xml:space="preserve">qui </w:t>
      </w:r>
      <w:r w:rsidR="006735BF">
        <w:t>a</w:t>
      </w:r>
      <w:r w:rsidR="00986BE8" w:rsidRPr="00DE54D3">
        <w:t xml:space="preserve"> </w:t>
      </w:r>
      <w:r w:rsidR="006735BF">
        <w:t>confirmé la présence de</w:t>
      </w:r>
      <w:r w:rsidR="00FC475E" w:rsidRPr="00DE54D3">
        <w:t xml:space="preserve"> </w:t>
      </w:r>
      <w:r w:rsidRPr="00DE54D3">
        <w:t xml:space="preserve">leur </w:t>
      </w:r>
      <w:r w:rsidR="00142097" w:rsidRPr="00DE54D3">
        <w:t xml:space="preserve">fils dans </w:t>
      </w:r>
      <w:r w:rsidR="006735BF">
        <w:t xml:space="preserve">la </w:t>
      </w:r>
      <w:r w:rsidR="006735BF" w:rsidRPr="006735BF">
        <w:t xml:space="preserve">gendarmerie de </w:t>
      </w:r>
      <w:proofErr w:type="spellStart"/>
      <w:r w:rsidR="006735BF" w:rsidRPr="006735BF">
        <w:t>Berbissa</w:t>
      </w:r>
      <w:proofErr w:type="spellEnd"/>
      <w:r w:rsidR="004C6EF9" w:rsidRPr="00DE54D3">
        <w:t xml:space="preserve">, </w:t>
      </w:r>
      <w:r w:rsidRPr="00DE54D3">
        <w:t xml:space="preserve">les </w:t>
      </w:r>
      <w:r w:rsidR="0032298B" w:rsidRPr="00DE54D3">
        <w:t>auteur</w:t>
      </w:r>
      <w:r w:rsidRPr="00DE54D3">
        <w:t>s</w:t>
      </w:r>
      <w:r w:rsidR="0032298B" w:rsidRPr="00DE54D3">
        <w:t xml:space="preserve"> n’</w:t>
      </w:r>
      <w:r w:rsidRPr="00DE54D3">
        <w:t>ont</w:t>
      </w:r>
      <w:r w:rsidR="0032298B" w:rsidRPr="00DE54D3">
        <w:t xml:space="preserve"> </w:t>
      </w:r>
      <w:r w:rsidR="0010188B" w:rsidRPr="00DE54D3">
        <w:t xml:space="preserve">plus </w:t>
      </w:r>
      <w:r w:rsidR="0032298B" w:rsidRPr="00DE54D3">
        <w:t xml:space="preserve">jamais eu la moindre information </w:t>
      </w:r>
      <w:r w:rsidR="006735BF">
        <w:t xml:space="preserve">officielle </w:t>
      </w:r>
      <w:r w:rsidR="0032298B" w:rsidRPr="00DE54D3">
        <w:t xml:space="preserve">sur </w:t>
      </w:r>
      <w:r w:rsidR="0010188B" w:rsidRPr="00DE54D3">
        <w:t xml:space="preserve">son </w:t>
      </w:r>
      <w:r w:rsidR="0032298B" w:rsidRPr="00DE54D3">
        <w:t>sort ou lieu de détention</w:t>
      </w:r>
      <w:r w:rsidR="00901228" w:rsidRPr="00DE54D3">
        <w:t>,</w:t>
      </w:r>
      <w:r w:rsidR="0032298B" w:rsidRPr="00DE54D3">
        <w:t xml:space="preserve"> </w:t>
      </w:r>
      <w:r w:rsidR="0010188B" w:rsidRPr="00DE54D3">
        <w:t>malgré plusieurs</w:t>
      </w:r>
      <w:r w:rsidR="004C6EF9" w:rsidRPr="00DE54D3">
        <w:t xml:space="preserve"> </w:t>
      </w:r>
      <w:r w:rsidR="00C64B0B" w:rsidRPr="00DE54D3">
        <w:t>requêtes</w:t>
      </w:r>
      <w:r w:rsidR="004C6EF9" w:rsidRPr="00DE54D3">
        <w:t xml:space="preserve"> successives</w:t>
      </w:r>
      <w:r w:rsidR="0010188B" w:rsidRPr="00DE54D3">
        <w:t xml:space="preserve"> présentées aux autorités étatiques</w:t>
      </w:r>
      <w:r w:rsidR="00986BE8" w:rsidRPr="00DE54D3">
        <w:t xml:space="preserve">. Le Comité estime donc </w:t>
      </w:r>
      <w:r w:rsidR="006735BF">
        <w:t xml:space="preserve">qu’Omar </w:t>
      </w:r>
      <w:proofErr w:type="spellStart"/>
      <w:r w:rsidR="006735BF">
        <w:t>Drif</w:t>
      </w:r>
      <w:proofErr w:type="spellEnd"/>
      <w:r w:rsidR="0032298B" w:rsidRPr="00DE54D3">
        <w:t xml:space="preserve">, disparu le </w:t>
      </w:r>
      <w:r w:rsidR="006735BF" w:rsidRPr="006735BF">
        <w:t>9 juin 1995</w:t>
      </w:r>
      <w:r w:rsidR="0032298B" w:rsidRPr="00DE54D3">
        <w:t>, serait potentiellement toujours détenu au secret par les autorités algériennes. En l’absence de toute explication de la part de l’État partie, le Comité considère que</w:t>
      </w:r>
      <w:r w:rsidR="004B7CDE" w:rsidRPr="00DE54D3">
        <w:t xml:space="preserve"> la </w:t>
      </w:r>
      <w:r w:rsidR="0032298B" w:rsidRPr="00DE54D3">
        <w:t xml:space="preserve">disparition </w:t>
      </w:r>
      <w:r w:rsidR="006735BF">
        <w:t xml:space="preserve">d’Omar </w:t>
      </w:r>
      <w:proofErr w:type="spellStart"/>
      <w:r w:rsidR="006735BF">
        <w:t>Drif</w:t>
      </w:r>
      <w:proofErr w:type="spellEnd"/>
      <w:r w:rsidR="004B7CDE" w:rsidRPr="00DE54D3">
        <w:t xml:space="preserve"> </w:t>
      </w:r>
      <w:r w:rsidR="0032298B" w:rsidRPr="00DE54D3">
        <w:t xml:space="preserve">constitue une violation de l’article 7 du Pacte à </w:t>
      </w:r>
      <w:r w:rsidR="007C45E6" w:rsidRPr="00DE54D3">
        <w:t xml:space="preserve">son </w:t>
      </w:r>
      <w:r w:rsidR="00986BE8" w:rsidRPr="00DE54D3">
        <w:t>égard</w:t>
      </w:r>
      <w:r w:rsidR="0032298B" w:rsidRPr="00DE54D3">
        <w:rPr>
          <w:vertAlign w:val="superscript"/>
        </w:rPr>
        <w:footnoteReference w:id="31"/>
      </w:r>
      <w:r w:rsidR="0032298B" w:rsidRPr="00DE54D3">
        <w:t>.</w:t>
      </w:r>
    </w:p>
    <w:p w14:paraId="519368F3" w14:textId="6E5C38D7" w:rsidR="0032298B" w:rsidRPr="00DE54D3" w:rsidRDefault="00A05146" w:rsidP="00410779">
      <w:pPr>
        <w:pStyle w:val="SingleTxtG"/>
      </w:pPr>
      <w:r w:rsidRPr="00DE54D3">
        <w:t>8</w:t>
      </w:r>
      <w:r w:rsidR="00DD232B">
        <w:t>.</w:t>
      </w:r>
      <w:r w:rsidR="00ED2B8D">
        <w:t>7</w:t>
      </w:r>
      <w:r w:rsidR="0032298B" w:rsidRPr="00DE54D3">
        <w:tab/>
        <w:t>Au vu de ce qui précède, le Comité n’examinera pas séparément les griefs tirés de la violation de l’article 10 du Pacte</w:t>
      </w:r>
      <w:r w:rsidR="0032298B" w:rsidRPr="00DE54D3">
        <w:rPr>
          <w:vertAlign w:val="superscript"/>
        </w:rPr>
        <w:footnoteReference w:id="32"/>
      </w:r>
      <w:r w:rsidR="0032298B" w:rsidRPr="00DE54D3">
        <w:t>.</w:t>
      </w:r>
    </w:p>
    <w:p w14:paraId="46541865" w14:textId="62FD890A" w:rsidR="00410779" w:rsidRPr="00DE54D3" w:rsidRDefault="00A05146">
      <w:pPr>
        <w:pStyle w:val="SingleTxtG"/>
      </w:pPr>
      <w:r w:rsidRPr="00DE54D3">
        <w:rPr>
          <w:spacing w:val="-3"/>
        </w:rPr>
        <w:t>8</w:t>
      </w:r>
      <w:r w:rsidR="00DD232B">
        <w:rPr>
          <w:spacing w:val="-3"/>
        </w:rPr>
        <w:t>.</w:t>
      </w:r>
      <w:r w:rsidR="00ED2B8D">
        <w:rPr>
          <w:spacing w:val="-3"/>
        </w:rPr>
        <w:t>8</w:t>
      </w:r>
      <w:r w:rsidR="0032298B" w:rsidRPr="00DE54D3">
        <w:rPr>
          <w:spacing w:val="-3"/>
        </w:rPr>
        <w:tab/>
      </w:r>
      <w:bookmarkStart w:id="3" w:name="_Hlk27402397"/>
      <w:r w:rsidR="00410779" w:rsidRPr="00DE54D3">
        <w:t>En ce qui concerne les g</w:t>
      </w:r>
      <w:r w:rsidR="00F261FA" w:rsidRPr="00DE54D3">
        <w:t xml:space="preserve">riefs de violation de l’article </w:t>
      </w:r>
      <w:r w:rsidR="00410779" w:rsidRPr="00DE54D3">
        <w:t>9 du Pacte, le Comité prend note des allégations de</w:t>
      </w:r>
      <w:r w:rsidRPr="00DE54D3">
        <w:t>s</w:t>
      </w:r>
      <w:r w:rsidR="00410779" w:rsidRPr="00DE54D3">
        <w:t xml:space="preserve"> </w:t>
      </w:r>
      <w:r w:rsidRPr="00DE54D3">
        <w:t>a</w:t>
      </w:r>
      <w:r w:rsidR="00410779" w:rsidRPr="00DE54D3">
        <w:t>uteur</w:t>
      </w:r>
      <w:r w:rsidRPr="00DE54D3">
        <w:t>s</w:t>
      </w:r>
      <w:r w:rsidR="00410779" w:rsidRPr="00DE54D3">
        <w:t xml:space="preserve"> selon lesquelles </w:t>
      </w:r>
      <w:bookmarkEnd w:id="3"/>
      <w:r w:rsidR="00716287">
        <w:t xml:space="preserve">Omar </w:t>
      </w:r>
      <w:proofErr w:type="spellStart"/>
      <w:r w:rsidR="00716287">
        <w:t>Drif</w:t>
      </w:r>
      <w:proofErr w:type="spellEnd"/>
      <w:r w:rsidR="00410779" w:rsidRPr="00DE54D3">
        <w:t xml:space="preserve"> a été arrêté arbitrairement, sans mandat, et n’a été </w:t>
      </w:r>
      <w:r w:rsidR="00C1690E" w:rsidRPr="00DE54D3">
        <w:t xml:space="preserve">ni </w:t>
      </w:r>
      <w:r w:rsidR="00410779" w:rsidRPr="00DE54D3">
        <w:t>inculpé ni présenté devant une autorité judiciaire auprès de laquelle il aurait pu contester la légalité de sa détention. L’État partie n’ayant communiqué aucune information à ce sujet, le Comité considère qu’il convient d’accorder le crédit voulu aux allégations de</w:t>
      </w:r>
      <w:r w:rsidR="00C03ED0" w:rsidRPr="00DE54D3">
        <w:t>s</w:t>
      </w:r>
      <w:r w:rsidR="00410779" w:rsidRPr="00DE54D3">
        <w:t xml:space="preserve"> auteur</w:t>
      </w:r>
      <w:r w:rsidR="00C03ED0" w:rsidRPr="00DE54D3">
        <w:t>s</w:t>
      </w:r>
      <w:r w:rsidR="00410779" w:rsidRPr="00DE54D3">
        <w:rPr>
          <w:rStyle w:val="FootnoteReference"/>
        </w:rPr>
        <w:footnoteReference w:id="33"/>
      </w:r>
      <w:r w:rsidR="00410779" w:rsidRPr="00DE54D3">
        <w:t xml:space="preserve">. Le Comité conclut </w:t>
      </w:r>
      <w:bookmarkStart w:id="4" w:name="_Hlk27403641"/>
      <w:r w:rsidR="00410779" w:rsidRPr="00DE54D3">
        <w:t>do</w:t>
      </w:r>
      <w:r w:rsidR="00F261FA" w:rsidRPr="00DE54D3">
        <w:t xml:space="preserve">nc à une violation de l’article </w:t>
      </w:r>
      <w:r w:rsidR="00410779" w:rsidRPr="00DE54D3">
        <w:t>9 du P</w:t>
      </w:r>
      <w:r w:rsidR="008B5FCC" w:rsidRPr="00DE54D3">
        <w:t xml:space="preserve">acte à l’égard </w:t>
      </w:r>
      <w:bookmarkEnd w:id="4"/>
      <w:r w:rsidR="00716287">
        <w:t xml:space="preserve">d’Omar </w:t>
      </w:r>
      <w:proofErr w:type="spellStart"/>
      <w:r w:rsidR="00716287">
        <w:t>Drif</w:t>
      </w:r>
      <w:proofErr w:type="spellEnd"/>
      <w:r w:rsidR="00410779" w:rsidRPr="00DE54D3">
        <w:rPr>
          <w:rStyle w:val="FootnoteReference"/>
        </w:rPr>
        <w:footnoteReference w:id="34"/>
      </w:r>
      <w:r w:rsidR="00410779" w:rsidRPr="00DE54D3">
        <w:t>.</w:t>
      </w:r>
    </w:p>
    <w:p w14:paraId="52C5C7D1" w14:textId="337F2511" w:rsidR="00E642C6" w:rsidRPr="00DE54D3" w:rsidRDefault="00C03ED0">
      <w:pPr>
        <w:pStyle w:val="SingleTxtG"/>
      </w:pPr>
      <w:r w:rsidRPr="00DE54D3">
        <w:t>8</w:t>
      </w:r>
      <w:r w:rsidR="00386538" w:rsidRPr="00DE54D3">
        <w:t>.</w:t>
      </w:r>
      <w:r w:rsidR="00ED2B8D">
        <w:t>9</w:t>
      </w:r>
      <w:r w:rsidR="00386538" w:rsidRPr="00DE54D3">
        <w:tab/>
      </w:r>
      <w:r w:rsidR="003073A3" w:rsidRPr="00DE54D3">
        <w:t>Le Comité est d’avis que la soustraction délibérée d’une personne à la protection de la loi constitue un déni du droit de cette personne à la reconnaissance de sa personnalité juridique, en particuli</w:t>
      </w:r>
      <w:r w:rsidR="007C45E6" w:rsidRPr="00DE54D3">
        <w:t>er si les efforts déployés par s</w:t>
      </w:r>
      <w:r w:rsidR="003073A3" w:rsidRPr="00DE54D3">
        <w:t>es proches pour exercer leur droit à un recours effectif ont été systématiquement entravés</w:t>
      </w:r>
      <w:r w:rsidR="003073A3" w:rsidRPr="00DE54D3">
        <w:rPr>
          <w:vertAlign w:val="superscript"/>
        </w:rPr>
        <w:footnoteReference w:id="35"/>
      </w:r>
      <w:r w:rsidR="003073A3" w:rsidRPr="00DE54D3">
        <w:t>. Dans le cas présent, le Comité note que l’État partie n’a fourni</w:t>
      </w:r>
      <w:r w:rsidR="005F6467" w:rsidRPr="00DE54D3">
        <w:t xml:space="preserve"> aucune explication sur le sort </w:t>
      </w:r>
      <w:r w:rsidR="000D4442">
        <w:t xml:space="preserve">d’Omar </w:t>
      </w:r>
      <w:proofErr w:type="spellStart"/>
      <w:r w:rsidR="000D4442">
        <w:t>Drif</w:t>
      </w:r>
      <w:proofErr w:type="spellEnd"/>
      <w:r w:rsidR="003073A3" w:rsidRPr="00DE54D3">
        <w:t>, ni sur le lieu où il se trouverait, en dépit des démarche</w:t>
      </w:r>
      <w:r w:rsidR="005F6467" w:rsidRPr="00DE54D3">
        <w:t xml:space="preserve">s de ses proches et du fait </w:t>
      </w:r>
      <w:r w:rsidR="000D4442">
        <w:t xml:space="preserve">qu’Omar </w:t>
      </w:r>
      <w:proofErr w:type="spellStart"/>
      <w:r w:rsidR="000D4442">
        <w:t>Drif</w:t>
      </w:r>
      <w:proofErr w:type="spellEnd"/>
      <w:r w:rsidR="003073A3" w:rsidRPr="00DE54D3">
        <w:t xml:space="preserve"> était entre les mains des autorités de l’État</w:t>
      </w:r>
      <w:r w:rsidR="0010188B" w:rsidRPr="00DE54D3">
        <w:t xml:space="preserve"> partie</w:t>
      </w:r>
      <w:r w:rsidR="003073A3" w:rsidRPr="00DE54D3">
        <w:t xml:space="preserve"> lors de sa dernière apparition. Le Comité concl</w:t>
      </w:r>
      <w:r w:rsidR="005F6467" w:rsidRPr="00DE54D3">
        <w:t xml:space="preserve">ut que la disparition forcée </w:t>
      </w:r>
      <w:r w:rsidR="000D4442">
        <w:t xml:space="preserve">d’Omar </w:t>
      </w:r>
      <w:proofErr w:type="spellStart"/>
      <w:r w:rsidR="000D4442">
        <w:t>Drif</w:t>
      </w:r>
      <w:proofErr w:type="spellEnd"/>
      <w:r w:rsidR="005F6467" w:rsidRPr="00DE54D3">
        <w:t xml:space="preserve"> depuis plus de </w:t>
      </w:r>
      <w:r w:rsidR="001A0EF1" w:rsidRPr="00DE54D3">
        <w:t>vingt-</w:t>
      </w:r>
      <w:r w:rsidR="000D4442">
        <w:t>six</w:t>
      </w:r>
      <w:r w:rsidR="003073A3" w:rsidRPr="00DE54D3">
        <w:t xml:space="preserve"> ans a soustrait celui-ci à la protection de la loi et l’a privé de son droit à la reconnaissance de sa personnalité juridique, en violation de l’arti</w:t>
      </w:r>
      <w:r w:rsidR="00EA76FD" w:rsidRPr="00DE54D3">
        <w:t xml:space="preserve">cle </w:t>
      </w:r>
      <w:r w:rsidR="003073A3" w:rsidRPr="00DE54D3">
        <w:t>16 du Pacte.</w:t>
      </w:r>
    </w:p>
    <w:p w14:paraId="26E73454" w14:textId="2FBDCE40" w:rsidR="00DA12D7" w:rsidRPr="0043793C" w:rsidRDefault="007B7777" w:rsidP="00DA12D7">
      <w:pPr>
        <w:pStyle w:val="SingleTxtG"/>
        <w:rPr>
          <w:lang w:val="fr-FR"/>
        </w:rPr>
      </w:pPr>
      <w:r w:rsidRPr="00DE54D3">
        <w:t>8</w:t>
      </w:r>
      <w:r w:rsidR="006D04F6" w:rsidRPr="00DE54D3">
        <w:t>.</w:t>
      </w:r>
      <w:r w:rsidR="00ED2B8D">
        <w:t>10</w:t>
      </w:r>
      <w:r w:rsidR="00410779" w:rsidRPr="00DE54D3">
        <w:tab/>
      </w:r>
      <w:r w:rsidR="00DA12D7" w:rsidRPr="00DE54D3">
        <w:rPr>
          <w:spacing w:val="-3"/>
        </w:rPr>
        <w:t xml:space="preserve">Le Comité prend acte également de l’angoisse et de la détresse que la disparition </w:t>
      </w:r>
      <w:r w:rsidR="00DA12D7">
        <w:rPr>
          <w:spacing w:val="-3"/>
        </w:rPr>
        <w:t xml:space="preserve">d’Omar </w:t>
      </w:r>
      <w:proofErr w:type="spellStart"/>
      <w:r w:rsidR="00DA12D7">
        <w:rPr>
          <w:spacing w:val="-3"/>
        </w:rPr>
        <w:t>Drif</w:t>
      </w:r>
      <w:proofErr w:type="spellEnd"/>
      <w:r w:rsidR="00DA12D7" w:rsidRPr="00DE54D3">
        <w:rPr>
          <w:spacing w:val="-3"/>
        </w:rPr>
        <w:t xml:space="preserve">, depuis plus de </w:t>
      </w:r>
      <w:r w:rsidR="00DA12D7">
        <w:rPr>
          <w:spacing w:val="-3"/>
        </w:rPr>
        <w:t>vingt-six</w:t>
      </w:r>
      <w:r w:rsidR="00DA12D7" w:rsidRPr="00DE54D3">
        <w:rPr>
          <w:spacing w:val="-3"/>
        </w:rPr>
        <w:t xml:space="preserve"> ans, a causées aux auteurs. Il considère à cet égard que les faits dont il est saisi font apparaître une violation de l’article 7 du Pacte à l’égard des auteurs</w:t>
      </w:r>
      <w:r w:rsidR="00DA12D7" w:rsidRPr="00DE54D3">
        <w:rPr>
          <w:spacing w:val="-3"/>
          <w:vertAlign w:val="superscript"/>
        </w:rPr>
        <w:footnoteReference w:id="36"/>
      </w:r>
      <w:r w:rsidR="00DA12D7" w:rsidRPr="00DE54D3">
        <w:rPr>
          <w:spacing w:val="-3"/>
        </w:rPr>
        <w:t>.</w:t>
      </w:r>
    </w:p>
    <w:p w14:paraId="088F82C2" w14:textId="7B48E6F4" w:rsidR="00AC6B30" w:rsidRPr="00DE54D3" w:rsidRDefault="00DD232B" w:rsidP="001D4F61">
      <w:pPr>
        <w:pStyle w:val="SingleTxtG"/>
        <w:rPr>
          <w:lang w:val="fr-FR"/>
        </w:rPr>
      </w:pPr>
      <w:r>
        <w:rPr>
          <w:lang w:val="fr-FR"/>
        </w:rPr>
        <w:t>8.1</w:t>
      </w:r>
      <w:r w:rsidR="00ED2B8D">
        <w:rPr>
          <w:lang w:val="fr-FR"/>
        </w:rPr>
        <w:t>1</w:t>
      </w:r>
      <w:r w:rsidR="00DA12D7">
        <w:rPr>
          <w:lang w:val="fr-FR"/>
        </w:rPr>
        <w:tab/>
      </w:r>
      <w:r w:rsidR="00333944" w:rsidRPr="00DE54D3">
        <w:t>Enfin, le Comité note que même si l</w:t>
      </w:r>
      <w:r w:rsidR="007B7777" w:rsidRPr="00DE54D3">
        <w:t xml:space="preserve">es </w:t>
      </w:r>
      <w:r w:rsidR="00410779" w:rsidRPr="00DE54D3">
        <w:t>auteur</w:t>
      </w:r>
      <w:r w:rsidR="007B7777" w:rsidRPr="00DE54D3">
        <w:t>s</w:t>
      </w:r>
      <w:r w:rsidR="00410779" w:rsidRPr="00DE54D3">
        <w:t xml:space="preserve"> </w:t>
      </w:r>
      <w:r w:rsidR="00333944" w:rsidRPr="00DE54D3">
        <w:t>n’</w:t>
      </w:r>
      <w:r w:rsidR="007B7777" w:rsidRPr="00DE54D3">
        <w:t>ont</w:t>
      </w:r>
      <w:r w:rsidR="00333944" w:rsidRPr="00DE54D3">
        <w:t xml:space="preserve"> pas invoqué </w:t>
      </w:r>
      <w:r w:rsidR="00993959" w:rsidRPr="00DE54D3">
        <w:t>expressément</w:t>
      </w:r>
      <w:r w:rsidR="00333944" w:rsidRPr="00DE54D3">
        <w:t xml:space="preserve"> une violation </w:t>
      </w:r>
      <w:r>
        <w:t xml:space="preserve">du paragraphe </w:t>
      </w:r>
      <w:r w:rsidR="00D56D86" w:rsidRPr="00DE54D3">
        <w:t xml:space="preserve">3 </w:t>
      </w:r>
      <w:r w:rsidR="00333944" w:rsidRPr="00DE54D3">
        <w:t xml:space="preserve">de l’article 2 </w:t>
      </w:r>
      <w:r w:rsidR="00DD018E" w:rsidRPr="00DE54D3">
        <w:t>en conjonction avec l</w:t>
      </w:r>
      <w:r w:rsidR="00E96818">
        <w:t xml:space="preserve">es </w:t>
      </w:r>
      <w:r w:rsidR="00DD018E" w:rsidRPr="00DE54D3">
        <w:t>article</w:t>
      </w:r>
      <w:r w:rsidR="00E96818">
        <w:t>s</w:t>
      </w:r>
      <w:r w:rsidR="00DD018E" w:rsidRPr="00DE54D3">
        <w:t xml:space="preserve"> </w:t>
      </w:r>
      <w:r w:rsidR="00E96818" w:rsidRPr="00DE54D3">
        <w:rPr>
          <w:lang w:val="fr-FR"/>
        </w:rPr>
        <w:t>6, 7, 9 et 16</w:t>
      </w:r>
      <w:r w:rsidR="00333944" w:rsidRPr="00DE54D3">
        <w:t xml:space="preserve"> du Pacte, </w:t>
      </w:r>
      <w:r w:rsidR="007B7777" w:rsidRPr="00DE54D3">
        <w:t xml:space="preserve">ils </w:t>
      </w:r>
      <w:r w:rsidR="00333944" w:rsidRPr="00DE54D3">
        <w:t>f</w:t>
      </w:r>
      <w:r w:rsidR="007B7777" w:rsidRPr="00DE54D3">
        <w:t>ont</w:t>
      </w:r>
      <w:r w:rsidR="00333944" w:rsidRPr="00DE54D3">
        <w:t xml:space="preserve"> référence à l’obligation imposée</w:t>
      </w:r>
      <w:r w:rsidR="00993959" w:rsidRPr="00DE54D3">
        <w:t xml:space="preserve"> aux États parties</w:t>
      </w:r>
      <w:r w:rsidR="00333944" w:rsidRPr="00DE54D3">
        <w:t xml:space="preserve"> par </w:t>
      </w:r>
      <w:r w:rsidR="00993959" w:rsidRPr="00DE54D3">
        <w:t>cette disposition</w:t>
      </w:r>
      <w:r w:rsidR="00410779" w:rsidRPr="00DE54D3">
        <w:t xml:space="preserve"> de garantir à toute personne des recours accessibles, utiles et exécutoires pour faire valoir les droits garantis par le Pacte</w:t>
      </w:r>
      <w:r w:rsidR="006D2768">
        <w:rPr>
          <w:rStyle w:val="FootnoteReference"/>
        </w:rPr>
        <w:footnoteReference w:id="37"/>
      </w:r>
      <w:r w:rsidR="00410779" w:rsidRPr="00DE54D3">
        <w:t>. Le Comité rappelle qu’il attache de l’importance à la mise en place, par les États parties, de mécanismes juridictionnels et administratifs appropriés pour</w:t>
      </w:r>
      <w:r w:rsidR="00CB631C" w:rsidRPr="00DE54D3">
        <w:t xml:space="preserve"> examiner les plaintes faisant é</w:t>
      </w:r>
      <w:r w:rsidR="00410779" w:rsidRPr="00DE54D3">
        <w:t>tat de violations des droits</w:t>
      </w:r>
      <w:r w:rsidR="00410779" w:rsidRPr="00DE54D3">
        <w:rPr>
          <w:lang w:val="fr-FR"/>
        </w:rPr>
        <w:t xml:space="preserve"> garantis par le Pacte</w:t>
      </w:r>
      <w:r w:rsidR="00410779" w:rsidRPr="00DE54D3">
        <w:rPr>
          <w:rStyle w:val="FootnoteReference"/>
        </w:rPr>
        <w:footnoteReference w:id="38"/>
      </w:r>
      <w:r w:rsidR="00410779" w:rsidRPr="00DE54D3">
        <w:rPr>
          <w:lang w:val="fr-FR"/>
        </w:rPr>
        <w:t>. Il rappelle son observation générale n</w:t>
      </w:r>
      <w:r w:rsidR="00410779" w:rsidRPr="00DE54D3">
        <w:rPr>
          <w:vertAlign w:val="superscript"/>
          <w:lang w:val="fr-FR"/>
        </w:rPr>
        <w:t>o</w:t>
      </w:r>
      <w:r w:rsidR="00F261FA" w:rsidRPr="00DE54D3">
        <w:rPr>
          <w:lang w:val="fr-FR"/>
        </w:rPr>
        <w:t xml:space="preserve"> </w:t>
      </w:r>
      <w:r w:rsidR="00410779" w:rsidRPr="00DE54D3">
        <w:rPr>
          <w:lang w:val="fr-FR"/>
        </w:rPr>
        <w:t>31 (2004) sur la nature de l’obligation juridique</w:t>
      </w:r>
      <w:r w:rsidR="004D72AF" w:rsidRPr="00DE54D3">
        <w:rPr>
          <w:lang w:val="fr-FR"/>
        </w:rPr>
        <w:t xml:space="preserve"> générale</w:t>
      </w:r>
      <w:r w:rsidR="00410779" w:rsidRPr="00DE54D3">
        <w:rPr>
          <w:lang w:val="fr-FR"/>
        </w:rPr>
        <w:t xml:space="preserve"> imposée aux États parties au Pacte, dans laquelle il indique notamment que le fait pour un État partie de ne pas mener d’enquête sur des violations présumées pourrait en soi donner lieu à un</w:t>
      </w:r>
      <w:r w:rsidR="00AC6B30" w:rsidRPr="00DE54D3">
        <w:rPr>
          <w:lang w:val="fr-FR"/>
        </w:rPr>
        <w:t>e violation distincte du Pacte.</w:t>
      </w:r>
    </w:p>
    <w:p w14:paraId="7E2E2495" w14:textId="36D106CB" w:rsidR="001D5681" w:rsidRDefault="007B7777">
      <w:pPr>
        <w:pStyle w:val="SingleTxtG"/>
        <w:rPr>
          <w:lang w:val="fr-FR"/>
        </w:rPr>
      </w:pPr>
      <w:r w:rsidRPr="00DE54D3">
        <w:rPr>
          <w:lang w:val="fr-FR"/>
        </w:rPr>
        <w:t>8</w:t>
      </w:r>
      <w:r w:rsidR="00A52570" w:rsidRPr="00DE54D3">
        <w:rPr>
          <w:lang w:val="fr-FR"/>
        </w:rPr>
        <w:t>.</w:t>
      </w:r>
      <w:r w:rsidR="003553A0" w:rsidRPr="00DE54D3">
        <w:rPr>
          <w:lang w:val="fr-FR"/>
        </w:rPr>
        <w:t>1</w:t>
      </w:r>
      <w:r w:rsidR="00ED2B8D">
        <w:rPr>
          <w:lang w:val="fr-FR"/>
        </w:rPr>
        <w:t>2</w:t>
      </w:r>
      <w:r w:rsidR="00AC6B30" w:rsidRPr="00DE54D3">
        <w:rPr>
          <w:lang w:val="fr-FR"/>
        </w:rPr>
        <w:tab/>
      </w:r>
      <w:r w:rsidR="00AC6B30" w:rsidRPr="00DE54D3">
        <w:t>En l’espèce, l</w:t>
      </w:r>
      <w:r w:rsidRPr="00DE54D3">
        <w:t xml:space="preserve">es </w:t>
      </w:r>
      <w:r w:rsidR="00AC6B30" w:rsidRPr="00DE54D3">
        <w:t>a</w:t>
      </w:r>
      <w:r w:rsidR="00C5026A" w:rsidRPr="00DE54D3">
        <w:t>uteur</w:t>
      </w:r>
      <w:r w:rsidRPr="00DE54D3">
        <w:t>s ont</w:t>
      </w:r>
      <w:r w:rsidR="00AC6B30" w:rsidRPr="00DE54D3">
        <w:t xml:space="preserve"> </w:t>
      </w:r>
      <w:r w:rsidR="00A52570" w:rsidRPr="00DE54D3">
        <w:t xml:space="preserve">alerté </w:t>
      </w:r>
      <w:r w:rsidR="00C5026A" w:rsidRPr="00DE54D3">
        <w:t xml:space="preserve">à plusieurs reprises </w:t>
      </w:r>
      <w:r w:rsidR="00A52570" w:rsidRPr="00DE54D3">
        <w:t>les autorités compétente</w:t>
      </w:r>
      <w:r w:rsidR="00DD018E" w:rsidRPr="00DE54D3">
        <w:t xml:space="preserve">s </w:t>
      </w:r>
      <w:r w:rsidR="004D72AF" w:rsidRPr="00DE54D3">
        <w:t>sur</w:t>
      </w:r>
      <w:r w:rsidR="00DD018E" w:rsidRPr="00DE54D3">
        <w:t xml:space="preserve"> la disparition de </w:t>
      </w:r>
      <w:r w:rsidRPr="00DE54D3">
        <w:t>leur</w:t>
      </w:r>
      <w:r w:rsidR="00DD018E" w:rsidRPr="00DE54D3">
        <w:t xml:space="preserve"> fils</w:t>
      </w:r>
      <w:r w:rsidR="00A52570" w:rsidRPr="00DE54D3">
        <w:t xml:space="preserve"> sans que l’État partie procède à </w:t>
      </w:r>
      <w:r w:rsidR="007C45E6" w:rsidRPr="00DE54D3">
        <w:t>une</w:t>
      </w:r>
      <w:r w:rsidR="00A52570" w:rsidRPr="00DE54D3">
        <w:t xml:space="preserve"> enquête sur cette disparition</w:t>
      </w:r>
      <w:r w:rsidR="007C45E6" w:rsidRPr="00DE54D3">
        <w:t>,</w:t>
      </w:r>
      <w:r w:rsidR="00A52570" w:rsidRPr="00DE54D3">
        <w:t xml:space="preserve"> et </w:t>
      </w:r>
      <w:r w:rsidR="00C91537" w:rsidRPr="00DE54D3">
        <w:t xml:space="preserve">sans </w:t>
      </w:r>
      <w:r w:rsidR="00993959" w:rsidRPr="00DE54D3">
        <w:t xml:space="preserve">que </w:t>
      </w:r>
      <w:r w:rsidRPr="00DE54D3">
        <w:t xml:space="preserve">les </w:t>
      </w:r>
      <w:r w:rsidR="007C45E6" w:rsidRPr="00DE54D3">
        <w:t>auteur</w:t>
      </w:r>
      <w:r w:rsidRPr="00DE54D3">
        <w:t>s soient informés</w:t>
      </w:r>
      <w:r w:rsidR="007C45E6" w:rsidRPr="00DE54D3">
        <w:t xml:space="preserve"> </w:t>
      </w:r>
      <w:r w:rsidR="00D3177F" w:rsidRPr="00DE54D3">
        <w:t>du</w:t>
      </w:r>
      <w:r w:rsidR="007C45E6" w:rsidRPr="00DE54D3">
        <w:t xml:space="preserve"> sort </w:t>
      </w:r>
      <w:r w:rsidR="006D2768">
        <w:t xml:space="preserve">d’Omar </w:t>
      </w:r>
      <w:proofErr w:type="spellStart"/>
      <w:r w:rsidR="006D2768">
        <w:t>Drif</w:t>
      </w:r>
      <w:proofErr w:type="spellEnd"/>
      <w:r w:rsidR="00AC6B30" w:rsidRPr="00DE54D3">
        <w:t>.</w:t>
      </w:r>
      <w:r w:rsidR="00A52570" w:rsidRPr="00DE54D3">
        <w:rPr>
          <w:lang w:val="fr-FR"/>
        </w:rPr>
        <w:t xml:space="preserve"> En outre, l’impossibilité légale de recourir à une instance judiciaire après la promulgation de l’ordonnance n</w:t>
      </w:r>
      <w:r w:rsidR="00A52570" w:rsidRPr="00DE54D3">
        <w:rPr>
          <w:vertAlign w:val="superscript"/>
          <w:lang w:val="fr-FR"/>
        </w:rPr>
        <w:t>o</w:t>
      </w:r>
      <w:r w:rsidR="00EA76FD" w:rsidRPr="00DE54D3">
        <w:rPr>
          <w:lang w:val="fr-FR"/>
        </w:rPr>
        <w:t xml:space="preserve"> </w:t>
      </w:r>
      <w:r w:rsidR="00A52570" w:rsidRPr="00DE54D3">
        <w:rPr>
          <w:lang w:val="fr-FR"/>
        </w:rPr>
        <w:t xml:space="preserve">06-01 continue de priver </w:t>
      </w:r>
      <w:r w:rsidR="006D2768">
        <w:rPr>
          <w:lang w:val="fr-FR"/>
        </w:rPr>
        <w:t xml:space="preserve">Omar </w:t>
      </w:r>
      <w:proofErr w:type="spellStart"/>
      <w:r w:rsidR="006D2768">
        <w:rPr>
          <w:lang w:val="fr-FR"/>
        </w:rPr>
        <w:t>Drif</w:t>
      </w:r>
      <w:proofErr w:type="spellEnd"/>
      <w:r w:rsidR="00A52570" w:rsidRPr="00DE54D3">
        <w:rPr>
          <w:lang w:val="fr-FR"/>
        </w:rPr>
        <w:t xml:space="preserve"> et </w:t>
      </w:r>
      <w:r w:rsidRPr="00DE54D3">
        <w:rPr>
          <w:lang w:val="fr-FR"/>
        </w:rPr>
        <w:t xml:space="preserve">les </w:t>
      </w:r>
      <w:r w:rsidR="00A52570" w:rsidRPr="00DE54D3">
        <w:rPr>
          <w:lang w:val="fr-FR"/>
        </w:rPr>
        <w:t>auteur</w:t>
      </w:r>
      <w:r w:rsidRPr="00DE54D3">
        <w:rPr>
          <w:lang w:val="fr-FR"/>
        </w:rPr>
        <w:t>s</w:t>
      </w:r>
      <w:r w:rsidR="00A52570" w:rsidRPr="00DE54D3">
        <w:rPr>
          <w:lang w:val="fr-FR"/>
        </w:rPr>
        <w:t xml:space="preserve"> de tout accès à un recours utile</w:t>
      </w:r>
      <w:r w:rsidR="00DC0360" w:rsidRPr="00DE54D3">
        <w:rPr>
          <w:lang w:val="fr-FR"/>
        </w:rPr>
        <w:t>,</w:t>
      </w:r>
      <w:r w:rsidR="00A52570" w:rsidRPr="00DE54D3">
        <w:rPr>
          <w:lang w:val="fr-FR"/>
        </w:rPr>
        <w:t xml:space="preserve"> puisque cette ordonnance interdit le recours à la justice pour faire la lumière sur les crimes les plus graves comme les disparitions forcées</w:t>
      </w:r>
      <w:r w:rsidR="00A52570" w:rsidRPr="00DE54D3">
        <w:rPr>
          <w:vertAlign w:val="superscript"/>
        </w:rPr>
        <w:footnoteReference w:id="39"/>
      </w:r>
      <w:r w:rsidR="00A52570" w:rsidRPr="00DE54D3">
        <w:rPr>
          <w:lang w:val="fr-FR"/>
        </w:rPr>
        <w:t xml:space="preserve">. </w:t>
      </w:r>
      <w:r w:rsidR="00AC6B30" w:rsidRPr="00DE54D3">
        <w:t xml:space="preserve">Le Comité conclut que les faits dont il est saisi font apparaître une violation </w:t>
      </w:r>
      <w:r w:rsidR="00DD232B">
        <w:t xml:space="preserve">du paragraphe </w:t>
      </w:r>
      <w:r w:rsidR="00DC0360" w:rsidRPr="00DE54D3">
        <w:t xml:space="preserve">3 </w:t>
      </w:r>
      <w:r w:rsidR="00410779" w:rsidRPr="00DE54D3">
        <w:rPr>
          <w:lang w:val="fr-FR"/>
        </w:rPr>
        <w:t>d</w:t>
      </w:r>
      <w:r w:rsidR="00F261FA" w:rsidRPr="00DE54D3">
        <w:rPr>
          <w:lang w:val="fr-FR"/>
        </w:rPr>
        <w:t>e l’article 2</w:t>
      </w:r>
      <w:r w:rsidR="001D5681">
        <w:rPr>
          <w:lang w:val="fr-FR"/>
        </w:rPr>
        <w:t>,</w:t>
      </w:r>
      <w:r w:rsidR="00F261FA" w:rsidRPr="00DE54D3">
        <w:rPr>
          <w:lang w:val="fr-FR"/>
        </w:rPr>
        <w:t xml:space="preserve"> </w:t>
      </w:r>
      <w:r w:rsidR="00410779" w:rsidRPr="00DE54D3">
        <w:rPr>
          <w:lang w:val="fr-FR"/>
        </w:rPr>
        <w:t>lu conjo</w:t>
      </w:r>
      <w:r w:rsidR="00F261FA" w:rsidRPr="00DE54D3">
        <w:rPr>
          <w:lang w:val="fr-FR"/>
        </w:rPr>
        <w:t xml:space="preserve">intement avec les articles </w:t>
      </w:r>
      <w:r w:rsidR="00A52570" w:rsidRPr="00DE54D3">
        <w:rPr>
          <w:lang w:val="fr-FR"/>
        </w:rPr>
        <w:t>6, 7,</w:t>
      </w:r>
      <w:r w:rsidR="00410779" w:rsidRPr="00DE54D3">
        <w:rPr>
          <w:lang w:val="fr-FR"/>
        </w:rPr>
        <w:t xml:space="preserve"> 9</w:t>
      </w:r>
      <w:r w:rsidR="00A52570" w:rsidRPr="00DE54D3">
        <w:rPr>
          <w:lang w:val="fr-FR"/>
        </w:rPr>
        <w:t xml:space="preserve"> et 16</w:t>
      </w:r>
      <w:r w:rsidR="00DD018E" w:rsidRPr="00DE54D3">
        <w:rPr>
          <w:lang w:val="fr-FR"/>
        </w:rPr>
        <w:t xml:space="preserve"> du Pacte à l’égard </w:t>
      </w:r>
      <w:r w:rsidR="006D2768">
        <w:rPr>
          <w:lang w:val="fr-FR"/>
        </w:rPr>
        <w:t xml:space="preserve">d’Omar </w:t>
      </w:r>
      <w:proofErr w:type="spellStart"/>
      <w:r w:rsidR="006D2768">
        <w:rPr>
          <w:lang w:val="fr-FR"/>
        </w:rPr>
        <w:t>Drif</w:t>
      </w:r>
      <w:proofErr w:type="spellEnd"/>
      <w:r w:rsidR="00F261FA" w:rsidRPr="00DE54D3">
        <w:rPr>
          <w:lang w:val="fr-FR"/>
        </w:rPr>
        <w:t xml:space="preserve">, et </w:t>
      </w:r>
      <w:r w:rsidR="00DC0360" w:rsidRPr="00DE54D3">
        <w:t>du paragraphe</w:t>
      </w:r>
      <w:r w:rsidR="00DD232B">
        <w:t xml:space="preserve"> </w:t>
      </w:r>
      <w:r w:rsidR="00DC0360" w:rsidRPr="00DE54D3">
        <w:t xml:space="preserve">3 </w:t>
      </w:r>
      <w:r w:rsidR="00F261FA" w:rsidRPr="00DE54D3">
        <w:rPr>
          <w:lang w:val="fr-FR"/>
        </w:rPr>
        <w:t>de l’article 2</w:t>
      </w:r>
      <w:r w:rsidR="00410779" w:rsidRPr="00DE54D3">
        <w:rPr>
          <w:lang w:val="fr-FR"/>
        </w:rPr>
        <w:t xml:space="preserve"> </w:t>
      </w:r>
      <w:r w:rsidR="000B55D5" w:rsidRPr="00DE54D3">
        <w:rPr>
          <w:lang w:val="fr-FR"/>
        </w:rPr>
        <w:t>lu conjointement avec l</w:t>
      </w:r>
      <w:r w:rsidR="00C01322">
        <w:rPr>
          <w:lang w:val="fr-FR"/>
        </w:rPr>
        <w:t>’</w:t>
      </w:r>
      <w:r w:rsidR="00F261FA" w:rsidRPr="00DE54D3">
        <w:rPr>
          <w:lang w:val="fr-FR"/>
        </w:rPr>
        <w:t xml:space="preserve">article </w:t>
      </w:r>
      <w:r w:rsidR="00410779" w:rsidRPr="00DE54D3">
        <w:rPr>
          <w:lang w:val="fr-FR"/>
        </w:rPr>
        <w:t>7</w:t>
      </w:r>
      <w:r w:rsidR="00F01713">
        <w:rPr>
          <w:lang w:val="fr-FR"/>
        </w:rPr>
        <w:t xml:space="preserve"> </w:t>
      </w:r>
      <w:r w:rsidR="00410779" w:rsidRPr="00DE54D3">
        <w:rPr>
          <w:lang w:val="fr-FR"/>
        </w:rPr>
        <w:t>du Pacte à l’égard de</w:t>
      </w:r>
      <w:r w:rsidRPr="00DE54D3">
        <w:rPr>
          <w:lang w:val="fr-FR"/>
        </w:rPr>
        <w:t>s</w:t>
      </w:r>
      <w:r w:rsidR="00410779" w:rsidRPr="00DE54D3">
        <w:rPr>
          <w:lang w:val="fr-FR"/>
        </w:rPr>
        <w:t xml:space="preserve"> auteur</w:t>
      </w:r>
      <w:r w:rsidRPr="00DE54D3">
        <w:rPr>
          <w:lang w:val="fr-FR"/>
        </w:rPr>
        <w:t>s</w:t>
      </w:r>
      <w:r w:rsidR="00410779" w:rsidRPr="00DE54D3">
        <w:rPr>
          <w:lang w:val="fr-FR"/>
        </w:rPr>
        <w:t>.</w:t>
      </w:r>
    </w:p>
    <w:p w14:paraId="0EEE74A7" w14:textId="4261F800" w:rsidR="004A7232" w:rsidRPr="00DD232B" w:rsidRDefault="00DD232B" w:rsidP="00ED2B8D">
      <w:pPr>
        <w:pStyle w:val="SingleTxtG"/>
      </w:pPr>
      <w:r>
        <w:rPr>
          <w:lang w:val="fr-FR"/>
        </w:rPr>
        <w:t>8.1</w:t>
      </w:r>
      <w:r w:rsidR="00ED2B8D">
        <w:rPr>
          <w:lang w:val="fr-FR"/>
        </w:rPr>
        <w:t>3</w:t>
      </w:r>
      <w:r>
        <w:rPr>
          <w:lang w:val="fr-FR"/>
        </w:rPr>
        <w:tab/>
      </w:r>
      <w:r w:rsidRPr="00DE54D3">
        <w:t>Au vu de ce qui précède, le Comité n’examinera pas séparément les griefs tirés de la violation de l’article 1</w:t>
      </w:r>
      <w:r>
        <w:t>4</w:t>
      </w:r>
      <w:r w:rsidRPr="00DE54D3">
        <w:t xml:space="preserve"> du Pacte</w:t>
      </w:r>
      <w:r>
        <w:t>.</w:t>
      </w:r>
    </w:p>
    <w:p w14:paraId="5565AF45" w14:textId="119766C4" w:rsidR="00410779" w:rsidRPr="00DE54D3" w:rsidRDefault="007B7777" w:rsidP="00410779">
      <w:pPr>
        <w:pStyle w:val="SingleTxtG"/>
        <w:rPr>
          <w:lang w:val="fr-FR"/>
        </w:rPr>
      </w:pPr>
      <w:r w:rsidRPr="00DE54D3">
        <w:rPr>
          <w:lang w:val="fr-FR"/>
        </w:rPr>
        <w:t>9</w:t>
      </w:r>
      <w:r w:rsidR="00410779" w:rsidRPr="00DE54D3">
        <w:rPr>
          <w:lang w:val="fr-FR"/>
        </w:rPr>
        <w:t>.</w:t>
      </w:r>
      <w:r w:rsidR="00410779" w:rsidRPr="00DE54D3">
        <w:rPr>
          <w:lang w:val="fr-FR"/>
        </w:rPr>
        <w:tab/>
        <w:t>Le Comité, agissant en ver</w:t>
      </w:r>
      <w:r w:rsidR="00F261FA" w:rsidRPr="00DE54D3">
        <w:rPr>
          <w:lang w:val="fr-FR"/>
        </w:rPr>
        <w:t xml:space="preserve">tu du paragraphe 4 de l’article </w:t>
      </w:r>
      <w:r w:rsidR="00410779" w:rsidRPr="00DE54D3">
        <w:rPr>
          <w:lang w:val="fr-FR"/>
        </w:rPr>
        <w:t xml:space="preserve">5 du Protocole facultatif, constate que les faits dont il est saisi font apparaître des violations par </w:t>
      </w:r>
      <w:r w:rsidR="00F261FA" w:rsidRPr="00DE54D3">
        <w:rPr>
          <w:lang w:val="fr-FR"/>
        </w:rPr>
        <w:t>l’</w:t>
      </w:r>
      <w:r w:rsidR="00A303F3" w:rsidRPr="00DE54D3">
        <w:rPr>
          <w:lang w:val="fr-FR"/>
        </w:rPr>
        <w:t>État partie des articles 6, 7,</w:t>
      </w:r>
      <w:r w:rsidR="00410779" w:rsidRPr="00DE54D3">
        <w:rPr>
          <w:lang w:val="fr-FR"/>
        </w:rPr>
        <w:t xml:space="preserve"> </w:t>
      </w:r>
      <w:r w:rsidR="00410779" w:rsidRPr="007775A6">
        <w:rPr>
          <w:lang w:val="fr-FR"/>
        </w:rPr>
        <w:t>9</w:t>
      </w:r>
      <w:r w:rsidRPr="00DE54D3">
        <w:rPr>
          <w:lang w:val="fr-FR"/>
        </w:rPr>
        <w:t xml:space="preserve"> </w:t>
      </w:r>
      <w:r w:rsidRPr="007775A6">
        <w:rPr>
          <w:lang w:val="fr-FR"/>
        </w:rPr>
        <w:t>et</w:t>
      </w:r>
      <w:r w:rsidR="00A303F3" w:rsidRPr="007775A6">
        <w:rPr>
          <w:lang w:val="fr-FR"/>
        </w:rPr>
        <w:t xml:space="preserve"> 16</w:t>
      </w:r>
      <w:r w:rsidR="00DE4E80" w:rsidRPr="00DE54D3">
        <w:rPr>
          <w:lang w:val="fr-FR"/>
        </w:rPr>
        <w:t xml:space="preserve"> </w:t>
      </w:r>
      <w:r w:rsidR="00410779" w:rsidRPr="00DE54D3">
        <w:rPr>
          <w:lang w:val="fr-FR"/>
        </w:rPr>
        <w:t>d</w:t>
      </w:r>
      <w:r w:rsidR="00F261FA" w:rsidRPr="00DE54D3">
        <w:rPr>
          <w:lang w:val="fr-FR"/>
        </w:rPr>
        <w:t xml:space="preserve">u Pacte, </w:t>
      </w:r>
      <w:r w:rsidR="00410779" w:rsidRPr="00DE54D3">
        <w:rPr>
          <w:lang w:val="fr-FR"/>
        </w:rPr>
        <w:t>lu</w:t>
      </w:r>
      <w:r w:rsidR="00CE3ACA">
        <w:rPr>
          <w:lang w:val="fr-FR"/>
        </w:rPr>
        <w:t>s</w:t>
      </w:r>
      <w:r w:rsidR="00410779" w:rsidRPr="00DE54D3">
        <w:rPr>
          <w:lang w:val="fr-FR"/>
        </w:rPr>
        <w:t xml:space="preserve"> </w:t>
      </w:r>
      <w:r w:rsidR="00CE3ACA">
        <w:rPr>
          <w:lang w:val="fr-FR"/>
        </w:rPr>
        <w:t xml:space="preserve">seuls et </w:t>
      </w:r>
      <w:r w:rsidR="00410779" w:rsidRPr="00DE54D3">
        <w:rPr>
          <w:lang w:val="fr-FR"/>
        </w:rPr>
        <w:t>conjo</w:t>
      </w:r>
      <w:r w:rsidR="00F261FA" w:rsidRPr="00DE54D3">
        <w:rPr>
          <w:lang w:val="fr-FR"/>
        </w:rPr>
        <w:t>intement</w:t>
      </w:r>
      <w:r w:rsidR="00A303F3" w:rsidRPr="00DE54D3">
        <w:rPr>
          <w:lang w:val="fr-FR"/>
        </w:rPr>
        <w:t xml:space="preserve"> avec </w:t>
      </w:r>
      <w:r w:rsidR="00E330B4">
        <w:rPr>
          <w:lang w:val="fr-FR"/>
        </w:rPr>
        <w:t xml:space="preserve">le </w:t>
      </w:r>
      <w:r w:rsidR="00CE3ACA">
        <w:rPr>
          <w:lang w:val="fr-FR"/>
        </w:rPr>
        <w:t xml:space="preserve">paragraphe </w:t>
      </w:r>
      <w:r w:rsidR="00CE3ACA" w:rsidRPr="00DE54D3">
        <w:rPr>
          <w:lang w:val="fr-FR"/>
        </w:rPr>
        <w:t>3 de l’article 2</w:t>
      </w:r>
      <w:r w:rsidR="00CE3ACA">
        <w:rPr>
          <w:lang w:val="fr-FR"/>
        </w:rPr>
        <w:t xml:space="preserve"> </w:t>
      </w:r>
      <w:r w:rsidR="00D75E10" w:rsidRPr="00DE54D3">
        <w:rPr>
          <w:lang w:val="fr-FR"/>
        </w:rPr>
        <w:t xml:space="preserve">à l’égard </w:t>
      </w:r>
      <w:r w:rsidR="00C01322">
        <w:rPr>
          <w:lang w:val="fr-FR"/>
        </w:rPr>
        <w:t xml:space="preserve">d’Omar </w:t>
      </w:r>
      <w:proofErr w:type="spellStart"/>
      <w:r w:rsidR="00C01322">
        <w:rPr>
          <w:lang w:val="fr-FR"/>
        </w:rPr>
        <w:t>Drif</w:t>
      </w:r>
      <w:proofErr w:type="spellEnd"/>
      <w:r w:rsidR="00410779" w:rsidRPr="00DE54D3">
        <w:rPr>
          <w:lang w:val="fr-FR"/>
        </w:rPr>
        <w:t>. Il constate en outre une violation</w:t>
      </w:r>
      <w:r w:rsidR="00F261FA" w:rsidRPr="00DE54D3">
        <w:rPr>
          <w:lang w:val="fr-FR"/>
        </w:rPr>
        <w:t xml:space="preserve"> par l’État partie de </w:t>
      </w:r>
      <w:r w:rsidRPr="00DE54D3">
        <w:rPr>
          <w:lang w:val="fr-FR"/>
        </w:rPr>
        <w:t>l’</w:t>
      </w:r>
      <w:r w:rsidR="00F261FA" w:rsidRPr="00DE54D3">
        <w:rPr>
          <w:lang w:val="fr-FR"/>
        </w:rPr>
        <w:t xml:space="preserve">article </w:t>
      </w:r>
      <w:r w:rsidR="00410779" w:rsidRPr="00DE54D3">
        <w:rPr>
          <w:lang w:val="fr-FR"/>
        </w:rPr>
        <w:t>7</w:t>
      </w:r>
      <w:r w:rsidR="00DA12D7">
        <w:rPr>
          <w:lang w:val="fr-FR"/>
        </w:rPr>
        <w:t>,</w:t>
      </w:r>
      <w:r w:rsidR="00410779" w:rsidRPr="00DE54D3">
        <w:rPr>
          <w:lang w:val="fr-FR"/>
        </w:rPr>
        <w:t xml:space="preserve"> lu seul et conjo</w:t>
      </w:r>
      <w:r w:rsidR="00F261FA" w:rsidRPr="00DE54D3">
        <w:rPr>
          <w:lang w:val="fr-FR"/>
        </w:rPr>
        <w:t xml:space="preserve">intement avec </w:t>
      </w:r>
      <w:r w:rsidR="00DD232B">
        <w:rPr>
          <w:lang w:val="fr-FR"/>
        </w:rPr>
        <w:t xml:space="preserve">le paragraphe </w:t>
      </w:r>
      <w:r w:rsidR="00AD60CB" w:rsidRPr="00DE54D3">
        <w:rPr>
          <w:lang w:val="fr-FR"/>
        </w:rPr>
        <w:t xml:space="preserve">3 de </w:t>
      </w:r>
      <w:r w:rsidR="00F261FA" w:rsidRPr="00DE54D3">
        <w:rPr>
          <w:lang w:val="fr-FR"/>
        </w:rPr>
        <w:t xml:space="preserve">l’article 2 </w:t>
      </w:r>
      <w:r w:rsidR="00410779" w:rsidRPr="00DE54D3">
        <w:rPr>
          <w:lang w:val="fr-FR"/>
        </w:rPr>
        <w:t>à l’égard de</w:t>
      </w:r>
      <w:r w:rsidRPr="00DE54D3">
        <w:rPr>
          <w:lang w:val="fr-FR"/>
        </w:rPr>
        <w:t>s</w:t>
      </w:r>
      <w:r w:rsidR="00410779" w:rsidRPr="00DE54D3">
        <w:rPr>
          <w:lang w:val="fr-FR"/>
        </w:rPr>
        <w:t xml:space="preserve"> auteur</w:t>
      </w:r>
      <w:r w:rsidRPr="00DE54D3">
        <w:rPr>
          <w:lang w:val="fr-FR"/>
        </w:rPr>
        <w:t>s</w:t>
      </w:r>
      <w:r w:rsidR="00410779" w:rsidRPr="00DE54D3">
        <w:rPr>
          <w:lang w:val="fr-FR"/>
        </w:rPr>
        <w:t>.</w:t>
      </w:r>
    </w:p>
    <w:p w14:paraId="3901CDDF" w14:textId="7EAA007C" w:rsidR="00410779" w:rsidRPr="00DE54D3" w:rsidRDefault="007B7777" w:rsidP="00410779">
      <w:pPr>
        <w:pStyle w:val="SingleTxtG"/>
      </w:pPr>
      <w:r w:rsidRPr="00DE54D3">
        <w:rPr>
          <w:lang w:val="fr-FR"/>
        </w:rPr>
        <w:t>10</w:t>
      </w:r>
      <w:r w:rsidR="00410779" w:rsidRPr="00DE54D3">
        <w:rPr>
          <w:lang w:val="fr-FR"/>
        </w:rPr>
        <w:t>.</w:t>
      </w:r>
      <w:r w:rsidR="00410779" w:rsidRPr="00DE54D3">
        <w:rPr>
          <w:lang w:val="fr-FR"/>
        </w:rPr>
        <w:tab/>
      </w:r>
      <w:r w:rsidR="007B07A2" w:rsidRPr="00DE54D3">
        <w:t>Conformément au</w:t>
      </w:r>
      <w:r w:rsidR="00AF3DBD" w:rsidRPr="00DE54D3">
        <w:t xml:space="preserve"> paragraphe 3 a) de l’article 2 du Pacte, l’État partie est tenu d’assurer </w:t>
      </w:r>
      <w:r w:rsidR="009205D0" w:rsidRPr="00DE54D3">
        <w:t>aux</w:t>
      </w:r>
      <w:r w:rsidR="00AF3DBD" w:rsidRPr="00DE54D3">
        <w:t xml:space="preserve"> auteur</w:t>
      </w:r>
      <w:r w:rsidR="009205D0" w:rsidRPr="00DE54D3">
        <w:t>s</w:t>
      </w:r>
      <w:r w:rsidR="00AF3DBD" w:rsidRPr="00DE54D3">
        <w:t xml:space="preserve"> un recours utile. </w:t>
      </w:r>
      <w:r w:rsidR="007B07A2" w:rsidRPr="00DE54D3">
        <w:t>Il a l’ob</w:t>
      </w:r>
      <w:r w:rsidR="004C75F6" w:rsidRPr="00DE54D3">
        <w:t>ligation d’accorder une</w:t>
      </w:r>
      <w:r w:rsidR="00AF3DBD" w:rsidRPr="00DE54D3">
        <w:t xml:space="preserve"> réparation intégrale aux personnes dont les droits reconnus par le Pacte ont été violés. En l’espèce,</w:t>
      </w:r>
      <w:r w:rsidR="00DE4E80" w:rsidRPr="00DE54D3">
        <w:t xml:space="preserve"> l’État partie est tenu</w:t>
      </w:r>
      <w:r w:rsidR="00BF6DA5">
        <w:t>, inter alia</w:t>
      </w:r>
      <w:r w:rsidR="00AF3DBD" w:rsidRPr="00DE54D3">
        <w:t xml:space="preserve"> : a) </w:t>
      </w:r>
      <w:r w:rsidR="006703B6" w:rsidRPr="00DE54D3">
        <w:t xml:space="preserve">de mener </w:t>
      </w:r>
      <w:r w:rsidR="00FE27A9" w:rsidRPr="00DE54D3">
        <w:t>une enquête rapide, efficace, exhaustive, indépendante, impartiale et transparente</w:t>
      </w:r>
      <w:r w:rsidR="00AF3DBD" w:rsidRPr="00DE54D3">
        <w:t xml:space="preserve"> sur l</w:t>
      </w:r>
      <w:r w:rsidR="00D75E10" w:rsidRPr="00DE54D3">
        <w:t xml:space="preserve">a disparition </w:t>
      </w:r>
      <w:r w:rsidR="00C01322">
        <w:t xml:space="preserve">d’Omar </w:t>
      </w:r>
      <w:proofErr w:type="spellStart"/>
      <w:r w:rsidR="00C01322">
        <w:t>Drif</w:t>
      </w:r>
      <w:proofErr w:type="spellEnd"/>
      <w:r w:rsidR="00F07311" w:rsidRPr="00DE54D3">
        <w:t xml:space="preserve"> </w:t>
      </w:r>
      <w:r w:rsidR="00F07311" w:rsidRPr="00DE54D3">
        <w:rPr>
          <w:lang w:val="fr-FR"/>
        </w:rPr>
        <w:t xml:space="preserve">et de fournir </w:t>
      </w:r>
      <w:r w:rsidR="009205D0" w:rsidRPr="00DE54D3">
        <w:rPr>
          <w:lang w:val="fr-FR"/>
        </w:rPr>
        <w:t xml:space="preserve">aux </w:t>
      </w:r>
      <w:r w:rsidR="00F07311" w:rsidRPr="00DE54D3">
        <w:rPr>
          <w:lang w:val="fr-FR"/>
        </w:rPr>
        <w:t>auteur</w:t>
      </w:r>
      <w:r w:rsidR="009205D0" w:rsidRPr="00DE54D3">
        <w:rPr>
          <w:lang w:val="fr-FR"/>
        </w:rPr>
        <w:t>s</w:t>
      </w:r>
      <w:r w:rsidR="00F07311" w:rsidRPr="00DE54D3">
        <w:rPr>
          <w:lang w:val="fr-FR"/>
        </w:rPr>
        <w:t xml:space="preserve"> des informations détaillées quant aux résultats de cette enquête ; b)</w:t>
      </w:r>
      <w:r w:rsidR="00EA76FD" w:rsidRPr="00DE54D3">
        <w:rPr>
          <w:lang w:val="fr-FR"/>
        </w:rPr>
        <w:t xml:space="preserve"> </w:t>
      </w:r>
      <w:r w:rsidR="00F07311" w:rsidRPr="00DE54D3">
        <w:rPr>
          <w:lang w:val="fr-FR"/>
        </w:rPr>
        <w:t xml:space="preserve">de libérer immédiatement </w:t>
      </w:r>
      <w:r w:rsidR="00C01322">
        <w:rPr>
          <w:lang w:val="fr-FR"/>
        </w:rPr>
        <w:t xml:space="preserve">Omar </w:t>
      </w:r>
      <w:proofErr w:type="spellStart"/>
      <w:r w:rsidR="00C01322">
        <w:rPr>
          <w:lang w:val="fr-FR"/>
        </w:rPr>
        <w:t>Drif</w:t>
      </w:r>
      <w:proofErr w:type="spellEnd"/>
      <w:r w:rsidR="00F07311" w:rsidRPr="00DE54D3">
        <w:rPr>
          <w:lang w:val="fr-FR"/>
        </w:rPr>
        <w:t xml:space="preserve"> s’il est</w:t>
      </w:r>
      <w:r w:rsidR="00EA76FD" w:rsidRPr="00DE54D3">
        <w:rPr>
          <w:lang w:val="fr-FR"/>
        </w:rPr>
        <w:t xml:space="preserve"> toujours détenu au secret ; c) </w:t>
      </w:r>
      <w:r w:rsidR="00F07311" w:rsidRPr="00DE54D3">
        <w:rPr>
          <w:lang w:val="fr-FR"/>
        </w:rPr>
        <w:t xml:space="preserve">dans l’éventualité où </w:t>
      </w:r>
      <w:r w:rsidR="00C01322">
        <w:rPr>
          <w:lang w:val="fr-FR"/>
        </w:rPr>
        <w:t xml:space="preserve">Omar </w:t>
      </w:r>
      <w:proofErr w:type="spellStart"/>
      <w:r w:rsidR="00C01322">
        <w:rPr>
          <w:lang w:val="fr-FR"/>
        </w:rPr>
        <w:t>Drif</w:t>
      </w:r>
      <w:proofErr w:type="spellEnd"/>
      <w:r w:rsidR="00F07311" w:rsidRPr="00DE54D3">
        <w:rPr>
          <w:lang w:val="fr-FR"/>
        </w:rPr>
        <w:t xml:space="preserve"> serait décédé, de restituer sa dépouille à sa famille</w:t>
      </w:r>
      <w:r w:rsidR="00142EDF" w:rsidRPr="00DE54D3">
        <w:rPr>
          <w:lang w:val="fr-FR"/>
        </w:rPr>
        <w:t xml:space="preserve"> </w:t>
      </w:r>
      <w:r w:rsidR="00142EDF" w:rsidRPr="00DE54D3">
        <w:t xml:space="preserve">dans le respect de la dignité, conformément aux normes et </w:t>
      </w:r>
      <w:r w:rsidR="006C4A4D" w:rsidRPr="00DE54D3">
        <w:t xml:space="preserve">aux </w:t>
      </w:r>
      <w:r w:rsidR="00142EDF" w:rsidRPr="00DE54D3">
        <w:t>traditions culturelles des victimes</w:t>
      </w:r>
      <w:r w:rsidR="00F07311" w:rsidRPr="00DE54D3">
        <w:rPr>
          <w:lang w:val="fr-FR"/>
        </w:rPr>
        <w:t> ;</w:t>
      </w:r>
      <w:r w:rsidR="00F07311" w:rsidRPr="00DE54D3">
        <w:t xml:space="preserve"> d</w:t>
      </w:r>
      <w:r w:rsidR="00AF3DBD" w:rsidRPr="00DE54D3">
        <w:t xml:space="preserve">) </w:t>
      </w:r>
      <w:r w:rsidR="00DE4E80" w:rsidRPr="00DE54D3">
        <w:t xml:space="preserve">de </w:t>
      </w:r>
      <w:r w:rsidR="00AF3DBD" w:rsidRPr="00DE54D3">
        <w:t xml:space="preserve">poursuivre, </w:t>
      </w:r>
      <w:r w:rsidR="006C4A4D" w:rsidRPr="00DE54D3">
        <w:t xml:space="preserve">de </w:t>
      </w:r>
      <w:r w:rsidR="00AF3DBD" w:rsidRPr="00DE54D3">
        <w:t xml:space="preserve">juger et </w:t>
      </w:r>
      <w:r w:rsidR="006C4A4D" w:rsidRPr="00DE54D3">
        <w:t xml:space="preserve">de </w:t>
      </w:r>
      <w:r w:rsidR="00AF3DBD" w:rsidRPr="00DE54D3">
        <w:t>punir les responsables des violations commises</w:t>
      </w:r>
      <w:r w:rsidR="00DA12D7">
        <w:t xml:space="preserve"> avec des sanctions proportionnées à la gravité des violations</w:t>
      </w:r>
      <w:r w:rsidR="00F07311" w:rsidRPr="00DE54D3">
        <w:t xml:space="preserve">; </w:t>
      </w:r>
      <w:r w:rsidR="00CE3ACA">
        <w:t xml:space="preserve">et </w:t>
      </w:r>
      <w:r w:rsidR="00F07311" w:rsidRPr="00DE54D3">
        <w:t>e</w:t>
      </w:r>
      <w:r w:rsidR="00C44457" w:rsidRPr="00DE54D3">
        <w:t xml:space="preserve">) </w:t>
      </w:r>
      <w:r w:rsidR="00D62F5D" w:rsidRPr="00DE54D3">
        <w:t xml:space="preserve">de </w:t>
      </w:r>
      <w:r w:rsidR="00EA0F9B" w:rsidRPr="00DE54D3">
        <w:t>fournir aux</w:t>
      </w:r>
      <w:r w:rsidR="009205D0" w:rsidRPr="00DE54D3">
        <w:t xml:space="preserve"> a</w:t>
      </w:r>
      <w:r w:rsidR="00F07311" w:rsidRPr="00DE54D3">
        <w:t>uteur</w:t>
      </w:r>
      <w:r w:rsidR="009205D0" w:rsidRPr="00DE54D3">
        <w:t>s</w:t>
      </w:r>
      <w:r w:rsidR="00F07311" w:rsidRPr="00DE54D3">
        <w:t xml:space="preserve"> </w:t>
      </w:r>
      <w:r w:rsidR="00D75E10" w:rsidRPr="00DE54D3">
        <w:rPr>
          <w:lang w:val="fr-FR"/>
        </w:rPr>
        <w:t xml:space="preserve">ainsi </w:t>
      </w:r>
      <w:r w:rsidR="002357FC" w:rsidRPr="00DE54D3">
        <w:rPr>
          <w:lang w:val="fr-FR"/>
        </w:rPr>
        <w:t>qu’à</w:t>
      </w:r>
      <w:r w:rsidR="00DE4E80" w:rsidRPr="00DE54D3">
        <w:rPr>
          <w:lang w:val="fr-FR"/>
        </w:rPr>
        <w:t xml:space="preserve"> </w:t>
      </w:r>
      <w:r w:rsidR="00C01322">
        <w:rPr>
          <w:lang w:val="fr-FR"/>
        </w:rPr>
        <w:t xml:space="preserve">Omar </w:t>
      </w:r>
      <w:proofErr w:type="spellStart"/>
      <w:r w:rsidR="00C01322">
        <w:rPr>
          <w:lang w:val="fr-FR"/>
        </w:rPr>
        <w:t>Drif</w:t>
      </w:r>
      <w:proofErr w:type="spellEnd"/>
      <w:r w:rsidR="002357FC" w:rsidRPr="00DE54D3">
        <w:rPr>
          <w:lang w:val="fr-FR"/>
        </w:rPr>
        <w:t>,</w:t>
      </w:r>
      <w:r w:rsidR="00F07311" w:rsidRPr="00DE54D3">
        <w:rPr>
          <w:lang w:val="fr-FR"/>
        </w:rPr>
        <w:t xml:space="preserve"> s’il est en vie</w:t>
      </w:r>
      <w:r w:rsidR="002357FC" w:rsidRPr="00DE54D3">
        <w:rPr>
          <w:lang w:val="fr-FR"/>
        </w:rPr>
        <w:t>,</w:t>
      </w:r>
      <w:r w:rsidR="00EA0F9B" w:rsidRPr="00DE54D3">
        <w:t xml:space="preserve"> une indemnité adéquate</w:t>
      </w:r>
      <w:r w:rsidR="00DA12D7">
        <w:t>, ainsi que l’accès aux traitement médicaux et psychologiques dont ils pourraient avoir besoin</w:t>
      </w:r>
      <w:r w:rsidR="00AF3DBD" w:rsidRPr="00DE54D3">
        <w:t>.</w:t>
      </w:r>
      <w:r w:rsidR="00410779" w:rsidRPr="00DE54D3">
        <w:rPr>
          <w:lang w:val="fr-FR"/>
        </w:rPr>
        <w:t xml:space="preserve"> </w:t>
      </w:r>
      <w:r w:rsidR="00DA12D7" w:rsidRPr="00DE54D3">
        <w:rPr>
          <w:lang w:val="fr-FR"/>
        </w:rPr>
        <w:t xml:space="preserve">Il est en outre tenu de prendre des mesures pour empêcher que des violations analogues se reproduisent à l’avenir. </w:t>
      </w:r>
      <w:r w:rsidR="00DA12D7">
        <w:rPr>
          <w:lang w:val="fr-FR"/>
        </w:rPr>
        <w:t>L</w:t>
      </w:r>
      <w:r w:rsidR="00410779" w:rsidRPr="00DE54D3">
        <w:rPr>
          <w:lang w:val="fr-FR"/>
        </w:rPr>
        <w:t xml:space="preserve">’État partie </w:t>
      </w:r>
      <w:r w:rsidR="00DA12D7">
        <w:rPr>
          <w:lang w:val="fr-FR"/>
        </w:rPr>
        <w:t>est tenu de</w:t>
      </w:r>
      <w:r w:rsidR="00410779" w:rsidRPr="00DE54D3">
        <w:rPr>
          <w:lang w:val="fr-FR"/>
        </w:rPr>
        <w:t xml:space="preserve"> veiller à ne pas entraver le droit à un recours utile pour les victimes de </w:t>
      </w:r>
      <w:r w:rsidR="00DA12D7">
        <w:rPr>
          <w:lang w:val="fr-FR"/>
        </w:rPr>
        <w:t>violations graves</w:t>
      </w:r>
      <w:r w:rsidR="00DA12D7" w:rsidRPr="00DE54D3">
        <w:rPr>
          <w:lang w:val="fr-FR"/>
        </w:rPr>
        <w:t xml:space="preserve"> </w:t>
      </w:r>
      <w:r w:rsidR="00410779" w:rsidRPr="00DE54D3">
        <w:rPr>
          <w:lang w:val="fr-FR"/>
        </w:rPr>
        <w:t>tel</w:t>
      </w:r>
      <w:r w:rsidR="00DA12D7">
        <w:rPr>
          <w:lang w:val="fr-FR"/>
        </w:rPr>
        <w:t>le</w:t>
      </w:r>
      <w:r w:rsidR="00410779" w:rsidRPr="00DE54D3">
        <w:rPr>
          <w:lang w:val="fr-FR"/>
        </w:rPr>
        <w:t xml:space="preserve">s que la torture, les exécutions extrajudiciaires et les disparitions forcées. </w:t>
      </w:r>
      <w:r w:rsidR="00410779" w:rsidRPr="00DE54D3">
        <w:t xml:space="preserve">À cet effet, l’État partie devrait revoir sa législation en fonction de l’obligation </w:t>
      </w:r>
      <w:r w:rsidR="00AF3DBD" w:rsidRPr="00DE54D3">
        <w:t xml:space="preserve">qui lui est faite au paragraphe 2 de l’article </w:t>
      </w:r>
      <w:r w:rsidR="00410779" w:rsidRPr="00DE54D3">
        <w:t>2 du Pacte, et en particulier abroger les dispositions de l</w:t>
      </w:r>
      <w:r w:rsidR="00DA12D7">
        <w:t>’</w:t>
      </w:r>
      <w:r w:rsidR="00410779" w:rsidRPr="00DE54D3">
        <w:t xml:space="preserve">ordonnance </w:t>
      </w:r>
      <w:r w:rsidR="00DA12D7">
        <w:t xml:space="preserve">06-01 </w:t>
      </w:r>
      <w:r w:rsidR="00410779" w:rsidRPr="00DE54D3">
        <w:t>qui sont incompatibles avec le Pacte, afin que les droits consacrés par le Pacte puissent être pleinement exercés dans l’État partie.</w:t>
      </w:r>
    </w:p>
    <w:p w14:paraId="1543BBC1" w14:textId="2A9E4527" w:rsidR="00410779" w:rsidRPr="0088574B" w:rsidRDefault="009205D0" w:rsidP="0088574B">
      <w:pPr>
        <w:pStyle w:val="SingleTxtG"/>
      </w:pPr>
      <w:r w:rsidRPr="00DE54D3">
        <w:rPr>
          <w:lang w:val="fr-FR"/>
        </w:rPr>
        <w:t>11</w:t>
      </w:r>
      <w:r w:rsidR="00410779" w:rsidRPr="00DE54D3">
        <w:rPr>
          <w:lang w:val="fr-FR"/>
        </w:rPr>
        <w:t>.</w:t>
      </w:r>
      <w:r w:rsidR="00410779" w:rsidRPr="00DE54D3">
        <w:rPr>
          <w:lang w:val="fr-FR"/>
        </w:rPr>
        <w:tab/>
        <w:t>Étant donné qu’en adhérant au Protocole facultatif</w:t>
      </w:r>
      <w:r w:rsidR="00794E2B" w:rsidRPr="00DE54D3">
        <w:rPr>
          <w:lang w:val="fr-FR"/>
        </w:rPr>
        <w:t>,</w:t>
      </w:r>
      <w:r w:rsidR="00410779" w:rsidRPr="00DE54D3">
        <w:rPr>
          <w:lang w:val="fr-FR"/>
        </w:rPr>
        <w:t xml:space="preserve"> l’État partie a reconnu que le Comité avait compétence pour déterminer s’il y avait eu ou non violation du Pacte e</w:t>
      </w:r>
      <w:r w:rsidR="003E01BD" w:rsidRPr="00DE54D3">
        <w:rPr>
          <w:lang w:val="fr-FR"/>
        </w:rPr>
        <w:t xml:space="preserve">t que, conformément à l’article </w:t>
      </w:r>
      <w:r w:rsidR="00410779" w:rsidRPr="00DE54D3">
        <w:rPr>
          <w:lang w:val="fr-FR"/>
        </w:rPr>
        <w:t xml:space="preserve">2 du Pacte, il s’est engagé à garantir à tous les individus se trouvant sur son territoire et relevant de sa juridiction les droits reconnus dans le Pacte, et à assurer un recours utile et exécutoire lorsqu’une violation a été établie, le Comité souhaite recevoir de l’État partie, dans un délai de cent quatre-vingts jours, des renseignements sur les mesures prises pour donner effet aux présentes constatations. L’État partie est invité en outre à rendre </w:t>
      </w:r>
      <w:r w:rsidR="00F64BE0" w:rsidRPr="00DE54D3">
        <w:rPr>
          <w:lang w:val="fr-FR"/>
        </w:rPr>
        <w:t>celle</w:t>
      </w:r>
      <w:r w:rsidR="00D4225C" w:rsidRPr="00DE54D3">
        <w:rPr>
          <w:lang w:val="fr-FR"/>
        </w:rPr>
        <w:t>s</w:t>
      </w:r>
      <w:r w:rsidR="00F64BE0" w:rsidRPr="00DE54D3">
        <w:rPr>
          <w:lang w:val="fr-FR"/>
        </w:rPr>
        <w:t xml:space="preserve">-ci </w:t>
      </w:r>
      <w:r w:rsidR="00410779" w:rsidRPr="00DE54D3">
        <w:rPr>
          <w:lang w:val="fr-FR"/>
        </w:rPr>
        <w:t xml:space="preserve">publiques et à les diffuser largement dans </w:t>
      </w:r>
      <w:r w:rsidR="00F64BE0" w:rsidRPr="00DE54D3">
        <w:rPr>
          <w:lang w:val="fr-FR"/>
        </w:rPr>
        <w:t>ses</w:t>
      </w:r>
      <w:r w:rsidR="00410779" w:rsidRPr="00DE54D3">
        <w:rPr>
          <w:lang w:val="fr-FR"/>
        </w:rPr>
        <w:t xml:space="preserve"> langues officielles.</w:t>
      </w:r>
    </w:p>
    <w:p w14:paraId="6286A97D" w14:textId="40F005EF" w:rsidR="00410779" w:rsidRPr="00410779" w:rsidRDefault="00410779" w:rsidP="00410779">
      <w:pPr>
        <w:pStyle w:val="SingleTxtG"/>
        <w:spacing w:before="240" w:after="0"/>
        <w:jc w:val="center"/>
        <w:rPr>
          <w:u w:val="single"/>
        </w:rPr>
      </w:pPr>
      <w:r>
        <w:rPr>
          <w:u w:val="single"/>
          <w:lang w:val="fr-FR"/>
        </w:rPr>
        <w:tab/>
      </w:r>
      <w:r>
        <w:rPr>
          <w:u w:val="single"/>
          <w:lang w:val="fr-FR"/>
        </w:rPr>
        <w:tab/>
      </w:r>
      <w:r>
        <w:rPr>
          <w:u w:val="single"/>
          <w:lang w:val="fr-FR"/>
        </w:rPr>
        <w:tab/>
      </w:r>
      <w:r w:rsidR="00D469EC">
        <w:rPr>
          <w:u w:val="single"/>
          <w:lang w:val="fr-FR"/>
        </w:rPr>
        <w:tab/>
      </w:r>
    </w:p>
    <w:sectPr w:rsidR="00410779" w:rsidRPr="00410779" w:rsidSect="007D7472">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EC67C" w16cex:dateUtc="2022-03-09T15:48:00Z"/>
  <w16cex:commentExtensible w16cex:durableId="25DEC67D" w16cex:dateUtc="2022-03-09T15:50:00Z"/>
  <w16cex:commentExtensible w16cex:durableId="25DEC67E" w16cex:dateUtc="2022-03-17T16: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7DA204" w16cid:durableId="25DEC67C"/>
  <w16cid:commentId w16cid:paraId="537866E8" w16cid:durableId="25DEC67D"/>
  <w16cid:commentId w16cid:paraId="45240107" w16cid:durableId="25DEC6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C1DF9" w14:textId="77777777" w:rsidR="00F70109" w:rsidRDefault="00F70109" w:rsidP="00F95C08">
      <w:pPr>
        <w:spacing w:line="240" w:lineRule="auto"/>
      </w:pPr>
    </w:p>
  </w:endnote>
  <w:endnote w:type="continuationSeparator" w:id="0">
    <w:p w14:paraId="2D095116" w14:textId="77777777" w:rsidR="00F70109" w:rsidRPr="00AC3823" w:rsidRDefault="00F70109" w:rsidP="00AC3823">
      <w:pPr>
        <w:pStyle w:val="Footer"/>
      </w:pPr>
    </w:p>
  </w:endnote>
  <w:endnote w:type="continuationNotice" w:id="1">
    <w:p w14:paraId="0246BFD0" w14:textId="77777777" w:rsidR="00F70109" w:rsidRDefault="00F701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70F73" w14:textId="7B5DDBE9" w:rsidR="004119F5" w:rsidRPr="007D7472" w:rsidRDefault="004119F5" w:rsidP="007D7472">
    <w:pPr>
      <w:pStyle w:val="Footer"/>
      <w:tabs>
        <w:tab w:val="right" w:pos="9638"/>
      </w:tabs>
    </w:pPr>
    <w:r w:rsidRPr="007D7472">
      <w:rPr>
        <w:b/>
        <w:sz w:val="18"/>
      </w:rPr>
      <w:fldChar w:fldCharType="begin"/>
    </w:r>
    <w:r w:rsidRPr="007D7472">
      <w:rPr>
        <w:b/>
        <w:sz w:val="18"/>
      </w:rPr>
      <w:instrText xml:space="preserve"> PAGE  \* MERGEFORMAT </w:instrText>
    </w:r>
    <w:r w:rsidRPr="007D7472">
      <w:rPr>
        <w:b/>
        <w:sz w:val="18"/>
      </w:rPr>
      <w:fldChar w:fldCharType="separate"/>
    </w:r>
    <w:r w:rsidR="0022224C">
      <w:rPr>
        <w:b/>
        <w:noProof/>
        <w:sz w:val="18"/>
      </w:rPr>
      <w:t>10</w:t>
    </w:r>
    <w:r w:rsidRPr="007D7472">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F3CFF" w14:textId="23249D6E" w:rsidR="004119F5" w:rsidRPr="007D7472" w:rsidRDefault="004119F5" w:rsidP="007D7472">
    <w:pPr>
      <w:pStyle w:val="Footer"/>
      <w:tabs>
        <w:tab w:val="right" w:pos="9638"/>
      </w:tabs>
      <w:rPr>
        <w:b/>
        <w:sz w:val="18"/>
      </w:rPr>
    </w:pPr>
    <w:r>
      <w:tab/>
    </w:r>
    <w:r w:rsidRPr="007D7472">
      <w:rPr>
        <w:b/>
        <w:sz w:val="18"/>
      </w:rPr>
      <w:fldChar w:fldCharType="begin"/>
    </w:r>
    <w:r w:rsidRPr="007D7472">
      <w:rPr>
        <w:b/>
        <w:sz w:val="18"/>
      </w:rPr>
      <w:instrText xml:space="preserve"> PAGE  \* MERGEFORMAT </w:instrText>
    </w:r>
    <w:r w:rsidRPr="007D7472">
      <w:rPr>
        <w:b/>
        <w:sz w:val="18"/>
      </w:rPr>
      <w:fldChar w:fldCharType="separate"/>
    </w:r>
    <w:r w:rsidR="0022224C">
      <w:rPr>
        <w:b/>
        <w:noProof/>
        <w:sz w:val="18"/>
      </w:rPr>
      <w:t>11</w:t>
    </w:r>
    <w:r w:rsidRPr="007D747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6AE82" w14:textId="3122E1B7" w:rsidR="0088574B" w:rsidRPr="00DF2AA7" w:rsidRDefault="00DF2AA7" w:rsidP="00DF2AA7">
    <w:pPr>
      <w:pStyle w:val="Footer"/>
      <w:tabs>
        <w:tab w:val="left" w:pos="6520"/>
        <w:tab w:val="right" w:pos="9638"/>
      </w:tabs>
      <w:spacing w:before="120"/>
      <w:rPr>
        <w:sz w:val="20"/>
      </w:rPr>
    </w:pPr>
    <w:r>
      <w:rPr>
        <w:sz w:val="20"/>
      </w:rPr>
      <w:tab/>
    </w:r>
    <w:r w:rsidRPr="00DF2AA7">
      <w:rPr>
        <w:noProof/>
        <w:sz w:val="20"/>
        <w:lang w:val="en-GB" w:eastAsia="en-GB"/>
      </w:rPr>
      <w:drawing>
        <wp:inline distT="0" distB="0" distL="0" distR="0" wp14:anchorId="29D2C5BE" wp14:editId="15F8C7B1">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lang w:val="en-GB" w:eastAsia="en-GB"/>
      </w:rPr>
      <w:drawing>
        <wp:inline distT="0" distB="0" distL="0" distR="0" wp14:anchorId="091F8AAE" wp14:editId="0A261674">
          <wp:extent cx="636270" cy="63627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469AC" w14:textId="77777777" w:rsidR="00F70109" w:rsidRPr="00AC3823" w:rsidRDefault="00F70109" w:rsidP="00AC3823">
      <w:pPr>
        <w:pStyle w:val="Footer"/>
        <w:tabs>
          <w:tab w:val="right" w:pos="2155"/>
        </w:tabs>
        <w:spacing w:after="80" w:line="240" w:lineRule="atLeast"/>
        <w:ind w:left="680"/>
        <w:rPr>
          <w:u w:val="single"/>
        </w:rPr>
      </w:pPr>
      <w:r>
        <w:rPr>
          <w:u w:val="single"/>
        </w:rPr>
        <w:tab/>
      </w:r>
    </w:p>
  </w:footnote>
  <w:footnote w:type="continuationSeparator" w:id="0">
    <w:p w14:paraId="74C23C9B" w14:textId="77777777" w:rsidR="00F70109" w:rsidRPr="00AC3823" w:rsidRDefault="00F70109" w:rsidP="00AC3823">
      <w:pPr>
        <w:pStyle w:val="Footer"/>
        <w:tabs>
          <w:tab w:val="right" w:pos="2155"/>
        </w:tabs>
        <w:spacing w:after="80" w:line="240" w:lineRule="atLeast"/>
        <w:ind w:left="680"/>
        <w:rPr>
          <w:u w:val="single"/>
        </w:rPr>
      </w:pPr>
      <w:r>
        <w:rPr>
          <w:u w:val="single"/>
        </w:rPr>
        <w:tab/>
      </w:r>
    </w:p>
  </w:footnote>
  <w:footnote w:type="continuationNotice" w:id="1">
    <w:p w14:paraId="2B264A35" w14:textId="77777777" w:rsidR="00F70109" w:rsidRPr="00AC3823" w:rsidRDefault="00F70109">
      <w:pPr>
        <w:spacing w:line="240" w:lineRule="auto"/>
        <w:rPr>
          <w:sz w:val="2"/>
          <w:szCs w:val="2"/>
        </w:rPr>
      </w:pPr>
    </w:p>
  </w:footnote>
  <w:footnote w:id="2">
    <w:p w14:paraId="7FE3CE24" w14:textId="0A1920E8" w:rsidR="00312063" w:rsidRPr="00755A70" w:rsidRDefault="00312063" w:rsidP="00312063">
      <w:pPr>
        <w:pStyle w:val="FootnoteText"/>
      </w:pPr>
      <w:r w:rsidRPr="00755A70">
        <w:rPr>
          <w:rStyle w:val="FootnoteReference"/>
          <w:vertAlign w:val="baseline"/>
        </w:rPr>
        <w:tab/>
        <w:t>*</w:t>
      </w:r>
      <w:r w:rsidRPr="00755A70">
        <w:rPr>
          <w:rStyle w:val="FootnoteReference"/>
          <w:vertAlign w:val="baseline"/>
        </w:rPr>
        <w:tab/>
      </w:r>
      <w:r>
        <w:t>Adoptées par le Comité à sa 134</w:t>
      </w:r>
      <w:r w:rsidRPr="00755A70">
        <w:rPr>
          <w:vertAlign w:val="superscript"/>
        </w:rPr>
        <w:t>e</w:t>
      </w:r>
      <w:r>
        <w:t xml:space="preserve"> session (28 février-25 mars</w:t>
      </w:r>
      <w:r w:rsidRPr="00755A70">
        <w:t xml:space="preserve"> 202</w:t>
      </w:r>
      <w:r>
        <w:t>2</w:t>
      </w:r>
      <w:r w:rsidRPr="00755A70">
        <w:t>).</w:t>
      </w:r>
    </w:p>
  </w:footnote>
  <w:footnote w:id="3">
    <w:p w14:paraId="616835CF" w14:textId="6EA84017" w:rsidR="00312063" w:rsidRPr="00755A70" w:rsidRDefault="00312063" w:rsidP="005324F1">
      <w:pPr>
        <w:pStyle w:val="FootnoteText"/>
        <w:jc w:val="both"/>
      </w:pPr>
      <w:r w:rsidRPr="00755A70">
        <w:rPr>
          <w:rStyle w:val="FootnoteReference"/>
          <w:vertAlign w:val="baseline"/>
        </w:rPr>
        <w:tab/>
        <w:t>**</w:t>
      </w:r>
      <w:r w:rsidRPr="00755A70">
        <w:rPr>
          <w:rStyle w:val="FootnoteReference"/>
          <w:vertAlign w:val="baseline"/>
        </w:rPr>
        <w:tab/>
      </w:r>
      <w:r w:rsidRPr="00247FF1">
        <w:t>Les membres du Comité dont le nom suit ont participé à l’examen de la communication</w:t>
      </w:r>
      <w:r w:rsidRPr="00454F1B">
        <w:t xml:space="preserve"> : Tania María Abdo </w:t>
      </w:r>
      <w:proofErr w:type="spellStart"/>
      <w:r w:rsidRPr="00454F1B">
        <w:t>Rocholl</w:t>
      </w:r>
      <w:proofErr w:type="spellEnd"/>
      <w:r w:rsidRPr="00454F1B">
        <w:t xml:space="preserve">, </w:t>
      </w:r>
      <w:proofErr w:type="spellStart"/>
      <w:r w:rsidRPr="00AF0004">
        <w:t>Wafaa</w:t>
      </w:r>
      <w:proofErr w:type="spellEnd"/>
      <w:r w:rsidRPr="00AF0004">
        <w:t xml:space="preserve"> Ashraf </w:t>
      </w:r>
      <w:proofErr w:type="spellStart"/>
      <w:r w:rsidRPr="00AF0004">
        <w:t>Moharram</w:t>
      </w:r>
      <w:proofErr w:type="spellEnd"/>
      <w:r w:rsidRPr="00AF0004">
        <w:t xml:space="preserve"> </w:t>
      </w:r>
      <w:proofErr w:type="spellStart"/>
      <w:r w:rsidRPr="00AF0004">
        <w:t>Bassim</w:t>
      </w:r>
      <w:proofErr w:type="spellEnd"/>
      <w:r>
        <w:t>,</w:t>
      </w:r>
      <w:r w:rsidRPr="006035AE">
        <w:t xml:space="preserve"> </w:t>
      </w:r>
      <w:proofErr w:type="spellStart"/>
      <w:r w:rsidRPr="00755A70">
        <w:t>Yadh</w:t>
      </w:r>
      <w:proofErr w:type="spellEnd"/>
      <w:r w:rsidRPr="00755A70">
        <w:t xml:space="preserve"> Ben Achour, Arif </w:t>
      </w:r>
      <w:proofErr w:type="spellStart"/>
      <w:r w:rsidRPr="00755A70">
        <w:t>Bulkan</w:t>
      </w:r>
      <w:proofErr w:type="spellEnd"/>
      <w:r w:rsidRPr="00755A70">
        <w:t xml:space="preserve">, </w:t>
      </w:r>
      <w:proofErr w:type="spellStart"/>
      <w:r w:rsidRPr="00755A70">
        <w:t>Mahjoub</w:t>
      </w:r>
      <w:proofErr w:type="spellEnd"/>
      <w:r w:rsidRPr="00755A70">
        <w:t xml:space="preserve"> El </w:t>
      </w:r>
      <w:proofErr w:type="spellStart"/>
      <w:r w:rsidRPr="00755A70">
        <w:t>Haiba</w:t>
      </w:r>
      <w:proofErr w:type="spellEnd"/>
      <w:r w:rsidRPr="00755A70">
        <w:t xml:space="preserve">, </w:t>
      </w:r>
      <w:proofErr w:type="spellStart"/>
      <w:r>
        <w:t>Shuichi</w:t>
      </w:r>
      <w:proofErr w:type="spellEnd"/>
      <w:r>
        <w:t xml:space="preserve"> </w:t>
      </w:r>
      <w:proofErr w:type="spellStart"/>
      <w:r>
        <w:t>Furuya</w:t>
      </w:r>
      <w:proofErr w:type="spellEnd"/>
      <w:r>
        <w:t xml:space="preserve">, </w:t>
      </w:r>
      <w:r w:rsidRPr="00AF0004">
        <w:t>Carlos G</w:t>
      </w:r>
      <w:r>
        <w:t>ó</w:t>
      </w:r>
      <w:r w:rsidRPr="00AF0004">
        <w:t xml:space="preserve">mez </w:t>
      </w:r>
      <w:proofErr w:type="spellStart"/>
      <w:r w:rsidRPr="00AF0004">
        <w:t>Mart</w:t>
      </w:r>
      <w:r w:rsidRPr="00454F1B">
        <w:t>í</w:t>
      </w:r>
      <w:r w:rsidRPr="00AF0004">
        <w:t>nez</w:t>
      </w:r>
      <w:proofErr w:type="spellEnd"/>
      <w:r w:rsidRPr="00AF0004">
        <w:t xml:space="preserve">, </w:t>
      </w:r>
      <w:r>
        <w:t xml:space="preserve">Marcia V.J. </w:t>
      </w:r>
      <w:proofErr w:type="spellStart"/>
      <w:r>
        <w:t>Kran</w:t>
      </w:r>
      <w:proofErr w:type="spellEnd"/>
      <w:r>
        <w:t xml:space="preserve">, </w:t>
      </w:r>
      <w:r w:rsidRPr="00755A70">
        <w:t xml:space="preserve">Duncan </w:t>
      </w:r>
      <w:proofErr w:type="spellStart"/>
      <w:r w:rsidRPr="00755A70">
        <w:t>Laki</w:t>
      </w:r>
      <w:proofErr w:type="spellEnd"/>
      <w:r w:rsidRPr="00755A70">
        <w:t xml:space="preserve"> </w:t>
      </w:r>
      <w:proofErr w:type="spellStart"/>
      <w:r w:rsidRPr="00755A70">
        <w:t>Muhumuza</w:t>
      </w:r>
      <w:proofErr w:type="spellEnd"/>
      <w:r w:rsidRPr="00755A70">
        <w:t xml:space="preserve">, </w:t>
      </w:r>
      <w:proofErr w:type="spellStart"/>
      <w:r w:rsidRPr="00755A70">
        <w:t>Photini</w:t>
      </w:r>
      <w:proofErr w:type="spellEnd"/>
      <w:r w:rsidRPr="00755A70">
        <w:t xml:space="preserve"> </w:t>
      </w:r>
      <w:proofErr w:type="spellStart"/>
      <w:r w:rsidRPr="00755A70">
        <w:t>Pazartzis</w:t>
      </w:r>
      <w:proofErr w:type="spellEnd"/>
      <w:r w:rsidRPr="00755A70">
        <w:t xml:space="preserve">, Hernán </w:t>
      </w:r>
      <w:proofErr w:type="spellStart"/>
      <w:r w:rsidRPr="00755A70">
        <w:t>Quezada</w:t>
      </w:r>
      <w:proofErr w:type="spellEnd"/>
      <w:r w:rsidRPr="00247FF1">
        <w:t xml:space="preserve"> </w:t>
      </w:r>
      <w:r w:rsidRPr="00755A70">
        <w:t xml:space="preserve">Cabrera, </w:t>
      </w:r>
      <w:proofErr w:type="spellStart"/>
      <w:r w:rsidRPr="00755A70">
        <w:t>Vasilka</w:t>
      </w:r>
      <w:proofErr w:type="spellEnd"/>
      <w:r w:rsidRPr="00755A70">
        <w:t xml:space="preserve"> </w:t>
      </w:r>
      <w:proofErr w:type="spellStart"/>
      <w:r w:rsidRPr="00755A70">
        <w:t>Sancin</w:t>
      </w:r>
      <w:proofErr w:type="spellEnd"/>
      <w:r w:rsidRPr="00755A70">
        <w:t xml:space="preserve">, José Manuel Santos Pais, </w:t>
      </w:r>
      <w:proofErr w:type="spellStart"/>
      <w:r w:rsidRPr="00AF0004">
        <w:t>Kobauyah</w:t>
      </w:r>
      <w:proofErr w:type="spellEnd"/>
      <w:r w:rsidRPr="00AF0004">
        <w:t xml:space="preserve"> </w:t>
      </w:r>
      <w:proofErr w:type="spellStart"/>
      <w:r w:rsidRPr="00AF0004">
        <w:t>Tchamdja</w:t>
      </w:r>
      <w:proofErr w:type="spellEnd"/>
      <w:r w:rsidRPr="00AF0004">
        <w:t xml:space="preserve"> </w:t>
      </w:r>
      <w:proofErr w:type="spellStart"/>
      <w:r w:rsidRPr="00AF0004">
        <w:t>Kpatcha</w:t>
      </w:r>
      <w:proofErr w:type="spellEnd"/>
      <w:r w:rsidRPr="00AF0004">
        <w:t xml:space="preserve">, </w:t>
      </w:r>
      <w:r w:rsidRPr="00755A70">
        <w:t xml:space="preserve">Hélène </w:t>
      </w:r>
      <w:proofErr w:type="spellStart"/>
      <w:r w:rsidRPr="00755A70">
        <w:t>Tigroudja</w:t>
      </w:r>
      <w:proofErr w:type="spellEnd"/>
      <w:r w:rsidRPr="00755A70">
        <w:t xml:space="preserve">, </w:t>
      </w:r>
      <w:proofErr w:type="spellStart"/>
      <w:r w:rsidRPr="00755A70">
        <w:t>Imeru</w:t>
      </w:r>
      <w:proofErr w:type="spellEnd"/>
      <w:r w:rsidRPr="00755A70">
        <w:t xml:space="preserve"> </w:t>
      </w:r>
      <w:proofErr w:type="spellStart"/>
      <w:r w:rsidRPr="00755A70">
        <w:t>Tamerat</w:t>
      </w:r>
      <w:proofErr w:type="spellEnd"/>
      <w:r w:rsidRPr="00755A70">
        <w:t xml:space="preserve"> </w:t>
      </w:r>
      <w:proofErr w:type="spellStart"/>
      <w:r w:rsidRPr="00755A70">
        <w:t>Yigezu</w:t>
      </w:r>
      <w:proofErr w:type="spellEnd"/>
      <w:r w:rsidRPr="00755A70">
        <w:t xml:space="preserve"> et </w:t>
      </w:r>
      <w:proofErr w:type="spellStart"/>
      <w:r w:rsidRPr="00755A70">
        <w:t>Gentian</w:t>
      </w:r>
      <w:proofErr w:type="spellEnd"/>
      <w:r w:rsidRPr="00755A70">
        <w:t xml:space="preserve"> </w:t>
      </w:r>
      <w:proofErr w:type="spellStart"/>
      <w:r w:rsidRPr="00755A70">
        <w:t>Zyberi</w:t>
      </w:r>
      <w:proofErr w:type="spellEnd"/>
      <w:r w:rsidRPr="00755A70">
        <w:t>.</w:t>
      </w:r>
    </w:p>
  </w:footnote>
  <w:footnote w:id="4">
    <w:p w14:paraId="14DC7310" w14:textId="657C3CC0" w:rsidR="005324F1" w:rsidRPr="006122F2" w:rsidRDefault="005324F1" w:rsidP="005324F1">
      <w:pPr>
        <w:pStyle w:val="FootnoteText"/>
        <w:jc w:val="both"/>
      </w:pPr>
      <w:r>
        <w:tab/>
      </w:r>
      <w:r>
        <w:rPr>
          <w:rStyle w:val="FootnoteReference"/>
        </w:rPr>
        <w:footnoteRef/>
      </w:r>
      <w:r>
        <w:tab/>
        <w:t>Une communication alléguant sa</w:t>
      </w:r>
      <w:r w:rsidRPr="006122F2">
        <w:t xml:space="preserve"> disparition forcée</w:t>
      </w:r>
      <w:r>
        <w:t xml:space="preserve"> a été également enregistrée par le Comité.</w:t>
      </w:r>
    </w:p>
  </w:footnote>
  <w:footnote w:id="5">
    <w:p w14:paraId="302369F9" w14:textId="1ADE5034" w:rsidR="00052F40" w:rsidRPr="00664366" w:rsidRDefault="00052F40" w:rsidP="00203E86">
      <w:pPr>
        <w:pStyle w:val="FootnoteText"/>
        <w:jc w:val="both"/>
        <w:rPr>
          <w:lang w:val="fr-FR"/>
        </w:rPr>
      </w:pPr>
      <w:r>
        <w:rPr>
          <w:lang w:val="fr-FR"/>
        </w:rPr>
        <w:tab/>
      </w:r>
      <w:r w:rsidRPr="00664366">
        <w:rPr>
          <w:rStyle w:val="FootnoteReference"/>
        </w:rPr>
        <w:footnoteRef/>
      </w:r>
      <w:r>
        <w:rPr>
          <w:lang w:val="fr-FR"/>
        </w:rPr>
        <w:tab/>
        <w:t>Les dates de ces visites ne sont pas précisées.</w:t>
      </w:r>
    </w:p>
  </w:footnote>
  <w:footnote w:id="6">
    <w:p w14:paraId="1BCACA8F" w14:textId="07B04446" w:rsidR="00052F40" w:rsidRPr="00664366" w:rsidRDefault="00052F40" w:rsidP="00203E86">
      <w:pPr>
        <w:pStyle w:val="FootnoteText"/>
        <w:jc w:val="both"/>
        <w:rPr>
          <w:lang w:val="fr-FR"/>
        </w:rPr>
      </w:pPr>
      <w:r>
        <w:rPr>
          <w:lang w:val="fr-FR"/>
        </w:rPr>
        <w:tab/>
      </w:r>
      <w:r w:rsidRPr="00664366">
        <w:rPr>
          <w:rStyle w:val="FootnoteReference"/>
        </w:rPr>
        <w:footnoteRef/>
      </w:r>
      <w:r>
        <w:rPr>
          <w:lang w:val="fr-FR"/>
        </w:rPr>
        <w:tab/>
      </w:r>
      <w:r>
        <w:rPr>
          <w:lang w:val="fr-FR"/>
        </w:rPr>
        <w:tab/>
      </w:r>
      <w:r w:rsidR="007A7810">
        <w:rPr>
          <w:lang w:val="fr-FR"/>
        </w:rPr>
        <w:t>La</w:t>
      </w:r>
      <w:r>
        <w:rPr>
          <w:lang w:val="fr-FR"/>
        </w:rPr>
        <w:t xml:space="preserve"> date exacte</w:t>
      </w:r>
      <w:r w:rsidR="007A7810">
        <w:rPr>
          <w:lang w:val="fr-FR"/>
        </w:rPr>
        <w:t xml:space="preserve"> n’est pas connue</w:t>
      </w:r>
      <w:r>
        <w:rPr>
          <w:lang w:val="fr-FR"/>
        </w:rPr>
        <w:t>.</w:t>
      </w:r>
    </w:p>
  </w:footnote>
  <w:footnote w:id="7">
    <w:p w14:paraId="4DC9969B" w14:textId="6F2F58A3" w:rsidR="00052F40" w:rsidRPr="00664366" w:rsidRDefault="00052F40" w:rsidP="00203E86">
      <w:pPr>
        <w:pStyle w:val="FootnoteText"/>
        <w:jc w:val="both"/>
        <w:rPr>
          <w:lang w:val="fr-FR"/>
        </w:rPr>
      </w:pPr>
      <w:r>
        <w:rPr>
          <w:lang w:val="fr-FR"/>
        </w:rPr>
        <w:tab/>
      </w:r>
      <w:r w:rsidRPr="00664366">
        <w:rPr>
          <w:rStyle w:val="FootnoteReference"/>
        </w:rPr>
        <w:footnoteRef/>
      </w:r>
      <w:r>
        <w:rPr>
          <w:lang w:val="fr-FR"/>
        </w:rPr>
        <w:tab/>
        <w:t>La date exacte du courrier n’est pas indiquée.</w:t>
      </w:r>
    </w:p>
  </w:footnote>
  <w:footnote w:id="8">
    <w:p w14:paraId="75527B19" w14:textId="6996305E" w:rsidR="00FE7B35" w:rsidRPr="00087782" w:rsidRDefault="00AA6A30" w:rsidP="00203E86">
      <w:pPr>
        <w:pStyle w:val="FootnoteText"/>
        <w:jc w:val="both"/>
        <w:rPr>
          <w:lang w:val="fr-FR"/>
        </w:rPr>
      </w:pPr>
      <w:r>
        <w:rPr>
          <w:lang w:val="fr-FR"/>
        </w:rPr>
        <w:tab/>
      </w:r>
      <w:r w:rsidR="00FE7B35">
        <w:rPr>
          <w:rStyle w:val="FootnoteReference"/>
        </w:rPr>
        <w:footnoteRef/>
      </w:r>
      <w:r>
        <w:rPr>
          <w:lang w:val="fr-FR"/>
        </w:rPr>
        <w:tab/>
      </w:r>
      <w:r w:rsidR="00FE7B35">
        <w:rPr>
          <w:lang w:val="fr-FR"/>
        </w:rPr>
        <w:t>Pas d’autres détails.</w:t>
      </w:r>
    </w:p>
  </w:footnote>
  <w:footnote w:id="9">
    <w:p w14:paraId="16576E0E" w14:textId="7A269EF9" w:rsidR="008F77FB" w:rsidRPr="008F77FB" w:rsidRDefault="008F77FB" w:rsidP="008F77FB">
      <w:pPr>
        <w:pStyle w:val="FootnoteText"/>
        <w:jc w:val="both"/>
      </w:pPr>
      <w:r>
        <w:tab/>
      </w:r>
      <w:r>
        <w:rPr>
          <w:rStyle w:val="FootnoteReference"/>
        </w:rPr>
        <w:footnoteRef/>
      </w:r>
      <w:r>
        <w:tab/>
        <w:t xml:space="preserve">L’affaire est toujours pendante devant le </w:t>
      </w:r>
      <w:r w:rsidRPr="008F77FB">
        <w:t>Groupe de travail sur les disparitions forcées ou involontaires</w:t>
      </w:r>
      <w:r>
        <w:t>.</w:t>
      </w:r>
    </w:p>
  </w:footnote>
  <w:footnote w:id="10">
    <w:p w14:paraId="0DB61227" w14:textId="77777777" w:rsidR="004119F5" w:rsidRPr="00DE54D3" w:rsidRDefault="004119F5" w:rsidP="00203E86">
      <w:pPr>
        <w:pStyle w:val="FootnoteText"/>
        <w:jc w:val="both"/>
      </w:pPr>
      <w:r w:rsidRPr="00DE54D3">
        <w:tab/>
      </w:r>
      <w:r w:rsidRPr="00DE54D3">
        <w:rPr>
          <w:rStyle w:val="FootnoteReference"/>
          <w:szCs w:val="18"/>
        </w:rPr>
        <w:footnoteRef/>
      </w:r>
      <w:r w:rsidRPr="00DE54D3">
        <w:tab/>
        <w:t>CCPR/C/79/Add.95, par. 10.</w:t>
      </w:r>
    </w:p>
  </w:footnote>
  <w:footnote w:id="11">
    <w:p w14:paraId="7B45080E" w14:textId="77777777" w:rsidR="00C03233" w:rsidRPr="00DE54D3" w:rsidRDefault="00C03233" w:rsidP="00C03233">
      <w:pPr>
        <w:pStyle w:val="FootnoteText"/>
        <w:jc w:val="both"/>
      </w:pPr>
      <w:r w:rsidRPr="00DE54D3">
        <w:tab/>
      </w:r>
      <w:r w:rsidRPr="00DE54D3">
        <w:rPr>
          <w:rStyle w:val="FootnoteReference"/>
        </w:rPr>
        <w:footnoteRef/>
      </w:r>
      <w:r w:rsidRPr="00DE54D3">
        <w:tab/>
        <w:t xml:space="preserve">Voir, entre autres, l’opinion individuelle concordante de </w:t>
      </w:r>
      <w:proofErr w:type="spellStart"/>
      <w:r w:rsidRPr="00DE54D3">
        <w:t>Fabián</w:t>
      </w:r>
      <w:proofErr w:type="spellEnd"/>
      <w:r w:rsidRPr="00DE54D3">
        <w:t xml:space="preserve"> </w:t>
      </w:r>
      <w:proofErr w:type="spellStart"/>
      <w:r w:rsidRPr="00DE54D3">
        <w:t>Salvioli</w:t>
      </w:r>
      <w:proofErr w:type="spellEnd"/>
      <w:r w:rsidRPr="00DE54D3">
        <w:t xml:space="preserve">, dans l’affaire </w:t>
      </w:r>
      <w:proofErr w:type="spellStart"/>
      <w:r w:rsidRPr="00DE54D3">
        <w:rPr>
          <w:i/>
        </w:rPr>
        <w:t>Djebbar</w:t>
      </w:r>
      <w:proofErr w:type="spellEnd"/>
      <w:r w:rsidRPr="00DE54D3">
        <w:rPr>
          <w:i/>
        </w:rPr>
        <w:t xml:space="preserve"> et </w:t>
      </w:r>
      <w:proofErr w:type="spellStart"/>
      <w:r w:rsidRPr="00DE54D3">
        <w:rPr>
          <w:i/>
        </w:rPr>
        <w:t>Chihoub</w:t>
      </w:r>
      <w:proofErr w:type="spellEnd"/>
      <w:r w:rsidRPr="00DE54D3">
        <w:rPr>
          <w:i/>
        </w:rPr>
        <w:t xml:space="preserve"> c. Algérie</w:t>
      </w:r>
      <w:r w:rsidRPr="00DE54D3">
        <w:t xml:space="preserve"> (CCPR/C/103/D/1811/2008).</w:t>
      </w:r>
    </w:p>
  </w:footnote>
  <w:footnote w:id="12">
    <w:p w14:paraId="2252F9DF" w14:textId="77777777" w:rsidR="00C03233" w:rsidRPr="00DE54D3" w:rsidRDefault="00C03233" w:rsidP="00C03233">
      <w:pPr>
        <w:pStyle w:val="FootnoteText"/>
        <w:jc w:val="both"/>
      </w:pPr>
      <w:r w:rsidRPr="00DE54D3">
        <w:t xml:space="preserve"> </w:t>
      </w:r>
      <w:r w:rsidRPr="00DE54D3">
        <w:tab/>
      </w:r>
      <w:r w:rsidRPr="00DE54D3">
        <w:rPr>
          <w:rStyle w:val="FootnoteReference"/>
        </w:rPr>
        <w:footnoteRef/>
      </w:r>
      <w:r w:rsidRPr="00DE54D3">
        <w:tab/>
        <w:t>Comité des droits de l’homme, observation générale n</w:t>
      </w:r>
      <w:r w:rsidRPr="00DE54D3">
        <w:rPr>
          <w:vertAlign w:val="superscript"/>
        </w:rPr>
        <w:t>o</w:t>
      </w:r>
      <w:r w:rsidRPr="00DE54D3">
        <w:t xml:space="preserve"> 31 (2004), par. 4.</w:t>
      </w:r>
    </w:p>
  </w:footnote>
  <w:footnote w:id="13">
    <w:p w14:paraId="6448B25B" w14:textId="77777777" w:rsidR="00C03233" w:rsidRPr="00DE54D3" w:rsidRDefault="00C03233" w:rsidP="00C03233">
      <w:pPr>
        <w:pStyle w:val="FootnoteText"/>
        <w:jc w:val="both"/>
      </w:pPr>
      <w:r w:rsidRPr="00DE54D3">
        <w:tab/>
      </w:r>
      <w:r w:rsidRPr="00DE54D3">
        <w:rPr>
          <w:rStyle w:val="FootnoteReference"/>
          <w:szCs w:val="18"/>
        </w:rPr>
        <w:footnoteRef/>
      </w:r>
      <w:r w:rsidRPr="00DE54D3">
        <w:tab/>
        <w:t>CCPR/C/DZA/CO/3, par. 7 et 8.</w:t>
      </w:r>
    </w:p>
  </w:footnote>
  <w:footnote w:id="14">
    <w:p w14:paraId="53EF3ECD" w14:textId="6EB666E2" w:rsidR="00C03233" w:rsidRPr="00DE54D3" w:rsidRDefault="00C03233" w:rsidP="00C03233">
      <w:pPr>
        <w:pStyle w:val="FootnoteText"/>
        <w:jc w:val="both"/>
      </w:pPr>
      <w:r w:rsidRPr="00DE54D3">
        <w:tab/>
      </w:r>
      <w:r w:rsidRPr="00DE54D3">
        <w:rPr>
          <w:rStyle w:val="FootnoteReference"/>
        </w:rPr>
        <w:footnoteRef/>
      </w:r>
      <w:r w:rsidRPr="00DE54D3">
        <w:tab/>
        <w:t>Comité des droits de l’homme,</w:t>
      </w:r>
      <w:r w:rsidR="00452C1E">
        <w:rPr>
          <w:lang w:val="fr-FR"/>
        </w:rPr>
        <w:t xml:space="preserve"> </w:t>
      </w:r>
      <w:r w:rsidR="00452C1E" w:rsidRPr="00DE54D3">
        <w:t>observation</w:t>
      </w:r>
      <w:r w:rsidRPr="00DE54D3">
        <w:rPr>
          <w:lang w:val="fr-FR"/>
        </w:rPr>
        <w:t xml:space="preserve"> générale n</w:t>
      </w:r>
      <w:r w:rsidRPr="00DE54D3">
        <w:rPr>
          <w:vertAlign w:val="superscript"/>
          <w:lang w:val="fr-FR"/>
        </w:rPr>
        <w:t>o</w:t>
      </w:r>
      <w:r w:rsidRPr="00DE54D3">
        <w:rPr>
          <w:lang w:val="fr-FR"/>
        </w:rPr>
        <w:t xml:space="preserve"> 31, par. 16.</w:t>
      </w:r>
    </w:p>
  </w:footnote>
  <w:footnote w:id="15">
    <w:p w14:paraId="1C490DF9" w14:textId="77777777" w:rsidR="00C03233" w:rsidRPr="00DE54D3" w:rsidRDefault="00C03233" w:rsidP="00C03233">
      <w:pPr>
        <w:pStyle w:val="FootnoteText"/>
        <w:jc w:val="both"/>
        <w:rPr>
          <w:lang w:val="fr-FR"/>
        </w:rPr>
      </w:pPr>
      <w:r w:rsidRPr="00DE54D3">
        <w:tab/>
      </w:r>
      <w:r w:rsidRPr="00DE54D3">
        <w:rPr>
          <w:rStyle w:val="FootnoteReference"/>
        </w:rPr>
        <w:footnoteRef/>
      </w:r>
      <w:r w:rsidRPr="00DE54D3">
        <w:rPr>
          <w:lang w:val="fr-FR"/>
        </w:rPr>
        <w:tab/>
        <w:t>CCPR/C/DZA/CO/3, par. 12.</w:t>
      </w:r>
    </w:p>
  </w:footnote>
  <w:footnote w:id="16">
    <w:p w14:paraId="1CE323F5" w14:textId="59CD66D6" w:rsidR="00E52E4F" w:rsidRPr="00DE54D3" w:rsidRDefault="00E52E4F" w:rsidP="00203E86">
      <w:pPr>
        <w:pStyle w:val="FootnoteText"/>
        <w:jc w:val="both"/>
        <w:rPr>
          <w:lang w:val="fr-FR"/>
        </w:rPr>
      </w:pPr>
      <w:r w:rsidRPr="00DE54D3">
        <w:rPr>
          <w:lang w:val="fr-FR"/>
        </w:rPr>
        <w:tab/>
      </w:r>
      <w:r w:rsidRPr="00DE54D3">
        <w:rPr>
          <w:rStyle w:val="FootnoteReference"/>
        </w:rPr>
        <w:footnoteRef/>
      </w:r>
      <w:r w:rsidRPr="00DE54D3">
        <w:tab/>
      </w:r>
      <w:r w:rsidR="00653204" w:rsidRPr="00DE54D3">
        <w:rPr>
          <w:lang w:val="fr-FR"/>
        </w:rPr>
        <w:t>Voir, entre autres,</w:t>
      </w:r>
      <w:r w:rsidR="00653204">
        <w:rPr>
          <w:lang w:val="fr-FR"/>
        </w:rPr>
        <w:t xml:space="preserve"> </w:t>
      </w:r>
      <w:proofErr w:type="spellStart"/>
      <w:r w:rsidRPr="00DE54D3">
        <w:rPr>
          <w:i/>
          <w:iCs/>
          <w:lang w:val="fr-FR"/>
        </w:rPr>
        <w:t>Mezine</w:t>
      </w:r>
      <w:proofErr w:type="spellEnd"/>
      <w:r w:rsidRPr="00DE54D3">
        <w:rPr>
          <w:i/>
          <w:iCs/>
          <w:lang w:val="fr-FR"/>
        </w:rPr>
        <w:t xml:space="preserve"> c. Algérie</w:t>
      </w:r>
      <w:r w:rsidR="00F2054C" w:rsidRPr="00DE54D3">
        <w:rPr>
          <w:i/>
          <w:iCs/>
          <w:lang w:val="fr-FR"/>
        </w:rPr>
        <w:t xml:space="preserve"> </w:t>
      </w:r>
      <w:r w:rsidR="00F2054C" w:rsidRPr="00DE54D3">
        <w:rPr>
          <w:lang w:val="fr-FR"/>
        </w:rPr>
        <w:t>(CCPR/C/106/D/1779/2008)</w:t>
      </w:r>
      <w:r w:rsidRPr="00DE54D3">
        <w:rPr>
          <w:lang w:val="fr-FR"/>
        </w:rPr>
        <w:t>, par. 8.3</w:t>
      </w:r>
      <w:r w:rsidR="00D45274" w:rsidRPr="00DE54D3">
        <w:rPr>
          <w:lang w:val="fr-FR"/>
        </w:rPr>
        <w:t> ;</w:t>
      </w:r>
      <w:r w:rsidRPr="00DE54D3">
        <w:rPr>
          <w:lang w:val="fr-FR"/>
        </w:rPr>
        <w:t xml:space="preserve"> </w:t>
      </w:r>
      <w:proofErr w:type="spellStart"/>
      <w:r w:rsidRPr="00C57DFE">
        <w:rPr>
          <w:i/>
          <w:iCs/>
        </w:rPr>
        <w:t>Medjnoune</w:t>
      </w:r>
      <w:proofErr w:type="spellEnd"/>
      <w:r w:rsidRPr="00DE54D3">
        <w:rPr>
          <w:i/>
          <w:iCs/>
          <w:lang w:val="fr-FR"/>
        </w:rPr>
        <w:t xml:space="preserve"> c. Algérie</w:t>
      </w:r>
      <w:r w:rsidRPr="00DE54D3">
        <w:rPr>
          <w:iCs/>
          <w:lang w:val="fr-FR"/>
        </w:rPr>
        <w:t xml:space="preserve"> </w:t>
      </w:r>
      <w:r w:rsidRPr="00DE54D3">
        <w:rPr>
          <w:lang w:val="fr-FR"/>
        </w:rPr>
        <w:t>(C</w:t>
      </w:r>
      <w:r w:rsidR="00653204">
        <w:rPr>
          <w:lang w:val="fr-FR"/>
        </w:rPr>
        <w:t xml:space="preserve">CPR/C/87/D/1297/2004), par. 8.3 ; </w:t>
      </w:r>
      <w:proofErr w:type="spellStart"/>
      <w:r w:rsidR="00653204" w:rsidRPr="00653204">
        <w:rPr>
          <w:i/>
          <w:lang w:val="fr-FR"/>
        </w:rPr>
        <w:t>Dafar</w:t>
      </w:r>
      <w:proofErr w:type="spellEnd"/>
      <w:r w:rsidR="00653204" w:rsidRPr="00653204">
        <w:rPr>
          <w:i/>
          <w:lang w:val="fr-FR"/>
        </w:rPr>
        <w:t xml:space="preserve"> c. Algérie</w:t>
      </w:r>
      <w:r w:rsidR="00653204">
        <w:rPr>
          <w:lang w:val="fr-FR"/>
        </w:rPr>
        <w:t xml:space="preserve"> (</w:t>
      </w:r>
      <w:r w:rsidR="00653204" w:rsidRPr="00653204">
        <w:rPr>
          <w:lang w:val="fr-FR"/>
        </w:rPr>
        <w:t>CCPR/C/130/D/2580/2015</w:t>
      </w:r>
      <w:r w:rsidR="00653204">
        <w:rPr>
          <w:lang w:val="fr-FR"/>
        </w:rPr>
        <w:t xml:space="preserve">), par. 4 ; et </w:t>
      </w:r>
      <w:proofErr w:type="spellStart"/>
      <w:r w:rsidR="00653204" w:rsidRPr="00653204">
        <w:rPr>
          <w:i/>
          <w:lang w:val="fr-FR"/>
        </w:rPr>
        <w:t>Rsiwi</w:t>
      </w:r>
      <w:proofErr w:type="spellEnd"/>
      <w:r w:rsidR="00653204" w:rsidRPr="00653204">
        <w:rPr>
          <w:i/>
          <w:lang w:val="fr-FR"/>
        </w:rPr>
        <w:t xml:space="preserve"> c. Algérie</w:t>
      </w:r>
      <w:r w:rsidR="00653204">
        <w:rPr>
          <w:lang w:val="fr-FR"/>
        </w:rPr>
        <w:t xml:space="preserve"> (</w:t>
      </w:r>
      <w:r w:rsidR="00653204" w:rsidRPr="00653204">
        <w:rPr>
          <w:lang w:val="fr-FR"/>
        </w:rPr>
        <w:t>CCPR/C/130/D/2843/2016</w:t>
      </w:r>
      <w:r w:rsidR="00653204">
        <w:rPr>
          <w:lang w:val="fr-FR"/>
        </w:rPr>
        <w:t>), par. 6.</w:t>
      </w:r>
    </w:p>
  </w:footnote>
  <w:footnote w:id="17">
    <w:p w14:paraId="50E733E9" w14:textId="0281C8C8" w:rsidR="004119F5" w:rsidRPr="00DE54D3" w:rsidRDefault="004119F5" w:rsidP="00203E86">
      <w:pPr>
        <w:pStyle w:val="FootnoteText"/>
        <w:jc w:val="both"/>
        <w:rPr>
          <w:lang w:val="fr-FR"/>
        </w:rPr>
      </w:pPr>
      <w:r w:rsidRPr="00DE54D3">
        <w:tab/>
      </w:r>
      <w:r w:rsidRPr="00DE54D3">
        <w:rPr>
          <w:rStyle w:val="FootnoteReference"/>
        </w:rPr>
        <w:footnoteRef/>
      </w:r>
      <w:r w:rsidRPr="00DE54D3">
        <w:tab/>
      </w:r>
      <w:r w:rsidRPr="00DE54D3">
        <w:rPr>
          <w:lang w:val="fr-FR"/>
        </w:rPr>
        <w:t xml:space="preserve">Voir, entre autres, </w:t>
      </w:r>
      <w:proofErr w:type="spellStart"/>
      <w:r w:rsidR="00660336" w:rsidRPr="00660336">
        <w:rPr>
          <w:i/>
        </w:rPr>
        <w:t>Souaiene</w:t>
      </w:r>
      <w:proofErr w:type="spellEnd"/>
      <w:r w:rsidR="00660336" w:rsidRPr="00660336">
        <w:rPr>
          <w:i/>
          <w:lang w:val="fr-FR"/>
        </w:rPr>
        <w:t xml:space="preserve"> </w:t>
      </w:r>
      <w:r w:rsidR="00660336">
        <w:rPr>
          <w:i/>
          <w:lang w:val="fr-FR"/>
        </w:rPr>
        <w:t xml:space="preserve">c. Algérie </w:t>
      </w:r>
      <w:r w:rsidR="00660336">
        <w:rPr>
          <w:lang w:val="fr-FR"/>
        </w:rPr>
        <w:t>(</w:t>
      </w:r>
      <w:r w:rsidR="00660336" w:rsidRPr="00660336">
        <w:rPr>
          <w:lang w:val="fr-FR"/>
        </w:rPr>
        <w:t>CCPR/C/128/D/3082/2017</w:t>
      </w:r>
      <w:r w:rsidR="00660336">
        <w:rPr>
          <w:lang w:val="fr-FR"/>
        </w:rPr>
        <w:t xml:space="preserve">), par. 7.2 ; </w:t>
      </w:r>
      <w:proofErr w:type="spellStart"/>
      <w:r w:rsidR="001919E8" w:rsidRPr="00DE54D3">
        <w:rPr>
          <w:i/>
          <w:lang w:val="fr-FR"/>
        </w:rPr>
        <w:t>Tharu</w:t>
      </w:r>
      <w:proofErr w:type="spellEnd"/>
      <w:r w:rsidR="00F23A9F" w:rsidRPr="00DE54D3">
        <w:rPr>
          <w:i/>
          <w:lang w:val="fr-FR"/>
        </w:rPr>
        <w:t xml:space="preserve"> et </w:t>
      </w:r>
      <w:r w:rsidR="00156355" w:rsidRPr="00DE54D3">
        <w:rPr>
          <w:i/>
          <w:lang w:val="fr-FR"/>
        </w:rPr>
        <w:t>consorts</w:t>
      </w:r>
      <w:r w:rsidR="001919E8" w:rsidRPr="00DE54D3">
        <w:rPr>
          <w:i/>
          <w:lang w:val="fr-FR"/>
        </w:rPr>
        <w:t xml:space="preserve"> c. Népal</w:t>
      </w:r>
      <w:r w:rsidR="001919E8" w:rsidRPr="00DE54D3">
        <w:rPr>
          <w:lang w:val="fr-FR"/>
        </w:rPr>
        <w:t xml:space="preserve"> (CCPR/C/114/D/2038/2011), par. 9.2 ; </w:t>
      </w:r>
      <w:proofErr w:type="spellStart"/>
      <w:r w:rsidR="001919E8" w:rsidRPr="00DE54D3">
        <w:rPr>
          <w:i/>
          <w:lang w:val="fr-FR"/>
        </w:rPr>
        <w:t>Ammari</w:t>
      </w:r>
      <w:proofErr w:type="spellEnd"/>
      <w:r w:rsidR="001919E8" w:rsidRPr="00DE54D3">
        <w:rPr>
          <w:i/>
          <w:lang w:val="fr-FR"/>
        </w:rPr>
        <w:t xml:space="preserve"> c. Algérie </w:t>
      </w:r>
      <w:r w:rsidR="001919E8" w:rsidRPr="00DE54D3">
        <w:rPr>
          <w:lang w:val="fr-FR"/>
        </w:rPr>
        <w:t>(</w:t>
      </w:r>
      <w:bookmarkStart w:id="2" w:name="_Hlk28710994"/>
      <w:r w:rsidR="001919E8" w:rsidRPr="00DE54D3">
        <w:rPr>
          <w:lang w:val="fr-FR"/>
        </w:rPr>
        <w:t>CCPR/C/112/D/2098/2011</w:t>
      </w:r>
      <w:bookmarkEnd w:id="2"/>
      <w:r w:rsidR="00F23A9F" w:rsidRPr="00DE54D3">
        <w:rPr>
          <w:lang w:val="fr-FR"/>
        </w:rPr>
        <w:t>), par. 7.2 ;</w:t>
      </w:r>
      <w:r w:rsidR="001919E8" w:rsidRPr="00DE54D3">
        <w:rPr>
          <w:i/>
          <w:lang w:val="fr-FR"/>
        </w:rPr>
        <w:t xml:space="preserve"> </w:t>
      </w:r>
      <w:proofErr w:type="spellStart"/>
      <w:r w:rsidR="00F23A9F" w:rsidRPr="00DE54D3">
        <w:rPr>
          <w:i/>
        </w:rPr>
        <w:t>Mihoubi</w:t>
      </w:r>
      <w:proofErr w:type="spellEnd"/>
      <w:r w:rsidR="00F23A9F" w:rsidRPr="00DE54D3">
        <w:t xml:space="preserve"> </w:t>
      </w:r>
      <w:r w:rsidR="00F23A9F" w:rsidRPr="00DE54D3">
        <w:rPr>
          <w:i/>
        </w:rPr>
        <w:t>c. Algérie</w:t>
      </w:r>
      <w:r w:rsidR="00F23A9F" w:rsidRPr="00DE54D3">
        <w:t xml:space="preserve"> (CCPR/C/109/D/1874/2009), par. 6.2 ; et </w:t>
      </w:r>
      <w:r w:rsidR="00F23A9F" w:rsidRPr="00DE54D3">
        <w:rPr>
          <w:i/>
        </w:rPr>
        <w:t xml:space="preserve">Al </w:t>
      </w:r>
      <w:proofErr w:type="spellStart"/>
      <w:r w:rsidR="00F23A9F" w:rsidRPr="00DE54D3">
        <w:rPr>
          <w:i/>
        </w:rPr>
        <w:t>Daquel</w:t>
      </w:r>
      <w:proofErr w:type="spellEnd"/>
      <w:r w:rsidR="00F23A9F" w:rsidRPr="00DE54D3">
        <w:rPr>
          <w:i/>
        </w:rPr>
        <w:t xml:space="preserve"> c. Libye</w:t>
      </w:r>
      <w:r w:rsidR="00F23A9F" w:rsidRPr="00DE54D3">
        <w:t xml:space="preserve"> (CCPR/C/111/D/1882/2009), par. 5.2</w:t>
      </w:r>
      <w:r w:rsidR="00DC597E" w:rsidRPr="00DE54D3">
        <w:rPr>
          <w:lang w:val="fr-FR"/>
        </w:rPr>
        <w:t>.</w:t>
      </w:r>
    </w:p>
  </w:footnote>
  <w:footnote w:id="18">
    <w:p w14:paraId="25A58370" w14:textId="0633F3FA" w:rsidR="003D63A7" w:rsidRPr="003D63A7" w:rsidRDefault="003D63A7" w:rsidP="00F81493">
      <w:pPr>
        <w:pStyle w:val="FootnoteText"/>
        <w:jc w:val="both"/>
      </w:pPr>
      <w:r>
        <w:tab/>
      </w:r>
      <w:r>
        <w:rPr>
          <w:rStyle w:val="FootnoteReference"/>
        </w:rPr>
        <w:footnoteRef/>
      </w:r>
      <w:r>
        <w:tab/>
      </w:r>
      <w:proofErr w:type="spellStart"/>
      <w:r w:rsidRPr="00653204">
        <w:rPr>
          <w:i/>
          <w:lang w:val="fr-FR"/>
        </w:rPr>
        <w:t>Rsiwi</w:t>
      </w:r>
      <w:proofErr w:type="spellEnd"/>
      <w:r w:rsidRPr="00653204">
        <w:rPr>
          <w:i/>
          <w:lang w:val="fr-FR"/>
        </w:rPr>
        <w:t xml:space="preserve"> c. Algérie</w:t>
      </w:r>
      <w:r w:rsidR="003506A7">
        <w:rPr>
          <w:lang w:val="fr-FR"/>
        </w:rPr>
        <w:t xml:space="preserve">, par. 7.3 ; </w:t>
      </w:r>
      <w:proofErr w:type="spellStart"/>
      <w:r w:rsidR="003506A7" w:rsidRPr="003506A7">
        <w:rPr>
          <w:i/>
          <w:lang w:val="fr-FR"/>
        </w:rPr>
        <w:t>Berkaoui</w:t>
      </w:r>
      <w:proofErr w:type="spellEnd"/>
      <w:r w:rsidR="003506A7" w:rsidRPr="003506A7">
        <w:rPr>
          <w:i/>
          <w:lang w:val="fr-FR"/>
        </w:rPr>
        <w:t xml:space="preserve"> c. Algérie</w:t>
      </w:r>
      <w:r w:rsidR="003506A7">
        <w:rPr>
          <w:lang w:val="fr-FR"/>
        </w:rPr>
        <w:t xml:space="preserve"> (</w:t>
      </w:r>
      <w:r w:rsidR="003506A7" w:rsidRPr="003506A7">
        <w:rPr>
          <w:lang w:val="fr-FR"/>
        </w:rPr>
        <w:t>CCPR/C/130/D/2639/2015</w:t>
      </w:r>
      <w:r w:rsidR="003506A7">
        <w:rPr>
          <w:lang w:val="fr-FR"/>
        </w:rPr>
        <w:t xml:space="preserve">), par. 7.3 ; </w:t>
      </w:r>
      <w:proofErr w:type="spellStart"/>
      <w:r w:rsidR="00F81493" w:rsidRPr="00660336">
        <w:rPr>
          <w:i/>
        </w:rPr>
        <w:t>Souaiene</w:t>
      </w:r>
      <w:proofErr w:type="spellEnd"/>
      <w:r w:rsidR="00F81493" w:rsidRPr="00660336">
        <w:rPr>
          <w:i/>
          <w:lang w:val="fr-FR"/>
        </w:rPr>
        <w:t xml:space="preserve"> </w:t>
      </w:r>
      <w:r w:rsidR="00F81493">
        <w:rPr>
          <w:i/>
          <w:lang w:val="fr-FR"/>
        </w:rPr>
        <w:t>c. Algérie</w:t>
      </w:r>
      <w:r w:rsidR="00F81493">
        <w:rPr>
          <w:lang w:val="fr-FR"/>
        </w:rPr>
        <w:t xml:space="preserve">, par. 7.3 ; </w:t>
      </w:r>
      <w:proofErr w:type="spellStart"/>
      <w:r w:rsidR="00F81493" w:rsidRPr="0051646E">
        <w:rPr>
          <w:i/>
          <w:lang w:val="fr-FR"/>
        </w:rPr>
        <w:t>Bendjael</w:t>
      </w:r>
      <w:proofErr w:type="spellEnd"/>
      <w:r w:rsidR="00F81493" w:rsidRPr="0051646E">
        <w:rPr>
          <w:i/>
          <w:lang w:val="fr-FR"/>
        </w:rPr>
        <w:t xml:space="preserve"> </w:t>
      </w:r>
      <w:r w:rsidR="00F81493" w:rsidRPr="00C57DFE">
        <w:rPr>
          <w:i/>
          <w:lang w:val="fr-FR"/>
        </w:rPr>
        <w:t>c. Algérie</w:t>
      </w:r>
      <w:r w:rsidR="00F81493">
        <w:rPr>
          <w:lang w:val="fr-FR"/>
        </w:rPr>
        <w:t xml:space="preserve"> (</w:t>
      </w:r>
      <w:r w:rsidR="00F81493" w:rsidRPr="0051646E">
        <w:rPr>
          <w:lang w:val="fr-FR"/>
        </w:rPr>
        <w:t>CCPR/C/128/D/2893/2016</w:t>
      </w:r>
      <w:r w:rsidR="00F81493">
        <w:rPr>
          <w:lang w:val="fr-FR"/>
        </w:rPr>
        <w:t>), par. 7</w:t>
      </w:r>
      <w:r w:rsidR="00F81493" w:rsidRPr="00DE54D3">
        <w:rPr>
          <w:lang w:val="fr-FR"/>
        </w:rPr>
        <w:t>.</w:t>
      </w:r>
      <w:r w:rsidR="00F81493">
        <w:rPr>
          <w:lang w:val="fr-FR"/>
        </w:rPr>
        <w:t xml:space="preserve">3 ; </w:t>
      </w:r>
      <w:proofErr w:type="spellStart"/>
      <w:r w:rsidR="00DF031F" w:rsidRPr="0051646E">
        <w:rPr>
          <w:i/>
          <w:iCs/>
        </w:rPr>
        <w:t>Cherguit</w:t>
      </w:r>
      <w:proofErr w:type="spellEnd"/>
      <w:r w:rsidR="00DF031F" w:rsidRPr="00C57DFE">
        <w:rPr>
          <w:i/>
          <w:iCs/>
          <w:lang w:val="fr-FR"/>
        </w:rPr>
        <w:t xml:space="preserve"> c. Algérie</w:t>
      </w:r>
      <w:r w:rsidR="00DF031F">
        <w:rPr>
          <w:iCs/>
          <w:lang w:val="fr-FR"/>
        </w:rPr>
        <w:t xml:space="preserve"> (</w:t>
      </w:r>
      <w:r w:rsidR="00DF031F" w:rsidRPr="0051646E">
        <w:rPr>
          <w:iCs/>
          <w:lang w:val="fr-FR"/>
        </w:rPr>
        <w:t>CCPR/C/128/D/2828/2016</w:t>
      </w:r>
      <w:r w:rsidR="00DF031F">
        <w:rPr>
          <w:iCs/>
          <w:lang w:val="fr-FR"/>
        </w:rPr>
        <w:t>)</w:t>
      </w:r>
      <w:r w:rsidR="00DF031F">
        <w:rPr>
          <w:lang w:val="fr-FR"/>
        </w:rPr>
        <w:t xml:space="preserve">, par. 6.3 ; </w:t>
      </w:r>
      <w:r w:rsidR="00A62474">
        <w:rPr>
          <w:lang w:val="fr-FR"/>
        </w:rPr>
        <w:t xml:space="preserve">et </w:t>
      </w:r>
      <w:proofErr w:type="spellStart"/>
      <w:r w:rsidR="00DF031F" w:rsidRPr="00DF031F">
        <w:rPr>
          <w:i/>
          <w:lang w:val="fr-FR"/>
        </w:rPr>
        <w:t>Habouchi</w:t>
      </w:r>
      <w:proofErr w:type="spellEnd"/>
      <w:r w:rsidR="00DF031F" w:rsidRPr="00DF031F">
        <w:rPr>
          <w:i/>
          <w:lang w:val="fr-FR"/>
        </w:rPr>
        <w:t xml:space="preserve"> c. Algérie</w:t>
      </w:r>
      <w:r w:rsidR="00DF031F">
        <w:rPr>
          <w:lang w:val="fr-FR"/>
        </w:rPr>
        <w:t xml:space="preserve"> (</w:t>
      </w:r>
      <w:r w:rsidR="00DF031F" w:rsidRPr="00DF031F">
        <w:rPr>
          <w:lang w:val="fr-FR"/>
        </w:rPr>
        <w:t>CCPR/C/128/D/2819/2016</w:t>
      </w:r>
      <w:r w:rsidR="00DF031F">
        <w:rPr>
          <w:lang w:val="fr-FR"/>
        </w:rPr>
        <w:t>), par. 7.3</w:t>
      </w:r>
      <w:r>
        <w:rPr>
          <w:lang w:val="fr-FR"/>
        </w:rPr>
        <w:t>.</w:t>
      </w:r>
    </w:p>
  </w:footnote>
  <w:footnote w:id="19">
    <w:p w14:paraId="5874668D" w14:textId="002E2479" w:rsidR="004119F5" w:rsidRPr="00DE54D3" w:rsidRDefault="004119F5" w:rsidP="00203E86">
      <w:pPr>
        <w:pStyle w:val="FootnoteText"/>
        <w:jc w:val="both"/>
        <w:rPr>
          <w:szCs w:val="18"/>
        </w:rPr>
      </w:pPr>
      <w:r w:rsidRPr="00DE54D3">
        <w:rPr>
          <w:szCs w:val="18"/>
        </w:rPr>
        <w:tab/>
      </w:r>
      <w:r w:rsidRPr="00DE54D3">
        <w:rPr>
          <w:rStyle w:val="FootnoteReference"/>
          <w:szCs w:val="18"/>
        </w:rPr>
        <w:footnoteRef/>
      </w:r>
      <w:r w:rsidRPr="00DE54D3">
        <w:rPr>
          <w:szCs w:val="18"/>
        </w:rPr>
        <w:tab/>
      </w:r>
      <w:proofErr w:type="spellStart"/>
      <w:r w:rsidR="00F23A9F" w:rsidRPr="00DE54D3">
        <w:rPr>
          <w:i/>
        </w:rPr>
        <w:t>Boudjemai</w:t>
      </w:r>
      <w:proofErr w:type="spellEnd"/>
      <w:r w:rsidR="00F23A9F" w:rsidRPr="00DE54D3">
        <w:rPr>
          <w:i/>
        </w:rPr>
        <w:t xml:space="preserve"> c. </w:t>
      </w:r>
      <w:r w:rsidR="00F23A9F" w:rsidRPr="00C57DFE">
        <w:rPr>
          <w:i/>
          <w:iCs/>
        </w:rPr>
        <w:t>Algérie</w:t>
      </w:r>
      <w:r w:rsidR="00853B8B" w:rsidRPr="00DE54D3">
        <w:rPr>
          <w:i/>
          <w:iCs/>
        </w:rPr>
        <w:t xml:space="preserve"> </w:t>
      </w:r>
      <w:r w:rsidR="00853B8B" w:rsidRPr="00DE54D3">
        <w:t>(CCPR/C/107/D/1791/2008)</w:t>
      </w:r>
      <w:r w:rsidR="00F23A9F" w:rsidRPr="00DE54D3">
        <w:t xml:space="preserve">, par. 7.4 ; </w:t>
      </w:r>
      <w:proofErr w:type="spellStart"/>
      <w:r w:rsidR="00F23A9F" w:rsidRPr="00DE54D3">
        <w:rPr>
          <w:i/>
        </w:rPr>
        <w:t>Mezine</w:t>
      </w:r>
      <w:proofErr w:type="spellEnd"/>
      <w:r w:rsidR="00F23A9F" w:rsidRPr="00DE54D3">
        <w:rPr>
          <w:i/>
        </w:rPr>
        <w:t xml:space="preserve"> c. Algérie</w:t>
      </w:r>
      <w:r w:rsidR="00F23A9F" w:rsidRPr="00DE54D3">
        <w:t xml:space="preserve">, par. 7.4 ; </w:t>
      </w:r>
      <w:proofErr w:type="spellStart"/>
      <w:r w:rsidR="00F23A9F" w:rsidRPr="00DE54D3">
        <w:rPr>
          <w:i/>
        </w:rPr>
        <w:t>Berzig</w:t>
      </w:r>
      <w:proofErr w:type="spellEnd"/>
      <w:r w:rsidR="00F23A9F" w:rsidRPr="00DE54D3">
        <w:rPr>
          <w:i/>
          <w:lang w:val="fr-FR"/>
        </w:rPr>
        <w:t xml:space="preserve"> c. Algérie</w:t>
      </w:r>
      <w:r w:rsidR="00F23A9F" w:rsidRPr="00DE54D3">
        <w:rPr>
          <w:lang w:val="fr-FR"/>
        </w:rPr>
        <w:t xml:space="preserve"> (CCPR/C/103/D/</w:t>
      </w:r>
      <w:r w:rsidR="00F23A9F" w:rsidRPr="00DE54D3">
        <w:t>1781</w:t>
      </w:r>
      <w:r w:rsidR="00F23A9F" w:rsidRPr="00DE54D3">
        <w:rPr>
          <w:lang w:val="fr-FR"/>
        </w:rPr>
        <w:t>/2008)</w:t>
      </w:r>
      <w:r w:rsidR="00F23A9F" w:rsidRPr="00DE54D3">
        <w:t xml:space="preserve">, par. 7.4 ; et </w:t>
      </w:r>
      <w:proofErr w:type="spellStart"/>
      <w:r w:rsidR="00F23A9F" w:rsidRPr="00DE54D3">
        <w:rPr>
          <w:i/>
          <w:lang w:val="fr-FR"/>
        </w:rPr>
        <w:t>Khirani</w:t>
      </w:r>
      <w:proofErr w:type="spellEnd"/>
      <w:r w:rsidR="00F23A9F" w:rsidRPr="00DE54D3">
        <w:rPr>
          <w:i/>
          <w:lang w:val="fr-FR"/>
        </w:rPr>
        <w:t xml:space="preserve"> </w:t>
      </w:r>
      <w:r w:rsidR="00F23A9F" w:rsidRPr="00DE54D3">
        <w:rPr>
          <w:rFonts w:eastAsia="MS Mincho"/>
          <w:i/>
          <w:lang w:val="fr-FR"/>
        </w:rPr>
        <w:t>c. Algérie</w:t>
      </w:r>
      <w:r w:rsidR="00F23A9F" w:rsidRPr="00DE54D3">
        <w:rPr>
          <w:rFonts w:eastAsia="MS Mincho"/>
          <w:lang w:val="fr-FR"/>
        </w:rPr>
        <w:t xml:space="preserve"> (CCPR/C/104/D/1905/2009</w:t>
      </w:r>
      <w:r w:rsidR="00182AFE" w:rsidRPr="00DE54D3">
        <w:rPr>
          <w:rFonts w:eastAsia="MS Mincho"/>
          <w:lang w:val="fr-FR"/>
        </w:rPr>
        <w:t xml:space="preserve"> et Corr.1</w:t>
      </w:r>
      <w:r w:rsidR="00F23A9F" w:rsidRPr="00DE54D3">
        <w:rPr>
          <w:rFonts w:eastAsia="MS Mincho"/>
          <w:lang w:val="fr-FR"/>
        </w:rPr>
        <w:t>)</w:t>
      </w:r>
      <w:r w:rsidR="00F23A9F" w:rsidRPr="00DE54D3">
        <w:t>, par. 6.4</w:t>
      </w:r>
      <w:r w:rsidR="00DC597E" w:rsidRPr="00DE54D3">
        <w:rPr>
          <w:szCs w:val="18"/>
        </w:rPr>
        <w:t>.</w:t>
      </w:r>
    </w:p>
  </w:footnote>
  <w:footnote w:id="20">
    <w:p w14:paraId="048F0CE3" w14:textId="6496DAD5" w:rsidR="004119F5" w:rsidRPr="00DE54D3" w:rsidRDefault="004119F5" w:rsidP="00203E86">
      <w:pPr>
        <w:pStyle w:val="FootnoteText"/>
        <w:jc w:val="both"/>
        <w:rPr>
          <w:szCs w:val="18"/>
        </w:rPr>
      </w:pPr>
      <w:r w:rsidRPr="00DE54D3">
        <w:rPr>
          <w:szCs w:val="18"/>
        </w:rPr>
        <w:tab/>
      </w:r>
      <w:r w:rsidRPr="00DE54D3">
        <w:rPr>
          <w:rStyle w:val="FootnoteReference"/>
          <w:szCs w:val="18"/>
        </w:rPr>
        <w:footnoteRef/>
      </w:r>
      <w:r w:rsidRPr="00DE54D3">
        <w:rPr>
          <w:szCs w:val="18"/>
        </w:rPr>
        <w:tab/>
      </w:r>
      <w:proofErr w:type="spellStart"/>
      <w:r w:rsidR="00A73AF8" w:rsidRPr="00653204">
        <w:rPr>
          <w:i/>
          <w:lang w:val="fr-FR"/>
        </w:rPr>
        <w:t>Rsiwi</w:t>
      </w:r>
      <w:proofErr w:type="spellEnd"/>
      <w:r w:rsidR="00A73AF8" w:rsidRPr="00653204">
        <w:rPr>
          <w:i/>
          <w:lang w:val="fr-FR"/>
        </w:rPr>
        <w:t xml:space="preserve"> c. Algérie</w:t>
      </w:r>
      <w:r w:rsidR="00A73AF8">
        <w:rPr>
          <w:lang w:val="fr-FR"/>
        </w:rPr>
        <w:t xml:space="preserve">, par. 7.4 ; </w:t>
      </w:r>
      <w:proofErr w:type="spellStart"/>
      <w:r w:rsidR="00A73AF8" w:rsidRPr="003506A7">
        <w:rPr>
          <w:i/>
          <w:lang w:val="fr-FR"/>
        </w:rPr>
        <w:t>Berkaoui</w:t>
      </w:r>
      <w:proofErr w:type="spellEnd"/>
      <w:r w:rsidR="00A73AF8" w:rsidRPr="003506A7">
        <w:rPr>
          <w:i/>
          <w:lang w:val="fr-FR"/>
        </w:rPr>
        <w:t xml:space="preserve"> c. Algérie</w:t>
      </w:r>
      <w:r w:rsidR="00A73AF8">
        <w:rPr>
          <w:lang w:val="fr-FR"/>
        </w:rPr>
        <w:t xml:space="preserve">, par. 7.4 ; </w:t>
      </w:r>
      <w:proofErr w:type="spellStart"/>
      <w:r w:rsidR="00A73AF8" w:rsidRPr="00660336">
        <w:rPr>
          <w:i/>
        </w:rPr>
        <w:t>Souaiene</w:t>
      </w:r>
      <w:proofErr w:type="spellEnd"/>
      <w:r w:rsidR="00A73AF8" w:rsidRPr="00660336">
        <w:rPr>
          <w:i/>
          <w:lang w:val="fr-FR"/>
        </w:rPr>
        <w:t xml:space="preserve"> </w:t>
      </w:r>
      <w:r w:rsidR="00A73AF8">
        <w:rPr>
          <w:i/>
          <w:lang w:val="fr-FR"/>
        </w:rPr>
        <w:t>c. Algérie</w:t>
      </w:r>
      <w:r w:rsidR="00A73AF8">
        <w:rPr>
          <w:lang w:val="fr-FR"/>
        </w:rPr>
        <w:t xml:space="preserve">, par. 7.4 ; </w:t>
      </w:r>
      <w:proofErr w:type="spellStart"/>
      <w:r w:rsidR="00A73AF8" w:rsidRPr="0051646E">
        <w:rPr>
          <w:i/>
          <w:lang w:val="fr-FR"/>
        </w:rPr>
        <w:t>Bendjael</w:t>
      </w:r>
      <w:proofErr w:type="spellEnd"/>
      <w:r w:rsidR="00A73AF8" w:rsidRPr="0051646E">
        <w:rPr>
          <w:i/>
          <w:lang w:val="fr-FR"/>
        </w:rPr>
        <w:t xml:space="preserve"> </w:t>
      </w:r>
      <w:r w:rsidR="00A73AF8" w:rsidRPr="00C57DFE">
        <w:rPr>
          <w:i/>
          <w:lang w:val="fr-FR"/>
        </w:rPr>
        <w:t>c. Algérie</w:t>
      </w:r>
      <w:r w:rsidR="00A73AF8">
        <w:rPr>
          <w:lang w:val="fr-FR"/>
        </w:rPr>
        <w:t>, par. 7</w:t>
      </w:r>
      <w:r w:rsidR="00A73AF8" w:rsidRPr="00DE54D3">
        <w:rPr>
          <w:lang w:val="fr-FR"/>
        </w:rPr>
        <w:t>.</w:t>
      </w:r>
      <w:r w:rsidR="00A73AF8">
        <w:rPr>
          <w:lang w:val="fr-FR"/>
        </w:rPr>
        <w:t xml:space="preserve">4 ; </w:t>
      </w:r>
      <w:proofErr w:type="spellStart"/>
      <w:r w:rsidR="00A73AF8" w:rsidRPr="0051646E">
        <w:rPr>
          <w:i/>
          <w:iCs/>
        </w:rPr>
        <w:t>Cherguit</w:t>
      </w:r>
      <w:proofErr w:type="spellEnd"/>
      <w:r w:rsidR="00A73AF8" w:rsidRPr="00C57DFE">
        <w:rPr>
          <w:i/>
          <w:iCs/>
          <w:lang w:val="fr-FR"/>
        </w:rPr>
        <w:t xml:space="preserve"> c. Algérie</w:t>
      </w:r>
      <w:r w:rsidR="00A73AF8">
        <w:rPr>
          <w:lang w:val="fr-FR"/>
        </w:rPr>
        <w:t xml:space="preserve">, par. 6.4 ; et </w:t>
      </w:r>
      <w:proofErr w:type="spellStart"/>
      <w:r w:rsidR="00A73AF8" w:rsidRPr="00DF031F">
        <w:rPr>
          <w:i/>
          <w:lang w:val="fr-FR"/>
        </w:rPr>
        <w:t>Habouchi</w:t>
      </w:r>
      <w:proofErr w:type="spellEnd"/>
      <w:r w:rsidR="00A73AF8" w:rsidRPr="00DF031F">
        <w:rPr>
          <w:i/>
          <w:lang w:val="fr-FR"/>
        </w:rPr>
        <w:t xml:space="preserve"> c. Algérie</w:t>
      </w:r>
      <w:r w:rsidR="00A73AF8">
        <w:rPr>
          <w:lang w:val="fr-FR"/>
        </w:rPr>
        <w:t>, par. 7.4</w:t>
      </w:r>
      <w:r w:rsidRPr="00DE54D3">
        <w:rPr>
          <w:szCs w:val="18"/>
        </w:rPr>
        <w:t>.</w:t>
      </w:r>
    </w:p>
  </w:footnote>
  <w:footnote w:id="21">
    <w:p w14:paraId="2FDCCCB9" w14:textId="3C431799" w:rsidR="00CC3C58" w:rsidRPr="00065A68" w:rsidRDefault="00CC3C58" w:rsidP="00CC3C58">
      <w:pPr>
        <w:pStyle w:val="FootnoteText"/>
      </w:pPr>
      <w:r>
        <w:tab/>
      </w:r>
      <w:r>
        <w:rPr>
          <w:rStyle w:val="FootnoteReference"/>
        </w:rPr>
        <w:footnoteRef/>
      </w:r>
      <w:r>
        <w:tab/>
      </w:r>
      <w:proofErr w:type="spellStart"/>
      <w:r w:rsidRPr="009A5C01">
        <w:rPr>
          <w:i/>
        </w:rPr>
        <w:t>Berkaoui</w:t>
      </w:r>
      <w:proofErr w:type="spellEnd"/>
      <w:r w:rsidRPr="009A5C01">
        <w:rPr>
          <w:i/>
        </w:rPr>
        <w:t xml:space="preserve"> c. Algérie</w:t>
      </w:r>
      <w:r>
        <w:t xml:space="preserve">, par. 7.5 ; </w:t>
      </w:r>
      <w:proofErr w:type="spellStart"/>
      <w:r w:rsidRPr="00653204">
        <w:rPr>
          <w:i/>
          <w:lang w:val="fr-FR"/>
        </w:rPr>
        <w:t>Dafar</w:t>
      </w:r>
      <w:proofErr w:type="spellEnd"/>
      <w:r w:rsidRPr="00653204">
        <w:rPr>
          <w:i/>
          <w:lang w:val="fr-FR"/>
        </w:rPr>
        <w:t xml:space="preserve"> c. Algérie</w:t>
      </w:r>
      <w:r>
        <w:rPr>
          <w:lang w:val="fr-FR"/>
        </w:rPr>
        <w:t>, par. 5.4</w:t>
      </w:r>
      <w:r>
        <w:rPr>
          <w:i/>
          <w:lang w:val="fr-FR"/>
        </w:rPr>
        <w:t> </w:t>
      </w:r>
      <w:r>
        <w:rPr>
          <w:lang w:val="fr-FR"/>
        </w:rPr>
        <w:t xml:space="preserve">; et </w:t>
      </w:r>
      <w:proofErr w:type="spellStart"/>
      <w:r w:rsidRPr="00653204">
        <w:rPr>
          <w:i/>
          <w:lang w:val="fr-FR"/>
        </w:rPr>
        <w:t>Rsiwi</w:t>
      </w:r>
      <w:proofErr w:type="spellEnd"/>
      <w:r w:rsidRPr="00653204">
        <w:rPr>
          <w:i/>
          <w:lang w:val="fr-FR"/>
        </w:rPr>
        <w:t xml:space="preserve"> c. Algérie</w:t>
      </w:r>
      <w:r>
        <w:rPr>
          <w:lang w:val="fr-FR"/>
        </w:rPr>
        <w:t>, par. 7.6.</w:t>
      </w:r>
    </w:p>
  </w:footnote>
  <w:footnote w:id="22">
    <w:p w14:paraId="0ECA92DD" w14:textId="3A13ADDE" w:rsidR="004119F5" w:rsidRPr="00DE54D3" w:rsidRDefault="004119F5" w:rsidP="00203E86">
      <w:pPr>
        <w:pStyle w:val="FootnoteText"/>
        <w:jc w:val="both"/>
      </w:pPr>
      <w:r w:rsidRPr="00DE54D3">
        <w:rPr>
          <w:lang w:val="fr-FR"/>
        </w:rPr>
        <w:tab/>
      </w:r>
      <w:r w:rsidRPr="00DE54D3">
        <w:rPr>
          <w:rStyle w:val="FootnoteReference"/>
        </w:rPr>
        <w:footnoteRef/>
      </w:r>
      <w:r w:rsidRPr="00DE54D3">
        <w:tab/>
        <w:t xml:space="preserve">Voir, par exemple, </w:t>
      </w:r>
      <w:r w:rsidRPr="00DE54D3">
        <w:rPr>
          <w:i/>
        </w:rPr>
        <w:t>H. E. A. K. c. Danemark</w:t>
      </w:r>
      <w:r w:rsidRPr="00DE54D3">
        <w:t xml:space="preserve"> (CCPR/C/114/D/2343/2014), par. </w:t>
      </w:r>
      <w:r w:rsidRPr="00DE54D3">
        <w:rPr>
          <w:lang w:val="fr-FR"/>
        </w:rPr>
        <w:t xml:space="preserve">7.4 ; </w:t>
      </w:r>
      <w:proofErr w:type="spellStart"/>
      <w:r w:rsidRPr="00DE54D3">
        <w:rPr>
          <w:i/>
          <w:lang w:val="fr-FR"/>
        </w:rPr>
        <w:t>Castañeda</w:t>
      </w:r>
      <w:proofErr w:type="spellEnd"/>
      <w:r w:rsidRPr="00DE54D3">
        <w:rPr>
          <w:i/>
          <w:lang w:val="fr-FR"/>
        </w:rPr>
        <w:t xml:space="preserve"> c. Mexique</w:t>
      </w:r>
      <w:r w:rsidRPr="00DE54D3">
        <w:rPr>
          <w:lang w:val="fr-FR"/>
        </w:rPr>
        <w:t xml:space="preserve"> (CCPR/C/108/D/2202/</w:t>
      </w:r>
      <w:r w:rsidRPr="00DE54D3">
        <w:t>2012</w:t>
      </w:r>
      <w:r w:rsidRPr="00DE54D3">
        <w:rPr>
          <w:lang w:val="fr-FR"/>
        </w:rPr>
        <w:t xml:space="preserve">), par. 6.8 ; </w:t>
      </w:r>
      <w:r w:rsidRPr="00DE54D3">
        <w:rPr>
          <w:i/>
          <w:lang w:val="fr-FR"/>
        </w:rPr>
        <w:t xml:space="preserve">Ch. H. O. c. Canada </w:t>
      </w:r>
      <w:r w:rsidRPr="00DE54D3">
        <w:rPr>
          <w:lang w:val="fr-FR"/>
        </w:rPr>
        <w:t xml:space="preserve">(CCPR/C/118/D/2195/2012), par. 9.4 ; </w:t>
      </w:r>
      <w:proofErr w:type="spellStart"/>
      <w:r w:rsidRPr="00DE54D3">
        <w:rPr>
          <w:i/>
          <w:lang w:val="fr-FR"/>
        </w:rPr>
        <w:t>Peirano</w:t>
      </w:r>
      <w:proofErr w:type="spellEnd"/>
      <w:r w:rsidRPr="00DE54D3">
        <w:rPr>
          <w:i/>
          <w:lang w:val="fr-FR"/>
        </w:rPr>
        <w:t xml:space="preserve"> </w:t>
      </w:r>
      <w:proofErr w:type="spellStart"/>
      <w:r w:rsidRPr="00DE54D3">
        <w:rPr>
          <w:i/>
          <w:lang w:val="fr-FR"/>
        </w:rPr>
        <w:t>Basso</w:t>
      </w:r>
      <w:proofErr w:type="spellEnd"/>
      <w:r w:rsidRPr="00DE54D3">
        <w:rPr>
          <w:i/>
          <w:lang w:val="fr-FR"/>
        </w:rPr>
        <w:t xml:space="preserve"> c. Uruguay </w:t>
      </w:r>
      <w:r w:rsidRPr="00DE54D3">
        <w:rPr>
          <w:lang w:val="fr-FR"/>
        </w:rPr>
        <w:t>(CCPR/C/</w:t>
      </w:r>
      <w:r w:rsidR="003A556D" w:rsidRPr="00DE54D3">
        <w:rPr>
          <w:lang w:val="fr-FR"/>
        </w:rPr>
        <w:t>100</w:t>
      </w:r>
      <w:r w:rsidRPr="00DE54D3">
        <w:rPr>
          <w:lang w:val="fr-FR"/>
        </w:rPr>
        <w:t xml:space="preserve">/D/1887/2009), par. 9.4 ; et </w:t>
      </w:r>
      <w:r w:rsidRPr="00DE54D3">
        <w:rPr>
          <w:i/>
          <w:lang w:val="fr-FR"/>
        </w:rPr>
        <w:t>A. P. c. Ukraine</w:t>
      </w:r>
      <w:r w:rsidRPr="00DE54D3">
        <w:rPr>
          <w:lang w:val="fr-FR"/>
        </w:rPr>
        <w:t xml:space="preserve"> (CCPR/C/105/D/1834/2008), par. </w:t>
      </w:r>
      <w:r w:rsidRPr="00DE54D3">
        <w:t>8.5.</w:t>
      </w:r>
    </w:p>
  </w:footnote>
  <w:footnote w:id="23">
    <w:p w14:paraId="3BA4A3A3" w14:textId="4B72D483" w:rsidR="000255AC" w:rsidRPr="00DD232B" w:rsidRDefault="000255AC">
      <w:pPr>
        <w:pStyle w:val="FootnoteText"/>
        <w:rPr>
          <w:lang w:val="fr-FR"/>
        </w:rPr>
      </w:pPr>
      <w:r>
        <w:tab/>
      </w:r>
      <w:r>
        <w:rPr>
          <w:rStyle w:val="FootnoteReference"/>
        </w:rPr>
        <w:footnoteRef/>
      </w:r>
      <w:r>
        <w:tab/>
      </w:r>
      <w:proofErr w:type="spellStart"/>
      <w:r w:rsidRPr="00660336">
        <w:rPr>
          <w:i/>
        </w:rPr>
        <w:t>Souaiene</w:t>
      </w:r>
      <w:proofErr w:type="spellEnd"/>
      <w:r w:rsidRPr="00660336">
        <w:rPr>
          <w:i/>
          <w:lang w:val="fr-FR"/>
        </w:rPr>
        <w:t xml:space="preserve"> </w:t>
      </w:r>
      <w:r>
        <w:rPr>
          <w:i/>
          <w:lang w:val="fr-FR"/>
        </w:rPr>
        <w:t>c. Algérie</w:t>
      </w:r>
      <w:r>
        <w:rPr>
          <w:lang w:val="fr-FR"/>
        </w:rPr>
        <w:t>, par. 7.5.</w:t>
      </w:r>
    </w:p>
  </w:footnote>
  <w:footnote w:id="24">
    <w:p w14:paraId="336BBF15" w14:textId="2382E205" w:rsidR="00424045" w:rsidRPr="00424045" w:rsidRDefault="00424045" w:rsidP="00424045">
      <w:pPr>
        <w:pStyle w:val="FootnoteText"/>
        <w:jc w:val="both"/>
      </w:pPr>
      <w:r>
        <w:tab/>
      </w:r>
      <w:r>
        <w:rPr>
          <w:rStyle w:val="FootnoteReference"/>
        </w:rPr>
        <w:footnoteRef/>
      </w:r>
      <w:r>
        <w:tab/>
      </w:r>
      <w:r w:rsidRPr="009505B1">
        <w:t xml:space="preserve">Voir, entre autres, </w:t>
      </w:r>
      <w:proofErr w:type="spellStart"/>
      <w:r w:rsidRPr="009F7E69">
        <w:rPr>
          <w:i/>
          <w:iCs/>
        </w:rPr>
        <w:t>Mezine</w:t>
      </w:r>
      <w:proofErr w:type="spellEnd"/>
      <w:r w:rsidRPr="009F7E69">
        <w:rPr>
          <w:i/>
          <w:iCs/>
        </w:rPr>
        <w:t xml:space="preserve"> </w:t>
      </w:r>
      <w:r w:rsidRPr="009F7E69">
        <w:rPr>
          <w:i/>
        </w:rPr>
        <w:t>c.</w:t>
      </w:r>
      <w:r>
        <w:rPr>
          <w:i/>
          <w:iCs/>
        </w:rPr>
        <w:t xml:space="preserve"> </w:t>
      </w:r>
      <w:r w:rsidRPr="009F7E69">
        <w:rPr>
          <w:i/>
          <w:iCs/>
        </w:rPr>
        <w:t>Algérie</w:t>
      </w:r>
      <w:r w:rsidRPr="009505B1">
        <w:t xml:space="preserve">, </w:t>
      </w:r>
      <w:r>
        <w:t xml:space="preserve">par. </w:t>
      </w:r>
      <w:r w:rsidRPr="009505B1">
        <w:t xml:space="preserve">8.2 ; </w:t>
      </w:r>
      <w:proofErr w:type="spellStart"/>
      <w:r w:rsidRPr="009662D1">
        <w:rPr>
          <w:i/>
          <w:iCs/>
        </w:rPr>
        <w:t>Berzig</w:t>
      </w:r>
      <w:proofErr w:type="spellEnd"/>
      <w:r w:rsidRPr="009662D1">
        <w:rPr>
          <w:i/>
          <w:iCs/>
        </w:rPr>
        <w:t xml:space="preserve"> c.</w:t>
      </w:r>
      <w:r>
        <w:rPr>
          <w:i/>
          <w:iCs/>
        </w:rPr>
        <w:t xml:space="preserve"> </w:t>
      </w:r>
      <w:r w:rsidRPr="009662D1">
        <w:rPr>
          <w:i/>
          <w:iCs/>
        </w:rPr>
        <w:t>Algérie</w:t>
      </w:r>
      <w:r>
        <w:t xml:space="preserve">, par. </w:t>
      </w:r>
      <w:r w:rsidRPr="009505B1">
        <w:t xml:space="preserve">8.2 ; et </w:t>
      </w:r>
      <w:proofErr w:type="spellStart"/>
      <w:r w:rsidRPr="009662D1">
        <w:rPr>
          <w:i/>
          <w:iCs/>
        </w:rPr>
        <w:t>Boudjemai</w:t>
      </w:r>
      <w:proofErr w:type="spellEnd"/>
      <w:r w:rsidRPr="009662D1">
        <w:rPr>
          <w:i/>
          <w:iCs/>
        </w:rPr>
        <w:t xml:space="preserve"> </w:t>
      </w:r>
      <w:r w:rsidRPr="009662D1">
        <w:rPr>
          <w:i/>
        </w:rPr>
        <w:t>c.</w:t>
      </w:r>
      <w:r>
        <w:rPr>
          <w:i/>
          <w:iCs/>
        </w:rPr>
        <w:t xml:space="preserve"> </w:t>
      </w:r>
      <w:r w:rsidRPr="009662D1">
        <w:rPr>
          <w:i/>
          <w:iCs/>
        </w:rPr>
        <w:t>Algérie</w:t>
      </w:r>
      <w:r>
        <w:t xml:space="preserve">, par. </w:t>
      </w:r>
      <w:r w:rsidRPr="009505B1">
        <w:t>8.2.</w:t>
      </w:r>
    </w:p>
  </w:footnote>
  <w:footnote w:id="25">
    <w:p w14:paraId="3E541564" w14:textId="206F38E8" w:rsidR="00424045" w:rsidRPr="00424045" w:rsidRDefault="00424045" w:rsidP="00424045">
      <w:pPr>
        <w:pStyle w:val="FootnoteText"/>
        <w:jc w:val="both"/>
      </w:pPr>
      <w:r>
        <w:tab/>
      </w:r>
      <w:r>
        <w:rPr>
          <w:rStyle w:val="FootnoteReference"/>
        </w:rPr>
        <w:footnoteRef/>
      </w:r>
      <w:r>
        <w:tab/>
      </w:r>
      <w:r w:rsidRPr="00424045">
        <w:t>Le Pacte exige de l’État partie qu’il</w:t>
      </w:r>
      <w:r w:rsidRPr="00DE54D3">
        <w:t xml:space="preserve"> se soucie du sort de chaque personne et qu’il traite chaque personne avec le respect de la dignité inhérente à la personne humaine.</w:t>
      </w:r>
    </w:p>
  </w:footnote>
  <w:footnote w:id="26">
    <w:p w14:paraId="262A656E" w14:textId="740830BD" w:rsidR="00ED2B8D" w:rsidRPr="00DE54D3" w:rsidRDefault="00ED2B8D" w:rsidP="00ED2B8D">
      <w:pPr>
        <w:pStyle w:val="FootnoteText"/>
        <w:jc w:val="both"/>
      </w:pPr>
      <w:r w:rsidRPr="00DE54D3">
        <w:tab/>
      </w:r>
      <w:r w:rsidRPr="00DE54D3">
        <w:rPr>
          <w:rStyle w:val="FootnoteReference"/>
        </w:rPr>
        <w:footnoteRef/>
      </w:r>
      <w:r w:rsidRPr="00DE54D3">
        <w:tab/>
      </w:r>
      <w:proofErr w:type="spellStart"/>
      <w:r w:rsidRPr="00DE54D3">
        <w:rPr>
          <w:i/>
          <w:szCs w:val="18"/>
          <w:lang w:val="fr-FR"/>
        </w:rPr>
        <w:t>Zaier</w:t>
      </w:r>
      <w:proofErr w:type="spellEnd"/>
      <w:r w:rsidRPr="00DE54D3">
        <w:rPr>
          <w:i/>
          <w:szCs w:val="18"/>
          <w:lang w:val="fr-FR"/>
        </w:rPr>
        <w:t xml:space="preserve"> c. Algérie</w:t>
      </w:r>
      <w:r w:rsidRPr="00DE54D3">
        <w:rPr>
          <w:szCs w:val="18"/>
          <w:lang w:val="fr-FR"/>
        </w:rPr>
        <w:t xml:space="preserve">, par. 7.2 ; </w:t>
      </w:r>
      <w:proofErr w:type="spellStart"/>
      <w:r w:rsidR="00573B36" w:rsidRPr="00653204">
        <w:rPr>
          <w:i/>
          <w:lang w:val="fr-FR"/>
        </w:rPr>
        <w:t>Dafar</w:t>
      </w:r>
      <w:proofErr w:type="spellEnd"/>
      <w:r w:rsidR="00573B36" w:rsidRPr="00653204">
        <w:rPr>
          <w:i/>
          <w:lang w:val="fr-FR"/>
        </w:rPr>
        <w:t xml:space="preserve"> c. Algérie</w:t>
      </w:r>
      <w:r w:rsidR="00573B36">
        <w:rPr>
          <w:lang w:val="fr-FR"/>
        </w:rPr>
        <w:t xml:space="preserve">, par. 6.4 ; </w:t>
      </w:r>
      <w:r w:rsidRPr="00DE54D3">
        <w:rPr>
          <w:szCs w:val="18"/>
          <w:lang w:val="fr-FR"/>
        </w:rPr>
        <w:t xml:space="preserve">et </w:t>
      </w:r>
      <w:proofErr w:type="spellStart"/>
      <w:r w:rsidRPr="00DE54D3">
        <w:rPr>
          <w:i/>
          <w:szCs w:val="18"/>
          <w:lang w:val="fr-FR"/>
        </w:rPr>
        <w:t>Ammari</w:t>
      </w:r>
      <w:proofErr w:type="spellEnd"/>
      <w:r w:rsidRPr="00DE54D3">
        <w:rPr>
          <w:i/>
          <w:szCs w:val="18"/>
          <w:lang w:val="fr-FR"/>
        </w:rPr>
        <w:t xml:space="preserve"> c. Algérie</w:t>
      </w:r>
      <w:r w:rsidRPr="00DE54D3">
        <w:rPr>
          <w:szCs w:val="18"/>
          <w:lang w:val="fr-FR"/>
        </w:rPr>
        <w:t>, par. 8.2</w:t>
      </w:r>
      <w:r w:rsidRPr="00DE54D3">
        <w:rPr>
          <w:lang w:val="fr-FR"/>
        </w:rPr>
        <w:t>.</w:t>
      </w:r>
    </w:p>
  </w:footnote>
  <w:footnote w:id="27">
    <w:p w14:paraId="45AE6D0C" w14:textId="146BAB3A" w:rsidR="004119F5" w:rsidRPr="00DE54D3" w:rsidRDefault="004119F5" w:rsidP="00203E86">
      <w:pPr>
        <w:pStyle w:val="FootnoteText"/>
        <w:jc w:val="both"/>
      </w:pPr>
      <w:r w:rsidRPr="00DE54D3">
        <w:tab/>
      </w:r>
      <w:r w:rsidRPr="00DE54D3">
        <w:rPr>
          <w:rStyle w:val="FootnoteReference"/>
        </w:rPr>
        <w:footnoteRef/>
      </w:r>
      <w:r w:rsidRPr="00DE54D3">
        <w:tab/>
      </w:r>
      <w:r w:rsidRPr="00DE54D3">
        <w:rPr>
          <w:lang w:val="fr-FR"/>
        </w:rPr>
        <w:t xml:space="preserve">Voir, entre autres, </w:t>
      </w:r>
      <w:proofErr w:type="spellStart"/>
      <w:r w:rsidRPr="00DE54D3">
        <w:rPr>
          <w:i/>
          <w:lang w:val="fr-FR"/>
        </w:rPr>
        <w:t>Ammari</w:t>
      </w:r>
      <w:proofErr w:type="spellEnd"/>
      <w:r w:rsidRPr="00DE54D3">
        <w:rPr>
          <w:i/>
          <w:lang w:val="fr-FR"/>
        </w:rPr>
        <w:t xml:space="preserve"> c. </w:t>
      </w:r>
      <w:r w:rsidRPr="00C57DFE">
        <w:rPr>
          <w:i/>
          <w:iCs/>
        </w:rPr>
        <w:t>Algérie</w:t>
      </w:r>
      <w:r w:rsidRPr="00DE54D3">
        <w:rPr>
          <w:lang w:val="fr-FR"/>
        </w:rPr>
        <w:t xml:space="preserve">, par. 8.3 ; </w:t>
      </w:r>
      <w:proofErr w:type="spellStart"/>
      <w:r w:rsidRPr="00DE54D3">
        <w:rPr>
          <w:i/>
          <w:iCs/>
          <w:lang w:val="fr-FR"/>
        </w:rPr>
        <w:t>Mezine</w:t>
      </w:r>
      <w:proofErr w:type="spellEnd"/>
      <w:r w:rsidRPr="00DE54D3">
        <w:rPr>
          <w:i/>
          <w:iCs/>
          <w:lang w:val="fr-FR"/>
        </w:rPr>
        <w:t xml:space="preserve"> c. Algérie</w:t>
      </w:r>
      <w:r w:rsidRPr="00DE54D3">
        <w:rPr>
          <w:lang w:val="fr-FR"/>
        </w:rPr>
        <w:t xml:space="preserve">, par. 8.3 ; </w:t>
      </w:r>
      <w:r w:rsidRPr="00DE54D3">
        <w:rPr>
          <w:i/>
          <w:iCs/>
        </w:rPr>
        <w:t xml:space="preserve">El </w:t>
      </w:r>
      <w:proofErr w:type="spellStart"/>
      <w:r w:rsidRPr="00DE54D3">
        <w:rPr>
          <w:i/>
          <w:iCs/>
        </w:rPr>
        <w:t>Abani</w:t>
      </w:r>
      <w:proofErr w:type="spellEnd"/>
      <w:r w:rsidRPr="00DE54D3">
        <w:rPr>
          <w:i/>
          <w:iCs/>
        </w:rPr>
        <w:t xml:space="preserve"> c. Jamahiriya arabe libyenne</w:t>
      </w:r>
      <w:r w:rsidRPr="00DE54D3">
        <w:rPr>
          <w:iCs/>
        </w:rPr>
        <w:t xml:space="preserve"> (CCPR/C/99/D/1640/2007)</w:t>
      </w:r>
      <w:r w:rsidRPr="00DE54D3">
        <w:t xml:space="preserve">, </w:t>
      </w:r>
      <w:r w:rsidRPr="00DE54D3">
        <w:rPr>
          <w:lang w:val="fr-FR"/>
        </w:rPr>
        <w:t xml:space="preserve">par. 7.4 ; et </w:t>
      </w:r>
      <w:proofErr w:type="spellStart"/>
      <w:r w:rsidRPr="00DE54D3">
        <w:rPr>
          <w:i/>
        </w:rPr>
        <w:t>Berzig</w:t>
      </w:r>
      <w:proofErr w:type="spellEnd"/>
      <w:r w:rsidRPr="00DE54D3">
        <w:rPr>
          <w:i/>
          <w:iCs/>
          <w:lang w:val="fr-FR"/>
        </w:rPr>
        <w:t xml:space="preserve"> c. Algérie</w:t>
      </w:r>
      <w:r w:rsidRPr="00DE54D3">
        <w:rPr>
          <w:lang w:val="fr-FR"/>
        </w:rPr>
        <w:t>, par. 8.3.</w:t>
      </w:r>
    </w:p>
  </w:footnote>
  <w:footnote w:id="28">
    <w:p w14:paraId="4F9A32AF" w14:textId="33F62FF0" w:rsidR="004119F5" w:rsidRPr="00DE54D3" w:rsidRDefault="004119F5" w:rsidP="00203E86">
      <w:pPr>
        <w:pStyle w:val="FootnoteText"/>
        <w:jc w:val="both"/>
      </w:pPr>
      <w:r w:rsidRPr="00DE54D3">
        <w:tab/>
      </w:r>
      <w:r w:rsidRPr="00DE54D3">
        <w:rPr>
          <w:rStyle w:val="FootnoteReference"/>
        </w:rPr>
        <w:footnoteRef/>
      </w:r>
      <w:r w:rsidRPr="00DE54D3">
        <w:tab/>
      </w:r>
      <w:proofErr w:type="spellStart"/>
      <w:r w:rsidRPr="00C57DFE">
        <w:rPr>
          <w:i/>
          <w:iCs/>
        </w:rPr>
        <w:t>Mezine</w:t>
      </w:r>
      <w:proofErr w:type="spellEnd"/>
      <w:r w:rsidRPr="00C57DFE">
        <w:rPr>
          <w:i/>
          <w:iCs/>
          <w:lang w:val="fr-FR"/>
        </w:rPr>
        <w:t xml:space="preserve"> c. </w:t>
      </w:r>
      <w:r w:rsidRPr="00C57DFE">
        <w:rPr>
          <w:i/>
          <w:iCs/>
        </w:rPr>
        <w:t>Algérie</w:t>
      </w:r>
      <w:r w:rsidRPr="00DE54D3">
        <w:rPr>
          <w:lang w:val="fr-FR"/>
        </w:rPr>
        <w:t>, par. 8.3</w:t>
      </w:r>
      <w:r w:rsidR="00F42223" w:rsidRPr="00DE54D3">
        <w:rPr>
          <w:lang w:val="fr-FR"/>
        </w:rPr>
        <w:t> ;</w:t>
      </w:r>
      <w:r w:rsidRPr="00DE54D3">
        <w:rPr>
          <w:lang w:val="fr-FR"/>
        </w:rPr>
        <w:t xml:space="preserve"> et </w:t>
      </w:r>
      <w:proofErr w:type="spellStart"/>
      <w:r w:rsidRPr="00C57DFE">
        <w:rPr>
          <w:i/>
          <w:iCs/>
          <w:lang w:val="fr-FR"/>
        </w:rPr>
        <w:t>Medjnoune</w:t>
      </w:r>
      <w:proofErr w:type="spellEnd"/>
      <w:r w:rsidRPr="00C57DFE">
        <w:rPr>
          <w:i/>
          <w:iCs/>
          <w:lang w:val="fr-FR"/>
        </w:rPr>
        <w:t xml:space="preserve"> c. Algérie</w:t>
      </w:r>
      <w:r w:rsidRPr="00DE54D3">
        <w:rPr>
          <w:lang w:val="fr-FR"/>
        </w:rPr>
        <w:t>, par. 8.3.</w:t>
      </w:r>
    </w:p>
  </w:footnote>
  <w:footnote w:id="29">
    <w:p w14:paraId="69974ECB" w14:textId="723FAB49" w:rsidR="004119F5" w:rsidRPr="00DE54D3" w:rsidRDefault="004119F5" w:rsidP="00203E86">
      <w:pPr>
        <w:pStyle w:val="FootnoteText"/>
        <w:jc w:val="both"/>
      </w:pPr>
      <w:r w:rsidRPr="00DE54D3">
        <w:rPr>
          <w:lang w:val="fr-FR"/>
        </w:rPr>
        <w:tab/>
      </w:r>
      <w:r w:rsidRPr="00DE54D3">
        <w:rPr>
          <w:rStyle w:val="FootnoteReference"/>
        </w:rPr>
        <w:footnoteRef/>
      </w:r>
      <w:r w:rsidRPr="00DE54D3">
        <w:rPr>
          <w:lang w:val="fr-FR"/>
        </w:rPr>
        <w:tab/>
      </w:r>
      <w:proofErr w:type="spellStart"/>
      <w:r w:rsidRPr="00DE54D3">
        <w:rPr>
          <w:i/>
          <w:lang w:val="fr-FR"/>
        </w:rPr>
        <w:t>Katwal</w:t>
      </w:r>
      <w:proofErr w:type="spellEnd"/>
      <w:r w:rsidRPr="00DE54D3">
        <w:rPr>
          <w:i/>
          <w:lang w:val="fr-FR"/>
        </w:rPr>
        <w:t xml:space="preserve"> c. Népal</w:t>
      </w:r>
      <w:r w:rsidRPr="00DE54D3">
        <w:rPr>
          <w:lang w:val="fr-FR"/>
        </w:rPr>
        <w:t xml:space="preserve"> (CCPR/C/113/D/2000/2010),</w:t>
      </w:r>
      <w:r w:rsidRPr="00DE54D3">
        <w:t xml:space="preserve"> par. 11.3 ; </w:t>
      </w:r>
      <w:proofErr w:type="spellStart"/>
      <w:r w:rsidRPr="00DE54D3">
        <w:rPr>
          <w:i/>
        </w:rPr>
        <w:t>Serna</w:t>
      </w:r>
      <w:proofErr w:type="spellEnd"/>
      <w:r w:rsidRPr="00DE54D3">
        <w:rPr>
          <w:i/>
        </w:rPr>
        <w:t xml:space="preserve"> et </w:t>
      </w:r>
      <w:r w:rsidR="00B45495" w:rsidRPr="00DE54D3">
        <w:rPr>
          <w:i/>
        </w:rPr>
        <w:t>consorts</w:t>
      </w:r>
      <w:r w:rsidRPr="00DE54D3">
        <w:t xml:space="preserve"> </w:t>
      </w:r>
      <w:r w:rsidRPr="00DE54D3">
        <w:rPr>
          <w:i/>
        </w:rPr>
        <w:t>c. Colombie</w:t>
      </w:r>
      <w:r w:rsidRPr="00DE54D3">
        <w:t xml:space="preserve"> (CCPR/C/1</w:t>
      </w:r>
      <w:r w:rsidR="002A70DE" w:rsidRPr="00DE54D3">
        <w:t>1</w:t>
      </w:r>
      <w:r w:rsidRPr="00DE54D3">
        <w:t xml:space="preserve">4/D/2134/2012), par. 9.4 ; et </w:t>
      </w:r>
      <w:r w:rsidRPr="00DE54D3">
        <w:rPr>
          <w:i/>
        </w:rPr>
        <w:t xml:space="preserve">El </w:t>
      </w:r>
      <w:proofErr w:type="spellStart"/>
      <w:r w:rsidRPr="00DE54D3">
        <w:rPr>
          <w:i/>
        </w:rPr>
        <w:t>Boathi</w:t>
      </w:r>
      <w:proofErr w:type="spellEnd"/>
      <w:r w:rsidRPr="00DE54D3">
        <w:rPr>
          <w:i/>
        </w:rPr>
        <w:t xml:space="preserve"> c. Algérie</w:t>
      </w:r>
      <w:r w:rsidRPr="00DE54D3">
        <w:t xml:space="preserve"> </w:t>
      </w:r>
      <w:r w:rsidR="00C44457" w:rsidRPr="00DE54D3">
        <w:rPr>
          <w:lang w:val="fr-FR"/>
        </w:rPr>
        <w:t xml:space="preserve">(CCPR/C/119/D/2259/2013), </w:t>
      </w:r>
      <w:r w:rsidRPr="00DE54D3">
        <w:t>par. 7.4. Voir également l’observation générale n</w:t>
      </w:r>
      <w:r w:rsidRPr="00DE54D3">
        <w:rPr>
          <w:vertAlign w:val="superscript"/>
        </w:rPr>
        <w:t>o</w:t>
      </w:r>
      <w:r w:rsidRPr="00DE54D3">
        <w:t xml:space="preserve"> 36 (201</w:t>
      </w:r>
      <w:r w:rsidR="00A72E86" w:rsidRPr="00DE54D3">
        <w:t>8</w:t>
      </w:r>
      <w:r w:rsidRPr="00DE54D3">
        <w:t xml:space="preserve">) </w:t>
      </w:r>
      <w:r w:rsidR="00E518FF" w:rsidRPr="00DE54D3">
        <w:t>du Comité</w:t>
      </w:r>
      <w:r w:rsidRPr="00DE54D3">
        <w:t>, par. 58.</w:t>
      </w:r>
    </w:p>
  </w:footnote>
  <w:footnote w:id="30">
    <w:p w14:paraId="6CB6BF2C" w14:textId="24675A0B" w:rsidR="004119F5" w:rsidRPr="00DE54D3" w:rsidRDefault="004119F5" w:rsidP="00203E86">
      <w:pPr>
        <w:pStyle w:val="FootnoteText"/>
        <w:jc w:val="both"/>
      </w:pPr>
      <w:r w:rsidRPr="00DE54D3">
        <w:tab/>
      </w:r>
      <w:r w:rsidRPr="00DE54D3">
        <w:rPr>
          <w:rStyle w:val="FootnoteReference"/>
        </w:rPr>
        <w:footnoteRef/>
      </w:r>
      <w:r w:rsidRPr="00DE54D3">
        <w:tab/>
      </w:r>
      <w:proofErr w:type="spellStart"/>
      <w:r w:rsidRPr="00DE54D3">
        <w:rPr>
          <w:i/>
          <w:lang w:val="fr-FR"/>
        </w:rPr>
        <w:t>Louddi</w:t>
      </w:r>
      <w:proofErr w:type="spellEnd"/>
      <w:r w:rsidRPr="00DE54D3">
        <w:rPr>
          <w:i/>
          <w:lang w:val="fr-FR"/>
        </w:rPr>
        <w:t xml:space="preserve"> c. Algérie</w:t>
      </w:r>
      <w:r w:rsidRPr="00DE54D3">
        <w:rPr>
          <w:lang w:val="fr-FR"/>
        </w:rPr>
        <w:t xml:space="preserve"> (CCPR/C/112/D/2117/2011)</w:t>
      </w:r>
      <w:r w:rsidRPr="00DE54D3">
        <w:t xml:space="preserve">, par. 7.4 ; </w:t>
      </w:r>
      <w:proofErr w:type="spellStart"/>
      <w:r w:rsidRPr="00DE54D3">
        <w:rPr>
          <w:i/>
          <w:iCs/>
          <w:lang w:val="fr-FR"/>
        </w:rPr>
        <w:t>Mezine</w:t>
      </w:r>
      <w:proofErr w:type="spellEnd"/>
      <w:r w:rsidRPr="00DE54D3">
        <w:rPr>
          <w:i/>
          <w:iCs/>
          <w:lang w:val="fr-FR"/>
        </w:rPr>
        <w:t xml:space="preserve"> c. Algérie</w:t>
      </w:r>
      <w:r w:rsidRPr="00DE54D3">
        <w:rPr>
          <w:lang w:val="fr-FR"/>
        </w:rPr>
        <w:t xml:space="preserve">, par. 8.4 ; et </w:t>
      </w:r>
      <w:proofErr w:type="spellStart"/>
      <w:r w:rsidRPr="00C57DFE">
        <w:rPr>
          <w:i/>
          <w:iCs/>
        </w:rPr>
        <w:t>Boudjemai</w:t>
      </w:r>
      <w:proofErr w:type="spellEnd"/>
      <w:r w:rsidRPr="00DE54D3">
        <w:rPr>
          <w:i/>
          <w:iCs/>
          <w:lang w:val="fr-FR"/>
        </w:rPr>
        <w:t xml:space="preserve"> c. Algérie</w:t>
      </w:r>
      <w:r w:rsidRPr="00DE54D3">
        <w:rPr>
          <w:lang w:val="fr-FR"/>
        </w:rPr>
        <w:t>, par. 8.4. Voir également l’observation générale n</w:t>
      </w:r>
      <w:r w:rsidRPr="00DE54D3">
        <w:rPr>
          <w:vertAlign w:val="superscript"/>
          <w:lang w:val="fr-FR"/>
        </w:rPr>
        <w:t>o</w:t>
      </w:r>
      <w:r w:rsidRPr="00DE54D3">
        <w:rPr>
          <w:lang w:val="fr-FR"/>
        </w:rPr>
        <w:t xml:space="preserve"> 36</w:t>
      </w:r>
      <w:r w:rsidR="005B6649" w:rsidRPr="00DE54D3">
        <w:rPr>
          <w:lang w:val="fr-FR"/>
        </w:rPr>
        <w:t xml:space="preserve"> du Comité</w:t>
      </w:r>
      <w:r w:rsidRPr="00DE54D3">
        <w:rPr>
          <w:lang w:val="fr-FR"/>
        </w:rPr>
        <w:t>, par. 58.</w:t>
      </w:r>
    </w:p>
  </w:footnote>
  <w:footnote w:id="31">
    <w:p w14:paraId="39D0FDBC" w14:textId="17CE8E2B" w:rsidR="004119F5" w:rsidRPr="00DE54D3" w:rsidRDefault="004119F5" w:rsidP="00203E86">
      <w:pPr>
        <w:pStyle w:val="FootnoteText"/>
        <w:jc w:val="both"/>
      </w:pPr>
      <w:r w:rsidRPr="00DE54D3">
        <w:tab/>
      </w:r>
      <w:r w:rsidRPr="00DE54D3">
        <w:rPr>
          <w:rStyle w:val="FootnoteReference"/>
        </w:rPr>
        <w:footnoteRef/>
      </w:r>
      <w:r w:rsidRPr="00DE54D3">
        <w:tab/>
      </w:r>
      <w:proofErr w:type="spellStart"/>
      <w:r w:rsidR="0051646E" w:rsidRPr="0051646E">
        <w:rPr>
          <w:i/>
          <w:iCs/>
        </w:rPr>
        <w:t>Cherguit</w:t>
      </w:r>
      <w:proofErr w:type="spellEnd"/>
      <w:r w:rsidRPr="00C57DFE">
        <w:rPr>
          <w:i/>
          <w:iCs/>
          <w:lang w:val="fr-FR"/>
        </w:rPr>
        <w:t xml:space="preserve"> c. Algérie</w:t>
      </w:r>
      <w:r w:rsidR="0051646E">
        <w:rPr>
          <w:lang w:val="fr-FR"/>
        </w:rPr>
        <w:t>, par. 7.6</w:t>
      </w:r>
      <w:r w:rsidRPr="00DE54D3">
        <w:rPr>
          <w:lang w:val="fr-FR"/>
        </w:rPr>
        <w:t xml:space="preserve"> ; </w:t>
      </w:r>
      <w:proofErr w:type="spellStart"/>
      <w:r w:rsidR="0051646E" w:rsidRPr="0051646E">
        <w:rPr>
          <w:i/>
          <w:lang w:val="fr-FR"/>
        </w:rPr>
        <w:t>Bendjael</w:t>
      </w:r>
      <w:proofErr w:type="spellEnd"/>
      <w:r w:rsidR="0051646E" w:rsidRPr="0051646E">
        <w:rPr>
          <w:i/>
          <w:lang w:val="fr-FR"/>
        </w:rPr>
        <w:t xml:space="preserve"> </w:t>
      </w:r>
      <w:r w:rsidRPr="00C57DFE">
        <w:rPr>
          <w:i/>
          <w:lang w:val="fr-FR"/>
        </w:rPr>
        <w:t>c. Algérie</w:t>
      </w:r>
      <w:r w:rsidRPr="00DE54D3">
        <w:rPr>
          <w:lang w:val="fr-FR"/>
        </w:rPr>
        <w:t>, par. 8.</w:t>
      </w:r>
      <w:r w:rsidR="0051646E">
        <w:rPr>
          <w:lang w:val="fr-FR"/>
        </w:rPr>
        <w:t>6</w:t>
      </w:r>
      <w:r w:rsidRPr="00DE54D3">
        <w:rPr>
          <w:lang w:val="fr-FR"/>
        </w:rPr>
        <w:t xml:space="preserve"> ; </w:t>
      </w:r>
      <w:proofErr w:type="spellStart"/>
      <w:r w:rsidR="0051646E" w:rsidRPr="0051646E">
        <w:rPr>
          <w:i/>
          <w:lang w:val="fr-FR"/>
        </w:rPr>
        <w:t>Braih</w:t>
      </w:r>
      <w:proofErr w:type="spellEnd"/>
      <w:r w:rsidR="0051646E" w:rsidRPr="0051646E">
        <w:rPr>
          <w:i/>
          <w:lang w:val="fr-FR"/>
        </w:rPr>
        <w:t xml:space="preserve"> </w:t>
      </w:r>
      <w:r w:rsidRPr="00C57DFE">
        <w:rPr>
          <w:rFonts w:eastAsia="MS Mincho"/>
          <w:i/>
          <w:lang w:val="fr-FR"/>
        </w:rPr>
        <w:t>c. Algérie</w:t>
      </w:r>
      <w:r w:rsidR="0051646E">
        <w:rPr>
          <w:rFonts w:eastAsia="MS Mincho"/>
          <w:lang w:val="fr-FR"/>
        </w:rPr>
        <w:t xml:space="preserve"> (</w:t>
      </w:r>
      <w:r w:rsidR="0051646E" w:rsidRPr="0051646E">
        <w:rPr>
          <w:rFonts w:eastAsia="MS Mincho"/>
          <w:lang w:val="fr-FR"/>
        </w:rPr>
        <w:t>CCPR/C/128/D/2924/2016</w:t>
      </w:r>
      <w:r w:rsidR="0051646E">
        <w:rPr>
          <w:rFonts w:eastAsia="MS Mincho"/>
          <w:lang w:val="fr-FR"/>
        </w:rPr>
        <w:t>), par. 6</w:t>
      </w:r>
      <w:r w:rsidRPr="00DE54D3">
        <w:rPr>
          <w:rFonts w:eastAsia="MS Mincho"/>
          <w:lang w:val="fr-FR"/>
        </w:rPr>
        <w:t xml:space="preserve">.5 ; </w:t>
      </w:r>
      <w:proofErr w:type="spellStart"/>
      <w:r w:rsidRPr="00C57DFE">
        <w:rPr>
          <w:i/>
          <w:iCs/>
        </w:rPr>
        <w:t>Berzig</w:t>
      </w:r>
      <w:proofErr w:type="spellEnd"/>
      <w:r w:rsidRPr="00C57DFE">
        <w:rPr>
          <w:rFonts w:eastAsia="MS Mincho"/>
          <w:i/>
          <w:iCs/>
          <w:lang w:val="fr-FR"/>
        </w:rPr>
        <w:t xml:space="preserve"> c. Algérie</w:t>
      </w:r>
      <w:r w:rsidRPr="00DE54D3">
        <w:rPr>
          <w:rFonts w:eastAsia="MS Mincho"/>
          <w:lang w:val="fr-FR"/>
        </w:rPr>
        <w:t xml:space="preserve">, par. 8.5 ; et </w:t>
      </w:r>
      <w:r w:rsidRPr="00C57DFE">
        <w:rPr>
          <w:i/>
          <w:lang w:val="fr-FR"/>
        </w:rPr>
        <w:t xml:space="preserve">El </w:t>
      </w:r>
      <w:proofErr w:type="spellStart"/>
      <w:r w:rsidRPr="00C57DFE">
        <w:rPr>
          <w:i/>
          <w:lang w:val="fr-FR"/>
        </w:rPr>
        <w:t>Alwani</w:t>
      </w:r>
      <w:proofErr w:type="spellEnd"/>
      <w:r w:rsidRPr="00C57DFE">
        <w:rPr>
          <w:i/>
          <w:lang w:val="fr-FR"/>
        </w:rPr>
        <w:t xml:space="preserve"> c. </w:t>
      </w:r>
      <w:r w:rsidRPr="00C57DFE">
        <w:rPr>
          <w:rFonts w:eastAsia="MS Mincho"/>
          <w:i/>
          <w:lang w:val="fr-FR"/>
        </w:rPr>
        <w:t>Jamahiriya arabe libyenne</w:t>
      </w:r>
      <w:r w:rsidRPr="00DE54D3">
        <w:rPr>
          <w:lang w:val="fr-FR"/>
        </w:rPr>
        <w:t xml:space="preserve"> (CCPR/C/90/D/1295/2004), par. 6.5.</w:t>
      </w:r>
    </w:p>
  </w:footnote>
  <w:footnote w:id="32">
    <w:p w14:paraId="21A2EDCA" w14:textId="2D7F344A" w:rsidR="004119F5" w:rsidRPr="00DE54D3" w:rsidRDefault="004119F5" w:rsidP="00203E86">
      <w:pPr>
        <w:pStyle w:val="FootnoteText"/>
        <w:jc w:val="both"/>
        <w:rPr>
          <w:lang w:val="fr-FR"/>
        </w:rPr>
      </w:pPr>
      <w:r w:rsidRPr="00DE54D3">
        <w:tab/>
      </w:r>
      <w:r w:rsidRPr="00DE54D3">
        <w:rPr>
          <w:rStyle w:val="FootnoteReference"/>
        </w:rPr>
        <w:footnoteRef/>
      </w:r>
      <w:r w:rsidRPr="00DE54D3">
        <w:tab/>
      </w:r>
      <w:proofErr w:type="spellStart"/>
      <w:r w:rsidRPr="00C57DFE">
        <w:rPr>
          <w:i/>
          <w:iCs/>
          <w:lang w:val="fr-FR"/>
        </w:rPr>
        <w:t>Ammari</w:t>
      </w:r>
      <w:proofErr w:type="spellEnd"/>
      <w:r w:rsidRPr="00C57DFE">
        <w:rPr>
          <w:i/>
          <w:iCs/>
          <w:lang w:val="fr-FR"/>
        </w:rPr>
        <w:t xml:space="preserve"> c. </w:t>
      </w:r>
      <w:r w:rsidRPr="00C57DFE">
        <w:rPr>
          <w:i/>
          <w:iCs/>
        </w:rPr>
        <w:t>Algérie</w:t>
      </w:r>
      <w:r w:rsidRPr="00DE54D3">
        <w:rPr>
          <w:lang w:val="fr-FR"/>
        </w:rPr>
        <w:t>, par. 8.6</w:t>
      </w:r>
      <w:r w:rsidR="00716287">
        <w:rPr>
          <w:lang w:val="fr-FR"/>
        </w:rPr>
        <w:t xml:space="preserve"> ; </w:t>
      </w:r>
      <w:proofErr w:type="spellStart"/>
      <w:r w:rsidR="00716287" w:rsidRPr="009A5C01">
        <w:rPr>
          <w:i/>
        </w:rPr>
        <w:t>Berkaoui</w:t>
      </w:r>
      <w:proofErr w:type="spellEnd"/>
      <w:r w:rsidR="00716287" w:rsidRPr="009A5C01">
        <w:rPr>
          <w:i/>
        </w:rPr>
        <w:t xml:space="preserve"> c. Algérie</w:t>
      </w:r>
      <w:r w:rsidR="00716287">
        <w:t xml:space="preserve">, par. 8.7 ; </w:t>
      </w:r>
      <w:proofErr w:type="spellStart"/>
      <w:r w:rsidR="00716287" w:rsidRPr="00653204">
        <w:rPr>
          <w:i/>
          <w:lang w:val="fr-FR"/>
        </w:rPr>
        <w:t>Dafar</w:t>
      </w:r>
      <w:proofErr w:type="spellEnd"/>
      <w:r w:rsidR="00716287" w:rsidRPr="00653204">
        <w:rPr>
          <w:i/>
          <w:lang w:val="fr-FR"/>
        </w:rPr>
        <w:t xml:space="preserve"> c. Algérie</w:t>
      </w:r>
      <w:r w:rsidR="00716287">
        <w:rPr>
          <w:lang w:val="fr-FR"/>
        </w:rPr>
        <w:t>, par. 6.7</w:t>
      </w:r>
      <w:r w:rsidR="00716287">
        <w:rPr>
          <w:i/>
          <w:lang w:val="fr-FR"/>
        </w:rPr>
        <w:t> </w:t>
      </w:r>
      <w:r w:rsidR="00716287">
        <w:rPr>
          <w:lang w:val="fr-FR"/>
        </w:rPr>
        <w:t xml:space="preserve">; et </w:t>
      </w:r>
      <w:proofErr w:type="spellStart"/>
      <w:r w:rsidR="00716287" w:rsidRPr="00653204">
        <w:rPr>
          <w:i/>
          <w:lang w:val="fr-FR"/>
        </w:rPr>
        <w:t>Rsiwi</w:t>
      </w:r>
      <w:proofErr w:type="spellEnd"/>
      <w:r w:rsidR="00716287" w:rsidRPr="00653204">
        <w:rPr>
          <w:i/>
          <w:lang w:val="fr-FR"/>
        </w:rPr>
        <w:t xml:space="preserve"> c. Algérie</w:t>
      </w:r>
      <w:r w:rsidR="00716287">
        <w:rPr>
          <w:lang w:val="fr-FR"/>
        </w:rPr>
        <w:t>, par. 8.7</w:t>
      </w:r>
      <w:r w:rsidRPr="00DE54D3">
        <w:rPr>
          <w:lang w:val="fr-FR"/>
        </w:rPr>
        <w:t>.</w:t>
      </w:r>
    </w:p>
  </w:footnote>
  <w:footnote w:id="33">
    <w:p w14:paraId="6278B452" w14:textId="77777777" w:rsidR="004119F5" w:rsidRPr="00DE54D3" w:rsidRDefault="004119F5" w:rsidP="00203E86">
      <w:pPr>
        <w:pStyle w:val="FootnoteText"/>
        <w:jc w:val="both"/>
      </w:pPr>
      <w:r w:rsidRPr="00DE54D3">
        <w:tab/>
      </w:r>
      <w:r w:rsidRPr="00DE54D3">
        <w:rPr>
          <w:rStyle w:val="FootnoteReference"/>
          <w:szCs w:val="18"/>
        </w:rPr>
        <w:footnoteRef/>
      </w:r>
      <w:r w:rsidRPr="00DE54D3">
        <w:tab/>
      </w:r>
      <w:proofErr w:type="spellStart"/>
      <w:r w:rsidRPr="00C57DFE">
        <w:rPr>
          <w:i/>
          <w:iCs/>
        </w:rPr>
        <w:t>Chani</w:t>
      </w:r>
      <w:proofErr w:type="spellEnd"/>
      <w:r w:rsidRPr="00DE54D3">
        <w:rPr>
          <w:i/>
        </w:rPr>
        <w:t xml:space="preserve"> c. Algérie</w:t>
      </w:r>
      <w:r w:rsidRPr="00DE54D3">
        <w:t xml:space="preserve"> (CCPR/C/116/D/2297/2013), par. 7.5.</w:t>
      </w:r>
    </w:p>
  </w:footnote>
  <w:footnote w:id="34">
    <w:p w14:paraId="4BAA9BA3" w14:textId="77777777" w:rsidR="004119F5" w:rsidRPr="00DE54D3" w:rsidRDefault="004119F5" w:rsidP="00203E86">
      <w:pPr>
        <w:pStyle w:val="FootnoteText"/>
        <w:jc w:val="both"/>
      </w:pPr>
      <w:r w:rsidRPr="00DE54D3">
        <w:tab/>
      </w:r>
      <w:r w:rsidRPr="00DE54D3">
        <w:rPr>
          <w:rStyle w:val="FootnoteReference"/>
          <w:szCs w:val="18"/>
        </w:rPr>
        <w:footnoteRef/>
      </w:r>
      <w:r w:rsidRPr="00DE54D3">
        <w:tab/>
      </w:r>
      <w:r w:rsidRPr="00DE54D3">
        <w:rPr>
          <w:spacing w:val="-2"/>
          <w:lang w:val="fr-FR"/>
        </w:rPr>
        <w:t xml:space="preserve">Voir, entre autres, </w:t>
      </w:r>
      <w:proofErr w:type="spellStart"/>
      <w:r w:rsidRPr="00DE54D3">
        <w:rPr>
          <w:i/>
          <w:iCs/>
          <w:spacing w:val="-2"/>
          <w:lang w:val="fr-FR"/>
        </w:rPr>
        <w:t>Mezine</w:t>
      </w:r>
      <w:proofErr w:type="spellEnd"/>
      <w:r w:rsidRPr="00DE54D3">
        <w:rPr>
          <w:i/>
          <w:iCs/>
          <w:spacing w:val="-2"/>
          <w:lang w:val="fr-FR"/>
        </w:rPr>
        <w:t xml:space="preserve"> c. Algérie</w:t>
      </w:r>
      <w:r w:rsidRPr="00DE54D3">
        <w:rPr>
          <w:spacing w:val="-2"/>
          <w:lang w:val="fr-FR"/>
        </w:rPr>
        <w:t xml:space="preserve">, par. 8.7 ; </w:t>
      </w:r>
      <w:proofErr w:type="spellStart"/>
      <w:r w:rsidRPr="00DE54D3">
        <w:rPr>
          <w:i/>
          <w:iCs/>
          <w:spacing w:val="-2"/>
          <w:lang w:val="fr-FR"/>
        </w:rPr>
        <w:t>Khirani</w:t>
      </w:r>
      <w:proofErr w:type="spellEnd"/>
      <w:r w:rsidRPr="00DE54D3">
        <w:rPr>
          <w:i/>
          <w:iCs/>
          <w:spacing w:val="-2"/>
          <w:lang w:val="fr-FR"/>
        </w:rPr>
        <w:t xml:space="preserve"> c. Algérie</w:t>
      </w:r>
      <w:r w:rsidRPr="00DE54D3">
        <w:rPr>
          <w:spacing w:val="-2"/>
          <w:lang w:val="fr-FR"/>
        </w:rPr>
        <w:t xml:space="preserve">, par. 7.7 ; et </w:t>
      </w:r>
      <w:proofErr w:type="spellStart"/>
      <w:r w:rsidRPr="00DE54D3">
        <w:rPr>
          <w:i/>
          <w:spacing w:val="-2"/>
        </w:rPr>
        <w:t>Berzig</w:t>
      </w:r>
      <w:proofErr w:type="spellEnd"/>
      <w:r w:rsidRPr="00DE54D3">
        <w:rPr>
          <w:i/>
          <w:iCs/>
          <w:spacing w:val="-2"/>
          <w:lang w:val="fr-FR"/>
        </w:rPr>
        <w:t xml:space="preserve"> c. Algérie</w:t>
      </w:r>
      <w:r w:rsidRPr="00DE54D3">
        <w:rPr>
          <w:spacing w:val="-2"/>
          <w:lang w:val="fr-FR"/>
        </w:rPr>
        <w:t>, par. 8.7.</w:t>
      </w:r>
    </w:p>
  </w:footnote>
  <w:footnote w:id="35">
    <w:p w14:paraId="01DCD064" w14:textId="489A9644" w:rsidR="004119F5" w:rsidRPr="00DE54D3" w:rsidRDefault="004119F5" w:rsidP="00203E86">
      <w:pPr>
        <w:pStyle w:val="FootnoteText"/>
        <w:jc w:val="both"/>
        <w:rPr>
          <w:lang w:val="fr-FR"/>
        </w:rPr>
      </w:pPr>
      <w:r w:rsidRPr="00DE54D3">
        <w:rPr>
          <w:lang w:val="pt-PT"/>
        </w:rPr>
        <w:tab/>
      </w:r>
      <w:r w:rsidRPr="00DE54D3">
        <w:rPr>
          <w:rStyle w:val="FootnoteReference"/>
        </w:rPr>
        <w:footnoteRef/>
      </w:r>
      <w:r w:rsidRPr="00DE54D3">
        <w:tab/>
      </w:r>
      <w:proofErr w:type="spellStart"/>
      <w:r w:rsidRPr="00DE54D3">
        <w:rPr>
          <w:i/>
          <w:lang w:val="fr-FR"/>
        </w:rPr>
        <w:t>Basnet</w:t>
      </w:r>
      <w:proofErr w:type="spellEnd"/>
      <w:r w:rsidRPr="00DE54D3">
        <w:rPr>
          <w:i/>
          <w:lang w:val="fr-FR"/>
        </w:rPr>
        <w:t xml:space="preserve"> c. Népal</w:t>
      </w:r>
      <w:r w:rsidRPr="00DE54D3">
        <w:rPr>
          <w:lang w:val="fr-FR"/>
        </w:rPr>
        <w:t xml:space="preserve"> (CCPR/C/117/D/</w:t>
      </w:r>
      <w:r w:rsidRPr="00DE54D3">
        <w:t>2164</w:t>
      </w:r>
      <w:r w:rsidRPr="00DE54D3">
        <w:rPr>
          <w:lang w:val="fr-FR"/>
        </w:rPr>
        <w:t xml:space="preserve">/2012), par. 10.9 ; </w:t>
      </w:r>
      <w:proofErr w:type="spellStart"/>
      <w:r w:rsidRPr="00DE54D3">
        <w:rPr>
          <w:i/>
          <w:lang w:val="fr-FR"/>
        </w:rPr>
        <w:t>Tharu</w:t>
      </w:r>
      <w:proofErr w:type="spellEnd"/>
      <w:r w:rsidRPr="00DE54D3">
        <w:rPr>
          <w:i/>
          <w:lang w:val="fr-FR"/>
        </w:rPr>
        <w:t xml:space="preserve"> et </w:t>
      </w:r>
      <w:r w:rsidR="00A0081A" w:rsidRPr="00DE54D3">
        <w:rPr>
          <w:i/>
          <w:lang w:val="fr-FR"/>
        </w:rPr>
        <w:t>consorts</w:t>
      </w:r>
      <w:r w:rsidRPr="00DE54D3">
        <w:rPr>
          <w:i/>
          <w:lang w:val="fr-FR"/>
        </w:rPr>
        <w:t xml:space="preserve"> c. </w:t>
      </w:r>
      <w:r w:rsidRPr="00C57DFE">
        <w:rPr>
          <w:i/>
          <w:iCs/>
        </w:rPr>
        <w:t>Népal</w:t>
      </w:r>
      <w:r w:rsidRPr="00DE54D3">
        <w:rPr>
          <w:lang w:val="fr-FR"/>
        </w:rPr>
        <w:t xml:space="preserve">, par. 10.9 ; et </w:t>
      </w:r>
      <w:proofErr w:type="spellStart"/>
      <w:r w:rsidRPr="00DE54D3">
        <w:rPr>
          <w:i/>
          <w:lang w:val="fr-FR"/>
        </w:rPr>
        <w:t>Serna</w:t>
      </w:r>
      <w:proofErr w:type="spellEnd"/>
      <w:r w:rsidRPr="00DE54D3">
        <w:rPr>
          <w:i/>
          <w:lang w:val="fr-FR"/>
        </w:rPr>
        <w:t xml:space="preserve"> et</w:t>
      </w:r>
      <w:r w:rsidR="002A70DE" w:rsidRPr="00DE54D3">
        <w:rPr>
          <w:i/>
          <w:lang w:val="fr-FR"/>
        </w:rPr>
        <w:t xml:space="preserve"> </w:t>
      </w:r>
      <w:r w:rsidR="00E518FF" w:rsidRPr="00DE54D3">
        <w:rPr>
          <w:i/>
          <w:lang w:val="fr-FR"/>
        </w:rPr>
        <w:t>consorts</w:t>
      </w:r>
      <w:r w:rsidRPr="00DE54D3">
        <w:rPr>
          <w:i/>
          <w:iCs/>
          <w:lang w:val="fr-FR"/>
        </w:rPr>
        <w:t xml:space="preserve"> c. Colombie</w:t>
      </w:r>
      <w:r w:rsidRPr="00DE54D3">
        <w:rPr>
          <w:lang w:val="fr-FR"/>
        </w:rPr>
        <w:t>, par. 9.5.</w:t>
      </w:r>
    </w:p>
  </w:footnote>
  <w:footnote w:id="36">
    <w:p w14:paraId="0ECF50F3" w14:textId="77777777" w:rsidR="00DA12D7" w:rsidRPr="00DE54D3" w:rsidRDefault="00DA12D7" w:rsidP="00DA12D7">
      <w:pPr>
        <w:pStyle w:val="FootnoteText"/>
        <w:jc w:val="both"/>
      </w:pPr>
      <w:r w:rsidRPr="00DE54D3">
        <w:tab/>
      </w:r>
      <w:r w:rsidRPr="00DE54D3">
        <w:rPr>
          <w:rStyle w:val="FootnoteReference"/>
        </w:rPr>
        <w:footnoteRef/>
      </w:r>
      <w:r w:rsidRPr="00DE54D3">
        <w:tab/>
      </w:r>
      <w:proofErr w:type="spellStart"/>
      <w:r w:rsidRPr="00C57DFE">
        <w:rPr>
          <w:i/>
          <w:iCs/>
          <w:lang w:val="fr-FR"/>
        </w:rPr>
        <w:t>Mezine</w:t>
      </w:r>
      <w:proofErr w:type="spellEnd"/>
      <w:r w:rsidRPr="00C57DFE">
        <w:rPr>
          <w:i/>
          <w:iCs/>
          <w:lang w:val="fr-FR"/>
        </w:rPr>
        <w:t xml:space="preserve"> c. Algérie</w:t>
      </w:r>
      <w:r w:rsidRPr="00DE54D3">
        <w:rPr>
          <w:lang w:val="fr-FR"/>
        </w:rPr>
        <w:t xml:space="preserve">, par. 8.6 ; </w:t>
      </w:r>
      <w:proofErr w:type="spellStart"/>
      <w:r w:rsidRPr="00C57DFE">
        <w:rPr>
          <w:i/>
          <w:iCs/>
          <w:lang w:val="fr-FR"/>
        </w:rPr>
        <w:t>Khirani</w:t>
      </w:r>
      <w:proofErr w:type="spellEnd"/>
      <w:r w:rsidRPr="00C57DFE">
        <w:rPr>
          <w:i/>
          <w:iCs/>
          <w:lang w:val="fr-FR"/>
        </w:rPr>
        <w:t xml:space="preserve"> c. Algérie</w:t>
      </w:r>
      <w:r w:rsidRPr="00DE54D3">
        <w:rPr>
          <w:lang w:val="fr-FR"/>
        </w:rPr>
        <w:t xml:space="preserve">, par. 7.6 ; </w:t>
      </w:r>
      <w:proofErr w:type="spellStart"/>
      <w:r w:rsidRPr="00C57DFE">
        <w:rPr>
          <w:i/>
          <w:iCs/>
        </w:rPr>
        <w:t>Berzig</w:t>
      </w:r>
      <w:proofErr w:type="spellEnd"/>
      <w:r w:rsidRPr="00C57DFE">
        <w:rPr>
          <w:i/>
          <w:iCs/>
          <w:lang w:val="fr-FR"/>
        </w:rPr>
        <w:t xml:space="preserve"> c. Algérie</w:t>
      </w:r>
      <w:r w:rsidRPr="00DE54D3">
        <w:rPr>
          <w:lang w:val="fr-FR"/>
        </w:rPr>
        <w:t xml:space="preserve">, par. 8.6 ; </w:t>
      </w:r>
      <w:r w:rsidRPr="00C57DFE">
        <w:rPr>
          <w:i/>
          <w:iCs/>
          <w:lang w:val="fr-FR"/>
        </w:rPr>
        <w:t xml:space="preserve">El </w:t>
      </w:r>
      <w:proofErr w:type="spellStart"/>
      <w:r w:rsidRPr="00C57DFE">
        <w:rPr>
          <w:i/>
          <w:iCs/>
          <w:lang w:val="fr-FR"/>
        </w:rPr>
        <w:t>Abani</w:t>
      </w:r>
      <w:proofErr w:type="spellEnd"/>
      <w:r w:rsidRPr="00C57DFE">
        <w:rPr>
          <w:i/>
          <w:iCs/>
          <w:lang w:val="fr-FR"/>
        </w:rPr>
        <w:t xml:space="preserve"> c. Jamahiriya arabe libyenne</w:t>
      </w:r>
      <w:r w:rsidRPr="00DE54D3">
        <w:rPr>
          <w:lang w:val="fr-FR"/>
        </w:rPr>
        <w:t xml:space="preserve">, par. 7.5 ; et </w:t>
      </w:r>
      <w:r w:rsidRPr="00C57DFE">
        <w:rPr>
          <w:i/>
          <w:iCs/>
          <w:lang w:val="fr-FR"/>
        </w:rPr>
        <w:t xml:space="preserve">El </w:t>
      </w:r>
      <w:proofErr w:type="spellStart"/>
      <w:r w:rsidRPr="00C57DFE">
        <w:rPr>
          <w:i/>
          <w:iCs/>
          <w:lang w:val="fr-FR"/>
        </w:rPr>
        <w:t>Hassy</w:t>
      </w:r>
      <w:proofErr w:type="spellEnd"/>
      <w:r w:rsidRPr="00C57DFE">
        <w:rPr>
          <w:i/>
          <w:iCs/>
          <w:lang w:val="fr-FR"/>
        </w:rPr>
        <w:t xml:space="preserve"> c. Jamahiriya arabe libyenne</w:t>
      </w:r>
      <w:r w:rsidRPr="00DE54D3">
        <w:rPr>
          <w:lang w:val="fr-FR"/>
        </w:rPr>
        <w:t xml:space="preserve"> (CCPR/C/91/D/1422/2005), par. 6.11.</w:t>
      </w:r>
    </w:p>
  </w:footnote>
  <w:footnote w:id="37">
    <w:p w14:paraId="06B72799" w14:textId="4E677F54" w:rsidR="006D2768" w:rsidRPr="006D2768" w:rsidRDefault="006D2768" w:rsidP="006D2768">
      <w:pPr>
        <w:pStyle w:val="FootnoteText"/>
        <w:jc w:val="both"/>
      </w:pPr>
      <w:r>
        <w:tab/>
      </w:r>
      <w:r>
        <w:rPr>
          <w:rStyle w:val="FootnoteReference"/>
        </w:rPr>
        <w:footnoteRef/>
      </w:r>
      <w:r>
        <w:tab/>
      </w:r>
      <w:proofErr w:type="spellStart"/>
      <w:r w:rsidRPr="0051646E">
        <w:rPr>
          <w:i/>
          <w:iCs/>
        </w:rPr>
        <w:t>Cherguit</w:t>
      </w:r>
      <w:proofErr w:type="spellEnd"/>
      <w:r w:rsidRPr="00C57DFE">
        <w:rPr>
          <w:i/>
          <w:iCs/>
          <w:lang w:val="fr-FR"/>
        </w:rPr>
        <w:t xml:space="preserve"> c. Algérie</w:t>
      </w:r>
      <w:r>
        <w:rPr>
          <w:iCs/>
          <w:lang w:val="fr-FR"/>
        </w:rPr>
        <w:t>, par. 7.13 ; et</w:t>
      </w:r>
      <w:r w:rsidRPr="006D2768">
        <w:rPr>
          <w:i/>
        </w:rPr>
        <w:t xml:space="preserve"> </w:t>
      </w:r>
      <w:proofErr w:type="spellStart"/>
      <w:r w:rsidRPr="00660336">
        <w:rPr>
          <w:i/>
        </w:rPr>
        <w:t>Souaiene</w:t>
      </w:r>
      <w:proofErr w:type="spellEnd"/>
      <w:r w:rsidRPr="00660336">
        <w:rPr>
          <w:i/>
          <w:lang w:val="fr-FR"/>
        </w:rPr>
        <w:t xml:space="preserve"> </w:t>
      </w:r>
      <w:r>
        <w:rPr>
          <w:i/>
          <w:lang w:val="fr-FR"/>
        </w:rPr>
        <w:t>c. Algérie</w:t>
      </w:r>
      <w:r>
        <w:rPr>
          <w:lang w:val="fr-FR"/>
        </w:rPr>
        <w:t>, par. 8.12.</w:t>
      </w:r>
    </w:p>
  </w:footnote>
  <w:footnote w:id="38">
    <w:p w14:paraId="0F334C65" w14:textId="77777777" w:rsidR="004119F5" w:rsidRPr="00DE54D3" w:rsidRDefault="004119F5" w:rsidP="00203E86">
      <w:pPr>
        <w:pStyle w:val="FootnoteText"/>
        <w:jc w:val="both"/>
      </w:pPr>
      <w:r w:rsidRPr="00DE54D3">
        <w:tab/>
      </w:r>
      <w:r w:rsidRPr="00DE54D3">
        <w:rPr>
          <w:rStyle w:val="FootnoteReference"/>
          <w:szCs w:val="18"/>
        </w:rPr>
        <w:footnoteRef/>
      </w:r>
      <w:r w:rsidRPr="00DE54D3">
        <w:tab/>
      </w:r>
      <w:proofErr w:type="spellStart"/>
      <w:r w:rsidRPr="00DE54D3">
        <w:rPr>
          <w:i/>
        </w:rPr>
        <w:t>Allioua</w:t>
      </w:r>
      <w:proofErr w:type="spellEnd"/>
      <w:r w:rsidRPr="00DE54D3">
        <w:rPr>
          <w:i/>
        </w:rPr>
        <w:t xml:space="preserve"> et </w:t>
      </w:r>
      <w:proofErr w:type="spellStart"/>
      <w:r w:rsidRPr="00DE54D3">
        <w:rPr>
          <w:i/>
        </w:rPr>
        <w:t>Kerouane</w:t>
      </w:r>
      <w:proofErr w:type="spellEnd"/>
      <w:r w:rsidRPr="00DE54D3">
        <w:rPr>
          <w:i/>
        </w:rPr>
        <w:t xml:space="preserve"> c. Algérie</w:t>
      </w:r>
      <w:r w:rsidRPr="00DE54D3">
        <w:t xml:space="preserve"> (CCPR/C/112/D/2132/2012), par. 7.11.</w:t>
      </w:r>
    </w:p>
  </w:footnote>
  <w:footnote w:id="39">
    <w:p w14:paraId="3E067DC9" w14:textId="77777777" w:rsidR="004119F5" w:rsidRDefault="004119F5" w:rsidP="00203E86">
      <w:pPr>
        <w:pStyle w:val="FootnoteText"/>
        <w:jc w:val="both"/>
      </w:pPr>
      <w:r w:rsidRPr="00DE54D3">
        <w:tab/>
      </w:r>
      <w:r w:rsidRPr="00DE54D3">
        <w:rPr>
          <w:rStyle w:val="FootnoteReference"/>
        </w:rPr>
        <w:footnoteRef/>
      </w:r>
      <w:r w:rsidRPr="00DE54D3">
        <w:tab/>
      </w:r>
      <w:r w:rsidRPr="00DE54D3">
        <w:rPr>
          <w:lang w:val="fr-FR"/>
        </w:rPr>
        <w:t>CCPR/C/DZA/</w:t>
      </w:r>
      <w:r w:rsidRPr="00DE54D3">
        <w:t>CO</w:t>
      </w:r>
      <w:r w:rsidRPr="00DE54D3">
        <w:rPr>
          <w:lang w:val="fr-FR"/>
        </w:rPr>
        <w:t>/3, par. 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E23F6" w14:textId="097D6102" w:rsidR="004119F5" w:rsidRPr="007D7472" w:rsidRDefault="007A07D8">
    <w:pPr>
      <w:pStyle w:val="Header"/>
    </w:pPr>
    <w:fldSimple w:instr=" TITLE  \* MERGEFORMAT ">
      <w:r w:rsidR="0022224C">
        <w:t>CCPR/C/134/DR/3320/2019</w:t>
      </w:r>
    </w:fldSimple>
    <w:r w:rsidR="00290779">
      <w:t xml:space="preserve"> version avancée non éditée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A7479" w14:textId="42E102C6" w:rsidR="004119F5" w:rsidRPr="007D7472" w:rsidRDefault="00290779" w:rsidP="007D7472">
    <w:pPr>
      <w:pStyle w:val="Header"/>
      <w:jc w:val="right"/>
    </w:pPr>
    <w:r>
      <w:t xml:space="preserve">Version avancée non éditée </w:t>
    </w:r>
    <w:r w:rsidR="0022224C">
      <w:fldChar w:fldCharType="begin"/>
    </w:r>
    <w:r w:rsidR="0022224C">
      <w:instrText xml:space="preserve"> TITLE  \* MERGEFORMAT </w:instrText>
    </w:r>
    <w:r w:rsidR="0022224C">
      <w:fldChar w:fldCharType="separate"/>
    </w:r>
    <w:r w:rsidR="0022224C">
      <w:t>CCPR/C/134/DR/3320/2019</w:t>
    </w:r>
    <w:r w:rsidR="0022224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2841D8E"/>
    <w:multiLevelType w:val="hybridMultilevel"/>
    <w:tmpl w:val="5FA6C030"/>
    <w:lvl w:ilvl="0" w:tplc="67C422AA">
      <w:start w:val="7"/>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3"/>
  </w:num>
  <w:num w:numId="18">
    <w:abstractNumId w:val="11"/>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6" w:nlCheck="1" w:checkStyle="0"/>
  <w:activeWritingStyle w:appName="MSWord" w:lang="fr-CH" w:vendorID="64" w:dllVersion="6" w:nlCheck="1" w:checkStyle="0"/>
  <w:activeWritingStyle w:appName="MSWord" w:lang="en-GB" w:vendorID="64" w:dllVersion="6" w:nlCheck="1" w:checkStyle="0"/>
  <w:activeWritingStyle w:appName="MSWord" w:lang="es-ES" w:vendorID="64" w:dllVersion="6" w:nlCheck="1" w:checkStyle="0"/>
  <w:activeWritingStyle w:appName="MSWord" w:lang="fr-CH" w:vendorID="64" w:dllVersion="0" w:nlCheck="1" w:checkStyle="0"/>
  <w:activeWritingStyle w:appName="MSWord" w:lang="fr-FR" w:vendorID="64" w:dllVersion="0" w:nlCheck="1" w:checkStyle="0"/>
  <w:activeWritingStyle w:appName="MSWord" w:lang="pt-PT" w:vendorID="64" w:dllVersion="0" w:nlCheck="1" w:checkStyle="0"/>
  <w:activeWritingStyle w:appName="MSWord" w:lang="es-ES" w:vendorID="64" w:dllVersion="0" w:nlCheck="1" w:checkStyle="0"/>
  <w:activeWritingStyle w:appName="MSWord" w:lang="es-EC" w:vendorID="64" w:dllVersion="6" w:nlCheck="1" w:checkStyle="0"/>
  <w:activeWritingStyle w:appName="MSWord" w:lang="fr-CH" w:vendorID="64" w:dllVersion="131078" w:nlCheck="1" w:checkStyle="0"/>
  <w:activeWritingStyle w:appName="MSWord" w:lang="fr-FR" w:vendorID="64" w:dllVersion="131078" w:nlCheck="1" w:checkStyle="0"/>
  <w:proofState w:spelling="clean" w:grammar="clean"/>
  <w:attachedTemplate r:id="rId1"/>
  <w:documentProtection w:edit="trackedChanges" w:enforcement="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06"/>
    <w:rsid w:val="00006206"/>
    <w:rsid w:val="00006AA7"/>
    <w:rsid w:val="00006BC9"/>
    <w:rsid w:val="00007058"/>
    <w:rsid w:val="00007C72"/>
    <w:rsid w:val="00007EB9"/>
    <w:rsid w:val="000109AC"/>
    <w:rsid w:val="00013F11"/>
    <w:rsid w:val="000159D3"/>
    <w:rsid w:val="00017F94"/>
    <w:rsid w:val="00023842"/>
    <w:rsid w:val="00025047"/>
    <w:rsid w:val="000255AC"/>
    <w:rsid w:val="000319C3"/>
    <w:rsid w:val="00031E69"/>
    <w:rsid w:val="000334F9"/>
    <w:rsid w:val="0003352E"/>
    <w:rsid w:val="000371E6"/>
    <w:rsid w:val="00042D30"/>
    <w:rsid w:val="00045568"/>
    <w:rsid w:val="000460B6"/>
    <w:rsid w:val="00046F49"/>
    <w:rsid w:val="00051C21"/>
    <w:rsid w:val="00052F40"/>
    <w:rsid w:val="00052F76"/>
    <w:rsid w:val="000531A9"/>
    <w:rsid w:val="00054493"/>
    <w:rsid w:val="00055409"/>
    <w:rsid w:val="000612FB"/>
    <w:rsid w:val="00063EBA"/>
    <w:rsid w:val="00065A68"/>
    <w:rsid w:val="00065FD8"/>
    <w:rsid w:val="00066F7F"/>
    <w:rsid w:val="00067F81"/>
    <w:rsid w:val="00072B37"/>
    <w:rsid w:val="000767E5"/>
    <w:rsid w:val="0007796D"/>
    <w:rsid w:val="00083E70"/>
    <w:rsid w:val="00085E42"/>
    <w:rsid w:val="00086F3F"/>
    <w:rsid w:val="00090E3B"/>
    <w:rsid w:val="000A5209"/>
    <w:rsid w:val="000A623D"/>
    <w:rsid w:val="000B1EC0"/>
    <w:rsid w:val="000B40BF"/>
    <w:rsid w:val="000B55D5"/>
    <w:rsid w:val="000B7790"/>
    <w:rsid w:val="000B78A4"/>
    <w:rsid w:val="000C0721"/>
    <w:rsid w:val="000C0CA9"/>
    <w:rsid w:val="000C2225"/>
    <w:rsid w:val="000D193D"/>
    <w:rsid w:val="000D2E0D"/>
    <w:rsid w:val="000D3730"/>
    <w:rsid w:val="000D4442"/>
    <w:rsid w:val="000E1BA9"/>
    <w:rsid w:val="000E1F75"/>
    <w:rsid w:val="000E5A06"/>
    <w:rsid w:val="000E6181"/>
    <w:rsid w:val="000F422E"/>
    <w:rsid w:val="001013EC"/>
    <w:rsid w:val="0010188B"/>
    <w:rsid w:val="0011123F"/>
    <w:rsid w:val="00111424"/>
    <w:rsid w:val="00111F2F"/>
    <w:rsid w:val="001152B6"/>
    <w:rsid w:val="0012093B"/>
    <w:rsid w:val="00121346"/>
    <w:rsid w:val="001278AF"/>
    <w:rsid w:val="0013544E"/>
    <w:rsid w:val="00142097"/>
    <w:rsid w:val="00142EDF"/>
    <w:rsid w:val="0014365E"/>
    <w:rsid w:val="00147145"/>
    <w:rsid w:val="00147A1D"/>
    <w:rsid w:val="0015100B"/>
    <w:rsid w:val="001552DF"/>
    <w:rsid w:val="00155E8C"/>
    <w:rsid w:val="00156355"/>
    <w:rsid w:val="0016209C"/>
    <w:rsid w:val="00171C4B"/>
    <w:rsid w:val="00172AD4"/>
    <w:rsid w:val="0017374B"/>
    <w:rsid w:val="00175472"/>
    <w:rsid w:val="00176178"/>
    <w:rsid w:val="00177A8D"/>
    <w:rsid w:val="00182AFE"/>
    <w:rsid w:val="00184910"/>
    <w:rsid w:val="00187C8F"/>
    <w:rsid w:val="0019102F"/>
    <w:rsid w:val="001919E8"/>
    <w:rsid w:val="0019275D"/>
    <w:rsid w:val="001A0EF1"/>
    <w:rsid w:val="001A1C3B"/>
    <w:rsid w:val="001A52DA"/>
    <w:rsid w:val="001A5660"/>
    <w:rsid w:val="001B0A58"/>
    <w:rsid w:val="001B1BC0"/>
    <w:rsid w:val="001B379B"/>
    <w:rsid w:val="001B6B89"/>
    <w:rsid w:val="001C03C8"/>
    <w:rsid w:val="001C281B"/>
    <w:rsid w:val="001C4148"/>
    <w:rsid w:val="001C75C0"/>
    <w:rsid w:val="001D4F61"/>
    <w:rsid w:val="001D5681"/>
    <w:rsid w:val="001D6FFA"/>
    <w:rsid w:val="001D712E"/>
    <w:rsid w:val="001E309B"/>
    <w:rsid w:val="001E5293"/>
    <w:rsid w:val="001F1D1F"/>
    <w:rsid w:val="001F2515"/>
    <w:rsid w:val="001F525A"/>
    <w:rsid w:val="001F6A18"/>
    <w:rsid w:val="00200F31"/>
    <w:rsid w:val="00203E86"/>
    <w:rsid w:val="00204F04"/>
    <w:rsid w:val="00206061"/>
    <w:rsid w:val="00207A15"/>
    <w:rsid w:val="00212F86"/>
    <w:rsid w:val="00216128"/>
    <w:rsid w:val="00220118"/>
    <w:rsid w:val="0022224C"/>
    <w:rsid w:val="00223272"/>
    <w:rsid w:val="0022494B"/>
    <w:rsid w:val="002306D3"/>
    <w:rsid w:val="002354CB"/>
    <w:rsid w:val="002357FC"/>
    <w:rsid w:val="00240DE9"/>
    <w:rsid w:val="00244DE9"/>
    <w:rsid w:val="0024779E"/>
    <w:rsid w:val="002618C2"/>
    <w:rsid w:val="00275F28"/>
    <w:rsid w:val="00277985"/>
    <w:rsid w:val="00280D41"/>
    <w:rsid w:val="00283697"/>
    <w:rsid w:val="00290779"/>
    <w:rsid w:val="00290855"/>
    <w:rsid w:val="002944E5"/>
    <w:rsid w:val="00295E9D"/>
    <w:rsid w:val="002976B9"/>
    <w:rsid w:val="00297BF0"/>
    <w:rsid w:val="002A1E0B"/>
    <w:rsid w:val="002A2B46"/>
    <w:rsid w:val="002A404D"/>
    <w:rsid w:val="002A630C"/>
    <w:rsid w:val="002A70DE"/>
    <w:rsid w:val="002A7636"/>
    <w:rsid w:val="002B1C8C"/>
    <w:rsid w:val="002B3A75"/>
    <w:rsid w:val="002B3BCD"/>
    <w:rsid w:val="002B62C1"/>
    <w:rsid w:val="002B73D8"/>
    <w:rsid w:val="002B7BC7"/>
    <w:rsid w:val="002B7FDD"/>
    <w:rsid w:val="002C0E8F"/>
    <w:rsid w:val="002C250C"/>
    <w:rsid w:val="002C454D"/>
    <w:rsid w:val="002C64A8"/>
    <w:rsid w:val="002C6838"/>
    <w:rsid w:val="002C718D"/>
    <w:rsid w:val="002C7B8E"/>
    <w:rsid w:val="002D109C"/>
    <w:rsid w:val="002E2D46"/>
    <w:rsid w:val="002E3745"/>
    <w:rsid w:val="002F0BE9"/>
    <w:rsid w:val="002F4678"/>
    <w:rsid w:val="002F4901"/>
    <w:rsid w:val="002F75D5"/>
    <w:rsid w:val="00301FB5"/>
    <w:rsid w:val="0030235C"/>
    <w:rsid w:val="0030367C"/>
    <w:rsid w:val="003040EA"/>
    <w:rsid w:val="00305F47"/>
    <w:rsid w:val="003073A3"/>
    <w:rsid w:val="00311BC3"/>
    <w:rsid w:val="00312063"/>
    <w:rsid w:val="0032225A"/>
    <w:rsid w:val="0032298B"/>
    <w:rsid w:val="00323417"/>
    <w:rsid w:val="00327862"/>
    <w:rsid w:val="003312F6"/>
    <w:rsid w:val="00333944"/>
    <w:rsid w:val="00334CF2"/>
    <w:rsid w:val="0033607A"/>
    <w:rsid w:val="00336981"/>
    <w:rsid w:val="0033796F"/>
    <w:rsid w:val="003402F1"/>
    <w:rsid w:val="0034160D"/>
    <w:rsid w:val="0034335C"/>
    <w:rsid w:val="003435C9"/>
    <w:rsid w:val="00345BC1"/>
    <w:rsid w:val="00346FEA"/>
    <w:rsid w:val="00347037"/>
    <w:rsid w:val="003506A7"/>
    <w:rsid w:val="00351332"/>
    <w:rsid w:val="003533BE"/>
    <w:rsid w:val="0035522B"/>
    <w:rsid w:val="003553A0"/>
    <w:rsid w:val="00355B5D"/>
    <w:rsid w:val="00355C3A"/>
    <w:rsid w:val="0035639F"/>
    <w:rsid w:val="00364F2B"/>
    <w:rsid w:val="0036727E"/>
    <w:rsid w:val="00367414"/>
    <w:rsid w:val="003675A5"/>
    <w:rsid w:val="003723AC"/>
    <w:rsid w:val="003735FA"/>
    <w:rsid w:val="00373663"/>
    <w:rsid w:val="003744ED"/>
    <w:rsid w:val="00375BDB"/>
    <w:rsid w:val="00382231"/>
    <w:rsid w:val="003823BF"/>
    <w:rsid w:val="003829AE"/>
    <w:rsid w:val="00382C09"/>
    <w:rsid w:val="0038327F"/>
    <w:rsid w:val="00385BEB"/>
    <w:rsid w:val="00386538"/>
    <w:rsid w:val="00387384"/>
    <w:rsid w:val="00387CA4"/>
    <w:rsid w:val="0039009A"/>
    <w:rsid w:val="00391DA9"/>
    <w:rsid w:val="00392148"/>
    <w:rsid w:val="00394BD0"/>
    <w:rsid w:val="00397820"/>
    <w:rsid w:val="003A556D"/>
    <w:rsid w:val="003A626D"/>
    <w:rsid w:val="003A6E96"/>
    <w:rsid w:val="003B0D6C"/>
    <w:rsid w:val="003B2EB8"/>
    <w:rsid w:val="003B3446"/>
    <w:rsid w:val="003B3F53"/>
    <w:rsid w:val="003B5F78"/>
    <w:rsid w:val="003B7C09"/>
    <w:rsid w:val="003C00F2"/>
    <w:rsid w:val="003C1C48"/>
    <w:rsid w:val="003C29D3"/>
    <w:rsid w:val="003C2C5B"/>
    <w:rsid w:val="003C2DF3"/>
    <w:rsid w:val="003C4458"/>
    <w:rsid w:val="003C579A"/>
    <w:rsid w:val="003C6723"/>
    <w:rsid w:val="003C7137"/>
    <w:rsid w:val="003C75B2"/>
    <w:rsid w:val="003C7F19"/>
    <w:rsid w:val="003D040E"/>
    <w:rsid w:val="003D1637"/>
    <w:rsid w:val="003D3891"/>
    <w:rsid w:val="003D4405"/>
    <w:rsid w:val="003D63A7"/>
    <w:rsid w:val="003E01BD"/>
    <w:rsid w:val="003E350D"/>
    <w:rsid w:val="003E3A65"/>
    <w:rsid w:val="003E6FD8"/>
    <w:rsid w:val="003F2252"/>
    <w:rsid w:val="003F2F7A"/>
    <w:rsid w:val="003F6DEF"/>
    <w:rsid w:val="003F7119"/>
    <w:rsid w:val="003F7C03"/>
    <w:rsid w:val="004005F3"/>
    <w:rsid w:val="00410779"/>
    <w:rsid w:val="004119F5"/>
    <w:rsid w:val="00411D3F"/>
    <w:rsid w:val="00415C1D"/>
    <w:rsid w:val="00416226"/>
    <w:rsid w:val="00417EA1"/>
    <w:rsid w:val="00422662"/>
    <w:rsid w:val="00424045"/>
    <w:rsid w:val="0043442F"/>
    <w:rsid w:val="004363EA"/>
    <w:rsid w:val="004369AD"/>
    <w:rsid w:val="00436F39"/>
    <w:rsid w:val="00437566"/>
    <w:rsid w:val="00437CD0"/>
    <w:rsid w:val="0044056C"/>
    <w:rsid w:val="00441AD8"/>
    <w:rsid w:val="00441D39"/>
    <w:rsid w:val="004440A1"/>
    <w:rsid w:val="00446FE5"/>
    <w:rsid w:val="00451C6B"/>
    <w:rsid w:val="00452396"/>
    <w:rsid w:val="00452C1E"/>
    <w:rsid w:val="00453169"/>
    <w:rsid w:val="00453939"/>
    <w:rsid w:val="00460B0D"/>
    <w:rsid w:val="0046354A"/>
    <w:rsid w:val="00464331"/>
    <w:rsid w:val="00472ECE"/>
    <w:rsid w:val="004755CB"/>
    <w:rsid w:val="00480CA6"/>
    <w:rsid w:val="004857CD"/>
    <w:rsid w:val="00486CE6"/>
    <w:rsid w:val="00490C81"/>
    <w:rsid w:val="004920B9"/>
    <w:rsid w:val="0049567C"/>
    <w:rsid w:val="00496DD8"/>
    <w:rsid w:val="004A0B56"/>
    <w:rsid w:val="004A3188"/>
    <w:rsid w:val="004A5639"/>
    <w:rsid w:val="004A56BB"/>
    <w:rsid w:val="004A6545"/>
    <w:rsid w:val="004A6EDE"/>
    <w:rsid w:val="004A7232"/>
    <w:rsid w:val="004B16E9"/>
    <w:rsid w:val="004B1983"/>
    <w:rsid w:val="004B1F28"/>
    <w:rsid w:val="004B2594"/>
    <w:rsid w:val="004B3D01"/>
    <w:rsid w:val="004B3D45"/>
    <w:rsid w:val="004B5F9D"/>
    <w:rsid w:val="004B6D04"/>
    <w:rsid w:val="004B7CDE"/>
    <w:rsid w:val="004C5D29"/>
    <w:rsid w:val="004C66DA"/>
    <w:rsid w:val="004C6EF9"/>
    <w:rsid w:val="004C75F6"/>
    <w:rsid w:val="004D036E"/>
    <w:rsid w:val="004D1002"/>
    <w:rsid w:val="004D25EA"/>
    <w:rsid w:val="004D3A17"/>
    <w:rsid w:val="004D72AF"/>
    <w:rsid w:val="004E06CD"/>
    <w:rsid w:val="004E2C19"/>
    <w:rsid w:val="004E41CF"/>
    <w:rsid w:val="004E57C5"/>
    <w:rsid w:val="004E6E06"/>
    <w:rsid w:val="004F02EF"/>
    <w:rsid w:val="004F0A41"/>
    <w:rsid w:val="004F1CEB"/>
    <w:rsid w:val="005004B1"/>
    <w:rsid w:val="005021B2"/>
    <w:rsid w:val="005024C5"/>
    <w:rsid w:val="00507EE2"/>
    <w:rsid w:val="005102B3"/>
    <w:rsid w:val="00510AAE"/>
    <w:rsid w:val="00512EAC"/>
    <w:rsid w:val="0051412B"/>
    <w:rsid w:val="0051646E"/>
    <w:rsid w:val="005169BF"/>
    <w:rsid w:val="00521FAF"/>
    <w:rsid w:val="00522CF1"/>
    <w:rsid w:val="00526A90"/>
    <w:rsid w:val="00527012"/>
    <w:rsid w:val="005324F1"/>
    <w:rsid w:val="00533F15"/>
    <w:rsid w:val="00534D30"/>
    <w:rsid w:val="005350AE"/>
    <w:rsid w:val="00535BC5"/>
    <w:rsid w:val="005426EC"/>
    <w:rsid w:val="00543E90"/>
    <w:rsid w:val="00545A81"/>
    <w:rsid w:val="00545E98"/>
    <w:rsid w:val="005463A6"/>
    <w:rsid w:val="0054673D"/>
    <w:rsid w:val="005505B7"/>
    <w:rsid w:val="00550E89"/>
    <w:rsid w:val="005526A5"/>
    <w:rsid w:val="005542EE"/>
    <w:rsid w:val="00560141"/>
    <w:rsid w:val="00573B36"/>
    <w:rsid w:val="00573BE5"/>
    <w:rsid w:val="005740B1"/>
    <w:rsid w:val="005762F2"/>
    <w:rsid w:val="00577455"/>
    <w:rsid w:val="00580595"/>
    <w:rsid w:val="005837B0"/>
    <w:rsid w:val="0058565D"/>
    <w:rsid w:val="00585D1F"/>
    <w:rsid w:val="00586ED3"/>
    <w:rsid w:val="00590872"/>
    <w:rsid w:val="0059160C"/>
    <w:rsid w:val="00592D4F"/>
    <w:rsid w:val="00594B9F"/>
    <w:rsid w:val="00596AA9"/>
    <w:rsid w:val="005A11C7"/>
    <w:rsid w:val="005A30AB"/>
    <w:rsid w:val="005A3FBC"/>
    <w:rsid w:val="005A41AC"/>
    <w:rsid w:val="005A6FA8"/>
    <w:rsid w:val="005A7301"/>
    <w:rsid w:val="005B6649"/>
    <w:rsid w:val="005B6735"/>
    <w:rsid w:val="005C095D"/>
    <w:rsid w:val="005C2129"/>
    <w:rsid w:val="005C2885"/>
    <w:rsid w:val="005C590E"/>
    <w:rsid w:val="005D4F80"/>
    <w:rsid w:val="005D6B43"/>
    <w:rsid w:val="005D7C4B"/>
    <w:rsid w:val="005D7FC1"/>
    <w:rsid w:val="005E12DD"/>
    <w:rsid w:val="005E1EF0"/>
    <w:rsid w:val="005E7D5F"/>
    <w:rsid w:val="005E7F3D"/>
    <w:rsid w:val="005F39DA"/>
    <w:rsid w:val="005F5AB1"/>
    <w:rsid w:val="005F6467"/>
    <w:rsid w:val="0060281C"/>
    <w:rsid w:val="00603AE4"/>
    <w:rsid w:val="006059D7"/>
    <w:rsid w:val="006109ED"/>
    <w:rsid w:val="0061228F"/>
    <w:rsid w:val="006122F2"/>
    <w:rsid w:val="00614D0E"/>
    <w:rsid w:val="006170ED"/>
    <w:rsid w:val="0063461C"/>
    <w:rsid w:val="006404CD"/>
    <w:rsid w:val="0064153B"/>
    <w:rsid w:val="00644616"/>
    <w:rsid w:val="00647D87"/>
    <w:rsid w:val="00652DE7"/>
    <w:rsid w:val="00653204"/>
    <w:rsid w:val="00654F41"/>
    <w:rsid w:val="006561FC"/>
    <w:rsid w:val="00656E63"/>
    <w:rsid w:val="00660336"/>
    <w:rsid w:val="00662ADA"/>
    <w:rsid w:val="006656E7"/>
    <w:rsid w:val="00666DB7"/>
    <w:rsid w:val="006703B6"/>
    <w:rsid w:val="00672B49"/>
    <w:rsid w:val="006735BF"/>
    <w:rsid w:val="00680077"/>
    <w:rsid w:val="006811FA"/>
    <w:rsid w:val="0068259F"/>
    <w:rsid w:val="0068338E"/>
    <w:rsid w:val="00685D38"/>
    <w:rsid w:val="00693D30"/>
    <w:rsid w:val="006941FE"/>
    <w:rsid w:val="006966BC"/>
    <w:rsid w:val="006A0147"/>
    <w:rsid w:val="006A2073"/>
    <w:rsid w:val="006A3184"/>
    <w:rsid w:val="006A5822"/>
    <w:rsid w:val="006B2617"/>
    <w:rsid w:val="006B6145"/>
    <w:rsid w:val="006C3909"/>
    <w:rsid w:val="006C4A4D"/>
    <w:rsid w:val="006C62FF"/>
    <w:rsid w:val="006C69A9"/>
    <w:rsid w:val="006C7412"/>
    <w:rsid w:val="006D04F6"/>
    <w:rsid w:val="006D1127"/>
    <w:rsid w:val="006D2768"/>
    <w:rsid w:val="006D2F75"/>
    <w:rsid w:val="006E2429"/>
    <w:rsid w:val="006E64B0"/>
    <w:rsid w:val="006E68EF"/>
    <w:rsid w:val="006E6C35"/>
    <w:rsid w:val="006F7144"/>
    <w:rsid w:val="006F71EA"/>
    <w:rsid w:val="00700331"/>
    <w:rsid w:val="007011B2"/>
    <w:rsid w:val="007038A5"/>
    <w:rsid w:val="00704EDB"/>
    <w:rsid w:val="007136C2"/>
    <w:rsid w:val="00713F25"/>
    <w:rsid w:val="007150D6"/>
    <w:rsid w:val="0071601D"/>
    <w:rsid w:val="00716287"/>
    <w:rsid w:val="00721D6A"/>
    <w:rsid w:val="00723899"/>
    <w:rsid w:val="0072518C"/>
    <w:rsid w:val="007276E8"/>
    <w:rsid w:val="00727D63"/>
    <w:rsid w:val="00731466"/>
    <w:rsid w:val="00733F93"/>
    <w:rsid w:val="00735749"/>
    <w:rsid w:val="00740A4F"/>
    <w:rsid w:val="00742ED3"/>
    <w:rsid w:val="00745280"/>
    <w:rsid w:val="00750419"/>
    <w:rsid w:val="00757FE3"/>
    <w:rsid w:val="00760A4B"/>
    <w:rsid w:val="007629DC"/>
    <w:rsid w:val="00762B25"/>
    <w:rsid w:val="00762EF9"/>
    <w:rsid w:val="00765985"/>
    <w:rsid w:val="007716D8"/>
    <w:rsid w:val="007775A6"/>
    <w:rsid w:val="007776A5"/>
    <w:rsid w:val="00781B7D"/>
    <w:rsid w:val="00783DCE"/>
    <w:rsid w:val="00784812"/>
    <w:rsid w:val="00785276"/>
    <w:rsid w:val="00793E85"/>
    <w:rsid w:val="00794E2B"/>
    <w:rsid w:val="007A07D8"/>
    <w:rsid w:val="007A28CB"/>
    <w:rsid w:val="007A3692"/>
    <w:rsid w:val="007A3759"/>
    <w:rsid w:val="007A611C"/>
    <w:rsid w:val="007A62E6"/>
    <w:rsid w:val="007A6B00"/>
    <w:rsid w:val="007A7810"/>
    <w:rsid w:val="007A7863"/>
    <w:rsid w:val="007B07A2"/>
    <w:rsid w:val="007B6728"/>
    <w:rsid w:val="007B7777"/>
    <w:rsid w:val="007B79C6"/>
    <w:rsid w:val="007C1F1E"/>
    <w:rsid w:val="007C45E6"/>
    <w:rsid w:val="007C4695"/>
    <w:rsid w:val="007C5F93"/>
    <w:rsid w:val="007C75D2"/>
    <w:rsid w:val="007D3803"/>
    <w:rsid w:val="007D4E7B"/>
    <w:rsid w:val="007D7472"/>
    <w:rsid w:val="007E0377"/>
    <w:rsid w:val="007E1533"/>
    <w:rsid w:val="007E2032"/>
    <w:rsid w:val="007E6FAD"/>
    <w:rsid w:val="007E75F7"/>
    <w:rsid w:val="007E7B73"/>
    <w:rsid w:val="007F1AE4"/>
    <w:rsid w:val="007F3BD7"/>
    <w:rsid w:val="007F4CAC"/>
    <w:rsid w:val="00800F08"/>
    <w:rsid w:val="0080684C"/>
    <w:rsid w:val="00806BA0"/>
    <w:rsid w:val="00807368"/>
    <w:rsid w:val="00807770"/>
    <w:rsid w:val="00810A99"/>
    <w:rsid w:val="008118AE"/>
    <w:rsid w:val="00813D62"/>
    <w:rsid w:val="0081723B"/>
    <w:rsid w:val="008338D2"/>
    <w:rsid w:val="0083411A"/>
    <w:rsid w:val="00836742"/>
    <w:rsid w:val="00844439"/>
    <w:rsid w:val="00850492"/>
    <w:rsid w:val="00852A51"/>
    <w:rsid w:val="00852BF3"/>
    <w:rsid w:val="00853B8B"/>
    <w:rsid w:val="008560DB"/>
    <w:rsid w:val="00860E7C"/>
    <w:rsid w:val="008622AD"/>
    <w:rsid w:val="00864B12"/>
    <w:rsid w:val="00864E2F"/>
    <w:rsid w:val="00865C97"/>
    <w:rsid w:val="00871C75"/>
    <w:rsid w:val="0087273F"/>
    <w:rsid w:val="008765CB"/>
    <w:rsid w:val="00877442"/>
    <w:rsid w:val="008776DC"/>
    <w:rsid w:val="0088019B"/>
    <w:rsid w:val="00882D9B"/>
    <w:rsid w:val="0088574B"/>
    <w:rsid w:val="00885C33"/>
    <w:rsid w:val="00887111"/>
    <w:rsid w:val="00887F8C"/>
    <w:rsid w:val="008904C3"/>
    <w:rsid w:val="00891E22"/>
    <w:rsid w:val="00892CDB"/>
    <w:rsid w:val="00894F89"/>
    <w:rsid w:val="00895B4C"/>
    <w:rsid w:val="008A2690"/>
    <w:rsid w:val="008A49C2"/>
    <w:rsid w:val="008A78C0"/>
    <w:rsid w:val="008B0D71"/>
    <w:rsid w:val="008B11AB"/>
    <w:rsid w:val="008B45A5"/>
    <w:rsid w:val="008B5FCC"/>
    <w:rsid w:val="008B779B"/>
    <w:rsid w:val="008B79C8"/>
    <w:rsid w:val="008C1CF3"/>
    <w:rsid w:val="008C4955"/>
    <w:rsid w:val="008C4D5E"/>
    <w:rsid w:val="008D02E7"/>
    <w:rsid w:val="008D041F"/>
    <w:rsid w:val="008D2E14"/>
    <w:rsid w:val="008D60D1"/>
    <w:rsid w:val="008D75C5"/>
    <w:rsid w:val="008E1453"/>
    <w:rsid w:val="008E2720"/>
    <w:rsid w:val="008E2E03"/>
    <w:rsid w:val="008E2FBA"/>
    <w:rsid w:val="008E4BD5"/>
    <w:rsid w:val="008F77FB"/>
    <w:rsid w:val="0090025C"/>
    <w:rsid w:val="00901228"/>
    <w:rsid w:val="009069BA"/>
    <w:rsid w:val="00911187"/>
    <w:rsid w:val="00916B27"/>
    <w:rsid w:val="009205D0"/>
    <w:rsid w:val="00920DBD"/>
    <w:rsid w:val="0092151A"/>
    <w:rsid w:val="00921A36"/>
    <w:rsid w:val="0092627F"/>
    <w:rsid w:val="009265E5"/>
    <w:rsid w:val="00927692"/>
    <w:rsid w:val="009342F5"/>
    <w:rsid w:val="00937493"/>
    <w:rsid w:val="0094378A"/>
    <w:rsid w:val="00943B75"/>
    <w:rsid w:val="00950E93"/>
    <w:rsid w:val="00950F48"/>
    <w:rsid w:val="009528BF"/>
    <w:rsid w:val="00955E05"/>
    <w:rsid w:val="00957204"/>
    <w:rsid w:val="0095743C"/>
    <w:rsid w:val="009576D7"/>
    <w:rsid w:val="009600D5"/>
    <w:rsid w:val="0096507D"/>
    <w:rsid w:val="009662D1"/>
    <w:rsid w:val="009705C8"/>
    <w:rsid w:val="00972B08"/>
    <w:rsid w:val="00973222"/>
    <w:rsid w:val="00973DCB"/>
    <w:rsid w:val="00975D7C"/>
    <w:rsid w:val="009822EF"/>
    <w:rsid w:val="00986BE8"/>
    <w:rsid w:val="0098796D"/>
    <w:rsid w:val="00990210"/>
    <w:rsid w:val="00993959"/>
    <w:rsid w:val="009A0C0E"/>
    <w:rsid w:val="009A486F"/>
    <w:rsid w:val="009A500D"/>
    <w:rsid w:val="009A5C01"/>
    <w:rsid w:val="009B1E6C"/>
    <w:rsid w:val="009B2BB0"/>
    <w:rsid w:val="009B3A88"/>
    <w:rsid w:val="009B3AA0"/>
    <w:rsid w:val="009B4CAC"/>
    <w:rsid w:val="009C1CDC"/>
    <w:rsid w:val="009C50EF"/>
    <w:rsid w:val="009C51BE"/>
    <w:rsid w:val="009C7779"/>
    <w:rsid w:val="009E103E"/>
    <w:rsid w:val="009E2C6A"/>
    <w:rsid w:val="009E4FFC"/>
    <w:rsid w:val="009F106A"/>
    <w:rsid w:val="009F5B25"/>
    <w:rsid w:val="009F5E1C"/>
    <w:rsid w:val="009F6590"/>
    <w:rsid w:val="009F7E69"/>
    <w:rsid w:val="00A0059F"/>
    <w:rsid w:val="00A0081A"/>
    <w:rsid w:val="00A04E39"/>
    <w:rsid w:val="00A05146"/>
    <w:rsid w:val="00A051D1"/>
    <w:rsid w:val="00A1143C"/>
    <w:rsid w:val="00A11DCC"/>
    <w:rsid w:val="00A16DB8"/>
    <w:rsid w:val="00A2603C"/>
    <w:rsid w:val="00A263EA"/>
    <w:rsid w:val="00A303F3"/>
    <w:rsid w:val="00A308FC"/>
    <w:rsid w:val="00A31053"/>
    <w:rsid w:val="00A312D0"/>
    <w:rsid w:val="00A31836"/>
    <w:rsid w:val="00A437E4"/>
    <w:rsid w:val="00A46315"/>
    <w:rsid w:val="00A477A7"/>
    <w:rsid w:val="00A52570"/>
    <w:rsid w:val="00A52C93"/>
    <w:rsid w:val="00A537EC"/>
    <w:rsid w:val="00A54670"/>
    <w:rsid w:val="00A55DA6"/>
    <w:rsid w:val="00A610EA"/>
    <w:rsid w:val="00A61512"/>
    <w:rsid w:val="00A62474"/>
    <w:rsid w:val="00A62F0B"/>
    <w:rsid w:val="00A66361"/>
    <w:rsid w:val="00A72E86"/>
    <w:rsid w:val="00A73AF8"/>
    <w:rsid w:val="00A740B7"/>
    <w:rsid w:val="00A74808"/>
    <w:rsid w:val="00A774A2"/>
    <w:rsid w:val="00A81E40"/>
    <w:rsid w:val="00A83D41"/>
    <w:rsid w:val="00A871EC"/>
    <w:rsid w:val="00A9151D"/>
    <w:rsid w:val="00A92D13"/>
    <w:rsid w:val="00A932E1"/>
    <w:rsid w:val="00A95D4C"/>
    <w:rsid w:val="00A9753F"/>
    <w:rsid w:val="00AA6A30"/>
    <w:rsid w:val="00AA6A35"/>
    <w:rsid w:val="00AB5D7D"/>
    <w:rsid w:val="00AC1D8E"/>
    <w:rsid w:val="00AC3823"/>
    <w:rsid w:val="00AC6B30"/>
    <w:rsid w:val="00AC6BB8"/>
    <w:rsid w:val="00AD1F5D"/>
    <w:rsid w:val="00AD275A"/>
    <w:rsid w:val="00AD4360"/>
    <w:rsid w:val="00AD60CB"/>
    <w:rsid w:val="00AE16DA"/>
    <w:rsid w:val="00AE1EC1"/>
    <w:rsid w:val="00AE323C"/>
    <w:rsid w:val="00AE5116"/>
    <w:rsid w:val="00AE697A"/>
    <w:rsid w:val="00AF0AD0"/>
    <w:rsid w:val="00AF10A9"/>
    <w:rsid w:val="00AF2E50"/>
    <w:rsid w:val="00AF3DBD"/>
    <w:rsid w:val="00AF3E1A"/>
    <w:rsid w:val="00AF430B"/>
    <w:rsid w:val="00AF6123"/>
    <w:rsid w:val="00AF6693"/>
    <w:rsid w:val="00B0011E"/>
    <w:rsid w:val="00B00181"/>
    <w:rsid w:val="00B013C4"/>
    <w:rsid w:val="00B01504"/>
    <w:rsid w:val="00B01575"/>
    <w:rsid w:val="00B02C6A"/>
    <w:rsid w:val="00B0323A"/>
    <w:rsid w:val="00B0326D"/>
    <w:rsid w:val="00B11211"/>
    <w:rsid w:val="00B1185C"/>
    <w:rsid w:val="00B16156"/>
    <w:rsid w:val="00B1617B"/>
    <w:rsid w:val="00B169BB"/>
    <w:rsid w:val="00B21729"/>
    <w:rsid w:val="00B22054"/>
    <w:rsid w:val="00B242DD"/>
    <w:rsid w:val="00B25B18"/>
    <w:rsid w:val="00B26347"/>
    <w:rsid w:val="00B31C3A"/>
    <w:rsid w:val="00B36D73"/>
    <w:rsid w:val="00B41327"/>
    <w:rsid w:val="00B42677"/>
    <w:rsid w:val="00B43F10"/>
    <w:rsid w:val="00B45245"/>
    <w:rsid w:val="00B45495"/>
    <w:rsid w:val="00B521C0"/>
    <w:rsid w:val="00B5279C"/>
    <w:rsid w:val="00B57573"/>
    <w:rsid w:val="00B57BA6"/>
    <w:rsid w:val="00B602EA"/>
    <w:rsid w:val="00B6076D"/>
    <w:rsid w:val="00B6686B"/>
    <w:rsid w:val="00B7252A"/>
    <w:rsid w:val="00B765F7"/>
    <w:rsid w:val="00B8235B"/>
    <w:rsid w:val="00B83E2A"/>
    <w:rsid w:val="00B85A2E"/>
    <w:rsid w:val="00B90B76"/>
    <w:rsid w:val="00B92956"/>
    <w:rsid w:val="00B97D5B"/>
    <w:rsid w:val="00BA0CA9"/>
    <w:rsid w:val="00BA1193"/>
    <w:rsid w:val="00BA47C7"/>
    <w:rsid w:val="00BA6319"/>
    <w:rsid w:val="00BA7352"/>
    <w:rsid w:val="00BB31ED"/>
    <w:rsid w:val="00BB39BB"/>
    <w:rsid w:val="00BB3F1A"/>
    <w:rsid w:val="00BB6F1B"/>
    <w:rsid w:val="00BB75C6"/>
    <w:rsid w:val="00BC086A"/>
    <w:rsid w:val="00BC325F"/>
    <w:rsid w:val="00BC5403"/>
    <w:rsid w:val="00BC7319"/>
    <w:rsid w:val="00BD1385"/>
    <w:rsid w:val="00BD2DD9"/>
    <w:rsid w:val="00BD4F63"/>
    <w:rsid w:val="00BD75F3"/>
    <w:rsid w:val="00BE493D"/>
    <w:rsid w:val="00BE7B9F"/>
    <w:rsid w:val="00BF02AC"/>
    <w:rsid w:val="00BF0BEE"/>
    <w:rsid w:val="00BF1606"/>
    <w:rsid w:val="00BF17AB"/>
    <w:rsid w:val="00BF5E4E"/>
    <w:rsid w:val="00BF6DA5"/>
    <w:rsid w:val="00C00146"/>
    <w:rsid w:val="00C01322"/>
    <w:rsid w:val="00C01ACF"/>
    <w:rsid w:val="00C01CFC"/>
    <w:rsid w:val="00C02897"/>
    <w:rsid w:val="00C03233"/>
    <w:rsid w:val="00C03ED0"/>
    <w:rsid w:val="00C068DE"/>
    <w:rsid w:val="00C10BC3"/>
    <w:rsid w:val="00C111F7"/>
    <w:rsid w:val="00C1172F"/>
    <w:rsid w:val="00C131D2"/>
    <w:rsid w:val="00C1479E"/>
    <w:rsid w:val="00C14EE0"/>
    <w:rsid w:val="00C15A73"/>
    <w:rsid w:val="00C1690E"/>
    <w:rsid w:val="00C20C64"/>
    <w:rsid w:val="00C22716"/>
    <w:rsid w:val="00C23510"/>
    <w:rsid w:val="00C27A0A"/>
    <w:rsid w:val="00C31C64"/>
    <w:rsid w:val="00C31D85"/>
    <w:rsid w:val="00C3362D"/>
    <w:rsid w:val="00C344CF"/>
    <w:rsid w:val="00C37BD1"/>
    <w:rsid w:val="00C433B5"/>
    <w:rsid w:val="00C439AD"/>
    <w:rsid w:val="00C44457"/>
    <w:rsid w:val="00C5026A"/>
    <w:rsid w:val="00C51955"/>
    <w:rsid w:val="00C55B22"/>
    <w:rsid w:val="00C564C3"/>
    <w:rsid w:val="00C57DFE"/>
    <w:rsid w:val="00C611E8"/>
    <w:rsid w:val="00C62F50"/>
    <w:rsid w:val="00C64B0B"/>
    <w:rsid w:val="00C76F28"/>
    <w:rsid w:val="00C777FF"/>
    <w:rsid w:val="00C81366"/>
    <w:rsid w:val="00C91537"/>
    <w:rsid w:val="00C946E6"/>
    <w:rsid w:val="00C94D2B"/>
    <w:rsid w:val="00CA0C4F"/>
    <w:rsid w:val="00CA2A95"/>
    <w:rsid w:val="00CA3162"/>
    <w:rsid w:val="00CA3649"/>
    <w:rsid w:val="00CA393C"/>
    <w:rsid w:val="00CA6833"/>
    <w:rsid w:val="00CA6A11"/>
    <w:rsid w:val="00CA7BC4"/>
    <w:rsid w:val="00CB01B7"/>
    <w:rsid w:val="00CB13EB"/>
    <w:rsid w:val="00CB16AA"/>
    <w:rsid w:val="00CB433B"/>
    <w:rsid w:val="00CB631C"/>
    <w:rsid w:val="00CC0A40"/>
    <w:rsid w:val="00CC1AE8"/>
    <w:rsid w:val="00CC3C58"/>
    <w:rsid w:val="00CC5D98"/>
    <w:rsid w:val="00CD01D2"/>
    <w:rsid w:val="00CD0B1C"/>
    <w:rsid w:val="00CD1636"/>
    <w:rsid w:val="00CD24CE"/>
    <w:rsid w:val="00CD341B"/>
    <w:rsid w:val="00CD5289"/>
    <w:rsid w:val="00CE2599"/>
    <w:rsid w:val="00CE3ACA"/>
    <w:rsid w:val="00CE5888"/>
    <w:rsid w:val="00CE6586"/>
    <w:rsid w:val="00CE6B86"/>
    <w:rsid w:val="00CE780B"/>
    <w:rsid w:val="00D00CB1"/>
    <w:rsid w:val="00D03855"/>
    <w:rsid w:val="00D05124"/>
    <w:rsid w:val="00D05667"/>
    <w:rsid w:val="00D0624B"/>
    <w:rsid w:val="00D143B2"/>
    <w:rsid w:val="00D14AC8"/>
    <w:rsid w:val="00D21FD5"/>
    <w:rsid w:val="00D26631"/>
    <w:rsid w:val="00D3177F"/>
    <w:rsid w:val="00D31A56"/>
    <w:rsid w:val="00D3439C"/>
    <w:rsid w:val="00D3513E"/>
    <w:rsid w:val="00D3590C"/>
    <w:rsid w:val="00D4225C"/>
    <w:rsid w:val="00D45274"/>
    <w:rsid w:val="00D469EC"/>
    <w:rsid w:val="00D4732B"/>
    <w:rsid w:val="00D55A0E"/>
    <w:rsid w:val="00D56D86"/>
    <w:rsid w:val="00D600B0"/>
    <w:rsid w:val="00D62F5D"/>
    <w:rsid w:val="00D66004"/>
    <w:rsid w:val="00D73CFC"/>
    <w:rsid w:val="00D744E5"/>
    <w:rsid w:val="00D75E10"/>
    <w:rsid w:val="00D76164"/>
    <w:rsid w:val="00D769CA"/>
    <w:rsid w:val="00D772EA"/>
    <w:rsid w:val="00D779C0"/>
    <w:rsid w:val="00D82649"/>
    <w:rsid w:val="00D827B7"/>
    <w:rsid w:val="00D82B23"/>
    <w:rsid w:val="00D83177"/>
    <w:rsid w:val="00D84D64"/>
    <w:rsid w:val="00D85E61"/>
    <w:rsid w:val="00D868EB"/>
    <w:rsid w:val="00D871A4"/>
    <w:rsid w:val="00D9169B"/>
    <w:rsid w:val="00D97EBE"/>
    <w:rsid w:val="00DA12D7"/>
    <w:rsid w:val="00DA21FD"/>
    <w:rsid w:val="00DB03EF"/>
    <w:rsid w:val="00DB1831"/>
    <w:rsid w:val="00DB554F"/>
    <w:rsid w:val="00DB584F"/>
    <w:rsid w:val="00DB733A"/>
    <w:rsid w:val="00DC0360"/>
    <w:rsid w:val="00DC1DAE"/>
    <w:rsid w:val="00DC597E"/>
    <w:rsid w:val="00DD018E"/>
    <w:rsid w:val="00DD232B"/>
    <w:rsid w:val="00DD3BFD"/>
    <w:rsid w:val="00DD5744"/>
    <w:rsid w:val="00DE171C"/>
    <w:rsid w:val="00DE31E7"/>
    <w:rsid w:val="00DE3C4B"/>
    <w:rsid w:val="00DE4E80"/>
    <w:rsid w:val="00DE54D3"/>
    <w:rsid w:val="00DE72C2"/>
    <w:rsid w:val="00DF031F"/>
    <w:rsid w:val="00DF0AC0"/>
    <w:rsid w:val="00DF1ECE"/>
    <w:rsid w:val="00DF2AA7"/>
    <w:rsid w:val="00DF3BBC"/>
    <w:rsid w:val="00DF6678"/>
    <w:rsid w:val="00DF6869"/>
    <w:rsid w:val="00E1086B"/>
    <w:rsid w:val="00E14103"/>
    <w:rsid w:val="00E16A6B"/>
    <w:rsid w:val="00E20AF2"/>
    <w:rsid w:val="00E22988"/>
    <w:rsid w:val="00E23AFC"/>
    <w:rsid w:val="00E249F1"/>
    <w:rsid w:val="00E330B4"/>
    <w:rsid w:val="00E35114"/>
    <w:rsid w:val="00E362FE"/>
    <w:rsid w:val="00E364C9"/>
    <w:rsid w:val="00E40BC9"/>
    <w:rsid w:val="00E40FE2"/>
    <w:rsid w:val="00E43442"/>
    <w:rsid w:val="00E518FF"/>
    <w:rsid w:val="00E51E68"/>
    <w:rsid w:val="00E52E4F"/>
    <w:rsid w:val="00E536D6"/>
    <w:rsid w:val="00E558E8"/>
    <w:rsid w:val="00E642C6"/>
    <w:rsid w:val="00E66404"/>
    <w:rsid w:val="00E722BA"/>
    <w:rsid w:val="00E72808"/>
    <w:rsid w:val="00E734D3"/>
    <w:rsid w:val="00E8008C"/>
    <w:rsid w:val="00E818D9"/>
    <w:rsid w:val="00E8277F"/>
    <w:rsid w:val="00E827A2"/>
    <w:rsid w:val="00E82C91"/>
    <w:rsid w:val="00E83EDC"/>
    <w:rsid w:val="00E85C04"/>
    <w:rsid w:val="00E85C42"/>
    <w:rsid w:val="00E92F2E"/>
    <w:rsid w:val="00E93E8E"/>
    <w:rsid w:val="00E945D0"/>
    <w:rsid w:val="00E965B0"/>
    <w:rsid w:val="00E96818"/>
    <w:rsid w:val="00EA0D8D"/>
    <w:rsid w:val="00EA0F9B"/>
    <w:rsid w:val="00EA21D5"/>
    <w:rsid w:val="00EA619A"/>
    <w:rsid w:val="00EA76FD"/>
    <w:rsid w:val="00EB0562"/>
    <w:rsid w:val="00EB12D3"/>
    <w:rsid w:val="00EB1473"/>
    <w:rsid w:val="00EB2C12"/>
    <w:rsid w:val="00EB413E"/>
    <w:rsid w:val="00EB47FC"/>
    <w:rsid w:val="00EB6562"/>
    <w:rsid w:val="00EB745A"/>
    <w:rsid w:val="00EC0C1F"/>
    <w:rsid w:val="00EC30D5"/>
    <w:rsid w:val="00EC681C"/>
    <w:rsid w:val="00ED077B"/>
    <w:rsid w:val="00ED2B8D"/>
    <w:rsid w:val="00ED2FC6"/>
    <w:rsid w:val="00ED428D"/>
    <w:rsid w:val="00ED53EF"/>
    <w:rsid w:val="00EE03FD"/>
    <w:rsid w:val="00EE1BD4"/>
    <w:rsid w:val="00EE1C98"/>
    <w:rsid w:val="00EF0ADD"/>
    <w:rsid w:val="00EF62F5"/>
    <w:rsid w:val="00F01713"/>
    <w:rsid w:val="00F03006"/>
    <w:rsid w:val="00F043A7"/>
    <w:rsid w:val="00F07311"/>
    <w:rsid w:val="00F11710"/>
    <w:rsid w:val="00F12152"/>
    <w:rsid w:val="00F125C5"/>
    <w:rsid w:val="00F2054C"/>
    <w:rsid w:val="00F2328C"/>
    <w:rsid w:val="00F23A9F"/>
    <w:rsid w:val="00F261FA"/>
    <w:rsid w:val="00F31297"/>
    <w:rsid w:val="00F41F55"/>
    <w:rsid w:val="00F42223"/>
    <w:rsid w:val="00F52CE9"/>
    <w:rsid w:val="00F572EE"/>
    <w:rsid w:val="00F6365D"/>
    <w:rsid w:val="00F64BE0"/>
    <w:rsid w:val="00F6607E"/>
    <w:rsid w:val="00F660DF"/>
    <w:rsid w:val="00F66C95"/>
    <w:rsid w:val="00F67CB5"/>
    <w:rsid w:val="00F70109"/>
    <w:rsid w:val="00F72E79"/>
    <w:rsid w:val="00F734E6"/>
    <w:rsid w:val="00F74C89"/>
    <w:rsid w:val="00F81493"/>
    <w:rsid w:val="00F83220"/>
    <w:rsid w:val="00F83636"/>
    <w:rsid w:val="00F853D0"/>
    <w:rsid w:val="00F860A4"/>
    <w:rsid w:val="00F90AF4"/>
    <w:rsid w:val="00F9225A"/>
    <w:rsid w:val="00F92D7E"/>
    <w:rsid w:val="00F95C08"/>
    <w:rsid w:val="00F96400"/>
    <w:rsid w:val="00F9737C"/>
    <w:rsid w:val="00FA190C"/>
    <w:rsid w:val="00FA1D56"/>
    <w:rsid w:val="00FA32C8"/>
    <w:rsid w:val="00FB1F80"/>
    <w:rsid w:val="00FB369F"/>
    <w:rsid w:val="00FB7949"/>
    <w:rsid w:val="00FC3A4E"/>
    <w:rsid w:val="00FC43C7"/>
    <w:rsid w:val="00FC475E"/>
    <w:rsid w:val="00FC6224"/>
    <w:rsid w:val="00FC66C6"/>
    <w:rsid w:val="00FC6929"/>
    <w:rsid w:val="00FD0C5E"/>
    <w:rsid w:val="00FD1EBB"/>
    <w:rsid w:val="00FD26AC"/>
    <w:rsid w:val="00FD4A11"/>
    <w:rsid w:val="00FD51AB"/>
    <w:rsid w:val="00FD55D1"/>
    <w:rsid w:val="00FD57A3"/>
    <w:rsid w:val="00FD5C57"/>
    <w:rsid w:val="00FE27A9"/>
    <w:rsid w:val="00FE3AC7"/>
    <w:rsid w:val="00FE460D"/>
    <w:rsid w:val="00FE779E"/>
    <w:rsid w:val="00FE7B35"/>
    <w:rsid w:val="00FF2DEA"/>
    <w:rsid w:val="00FF6A9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59A4D"/>
  <w15:docId w15:val="{8BA914BB-9DFD-4BA1-91AA-C21CFBFE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D744E5"/>
    <w:pPr>
      <w:keepNext/>
      <w:keepLines/>
      <w:spacing w:after="0" w:line="240" w:lineRule="auto"/>
      <w:ind w:right="0"/>
      <w:jc w:val="left"/>
      <w:outlineLvl w:val="0"/>
    </w:pPr>
  </w:style>
  <w:style w:type="paragraph" w:styleId="Heading2">
    <w:name w:val="heading 2"/>
    <w:basedOn w:val="Normal"/>
    <w:next w:val="Normal"/>
    <w:link w:val="Heading2Char"/>
    <w:semiHidden/>
    <w:qFormat/>
    <w:rsid w:val="00A9151D"/>
    <w:pPr>
      <w:outlineLvl w:val="1"/>
    </w:pPr>
  </w:style>
  <w:style w:type="paragraph" w:styleId="Heading3">
    <w:name w:val="heading 3"/>
    <w:basedOn w:val="Normal"/>
    <w:next w:val="Normal"/>
    <w:link w:val="Heading3Char"/>
    <w:semiHidden/>
    <w:qFormat/>
    <w:rsid w:val="00793E85"/>
    <w:pPr>
      <w:outlineLvl w:val="2"/>
    </w:pPr>
  </w:style>
  <w:style w:type="paragraph" w:styleId="Heading4">
    <w:name w:val="heading 4"/>
    <w:basedOn w:val="Normal"/>
    <w:next w:val="Normal"/>
    <w:link w:val="Heading4Char"/>
    <w:semiHidden/>
    <w:qFormat/>
    <w:rsid w:val="00793E85"/>
    <w:pPr>
      <w:outlineLvl w:val="3"/>
    </w:pPr>
  </w:style>
  <w:style w:type="paragraph" w:styleId="Heading5">
    <w:name w:val="heading 5"/>
    <w:basedOn w:val="Normal"/>
    <w:next w:val="Normal"/>
    <w:link w:val="Heading5Char"/>
    <w:semiHidden/>
    <w:qFormat/>
    <w:rsid w:val="00793E85"/>
    <w:pPr>
      <w:outlineLvl w:val="4"/>
    </w:pPr>
  </w:style>
  <w:style w:type="paragraph" w:styleId="Heading6">
    <w:name w:val="heading 6"/>
    <w:basedOn w:val="Normal"/>
    <w:next w:val="Normal"/>
    <w:link w:val="Heading6Char"/>
    <w:semiHidden/>
    <w:qFormat/>
    <w:rsid w:val="00793E85"/>
    <w:pPr>
      <w:outlineLvl w:val="5"/>
    </w:pPr>
  </w:style>
  <w:style w:type="paragraph" w:styleId="Heading7">
    <w:name w:val="heading 7"/>
    <w:basedOn w:val="Normal"/>
    <w:next w:val="Normal"/>
    <w:link w:val="Heading7Char"/>
    <w:semiHidden/>
    <w:qFormat/>
    <w:rsid w:val="00793E85"/>
    <w:pPr>
      <w:outlineLvl w:val="6"/>
    </w:pPr>
  </w:style>
  <w:style w:type="paragraph" w:styleId="Heading8">
    <w:name w:val="heading 8"/>
    <w:basedOn w:val="Normal"/>
    <w:next w:val="Normal"/>
    <w:link w:val="Heading8Char"/>
    <w:semiHidden/>
    <w:qFormat/>
    <w:rsid w:val="00793E85"/>
    <w:pPr>
      <w:outlineLvl w:val="7"/>
    </w:pPr>
  </w:style>
  <w:style w:type="paragraph" w:styleId="Heading9">
    <w:name w:val="heading 9"/>
    <w:basedOn w:val="Normal"/>
    <w:next w:val="Normal"/>
    <w:link w:val="Heading9Char"/>
    <w:semiHidden/>
    <w:qFormat/>
    <w:rsid w:val="00793E8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D744E5"/>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D744E5"/>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D744E5"/>
    <w:pPr>
      <w:spacing w:line="240" w:lineRule="auto"/>
    </w:pPr>
    <w:rPr>
      <w:sz w:val="16"/>
    </w:rPr>
  </w:style>
  <w:style w:type="character" w:customStyle="1" w:styleId="FooterChar">
    <w:name w:val="Footer Char"/>
    <w:aliases w:val="3_G Char"/>
    <w:basedOn w:val="DefaultParagraphFont"/>
    <w:link w:val="Footer"/>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ootnote Refernece,f,Ref"/>
    <w:basedOn w:val="DefaultParagraphFont"/>
    <w:qFormat/>
    <w:rsid w:val="00D744E5"/>
    <w:rPr>
      <w:rFonts w:ascii="Times New Roman" w:hAnsi="Times New Roman"/>
      <w:sz w:val="18"/>
      <w:vertAlign w:val="superscript"/>
      <w:lang w:val="fr-CH"/>
    </w:rPr>
  </w:style>
  <w:style w:type="character" w:styleId="EndnoteReference">
    <w:name w:val="endnote reference"/>
    <w:aliases w:val="1_G"/>
    <w:basedOn w:val="FootnoteReference"/>
    <w:qFormat/>
    <w:rsid w:val="00D744E5"/>
    <w:rPr>
      <w:rFonts w:ascii="Times New Roman" w:hAnsi="Times New Roman"/>
      <w:sz w:val="18"/>
      <w:vertAlign w:val="superscript"/>
      <w:lang w:val="fr-CH"/>
    </w:rPr>
  </w:style>
  <w:style w:type="table" w:styleId="TableGrid">
    <w:name w:val="Table Grid"/>
    <w:basedOn w:val="Table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D744E5"/>
    <w:rPr>
      <w:color w:val="0000FF"/>
      <w:u w:val="none"/>
    </w:rPr>
  </w:style>
  <w:style w:type="character" w:styleId="FollowedHyperlink">
    <w:name w:val="FollowedHyperlink"/>
    <w:basedOn w:val="DefaultParagraphFont"/>
    <w:unhideWhenUsed/>
    <w:rsid w:val="00D744E5"/>
    <w:rPr>
      <w:color w:val="0000FF"/>
      <w:u w:val="none"/>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fn"/>
    <w:basedOn w:val="Normal"/>
    <w:link w:val="FootnoteTextChar"/>
    <w:qFormat/>
    <w:rsid w:val="00D744E5"/>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basedOn w:val="DefaultParagraphFont"/>
    <w:link w:val="FootnoteText"/>
    <w:rsid w:val="00D744E5"/>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D744E5"/>
  </w:style>
  <w:style w:type="character" w:customStyle="1" w:styleId="EndnoteTextChar">
    <w:name w:val="Endnote Text Char"/>
    <w:aliases w:val="2_G Char"/>
    <w:basedOn w:val="DefaultParagraphFont"/>
    <w:link w:val="EndnoteText"/>
    <w:rsid w:val="00D744E5"/>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D744E5"/>
    <w:rPr>
      <w:rFonts w:ascii="Times New Roman" w:hAnsi="Times New Roman"/>
      <w:b/>
      <w:sz w:val="18"/>
      <w:lang w:val="fr-CH"/>
    </w:rPr>
  </w:style>
  <w:style w:type="character" w:customStyle="1" w:styleId="Heading1Char">
    <w:name w:val="Heading 1 Char"/>
    <w:aliases w:val="Table_G Char"/>
    <w:basedOn w:val="DefaultParagraphFont"/>
    <w:link w:val="Heading1"/>
    <w:rsid w:val="00D744E5"/>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A9151D"/>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793E85"/>
    <w:rPr>
      <w:rFonts w:ascii="Times New Roman" w:hAnsi="Times New Roman" w:cs="Times New Roman"/>
      <w:sz w:val="20"/>
      <w:szCs w:val="20"/>
      <w:lang w:eastAsia="en-US"/>
    </w:rPr>
  </w:style>
  <w:style w:type="character" w:customStyle="1" w:styleId="Heading4Char">
    <w:name w:val="Heading 4 Char"/>
    <w:basedOn w:val="DefaultParagraphFont"/>
    <w:link w:val="Heading4"/>
    <w:semiHidden/>
    <w:rsid w:val="00793E85"/>
    <w:rPr>
      <w:rFonts w:ascii="Times New Roman" w:hAnsi="Times New Roman" w:cs="Times New Roman"/>
      <w:sz w:val="20"/>
      <w:szCs w:val="20"/>
      <w:lang w:eastAsia="en-US"/>
    </w:rPr>
  </w:style>
  <w:style w:type="character" w:customStyle="1" w:styleId="Heading5Char">
    <w:name w:val="Heading 5 Char"/>
    <w:basedOn w:val="DefaultParagraphFont"/>
    <w:link w:val="Heading5"/>
    <w:semiHidden/>
    <w:rsid w:val="00793E85"/>
    <w:rPr>
      <w:rFonts w:ascii="Times New Roman" w:hAnsi="Times New Roman" w:cs="Times New Roman"/>
      <w:sz w:val="20"/>
      <w:szCs w:val="20"/>
      <w:lang w:eastAsia="en-US"/>
    </w:rPr>
  </w:style>
  <w:style w:type="character" w:customStyle="1" w:styleId="Heading6Char">
    <w:name w:val="Heading 6 Char"/>
    <w:basedOn w:val="DefaultParagraphFont"/>
    <w:link w:val="Heading6"/>
    <w:semiHidden/>
    <w:rsid w:val="00793E85"/>
    <w:rPr>
      <w:rFonts w:ascii="Times New Roman" w:hAnsi="Times New Roman" w:cs="Times New Roman"/>
      <w:sz w:val="20"/>
      <w:szCs w:val="20"/>
      <w:lang w:eastAsia="en-US"/>
    </w:rPr>
  </w:style>
  <w:style w:type="character" w:customStyle="1" w:styleId="Heading7Char">
    <w:name w:val="Heading 7 Char"/>
    <w:basedOn w:val="DefaultParagraphFont"/>
    <w:link w:val="Heading7"/>
    <w:semiHidden/>
    <w:rsid w:val="00793E85"/>
    <w:rPr>
      <w:rFonts w:ascii="Times New Roman" w:hAnsi="Times New Roman" w:cs="Times New Roman"/>
      <w:sz w:val="20"/>
      <w:szCs w:val="20"/>
      <w:lang w:eastAsia="en-US"/>
    </w:rPr>
  </w:style>
  <w:style w:type="character" w:customStyle="1" w:styleId="Heading8Char">
    <w:name w:val="Heading 8 Char"/>
    <w:basedOn w:val="DefaultParagraphFont"/>
    <w:link w:val="Heading8"/>
    <w:semiHidden/>
    <w:rsid w:val="00793E85"/>
    <w:rPr>
      <w:rFonts w:ascii="Times New Roman" w:hAnsi="Times New Roman" w:cs="Times New Roman"/>
      <w:sz w:val="20"/>
      <w:szCs w:val="20"/>
      <w:lang w:eastAsia="en-US"/>
    </w:rPr>
  </w:style>
  <w:style w:type="character" w:customStyle="1" w:styleId="Heading9Char">
    <w:name w:val="Heading 9 Char"/>
    <w:basedOn w:val="DefaultParagraphFont"/>
    <w:link w:val="Heading9"/>
    <w:semiHidden/>
    <w:rsid w:val="00793E85"/>
    <w:rPr>
      <w:rFonts w:ascii="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793E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410779"/>
    <w:rPr>
      <w:rFonts w:ascii="Times New Roman" w:eastAsiaTheme="minorHAnsi" w:hAnsi="Times New Roman" w:cs="Times New Roman"/>
      <w:sz w:val="20"/>
      <w:szCs w:val="20"/>
      <w:lang w:eastAsia="en-US"/>
    </w:rPr>
  </w:style>
  <w:style w:type="character" w:styleId="CommentReference">
    <w:name w:val="annotation reference"/>
    <w:basedOn w:val="DefaultParagraphFont"/>
    <w:uiPriority w:val="99"/>
    <w:semiHidden/>
    <w:unhideWhenUsed/>
    <w:rsid w:val="00FC66C6"/>
    <w:rPr>
      <w:sz w:val="16"/>
      <w:szCs w:val="16"/>
    </w:rPr>
  </w:style>
  <w:style w:type="paragraph" w:styleId="CommentText">
    <w:name w:val="annotation text"/>
    <w:basedOn w:val="Normal"/>
    <w:link w:val="CommentTextChar"/>
    <w:uiPriority w:val="99"/>
    <w:semiHidden/>
    <w:unhideWhenUsed/>
    <w:rsid w:val="00FC66C6"/>
    <w:pPr>
      <w:spacing w:line="240" w:lineRule="auto"/>
    </w:pPr>
  </w:style>
  <w:style w:type="character" w:customStyle="1" w:styleId="CommentTextChar">
    <w:name w:val="Comment Text Char"/>
    <w:basedOn w:val="DefaultParagraphFont"/>
    <w:link w:val="CommentText"/>
    <w:uiPriority w:val="99"/>
    <w:semiHidden/>
    <w:rsid w:val="00FC66C6"/>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C66C6"/>
    <w:rPr>
      <w:b/>
      <w:bCs/>
    </w:rPr>
  </w:style>
  <w:style w:type="character" w:customStyle="1" w:styleId="CommentSubjectChar">
    <w:name w:val="Comment Subject Char"/>
    <w:basedOn w:val="CommentTextChar"/>
    <w:link w:val="CommentSubject"/>
    <w:uiPriority w:val="99"/>
    <w:semiHidden/>
    <w:rsid w:val="00FC66C6"/>
    <w:rPr>
      <w:rFonts w:ascii="Times New Roman" w:eastAsiaTheme="minorHAnsi" w:hAnsi="Times New Roman" w:cs="Times New Roman"/>
      <w:b/>
      <w:bCs/>
      <w:sz w:val="20"/>
      <w:szCs w:val="20"/>
      <w:lang w:eastAsia="en-US"/>
    </w:rPr>
  </w:style>
  <w:style w:type="character" w:customStyle="1" w:styleId="Mentionnonrsolue1">
    <w:name w:val="Mention non résolue1"/>
    <w:basedOn w:val="DefaultParagraphFont"/>
    <w:uiPriority w:val="99"/>
    <w:semiHidden/>
    <w:unhideWhenUsed/>
    <w:rsid w:val="00A31836"/>
    <w:rPr>
      <w:color w:val="605E5C"/>
      <w:shd w:val="clear" w:color="auto" w:fill="E1DFDD"/>
    </w:rPr>
  </w:style>
  <w:style w:type="paragraph" w:styleId="Revision">
    <w:name w:val="Revision"/>
    <w:hidden/>
    <w:uiPriority w:val="99"/>
    <w:semiHidden/>
    <w:rsid w:val="000C0CA9"/>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891068">
      <w:bodyDiv w:val="1"/>
      <w:marLeft w:val="0"/>
      <w:marRight w:val="0"/>
      <w:marTop w:val="0"/>
      <w:marBottom w:val="0"/>
      <w:divBdr>
        <w:top w:val="none" w:sz="0" w:space="0" w:color="auto"/>
        <w:left w:val="none" w:sz="0" w:space="0" w:color="auto"/>
        <w:bottom w:val="none" w:sz="0" w:space="0" w:color="auto"/>
        <w:right w:val="none" w:sz="0" w:space="0" w:color="auto"/>
      </w:divBdr>
      <w:divsChild>
        <w:div w:id="1490712423">
          <w:marLeft w:val="0"/>
          <w:marRight w:val="0"/>
          <w:marTop w:val="0"/>
          <w:marBottom w:val="0"/>
          <w:divBdr>
            <w:top w:val="none" w:sz="0" w:space="0" w:color="auto"/>
            <w:left w:val="none" w:sz="0" w:space="0" w:color="auto"/>
            <w:bottom w:val="none" w:sz="0" w:space="0" w:color="auto"/>
            <w:right w:val="none" w:sz="0" w:space="0" w:color="auto"/>
          </w:divBdr>
          <w:divsChild>
            <w:div w:id="1937398426">
              <w:marLeft w:val="0"/>
              <w:marRight w:val="0"/>
              <w:marTop w:val="0"/>
              <w:marBottom w:val="0"/>
              <w:divBdr>
                <w:top w:val="none" w:sz="0" w:space="0" w:color="auto"/>
                <w:left w:val="none" w:sz="0" w:space="0" w:color="auto"/>
                <w:bottom w:val="none" w:sz="0" w:space="0" w:color="auto"/>
                <w:right w:val="none" w:sz="0" w:space="0" w:color="auto"/>
              </w:divBdr>
              <w:divsChild>
                <w:div w:id="1540316106">
                  <w:marLeft w:val="0"/>
                  <w:marRight w:val="0"/>
                  <w:marTop w:val="0"/>
                  <w:marBottom w:val="0"/>
                  <w:divBdr>
                    <w:top w:val="none" w:sz="0" w:space="0" w:color="auto"/>
                    <w:left w:val="none" w:sz="0" w:space="0" w:color="auto"/>
                    <w:bottom w:val="none" w:sz="0" w:space="0" w:color="auto"/>
                    <w:right w:val="none" w:sz="0" w:space="0" w:color="auto"/>
                  </w:divBdr>
                  <w:divsChild>
                    <w:div w:id="1927302579">
                      <w:marLeft w:val="0"/>
                      <w:marRight w:val="0"/>
                      <w:marTop w:val="0"/>
                      <w:marBottom w:val="0"/>
                      <w:divBdr>
                        <w:top w:val="none" w:sz="0" w:space="0" w:color="auto"/>
                        <w:left w:val="none" w:sz="0" w:space="0" w:color="auto"/>
                        <w:bottom w:val="none" w:sz="0" w:space="0" w:color="auto"/>
                        <w:right w:val="none" w:sz="0" w:space="0" w:color="auto"/>
                      </w:divBdr>
                      <w:divsChild>
                        <w:div w:id="1569536767">
                          <w:marLeft w:val="0"/>
                          <w:marRight w:val="0"/>
                          <w:marTop w:val="0"/>
                          <w:marBottom w:val="0"/>
                          <w:divBdr>
                            <w:top w:val="none" w:sz="0" w:space="0" w:color="auto"/>
                            <w:left w:val="none" w:sz="0" w:space="0" w:color="auto"/>
                            <w:bottom w:val="none" w:sz="0" w:space="0" w:color="auto"/>
                            <w:right w:val="none" w:sz="0" w:space="0" w:color="auto"/>
                          </w:divBdr>
                          <w:divsChild>
                            <w:div w:id="1978485414">
                              <w:marLeft w:val="0"/>
                              <w:marRight w:val="0"/>
                              <w:marTop w:val="0"/>
                              <w:marBottom w:val="0"/>
                              <w:divBdr>
                                <w:top w:val="none" w:sz="0" w:space="0" w:color="auto"/>
                                <w:left w:val="none" w:sz="0" w:space="0" w:color="auto"/>
                                <w:bottom w:val="none" w:sz="0" w:space="0" w:color="auto"/>
                                <w:right w:val="none" w:sz="0" w:space="0" w:color="auto"/>
                              </w:divBdr>
                              <w:divsChild>
                                <w:div w:id="1084497024">
                                  <w:marLeft w:val="0"/>
                                  <w:marRight w:val="0"/>
                                  <w:marTop w:val="0"/>
                                  <w:marBottom w:val="0"/>
                                  <w:divBdr>
                                    <w:top w:val="none" w:sz="0" w:space="0" w:color="auto"/>
                                    <w:left w:val="none" w:sz="0" w:space="0" w:color="auto"/>
                                    <w:bottom w:val="none" w:sz="0" w:space="0" w:color="auto"/>
                                    <w:right w:val="none" w:sz="0" w:space="0" w:color="auto"/>
                                  </w:divBdr>
                                  <w:divsChild>
                                    <w:div w:id="1862012403">
                                      <w:marLeft w:val="0"/>
                                      <w:marRight w:val="0"/>
                                      <w:marTop w:val="0"/>
                                      <w:marBottom w:val="0"/>
                                      <w:divBdr>
                                        <w:top w:val="none" w:sz="0" w:space="0" w:color="auto"/>
                                        <w:left w:val="none" w:sz="0" w:space="0" w:color="auto"/>
                                        <w:bottom w:val="none" w:sz="0" w:space="0" w:color="auto"/>
                                        <w:right w:val="none" w:sz="0" w:space="0" w:color="auto"/>
                                      </w:divBdr>
                                      <w:divsChild>
                                        <w:div w:id="415128128">
                                          <w:marLeft w:val="0"/>
                                          <w:marRight w:val="0"/>
                                          <w:marTop w:val="0"/>
                                          <w:marBottom w:val="495"/>
                                          <w:divBdr>
                                            <w:top w:val="none" w:sz="0" w:space="0" w:color="auto"/>
                                            <w:left w:val="none" w:sz="0" w:space="0" w:color="auto"/>
                                            <w:bottom w:val="none" w:sz="0" w:space="0" w:color="auto"/>
                                            <w:right w:val="none" w:sz="0" w:space="0" w:color="auto"/>
                                          </w:divBdr>
                                          <w:divsChild>
                                            <w:div w:id="162014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8F7A4-4E0E-4A3B-9D76-FF2378366EAF}"/>
</file>

<file path=customXml/itemProps2.xml><?xml version="1.0" encoding="utf-8"?>
<ds:datastoreItem xmlns:ds="http://schemas.openxmlformats.org/officeDocument/2006/customXml" ds:itemID="{9B952953-D06C-4C6B-93B1-9493A57E0067}">
  <ds:schemaRefs>
    <ds:schemaRef ds:uri="http://schemas.microsoft.com/sharepoint/v3/contenttype/forms"/>
  </ds:schemaRefs>
</ds:datastoreItem>
</file>

<file path=customXml/itemProps3.xml><?xml version="1.0" encoding="utf-8"?>
<ds:datastoreItem xmlns:ds="http://schemas.openxmlformats.org/officeDocument/2006/customXml" ds:itemID="{4A6E8AC3-6948-4A34-8031-001577A7D878}">
  <ds:schemaRefs>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000C110-9B41-4775-A16A-645235F3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4</TotalTime>
  <Pages>11</Pages>
  <Words>6234</Words>
  <Characters>35536</Characters>
  <Application>Microsoft Office Word</Application>
  <DocSecurity>0</DocSecurity>
  <Lines>296</Lines>
  <Paragraphs>83</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CCPR/C/134/DR/3320/2019</vt:lpstr>
      <vt:lpstr>CCPR/C/WG/134/DR/3320/2019</vt:lpstr>
      <vt:lpstr>CCPR/C/122/D/2398/2014</vt:lpstr>
    </vt:vector>
  </TitlesOfParts>
  <Company>DCM</Company>
  <LinksUpToDate>false</LinksUpToDate>
  <CharactersWithSpaces>41687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CCPR/C/134/DR/3320/2019</dc:title>
  <dc:subject>qrcode</dc:subject>
  <dc:creator>dvx</dc:creator>
  <cp:keywords/>
  <dc:description/>
  <cp:lastModifiedBy>Mohamed Abdelazim</cp:lastModifiedBy>
  <cp:revision>3</cp:revision>
  <cp:lastPrinted>2022-05-26T14:32:00Z</cp:lastPrinted>
  <dcterms:created xsi:type="dcterms:W3CDTF">2022-05-26T14:01:00Z</dcterms:created>
  <dcterms:modified xsi:type="dcterms:W3CDTF">2022-05-26T14:34:00Z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