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711D" w:rsidRPr="006C2069" w14:paraId="11EA6CC3" w14:textId="77777777" w:rsidTr="00E3643F">
        <w:trPr>
          <w:trHeight w:hRule="exact" w:val="851"/>
        </w:trPr>
        <w:tc>
          <w:tcPr>
            <w:tcW w:w="1276" w:type="dxa"/>
            <w:tcBorders>
              <w:bottom w:val="single" w:sz="4" w:space="0" w:color="auto"/>
            </w:tcBorders>
          </w:tcPr>
          <w:p w14:paraId="4C8AC539" w14:textId="77777777" w:rsidR="00CB5190" w:rsidRPr="006C2069" w:rsidRDefault="00CB5190" w:rsidP="00E3643F">
            <w:pPr>
              <w:rPr>
                <w:color w:val="000000" w:themeColor="text1"/>
              </w:rPr>
            </w:pPr>
          </w:p>
        </w:tc>
        <w:tc>
          <w:tcPr>
            <w:tcW w:w="2268" w:type="dxa"/>
            <w:tcBorders>
              <w:bottom w:val="single" w:sz="4" w:space="0" w:color="auto"/>
            </w:tcBorders>
            <w:vAlign w:val="bottom"/>
          </w:tcPr>
          <w:p w14:paraId="02BD06B5" w14:textId="77777777" w:rsidR="00CB5190" w:rsidRPr="006C2069" w:rsidRDefault="00CB5190" w:rsidP="00E3643F">
            <w:pPr>
              <w:spacing w:after="53" w:line="300" w:lineRule="exact"/>
              <w:rPr>
                <w:color w:val="000000" w:themeColor="text1"/>
                <w:sz w:val="28"/>
              </w:rPr>
            </w:pPr>
            <w:r w:rsidRPr="006C2069">
              <w:rPr>
                <w:color w:val="000000" w:themeColor="text1"/>
                <w:sz w:val="28"/>
              </w:rPr>
              <w:t>Nations Unies</w:t>
            </w:r>
          </w:p>
        </w:tc>
        <w:tc>
          <w:tcPr>
            <w:tcW w:w="6095" w:type="dxa"/>
            <w:gridSpan w:val="2"/>
            <w:tcBorders>
              <w:bottom w:val="single" w:sz="4" w:space="0" w:color="auto"/>
            </w:tcBorders>
            <w:vAlign w:val="bottom"/>
          </w:tcPr>
          <w:p w14:paraId="28B70FEB" w14:textId="41E70B71" w:rsidR="00CB5190" w:rsidRPr="00C91F5A" w:rsidRDefault="00C91F5A" w:rsidP="00202ABE">
            <w:pPr>
              <w:jc w:val="right"/>
              <w:rPr>
                <w:color w:val="000000" w:themeColor="text1"/>
              </w:rPr>
            </w:pPr>
            <w:r w:rsidRPr="00C91F5A">
              <w:rPr>
                <w:color w:val="000000" w:themeColor="text1"/>
                <w:sz w:val="40"/>
              </w:rPr>
              <w:t>CCPR</w:t>
            </w:r>
            <w:r>
              <w:rPr>
                <w:color w:val="000000" w:themeColor="text1"/>
              </w:rPr>
              <w:t>/C/134/D/3249/2018</w:t>
            </w:r>
          </w:p>
        </w:tc>
      </w:tr>
      <w:tr w:rsidR="0013711D" w:rsidRPr="006C2069" w14:paraId="5A5491CB" w14:textId="77777777" w:rsidTr="00E3643F">
        <w:trPr>
          <w:trHeight w:hRule="exact" w:val="2835"/>
        </w:trPr>
        <w:tc>
          <w:tcPr>
            <w:tcW w:w="1276" w:type="dxa"/>
            <w:tcBorders>
              <w:top w:val="single" w:sz="4" w:space="0" w:color="auto"/>
              <w:bottom w:val="single" w:sz="12" w:space="0" w:color="auto"/>
            </w:tcBorders>
          </w:tcPr>
          <w:p w14:paraId="695B3CC5" w14:textId="77777777" w:rsidR="00CB5190" w:rsidRPr="006C2069" w:rsidRDefault="00CB5190" w:rsidP="00E3643F">
            <w:pPr>
              <w:spacing w:before="80"/>
              <w:jc w:val="center"/>
              <w:rPr>
                <w:color w:val="000000" w:themeColor="text1"/>
              </w:rPr>
            </w:pPr>
            <w:r w:rsidRPr="006C2069">
              <w:rPr>
                <w:noProof/>
                <w:color w:val="000000" w:themeColor="text1"/>
                <w:lang w:val="en-GB" w:eastAsia="en-GB"/>
              </w:rPr>
              <w:drawing>
                <wp:inline distT="0" distB="0" distL="0" distR="0" wp14:anchorId="6688AD2E" wp14:editId="2468A8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FD23F9" w14:textId="77777777" w:rsidR="00CB5190" w:rsidRDefault="00CB5190" w:rsidP="00E3643F">
            <w:pPr>
              <w:spacing w:before="80" w:line="380" w:lineRule="exact"/>
              <w:rPr>
                <w:b/>
                <w:color w:val="000000" w:themeColor="text1"/>
                <w:sz w:val="34"/>
                <w:szCs w:val="34"/>
              </w:rPr>
            </w:pPr>
            <w:r w:rsidRPr="006C2069">
              <w:rPr>
                <w:b/>
                <w:color w:val="000000" w:themeColor="text1"/>
                <w:sz w:val="34"/>
                <w:szCs w:val="34"/>
              </w:rPr>
              <w:t>Pacte international relatif</w:t>
            </w:r>
            <w:r w:rsidRPr="006C2069">
              <w:rPr>
                <w:b/>
                <w:color w:val="000000" w:themeColor="text1"/>
                <w:sz w:val="34"/>
                <w:szCs w:val="34"/>
              </w:rPr>
              <w:br/>
              <w:t>aux droits civils et politiques</w:t>
            </w:r>
          </w:p>
          <w:p w14:paraId="653176D2" w14:textId="77777777" w:rsidR="00202ABE" w:rsidRDefault="00202ABE" w:rsidP="00E3643F">
            <w:pPr>
              <w:spacing w:before="80" w:line="380" w:lineRule="exact"/>
              <w:rPr>
                <w:b/>
                <w:color w:val="000000" w:themeColor="text1"/>
                <w:sz w:val="34"/>
                <w:szCs w:val="34"/>
              </w:rPr>
            </w:pPr>
          </w:p>
          <w:p w14:paraId="6C3739CA" w14:textId="53C70B31" w:rsidR="00202ABE" w:rsidRPr="006C2069" w:rsidRDefault="00202ABE" w:rsidP="00E3643F">
            <w:pPr>
              <w:spacing w:before="80" w:line="380" w:lineRule="exact"/>
              <w:rPr>
                <w:b/>
                <w:color w:val="000000" w:themeColor="text1"/>
                <w:sz w:val="34"/>
                <w:szCs w:val="34"/>
              </w:rPr>
            </w:pPr>
            <w:r w:rsidRPr="00CE308B">
              <w:rPr>
                <w:b/>
                <w:color w:val="000000" w:themeColor="text1"/>
                <w:sz w:val="34"/>
                <w:szCs w:val="34"/>
              </w:rPr>
              <w:t>Version avancée non éditée</w:t>
            </w:r>
          </w:p>
        </w:tc>
        <w:tc>
          <w:tcPr>
            <w:tcW w:w="2835" w:type="dxa"/>
            <w:tcBorders>
              <w:top w:val="single" w:sz="4" w:space="0" w:color="auto"/>
              <w:bottom w:val="single" w:sz="12" w:space="0" w:color="auto"/>
            </w:tcBorders>
          </w:tcPr>
          <w:p w14:paraId="1DB0EDA0" w14:textId="6359F06F" w:rsidR="00CB5190" w:rsidRPr="006C2069" w:rsidRDefault="00CB5190" w:rsidP="00202ABE">
            <w:pPr>
              <w:spacing w:before="160"/>
              <w:rPr>
                <w:color w:val="000000" w:themeColor="text1"/>
              </w:rPr>
            </w:pPr>
            <w:r w:rsidRPr="006C2069">
              <w:rPr>
                <w:color w:val="000000" w:themeColor="text1"/>
              </w:rPr>
              <w:t xml:space="preserve">Distr. </w:t>
            </w:r>
            <w:r w:rsidR="00202ABE" w:rsidRPr="00202ABE">
              <w:rPr>
                <w:color w:val="000000" w:themeColor="text1"/>
              </w:rPr>
              <w:t xml:space="preserve"> </w:t>
            </w:r>
            <w:proofErr w:type="gramStart"/>
            <w:r w:rsidR="00202ABE" w:rsidRPr="00202ABE">
              <w:rPr>
                <w:color w:val="000000" w:themeColor="text1"/>
              </w:rPr>
              <w:t>générale</w:t>
            </w:r>
            <w:proofErr w:type="gramEnd"/>
            <w:r w:rsidR="00202ABE" w:rsidRPr="00202ABE" w:rsidDel="00202ABE">
              <w:rPr>
                <w:color w:val="000000" w:themeColor="text1"/>
              </w:rPr>
              <w:t xml:space="preserve"> </w:t>
            </w:r>
          </w:p>
          <w:p w14:paraId="2D243B4E" w14:textId="4B008409" w:rsidR="00CB5190" w:rsidRPr="006C2069" w:rsidRDefault="00104C81" w:rsidP="002F1C25">
            <w:pPr>
              <w:spacing w:line="240" w:lineRule="exact"/>
              <w:rPr>
                <w:color w:val="000000" w:themeColor="text1"/>
              </w:rPr>
            </w:pPr>
            <w:r>
              <w:rPr>
                <w:color w:val="000000" w:themeColor="text1"/>
              </w:rPr>
              <w:t>9</w:t>
            </w:r>
            <w:r w:rsidR="0093228D">
              <w:rPr>
                <w:color w:val="000000" w:themeColor="text1"/>
              </w:rPr>
              <w:t xml:space="preserve"> </w:t>
            </w:r>
            <w:r w:rsidR="00202ABE">
              <w:rPr>
                <w:color w:val="000000" w:themeColor="text1"/>
              </w:rPr>
              <w:t>mai</w:t>
            </w:r>
            <w:r w:rsidR="002F1C25" w:rsidRPr="006C2069">
              <w:rPr>
                <w:color w:val="000000" w:themeColor="text1"/>
              </w:rPr>
              <w:t xml:space="preserve"> </w:t>
            </w:r>
            <w:r w:rsidR="006C33CF" w:rsidRPr="006C2069">
              <w:rPr>
                <w:color w:val="000000" w:themeColor="text1"/>
              </w:rPr>
              <w:t>202</w:t>
            </w:r>
            <w:r w:rsidR="006C33CF">
              <w:rPr>
                <w:color w:val="000000" w:themeColor="text1"/>
              </w:rPr>
              <w:t>2</w:t>
            </w:r>
          </w:p>
          <w:p w14:paraId="24308F4A" w14:textId="77777777" w:rsidR="00D9168A" w:rsidRPr="006C2069" w:rsidRDefault="00D9168A" w:rsidP="00E3643F">
            <w:pPr>
              <w:spacing w:line="240" w:lineRule="exact"/>
              <w:rPr>
                <w:color w:val="000000" w:themeColor="text1"/>
              </w:rPr>
            </w:pPr>
          </w:p>
          <w:p w14:paraId="6203F13B" w14:textId="420FC31B" w:rsidR="00CB5190" w:rsidRPr="006C2069" w:rsidRDefault="00CB5190" w:rsidP="00E3643F">
            <w:pPr>
              <w:spacing w:line="240" w:lineRule="exact"/>
              <w:rPr>
                <w:color w:val="000000" w:themeColor="text1"/>
              </w:rPr>
            </w:pPr>
            <w:r w:rsidRPr="006C2069">
              <w:rPr>
                <w:color w:val="000000" w:themeColor="text1"/>
              </w:rPr>
              <w:t xml:space="preserve">Original : </w:t>
            </w:r>
            <w:r w:rsidR="0013711D" w:rsidRPr="006C2069">
              <w:rPr>
                <w:color w:val="000000" w:themeColor="text1"/>
              </w:rPr>
              <w:t>français</w:t>
            </w:r>
          </w:p>
          <w:p w14:paraId="4C4A52BA" w14:textId="6DD61979" w:rsidR="00CB5190" w:rsidRPr="006C2069" w:rsidRDefault="00CB5190" w:rsidP="00E3643F">
            <w:pPr>
              <w:rPr>
                <w:color w:val="000000" w:themeColor="text1"/>
              </w:rPr>
            </w:pPr>
          </w:p>
        </w:tc>
      </w:tr>
    </w:tbl>
    <w:p w14:paraId="796A0BFC" w14:textId="77777777" w:rsidR="00CB5190" w:rsidRPr="006C2069" w:rsidRDefault="00CB5190" w:rsidP="00CB5190">
      <w:pPr>
        <w:spacing w:before="120"/>
        <w:rPr>
          <w:b/>
          <w:color w:val="000000" w:themeColor="text1"/>
          <w:sz w:val="24"/>
          <w:szCs w:val="24"/>
        </w:rPr>
      </w:pPr>
      <w:r w:rsidRPr="006C2069">
        <w:rPr>
          <w:b/>
          <w:color w:val="000000" w:themeColor="text1"/>
          <w:sz w:val="24"/>
          <w:szCs w:val="24"/>
        </w:rPr>
        <w:t>Comité des droits de l’homme</w:t>
      </w:r>
    </w:p>
    <w:p w14:paraId="074674EC" w14:textId="625518F1" w:rsidR="00CB5190" w:rsidRPr="006C2069" w:rsidRDefault="00CB5190" w:rsidP="00104C81">
      <w:pPr>
        <w:pStyle w:val="HChG"/>
        <w:rPr>
          <w:color w:val="000000" w:themeColor="text1"/>
        </w:rPr>
      </w:pPr>
      <w:r w:rsidRPr="006C2069">
        <w:tab/>
      </w:r>
      <w:r w:rsidRPr="006C2069">
        <w:tab/>
      </w:r>
      <w:r w:rsidR="0093228D">
        <w:t>Décision</w:t>
      </w:r>
      <w:r w:rsidR="00202ABE" w:rsidRPr="00202ABE">
        <w:t xml:space="preserve"> adoptée </w:t>
      </w:r>
      <w:r w:rsidR="00202ABE" w:rsidRPr="00104C81">
        <w:t>par</w:t>
      </w:r>
      <w:r w:rsidR="00202ABE" w:rsidRPr="0093228D">
        <w:t xml:space="preserve"> </w:t>
      </w:r>
      <w:r w:rsidR="00202ABE" w:rsidRPr="00104C81">
        <w:t>le</w:t>
      </w:r>
      <w:r w:rsidR="00202ABE" w:rsidRPr="00202ABE">
        <w:t xml:space="preserve"> Comité au titre de l’article 5 (par. 4) du Protocole facultatif,</w:t>
      </w:r>
      <w:r w:rsidR="00F47243">
        <w:t xml:space="preserve"> </w:t>
      </w:r>
      <w:r w:rsidR="00202ABE" w:rsidRPr="00202ABE">
        <w:t xml:space="preserve">concernant la </w:t>
      </w:r>
      <w:r w:rsidR="00202ABE">
        <w:t>c</w:t>
      </w:r>
      <w:r w:rsidRPr="006C2069">
        <w:t xml:space="preserve">ommunication </w:t>
      </w:r>
      <w:r w:rsidRPr="006C2069">
        <w:rPr>
          <w:rFonts w:eastAsia="MS Mincho"/>
        </w:rPr>
        <w:t>n</w:t>
      </w:r>
      <w:r w:rsidRPr="006C2069">
        <w:rPr>
          <w:rFonts w:eastAsia="MS Mincho"/>
          <w:vertAlign w:val="superscript"/>
        </w:rPr>
        <w:t>o</w:t>
      </w:r>
      <w:r w:rsidR="005243ED" w:rsidRPr="006C2069">
        <w:t xml:space="preserve"> </w:t>
      </w:r>
      <w:r w:rsidR="00D8695F" w:rsidRPr="006C2069">
        <w:t>3249</w:t>
      </w:r>
      <w:r w:rsidRPr="006C2069">
        <w:t>/201</w:t>
      </w:r>
      <w:r w:rsidR="00D8695F" w:rsidRPr="006C2069">
        <w:t>8</w:t>
      </w:r>
      <w:r w:rsidR="00202ABE" w:rsidRPr="00104C81">
        <w:rPr>
          <w:rStyle w:val="FootnoteReference"/>
          <w:b w:val="0"/>
          <w:color w:val="000000" w:themeColor="text1"/>
          <w:sz w:val="20"/>
          <w:vertAlign w:val="baseline"/>
        </w:rPr>
        <w:footnoteReference w:customMarkFollows="1" w:id="2"/>
        <w:t>*</w:t>
      </w:r>
      <w:r w:rsidR="00202ABE" w:rsidRPr="00104C81">
        <w:rPr>
          <w:b w:val="0"/>
          <w:color w:val="000000" w:themeColor="text1"/>
          <w:sz w:val="20"/>
          <w:vertAlign w:val="superscript"/>
        </w:rPr>
        <w:t>,</w:t>
      </w:r>
      <w:r w:rsidR="00202ABE" w:rsidRPr="00104C81">
        <w:rPr>
          <w:rStyle w:val="FootnoteReference"/>
          <w:b w:val="0"/>
          <w:color w:val="000000" w:themeColor="text1"/>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10048C" w:rsidRPr="006C2069" w14:paraId="49D79C2A" w14:textId="77777777" w:rsidTr="00E3643F">
        <w:tc>
          <w:tcPr>
            <w:tcW w:w="2835" w:type="dxa"/>
          </w:tcPr>
          <w:p w14:paraId="35003549" w14:textId="77777777" w:rsidR="00CB5190" w:rsidRPr="006C2069" w:rsidRDefault="00CB5190" w:rsidP="00E3643F">
            <w:pPr>
              <w:spacing w:after="80"/>
              <w:rPr>
                <w:i/>
                <w:color w:val="000000" w:themeColor="text1"/>
              </w:rPr>
            </w:pPr>
            <w:r w:rsidRPr="006C2069">
              <w:rPr>
                <w:i/>
                <w:iCs/>
                <w:color w:val="000000" w:themeColor="text1"/>
              </w:rPr>
              <w:t>Communication présentée par </w:t>
            </w:r>
            <w:r w:rsidRPr="006C2069">
              <w:rPr>
                <w:iCs/>
                <w:color w:val="000000" w:themeColor="text1"/>
              </w:rPr>
              <w:t>:</w:t>
            </w:r>
          </w:p>
        </w:tc>
        <w:tc>
          <w:tcPr>
            <w:tcW w:w="3969" w:type="dxa"/>
          </w:tcPr>
          <w:p w14:paraId="64090A28" w14:textId="73A9E2C3" w:rsidR="00CB5190" w:rsidRPr="006C2069" w:rsidRDefault="009333C3" w:rsidP="009333C3">
            <w:pPr>
              <w:spacing w:after="80"/>
              <w:rPr>
                <w:color w:val="000000" w:themeColor="text1"/>
              </w:rPr>
            </w:pPr>
            <w:r w:rsidRPr="006C2069">
              <w:rPr>
                <w:color w:val="000000" w:themeColor="text1"/>
              </w:rPr>
              <w:t>B. M.</w:t>
            </w:r>
          </w:p>
        </w:tc>
      </w:tr>
      <w:tr w:rsidR="0010048C" w:rsidRPr="006C2069" w14:paraId="3EBB22E7" w14:textId="77777777" w:rsidTr="00E3643F">
        <w:tc>
          <w:tcPr>
            <w:tcW w:w="2835" w:type="dxa"/>
          </w:tcPr>
          <w:p w14:paraId="6F8EC5DB" w14:textId="77777777" w:rsidR="00CB5190" w:rsidRPr="006C2069" w:rsidRDefault="00CB5190" w:rsidP="00E3643F">
            <w:pPr>
              <w:spacing w:after="80"/>
              <w:rPr>
                <w:i/>
                <w:color w:val="000000" w:themeColor="text1"/>
              </w:rPr>
            </w:pPr>
            <w:r w:rsidRPr="006C2069">
              <w:rPr>
                <w:i/>
                <w:iCs/>
                <w:color w:val="000000" w:themeColor="text1"/>
              </w:rPr>
              <w:t>Au nom de </w:t>
            </w:r>
            <w:r w:rsidRPr="006C2069">
              <w:rPr>
                <w:iCs/>
                <w:color w:val="000000" w:themeColor="text1"/>
              </w:rPr>
              <w:t>:</w:t>
            </w:r>
          </w:p>
        </w:tc>
        <w:tc>
          <w:tcPr>
            <w:tcW w:w="3969" w:type="dxa"/>
          </w:tcPr>
          <w:p w14:paraId="53495127" w14:textId="3B7E3849" w:rsidR="00CB5190" w:rsidRPr="006C2069" w:rsidRDefault="001F1804" w:rsidP="00E3643F">
            <w:pPr>
              <w:spacing w:after="80"/>
              <w:rPr>
                <w:color w:val="000000" w:themeColor="text1"/>
              </w:rPr>
            </w:pPr>
            <w:r w:rsidRPr="006C2069">
              <w:rPr>
                <w:color w:val="000000" w:themeColor="text1"/>
              </w:rPr>
              <w:t>L’auteure</w:t>
            </w:r>
          </w:p>
        </w:tc>
      </w:tr>
      <w:tr w:rsidR="0010048C" w:rsidRPr="006C2069" w14:paraId="1234B130" w14:textId="77777777" w:rsidTr="00E3643F">
        <w:tc>
          <w:tcPr>
            <w:tcW w:w="2835" w:type="dxa"/>
          </w:tcPr>
          <w:p w14:paraId="2C36DAAD" w14:textId="77777777" w:rsidR="00CB5190" w:rsidRPr="006C2069" w:rsidRDefault="00CB5190" w:rsidP="00E3643F">
            <w:pPr>
              <w:spacing w:after="80"/>
              <w:rPr>
                <w:i/>
                <w:color w:val="000000" w:themeColor="text1"/>
              </w:rPr>
            </w:pPr>
            <w:r w:rsidRPr="006C2069">
              <w:rPr>
                <w:i/>
                <w:iCs/>
                <w:color w:val="000000" w:themeColor="text1"/>
              </w:rPr>
              <w:t>État partie </w:t>
            </w:r>
            <w:r w:rsidRPr="006C2069">
              <w:rPr>
                <w:iCs/>
                <w:color w:val="000000" w:themeColor="text1"/>
              </w:rPr>
              <w:t>:</w:t>
            </w:r>
          </w:p>
        </w:tc>
        <w:tc>
          <w:tcPr>
            <w:tcW w:w="3969" w:type="dxa"/>
          </w:tcPr>
          <w:p w14:paraId="4F6FE1C2" w14:textId="576D55E3" w:rsidR="00CB5190" w:rsidRPr="006C2069" w:rsidRDefault="0061351B" w:rsidP="00E3643F">
            <w:pPr>
              <w:spacing w:after="80"/>
              <w:rPr>
                <w:color w:val="000000" w:themeColor="text1"/>
              </w:rPr>
            </w:pPr>
            <w:r w:rsidRPr="006C2069">
              <w:rPr>
                <w:color w:val="000000" w:themeColor="text1"/>
              </w:rPr>
              <w:t>Belgique</w:t>
            </w:r>
          </w:p>
        </w:tc>
      </w:tr>
      <w:tr w:rsidR="0010048C" w:rsidRPr="006C2069" w14:paraId="098BB77A" w14:textId="77777777" w:rsidTr="00E3643F">
        <w:tc>
          <w:tcPr>
            <w:tcW w:w="2835" w:type="dxa"/>
          </w:tcPr>
          <w:p w14:paraId="0A7E2C86" w14:textId="77777777" w:rsidR="00CB5190" w:rsidRPr="006C2069" w:rsidRDefault="00CB5190" w:rsidP="00E3643F">
            <w:pPr>
              <w:spacing w:after="80"/>
              <w:rPr>
                <w:i/>
                <w:color w:val="000000" w:themeColor="text1"/>
              </w:rPr>
            </w:pPr>
            <w:r w:rsidRPr="006C2069">
              <w:rPr>
                <w:i/>
                <w:iCs/>
                <w:color w:val="000000" w:themeColor="text1"/>
              </w:rPr>
              <w:t>Date de la communication </w:t>
            </w:r>
            <w:r w:rsidRPr="006C2069">
              <w:rPr>
                <w:iCs/>
                <w:color w:val="000000" w:themeColor="text1"/>
              </w:rPr>
              <w:t>:</w:t>
            </w:r>
          </w:p>
        </w:tc>
        <w:tc>
          <w:tcPr>
            <w:tcW w:w="3969" w:type="dxa"/>
          </w:tcPr>
          <w:p w14:paraId="257EB8FE" w14:textId="6CC71FD5" w:rsidR="00CB5190" w:rsidRPr="006C2069" w:rsidRDefault="009333C3" w:rsidP="009333C3">
            <w:pPr>
              <w:spacing w:after="80"/>
              <w:rPr>
                <w:color w:val="000000" w:themeColor="text1"/>
              </w:rPr>
            </w:pPr>
            <w:r w:rsidRPr="006C2069">
              <w:rPr>
                <w:color w:val="000000" w:themeColor="text1"/>
              </w:rPr>
              <w:t>2</w:t>
            </w:r>
            <w:r w:rsidR="004C0FF2" w:rsidRPr="006C2069">
              <w:rPr>
                <w:color w:val="000000" w:themeColor="text1"/>
              </w:rPr>
              <w:t>5</w:t>
            </w:r>
            <w:r w:rsidRPr="006C2069">
              <w:rPr>
                <w:color w:val="000000" w:themeColor="text1"/>
              </w:rPr>
              <w:t xml:space="preserve"> février </w:t>
            </w:r>
            <w:r w:rsidR="00FD73EA" w:rsidRPr="006C2069">
              <w:rPr>
                <w:color w:val="000000" w:themeColor="text1"/>
              </w:rPr>
              <w:t>201</w:t>
            </w:r>
            <w:r w:rsidRPr="006C2069">
              <w:rPr>
                <w:color w:val="000000" w:themeColor="text1"/>
              </w:rPr>
              <w:t>8</w:t>
            </w:r>
            <w:r w:rsidR="00533664" w:rsidRPr="006C2069">
              <w:rPr>
                <w:color w:val="000000" w:themeColor="text1"/>
              </w:rPr>
              <w:t xml:space="preserve"> </w:t>
            </w:r>
            <w:r w:rsidR="00CB5190" w:rsidRPr="006C2069">
              <w:rPr>
                <w:color w:val="000000" w:themeColor="text1"/>
              </w:rPr>
              <w:t>(date de la lettre initiale)</w:t>
            </w:r>
          </w:p>
        </w:tc>
      </w:tr>
      <w:tr w:rsidR="0010048C" w:rsidRPr="006C2069" w14:paraId="3B213160" w14:textId="77777777" w:rsidTr="00E3643F">
        <w:tc>
          <w:tcPr>
            <w:tcW w:w="2835" w:type="dxa"/>
          </w:tcPr>
          <w:p w14:paraId="500A7692" w14:textId="77777777" w:rsidR="00CB5190" w:rsidRPr="006C2069" w:rsidRDefault="00CB5190" w:rsidP="00E3643F">
            <w:pPr>
              <w:spacing w:after="80"/>
              <w:rPr>
                <w:i/>
                <w:color w:val="000000" w:themeColor="text1"/>
              </w:rPr>
            </w:pPr>
            <w:r w:rsidRPr="006C2069">
              <w:rPr>
                <w:i/>
                <w:iCs/>
                <w:color w:val="000000" w:themeColor="text1"/>
              </w:rPr>
              <w:t>Références </w:t>
            </w:r>
            <w:r w:rsidRPr="006C2069">
              <w:rPr>
                <w:iCs/>
                <w:color w:val="000000" w:themeColor="text1"/>
              </w:rPr>
              <w:t>:</w:t>
            </w:r>
          </w:p>
        </w:tc>
        <w:tc>
          <w:tcPr>
            <w:tcW w:w="3969" w:type="dxa"/>
          </w:tcPr>
          <w:p w14:paraId="3C73A22B" w14:textId="6CBABD3B" w:rsidR="00CB5190" w:rsidRPr="006C2069" w:rsidRDefault="00CB5190" w:rsidP="00E3643F">
            <w:pPr>
              <w:spacing w:after="80"/>
              <w:rPr>
                <w:color w:val="000000" w:themeColor="text1"/>
              </w:rPr>
            </w:pPr>
            <w:r w:rsidRPr="006C2069">
              <w:rPr>
                <w:color w:val="000000" w:themeColor="text1"/>
              </w:rPr>
              <w:t>Décision prise en application de l’article 92 du règlement intérieur du Comité, communiquée à l’État partie le</w:t>
            </w:r>
            <w:r w:rsidR="009333C3" w:rsidRPr="006C2069">
              <w:rPr>
                <w:color w:val="000000" w:themeColor="text1"/>
              </w:rPr>
              <w:t xml:space="preserve"> 5 octobre 2018</w:t>
            </w:r>
            <w:r w:rsidRPr="006C2069">
              <w:rPr>
                <w:color w:val="000000" w:themeColor="text1"/>
              </w:rPr>
              <w:t xml:space="preserve"> (non publiée sous forme de document)</w:t>
            </w:r>
          </w:p>
        </w:tc>
      </w:tr>
      <w:tr w:rsidR="0010048C" w:rsidRPr="006C2069" w14:paraId="57BEF725" w14:textId="77777777" w:rsidTr="00E3643F">
        <w:tc>
          <w:tcPr>
            <w:tcW w:w="2835" w:type="dxa"/>
          </w:tcPr>
          <w:p w14:paraId="036FFCFB" w14:textId="75AAC03F" w:rsidR="00CB5190" w:rsidRPr="006C2069" w:rsidRDefault="00CB5190" w:rsidP="0093228D">
            <w:pPr>
              <w:spacing w:after="80"/>
              <w:rPr>
                <w:i/>
                <w:color w:val="000000" w:themeColor="text1"/>
              </w:rPr>
            </w:pPr>
            <w:r w:rsidRPr="006C2069">
              <w:rPr>
                <w:i/>
                <w:iCs/>
                <w:color w:val="000000" w:themeColor="text1"/>
              </w:rPr>
              <w:t>Date de</w:t>
            </w:r>
            <w:r w:rsidR="0093228D">
              <w:rPr>
                <w:i/>
                <w:iCs/>
                <w:color w:val="000000" w:themeColor="text1"/>
              </w:rPr>
              <w:t xml:space="preserve"> la décision</w:t>
            </w:r>
            <w:r w:rsidRPr="006C2069">
              <w:rPr>
                <w:iCs/>
                <w:color w:val="000000" w:themeColor="text1"/>
              </w:rPr>
              <w:t>:</w:t>
            </w:r>
          </w:p>
        </w:tc>
        <w:tc>
          <w:tcPr>
            <w:tcW w:w="3969" w:type="dxa"/>
          </w:tcPr>
          <w:p w14:paraId="7A48D922" w14:textId="61C7D2DC" w:rsidR="00CB5190" w:rsidRPr="006C2069" w:rsidRDefault="00202ABE" w:rsidP="00E3643F">
            <w:pPr>
              <w:spacing w:after="80"/>
              <w:rPr>
                <w:color w:val="000000" w:themeColor="text1"/>
              </w:rPr>
            </w:pPr>
            <w:bookmarkStart w:id="0" w:name="_GoBack"/>
            <w:bookmarkEnd w:id="0"/>
            <w:r>
              <w:rPr>
                <w:color w:val="000000" w:themeColor="text1"/>
              </w:rPr>
              <w:t xml:space="preserve">24 </w:t>
            </w:r>
            <w:r w:rsidR="005B50A8" w:rsidRPr="006C2069">
              <w:rPr>
                <w:color w:val="000000" w:themeColor="text1"/>
              </w:rPr>
              <w:t xml:space="preserve"> mars</w:t>
            </w:r>
            <w:r w:rsidR="00CB5190" w:rsidRPr="006C2069">
              <w:rPr>
                <w:color w:val="000000" w:themeColor="text1"/>
              </w:rPr>
              <w:t xml:space="preserve"> 202</w:t>
            </w:r>
            <w:r w:rsidR="0061351B" w:rsidRPr="006C2069">
              <w:rPr>
                <w:color w:val="000000" w:themeColor="text1"/>
              </w:rPr>
              <w:t>2</w:t>
            </w:r>
          </w:p>
        </w:tc>
      </w:tr>
      <w:tr w:rsidR="0010048C" w:rsidRPr="006C2069" w14:paraId="3EF75338" w14:textId="77777777" w:rsidTr="00E3643F">
        <w:tc>
          <w:tcPr>
            <w:tcW w:w="2835" w:type="dxa"/>
          </w:tcPr>
          <w:p w14:paraId="541C21C7" w14:textId="77777777" w:rsidR="00CB5190" w:rsidRPr="006C2069" w:rsidRDefault="00CB5190" w:rsidP="00E3643F">
            <w:pPr>
              <w:spacing w:after="80"/>
              <w:rPr>
                <w:i/>
                <w:color w:val="000000" w:themeColor="text1"/>
                <w:highlight w:val="yellow"/>
              </w:rPr>
            </w:pPr>
            <w:r w:rsidRPr="006C2069">
              <w:rPr>
                <w:i/>
                <w:iCs/>
                <w:color w:val="000000" w:themeColor="text1"/>
              </w:rPr>
              <w:t>Objet </w:t>
            </w:r>
            <w:r w:rsidRPr="006C2069">
              <w:rPr>
                <w:iCs/>
                <w:color w:val="000000" w:themeColor="text1"/>
              </w:rPr>
              <w:t>:</w:t>
            </w:r>
          </w:p>
        </w:tc>
        <w:tc>
          <w:tcPr>
            <w:tcW w:w="3969" w:type="dxa"/>
          </w:tcPr>
          <w:p w14:paraId="5648B93E" w14:textId="3C485F0D" w:rsidR="00CB5190" w:rsidRPr="006C2069" w:rsidRDefault="00383FF0" w:rsidP="00E04A0E">
            <w:pPr>
              <w:spacing w:after="80"/>
              <w:rPr>
                <w:color w:val="000000" w:themeColor="text1"/>
                <w:highlight w:val="yellow"/>
              </w:rPr>
            </w:pPr>
            <w:r w:rsidRPr="006C2069">
              <w:rPr>
                <w:color w:val="000000" w:themeColor="text1"/>
              </w:rPr>
              <w:t>Procès équitable</w:t>
            </w:r>
          </w:p>
        </w:tc>
      </w:tr>
      <w:tr w:rsidR="0010048C" w:rsidRPr="006C2069" w14:paraId="4407F1CA" w14:textId="77777777" w:rsidTr="00980D23">
        <w:tc>
          <w:tcPr>
            <w:tcW w:w="2835" w:type="dxa"/>
          </w:tcPr>
          <w:p w14:paraId="31406110" w14:textId="77777777" w:rsidR="00055801" w:rsidRPr="006C2069" w:rsidRDefault="00055801" w:rsidP="00055801">
            <w:pPr>
              <w:spacing w:after="80"/>
              <w:rPr>
                <w:i/>
                <w:color w:val="000000" w:themeColor="text1"/>
              </w:rPr>
            </w:pPr>
            <w:r w:rsidRPr="006C2069">
              <w:rPr>
                <w:i/>
                <w:iCs/>
                <w:color w:val="000000" w:themeColor="text1"/>
              </w:rPr>
              <w:t>Question(s) de procédure </w:t>
            </w:r>
            <w:r w:rsidRPr="006C2069">
              <w:rPr>
                <w:iCs/>
                <w:color w:val="000000" w:themeColor="text1"/>
              </w:rPr>
              <w:t>:</w:t>
            </w:r>
          </w:p>
        </w:tc>
        <w:tc>
          <w:tcPr>
            <w:tcW w:w="3969" w:type="dxa"/>
            <w:vAlign w:val="bottom"/>
          </w:tcPr>
          <w:p w14:paraId="0DD874DD" w14:textId="02D0F91E" w:rsidR="00055801" w:rsidRPr="006C2069" w:rsidRDefault="00055801" w:rsidP="009333C3">
            <w:pPr>
              <w:spacing w:after="80"/>
              <w:rPr>
                <w:color w:val="000000" w:themeColor="text1"/>
              </w:rPr>
            </w:pPr>
            <w:r w:rsidRPr="006C2069">
              <w:rPr>
                <w:color w:val="000000" w:themeColor="text1"/>
              </w:rPr>
              <w:t xml:space="preserve">Droit </w:t>
            </w:r>
            <w:r w:rsidR="009333C3" w:rsidRPr="006C2069">
              <w:rPr>
                <w:color w:val="000000" w:themeColor="text1"/>
              </w:rPr>
              <w:t xml:space="preserve">à un procès équitable </w:t>
            </w:r>
          </w:p>
        </w:tc>
      </w:tr>
      <w:tr w:rsidR="0010048C" w:rsidRPr="006C2069" w14:paraId="6741C5A9" w14:textId="77777777" w:rsidTr="00E3643F">
        <w:tc>
          <w:tcPr>
            <w:tcW w:w="2835" w:type="dxa"/>
          </w:tcPr>
          <w:p w14:paraId="7FD3B25D" w14:textId="77777777" w:rsidR="00055801" w:rsidRPr="006C2069" w:rsidRDefault="00055801" w:rsidP="00055801">
            <w:pPr>
              <w:spacing w:after="80"/>
              <w:rPr>
                <w:i/>
                <w:color w:val="000000" w:themeColor="text1"/>
              </w:rPr>
            </w:pPr>
            <w:r w:rsidRPr="006C2069">
              <w:rPr>
                <w:i/>
                <w:iCs/>
                <w:color w:val="000000" w:themeColor="text1"/>
              </w:rPr>
              <w:t>Question(s) de fond </w:t>
            </w:r>
            <w:r w:rsidRPr="006C2069">
              <w:rPr>
                <w:iCs/>
                <w:color w:val="000000" w:themeColor="text1"/>
              </w:rPr>
              <w:t>:</w:t>
            </w:r>
          </w:p>
        </w:tc>
        <w:tc>
          <w:tcPr>
            <w:tcW w:w="3969" w:type="dxa"/>
          </w:tcPr>
          <w:p w14:paraId="776E8DC5" w14:textId="2E1D19AD" w:rsidR="00055801" w:rsidRPr="006C2069" w:rsidRDefault="009A1DB7" w:rsidP="009A1DB7">
            <w:pPr>
              <w:spacing w:after="80"/>
              <w:rPr>
                <w:color w:val="000000" w:themeColor="text1"/>
              </w:rPr>
            </w:pPr>
            <w:r w:rsidRPr="006C2069">
              <w:rPr>
                <w:color w:val="000000" w:themeColor="text1"/>
              </w:rPr>
              <w:t>Principe de l’égalité des armes, e</w:t>
            </w:r>
            <w:r w:rsidR="00055801" w:rsidRPr="006C2069">
              <w:rPr>
                <w:color w:val="000000" w:themeColor="text1"/>
              </w:rPr>
              <w:t>xamen de la même question par une autre instance internationale ; griefs non étayés</w:t>
            </w:r>
          </w:p>
        </w:tc>
      </w:tr>
      <w:tr w:rsidR="0010048C" w:rsidRPr="006C2069" w14:paraId="4D9219FE" w14:textId="77777777" w:rsidTr="00E3643F">
        <w:tc>
          <w:tcPr>
            <w:tcW w:w="2835" w:type="dxa"/>
          </w:tcPr>
          <w:p w14:paraId="6148D16A" w14:textId="77777777" w:rsidR="00055801" w:rsidRPr="006C2069" w:rsidRDefault="00055801" w:rsidP="00055801">
            <w:pPr>
              <w:spacing w:after="80"/>
              <w:rPr>
                <w:i/>
                <w:color w:val="000000" w:themeColor="text1"/>
              </w:rPr>
            </w:pPr>
            <w:r w:rsidRPr="006C2069">
              <w:rPr>
                <w:i/>
                <w:iCs/>
                <w:color w:val="000000" w:themeColor="text1"/>
              </w:rPr>
              <w:t>Article(s) du Pacte </w:t>
            </w:r>
            <w:r w:rsidRPr="006C2069">
              <w:rPr>
                <w:iCs/>
                <w:color w:val="000000" w:themeColor="text1"/>
              </w:rPr>
              <w:t>:</w:t>
            </w:r>
          </w:p>
        </w:tc>
        <w:tc>
          <w:tcPr>
            <w:tcW w:w="3969" w:type="dxa"/>
          </w:tcPr>
          <w:p w14:paraId="4196B45D" w14:textId="25F1A56E" w:rsidR="00055801" w:rsidRPr="006C2069" w:rsidRDefault="0061351B" w:rsidP="00055801">
            <w:pPr>
              <w:spacing w:after="80"/>
              <w:rPr>
                <w:color w:val="000000" w:themeColor="text1"/>
              </w:rPr>
            </w:pPr>
            <w:r w:rsidRPr="006C2069">
              <w:rPr>
                <w:color w:val="000000" w:themeColor="text1"/>
              </w:rPr>
              <w:t>14</w:t>
            </w:r>
          </w:p>
        </w:tc>
      </w:tr>
      <w:tr w:rsidR="0010048C" w:rsidRPr="006C2069" w14:paraId="48730AAD" w14:textId="77777777" w:rsidTr="00E3643F">
        <w:tc>
          <w:tcPr>
            <w:tcW w:w="2835" w:type="dxa"/>
          </w:tcPr>
          <w:p w14:paraId="78FC06AD" w14:textId="77777777" w:rsidR="00055801" w:rsidRPr="006C2069" w:rsidRDefault="00055801" w:rsidP="00055801">
            <w:pPr>
              <w:spacing w:after="80"/>
              <w:rPr>
                <w:i/>
                <w:iCs/>
                <w:color w:val="000000" w:themeColor="text1"/>
              </w:rPr>
            </w:pPr>
            <w:r w:rsidRPr="006C2069">
              <w:rPr>
                <w:i/>
                <w:iCs/>
                <w:color w:val="000000" w:themeColor="text1"/>
              </w:rPr>
              <w:t>Article(s) du Protocole facultatif </w:t>
            </w:r>
            <w:r w:rsidRPr="006C2069">
              <w:rPr>
                <w:iCs/>
                <w:color w:val="000000" w:themeColor="text1"/>
              </w:rPr>
              <w:t>:</w:t>
            </w:r>
          </w:p>
        </w:tc>
        <w:tc>
          <w:tcPr>
            <w:tcW w:w="3969" w:type="dxa"/>
          </w:tcPr>
          <w:p w14:paraId="77992024" w14:textId="3DBB9DCB" w:rsidR="00055801" w:rsidRPr="006C2069" w:rsidRDefault="00055801" w:rsidP="00055801">
            <w:pPr>
              <w:spacing w:after="80"/>
              <w:rPr>
                <w:color w:val="000000" w:themeColor="text1"/>
              </w:rPr>
            </w:pPr>
            <w:r w:rsidRPr="006C2069">
              <w:rPr>
                <w:iCs/>
                <w:color w:val="000000" w:themeColor="text1"/>
              </w:rPr>
              <w:t xml:space="preserve">2 et 5 (par. 2 </w:t>
            </w:r>
            <w:r w:rsidR="00E04A0E" w:rsidRPr="006C2069">
              <w:rPr>
                <w:iCs/>
                <w:color w:val="000000" w:themeColor="text1"/>
              </w:rPr>
              <w:t>a)</w:t>
            </w:r>
          </w:p>
        </w:tc>
      </w:tr>
    </w:tbl>
    <w:p w14:paraId="006D6399" w14:textId="7B748B24" w:rsidR="00CB5190" w:rsidRPr="006C2069" w:rsidRDefault="00CB5190" w:rsidP="00525C5C">
      <w:pPr>
        <w:pStyle w:val="SingleTxtG"/>
        <w:rPr>
          <w:color w:val="000000" w:themeColor="text1"/>
        </w:rPr>
      </w:pPr>
      <w:r w:rsidRPr="006C2069">
        <w:rPr>
          <w:color w:val="000000" w:themeColor="text1"/>
        </w:rPr>
        <w:br w:type="page"/>
      </w:r>
      <w:r w:rsidR="00C6036C" w:rsidRPr="006C2069">
        <w:rPr>
          <w:color w:val="000000" w:themeColor="text1"/>
        </w:rPr>
        <w:lastRenderedPageBreak/>
        <w:t>1</w:t>
      </w:r>
      <w:r w:rsidR="001A1996">
        <w:rPr>
          <w:color w:val="000000" w:themeColor="text1"/>
        </w:rPr>
        <w:t>.1</w:t>
      </w:r>
      <w:r w:rsidR="00C6036C" w:rsidRPr="006C2069">
        <w:rPr>
          <w:color w:val="000000" w:themeColor="text1"/>
        </w:rPr>
        <w:tab/>
      </w:r>
      <w:r w:rsidRPr="006C2069">
        <w:rPr>
          <w:color w:val="000000" w:themeColor="text1"/>
        </w:rPr>
        <w:t>L'auteur</w:t>
      </w:r>
      <w:r w:rsidR="00FD73EA" w:rsidRPr="006C2069">
        <w:rPr>
          <w:color w:val="000000" w:themeColor="text1"/>
        </w:rPr>
        <w:t>e</w:t>
      </w:r>
      <w:r w:rsidRPr="006C2069">
        <w:rPr>
          <w:color w:val="000000" w:themeColor="text1"/>
        </w:rPr>
        <w:t xml:space="preserve"> de la communication, datée du </w:t>
      </w:r>
      <w:r w:rsidR="004C0FF2" w:rsidRPr="006C2069">
        <w:rPr>
          <w:color w:val="000000" w:themeColor="text1"/>
        </w:rPr>
        <w:t>2</w:t>
      </w:r>
      <w:r w:rsidR="00F356A8" w:rsidRPr="006C2069">
        <w:rPr>
          <w:color w:val="000000" w:themeColor="text1"/>
        </w:rPr>
        <w:t>5</w:t>
      </w:r>
      <w:r w:rsidR="004C0FF2" w:rsidRPr="006C2069">
        <w:rPr>
          <w:color w:val="000000" w:themeColor="text1"/>
        </w:rPr>
        <w:t xml:space="preserve"> </w:t>
      </w:r>
      <w:r w:rsidR="00774AE6" w:rsidRPr="006C2069">
        <w:rPr>
          <w:color w:val="000000" w:themeColor="text1"/>
        </w:rPr>
        <w:t>février 2018</w:t>
      </w:r>
      <w:r w:rsidRPr="006C2069">
        <w:rPr>
          <w:color w:val="000000" w:themeColor="text1"/>
        </w:rPr>
        <w:t xml:space="preserve">, est </w:t>
      </w:r>
      <w:r w:rsidR="00774AE6" w:rsidRPr="006C2069">
        <w:rPr>
          <w:color w:val="000000" w:themeColor="text1"/>
        </w:rPr>
        <w:t>Mme</w:t>
      </w:r>
      <w:r w:rsidR="00F356A8" w:rsidRPr="006C2069">
        <w:rPr>
          <w:color w:val="000000" w:themeColor="text1"/>
        </w:rPr>
        <w:t>.</w:t>
      </w:r>
      <w:r w:rsidR="00774AE6" w:rsidRPr="006C2069">
        <w:rPr>
          <w:color w:val="000000" w:themeColor="text1"/>
        </w:rPr>
        <w:t xml:space="preserve"> B. M</w:t>
      </w:r>
      <w:r w:rsidR="00293CEE">
        <w:rPr>
          <w:rStyle w:val="FootnoteReference"/>
          <w:color w:val="000000" w:themeColor="text1"/>
        </w:rPr>
        <w:footnoteReference w:id="4"/>
      </w:r>
      <w:r w:rsidR="00774AE6" w:rsidRPr="006C2069">
        <w:rPr>
          <w:color w:val="000000" w:themeColor="text1"/>
        </w:rPr>
        <w:t>.</w:t>
      </w:r>
      <w:r w:rsidR="002750C6" w:rsidRPr="006C2069">
        <w:rPr>
          <w:color w:val="000000" w:themeColor="text1"/>
        </w:rPr>
        <w:t>,</w:t>
      </w:r>
      <w:r w:rsidRPr="006C2069">
        <w:rPr>
          <w:color w:val="000000" w:themeColor="text1"/>
        </w:rPr>
        <w:t xml:space="preserve"> </w:t>
      </w:r>
      <w:r w:rsidR="009547CD" w:rsidRPr="006C2069">
        <w:rPr>
          <w:color w:val="000000" w:themeColor="text1"/>
        </w:rPr>
        <w:t xml:space="preserve">de nationalité </w:t>
      </w:r>
      <w:r w:rsidR="00774AE6" w:rsidRPr="006C2069">
        <w:rPr>
          <w:color w:val="000000" w:themeColor="text1"/>
        </w:rPr>
        <w:t>belge</w:t>
      </w:r>
      <w:r w:rsidRPr="006C2069">
        <w:rPr>
          <w:color w:val="000000" w:themeColor="text1"/>
        </w:rPr>
        <w:t xml:space="preserve">. </w:t>
      </w:r>
      <w:r w:rsidR="00525C5C" w:rsidRPr="006C2069">
        <w:rPr>
          <w:color w:val="000000" w:themeColor="text1"/>
        </w:rPr>
        <w:t>L’auteure</w:t>
      </w:r>
      <w:r w:rsidR="00D41EB7">
        <w:rPr>
          <w:color w:val="000000" w:themeColor="text1"/>
        </w:rPr>
        <w:t xml:space="preserve">, qui est domiciliée en Suisse au moment de sa communication, </w:t>
      </w:r>
      <w:r w:rsidR="00525C5C" w:rsidRPr="006C2069">
        <w:rPr>
          <w:color w:val="000000" w:themeColor="text1"/>
        </w:rPr>
        <w:t xml:space="preserve">allègue une violation par la </w:t>
      </w:r>
      <w:r w:rsidR="00774AE6" w:rsidRPr="006C2069">
        <w:rPr>
          <w:color w:val="000000" w:themeColor="text1"/>
        </w:rPr>
        <w:t>Belgique</w:t>
      </w:r>
      <w:r w:rsidR="00525C5C" w:rsidRPr="006C2069">
        <w:rPr>
          <w:color w:val="000000" w:themeColor="text1"/>
        </w:rPr>
        <w:t xml:space="preserve"> (l’</w:t>
      </w:r>
      <w:r w:rsidR="00774AE6" w:rsidRPr="006C2069">
        <w:rPr>
          <w:color w:val="000000" w:themeColor="text1"/>
        </w:rPr>
        <w:t>État partie) des droits qu’elle tient d</w:t>
      </w:r>
      <w:r w:rsidR="00525C5C" w:rsidRPr="006C2069">
        <w:rPr>
          <w:color w:val="000000" w:themeColor="text1"/>
        </w:rPr>
        <w:t>e</w:t>
      </w:r>
      <w:r w:rsidR="004C0FF2" w:rsidRPr="006C2069">
        <w:rPr>
          <w:color w:val="000000" w:themeColor="text1"/>
        </w:rPr>
        <w:t xml:space="preserve"> l’article 14</w:t>
      </w:r>
      <w:r w:rsidR="002750C6" w:rsidRPr="006C2069">
        <w:rPr>
          <w:color w:val="000000" w:themeColor="text1"/>
        </w:rPr>
        <w:t xml:space="preserve"> </w:t>
      </w:r>
      <w:r w:rsidRPr="006C2069">
        <w:rPr>
          <w:color w:val="000000" w:themeColor="text1"/>
        </w:rPr>
        <w:t xml:space="preserve">du Pacte international relatif aux droits civils et politiques (le Pacte). </w:t>
      </w:r>
      <w:r w:rsidR="00800DA6" w:rsidRPr="006C2069">
        <w:rPr>
          <w:color w:val="000000" w:themeColor="text1"/>
        </w:rPr>
        <w:t xml:space="preserve">La </w:t>
      </w:r>
      <w:r w:rsidR="00774AE6" w:rsidRPr="006C2069">
        <w:rPr>
          <w:color w:val="000000" w:themeColor="text1"/>
        </w:rPr>
        <w:t>Belgique</w:t>
      </w:r>
      <w:r w:rsidR="00800DA6" w:rsidRPr="006C2069">
        <w:rPr>
          <w:color w:val="000000" w:themeColor="text1"/>
        </w:rPr>
        <w:t xml:space="preserve"> a adhéré au </w:t>
      </w:r>
      <w:r w:rsidR="00327024" w:rsidRPr="006C2069">
        <w:rPr>
          <w:color w:val="000000" w:themeColor="text1"/>
        </w:rPr>
        <w:t xml:space="preserve">Protocole facultatif se rapportant au Pacte international relatif aux droits civils et politiques (le Protocole) </w:t>
      </w:r>
      <w:r w:rsidR="00800DA6" w:rsidRPr="006C2069">
        <w:rPr>
          <w:color w:val="000000" w:themeColor="text1"/>
        </w:rPr>
        <w:t xml:space="preserve">le </w:t>
      </w:r>
      <w:r w:rsidR="00774AE6" w:rsidRPr="006C2069">
        <w:rPr>
          <w:color w:val="000000" w:themeColor="text1"/>
        </w:rPr>
        <w:t>17 mai 1994</w:t>
      </w:r>
      <w:r w:rsidRPr="006C2069">
        <w:rPr>
          <w:color w:val="000000" w:themeColor="text1"/>
        </w:rPr>
        <w:t>.</w:t>
      </w:r>
    </w:p>
    <w:p w14:paraId="54846976" w14:textId="7B1E9AA4" w:rsidR="00A71B81" w:rsidRPr="006C2069" w:rsidRDefault="00845CC6" w:rsidP="00A71B81">
      <w:pPr>
        <w:pStyle w:val="SingleTxtG"/>
        <w:rPr>
          <w:color w:val="000000" w:themeColor="text1"/>
        </w:rPr>
      </w:pPr>
      <w:r w:rsidRPr="006C2069">
        <w:rPr>
          <w:color w:val="000000" w:themeColor="text1"/>
        </w:rPr>
        <w:t>1.2</w:t>
      </w:r>
      <w:r w:rsidRPr="006C2069">
        <w:rPr>
          <w:color w:val="000000" w:themeColor="text1"/>
        </w:rPr>
        <w:tab/>
        <w:t xml:space="preserve">Le </w:t>
      </w:r>
      <w:r w:rsidR="00F356A8" w:rsidRPr="006C2069">
        <w:rPr>
          <w:color w:val="000000" w:themeColor="text1"/>
        </w:rPr>
        <w:t>5</w:t>
      </w:r>
      <w:r w:rsidRPr="006C2069">
        <w:rPr>
          <w:color w:val="000000" w:themeColor="text1"/>
        </w:rPr>
        <w:t xml:space="preserve"> mars 2018</w:t>
      </w:r>
      <w:r w:rsidR="00882D0F" w:rsidRPr="006C2069">
        <w:rPr>
          <w:color w:val="000000" w:themeColor="text1"/>
        </w:rPr>
        <w:t xml:space="preserve">, </w:t>
      </w:r>
      <w:r w:rsidR="00A71B81" w:rsidRPr="006C2069">
        <w:rPr>
          <w:color w:val="000000" w:themeColor="text1"/>
        </w:rPr>
        <w:t>en application de l’article 92 (devenu l’article 94) de son règlement intérieur, le Comité, agissant par l’intermédiaire de son Rapporteur spécial chargé des nouvelles communications et des mesures provisoires, a décidé de ne pas octroyer les mesures provisoires sollicitées par l’auteure.</w:t>
      </w:r>
    </w:p>
    <w:p w14:paraId="7F928266" w14:textId="653BED44" w:rsidR="00CB5190" w:rsidRPr="006C2069" w:rsidRDefault="00CB5190" w:rsidP="005243ED">
      <w:pPr>
        <w:pStyle w:val="H23G"/>
      </w:pPr>
      <w:r w:rsidRPr="006C2069">
        <w:tab/>
      </w:r>
      <w:r w:rsidRPr="006C2069">
        <w:tab/>
      </w:r>
      <w:r w:rsidR="00DA1AF3">
        <w:t>Faits</w:t>
      </w:r>
    </w:p>
    <w:p w14:paraId="284CEA94" w14:textId="329E23E7" w:rsidR="00774AE6" w:rsidRPr="006C2069" w:rsidRDefault="00000A86" w:rsidP="00150009">
      <w:pPr>
        <w:pStyle w:val="SingleTxtG"/>
        <w:tabs>
          <w:tab w:val="left" w:pos="567"/>
        </w:tabs>
        <w:rPr>
          <w:color w:val="000000" w:themeColor="text1"/>
        </w:rPr>
      </w:pPr>
      <w:r w:rsidRPr="006C2069">
        <w:rPr>
          <w:color w:val="000000" w:themeColor="text1"/>
        </w:rPr>
        <w:t>2.1</w:t>
      </w:r>
      <w:r w:rsidRPr="006C2069">
        <w:rPr>
          <w:color w:val="000000" w:themeColor="text1"/>
        </w:rPr>
        <w:tab/>
      </w:r>
      <w:r w:rsidR="00F3616A" w:rsidRPr="0079683E">
        <w:rPr>
          <w:color w:val="000000" w:themeColor="text1"/>
          <w:lang w:val="fr-FR"/>
        </w:rPr>
        <w:t>E</w:t>
      </w:r>
      <w:r w:rsidR="00F3616A">
        <w:rPr>
          <w:color w:val="000000" w:themeColor="text1"/>
        </w:rPr>
        <w:t>n 2012, l</w:t>
      </w:r>
      <w:r w:rsidR="009547CD" w:rsidRPr="006C2069">
        <w:rPr>
          <w:color w:val="000000" w:themeColor="text1"/>
        </w:rPr>
        <w:t xml:space="preserve">’auteure </w:t>
      </w:r>
      <w:r w:rsidR="00D5492F">
        <w:rPr>
          <w:color w:val="000000" w:themeColor="text1"/>
        </w:rPr>
        <w:t>a introduit une demande en divorce en Suisse contre son ex-époux</w:t>
      </w:r>
      <w:r w:rsidR="00676EAC">
        <w:rPr>
          <w:color w:val="000000" w:themeColor="text1"/>
        </w:rPr>
        <w:t>.</w:t>
      </w:r>
      <w:r w:rsidR="00252565">
        <w:rPr>
          <w:color w:val="000000" w:themeColor="text1"/>
        </w:rPr>
        <w:t xml:space="preserve"> Le 13 mars 2014, un t</w:t>
      </w:r>
      <w:r w:rsidR="00676EAC">
        <w:rPr>
          <w:color w:val="000000" w:themeColor="text1"/>
        </w:rPr>
        <w:t xml:space="preserve">ribunal suisse a rendu un </w:t>
      </w:r>
      <w:r w:rsidR="00B71D50">
        <w:rPr>
          <w:color w:val="000000" w:themeColor="text1"/>
        </w:rPr>
        <w:t xml:space="preserve">jugement, qui a acquis l’autorité de la chose jugée </w:t>
      </w:r>
      <w:r w:rsidR="00662145">
        <w:rPr>
          <w:color w:val="000000" w:themeColor="text1"/>
        </w:rPr>
        <w:t xml:space="preserve">en faveur de l’auteure. </w:t>
      </w:r>
      <w:r w:rsidR="00252565">
        <w:rPr>
          <w:color w:val="000000" w:themeColor="text1"/>
        </w:rPr>
        <w:t xml:space="preserve">Toutefois, l’ex-conjoint de l’auteure a introduit une </w:t>
      </w:r>
      <w:r w:rsidR="00185AAD">
        <w:rPr>
          <w:color w:val="000000" w:themeColor="text1"/>
        </w:rPr>
        <w:t xml:space="preserve">nouvelle </w:t>
      </w:r>
      <w:r w:rsidR="00252565">
        <w:rPr>
          <w:color w:val="000000" w:themeColor="text1"/>
        </w:rPr>
        <w:t xml:space="preserve">action </w:t>
      </w:r>
      <w:r w:rsidR="00185AAD">
        <w:rPr>
          <w:color w:val="000000" w:themeColor="text1"/>
        </w:rPr>
        <w:t xml:space="preserve">en divorce contre </w:t>
      </w:r>
      <w:r w:rsidR="00CE0226">
        <w:rPr>
          <w:color w:val="000000" w:themeColor="text1"/>
        </w:rPr>
        <w:t>cette dernière</w:t>
      </w:r>
      <w:r w:rsidR="00185AAD">
        <w:rPr>
          <w:color w:val="000000" w:themeColor="text1"/>
        </w:rPr>
        <w:t xml:space="preserve"> auprès du T</w:t>
      </w:r>
      <w:r w:rsidR="00462BFA">
        <w:rPr>
          <w:color w:val="000000" w:themeColor="text1"/>
        </w:rPr>
        <w:t>ribunal de première instance de B</w:t>
      </w:r>
      <w:r w:rsidR="006942ED">
        <w:rPr>
          <w:color w:val="000000" w:themeColor="text1"/>
        </w:rPr>
        <w:t>ruxelles</w:t>
      </w:r>
      <w:r w:rsidR="00796AEF">
        <w:rPr>
          <w:color w:val="000000" w:themeColor="text1"/>
        </w:rPr>
        <w:t xml:space="preserve">, </w:t>
      </w:r>
      <w:r w:rsidR="006942ED">
        <w:rPr>
          <w:color w:val="000000" w:themeColor="text1"/>
        </w:rPr>
        <w:t xml:space="preserve">alors </w:t>
      </w:r>
      <w:r w:rsidR="00E641EC">
        <w:rPr>
          <w:color w:val="000000" w:themeColor="text1"/>
        </w:rPr>
        <w:t xml:space="preserve">même </w:t>
      </w:r>
      <w:r w:rsidR="00CE0226">
        <w:rPr>
          <w:color w:val="000000" w:themeColor="text1"/>
        </w:rPr>
        <w:t>qu’une première demande</w:t>
      </w:r>
      <w:r w:rsidR="006942ED">
        <w:rPr>
          <w:color w:val="000000" w:themeColor="text1"/>
        </w:rPr>
        <w:t xml:space="preserve"> en divorce introduite était pendante en Suisse. </w:t>
      </w:r>
      <w:r w:rsidR="00E641EC">
        <w:rPr>
          <w:color w:val="000000" w:themeColor="text1"/>
        </w:rPr>
        <w:t>Au</w:t>
      </w:r>
      <w:r w:rsidR="007B52EB" w:rsidRPr="007B52EB">
        <w:rPr>
          <w:color w:val="000000" w:themeColor="text1"/>
        </w:rPr>
        <w:t xml:space="preserve"> terme du jugement du 6 novembre 2013, le </w:t>
      </w:r>
      <w:r w:rsidR="00CE0226">
        <w:rPr>
          <w:color w:val="000000" w:themeColor="text1"/>
        </w:rPr>
        <w:t>T</w:t>
      </w:r>
      <w:r w:rsidR="007B52EB" w:rsidRPr="007B52EB">
        <w:rPr>
          <w:color w:val="000000" w:themeColor="text1"/>
        </w:rPr>
        <w:t xml:space="preserve">ribunal de première instance de Bruxelles </w:t>
      </w:r>
      <w:r w:rsidR="00CE0226">
        <w:rPr>
          <w:color w:val="000000" w:themeColor="text1"/>
        </w:rPr>
        <w:t xml:space="preserve">a </w:t>
      </w:r>
      <w:r w:rsidR="007B52EB">
        <w:rPr>
          <w:color w:val="000000" w:themeColor="text1"/>
        </w:rPr>
        <w:t>p</w:t>
      </w:r>
      <w:r w:rsidR="00CE0226">
        <w:rPr>
          <w:color w:val="000000" w:themeColor="text1"/>
        </w:rPr>
        <w:t>rononcé</w:t>
      </w:r>
      <w:r w:rsidR="007B52EB">
        <w:rPr>
          <w:color w:val="000000" w:themeColor="text1"/>
        </w:rPr>
        <w:t xml:space="preserve"> le divorce entre les parties. </w:t>
      </w:r>
      <w:r w:rsidR="00150009">
        <w:rPr>
          <w:color w:val="000000" w:themeColor="text1"/>
        </w:rPr>
        <w:t xml:space="preserve">Le </w:t>
      </w:r>
      <w:r w:rsidR="00673CB2">
        <w:rPr>
          <w:color w:val="000000" w:themeColor="text1"/>
        </w:rPr>
        <w:t>29 janvier 2014, l</w:t>
      </w:r>
      <w:r w:rsidR="00150009">
        <w:rPr>
          <w:color w:val="000000" w:themeColor="text1"/>
        </w:rPr>
        <w:t>’</w:t>
      </w:r>
      <w:r w:rsidR="00673CB2">
        <w:rPr>
          <w:color w:val="000000" w:themeColor="text1"/>
        </w:rPr>
        <w:t xml:space="preserve">auteure, estimant que ledit arrêt induit une question de litispendance internationale, </w:t>
      </w:r>
      <w:r w:rsidR="00CE0226">
        <w:rPr>
          <w:color w:val="000000" w:themeColor="text1"/>
        </w:rPr>
        <w:t>s’est pourvu</w:t>
      </w:r>
      <w:r w:rsidR="00150009">
        <w:rPr>
          <w:color w:val="000000" w:themeColor="text1"/>
        </w:rPr>
        <w:t xml:space="preserve"> un appel contre cette décision auprès de la Cour d’appel de Bruxelles</w:t>
      </w:r>
      <w:r w:rsidR="00673CB2">
        <w:rPr>
          <w:color w:val="000000" w:themeColor="text1"/>
        </w:rPr>
        <w:t xml:space="preserve">. Cette </w:t>
      </w:r>
      <w:r w:rsidR="00E641EC">
        <w:rPr>
          <w:color w:val="000000" w:themeColor="text1"/>
        </w:rPr>
        <w:t xml:space="preserve">dernière </w:t>
      </w:r>
      <w:r w:rsidR="00A9523D">
        <w:rPr>
          <w:color w:val="000000" w:themeColor="text1"/>
        </w:rPr>
        <w:t>a rendu son arrêt le 2 octobre 2014</w:t>
      </w:r>
      <w:r w:rsidR="00223F6B">
        <w:rPr>
          <w:color w:val="000000" w:themeColor="text1"/>
        </w:rPr>
        <w:t xml:space="preserve"> déboutant l’auteure de sa demande. </w:t>
      </w:r>
      <w:r w:rsidR="00A9523D">
        <w:rPr>
          <w:color w:val="000000" w:themeColor="text1"/>
        </w:rPr>
        <w:t>L’auteure a interjeté appel contre cet arr</w:t>
      </w:r>
      <w:r w:rsidR="00884921">
        <w:rPr>
          <w:color w:val="000000" w:themeColor="text1"/>
        </w:rPr>
        <w:t>êt</w:t>
      </w:r>
      <w:r w:rsidR="00223F6B">
        <w:rPr>
          <w:color w:val="000000" w:themeColor="text1"/>
        </w:rPr>
        <w:t xml:space="preserve"> auprès de la Cour de Cassation </w:t>
      </w:r>
      <w:r w:rsidR="00E641EC">
        <w:rPr>
          <w:color w:val="000000" w:themeColor="text1"/>
        </w:rPr>
        <w:t>belge</w:t>
      </w:r>
      <w:r w:rsidR="00223F6B">
        <w:rPr>
          <w:color w:val="000000" w:themeColor="text1"/>
        </w:rPr>
        <w:t xml:space="preserve"> qui</w:t>
      </w:r>
      <w:r w:rsidR="00440C21">
        <w:rPr>
          <w:color w:val="000000" w:themeColor="text1"/>
        </w:rPr>
        <w:t>,</w:t>
      </w:r>
      <w:r w:rsidR="00223F6B">
        <w:rPr>
          <w:color w:val="000000" w:themeColor="text1"/>
        </w:rPr>
        <w:t xml:space="preserve"> l</w:t>
      </w:r>
      <w:r w:rsidR="00884921">
        <w:rPr>
          <w:color w:val="000000" w:themeColor="text1"/>
        </w:rPr>
        <w:t xml:space="preserve">e 3 novembre 2016, a cassé l’arrêt du 2 octobre 2014 </w:t>
      </w:r>
      <w:r w:rsidR="000D3085">
        <w:rPr>
          <w:color w:val="000000" w:themeColor="text1"/>
        </w:rPr>
        <w:t xml:space="preserve">et renvoyé l’affaire par-devant la Cour d’appel de Liège. </w:t>
      </w:r>
      <w:r w:rsidR="00440C21">
        <w:rPr>
          <w:color w:val="000000" w:themeColor="text1"/>
        </w:rPr>
        <w:t>Dans son arrêt,</w:t>
      </w:r>
      <w:r w:rsidR="000644D1">
        <w:rPr>
          <w:color w:val="000000" w:themeColor="text1"/>
        </w:rPr>
        <w:t xml:space="preserve"> Cour de Cassation belge estimait que </w:t>
      </w:r>
      <w:r w:rsidR="00643719">
        <w:rPr>
          <w:color w:val="000000" w:themeColor="text1"/>
        </w:rPr>
        <w:t>l’arrêt de la Cour d’appel de B</w:t>
      </w:r>
      <w:r w:rsidR="0033287C">
        <w:rPr>
          <w:color w:val="000000" w:themeColor="text1"/>
        </w:rPr>
        <w:t xml:space="preserve">ruxelles </w:t>
      </w:r>
      <w:r w:rsidR="00F3616A">
        <w:rPr>
          <w:color w:val="000000" w:themeColor="text1"/>
        </w:rPr>
        <w:t>a</w:t>
      </w:r>
      <w:r w:rsidR="00097CBB">
        <w:rPr>
          <w:color w:val="000000" w:themeColor="text1"/>
        </w:rPr>
        <w:t>vait</w:t>
      </w:r>
      <w:r w:rsidR="00F3616A">
        <w:rPr>
          <w:color w:val="000000" w:themeColor="text1"/>
        </w:rPr>
        <w:t xml:space="preserve"> </w:t>
      </w:r>
      <w:r w:rsidR="0033287C">
        <w:rPr>
          <w:color w:val="000000" w:themeColor="text1"/>
        </w:rPr>
        <w:t>v</w:t>
      </w:r>
      <w:r w:rsidR="00F3616A">
        <w:rPr>
          <w:color w:val="000000" w:themeColor="text1"/>
        </w:rPr>
        <w:t>iol</w:t>
      </w:r>
      <w:r w:rsidR="00373C65">
        <w:rPr>
          <w:color w:val="000000" w:themeColor="text1"/>
        </w:rPr>
        <w:t>é</w:t>
      </w:r>
      <w:r w:rsidR="0033287C">
        <w:rPr>
          <w:color w:val="000000" w:themeColor="text1"/>
        </w:rPr>
        <w:t xml:space="preserve"> la Convention du 29 avril 1959 signée entre la Belgique et la Suisse </w:t>
      </w:r>
      <w:r w:rsidR="00F3616A">
        <w:rPr>
          <w:color w:val="000000" w:themeColor="text1"/>
        </w:rPr>
        <w:t xml:space="preserve">sur la reconnaissance et l’exécution des décisions judiciaires et des sentences arbitrales. </w:t>
      </w:r>
      <w:r w:rsidR="00CC7495">
        <w:rPr>
          <w:color w:val="000000" w:themeColor="text1"/>
        </w:rPr>
        <w:t xml:space="preserve"> </w:t>
      </w:r>
      <w:r w:rsidR="002750C6" w:rsidRPr="006C2069">
        <w:rPr>
          <w:color w:val="000000" w:themeColor="text1"/>
        </w:rPr>
        <w:t xml:space="preserve">Au moment de la présente communication, </w:t>
      </w:r>
      <w:r w:rsidR="007D5D26">
        <w:rPr>
          <w:color w:val="000000" w:themeColor="text1"/>
        </w:rPr>
        <w:t>l</w:t>
      </w:r>
      <w:r w:rsidR="00F26C34">
        <w:rPr>
          <w:color w:val="000000" w:themeColor="text1"/>
        </w:rPr>
        <w:t>’</w:t>
      </w:r>
      <w:r w:rsidR="005243ED" w:rsidRPr="006C2069">
        <w:rPr>
          <w:color w:val="000000" w:themeColor="text1"/>
        </w:rPr>
        <w:t>appel</w:t>
      </w:r>
      <w:r w:rsidR="001D30F9" w:rsidRPr="006C2069">
        <w:rPr>
          <w:color w:val="000000" w:themeColor="text1"/>
        </w:rPr>
        <w:t xml:space="preserve"> </w:t>
      </w:r>
      <w:r w:rsidR="00F26C34">
        <w:rPr>
          <w:color w:val="000000" w:themeColor="text1"/>
        </w:rPr>
        <w:t xml:space="preserve">introduit par l’auteure </w:t>
      </w:r>
      <w:r w:rsidR="007054FB" w:rsidRPr="006C2069">
        <w:rPr>
          <w:color w:val="000000" w:themeColor="text1"/>
        </w:rPr>
        <w:t>était</w:t>
      </w:r>
      <w:r w:rsidR="00774AE6" w:rsidRPr="006C2069">
        <w:rPr>
          <w:color w:val="000000" w:themeColor="text1"/>
        </w:rPr>
        <w:t xml:space="preserve"> pendant devant la </w:t>
      </w:r>
      <w:r w:rsidR="001D30F9" w:rsidRPr="006C2069">
        <w:rPr>
          <w:color w:val="000000" w:themeColor="text1"/>
        </w:rPr>
        <w:t>première</w:t>
      </w:r>
      <w:r w:rsidR="00774AE6" w:rsidRPr="006C2069">
        <w:rPr>
          <w:color w:val="000000" w:themeColor="text1"/>
        </w:rPr>
        <w:t xml:space="preserve"> chambre de la </w:t>
      </w:r>
      <w:r w:rsidR="00DC0E20">
        <w:rPr>
          <w:color w:val="000000" w:themeColor="text1"/>
        </w:rPr>
        <w:t>C</w:t>
      </w:r>
      <w:r w:rsidR="00774AE6" w:rsidRPr="006C2069">
        <w:rPr>
          <w:color w:val="000000" w:themeColor="text1"/>
        </w:rPr>
        <w:t>our d’appel de Liège</w:t>
      </w:r>
      <w:r w:rsidR="001D30F9" w:rsidRPr="006C2069">
        <w:rPr>
          <w:color w:val="000000" w:themeColor="text1"/>
        </w:rPr>
        <w:t xml:space="preserve"> </w:t>
      </w:r>
      <w:r w:rsidR="002750C6" w:rsidRPr="006C2069">
        <w:rPr>
          <w:color w:val="000000" w:themeColor="text1"/>
        </w:rPr>
        <w:t xml:space="preserve">qui, </w:t>
      </w:r>
      <w:r w:rsidR="001D30F9" w:rsidRPr="006C2069">
        <w:rPr>
          <w:color w:val="000000" w:themeColor="text1"/>
        </w:rPr>
        <w:t>le</w:t>
      </w:r>
      <w:r w:rsidR="00774AE6" w:rsidRPr="006C2069">
        <w:rPr>
          <w:color w:val="000000" w:themeColor="text1"/>
        </w:rPr>
        <w:t xml:space="preserve"> 25 avril 2017, a tenu l’audience de mise en état</w:t>
      </w:r>
      <w:r w:rsidR="009C1808" w:rsidRPr="006C2069">
        <w:rPr>
          <w:color w:val="000000" w:themeColor="text1"/>
        </w:rPr>
        <w:t xml:space="preserve"> </w:t>
      </w:r>
      <w:r w:rsidR="001D30F9" w:rsidRPr="006C2069">
        <w:rPr>
          <w:color w:val="000000" w:themeColor="text1"/>
        </w:rPr>
        <w:t>en présence de l’avocat de l’auteure</w:t>
      </w:r>
      <w:r w:rsidR="00774AE6" w:rsidRPr="006C2069">
        <w:rPr>
          <w:color w:val="000000" w:themeColor="text1"/>
        </w:rPr>
        <w:t xml:space="preserve">. Une audience a été fixée </w:t>
      </w:r>
      <w:r w:rsidR="002750C6" w:rsidRPr="006C2069">
        <w:rPr>
          <w:color w:val="000000" w:themeColor="text1"/>
        </w:rPr>
        <w:t>au</w:t>
      </w:r>
      <w:r w:rsidR="00774AE6" w:rsidRPr="006C2069">
        <w:rPr>
          <w:color w:val="000000" w:themeColor="text1"/>
        </w:rPr>
        <w:t xml:space="preserve"> 23 mars 2018</w:t>
      </w:r>
      <w:r w:rsidR="009C1808" w:rsidRPr="006C2069">
        <w:rPr>
          <w:color w:val="000000" w:themeColor="text1"/>
        </w:rPr>
        <w:t>,</w:t>
      </w:r>
      <w:r w:rsidR="009C1808" w:rsidRPr="006C2069">
        <w:t xml:space="preserve"> </w:t>
      </w:r>
      <w:r w:rsidR="009C1808" w:rsidRPr="006C2069">
        <w:rPr>
          <w:color w:val="000000" w:themeColor="text1"/>
        </w:rPr>
        <w:t xml:space="preserve">nonobstant une demande de </w:t>
      </w:r>
      <w:r w:rsidR="002750C6" w:rsidRPr="006C2069">
        <w:rPr>
          <w:color w:val="000000" w:themeColor="text1"/>
        </w:rPr>
        <w:t>l’auteure</w:t>
      </w:r>
      <w:r w:rsidR="009C1808" w:rsidRPr="006C2069">
        <w:rPr>
          <w:color w:val="000000" w:themeColor="text1"/>
        </w:rPr>
        <w:t xml:space="preserve"> </w:t>
      </w:r>
      <w:r w:rsidR="008E59D7">
        <w:rPr>
          <w:color w:val="000000" w:themeColor="text1"/>
        </w:rPr>
        <w:t xml:space="preserve">d’avancer </w:t>
      </w:r>
      <w:r w:rsidR="009C1808" w:rsidRPr="006C2069">
        <w:rPr>
          <w:color w:val="000000" w:themeColor="text1"/>
        </w:rPr>
        <w:t xml:space="preserve">la date </w:t>
      </w:r>
      <w:r w:rsidR="00F356A8" w:rsidRPr="006C2069">
        <w:rPr>
          <w:color w:val="000000" w:themeColor="text1"/>
        </w:rPr>
        <w:t>de l’</w:t>
      </w:r>
      <w:r w:rsidR="009C1808" w:rsidRPr="006C2069">
        <w:rPr>
          <w:color w:val="000000" w:themeColor="text1"/>
        </w:rPr>
        <w:t>audience au plus tard en septembre 2017</w:t>
      </w:r>
      <w:r w:rsidR="008E59D7">
        <w:rPr>
          <w:color w:val="000000" w:themeColor="text1"/>
        </w:rPr>
        <w:t xml:space="preserve">. L’auteure jugeait </w:t>
      </w:r>
      <w:r w:rsidR="00C8794B" w:rsidRPr="006C2069">
        <w:rPr>
          <w:color w:val="000000" w:themeColor="text1"/>
        </w:rPr>
        <w:t>excessive</w:t>
      </w:r>
      <w:r w:rsidR="009C1808" w:rsidRPr="006C2069">
        <w:rPr>
          <w:color w:val="000000" w:themeColor="text1"/>
        </w:rPr>
        <w:t xml:space="preserve"> </w:t>
      </w:r>
      <w:r w:rsidR="002750C6" w:rsidRPr="006C2069">
        <w:rPr>
          <w:color w:val="000000" w:themeColor="text1"/>
        </w:rPr>
        <w:t xml:space="preserve">la durée </w:t>
      </w:r>
      <w:r w:rsidR="009C1808" w:rsidRPr="006C2069">
        <w:rPr>
          <w:color w:val="000000" w:themeColor="text1"/>
        </w:rPr>
        <w:t xml:space="preserve">de ce procès ouvert </w:t>
      </w:r>
      <w:r w:rsidR="00DB71A8">
        <w:rPr>
          <w:color w:val="000000" w:themeColor="text1"/>
        </w:rPr>
        <w:t>en Suisse depuis</w:t>
      </w:r>
      <w:r w:rsidR="00581B43">
        <w:rPr>
          <w:color w:val="000000" w:themeColor="text1"/>
        </w:rPr>
        <w:t xml:space="preserve"> environ six ans</w:t>
      </w:r>
      <w:r w:rsidR="009C1808" w:rsidRPr="006C2069">
        <w:rPr>
          <w:color w:val="000000" w:themeColor="text1"/>
        </w:rPr>
        <w:t>.</w:t>
      </w:r>
      <w:r w:rsidR="00090DCB">
        <w:rPr>
          <w:color w:val="000000" w:themeColor="text1"/>
        </w:rPr>
        <w:t xml:space="preserve"> </w:t>
      </w:r>
    </w:p>
    <w:p w14:paraId="29CFF1A1" w14:textId="210A260C" w:rsidR="00774AE6" w:rsidRPr="006C2069" w:rsidRDefault="00C12AA3" w:rsidP="00D57A86">
      <w:pPr>
        <w:pStyle w:val="SingleTxtG"/>
        <w:tabs>
          <w:tab w:val="left" w:pos="567"/>
        </w:tabs>
        <w:rPr>
          <w:color w:val="000000" w:themeColor="text1"/>
        </w:rPr>
      </w:pPr>
      <w:r w:rsidRPr="006C2069">
        <w:rPr>
          <w:color w:val="000000" w:themeColor="text1"/>
        </w:rPr>
        <w:t>2.2</w:t>
      </w:r>
      <w:r w:rsidR="00774AE6" w:rsidRPr="006C2069">
        <w:rPr>
          <w:color w:val="000000" w:themeColor="text1"/>
        </w:rPr>
        <w:tab/>
        <w:t xml:space="preserve">Le 14 mai 2017, le conseil de l’ex-conjoint de l’auteure a saisi le </w:t>
      </w:r>
      <w:r w:rsidR="00BC6B11" w:rsidRPr="006C2069">
        <w:rPr>
          <w:color w:val="000000" w:themeColor="text1"/>
        </w:rPr>
        <w:t>b</w:t>
      </w:r>
      <w:r w:rsidR="00774AE6" w:rsidRPr="006C2069">
        <w:rPr>
          <w:color w:val="000000" w:themeColor="text1"/>
        </w:rPr>
        <w:t xml:space="preserve">âtonnier de l’Ordre français des </w:t>
      </w:r>
      <w:r w:rsidR="002750C6" w:rsidRPr="006C2069">
        <w:rPr>
          <w:color w:val="000000" w:themeColor="text1"/>
        </w:rPr>
        <w:t>a</w:t>
      </w:r>
      <w:r w:rsidR="00774AE6" w:rsidRPr="006C2069">
        <w:rPr>
          <w:color w:val="000000" w:themeColor="text1"/>
        </w:rPr>
        <w:t xml:space="preserve">vocats du </w:t>
      </w:r>
      <w:r w:rsidR="002750C6" w:rsidRPr="006C2069">
        <w:rPr>
          <w:color w:val="000000" w:themeColor="text1"/>
        </w:rPr>
        <w:t>b</w:t>
      </w:r>
      <w:r w:rsidR="00774AE6" w:rsidRPr="006C2069">
        <w:rPr>
          <w:color w:val="000000" w:themeColor="text1"/>
        </w:rPr>
        <w:t xml:space="preserve">arreau de Bruxelles </w:t>
      </w:r>
      <w:r w:rsidR="00956DC2">
        <w:rPr>
          <w:color w:val="000000" w:themeColor="text1"/>
        </w:rPr>
        <w:t>d’</w:t>
      </w:r>
      <w:r w:rsidR="007054FB" w:rsidRPr="006C2069">
        <w:rPr>
          <w:color w:val="000000" w:themeColor="text1"/>
        </w:rPr>
        <w:t xml:space="preserve">une </w:t>
      </w:r>
      <w:r w:rsidR="00CB45BC" w:rsidRPr="006C2069">
        <w:rPr>
          <w:color w:val="000000" w:themeColor="text1"/>
        </w:rPr>
        <w:t>question déontologique</w:t>
      </w:r>
      <w:r w:rsidR="00D57A86" w:rsidRPr="006C2069">
        <w:rPr>
          <w:color w:val="000000" w:themeColor="text1"/>
        </w:rPr>
        <w:t xml:space="preserve"> </w:t>
      </w:r>
      <w:r w:rsidR="007054FB" w:rsidRPr="006C2069">
        <w:rPr>
          <w:color w:val="000000" w:themeColor="text1"/>
        </w:rPr>
        <w:t xml:space="preserve">relative à la possible violation du secret professionnel </w:t>
      </w:r>
      <w:r w:rsidR="00CB3EFB" w:rsidRPr="006C2069">
        <w:rPr>
          <w:color w:val="000000" w:themeColor="text1"/>
        </w:rPr>
        <w:t xml:space="preserve">portant sur des </w:t>
      </w:r>
      <w:r w:rsidR="007054FB" w:rsidRPr="006C2069">
        <w:rPr>
          <w:color w:val="000000" w:themeColor="text1"/>
        </w:rPr>
        <w:t xml:space="preserve">échanges de trois </w:t>
      </w:r>
      <w:r w:rsidR="00676A0C" w:rsidRPr="006C2069">
        <w:rPr>
          <w:color w:val="000000" w:themeColor="text1"/>
        </w:rPr>
        <w:t>courriers entre</w:t>
      </w:r>
      <w:r w:rsidR="00D57A86" w:rsidRPr="006C2069">
        <w:rPr>
          <w:color w:val="000000" w:themeColor="text1"/>
        </w:rPr>
        <w:t xml:space="preserve"> l’auteure et son ancien conseil. </w:t>
      </w:r>
      <w:r w:rsidR="00882D0F" w:rsidRPr="006C2069">
        <w:rPr>
          <w:color w:val="000000" w:themeColor="text1"/>
        </w:rPr>
        <w:t xml:space="preserve">L’auteure </w:t>
      </w:r>
      <w:r w:rsidR="00CB45BC" w:rsidRPr="006C2069">
        <w:rPr>
          <w:color w:val="000000" w:themeColor="text1"/>
        </w:rPr>
        <w:t>indique que</w:t>
      </w:r>
      <w:r w:rsidR="00882D0F" w:rsidRPr="006C2069">
        <w:rPr>
          <w:color w:val="000000" w:themeColor="text1"/>
        </w:rPr>
        <w:t xml:space="preserve"> l’un des courriers </w:t>
      </w:r>
      <w:r w:rsidR="00676A0C" w:rsidRPr="006C2069">
        <w:rPr>
          <w:color w:val="000000" w:themeColor="text1"/>
        </w:rPr>
        <w:t xml:space="preserve">en question </w:t>
      </w:r>
      <w:r w:rsidR="007054FB" w:rsidRPr="006C2069">
        <w:rPr>
          <w:color w:val="000000" w:themeColor="text1"/>
        </w:rPr>
        <w:t xml:space="preserve">est une pièce </w:t>
      </w:r>
      <w:r w:rsidR="00DB6D3A" w:rsidRPr="006C2069">
        <w:rPr>
          <w:color w:val="000000" w:themeColor="text1"/>
        </w:rPr>
        <w:t>versée au d</w:t>
      </w:r>
      <w:r w:rsidR="007054FB" w:rsidRPr="006C2069">
        <w:rPr>
          <w:color w:val="000000" w:themeColor="text1"/>
        </w:rPr>
        <w:t>ossier</w:t>
      </w:r>
      <w:r w:rsidR="00DB6D3A" w:rsidRPr="006C2069">
        <w:rPr>
          <w:color w:val="000000" w:themeColor="text1"/>
        </w:rPr>
        <w:t xml:space="preserve"> depuis </w:t>
      </w:r>
      <w:r w:rsidR="00B3206F">
        <w:rPr>
          <w:color w:val="000000" w:themeColor="text1"/>
        </w:rPr>
        <w:t>2014</w:t>
      </w:r>
      <w:r w:rsidR="00DB6D3A" w:rsidRPr="006C2069">
        <w:rPr>
          <w:color w:val="000000" w:themeColor="text1"/>
        </w:rPr>
        <w:t xml:space="preserve"> et accessibles aux parties sans qu’aucune contestation n’ait été formulée</w:t>
      </w:r>
      <w:r w:rsidR="007054FB" w:rsidRPr="006C2069">
        <w:rPr>
          <w:color w:val="000000" w:themeColor="text1"/>
        </w:rPr>
        <w:t xml:space="preserve">, </w:t>
      </w:r>
      <w:r w:rsidR="00882D0F" w:rsidRPr="006C2069">
        <w:rPr>
          <w:color w:val="000000" w:themeColor="text1"/>
        </w:rPr>
        <w:t xml:space="preserve">et que les deux </w:t>
      </w:r>
      <w:proofErr w:type="gramStart"/>
      <w:r w:rsidR="00882D0F" w:rsidRPr="006C2069">
        <w:rPr>
          <w:color w:val="000000" w:themeColor="text1"/>
        </w:rPr>
        <w:t>autres</w:t>
      </w:r>
      <w:r w:rsidR="00C8794B">
        <w:rPr>
          <w:color w:val="000000" w:themeColor="text1"/>
        </w:rPr>
        <w:t xml:space="preserve"> </w:t>
      </w:r>
      <w:r w:rsidR="00882D0F" w:rsidRPr="006C2069">
        <w:rPr>
          <w:color w:val="000000" w:themeColor="text1"/>
        </w:rPr>
        <w:t xml:space="preserve"> sont</w:t>
      </w:r>
      <w:proofErr w:type="gramEnd"/>
      <w:r w:rsidR="00882D0F" w:rsidRPr="006C2069">
        <w:rPr>
          <w:color w:val="000000" w:themeColor="text1"/>
        </w:rPr>
        <w:t xml:space="preserve"> des comptes rendus</w:t>
      </w:r>
      <w:r w:rsidR="00CB45BC" w:rsidRPr="006C2069">
        <w:rPr>
          <w:color w:val="000000" w:themeColor="text1"/>
        </w:rPr>
        <w:t xml:space="preserve"> </w:t>
      </w:r>
      <w:r w:rsidR="00996E80" w:rsidRPr="006C2069">
        <w:rPr>
          <w:color w:val="000000" w:themeColor="text1"/>
        </w:rPr>
        <w:t>d’audiences auxquelles la partie adverse a assisté</w:t>
      </w:r>
      <w:r w:rsidR="00882D0F" w:rsidRPr="006C2069">
        <w:rPr>
          <w:color w:val="000000" w:themeColor="text1"/>
        </w:rPr>
        <w:t>.</w:t>
      </w:r>
    </w:p>
    <w:p w14:paraId="29757A5E" w14:textId="1A3B0063" w:rsidR="00774AE6" w:rsidRPr="006C2069" w:rsidRDefault="00C12AA3" w:rsidP="00774AE6">
      <w:pPr>
        <w:pStyle w:val="SingleTxtG"/>
        <w:tabs>
          <w:tab w:val="left" w:pos="567"/>
        </w:tabs>
        <w:rPr>
          <w:color w:val="000000" w:themeColor="text1"/>
        </w:rPr>
      </w:pPr>
      <w:r w:rsidRPr="006C2069">
        <w:rPr>
          <w:color w:val="000000" w:themeColor="text1"/>
        </w:rPr>
        <w:t>2.3</w:t>
      </w:r>
      <w:r w:rsidR="00774AE6" w:rsidRPr="006C2069">
        <w:rPr>
          <w:color w:val="000000" w:themeColor="text1"/>
        </w:rPr>
        <w:tab/>
      </w:r>
      <w:r w:rsidR="001820D0" w:rsidRPr="006C2069">
        <w:rPr>
          <w:color w:val="000000" w:themeColor="text1"/>
        </w:rPr>
        <w:t xml:space="preserve">Le 29 juin 2017, </w:t>
      </w:r>
      <w:r w:rsidR="008C74FC" w:rsidRPr="006C2069">
        <w:rPr>
          <w:color w:val="000000" w:themeColor="text1"/>
        </w:rPr>
        <w:t>le bâtonnier de l’Ordre français des avocats du Barreau de Bruxelles a informé l’auteure et son avocat de sa décision d’interdire la production des trois pièces susmentionnées au procès</w:t>
      </w:r>
      <w:r w:rsidR="006C1FDC">
        <w:rPr>
          <w:color w:val="000000" w:themeColor="text1"/>
        </w:rPr>
        <w:t xml:space="preserve">. </w:t>
      </w:r>
      <w:r w:rsidR="00F1786E">
        <w:rPr>
          <w:color w:val="000000" w:themeColor="text1"/>
        </w:rPr>
        <w:t xml:space="preserve">Cette décision du Bâtonnier, selon l’auteure, est </w:t>
      </w:r>
      <w:r w:rsidR="001820D0" w:rsidRPr="006C2069">
        <w:rPr>
          <w:color w:val="000000" w:themeColor="text1"/>
        </w:rPr>
        <w:t>c</w:t>
      </w:r>
      <w:r w:rsidR="009C1808" w:rsidRPr="006C2069">
        <w:rPr>
          <w:color w:val="000000" w:themeColor="text1"/>
        </w:rPr>
        <w:t xml:space="preserve">ontraire à la jurisprudence constante qui ne s’oppose pas à la production de courriers entre </w:t>
      </w:r>
      <w:r w:rsidR="001820D0" w:rsidRPr="006C2069">
        <w:rPr>
          <w:color w:val="000000" w:themeColor="text1"/>
        </w:rPr>
        <w:t xml:space="preserve">un client </w:t>
      </w:r>
      <w:r w:rsidR="009C1808" w:rsidRPr="006C2069">
        <w:rPr>
          <w:color w:val="000000" w:themeColor="text1"/>
        </w:rPr>
        <w:t>et son ancien avocat</w:t>
      </w:r>
      <w:r w:rsidR="00774AE6" w:rsidRPr="006C2069">
        <w:rPr>
          <w:color w:val="000000" w:themeColor="text1"/>
        </w:rPr>
        <w:t xml:space="preserve">. Le </w:t>
      </w:r>
      <w:r w:rsidR="00BC6B11" w:rsidRPr="006C2069">
        <w:rPr>
          <w:color w:val="000000" w:themeColor="text1"/>
        </w:rPr>
        <w:t>b</w:t>
      </w:r>
      <w:r w:rsidR="00774AE6" w:rsidRPr="006C2069">
        <w:rPr>
          <w:color w:val="000000" w:themeColor="text1"/>
        </w:rPr>
        <w:t xml:space="preserve">âtonnier </w:t>
      </w:r>
      <w:r w:rsidR="00BC6B11" w:rsidRPr="006C2069">
        <w:rPr>
          <w:color w:val="000000" w:themeColor="text1"/>
        </w:rPr>
        <w:t xml:space="preserve">a </w:t>
      </w:r>
      <w:r w:rsidR="00774AE6" w:rsidRPr="006C2069">
        <w:rPr>
          <w:color w:val="000000" w:themeColor="text1"/>
        </w:rPr>
        <w:t>expliqu</w:t>
      </w:r>
      <w:r w:rsidR="00BC6B11" w:rsidRPr="006C2069">
        <w:rPr>
          <w:color w:val="000000" w:themeColor="text1"/>
        </w:rPr>
        <w:t>é</w:t>
      </w:r>
      <w:r w:rsidR="00774AE6" w:rsidRPr="006C2069">
        <w:rPr>
          <w:color w:val="000000" w:themeColor="text1"/>
        </w:rPr>
        <w:t xml:space="preserve"> </w:t>
      </w:r>
      <w:r w:rsidR="00932837">
        <w:rPr>
          <w:color w:val="000000" w:themeColor="text1"/>
        </w:rPr>
        <w:t xml:space="preserve">toutefois </w:t>
      </w:r>
      <w:r w:rsidR="00774AE6" w:rsidRPr="006C2069">
        <w:rPr>
          <w:color w:val="000000" w:themeColor="text1"/>
        </w:rPr>
        <w:t xml:space="preserve">que cette interdiction </w:t>
      </w:r>
      <w:r w:rsidR="00932837">
        <w:rPr>
          <w:color w:val="000000" w:themeColor="text1"/>
        </w:rPr>
        <w:t>s’applique à</w:t>
      </w:r>
      <w:r w:rsidR="00774AE6" w:rsidRPr="006C2069">
        <w:rPr>
          <w:color w:val="000000" w:themeColor="text1"/>
        </w:rPr>
        <w:t xml:space="preserve"> l</w:t>
      </w:r>
      <w:r w:rsidR="00BC6B11" w:rsidRPr="006C2069">
        <w:rPr>
          <w:color w:val="000000" w:themeColor="text1"/>
        </w:rPr>
        <w:t xml:space="preserve">’avocat et non </w:t>
      </w:r>
      <w:r w:rsidR="00932837">
        <w:rPr>
          <w:color w:val="000000" w:themeColor="text1"/>
        </w:rPr>
        <w:t xml:space="preserve">à l’auteure </w:t>
      </w:r>
      <w:r w:rsidR="00E621B9" w:rsidRPr="006C2069">
        <w:rPr>
          <w:color w:val="000000" w:themeColor="text1"/>
        </w:rPr>
        <w:t xml:space="preserve"> </w:t>
      </w:r>
      <w:r w:rsidR="0037373F">
        <w:rPr>
          <w:color w:val="000000" w:themeColor="text1"/>
        </w:rPr>
        <w:t xml:space="preserve">qui est loisible de produire elle-même </w:t>
      </w:r>
      <w:r w:rsidR="00E621B9" w:rsidRPr="005A2083">
        <w:rPr>
          <w:color w:val="000000" w:themeColor="text1"/>
        </w:rPr>
        <w:t xml:space="preserve">les pièces </w:t>
      </w:r>
      <w:r w:rsidR="004928CE" w:rsidRPr="0079683E">
        <w:rPr>
          <w:color w:val="000000" w:themeColor="text1"/>
        </w:rPr>
        <w:t xml:space="preserve"> querellées</w:t>
      </w:r>
      <w:r w:rsidR="004928CE" w:rsidRPr="0079683E">
        <w:rPr>
          <w:rStyle w:val="FootnoteReference"/>
          <w:color w:val="000000" w:themeColor="text1"/>
        </w:rPr>
        <w:footnoteReference w:id="5"/>
      </w:r>
      <w:r w:rsidR="00E621B9" w:rsidRPr="005A2083">
        <w:rPr>
          <w:color w:val="000000" w:themeColor="text1"/>
        </w:rPr>
        <w:t>.</w:t>
      </w:r>
    </w:p>
    <w:p w14:paraId="1AE42990" w14:textId="5B6AC811" w:rsidR="00774AE6" w:rsidRPr="006C2069" w:rsidRDefault="00C12AA3" w:rsidP="00ED7BC5">
      <w:pPr>
        <w:pStyle w:val="SingleTxtG"/>
        <w:tabs>
          <w:tab w:val="left" w:pos="567"/>
        </w:tabs>
        <w:rPr>
          <w:color w:val="000000" w:themeColor="text1"/>
        </w:rPr>
      </w:pPr>
      <w:r w:rsidRPr="006C2069">
        <w:rPr>
          <w:color w:val="000000" w:themeColor="text1"/>
        </w:rPr>
        <w:t>2.4</w:t>
      </w:r>
      <w:r w:rsidR="00774AE6" w:rsidRPr="006C2069">
        <w:rPr>
          <w:color w:val="000000" w:themeColor="text1"/>
        </w:rPr>
        <w:tab/>
        <w:t xml:space="preserve">Le 30 juin 2017, l’auteure a informé la Cour d’appel de Liège de l’incident </w:t>
      </w:r>
      <w:r w:rsidR="002A67A1" w:rsidRPr="002A67A1">
        <w:rPr>
          <w:color w:val="000000" w:themeColor="text1"/>
        </w:rPr>
        <w:t xml:space="preserve">concernant la décision du bâtonnier </w:t>
      </w:r>
      <w:r w:rsidR="00774AE6" w:rsidRPr="006C2069">
        <w:rPr>
          <w:color w:val="000000" w:themeColor="text1"/>
        </w:rPr>
        <w:t>et a allégué une violation de son droit à un procès équitable</w:t>
      </w:r>
      <w:r w:rsidR="00ED7BC5" w:rsidRPr="006C2069">
        <w:rPr>
          <w:color w:val="000000" w:themeColor="text1"/>
        </w:rPr>
        <w:t xml:space="preserve">, estimant que la décision du Bâtonnier a pour effet de </w:t>
      </w:r>
      <w:r w:rsidR="001E6E58" w:rsidRPr="006C2069">
        <w:rPr>
          <w:color w:val="000000" w:themeColor="text1"/>
        </w:rPr>
        <w:t>la</w:t>
      </w:r>
      <w:r w:rsidR="00ED7BC5" w:rsidRPr="006C2069">
        <w:rPr>
          <w:color w:val="000000" w:themeColor="text1"/>
        </w:rPr>
        <w:t xml:space="preserve"> priver d’avocat en cours de procédure. </w:t>
      </w:r>
      <w:r w:rsidR="00774AE6" w:rsidRPr="006C2069">
        <w:rPr>
          <w:color w:val="000000" w:themeColor="text1"/>
        </w:rPr>
        <w:t xml:space="preserve">L’auteure a </w:t>
      </w:r>
      <w:r w:rsidR="00ED7BC5" w:rsidRPr="006C2069">
        <w:rPr>
          <w:color w:val="000000" w:themeColor="text1"/>
        </w:rPr>
        <w:t xml:space="preserve">demandé à la </w:t>
      </w:r>
      <w:r w:rsidR="00774AE6" w:rsidRPr="006C2069">
        <w:rPr>
          <w:color w:val="000000" w:themeColor="text1"/>
        </w:rPr>
        <w:t>Cour</w:t>
      </w:r>
      <w:r w:rsidR="001820D0" w:rsidRPr="006C2069">
        <w:rPr>
          <w:color w:val="000000" w:themeColor="text1"/>
        </w:rPr>
        <w:t xml:space="preserve"> d’appel de Liège</w:t>
      </w:r>
      <w:r w:rsidR="00774AE6" w:rsidRPr="006C2069">
        <w:rPr>
          <w:color w:val="000000" w:themeColor="text1"/>
        </w:rPr>
        <w:t xml:space="preserve"> d’autoriser son </w:t>
      </w:r>
      <w:r w:rsidR="001820D0" w:rsidRPr="006C2069">
        <w:rPr>
          <w:color w:val="000000" w:themeColor="text1"/>
        </w:rPr>
        <w:t>avocat</w:t>
      </w:r>
      <w:r w:rsidR="00CB3EFB" w:rsidRPr="006C2069">
        <w:rPr>
          <w:color w:val="000000" w:themeColor="text1"/>
        </w:rPr>
        <w:t xml:space="preserve"> à déposer ses conclusions </w:t>
      </w:r>
      <w:r w:rsidR="00CB45BC" w:rsidRPr="006C2069">
        <w:rPr>
          <w:color w:val="000000" w:themeColor="text1"/>
        </w:rPr>
        <w:t>et à</w:t>
      </w:r>
      <w:r w:rsidR="00774AE6" w:rsidRPr="006C2069">
        <w:rPr>
          <w:color w:val="000000" w:themeColor="text1"/>
        </w:rPr>
        <w:t xml:space="preserve"> la représenter à l’audience fixée</w:t>
      </w:r>
      <w:r w:rsidR="00ED7BC5" w:rsidRPr="006C2069">
        <w:rPr>
          <w:color w:val="000000" w:themeColor="text1"/>
        </w:rPr>
        <w:t xml:space="preserve"> au </w:t>
      </w:r>
      <w:r w:rsidR="00774AE6" w:rsidRPr="006C2069">
        <w:rPr>
          <w:color w:val="000000" w:themeColor="text1"/>
        </w:rPr>
        <w:t>23 mars 2018</w:t>
      </w:r>
      <w:r w:rsidR="00CB3EFB" w:rsidRPr="006C2069">
        <w:rPr>
          <w:color w:val="000000" w:themeColor="text1"/>
        </w:rPr>
        <w:t xml:space="preserve">. Elle a également demandé à la </w:t>
      </w:r>
      <w:r w:rsidR="00CB45BC" w:rsidRPr="006C2069">
        <w:rPr>
          <w:color w:val="000000" w:themeColor="text1"/>
        </w:rPr>
        <w:t>Cour de</w:t>
      </w:r>
      <w:r w:rsidR="00ED7BC5" w:rsidRPr="006C2069">
        <w:rPr>
          <w:color w:val="000000" w:themeColor="text1"/>
        </w:rPr>
        <w:t xml:space="preserve"> </w:t>
      </w:r>
      <w:r w:rsidR="00774AE6" w:rsidRPr="006C2069">
        <w:rPr>
          <w:color w:val="000000" w:themeColor="text1"/>
        </w:rPr>
        <w:t>suspendre les délais jusqu’à ce qu’une décision soit rendu</w:t>
      </w:r>
      <w:r w:rsidR="00ED7BC5" w:rsidRPr="006C2069">
        <w:rPr>
          <w:color w:val="000000" w:themeColor="text1"/>
        </w:rPr>
        <w:t xml:space="preserve">e </w:t>
      </w:r>
      <w:r w:rsidR="00774AE6" w:rsidRPr="006C2069">
        <w:rPr>
          <w:color w:val="000000" w:themeColor="text1"/>
        </w:rPr>
        <w:t>autorisant à nouveau son conseil à la représenter dans la procédure en cours.</w:t>
      </w:r>
    </w:p>
    <w:p w14:paraId="3E1B42BE" w14:textId="16D3775C" w:rsidR="00774AE6" w:rsidRPr="006C2069" w:rsidRDefault="00C12AA3" w:rsidP="00774AE6">
      <w:pPr>
        <w:pStyle w:val="SingleTxtG"/>
        <w:tabs>
          <w:tab w:val="left" w:pos="567"/>
        </w:tabs>
        <w:rPr>
          <w:color w:val="000000" w:themeColor="text1"/>
        </w:rPr>
      </w:pPr>
      <w:r w:rsidRPr="006C2069">
        <w:rPr>
          <w:color w:val="000000" w:themeColor="text1"/>
        </w:rPr>
        <w:lastRenderedPageBreak/>
        <w:t>2.5</w:t>
      </w:r>
      <w:r w:rsidR="00774AE6" w:rsidRPr="006C2069">
        <w:rPr>
          <w:color w:val="000000" w:themeColor="text1"/>
        </w:rPr>
        <w:tab/>
        <w:t xml:space="preserve">Par courrier du 20 juillet 2017, le </w:t>
      </w:r>
      <w:r w:rsidR="00ED7BC5" w:rsidRPr="006C2069">
        <w:rPr>
          <w:color w:val="000000" w:themeColor="text1"/>
        </w:rPr>
        <w:t>b</w:t>
      </w:r>
      <w:r w:rsidR="00774AE6" w:rsidRPr="006C2069">
        <w:rPr>
          <w:color w:val="000000" w:themeColor="text1"/>
        </w:rPr>
        <w:t xml:space="preserve">âtonnier a informé </w:t>
      </w:r>
      <w:r w:rsidR="00124779" w:rsidRPr="006C2069">
        <w:rPr>
          <w:color w:val="000000" w:themeColor="text1"/>
        </w:rPr>
        <w:t>l’avocat</w:t>
      </w:r>
      <w:r w:rsidR="00774AE6" w:rsidRPr="006C2069">
        <w:rPr>
          <w:color w:val="000000" w:themeColor="text1"/>
        </w:rPr>
        <w:t xml:space="preserve"> de l’auteure et </w:t>
      </w:r>
      <w:r w:rsidR="00124779" w:rsidRPr="006C2069">
        <w:rPr>
          <w:color w:val="000000" w:themeColor="text1"/>
        </w:rPr>
        <w:t>celui</w:t>
      </w:r>
      <w:r w:rsidR="00774AE6" w:rsidRPr="006C2069">
        <w:rPr>
          <w:color w:val="000000" w:themeColor="text1"/>
        </w:rPr>
        <w:t xml:space="preserve"> de son ex-conjoint des nouveaux délais impartis </w:t>
      </w:r>
      <w:r w:rsidR="00F94B9D" w:rsidRPr="006C2069">
        <w:rPr>
          <w:color w:val="000000" w:themeColor="text1"/>
        </w:rPr>
        <w:t>aux parties</w:t>
      </w:r>
      <w:r w:rsidR="00774AE6" w:rsidRPr="006C2069">
        <w:rPr>
          <w:color w:val="000000" w:themeColor="text1"/>
        </w:rPr>
        <w:t xml:space="preserve"> pour déposer </w:t>
      </w:r>
      <w:r w:rsidR="00F94B9D" w:rsidRPr="006C2069">
        <w:rPr>
          <w:color w:val="000000" w:themeColor="text1"/>
        </w:rPr>
        <w:t>leurs</w:t>
      </w:r>
      <w:r w:rsidR="00124779" w:rsidRPr="006C2069">
        <w:rPr>
          <w:color w:val="000000" w:themeColor="text1"/>
        </w:rPr>
        <w:t xml:space="preserve"> </w:t>
      </w:r>
      <w:r w:rsidR="00774AE6" w:rsidRPr="006C2069">
        <w:rPr>
          <w:color w:val="000000" w:themeColor="text1"/>
        </w:rPr>
        <w:t>conclusions respectives</w:t>
      </w:r>
      <w:r w:rsidR="000371C1">
        <w:rPr>
          <w:color w:val="000000" w:themeColor="text1"/>
        </w:rPr>
        <w:t xml:space="preserve"> sur l’incident relatif à la production des pièces </w:t>
      </w:r>
      <w:r w:rsidR="00F26C34">
        <w:rPr>
          <w:color w:val="000000" w:themeColor="text1"/>
        </w:rPr>
        <w:t>litigieuses</w:t>
      </w:r>
      <w:r w:rsidR="00774AE6" w:rsidRPr="006C2069">
        <w:rPr>
          <w:color w:val="000000" w:themeColor="text1"/>
        </w:rPr>
        <w:t xml:space="preserve">. Le délai fixé </w:t>
      </w:r>
      <w:r w:rsidR="00F94B9D" w:rsidRPr="006C2069">
        <w:rPr>
          <w:color w:val="000000" w:themeColor="text1"/>
        </w:rPr>
        <w:t>à</w:t>
      </w:r>
      <w:r w:rsidR="00774AE6" w:rsidRPr="006C2069">
        <w:rPr>
          <w:color w:val="000000" w:themeColor="text1"/>
        </w:rPr>
        <w:t xml:space="preserve"> l’auteure était </w:t>
      </w:r>
      <w:r w:rsidR="00F94B9D" w:rsidRPr="006C2069">
        <w:rPr>
          <w:color w:val="000000" w:themeColor="text1"/>
        </w:rPr>
        <w:t xml:space="preserve">le </w:t>
      </w:r>
      <w:r w:rsidR="00774AE6" w:rsidRPr="006C2069">
        <w:rPr>
          <w:color w:val="000000" w:themeColor="text1"/>
        </w:rPr>
        <w:t>15 août 2017.</w:t>
      </w:r>
    </w:p>
    <w:p w14:paraId="32656590" w14:textId="77777777" w:rsidR="00F3093B" w:rsidRPr="006C2069" w:rsidRDefault="00C12AA3" w:rsidP="00774AE6">
      <w:pPr>
        <w:pStyle w:val="SingleTxtG"/>
        <w:tabs>
          <w:tab w:val="left" w:pos="567"/>
        </w:tabs>
        <w:rPr>
          <w:color w:val="000000" w:themeColor="text1"/>
        </w:rPr>
      </w:pPr>
      <w:r w:rsidRPr="006C2069">
        <w:rPr>
          <w:color w:val="000000" w:themeColor="text1"/>
        </w:rPr>
        <w:t>2.6</w:t>
      </w:r>
      <w:r w:rsidR="00774AE6" w:rsidRPr="006C2069">
        <w:rPr>
          <w:color w:val="000000" w:themeColor="text1"/>
        </w:rPr>
        <w:tab/>
        <w:t xml:space="preserve">Le 8 </w:t>
      </w:r>
      <w:r w:rsidR="00882D0F" w:rsidRPr="006C2069">
        <w:rPr>
          <w:color w:val="000000" w:themeColor="text1"/>
        </w:rPr>
        <w:t>a</w:t>
      </w:r>
      <w:r w:rsidR="00774AE6" w:rsidRPr="006C2069">
        <w:rPr>
          <w:color w:val="000000" w:themeColor="text1"/>
        </w:rPr>
        <w:t xml:space="preserve">oût 2017, </w:t>
      </w:r>
      <w:r w:rsidR="00ED7BC5" w:rsidRPr="006C2069">
        <w:rPr>
          <w:color w:val="000000" w:themeColor="text1"/>
        </w:rPr>
        <w:t>l’avocat de l’auteure</w:t>
      </w:r>
      <w:r w:rsidR="00774AE6" w:rsidRPr="006C2069">
        <w:rPr>
          <w:color w:val="000000" w:themeColor="text1"/>
        </w:rPr>
        <w:t xml:space="preserve"> a informé la </w:t>
      </w:r>
      <w:r w:rsidR="00ED7BC5" w:rsidRPr="006C2069">
        <w:rPr>
          <w:color w:val="000000" w:themeColor="text1"/>
        </w:rPr>
        <w:t>c</w:t>
      </w:r>
      <w:r w:rsidR="00774AE6" w:rsidRPr="006C2069">
        <w:rPr>
          <w:color w:val="000000" w:themeColor="text1"/>
        </w:rPr>
        <w:t>our d’</w:t>
      </w:r>
      <w:r w:rsidR="00ED7BC5" w:rsidRPr="006C2069">
        <w:rPr>
          <w:color w:val="000000" w:themeColor="text1"/>
        </w:rPr>
        <w:t>a</w:t>
      </w:r>
      <w:r w:rsidR="00774AE6" w:rsidRPr="006C2069">
        <w:rPr>
          <w:color w:val="000000" w:themeColor="text1"/>
        </w:rPr>
        <w:t>ppel de Liège que, compte tenu de l’interdiction qui lui avait été faite de produire les trois moyens de preuve dont l’auteure entendait se prévaloir</w:t>
      </w:r>
      <w:r w:rsidR="00ED7BC5" w:rsidRPr="006C2069">
        <w:rPr>
          <w:color w:val="000000" w:themeColor="text1"/>
        </w:rPr>
        <w:t xml:space="preserve"> dans l’instance en cours</w:t>
      </w:r>
      <w:r w:rsidR="00774AE6" w:rsidRPr="006C2069">
        <w:rPr>
          <w:color w:val="000000" w:themeColor="text1"/>
        </w:rPr>
        <w:t xml:space="preserve">, il lui était impossible de poursuivre la défense des intérêts </w:t>
      </w:r>
      <w:r w:rsidR="00124779" w:rsidRPr="006C2069">
        <w:rPr>
          <w:color w:val="000000" w:themeColor="text1"/>
        </w:rPr>
        <w:t>de sa cliente</w:t>
      </w:r>
      <w:r w:rsidR="00774AE6" w:rsidRPr="006C2069">
        <w:rPr>
          <w:color w:val="000000" w:themeColor="text1"/>
        </w:rPr>
        <w:t>.</w:t>
      </w:r>
    </w:p>
    <w:p w14:paraId="3C890B71" w14:textId="72A785CF" w:rsidR="00774AE6" w:rsidRPr="006C2069" w:rsidRDefault="00C12AA3" w:rsidP="00774AE6">
      <w:pPr>
        <w:pStyle w:val="SingleTxtG"/>
        <w:tabs>
          <w:tab w:val="left" w:pos="567"/>
        </w:tabs>
        <w:rPr>
          <w:color w:val="000000" w:themeColor="text1"/>
        </w:rPr>
      </w:pPr>
      <w:r w:rsidRPr="006C2069">
        <w:rPr>
          <w:color w:val="000000" w:themeColor="text1"/>
        </w:rPr>
        <w:t>2.7</w:t>
      </w:r>
      <w:r w:rsidR="00774AE6" w:rsidRPr="006C2069">
        <w:rPr>
          <w:color w:val="000000" w:themeColor="text1"/>
        </w:rPr>
        <w:tab/>
        <w:t xml:space="preserve">Le 16 </w:t>
      </w:r>
      <w:r w:rsidR="00882D0F" w:rsidRPr="006C2069">
        <w:rPr>
          <w:color w:val="000000" w:themeColor="text1"/>
        </w:rPr>
        <w:t>a</w:t>
      </w:r>
      <w:r w:rsidR="00774AE6" w:rsidRPr="006C2069">
        <w:rPr>
          <w:color w:val="000000" w:themeColor="text1"/>
        </w:rPr>
        <w:t>oût 2017</w:t>
      </w:r>
      <w:r w:rsidR="00ED7BC5" w:rsidRPr="006C2069">
        <w:rPr>
          <w:rStyle w:val="FootnoteReference"/>
          <w:color w:val="000000" w:themeColor="text1"/>
        </w:rPr>
        <w:footnoteReference w:id="6"/>
      </w:r>
      <w:r w:rsidR="00B31B17" w:rsidRPr="006C2069">
        <w:rPr>
          <w:color w:val="000000" w:themeColor="text1"/>
        </w:rPr>
        <w:t xml:space="preserve">, </w:t>
      </w:r>
      <w:r w:rsidR="00774AE6" w:rsidRPr="006C2069">
        <w:rPr>
          <w:color w:val="000000" w:themeColor="text1"/>
        </w:rPr>
        <w:t xml:space="preserve">l’auteure a été contrainte </w:t>
      </w:r>
      <w:r w:rsidR="00124779" w:rsidRPr="006C2069">
        <w:rPr>
          <w:color w:val="000000" w:themeColor="text1"/>
        </w:rPr>
        <w:t>de</w:t>
      </w:r>
      <w:r w:rsidR="00774AE6" w:rsidRPr="006C2069">
        <w:rPr>
          <w:color w:val="000000" w:themeColor="text1"/>
        </w:rPr>
        <w:t xml:space="preserve"> déposer ses conclusions sans l’assistance d’un avocat</w:t>
      </w:r>
      <w:r w:rsidR="003D5253" w:rsidRPr="006C2069">
        <w:rPr>
          <w:color w:val="000000" w:themeColor="text1"/>
        </w:rPr>
        <w:t xml:space="preserve"> ; ce, sans réponse de la Cour d'appel de Liège </w:t>
      </w:r>
      <w:r w:rsidR="00124779" w:rsidRPr="006C2069">
        <w:rPr>
          <w:color w:val="000000" w:themeColor="text1"/>
        </w:rPr>
        <w:t>sur</w:t>
      </w:r>
      <w:r w:rsidR="003D5253" w:rsidRPr="006C2069">
        <w:rPr>
          <w:color w:val="000000" w:themeColor="text1"/>
        </w:rPr>
        <w:t xml:space="preserve"> la demande de suspension des délais pour conclure.</w:t>
      </w:r>
    </w:p>
    <w:p w14:paraId="7088B6F4" w14:textId="07FE3DFB" w:rsidR="00774AE6" w:rsidRPr="006C2069" w:rsidRDefault="00C12AA3" w:rsidP="00774AE6">
      <w:pPr>
        <w:pStyle w:val="SingleTxtG"/>
        <w:tabs>
          <w:tab w:val="left" w:pos="567"/>
        </w:tabs>
        <w:rPr>
          <w:color w:val="000000" w:themeColor="text1"/>
        </w:rPr>
      </w:pPr>
      <w:r w:rsidRPr="006C2069">
        <w:rPr>
          <w:color w:val="000000" w:themeColor="text1"/>
        </w:rPr>
        <w:t>2.8</w:t>
      </w:r>
      <w:r w:rsidR="00774AE6" w:rsidRPr="006C2069">
        <w:rPr>
          <w:color w:val="000000" w:themeColor="text1"/>
        </w:rPr>
        <w:tab/>
        <w:t xml:space="preserve">Le 21 août 2017, l’auteure a sollicité </w:t>
      </w:r>
      <w:r w:rsidR="00B31B17" w:rsidRPr="006C2069">
        <w:rPr>
          <w:color w:val="000000" w:themeColor="text1"/>
        </w:rPr>
        <w:t>de</w:t>
      </w:r>
      <w:r w:rsidR="00774AE6" w:rsidRPr="006C2069">
        <w:rPr>
          <w:color w:val="000000" w:themeColor="text1"/>
        </w:rPr>
        <w:t xml:space="preserve"> la Cour d’appel de Liège l’adoption de mesures avant dire droit destinées à régler provisoirement la situation des parties</w:t>
      </w:r>
      <w:r w:rsidR="003D5253" w:rsidRPr="006C2069">
        <w:rPr>
          <w:rStyle w:val="FootnoteReference"/>
          <w:color w:val="000000" w:themeColor="text1"/>
        </w:rPr>
        <w:footnoteReference w:id="7"/>
      </w:r>
      <w:r w:rsidR="00774AE6" w:rsidRPr="006C2069">
        <w:rPr>
          <w:color w:val="000000" w:themeColor="text1"/>
        </w:rPr>
        <w:t>.</w:t>
      </w:r>
      <w:r w:rsidRPr="006C2069">
        <w:rPr>
          <w:color w:val="000000" w:themeColor="text1"/>
        </w:rPr>
        <w:t xml:space="preserve"> </w:t>
      </w:r>
    </w:p>
    <w:p w14:paraId="47DFA4BA" w14:textId="0EECC89B" w:rsidR="00774AE6" w:rsidRPr="006C2069" w:rsidRDefault="00C12AA3" w:rsidP="00774AE6">
      <w:pPr>
        <w:pStyle w:val="SingleTxtG"/>
        <w:tabs>
          <w:tab w:val="left" w:pos="567"/>
        </w:tabs>
        <w:rPr>
          <w:color w:val="000000" w:themeColor="text1"/>
        </w:rPr>
      </w:pPr>
      <w:r w:rsidRPr="006C2069">
        <w:rPr>
          <w:color w:val="000000" w:themeColor="text1"/>
        </w:rPr>
        <w:t>2.9</w:t>
      </w:r>
      <w:r w:rsidR="00774AE6" w:rsidRPr="006C2069">
        <w:rPr>
          <w:color w:val="000000" w:themeColor="text1"/>
        </w:rPr>
        <w:tab/>
        <w:t xml:space="preserve">Le 2 octobre 2017, l’auteure a reçu un courrier </w:t>
      </w:r>
      <w:r w:rsidR="00F94B9D" w:rsidRPr="006C2069">
        <w:rPr>
          <w:color w:val="000000" w:themeColor="text1"/>
        </w:rPr>
        <w:t xml:space="preserve">en date </w:t>
      </w:r>
      <w:r w:rsidR="00774AE6" w:rsidRPr="006C2069">
        <w:rPr>
          <w:color w:val="000000" w:themeColor="text1"/>
        </w:rPr>
        <w:t>du 22 septembre 2017 de la Cour d’Appel</w:t>
      </w:r>
      <w:r w:rsidR="00124779" w:rsidRPr="006C2069">
        <w:rPr>
          <w:color w:val="000000" w:themeColor="text1"/>
        </w:rPr>
        <w:t xml:space="preserve"> de Liège</w:t>
      </w:r>
      <w:r w:rsidR="00774AE6" w:rsidRPr="006C2069">
        <w:rPr>
          <w:color w:val="000000" w:themeColor="text1"/>
        </w:rPr>
        <w:t xml:space="preserve"> la citant à comparaître à une audience fixée </w:t>
      </w:r>
      <w:r w:rsidR="00B31B17" w:rsidRPr="006C2069">
        <w:rPr>
          <w:color w:val="000000" w:themeColor="text1"/>
        </w:rPr>
        <w:t>au</w:t>
      </w:r>
      <w:r w:rsidR="00774AE6" w:rsidRPr="006C2069">
        <w:rPr>
          <w:color w:val="000000" w:themeColor="text1"/>
        </w:rPr>
        <w:t xml:space="preserve"> 18 octobre 2017</w:t>
      </w:r>
      <w:r w:rsidR="00B31B17" w:rsidRPr="006C2069">
        <w:rPr>
          <w:color w:val="000000" w:themeColor="text1"/>
        </w:rPr>
        <w:t>,</w:t>
      </w:r>
      <w:r w:rsidR="00774AE6" w:rsidRPr="006C2069">
        <w:rPr>
          <w:color w:val="000000" w:themeColor="text1"/>
        </w:rPr>
        <w:t xml:space="preserve"> à 11 heures.</w:t>
      </w:r>
    </w:p>
    <w:p w14:paraId="0859EAF2" w14:textId="747E237A" w:rsidR="0061445E" w:rsidRPr="006C2069" w:rsidRDefault="00C12AA3" w:rsidP="00774AE6">
      <w:pPr>
        <w:pStyle w:val="SingleTxtG"/>
        <w:tabs>
          <w:tab w:val="left" w:pos="567"/>
        </w:tabs>
        <w:rPr>
          <w:color w:val="000000" w:themeColor="text1"/>
        </w:rPr>
      </w:pPr>
      <w:r w:rsidRPr="006C2069">
        <w:rPr>
          <w:color w:val="000000" w:themeColor="text1"/>
        </w:rPr>
        <w:t>2.10</w:t>
      </w:r>
      <w:r w:rsidR="00774AE6" w:rsidRPr="006C2069">
        <w:rPr>
          <w:color w:val="000000" w:themeColor="text1"/>
        </w:rPr>
        <w:tab/>
        <w:t>Par courrier du 5 octobre 2017, l’auteure a informé la Cour qu’il lui était impossible de se rendre personnellement à cette audience</w:t>
      </w:r>
      <w:r w:rsidR="00A01B37" w:rsidRPr="006C2069">
        <w:rPr>
          <w:color w:val="000000" w:themeColor="text1"/>
        </w:rPr>
        <w:t>,</w:t>
      </w:r>
      <w:r w:rsidR="00774AE6" w:rsidRPr="006C2069">
        <w:rPr>
          <w:color w:val="000000" w:themeColor="text1"/>
        </w:rPr>
        <w:t xml:space="preserve"> </w:t>
      </w:r>
      <w:r w:rsidR="00124779" w:rsidRPr="006C2069">
        <w:rPr>
          <w:color w:val="000000" w:themeColor="text1"/>
        </w:rPr>
        <w:t xml:space="preserve">vu </w:t>
      </w:r>
      <w:r w:rsidR="00774AE6" w:rsidRPr="006C2069">
        <w:rPr>
          <w:color w:val="000000" w:themeColor="text1"/>
        </w:rPr>
        <w:t>qu’elle n’était pas en mesure d’annuler, à deux semaines du délai, des engagement</w:t>
      </w:r>
      <w:r w:rsidR="00B31B17" w:rsidRPr="006C2069">
        <w:rPr>
          <w:color w:val="000000" w:themeColor="text1"/>
        </w:rPr>
        <w:t>s</w:t>
      </w:r>
      <w:r w:rsidR="00774AE6" w:rsidRPr="006C2069">
        <w:rPr>
          <w:color w:val="000000" w:themeColor="text1"/>
        </w:rPr>
        <w:t xml:space="preserve"> professionnels prévus de longue date. Dans le même courrier</w:t>
      </w:r>
      <w:r w:rsidR="00124779" w:rsidRPr="006C2069">
        <w:rPr>
          <w:color w:val="000000" w:themeColor="text1"/>
        </w:rPr>
        <w:t>,</w:t>
      </w:r>
      <w:r w:rsidR="00774AE6" w:rsidRPr="006C2069">
        <w:rPr>
          <w:color w:val="000000" w:themeColor="text1"/>
        </w:rPr>
        <w:t xml:space="preserve"> elle a </w:t>
      </w:r>
      <w:r w:rsidR="00F94B9D" w:rsidRPr="006C2069">
        <w:rPr>
          <w:color w:val="000000" w:themeColor="text1"/>
        </w:rPr>
        <w:t xml:space="preserve">indiqué que puisque </w:t>
      </w:r>
      <w:r w:rsidR="00E65014" w:rsidRPr="006C2069">
        <w:rPr>
          <w:color w:val="000000" w:themeColor="text1"/>
        </w:rPr>
        <w:t>s</w:t>
      </w:r>
      <w:r w:rsidR="00774AE6" w:rsidRPr="006C2069">
        <w:rPr>
          <w:color w:val="000000" w:themeColor="text1"/>
        </w:rPr>
        <w:t xml:space="preserve">on </w:t>
      </w:r>
      <w:r w:rsidR="00124779" w:rsidRPr="006C2069">
        <w:rPr>
          <w:color w:val="000000" w:themeColor="text1"/>
        </w:rPr>
        <w:t>avocat</w:t>
      </w:r>
      <w:r w:rsidR="00E65014" w:rsidRPr="006C2069">
        <w:rPr>
          <w:color w:val="000000" w:themeColor="text1"/>
        </w:rPr>
        <w:t xml:space="preserve"> a</w:t>
      </w:r>
      <w:r w:rsidR="00F94B9D" w:rsidRPr="006C2069">
        <w:rPr>
          <w:color w:val="000000" w:themeColor="text1"/>
        </w:rPr>
        <w:t>vait</w:t>
      </w:r>
      <w:r w:rsidR="00774AE6" w:rsidRPr="006C2069">
        <w:rPr>
          <w:color w:val="000000" w:themeColor="text1"/>
        </w:rPr>
        <w:t xml:space="preserve"> renoncé à la représenter</w:t>
      </w:r>
      <w:r w:rsidR="005F23C1" w:rsidRPr="006C2069">
        <w:rPr>
          <w:rStyle w:val="FootnoteReference"/>
          <w:color w:val="000000" w:themeColor="text1"/>
        </w:rPr>
        <w:footnoteReference w:id="8"/>
      </w:r>
      <w:r w:rsidR="00774AE6" w:rsidRPr="006C2069">
        <w:rPr>
          <w:color w:val="000000" w:themeColor="text1"/>
        </w:rPr>
        <w:t xml:space="preserve">, il ne pourrait pas se rendre à l’audience à sa place. </w:t>
      </w:r>
      <w:r w:rsidR="005F23C1" w:rsidRPr="006C2069">
        <w:rPr>
          <w:color w:val="000000" w:themeColor="text1"/>
        </w:rPr>
        <w:t>L’auteure a aussi demandé à la cour, au cas où il y a</w:t>
      </w:r>
      <w:r w:rsidR="00F94B9D" w:rsidRPr="006C2069">
        <w:rPr>
          <w:color w:val="000000" w:themeColor="text1"/>
        </w:rPr>
        <w:t>urait</w:t>
      </w:r>
      <w:r w:rsidR="005F23C1" w:rsidRPr="006C2069">
        <w:rPr>
          <w:color w:val="000000" w:themeColor="text1"/>
        </w:rPr>
        <w:t xml:space="preserve"> la nécessité absolue de </w:t>
      </w:r>
      <w:r w:rsidR="00F94B9D" w:rsidRPr="006C2069">
        <w:rPr>
          <w:color w:val="000000" w:themeColor="text1"/>
        </w:rPr>
        <w:t>tenir audience</w:t>
      </w:r>
      <w:r w:rsidR="005F23C1" w:rsidRPr="006C2069">
        <w:rPr>
          <w:color w:val="000000" w:themeColor="text1"/>
        </w:rPr>
        <w:t xml:space="preserve">, de fixer </w:t>
      </w:r>
      <w:r w:rsidR="0061445E" w:rsidRPr="006C2069">
        <w:rPr>
          <w:color w:val="000000" w:themeColor="text1"/>
        </w:rPr>
        <w:t xml:space="preserve">celle-ci </w:t>
      </w:r>
      <w:r w:rsidR="005F23C1" w:rsidRPr="006C2069">
        <w:rPr>
          <w:color w:val="000000" w:themeColor="text1"/>
        </w:rPr>
        <w:t xml:space="preserve">la semaine suivante, soit </w:t>
      </w:r>
      <w:r w:rsidR="0061445E" w:rsidRPr="006C2069">
        <w:rPr>
          <w:color w:val="000000" w:themeColor="text1"/>
        </w:rPr>
        <w:t>le</w:t>
      </w:r>
      <w:r w:rsidR="005F23C1" w:rsidRPr="006C2069">
        <w:rPr>
          <w:color w:val="000000" w:themeColor="text1"/>
        </w:rPr>
        <w:t xml:space="preserve"> 23 octobre 2017 afin de lui permettre </w:t>
      </w:r>
      <w:r w:rsidR="00F94B9D" w:rsidRPr="006C2069">
        <w:rPr>
          <w:color w:val="000000" w:themeColor="text1"/>
        </w:rPr>
        <w:t xml:space="preserve">de </w:t>
      </w:r>
      <w:r w:rsidR="00797185" w:rsidRPr="006C2069">
        <w:rPr>
          <w:color w:val="000000" w:themeColor="text1"/>
        </w:rPr>
        <w:t>faire</w:t>
      </w:r>
      <w:r w:rsidR="00F94B9D" w:rsidRPr="006C2069">
        <w:rPr>
          <w:color w:val="000000" w:themeColor="text1"/>
        </w:rPr>
        <w:t xml:space="preserve"> les arrangements professionnels et personnels </w:t>
      </w:r>
      <w:r w:rsidR="00797185" w:rsidRPr="006C2069">
        <w:rPr>
          <w:color w:val="000000" w:themeColor="text1"/>
        </w:rPr>
        <w:t>nécessaires.</w:t>
      </w:r>
      <w:r w:rsidR="0061445E" w:rsidRPr="006C2069">
        <w:rPr>
          <w:color w:val="000000" w:themeColor="text1"/>
        </w:rPr>
        <w:t xml:space="preserve"> </w:t>
      </w:r>
    </w:p>
    <w:p w14:paraId="69BF5799" w14:textId="648A9C9F" w:rsidR="00774AE6" w:rsidRPr="006C2069" w:rsidRDefault="00C12AA3" w:rsidP="000868C0">
      <w:pPr>
        <w:pStyle w:val="SingleTxtG"/>
        <w:tabs>
          <w:tab w:val="left" w:pos="567"/>
        </w:tabs>
        <w:rPr>
          <w:color w:val="000000" w:themeColor="text1"/>
        </w:rPr>
      </w:pPr>
      <w:r w:rsidRPr="006C2069">
        <w:rPr>
          <w:color w:val="000000" w:themeColor="text1"/>
        </w:rPr>
        <w:t>2.11</w:t>
      </w:r>
      <w:r w:rsidR="0040754E" w:rsidRPr="006C2069">
        <w:rPr>
          <w:color w:val="000000" w:themeColor="text1"/>
        </w:rPr>
        <w:tab/>
      </w:r>
      <w:r w:rsidR="00797185" w:rsidRPr="006C2069">
        <w:rPr>
          <w:color w:val="000000" w:themeColor="text1"/>
        </w:rPr>
        <w:t xml:space="preserve">N’ayant pas reçu de réponses à son courrier de demande de report d’audience et d’avant dire droit, le 9 janvier 2018, l’auteure a </w:t>
      </w:r>
      <w:r w:rsidR="00CB45BC" w:rsidRPr="006C2069">
        <w:rPr>
          <w:color w:val="000000" w:themeColor="text1"/>
        </w:rPr>
        <w:t>envoyé un</w:t>
      </w:r>
      <w:r w:rsidR="00797185" w:rsidRPr="006C2069">
        <w:rPr>
          <w:color w:val="000000" w:themeColor="text1"/>
        </w:rPr>
        <w:t xml:space="preserve"> courrier</w:t>
      </w:r>
      <w:r w:rsidR="000868C0" w:rsidRPr="006C2069">
        <w:rPr>
          <w:color w:val="000000" w:themeColor="text1"/>
        </w:rPr>
        <w:t xml:space="preserve"> de </w:t>
      </w:r>
      <w:r w:rsidR="00797185" w:rsidRPr="006C2069">
        <w:rPr>
          <w:color w:val="000000" w:themeColor="text1"/>
        </w:rPr>
        <w:t xml:space="preserve">suivi. En réponse à son courrier de rappel, la Cour d’appel </w:t>
      </w:r>
      <w:r w:rsidR="00DA06AC" w:rsidRPr="006C2069">
        <w:rPr>
          <w:color w:val="000000" w:themeColor="text1"/>
        </w:rPr>
        <w:t xml:space="preserve">de Liège, dans un courrier en date du 26 janvier 2018 et reçu le 12 févier 2018, lui a notifiée </w:t>
      </w:r>
      <w:r w:rsidR="00CB45BC" w:rsidRPr="006C2069">
        <w:rPr>
          <w:color w:val="000000" w:themeColor="text1"/>
        </w:rPr>
        <w:t>qu’un</w:t>
      </w:r>
      <w:r w:rsidR="00797185" w:rsidRPr="006C2069">
        <w:rPr>
          <w:color w:val="000000" w:themeColor="text1"/>
        </w:rPr>
        <w:t xml:space="preserve"> arrêt avait été</w:t>
      </w:r>
      <w:r w:rsidR="00E65014" w:rsidRPr="006C2069">
        <w:rPr>
          <w:color w:val="000000" w:themeColor="text1"/>
        </w:rPr>
        <w:t xml:space="preserve"> </w:t>
      </w:r>
      <w:r w:rsidR="0061445E" w:rsidRPr="006C2069">
        <w:rPr>
          <w:color w:val="000000" w:themeColor="text1"/>
        </w:rPr>
        <w:t>rendu le 15 novembre 2017, à son insu et en son absence. Dans cet arrêt, tout en indiquant qu'elle n'est pas tenue par l'appréciation du bâtonnier quant à la recevabilité des pièces litigieuses, la Cour juge</w:t>
      </w:r>
      <w:r w:rsidR="00E65014" w:rsidRPr="006C2069">
        <w:rPr>
          <w:color w:val="000000" w:themeColor="text1"/>
        </w:rPr>
        <w:t xml:space="preserve"> </w:t>
      </w:r>
      <w:r w:rsidR="0061445E" w:rsidRPr="006C2069">
        <w:rPr>
          <w:color w:val="000000" w:themeColor="text1"/>
        </w:rPr>
        <w:t xml:space="preserve">qu'elle ne peut pas autoriser l'ancien </w:t>
      </w:r>
      <w:r w:rsidR="00E65014" w:rsidRPr="006C2069">
        <w:rPr>
          <w:color w:val="000000" w:themeColor="text1"/>
        </w:rPr>
        <w:t xml:space="preserve">avocat </w:t>
      </w:r>
      <w:r w:rsidR="0061445E" w:rsidRPr="006C2069">
        <w:rPr>
          <w:color w:val="000000" w:themeColor="text1"/>
        </w:rPr>
        <w:t xml:space="preserve">de </w:t>
      </w:r>
      <w:r w:rsidR="00E65014" w:rsidRPr="006C2069">
        <w:rPr>
          <w:color w:val="000000" w:themeColor="text1"/>
        </w:rPr>
        <w:t>l’auteure</w:t>
      </w:r>
      <w:r w:rsidR="00475E0F">
        <w:rPr>
          <w:color w:val="000000" w:themeColor="text1"/>
        </w:rPr>
        <w:t>, qui s’est retiré du dossier,</w:t>
      </w:r>
      <w:r w:rsidR="0061445E" w:rsidRPr="006C2069">
        <w:rPr>
          <w:color w:val="000000" w:themeColor="text1"/>
        </w:rPr>
        <w:t xml:space="preserve"> à conclure et à la représenter à l'audience du 23 mars 2018 </w:t>
      </w:r>
      <w:r w:rsidR="00475E0F">
        <w:rPr>
          <w:color w:val="000000" w:themeColor="text1"/>
        </w:rPr>
        <w:t>en violation d</w:t>
      </w:r>
      <w:r w:rsidR="0061445E" w:rsidRPr="006C2069">
        <w:rPr>
          <w:color w:val="000000" w:themeColor="text1"/>
        </w:rPr>
        <w:t>es injonctions du bâtonnier</w:t>
      </w:r>
      <w:r w:rsidR="002A6C45" w:rsidRPr="006C2069">
        <w:rPr>
          <w:color w:val="000000" w:themeColor="text1"/>
        </w:rPr>
        <w:t>. L’auteur</w:t>
      </w:r>
      <w:r w:rsidR="00383FF0" w:rsidRPr="006C2069">
        <w:rPr>
          <w:color w:val="000000" w:themeColor="text1"/>
        </w:rPr>
        <w:t>e</w:t>
      </w:r>
      <w:r w:rsidR="002A6C45" w:rsidRPr="006C2069">
        <w:rPr>
          <w:color w:val="000000" w:themeColor="text1"/>
        </w:rPr>
        <w:t xml:space="preserve"> souligne que cette décision de la Cour va à l’encontre de </w:t>
      </w:r>
      <w:r w:rsidR="0061445E" w:rsidRPr="006C2069">
        <w:rPr>
          <w:color w:val="000000" w:themeColor="text1"/>
        </w:rPr>
        <w:t xml:space="preserve">la jurisprudence établie par </w:t>
      </w:r>
      <w:r w:rsidR="00D57A86" w:rsidRPr="006C2069">
        <w:rPr>
          <w:color w:val="000000" w:themeColor="text1"/>
        </w:rPr>
        <w:t>la Cour européenne des droits de l’homme</w:t>
      </w:r>
      <w:r w:rsidR="0061445E" w:rsidRPr="006C2069">
        <w:rPr>
          <w:color w:val="000000" w:themeColor="text1"/>
        </w:rPr>
        <w:t xml:space="preserve"> dans l’affaire Bono c. France</w:t>
      </w:r>
      <w:r w:rsidR="0061445E" w:rsidRPr="006C2069">
        <w:rPr>
          <w:rStyle w:val="FootnoteReference"/>
          <w:color w:val="000000" w:themeColor="text1"/>
        </w:rPr>
        <w:footnoteReference w:id="9"/>
      </w:r>
      <w:r w:rsidR="006461F8" w:rsidRPr="006C2069">
        <w:rPr>
          <w:color w:val="000000" w:themeColor="text1"/>
        </w:rPr>
        <w:t xml:space="preserve"> qui reconnaît la possibilité pour les autorités judiciaires d'infirmer les décisions rendues par les autorités ordinales</w:t>
      </w:r>
      <w:r w:rsidR="00DA06AC" w:rsidRPr="006C2069">
        <w:rPr>
          <w:color w:val="000000" w:themeColor="text1"/>
        </w:rPr>
        <w:t xml:space="preserve">. </w:t>
      </w:r>
      <w:r w:rsidR="00774AE6" w:rsidRPr="006C2069">
        <w:rPr>
          <w:color w:val="000000" w:themeColor="text1"/>
        </w:rPr>
        <w:t xml:space="preserve">L’audience </w:t>
      </w:r>
      <w:r w:rsidR="000868C0" w:rsidRPr="006C2069">
        <w:rPr>
          <w:color w:val="000000" w:themeColor="text1"/>
        </w:rPr>
        <w:t xml:space="preserve">ayant conduit à la décision de la Cour d’appel de Liège le 15 novembre 2017 </w:t>
      </w:r>
      <w:r w:rsidR="00774AE6" w:rsidRPr="006C2069">
        <w:rPr>
          <w:color w:val="000000" w:themeColor="text1"/>
        </w:rPr>
        <w:t xml:space="preserve">a eu lieu et l’auteure n’a pas reçu </w:t>
      </w:r>
      <w:r w:rsidR="00DA06AC" w:rsidRPr="006C2069">
        <w:rPr>
          <w:color w:val="000000" w:themeColor="text1"/>
        </w:rPr>
        <w:t>le rapport</w:t>
      </w:r>
      <w:r w:rsidR="00774AE6" w:rsidRPr="006C2069">
        <w:rPr>
          <w:color w:val="000000" w:themeColor="text1"/>
        </w:rPr>
        <w:t xml:space="preserve"> de cette audience, ni aucune </w:t>
      </w:r>
      <w:r w:rsidR="00DA06AC" w:rsidRPr="006C2069">
        <w:rPr>
          <w:color w:val="000000" w:themeColor="text1"/>
        </w:rPr>
        <w:t>conclusion</w:t>
      </w:r>
      <w:r w:rsidR="00774AE6" w:rsidRPr="006C2069">
        <w:rPr>
          <w:color w:val="000000" w:themeColor="text1"/>
        </w:rPr>
        <w:t xml:space="preserve"> de la partie adverse.</w:t>
      </w:r>
    </w:p>
    <w:p w14:paraId="6FBF6C1E" w14:textId="50E65706" w:rsidR="00C47C2A" w:rsidRPr="006C2069" w:rsidRDefault="00C12AA3" w:rsidP="00C47C2A">
      <w:pPr>
        <w:pStyle w:val="SingleTxtG"/>
        <w:tabs>
          <w:tab w:val="left" w:pos="567"/>
        </w:tabs>
        <w:rPr>
          <w:color w:val="000000" w:themeColor="text1"/>
        </w:rPr>
      </w:pPr>
      <w:r w:rsidRPr="006C2069">
        <w:rPr>
          <w:color w:val="000000" w:themeColor="text1"/>
        </w:rPr>
        <w:t>2.12</w:t>
      </w:r>
      <w:r w:rsidR="0040754E" w:rsidRPr="006C2069">
        <w:rPr>
          <w:color w:val="000000" w:themeColor="text1"/>
        </w:rPr>
        <w:tab/>
      </w:r>
      <w:r w:rsidR="00C47C2A" w:rsidRPr="006C2069">
        <w:rPr>
          <w:color w:val="000000" w:themeColor="text1"/>
        </w:rPr>
        <w:t>S'agissant de l'épuisement des voies de recours internes, l’auteure estime que, conformément à l'article 1077 du Code judiciaire</w:t>
      </w:r>
      <w:r w:rsidR="004267BF" w:rsidRPr="006C2069">
        <w:rPr>
          <w:color w:val="000000" w:themeColor="text1"/>
        </w:rPr>
        <w:t xml:space="preserve"> belge</w:t>
      </w:r>
      <w:r w:rsidR="00C47C2A" w:rsidRPr="006C2069">
        <w:rPr>
          <w:color w:val="000000" w:themeColor="text1"/>
        </w:rPr>
        <w:t>, le recours en cassation contre un jugement (en l'espèce un arrêt) avant dire droit n'est possible qu'avec l'arrêt définitif</w:t>
      </w:r>
      <w:r w:rsidR="00EF75EA">
        <w:rPr>
          <w:rStyle w:val="FootnoteReference"/>
          <w:color w:val="000000" w:themeColor="text1"/>
        </w:rPr>
        <w:footnoteReference w:id="10"/>
      </w:r>
      <w:r w:rsidR="00C47C2A" w:rsidRPr="006C2069">
        <w:rPr>
          <w:color w:val="000000" w:themeColor="text1"/>
        </w:rPr>
        <w:t>. Il n'y a donc pas de voie de recours contre cette décision.</w:t>
      </w:r>
    </w:p>
    <w:p w14:paraId="3A962888" w14:textId="1194F323" w:rsidR="00461993" w:rsidRPr="006C2069" w:rsidRDefault="00C37753" w:rsidP="00C37753">
      <w:pPr>
        <w:pStyle w:val="H23G"/>
      </w:pPr>
      <w:r w:rsidRPr="006C2069">
        <w:tab/>
      </w:r>
      <w:r w:rsidRPr="006C2069">
        <w:tab/>
      </w:r>
      <w:r w:rsidR="00E3643F" w:rsidRPr="006C2069">
        <w:t>Teneur de la plainte</w:t>
      </w:r>
      <w:r w:rsidR="00852E79" w:rsidRPr="006C2069">
        <w:t xml:space="preserve"> </w:t>
      </w:r>
    </w:p>
    <w:p w14:paraId="4CB9B051" w14:textId="7BF6C34D" w:rsidR="008E062F" w:rsidRPr="006C2069" w:rsidRDefault="009500E7" w:rsidP="00C12AA3">
      <w:pPr>
        <w:spacing w:after="120"/>
        <w:ind w:left="1134" w:right="1134"/>
        <w:jc w:val="both"/>
      </w:pPr>
      <w:r w:rsidRPr="006C2069">
        <w:rPr>
          <w:rFonts w:eastAsia="Calibri"/>
          <w:bCs/>
          <w:color w:val="000000" w:themeColor="text1"/>
        </w:rPr>
        <w:t>3.1</w:t>
      </w:r>
      <w:r w:rsidRPr="006C2069">
        <w:rPr>
          <w:rFonts w:eastAsia="Calibri"/>
          <w:bCs/>
          <w:color w:val="000000" w:themeColor="text1"/>
        </w:rPr>
        <w:tab/>
      </w:r>
      <w:r w:rsidR="00953A18" w:rsidRPr="006C2069">
        <w:rPr>
          <w:rFonts w:eastAsia="Calibri"/>
          <w:bCs/>
          <w:color w:val="000000" w:themeColor="text1"/>
        </w:rPr>
        <w:t xml:space="preserve">L’auteure </w:t>
      </w:r>
      <w:r w:rsidR="006E29FB" w:rsidRPr="006C2069">
        <w:rPr>
          <w:rFonts w:eastAsia="Calibri"/>
          <w:bCs/>
          <w:color w:val="000000" w:themeColor="text1"/>
        </w:rPr>
        <w:t xml:space="preserve">soumet </w:t>
      </w:r>
      <w:r w:rsidR="00953A18" w:rsidRPr="006C2069">
        <w:rPr>
          <w:rFonts w:eastAsia="Calibri"/>
          <w:bCs/>
          <w:color w:val="000000" w:themeColor="text1"/>
        </w:rPr>
        <w:t xml:space="preserve">qu’elle </w:t>
      </w:r>
      <w:r w:rsidR="00BC24D4" w:rsidRPr="006C2069">
        <w:rPr>
          <w:rFonts w:eastAsia="Calibri"/>
          <w:bCs/>
          <w:color w:val="000000" w:themeColor="text1"/>
        </w:rPr>
        <w:t xml:space="preserve">est victime </w:t>
      </w:r>
      <w:r w:rsidR="00461993" w:rsidRPr="006C2069">
        <w:rPr>
          <w:rFonts w:eastAsia="Calibri"/>
          <w:bCs/>
          <w:color w:val="000000" w:themeColor="text1"/>
        </w:rPr>
        <w:t>d’</w:t>
      </w:r>
      <w:r w:rsidR="00852E79" w:rsidRPr="006C2069">
        <w:rPr>
          <w:rFonts w:eastAsia="Calibri"/>
          <w:bCs/>
          <w:color w:val="000000" w:themeColor="text1"/>
        </w:rPr>
        <w:t xml:space="preserve">une atteinte </w:t>
      </w:r>
      <w:r w:rsidR="00461993" w:rsidRPr="006C2069">
        <w:rPr>
          <w:rFonts w:eastAsia="Calibri"/>
          <w:bCs/>
          <w:color w:val="000000" w:themeColor="text1"/>
        </w:rPr>
        <w:t>à</w:t>
      </w:r>
      <w:r w:rsidR="00852E79" w:rsidRPr="006C2069">
        <w:rPr>
          <w:rFonts w:eastAsia="Calibri"/>
          <w:bCs/>
          <w:color w:val="000000" w:themeColor="text1"/>
        </w:rPr>
        <w:t xml:space="preserve"> </w:t>
      </w:r>
      <w:r w:rsidR="006846F3" w:rsidRPr="006C2069">
        <w:t xml:space="preserve">son droit à un procès équitable garanti par l’article 14, </w:t>
      </w:r>
      <w:r w:rsidR="00561311" w:rsidRPr="006C2069">
        <w:t>paragraphe</w:t>
      </w:r>
      <w:r w:rsidR="006846F3" w:rsidRPr="006C2069">
        <w:t xml:space="preserve"> 1</w:t>
      </w:r>
      <w:r w:rsidR="006846F3" w:rsidRPr="006C2069">
        <w:rPr>
          <w:vertAlign w:val="superscript"/>
        </w:rPr>
        <w:t>er</w:t>
      </w:r>
      <w:r w:rsidR="006846F3" w:rsidRPr="006C2069">
        <w:t xml:space="preserve"> du Pacte. </w:t>
      </w:r>
      <w:r w:rsidR="004267BF" w:rsidRPr="006C2069">
        <w:t xml:space="preserve">Elle </w:t>
      </w:r>
      <w:r w:rsidR="006846F3" w:rsidRPr="006C2069">
        <w:t>considère que la décision du bâtonnier du 29 juin 2017 et l’arrêt de la Cour d’appel de Liège du 15 novembre 2017 l’ont privée de l’assistance de son avocat</w:t>
      </w:r>
      <w:r w:rsidR="008E062F" w:rsidRPr="006C2069">
        <w:t xml:space="preserve"> vu qu’elle a </w:t>
      </w:r>
      <w:r w:rsidR="006846F3" w:rsidRPr="006C2069">
        <w:t>été contrainte à déposer seule ses conclusions le 16 août 2017.</w:t>
      </w:r>
      <w:r w:rsidR="009A1DB7" w:rsidRPr="006C2069">
        <w:t xml:space="preserve"> </w:t>
      </w:r>
      <w:r w:rsidR="008E062F" w:rsidRPr="006C2069">
        <w:t>L</w:t>
      </w:r>
      <w:r w:rsidR="006846F3" w:rsidRPr="006C2069">
        <w:t xml:space="preserve">’auteure </w:t>
      </w:r>
      <w:r w:rsidR="003C305B" w:rsidRPr="006C2069">
        <w:t xml:space="preserve">soumet </w:t>
      </w:r>
      <w:r w:rsidR="006846F3" w:rsidRPr="006C2069">
        <w:t xml:space="preserve">que la Cour d’appel aurait pu infirmer la décision </w:t>
      </w:r>
      <w:r w:rsidR="008E062F" w:rsidRPr="006C2069">
        <w:t xml:space="preserve">du bâtonnier </w:t>
      </w:r>
      <w:r w:rsidR="006846F3" w:rsidRPr="006C2069">
        <w:t>de l’Ordre des avocats</w:t>
      </w:r>
      <w:r w:rsidR="008E062F" w:rsidRPr="006C2069">
        <w:t xml:space="preserve"> en lui permettant d’avoir l’assistance de son avocat</w:t>
      </w:r>
      <w:r w:rsidR="006846F3" w:rsidRPr="006C2069">
        <w:t>.</w:t>
      </w:r>
      <w:r w:rsidR="00DA06AC" w:rsidRPr="006C2069">
        <w:t xml:space="preserve"> </w:t>
      </w:r>
      <w:r w:rsidR="008E062F" w:rsidRPr="006C2069">
        <w:t xml:space="preserve">Elle soumet également </w:t>
      </w:r>
      <w:r w:rsidR="006846F3" w:rsidRPr="006C2069">
        <w:t xml:space="preserve">que son droit </w:t>
      </w:r>
      <w:r w:rsidR="007A0909" w:rsidRPr="006C2069">
        <w:t xml:space="preserve">à </w:t>
      </w:r>
      <w:r w:rsidR="006846F3" w:rsidRPr="006C2069">
        <w:t xml:space="preserve">être entendue a été violé compte tenu du court délai entre la réception, le 2 octobre 2017, de </w:t>
      </w:r>
      <w:r w:rsidR="007A0909" w:rsidRPr="006C2069">
        <w:t>s</w:t>
      </w:r>
      <w:r w:rsidR="006846F3" w:rsidRPr="006C2069">
        <w:t>a convocation et la date de l’audience</w:t>
      </w:r>
      <w:r w:rsidR="00797185" w:rsidRPr="006C2069">
        <w:t>,</w:t>
      </w:r>
      <w:r w:rsidR="006846F3" w:rsidRPr="006C2069">
        <w:t xml:space="preserve"> fixée </w:t>
      </w:r>
      <w:r w:rsidR="00797185" w:rsidRPr="006C2069">
        <w:t>au</w:t>
      </w:r>
      <w:r w:rsidR="006846F3" w:rsidRPr="006C2069">
        <w:t xml:space="preserve"> 18 octobre 2017 et compte tenu également </w:t>
      </w:r>
      <w:r w:rsidR="00797185" w:rsidRPr="006C2069">
        <w:t xml:space="preserve">du fait que </w:t>
      </w:r>
      <w:r w:rsidR="006846F3" w:rsidRPr="006C2069">
        <w:t xml:space="preserve">l’audience a eu lieu </w:t>
      </w:r>
      <w:r w:rsidR="00BC518B" w:rsidRPr="006C2069">
        <w:t>en dépit de</w:t>
      </w:r>
      <w:r w:rsidR="00797185" w:rsidRPr="006C2069">
        <w:t xml:space="preserve"> </w:t>
      </w:r>
      <w:r w:rsidR="006846F3" w:rsidRPr="006C2069">
        <w:t>son courrier du 5 octobre 2017 demandant un report d</w:t>
      </w:r>
      <w:r w:rsidR="00BC518B" w:rsidRPr="006C2069">
        <w:t>’</w:t>
      </w:r>
      <w:r w:rsidR="006846F3" w:rsidRPr="006C2069">
        <w:t xml:space="preserve">audience. L’auteure note par ailleurs qu’elle n’a pas reçu </w:t>
      </w:r>
      <w:r w:rsidR="002A6C45" w:rsidRPr="006C2069">
        <w:t>le rapport</w:t>
      </w:r>
      <w:r w:rsidR="006846F3" w:rsidRPr="006C2069">
        <w:t xml:space="preserve"> de cette audience, ni aucune écriture de la partie adverse. Elle n’a donc pas pu prendre connaissance de l’argumentation présentée par le conseil de son ex-conjoint.</w:t>
      </w:r>
      <w:r w:rsidR="007A0909" w:rsidRPr="006C2069">
        <w:t xml:space="preserve"> </w:t>
      </w:r>
    </w:p>
    <w:p w14:paraId="63ADE017" w14:textId="787D6586" w:rsidR="00085A2B" w:rsidRPr="006C2069" w:rsidRDefault="008E062F" w:rsidP="00085A2B">
      <w:pPr>
        <w:pStyle w:val="SingleTxtG"/>
        <w:tabs>
          <w:tab w:val="left" w:pos="567"/>
        </w:tabs>
        <w:rPr>
          <w:color w:val="000000" w:themeColor="text1"/>
        </w:rPr>
      </w:pPr>
      <w:r w:rsidRPr="006C2069">
        <w:rPr>
          <w:color w:val="000000" w:themeColor="text1"/>
        </w:rPr>
        <w:t>3.2</w:t>
      </w:r>
      <w:r w:rsidR="00085A2B" w:rsidRPr="006C2069">
        <w:rPr>
          <w:color w:val="000000" w:themeColor="text1"/>
        </w:rPr>
        <w:tab/>
      </w:r>
      <w:r w:rsidRPr="006C2069">
        <w:t xml:space="preserve">Elle soumet que cette l’interdiction de la représenter qui a été prononcée contre </w:t>
      </w:r>
      <w:r w:rsidR="0058681E" w:rsidRPr="006C2069">
        <w:t>son avocat</w:t>
      </w:r>
      <w:r w:rsidRPr="006C2069">
        <w:t xml:space="preserve"> peut encore la contraindre de plaider seule à l’audience fixée au 23 mars 2018, en violation de la garantie de « l'égalité des armes », la mettant dans une situation de désavantage par rapport à la partie adverse</w:t>
      </w:r>
      <w:r w:rsidR="00D57A86" w:rsidRPr="006C2069">
        <w:t xml:space="preserve"> ; </w:t>
      </w:r>
      <w:r w:rsidR="00E621B9" w:rsidRPr="006C2069">
        <w:t>qu’en</w:t>
      </w:r>
      <w:r w:rsidRPr="006C2069">
        <w:t xml:space="preserve"> l’espèce, l'intervention d'un avocat peut seule lui garantir un procès équitable</w:t>
      </w:r>
      <w:r w:rsidRPr="006C2069">
        <w:rPr>
          <w:rStyle w:val="FootnoteReference"/>
        </w:rPr>
        <w:footnoteReference w:id="11"/>
      </w:r>
      <w:r w:rsidRPr="006C2069">
        <w:t xml:space="preserve">. </w:t>
      </w:r>
      <w:r w:rsidRPr="006C2069">
        <w:rPr>
          <w:color w:val="000000" w:themeColor="text1"/>
        </w:rPr>
        <w:t xml:space="preserve">Ce qui risque de lui faire courir un </w:t>
      </w:r>
      <w:r w:rsidR="006F6B5B" w:rsidRPr="006C2069">
        <w:rPr>
          <w:color w:val="000000" w:themeColor="text1"/>
        </w:rPr>
        <w:t xml:space="preserve">dommage </w:t>
      </w:r>
      <w:r w:rsidRPr="006C2069">
        <w:rPr>
          <w:color w:val="000000" w:themeColor="text1"/>
        </w:rPr>
        <w:t>irréparable</w:t>
      </w:r>
      <w:r w:rsidR="00085A2B" w:rsidRPr="006C2069">
        <w:rPr>
          <w:color w:val="000000" w:themeColor="text1"/>
        </w:rPr>
        <w:t xml:space="preserve">. En conséquence, </w:t>
      </w:r>
      <w:r w:rsidR="00E621B9" w:rsidRPr="006C2069">
        <w:rPr>
          <w:color w:val="000000" w:themeColor="text1"/>
        </w:rPr>
        <w:t>l’auteure</w:t>
      </w:r>
      <w:r w:rsidR="00085A2B" w:rsidRPr="006C2069">
        <w:rPr>
          <w:color w:val="000000" w:themeColor="text1"/>
        </w:rPr>
        <w:t xml:space="preserve"> sollicite du Comité l’octroi de mesures provisoires afin de lui permettre de défendre sa cause à l'audience fixée </w:t>
      </w:r>
      <w:r w:rsidR="00E621B9" w:rsidRPr="006C2069">
        <w:rPr>
          <w:color w:val="000000" w:themeColor="text1"/>
        </w:rPr>
        <w:t>au</w:t>
      </w:r>
      <w:r w:rsidR="00085A2B" w:rsidRPr="006C2069">
        <w:rPr>
          <w:color w:val="000000" w:themeColor="text1"/>
        </w:rPr>
        <w:t xml:space="preserve"> 23 mars 2018, assistée de son avocat.</w:t>
      </w:r>
    </w:p>
    <w:p w14:paraId="1076AF37" w14:textId="434FE36E" w:rsidR="00BE75F5" w:rsidRPr="006E1A0D" w:rsidRDefault="00C37753" w:rsidP="00C37753">
      <w:pPr>
        <w:pStyle w:val="H23G"/>
      </w:pPr>
      <w:r w:rsidRPr="006C2069">
        <w:tab/>
      </w:r>
      <w:r w:rsidRPr="006C2069">
        <w:tab/>
      </w:r>
      <w:r w:rsidR="00BE75F5" w:rsidRPr="006E1A0D">
        <w:t xml:space="preserve">Soumissions additionnelles de l’auteure </w:t>
      </w:r>
    </w:p>
    <w:p w14:paraId="465221B6" w14:textId="3314E483" w:rsidR="004546B6" w:rsidRPr="006E1A0D" w:rsidRDefault="00C12AA3" w:rsidP="004546B6">
      <w:pPr>
        <w:pStyle w:val="SingleTxtG"/>
        <w:tabs>
          <w:tab w:val="left" w:pos="567"/>
        </w:tabs>
        <w:rPr>
          <w:color w:val="000000" w:themeColor="text1"/>
        </w:rPr>
      </w:pPr>
      <w:r w:rsidRPr="006E1A0D">
        <w:rPr>
          <w:color w:val="000000" w:themeColor="text1"/>
        </w:rPr>
        <w:t>4.1</w:t>
      </w:r>
      <w:r w:rsidR="004546B6" w:rsidRPr="006E1A0D">
        <w:rPr>
          <w:color w:val="000000" w:themeColor="text1"/>
        </w:rPr>
        <w:tab/>
      </w:r>
      <w:r w:rsidR="004546B6" w:rsidRPr="006E1A0D">
        <w:rPr>
          <w:rFonts w:eastAsia="Calibri"/>
          <w:bCs/>
          <w:color w:val="000000" w:themeColor="text1"/>
        </w:rPr>
        <w:t xml:space="preserve">Dans sa soumission additionnelle du 11 mars 2019, </w:t>
      </w:r>
      <w:r w:rsidR="004546B6" w:rsidRPr="006E1A0D">
        <w:rPr>
          <w:color w:val="000000" w:themeColor="text1"/>
        </w:rPr>
        <w:t>l</w:t>
      </w:r>
      <w:r w:rsidR="00E621B9" w:rsidRPr="006E1A0D">
        <w:rPr>
          <w:color w:val="000000" w:themeColor="text1"/>
        </w:rPr>
        <w:t>’</w:t>
      </w:r>
      <w:r w:rsidR="004546B6" w:rsidRPr="006E1A0D">
        <w:rPr>
          <w:color w:val="000000" w:themeColor="text1"/>
        </w:rPr>
        <w:t xml:space="preserve">auteure </w:t>
      </w:r>
      <w:r w:rsidR="00E621B9" w:rsidRPr="006E1A0D">
        <w:rPr>
          <w:color w:val="000000" w:themeColor="text1"/>
        </w:rPr>
        <w:t>fait valoir qu’elle a</w:t>
      </w:r>
      <w:r w:rsidR="004546B6" w:rsidRPr="006E1A0D">
        <w:rPr>
          <w:color w:val="000000" w:themeColor="text1"/>
        </w:rPr>
        <w:t xml:space="preserve"> présenté une requête devant la Cour européenne des droits de l’homme. Le 19 avril 2018, la Cour</w:t>
      </w:r>
      <w:r w:rsidR="00E621B9" w:rsidRPr="006E1A0D">
        <w:rPr>
          <w:color w:val="000000" w:themeColor="text1"/>
        </w:rPr>
        <w:t>,</w:t>
      </w:r>
      <w:r w:rsidR="004546B6" w:rsidRPr="006E1A0D">
        <w:rPr>
          <w:color w:val="000000" w:themeColor="text1"/>
        </w:rPr>
        <w:t xml:space="preserve"> siégeant en formation de juge unique, a déclaré la requête irrecevable trouvant que ses allégations sont manifestement mal fondées.</w:t>
      </w:r>
    </w:p>
    <w:p w14:paraId="623ACFBA" w14:textId="14CBC79C" w:rsidR="00F12FB8" w:rsidRPr="006C2069" w:rsidRDefault="00C12AA3" w:rsidP="00E621B9">
      <w:pPr>
        <w:pStyle w:val="SingleTxtG"/>
        <w:tabs>
          <w:tab w:val="left" w:pos="567"/>
        </w:tabs>
      </w:pPr>
      <w:r w:rsidRPr="006E1A0D">
        <w:rPr>
          <w:rFonts w:eastAsia="Calibri"/>
          <w:bCs/>
          <w:color w:val="000000" w:themeColor="text1"/>
        </w:rPr>
        <w:t>4.2</w:t>
      </w:r>
      <w:r w:rsidR="004546B6" w:rsidRPr="006E1A0D">
        <w:rPr>
          <w:rFonts w:eastAsia="Calibri"/>
          <w:bCs/>
          <w:color w:val="000000" w:themeColor="text1"/>
        </w:rPr>
        <w:tab/>
      </w:r>
      <w:r w:rsidR="002244C0" w:rsidRPr="006E1A0D">
        <w:t>L</w:t>
      </w:r>
      <w:r w:rsidR="00085A2B" w:rsidRPr="006E1A0D">
        <w:t xml:space="preserve">’auteure allègue </w:t>
      </w:r>
      <w:r w:rsidR="00E621B9" w:rsidRPr="006E1A0D">
        <w:t xml:space="preserve">que, </w:t>
      </w:r>
      <w:r w:rsidR="00E621B9" w:rsidRPr="006E1A0D">
        <w:rPr>
          <w:rFonts w:eastAsia="Calibri"/>
          <w:bCs/>
          <w:color w:val="000000" w:themeColor="text1"/>
        </w:rPr>
        <w:t>face aux pressions du président de la cour d’appel de Liège d’adjuger les conclusions de la partie adverse, elle a dû plaider seule à l’audience du 23 mars 2018</w:t>
      </w:r>
      <w:r w:rsidR="002244C0" w:rsidRPr="006E1A0D">
        <w:rPr>
          <w:rFonts w:eastAsia="Calibri"/>
          <w:bCs/>
          <w:color w:val="000000" w:themeColor="text1"/>
        </w:rPr>
        <w:t>, c</w:t>
      </w:r>
      <w:r w:rsidR="00E621B9" w:rsidRPr="006E1A0D">
        <w:rPr>
          <w:rFonts w:eastAsia="Calibri"/>
          <w:bCs/>
          <w:color w:val="000000" w:themeColor="text1"/>
        </w:rPr>
        <w:t>e qui</w:t>
      </w:r>
      <w:r w:rsidR="00E621B9" w:rsidRPr="006C2069">
        <w:rPr>
          <w:rFonts w:eastAsia="Calibri"/>
          <w:bCs/>
          <w:color w:val="000000" w:themeColor="text1"/>
        </w:rPr>
        <w:t xml:space="preserve"> l</w:t>
      </w:r>
      <w:r w:rsidR="006F6B5B" w:rsidRPr="006C2069">
        <w:rPr>
          <w:rFonts w:eastAsia="Calibri"/>
          <w:bCs/>
          <w:color w:val="000000" w:themeColor="text1"/>
        </w:rPr>
        <w:t>’</w:t>
      </w:r>
      <w:r w:rsidR="00E621B9" w:rsidRPr="006C2069">
        <w:rPr>
          <w:rFonts w:eastAsia="Calibri"/>
          <w:bCs/>
          <w:color w:val="000000" w:themeColor="text1"/>
        </w:rPr>
        <w:t>a plac</w:t>
      </w:r>
      <w:r w:rsidR="006F6B5B" w:rsidRPr="006C2069">
        <w:rPr>
          <w:rFonts w:eastAsia="Calibri"/>
          <w:bCs/>
          <w:color w:val="000000" w:themeColor="text1"/>
        </w:rPr>
        <w:t>é</w:t>
      </w:r>
      <w:r w:rsidR="00E621B9" w:rsidRPr="006C2069">
        <w:rPr>
          <w:rFonts w:eastAsia="Calibri"/>
          <w:bCs/>
          <w:color w:val="000000" w:themeColor="text1"/>
        </w:rPr>
        <w:t xml:space="preserve"> dans une situation défavorable par rapport à la partie adverse, en violation du principe de l’égalité des armes.</w:t>
      </w:r>
      <w:r w:rsidR="00E621B9" w:rsidRPr="006C2069">
        <w:t xml:space="preserve"> </w:t>
      </w:r>
      <w:r w:rsidR="004546B6" w:rsidRPr="006C2069">
        <w:t xml:space="preserve">L’auteure estime </w:t>
      </w:r>
      <w:r w:rsidR="00F12FB8" w:rsidRPr="006C2069">
        <w:rPr>
          <w:rFonts w:eastAsia="Calibri"/>
          <w:bCs/>
          <w:color w:val="000000" w:themeColor="text1"/>
        </w:rPr>
        <w:t>qu’il incombait aux juridictions belges de veiller à l'équité de la procédure dont elles avaient la charge, en s'assurant notamment qu</w:t>
      </w:r>
      <w:r w:rsidR="004546B6" w:rsidRPr="006C2069">
        <w:rPr>
          <w:rFonts w:eastAsia="Calibri"/>
          <w:bCs/>
          <w:color w:val="000000" w:themeColor="text1"/>
        </w:rPr>
        <w:t xml:space="preserve">’elle </w:t>
      </w:r>
      <w:r w:rsidR="006F6B5B" w:rsidRPr="006C2069">
        <w:rPr>
          <w:rFonts w:eastAsia="Calibri"/>
          <w:bCs/>
          <w:color w:val="000000" w:themeColor="text1"/>
        </w:rPr>
        <w:t xml:space="preserve">ait </w:t>
      </w:r>
      <w:r w:rsidR="00F12FB8" w:rsidRPr="006C2069">
        <w:rPr>
          <w:rFonts w:eastAsia="Calibri"/>
          <w:bCs/>
          <w:color w:val="000000" w:themeColor="text1"/>
        </w:rPr>
        <w:t xml:space="preserve">accès à son avocat et qu'elle </w:t>
      </w:r>
      <w:r w:rsidR="00E621B9" w:rsidRPr="006C2069">
        <w:rPr>
          <w:rFonts w:eastAsia="Calibri"/>
          <w:bCs/>
          <w:color w:val="000000" w:themeColor="text1"/>
        </w:rPr>
        <w:t>a</w:t>
      </w:r>
      <w:r w:rsidR="00D84E1E" w:rsidRPr="006C2069">
        <w:rPr>
          <w:rFonts w:eastAsia="Calibri"/>
          <w:bCs/>
          <w:color w:val="000000" w:themeColor="text1"/>
        </w:rPr>
        <w:t>it</w:t>
      </w:r>
      <w:r w:rsidR="00F12FB8" w:rsidRPr="006C2069">
        <w:rPr>
          <w:rFonts w:eastAsia="Calibri"/>
          <w:bCs/>
          <w:color w:val="000000" w:themeColor="text1"/>
        </w:rPr>
        <w:t xml:space="preserve"> le droit de produire toute</w:t>
      </w:r>
      <w:r w:rsidR="00C12C0F" w:rsidRPr="006C2069">
        <w:rPr>
          <w:rFonts w:eastAsia="Calibri"/>
          <w:bCs/>
          <w:color w:val="000000" w:themeColor="text1"/>
        </w:rPr>
        <w:t xml:space="preserve"> </w:t>
      </w:r>
      <w:r w:rsidR="00F12FB8" w:rsidRPr="006C2069">
        <w:rPr>
          <w:rFonts w:eastAsia="Calibri"/>
          <w:bCs/>
          <w:color w:val="000000" w:themeColor="text1"/>
        </w:rPr>
        <w:t xml:space="preserve">pièce utile à sa défense. L’auteure soumet également que, selon la jurisprudence de la Cour </w:t>
      </w:r>
      <w:r w:rsidR="004546B6" w:rsidRPr="006C2069">
        <w:rPr>
          <w:rFonts w:eastAsia="Calibri"/>
          <w:bCs/>
          <w:color w:val="000000" w:themeColor="text1"/>
        </w:rPr>
        <w:t>e</w:t>
      </w:r>
      <w:r w:rsidR="00F12FB8" w:rsidRPr="006C2069">
        <w:rPr>
          <w:rFonts w:eastAsia="Calibri"/>
          <w:bCs/>
          <w:color w:val="000000" w:themeColor="text1"/>
        </w:rPr>
        <w:t xml:space="preserve">uropéenne des </w:t>
      </w:r>
      <w:r w:rsidR="004546B6" w:rsidRPr="006C2069">
        <w:rPr>
          <w:rFonts w:eastAsia="Calibri"/>
          <w:bCs/>
          <w:color w:val="000000" w:themeColor="text1"/>
        </w:rPr>
        <w:t>d</w:t>
      </w:r>
      <w:r w:rsidR="00F12FB8" w:rsidRPr="006C2069">
        <w:rPr>
          <w:rFonts w:eastAsia="Calibri"/>
          <w:bCs/>
          <w:color w:val="000000" w:themeColor="text1"/>
        </w:rPr>
        <w:t>roits de l'</w:t>
      </w:r>
      <w:r w:rsidR="004546B6" w:rsidRPr="006C2069">
        <w:rPr>
          <w:rFonts w:eastAsia="Calibri"/>
          <w:bCs/>
          <w:color w:val="000000" w:themeColor="text1"/>
        </w:rPr>
        <w:t>h</w:t>
      </w:r>
      <w:r w:rsidR="00F12FB8" w:rsidRPr="006C2069">
        <w:rPr>
          <w:rFonts w:eastAsia="Calibri"/>
          <w:bCs/>
          <w:color w:val="000000" w:themeColor="text1"/>
        </w:rPr>
        <w:t>omme, une des exigences d'un « procès équitable » est « l'égalité des armes », laquelle implique l'obligation d'offrir à chaque partie une possibilité raisonnable de présenter sa cause dans des conditions qui ne la placent pas dans une situation de net désavantage par rapport à son adversaire</w:t>
      </w:r>
      <w:r w:rsidR="00F12FB8" w:rsidRPr="006C2069">
        <w:rPr>
          <w:rFonts w:eastAsia="Calibri"/>
          <w:bCs/>
          <w:color w:val="000000" w:themeColor="text1"/>
          <w:vertAlign w:val="superscript"/>
        </w:rPr>
        <w:footnoteReference w:id="12"/>
      </w:r>
      <w:r w:rsidR="00F12FB8" w:rsidRPr="006C2069">
        <w:rPr>
          <w:rFonts w:eastAsia="Calibri"/>
          <w:bCs/>
          <w:color w:val="000000" w:themeColor="text1"/>
        </w:rPr>
        <w:t>.</w:t>
      </w:r>
    </w:p>
    <w:p w14:paraId="05400331" w14:textId="063763FD" w:rsidR="00F12FB8" w:rsidRPr="006C2069" w:rsidRDefault="00C12AA3" w:rsidP="005243ED">
      <w:pPr>
        <w:pStyle w:val="SingleTxtG"/>
      </w:pPr>
      <w:r w:rsidRPr="006C2069">
        <w:t>4.3</w:t>
      </w:r>
      <w:r w:rsidR="0040754E" w:rsidRPr="006C2069">
        <w:tab/>
      </w:r>
      <w:r w:rsidR="00F12FB8" w:rsidRPr="006C2069">
        <w:t xml:space="preserve">L’auteure estime que la violation alléguée lui cause un préjudice irréparable. </w:t>
      </w:r>
      <w:r w:rsidR="00E621B9" w:rsidRPr="006C2069">
        <w:t xml:space="preserve">Elle </w:t>
      </w:r>
      <w:r w:rsidR="00F12FB8" w:rsidRPr="006C2069">
        <w:t xml:space="preserve">fait valoir un préjudice matériel de quatre mille euros en raison notamment de son déplacement à Liège, des frais de vol, d’hôtel, de location de voiture, de garde de ses enfants, de congé et des frais de production et d’envoi de documents liés à la procédure. L’auteure fait valoir également un préjudice moral de dix mille euros. Elle soumet qu’elle a dû consacrer d’innombrables heures en soirées, après les heures de travail, et en week-ends, à la rédaction des conclusions de 44 pages du 14 août 2017, la privant de nombreux moments avec ses enfants qu'elle élève seule. </w:t>
      </w:r>
    </w:p>
    <w:p w14:paraId="5B472220" w14:textId="22816E80" w:rsidR="005C3DB3" w:rsidRPr="006C2069" w:rsidRDefault="00C12AA3" w:rsidP="005243ED">
      <w:pPr>
        <w:pStyle w:val="SingleTxtG"/>
      </w:pPr>
      <w:r w:rsidRPr="006C2069">
        <w:t>4.4</w:t>
      </w:r>
      <w:r w:rsidR="0040754E" w:rsidRPr="006C2069">
        <w:tab/>
      </w:r>
      <w:r w:rsidR="00E621B9" w:rsidRPr="006C2069">
        <w:t xml:space="preserve">L’auteure </w:t>
      </w:r>
      <w:r w:rsidR="00F12FB8" w:rsidRPr="006C2069">
        <w:t xml:space="preserve">souligne qu’elle a </w:t>
      </w:r>
      <w:r w:rsidR="008E33B6" w:rsidRPr="006C2069">
        <w:t xml:space="preserve">vainement </w:t>
      </w:r>
      <w:r w:rsidR="00F12FB8" w:rsidRPr="006C2069">
        <w:t>demandé au greffier du siège de consigner cet incident dans le compte rendu de l'audience du 23 mars 2018</w:t>
      </w:r>
      <w:r w:rsidR="00D84E1E" w:rsidRPr="006C2069">
        <w:t>. Compte-rendu qui ne lui a jamais été expédié</w:t>
      </w:r>
      <w:r w:rsidR="008E33B6" w:rsidRPr="006C2069">
        <w:t xml:space="preserve">. </w:t>
      </w:r>
      <w:r w:rsidR="00F12FB8" w:rsidRPr="006C2069">
        <w:t xml:space="preserve">L’auteure souligne </w:t>
      </w:r>
      <w:r w:rsidR="00E621B9" w:rsidRPr="006C2069">
        <w:t xml:space="preserve">également </w:t>
      </w:r>
      <w:r w:rsidR="00F12FB8" w:rsidRPr="006C2069">
        <w:t xml:space="preserve">qu’il ressort de ses conclusions du 14 août 2017, que le débat portait sur des questions </w:t>
      </w:r>
      <w:r w:rsidR="00E621B9" w:rsidRPr="006C2069">
        <w:t xml:space="preserve">juridiques </w:t>
      </w:r>
      <w:r w:rsidR="00F12FB8" w:rsidRPr="006C2069">
        <w:t xml:space="preserve">extrêmement pointues, qui nécessitaient à l'évidence l'intervention d'un </w:t>
      </w:r>
      <w:r w:rsidR="00F3093B" w:rsidRPr="006C2069">
        <w:t xml:space="preserve">professionnel du droit </w:t>
      </w:r>
      <w:r w:rsidR="00F12FB8" w:rsidRPr="006C2069">
        <w:t>aguerri. Il s'agissait entre autres d'examiner en quatrième instance l'exception de litispendance internationale</w:t>
      </w:r>
      <w:r w:rsidR="005C3DB3" w:rsidRPr="006C2069">
        <w:rPr>
          <w:rStyle w:val="FootnoteReference"/>
          <w:rFonts w:eastAsia="Calibri"/>
          <w:bCs/>
          <w:color w:val="000000" w:themeColor="text1"/>
        </w:rPr>
        <w:footnoteReference w:id="13"/>
      </w:r>
      <w:r w:rsidR="00F12FB8" w:rsidRPr="006C2069">
        <w:t xml:space="preserve"> invoquée en toute légitimité par </w:t>
      </w:r>
      <w:r w:rsidR="008E33B6" w:rsidRPr="006C2069">
        <w:t>l’auteure</w:t>
      </w:r>
      <w:r w:rsidR="00F12FB8" w:rsidRPr="006C2069">
        <w:t xml:space="preserve"> et déduite d'une procédure en divorce introduite préalablement en Suisse. Il s'agissait également d'examiner la demande de dommages et intérêts formulée par </w:t>
      </w:r>
      <w:r w:rsidR="008E33B6" w:rsidRPr="006C2069">
        <w:t>l’auteure</w:t>
      </w:r>
      <w:r w:rsidR="00F12FB8" w:rsidRPr="006C2069">
        <w:t xml:space="preserve"> en raison de l'utilisation abusive du droit et des procédures </w:t>
      </w:r>
      <w:r w:rsidR="005C3DB3" w:rsidRPr="006C2069">
        <w:t>par</w:t>
      </w:r>
      <w:r w:rsidR="00F12FB8" w:rsidRPr="006C2069">
        <w:t xml:space="preserve"> la partie adverse</w:t>
      </w:r>
      <w:r w:rsidR="005C3DB3" w:rsidRPr="006C2069">
        <w:t xml:space="preserve">. </w:t>
      </w:r>
    </w:p>
    <w:p w14:paraId="5931292F" w14:textId="37372485" w:rsidR="00F70638" w:rsidRPr="006C2069" w:rsidRDefault="00C12AA3" w:rsidP="005243ED">
      <w:pPr>
        <w:pStyle w:val="SingleTxtG"/>
      </w:pPr>
      <w:r w:rsidRPr="006E1A0D">
        <w:t>4.5</w:t>
      </w:r>
      <w:r w:rsidR="0040754E" w:rsidRPr="006E1A0D">
        <w:tab/>
      </w:r>
      <w:r w:rsidR="00F12FB8" w:rsidRPr="006E1A0D">
        <w:t xml:space="preserve">L’auteure souligne que </w:t>
      </w:r>
      <w:r w:rsidR="007B1CE3" w:rsidRPr="006E1A0D">
        <w:t xml:space="preserve">ce n’est que </w:t>
      </w:r>
      <w:r w:rsidR="00F12FB8" w:rsidRPr="006E1A0D">
        <w:t xml:space="preserve">par </w:t>
      </w:r>
      <w:r w:rsidR="007B1CE3" w:rsidRPr="006E1A0D">
        <w:t xml:space="preserve">un </w:t>
      </w:r>
      <w:r w:rsidR="00F12FB8" w:rsidRPr="006E1A0D">
        <w:t>arrêt du 4 mai 2018</w:t>
      </w:r>
      <w:r w:rsidR="007B1CE3" w:rsidRPr="006E1A0D">
        <w:t xml:space="preserve"> que</w:t>
      </w:r>
      <w:r w:rsidR="00F12FB8" w:rsidRPr="006E1A0D">
        <w:t xml:space="preserve"> la Cour d'appel de Liège, en quatrième instance, a </w:t>
      </w:r>
      <w:r w:rsidR="007B1CE3" w:rsidRPr="006E1A0D">
        <w:t>finalement déclaré recevable et fondée l'exception de litispendance internationale qu’elle a soulevée dans ses conclusions du 15 mai 2013</w:t>
      </w:r>
      <w:r w:rsidR="00F12FB8" w:rsidRPr="006E1A0D">
        <w:t>,</w:t>
      </w:r>
      <w:r w:rsidR="007B1CE3" w:rsidRPr="006E1A0D">
        <w:t xml:space="preserve"> et ce</w:t>
      </w:r>
      <w:r w:rsidR="00F12FB8" w:rsidRPr="006E1A0D">
        <w:t xml:space="preserve"> après 5 années de procédure et après renvoi de la Cour de Cassation</w:t>
      </w:r>
      <w:r w:rsidR="007B1CE3" w:rsidRPr="006E1A0D">
        <w:t>.</w:t>
      </w:r>
      <w:r w:rsidR="00C12C0F" w:rsidRPr="006E1A0D">
        <w:t xml:space="preserve"> </w:t>
      </w:r>
      <w:r w:rsidR="00F12FB8" w:rsidRPr="006E1A0D">
        <w:t>Elle souligne, en revanche, qu’elle a été déboutée de sa demande en dommages et intérêts et de sa demande de condamnation de la partie adverse aux frais et dépens.</w:t>
      </w:r>
      <w:r w:rsidR="00F70638" w:rsidRPr="006C2069">
        <w:t xml:space="preserve"> </w:t>
      </w:r>
    </w:p>
    <w:p w14:paraId="5AB4BCEC" w14:textId="26D2157E" w:rsidR="00CB5190" w:rsidRPr="006C2069" w:rsidRDefault="00CB5190" w:rsidP="005243ED">
      <w:pPr>
        <w:pStyle w:val="H23G"/>
      </w:pPr>
      <w:r w:rsidRPr="006C2069">
        <w:tab/>
      </w:r>
      <w:r w:rsidRPr="006C2069">
        <w:tab/>
        <w:t>Observations de l’État partie sur la recevabilité</w:t>
      </w:r>
      <w:r w:rsidR="00BC24D4" w:rsidRPr="006C2069">
        <w:t xml:space="preserve"> et le fond de la communication</w:t>
      </w:r>
    </w:p>
    <w:p w14:paraId="3361795E" w14:textId="5DA17900" w:rsidR="00142F1D" w:rsidRPr="006C2069" w:rsidRDefault="0040754E" w:rsidP="000C5E6A">
      <w:pPr>
        <w:pStyle w:val="SingleTxtG"/>
        <w:rPr>
          <w:color w:val="000000" w:themeColor="text1"/>
        </w:rPr>
      </w:pPr>
      <w:r w:rsidRPr="006C2069">
        <w:rPr>
          <w:color w:val="000000" w:themeColor="text1"/>
        </w:rPr>
        <w:t>5.</w:t>
      </w:r>
      <w:r w:rsidR="00CB5190" w:rsidRPr="006C2069">
        <w:rPr>
          <w:color w:val="000000" w:themeColor="text1"/>
        </w:rPr>
        <w:t>1</w:t>
      </w:r>
      <w:r w:rsidR="00CB5190" w:rsidRPr="006C2069">
        <w:rPr>
          <w:color w:val="000000" w:themeColor="text1"/>
        </w:rPr>
        <w:tab/>
      </w:r>
      <w:r w:rsidR="00374E07" w:rsidRPr="006C2069">
        <w:rPr>
          <w:color w:val="000000" w:themeColor="text1"/>
        </w:rPr>
        <w:t xml:space="preserve">Le </w:t>
      </w:r>
      <w:r w:rsidR="00BC24D4" w:rsidRPr="006C2069">
        <w:rPr>
          <w:color w:val="000000" w:themeColor="text1"/>
        </w:rPr>
        <w:t>5 juin 2019,</w:t>
      </w:r>
      <w:r w:rsidR="00CB5190" w:rsidRPr="006C2069">
        <w:rPr>
          <w:color w:val="000000" w:themeColor="text1"/>
        </w:rPr>
        <w:t xml:space="preserve"> l’Etat partie a soumis ses observations sur la recevabilité </w:t>
      </w:r>
      <w:r w:rsidR="00BC24D4" w:rsidRPr="006C2069">
        <w:rPr>
          <w:color w:val="000000" w:themeColor="text1"/>
        </w:rPr>
        <w:t xml:space="preserve">et le fond </w:t>
      </w:r>
      <w:r w:rsidR="00CB5190" w:rsidRPr="006C2069">
        <w:rPr>
          <w:color w:val="000000" w:themeColor="text1"/>
        </w:rPr>
        <w:t xml:space="preserve">de la communication. </w:t>
      </w:r>
      <w:r w:rsidR="00866FD7" w:rsidRPr="006C2069">
        <w:rPr>
          <w:color w:val="000000" w:themeColor="text1"/>
        </w:rPr>
        <w:t>Il estime que le Comité doit déclarer la communication irrecevable</w:t>
      </w:r>
      <w:r w:rsidR="000B1784" w:rsidRPr="006C2069">
        <w:rPr>
          <w:color w:val="000000" w:themeColor="text1"/>
        </w:rPr>
        <w:t xml:space="preserve"> vu que les griefs soumis par l’auteure ne sont pas étayés</w:t>
      </w:r>
      <w:r w:rsidR="00142F1D" w:rsidRPr="006C2069">
        <w:rPr>
          <w:color w:val="000000" w:themeColor="text1"/>
        </w:rPr>
        <w:t xml:space="preserve">. </w:t>
      </w:r>
      <w:r w:rsidR="001B498E" w:rsidRPr="006C2069">
        <w:rPr>
          <w:color w:val="000000" w:themeColor="text1"/>
        </w:rPr>
        <w:t xml:space="preserve">L’Etat partie </w:t>
      </w:r>
      <w:r w:rsidR="00980D23" w:rsidRPr="006C2069">
        <w:rPr>
          <w:color w:val="000000" w:themeColor="text1"/>
        </w:rPr>
        <w:t xml:space="preserve">fait valoir </w:t>
      </w:r>
      <w:r w:rsidR="001B498E" w:rsidRPr="006C2069">
        <w:rPr>
          <w:color w:val="000000" w:themeColor="text1"/>
        </w:rPr>
        <w:t xml:space="preserve">qu’en l’espèce </w:t>
      </w:r>
      <w:r w:rsidR="00142F1D" w:rsidRPr="006C2069">
        <w:rPr>
          <w:color w:val="000000" w:themeColor="text1"/>
        </w:rPr>
        <w:t xml:space="preserve">les griefs de </w:t>
      </w:r>
      <w:r w:rsidR="006B0D2D" w:rsidRPr="006C2069">
        <w:rPr>
          <w:color w:val="000000" w:themeColor="text1"/>
        </w:rPr>
        <w:t>l’auteure</w:t>
      </w:r>
      <w:r w:rsidR="00142F1D" w:rsidRPr="006C2069">
        <w:rPr>
          <w:color w:val="000000" w:themeColor="text1"/>
        </w:rPr>
        <w:t xml:space="preserve"> ont été examinés par la Cour d’appel de Liège qui, dans son arrêt du 15 novembre 2017, tout en indiquant qu’elle n’est pas tenue par l’appréciation du </w:t>
      </w:r>
      <w:r w:rsidR="006B0D2D" w:rsidRPr="006C2069">
        <w:rPr>
          <w:color w:val="000000" w:themeColor="text1"/>
        </w:rPr>
        <w:t>b</w:t>
      </w:r>
      <w:r w:rsidR="00142F1D" w:rsidRPr="006C2069">
        <w:rPr>
          <w:color w:val="000000" w:themeColor="text1"/>
        </w:rPr>
        <w:t xml:space="preserve">âtonnier quant à la recevabilité des courriers litigieux, a estimé </w:t>
      </w:r>
      <w:r w:rsidR="007106FF" w:rsidRPr="006C2069">
        <w:rPr>
          <w:color w:val="000000" w:themeColor="text1"/>
        </w:rPr>
        <w:t xml:space="preserve">néanmoins </w:t>
      </w:r>
      <w:r w:rsidR="00142F1D" w:rsidRPr="006C2069">
        <w:rPr>
          <w:color w:val="000000" w:themeColor="text1"/>
        </w:rPr>
        <w:t xml:space="preserve">qu’elle ne pouvait pas autoriser l’ancien </w:t>
      </w:r>
      <w:r w:rsidR="007106FF" w:rsidRPr="006C2069">
        <w:rPr>
          <w:color w:val="000000" w:themeColor="text1"/>
        </w:rPr>
        <w:t xml:space="preserve">avocat </w:t>
      </w:r>
      <w:r w:rsidR="00142F1D" w:rsidRPr="006C2069">
        <w:rPr>
          <w:color w:val="000000" w:themeColor="text1"/>
        </w:rPr>
        <w:t xml:space="preserve">de </w:t>
      </w:r>
      <w:r w:rsidR="007106FF" w:rsidRPr="006C2069">
        <w:rPr>
          <w:color w:val="000000" w:themeColor="text1"/>
        </w:rPr>
        <w:t>l’auteure</w:t>
      </w:r>
      <w:r w:rsidR="00142F1D" w:rsidRPr="006C2069">
        <w:rPr>
          <w:color w:val="000000" w:themeColor="text1"/>
        </w:rPr>
        <w:t xml:space="preserve"> à conclure et à la représenter à l’audience nonobstant les injonctions du </w:t>
      </w:r>
      <w:r w:rsidR="006B0D2D" w:rsidRPr="006C2069">
        <w:rPr>
          <w:color w:val="000000" w:themeColor="text1"/>
        </w:rPr>
        <w:t>b</w:t>
      </w:r>
      <w:r w:rsidR="00142F1D" w:rsidRPr="006C2069">
        <w:rPr>
          <w:color w:val="000000" w:themeColor="text1"/>
        </w:rPr>
        <w:t xml:space="preserve">âtonnier. L’Etat partie rappelle que, selon la jurisprudence </w:t>
      </w:r>
      <w:r w:rsidR="000C5E6A" w:rsidRPr="006C2069">
        <w:rPr>
          <w:color w:val="000000" w:themeColor="text1"/>
        </w:rPr>
        <w:t>du</w:t>
      </w:r>
      <w:r w:rsidR="00142F1D" w:rsidRPr="006C2069">
        <w:rPr>
          <w:color w:val="000000" w:themeColor="text1"/>
        </w:rPr>
        <w:t xml:space="preserve"> Comité, « il appartient aux tribunaux d’appel des Etats parties, et non au Comité, d’évaluer les faits et les preuves dans une affaire donnée » et ce, à moins qu’il ne soit possible de prouver que les juridictions nationales ont été « nettement arbitraires »</w:t>
      </w:r>
      <w:r w:rsidR="000C5E6A" w:rsidRPr="006C2069">
        <w:rPr>
          <w:rStyle w:val="FootnoteReference"/>
          <w:color w:val="000000" w:themeColor="text1"/>
        </w:rPr>
        <w:footnoteReference w:id="14"/>
      </w:r>
      <w:r w:rsidR="007640C6">
        <w:rPr>
          <w:color w:val="000000" w:themeColor="text1"/>
        </w:rPr>
        <w:t>.</w:t>
      </w:r>
      <w:r w:rsidR="006B0D2D" w:rsidRPr="006C2069">
        <w:rPr>
          <w:color w:val="000000" w:themeColor="text1"/>
        </w:rPr>
        <w:t xml:space="preserve"> </w:t>
      </w:r>
    </w:p>
    <w:p w14:paraId="446DB411" w14:textId="4E050F1D" w:rsidR="00142F1D" w:rsidRPr="006C2069" w:rsidRDefault="0040754E" w:rsidP="00417970">
      <w:pPr>
        <w:pStyle w:val="SingleTxtG"/>
        <w:rPr>
          <w:color w:val="000000" w:themeColor="text1"/>
        </w:rPr>
      </w:pPr>
      <w:r w:rsidRPr="006C2069">
        <w:rPr>
          <w:color w:val="000000" w:themeColor="text1"/>
        </w:rPr>
        <w:t>5.2</w:t>
      </w:r>
      <w:r w:rsidRPr="006C2069">
        <w:rPr>
          <w:color w:val="000000" w:themeColor="text1"/>
        </w:rPr>
        <w:tab/>
      </w:r>
      <w:r w:rsidR="000C5E6A" w:rsidRPr="006C2069">
        <w:rPr>
          <w:color w:val="000000" w:themeColor="text1"/>
        </w:rPr>
        <w:t xml:space="preserve">L’Etat partie souligne </w:t>
      </w:r>
      <w:r w:rsidR="007106FF" w:rsidRPr="006C2069">
        <w:rPr>
          <w:color w:val="000000" w:themeColor="text1"/>
        </w:rPr>
        <w:t>que l’auteure</w:t>
      </w:r>
      <w:r w:rsidR="00142F1D" w:rsidRPr="006C2069">
        <w:rPr>
          <w:color w:val="000000" w:themeColor="text1"/>
        </w:rPr>
        <w:t xml:space="preserve"> </w:t>
      </w:r>
      <w:r w:rsidR="000C5E6A" w:rsidRPr="006C2069">
        <w:rPr>
          <w:color w:val="000000" w:themeColor="text1"/>
        </w:rPr>
        <w:t>a exposé</w:t>
      </w:r>
      <w:r w:rsidR="00142F1D" w:rsidRPr="006C2069">
        <w:rPr>
          <w:color w:val="000000" w:themeColor="text1"/>
        </w:rPr>
        <w:t xml:space="preserve"> </w:t>
      </w:r>
      <w:r w:rsidR="000C5E6A" w:rsidRPr="006C2069">
        <w:rPr>
          <w:color w:val="000000" w:themeColor="text1"/>
        </w:rPr>
        <w:t xml:space="preserve">le grief de l’inobservance du principe de </w:t>
      </w:r>
      <w:r w:rsidR="00142F1D" w:rsidRPr="006C2069">
        <w:rPr>
          <w:color w:val="000000" w:themeColor="text1"/>
        </w:rPr>
        <w:t xml:space="preserve">l’égalité des armes </w:t>
      </w:r>
      <w:r w:rsidR="000C5E6A" w:rsidRPr="006C2069">
        <w:rPr>
          <w:color w:val="000000" w:themeColor="text1"/>
        </w:rPr>
        <w:t>par le fait de la</w:t>
      </w:r>
      <w:r w:rsidR="00142F1D" w:rsidRPr="006C2069">
        <w:rPr>
          <w:color w:val="000000" w:themeColor="text1"/>
        </w:rPr>
        <w:t xml:space="preserve"> décision du 29 juin 2017 du </w:t>
      </w:r>
      <w:r w:rsidR="007106FF" w:rsidRPr="006C2069">
        <w:rPr>
          <w:color w:val="000000" w:themeColor="text1"/>
        </w:rPr>
        <w:t>b</w:t>
      </w:r>
      <w:r w:rsidR="00142F1D" w:rsidRPr="006C2069">
        <w:rPr>
          <w:color w:val="000000" w:themeColor="text1"/>
        </w:rPr>
        <w:t xml:space="preserve">âtonnier de l’Ordre français des </w:t>
      </w:r>
      <w:r w:rsidR="007106FF" w:rsidRPr="006C2069">
        <w:rPr>
          <w:color w:val="000000" w:themeColor="text1"/>
        </w:rPr>
        <w:t>a</w:t>
      </w:r>
      <w:r w:rsidR="00142F1D" w:rsidRPr="006C2069">
        <w:rPr>
          <w:color w:val="000000" w:themeColor="text1"/>
        </w:rPr>
        <w:t xml:space="preserve">vocats du </w:t>
      </w:r>
      <w:r w:rsidR="007106FF" w:rsidRPr="006C2069">
        <w:rPr>
          <w:color w:val="000000" w:themeColor="text1"/>
        </w:rPr>
        <w:t>b</w:t>
      </w:r>
      <w:r w:rsidR="00142F1D" w:rsidRPr="006C2069">
        <w:rPr>
          <w:color w:val="000000" w:themeColor="text1"/>
        </w:rPr>
        <w:t>arreau de Bruxelles d’enjoindre à son conseil de « retirer » les courriers qu’elle avait échangés avec ses anciens conseils ou de se retirer du dossier.</w:t>
      </w:r>
      <w:r w:rsidR="000C5E6A" w:rsidRPr="006C2069">
        <w:rPr>
          <w:color w:val="000000" w:themeColor="text1"/>
        </w:rPr>
        <w:t xml:space="preserve"> L’Etat partie fait </w:t>
      </w:r>
      <w:r w:rsidR="008B4105" w:rsidRPr="006C2069">
        <w:rPr>
          <w:color w:val="000000" w:themeColor="text1"/>
        </w:rPr>
        <w:t xml:space="preserve">toutefois </w:t>
      </w:r>
      <w:r w:rsidR="000C5E6A" w:rsidRPr="006C2069">
        <w:rPr>
          <w:color w:val="000000" w:themeColor="text1"/>
        </w:rPr>
        <w:t xml:space="preserve">remarquer que l’auteure elle-même a admis que </w:t>
      </w:r>
      <w:r w:rsidR="00142F1D" w:rsidRPr="006C2069">
        <w:rPr>
          <w:color w:val="000000" w:themeColor="text1"/>
        </w:rPr>
        <w:t>quand un client décide de révéler une information couverte par le secret professionnel et de l’employer en justice, il ne fait qu’exercer ses droits de la défense</w:t>
      </w:r>
      <w:r w:rsidR="008B4105" w:rsidRPr="006C2069">
        <w:rPr>
          <w:color w:val="000000" w:themeColor="text1"/>
        </w:rPr>
        <w:t xml:space="preserve"> et que </w:t>
      </w:r>
      <w:r w:rsidR="00921601" w:rsidRPr="006C2069">
        <w:rPr>
          <w:color w:val="000000" w:themeColor="text1"/>
        </w:rPr>
        <w:t xml:space="preserve">ledit </w:t>
      </w:r>
      <w:r w:rsidR="00142F1D" w:rsidRPr="006C2069">
        <w:rPr>
          <w:color w:val="000000" w:themeColor="text1"/>
        </w:rPr>
        <w:t>client peut dès lors décider de rompre le secret professionnel à son bénéfice</w:t>
      </w:r>
      <w:r w:rsidR="008B4105" w:rsidRPr="006C2069">
        <w:rPr>
          <w:color w:val="000000" w:themeColor="text1"/>
        </w:rPr>
        <w:t xml:space="preserve">, y compris en </w:t>
      </w:r>
      <w:r w:rsidR="003938BB" w:rsidRPr="006C2069">
        <w:rPr>
          <w:color w:val="000000" w:themeColor="text1"/>
        </w:rPr>
        <w:t>enjoignant son</w:t>
      </w:r>
      <w:r w:rsidR="00142F1D" w:rsidRPr="006C2069">
        <w:rPr>
          <w:color w:val="000000" w:themeColor="text1"/>
        </w:rPr>
        <w:t xml:space="preserve"> avocat de révéler des informations ou de produire des courriers couverts par ce secret.</w:t>
      </w:r>
    </w:p>
    <w:p w14:paraId="09E7B5D0" w14:textId="31A55AE3" w:rsidR="00142F1D" w:rsidRPr="006C2069" w:rsidRDefault="0040754E" w:rsidP="00585CCA">
      <w:pPr>
        <w:pStyle w:val="SingleTxtG"/>
        <w:rPr>
          <w:color w:val="000000" w:themeColor="text1"/>
        </w:rPr>
      </w:pPr>
      <w:r w:rsidRPr="006C2069">
        <w:rPr>
          <w:color w:val="000000" w:themeColor="text1"/>
        </w:rPr>
        <w:t>5.3</w:t>
      </w:r>
      <w:r w:rsidRPr="006C2069">
        <w:rPr>
          <w:color w:val="000000" w:themeColor="text1"/>
        </w:rPr>
        <w:tab/>
      </w:r>
      <w:r w:rsidR="00417970" w:rsidRPr="006C2069">
        <w:rPr>
          <w:color w:val="000000" w:themeColor="text1"/>
        </w:rPr>
        <w:t xml:space="preserve">L’Etat partie </w:t>
      </w:r>
      <w:r w:rsidR="00585CCA" w:rsidRPr="006C2069">
        <w:rPr>
          <w:color w:val="000000" w:themeColor="text1"/>
        </w:rPr>
        <w:t>souligne que la cour d’appel de Liège</w:t>
      </w:r>
      <w:r w:rsidR="00142F1D" w:rsidRPr="006C2069">
        <w:rPr>
          <w:color w:val="000000" w:themeColor="text1"/>
        </w:rPr>
        <w:t xml:space="preserve"> ne pouvait accepter que le conseil de </w:t>
      </w:r>
      <w:r w:rsidR="00585CCA" w:rsidRPr="006C2069">
        <w:rPr>
          <w:color w:val="000000" w:themeColor="text1"/>
        </w:rPr>
        <w:t>l’auteure</w:t>
      </w:r>
      <w:r w:rsidR="00142F1D" w:rsidRPr="006C2069">
        <w:rPr>
          <w:color w:val="000000" w:themeColor="text1"/>
        </w:rPr>
        <w:t xml:space="preserve"> puisse </w:t>
      </w:r>
      <w:r w:rsidR="00585CCA" w:rsidRPr="006C2069">
        <w:rPr>
          <w:color w:val="000000" w:themeColor="text1"/>
        </w:rPr>
        <w:t>outrepasser les injonctions du bâtonnier quant à la production des</w:t>
      </w:r>
      <w:r w:rsidR="003938BB" w:rsidRPr="006C2069">
        <w:rPr>
          <w:color w:val="000000" w:themeColor="text1"/>
        </w:rPr>
        <w:t>dits</w:t>
      </w:r>
      <w:r w:rsidR="00585CCA" w:rsidRPr="006C2069">
        <w:rPr>
          <w:color w:val="000000" w:themeColor="text1"/>
        </w:rPr>
        <w:t xml:space="preserve"> courriers</w:t>
      </w:r>
      <w:r w:rsidR="00C91631" w:rsidRPr="006C2069">
        <w:rPr>
          <w:color w:val="000000" w:themeColor="text1"/>
        </w:rPr>
        <w:t>.</w:t>
      </w:r>
      <w:r w:rsidR="00585CCA" w:rsidRPr="006C2069">
        <w:rPr>
          <w:color w:val="000000" w:themeColor="text1"/>
        </w:rPr>
        <w:t xml:space="preserve"> Selon l’Etat partie, le bâtonnier n’aurait pas privé </w:t>
      </w:r>
      <w:r w:rsidR="00C91631" w:rsidRPr="006C2069">
        <w:rPr>
          <w:color w:val="000000" w:themeColor="text1"/>
        </w:rPr>
        <w:t>l’auteure d’avocat</w:t>
      </w:r>
      <w:r w:rsidR="00142F1D" w:rsidRPr="006C2069">
        <w:rPr>
          <w:color w:val="000000" w:themeColor="text1"/>
        </w:rPr>
        <w:t xml:space="preserve"> en cours de procédure et </w:t>
      </w:r>
      <w:r w:rsidR="00F3093B" w:rsidRPr="006C2069">
        <w:rPr>
          <w:color w:val="000000" w:themeColor="text1"/>
        </w:rPr>
        <w:t>contraint à</w:t>
      </w:r>
      <w:r w:rsidR="00142F1D" w:rsidRPr="006C2069">
        <w:rPr>
          <w:color w:val="000000" w:themeColor="text1"/>
        </w:rPr>
        <w:t xml:space="preserve"> déposer seule ses conclusions le 16 août 2017 si elle avait fait usage de la possibilité de déposer en son nom les conclusions rédigées au préalable par </w:t>
      </w:r>
      <w:r w:rsidR="00482874" w:rsidRPr="006C2069">
        <w:rPr>
          <w:color w:val="000000" w:themeColor="text1"/>
        </w:rPr>
        <w:t>son avocat</w:t>
      </w:r>
      <w:r w:rsidR="00142F1D" w:rsidRPr="006C2069">
        <w:rPr>
          <w:color w:val="000000" w:themeColor="text1"/>
        </w:rPr>
        <w:t xml:space="preserve">. </w:t>
      </w:r>
    </w:p>
    <w:p w14:paraId="5D3D8227" w14:textId="07FC9539" w:rsidR="00DD39D0" w:rsidRPr="006C2069" w:rsidRDefault="0040754E" w:rsidP="00142F1D">
      <w:pPr>
        <w:pStyle w:val="SingleTxtG"/>
        <w:rPr>
          <w:color w:val="000000" w:themeColor="text1"/>
        </w:rPr>
      </w:pPr>
      <w:r w:rsidRPr="006C2069">
        <w:rPr>
          <w:color w:val="000000" w:themeColor="text1"/>
        </w:rPr>
        <w:t>5.4</w:t>
      </w:r>
      <w:r w:rsidRPr="006C2069">
        <w:rPr>
          <w:color w:val="000000" w:themeColor="text1"/>
        </w:rPr>
        <w:tab/>
      </w:r>
      <w:r w:rsidR="0003713F" w:rsidRPr="006C2069">
        <w:rPr>
          <w:color w:val="000000" w:themeColor="text1"/>
        </w:rPr>
        <w:t>L’</w:t>
      </w:r>
      <w:r w:rsidR="00DD39D0" w:rsidRPr="006C2069">
        <w:rPr>
          <w:color w:val="000000" w:themeColor="text1"/>
        </w:rPr>
        <w:t xml:space="preserve">Etat partie </w:t>
      </w:r>
      <w:r w:rsidR="00482874" w:rsidRPr="006C2069">
        <w:rPr>
          <w:color w:val="000000" w:themeColor="text1"/>
        </w:rPr>
        <w:t xml:space="preserve">fait remarquer </w:t>
      </w:r>
      <w:r w:rsidR="00DD39D0" w:rsidRPr="006C2069">
        <w:rPr>
          <w:color w:val="000000" w:themeColor="text1"/>
        </w:rPr>
        <w:t>que, alors que l’auteur</w:t>
      </w:r>
      <w:r w:rsidR="00482874" w:rsidRPr="006C2069">
        <w:rPr>
          <w:color w:val="000000" w:themeColor="text1"/>
        </w:rPr>
        <w:t>e</w:t>
      </w:r>
      <w:r w:rsidR="00DD39D0" w:rsidRPr="006C2069">
        <w:rPr>
          <w:color w:val="000000" w:themeColor="text1"/>
        </w:rPr>
        <w:t xml:space="preserve"> se plaint </w:t>
      </w:r>
      <w:r w:rsidR="00142F1D" w:rsidRPr="006C2069">
        <w:rPr>
          <w:color w:val="000000" w:themeColor="text1"/>
        </w:rPr>
        <w:t xml:space="preserve">d’avoir </w:t>
      </w:r>
      <w:r w:rsidR="00F41258" w:rsidRPr="006C2069">
        <w:rPr>
          <w:color w:val="000000" w:themeColor="text1"/>
        </w:rPr>
        <w:t>été obligée de</w:t>
      </w:r>
      <w:r w:rsidR="00142F1D" w:rsidRPr="006C2069">
        <w:rPr>
          <w:color w:val="000000" w:themeColor="text1"/>
        </w:rPr>
        <w:t xml:space="preserve"> plaider seule le 23 mars 2018</w:t>
      </w:r>
      <w:r w:rsidR="00DD39D0" w:rsidRPr="006C2069">
        <w:rPr>
          <w:color w:val="000000" w:themeColor="text1"/>
        </w:rPr>
        <w:t>, elle avait</w:t>
      </w:r>
      <w:r w:rsidR="00142F1D" w:rsidRPr="006C2069">
        <w:rPr>
          <w:color w:val="000000" w:themeColor="text1"/>
        </w:rPr>
        <w:t xml:space="preserve"> largement le temps de s’adjoindre l’assistance d’un autre avocat dans l’intervalle</w:t>
      </w:r>
      <w:r w:rsidR="00482874" w:rsidRPr="006C2069">
        <w:rPr>
          <w:color w:val="000000" w:themeColor="text1"/>
        </w:rPr>
        <w:t xml:space="preserve"> des neuf mois qu’elle avait à sa disposition. </w:t>
      </w:r>
      <w:r w:rsidR="00726AF5" w:rsidRPr="006C2069">
        <w:rPr>
          <w:color w:val="000000" w:themeColor="text1"/>
        </w:rPr>
        <w:t>Il</w:t>
      </w:r>
      <w:r w:rsidR="00482874" w:rsidRPr="006C2069">
        <w:rPr>
          <w:color w:val="000000" w:themeColor="text1"/>
        </w:rPr>
        <w:t xml:space="preserve"> fait aussi remarquer que l’auteure </w:t>
      </w:r>
      <w:r w:rsidR="00726AF5" w:rsidRPr="006C2069">
        <w:rPr>
          <w:color w:val="000000" w:themeColor="text1"/>
        </w:rPr>
        <w:t>n’était pas assisté</w:t>
      </w:r>
      <w:r w:rsidR="00C12C0F" w:rsidRPr="006C2069">
        <w:rPr>
          <w:color w:val="000000" w:themeColor="text1"/>
        </w:rPr>
        <w:t>e</w:t>
      </w:r>
      <w:r w:rsidR="00726AF5" w:rsidRPr="006C2069">
        <w:rPr>
          <w:color w:val="000000" w:themeColor="text1"/>
        </w:rPr>
        <w:t xml:space="preserve"> d’un </w:t>
      </w:r>
      <w:r w:rsidR="00482874" w:rsidRPr="006C2069">
        <w:rPr>
          <w:color w:val="000000" w:themeColor="text1"/>
        </w:rPr>
        <w:t>seul avocat dans le cadre de cette affaire</w:t>
      </w:r>
      <w:r w:rsidR="00142F1D" w:rsidRPr="006C2069">
        <w:rPr>
          <w:color w:val="000000" w:themeColor="text1"/>
        </w:rPr>
        <w:t>.</w:t>
      </w:r>
      <w:r w:rsidR="00DD39D0" w:rsidRPr="006C2069">
        <w:rPr>
          <w:color w:val="000000" w:themeColor="text1"/>
        </w:rPr>
        <w:t xml:space="preserve"> L’Etat partie </w:t>
      </w:r>
      <w:r w:rsidR="00482874" w:rsidRPr="006C2069">
        <w:rPr>
          <w:color w:val="000000" w:themeColor="text1"/>
        </w:rPr>
        <w:t>estime</w:t>
      </w:r>
      <w:r w:rsidR="00DD39D0" w:rsidRPr="006C2069">
        <w:rPr>
          <w:color w:val="000000" w:themeColor="text1"/>
        </w:rPr>
        <w:t xml:space="preserve"> que l’auteure aurait dû simplement </w:t>
      </w:r>
      <w:r w:rsidR="00142F1D" w:rsidRPr="006C2069">
        <w:rPr>
          <w:color w:val="000000" w:themeColor="text1"/>
        </w:rPr>
        <w:t xml:space="preserve">éviter son préjudice en respectant la décision du </w:t>
      </w:r>
      <w:r w:rsidR="00482874" w:rsidRPr="006C2069">
        <w:rPr>
          <w:color w:val="000000" w:themeColor="text1"/>
        </w:rPr>
        <w:t>29 juin 2017 du b</w:t>
      </w:r>
      <w:r w:rsidR="00142F1D" w:rsidRPr="006C2069">
        <w:rPr>
          <w:color w:val="000000" w:themeColor="text1"/>
        </w:rPr>
        <w:t xml:space="preserve">âtonnier et </w:t>
      </w:r>
      <w:r w:rsidR="003938BB" w:rsidRPr="006C2069">
        <w:rPr>
          <w:color w:val="000000" w:themeColor="text1"/>
        </w:rPr>
        <w:t xml:space="preserve">en </w:t>
      </w:r>
      <w:r w:rsidR="00482874" w:rsidRPr="006C2069">
        <w:rPr>
          <w:color w:val="000000" w:themeColor="text1"/>
        </w:rPr>
        <w:t>organis</w:t>
      </w:r>
      <w:r w:rsidR="003938BB" w:rsidRPr="006C2069">
        <w:rPr>
          <w:color w:val="000000" w:themeColor="text1"/>
        </w:rPr>
        <w:t>ant</w:t>
      </w:r>
      <w:r w:rsidR="00482874" w:rsidRPr="006C2069">
        <w:rPr>
          <w:color w:val="000000" w:themeColor="text1"/>
        </w:rPr>
        <w:t xml:space="preserve"> sa défense de manière prudente et prévoyante ; et qu’au contraire</w:t>
      </w:r>
      <w:r w:rsidR="003938BB" w:rsidRPr="006C2069">
        <w:rPr>
          <w:color w:val="000000" w:themeColor="text1"/>
        </w:rPr>
        <w:t>,</w:t>
      </w:r>
      <w:r w:rsidR="00482874" w:rsidRPr="006C2069">
        <w:rPr>
          <w:color w:val="000000" w:themeColor="text1"/>
        </w:rPr>
        <w:t xml:space="preserve"> l’avocat de l’auteure a tout tenté afin d’obtenir la révocation de la décision du bâtonnier lui enjoignant de se déporter de l’affaire</w:t>
      </w:r>
      <w:r w:rsidR="00142F1D" w:rsidRPr="006C2069">
        <w:rPr>
          <w:color w:val="000000" w:themeColor="text1"/>
        </w:rPr>
        <w:t>.</w:t>
      </w:r>
      <w:r w:rsidR="00DD39D0" w:rsidRPr="006C2069">
        <w:rPr>
          <w:color w:val="000000" w:themeColor="text1"/>
        </w:rPr>
        <w:t xml:space="preserve"> </w:t>
      </w:r>
      <w:r w:rsidR="00726AF5" w:rsidRPr="006C2069">
        <w:rPr>
          <w:color w:val="000000" w:themeColor="text1"/>
        </w:rPr>
        <w:t xml:space="preserve">L’auteure </w:t>
      </w:r>
      <w:r w:rsidR="00142F1D" w:rsidRPr="006C2069">
        <w:rPr>
          <w:color w:val="000000" w:themeColor="text1"/>
        </w:rPr>
        <w:t xml:space="preserve">ne pouvait se décharger sur les juridictions belges de sa responsabilité de demander à son </w:t>
      </w:r>
      <w:r w:rsidR="00726AF5" w:rsidRPr="006C2069">
        <w:rPr>
          <w:color w:val="000000" w:themeColor="text1"/>
        </w:rPr>
        <w:t xml:space="preserve">avocat </w:t>
      </w:r>
      <w:r w:rsidR="00142F1D" w:rsidRPr="006C2069">
        <w:rPr>
          <w:color w:val="000000" w:themeColor="text1"/>
        </w:rPr>
        <w:t xml:space="preserve">de lui permettre de déposer en son nom ou au nom d’un autre conseil des conclusions préparées par lui et d’obtenir la reprise du dossier par un autre </w:t>
      </w:r>
      <w:r w:rsidR="00726AF5" w:rsidRPr="006C2069">
        <w:rPr>
          <w:color w:val="000000" w:themeColor="text1"/>
        </w:rPr>
        <w:t>avocat</w:t>
      </w:r>
      <w:r w:rsidR="00142F1D" w:rsidRPr="006C2069">
        <w:rPr>
          <w:color w:val="000000" w:themeColor="text1"/>
        </w:rPr>
        <w:t xml:space="preserve"> à l’audience du 23 mars 2018</w:t>
      </w:r>
      <w:r w:rsidR="00C12C0F" w:rsidRPr="006C2069">
        <w:rPr>
          <w:color w:val="000000" w:themeColor="text1"/>
        </w:rPr>
        <w:t>,</w:t>
      </w:r>
      <w:r w:rsidR="00142F1D" w:rsidRPr="006C2069">
        <w:rPr>
          <w:color w:val="000000" w:themeColor="text1"/>
        </w:rPr>
        <w:t xml:space="preserve"> soit </w:t>
      </w:r>
      <w:r w:rsidR="00482874" w:rsidRPr="006C2069">
        <w:rPr>
          <w:color w:val="000000" w:themeColor="text1"/>
        </w:rPr>
        <w:t>neuf</w:t>
      </w:r>
      <w:r w:rsidR="00142F1D" w:rsidRPr="006C2069">
        <w:rPr>
          <w:color w:val="000000" w:themeColor="text1"/>
        </w:rPr>
        <w:t xml:space="preserve"> mois plus tard.</w:t>
      </w:r>
    </w:p>
    <w:p w14:paraId="6315FCAF" w14:textId="26C8DFE1" w:rsidR="00FE2D5D" w:rsidRPr="006C2069" w:rsidRDefault="0040754E" w:rsidP="00142F1D">
      <w:pPr>
        <w:pStyle w:val="SingleTxtG"/>
        <w:rPr>
          <w:color w:val="000000" w:themeColor="text1"/>
        </w:rPr>
      </w:pPr>
      <w:r w:rsidRPr="006C2069">
        <w:rPr>
          <w:color w:val="000000" w:themeColor="text1"/>
        </w:rPr>
        <w:t>5.5</w:t>
      </w:r>
      <w:r w:rsidRPr="006C2069">
        <w:rPr>
          <w:color w:val="000000" w:themeColor="text1"/>
        </w:rPr>
        <w:tab/>
      </w:r>
      <w:r w:rsidR="00203F31" w:rsidRPr="006C2069">
        <w:rPr>
          <w:color w:val="000000" w:themeColor="text1"/>
        </w:rPr>
        <w:t xml:space="preserve">L’Etat partie estime que les </w:t>
      </w:r>
      <w:r w:rsidR="00142F1D" w:rsidRPr="006C2069">
        <w:rPr>
          <w:color w:val="000000" w:themeColor="text1"/>
        </w:rPr>
        <w:t xml:space="preserve">griefs de </w:t>
      </w:r>
      <w:r w:rsidR="00203F31" w:rsidRPr="006C2069">
        <w:rPr>
          <w:color w:val="000000" w:themeColor="text1"/>
        </w:rPr>
        <w:t>l’auteure</w:t>
      </w:r>
      <w:r w:rsidR="00142F1D" w:rsidRPr="006C2069">
        <w:rPr>
          <w:color w:val="000000" w:themeColor="text1"/>
        </w:rPr>
        <w:t xml:space="preserve"> sont dénués de toute apparence de fondement et </w:t>
      </w:r>
      <w:r w:rsidR="00FE2D5D" w:rsidRPr="006C2069">
        <w:rPr>
          <w:color w:val="000000" w:themeColor="text1"/>
        </w:rPr>
        <w:t xml:space="preserve">que </w:t>
      </w:r>
      <w:r w:rsidR="00142F1D" w:rsidRPr="006C2069">
        <w:rPr>
          <w:color w:val="000000" w:themeColor="text1"/>
        </w:rPr>
        <w:t xml:space="preserve">sa communication ne contient aucun argument concret qui puisse un tant soit peu étayer </w:t>
      </w:r>
      <w:r w:rsidR="00726AF5" w:rsidRPr="006C2069">
        <w:rPr>
          <w:color w:val="000000" w:themeColor="text1"/>
        </w:rPr>
        <w:t>s</w:t>
      </w:r>
      <w:r w:rsidR="00142F1D" w:rsidRPr="006C2069">
        <w:rPr>
          <w:color w:val="000000" w:themeColor="text1"/>
        </w:rPr>
        <w:t>es affirmations et mettre en doute le constat de la juridiction interne.</w:t>
      </w:r>
      <w:r w:rsidR="00FE2D5D" w:rsidRPr="006C2069">
        <w:rPr>
          <w:color w:val="000000" w:themeColor="text1"/>
        </w:rPr>
        <w:t xml:space="preserve"> A preuve, l’</w:t>
      </w:r>
      <w:r w:rsidR="00203F31" w:rsidRPr="006C2069">
        <w:rPr>
          <w:color w:val="000000" w:themeColor="text1"/>
        </w:rPr>
        <w:t xml:space="preserve">Etat </w:t>
      </w:r>
      <w:r w:rsidR="00FE2D5D" w:rsidRPr="006C2069">
        <w:rPr>
          <w:color w:val="000000" w:themeColor="text1"/>
        </w:rPr>
        <w:t xml:space="preserve">partie rappelle </w:t>
      </w:r>
      <w:r w:rsidR="00203F31" w:rsidRPr="006C2069">
        <w:rPr>
          <w:color w:val="000000" w:themeColor="text1"/>
        </w:rPr>
        <w:t xml:space="preserve">que </w:t>
      </w:r>
      <w:r w:rsidR="00142F1D" w:rsidRPr="006C2069">
        <w:rPr>
          <w:color w:val="000000" w:themeColor="text1"/>
        </w:rPr>
        <w:t xml:space="preserve">la Cour européenne des droits de l’Homme a, en formation de juge unique et sans examen complémentaire, déclaré la requête </w:t>
      </w:r>
      <w:r w:rsidR="00FE2D5D" w:rsidRPr="006C2069">
        <w:rPr>
          <w:color w:val="000000" w:themeColor="text1"/>
        </w:rPr>
        <w:t xml:space="preserve">de l’auteure </w:t>
      </w:r>
      <w:r w:rsidR="00142F1D" w:rsidRPr="006C2069">
        <w:rPr>
          <w:color w:val="000000" w:themeColor="text1"/>
        </w:rPr>
        <w:t xml:space="preserve">irrecevable par décision définitive du 19 avril 2018. </w:t>
      </w:r>
    </w:p>
    <w:p w14:paraId="6D99E0FC" w14:textId="2CB95336" w:rsidR="00C747F1" w:rsidRPr="006C2069" w:rsidRDefault="0040754E" w:rsidP="00142F1D">
      <w:pPr>
        <w:pStyle w:val="SingleTxtG"/>
        <w:rPr>
          <w:color w:val="000000" w:themeColor="text1"/>
        </w:rPr>
      </w:pPr>
      <w:r w:rsidRPr="006C2069">
        <w:rPr>
          <w:color w:val="000000" w:themeColor="text1"/>
        </w:rPr>
        <w:t>5.6</w:t>
      </w:r>
      <w:r w:rsidRPr="006C2069">
        <w:rPr>
          <w:color w:val="000000" w:themeColor="text1"/>
        </w:rPr>
        <w:tab/>
      </w:r>
      <w:r w:rsidR="00FE2D5D" w:rsidRPr="006C2069">
        <w:rPr>
          <w:color w:val="000000" w:themeColor="text1"/>
        </w:rPr>
        <w:t>L’Etat partie conteste également le fondement des griefs de l’auteure quant au</w:t>
      </w:r>
      <w:r w:rsidR="00142F1D" w:rsidRPr="006C2069">
        <w:rPr>
          <w:color w:val="000000" w:themeColor="text1"/>
        </w:rPr>
        <w:t xml:space="preserve"> préjudice matériel et moral </w:t>
      </w:r>
      <w:r w:rsidR="00FE2D5D" w:rsidRPr="006C2069">
        <w:rPr>
          <w:color w:val="000000" w:themeColor="text1"/>
        </w:rPr>
        <w:t>qu’elle a</w:t>
      </w:r>
      <w:r w:rsidR="0094152A" w:rsidRPr="006C2069">
        <w:rPr>
          <w:color w:val="000000" w:themeColor="text1"/>
        </w:rPr>
        <w:t>urait</w:t>
      </w:r>
      <w:r w:rsidR="00FE2D5D" w:rsidRPr="006C2069">
        <w:rPr>
          <w:color w:val="000000" w:themeColor="text1"/>
        </w:rPr>
        <w:t xml:space="preserve"> </w:t>
      </w:r>
      <w:r w:rsidR="0094152A" w:rsidRPr="006C2069">
        <w:rPr>
          <w:color w:val="000000" w:themeColor="text1"/>
        </w:rPr>
        <w:t xml:space="preserve">selon lequel elle </w:t>
      </w:r>
      <w:r w:rsidR="00CB45BC" w:rsidRPr="006C2069">
        <w:rPr>
          <w:color w:val="000000" w:themeColor="text1"/>
        </w:rPr>
        <w:t>aurait été</w:t>
      </w:r>
      <w:r w:rsidR="00142F1D" w:rsidRPr="006C2069">
        <w:rPr>
          <w:color w:val="000000" w:themeColor="text1"/>
        </w:rPr>
        <w:t xml:space="preserve"> </w:t>
      </w:r>
      <w:r w:rsidR="0094152A" w:rsidRPr="006C2069">
        <w:rPr>
          <w:color w:val="000000" w:themeColor="text1"/>
        </w:rPr>
        <w:t xml:space="preserve">contrainte </w:t>
      </w:r>
      <w:r w:rsidR="00142F1D" w:rsidRPr="006C2069">
        <w:rPr>
          <w:color w:val="000000" w:themeColor="text1"/>
        </w:rPr>
        <w:t xml:space="preserve">de faire le déplacement </w:t>
      </w:r>
      <w:r w:rsidR="00672440" w:rsidRPr="006C2069">
        <w:rPr>
          <w:color w:val="000000" w:themeColor="text1"/>
        </w:rPr>
        <w:t>de</w:t>
      </w:r>
      <w:r w:rsidR="00142F1D" w:rsidRPr="006C2069">
        <w:rPr>
          <w:color w:val="000000" w:themeColor="text1"/>
        </w:rPr>
        <w:t xml:space="preserve"> Genève </w:t>
      </w:r>
      <w:r w:rsidR="00672440" w:rsidRPr="006C2069">
        <w:rPr>
          <w:color w:val="000000" w:themeColor="text1"/>
        </w:rPr>
        <w:t xml:space="preserve">à </w:t>
      </w:r>
      <w:r w:rsidR="006D7975" w:rsidRPr="006C2069">
        <w:rPr>
          <w:color w:val="000000" w:themeColor="text1"/>
        </w:rPr>
        <w:t>Bruxelles</w:t>
      </w:r>
      <w:r w:rsidR="006D7975" w:rsidRPr="006C2069" w:rsidDel="00672440">
        <w:rPr>
          <w:color w:val="000000" w:themeColor="text1"/>
        </w:rPr>
        <w:t xml:space="preserve"> </w:t>
      </w:r>
      <w:r w:rsidR="006D7975" w:rsidRPr="006C2069">
        <w:rPr>
          <w:color w:val="000000" w:themeColor="text1"/>
        </w:rPr>
        <w:t>pour</w:t>
      </w:r>
      <w:r w:rsidR="00142F1D" w:rsidRPr="006C2069">
        <w:rPr>
          <w:color w:val="000000" w:themeColor="text1"/>
        </w:rPr>
        <w:t xml:space="preserve"> assister personnellement à l’audience du 23 mars 2018.</w:t>
      </w:r>
      <w:r w:rsidR="00C91631" w:rsidRPr="006C2069">
        <w:rPr>
          <w:color w:val="000000" w:themeColor="text1"/>
        </w:rPr>
        <w:t xml:space="preserve"> L’Etat partie estime d’une part que rien ne prouve que l’auteure n’aurait pas de toute façon accompagné son </w:t>
      </w:r>
      <w:r w:rsidR="00672440" w:rsidRPr="006C2069">
        <w:rPr>
          <w:color w:val="000000" w:themeColor="text1"/>
        </w:rPr>
        <w:t>avocat</w:t>
      </w:r>
      <w:r w:rsidR="00C91631" w:rsidRPr="006C2069">
        <w:rPr>
          <w:color w:val="000000" w:themeColor="text1"/>
        </w:rPr>
        <w:t xml:space="preserve"> à l’audience ; et d’autre part, que rien n’obligeait son conseil à s’entêter à obtenir la révocation de la décision</w:t>
      </w:r>
      <w:r w:rsidR="00672440" w:rsidRPr="006C2069">
        <w:rPr>
          <w:color w:val="000000" w:themeColor="text1"/>
        </w:rPr>
        <w:t xml:space="preserve"> du bâtonnier du</w:t>
      </w:r>
      <w:r w:rsidR="00C91631" w:rsidRPr="006C2069">
        <w:rPr>
          <w:color w:val="000000" w:themeColor="text1"/>
        </w:rPr>
        <w:t xml:space="preserve"> 29 juin 2017. L’Etat partie estime enfin que rien ne prouve non plus qu’il ait été nécessaire pour l’auteure de passer d’innombrables heures en soirées et en week-ends à la rédaction des conclusions du 14 août 2017 alors qu’elle pouvait parfaitement reprendre à son nom le travail de son avocat. E</w:t>
      </w:r>
      <w:r w:rsidR="00FE2D5D" w:rsidRPr="006C2069">
        <w:rPr>
          <w:color w:val="000000" w:themeColor="text1"/>
        </w:rPr>
        <w:t>n conséquence, l</w:t>
      </w:r>
      <w:r w:rsidR="00203F31" w:rsidRPr="006C2069">
        <w:rPr>
          <w:color w:val="000000" w:themeColor="text1"/>
        </w:rPr>
        <w:t xml:space="preserve">’Etat partie </w:t>
      </w:r>
      <w:r w:rsidR="00C91631" w:rsidRPr="006C2069">
        <w:rPr>
          <w:color w:val="000000" w:themeColor="text1"/>
        </w:rPr>
        <w:t>conteste</w:t>
      </w:r>
      <w:r w:rsidR="00FE2D5D" w:rsidRPr="006C2069">
        <w:rPr>
          <w:color w:val="000000" w:themeColor="text1"/>
        </w:rPr>
        <w:t xml:space="preserve"> le fondement des griefs soulevés par </w:t>
      </w:r>
      <w:r w:rsidRPr="006C2069">
        <w:rPr>
          <w:color w:val="000000" w:themeColor="text1"/>
        </w:rPr>
        <w:t>l’auteure et</w:t>
      </w:r>
      <w:r w:rsidR="00FE2D5D" w:rsidRPr="006C2069">
        <w:rPr>
          <w:color w:val="000000" w:themeColor="text1"/>
        </w:rPr>
        <w:t xml:space="preserve"> demande au Comité de déclarer la communication irrecevable ou, à tout le moins, non fondée.</w:t>
      </w:r>
      <w:r w:rsidR="00672440" w:rsidRPr="006C2069">
        <w:rPr>
          <w:color w:val="000000" w:themeColor="text1"/>
        </w:rPr>
        <w:t xml:space="preserve"> </w:t>
      </w:r>
    </w:p>
    <w:p w14:paraId="626B312E" w14:textId="40C77F27" w:rsidR="00565433" w:rsidRPr="006C2069" w:rsidRDefault="006E5D89" w:rsidP="005243ED">
      <w:pPr>
        <w:pStyle w:val="H23G"/>
      </w:pPr>
      <w:r w:rsidRPr="006C2069">
        <w:tab/>
      </w:r>
      <w:r w:rsidRPr="006C2069">
        <w:tab/>
      </w:r>
      <w:r w:rsidR="00565433" w:rsidRPr="006C2069">
        <w:t xml:space="preserve">Commentaires </w:t>
      </w:r>
      <w:r w:rsidR="00B878D5" w:rsidRPr="006C2069">
        <w:t>de l’auteure</w:t>
      </w:r>
      <w:r w:rsidR="0068703B" w:rsidRPr="006C2069">
        <w:t xml:space="preserve"> </w:t>
      </w:r>
      <w:r w:rsidR="00565433" w:rsidRPr="006C2069">
        <w:t xml:space="preserve">sur les observations de l’État partie concernant la </w:t>
      </w:r>
      <w:r w:rsidR="0068703B" w:rsidRPr="006C2069">
        <w:t>r</w:t>
      </w:r>
      <w:r w:rsidR="00565433" w:rsidRPr="006C2069">
        <w:t>ecevabilité</w:t>
      </w:r>
      <w:r w:rsidR="002A7C84" w:rsidRPr="006C2069">
        <w:t xml:space="preserve"> et le fond de la communication </w:t>
      </w:r>
    </w:p>
    <w:p w14:paraId="1889333D" w14:textId="2F9C92C7" w:rsidR="00F41258" w:rsidRPr="006C2069" w:rsidRDefault="0040754E" w:rsidP="00D02873">
      <w:pPr>
        <w:pStyle w:val="SingleTxtG"/>
        <w:rPr>
          <w:bCs/>
          <w:color w:val="000000" w:themeColor="text1"/>
        </w:rPr>
      </w:pPr>
      <w:r w:rsidRPr="006C2069">
        <w:rPr>
          <w:bCs/>
          <w:color w:val="000000" w:themeColor="text1"/>
        </w:rPr>
        <w:t>6.</w:t>
      </w:r>
      <w:r w:rsidR="005243ED" w:rsidRPr="006C2069">
        <w:rPr>
          <w:bCs/>
          <w:color w:val="000000" w:themeColor="text1"/>
        </w:rPr>
        <w:t>1</w:t>
      </w:r>
      <w:r w:rsidR="002A7C84" w:rsidRPr="006C2069">
        <w:rPr>
          <w:bCs/>
          <w:color w:val="000000" w:themeColor="text1"/>
        </w:rPr>
        <w:tab/>
        <w:t>Le 1</w:t>
      </w:r>
      <w:r w:rsidR="002A7C84" w:rsidRPr="006C2069">
        <w:rPr>
          <w:bCs/>
          <w:color w:val="000000" w:themeColor="text1"/>
          <w:vertAlign w:val="superscript"/>
        </w:rPr>
        <w:t>er</w:t>
      </w:r>
      <w:r w:rsidR="002A7C84" w:rsidRPr="006C2069">
        <w:rPr>
          <w:bCs/>
          <w:color w:val="000000" w:themeColor="text1"/>
        </w:rPr>
        <w:t xml:space="preserve"> décembre 2019</w:t>
      </w:r>
      <w:r w:rsidR="0018499B" w:rsidRPr="006C2069">
        <w:rPr>
          <w:bCs/>
          <w:color w:val="000000" w:themeColor="text1"/>
        </w:rPr>
        <w:t xml:space="preserve">, l’auteure a fait parvenir </w:t>
      </w:r>
      <w:r w:rsidR="006D7975" w:rsidRPr="006C2069">
        <w:rPr>
          <w:bCs/>
          <w:color w:val="000000" w:themeColor="text1"/>
        </w:rPr>
        <w:t xml:space="preserve">au Comité </w:t>
      </w:r>
      <w:r w:rsidR="0018499B" w:rsidRPr="006C2069">
        <w:rPr>
          <w:bCs/>
          <w:color w:val="000000" w:themeColor="text1"/>
        </w:rPr>
        <w:t>ses commentaires sur les observations de l’Etat partie</w:t>
      </w:r>
      <w:r w:rsidR="0068703B" w:rsidRPr="006C2069">
        <w:rPr>
          <w:bCs/>
          <w:color w:val="000000" w:themeColor="text1"/>
        </w:rPr>
        <w:t xml:space="preserve"> </w:t>
      </w:r>
      <w:r w:rsidR="00AE6677" w:rsidRPr="006C2069">
        <w:rPr>
          <w:bCs/>
          <w:color w:val="000000" w:themeColor="text1"/>
        </w:rPr>
        <w:t xml:space="preserve">quant à la </w:t>
      </w:r>
      <w:r w:rsidR="0068703B" w:rsidRPr="006C2069">
        <w:rPr>
          <w:bCs/>
          <w:color w:val="000000" w:themeColor="text1"/>
        </w:rPr>
        <w:t xml:space="preserve">recevabilité </w:t>
      </w:r>
      <w:r w:rsidR="002A7C84" w:rsidRPr="006C2069">
        <w:rPr>
          <w:bCs/>
          <w:color w:val="000000" w:themeColor="text1"/>
        </w:rPr>
        <w:t xml:space="preserve">et </w:t>
      </w:r>
      <w:r w:rsidR="00AE6677" w:rsidRPr="006C2069">
        <w:rPr>
          <w:bCs/>
          <w:color w:val="000000" w:themeColor="text1"/>
        </w:rPr>
        <w:t>au</w:t>
      </w:r>
      <w:r w:rsidR="002A7C84" w:rsidRPr="006C2069">
        <w:rPr>
          <w:bCs/>
          <w:color w:val="000000" w:themeColor="text1"/>
        </w:rPr>
        <w:t xml:space="preserve"> fond </w:t>
      </w:r>
      <w:r w:rsidR="0068703B" w:rsidRPr="006C2069">
        <w:rPr>
          <w:bCs/>
          <w:color w:val="000000" w:themeColor="text1"/>
        </w:rPr>
        <w:t>de la communication</w:t>
      </w:r>
      <w:r w:rsidR="0018499B" w:rsidRPr="006C2069">
        <w:rPr>
          <w:bCs/>
          <w:color w:val="000000" w:themeColor="text1"/>
        </w:rPr>
        <w:t xml:space="preserve">. </w:t>
      </w:r>
      <w:r w:rsidR="00512110" w:rsidRPr="006C2069">
        <w:rPr>
          <w:bCs/>
          <w:color w:val="000000" w:themeColor="text1"/>
        </w:rPr>
        <w:t xml:space="preserve">Elle </w:t>
      </w:r>
      <w:r w:rsidR="00C35B03" w:rsidRPr="006C2069">
        <w:rPr>
          <w:bCs/>
          <w:color w:val="000000" w:themeColor="text1"/>
        </w:rPr>
        <w:t xml:space="preserve">affirme </w:t>
      </w:r>
      <w:r w:rsidR="006D7975" w:rsidRPr="006C2069">
        <w:rPr>
          <w:bCs/>
          <w:color w:val="000000" w:themeColor="text1"/>
        </w:rPr>
        <w:t xml:space="preserve">que l’Etat partie, </w:t>
      </w:r>
      <w:r w:rsidR="00C35B03" w:rsidRPr="006C2069">
        <w:rPr>
          <w:bCs/>
          <w:color w:val="000000" w:themeColor="text1"/>
        </w:rPr>
        <w:t xml:space="preserve">en reprenant dans ses observations du 5 juin </w:t>
      </w:r>
      <w:r w:rsidR="009E4553" w:rsidRPr="006C2069">
        <w:rPr>
          <w:bCs/>
          <w:color w:val="000000" w:themeColor="text1"/>
        </w:rPr>
        <w:t>201</w:t>
      </w:r>
      <w:r w:rsidR="006D7975" w:rsidRPr="006C2069">
        <w:rPr>
          <w:bCs/>
          <w:color w:val="000000" w:themeColor="text1"/>
        </w:rPr>
        <w:t>7</w:t>
      </w:r>
      <w:r w:rsidR="009E4553" w:rsidRPr="006C2069">
        <w:rPr>
          <w:bCs/>
          <w:color w:val="000000" w:themeColor="text1"/>
        </w:rPr>
        <w:t xml:space="preserve"> </w:t>
      </w:r>
      <w:r w:rsidR="00C35B03" w:rsidRPr="006C2069">
        <w:rPr>
          <w:bCs/>
          <w:color w:val="000000" w:themeColor="text1"/>
        </w:rPr>
        <w:t xml:space="preserve">l’argument tiré de sa communication </w:t>
      </w:r>
      <w:r w:rsidR="005243ED" w:rsidRPr="006C2069">
        <w:rPr>
          <w:bCs/>
          <w:color w:val="000000" w:themeColor="text1"/>
        </w:rPr>
        <w:t xml:space="preserve">quant à la possibilité pour </w:t>
      </w:r>
      <w:r w:rsidR="004D53FD" w:rsidRPr="006C2069">
        <w:rPr>
          <w:bCs/>
          <w:color w:val="000000" w:themeColor="text1"/>
        </w:rPr>
        <w:t xml:space="preserve">un client </w:t>
      </w:r>
      <w:r w:rsidR="009E4553" w:rsidRPr="006C2069">
        <w:rPr>
          <w:bCs/>
          <w:color w:val="000000" w:themeColor="text1"/>
        </w:rPr>
        <w:t>« </w:t>
      </w:r>
      <w:r w:rsidR="004D53FD" w:rsidRPr="006C2069">
        <w:rPr>
          <w:bCs/>
          <w:color w:val="000000" w:themeColor="text1"/>
        </w:rPr>
        <w:t>de révéler une information couverte par le secret professionnel et de l'employer en justice</w:t>
      </w:r>
      <w:r w:rsidR="009E4553" w:rsidRPr="006C2069">
        <w:rPr>
          <w:bCs/>
          <w:color w:val="000000" w:themeColor="text1"/>
        </w:rPr>
        <w:t> » comme un exercice de son droit à la défense</w:t>
      </w:r>
      <w:r w:rsidR="00C35B03" w:rsidRPr="006C2069">
        <w:rPr>
          <w:bCs/>
          <w:color w:val="000000" w:themeColor="text1"/>
        </w:rPr>
        <w:t xml:space="preserve">, </w:t>
      </w:r>
      <w:r w:rsidR="009E4553" w:rsidRPr="006C2069">
        <w:rPr>
          <w:bCs/>
          <w:color w:val="000000" w:themeColor="text1"/>
        </w:rPr>
        <w:t xml:space="preserve">la conforte dans ses </w:t>
      </w:r>
      <w:r w:rsidR="004D53FD" w:rsidRPr="006C2069">
        <w:rPr>
          <w:bCs/>
          <w:color w:val="000000" w:themeColor="text1"/>
        </w:rPr>
        <w:t>allégations</w:t>
      </w:r>
      <w:r w:rsidR="009E4553" w:rsidRPr="006C2069">
        <w:rPr>
          <w:bCs/>
          <w:color w:val="000000" w:themeColor="text1"/>
        </w:rPr>
        <w:t xml:space="preserve"> quant à l’illégalité de la décision du 29 juin 201</w:t>
      </w:r>
      <w:r w:rsidR="00165C3C" w:rsidRPr="006C2069">
        <w:rPr>
          <w:bCs/>
          <w:color w:val="000000" w:themeColor="text1"/>
        </w:rPr>
        <w:t>7</w:t>
      </w:r>
      <w:r w:rsidR="009E4553" w:rsidRPr="006C2069">
        <w:rPr>
          <w:bCs/>
          <w:color w:val="000000" w:themeColor="text1"/>
        </w:rPr>
        <w:t xml:space="preserve"> du bâtonnier</w:t>
      </w:r>
      <w:r w:rsidR="00C35B03" w:rsidRPr="006C2069">
        <w:rPr>
          <w:bCs/>
          <w:color w:val="000000" w:themeColor="text1"/>
        </w:rPr>
        <w:t xml:space="preserve">. Elle affirme </w:t>
      </w:r>
      <w:r w:rsidR="006D7975" w:rsidRPr="006C2069">
        <w:rPr>
          <w:bCs/>
          <w:color w:val="000000" w:themeColor="text1"/>
        </w:rPr>
        <w:t xml:space="preserve">également </w:t>
      </w:r>
      <w:r w:rsidR="00C35B03" w:rsidRPr="006C2069">
        <w:rPr>
          <w:bCs/>
          <w:color w:val="000000" w:themeColor="text1"/>
        </w:rPr>
        <w:t>que la cour d’appel de Liège a reconnu</w:t>
      </w:r>
      <w:r w:rsidR="00C35B03" w:rsidRPr="006C2069">
        <w:rPr>
          <w:rStyle w:val="FootnoteReference"/>
          <w:bCs/>
          <w:color w:val="000000" w:themeColor="text1"/>
        </w:rPr>
        <w:footnoteReference w:id="15"/>
      </w:r>
      <w:r w:rsidR="00C35B03" w:rsidRPr="006C2069">
        <w:rPr>
          <w:bCs/>
          <w:color w:val="000000" w:themeColor="text1"/>
        </w:rPr>
        <w:t xml:space="preserve"> que c’est de manière </w:t>
      </w:r>
      <w:r w:rsidR="004D53FD" w:rsidRPr="006C2069">
        <w:rPr>
          <w:bCs/>
          <w:color w:val="000000" w:themeColor="text1"/>
        </w:rPr>
        <w:t xml:space="preserve">illégale qu’elle a été privée de son avocat ; </w:t>
      </w:r>
      <w:r w:rsidR="00C35B03" w:rsidRPr="006C2069">
        <w:rPr>
          <w:bCs/>
          <w:color w:val="000000" w:themeColor="text1"/>
        </w:rPr>
        <w:t xml:space="preserve">et que ladite cour a confirmé </w:t>
      </w:r>
      <w:r w:rsidR="004D53FD" w:rsidRPr="006C2069">
        <w:rPr>
          <w:bCs/>
          <w:color w:val="000000" w:themeColor="text1"/>
        </w:rPr>
        <w:t>ultérieurement dans son arrêt du 4 mai 2018</w:t>
      </w:r>
      <w:r w:rsidR="00763077" w:rsidRPr="006C2069">
        <w:rPr>
          <w:rStyle w:val="FootnoteReference"/>
          <w:bCs/>
          <w:color w:val="000000" w:themeColor="text1"/>
        </w:rPr>
        <w:footnoteReference w:id="16"/>
      </w:r>
      <w:r w:rsidR="009E4553" w:rsidRPr="006C2069">
        <w:rPr>
          <w:bCs/>
          <w:color w:val="000000" w:themeColor="text1"/>
        </w:rPr>
        <w:t xml:space="preserve"> </w:t>
      </w:r>
      <w:r w:rsidR="00C35B03" w:rsidRPr="006C2069">
        <w:rPr>
          <w:bCs/>
          <w:color w:val="000000" w:themeColor="text1"/>
        </w:rPr>
        <w:t>que «</w:t>
      </w:r>
      <w:r w:rsidR="004D53FD" w:rsidRPr="006C2069">
        <w:rPr>
          <w:bCs/>
          <w:color w:val="000000" w:themeColor="text1"/>
        </w:rPr>
        <w:t xml:space="preserve">l'article 458 du Code pénal ne s'oppose pas à ce que le client, personne protégée par ledit </w:t>
      </w:r>
      <w:r w:rsidR="00C35B03" w:rsidRPr="006C2069">
        <w:rPr>
          <w:bCs/>
          <w:color w:val="000000" w:themeColor="text1"/>
        </w:rPr>
        <w:t>article</w:t>
      </w:r>
      <w:r w:rsidR="004D53FD" w:rsidRPr="006C2069">
        <w:rPr>
          <w:bCs/>
          <w:color w:val="000000" w:themeColor="text1"/>
        </w:rPr>
        <w:t>, produise, pour s'assurer sa défense en justice, le courrier échangé avec son conseil</w:t>
      </w:r>
      <w:r w:rsidR="00C35B03" w:rsidRPr="006C2069">
        <w:rPr>
          <w:bCs/>
          <w:color w:val="000000" w:themeColor="text1"/>
        </w:rPr>
        <w:t> »</w:t>
      </w:r>
      <w:r w:rsidR="00C35B03" w:rsidRPr="006C2069">
        <w:rPr>
          <w:rStyle w:val="FootnoteReference"/>
          <w:bCs/>
          <w:color w:val="000000" w:themeColor="text1"/>
        </w:rPr>
        <w:footnoteReference w:id="17"/>
      </w:r>
      <w:r w:rsidR="007640C6">
        <w:rPr>
          <w:bCs/>
          <w:color w:val="000000" w:themeColor="text1"/>
        </w:rPr>
        <w:t>.</w:t>
      </w:r>
      <w:r w:rsidR="00EB7573" w:rsidRPr="006C2069">
        <w:rPr>
          <w:bCs/>
          <w:color w:val="000000" w:themeColor="text1"/>
        </w:rPr>
        <w:t xml:space="preserve"> </w:t>
      </w:r>
    </w:p>
    <w:p w14:paraId="423FEFC2" w14:textId="25FCFA07" w:rsidR="00040BF6" w:rsidRPr="006C2069" w:rsidRDefault="00F3093B" w:rsidP="00040BF6">
      <w:pPr>
        <w:pStyle w:val="SingleTxtG"/>
        <w:rPr>
          <w:bCs/>
          <w:color w:val="000000" w:themeColor="text1"/>
        </w:rPr>
      </w:pPr>
      <w:r w:rsidRPr="006C2069">
        <w:rPr>
          <w:bCs/>
          <w:color w:val="000000" w:themeColor="text1"/>
        </w:rPr>
        <w:t>6.2</w:t>
      </w:r>
      <w:r w:rsidR="0040754E" w:rsidRPr="006C2069">
        <w:rPr>
          <w:bCs/>
          <w:color w:val="000000" w:themeColor="text1"/>
        </w:rPr>
        <w:tab/>
      </w:r>
      <w:r w:rsidR="007303D2" w:rsidRPr="006C2069">
        <w:rPr>
          <w:bCs/>
          <w:color w:val="000000" w:themeColor="text1"/>
        </w:rPr>
        <w:t>L’</w:t>
      </w:r>
      <w:r w:rsidR="00140C4F" w:rsidRPr="006C2069">
        <w:rPr>
          <w:bCs/>
          <w:color w:val="000000" w:themeColor="text1"/>
        </w:rPr>
        <w:t xml:space="preserve">auteure </w:t>
      </w:r>
      <w:r w:rsidR="000D368F" w:rsidRPr="006C2069">
        <w:rPr>
          <w:bCs/>
          <w:color w:val="000000" w:themeColor="text1"/>
        </w:rPr>
        <w:t xml:space="preserve">souligne </w:t>
      </w:r>
      <w:r w:rsidR="00040BF6" w:rsidRPr="006C2069">
        <w:rPr>
          <w:bCs/>
          <w:color w:val="000000" w:themeColor="text1"/>
        </w:rPr>
        <w:t xml:space="preserve">que </w:t>
      </w:r>
      <w:r w:rsidR="000B2ABB" w:rsidRPr="006C2069">
        <w:rPr>
          <w:bCs/>
          <w:color w:val="000000" w:themeColor="text1"/>
        </w:rPr>
        <w:t>l’Etat partie</w:t>
      </w:r>
      <w:r w:rsidR="000D368F" w:rsidRPr="006C2069">
        <w:rPr>
          <w:bCs/>
          <w:color w:val="000000" w:themeColor="text1"/>
        </w:rPr>
        <w:t>,</w:t>
      </w:r>
      <w:r w:rsidR="000B2ABB" w:rsidRPr="006C2069">
        <w:rPr>
          <w:bCs/>
          <w:color w:val="000000" w:themeColor="text1"/>
        </w:rPr>
        <w:t xml:space="preserve"> </w:t>
      </w:r>
      <w:r w:rsidR="000D368F" w:rsidRPr="006C2069">
        <w:rPr>
          <w:bCs/>
          <w:color w:val="000000" w:themeColor="text1"/>
        </w:rPr>
        <w:t xml:space="preserve">à travers ses observations, </w:t>
      </w:r>
      <w:r w:rsidR="000B2ABB" w:rsidRPr="006C2069">
        <w:rPr>
          <w:bCs/>
          <w:color w:val="000000" w:themeColor="text1"/>
        </w:rPr>
        <w:t xml:space="preserve">a reconnu que </w:t>
      </w:r>
      <w:r w:rsidR="00040BF6" w:rsidRPr="006C2069">
        <w:rPr>
          <w:bCs/>
          <w:color w:val="000000" w:themeColor="text1"/>
        </w:rPr>
        <w:t xml:space="preserve">la Cour d’appel de Liège </w:t>
      </w:r>
      <w:r w:rsidR="000B2ABB" w:rsidRPr="006C2069">
        <w:rPr>
          <w:bCs/>
          <w:color w:val="000000" w:themeColor="text1"/>
        </w:rPr>
        <w:t xml:space="preserve">n’était </w:t>
      </w:r>
      <w:r w:rsidR="00040BF6" w:rsidRPr="006C2069">
        <w:rPr>
          <w:bCs/>
          <w:color w:val="000000" w:themeColor="text1"/>
        </w:rPr>
        <w:t xml:space="preserve">pas liée par la décision du </w:t>
      </w:r>
      <w:r w:rsidR="00067A78" w:rsidRPr="006C2069">
        <w:rPr>
          <w:bCs/>
          <w:color w:val="000000" w:themeColor="text1"/>
        </w:rPr>
        <w:t>b</w:t>
      </w:r>
      <w:r w:rsidR="00040BF6" w:rsidRPr="006C2069">
        <w:rPr>
          <w:bCs/>
          <w:color w:val="000000" w:themeColor="text1"/>
        </w:rPr>
        <w:t>âtonnier</w:t>
      </w:r>
      <w:r w:rsidR="0004061B" w:rsidRPr="006C2069">
        <w:rPr>
          <w:bCs/>
          <w:color w:val="000000" w:themeColor="text1"/>
        </w:rPr>
        <w:t xml:space="preserve">. </w:t>
      </w:r>
      <w:r w:rsidR="006D7975" w:rsidRPr="006C2069">
        <w:rPr>
          <w:bCs/>
          <w:color w:val="000000" w:themeColor="text1"/>
        </w:rPr>
        <w:t xml:space="preserve">Elle </w:t>
      </w:r>
      <w:r w:rsidR="000D368F" w:rsidRPr="006C2069">
        <w:rPr>
          <w:bCs/>
          <w:color w:val="000000" w:themeColor="text1"/>
        </w:rPr>
        <w:t xml:space="preserve">réitère </w:t>
      </w:r>
      <w:r w:rsidR="0004061B" w:rsidRPr="006C2069">
        <w:rPr>
          <w:bCs/>
          <w:color w:val="000000" w:themeColor="text1"/>
        </w:rPr>
        <w:t xml:space="preserve">qu’il </w:t>
      </w:r>
      <w:r w:rsidR="00140C4F" w:rsidRPr="006C2069">
        <w:rPr>
          <w:bCs/>
          <w:color w:val="000000" w:themeColor="text1"/>
        </w:rPr>
        <w:t>revenait à la</w:t>
      </w:r>
      <w:r w:rsidR="000B2ABB" w:rsidRPr="006C2069">
        <w:rPr>
          <w:bCs/>
          <w:color w:val="000000" w:themeColor="text1"/>
        </w:rPr>
        <w:t>dite cour</w:t>
      </w:r>
      <w:r w:rsidR="00140C4F" w:rsidRPr="006C2069">
        <w:rPr>
          <w:bCs/>
          <w:color w:val="000000" w:themeColor="text1"/>
        </w:rPr>
        <w:t xml:space="preserve"> d’infirmer les injonctions illégales du </w:t>
      </w:r>
      <w:r w:rsidR="000D368F" w:rsidRPr="006C2069">
        <w:rPr>
          <w:bCs/>
          <w:color w:val="000000" w:themeColor="text1"/>
        </w:rPr>
        <w:t>b</w:t>
      </w:r>
      <w:r w:rsidR="00140C4F" w:rsidRPr="006C2069">
        <w:rPr>
          <w:bCs/>
          <w:color w:val="000000" w:themeColor="text1"/>
        </w:rPr>
        <w:t>âtonnier</w:t>
      </w:r>
      <w:r w:rsidR="00040BF6" w:rsidRPr="006C2069">
        <w:rPr>
          <w:bCs/>
          <w:color w:val="000000" w:themeColor="text1"/>
        </w:rPr>
        <w:t>, comme il ressort sans ambiguïté de l'affaire B</w:t>
      </w:r>
      <w:r w:rsidR="000D368F" w:rsidRPr="006C2069">
        <w:rPr>
          <w:bCs/>
          <w:color w:val="000000" w:themeColor="text1"/>
        </w:rPr>
        <w:t>ono</w:t>
      </w:r>
      <w:r w:rsidR="00040BF6" w:rsidRPr="006C2069">
        <w:rPr>
          <w:bCs/>
          <w:color w:val="000000" w:themeColor="text1"/>
        </w:rPr>
        <w:t xml:space="preserve"> c. </w:t>
      </w:r>
      <w:r w:rsidR="001248CA" w:rsidRPr="006C2069">
        <w:rPr>
          <w:bCs/>
          <w:color w:val="000000" w:themeColor="text1"/>
        </w:rPr>
        <w:t>France</w:t>
      </w:r>
      <w:r w:rsidR="001248CA" w:rsidRPr="006C2069">
        <w:rPr>
          <w:rStyle w:val="FootnoteReference"/>
          <w:bCs/>
          <w:color w:val="000000" w:themeColor="text1"/>
        </w:rPr>
        <w:footnoteReference w:id="18"/>
      </w:r>
      <w:r w:rsidR="001248CA" w:rsidRPr="006C2069">
        <w:rPr>
          <w:bCs/>
          <w:color w:val="000000" w:themeColor="text1"/>
        </w:rPr>
        <w:t xml:space="preserve">. </w:t>
      </w:r>
    </w:p>
    <w:p w14:paraId="3F7DEAA4" w14:textId="155D5E64" w:rsidR="001340DA" w:rsidRPr="006C2069" w:rsidRDefault="00F3093B" w:rsidP="00040BF6">
      <w:pPr>
        <w:pStyle w:val="SingleTxtG"/>
        <w:rPr>
          <w:bCs/>
          <w:color w:val="000000" w:themeColor="text1"/>
        </w:rPr>
      </w:pPr>
      <w:r w:rsidRPr="006C2069">
        <w:rPr>
          <w:bCs/>
          <w:color w:val="000000" w:themeColor="text1"/>
        </w:rPr>
        <w:t>6.3</w:t>
      </w:r>
      <w:r w:rsidR="0040754E" w:rsidRPr="006C2069">
        <w:rPr>
          <w:bCs/>
          <w:color w:val="000000" w:themeColor="text1"/>
        </w:rPr>
        <w:tab/>
      </w:r>
      <w:r w:rsidR="0004061B" w:rsidRPr="006C2069">
        <w:rPr>
          <w:bCs/>
          <w:color w:val="000000" w:themeColor="text1"/>
        </w:rPr>
        <w:t>L’auteure</w:t>
      </w:r>
      <w:r w:rsidR="007C76DF" w:rsidRPr="006C2069">
        <w:rPr>
          <w:bCs/>
          <w:color w:val="000000" w:themeColor="text1"/>
        </w:rPr>
        <w:t xml:space="preserve"> </w:t>
      </w:r>
      <w:r w:rsidR="001248CA" w:rsidRPr="006C2069">
        <w:rPr>
          <w:bCs/>
          <w:color w:val="000000" w:themeColor="text1"/>
        </w:rPr>
        <w:t xml:space="preserve">fait valoir que </w:t>
      </w:r>
      <w:r w:rsidR="007C76DF" w:rsidRPr="006C2069">
        <w:rPr>
          <w:bCs/>
          <w:color w:val="000000" w:themeColor="text1"/>
        </w:rPr>
        <w:t xml:space="preserve">la position de l’Etat partie </w:t>
      </w:r>
      <w:r w:rsidR="001248CA" w:rsidRPr="006C2069">
        <w:rPr>
          <w:bCs/>
          <w:color w:val="000000" w:themeColor="text1"/>
        </w:rPr>
        <w:t xml:space="preserve">estimant qu’elle aurait dû déposer en son nom les conclusions rédigées au préalable par son avocat </w:t>
      </w:r>
      <w:r w:rsidR="0004061B" w:rsidRPr="006C2069">
        <w:rPr>
          <w:bCs/>
          <w:color w:val="000000" w:themeColor="text1"/>
        </w:rPr>
        <w:t>irait à l’encontre d</w:t>
      </w:r>
      <w:r w:rsidR="001248CA" w:rsidRPr="006C2069">
        <w:rPr>
          <w:bCs/>
          <w:color w:val="000000" w:themeColor="text1"/>
        </w:rPr>
        <w:t xml:space="preserve">es injonctions du bâtonnier qui enjoignait </w:t>
      </w:r>
      <w:r w:rsidR="00040BF6" w:rsidRPr="006C2069">
        <w:rPr>
          <w:bCs/>
          <w:color w:val="000000" w:themeColor="text1"/>
        </w:rPr>
        <w:t xml:space="preserve">sans équivoque à </w:t>
      </w:r>
      <w:r w:rsidR="001248CA" w:rsidRPr="006C2069">
        <w:rPr>
          <w:bCs/>
          <w:color w:val="000000" w:themeColor="text1"/>
        </w:rPr>
        <w:t xml:space="preserve">son avocat </w:t>
      </w:r>
      <w:r w:rsidR="00040BF6" w:rsidRPr="006C2069">
        <w:rPr>
          <w:bCs/>
          <w:color w:val="000000" w:themeColor="text1"/>
        </w:rPr>
        <w:t>de « retirer » les pièces litigieuses ou de « se retirer » du dossier</w:t>
      </w:r>
      <w:r w:rsidR="00877A46" w:rsidRPr="006C2069">
        <w:rPr>
          <w:bCs/>
          <w:color w:val="000000" w:themeColor="text1"/>
        </w:rPr>
        <w:t xml:space="preserve">. L’auteure estime que cette injonction du bâtonnier signifie </w:t>
      </w:r>
      <w:r w:rsidR="000D368F" w:rsidRPr="006C2069">
        <w:rPr>
          <w:bCs/>
          <w:color w:val="000000" w:themeColor="text1"/>
        </w:rPr>
        <w:t xml:space="preserve">l’interdiction </w:t>
      </w:r>
      <w:r w:rsidR="00877A46" w:rsidRPr="006C2069">
        <w:rPr>
          <w:bCs/>
          <w:color w:val="000000" w:themeColor="text1"/>
        </w:rPr>
        <w:t xml:space="preserve">faite à son avocat </w:t>
      </w:r>
      <w:r w:rsidR="00040BF6" w:rsidRPr="006C2069">
        <w:rPr>
          <w:bCs/>
          <w:color w:val="000000" w:themeColor="text1"/>
        </w:rPr>
        <w:t xml:space="preserve">de rédiger des conclusions pour </w:t>
      </w:r>
      <w:r w:rsidR="006D7975" w:rsidRPr="006C2069">
        <w:rPr>
          <w:bCs/>
          <w:color w:val="000000" w:themeColor="text1"/>
        </w:rPr>
        <w:t>le</w:t>
      </w:r>
      <w:r w:rsidR="00040BF6" w:rsidRPr="006C2069">
        <w:rPr>
          <w:bCs/>
          <w:color w:val="000000" w:themeColor="text1"/>
        </w:rPr>
        <w:t xml:space="preserve"> compte de </w:t>
      </w:r>
      <w:r w:rsidR="001248CA" w:rsidRPr="006C2069">
        <w:rPr>
          <w:bCs/>
          <w:color w:val="000000" w:themeColor="text1"/>
        </w:rPr>
        <w:t>sa cliente</w:t>
      </w:r>
      <w:r w:rsidR="00040BF6" w:rsidRPr="006C2069">
        <w:rPr>
          <w:bCs/>
          <w:color w:val="000000" w:themeColor="text1"/>
        </w:rPr>
        <w:t>.</w:t>
      </w:r>
      <w:r w:rsidR="002666D5" w:rsidRPr="006C2069">
        <w:rPr>
          <w:bCs/>
          <w:color w:val="000000" w:themeColor="text1"/>
        </w:rPr>
        <w:t xml:space="preserve"> </w:t>
      </w:r>
    </w:p>
    <w:p w14:paraId="73169A0A" w14:textId="3409440C" w:rsidR="006F46C5" w:rsidRPr="006C2069" w:rsidRDefault="00F3093B" w:rsidP="006D7975">
      <w:pPr>
        <w:pStyle w:val="SingleTxtG"/>
        <w:rPr>
          <w:bCs/>
          <w:color w:val="000000" w:themeColor="text1"/>
        </w:rPr>
      </w:pPr>
      <w:r w:rsidRPr="006C2069">
        <w:rPr>
          <w:rFonts w:eastAsia="Times New Roman"/>
          <w:color w:val="000000"/>
          <w:lang w:eastAsia="en-GB"/>
        </w:rPr>
        <w:t>6.4</w:t>
      </w:r>
      <w:r w:rsidR="0040754E" w:rsidRPr="006C2069">
        <w:rPr>
          <w:rFonts w:eastAsia="Times New Roman"/>
          <w:color w:val="000000"/>
          <w:lang w:eastAsia="en-GB"/>
        </w:rPr>
        <w:tab/>
      </w:r>
      <w:r w:rsidR="006F46C5" w:rsidRPr="006C2069">
        <w:rPr>
          <w:rFonts w:eastAsia="Times New Roman"/>
          <w:color w:val="000000"/>
          <w:lang w:eastAsia="en-GB"/>
        </w:rPr>
        <w:t xml:space="preserve">L’auteure </w:t>
      </w:r>
      <w:r w:rsidR="00877A46" w:rsidRPr="006C2069">
        <w:rPr>
          <w:rFonts w:eastAsia="Times New Roman"/>
          <w:color w:val="000000"/>
          <w:lang w:eastAsia="en-GB"/>
        </w:rPr>
        <w:t xml:space="preserve">réitère que vu la complexité de </w:t>
      </w:r>
      <w:r w:rsidR="0094152A" w:rsidRPr="006C2069">
        <w:rPr>
          <w:rFonts w:eastAsia="Times New Roman"/>
          <w:color w:val="000000"/>
          <w:lang w:eastAsia="en-GB"/>
        </w:rPr>
        <w:t>son cas</w:t>
      </w:r>
      <w:r w:rsidR="00877A46" w:rsidRPr="006C2069">
        <w:rPr>
          <w:rFonts w:eastAsia="Times New Roman"/>
          <w:color w:val="000000"/>
          <w:lang w:eastAsia="en-GB"/>
        </w:rPr>
        <w:t xml:space="preserve"> </w:t>
      </w:r>
      <w:r w:rsidR="00135ED4" w:rsidRPr="006C2069">
        <w:rPr>
          <w:rFonts w:eastAsia="Times New Roman"/>
          <w:color w:val="000000"/>
          <w:lang w:eastAsia="en-GB"/>
        </w:rPr>
        <w:t>le service d’un avocat était indispensable.</w:t>
      </w:r>
      <w:r w:rsidRPr="006C2069">
        <w:rPr>
          <w:rFonts w:eastAsia="Times New Roman"/>
          <w:color w:val="000000"/>
          <w:lang w:eastAsia="en-GB"/>
        </w:rPr>
        <w:t xml:space="preserve"> </w:t>
      </w:r>
      <w:r w:rsidR="0094152A" w:rsidRPr="006C2069">
        <w:rPr>
          <w:rFonts w:eastAsia="Times New Roman"/>
          <w:color w:val="000000"/>
          <w:lang w:eastAsia="en-GB"/>
        </w:rPr>
        <w:t xml:space="preserve">Son </w:t>
      </w:r>
      <w:r w:rsidR="00C12C0F" w:rsidRPr="006C2069">
        <w:rPr>
          <w:rFonts w:eastAsia="Times New Roman"/>
          <w:color w:val="000000"/>
          <w:lang w:eastAsia="en-GB"/>
        </w:rPr>
        <w:t>dossier</w:t>
      </w:r>
      <w:r w:rsidR="0094152A" w:rsidRPr="006C2069">
        <w:rPr>
          <w:rFonts w:eastAsia="Times New Roman"/>
          <w:color w:val="000000"/>
          <w:lang w:eastAsia="en-GB"/>
        </w:rPr>
        <w:t xml:space="preserve"> </w:t>
      </w:r>
      <w:r w:rsidR="00015491" w:rsidRPr="006C2069">
        <w:rPr>
          <w:rFonts w:eastAsia="Times New Roman"/>
          <w:color w:val="000000"/>
          <w:lang w:eastAsia="en-GB"/>
        </w:rPr>
        <w:t xml:space="preserve">implique l’examen </w:t>
      </w:r>
      <w:r w:rsidR="00015491" w:rsidRPr="006C2069">
        <w:rPr>
          <w:bCs/>
          <w:color w:val="000000" w:themeColor="text1"/>
        </w:rPr>
        <w:t xml:space="preserve">de questions juridiques éminemment techniques, telles que l'application de la Convention de Lugano sur l'interdiction pour les juridictions belges de rejuger ce qui a déjà été jugé de manière définitive par les juges suisses et l'obligation de reconnaître l'autorité de </w:t>
      </w:r>
      <w:r w:rsidR="0094152A" w:rsidRPr="006C2069">
        <w:rPr>
          <w:bCs/>
          <w:color w:val="000000" w:themeColor="text1"/>
        </w:rPr>
        <w:t xml:space="preserve">la </w:t>
      </w:r>
      <w:r w:rsidR="00015491" w:rsidRPr="006C2069">
        <w:rPr>
          <w:bCs/>
          <w:color w:val="000000" w:themeColor="text1"/>
        </w:rPr>
        <w:t xml:space="preserve">chose jugée </w:t>
      </w:r>
      <w:r w:rsidR="0094152A" w:rsidRPr="006C2069">
        <w:rPr>
          <w:bCs/>
          <w:color w:val="000000" w:themeColor="text1"/>
        </w:rPr>
        <w:t xml:space="preserve">à </w:t>
      </w:r>
      <w:r w:rsidR="00015491" w:rsidRPr="006C2069">
        <w:rPr>
          <w:bCs/>
          <w:color w:val="000000" w:themeColor="text1"/>
        </w:rPr>
        <w:t xml:space="preserve">une décision rendue en Suisse. </w:t>
      </w:r>
      <w:r w:rsidR="006F46C5" w:rsidRPr="006C2069">
        <w:rPr>
          <w:rFonts w:eastAsia="Times New Roman"/>
          <w:color w:val="000000"/>
          <w:lang w:eastAsia="en-GB"/>
        </w:rPr>
        <w:t>L’auteur</w:t>
      </w:r>
      <w:r w:rsidR="00383FF0" w:rsidRPr="006C2069">
        <w:rPr>
          <w:rFonts w:eastAsia="Times New Roman"/>
          <w:color w:val="000000"/>
          <w:lang w:eastAsia="en-GB"/>
        </w:rPr>
        <w:t>e</w:t>
      </w:r>
      <w:r w:rsidR="006F46C5" w:rsidRPr="006C2069">
        <w:rPr>
          <w:rFonts w:eastAsia="Times New Roman"/>
          <w:color w:val="000000"/>
          <w:lang w:eastAsia="en-GB"/>
        </w:rPr>
        <w:t xml:space="preserve"> </w:t>
      </w:r>
      <w:r w:rsidR="00135ED4" w:rsidRPr="006C2069">
        <w:rPr>
          <w:rFonts w:eastAsia="Times New Roman"/>
          <w:color w:val="000000"/>
          <w:lang w:eastAsia="en-GB"/>
        </w:rPr>
        <w:t xml:space="preserve">réitère </w:t>
      </w:r>
      <w:r w:rsidR="006F46C5" w:rsidRPr="006C2069">
        <w:rPr>
          <w:rFonts w:eastAsia="Times New Roman"/>
          <w:color w:val="000000"/>
          <w:lang w:eastAsia="en-GB"/>
        </w:rPr>
        <w:t xml:space="preserve">que, contrairement à ce qu’affirme l’Etat partie, il ne lui était pas loisible de s'adjoindre l'assistance d'un autre avocat dès lors que les injonctions du 29 juin 2017 du Bâtonnier sont parfaitement claires. Elle estime </w:t>
      </w:r>
      <w:r w:rsidR="00135ED4" w:rsidRPr="006C2069">
        <w:rPr>
          <w:rFonts w:eastAsia="Times New Roman"/>
          <w:color w:val="000000"/>
          <w:lang w:eastAsia="en-GB"/>
        </w:rPr>
        <w:t xml:space="preserve">par ailleurs </w:t>
      </w:r>
      <w:r w:rsidR="006F46C5" w:rsidRPr="006C2069">
        <w:rPr>
          <w:rFonts w:eastAsia="Times New Roman"/>
          <w:color w:val="000000"/>
          <w:lang w:eastAsia="en-GB"/>
        </w:rPr>
        <w:t>que, quel que soit l'avocat</w:t>
      </w:r>
      <w:r w:rsidR="00135ED4" w:rsidRPr="006C2069">
        <w:rPr>
          <w:rFonts w:eastAsia="Times New Roman"/>
          <w:color w:val="000000"/>
          <w:lang w:eastAsia="en-GB"/>
        </w:rPr>
        <w:t xml:space="preserve"> qu’elle aurait à choisir</w:t>
      </w:r>
      <w:r w:rsidR="006F46C5" w:rsidRPr="006C2069">
        <w:rPr>
          <w:rFonts w:eastAsia="Times New Roman"/>
          <w:color w:val="000000"/>
          <w:lang w:eastAsia="en-GB"/>
        </w:rPr>
        <w:t xml:space="preserve">, </w:t>
      </w:r>
      <w:r w:rsidR="00135ED4" w:rsidRPr="006C2069">
        <w:rPr>
          <w:rFonts w:eastAsia="Times New Roman"/>
          <w:color w:val="000000"/>
          <w:lang w:eastAsia="en-GB"/>
        </w:rPr>
        <w:t>ce dernier aurait</w:t>
      </w:r>
      <w:r w:rsidR="006F46C5" w:rsidRPr="006C2069">
        <w:rPr>
          <w:rFonts w:eastAsia="Times New Roman"/>
          <w:color w:val="000000"/>
          <w:lang w:eastAsia="en-GB"/>
        </w:rPr>
        <w:t xml:space="preserve"> interdiction de l'assister au procès, qu’elle doit se défendre seule si elle veut produire les pièces litigieuses. L’auteur</w:t>
      </w:r>
      <w:r w:rsidR="00383FF0" w:rsidRPr="006C2069">
        <w:rPr>
          <w:rFonts w:eastAsia="Times New Roman"/>
          <w:color w:val="000000"/>
          <w:lang w:eastAsia="en-GB"/>
        </w:rPr>
        <w:t>e</w:t>
      </w:r>
      <w:r w:rsidR="006F46C5" w:rsidRPr="006C2069">
        <w:rPr>
          <w:rFonts w:eastAsia="Times New Roman"/>
          <w:color w:val="000000"/>
          <w:lang w:eastAsia="en-GB"/>
        </w:rPr>
        <w:t xml:space="preserve"> soumet que même en s’adjoignant l'assistance d'un autre avocat, ce dernier aurait été amené à devoir prendre connaissance d'une procédure en quatrième instance, après renvoi de la Cour de Cassation </w:t>
      </w:r>
      <w:r w:rsidR="00BC0F86" w:rsidRPr="006C2069">
        <w:rPr>
          <w:rFonts w:eastAsia="Times New Roman"/>
          <w:color w:val="000000"/>
          <w:lang w:eastAsia="en-GB"/>
        </w:rPr>
        <w:t>et ouverte depuis plus de 5 ans ; c</w:t>
      </w:r>
      <w:r w:rsidR="006F46C5" w:rsidRPr="006C2069">
        <w:rPr>
          <w:rFonts w:eastAsia="Times New Roman"/>
          <w:color w:val="000000"/>
          <w:lang w:eastAsia="en-GB"/>
        </w:rPr>
        <w:t xml:space="preserve">e qui aurait à nouveau généré pour </w:t>
      </w:r>
      <w:r w:rsidR="00BC0F86" w:rsidRPr="006C2069">
        <w:rPr>
          <w:rFonts w:eastAsia="Times New Roman"/>
          <w:color w:val="000000"/>
          <w:lang w:eastAsia="en-GB"/>
        </w:rPr>
        <w:t>l’auteure</w:t>
      </w:r>
      <w:r w:rsidR="006F46C5" w:rsidRPr="006C2069">
        <w:rPr>
          <w:rFonts w:eastAsia="Times New Roman"/>
          <w:color w:val="000000"/>
          <w:lang w:eastAsia="en-GB"/>
        </w:rPr>
        <w:t xml:space="preserve"> des frais d'honoraires exorbitants. </w:t>
      </w:r>
      <w:r w:rsidR="006D7975" w:rsidRPr="006C2069">
        <w:rPr>
          <w:bCs/>
          <w:color w:val="000000" w:themeColor="text1"/>
        </w:rPr>
        <w:t>L’auteure réclame en outre</w:t>
      </w:r>
      <w:r w:rsidR="00BC0F86" w:rsidRPr="006C2069">
        <w:rPr>
          <w:bCs/>
          <w:color w:val="000000" w:themeColor="text1"/>
        </w:rPr>
        <w:t xml:space="preserve"> qu’une indemnisation financière, </w:t>
      </w:r>
      <w:r w:rsidR="006D7975" w:rsidRPr="006C2069">
        <w:rPr>
          <w:bCs/>
          <w:color w:val="000000" w:themeColor="text1"/>
        </w:rPr>
        <w:t>initialement chiffrée à 10000 euros (plus tout montant pouvant être dû à titre d'impôts) par courrier du 11 mars 2019</w:t>
      </w:r>
      <w:r w:rsidR="00BC0F86" w:rsidRPr="006C2069">
        <w:rPr>
          <w:bCs/>
          <w:color w:val="000000" w:themeColor="text1"/>
        </w:rPr>
        <w:t>,</w:t>
      </w:r>
      <w:r w:rsidRPr="006C2069">
        <w:rPr>
          <w:bCs/>
          <w:color w:val="000000" w:themeColor="text1"/>
        </w:rPr>
        <w:t xml:space="preserve"> soit désormais portée à 181000 </w:t>
      </w:r>
      <w:r w:rsidR="006D7975" w:rsidRPr="006C2069">
        <w:rPr>
          <w:bCs/>
          <w:color w:val="000000" w:themeColor="text1"/>
        </w:rPr>
        <w:t>(plus tout montant pouvant être dû à titre d'impôts).</w:t>
      </w:r>
    </w:p>
    <w:p w14:paraId="1EC179B4" w14:textId="61A70AC4" w:rsidR="001F1804" w:rsidRPr="006C2069" w:rsidRDefault="00C12AA3">
      <w:pPr>
        <w:pStyle w:val="SingleTxtG"/>
        <w:rPr>
          <w:bCs/>
          <w:color w:val="000000" w:themeColor="text1"/>
        </w:rPr>
      </w:pPr>
      <w:r w:rsidRPr="006C2069">
        <w:rPr>
          <w:bCs/>
          <w:color w:val="000000" w:themeColor="text1"/>
        </w:rPr>
        <w:t>6.</w:t>
      </w:r>
      <w:r w:rsidR="00F3093B" w:rsidRPr="006C2069">
        <w:rPr>
          <w:bCs/>
          <w:color w:val="000000" w:themeColor="text1"/>
        </w:rPr>
        <w:t>5</w:t>
      </w:r>
      <w:r w:rsidR="0040754E" w:rsidRPr="006C2069">
        <w:rPr>
          <w:bCs/>
          <w:color w:val="000000" w:themeColor="text1"/>
        </w:rPr>
        <w:tab/>
      </w:r>
      <w:r w:rsidR="00ED6DD6" w:rsidRPr="006C2069">
        <w:rPr>
          <w:bCs/>
          <w:color w:val="000000" w:themeColor="text1"/>
        </w:rPr>
        <w:t xml:space="preserve">En ce qui concerne l’argument de l’Etat partie tiré de la </w:t>
      </w:r>
      <w:r w:rsidR="00040BF6" w:rsidRPr="006C2069">
        <w:rPr>
          <w:bCs/>
          <w:color w:val="000000" w:themeColor="text1"/>
        </w:rPr>
        <w:t>décision du 19 avril 2018</w:t>
      </w:r>
      <w:r w:rsidR="00ED6DD6" w:rsidRPr="006C2069">
        <w:rPr>
          <w:bCs/>
          <w:color w:val="000000" w:themeColor="text1"/>
        </w:rPr>
        <w:t xml:space="preserve"> de la Cour européenne des droits de l’homme pour avancer que </w:t>
      </w:r>
      <w:r w:rsidR="00040BF6" w:rsidRPr="006C2069">
        <w:rPr>
          <w:bCs/>
          <w:color w:val="000000" w:themeColor="text1"/>
        </w:rPr>
        <w:t xml:space="preserve">les faits dénoncés ne révèleraient aucune apparence de violation </w:t>
      </w:r>
      <w:r w:rsidR="00ED6DD6" w:rsidRPr="006C2069">
        <w:rPr>
          <w:bCs/>
          <w:color w:val="000000" w:themeColor="text1"/>
        </w:rPr>
        <w:t xml:space="preserve">de ses droits, l’auteure excipe que le Comité n’est pas lié </w:t>
      </w:r>
      <w:r w:rsidR="00040BF6" w:rsidRPr="006C2069">
        <w:rPr>
          <w:bCs/>
          <w:color w:val="000000" w:themeColor="text1"/>
        </w:rPr>
        <w:t xml:space="preserve">par la décision de </w:t>
      </w:r>
      <w:r w:rsidR="00ED6DD6" w:rsidRPr="006C2069">
        <w:rPr>
          <w:bCs/>
          <w:color w:val="000000" w:themeColor="text1"/>
        </w:rPr>
        <w:t xml:space="preserve">Cour européenne des droits de l’homme. Elle estime que si sa communication </w:t>
      </w:r>
      <w:r w:rsidR="00040BF6" w:rsidRPr="006C2069">
        <w:rPr>
          <w:bCs/>
          <w:color w:val="000000" w:themeColor="text1"/>
        </w:rPr>
        <w:t xml:space="preserve">a été enregistrée par le Comité et communiquée à l'Etat pour </w:t>
      </w:r>
      <w:r w:rsidR="00ED6DD6" w:rsidRPr="006C2069">
        <w:rPr>
          <w:bCs/>
          <w:color w:val="000000" w:themeColor="text1"/>
        </w:rPr>
        <w:t>soumettre ses ob</w:t>
      </w:r>
      <w:r w:rsidR="00040BF6" w:rsidRPr="006C2069">
        <w:rPr>
          <w:bCs/>
          <w:color w:val="000000" w:themeColor="text1"/>
        </w:rPr>
        <w:t xml:space="preserve">servations, c'est </w:t>
      </w:r>
      <w:r w:rsidR="00ED6DD6" w:rsidRPr="006C2069">
        <w:rPr>
          <w:bCs/>
          <w:color w:val="000000" w:themeColor="text1"/>
        </w:rPr>
        <w:t>p</w:t>
      </w:r>
      <w:r w:rsidR="00040BF6" w:rsidRPr="006C2069">
        <w:rPr>
          <w:bCs/>
          <w:color w:val="000000" w:themeColor="text1"/>
        </w:rPr>
        <w:t xml:space="preserve">arce que </w:t>
      </w:r>
      <w:r w:rsidR="00ED6DD6" w:rsidRPr="006C2069">
        <w:rPr>
          <w:bCs/>
          <w:color w:val="000000" w:themeColor="text1"/>
        </w:rPr>
        <w:t xml:space="preserve">ladite communication a été jugée </w:t>
      </w:r>
      <w:r w:rsidR="00040BF6" w:rsidRPr="006C2069">
        <w:rPr>
          <w:bCs/>
          <w:i/>
          <w:color w:val="000000" w:themeColor="text1"/>
        </w:rPr>
        <w:t>prima facie</w:t>
      </w:r>
      <w:r w:rsidR="00040BF6" w:rsidRPr="006C2069">
        <w:rPr>
          <w:bCs/>
          <w:color w:val="000000" w:themeColor="text1"/>
        </w:rPr>
        <w:t xml:space="preserve"> </w:t>
      </w:r>
      <w:r w:rsidR="00ED6DD6" w:rsidRPr="006C2069">
        <w:rPr>
          <w:bCs/>
          <w:color w:val="000000" w:themeColor="text1"/>
        </w:rPr>
        <w:t>recevable</w:t>
      </w:r>
      <w:r w:rsidR="00040BF6" w:rsidRPr="006C2069">
        <w:rPr>
          <w:bCs/>
          <w:color w:val="000000" w:themeColor="text1"/>
        </w:rPr>
        <w:t>.</w:t>
      </w:r>
    </w:p>
    <w:p w14:paraId="125E5F3E" w14:textId="78A8B698" w:rsidR="001F1804" w:rsidRPr="006C2069" w:rsidRDefault="00C37753" w:rsidP="00C37753">
      <w:pPr>
        <w:pStyle w:val="H23G"/>
        <w:ind w:left="0" w:firstLine="0"/>
      </w:pPr>
      <w:r w:rsidRPr="006C2069">
        <w:tab/>
      </w:r>
      <w:r w:rsidRPr="006C2069">
        <w:tab/>
      </w:r>
      <w:r w:rsidR="001F1804" w:rsidRPr="006C2069">
        <w:t>Délibérations du Comité</w:t>
      </w:r>
    </w:p>
    <w:p w14:paraId="49789B26" w14:textId="77777777" w:rsidR="001F1804" w:rsidRPr="006C2069" w:rsidRDefault="001F1804" w:rsidP="00C37753">
      <w:pPr>
        <w:pStyle w:val="H4G"/>
      </w:pPr>
      <w:r w:rsidRPr="006C2069">
        <w:tab/>
      </w:r>
      <w:r w:rsidRPr="006C2069">
        <w:tab/>
        <w:t>Examen de la recevabilité</w:t>
      </w:r>
    </w:p>
    <w:p w14:paraId="32E4E18A" w14:textId="77777777" w:rsidR="001F1804" w:rsidRPr="006C2069" w:rsidRDefault="001F1804" w:rsidP="005243ED">
      <w:pPr>
        <w:pStyle w:val="SingleTxtG"/>
      </w:pPr>
      <w:r w:rsidRPr="006C2069">
        <w:t>7.1</w:t>
      </w:r>
      <w:r w:rsidRPr="006C2069">
        <w:tab/>
        <w:t>Avant d’examiner tout grief formulé dans une communication, le Comité des droits de l’homme doit, conformément à l’article 97 de son règlement intérieur, déterminer si la communication est recevable au regard du Protocole facultatif se rapportant au Pacte.</w:t>
      </w:r>
    </w:p>
    <w:p w14:paraId="11AD31B8" w14:textId="77777777" w:rsidR="001F1804" w:rsidRPr="006C2069" w:rsidRDefault="001F1804" w:rsidP="005243ED">
      <w:pPr>
        <w:pStyle w:val="SingleTxtG"/>
      </w:pPr>
      <w:r w:rsidRPr="006C2069">
        <w:t>7.2</w:t>
      </w:r>
      <w:r w:rsidRPr="006C2069">
        <w:tab/>
        <w:t>Le Comité s’est assuré, comme il est tenu de le faire conformément au paragraphe 2 a) de l’article 5 du Protocole facultatif, que la même question n’était pas déjà en cours d’examen devant une autre instance internationale d’enquête ou de règlement.</w:t>
      </w:r>
    </w:p>
    <w:p w14:paraId="01373B43" w14:textId="1A1953D1" w:rsidR="00C55188" w:rsidRPr="0079683E" w:rsidRDefault="001F1804" w:rsidP="00435BF9">
      <w:pPr>
        <w:pStyle w:val="SingleTxtG"/>
      </w:pPr>
      <w:r w:rsidRPr="006E1A0D">
        <w:t>7.3</w:t>
      </w:r>
      <w:r w:rsidRPr="006E1A0D">
        <w:tab/>
        <w:t xml:space="preserve">Le Comité </w:t>
      </w:r>
      <w:r w:rsidR="00002BC3" w:rsidRPr="0079683E">
        <w:t>considère</w:t>
      </w:r>
      <w:r w:rsidR="00002BC3" w:rsidRPr="006E1A0D">
        <w:t xml:space="preserve"> </w:t>
      </w:r>
      <w:r w:rsidR="00B4625C" w:rsidRPr="006E1A0D">
        <w:t xml:space="preserve">que </w:t>
      </w:r>
      <w:r w:rsidR="005702EE" w:rsidRPr="0079683E">
        <w:t>la présentation par l’auteure d’une</w:t>
      </w:r>
      <w:r w:rsidR="00B4625C" w:rsidRPr="006E1A0D">
        <w:t xml:space="preserve"> requête portant sur les mêmes faits devant la Cour européenne des droits de l’homme</w:t>
      </w:r>
      <w:r w:rsidR="002E6521" w:rsidRPr="0079683E">
        <w:t xml:space="preserve"> </w:t>
      </w:r>
      <w:r w:rsidR="004B27D5" w:rsidRPr="0079683E">
        <w:t xml:space="preserve">et </w:t>
      </w:r>
      <w:r w:rsidR="006172C9" w:rsidRPr="0079683E">
        <w:t xml:space="preserve">la décision </w:t>
      </w:r>
      <w:r w:rsidR="008E0A3D" w:rsidRPr="0079683E">
        <w:t>non-motivée d’</w:t>
      </w:r>
      <w:r w:rsidR="00002BC3" w:rsidRPr="0079683E">
        <w:t>ir</w:t>
      </w:r>
      <w:r w:rsidR="008E0A3D" w:rsidRPr="0079683E">
        <w:t xml:space="preserve">recevabilité </w:t>
      </w:r>
      <w:r w:rsidR="00435BF9" w:rsidRPr="0079683E">
        <w:t xml:space="preserve">de la Cour </w:t>
      </w:r>
      <w:r w:rsidR="008E0A3D" w:rsidRPr="0079683E">
        <w:t>sur le fondement de l’article 35§ 3a) de la Convention</w:t>
      </w:r>
      <w:r w:rsidR="00002BC3" w:rsidRPr="0079683E">
        <w:rPr>
          <w:rStyle w:val="FootnoteReference"/>
        </w:rPr>
        <w:footnoteReference w:id="19"/>
      </w:r>
      <w:r w:rsidR="008E0A3D" w:rsidRPr="0079683E">
        <w:t xml:space="preserve"> ne sont pas de nature </w:t>
      </w:r>
      <w:r w:rsidR="00435BF9" w:rsidRPr="0079683E">
        <w:t xml:space="preserve">à empêcher l’examen de la communication conformément au paragraphe 2 a) de l’article 5 du Pacte. </w:t>
      </w:r>
    </w:p>
    <w:p w14:paraId="40E23B7A" w14:textId="387A8F67" w:rsidR="001F1804" w:rsidRPr="006C2069" w:rsidRDefault="001F1804" w:rsidP="005243ED">
      <w:pPr>
        <w:pStyle w:val="SingleTxtG"/>
        <w:rPr>
          <w:color w:val="000000" w:themeColor="text1"/>
        </w:rPr>
      </w:pPr>
      <w:r w:rsidRPr="006C2069">
        <w:rPr>
          <w:rFonts w:eastAsia="Calibri"/>
          <w:color w:val="000000" w:themeColor="text1"/>
        </w:rPr>
        <w:t>7.4</w:t>
      </w:r>
      <w:r w:rsidRPr="006C2069">
        <w:rPr>
          <w:rFonts w:eastAsia="Calibri"/>
          <w:color w:val="000000" w:themeColor="text1"/>
        </w:rPr>
        <w:tab/>
      </w:r>
      <w:r w:rsidRPr="006C2069">
        <w:t xml:space="preserve">Le Comité rappelle que les dispositions de l’article 14 du Pacte </w:t>
      </w:r>
      <w:r w:rsidR="00A54269" w:rsidRPr="006C2069">
        <w:t xml:space="preserve">visent </w:t>
      </w:r>
      <w:r w:rsidRPr="006C2069">
        <w:t>de façon générale une saine administration de la justice</w:t>
      </w:r>
      <w:r w:rsidRPr="006C2069">
        <w:rPr>
          <w:rFonts w:eastAsia="Calibri"/>
          <w:bCs/>
          <w:color w:val="000000" w:themeColor="text1"/>
          <w:sz w:val="18"/>
          <w:vertAlign w:val="superscript"/>
        </w:rPr>
        <w:footnoteReference w:id="20"/>
      </w:r>
      <w:r w:rsidRPr="006C2069">
        <w:t xml:space="preserve">. </w:t>
      </w:r>
      <w:r w:rsidRPr="006C2069">
        <w:rPr>
          <w:color w:val="000000" w:themeColor="text1"/>
        </w:rPr>
        <w:t xml:space="preserve">Le Comité prend note du grief de l’auteure qui affirme que l’Etat </w:t>
      </w:r>
      <w:r w:rsidR="00A54269" w:rsidRPr="006C2069">
        <w:rPr>
          <w:color w:val="000000" w:themeColor="text1"/>
        </w:rPr>
        <w:t xml:space="preserve">partie a </w:t>
      </w:r>
      <w:r w:rsidRPr="006C2069">
        <w:rPr>
          <w:color w:val="000000" w:themeColor="text1"/>
        </w:rPr>
        <w:t>viol</w:t>
      </w:r>
      <w:r w:rsidR="00A54269" w:rsidRPr="006C2069">
        <w:rPr>
          <w:color w:val="000000" w:themeColor="text1"/>
        </w:rPr>
        <w:t>é</w:t>
      </w:r>
      <w:r w:rsidRPr="006C2069">
        <w:rPr>
          <w:color w:val="000000" w:themeColor="text1"/>
        </w:rPr>
        <w:t xml:space="preserve"> les droits qu’elle tient du premier </w:t>
      </w:r>
      <w:r w:rsidR="00561311" w:rsidRPr="006C2069">
        <w:rPr>
          <w:color w:val="000000" w:themeColor="text1"/>
        </w:rPr>
        <w:t>paragraphe</w:t>
      </w:r>
      <w:r w:rsidRPr="006C2069">
        <w:rPr>
          <w:color w:val="000000" w:themeColor="text1"/>
        </w:rPr>
        <w:t xml:space="preserve"> de l’article 14 du Pacte vu qu’elle a été victime d’une décision du bâtonnier francophone de l’Ordre des avocats du Barreau de Bruxelles qui, dans une décision du 29 juin 2017, a </w:t>
      </w:r>
      <w:r w:rsidR="00CB45BC" w:rsidRPr="006C2069">
        <w:rPr>
          <w:color w:val="000000" w:themeColor="text1"/>
        </w:rPr>
        <w:t>enjoint à</w:t>
      </w:r>
      <w:r w:rsidRPr="006C2069">
        <w:rPr>
          <w:color w:val="000000" w:themeColor="text1"/>
        </w:rPr>
        <w:t xml:space="preserve"> son avocat </w:t>
      </w:r>
      <w:r w:rsidR="00A54269" w:rsidRPr="006C2069">
        <w:rPr>
          <w:color w:val="000000" w:themeColor="text1"/>
        </w:rPr>
        <w:t xml:space="preserve">soit </w:t>
      </w:r>
      <w:r w:rsidRPr="006C2069">
        <w:rPr>
          <w:color w:val="000000" w:themeColor="text1"/>
        </w:rPr>
        <w:t xml:space="preserve">de </w:t>
      </w:r>
      <w:r w:rsidR="00A54269" w:rsidRPr="006C2069">
        <w:rPr>
          <w:color w:val="000000" w:themeColor="text1"/>
        </w:rPr>
        <w:t xml:space="preserve">ne pas </w:t>
      </w:r>
      <w:r w:rsidRPr="006C2069">
        <w:rPr>
          <w:color w:val="000000" w:themeColor="text1"/>
        </w:rPr>
        <w:t xml:space="preserve">produire trois pièces au dossier </w:t>
      </w:r>
      <w:r w:rsidR="00A54269" w:rsidRPr="006C2069">
        <w:rPr>
          <w:color w:val="000000" w:themeColor="text1"/>
        </w:rPr>
        <w:t xml:space="preserve">soit </w:t>
      </w:r>
      <w:r w:rsidRPr="006C2069">
        <w:rPr>
          <w:color w:val="000000" w:themeColor="text1"/>
        </w:rPr>
        <w:t>de se retirer de l’affaire. Le Comité prend note également de l’argument de l’auteure alléguant une violation du même article par</w:t>
      </w:r>
      <w:r w:rsidR="00E368F0" w:rsidRPr="006C2069">
        <w:rPr>
          <w:color w:val="000000" w:themeColor="text1"/>
        </w:rPr>
        <w:t xml:space="preserve">ce qu’en dépit du </w:t>
      </w:r>
      <w:r w:rsidRPr="006C2069">
        <w:rPr>
          <w:color w:val="000000" w:themeColor="text1"/>
        </w:rPr>
        <w:t xml:space="preserve">fait que la Cour d’appel de Liège </w:t>
      </w:r>
      <w:r w:rsidR="00E368F0" w:rsidRPr="006C2069">
        <w:rPr>
          <w:color w:val="000000" w:themeColor="text1"/>
        </w:rPr>
        <w:t xml:space="preserve">a reconnu que la décision du bâtonnier était arbitraire, elle </w:t>
      </w:r>
      <w:r w:rsidRPr="006C2069">
        <w:rPr>
          <w:color w:val="000000" w:themeColor="text1"/>
        </w:rPr>
        <w:t xml:space="preserve">n’a pas annulé </w:t>
      </w:r>
      <w:r w:rsidR="00E368F0" w:rsidRPr="006C2069">
        <w:rPr>
          <w:color w:val="000000" w:themeColor="text1"/>
        </w:rPr>
        <w:t>ladite</w:t>
      </w:r>
      <w:r w:rsidRPr="006C2069">
        <w:rPr>
          <w:color w:val="000000" w:themeColor="text1"/>
        </w:rPr>
        <w:t xml:space="preserve"> </w:t>
      </w:r>
      <w:r w:rsidR="00CB45BC" w:rsidRPr="006C2069">
        <w:rPr>
          <w:color w:val="000000" w:themeColor="text1"/>
        </w:rPr>
        <w:t>décision empêchant</w:t>
      </w:r>
      <w:r w:rsidR="00E368F0" w:rsidRPr="006C2069">
        <w:rPr>
          <w:color w:val="000000" w:themeColor="text1"/>
        </w:rPr>
        <w:t xml:space="preserve"> par là-même l’auteure d’</w:t>
      </w:r>
      <w:r w:rsidRPr="006C2069">
        <w:rPr>
          <w:color w:val="000000" w:themeColor="text1"/>
        </w:rPr>
        <w:t xml:space="preserve">assurer sa défense en se faisant assister de son avocat. </w:t>
      </w:r>
    </w:p>
    <w:p w14:paraId="4210985A" w14:textId="3883E264" w:rsidR="001F1804" w:rsidRPr="006C2069" w:rsidRDefault="001F1804" w:rsidP="00BC15DE">
      <w:pPr>
        <w:pStyle w:val="SingleTxtG"/>
      </w:pPr>
      <w:r w:rsidRPr="006C2069">
        <w:t>7.</w:t>
      </w:r>
      <w:r w:rsidR="00C55188">
        <w:t>5</w:t>
      </w:r>
      <w:r w:rsidRPr="006C2069">
        <w:tab/>
        <w:t xml:space="preserve">Le Comité prend note de l’argument de l’auteure qui estime que l’interdiction qui a été prononcée par le bâtonnier l’a </w:t>
      </w:r>
      <w:r w:rsidR="00E368F0" w:rsidRPr="006C2069">
        <w:t>privé de</w:t>
      </w:r>
      <w:r w:rsidRPr="006C2069">
        <w:t xml:space="preserve"> l’assistance de son avocat à l’audience du 23 mars 2018, </w:t>
      </w:r>
      <w:r w:rsidR="00E368F0" w:rsidRPr="006C2069">
        <w:t xml:space="preserve">la contraignant à plaider sa cause seule, </w:t>
      </w:r>
      <w:r w:rsidRPr="006C2069">
        <w:t xml:space="preserve">ce qui l’a mise dans une situation de désavantage en violation du principe de l’égalité des armes. Le Comité prend note également de l’argument de l’auteure qui soumet que l’Etat partie </w:t>
      </w:r>
      <w:r w:rsidR="00E368F0" w:rsidRPr="006C2069">
        <w:t>aurait dû</w:t>
      </w:r>
      <w:r w:rsidRPr="006C2069">
        <w:t xml:space="preserve"> s’assurer de l’équité de la procédure, </w:t>
      </w:r>
      <w:r w:rsidR="00E368F0" w:rsidRPr="006C2069">
        <w:t xml:space="preserve">en lui </w:t>
      </w:r>
      <w:r w:rsidR="00CB45BC" w:rsidRPr="006C2069">
        <w:t>donnant accès</w:t>
      </w:r>
      <w:r w:rsidRPr="006C2069">
        <w:t xml:space="preserve"> à son avocat et </w:t>
      </w:r>
      <w:r w:rsidR="00E368F0" w:rsidRPr="006C2069">
        <w:t xml:space="preserve">en lui permettant </w:t>
      </w:r>
      <w:r w:rsidR="00676A0C" w:rsidRPr="006C2069">
        <w:t>de produire</w:t>
      </w:r>
      <w:r w:rsidRPr="006C2069">
        <w:t xml:space="preserve"> toutes les pièces nécessaires à sa défense. Le Comité prend également note de l’argument de l’Etat partie qui</w:t>
      </w:r>
      <w:r w:rsidR="00BC15DE">
        <w:t xml:space="preserve"> </w:t>
      </w:r>
      <w:r w:rsidR="00BC15DE" w:rsidRPr="00BC15DE">
        <w:t>fait valoir qu’en l’espèce les griefs de l’auteure ont été examinés par la Cour d’appel de Liège qui, dans son arrêt du 15 novembre 2017, tout en indiquant qu’elle n’est pas tenue par l’appréciation du bâtonnier quant à la recevabilité des courriers litigieux, a estimé néanmoins qu’elle ne pouvait pas autoriser l’ancien avocat de l’auteure à conclure et à la représenter à l’audience nonobstant les injonctions du bâtonnier.</w:t>
      </w:r>
      <w:r w:rsidR="00BC15DE">
        <w:t xml:space="preserve"> </w:t>
      </w:r>
      <w:r w:rsidR="00BF231A">
        <w:t xml:space="preserve">Le Comité </w:t>
      </w:r>
      <w:r w:rsidR="009F4094">
        <w:t>note que s</w:t>
      </w:r>
      <w:r w:rsidR="00EE6BD1" w:rsidRPr="00EE6BD1">
        <w:t>elon l’Etat partie, l’auteure elle-même a admis que quand un client décide de révéler une information couverte par le secret professionnel et de l’employer en justice, il ne fait qu’exercer ses droits de la défense et que ledit client peut dès lors décider de rompre le secret professionnel à son bénéfice</w:t>
      </w:r>
      <w:r w:rsidR="00F7076C">
        <w:t xml:space="preserve">. </w:t>
      </w:r>
    </w:p>
    <w:p w14:paraId="11B19727" w14:textId="3690DE43" w:rsidR="001F1804" w:rsidRPr="006C2069" w:rsidRDefault="001F1804" w:rsidP="005243ED">
      <w:pPr>
        <w:pStyle w:val="SingleTxtG"/>
      </w:pPr>
      <w:r w:rsidRPr="006C2069">
        <w:t>7.6</w:t>
      </w:r>
      <w:r w:rsidRPr="006C2069">
        <w:tab/>
        <w:t xml:space="preserve">Le Comité prend note </w:t>
      </w:r>
      <w:r w:rsidR="00EE6BD1">
        <w:t xml:space="preserve">en effet </w:t>
      </w:r>
      <w:r w:rsidRPr="006C2069">
        <w:t>de l’argument de l’auteure qui estime qu’il lui était loisible de faire usage des courriers couverts par le secret professionnel pour assurer sa défense. Le Comité prend note également que l’Etat partie n’a pas nié cette faculté à l’auteure</w:t>
      </w:r>
      <w:r w:rsidRPr="006C2069">
        <w:rPr>
          <w:sz w:val="18"/>
          <w:vertAlign w:val="superscript"/>
        </w:rPr>
        <w:footnoteReference w:id="21"/>
      </w:r>
      <w:r w:rsidR="0024198C">
        <w:t xml:space="preserve">. </w:t>
      </w:r>
    </w:p>
    <w:p w14:paraId="65008091" w14:textId="6EAB7233" w:rsidR="001F1804" w:rsidRPr="006C2069" w:rsidRDefault="001F1804" w:rsidP="005243ED">
      <w:pPr>
        <w:pStyle w:val="SingleTxtG"/>
      </w:pPr>
      <w:r w:rsidRPr="006C2069">
        <w:t>7.7</w:t>
      </w:r>
      <w:r w:rsidRPr="006C2069">
        <w:tab/>
        <w:t>Le Comité prend note de l’argument de l’auteure selon lequel, vu la complexité de l’affaire, l’assistance d’un avocat était indispensable ; que les questions en débat relevaient d’une grande technicité juridique, portant sur la litispendance internationale. Le Comité note l’argument de l’auteure qui excipe qu’il lui était impossible d’engager un autre avocat vu que les injonctions du 29 juin 2017 du bâtonnier ne lui laissaient pas le choix ; que quel que soit l’avocat constitué, ce dernier n’aurait pas pu produire les pièces litigieuses et qu’elle dev</w:t>
      </w:r>
      <w:r w:rsidR="00510C8D" w:rsidRPr="006C2069">
        <w:t>ait</w:t>
      </w:r>
      <w:r w:rsidRPr="006C2069">
        <w:t xml:space="preserve"> se défendre seule; </w:t>
      </w:r>
      <w:r w:rsidR="00510C8D" w:rsidRPr="006C2069">
        <w:t>puisqu’il aurait fallu beaucoup de temps à un nouvel avocat pour prendre connaissance d’un dossier vieux de cinq ans, ce qui aurait engendré</w:t>
      </w:r>
      <w:r w:rsidRPr="006C2069">
        <w:t xml:space="preserve"> des honoraires exorbitants qui la pénaliseraient davantage. Le Comité prend note également de l’argument de l’Etat partie qui estime que </w:t>
      </w:r>
      <w:r w:rsidR="00CB45BC" w:rsidRPr="006C2069">
        <w:t>l’auteure aurait</w:t>
      </w:r>
      <w:r w:rsidR="00510C8D" w:rsidRPr="006C2069">
        <w:t xml:space="preserve"> dû, pour éviter tout préjudice, se pl</w:t>
      </w:r>
      <w:r w:rsidR="00C02E5B" w:rsidRPr="006C2069">
        <w:t xml:space="preserve">ier aux exigences du bâtonnier </w:t>
      </w:r>
      <w:r w:rsidR="00510C8D" w:rsidRPr="006C2069">
        <w:t xml:space="preserve">d’autant qu’elle avait </w:t>
      </w:r>
      <w:r w:rsidRPr="006C2069">
        <w:t xml:space="preserve">amplement le temps </w:t>
      </w:r>
      <w:r w:rsidR="00510C8D" w:rsidRPr="006C2069">
        <w:t>entre le 29 juin 2017</w:t>
      </w:r>
      <w:r w:rsidR="005243ED" w:rsidRPr="006C2069">
        <w:t xml:space="preserve"> –date de l’arrêt–</w:t>
      </w:r>
      <w:r w:rsidR="00510C8D" w:rsidRPr="006C2069">
        <w:t xml:space="preserve"> et le 23 mars 2018</w:t>
      </w:r>
      <w:r w:rsidR="005243ED" w:rsidRPr="006C2069">
        <w:t xml:space="preserve"> –date de l’audience–</w:t>
      </w:r>
      <w:r w:rsidR="00510C8D" w:rsidRPr="006C2069">
        <w:t xml:space="preserve"> </w:t>
      </w:r>
      <w:r w:rsidRPr="006C2069">
        <w:t xml:space="preserve">de </w:t>
      </w:r>
      <w:r w:rsidR="00CB45BC" w:rsidRPr="006C2069">
        <w:t>choisir un</w:t>
      </w:r>
      <w:r w:rsidR="005243ED" w:rsidRPr="006C2069">
        <w:t xml:space="preserve"> autre avocat –</w:t>
      </w:r>
      <w:r w:rsidR="00510C8D" w:rsidRPr="006C2069">
        <w:t xml:space="preserve">dans la mesure où elle en avait plus d’un à son </w:t>
      </w:r>
      <w:r w:rsidR="00BC0F86" w:rsidRPr="006C2069">
        <w:t>service ;</w:t>
      </w:r>
      <w:r w:rsidRPr="006C2069">
        <w:t xml:space="preserve"> </w:t>
      </w:r>
      <w:r w:rsidR="00C02E5B" w:rsidRPr="006C2069">
        <w:t xml:space="preserve">et </w:t>
      </w:r>
      <w:r w:rsidRPr="006C2069">
        <w:t xml:space="preserve">qu’elle aurait dû demander à son avocat de lui permettre de déposer </w:t>
      </w:r>
      <w:r w:rsidR="00BC0F86" w:rsidRPr="006C2069">
        <w:t xml:space="preserve">des conclusions </w:t>
      </w:r>
      <w:r w:rsidRPr="006C2069">
        <w:t xml:space="preserve">en son nom. Le Comité observe </w:t>
      </w:r>
      <w:r w:rsidR="00C02E5B" w:rsidRPr="006C2069">
        <w:t xml:space="preserve">que </w:t>
      </w:r>
      <w:r w:rsidRPr="006C2069">
        <w:t xml:space="preserve">l’auteure a pu se présenter à la barre et prendre part à l’audience du 23 mars 2018. Le Comité observe également que par arrêt du 4 mai 2018, la Cour d'appel de Liège, après renvoi de la Cour de </w:t>
      </w:r>
      <w:r w:rsidR="000A75ED">
        <w:t>c</w:t>
      </w:r>
      <w:r w:rsidRPr="006C2069">
        <w:t xml:space="preserve">assation, a déclaré recevable et fondée l’exception de litispendance internationale soulevée par l’auteure dans ses conclusions du 15 mai 2013. </w:t>
      </w:r>
    </w:p>
    <w:p w14:paraId="5F512CDD" w14:textId="424901C4" w:rsidR="001F1804" w:rsidRPr="006C2069" w:rsidRDefault="001F1804" w:rsidP="005243ED">
      <w:pPr>
        <w:pStyle w:val="SingleTxtG"/>
      </w:pPr>
      <w:r w:rsidRPr="006C2069">
        <w:t>7.8</w:t>
      </w:r>
      <w:r w:rsidRPr="006C2069">
        <w:tab/>
        <w:t>Le Comité note l’argument de l’auteure qui estime avoir subi un préjudice matériel et moral dans le cadre de cette affaire ; qu’elle a dû consacrer d’importantes heures de travail à la rédaction des conclusions du 14 août 2017, diminuant le temps qu’elle aurait dû passer avec ses enfants qu’elle élève seule et qu’elle a été obligée de faire le déplacement de Genève à Bruxelles pour assister personnellement à l’audience du 23 mars 2018. Le Comité note également l’argument de l’Etat partie qui estime que, même assistée d’un avocat, l’auteure aurait pu être amenée à accompagner son avocat à l’audience ; que rien ne justifiait l’entêtement de l’avocat de l’auteure à obtenir la révocation de la décision du bâtonnier et que l’auteure, au lieu de passer d’interminables heures à la rédaction de ses conclusions, pouvait parfaitement reprendre à son compte le travail de son avocat. Le Comité note par ailleurs que l’Etat partie a aussi souligné qu’il ne peut être tenu pour responsable du fait que l’auteure n’a pas demandé à son avocat de lui permettre de déposer en son nom propre ou au nom d’un autre avocat les conclusions déjà préparées et d’obtenir la reprise du dossier par un autre avocat à l’audience du 23 mars 2018. Le Comité note que l’auteure a souligné qu’elle n’a pas pu obtenir les dommages et intérêts ainsi que les frais et dépens sollicités de la partie adverse.</w:t>
      </w:r>
    </w:p>
    <w:p w14:paraId="48331398" w14:textId="2D12DF41" w:rsidR="001F1804" w:rsidRPr="006C2069" w:rsidRDefault="001F1804" w:rsidP="005243ED">
      <w:pPr>
        <w:pStyle w:val="SingleTxtG"/>
      </w:pPr>
      <w:r w:rsidRPr="006C2069">
        <w:t>7.9</w:t>
      </w:r>
      <w:r w:rsidRPr="006C2069">
        <w:tab/>
        <w:t xml:space="preserve">Le Comité observe que l’auteure n’a pas démontré en quoi la décision de l’autorité ordinale du 29 juin 2017 l’a empêché de jouir de son droit au procès équitable alors qu’elle pouvait soit conclure seule ou constituer un autre </w:t>
      </w:r>
      <w:r w:rsidR="00CB45BC" w:rsidRPr="006C2069">
        <w:t>avocat ;</w:t>
      </w:r>
      <w:r w:rsidRPr="006C2069">
        <w:t xml:space="preserve"> et que de toutes les façons, elle </w:t>
      </w:r>
      <w:r w:rsidR="00C426C5" w:rsidRPr="006C2069">
        <w:t xml:space="preserve">aurait pu </w:t>
      </w:r>
      <w:r w:rsidR="00CB45BC" w:rsidRPr="006C2069">
        <w:t>être amenée</w:t>
      </w:r>
      <w:r w:rsidRPr="006C2069">
        <w:t xml:space="preserve"> à voyager à Bruxelles pour assurer sa </w:t>
      </w:r>
      <w:r w:rsidR="005B50A8" w:rsidRPr="006C2069">
        <w:t>défense ;</w:t>
      </w:r>
      <w:r w:rsidRPr="006C2069">
        <w:t xml:space="preserve"> qu’elle aurait à faire les dépenses pour lesquelles elle sollicite </w:t>
      </w:r>
      <w:r w:rsidR="00C426C5" w:rsidRPr="006C2069">
        <w:t>réparation</w:t>
      </w:r>
      <w:r w:rsidRPr="006C2069">
        <w:t xml:space="preserve">. </w:t>
      </w:r>
    </w:p>
    <w:p w14:paraId="6A838AFA" w14:textId="05D5A422" w:rsidR="001F1804" w:rsidRPr="006C2069" w:rsidRDefault="001F1804" w:rsidP="005243ED">
      <w:pPr>
        <w:pStyle w:val="SingleTxtG"/>
        <w:rPr>
          <w:bCs/>
        </w:rPr>
      </w:pPr>
      <w:r w:rsidRPr="006C2069">
        <w:t>7.10</w:t>
      </w:r>
      <w:r w:rsidRPr="006C2069">
        <w:tab/>
        <w:t>Le Comité rappelle qu’il ne lui appartient pas d’évaluer les faits et les preuves dans une affaire don</w:t>
      </w:r>
      <w:r w:rsidR="005243ED" w:rsidRPr="006C2069">
        <w:t xml:space="preserve">née, </w:t>
      </w:r>
      <w:r w:rsidRPr="006C2069">
        <w:t>à moins qu’il ne soit possible de prouver que les ju</w:t>
      </w:r>
      <w:r w:rsidR="00BC0F86" w:rsidRPr="006C2069">
        <w:t xml:space="preserve">ridictions nationales ont été </w:t>
      </w:r>
      <w:r w:rsidRPr="006C2069">
        <w:t>nettement arbitraires</w:t>
      </w:r>
      <w:r w:rsidRPr="006C2069">
        <w:rPr>
          <w:sz w:val="18"/>
          <w:vertAlign w:val="superscript"/>
        </w:rPr>
        <w:footnoteReference w:id="22"/>
      </w:r>
      <w:r w:rsidRPr="006C2069">
        <w:t>, et qu’en l’espèce il ne lui revient pas de forcer une juridiction d’appel à révoquer la décision d’une autorité ordinale</w:t>
      </w:r>
      <w:r w:rsidR="00C426C5" w:rsidRPr="006C2069">
        <w:t>. Le Comité note que</w:t>
      </w:r>
      <w:r w:rsidRPr="006C2069">
        <w:t xml:space="preserve"> la Cour d’appel de Liège, tout en reconnaissant l’inopportunité de la mesure prise par le bâtonner a quand même décidé en toute équité sur </w:t>
      </w:r>
      <w:r w:rsidR="00C426C5" w:rsidRPr="006C2069">
        <w:t>le</w:t>
      </w:r>
      <w:r w:rsidRPr="006C2069">
        <w:t xml:space="preserve"> litige </w:t>
      </w:r>
      <w:r w:rsidR="00C426C5" w:rsidRPr="006C2069">
        <w:t>et</w:t>
      </w:r>
      <w:r w:rsidRPr="006C2069">
        <w:t xml:space="preserve"> l’exception de litispendance internationale soulevée par l’auteure</w:t>
      </w:r>
      <w:r w:rsidR="00C426C5" w:rsidRPr="006C2069">
        <w:t xml:space="preserve">, </w:t>
      </w:r>
      <w:r w:rsidR="00CB45BC" w:rsidRPr="006C2069">
        <w:t xml:space="preserve">puisque </w:t>
      </w:r>
      <w:r w:rsidRPr="006C2069">
        <w:t>l’auteure a bien pu défendre sa cause à l’audience du 23 mars 2018</w:t>
      </w:r>
      <w:r w:rsidR="00C426C5" w:rsidRPr="006C2069">
        <w:t xml:space="preserve">. Le Comité note que </w:t>
      </w:r>
      <w:r w:rsidRPr="006C2069">
        <w:t xml:space="preserve">l’auteure a </w:t>
      </w:r>
      <w:r w:rsidR="00C426C5" w:rsidRPr="006C2069">
        <w:t xml:space="preserve">volontairement </w:t>
      </w:r>
      <w:r w:rsidRPr="006C2069">
        <w:t xml:space="preserve">choisi de se défendre seule, écartant </w:t>
      </w:r>
      <w:r w:rsidR="00C426C5" w:rsidRPr="006C2069">
        <w:t>en toute connaissance de cause</w:t>
      </w:r>
      <w:r w:rsidRPr="006C2069">
        <w:t xml:space="preserve"> le droit de se faire représenter par un avocat. </w:t>
      </w:r>
      <w:r w:rsidRPr="006C2069">
        <w:rPr>
          <w:spacing w:val="-2"/>
        </w:rPr>
        <w:t>Au vu de ce qui précède, l</w:t>
      </w:r>
      <w:r w:rsidRPr="006C2069">
        <w:t>e Comité considère donc que l’aute</w:t>
      </w:r>
      <w:r w:rsidR="00D26B6E" w:rsidRPr="006C2069">
        <w:t>ure n’a pas suffisamment étayé s</w:t>
      </w:r>
      <w:r w:rsidRPr="006C2069">
        <w:t>es griefs aux fins de la recevabilité et les déclare irrecevables au regard de l’article 2 du Protocole facultatif.</w:t>
      </w:r>
    </w:p>
    <w:p w14:paraId="53779414" w14:textId="104FB9FC" w:rsidR="001F1804" w:rsidRPr="006C2069" w:rsidRDefault="001F1804" w:rsidP="005243ED">
      <w:pPr>
        <w:pStyle w:val="SingleTxtG"/>
        <w:rPr>
          <w:bCs/>
        </w:rPr>
      </w:pPr>
      <w:r w:rsidRPr="006C2069">
        <w:t>7.11</w:t>
      </w:r>
      <w:r w:rsidRPr="006C2069">
        <w:tab/>
        <w:t>Le Comité conclut que l’auteure n’a pas étayé, aux fins de la recevabilité, les griefs qu’</w:t>
      </w:r>
      <w:r w:rsidR="00C426C5" w:rsidRPr="006C2069">
        <w:t>elle</w:t>
      </w:r>
      <w:r w:rsidRPr="006C2069">
        <w:t xml:space="preserve"> tire du premier </w:t>
      </w:r>
      <w:r w:rsidR="00561311" w:rsidRPr="006C2069">
        <w:t>paragraphe</w:t>
      </w:r>
      <w:r w:rsidRPr="006C2069">
        <w:t xml:space="preserve"> de l’article 14 du Pacte et déclare la communication irrecevable au regard de l’article 2 du Protocole facultatif.</w:t>
      </w:r>
    </w:p>
    <w:p w14:paraId="2D789563" w14:textId="582004C8" w:rsidR="001F1804" w:rsidRPr="006C2069" w:rsidRDefault="001F1804" w:rsidP="005243ED">
      <w:pPr>
        <w:pStyle w:val="SingleTxtG"/>
        <w:rPr>
          <w:bCs/>
        </w:rPr>
      </w:pPr>
      <w:r w:rsidRPr="006C2069">
        <w:t>8</w:t>
      </w:r>
      <w:r w:rsidR="005243ED" w:rsidRPr="006C2069">
        <w:t>.</w:t>
      </w:r>
      <w:r w:rsidRPr="006C2069">
        <w:tab/>
        <w:t>E</w:t>
      </w:r>
      <w:r w:rsidR="00C37753" w:rsidRPr="006C2069">
        <w:t>n conséquence, le Comité décide :</w:t>
      </w:r>
    </w:p>
    <w:p w14:paraId="0607D3CE" w14:textId="77777777" w:rsidR="001F1804" w:rsidRPr="006C2069" w:rsidRDefault="001F1804" w:rsidP="007640C6">
      <w:pPr>
        <w:pStyle w:val="SingleTxtG"/>
        <w:ind w:firstLine="567"/>
        <w:rPr>
          <w:bCs/>
        </w:rPr>
      </w:pPr>
      <w:r w:rsidRPr="006C2069">
        <w:t>a)</w:t>
      </w:r>
      <w:r w:rsidRPr="006C2069">
        <w:tab/>
        <w:t>Que la communication est irrecevable au regard de l’article 2 du Protocole facultatif ;</w:t>
      </w:r>
    </w:p>
    <w:p w14:paraId="75553B55" w14:textId="76C37A00" w:rsidR="001F1804" w:rsidRPr="006C2069" w:rsidRDefault="001F1804" w:rsidP="007640C6">
      <w:pPr>
        <w:pStyle w:val="SingleTxtG"/>
        <w:ind w:firstLine="567"/>
        <w:rPr>
          <w:u w:val="single"/>
        </w:rPr>
      </w:pPr>
      <w:r w:rsidRPr="006C2069">
        <w:t>b)</w:t>
      </w:r>
      <w:r w:rsidRPr="006C2069">
        <w:tab/>
        <w:t>Que la présente décision sera communiquée à l’État partie et à l’auteur</w:t>
      </w:r>
      <w:r w:rsidR="009F2708">
        <w:t>e</w:t>
      </w:r>
      <w:r w:rsidRPr="006C2069">
        <w:t>.</w:t>
      </w:r>
    </w:p>
    <w:p w14:paraId="61D2203E" w14:textId="77777777" w:rsidR="001F1804" w:rsidRPr="006C2069" w:rsidRDefault="001F1804" w:rsidP="001F1804">
      <w:pPr>
        <w:tabs>
          <w:tab w:val="left" w:pos="1701"/>
          <w:tab w:val="left" w:pos="2268"/>
          <w:tab w:val="left" w:pos="2835"/>
        </w:tabs>
        <w:spacing w:before="240"/>
        <w:ind w:left="1134" w:right="1134"/>
        <w:jc w:val="center"/>
        <w:rPr>
          <w:rFonts w:eastAsia="Calibri"/>
          <w:u w:val="single"/>
        </w:rPr>
      </w:pPr>
      <w:r w:rsidRPr="006C2069">
        <w:rPr>
          <w:rFonts w:eastAsia="Calibri"/>
          <w:u w:val="single"/>
        </w:rPr>
        <w:tab/>
      </w:r>
      <w:r w:rsidRPr="006C2069">
        <w:rPr>
          <w:rFonts w:eastAsia="Calibri"/>
          <w:u w:val="single"/>
        </w:rPr>
        <w:tab/>
      </w:r>
      <w:r w:rsidRPr="006C2069">
        <w:rPr>
          <w:rFonts w:eastAsia="Calibri"/>
          <w:u w:val="single"/>
        </w:rPr>
        <w:tab/>
      </w:r>
    </w:p>
    <w:sectPr w:rsidR="001F1804" w:rsidRPr="006C2069" w:rsidSect="00446AA1">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5855" w14:textId="77777777" w:rsidR="009F6564" w:rsidRDefault="009F6564" w:rsidP="00CB5190">
      <w:pPr>
        <w:spacing w:line="240" w:lineRule="auto"/>
      </w:pPr>
      <w:r>
        <w:separator/>
      </w:r>
    </w:p>
  </w:endnote>
  <w:endnote w:type="continuationSeparator" w:id="0">
    <w:p w14:paraId="381F20DA" w14:textId="77777777" w:rsidR="009F6564" w:rsidRDefault="009F6564" w:rsidP="00CB5190">
      <w:pPr>
        <w:spacing w:line="240" w:lineRule="auto"/>
      </w:pPr>
      <w:r>
        <w:continuationSeparator/>
      </w:r>
    </w:p>
  </w:endnote>
  <w:endnote w:type="continuationNotice" w:id="1">
    <w:p w14:paraId="28D86B43" w14:textId="77777777" w:rsidR="009F6564" w:rsidRDefault="009F65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6A25" w14:textId="78E1E637" w:rsidR="00A63879" w:rsidRPr="001E5914" w:rsidRDefault="00A63879" w:rsidP="00E3643F">
    <w:pPr>
      <w:pStyle w:val="Footer"/>
      <w:tabs>
        <w:tab w:val="right" w:pos="9638"/>
      </w:tabs>
    </w:pPr>
    <w:r w:rsidRPr="001E5914">
      <w:rPr>
        <w:b/>
        <w:sz w:val="18"/>
      </w:rPr>
      <w:fldChar w:fldCharType="begin"/>
    </w:r>
    <w:r w:rsidRPr="001E5914">
      <w:rPr>
        <w:b/>
        <w:sz w:val="18"/>
      </w:rPr>
      <w:instrText xml:space="preserve"> PAGE  \* MERGEFORMAT </w:instrText>
    </w:r>
    <w:r w:rsidRPr="001E5914">
      <w:rPr>
        <w:b/>
        <w:sz w:val="18"/>
      </w:rPr>
      <w:fldChar w:fldCharType="separate"/>
    </w:r>
    <w:r w:rsidR="00244A39">
      <w:rPr>
        <w:b/>
        <w:noProof/>
        <w:sz w:val="18"/>
      </w:rPr>
      <w:t>8</w:t>
    </w:r>
    <w:r w:rsidRPr="001E591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4ED8" w14:textId="60569969" w:rsidR="00A63879" w:rsidRPr="001E5914" w:rsidRDefault="00A63879" w:rsidP="00E3643F">
    <w:pPr>
      <w:pStyle w:val="Footer"/>
      <w:tabs>
        <w:tab w:val="right" w:pos="9638"/>
      </w:tabs>
      <w:rPr>
        <w:b/>
        <w:sz w:val="18"/>
      </w:rPr>
    </w:pPr>
    <w:r>
      <w:tab/>
    </w:r>
    <w:r w:rsidRPr="001E5914">
      <w:rPr>
        <w:b/>
        <w:sz w:val="18"/>
      </w:rPr>
      <w:fldChar w:fldCharType="begin"/>
    </w:r>
    <w:r w:rsidRPr="001E5914">
      <w:rPr>
        <w:b/>
        <w:sz w:val="18"/>
      </w:rPr>
      <w:instrText xml:space="preserve"> PAGE  \* MERGEFORMAT </w:instrText>
    </w:r>
    <w:r w:rsidRPr="001E5914">
      <w:rPr>
        <w:b/>
        <w:sz w:val="18"/>
      </w:rPr>
      <w:fldChar w:fldCharType="separate"/>
    </w:r>
    <w:r w:rsidR="00244A39">
      <w:rPr>
        <w:b/>
        <w:noProof/>
        <w:sz w:val="18"/>
      </w:rPr>
      <w:t>9</w:t>
    </w:r>
    <w:r w:rsidRPr="001E59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76D1" w14:textId="375DF6EA" w:rsidR="00A63879" w:rsidRPr="00C91F5A" w:rsidRDefault="00C91F5A" w:rsidP="00C91F5A">
    <w:pPr>
      <w:pStyle w:val="Footer"/>
      <w:tabs>
        <w:tab w:val="left" w:pos="6520"/>
        <w:tab w:val="right" w:pos="9638"/>
      </w:tabs>
      <w:spacing w:before="120"/>
      <w:rPr>
        <w:sz w:val="20"/>
      </w:rPr>
    </w:pPr>
    <w:r>
      <w:rPr>
        <w:sz w:val="20"/>
      </w:rPr>
      <w:tab/>
    </w:r>
    <w:r w:rsidRPr="00C91F5A">
      <w:rPr>
        <w:noProof/>
        <w:sz w:val="20"/>
        <w:lang w:val="en-GB" w:eastAsia="en-GB"/>
      </w:rPr>
      <w:drawing>
        <wp:inline distT="0" distB="0" distL="0" distR="0" wp14:anchorId="280F8430" wp14:editId="764EE87F">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lang w:val="en-GB" w:eastAsia="en-GB"/>
      </w:rPr>
      <w:drawing>
        <wp:inline distT="0" distB="0" distL="0" distR="0" wp14:anchorId="2E133217" wp14:editId="6679D4E6">
          <wp:extent cx="636270" cy="6362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C3C9C" w14:textId="77777777" w:rsidR="009F6564" w:rsidRDefault="009F6564" w:rsidP="00CB5190">
      <w:pPr>
        <w:spacing w:line="240" w:lineRule="auto"/>
      </w:pPr>
      <w:r>
        <w:separator/>
      </w:r>
    </w:p>
  </w:footnote>
  <w:footnote w:type="continuationSeparator" w:id="0">
    <w:p w14:paraId="3A73FB93" w14:textId="77777777" w:rsidR="009F6564" w:rsidRDefault="009F6564" w:rsidP="00CB5190">
      <w:pPr>
        <w:spacing w:line="240" w:lineRule="auto"/>
      </w:pPr>
      <w:r>
        <w:continuationSeparator/>
      </w:r>
    </w:p>
  </w:footnote>
  <w:footnote w:type="continuationNotice" w:id="1">
    <w:p w14:paraId="6D649941" w14:textId="77777777" w:rsidR="009F6564" w:rsidRDefault="009F6564">
      <w:pPr>
        <w:spacing w:line="240" w:lineRule="auto"/>
      </w:pPr>
    </w:p>
  </w:footnote>
  <w:footnote w:id="2">
    <w:p w14:paraId="1ACE54BF" w14:textId="0D9626F7" w:rsidR="00202ABE" w:rsidRPr="00202ABE" w:rsidRDefault="00202ABE" w:rsidP="00202ABE">
      <w:pPr>
        <w:pStyle w:val="FootnoteText"/>
      </w:pPr>
      <w:r w:rsidRPr="00104C81">
        <w:rPr>
          <w:rStyle w:val="FootnoteReference"/>
          <w:vertAlign w:val="baseline"/>
        </w:rPr>
        <w:tab/>
        <w:t>*</w:t>
      </w:r>
      <w:r w:rsidRPr="00104C81">
        <w:rPr>
          <w:rStyle w:val="FootnoteReference"/>
          <w:vertAlign w:val="baseline"/>
        </w:rPr>
        <w:tab/>
      </w:r>
      <w:r w:rsidRPr="00202ABE">
        <w:t>Adoptées par le Comité à sa 134</w:t>
      </w:r>
      <w:r w:rsidRPr="00104C81">
        <w:t>e</w:t>
      </w:r>
      <w:r w:rsidRPr="00202ABE">
        <w:t xml:space="preserve"> session (28 février-25 mars 2022).</w:t>
      </w:r>
    </w:p>
  </w:footnote>
  <w:footnote w:id="3">
    <w:p w14:paraId="5A2808D3" w14:textId="432E8AF4" w:rsidR="00202ABE" w:rsidRPr="00202ABE" w:rsidRDefault="00202ABE">
      <w:pPr>
        <w:pStyle w:val="FootnoteText"/>
      </w:pPr>
      <w:r w:rsidRPr="00104C81">
        <w:rPr>
          <w:rStyle w:val="FootnoteReference"/>
          <w:vertAlign w:val="baseline"/>
        </w:rPr>
        <w:tab/>
        <w:t>**</w:t>
      </w:r>
      <w:r w:rsidRPr="00104C81">
        <w:rPr>
          <w:rStyle w:val="FootnoteReference"/>
          <w:vertAlign w:val="baseline"/>
        </w:rPr>
        <w:tab/>
      </w:r>
      <w:r w:rsidRPr="00202ABE">
        <w:t xml:space="preserve">Les membres du Comité dont le nom suit ont participé à l’examen de la communication : Tania María Abdo </w:t>
      </w:r>
      <w:proofErr w:type="spellStart"/>
      <w:r w:rsidRPr="00202ABE">
        <w:t>Rocholl</w:t>
      </w:r>
      <w:proofErr w:type="spellEnd"/>
      <w:r w:rsidRPr="00202ABE">
        <w:t xml:space="preserve">, </w:t>
      </w:r>
      <w:proofErr w:type="spellStart"/>
      <w:r w:rsidRPr="00202ABE">
        <w:t>Wafaa</w:t>
      </w:r>
      <w:proofErr w:type="spellEnd"/>
      <w:r w:rsidRPr="00202ABE">
        <w:t xml:space="preserve"> Ashraf </w:t>
      </w:r>
      <w:proofErr w:type="spellStart"/>
      <w:r w:rsidRPr="00202ABE">
        <w:t>Moharram</w:t>
      </w:r>
      <w:proofErr w:type="spellEnd"/>
      <w:r w:rsidRPr="00202ABE">
        <w:t xml:space="preserve"> </w:t>
      </w:r>
      <w:proofErr w:type="spellStart"/>
      <w:r w:rsidRPr="00202ABE">
        <w:t>Bassim</w:t>
      </w:r>
      <w:proofErr w:type="spellEnd"/>
      <w:r w:rsidRPr="00202ABE">
        <w:t xml:space="preserve">, </w:t>
      </w:r>
      <w:proofErr w:type="spellStart"/>
      <w:r w:rsidRPr="00202ABE">
        <w:t>Yadh</w:t>
      </w:r>
      <w:proofErr w:type="spellEnd"/>
      <w:r w:rsidRPr="00202ABE">
        <w:t xml:space="preserve"> Ben Achour, Arif </w:t>
      </w:r>
      <w:proofErr w:type="spellStart"/>
      <w:r w:rsidRPr="00202ABE">
        <w:t>Bulkan</w:t>
      </w:r>
      <w:proofErr w:type="spellEnd"/>
      <w:r w:rsidRPr="00202ABE">
        <w:t xml:space="preserve">, </w:t>
      </w:r>
      <w:proofErr w:type="spellStart"/>
      <w:r w:rsidRPr="00202ABE">
        <w:t>Mahjoub</w:t>
      </w:r>
      <w:proofErr w:type="spellEnd"/>
      <w:r w:rsidRPr="00202ABE">
        <w:t xml:space="preserve"> El </w:t>
      </w:r>
      <w:proofErr w:type="spellStart"/>
      <w:r w:rsidRPr="00202ABE">
        <w:t>Haiba</w:t>
      </w:r>
      <w:proofErr w:type="spellEnd"/>
      <w:r w:rsidRPr="00202ABE">
        <w:t xml:space="preserve">, </w:t>
      </w:r>
      <w:proofErr w:type="spellStart"/>
      <w:r w:rsidRPr="00202ABE">
        <w:t>Shuichi</w:t>
      </w:r>
      <w:proofErr w:type="spellEnd"/>
      <w:r w:rsidRPr="00202ABE">
        <w:t xml:space="preserve"> </w:t>
      </w:r>
      <w:proofErr w:type="spellStart"/>
      <w:r w:rsidRPr="00202ABE">
        <w:t>Furuya</w:t>
      </w:r>
      <w:proofErr w:type="spellEnd"/>
      <w:r w:rsidRPr="00202ABE">
        <w:t xml:space="preserve">, Carlos Gómez </w:t>
      </w:r>
      <w:proofErr w:type="spellStart"/>
      <w:r w:rsidRPr="00202ABE">
        <w:t>Martínez</w:t>
      </w:r>
      <w:proofErr w:type="spellEnd"/>
      <w:r w:rsidRPr="00202ABE">
        <w:t xml:space="preserve">, Marcia V.J. </w:t>
      </w:r>
      <w:proofErr w:type="spellStart"/>
      <w:r w:rsidRPr="00202ABE">
        <w:t>Kran</w:t>
      </w:r>
      <w:proofErr w:type="spellEnd"/>
      <w:r w:rsidRPr="00202ABE">
        <w:t xml:space="preserve">, Duncan </w:t>
      </w:r>
      <w:proofErr w:type="spellStart"/>
      <w:r w:rsidRPr="00202ABE">
        <w:t>Laki</w:t>
      </w:r>
      <w:proofErr w:type="spellEnd"/>
      <w:r w:rsidRPr="00202ABE">
        <w:t xml:space="preserve"> </w:t>
      </w:r>
      <w:proofErr w:type="spellStart"/>
      <w:r w:rsidRPr="00202ABE">
        <w:t>Muhumuza</w:t>
      </w:r>
      <w:proofErr w:type="spellEnd"/>
      <w:r w:rsidRPr="00202ABE">
        <w:t xml:space="preserve">, </w:t>
      </w:r>
      <w:proofErr w:type="spellStart"/>
      <w:r w:rsidRPr="00202ABE">
        <w:t>Photini</w:t>
      </w:r>
      <w:proofErr w:type="spellEnd"/>
      <w:r w:rsidRPr="00202ABE">
        <w:t xml:space="preserve"> </w:t>
      </w:r>
      <w:proofErr w:type="spellStart"/>
      <w:r w:rsidRPr="00202ABE">
        <w:t>Pazartzis</w:t>
      </w:r>
      <w:proofErr w:type="spellEnd"/>
      <w:r w:rsidRPr="00202ABE">
        <w:t xml:space="preserve">, Hernán </w:t>
      </w:r>
      <w:proofErr w:type="spellStart"/>
      <w:r w:rsidRPr="00202ABE">
        <w:t>Quezada</w:t>
      </w:r>
      <w:proofErr w:type="spellEnd"/>
      <w:r w:rsidRPr="00202ABE">
        <w:t xml:space="preserve"> Cabrera, </w:t>
      </w:r>
      <w:proofErr w:type="spellStart"/>
      <w:r w:rsidRPr="00202ABE">
        <w:t>Vasilka</w:t>
      </w:r>
      <w:proofErr w:type="spellEnd"/>
      <w:r w:rsidRPr="00202ABE">
        <w:t xml:space="preserve"> </w:t>
      </w:r>
      <w:proofErr w:type="spellStart"/>
      <w:r w:rsidRPr="00202ABE">
        <w:t>Sancin</w:t>
      </w:r>
      <w:proofErr w:type="spellEnd"/>
      <w:r w:rsidRPr="00202ABE">
        <w:t xml:space="preserve">, José Manuel Santos Pais, </w:t>
      </w:r>
      <w:proofErr w:type="spellStart"/>
      <w:r w:rsidRPr="00202ABE">
        <w:t>Soh</w:t>
      </w:r>
      <w:proofErr w:type="spellEnd"/>
      <w:r w:rsidRPr="00202ABE">
        <w:t xml:space="preserve"> </w:t>
      </w:r>
      <w:proofErr w:type="spellStart"/>
      <w:r w:rsidRPr="00202ABE">
        <w:t>Changrok</w:t>
      </w:r>
      <w:proofErr w:type="spellEnd"/>
      <w:r w:rsidRPr="00202ABE">
        <w:t xml:space="preserve">, </w:t>
      </w:r>
      <w:proofErr w:type="spellStart"/>
      <w:r w:rsidRPr="00202ABE">
        <w:t>Kobauyah</w:t>
      </w:r>
      <w:proofErr w:type="spellEnd"/>
      <w:r w:rsidRPr="00202ABE">
        <w:t xml:space="preserve"> </w:t>
      </w:r>
      <w:proofErr w:type="spellStart"/>
      <w:r w:rsidRPr="00202ABE">
        <w:t>Tchamdja</w:t>
      </w:r>
      <w:proofErr w:type="spellEnd"/>
      <w:r w:rsidRPr="00202ABE">
        <w:t xml:space="preserve"> </w:t>
      </w:r>
      <w:proofErr w:type="spellStart"/>
      <w:r w:rsidRPr="00202ABE">
        <w:t>Kpatcha</w:t>
      </w:r>
      <w:proofErr w:type="spellEnd"/>
      <w:r w:rsidRPr="00202ABE">
        <w:t xml:space="preserve">, Hélène </w:t>
      </w:r>
      <w:proofErr w:type="spellStart"/>
      <w:r w:rsidRPr="00202ABE">
        <w:t>Tigroudja</w:t>
      </w:r>
      <w:proofErr w:type="spellEnd"/>
      <w:r w:rsidRPr="00202ABE">
        <w:t xml:space="preserve">, </w:t>
      </w:r>
      <w:proofErr w:type="spellStart"/>
      <w:r w:rsidRPr="00202ABE">
        <w:t>Imeru</w:t>
      </w:r>
      <w:proofErr w:type="spellEnd"/>
      <w:r w:rsidRPr="00202ABE">
        <w:t xml:space="preserve"> </w:t>
      </w:r>
      <w:proofErr w:type="spellStart"/>
      <w:r w:rsidRPr="00202ABE">
        <w:t>Tamerat</w:t>
      </w:r>
      <w:proofErr w:type="spellEnd"/>
      <w:r w:rsidRPr="00202ABE">
        <w:t xml:space="preserve"> </w:t>
      </w:r>
      <w:proofErr w:type="spellStart"/>
      <w:r w:rsidRPr="00202ABE">
        <w:t>Yigezu</w:t>
      </w:r>
      <w:proofErr w:type="spellEnd"/>
      <w:r w:rsidRPr="00202ABE">
        <w:t xml:space="preserve"> et </w:t>
      </w:r>
      <w:proofErr w:type="spellStart"/>
      <w:r w:rsidRPr="00202ABE">
        <w:t>Gentian</w:t>
      </w:r>
      <w:proofErr w:type="spellEnd"/>
      <w:r w:rsidRPr="00202ABE">
        <w:t xml:space="preserve"> </w:t>
      </w:r>
      <w:proofErr w:type="spellStart"/>
      <w:r w:rsidRPr="00202ABE">
        <w:t>Zyberi</w:t>
      </w:r>
      <w:proofErr w:type="spellEnd"/>
      <w:r>
        <w:t>.</w:t>
      </w:r>
    </w:p>
  </w:footnote>
  <w:footnote w:id="4">
    <w:p w14:paraId="432E09EA" w14:textId="1C72ED27" w:rsidR="00293CEE" w:rsidRPr="0079683E" w:rsidRDefault="009340D8" w:rsidP="009340D8">
      <w:pPr>
        <w:pStyle w:val="FootnoteText"/>
        <w:rPr>
          <w:lang w:val="fr-FR"/>
        </w:rPr>
      </w:pPr>
      <w:r>
        <w:tab/>
      </w:r>
      <w:r w:rsidR="00293CEE">
        <w:rPr>
          <w:rStyle w:val="FootnoteReference"/>
        </w:rPr>
        <w:footnoteRef/>
      </w:r>
      <w:r w:rsidR="00C55188">
        <w:tab/>
      </w:r>
      <w:r w:rsidR="00293CEE">
        <w:t>L’auteure</w:t>
      </w:r>
      <w:r>
        <w:t xml:space="preserve"> </w:t>
      </w:r>
      <w:r w:rsidR="00293CEE">
        <w:t xml:space="preserve">souhaite que son identité ne soit pas révélée </w:t>
      </w:r>
      <w:r w:rsidR="007D5D26">
        <w:t>et q</w:t>
      </w:r>
      <w:r w:rsidR="00293CEE">
        <w:t>ue tous les éléments d'identification personnelle</w:t>
      </w:r>
      <w:r>
        <w:t xml:space="preserve"> la concernant</w:t>
      </w:r>
      <w:r w:rsidR="00293CEE">
        <w:t xml:space="preserve"> soient supprimés</w:t>
      </w:r>
      <w:r w:rsidR="007D5D26">
        <w:t xml:space="preserve"> de la décision finale du Comité</w:t>
      </w:r>
      <w:r w:rsidR="00293CEE">
        <w:t>.</w:t>
      </w:r>
    </w:p>
  </w:footnote>
  <w:footnote w:id="5">
    <w:p w14:paraId="7065D85C" w14:textId="04DC3F49" w:rsidR="00A63879" w:rsidRPr="0079683E" w:rsidRDefault="00C55188" w:rsidP="004928CE">
      <w:pPr>
        <w:pStyle w:val="FootnoteText"/>
        <w:rPr>
          <w:lang w:val="fr-FR"/>
        </w:rPr>
      </w:pPr>
      <w:r>
        <w:tab/>
      </w:r>
      <w:r w:rsidR="00A63879">
        <w:rPr>
          <w:rStyle w:val="FootnoteReference"/>
        </w:rPr>
        <w:footnoteRef/>
      </w:r>
      <w:r>
        <w:tab/>
      </w:r>
      <w:r w:rsidR="00A63879" w:rsidRPr="0079683E">
        <w:rPr>
          <w:lang w:val="fr-FR"/>
        </w:rPr>
        <w:t>Pièces 13bis, 39 et 40 du dossier.</w:t>
      </w:r>
    </w:p>
  </w:footnote>
  <w:footnote w:id="6">
    <w:p w14:paraId="6E5C1C53" w14:textId="71391437" w:rsidR="00A63879" w:rsidRPr="00ED7BC5" w:rsidRDefault="00A63879">
      <w:pPr>
        <w:pStyle w:val="FootnoteText"/>
      </w:pPr>
      <w:r>
        <w:tab/>
      </w:r>
      <w:r>
        <w:rPr>
          <w:rStyle w:val="FootnoteReference"/>
        </w:rPr>
        <w:footnoteRef/>
      </w:r>
      <w:r>
        <w:tab/>
        <w:t>L</w:t>
      </w:r>
      <w:r w:rsidRPr="00ED7BC5">
        <w:t>e 15 août étant un jour férié</w:t>
      </w:r>
      <w:r>
        <w:t>.</w:t>
      </w:r>
    </w:p>
  </w:footnote>
  <w:footnote w:id="7">
    <w:p w14:paraId="7199F330" w14:textId="57CDC7E0" w:rsidR="00A63879" w:rsidRPr="003D5253" w:rsidRDefault="00A63879">
      <w:pPr>
        <w:pStyle w:val="FootnoteText"/>
      </w:pPr>
      <w:r>
        <w:tab/>
      </w:r>
      <w:r>
        <w:rPr>
          <w:rStyle w:val="FootnoteReference"/>
        </w:rPr>
        <w:footnoteRef/>
      </w:r>
      <w:r>
        <w:tab/>
        <w:t>Voir l’article 19, paragraphe 3 du Code judiciaire belge ainsi conçu : « </w:t>
      </w:r>
      <w:r w:rsidRPr="005F23C1">
        <w:t xml:space="preserve">Le juge peut, avant dire droit, à tout stade de la procédure, ordonner une mesure préalable destinée soit à instruire la demande ou à régler un incident portant sur une telle mesure, soit à régler provisoirement la situation des parties. </w:t>
      </w:r>
      <w:r>
        <w:t xml:space="preserve">(…) ». </w:t>
      </w:r>
    </w:p>
  </w:footnote>
  <w:footnote w:id="8">
    <w:p w14:paraId="27A9C695" w14:textId="039F1CC2" w:rsidR="00A63879" w:rsidRPr="005F23C1" w:rsidRDefault="00A63879">
      <w:pPr>
        <w:pStyle w:val="FootnoteText"/>
      </w:pPr>
      <w:r>
        <w:tab/>
      </w:r>
      <w:r>
        <w:rPr>
          <w:rStyle w:val="FootnoteReference"/>
        </w:rPr>
        <w:footnoteRef/>
      </w:r>
      <w:r>
        <w:tab/>
        <w:t xml:space="preserve">Voir lettre de l’avocat de l’auteure datée </w:t>
      </w:r>
      <w:r w:rsidRPr="005F23C1">
        <w:t>du 8 août 2017</w:t>
      </w:r>
      <w:r>
        <w:t>.</w:t>
      </w:r>
    </w:p>
  </w:footnote>
  <w:footnote w:id="9">
    <w:p w14:paraId="64EAC3D4" w14:textId="4C6E81D8" w:rsidR="00A63879" w:rsidRPr="0061445E" w:rsidRDefault="00A63879">
      <w:pPr>
        <w:pStyle w:val="FootnoteText"/>
      </w:pPr>
      <w:r>
        <w:tab/>
      </w:r>
      <w:r>
        <w:rPr>
          <w:rStyle w:val="FootnoteReference"/>
        </w:rPr>
        <w:footnoteRef/>
      </w:r>
      <w:r>
        <w:tab/>
        <w:t xml:space="preserve">Cour européenne des droits de l’homme, arrêt Bono c. France, req. </w:t>
      </w:r>
      <w:proofErr w:type="gramStart"/>
      <w:r>
        <w:t>n</w:t>
      </w:r>
      <w:proofErr w:type="gramEnd"/>
      <w:r>
        <w:t xml:space="preserve">° </w:t>
      </w:r>
      <w:r w:rsidRPr="0061445E">
        <w:t>Requête no 29024/11</w:t>
      </w:r>
      <w:r>
        <w:t xml:space="preserve">, </w:t>
      </w:r>
      <w:r w:rsidRPr="0061445E">
        <w:t>15/03/2016</w:t>
      </w:r>
      <w:r>
        <w:t>.</w:t>
      </w:r>
    </w:p>
  </w:footnote>
  <w:footnote w:id="10">
    <w:p w14:paraId="2FA55A7F" w14:textId="61015B18" w:rsidR="00EF75EA" w:rsidRPr="00EF75EA" w:rsidRDefault="00EF75EA" w:rsidP="00EF75EA">
      <w:pPr>
        <w:pStyle w:val="FootnoteText"/>
      </w:pPr>
      <w:r>
        <w:tab/>
      </w:r>
      <w:r>
        <w:rPr>
          <w:rStyle w:val="FootnoteReference"/>
        </w:rPr>
        <w:footnoteRef/>
      </w:r>
      <w:r w:rsidR="00C55188">
        <w:tab/>
      </w:r>
      <w:r>
        <w:t>Article 1077 du Code judiciaire belge : « </w:t>
      </w:r>
      <w:r w:rsidRPr="00EF75EA">
        <w:t>Le recours en cassation contre les jugements d'avant dire droit n'est ouvert qu'après le jugement définitif; mais l'exécution, même volontaire, de tel jugement ne peut, en aucun cas, être opposée comme fin de non-recevoir</w:t>
      </w:r>
      <w:r>
        <w:t> »</w:t>
      </w:r>
      <w:r w:rsidRPr="00EF75EA">
        <w:t>.</w:t>
      </w:r>
    </w:p>
  </w:footnote>
  <w:footnote w:id="11">
    <w:p w14:paraId="5E30469D" w14:textId="6FD99918" w:rsidR="00A63879" w:rsidRPr="00165C3C" w:rsidRDefault="00A63879" w:rsidP="008E062F">
      <w:pPr>
        <w:pStyle w:val="FootnoteText"/>
      </w:pPr>
      <w:r>
        <w:tab/>
      </w:r>
      <w:r w:rsidRPr="00165C3C">
        <w:rPr>
          <w:rStyle w:val="FootnoteReference"/>
        </w:rPr>
        <w:footnoteRef/>
      </w:r>
      <w:r>
        <w:tab/>
      </w:r>
      <w:r w:rsidRPr="00A8485B">
        <w:t>Arrêt de la Cour de cassation du 3 novembre 2016.</w:t>
      </w:r>
    </w:p>
  </w:footnote>
  <w:footnote w:id="12">
    <w:p w14:paraId="7CF461C4" w14:textId="16494180" w:rsidR="00A63879" w:rsidRPr="00A8485B" w:rsidRDefault="00A63879" w:rsidP="005243ED">
      <w:pPr>
        <w:pStyle w:val="FootnoteText"/>
        <w:rPr>
          <w:lang w:val="fr-FR"/>
        </w:rPr>
      </w:pPr>
      <w:r w:rsidRPr="00165C3C">
        <w:tab/>
      </w:r>
      <w:r w:rsidRPr="00165C3C">
        <w:rPr>
          <w:rStyle w:val="FootnoteReference"/>
        </w:rPr>
        <w:footnoteRef/>
      </w:r>
      <w:r>
        <w:tab/>
      </w:r>
      <w:r w:rsidRPr="00165C3C">
        <w:t>Voir, entre autres, CEDH, De Haes et Gijsels c. Belgique, arrêt du 24</w:t>
      </w:r>
      <w:r>
        <w:t xml:space="preserve"> février 1997, par. 53, req. </w:t>
      </w:r>
      <w:proofErr w:type="gramStart"/>
      <w:r>
        <w:t>n</w:t>
      </w:r>
      <w:proofErr w:type="gramEnd"/>
      <w:r>
        <w:t>° </w:t>
      </w:r>
      <w:r w:rsidRPr="00165C3C">
        <w:t>19983/92</w:t>
      </w:r>
      <w:r w:rsidRPr="001F1804">
        <w:t>.</w:t>
      </w:r>
    </w:p>
  </w:footnote>
  <w:footnote w:id="13">
    <w:p w14:paraId="4DEB7088" w14:textId="79EDDD27" w:rsidR="00A63879" w:rsidRPr="005C3DB3" w:rsidRDefault="00A63879" w:rsidP="005C3DB3">
      <w:pPr>
        <w:pStyle w:val="FootnoteText"/>
      </w:pPr>
      <w:r w:rsidRPr="00A8485B">
        <w:tab/>
      </w:r>
      <w:r w:rsidRPr="00165C3C">
        <w:rPr>
          <w:rStyle w:val="FootnoteReference"/>
        </w:rPr>
        <w:footnoteRef/>
      </w:r>
      <w:r>
        <w:tab/>
      </w:r>
      <w:r w:rsidRPr="00165C3C">
        <w:t>Par un arrêt du 13 mars 2014, les autorités suisses ont conclu de manière définitive à l’antériorité de la procédure en divorce déposée en Suisse.</w:t>
      </w:r>
      <w:r w:rsidRPr="001F1804">
        <w:t xml:space="preserve"> Ce qui suppose selon l’auteure que la procédure en divorce pendante à Bruxelles était vouée à l’échec.</w:t>
      </w:r>
      <w:r>
        <w:t xml:space="preserve"> </w:t>
      </w:r>
    </w:p>
  </w:footnote>
  <w:footnote w:id="14">
    <w:p w14:paraId="01EE7D4F" w14:textId="100C3E6F" w:rsidR="00A63879" w:rsidRPr="000C5E6A" w:rsidRDefault="00A63879">
      <w:pPr>
        <w:pStyle w:val="FootnoteText"/>
      </w:pPr>
      <w:r>
        <w:tab/>
      </w:r>
      <w:r>
        <w:rPr>
          <w:rStyle w:val="FootnoteReference"/>
        </w:rPr>
        <w:footnoteRef/>
      </w:r>
      <w:r>
        <w:tab/>
      </w:r>
      <w:r w:rsidRPr="000C5E6A">
        <w:t xml:space="preserve">Communication n°866/1999 c. Espagne, 31/08/2001, § 6.2 ; communication </w:t>
      </w:r>
      <w:r>
        <w:t>n° 947/2000, 27/10/2000, § 4.3</w:t>
      </w:r>
      <w:r w:rsidRPr="000C5E6A">
        <w:t>.</w:t>
      </w:r>
    </w:p>
  </w:footnote>
  <w:footnote w:id="15">
    <w:p w14:paraId="03549A9D" w14:textId="1FE38263" w:rsidR="00A63879" w:rsidRPr="006505D7" w:rsidRDefault="00A63879">
      <w:pPr>
        <w:pStyle w:val="FootnoteText"/>
        <w:rPr>
          <w:lang w:val="fr-FR"/>
        </w:rPr>
      </w:pPr>
      <w:r>
        <w:tab/>
      </w:r>
      <w:r>
        <w:rPr>
          <w:rStyle w:val="FootnoteReference"/>
        </w:rPr>
        <w:footnoteRef/>
      </w:r>
      <w:r>
        <w:tab/>
        <w:t xml:space="preserve">Cour d’appel de Liège, </w:t>
      </w:r>
      <w:r w:rsidRPr="00C35B03">
        <w:t>arrêt du 4 mai 2018</w:t>
      </w:r>
      <w:r>
        <w:t>.</w:t>
      </w:r>
    </w:p>
  </w:footnote>
  <w:footnote w:id="16">
    <w:p w14:paraId="30BC806A" w14:textId="1AD67A78" w:rsidR="00A63879" w:rsidRPr="00763077" w:rsidRDefault="00A63879">
      <w:pPr>
        <w:pStyle w:val="FootnoteText"/>
      </w:pPr>
      <w:r>
        <w:tab/>
      </w:r>
      <w:r>
        <w:rPr>
          <w:rStyle w:val="FootnoteReference"/>
        </w:rPr>
        <w:footnoteRef/>
      </w:r>
      <w:r>
        <w:tab/>
        <w:t>Arrêt non versé au dossier.</w:t>
      </w:r>
    </w:p>
  </w:footnote>
  <w:footnote w:id="17">
    <w:p w14:paraId="6B786249" w14:textId="081E646B" w:rsidR="00A63879" w:rsidRPr="006505D7" w:rsidRDefault="00A63879">
      <w:pPr>
        <w:pStyle w:val="FootnoteText"/>
        <w:rPr>
          <w:lang w:val="fr-FR"/>
        </w:rPr>
      </w:pPr>
      <w:r>
        <w:tab/>
      </w:r>
      <w:r>
        <w:rPr>
          <w:rStyle w:val="FootnoteReference"/>
        </w:rPr>
        <w:footnoteRef/>
      </w:r>
      <w:r>
        <w:tab/>
      </w:r>
      <w:r w:rsidRPr="00C35B03">
        <w:t>Cass., 12 novembre 1997, J. T., 1998, p. 361.</w:t>
      </w:r>
    </w:p>
  </w:footnote>
  <w:footnote w:id="18">
    <w:p w14:paraId="68B95F10" w14:textId="12F10715" w:rsidR="00A63879" w:rsidRPr="006505D7" w:rsidRDefault="00A63879">
      <w:pPr>
        <w:pStyle w:val="FootnoteText"/>
        <w:rPr>
          <w:lang w:val="fr-FR"/>
        </w:rPr>
      </w:pPr>
      <w:r>
        <w:tab/>
      </w:r>
      <w:r>
        <w:rPr>
          <w:rStyle w:val="FootnoteReference"/>
        </w:rPr>
        <w:footnoteRef/>
      </w:r>
      <w:r>
        <w:tab/>
        <w:t>Cour européenne des droits de l’homme, Bono c. France, requête n°</w:t>
      </w:r>
      <w:r w:rsidRPr="001248CA">
        <w:t xml:space="preserve"> 29024/11</w:t>
      </w:r>
      <w:r w:rsidR="00C55188">
        <w:t>.</w:t>
      </w:r>
    </w:p>
  </w:footnote>
  <w:footnote w:id="19">
    <w:p w14:paraId="1DB861F7" w14:textId="70107F13" w:rsidR="00002BC3" w:rsidRPr="0079683E" w:rsidRDefault="00002BC3">
      <w:pPr>
        <w:pStyle w:val="FootnoteText"/>
        <w:rPr>
          <w:lang w:val="fr-FR"/>
        </w:rPr>
      </w:pPr>
      <w:r>
        <w:tab/>
      </w:r>
      <w:r>
        <w:rPr>
          <w:rStyle w:val="FootnoteReference"/>
        </w:rPr>
        <w:footnoteRef/>
      </w:r>
      <w:r w:rsidR="00C55188">
        <w:tab/>
      </w:r>
      <w:r w:rsidRPr="00002BC3">
        <w:t xml:space="preserve">Voir la communication n° 2474/2014, </w:t>
      </w:r>
      <w:r w:rsidRPr="0079683E">
        <w:rPr>
          <w:i/>
        </w:rPr>
        <w:t>X c. Norvège</w:t>
      </w:r>
      <w:r w:rsidRPr="00002BC3">
        <w:t>, constatations adoptées le 5 novembre 2015, par. 6.2.</w:t>
      </w:r>
    </w:p>
  </w:footnote>
  <w:footnote w:id="20">
    <w:p w14:paraId="4AB32C4E" w14:textId="7F123194" w:rsidR="00A63879" w:rsidRPr="000001CC" w:rsidRDefault="00A63879" w:rsidP="001F1804">
      <w:pPr>
        <w:pStyle w:val="FootnoteText"/>
        <w:rPr>
          <w:lang w:val="fr-FR"/>
        </w:rPr>
      </w:pPr>
      <w:r>
        <w:tab/>
      </w:r>
      <w:r>
        <w:rPr>
          <w:rStyle w:val="FootnoteReference"/>
        </w:rPr>
        <w:footnoteRef/>
      </w:r>
      <w:r w:rsidRPr="000E2753">
        <w:rPr>
          <w:lang w:val="fr-FR"/>
        </w:rPr>
        <w:tab/>
        <w:t>Comité des droits de l’homme, observation générale no 32 (2007), par. 2.</w:t>
      </w:r>
    </w:p>
  </w:footnote>
  <w:footnote w:id="21">
    <w:p w14:paraId="56B77863" w14:textId="216E76E3" w:rsidR="00A63879" w:rsidRPr="000E2753" w:rsidRDefault="00A63879" w:rsidP="001F1804">
      <w:pPr>
        <w:pStyle w:val="FootnoteText"/>
        <w:rPr>
          <w:lang w:val="fr-FR"/>
        </w:rPr>
      </w:pPr>
      <w:r>
        <w:rPr>
          <w:lang w:val="fr-FR"/>
        </w:rPr>
        <w:tab/>
      </w:r>
      <w:r>
        <w:rPr>
          <w:rStyle w:val="FootnoteReference"/>
        </w:rPr>
        <w:footnoteRef/>
      </w:r>
      <w:r>
        <w:rPr>
          <w:lang w:val="fr-FR"/>
        </w:rPr>
        <w:tab/>
      </w:r>
      <w:r w:rsidRPr="000E2753">
        <w:rPr>
          <w:lang w:val="fr-FR"/>
        </w:rPr>
        <w:t xml:space="preserve">Voir l’arrêt de la Cour </w:t>
      </w:r>
      <w:r>
        <w:rPr>
          <w:lang w:val="fr-FR"/>
        </w:rPr>
        <w:t>d’appel de Liège du 4 mai 2018.</w:t>
      </w:r>
    </w:p>
  </w:footnote>
  <w:footnote w:id="22">
    <w:p w14:paraId="579255D0" w14:textId="051E5823" w:rsidR="00A63879" w:rsidRPr="006314B3" w:rsidRDefault="00A63879" w:rsidP="001F1804">
      <w:pPr>
        <w:pStyle w:val="FootnoteText"/>
        <w:rPr>
          <w:lang w:val="fr-FR"/>
        </w:rPr>
      </w:pPr>
      <w:r>
        <w:rPr>
          <w:lang w:val="fr-FR"/>
        </w:rPr>
        <w:tab/>
      </w:r>
      <w:r>
        <w:rPr>
          <w:rStyle w:val="FootnoteReference"/>
        </w:rPr>
        <w:footnoteRef/>
      </w:r>
      <w:r>
        <w:rPr>
          <w:lang w:val="fr-FR"/>
        </w:rPr>
        <w:tab/>
      </w:r>
      <w:r w:rsidRPr="006314B3">
        <w:rPr>
          <w:lang w:val="fr-FR"/>
        </w:rPr>
        <w:t xml:space="preserve">Communication n°866/1999 </w:t>
      </w:r>
      <w:r w:rsidRPr="00D26B6E">
        <w:rPr>
          <w:i/>
          <w:lang w:val="fr-FR"/>
        </w:rPr>
        <w:t>Marina Torregrosa Lafuente et consort c. Espagne</w:t>
      </w:r>
      <w:r w:rsidRPr="006314B3">
        <w:rPr>
          <w:lang w:val="fr-FR"/>
        </w:rPr>
        <w:t>, 31/08/2001, § 6.2 ; communication n° 947/2000, 27/10/2000, §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1D2B" w14:textId="71C05199" w:rsidR="00A63879" w:rsidRPr="0077386F" w:rsidRDefault="00202ABE" w:rsidP="00202ABE">
    <w:pPr>
      <w:pStyle w:val="Header"/>
    </w:pPr>
    <w:r w:rsidRPr="00202ABE">
      <w:t xml:space="preserve">Version avancée non </w:t>
    </w:r>
    <w:r w:rsidR="00104C81" w:rsidRPr="00202ABE">
      <w:t xml:space="preserve">éditée </w:t>
    </w:r>
    <w:r w:rsidR="00104C81">
      <w:t>CCPR</w:t>
    </w:r>
    <w:r w:rsidR="0077386F">
      <w:t>/C/134/D/3249/2018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081A" w14:textId="02F81613" w:rsidR="00A63879" w:rsidRPr="00CB5190" w:rsidRDefault="00A63879" w:rsidP="00202ABE">
    <w:pPr>
      <w:pStyle w:val="Header"/>
      <w:jc w:val="right"/>
      <w:rPr>
        <w:lang w:val="en-GB"/>
      </w:rPr>
    </w:pPr>
    <w:r>
      <w:ptab w:relativeTo="margin" w:alignment="right" w:leader="none"/>
    </w:r>
    <w:r w:rsidR="00202ABE" w:rsidRPr="00202ABE">
      <w:t xml:space="preserve"> Version avancée non </w:t>
    </w:r>
    <w:r w:rsidR="00104C81" w:rsidRPr="00202ABE">
      <w:t xml:space="preserve">éditée </w:t>
    </w:r>
    <w:r w:rsidR="00104C81">
      <w:t>CCPR</w:t>
    </w:r>
    <w:r>
      <w:t>/C/134/D/3249/2018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13"/>
    <w:multiLevelType w:val="hybridMultilevel"/>
    <w:tmpl w:val="1504C094"/>
    <w:lvl w:ilvl="0" w:tplc="2880390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B4CE6"/>
    <w:multiLevelType w:val="hybridMultilevel"/>
    <w:tmpl w:val="9586BBD6"/>
    <w:lvl w:ilvl="0" w:tplc="B0A40466">
      <w:start w:val="29"/>
      <w:numFmt w:val="decimal"/>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D053FA">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0C16F4">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E857D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2CA980">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A0E63C">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2683DA">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88ADD0">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14496E">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825080"/>
    <w:multiLevelType w:val="hybridMultilevel"/>
    <w:tmpl w:val="48A2E0BE"/>
    <w:lvl w:ilvl="0" w:tplc="EEFA78B6">
      <w:start w:val="34"/>
      <w:numFmt w:val="decimal"/>
      <w:lvlText w:val="%1"/>
      <w:lvlJc w:val="left"/>
      <w:pPr>
        <w:ind w:left="720" w:hanging="360"/>
      </w:pPr>
      <w:rPr>
        <w:rFonts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2687B"/>
    <w:multiLevelType w:val="multilevel"/>
    <w:tmpl w:val="EB8C0D60"/>
    <w:lvl w:ilvl="0">
      <w:start w:val="48"/>
      <w:numFmt w:val="decimal"/>
      <w:lvlText w:val="%1."/>
      <w:lvlJc w:val="left"/>
      <w:pPr>
        <w:ind w:left="549" w:hanging="394"/>
      </w:pPr>
    </w:lvl>
    <w:lvl w:ilvl="1">
      <w:numFmt w:val="bullet"/>
      <w:lvlText w:val="•"/>
      <w:lvlJc w:val="left"/>
      <w:pPr>
        <w:ind w:left="2670" w:hanging="392"/>
      </w:pPr>
      <w:rPr>
        <w:rFonts w:ascii="Times New Roman" w:eastAsia="Times New Roman" w:hAnsi="Times New Roman" w:cs="Times New Roman"/>
        <w:color w:val="110F13"/>
        <w:sz w:val="26"/>
        <w:szCs w:val="26"/>
      </w:rPr>
    </w:lvl>
    <w:lvl w:ilvl="2">
      <w:numFmt w:val="bullet"/>
      <w:lvlText w:val="•"/>
      <w:lvlJc w:val="left"/>
      <w:pPr>
        <w:ind w:left="3535" w:hanging="392"/>
      </w:pPr>
    </w:lvl>
    <w:lvl w:ilvl="3">
      <w:numFmt w:val="bullet"/>
      <w:lvlText w:val="•"/>
      <w:lvlJc w:val="left"/>
      <w:pPr>
        <w:ind w:left="4391" w:hanging="391"/>
      </w:pPr>
    </w:lvl>
    <w:lvl w:ilvl="4">
      <w:numFmt w:val="bullet"/>
      <w:lvlText w:val="•"/>
      <w:lvlJc w:val="left"/>
      <w:pPr>
        <w:ind w:left="5246" w:hanging="392"/>
      </w:pPr>
    </w:lvl>
    <w:lvl w:ilvl="5">
      <w:numFmt w:val="bullet"/>
      <w:lvlText w:val="•"/>
      <w:lvlJc w:val="left"/>
      <w:pPr>
        <w:ind w:left="6102" w:hanging="392"/>
      </w:pPr>
    </w:lvl>
    <w:lvl w:ilvl="6">
      <w:numFmt w:val="bullet"/>
      <w:lvlText w:val="•"/>
      <w:lvlJc w:val="left"/>
      <w:pPr>
        <w:ind w:left="6957" w:hanging="392"/>
      </w:pPr>
    </w:lvl>
    <w:lvl w:ilvl="7">
      <w:numFmt w:val="bullet"/>
      <w:lvlText w:val="•"/>
      <w:lvlJc w:val="left"/>
      <w:pPr>
        <w:ind w:left="7813" w:hanging="392"/>
      </w:pPr>
    </w:lvl>
    <w:lvl w:ilvl="8">
      <w:numFmt w:val="bullet"/>
      <w:lvlText w:val="•"/>
      <w:lvlJc w:val="left"/>
      <w:pPr>
        <w:ind w:left="8668" w:hanging="392"/>
      </w:pPr>
    </w:lvl>
  </w:abstractNum>
  <w:abstractNum w:abstractNumId="4" w15:restartNumberingAfterBreak="0">
    <w:nsid w:val="128A58CC"/>
    <w:multiLevelType w:val="hybridMultilevel"/>
    <w:tmpl w:val="C930F310"/>
    <w:lvl w:ilvl="0" w:tplc="31726014">
      <w:start w:val="14"/>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3A71FC">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AB3E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E61620">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4241A0">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465DE">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A8938E">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CC4CC8">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121842">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454BE0"/>
    <w:multiLevelType w:val="hybridMultilevel"/>
    <w:tmpl w:val="3DCE8240"/>
    <w:lvl w:ilvl="0" w:tplc="56BCEB1E">
      <w:start w:val="4"/>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4E347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4052A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0A0DBA">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0031B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8821C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BED3A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446B8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6AA28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59630F"/>
    <w:multiLevelType w:val="hybridMultilevel"/>
    <w:tmpl w:val="2B189FF4"/>
    <w:lvl w:ilvl="0" w:tplc="BB58C13C">
      <w:start w:val="12"/>
      <w:numFmt w:val="decimal"/>
      <w:lvlText w:val="%1."/>
      <w:lvlJc w:val="left"/>
      <w:pPr>
        <w:ind w:left="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84A104">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96D11A">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45FCA">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3CA0B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287C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F8B12E">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7E15EC">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E0F816">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4440BB"/>
    <w:multiLevelType w:val="hybridMultilevel"/>
    <w:tmpl w:val="903A759C"/>
    <w:lvl w:ilvl="0" w:tplc="E368AE56">
      <w:start w:val="34"/>
      <w:numFmt w:val="decimal"/>
      <w:lvlText w:val="%1."/>
      <w:lvlJc w:val="left"/>
      <w:pPr>
        <w:ind w:left="720" w:hanging="360"/>
      </w:pPr>
      <w:rPr>
        <w:rFonts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C467D"/>
    <w:multiLevelType w:val="multilevel"/>
    <w:tmpl w:val="EDF45E82"/>
    <w:lvl w:ilvl="0">
      <w:numFmt w:val="bullet"/>
      <w:lvlText w:val="·"/>
      <w:lvlJc w:val="left"/>
      <w:pPr>
        <w:ind w:left="578" w:hanging="95"/>
      </w:pPr>
      <w:rPr>
        <w:rFonts w:ascii="Times New Roman" w:eastAsia="Times New Roman" w:hAnsi="Times New Roman" w:cs="Times New Roman"/>
        <w:color w:val="7B7B79"/>
        <w:sz w:val="24"/>
        <w:szCs w:val="24"/>
      </w:rPr>
    </w:lvl>
    <w:lvl w:ilvl="1">
      <w:numFmt w:val="bullet"/>
      <w:lvlText w:val="•"/>
      <w:lvlJc w:val="left"/>
      <w:pPr>
        <w:ind w:left="1560" w:hanging="95"/>
      </w:pPr>
    </w:lvl>
    <w:lvl w:ilvl="2">
      <w:numFmt w:val="bullet"/>
      <w:lvlText w:val="•"/>
      <w:lvlJc w:val="left"/>
      <w:pPr>
        <w:ind w:left="2540" w:hanging="95"/>
      </w:pPr>
    </w:lvl>
    <w:lvl w:ilvl="3">
      <w:numFmt w:val="bullet"/>
      <w:lvlText w:val="•"/>
      <w:lvlJc w:val="left"/>
      <w:pPr>
        <w:ind w:left="3520" w:hanging="95"/>
      </w:pPr>
    </w:lvl>
    <w:lvl w:ilvl="4">
      <w:numFmt w:val="bullet"/>
      <w:lvlText w:val="•"/>
      <w:lvlJc w:val="left"/>
      <w:pPr>
        <w:ind w:left="4500" w:hanging="95"/>
      </w:pPr>
    </w:lvl>
    <w:lvl w:ilvl="5">
      <w:numFmt w:val="bullet"/>
      <w:lvlText w:val="•"/>
      <w:lvlJc w:val="left"/>
      <w:pPr>
        <w:ind w:left="5480" w:hanging="95"/>
      </w:pPr>
    </w:lvl>
    <w:lvl w:ilvl="6">
      <w:numFmt w:val="bullet"/>
      <w:lvlText w:val="•"/>
      <w:lvlJc w:val="left"/>
      <w:pPr>
        <w:ind w:left="6460" w:hanging="95"/>
      </w:pPr>
    </w:lvl>
    <w:lvl w:ilvl="7">
      <w:numFmt w:val="bullet"/>
      <w:lvlText w:val="•"/>
      <w:lvlJc w:val="left"/>
      <w:pPr>
        <w:ind w:left="7440" w:hanging="95"/>
      </w:pPr>
    </w:lvl>
    <w:lvl w:ilvl="8">
      <w:numFmt w:val="bullet"/>
      <w:lvlText w:val="•"/>
      <w:lvlJc w:val="left"/>
      <w:pPr>
        <w:ind w:left="8420" w:hanging="95"/>
      </w:pPr>
    </w:lvl>
  </w:abstractNum>
  <w:abstractNum w:abstractNumId="9" w15:restartNumberingAfterBreak="0">
    <w:nsid w:val="47E42F8F"/>
    <w:multiLevelType w:val="hybridMultilevel"/>
    <w:tmpl w:val="5DEA4354"/>
    <w:lvl w:ilvl="0" w:tplc="80162AF0">
      <w:start w:val="2"/>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821754">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6C1CEC">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54A7A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07BA4">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AA48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AA1F8">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58BC0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6EEBC">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C2214F"/>
    <w:multiLevelType w:val="multilevel"/>
    <w:tmpl w:val="38F8E7BE"/>
    <w:lvl w:ilvl="0">
      <w:start w:val="21"/>
      <w:numFmt w:val="decimal"/>
      <w:lvlText w:val="%1."/>
      <w:lvlJc w:val="left"/>
      <w:pPr>
        <w:ind w:left="633" w:hanging="497"/>
      </w:pPr>
    </w:lvl>
    <w:lvl w:ilvl="1">
      <w:start w:val="1"/>
      <w:numFmt w:val="bullet"/>
      <w:lvlText w:val="•"/>
      <w:lvlJc w:val="left"/>
      <w:pPr>
        <w:ind w:left="2906" w:hanging="481"/>
      </w:pPr>
      <w:rPr>
        <w:rFonts w:ascii="Times New Roman" w:eastAsia="Times New Roman" w:hAnsi="Times New Roman" w:cs="Times New Roman"/>
        <w:color w:val="110F13"/>
        <w:sz w:val="23"/>
        <w:szCs w:val="23"/>
      </w:rPr>
    </w:lvl>
    <w:lvl w:ilvl="2">
      <w:numFmt w:val="bullet"/>
      <w:lvlText w:val="•"/>
      <w:lvlJc w:val="left"/>
      <w:pPr>
        <w:ind w:left="740" w:hanging="482"/>
      </w:pPr>
    </w:lvl>
    <w:lvl w:ilvl="3">
      <w:numFmt w:val="bullet"/>
      <w:lvlText w:val="•"/>
      <w:lvlJc w:val="left"/>
      <w:pPr>
        <w:ind w:left="860" w:hanging="482"/>
      </w:pPr>
    </w:lvl>
    <w:lvl w:ilvl="4">
      <w:numFmt w:val="bullet"/>
      <w:lvlText w:val="•"/>
      <w:lvlJc w:val="left"/>
      <w:pPr>
        <w:ind w:left="1660" w:hanging="482"/>
      </w:pPr>
    </w:lvl>
    <w:lvl w:ilvl="5">
      <w:numFmt w:val="bullet"/>
      <w:lvlText w:val="•"/>
      <w:lvlJc w:val="left"/>
      <w:pPr>
        <w:ind w:left="2900" w:hanging="482"/>
      </w:pPr>
    </w:lvl>
    <w:lvl w:ilvl="6">
      <w:numFmt w:val="bullet"/>
      <w:lvlText w:val="•"/>
      <w:lvlJc w:val="left"/>
      <w:pPr>
        <w:ind w:left="7320" w:hanging="482"/>
      </w:pPr>
    </w:lvl>
    <w:lvl w:ilvl="7">
      <w:numFmt w:val="bullet"/>
      <w:lvlText w:val="•"/>
      <w:lvlJc w:val="left"/>
      <w:pPr>
        <w:ind w:left="5559" w:hanging="482"/>
      </w:pPr>
    </w:lvl>
    <w:lvl w:ilvl="8">
      <w:numFmt w:val="bullet"/>
      <w:lvlText w:val="•"/>
      <w:lvlJc w:val="left"/>
      <w:pPr>
        <w:ind w:left="3799" w:hanging="482"/>
      </w:pPr>
    </w:lvl>
  </w:abstractNum>
  <w:num w:numId="1">
    <w:abstractNumId w:val="9"/>
  </w:num>
  <w:num w:numId="2">
    <w:abstractNumId w:val="5"/>
  </w:num>
  <w:num w:numId="3">
    <w:abstractNumId w:val="6"/>
  </w:num>
  <w:num w:numId="4">
    <w:abstractNumId w:val="4"/>
  </w:num>
  <w:num w:numId="5">
    <w:abstractNumId w:val="1"/>
  </w:num>
  <w:num w:numId="6">
    <w:abstractNumId w:val="10"/>
  </w:num>
  <w:num w:numId="7">
    <w:abstractNumId w:val="7"/>
  </w:num>
  <w:num w:numId="8">
    <w:abstractNumId w:val="2"/>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CH" w:vendorID="64" w:dllVersion="6" w:nlCheck="1" w:checkStyle="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0"/>
  <w:activeWritingStyle w:appName="MSWord" w:lang="fr-CH" w:vendorID="64" w:dllVersion="0" w:nlCheck="1" w:checkStyle="0"/>
  <w:activeWritingStyle w:appName="MSWord" w:lang="fr-FR" w:vendorID="64" w:dllVersion="0" w:nlCheck="1" w:checkStyle="0"/>
  <w:activeWritingStyle w:appName="MSWord" w:lang="fr-CH" w:vendorID="64" w:dllVersion="131078" w:nlCheck="1" w:checkStyle="0"/>
  <w:activeWritingStyle w:appName="MSWord" w:lang="fr-FR" w:vendorID="64" w:dllVersion="131078" w:nlCheck="1" w:checkStyle="0"/>
  <w:proofState w:spelling="clean" w:grammar="clean"/>
  <w:documentProtection w:edit="trackedChanges" w:enforcement="0"/>
  <w:defaultTabStop w:val="567"/>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90"/>
    <w:rsid w:val="00000236"/>
    <w:rsid w:val="00000A86"/>
    <w:rsid w:val="000014F9"/>
    <w:rsid w:val="0000187A"/>
    <w:rsid w:val="00001ECD"/>
    <w:rsid w:val="00002BC3"/>
    <w:rsid w:val="00003F0A"/>
    <w:rsid w:val="00010118"/>
    <w:rsid w:val="00010D31"/>
    <w:rsid w:val="00014A81"/>
    <w:rsid w:val="00015491"/>
    <w:rsid w:val="00024226"/>
    <w:rsid w:val="00026FE9"/>
    <w:rsid w:val="00032D97"/>
    <w:rsid w:val="00036C8A"/>
    <w:rsid w:val="0003713F"/>
    <w:rsid w:val="000371C1"/>
    <w:rsid w:val="0004061B"/>
    <w:rsid w:val="00040BF6"/>
    <w:rsid w:val="00041A19"/>
    <w:rsid w:val="000443EF"/>
    <w:rsid w:val="000469F5"/>
    <w:rsid w:val="00050736"/>
    <w:rsid w:val="00055801"/>
    <w:rsid w:val="00057CFE"/>
    <w:rsid w:val="00060078"/>
    <w:rsid w:val="000644D1"/>
    <w:rsid w:val="0006799B"/>
    <w:rsid w:val="00067A78"/>
    <w:rsid w:val="0007121F"/>
    <w:rsid w:val="000751AA"/>
    <w:rsid w:val="00085A2B"/>
    <w:rsid w:val="000868C0"/>
    <w:rsid w:val="000878B0"/>
    <w:rsid w:val="00090DCB"/>
    <w:rsid w:val="000921A4"/>
    <w:rsid w:val="0009736E"/>
    <w:rsid w:val="00097CBB"/>
    <w:rsid w:val="000A28CD"/>
    <w:rsid w:val="000A75ED"/>
    <w:rsid w:val="000B1784"/>
    <w:rsid w:val="000B2ABB"/>
    <w:rsid w:val="000C5452"/>
    <w:rsid w:val="000C5E6A"/>
    <w:rsid w:val="000D23CC"/>
    <w:rsid w:val="000D29BF"/>
    <w:rsid w:val="000D3085"/>
    <w:rsid w:val="000D368F"/>
    <w:rsid w:val="000E1B4D"/>
    <w:rsid w:val="000E34B4"/>
    <w:rsid w:val="000E43DD"/>
    <w:rsid w:val="000E48DC"/>
    <w:rsid w:val="000E657C"/>
    <w:rsid w:val="000F3E8C"/>
    <w:rsid w:val="000F5421"/>
    <w:rsid w:val="000F7DC1"/>
    <w:rsid w:val="001002E2"/>
    <w:rsid w:val="0010048C"/>
    <w:rsid w:val="001018DF"/>
    <w:rsid w:val="00104C81"/>
    <w:rsid w:val="00105060"/>
    <w:rsid w:val="00107C48"/>
    <w:rsid w:val="00124779"/>
    <w:rsid w:val="001248CA"/>
    <w:rsid w:val="001273BA"/>
    <w:rsid w:val="001313FA"/>
    <w:rsid w:val="001340DA"/>
    <w:rsid w:val="00135ED4"/>
    <w:rsid w:val="0013711D"/>
    <w:rsid w:val="00140C4F"/>
    <w:rsid w:val="00142F1D"/>
    <w:rsid w:val="001459E3"/>
    <w:rsid w:val="00150009"/>
    <w:rsid w:val="001501F3"/>
    <w:rsid w:val="00151CDD"/>
    <w:rsid w:val="00165C3C"/>
    <w:rsid w:val="0017724C"/>
    <w:rsid w:val="001820D0"/>
    <w:rsid w:val="00182432"/>
    <w:rsid w:val="0018499B"/>
    <w:rsid w:val="00184BD7"/>
    <w:rsid w:val="001853C8"/>
    <w:rsid w:val="00185AAD"/>
    <w:rsid w:val="00185E47"/>
    <w:rsid w:val="00190C1E"/>
    <w:rsid w:val="001A0917"/>
    <w:rsid w:val="001A0E29"/>
    <w:rsid w:val="001A1996"/>
    <w:rsid w:val="001A6667"/>
    <w:rsid w:val="001B3916"/>
    <w:rsid w:val="001B448A"/>
    <w:rsid w:val="001B498E"/>
    <w:rsid w:val="001B53C9"/>
    <w:rsid w:val="001B5CA9"/>
    <w:rsid w:val="001C0D34"/>
    <w:rsid w:val="001C2152"/>
    <w:rsid w:val="001D2FD8"/>
    <w:rsid w:val="001D30F9"/>
    <w:rsid w:val="001D42B8"/>
    <w:rsid w:val="001D75DC"/>
    <w:rsid w:val="001E6E58"/>
    <w:rsid w:val="001F1804"/>
    <w:rsid w:val="001F1F1A"/>
    <w:rsid w:val="001F7BB6"/>
    <w:rsid w:val="00201D3E"/>
    <w:rsid w:val="00202ABE"/>
    <w:rsid w:val="00203F31"/>
    <w:rsid w:val="00205E34"/>
    <w:rsid w:val="0021104C"/>
    <w:rsid w:val="0021494E"/>
    <w:rsid w:val="00223F6B"/>
    <w:rsid w:val="002244C0"/>
    <w:rsid w:val="00237439"/>
    <w:rsid w:val="0024198C"/>
    <w:rsid w:val="00242993"/>
    <w:rsid w:val="00244A39"/>
    <w:rsid w:val="00247293"/>
    <w:rsid w:val="00251680"/>
    <w:rsid w:val="00252565"/>
    <w:rsid w:val="00255A91"/>
    <w:rsid w:val="002666D5"/>
    <w:rsid w:val="002674E9"/>
    <w:rsid w:val="0027009D"/>
    <w:rsid w:val="002709EF"/>
    <w:rsid w:val="00270FC5"/>
    <w:rsid w:val="002724CE"/>
    <w:rsid w:val="002750C6"/>
    <w:rsid w:val="00284A07"/>
    <w:rsid w:val="00284D0F"/>
    <w:rsid w:val="00286DB8"/>
    <w:rsid w:val="002923B4"/>
    <w:rsid w:val="00293CEE"/>
    <w:rsid w:val="002A67A1"/>
    <w:rsid w:val="002A6C45"/>
    <w:rsid w:val="002A7C84"/>
    <w:rsid w:val="002B0816"/>
    <w:rsid w:val="002B2633"/>
    <w:rsid w:val="002B2932"/>
    <w:rsid w:val="002B74B2"/>
    <w:rsid w:val="002C2B54"/>
    <w:rsid w:val="002E2A22"/>
    <w:rsid w:val="002E6521"/>
    <w:rsid w:val="002F11C3"/>
    <w:rsid w:val="002F1C25"/>
    <w:rsid w:val="002F7374"/>
    <w:rsid w:val="00301807"/>
    <w:rsid w:val="0030751F"/>
    <w:rsid w:val="00311296"/>
    <w:rsid w:val="003150DF"/>
    <w:rsid w:val="00316D0F"/>
    <w:rsid w:val="003201F9"/>
    <w:rsid w:val="00323B94"/>
    <w:rsid w:val="003264E1"/>
    <w:rsid w:val="00327024"/>
    <w:rsid w:val="0033287C"/>
    <w:rsid w:val="00334497"/>
    <w:rsid w:val="003349EC"/>
    <w:rsid w:val="003377CE"/>
    <w:rsid w:val="00341604"/>
    <w:rsid w:val="00342E08"/>
    <w:rsid w:val="00352000"/>
    <w:rsid w:val="00353F55"/>
    <w:rsid w:val="00357C9C"/>
    <w:rsid w:val="00357D21"/>
    <w:rsid w:val="00372EF4"/>
    <w:rsid w:val="0037373F"/>
    <w:rsid w:val="00373C65"/>
    <w:rsid w:val="00374E07"/>
    <w:rsid w:val="00375289"/>
    <w:rsid w:val="00383FF0"/>
    <w:rsid w:val="00385958"/>
    <w:rsid w:val="003874A0"/>
    <w:rsid w:val="00391A8C"/>
    <w:rsid w:val="0039261D"/>
    <w:rsid w:val="003938BB"/>
    <w:rsid w:val="003968FD"/>
    <w:rsid w:val="00397898"/>
    <w:rsid w:val="003979E6"/>
    <w:rsid w:val="003A5E68"/>
    <w:rsid w:val="003B414E"/>
    <w:rsid w:val="003B4DBA"/>
    <w:rsid w:val="003C1C44"/>
    <w:rsid w:val="003C2B0D"/>
    <w:rsid w:val="003C305B"/>
    <w:rsid w:val="003D5253"/>
    <w:rsid w:val="003E215B"/>
    <w:rsid w:val="003E217D"/>
    <w:rsid w:val="003E2993"/>
    <w:rsid w:val="003E5DD1"/>
    <w:rsid w:val="003F2D58"/>
    <w:rsid w:val="00400B93"/>
    <w:rsid w:val="00404BBD"/>
    <w:rsid w:val="00406E1A"/>
    <w:rsid w:val="0040754E"/>
    <w:rsid w:val="0040793A"/>
    <w:rsid w:val="00415A1F"/>
    <w:rsid w:val="00417970"/>
    <w:rsid w:val="00420C21"/>
    <w:rsid w:val="004267BF"/>
    <w:rsid w:val="00435BF9"/>
    <w:rsid w:val="0043662A"/>
    <w:rsid w:val="00440C21"/>
    <w:rsid w:val="00446AA1"/>
    <w:rsid w:val="00452AAF"/>
    <w:rsid w:val="004537C5"/>
    <w:rsid w:val="004546B6"/>
    <w:rsid w:val="00457122"/>
    <w:rsid w:val="004615A4"/>
    <w:rsid w:val="00461993"/>
    <w:rsid w:val="00462BFA"/>
    <w:rsid w:val="00466D05"/>
    <w:rsid w:val="00466D24"/>
    <w:rsid w:val="00470872"/>
    <w:rsid w:val="004710E0"/>
    <w:rsid w:val="00475E0F"/>
    <w:rsid w:val="00476304"/>
    <w:rsid w:val="00482150"/>
    <w:rsid w:val="00482874"/>
    <w:rsid w:val="0048349A"/>
    <w:rsid w:val="00484C9D"/>
    <w:rsid w:val="004928CE"/>
    <w:rsid w:val="0049355A"/>
    <w:rsid w:val="004A27A0"/>
    <w:rsid w:val="004A35CE"/>
    <w:rsid w:val="004B27D5"/>
    <w:rsid w:val="004B66AE"/>
    <w:rsid w:val="004B7B6F"/>
    <w:rsid w:val="004C0FF2"/>
    <w:rsid w:val="004C714F"/>
    <w:rsid w:val="004D53FD"/>
    <w:rsid w:val="004D7365"/>
    <w:rsid w:val="004F6138"/>
    <w:rsid w:val="004F7905"/>
    <w:rsid w:val="00501A94"/>
    <w:rsid w:val="00502281"/>
    <w:rsid w:val="00503A09"/>
    <w:rsid w:val="00510C8D"/>
    <w:rsid w:val="00512110"/>
    <w:rsid w:val="00512596"/>
    <w:rsid w:val="00517B27"/>
    <w:rsid w:val="005243ED"/>
    <w:rsid w:val="00525C5C"/>
    <w:rsid w:val="00532276"/>
    <w:rsid w:val="00533664"/>
    <w:rsid w:val="0054222E"/>
    <w:rsid w:val="00552978"/>
    <w:rsid w:val="00556717"/>
    <w:rsid w:val="00560EB0"/>
    <w:rsid w:val="00561311"/>
    <w:rsid w:val="00561F59"/>
    <w:rsid w:val="00562E1A"/>
    <w:rsid w:val="00562FB7"/>
    <w:rsid w:val="005634D5"/>
    <w:rsid w:val="00565433"/>
    <w:rsid w:val="0056749C"/>
    <w:rsid w:val="005702EE"/>
    <w:rsid w:val="00581B43"/>
    <w:rsid w:val="00585CCA"/>
    <w:rsid w:val="0058681E"/>
    <w:rsid w:val="005A2083"/>
    <w:rsid w:val="005A4A8A"/>
    <w:rsid w:val="005B11D8"/>
    <w:rsid w:val="005B50A8"/>
    <w:rsid w:val="005B5E62"/>
    <w:rsid w:val="005C090D"/>
    <w:rsid w:val="005C3DB3"/>
    <w:rsid w:val="005C5DD1"/>
    <w:rsid w:val="005D1B5C"/>
    <w:rsid w:val="005D2ABB"/>
    <w:rsid w:val="005F23C1"/>
    <w:rsid w:val="00607FE2"/>
    <w:rsid w:val="0061351B"/>
    <w:rsid w:val="0061445E"/>
    <w:rsid w:val="00614738"/>
    <w:rsid w:val="00614913"/>
    <w:rsid w:val="00615990"/>
    <w:rsid w:val="006172C9"/>
    <w:rsid w:val="006220E0"/>
    <w:rsid w:val="0062435A"/>
    <w:rsid w:val="006263DE"/>
    <w:rsid w:val="00626549"/>
    <w:rsid w:val="00626A16"/>
    <w:rsid w:val="00634BC1"/>
    <w:rsid w:val="00634D6A"/>
    <w:rsid w:val="00643719"/>
    <w:rsid w:val="006461F8"/>
    <w:rsid w:val="006505D7"/>
    <w:rsid w:val="0065303E"/>
    <w:rsid w:val="0065474B"/>
    <w:rsid w:val="00655321"/>
    <w:rsid w:val="00662145"/>
    <w:rsid w:val="00672440"/>
    <w:rsid w:val="00673621"/>
    <w:rsid w:val="00673CB2"/>
    <w:rsid w:val="00676A0C"/>
    <w:rsid w:val="00676EAC"/>
    <w:rsid w:val="006802F6"/>
    <w:rsid w:val="00681D3F"/>
    <w:rsid w:val="006846F3"/>
    <w:rsid w:val="0068703B"/>
    <w:rsid w:val="00692924"/>
    <w:rsid w:val="006941E1"/>
    <w:rsid w:val="006942ED"/>
    <w:rsid w:val="00696449"/>
    <w:rsid w:val="006A1A6B"/>
    <w:rsid w:val="006A28DD"/>
    <w:rsid w:val="006B0D2D"/>
    <w:rsid w:val="006B12E5"/>
    <w:rsid w:val="006C1FDC"/>
    <w:rsid w:val="006C2069"/>
    <w:rsid w:val="006C33CF"/>
    <w:rsid w:val="006C53BB"/>
    <w:rsid w:val="006D49FF"/>
    <w:rsid w:val="006D4A0C"/>
    <w:rsid w:val="006D4B2D"/>
    <w:rsid w:val="006D7975"/>
    <w:rsid w:val="006E092B"/>
    <w:rsid w:val="006E1A0D"/>
    <w:rsid w:val="006E29FB"/>
    <w:rsid w:val="006E5D89"/>
    <w:rsid w:val="006F46C5"/>
    <w:rsid w:val="006F6B5B"/>
    <w:rsid w:val="007054FB"/>
    <w:rsid w:val="007106FF"/>
    <w:rsid w:val="007109E4"/>
    <w:rsid w:val="00712F8B"/>
    <w:rsid w:val="007225EB"/>
    <w:rsid w:val="00726AF5"/>
    <w:rsid w:val="007303D2"/>
    <w:rsid w:val="00732E3B"/>
    <w:rsid w:val="00740A2A"/>
    <w:rsid w:val="00744131"/>
    <w:rsid w:val="00744A62"/>
    <w:rsid w:val="00745098"/>
    <w:rsid w:val="0074557A"/>
    <w:rsid w:val="00745D6B"/>
    <w:rsid w:val="00754854"/>
    <w:rsid w:val="007570E6"/>
    <w:rsid w:val="007575D4"/>
    <w:rsid w:val="00762E77"/>
    <w:rsid w:val="00763077"/>
    <w:rsid w:val="007640C6"/>
    <w:rsid w:val="007668E1"/>
    <w:rsid w:val="007721A7"/>
    <w:rsid w:val="0077386F"/>
    <w:rsid w:val="00774AE6"/>
    <w:rsid w:val="00787BDD"/>
    <w:rsid w:val="00794043"/>
    <w:rsid w:val="0079683E"/>
    <w:rsid w:val="00796AEF"/>
    <w:rsid w:val="00797185"/>
    <w:rsid w:val="007A0909"/>
    <w:rsid w:val="007A4652"/>
    <w:rsid w:val="007A4EC9"/>
    <w:rsid w:val="007A5817"/>
    <w:rsid w:val="007A66A1"/>
    <w:rsid w:val="007B1CE3"/>
    <w:rsid w:val="007B52EB"/>
    <w:rsid w:val="007B54D0"/>
    <w:rsid w:val="007C76DF"/>
    <w:rsid w:val="007D1EC1"/>
    <w:rsid w:val="007D5D26"/>
    <w:rsid w:val="007D6C58"/>
    <w:rsid w:val="007F1548"/>
    <w:rsid w:val="007F41EE"/>
    <w:rsid w:val="0080040B"/>
    <w:rsid w:val="00800DA6"/>
    <w:rsid w:val="00802988"/>
    <w:rsid w:val="00804623"/>
    <w:rsid w:val="00805897"/>
    <w:rsid w:val="008104E0"/>
    <w:rsid w:val="00810BBE"/>
    <w:rsid w:val="00813BC1"/>
    <w:rsid w:val="00817BB2"/>
    <w:rsid w:val="0082250D"/>
    <w:rsid w:val="00824727"/>
    <w:rsid w:val="00832AEE"/>
    <w:rsid w:val="00842234"/>
    <w:rsid w:val="00845CC6"/>
    <w:rsid w:val="00845F2D"/>
    <w:rsid w:val="008471D2"/>
    <w:rsid w:val="00852E79"/>
    <w:rsid w:val="00864390"/>
    <w:rsid w:val="00866D99"/>
    <w:rsid w:val="00866FD7"/>
    <w:rsid w:val="00874DD8"/>
    <w:rsid w:val="00877A46"/>
    <w:rsid w:val="00882D0F"/>
    <w:rsid w:val="00884921"/>
    <w:rsid w:val="00885265"/>
    <w:rsid w:val="00891132"/>
    <w:rsid w:val="008913B7"/>
    <w:rsid w:val="00892DF1"/>
    <w:rsid w:val="008A25E4"/>
    <w:rsid w:val="008A50B4"/>
    <w:rsid w:val="008A703C"/>
    <w:rsid w:val="008B2EB5"/>
    <w:rsid w:val="008B4091"/>
    <w:rsid w:val="008B4105"/>
    <w:rsid w:val="008B4922"/>
    <w:rsid w:val="008C3040"/>
    <w:rsid w:val="008C74FC"/>
    <w:rsid w:val="008D5CC1"/>
    <w:rsid w:val="008E062F"/>
    <w:rsid w:val="008E0A3D"/>
    <w:rsid w:val="008E21F5"/>
    <w:rsid w:val="008E33B6"/>
    <w:rsid w:val="008E4B61"/>
    <w:rsid w:val="008E59D7"/>
    <w:rsid w:val="008E72FB"/>
    <w:rsid w:val="008F4533"/>
    <w:rsid w:val="00900F15"/>
    <w:rsid w:val="00901020"/>
    <w:rsid w:val="00904608"/>
    <w:rsid w:val="00904AE6"/>
    <w:rsid w:val="00915C12"/>
    <w:rsid w:val="00920F0D"/>
    <w:rsid w:val="00921601"/>
    <w:rsid w:val="009245A4"/>
    <w:rsid w:val="009316FA"/>
    <w:rsid w:val="00931C21"/>
    <w:rsid w:val="0093228D"/>
    <w:rsid w:val="009325EC"/>
    <w:rsid w:val="00932837"/>
    <w:rsid w:val="009333C3"/>
    <w:rsid w:val="009340D8"/>
    <w:rsid w:val="00935D11"/>
    <w:rsid w:val="00935DE3"/>
    <w:rsid w:val="0094152A"/>
    <w:rsid w:val="00944049"/>
    <w:rsid w:val="00946FA7"/>
    <w:rsid w:val="009500E7"/>
    <w:rsid w:val="00952DC5"/>
    <w:rsid w:val="00953A18"/>
    <w:rsid w:val="009547CD"/>
    <w:rsid w:val="0095658E"/>
    <w:rsid w:val="00956DC2"/>
    <w:rsid w:val="009608CF"/>
    <w:rsid w:val="009618DB"/>
    <w:rsid w:val="0096338A"/>
    <w:rsid w:val="00963F8E"/>
    <w:rsid w:val="00964DF8"/>
    <w:rsid w:val="0096575D"/>
    <w:rsid w:val="009761FC"/>
    <w:rsid w:val="00980D23"/>
    <w:rsid w:val="009865B6"/>
    <w:rsid w:val="00991045"/>
    <w:rsid w:val="00992870"/>
    <w:rsid w:val="00996E80"/>
    <w:rsid w:val="009A1DB7"/>
    <w:rsid w:val="009A2988"/>
    <w:rsid w:val="009A70B3"/>
    <w:rsid w:val="009B2195"/>
    <w:rsid w:val="009B3577"/>
    <w:rsid w:val="009B44F9"/>
    <w:rsid w:val="009B4A0E"/>
    <w:rsid w:val="009B6912"/>
    <w:rsid w:val="009C0A87"/>
    <w:rsid w:val="009C1808"/>
    <w:rsid w:val="009D11FE"/>
    <w:rsid w:val="009D6C31"/>
    <w:rsid w:val="009D75F0"/>
    <w:rsid w:val="009E18F7"/>
    <w:rsid w:val="009E25FD"/>
    <w:rsid w:val="009E2F1D"/>
    <w:rsid w:val="009E4553"/>
    <w:rsid w:val="009E63B8"/>
    <w:rsid w:val="009F2708"/>
    <w:rsid w:val="009F4094"/>
    <w:rsid w:val="009F460E"/>
    <w:rsid w:val="009F6564"/>
    <w:rsid w:val="009F7290"/>
    <w:rsid w:val="00A01B37"/>
    <w:rsid w:val="00A10BBA"/>
    <w:rsid w:val="00A12D07"/>
    <w:rsid w:val="00A24D26"/>
    <w:rsid w:val="00A33746"/>
    <w:rsid w:val="00A34B84"/>
    <w:rsid w:val="00A408F4"/>
    <w:rsid w:val="00A4332C"/>
    <w:rsid w:val="00A441DB"/>
    <w:rsid w:val="00A52FC0"/>
    <w:rsid w:val="00A54269"/>
    <w:rsid w:val="00A60958"/>
    <w:rsid w:val="00A63879"/>
    <w:rsid w:val="00A644D2"/>
    <w:rsid w:val="00A71B81"/>
    <w:rsid w:val="00A76793"/>
    <w:rsid w:val="00A80352"/>
    <w:rsid w:val="00A82261"/>
    <w:rsid w:val="00A842CD"/>
    <w:rsid w:val="00A8485B"/>
    <w:rsid w:val="00A84E1F"/>
    <w:rsid w:val="00A87F27"/>
    <w:rsid w:val="00A924DD"/>
    <w:rsid w:val="00A9523D"/>
    <w:rsid w:val="00A97F43"/>
    <w:rsid w:val="00AB71E8"/>
    <w:rsid w:val="00AC7C3F"/>
    <w:rsid w:val="00AD407A"/>
    <w:rsid w:val="00AD6483"/>
    <w:rsid w:val="00AD7D8A"/>
    <w:rsid w:val="00AE6677"/>
    <w:rsid w:val="00AE7B5B"/>
    <w:rsid w:val="00AE7E5B"/>
    <w:rsid w:val="00AF2E5D"/>
    <w:rsid w:val="00B05018"/>
    <w:rsid w:val="00B13DE0"/>
    <w:rsid w:val="00B17B7D"/>
    <w:rsid w:val="00B31B17"/>
    <w:rsid w:val="00B3206F"/>
    <w:rsid w:val="00B32226"/>
    <w:rsid w:val="00B4625C"/>
    <w:rsid w:val="00B50524"/>
    <w:rsid w:val="00B55D88"/>
    <w:rsid w:val="00B55F9C"/>
    <w:rsid w:val="00B66CAF"/>
    <w:rsid w:val="00B71D50"/>
    <w:rsid w:val="00B74E88"/>
    <w:rsid w:val="00B878D5"/>
    <w:rsid w:val="00B952C0"/>
    <w:rsid w:val="00BB204E"/>
    <w:rsid w:val="00BB2865"/>
    <w:rsid w:val="00BC0F86"/>
    <w:rsid w:val="00BC15DE"/>
    <w:rsid w:val="00BC24D4"/>
    <w:rsid w:val="00BC28AE"/>
    <w:rsid w:val="00BC4496"/>
    <w:rsid w:val="00BC4F39"/>
    <w:rsid w:val="00BC518B"/>
    <w:rsid w:val="00BC5DE8"/>
    <w:rsid w:val="00BC63FF"/>
    <w:rsid w:val="00BC6B11"/>
    <w:rsid w:val="00BD5077"/>
    <w:rsid w:val="00BD50D9"/>
    <w:rsid w:val="00BD589B"/>
    <w:rsid w:val="00BD68E2"/>
    <w:rsid w:val="00BE75F5"/>
    <w:rsid w:val="00BF1FB0"/>
    <w:rsid w:val="00BF231A"/>
    <w:rsid w:val="00BF6602"/>
    <w:rsid w:val="00C02E5B"/>
    <w:rsid w:val="00C10966"/>
    <w:rsid w:val="00C12AA3"/>
    <w:rsid w:val="00C12C0F"/>
    <w:rsid w:val="00C1728E"/>
    <w:rsid w:val="00C20782"/>
    <w:rsid w:val="00C23497"/>
    <w:rsid w:val="00C244A8"/>
    <w:rsid w:val="00C2688C"/>
    <w:rsid w:val="00C279DB"/>
    <w:rsid w:val="00C30A03"/>
    <w:rsid w:val="00C320AD"/>
    <w:rsid w:val="00C32C0A"/>
    <w:rsid w:val="00C336DB"/>
    <w:rsid w:val="00C35B03"/>
    <w:rsid w:val="00C37753"/>
    <w:rsid w:val="00C42165"/>
    <w:rsid w:val="00C426C5"/>
    <w:rsid w:val="00C44FFA"/>
    <w:rsid w:val="00C478CA"/>
    <w:rsid w:val="00C47C2A"/>
    <w:rsid w:val="00C55188"/>
    <w:rsid w:val="00C6036C"/>
    <w:rsid w:val="00C6746C"/>
    <w:rsid w:val="00C72C62"/>
    <w:rsid w:val="00C747F1"/>
    <w:rsid w:val="00C837B7"/>
    <w:rsid w:val="00C85B2E"/>
    <w:rsid w:val="00C8794B"/>
    <w:rsid w:val="00C879F0"/>
    <w:rsid w:val="00C90499"/>
    <w:rsid w:val="00C91631"/>
    <w:rsid w:val="00C91B91"/>
    <w:rsid w:val="00C91F5A"/>
    <w:rsid w:val="00CA50D4"/>
    <w:rsid w:val="00CB0837"/>
    <w:rsid w:val="00CB187A"/>
    <w:rsid w:val="00CB3EFB"/>
    <w:rsid w:val="00CB45BC"/>
    <w:rsid w:val="00CB4F8B"/>
    <w:rsid w:val="00CB5190"/>
    <w:rsid w:val="00CC67E9"/>
    <w:rsid w:val="00CC6A2A"/>
    <w:rsid w:val="00CC70C5"/>
    <w:rsid w:val="00CC7495"/>
    <w:rsid w:val="00CD0DE2"/>
    <w:rsid w:val="00CD43A0"/>
    <w:rsid w:val="00CD6F28"/>
    <w:rsid w:val="00CE0226"/>
    <w:rsid w:val="00CE377A"/>
    <w:rsid w:val="00CF2757"/>
    <w:rsid w:val="00CF356F"/>
    <w:rsid w:val="00D02873"/>
    <w:rsid w:val="00D102F0"/>
    <w:rsid w:val="00D13420"/>
    <w:rsid w:val="00D138D2"/>
    <w:rsid w:val="00D14D0B"/>
    <w:rsid w:val="00D17F7E"/>
    <w:rsid w:val="00D21B6A"/>
    <w:rsid w:val="00D230A5"/>
    <w:rsid w:val="00D26B6E"/>
    <w:rsid w:val="00D304EA"/>
    <w:rsid w:val="00D355AC"/>
    <w:rsid w:val="00D37175"/>
    <w:rsid w:val="00D41EB7"/>
    <w:rsid w:val="00D42357"/>
    <w:rsid w:val="00D45C5B"/>
    <w:rsid w:val="00D477D5"/>
    <w:rsid w:val="00D52F6C"/>
    <w:rsid w:val="00D5492F"/>
    <w:rsid w:val="00D57A86"/>
    <w:rsid w:val="00D66FEE"/>
    <w:rsid w:val="00D67D40"/>
    <w:rsid w:val="00D67DE1"/>
    <w:rsid w:val="00D70D55"/>
    <w:rsid w:val="00D718AC"/>
    <w:rsid w:val="00D73ED7"/>
    <w:rsid w:val="00D74F4E"/>
    <w:rsid w:val="00D77348"/>
    <w:rsid w:val="00D80C88"/>
    <w:rsid w:val="00D811D1"/>
    <w:rsid w:val="00D84E1E"/>
    <w:rsid w:val="00D8583D"/>
    <w:rsid w:val="00D85BED"/>
    <w:rsid w:val="00D8695F"/>
    <w:rsid w:val="00D9168A"/>
    <w:rsid w:val="00D92EB4"/>
    <w:rsid w:val="00DA06AC"/>
    <w:rsid w:val="00DA1AF3"/>
    <w:rsid w:val="00DA226E"/>
    <w:rsid w:val="00DA7E39"/>
    <w:rsid w:val="00DB58A4"/>
    <w:rsid w:val="00DB6D3A"/>
    <w:rsid w:val="00DB71A8"/>
    <w:rsid w:val="00DB770C"/>
    <w:rsid w:val="00DC0E20"/>
    <w:rsid w:val="00DC57F8"/>
    <w:rsid w:val="00DC70C3"/>
    <w:rsid w:val="00DC72A3"/>
    <w:rsid w:val="00DD39D0"/>
    <w:rsid w:val="00DD7719"/>
    <w:rsid w:val="00DD7D2C"/>
    <w:rsid w:val="00DF0F2F"/>
    <w:rsid w:val="00DF5168"/>
    <w:rsid w:val="00DF6025"/>
    <w:rsid w:val="00DF746F"/>
    <w:rsid w:val="00E04A0E"/>
    <w:rsid w:val="00E134F2"/>
    <w:rsid w:val="00E27F29"/>
    <w:rsid w:val="00E33D8E"/>
    <w:rsid w:val="00E34061"/>
    <w:rsid w:val="00E3643F"/>
    <w:rsid w:val="00E368F0"/>
    <w:rsid w:val="00E44B6F"/>
    <w:rsid w:val="00E47F0E"/>
    <w:rsid w:val="00E52A05"/>
    <w:rsid w:val="00E5390A"/>
    <w:rsid w:val="00E5667C"/>
    <w:rsid w:val="00E572FD"/>
    <w:rsid w:val="00E621B9"/>
    <w:rsid w:val="00E641EC"/>
    <w:rsid w:val="00E65014"/>
    <w:rsid w:val="00E75270"/>
    <w:rsid w:val="00E75941"/>
    <w:rsid w:val="00E80A5E"/>
    <w:rsid w:val="00E82886"/>
    <w:rsid w:val="00E8697B"/>
    <w:rsid w:val="00E87F2C"/>
    <w:rsid w:val="00E93299"/>
    <w:rsid w:val="00EA0426"/>
    <w:rsid w:val="00EA182A"/>
    <w:rsid w:val="00EA55C4"/>
    <w:rsid w:val="00EB54DD"/>
    <w:rsid w:val="00EB7023"/>
    <w:rsid w:val="00EB7573"/>
    <w:rsid w:val="00ED16EF"/>
    <w:rsid w:val="00ED6DD6"/>
    <w:rsid w:val="00ED7245"/>
    <w:rsid w:val="00ED7809"/>
    <w:rsid w:val="00ED7BC5"/>
    <w:rsid w:val="00EE40E7"/>
    <w:rsid w:val="00EE6BD1"/>
    <w:rsid w:val="00EF2984"/>
    <w:rsid w:val="00EF3D37"/>
    <w:rsid w:val="00EF75EA"/>
    <w:rsid w:val="00F0587A"/>
    <w:rsid w:val="00F11001"/>
    <w:rsid w:val="00F12FB8"/>
    <w:rsid w:val="00F1769B"/>
    <w:rsid w:val="00F1786E"/>
    <w:rsid w:val="00F17A09"/>
    <w:rsid w:val="00F17DA4"/>
    <w:rsid w:val="00F26C34"/>
    <w:rsid w:val="00F27F09"/>
    <w:rsid w:val="00F3093B"/>
    <w:rsid w:val="00F356A8"/>
    <w:rsid w:val="00F35E21"/>
    <w:rsid w:val="00F3616A"/>
    <w:rsid w:val="00F41258"/>
    <w:rsid w:val="00F47243"/>
    <w:rsid w:val="00F473EE"/>
    <w:rsid w:val="00F502BD"/>
    <w:rsid w:val="00F55FF7"/>
    <w:rsid w:val="00F619C1"/>
    <w:rsid w:val="00F6359E"/>
    <w:rsid w:val="00F63B70"/>
    <w:rsid w:val="00F70638"/>
    <w:rsid w:val="00F7076C"/>
    <w:rsid w:val="00F82C66"/>
    <w:rsid w:val="00F8350B"/>
    <w:rsid w:val="00F94B9D"/>
    <w:rsid w:val="00F96B04"/>
    <w:rsid w:val="00F9778A"/>
    <w:rsid w:val="00FA70A5"/>
    <w:rsid w:val="00FB1648"/>
    <w:rsid w:val="00FB2FDB"/>
    <w:rsid w:val="00FB38C2"/>
    <w:rsid w:val="00FB60DC"/>
    <w:rsid w:val="00FC5916"/>
    <w:rsid w:val="00FD1230"/>
    <w:rsid w:val="00FD1E2B"/>
    <w:rsid w:val="00FD73EA"/>
    <w:rsid w:val="00FE0D63"/>
    <w:rsid w:val="00FE2D5D"/>
    <w:rsid w:val="00FF1275"/>
    <w:rsid w:val="00FF4FC0"/>
    <w:rsid w:val="00FF586D"/>
    <w:rsid w:val="00FF6A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7C841D"/>
  <w15:chartTrackingRefBased/>
  <w15:docId w15:val="{E074B9B8-E2C3-4566-8797-B98CFB84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90"/>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CB5190"/>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CB5190"/>
    <w:rPr>
      <w:rFonts w:ascii="Times New Roman" w:hAnsi="Times New Roman" w:cs="Times New Roman"/>
      <w:b/>
      <w:sz w:val="18"/>
      <w:szCs w:val="20"/>
      <w:lang w:val="fr-CH"/>
    </w:rPr>
  </w:style>
  <w:style w:type="paragraph" w:styleId="Footer">
    <w:name w:val="footer"/>
    <w:aliases w:val="3_G"/>
    <w:basedOn w:val="Normal"/>
    <w:next w:val="Normal"/>
    <w:link w:val="FooterChar"/>
    <w:qFormat/>
    <w:rsid w:val="00CB5190"/>
    <w:pPr>
      <w:spacing w:line="240" w:lineRule="auto"/>
    </w:pPr>
    <w:rPr>
      <w:sz w:val="16"/>
    </w:rPr>
  </w:style>
  <w:style w:type="character" w:customStyle="1" w:styleId="FooterChar">
    <w:name w:val="Footer Char"/>
    <w:aliases w:val="3_G Char"/>
    <w:basedOn w:val="DefaultParagraphFont"/>
    <w:link w:val="Footer"/>
    <w:rsid w:val="00CB5190"/>
    <w:rPr>
      <w:rFonts w:ascii="Times New Roman" w:hAnsi="Times New Roman" w:cs="Times New Roman"/>
      <w:sz w:val="16"/>
      <w:szCs w:val="20"/>
      <w:lang w:val="fr-CH"/>
    </w:rPr>
  </w:style>
  <w:style w:type="paragraph" w:customStyle="1" w:styleId="HChG">
    <w:name w:val="_ H _Ch_G"/>
    <w:basedOn w:val="Normal"/>
    <w:next w:val="Normal"/>
    <w:link w:val="HChGChar"/>
    <w:qFormat/>
    <w:rsid w:val="00CB519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B519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B51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B5190"/>
    <w:pPr>
      <w:keepNext/>
      <w:keepLines/>
      <w:tabs>
        <w:tab w:val="right" w:pos="851"/>
      </w:tabs>
      <w:spacing w:before="240" w:after="120" w:line="240" w:lineRule="exact"/>
      <w:ind w:left="1134" w:right="1134" w:hanging="1134"/>
    </w:pPr>
    <w:rPr>
      <w:i/>
    </w:rPr>
  </w:style>
  <w:style w:type="paragraph" w:customStyle="1" w:styleId="SingleTxtG">
    <w:name w:val="_ Single Txt_G"/>
    <w:basedOn w:val="Normal"/>
    <w:qFormat/>
    <w:rsid w:val="00CB5190"/>
    <w:pPr>
      <w:spacing w:after="120"/>
      <w:ind w:left="1134" w:right="1134"/>
      <w:jc w:val="both"/>
    </w:p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
    <w:basedOn w:val="DefaultParagraphFont"/>
    <w:qFormat/>
    <w:rsid w:val="00CB5190"/>
    <w:rPr>
      <w:rFonts w:ascii="Times New Roman" w:hAnsi="Times New Roman"/>
      <w:sz w:val="18"/>
      <w:vertAlign w:val="superscript"/>
      <w:lang w:val="fr-CH"/>
    </w:rPr>
  </w:style>
  <w:style w:type="table" w:styleId="TableGrid">
    <w:name w:val="Table Grid"/>
    <w:basedOn w:val="TableNormal"/>
    <w:rsid w:val="00CB5190"/>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n"/>
    <w:basedOn w:val="Normal"/>
    <w:link w:val="FootnoteTextChar"/>
    <w:qFormat/>
    <w:rsid w:val="00CB5190"/>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CB5190"/>
    <w:rPr>
      <w:rFonts w:ascii="Times New Roman" w:hAnsi="Times New Roman" w:cs="Times New Roman"/>
      <w:sz w:val="18"/>
      <w:szCs w:val="20"/>
      <w:lang w:val="fr-CH"/>
    </w:rPr>
  </w:style>
  <w:style w:type="character" w:customStyle="1" w:styleId="HChGChar">
    <w:name w:val="_ H _Ch_G Char"/>
    <w:link w:val="HChG"/>
    <w:locked/>
    <w:rsid w:val="00CB5190"/>
    <w:rPr>
      <w:rFonts w:ascii="Times New Roman" w:hAnsi="Times New Roman" w:cs="Times New Roman"/>
      <w:b/>
      <w:sz w:val="28"/>
      <w:szCs w:val="20"/>
      <w:lang w:val="fr-CH"/>
    </w:rPr>
  </w:style>
  <w:style w:type="character" w:customStyle="1" w:styleId="H1GChar">
    <w:name w:val="_ H_1_G Char"/>
    <w:link w:val="H1G"/>
    <w:locked/>
    <w:rsid w:val="00CB5190"/>
    <w:rPr>
      <w:rFonts w:ascii="Times New Roman" w:hAnsi="Times New Roman" w:cs="Times New Roman"/>
      <w:b/>
      <w:sz w:val="24"/>
      <w:szCs w:val="20"/>
      <w:lang w:val="fr-CH"/>
    </w:rPr>
  </w:style>
  <w:style w:type="character" w:customStyle="1" w:styleId="H23GChar">
    <w:name w:val="_ H_2/3_G Char"/>
    <w:link w:val="H23G"/>
    <w:locked/>
    <w:rsid w:val="00CB5190"/>
    <w:rPr>
      <w:rFonts w:ascii="Times New Roman" w:hAnsi="Times New Roman" w:cs="Times New Roman"/>
      <w:b/>
      <w:sz w:val="20"/>
      <w:szCs w:val="20"/>
      <w:lang w:val="fr-CH"/>
    </w:rPr>
  </w:style>
  <w:style w:type="character" w:styleId="CommentReference">
    <w:name w:val="annotation reference"/>
    <w:basedOn w:val="DefaultParagraphFont"/>
    <w:uiPriority w:val="99"/>
    <w:semiHidden/>
    <w:unhideWhenUsed/>
    <w:rsid w:val="00CB5190"/>
    <w:rPr>
      <w:sz w:val="16"/>
      <w:szCs w:val="16"/>
    </w:rPr>
  </w:style>
  <w:style w:type="paragraph" w:styleId="CommentText">
    <w:name w:val="annotation text"/>
    <w:basedOn w:val="Normal"/>
    <w:link w:val="CommentTextChar"/>
    <w:uiPriority w:val="99"/>
    <w:unhideWhenUsed/>
    <w:rsid w:val="00CB5190"/>
    <w:pPr>
      <w:spacing w:line="240" w:lineRule="auto"/>
    </w:pPr>
  </w:style>
  <w:style w:type="character" w:customStyle="1" w:styleId="CommentTextChar">
    <w:name w:val="Comment Text Char"/>
    <w:basedOn w:val="DefaultParagraphFont"/>
    <w:link w:val="CommentText"/>
    <w:uiPriority w:val="99"/>
    <w:rsid w:val="00CB5190"/>
    <w:rPr>
      <w:rFonts w:ascii="Times New Roman" w:hAnsi="Times New Roman" w:cs="Times New Roman"/>
      <w:sz w:val="20"/>
      <w:szCs w:val="20"/>
      <w:lang w:val="fr-CH"/>
    </w:rPr>
  </w:style>
  <w:style w:type="paragraph" w:styleId="BalloonText">
    <w:name w:val="Balloon Text"/>
    <w:basedOn w:val="Normal"/>
    <w:link w:val="BalloonTextChar"/>
    <w:uiPriority w:val="99"/>
    <w:semiHidden/>
    <w:unhideWhenUsed/>
    <w:rsid w:val="00CB51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90"/>
    <w:rPr>
      <w:rFonts w:ascii="Segoe UI" w:hAnsi="Segoe UI" w:cs="Segoe UI"/>
      <w:sz w:val="18"/>
      <w:szCs w:val="18"/>
      <w:lang w:val="fr-CH"/>
    </w:rPr>
  </w:style>
  <w:style w:type="paragraph" w:styleId="CommentSubject">
    <w:name w:val="annotation subject"/>
    <w:basedOn w:val="CommentText"/>
    <w:next w:val="CommentText"/>
    <w:link w:val="CommentSubjectChar"/>
    <w:uiPriority w:val="99"/>
    <w:semiHidden/>
    <w:unhideWhenUsed/>
    <w:rsid w:val="00CC6A2A"/>
    <w:rPr>
      <w:b/>
      <w:bCs/>
    </w:rPr>
  </w:style>
  <w:style w:type="character" w:customStyle="1" w:styleId="CommentSubjectChar">
    <w:name w:val="Comment Subject Char"/>
    <w:basedOn w:val="CommentTextChar"/>
    <w:link w:val="CommentSubject"/>
    <w:uiPriority w:val="99"/>
    <w:semiHidden/>
    <w:rsid w:val="00CC6A2A"/>
    <w:rPr>
      <w:rFonts w:ascii="Times New Roman" w:hAnsi="Times New Roman" w:cs="Times New Roman"/>
      <w:b/>
      <w:bCs/>
      <w:sz w:val="20"/>
      <w:szCs w:val="20"/>
      <w:lang w:val="fr-CH"/>
    </w:rPr>
  </w:style>
  <w:style w:type="paragraph" w:styleId="ListParagraph">
    <w:name w:val="List Paragraph"/>
    <w:basedOn w:val="Normal"/>
    <w:uiPriority w:val="34"/>
    <w:qFormat/>
    <w:rsid w:val="00802988"/>
    <w:pPr>
      <w:ind w:left="720"/>
      <w:contextualSpacing/>
    </w:pPr>
  </w:style>
  <w:style w:type="paragraph" w:styleId="Revision">
    <w:name w:val="Revision"/>
    <w:hidden/>
    <w:uiPriority w:val="99"/>
    <w:semiHidden/>
    <w:rsid w:val="00B952C0"/>
    <w:pPr>
      <w:spacing w:after="0" w:line="240" w:lineRule="auto"/>
    </w:pPr>
    <w:rPr>
      <w:rFonts w:ascii="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DDF0-02D2-4016-B6C9-125F8502C60D}">
  <ds:schemaRefs>
    <ds:schemaRef ds:uri="http://schemas.microsoft.com/sharepoint/v3/contenttype/forms"/>
  </ds:schemaRefs>
</ds:datastoreItem>
</file>

<file path=customXml/itemProps2.xml><?xml version="1.0" encoding="utf-8"?>
<ds:datastoreItem xmlns:ds="http://schemas.openxmlformats.org/officeDocument/2006/customXml" ds:itemID="{5C2FB336-937B-43D9-B925-7EADDE206DB1}"/>
</file>

<file path=customXml/itemProps3.xml><?xml version="1.0" encoding="utf-8"?>
<ds:datastoreItem xmlns:ds="http://schemas.openxmlformats.org/officeDocument/2006/customXml" ds:itemID="{CC170997-DAAE-45A1-B97F-17E222EA5231}">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13F64A82-CA2E-4D9E-BD3F-E946E753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4628</Words>
  <Characters>26383</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CCPR/C/134/DR/3249/2018*</vt:lpstr>
      <vt:lpstr>CCPR/C/WG/134/DR/3249/2018</vt:lpstr>
    </vt:vector>
  </TitlesOfParts>
  <Company>OHCHR</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CCPR/C/134/DR/3249/2018*</dc:title>
  <dc:subject>qrcode</dc:subject>
  <dc:creator>dvx</dc:creator>
  <cp:keywords/>
  <dc:description/>
  <cp:lastModifiedBy>Mohamed Abdelazim</cp:lastModifiedBy>
  <cp:revision>5</cp:revision>
  <cp:lastPrinted>2022-06-09T08:39:00Z</cp:lastPrinted>
  <dcterms:created xsi:type="dcterms:W3CDTF">2022-06-08T21:08:00Z</dcterms:created>
  <dcterms:modified xsi:type="dcterms:W3CDTF">2022-06-09T16:25:00Z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