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21C2F68" w14:textId="77777777" w:rsidTr="00CA1AEA">
        <w:trPr>
          <w:cantSplit/>
          <w:trHeight w:hRule="exact" w:val="851"/>
        </w:trPr>
        <w:tc>
          <w:tcPr>
            <w:tcW w:w="1276" w:type="dxa"/>
            <w:tcBorders>
              <w:bottom w:val="single" w:sz="4" w:space="0" w:color="auto"/>
            </w:tcBorders>
            <w:vAlign w:val="bottom"/>
          </w:tcPr>
          <w:p w14:paraId="5B743838" w14:textId="77777777" w:rsidR="00165C15" w:rsidRDefault="00165C15" w:rsidP="00CA1AEA">
            <w:pPr>
              <w:spacing w:after="80"/>
            </w:pPr>
          </w:p>
        </w:tc>
        <w:tc>
          <w:tcPr>
            <w:tcW w:w="2268" w:type="dxa"/>
            <w:tcBorders>
              <w:bottom w:val="single" w:sz="4" w:space="0" w:color="auto"/>
            </w:tcBorders>
            <w:vAlign w:val="bottom"/>
          </w:tcPr>
          <w:p w14:paraId="149D9DF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C24D4B" w14:textId="5AC4725C" w:rsidR="00165C15" w:rsidRPr="00D47EEA" w:rsidRDefault="00342D59" w:rsidP="005A656D">
            <w:pPr>
              <w:suppressAutoHyphens w:val="0"/>
              <w:spacing w:after="20"/>
              <w:jc w:val="right"/>
            </w:pPr>
            <w:r w:rsidRPr="00342D59">
              <w:rPr>
                <w:sz w:val="40"/>
              </w:rPr>
              <w:t>CCPR</w:t>
            </w:r>
            <w:r>
              <w:t>/C/</w:t>
            </w:r>
            <w:r w:rsidR="009465C3">
              <w:t>13</w:t>
            </w:r>
            <w:r w:rsidR="00987769">
              <w:t>3</w:t>
            </w:r>
            <w:r>
              <w:t>/D</w:t>
            </w:r>
            <w:r w:rsidRPr="00342D59">
              <w:t>/</w:t>
            </w:r>
            <w:r w:rsidR="009465C3">
              <w:t>2708</w:t>
            </w:r>
            <w:r w:rsidRPr="00342D59">
              <w:t>/</w:t>
            </w:r>
            <w:r w:rsidR="009465C3">
              <w:t>2015</w:t>
            </w:r>
          </w:p>
        </w:tc>
      </w:tr>
      <w:tr w:rsidR="00165C15" w14:paraId="63A856C0" w14:textId="77777777" w:rsidTr="00CA1AEA">
        <w:trPr>
          <w:cantSplit/>
          <w:trHeight w:hRule="exact" w:val="2835"/>
        </w:trPr>
        <w:tc>
          <w:tcPr>
            <w:tcW w:w="1276" w:type="dxa"/>
            <w:tcBorders>
              <w:top w:val="single" w:sz="4" w:space="0" w:color="auto"/>
              <w:bottom w:val="single" w:sz="12" w:space="0" w:color="auto"/>
            </w:tcBorders>
          </w:tcPr>
          <w:p w14:paraId="2E5377AF" w14:textId="77777777" w:rsidR="00165C15" w:rsidRDefault="00165C15" w:rsidP="00CA1AEA">
            <w:pPr>
              <w:spacing w:before="120"/>
            </w:pPr>
            <w:r>
              <w:rPr>
                <w:noProof/>
                <w:lang w:eastAsia="en-GB"/>
              </w:rPr>
              <w:drawing>
                <wp:inline distT="0" distB="0" distL="0" distR="0" wp14:anchorId="34E057F3" wp14:editId="1D9ACBD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EAC975" w14:textId="77777777" w:rsidR="00165C15" w:rsidRDefault="00165C15" w:rsidP="00CA1AEA">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7B1AFE71" w14:textId="77777777" w:rsidR="005A656D" w:rsidRDefault="005A656D" w:rsidP="00CA1AEA">
            <w:pPr>
              <w:spacing w:before="120" w:line="380" w:lineRule="exact"/>
              <w:rPr>
                <w:b/>
                <w:sz w:val="34"/>
                <w:szCs w:val="40"/>
              </w:rPr>
            </w:pPr>
          </w:p>
          <w:p w14:paraId="53233250" w14:textId="07DA6B8C" w:rsidR="005A656D" w:rsidRPr="00267F5F" w:rsidRDefault="005A656D" w:rsidP="00CA1AEA">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3762431A" w14:textId="405C4059" w:rsidR="00342D59" w:rsidRPr="009465C3" w:rsidRDefault="00342D59" w:rsidP="0073354E">
            <w:pPr>
              <w:suppressAutoHyphens w:val="0"/>
              <w:spacing w:before="240"/>
            </w:pPr>
            <w:r>
              <w:t xml:space="preserve">Distr.: </w:t>
            </w:r>
            <w:r w:rsidR="005A656D">
              <w:t>General</w:t>
            </w:r>
            <w:r w:rsidR="00074755">
              <w:br/>
            </w:r>
            <w:r w:rsidR="00BD1841">
              <w:t>1</w:t>
            </w:r>
            <w:r w:rsidR="00A55D86">
              <w:t>6</w:t>
            </w:r>
            <w:r w:rsidR="00BD1841">
              <w:t xml:space="preserve"> December</w:t>
            </w:r>
            <w:r w:rsidR="002D1209">
              <w:t xml:space="preserve"> </w:t>
            </w:r>
            <w:r w:rsidR="009465C3" w:rsidRPr="009465C3">
              <w:t>2021</w:t>
            </w:r>
          </w:p>
          <w:p w14:paraId="4FB517A2" w14:textId="77777777" w:rsidR="00342D59" w:rsidRDefault="00342D59" w:rsidP="00342D59">
            <w:pPr>
              <w:suppressAutoHyphens w:val="0"/>
            </w:pPr>
          </w:p>
          <w:p w14:paraId="71587DDC" w14:textId="77777777" w:rsidR="00342D59" w:rsidRDefault="00342D59" w:rsidP="00342D59">
            <w:pPr>
              <w:suppressAutoHyphens w:val="0"/>
            </w:pPr>
            <w:r>
              <w:t>Original: English</w:t>
            </w:r>
          </w:p>
          <w:p w14:paraId="6AE16338" w14:textId="2E1D7AE3" w:rsidR="00772F7B" w:rsidRDefault="00772F7B" w:rsidP="002C4698">
            <w:pPr>
              <w:suppressAutoHyphens w:val="0"/>
            </w:pPr>
          </w:p>
        </w:tc>
      </w:tr>
    </w:tbl>
    <w:p w14:paraId="587730AA" w14:textId="184383CF" w:rsidR="00D43B04" w:rsidRPr="007F51A3" w:rsidRDefault="00D43B04" w:rsidP="00042CA7">
      <w:pPr>
        <w:spacing w:before="120"/>
        <w:rPr>
          <w:b/>
          <w:bCs/>
        </w:rPr>
      </w:pPr>
      <w:r w:rsidRPr="007E2028">
        <w:rPr>
          <w:b/>
          <w:bCs/>
          <w:sz w:val="24"/>
        </w:rPr>
        <w:t>Human Rights Committee</w:t>
      </w:r>
    </w:p>
    <w:p w14:paraId="5227595B" w14:textId="444BA862" w:rsidR="002D1209" w:rsidRPr="00346267" w:rsidRDefault="002D1209" w:rsidP="009465C3">
      <w:pPr>
        <w:rPr>
          <w:b/>
        </w:rPr>
      </w:pPr>
    </w:p>
    <w:p w14:paraId="75ABA2F8" w14:textId="25878F1F" w:rsidR="00D43B04" w:rsidRPr="002F3906" w:rsidRDefault="00D43B04" w:rsidP="009A7626">
      <w:pPr>
        <w:pStyle w:val="HChG"/>
      </w:pPr>
      <w:r w:rsidRPr="002F3906">
        <w:tab/>
      </w:r>
      <w:r w:rsidRPr="002F3906">
        <w:tab/>
      </w:r>
      <w:r w:rsidR="005A656D">
        <w:rPr>
          <w:rFonts w:eastAsia="MS Mincho"/>
        </w:rPr>
        <w:t xml:space="preserve">Views adopted by the Committee under article 5 (4) of the Optional Protocol, concerning </w:t>
      </w:r>
      <w:r w:rsidR="005A656D">
        <w:t>c</w:t>
      </w:r>
      <w:r w:rsidRPr="009A7626">
        <w:t>ommunication</w:t>
      </w:r>
      <w:r w:rsidRPr="002F3906">
        <w:t xml:space="preserve"> No. </w:t>
      </w:r>
      <w:r w:rsidR="009465C3">
        <w:t>2708/2015</w:t>
      </w:r>
      <w:r w:rsidR="005A656D" w:rsidRPr="000A762F">
        <w:rPr>
          <w:rStyle w:val="FootnoteReference"/>
          <w:sz w:val="20"/>
          <w:vertAlign w:val="baseline"/>
        </w:rPr>
        <w:footnoteReference w:customMarkFollows="1" w:id="1"/>
        <w:t>*</w:t>
      </w:r>
      <w:r w:rsidR="005A656D" w:rsidRPr="0073354E">
        <w:rPr>
          <w:sz w:val="20"/>
          <w:vertAlign w:val="superscript"/>
        </w:rPr>
        <w:t>,</w:t>
      </w:r>
      <w:r w:rsidR="005A656D" w:rsidRPr="000A762F">
        <w:rPr>
          <w:rStyle w:val="FootnoteReference"/>
          <w:sz w:val="20"/>
          <w:vertAlign w:val="baseline"/>
        </w:rPr>
        <w:footnoteReference w:customMarkFollows="1" w:id="2"/>
        <w:t>**</w:t>
      </w:r>
    </w:p>
    <w:p w14:paraId="5497F203" w14:textId="1E167684" w:rsidR="00D43B04" w:rsidRPr="00064BF9" w:rsidRDefault="00D43B04" w:rsidP="00064BF9">
      <w:pPr>
        <w:pStyle w:val="H1G"/>
        <w:rPr>
          <w:rFonts w:eastAsia="MS Mincho"/>
        </w:rPr>
      </w:pPr>
      <w:r w:rsidRPr="002F3906">
        <w:rPr>
          <w:rFonts w:eastAsia="MS Mincho"/>
        </w:rPr>
        <w:tab/>
      </w:r>
      <w:r w:rsidRPr="002F3906">
        <w:rPr>
          <w:rFonts w:eastAsia="MS Mincho"/>
        </w:rPr>
        <w:tab/>
      </w:r>
    </w:p>
    <w:p w14:paraId="642C48E9" w14:textId="77777777" w:rsidR="00AE7DAA" w:rsidRPr="000D1ED1" w:rsidRDefault="00AE7DAA" w:rsidP="00D66BCD">
      <w:pPr>
        <w:pStyle w:val="SingleTxtG"/>
        <w:ind w:left="4536" w:hanging="3402"/>
        <w:jc w:val="left"/>
      </w:pPr>
      <w:r w:rsidRPr="007F4B1A">
        <w:rPr>
          <w:i/>
        </w:rPr>
        <w:t>Communication submitted by:</w:t>
      </w:r>
      <w:r>
        <w:rPr>
          <w:i/>
        </w:rPr>
        <w:tab/>
      </w:r>
      <w:r w:rsidR="009465C3">
        <w:t xml:space="preserve">Petr </w:t>
      </w:r>
      <w:proofErr w:type="spellStart"/>
      <w:r w:rsidR="009465C3">
        <w:t>Berlinov</w:t>
      </w:r>
      <w:proofErr w:type="spellEnd"/>
      <w:r w:rsidR="009465C3" w:rsidRPr="005B308B">
        <w:t xml:space="preserve"> </w:t>
      </w:r>
      <w:r w:rsidRPr="005B308B">
        <w:t>(not</w:t>
      </w:r>
      <w:r w:rsidR="00D66BCD">
        <w:t xml:space="preserve"> </w:t>
      </w:r>
      <w:r w:rsidRPr="005B308B">
        <w:t>represented by counsel)</w:t>
      </w:r>
    </w:p>
    <w:p w14:paraId="11F5FB19" w14:textId="77777777" w:rsidR="00AE7DAA" w:rsidRPr="008F7164" w:rsidRDefault="00AE7DAA" w:rsidP="00D66BCD">
      <w:pPr>
        <w:pStyle w:val="SingleTxtG"/>
        <w:ind w:left="4536" w:hanging="3402"/>
        <w:jc w:val="left"/>
        <w:rPr>
          <w:iCs/>
        </w:rPr>
      </w:pPr>
      <w:r>
        <w:rPr>
          <w:i/>
        </w:rPr>
        <w:t>Alleged victim</w:t>
      </w:r>
      <w:r w:rsidRPr="00FD511F">
        <w:rPr>
          <w:i/>
        </w:rPr>
        <w:t>:</w:t>
      </w:r>
      <w:r w:rsidRPr="00FD511F">
        <w:rPr>
          <w:i/>
        </w:rPr>
        <w:tab/>
      </w:r>
      <w:r w:rsidRPr="002F3906">
        <w:t>The author</w:t>
      </w:r>
    </w:p>
    <w:p w14:paraId="24AEA981" w14:textId="77777777" w:rsidR="00AE7DAA" w:rsidRDefault="00AE7DAA" w:rsidP="00D66BCD">
      <w:pPr>
        <w:pStyle w:val="SingleTxtG"/>
        <w:ind w:left="4536" w:hanging="3402"/>
        <w:jc w:val="left"/>
      </w:pPr>
      <w:r>
        <w:rPr>
          <w:i/>
        </w:rPr>
        <w:t>State party</w:t>
      </w:r>
      <w:r w:rsidRPr="00FD511F">
        <w:rPr>
          <w:i/>
        </w:rPr>
        <w:t>:</w:t>
      </w:r>
      <w:r w:rsidRPr="00FD511F">
        <w:rPr>
          <w:i/>
        </w:rPr>
        <w:tab/>
      </w:r>
      <w:r w:rsidR="009465C3">
        <w:t>Belarus</w:t>
      </w:r>
    </w:p>
    <w:p w14:paraId="5BA96EE9" w14:textId="77777777" w:rsidR="00AE7DAA" w:rsidRDefault="00AE7DAA" w:rsidP="00D66BCD">
      <w:pPr>
        <w:pStyle w:val="SingleTxtG"/>
        <w:ind w:left="4536" w:hanging="3402"/>
        <w:jc w:val="left"/>
      </w:pPr>
      <w:r w:rsidRPr="00FD511F">
        <w:rPr>
          <w:i/>
        </w:rPr>
        <w:t xml:space="preserve">Date </w:t>
      </w:r>
      <w:r>
        <w:rPr>
          <w:i/>
        </w:rPr>
        <w:t>of communication</w:t>
      </w:r>
      <w:r w:rsidRPr="00FD511F">
        <w:rPr>
          <w:i/>
        </w:rPr>
        <w:t>:</w:t>
      </w:r>
      <w:r w:rsidRPr="00FD511F">
        <w:rPr>
          <w:i/>
        </w:rPr>
        <w:tab/>
      </w:r>
      <w:r w:rsidR="009465C3" w:rsidRPr="009465C3">
        <w:t>18 March 2015</w:t>
      </w:r>
      <w:r w:rsidRPr="007A5A59">
        <w:rPr>
          <w:color w:val="FF0000"/>
        </w:rPr>
        <w:t xml:space="preserve"> </w:t>
      </w:r>
      <w:r w:rsidRPr="002F3906">
        <w:t>(initial submission)</w:t>
      </w:r>
    </w:p>
    <w:p w14:paraId="0E10D191" w14:textId="77777777" w:rsidR="00AE7DAA" w:rsidRDefault="00AE7DAA" w:rsidP="00D66BCD">
      <w:pPr>
        <w:pStyle w:val="SingleTxtG"/>
        <w:ind w:left="4536" w:hanging="3402"/>
        <w:jc w:val="left"/>
      </w:pPr>
      <w:r>
        <w:rPr>
          <w:i/>
        </w:rPr>
        <w:t>Document references</w:t>
      </w:r>
      <w:r w:rsidRPr="00FD511F">
        <w:rPr>
          <w:i/>
        </w:rPr>
        <w:t>:</w:t>
      </w:r>
      <w:r w:rsidRPr="00FD511F">
        <w:rPr>
          <w:i/>
        </w:rPr>
        <w:tab/>
      </w:r>
      <w:r w:rsidRPr="002F3906">
        <w:t>Decision taken pursuant to rule 9</w:t>
      </w:r>
      <w:r>
        <w:t>2</w:t>
      </w:r>
      <w:r w:rsidRPr="002F3906">
        <w:t xml:space="preserve"> of the Committee’s rules of procedure, transmitted to the State party on </w:t>
      </w:r>
      <w:r w:rsidR="009465C3">
        <w:t>21 December 2015</w:t>
      </w:r>
      <w:r w:rsidRPr="007A5A59">
        <w:rPr>
          <w:color w:val="FF0000"/>
        </w:rPr>
        <w:t xml:space="preserve"> </w:t>
      </w:r>
      <w:r w:rsidRPr="002F3906">
        <w:t>(not issued in</w:t>
      </w:r>
      <w:r w:rsidR="00D66BCD">
        <w:t xml:space="preserve"> </w:t>
      </w:r>
      <w:r w:rsidRPr="002F3906">
        <w:t>document form)</w:t>
      </w:r>
    </w:p>
    <w:p w14:paraId="364450E3" w14:textId="5ECD6531" w:rsidR="00AE7DAA" w:rsidRDefault="00AE7DAA" w:rsidP="00D66BCD">
      <w:pPr>
        <w:pStyle w:val="SingleTxtG"/>
        <w:ind w:left="4536" w:hanging="3402"/>
        <w:jc w:val="left"/>
      </w:pPr>
      <w:r w:rsidRPr="00FD511F">
        <w:rPr>
          <w:i/>
        </w:rPr>
        <w:t xml:space="preserve">Date </w:t>
      </w:r>
      <w:r>
        <w:rPr>
          <w:i/>
        </w:rPr>
        <w:t>of adoption of Views</w:t>
      </w:r>
      <w:r w:rsidRPr="00FD511F">
        <w:rPr>
          <w:i/>
        </w:rPr>
        <w:t>:</w:t>
      </w:r>
      <w:r w:rsidRPr="00FD511F">
        <w:rPr>
          <w:i/>
        </w:rPr>
        <w:tab/>
      </w:r>
      <w:r w:rsidR="002B10DF">
        <w:t>18</w:t>
      </w:r>
      <w:r w:rsidR="009465C3">
        <w:t xml:space="preserve"> </w:t>
      </w:r>
      <w:r w:rsidR="003E6B40">
        <w:t xml:space="preserve">October </w:t>
      </w:r>
      <w:r w:rsidR="009465C3">
        <w:t>2021</w:t>
      </w:r>
    </w:p>
    <w:p w14:paraId="75DFEA8E" w14:textId="443A26CC" w:rsidR="00AE7DAA" w:rsidRPr="009465C3" w:rsidRDefault="00AE7DAA" w:rsidP="00D66BCD">
      <w:pPr>
        <w:pStyle w:val="SingleTxtG"/>
        <w:ind w:left="4536" w:hanging="3402"/>
        <w:jc w:val="left"/>
      </w:pPr>
      <w:proofErr w:type="spellStart"/>
      <w:r w:rsidRPr="009465C3">
        <w:rPr>
          <w:i/>
          <w:iCs/>
        </w:rPr>
        <w:t>ubject</w:t>
      </w:r>
      <w:proofErr w:type="spellEnd"/>
      <w:r w:rsidRPr="009465C3">
        <w:rPr>
          <w:i/>
          <w:iCs/>
        </w:rPr>
        <w:t xml:space="preserve"> matter:</w:t>
      </w:r>
      <w:r w:rsidRPr="009465C3">
        <w:rPr>
          <w:i/>
        </w:rPr>
        <w:tab/>
      </w:r>
      <w:r w:rsidR="009465C3" w:rsidRPr="009465C3">
        <w:t xml:space="preserve">Holding the author responsible under the administrative procedure for participating in an unauthorized peaceful assembly </w:t>
      </w:r>
    </w:p>
    <w:p w14:paraId="2A363E7A" w14:textId="6F96391A" w:rsidR="00AE7DAA" w:rsidRPr="005D4B27" w:rsidRDefault="00AE7DAA" w:rsidP="00D66BCD">
      <w:pPr>
        <w:pStyle w:val="SingleTxtG"/>
        <w:ind w:left="4536" w:hanging="3402"/>
        <w:jc w:val="left"/>
      </w:pPr>
      <w:r>
        <w:rPr>
          <w:i/>
          <w:iCs/>
        </w:rPr>
        <w:t xml:space="preserve">Procedural </w:t>
      </w:r>
      <w:r w:rsidRPr="005D4B27">
        <w:rPr>
          <w:i/>
          <w:iCs/>
        </w:rPr>
        <w:t>issues</w:t>
      </w:r>
      <w:r w:rsidRPr="005D4B27">
        <w:rPr>
          <w:i/>
        </w:rPr>
        <w:t>:</w:t>
      </w:r>
      <w:r w:rsidRPr="00520464">
        <w:rPr>
          <w:i/>
          <w:iCs/>
        </w:rPr>
        <w:tab/>
      </w:r>
      <w:r w:rsidRPr="005D4B27">
        <w:t>Exhaustion of domestic remedies</w:t>
      </w:r>
      <w:r w:rsidR="00444FE5" w:rsidRPr="005D4B27">
        <w:t xml:space="preserve">; </w:t>
      </w:r>
      <w:r w:rsidR="005D4B27">
        <w:t>s</w:t>
      </w:r>
      <w:r w:rsidR="00444FE5" w:rsidRPr="005D4B27">
        <w:t>ubstantiation of claims</w:t>
      </w:r>
      <w:r w:rsidR="00F77399">
        <w:t xml:space="preserve">; </w:t>
      </w:r>
      <w:proofErr w:type="spellStart"/>
      <w:r w:rsidR="00F77399">
        <w:t>ratione</w:t>
      </w:r>
      <w:proofErr w:type="spellEnd"/>
      <w:r w:rsidR="00F77399">
        <w:t xml:space="preserve"> </w:t>
      </w:r>
      <w:proofErr w:type="spellStart"/>
      <w:r w:rsidR="00F77399">
        <w:t>materiae</w:t>
      </w:r>
      <w:proofErr w:type="spellEnd"/>
    </w:p>
    <w:p w14:paraId="7E078F94" w14:textId="77777777" w:rsidR="00AE7DAA" w:rsidRDefault="00AE7DAA" w:rsidP="00D66BCD">
      <w:pPr>
        <w:pStyle w:val="SingleTxtG"/>
        <w:ind w:left="4536" w:hanging="3402"/>
        <w:jc w:val="left"/>
      </w:pPr>
      <w:r w:rsidRPr="005D4B27">
        <w:rPr>
          <w:i/>
          <w:iCs/>
        </w:rPr>
        <w:lastRenderedPageBreak/>
        <w:t>Substantive issues:</w:t>
      </w:r>
      <w:r w:rsidRPr="005D4B27">
        <w:rPr>
          <w:i/>
          <w:iCs/>
        </w:rPr>
        <w:tab/>
      </w:r>
      <w:r w:rsidR="00812044" w:rsidRPr="005D4B27">
        <w:rPr>
          <w:iCs/>
        </w:rPr>
        <w:t>Unlawful detention</w:t>
      </w:r>
      <w:r w:rsidR="00812044" w:rsidRPr="005D4B27">
        <w:rPr>
          <w:i/>
          <w:iCs/>
        </w:rPr>
        <w:t xml:space="preserve">; </w:t>
      </w:r>
      <w:r w:rsidR="00812044" w:rsidRPr="005D4B27">
        <w:t>r</w:t>
      </w:r>
      <w:r w:rsidRPr="005D4B27">
        <w:t xml:space="preserve">ight to </w:t>
      </w:r>
      <w:r w:rsidR="00444FE5" w:rsidRPr="005D4B27">
        <w:t>a fair trial; freedom</w:t>
      </w:r>
      <w:r w:rsidR="00444FE5" w:rsidRPr="002F3906">
        <w:t xml:space="preserve"> of opinion and expression</w:t>
      </w:r>
      <w:r w:rsidR="00444FE5">
        <w:t xml:space="preserve">; </w:t>
      </w:r>
      <w:r w:rsidRPr="002F3906">
        <w:t>freedom of assembly</w:t>
      </w:r>
    </w:p>
    <w:p w14:paraId="031C28FD" w14:textId="77777777" w:rsidR="00AE7DAA" w:rsidRDefault="00AE7DAA" w:rsidP="00D66BCD">
      <w:pPr>
        <w:pStyle w:val="SingleTxtG"/>
        <w:ind w:left="4536" w:hanging="3402"/>
        <w:jc w:val="left"/>
      </w:pPr>
      <w:r>
        <w:rPr>
          <w:i/>
          <w:iCs/>
        </w:rPr>
        <w:t>Article</w:t>
      </w:r>
      <w:r w:rsidRPr="00444FE5">
        <w:rPr>
          <w:i/>
          <w:iCs/>
        </w:rPr>
        <w:t>s</w:t>
      </w:r>
      <w:r>
        <w:rPr>
          <w:i/>
          <w:iCs/>
        </w:rPr>
        <w:t xml:space="preserve"> of the Covenant</w:t>
      </w:r>
      <w:r w:rsidRPr="00E613A9">
        <w:rPr>
          <w:i/>
        </w:rPr>
        <w:t>:</w:t>
      </w:r>
      <w:r>
        <w:rPr>
          <w:i/>
          <w:iCs/>
        </w:rPr>
        <w:tab/>
      </w:r>
      <w:r w:rsidR="00812044">
        <w:rPr>
          <w:iCs/>
        </w:rPr>
        <w:t xml:space="preserve">9 (1) and (3); </w:t>
      </w:r>
      <w:r w:rsidR="00444FE5">
        <w:rPr>
          <w:iCs/>
        </w:rPr>
        <w:t>14 (1); 19 (1) and (2) and 21</w:t>
      </w:r>
    </w:p>
    <w:p w14:paraId="6A5D2E13" w14:textId="49E47C06" w:rsidR="00AE7DAA" w:rsidRDefault="00AE7DAA" w:rsidP="00D66BCD">
      <w:pPr>
        <w:pStyle w:val="SingleTxtG"/>
        <w:ind w:left="4536" w:hanging="3402"/>
        <w:jc w:val="left"/>
      </w:pPr>
      <w:r>
        <w:rPr>
          <w:i/>
          <w:iCs/>
        </w:rPr>
        <w:t>Article</w:t>
      </w:r>
      <w:r w:rsidR="005D4B27">
        <w:rPr>
          <w:i/>
          <w:iCs/>
        </w:rPr>
        <w:t>s</w:t>
      </w:r>
      <w:r>
        <w:rPr>
          <w:i/>
          <w:iCs/>
        </w:rPr>
        <w:t xml:space="preserve"> of the Optional Protocol:</w:t>
      </w:r>
      <w:r>
        <w:rPr>
          <w:i/>
          <w:iCs/>
        </w:rPr>
        <w:tab/>
      </w:r>
      <w:r w:rsidR="00444FE5" w:rsidRPr="005D4B27">
        <w:rPr>
          <w:iCs/>
        </w:rPr>
        <w:t>2</w:t>
      </w:r>
      <w:r w:rsidR="00F77399">
        <w:rPr>
          <w:iCs/>
        </w:rPr>
        <w:t>; 3</w:t>
      </w:r>
      <w:r w:rsidR="00444FE5" w:rsidRPr="005D4B27">
        <w:rPr>
          <w:iCs/>
        </w:rPr>
        <w:t xml:space="preserve"> and </w:t>
      </w:r>
      <w:r w:rsidR="00444FE5" w:rsidRPr="005D4B27">
        <w:t>5 (2) (b)</w:t>
      </w:r>
    </w:p>
    <w:p w14:paraId="13BD89A4" w14:textId="01851A96" w:rsidR="00D66BCD" w:rsidRPr="00D66BCD" w:rsidRDefault="00D66BCD" w:rsidP="00BE3A16">
      <w:pPr>
        <w:pStyle w:val="SingleTxtG"/>
        <w:spacing w:before="240"/>
      </w:pPr>
    </w:p>
    <w:p w14:paraId="695610EC" w14:textId="77777777" w:rsidR="00D66BCD" w:rsidRPr="00D66BCD" w:rsidRDefault="00D66BCD" w:rsidP="00D66BCD">
      <w:pPr>
        <w:pStyle w:val="SingleTxtG"/>
      </w:pPr>
      <w:r w:rsidRPr="00D66BCD">
        <w:t>1.</w:t>
      </w:r>
      <w:r w:rsidRPr="00D66BCD">
        <w:tab/>
        <w:t xml:space="preserve">The author of the communication is </w:t>
      </w:r>
      <w:r w:rsidR="00444FE5">
        <w:t xml:space="preserve">Petr </w:t>
      </w:r>
      <w:proofErr w:type="spellStart"/>
      <w:r w:rsidR="00444FE5">
        <w:t>Berlinov</w:t>
      </w:r>
      <w:proofErr w:type="spellEnd"/>
      <w:r w:rsidRPr="00D66BCD">
        <w:t xml:space="preserve">, a national of </w:t>
      </w:r>
      <w:r w:rsidR="00444FE5">
        <w:t xml:space="preserve">Belarus </w:t>
      </w:r>
      <w:r w:rsidRPr="00D66BCD">
        <w:t xml:space="preserve">born </w:t>
      </w:r>
      <w:r w:rsidR="00D34EF2">
        <w:t>in 1964</w:t>
      </w:r>
      <w:r w:rsidRPr="00D34EF2">
        <w:t>. He</w:t>
      </w:r>
      <w:r w:rsidR="00D34EF2" w:rsidRPr="00D34EF2">
        <w:t xml:space="preserve"> </w:t>
      </w:r>
      <w:r w:rsidRPr="00D34EF2">
        <w:t xml:space="preserve">claims that the State party has violated his rights </w:t>
      </w:r>
      <w:r w:rsidRPr="00D66BCD">
        <w:t xml:space="preserve">under articles </w:t>
      </w:r>
      <w:r w:rsidR="00812044">
        <w:t xml:space="preserve">9 (1) and (3), </w:t>
      </w:r>
      <w:r w:rsidR="00D34EF2">
        <w:t>14 (1), 19 (1) and (2) and 21</w:t>
      </w:r>
      <w:r w:rsidR="00CF276E">
        <w:t xml:space="preserve"> </w:t>
      </w:r>
      <w:r w:rsidRPr="00D66BCD">
        <w:t xml:space="preserve">of the Covenant. The Optional Protocol entered into force for the State party on </w:t>
      </w:r>
      <w:r w:rsidR="00D34EF2">
        <w:t>30 December 1992</w:t>
      </w:r>
      <w:r w:rsidRPr="00D66BCD">
        <w:t>. The author is not represented</w:t>
      </w:r>
      <w:r w:rsidRPr="00733D13">
        <w:rPr>
          <w:color w:val="FF0000"/>
        </w:rPr>
        <w:t xml:space="preserve"> </w:t>
      </w:r>
      <w:r w:rsidRPr="00D66BCD">
        <w:t>by counsel.</w:t>
      </w:r>
    </w:p>
    <w:p w14:paraId="25D41E5B" w14:textId="41B99810" w:rsidR="00D66BCD" w:rsidRDefault="00D34EF2" w:rsidP="00D34EF2">
      <w:pPr>
        <w:pStyle w:val="H23G"/>
        <w:ind w:left="0" w:firstLine="0"/>
      </w:pPr>
      <w:r>
        <w:tab/>
      </w:r>
      <w:r>
        <w:tab/>
      </w:r>
      <w:r w:rsidR="00363A7C" w:rsidRPr="00363A7C">
        <w:t>Factual background</w:t>
      </w:r>
      <w:r w:rsidR="00363A7C" w:rsidRPr="00363A7C">
        <w:rPr>
          <w:b w:val="0"/>
          <w:sz w:val="18"/>
          <w:vertAlign w:val="superscript"/>
        </w:rPr>
        <w:footnoteReference w:id="3"/>
      </w:r>
    </w:p>
    <w:p w14:paraId="559D3CC2" w14:textId="6EB6BAD8" w:rsidR="00D34EF2" w:rsidRDefault="00D34EF2" w:rsidP="00FD4706">
      <w:pPr>
        <w:pStyle w:val="SingleTxtG"/>
      </w:pPr>
      <w:r>
        <w:t>2.1</w:t>
      </w:r>
      <w:r>
        <w:tab/>
      </w:r>
      <w:r w:rsidR="00812044" w:rsidRPr="00A1670F">
        <w:t>The author is a journalist and a member of the Association of Journalists of Belarus. On 5 November 2014, the author</w:t>
      </w:r>
      <w:r w:rsidR="00067542">
        <w:t>,</w:t>
      </w:r>
      <w:r w:rsidR="00812044" w:rsidRPr="00A1670F">
        <w:t xml:space="preserve"> together with other members of a local branch of the association in Vitebsk</w:t>
      </w:r>
      <w:r w:rsidR="00067542">
        <w:t>,</w:t>
      </w:r>
      <w:r w:rsidR="00812044" w:rsidRPr="00A1670F">
        <w:t xml:space="preserve"> took part in a gathering in support of the world solidarity campaign “Stand up for journalism”. The participants took photographs while standing in front of a graffiti wall and releasing paper birds from paper cages that symbolised the oppressed journalistic freedoms. On 6 November 2014, the</w:t>
      </w:r>
      <w:r w:rsidR="00016571">
        <w:t>se</w:t>
      </w:r>
      <w:r w:rsidR="00812044" w:rsidRPr="00A1670F">
        <w:t xml:space="preserve"> photographs and accompanying articles were posted on the websites of </w:t>
      </w:r>
      <w:r w:rsidR="00484BC5">
        <w:t xml:space="preserve">the </w:t>
      </w:r>
      <w:r w:rsidR="00812044" w:rsidRPr="00A1670F">
        <w:t>human rights centre “</w:t>
      </w:r>
      <w:proofErr w:type="spellStart"/>
      <w:r w:rsidR="00812044" w:rsidRPr="00A1670F">
        <w:t>V</w:t>
      </w:r>
      <w:r w:rsidR="00016571">
        <w:t>ia</w:t>
      </w:r>
      <w:r w:rsidR="00812044" w:rsidRPr="00A1670F">
        <w:t>sna</w:t>
      </w:r>
      <w:proofErr w:type="spellEnd"/>
      <w:r w:rsidR="00812044" w:rsidRPr="00A1670F">
        <w:t>”</w:t>
      </w:r>
      <w:r w:rsidR="00812044" w:rsidRPr="00F81C8C">
        <w:rPr>
          <w:vertAlign w:val="superscript"/>
        </w:rPr>
        <w:footnoteReference w:id="4"/>
      </w:r>
      <w:r w:rsidR="00812044" w:rsidRPr="006A03C0">
        <w:t xml:space="preserve"> </w:t>
      </w:r>
      <w:r w:rsidR="00812044" w:rsidRPr="00A1670F">
        <w:t>and the Association of Journalists</w:t>
      </w:r>
      <w:r w:rsidR="00812044">
        <w:t>.</w:t>
      </w:r>
      <w:r w:rsidR="00812044" w:rsidRPr="006A03C0">
        <w:rPr>
          <w:vertAlign w:val="superscript"/>
        </w:rPr>
        <w:footnoteReference w:id="5"/>
      </w:r>
    </w:p>
    <w:p w14:paraId="0C30C50F" w14:textId="2E770FAE" w:rsidR="00FD4706" w:rsidRDefault="00CF276E" w:rsidP="00FD4706">
      <w:pPr>
        <w:pStyle w:val="SingleTxtG"/>
      </w:pPr>
      <w:r>
        <w:t>2.2</w:t>
      </w:r>
      <w:r>
        <w:tab/>
      </w:r>
      <w:r w:rsidRPr="00CF276E">
        <w:t xml:space="preserve">On 13 November 2014, the </w:t>
      </w:r>
      <w:r w:rsidR="00016571">
        <w:t>D</w:t>
      </w:r>
      <w:r w:rsidRPr="00CF276E">
        <w:t xml:space="preserve">epartment of the Ministry of Internal Affairs of the Vitebsk Regional Executive Committee informed the </w:t>
      </w:r>
      <w:r w:rsidR="00016571">
        <w:t>D</w:t>
      </w:r>
      <w:r w:rsidRPr="00CF276E">
        <w:t xml:space="preserve">epartment of the Ministry of Internal Affairs for </w:t>
      </w:r>
      <w:proofErr w:type="spellStart"/>
      <w:r w:rsidRPr="00CF276E">
        <w:t>Zheleznodorozhny</w:t>
      </w:r>
      <w:proofErr w:type="spellEnd"/>
      <w:r w:rsidRPr="00CF276E">
        <w:t xml:space="preserve"> District in Vitebsk that, in the course of monitoring of Internet websites co</w:t>
      </w:r>
      <w:r w:rsidR="00484BC5">
        <w:t xml:space="preserve">ntent, the above photographs were </w:t>
      </w:r>
      <w:r w:rsidRPr="00CF276E">
        <w:t xml:space="preserve">discovered. The </w:t>
      </w:r>
      <w:r w:rsidR="00016571">
        <w:t>D</w:t>
      </w:r>
      <w:r w:rsidRPr="00CF276E">
        <w:t>epartment further noted that, based on the results of an inquiry conducted by its officials, one of the photographs depicted the author. On an unspec</w:t>
      </w:r>
      <w:r w:rsidR="00016571">
        <w:t>ified date, a police officer dre</w:t>
      </w:r>
      <w:r w:rsidRPr="00CF276E">
        <w:t xml:space="preserve">w up a report charging the author with having committed an administrative offence under article 23.34 (1) (violation of the </w:t>
      </w:r>
      <w:r w:rsidR="00774DDC">
        <w:t xml:space="preserve">established </w:t>
      </w:r>
      <w:r w:rsidRPr="00CF276E">
        <w:t xml:space="preserve">procedure </w:t>
      </w:r>
      <w:r w:rsidR="00774DDC">
        <w:t xml:space="preserve">for </w:t>
      </w:r>
      <w:r w:rsidRPr="00CF276E">
        <w:t>or</w:t>
      </w:r>
      <w:r>
        <w:t xml:space="preserve">ganizing or holding </w:t>
      </w:r>
      <w:r w:rsidR="00774DDC">
        <w:t>a public event</w:t>
      </w:r>
      <w:r w:rsidRPr="00CF276E">
        <w:t>) of the Code on Administrative Offences of the Republic of Belarus</w:t>
      </w:r>
      <w:r>
        <w:t>.</w:t>
      </w:r>
    </w:p>
    <w:p w14:paraId="4604771D" w14:textId="6A59A86F" w:rsidR="00FD4706" w:rsidRDefault="00CF276E" w:rsidP="00FD4706">
      <w:pPr>
        <w:pStyle w:val="SingleTxtG"/>
      </w:pPr>
      <w:r>
        <w:t>2.3</w:t>
      </w:r>
      <w:r>
        <w:tab/>
      </w:r>
      <w:r w:rsidR="009E3FA3">
        <w:t xml:space="preserve">The author was apprehended </w:t>
      </w:r>
      <w:r w:rsidR="00016571">
        <w:t xml:space="preserve">at 5.59 p.m. </w:t>
      </w:r>
      <w:r w:rsidR="009E3FA3">
        <w:t xml:space="preserve">on </w:t>
      </w:r>
      <w:r w:rsidR="006F26D5">
        <w:t xml:space="preserve">Friday, </w:t>
      </w:r>
      <w:r w:rsidR="009E3FA3">
        <w:t>28 November</w:t>
      </w:r>
      <w:r w:rsidR="009E3FA3" w:rsidRPr="00E27D84">
        <w:t xml:space="preserve"> </w:t>
      </w:r>
      <w:r w:rsidR="006F26D5">
        <w:t xml:space="preserve">2014, </w:t>
      </w:r>
      <w:r w:rsidR="009E3FA3">
        <w:t xml:space="preserve">and </w:t>
      </w:r>
      <w:r w:rsidR="00016571">
        <w:t xml:space="preserve">placed </w:t>
      </w:r>
      <w:r w:rsidR="009E3FA3">
        <w:t xml:space="preserve">in a temporary detention facility until 1 p.m. on </w:t>
      </w:r>
      <w:r w:rsidR="006F26D5">
        <w:t xml:space="preserve">Monday, </w:t>
      </w:r>
      <w:r w:rsidR="009E3FA3">
        <w:t>1 December 2014.</w:t>
      </w:r>
    </w:p>
    <w:p w14:paraId="345A62E3" w14:textId="5668343B" w:rsidR="00FD4706" w:rsidRDefault="009E3FA3" w:rsidP="00FD4706">
      <w:pPr>
        <w:pStyle w:val="SingleTxtG"/>
      </w:pPr>
      <w:r>
        <w:t>2.4</w:t>
      </w:r>
      <w:r>
        <w:tab/>
        <w:t xml:space="preserve">On 3 December 2014, </w:t>
      </w:r>
      <w:proofErr w:type="spellStart"/>
      <w:r>
        <w:t>Zheleznodorozhny</w:t>
      </w:r>
      <w:proofErr w:type="spellEnd"/>
      <w:r>
        <w:t xml:space="preserve"> District Court of Vitebsk found the author guilty </w:t>
      </w:r>
      <w:r w:rsidR="00484BC5" w:rsidRPr="00F40B6F">
        <w:rPr>
          <w:lang w:eastAsia="en-GB"/>
        </w:rPr>
        <w:t>of an administrative offence under article 23.34</w:t>
      </w:r>
      <w:r w:rsidR="00484BC5">
        <w:rPr>
          <w:lang w:eastAsia="en-GB"/>
        </w:rPr>
        <w:t xml:space="preserve"> (</w:t>
      </w:r>
      <w:r w:rsidR="00484BC5" w:rsidRPr="00F40B6F">
        <w:rPr>
          <w:lang w:eastAsia="en-GB"/>
        </w:rPr>
        <w:t>1</w:t>
      </w:r>
      <w:r w:rsidR="00484BC5">
        <w:rPr>
          <w:lang w:eastAsia="en-GB"/>
        </w:rPr>
        <w:t>)</w:t>
      </w:r>
      <w:r w:rsidR="00484BC5" w:rsidRPr="00F40B6F">
        <w:rPr>
          <w:lang w:eastAsia="en-GB"/>
        </w:rPr>
        <w:t xml:space="preserve"> of the Code o</w:t>
      </w:r>
      <w:r w:rsidR="00484BC5">
        <w:rPr>
          <w:lang w:eastAsia="en-GB"/>
        </w:rPr>
        <w:t>f</w:t>
      </w:r>
      <w:r w:rsidR="00484BC5" w:rsidRPr="00F40B6F">
        <w:rPr>
          <w:lang w:eastAsia="en-GB"/>
        </w:rPr>
        <w:t xml:space="preserve"> Administrative Offences</w:t>
      </w:r>
      <w:r>
        <w:t xml:space="preserve">, having </w:t>
      </w:r>
      <w:r w:rsidR="00484BC5">
        <w:t xml:space="preserve">established </w:t>
      </w:r>
      <w:r>
        <w:t xml:space="preserve">that he </w:t>
      </w:r>
      <w:r w:rsidRPr="00132832">
        <w:t>had failed to obtain a prior authorization for holding the gathering</w:t>
      </w:r>
      <w:r w:rsidR="00570C3E">
        <w:t xml:space="preserve"> on 5 November 2014</w:t>
      </w:r>
      <w:r w:rsidRPr="00132832">
        <w:t xml:space="preserve">, and </w:t>
      </w:r>
      <w:r w:rsidR="00570C3E">
        <w:t xml:space="preserve">sanctioned him </w:t>
      </w:r>
      <w:r w:rsidR="0098005A">
        <w:t xml:space="preserve">with </w:t>
      </w:r>
      <w:r w:rsidRPr="00132832">
        <w:t>3 days</w:t>
      </w:r>
      <w:r w:rsidR="00570C3E">
        <w:t xml:space="preserve"> of </w:t>
      </w:r>
      <w:r w:rsidRPr="007E42FA">
        <w:t xml:space="preserve">administrative </w:t>
      </w:r>
      <w:r w:rsidR="00570C3E">
        <w:t>detention</w:t>
      </w:r>
      <w:r w:rsidRPr="007E42FA">
        <w:t xml:space="preserve">. The court further noted, however, that the author had </w:t>
      </w:r>
      <w:r w:rsidR="00570C3E">
        <w:t xml:space="preserve">already </w:t>
      </w:r>
      <w:r w:rsidRPr="007E42FA">
        <w:t xml:space="preserve">served </w:t>
      </w:r>
      <w:r>
        <w:t>the full term of his administrative detention.</w:t>
      </w:r>
    </w:p>
    <w:p w14:paraId="0A905FA8" w14:textId="57EE31C1" w:rsidR="00FD4706" w:rsidRDefault="009E3FA3" w:rsidP="00FD4706">
      <w:pPr>
        <w:pStyle w:val="SingleTxtG"/>
      </w:pPr>
      <w:r>
        <w:t>2.5</w:t>
      </w:r>
      <w:r>
        <w:tab/>
        <w:t>On 6 December 2014, the author submitted a cassation appeal to Vitebsk Regional Court. He did not admit guilt, maintaining that he had not planned to participate in the gathering</w:t>
      </w:r>
      <w:r w:rsidR="00570C3E">
        <w:t xml:space="preserve"> on 5 November 2014</w:t>
      </w:r>
      <w:r>
        <w:t xml:space="preserve">, but had merely approached his acquaintances in the crowd. While distancing himself from any opinions expressed by the participants of the gathering, the author claimed, however, a violation by the Republic of Belarus of his rights under articles 19 (1) and (2), 21 and 22 (1) of the Covenant. He further </w:t>
      </w:r>
      <w:r w:rsidR="00570C3E">
        <w:t xml:space="preserve">argued </w:t>
      </w:r>
      <w:r>
        <w:t xml:space="preserve">that, contrary to article 9 (1) and (3) of the Covenant, his detention had been arbitrary, as it had not been based on a court order and, moreover, </w:t>
      </w:r>
      <w:r w:rsidR="00570C3E">
        <w:t xml:space="preserve">it </w:t>
      </w:r>
      <w:r w:rsidRPr="00807034">
        <w:t xml:space="preserve">had not been justified by </w:t>
      </w:r>
      <w:r w:rsidR="006554FB">
        <w:t>the need</w:t>
      </w:r>
      <w:r w:rsidRPr="00807034">
        <w:t xml:space="preserve"> to protect any public interest</w:t>
      </w:r>
      <w:r>
        <w:t xml:space="preserve">. Lastly, </w:t>
      </w:r>
      <w:r w:rsidR="00570C3E">
        <w:t>t</w:t>
      </w:r>
      <w:r>
        <w:t xml:space="preserve">he </w:t>
      </w:r>
      <w:r w:rsidR="00570C3E">
        <w:t xml:space="preserve">author </w:t>
      </w:r>
      <w:r>
        <w:t xml:space="preserve">argued that the purpose of the </w:t>
      </w:r>
      <w:r w:rsidR="00570C3E">
        <w:t xml:space="preserve">sanction </w:t>
      </w:r>
      <w:r>
        <w:t xml:space="preserve">imposed on him was to </w:t>
      </w:r>
      <w:r w:rsidR="0098005A">
        <w:lastRenderedPageBreak/>
        <w:t xml:space="preserve">exonerate </w:t>
      </w:r>
      <w:r>
        <w:t xml:space="preserve">from </w:t>
      </w:r>
      <w:r w:rsidR="000A7AAB">
        <w:t>responsibility</w:t>
      </w:r>
      <w:r w:rsidR="000A7AAB" w:rsidRPr="000A7AAB">
        <w:t xml:space="preserve"> </w:t>
      </w:r>
      <w:r>
        <w:t>those police officers who had violated his rights by arbitrarily apprehending him. He claimed a violation of article 14 (1) of the Covenant in this respect.</w:t>
      </w:r>
    </w:p>
    <w:p w14:paraId="38781B48" w14:textId="7877C708" w:rsidR="003173C6" w:rsidRDefault="006F5261" w:rsidP="003173C6">
      <w:pPr>
        <w:pStyle w:val="SingleTxtG"/>
      </w:pPr>
      <w:r>
        <w:t>2.6</w:t>
      </w:r>
      <w:r>
        <w:tab/>
        <w:t xml:space="preserve">On 12 December 2014, Vitebsk Regional Court upheld on appeal the decision of </w:t>
      </w:r>
      <w:proofErr w:type="spellStart"/>
      <w:r w:rsidR="00570C3E">
        <w:t>Zheleznodorozhny</w:t>
      </w:r>
      <w:proofErr w:type="spellEnd"/>
      <w:r w:rsidR="00570C3E">
        <w:t xml:space="preserve"> District Court of Vitebsk</w:t>
      </w:r>
      <w:r>
        <w:t xml:space="preserve">. </w:t>
      </w:r>
      <w:r w:rsidR="00570C3E">
        <w:t xml:space="preserve">Vitebsk Regional Court </w:t>
      </w:r>
      <w:r>
        <w:t xml:space="preserve">did not assess whether the author’s detention was justified. On 6 February 2015, the author </w:t>
      </w:r>
      <w:r w:rsidR="001A7CAD">
        <w:t xml:space="preserve">submitted </w:t>
      </w:r>
      <w:r>
        <w:t xml:space="preserve">a request </w:t>
      </w:r>
      <w:r w:rsidR="001A7CAD">
        <w:t xml:space="preserve">to the Chair of Vitebsk Regional Court to initiate </w:t>
      </w:r>
      <w:r>
        <w:t xml:space="preserve">a supervisory review </w:t>
      </w:r>
      <w:r w:rsidR="001A7CAD">
        <w:t xml:space="preserve">of the earlier </w:t>
      </w:r>
      <w:r w:rsidR="00B8773A">
        <w:t xml:space="preserve">                </w:t>
      </w:r>
      <w:r w:rsidR="001A7CAD">
        <w:t xml:space="preserve">decisions. </w:t>
      </w:r>
      <w:r w:rsidR="008D6EA0">
        <w:t xml:space="preserve">On </w:t>
      </w:r>
      <w:r>
        <w:t>11 March 2015</w:t>
      </w:r>
      <w:r w:rsidR="008D6EA0">
        <w:t xml:space="preserve">, the Acting Chair of Vitebsk Regional Court </w:t>
      </w:r>
      <w:r w:rsidR="00D02D88" w:rsidRPr="00F40B6F">
        <w:rPr>
          <w:lang w:eastAsia="en-GB"/>
        </w:rPr>
        <w:t xml:space="preserve">concluded that there </w:t>
      </w:r>
      <w:r w:rsidR="00D02D88">
        <w:rPr>
          <w:lang w:eastAsia="en-GB"/>
        </w:rPr>
        <w:t xml:space="preserve">were </w:t>
      </w:r>
      <w:r w:rsidR="00D02D88" w:rsidRPr="00F40B6F">
        <w:rPr>
          <w:lang w:eastAsia="en-GB"/>
        </w:rPr>
        <w:t xml:space="preserve">no grounds on which to initiate a supervisory review. </w:t>
      </w:r>
      <w:r>
        <w:t xml:space="preserve">On 18 March 2015, the author submitted a request </w:t>
      </w:r>
      <w:r w:rsidR="00D02D88">
        <w:t xml:space="preserve">to the Chair of the Supreme Court to initiate </w:t>
      </w:r>
      <w:r>
        <w:t xml:space="preserve">a supervisory review </w:t>
      </w:r>
      <w:r w:rsidR="00D02D88">
        <w:t xml:space="preserve">of the earlier decisions, </w:t>
      </w:r>
      <w:r>
        <w:t>which was rejected on 29 April 2015.</w:t>
      </w:r>
      <w:r w:rsidR="00D02D88" w:rsidRPr="00D02D88">
        <w:t xml:space="preserve"> </w:t>
      </w:r>
      <w:r w:rsidR="00D02D88" w:rsidRPr="00C14FB7">
        <w:t>The author submits that he has thus exhausted all available domestic remedies.</w:t>
      </w:r>
    </w:p>
    <w:p w14:paraId="7C337269" w14:textId="14BAA121" w:rsidR="00D34EF2" w:rsidRPr="003173C6" w:rsidRDefault="00591CAA" w:rsidP="00042CA7">
      <w:pPr>
        <w:pStyle w:val="H23G"/>
      </w:pPr>
      <w:r>
        <w:tab/>
      </w:r>
      <w:r w:rsidR="00D34EF2">
        <w:tab/>
      </w:r>
      <w:r w:rsidR="00D34EF2" w:rsidRPr="003173C6">
        <w:t>Complaint</w:t>
      </w:r>
    </w:p>
    <w:p w14:paraId="5CB91FFA" w14:textId="0C9F9028" w:rsidR="00D34EF2" w:rsidRDefault="00D34EF2" w:rsidP="00FD4706">
      <w:pPr>
        <w:pStyle w:val="SingleTxtG"/>
      </w:pPr>
      <w:r>
        <w:t>3.1</w:t>
      </w:r>
      <w:r>
        <w:tab/>
      </w:r>
      <w:r w:rsidR="00B714DC" w:rsidRPr="0012558F">
        <w:t xml:space="preserve">The author claims </w:t>
      </w:r>
      <w:r w:rsidR="00B714DC">
        <w:t xml:space="preserve">that his 3-day detention </w:t>
      </w:r>
      <w:r w:rsidR="006554FB">
        <w:t xml:space="preserve">in the framework of the administrative proceedings </w:t>
      </w:r>
      <w:r w:rsidR="00B714DC">
        <w:t xml:space="preserve">was arbitrary and, therefore, amounted to a violation of his rights under article 9 (1) and (3) of the Covenant. He argues, in particular, that his detention was </w:t>
      </w:r>
      <w:r w:rsidR="00534771">
        <w:t xml:space="preserve">neither </w:t>
      </w:r>
      <w:r w:rsidR="00B714DC">
        <w:t xml:space="preserve">based on a court order </w:t>
      </w:r>
      <w:r w:rsidR="00534771">
        <w:t xml:space="preserve">nor </w:t>
      </w:r>
      <w:r w:rsidR="00B714DC">
        <w:t xml:space="preserve">justified by </w:t>
      </w:r>
      <w:r w:rsidR="006554FB">
        <w:t>the</w:t>
      </w:r>
      <w:r w:rsidR="00B714DC">
        <w:t xml:space="preserve"> ne</w:t>
      </w:r>
      <w:r w:rsidR="006554FB">
        <w:t>ed</w:t>
      </w:r>
      <w:r w:rsidR="00B714DC">
        <w:t xml:space="preserve"> to protect any public interest or the rights of others. He further maintains that </w:t>
      </w:r>
      <w:r w:rsidR="00D7471A">
        <w:t xml:space="preserve">the sanction imposed on him </w:t>
      </w:r>
      <w:r w:rsidR="00846F13">
        <w:t>retrospectively</w:t>
      </w:r>
      <w:r w:rsidR="00D7471A">
        <w:t xml:space="preserve"> was disproportionate to </w:t>
      </w:r>
      <w:r w:rsidR="00B714DC">
        <w:t xml:space="preserve">the </w:t>
      </w:r>
      <w:r w:rsidR="00D7471A">
        <w:t xml:space="preserve">gravity of the administrative </w:t>
      </w:r>
      <w:r w:rsidR="00B714DC">
        <w:t>offence allegedly committed</w:t>
      </w:r>
      <w:r w:rsidR="00D7471A">
        <w:t xml:space="preserve"> by him</w:t>
      </w:r>
      <w:r w:rsidR="00B714DC">
        <w:t>.</w:t>
      </w:r>
    </w:p>
    <w:p w14:paraId="450CA125" w14:textId="572DDC80" w:rsidR="00B714DC" w:rsidRDefault="00B714DC" w:rsidP="00FD4706">
      <w:pPr>
        <w:pStyle w:val="SingleTxtG"/>
      </w:pPr>
      <w:r>
        <w:t>3.2</w:t>
      </w:r>
      <w:r w:rsidR="00392851">
        <w:tab/>
      </w:r>
      <w:r w:rsidR="00392851" w:rsidRPr="003A07F5">
        <w:t xml:space="preserve">The author </w:t>
      </w:r>
      <w:r w:rsidR="00392851">
        <w:t xml:space="preserve">also </w:t>
      </w:r>
      <w:r w:rsidR="00392851" w:rsidRPr="003A07F5">
        <w:t xml:space="preserve">claims to be a victim of a violation of his rights guaranteed under article </w:t>
      </w:r>
      <w:r w:rsidR="00392851">
        <w:t>14 (1</w:t>
      </w:r>
      <w:r w:rsidR="00392851" w:rsidRPr="003A07F5">
        <w:t>) of the Covenant</w:t>
      </w:r>
      <w:r w:rsidR="00392851">
        <w:t xml:space="preserve">, since </w:t>
      </w:r>
      <w:r w:rsidR="00D7471A">
        <w:t xml:space="preserve">the administrative proceedings in his case did not </w:t>
      </w:r>
      <w:r w:rsidR="007B0B77">
        <w:t xml:space="preserve">comply with </w:t>
      </w:r>
      <w:r w:rsidR="00D7471A">
        <w:t xml:space="preserve">fair trial </w:t>
      </w:r>
      <w:r w:rsidR="007B0B77">
        <w:t>guarantees</w:t>
      </w:r>
      <w:r w:rsidR="00D7471A">
        <w:t xml:space="preserve">. </w:t>
      </w:r>
      <w:r w:rsidR="00392851">
        <w:t xml:space="preserve">He submits </w:t>
      </w:r>
      <w:r w:rsidR="007B0B77">
        <w:t xml:space="preserve">in particular </w:t>
      </w:r>
      <w:r w:rsidR="00392851">
        <w:t xml:space="preserve">that the </w:t>
      </w:r>
      <w:r w:rsidR="007B0B77">
        <w:t xml:space="preserve">State party’s </w:t>
      </w:r>
      <w:r w:rsidR="00392851">
        <w:t>courts failed to duly assess the facts of the case and, therefore, failed in their duty of impartiality</w:t>
      </w:r>
      <w:r w:rsidR="007B0B77">
        <w:t xml:space="preserve"> and independence</w:t>
      </w:r>
      <w:r w:rsidR="00392851">
        <w:t xml:space="preserve">. </w:t>
      </w:r>
      <w:r w:rsidR="007B0B77">
        <w:t>The author</w:t>
      </w:r>
      <w:r w:rsidR="00392851">
        <w:t xml:space="preserve"> further contends that the </w:t>
      </w:r>
      <w:r w:rsidR="007B0B77">
        <w:t xml:space="preserve">sanction </w:t>
      </w:r>
      <w:r w:rsidR="00392851">
        <w:t>imposed on him</w:t>
      </w:r>
      <w:r w:rsidR="007B0B77">
        <w:t>, i.e. 3 days of administrative detention,</w:t>
      </w:r>
      <w:r w:rsidR="00392851">
        <w:t xml:space="preserve"> was more severe </w:t>
      </w:r>
      <w:r w:rsidR="007B0B77">
        <w:t xml:space="preserve">compared to those imposed on </w:t>
      </w:r>
      <w:r w:rsidR="00392851">
        <w:t>other participants of the gathering</w:t>
      </w:r>
      <w:r w:rsidR="007B0B77">
        <w:t xml:space="preserve"> on 5 November 2014, </w:t>
      </w:r>
      <w:r w:rsidR="000A7AAB">
        <w:t xml:space="preserve">since the latter were sanctioned </w:t>
      </w:r>
      <w:r w:rsidR="0023444D">
        <w:t xml:space="preserve">only </w:t>
      </w:r>
      <w:r w:rsidR="000A7AAB">
        <w:t xml:space="preserve">with </w:t>
      </w:r>
      <w:r w:rsidR="007B0B77">
        <w:t xml:space="preserve">administrative fines. </w:t>
      </w:r>
    </w:p>
    <w:p w14:paraId="108EF4CA" w14:textId="653C263C" w:rsidR="00BD1F8E" w:rsidRDefault="00BD1F8E" w:rsidP="00FD4706">
      <w:pPr>
        <w:pStyle w:val="SingleTxtG"/>
      </w:pPr>
      <w:r>
        <w:t>3.3</w:t>
      </w:r>
      <w:r>
        <w:tab/>
      </w:r>
      <w:r w:rsidR="0099796A">
        <w:t>T</w:t>
      </w:r>
      <w:r w:rsidRPr="001723DA">
        <w:t xml:space="preserve">he </w:t>
      </w:r>
      <w:r>
        <w:t xml:space="preserve">author </w:t>
      </w:r>
      <w:r w:rsidR="0099796A">
        <w:t xml:space="preserve">further </w:t>
      </w:r>
      <w:r>
        <w:t>submits</w:t>
      </w:r>
      <w:r w:rsidRPr="001723DA">
        <w:t xml:space="preserve"> that the State party has violated his rights under article</w:t>
      </w:r>
      <w:r>
        <w:t>s 19 and</w:t>
      </w:r>
      <w:r w:rsidRPr="001723DA">
        <w:t xml:space="preserve"> 21 of the Covenant</w:t>
      </w:r>
      <w:r>
        <w:t>,</w:t>
      </w:r>
      <w:r w:rsidRPr="001723DA">
        <w:t xml:space="preserve"> as </w:t>
      </w:r>
      <w:r>
        <w:t xml:space="preserve">the </w:t>
      </w:r>
      <w:r w:rsidR="0099796A">
        <w:t xml:space="preserve">sanction </w:t>
      </w:r>
      <w:r>
        <w:t xml:space="preserve">imposed on him </w:t>
      </w:r>
      <w:r w:rsidRPr="00080B36">
        <w:t xml:space="preserve">for expressing </w:t>
      </w:r>
      <w:r>
        <w:t>his</w:t>
      </w:r>
      <w:r w:rsidRPr="00080B36">
        <w:t xml:space="preserve"> opinion through participation in a peaceful </w:t>
      </w:r>
      <w:r>
        <w:t>assembly</w:t>
      </w:r>
      <w:r w:rsidRPr="00080B36">
        <w:t xml:space="preserve"> </w:t>
      </w:r>
      <w:r>
        <w:t>was</w:t>
      </w:r>
      <w:r w:rsidRPr="00080B36">
        <w:t xml:space="preserve"> not justified on the grounds set out in articles 19 (3) and 21 of the Covenant</w:t>
      </w:r>
      <w:r>
        <w:t>.</w:t>
      </w:r>
    </w:p>
    <w:p w14:paraId="5751B5E2" w14:textId="40F67F97" w:rsidR="00BD1F8E" w:rsidRDefault="00BD1F8E" w:rsidP="00FD4706">
      <w:pPr>
        <w:pStyle w:val="SingleTxtG"/>
      </w:pPr>
      <w:r>
        <w:t>3.4</w:t>
      </w:r>
      <w:r>
        <w:tab/>
      </w:r>
      <w:r w:rsidR="0099796A">
        <w:t>In the light of the foregoing, t</w:t>
      </w:r>
      <w:r>
        <w:t>he author asks the Committee to find a violation by the State party of his rights guaranteed under articles 9, 14, 19 and 21 of the Covenant</w:t>
      </w:r>
      <w:r w:rsidR="0099796A">
        <w:t>,</w:t>
      </w:r>
      <w:r>
        <w:t xml:space="preserve"> and to request the State party to </w:t>
      </w:r>
      <w:r w:rsidR="003173C6">
        <w:t xml:space="preserve">remedy the rights that have been violated in his case and to </w:t>
      </w:r>
      <w:r>
        <w:t xml:space="preserve">provide compensation </w:t>
      </w:r>
      <w:r w:rsidR="003173C6">
        <w:t xml:space="preserve">for </w:t>
      </w:r>
      <w:r>
        <w:t xml:space="preserve">moral </w:t>
      </w:r>
      <w:r w:rsidR="003173C6">
        <w:t>harm suffered</w:t>
      </w:r>
      <w:r>
        <w:t>.</w:t>
      </w:r>
    </w:p>
    <w:p w14:paraId="59B94917" w14:textId="77777777" w:rsidR="00D34EF2" w:rsidRDefault="00D34EF2" w:rsidP="00064BF9">
      <w:pPr>
        <w:pStyle w:val="H23G"/>
      </w:pPr>
      <w:r>
        <w:tab/>
      </w:r>
      <w:r>
        <w:tab/>
      </w:r>
      <w:r w:rsidRPr="00D34EF2">
        <w:t>State party’s observations on admissibility and the merits</w:t>
      </w:r>
    </w:p>
    <w:p w14:paraId="16FCD973" w14:textId="1570EEB9" w:rsidR="00BE0C2A" w:rsidRDefault="00D34EF2" w:rsidP="00064BF9">
      <w:pPr>
        <w:pStyle w:val="SingleTxtG"/>
      </w:pPr>
      <w:r w:rsidRPr="00D34EF2">
        <w:t>4.1</w:t>
      </w:r>
      <w:r w:rsidRPr="00D34EF2">
        <w:tab/>
      </w:r>
      <w:r w:rsidR="003173C6" w:rsidRPr="00381EF0">
        <w:t xml:space="preserve">In a note </w:t>
      </w:r>
      <w:proofErr w:type="spellStart"/>
      <w:r w:rsidR="003173C6" w:rsidRPr="00381EF0">
        <w:t>verbale</w:t>
      </w:r>
      <w:proofErr w:type="spellEnd"/>
      <w:r w:rsidR="003173C6" w:rsidRPr="00381EF0">
        <w:t xml:space="preserve"> dated 2</w:t>
      </w:r>
      <w:r w:rsidR="003173C6">
        <w:t>4 February 2016</w:t>
      </w:r>
      <w:r w:rsidR="003173C6" w:rsidRPr="00381EF0">
        <w:t>, the State party recalls the facts on which the present communication is based</w:t>
      </w:r>
      <w:r w:rsidR="003173C6">
        <w:t>,</w:t>
      </w:r>
      <w:r w:rsidR="003173C6" w:rsidRPr="00381EF0">
        <w:t xml:space="preserve"> and submits that</w:t>
      </w:r>
      <w:r w:rsidR="003173C6">
        <w:t xml:space="preserve">, on </w:t>
      </w:r>
      <w:r w:rsidR="004C5C69">
        <w:t xml:space="preserve">5 November 2014, </w:t>
      </w:r>
      <w:r w:rsidR="003173C6">
        <w:t xml:space="preserve">the author participated in </w:t>
      </w:r>
      <w:r w:rsidR="004C5C69">
        <w:t xml:space="preserve">a public event </w:t>
      </w:r>
      <w:r w:rsidR="004C5C69" w:rsidRPr="00064BF9">
        <w:t>conducted</w:t>
      </w:r>
      <w:r w:rsidR="004C5C69">
        <w:t xml:space="preserve"> in violation of the procedure </w:t>
      </w:r>
      <w:r w:rsidR="004C5C69" w:rsidRPr="00320C35">
        <w:t>established by the Public Events Acts of Belarus</w:t>
      </w:r>
      <w:r w:rsidR="00B634D5" w:rsidRPr="00B634D5">
        <w:t xml:space="preserve"> </w:t>
      </w:r>
      <w:r w:rsidR="00B634D5">
        <w:t>of 30 December 1997</w:t>
      </w:r>
      <w:r w:rsidR="004C5C69">
        <w:t xml:space="preserve">, </w:t>
      </w:r>
      <w:r w:rsidR="004C5C69" w:rsidRPr="000808A3">
        <w:t>and was subsequently held responsible under the administrative procedure.</w:t>
      </w:r>
      <w:r w:rsidR="006713AF">
        <w:t xml:space="preserve"> The legality and validity of holding the author responsible under the administrative procedure were </w:t>
      </w:r>
      <w:r w:rsidR="0074108C">
        <w:t>reviewed by the domestic courts on a number of occasions</w:t>
      </w:r>
      <w:r w:rsidR="007A63FC">
        <w:t xml:space="preserve">. </w:t>
      </w:r>
      <w:r w:rsidR="008A72D2">
        <w:t xml:space="preserve">The courts </w:t>
      </w:r>
      <w:r w:rsidR="00254689">
        <w:t xml:space="preserve">concluded that the author’s arguments regarding the alleged violations of international law in the course of administrative proceedings in his case were unfounded. </w:t>
      </w:r>
    </w:p>
    <w:p w14:paraId="2C02B13D" w14:textId="78DB1F56" w:rsidR="00B634D5" w:rsidRDefault="00112117" w:rsidP="005A75C2">
      <w:pPr>
        <w:pStyle w:val="SingleTxtG"/>
      </w:pPr>
      <w:r>
        <w:t>4.2</w:t>
      </w:r>
      <w:r>
        <w:tab/>
        <w:t xml:space="preserve">The State party submits that, pursuant to article 12.11 (3) of the </w:t>
      </w:r>
      <w:r w:rsidRPr="00CF276E">
        <w:t>Code on Administrative Offences</w:t>
      </w:r>
      <w:r>
        <w:t>, a decision that became executor</w:t>
      </w:r>
      <w:r w:rsidRPr="00112117">
        <w:t xml:space="preserve">y could be appealed under the </w:t>
      </w:r>
      <w:r>
        <w:t xml:space="preserve">supervisory review procedure within 6 months from the date on which the decision in question came into force. </w:t>
      </w:r>
      <w:r w:rsidR="009234EC">
        <w:t xml:space="preserve">The author, however, </w:t>
      </w:r>
      <w:r w:rsidR="009234EC" w:rsidRPr="00320C35">
        <w:t>did not apply for supervisory review of the domestic courts’ decisions to the</w:t>
      </w:r>
      <w:r w:rsidR="009234EC">
        <w:t xml:space="preserve"> </w:t>
      </w:r>
      <w:r w:rsidR="009234EC" w:rsidRPr="00320C35">
        <w:t>Prosecutor</w:t>
      </w:r>
      <w:r w:rsidR="009234EC">
        <w:t xml:space="preserve">’s Office and it could no longer be done </w:t>
      </w:r>
      <w:r w:rsidR="0023444D">
        <w:t xml:space="preserve">by him </w:t>
      </w:r>
      <w:r w:rsidR="009234EC">
        <w:t xml:space="preserve">due to the expiry of </w:t>
      </w:r>
      <w:r w:rsidR="0023444D">
        <w:t xml:space="preserve">a </w:t>
      </w:r>
      <w:r w:rsidR="009234EC">
        <w:t>6-month period established in article 12.11 (3)</w:t>
      </w:r>
      <w:r w:rsidR="009234EC" w:rsidRPr="009234EC">
        <w:t xml:space="preserve"> </w:t>
      </w:r>
      <w:r w:rsidR="009234EC">
        <w:t xml:space="preserve">of the </w:t>
      </w:r>
      <w:r w:rsidR="009234EC" w:rsidRPr="00CF276E">
        <w:t>Code on Administrative Offences</w:t>
      </w:r>
      <w:r w:rsidR="009234EC">
        <w:t xml:space="preserve">. </w:t>
      </w:r>
    </w:p>
    <w:p w14:paraId="0F6DBF6D" w14:textId="4D1EAE21" w:rsidR="00D34EF2" w:rsidRDefault="00B634D5" w:rsidP="005A75C2">
      <w:pPr>
        <w:pStyle w:val="SingleTxtG"/>
      </w:pPr>
      <w:r>
        <w:t>4.3</w:t>
      </w:r>
      <w:r>
        <w:tab/>
        <w:t xml:space="preserve">The State party </w:t>
      </w:r>
      <w:r w:rsidR="00BD1F8E">
        <w:t xml:space="preserve">maintains that, as required by article 14 of the Covenant, the author was </w:t>
      </w:r>
      <w:r>
        <w:t xml:space="preserve">given </w:t>
      </w:r>
      <w:r w:rsidR="00BD1F8E">
        <w:t xml:space="preserve">a fair hearing </w:t>
      </w:r>
      <w:r w:rsidR="00BD1F8E" w:rsidRPr="003A24E9">
        <w:t>by a competent, independent and impartial tribunal established by law</w:t>
      </w:r>
      <w:r w:rsidR="00BD1F8E">
        <w:t xml:space="preserve"> and his right to have </w:t>
      </w:r>
      <w:r>
        <w:t>a decision, holding him responsible under the administrative procedure,</w:t>
      </w:r>
      <w:r w:rsidR="00BD1F8E">
        <w:t xml:space="preserve"> reviewed by a higher tribunal </w:t>
      </w:r>
      <w:r>
        <w:t xml:space="preserve">was fully </w:t>
      </w:r>
      <w:r w:rsidR="00BD1F8E">
        <w:t xml:space="preserve">respected. </w:t>
      </w:r>
    </w:p>
    <w:p w14:paraId="68E91D85" w14:textId="5AFD659D" w:rsidR="00D34EF2" w:rsidRDefault="00B634D5" w:rsidP="001642FF">
      <w:pPr>
        <w:pStyle w:val="SingleTxtG"/>
      </w:pPr>
      <w:r>
        <w:t>4.4</w:t>
      </w:r>
      <w:r w:rsidR="00BD1F8E">
        <w:tab/>
        <w:t xml:space="preserve">The State party further argues that </w:t>
      </w:r>
      <w:r>
        <w:t xml:space="preserve">there was no violation of </w:t>
      </w:r>
      <w:r w:rsidR="00BD1F8E">
        <w:t>the author’s right to free</w:t>
      </w:r>
      <w:r>
        <w:t xml:space="preserve">dom of </w:t>
      </w:r>
      <w:r w:rsidR="00BD1F8E">
        <w:t xml:space="preserve">expression. </w:t>
      </w:r>
      <w:r w:rsidR="00BD1F8E" w:rsidRPr="005A75C2">
        <w:t xml:space="preserve">It asserts that </w:t>
      </w:r>
      <w:r w:rsidR="00BD1F8E">
        <w:t>the procedure for organizing and holding public events</w:t>
      </w:r>
      <w:r>
        <w:t xml:space="preserve">, established by </w:t>
      </w:r>
      <w:r w:rsidR="00BD1F8E" w:rsidRPr="00475BCE">
        <w:t>the Public</w:t>
      </w:r>
      <w:r w:rsidR="00BD1F8E">
        <w:t xml:space="preserve"> Events Act</w:t>
      </w:r>
      <w:r>
        <w:t>,</w:t>
      </w:r>
      <w:r w:rsidR="00BD1F8E">
        <w:t xml:space="preserve"> is</w:t>
      </w:r>
      <w:r w:rsidR="00BD1F8E" w:rsidRPr="00475BCE">
        <w:t xml:space="preserve"> aimed at </w:t>
      </w:r>
      <w:r w:rsidR="001642FF">
        <w:t xml:space="preserve">creating </w:t>
      </w:r>
      <w:r w:rsidR="00BD1F8E" w:rsidRPr="00475BCE">
        <w:t xml:space="preserve">conditions for </w:t>
      </w:r>
      <w:r w:rsidR="001642FF">
        <w:t xml:space="preserve">the </w:t>
      </w:r>
      <w:r w:rsidR="00BD1F8E">
        <w:t>exercis</w:t>
      </w:r>
      <w:r w:rsidR="001642FF">
        <w:t xml:space="preserve">e </w:t>
      </w:r>
      <w:r w:rsidR="00BD1F8E" w:rsidRPr="00475BCE">
        <w:t xml:space="preserve">of </w:t>
      </w:r>
      <w:r w:rsidR="001642FF">
        <w:t xml:space="preserve">citizens’ constitutional rights and freedoms, while ensuring public safety and order at the same time. </w:t>
      </w:r>
    </w:p>
    <w:p w14:paraId="521E6324" w14:textId="77777777" w:rsidR="00D34EF2" w:rsidRPr="00D34EF2" w:rsidRDefault="00D34EF2" w:rsidP="00064BF9">
      <w:pPr>
        <w:pStyle w:val="H23G"/>
      </w:pPr>
      <w:r>
        <w:tab/>
      </w:r>
      <w:r>
        <w:tab/>
      </w:r>
      <w:r w:rsidRPr="0023444D">
        <w:t>Author’s comments on the State party’s observations on admissibility and the merits</w:t>
      </w:r>
    </w:p>
    <w:p w14:paraId="6A8FFA35" w14:textId="56A46D8C" w:rsidR="00D34EF2" w:rsidRDefault="00D34EF2" w:rsidP="00064BF9">
      <w:pPr>
        <w:pStyle w:val="SingleTxtG"/>
      </w:pPr>
      <w:r>
        <w:t>5.1</w:t>
      </w:r>
      <w:r>
        <w:tab/>
      </w:r>
      <w:r w:rsidR="00CA6C53">
        <w:t xml:space="preserve">On 1 April 2016, the author submitted his comments on the State party’s observations. He notes that </w:t>
      </w:r>
      <w:r w:rsidR="00CA6C53" w:rsidRPr="00064BF9">
        <w:t>the</w:t>
      </w:r>
      <w:r w:rsidR="00CA6C53">
        <w:t xml:space="preserve"> State party has </w:t>
      </w:r>
      <w:r w:rsidR="0023444D">
        <w:t xml:space="preserve">not </w:t>
      </w:r>
      <w:r w:rsidR="00CA6C53">
        <w:t xml:space="preserve">provided </w:t>
      </w:r>
      <w:r w:rsidR="0023444D">
        <w:t xml:space="preserve">any </w:t>
      </w:r>
      <w:r w:rsidR="00CA6C53">
        <w:t>arguments</w:t>
      </w:r>
      <w:r w:rsidR="000C29FA">
        <w:t xml:space="preserve"> justifying the lawfulness of </w:t>
      </w:r>
      <w:r w:rsidR="00CA6C53">
        <w:t xml:space="preserve">holding him responsible under the administrative procedure for participating in a peaceful assembly and expressing his opinions. He reiterates </w:t>
      </w:r>
      <w:r w:rsidR="000C29FA">
        <w:t xml:space="preserve">his </w:t>
      </w:r>
      <w:r w:rsidR="00DC2115">
        <w:t xml:space="preserve">initial argument that, in violation of article 14 (1) of the Covenant, the State party’s courts have failed in their duty of impartiality by siding with the prosecuting authority and sanctioning him with 3 days of administrative detention for mere participation </w:t>
      </w:r>
      <w:r w:rsidR="00655A22">
        <w:t xml:space="preserve">in a </w:t>
      </w:r>
      <w:r w:rsidR="00CA6C53">
        <w:t xml:space="preserve">peaceful </w:t>
      </w:r>
      <w:r w:rsidR="00655A22">
        <w:t xml:space="preserve">assembly. </w:t>
      </w:r>
    </w:p>
    <w:p w14:paraId="307EAD21" w14:textId="57637CB0" w:rsidR="00CA6C53" w:rsidRDefault="00CA6C53" w:rsidP="005A75C2">
      <w:pPr>
        <w:pStyle w:val="SingleTxtG"/>
      </w:pPr>
      <w:r>
        <w:t>5.2</w:t>
      </w:r>
      <w:r>
        <w:tab/>
        <w:t xml:space="preserve">The author further submits that the State party has not contested that the </w:t>
      </w:r>
      <w:r w:rsidR="00655A22">
        <w:t xml:space="preserve">gathering </w:t>
      </w:r>
      <w:r>
        <w:t xml:space="preserve">held on 5 November 2014 was peaceful </w:t>
      </w:r>
      <w:r w:rsidR="00655A22">
        <w:t xml:space="preserve">in nature. </w:t>
      </w:r>
      <w:r>
        <w:t xml:space="preserve">He maintains that </w:t>
      </w:r>
      <w:r w:rsidRPr="00957031">
        <w:t xml:space="preserve">the State party </w:t>
      </w:r>
      <w:r>
        <w:t xml:space="preserve">has violated </w:t>
      </w:r>
      <w:r w:rsidRPr="00957031">
        <w:t xml:space="preserve">his rights under articles 19 and 21 by imposing an unjustified restriction </w:t>
      </w:r>
      <w:r w:rsidR="004E1957">
        <w:t xml:space="preserve">on the exercise of these rights. </w:t>
      </w:r>
    </w:p>
    <w:p w14:paraId="06C497B8" w14:textId="77777777" w:rsidR="00F57795" w:rsidRPr="00F57795" w:rsidRDefault="00D34EF2" w:rsidP="00F57795">
      <w:pPr>
        <w:pStyle w:val="H23G"/>
        <w:rPr>
          <w:rFonts w:eastAsia="SimSun"/>
          <w:lang w:eastAsia="zh-CN"/>
        </w:rPr>
      </w:pPr>
      <w:r>
        <w:tab/>
      </w:r>
      <w:r w:rsidR="00F57795" w:rsidRPr="00F57795">
        <w:rPr>
          <w:rFonts w:eastAsia="SimSun"/>
          <w:lang w:eastAsia="zh-CN"/>
        </w:rPr>
        <w:tab/>
        <w:t>Issues and proceedings before the Committee</w:t>
      </w:r>
    </w:p>
    <w:p w14:paraId="3EFD2152" w14:textId="77777777" w:rsidR="00F57795" w:rsidRPr="00F57795" w:rsidRDefault="00F57795" w:rsidP="00F57795">
      <w:pPr>
        <w:keepNext/>
        <w:keepLines/>
        <w:tabs>
          <w:tab w:val="right" w:pos="851"/>
        </w:tabs>
        <w:suppressAutoHyphens w:val="0"/>
        <w:spacing w:before="240" w:after="120" w:line="240" w:lineRule="exact"/>
        <w:ind w:left="1134" w:right="1134" w:hanging="1134"/>
        <w:outlineLvl w:val="4"/>
        <w:rPr>
          <w:rFonts w:eastAsia="SimSun"/>
          <w:lang w:eastAsia="zh-CN"/>
        </w:rPr>
      </w:pPr>
      <w:r w:rsidRPr="00F57795">
        <w:rPr>
          <w:rFonts w:eastAsia="SimSun"/>
          <w:i/>
          <w:lang w:eastAsia="zh-CN"/>
        </w:rPr>
        <w:tab/>
      </w:r>
      <w:r w:rsidRPr="00F57795">
        <w:rPr>
          <w:rFonts w:eastAsia="SimSun"/>
          <w:i/>
          <w:lang w:eastAsia="zh-CN"/>
        </w:rPr>
        <w:tab/>
        <w:t>Consideration of admissibility</w:t>
      </w:r>
    </w:p>
    <w:p w14:paraId="0FF41877" w14:textId="77777777" w:rsidR="00F57795" w:rsidRDefault="00F57795" w:rsidP="005A75C2">
      <w:pPr>
        <w:pStyle w:val="SingleTxtG"/>
      </w:pPr>
      <w:r w:rsidRPr="00F57795">
        <w:t>6.1</w:t>
      </w:r>
      <w:r w:rsidRPr="00F57795">
        <w:tab/>
        <w:t>Before considering any claim contained in a communication, the Committee must decide, in accordance with rule 97 of its rules of procedure, whether the communication is admissible under the Optional Protocol.</w:t>
      </w:r>
    </w:p>
    <w:p w14:paraId="225B4042" w14:textId="4CA9DF33" w:rsidR="00D34EF2" w:rsidRDefault="00F57795" w:rsidP="005A75C2">
      <w:pPr>
        <w:pStyle w:val="SingleTxtG"/>
      </w:pPr>
      <w:r w:rsidRPr="00F57795">
        <w:t>6.2</w:t>
      </w:r>
      <w:r w:rsidRPr="00F57795">
        <w:tab/>
        <w:t>The Committee has ascertained, as required under article 5 (2) (a) of the Optional Protocol, that the same matter is not being examined under another procedure of international investigation or settlement.</w:t>
      </w:r>
    </w:p>
    <w:p w14:paraId="06075CF2" w14:textId="77777777" w:rsidR="00E60487" w:rsidRDefault="00B803D6" w:rsidP="005A75C2">
      <w:pPr>
        <w:pStyle w:val="SingleTxtG"/>
      </w:pPr>
      <w:r>
        <w:t>6.3</w:t>
      </w:r>
      <w:r>
        <w:tab/>
      </w:r>
      <w:r w:rsidRPr="00B803D6">
        <w:t>The Committee notes the State party</w:t>
      </w:r>
      <w:r w:rsidR="00625F22">
        <w:t xml:space="preserve">’s claim that the author </w:t>
      </w:r>
      <w:r w:rsidR="00625F22" w:rsidRPr="00320C35">
        <w:t xml:space="preserve">did not apply for supervisory review of the </w:t>
      </w:r>
      <w:r w:rsidR="009D7707">
        <w:t xml:space="preserve">national </w:t>
      </w:r>
      <w:r w:rsidR="00625F22" w:rsidRPr="00320C35">
        <w:t>courts’ decisions to the</w:t>
      </w:r>
      <w:r w:rsidR="00625F22">
        <w:t xml:space="preserve"> </w:t>
      </w:r>
      <w:r w:rsidR="00625F22" w:rsidRPr="00320C35">
        <w:t>Prosecutor</w:t>
      </w:r>
      <w:r w:rsidR="00625F22">
        <w:t>’s Office</w:t>
      </w:r>
      <w:r w:rsidRPr="00B803D6">
        <w:t>. The Committee recalls its jurisprudence, according to which a petition to a prosecutor’s office</w:t>
      </w:r>
      <w:r w:rsidR="0038215D" w:rsidRPr="007D482A">
        <w:t xml:space="preserve">, </w:t>
      </w:r>
      <w:r w:rsidR="0038215D" w:rsidRPr="007D482A">
        <w:rPr>
          <w:lang w:val="en-US"/>
        </w:rPr>
        <w:t>dependent on the discretionary power of the prosecutor,</w:t>
      </w:r>
      <w:r w:rsidRPr="00B803D6">
        <w:t xml:space="preserve"> requesting a review of court decisions that have taken effect does not constitute an effective remedy that has to be exhausted for the purposes of article 5 (2) (b) of the Optional Protocol.</w:t>
      </w:r>
      <w:r w:rsidRPr="00B803D6">
        <w:rPr>
          <w:rFonts w:eastAsia="Times New Roman"/>
          <w:sz w:val="18"/>
          <w:szCs w:val="24"/>
          <w:vertAlign w:val="superscript"/>
          <w:lang w:val="en-US" w:eastAsia="en-US" w:bidi="he-IL"/>
        </w:rPr>
        <w:footnoteReference w:id="6"/>
      </w:r>
      <w:r w:rsidRPr="00B803D6">
        <w:rPr>
          <w:rFonts w:eastAsia="Times New Roman"/>
          <w:sz w:val="24"/>
          <w:szCs w:val="24"/>
          <w:lang w:val="en-US" w:eastAsia="en-US" w:bidi="he-IL"/>
        </w:rPr>
        <w:t xml:space="preserve"> </w:t>
      </w:r>
      <w:r w:rsidRPr="00625F22">
        <w:t>Accordingly, the Committee considers that it is not precluded by article 5 (2) (b) of the Optional Protocol from examining the present communication.</w:t>
      </w:r>
    </w:p>
    <w:p w14:paraId="022CCCD7" w14:textId="20518272" w:rsidR="00E60487" w:rsidRDefault="00625F22" w:rsidP="005A75C2">
      <w:pPr>
        <w:pStyle w:val="SingleTxtG"/>
      </w:pPr>
      <w:r>
        <w:t>6.4</w:t>
      </w:r>
      <w:r w:rsidR="00134808">
        <w:tab/>
      </w:r>
      <w:r w:rsidRPr="00CC7A0E">
        <w:t xml:space="preserve">The Committee </w:t>
      </w:r>
      <w:r w:rsidR="0053033C">
        <w:t xml:space="preserve">also </w:t>
      </w:r>
      <w:r w:rsidRPr="00CC7A0E">
        <w:t>note</w:t>
      </w:r>
      <w:r>
        <w:t>s</w:t>
      </w:r>
      <w:r w:rsidRPr="00CC7A0E">
        <w:t xml:space="preserve"> the author’s claim that </w:t>
      </w:r>
      <w:r>
        <w:t xml:space="preserve">his </w:t>
      </w:r>
      <w:r w:rsidRPr="00CC7A0E">
        <w:t xml:space="preserve">rights under article 14 </w:t>
      </w:r>
      <w:r>
        <w:t xml:space="preserve">(1) </w:t>
      </w:r>
      <w:r w:rsidRPr="00CC7A0E">
        <w:t>of the Covenant have been violated</w:t>
      </w:r>
      <w:r w:rsidR="007A0E04">
        <w:t>, since the State party’s courts failed to duly assess the facts of the case and, therefore, failed in their duty of impartiality and independence.</w:t>
      </w:r>
      <w:r w:rsidR="00C10493">
        <w:t xml:space="preserve"> </w:t>
      </w:r>
      <w:r w:rsidR="00586B4A">
        <w:t xml:space="preserve">The Committee observes, however, that </w:t>
      </w:r>
      <w:r w:rsidR="00C22742">
        <w:t>i</w:t>
      </w:r>
      <w:r w:rsidR="0038215D" w:rsidRPr="00111986">
        <w:rPr>
          <w:rFonts w:eastAsia="MS Mincho"/>
          <w:lang w:eastAsia="ja-JP"/>
        </w:rPr>
        <w:t>t is generally for the courts of States parties to review facts and evidence, or the application of</w:t>
      </w:r>
      <w:r w:rsidR="0038215D">
        <w:rPr>
          <w:rFonts w:eastAsia="MS Mincho"/>
          <w:lang w:eastAsia="ja-JP"/>
        </w:rPr>
        <w:t xml:space="preserve"> </w:t>
      </w:r>
      <w:r w:rsidR="0038215D" w:rsidRPr="00111986">
        <w:rPr>
          <w:rFonts w:eastAsia="MS Mincho"/>
          <w:lang w:eastAsia="ja-JP"/>
        </w:rPr>
        <w:t>domestic legislation, in a particular case, unless it can be shown that such evaluation or application was clearly arbitrary or amounted to a manifest error or denial of justice, or that the</w:t>
      </w:r>
      <w:r w:rsidR="0038215D">
        <w:rPr>
          <w:rFonts w:eastAsia="MS Mincho" w:hint="eastAsia"/>
          <w:lang w:eastAsia="ja-JP"/>
        </w:rPr>
        <w:t xml:space="preserve"> </w:t>
      </w:r>
      <w:r w:rsidR="0038215D" w:rsidRPr="00111986">
        <w:rPr>
          <w:rFonts w:eastAsia="MS Mincho"/>
          <w:lang w:eastAsia="ja-JP"/>
        </w:rPr>
        <w:t>court otherwise violated its obligation of independence and impartiality</w:t>
      </w:r>
      <w:r w:rsidR="00586B4A" w:rsidRPr="00B324CD">
        <w:t>.</w:t>
      </w:r>
      <w:bookmarkStart w:id="1" w:name="_Ref84587505"/>
      <w:r w:rsidR="00586B4A" w:rsidRPr="00B324CD">
        <w:rPr>
          <w:sz w:val="18"/>
          <w:vertAlign w:val="superscript"/>
        </w:rPr>
        <w:footnoteReference w:id="7"/>
      </w:r>
      <w:bookmarkEnd w:id="1"/>
      <w:r w:rsidR="00586B4A" w:rsidRPr="00B324CD">
        <w:t xml:space="preserve"> In the present case, the Committee is of the view that the author has failed to demonstrate, for purposes of admissibility, that the conduct of the proceedings in </w:t>
      </w:r>
      <w:r w:rsidR="00586B4A">
        <w:t xml:space="preserve">his </w:t>
      </w:r>
      <w:r w:rsidR="00586B4A" w:rsidRPr="00B324CD">
        <w:t xml:space="preserve">case was </w:t>
      </w:r>
      <w:r w:rsidR="00586B4A">
        <w:t xml:space="preserve">clearly </w:t>
      </w:r>
      <w:r w:rsidR="00586B4A" w:rsidRPr="00B324CD">
        <w:t xml:space="preserve">arbitrary </w:t>
      </w:r>
      <w:r w:rsidR="00586B4A">
        <w:t xml:space="preserve">or amounted to a manifest error </w:t>
      </w:r>
      <w:r w:rsidR="00586B4A" w:rsidRPr="00B324CD">
        <w:t>or denial of justice</w:t>
      </w:r>
      <w:r w:rsidR="00586B4A">
        <w:t xml:space="preserve">, or </w:t>
      </w:r>
      <w:r w:rsidR="00534771">
        <w:t xml:space="preserve">to </w:t>
      </w:r>
      <w:r w:rsidR="00586B4A">
        <w:t xml:space="preserve">provide evidence that the courts otherwise violated their obligation of independence and impartiality. </w:t>
      </w:r>
      <w:r w:rsidR="00586B4A" w:rsidRPr="00B324CD">
        <w:t>The Committee consequently considers that this part of the communication has not been sufficiently substantiated and thus finds it inadmissible under article 2 of the Optional Protocol.</w:t>
      </w:r>
    </w:p>
    <w:p w14:paraId="52CE8739" w14:textId="524DE839" w:rsidR="004B652E" w:rsidRDefault="00586B4A" w:rsidP="00E60487">
      <w:pPr>
        <w:pStyle w:val="SingleTxtG"/>
      </w:pPr>
      <w:r>
        <w:t>6.5</w:t>
      </w:r>
      <w:r w:rsidR="00297D17">
        <w:tab/>
      </w:r>
      <w:r w:rsidR="00705CE2">
        <w:t>The Committee notes that the author invokes a violation of article 9</w:t>
      </w:r>
      <w:r w:rsidR="00846F13">
        <w:t xml:space="preserve"> </w:t>
      </w:r>
      <w:r w:rsidR="00705CE2">
        <w:t>(3) of the Covenant</w:t>
      </w:r>
      <w:r w:rsidR="000D028F">
        <w:t>, because</w:t>
      </w:r>
      <w:r w:rsidR="000D028F" w:rsidRPr="000D028F">
        <w:t xml:space="preserve"> </w:t>
      </w:r>
      <w:r w:rsidR="000D028F">
        <w:t xml:space="preserve">his detention from 28 November to 1 December 2014 was not based on a court order and it was retrospectively endorsed by </w:t>
      </w:r>
      <w:proofErr w:type="spellStart"/>
      <w:r w:rsidR="000D028F">
        <w:t>Zheleznodorozhny</w:t>
      </w:r>
      <w:proofErr w:type="spellEnd"/>
      <w:r w:rsidR="000D028F">
        <w:t xml:space="preserve"> District Court of Vitebsk only on 3 December 2014</w:t>
      </w:r>
      <w:r w:rsidR="00705CE2">
        <w:t xml:space="preserve">. </w:t>
      </w:r>
      <w:r w:rsidR="004B652E">
        <w:t xml:space="preserve">The Committee must therefore decide whether the author’s administrative detention falls </w:t>
      </w:r>
      <w:r w:rsidR="001069B2">
        <w:t xml:space="preserve">within the scope of </w:t>
      </w:r>
      <w:r w:rsidR="004B652E">
        <w:t>article 9 (3)</w:t>
      </w:r>
      <w:r w:rsidR="00D54C4B">
        <w:t xml:space="preserve"> of the Covenant and whether this part of the communication is admissible under article 3 of the Optional Protocol</w:t>
      </w:r>
      <w:r w:rsidR="004B652E">
        <w:t xml:space="preserve">. </w:t>
      </w:r>
      <w:r w:rsidR="004B652E" w:rsidRPr="003D75A6">
        <w:t>In this regard</w:t>
      </w:r>
      <w:r w:rsidR="004B652E" w:rsidRPr="006744B1">
        <w:t>,</w:t>
      </w:r>
      <w:r w:rsidR="004B652E" w:rsidRPr="003D75A6">
        <w:t xml:space="preserve"> the Committee recalls that</w:t>
      </w:r>
      <w:r w:rsidR="004B652E">
        <w:t>,</w:t>
      </w:r>
      <w:r w:rsidR="004B652E" w:rsidRPr="003D75A6">
        <w:t xml:space="preserve"> although criminal charges relate in principle to acts declared to be punishable under domestic criminal law,</w:t>
      </w:r>
      <w:bookmarkStart w:id="2" w:name="_Ref84588244"/>
      <w:r w:rsidR="004B652E" w:rsidRPr="003D75A6">
        <w:rPr>
          <w:rStyle w:val="FootnoteReference"/>
          <w:rFonts w:eastAsiaTheme="majorEastAsia"/>
        </w:rPr>
        <w:footnoteReference w:id="8"/>
      </w:r>
      <w:bookmarkEnd w:id="2"/>
      <w:r w:rsidR="004B652E" w:rsidRPr="003D75A6">
        <w:t xml:space="preserve"> the concept of a “criminal charge” has to be understood within the meaning of the Covenant.</w:t>
      </w:r>
      <w:r w:rsidR="004B652E" w:rsidRPr="003D75A6">
        <w:rPr>
          <w:rStyle w:val="FootnoteReference"/>
          <w:rFonts w:eastAsiaTheme="minorEastAsia"/>
        </w:rPr>
        <w:footnoteReference w:id="9"/>
      </w:r>
      <w:r w:rsidR="004B652E" w:rsidRPr="00A65DAE">
        <w:t xml:space="preserve"> </w:t>
      </w:r>
      <w:r w:rsidR="004B652E">
        <w:t xml:space="preserve">In the present case, the author was punished for an administrative offence and sanctioned with </w:t>
      </w:r>
      <w:r w:rsidR="001069B2">
        <w:t>3</w:t>
      </w:r>
      <w:r w:rsidR="004B652E">
        <w:t xml:space="preserve"> days’ administrative </w:t>
      </w:r>
      <w:r w:rsidR="001069B2">
        <w:t>detention</w:t>
      </w:r>
      <w:r w:rsidR="004B652E">
        <w:t xml:space="preserve">. The Committee considers that such a penalty </w:t>
      </w:r>
      <w:r w:rsidR="004B652E" w:rsidRPr="00A65DAE">
        <w:t xml:space="preserve">had the aims of </w:t>
      </w:r>
      <w:r w:rsidR="004B652E">
        <w:t>sanctioning the author for his actions</w:t>
      </w:r>
      <w:r w:rsidR="004B652E" w:rsidRPr="00A65DAE">
        <w:t xml:space="preserve"> and serving as a deterrent for </w:t>
      </w:r>
      <w:r w:rsidR="004B652E">
        <w:t>future similar offences –</w:t>
      </w:r>
      <w:r w:rsidR="004B652E" w:rsidRPr="00A03510">
        <w:t xml:space="preserve"> </w:t>
      </w:r>
      <w:r w:rsidR="004B652E" w:rsidRPr="00A65DAE">
        <w:t>objectives analogous to the general goal of the criminal law.</w:t>
      </w:r>
      <w:r w:rsidR="004B652E" w:rsidRPr="00D54C4B">
        <w:rPr>
          <w:rStyle w:val="FootnoteReference"/>
          <w:rFonts w:eastAsiaTheme="minorEastAsia"/>
        </w:rPr>
        <w:footnoteReference w:id="10"/>
      </w:r>
      <w:r w:rsidR="004B652E" w:rsidRPr="00A65DAE">
        <w:t xml:space="preserve"> </w:t>
      </w:r>
      <w:r w:rsidR="004B652E">
        <w:t>The Committee therefore finds that these claims fall under the protection of article 9 (3) of the Covenant.</w:t>
      </w:r>
    </w:p>
    <w:p w14:paraId="15D29003" w14:textId="56B125BF" w:rsidR="005B1B83" w:rsidRDefault="002A5705" w:rsidP="005B1B83">
      <w:pPr>
        <w:pStyle w:val="SingleTxtG"/>
      </w:pPr>
      <w:r>
        <w:t>6.6</w:t>
      </w:r>
      <w:r w:rsidR="000F191B" w:rsidRPr="006665D3">
        <w:tab/>
        <w:t>The Committee considers that the author</w:t>
      </w:r>
      <w:r>
        <w:t xml:space="preserve"> has sufficiently substantiated</w:t>
      </w:r>
      <w:r w:rsidRPr="00E03E37">
        <w:rPr>
          <w:lang w:eastAsia="fr-CH"/>
        </w:rPr>
        <w:t>, for the purposes of admissibility,</w:t>
      </w:r>
      <w:r>
        <w:rPr>
          <w:lang w:eastAsia="fr-CH"/>
        </w:rPr>
        <w:t xml:space="preserve"> </w:t>
      </w:r>
      <w:r w:rsidR="000F191B" w:rsidRPr="006665D3">
        <w:t xml:space="preserve">his claims under articles </w:t>
      </w:r>
      <w:r w:rsidR="006665D3" w:rsidRPr="006665D3">
        <w:t>9 (1)</w:t>
      </w:r>
      <w:r w:rsidR="001069B2">
        <w:t xml:space="preserve"> and (3)</w:t>
      </w:r>
      <w:r w:rsidR="006665D3" w:rsidRPr="006665D3">
        <w:t xml:space="preserve">, 19 and 21 </w:t>
      </w:r>
      <w:r w:rsidR="000F191B" w:rsidRPr="006665D3">
        <w:t xml:space="preserve">of the Covenant. </w:t>
      </w:r>
      <w:r w:rsidR="005B1B83" w:rsidRPr="00EE1620">
        <w:t>Accordingly, it declares this part of the communication admissible and proceeds with its consideration on the merits.</w:t>
      </w:r>
    </w:p>
    <w:p w14:paraId="2537E941" w14:textId="77777777" w:rsidR="00134808" w:rsidRDefault="00D34EF2" w:rsidP="00134808">
      <w:pPr>
        <w:pStyle w:val="H4G"/>
        <w:rPr>
          <w:rFonts w:eastAsia="SimSun"/>
          <w:lang w:eastAsia="zh-CN"/>
        </w:rPr>
      </w:pPr>
      <w:r>
        <w:tab/>
      </w:r>
      <w:r>
        <w:tab/>
      </w:r>
      <w:r w:rsidR="00134808" w:rsidRPr="00134808">
        <w:rPr>
          <w:rFonts w:eastAsia="SimSun"/>
          <w:lang w:eastAsia="zh-CN"/>
        </w:rPr>
        <w:t>Consideration of the merits</w:t>
      </w:r>
    </w:p>
    <w:p w14:paraId="6CFC3721" w14:textId="77777777" w:rsidR="00D34EF2" w:rsidRPr="005A75C2" w:rsidRDefault="00134808" w:rsidP="005A75C2">
      <w:pPr>
        <w:pStyle w:val="SingleTxtG"/>
      </w:pPr>
      <w:r w:rsidRPr="00134808">
        <w:t>7.1</w:t>
      </w:r>
      <w:r w:rsidRPr="00134808">
        <w:tab/>
        <w:t>The Committee has considered the communication in the light of all the information submitted to it by the parties, in accordance with article 5 (1) of the Optional Protocol.</w:t>
      </w:r>
    </w:p>
    <w:p w14:paraId="4330866E" w14:textId="1A51D5E8" w:rsidR="00F34973" w:rsidRDefault="00017C87" w:rsidP="00017C87">
      <w:pPr>
        <w:pStyle w:val="SingleTxtG"/>
        <w:rPr>
          <w:rFonts w:eastAsia="Times New Roman"/>
          <w:sz w:val="24"/>
          <w:szCs w:val="24"/>
          <w:lang w:val="en-US" w:eastAsia="en-US" w:bidi="he-IL"/>
        </w:rPr>
      </w:pPr>
      <w:r>
        <w:t>7</w:t>
      </w:r>
      <w:r w:rsidR="00F34973" w:rsidRPr="00F34973">
        <w:t>.2</w:t>
      </w:r>
      <w:r w:rsidR="00F34973" w:rsidRPr="00F34973">
        <w:tab/>
        <w:t xml:space="preserve">The Committee notes the author’s claim that </w:t>
      </w:r>
      <w:r w:rsidR="00F34973">
        <w:t>the State party has violated his</w:t>
      </w:r>
      <w:r w:rsidR="00F34973" w:rsidRPr="00F34973">
        <w:t xml:space="preserve"> rights guaranteed under articles 19 a</w:t>
      </w:r>
      <w:r w:rsidR="00F34973">
        <w:t xml:space="preserve">nd 21 of the Covenant, because </w:t>
      </w:r>
      <w:r w:rsidR="00F34973" w:rsidRPr="00F34973">
        <w:t xml:space="preserve">he was </w:t>
      </w:r>
      <w:r w:rsidR="00F34973">
        <w:t xml:space="preserve">held responsible under the </w:t>
      </w:r>
      <w:r w:rsidR="00F34973" w:rsidRPr="009465C3">
        <w:t xml:space="preserve">administrative procedure for participating in an unauthorized peaceful </w:t>
      </w:r>
      <w:r w:rsidRPr="00A1670F">
        <w:t>gathering in support of the world solidarity campaign “Stand up for journalism”.</w:t>
      </w:r>
      <w:r w:rsidR="00F34973" w:rsidRPr="00F34973">
        <w:t xml:space="preserve"> The first issue before the Committee is, therefore, whether the application of article 23.34</w:t>
      </w:r>
      <w:r>
        <w:t xml:space="preserve"> (1)</w:t>
      </w:r>
      <w:r w:rsidR="00F34973" w:rsidRPr="00F34973">
        <w:t xml:space="preserve"> of the Code on Administrative Offences to the</w:t>
      </w:r>
      <w:r>
        <w:t xml:space="preserve"> author’s case, resulting in his</w:t>
      </w:r>
      <w:r w:rsidR="00F34973" w:rsidRPr="00F34973">
        <w:t xml:space="preserve"> conviction of an administrative offence and the subsequent </w:t>
      </w:r>
      <w:r>
        <w:t>sanctioning with 3 days of administrative detention</w:t>
      </w:r>
      <w:r w:rsidR="00F34973" w:rsidRPr="00F34973">
        <w:t>, constituted a restriction within the meaning of article 19 (3) on the author’s right to freedom of expression and the second sentence of article 21 of the Covenant on the right of peaceful assembly. The Committee notes that article 23.34 of the Code on Administrative Offences establishes administrative liability for “violation of the established procedure for organizing or holding a public event”.</w:t>
      </w:r>
      <w:r w:rsidR="00F34973" w:rsidRPr="00017C87">
        <w:t xml:space="preserve"> The Committee observes, therefore, that there has been a restriction on the exercise of the author’s rights guaranteed under articles 19 (2)</w:t>
      </w:r>
      <w:bookmarkStart w:id="3" w:name="_Ref264288571"/>
      <w:r w:rsidR="00F34973" w:rsidRPr="00F34973">
        <w:rPr>
          <w:rFonts w:eastAsia="Times New Roman"/>
          <w:sz w:val="24"/>
          <w:szCs w:val="24"/>
          <w:vertAlign w:val="superscript"/>
          <w:lang w:val="en-US" w:eastAsia="en-US" w:bidi="he-IL"/>
        </w:rPr>
        <w:footnoteReference w:id="11"/>
      </w:r>
      <w:bookmarkEnd w:id="3"/>
      <w:r w:rsidR="00F34973" w:rsidRPr="00F34973">
        <w:rPr>
          <w:rFonts w:eastAsia="Times New Roman"/>
          <w:sz w:val="24"/>
          <w:szCs w:val="24"/>
          <w:lang w:val="en-US" w:eastAsia="en-US" w:bidi="he-IL"/>
        </w:rPr>
        <w:t xml:space="preserve"> </w:t>
      </w:r>
      <w:r w:rsidR="00F34973" w:rsidRPr="00017C87">
        <w:t>and 21 of the Covenant.</w:t>
      </w:r>
    </w:p>
    <w:p w14:paraId="10A46328" w14:textId="21B9508A" w:rsidR="00017C87" w:rsidRDefault="00017C87" w:rsidP="005A75C2">
      <w:pPr>
        <w:pStyle w:val="SingleTxtG"/>
        <w:rPr>
          <w:lang w:val="en-US"/>
        </w:rPr>
      </w:pPr>
      <w:r>
        <w:rPr>
          <w:lang w:val="en-US"/>
        </w:rPr>
        <w:t>7</w:t>
      </w:r>
      <w:r w:rsidRPr="00320C35">
        <w:t>.3</w:t>
      </w:r>
      <w:r w:rsidRPr="00320C35">
        <w:tab/>
        <w:t xml:space="preserve">The Committee </w:t>
      </w:r>
      <w:r w:rsidR="009277F3">
        <w:t xml:space="preserve">must therefore determine </w:t>
      </w:r>
      <w:r w:rsidRPr="00320C35">
        <w:t xml:space="preserve">whether the restriction imposed on the author’s right to peaceful assembly was justified under any of the criteria set out in the </w:t>
      </w:r>
      <w:r w:rsidRPr="00320C35">
        <w:rPr>
          <w:lang w:val="en-US"/>
        </w:rPr>
        <w:t>second sentence</w:t>
      </w:r>
      <w:r>
        <w:rPr>
          <w:lang w:val="en-US"/>
        </w:rPr>
        <w:t xml:space="preserve"> of article 21 of the Covenant.</w:t>
      </w:r>
    </w:p>
    <w:p w14:paraId="1CA03681" w14:textId="0B58FA77" w:rsidR="002B58EB" w:rsidRPr="002B58EB" w:rsidRDefault="00017C87" w:rsidP="002B58EB">
      <w:pPr>
        <w:spacing w:after="120"/>
        <w:ind w:left="1134" w:right="1134"/>
        <w:jc w:val="both"/>
        <w:rPr>
          <w:rFonts w:eastAsia="SimSun"/>
          <w:sz w:val="18"/>
          <w:vertAlign w:val="superscript"/>
          <w:lang w:eastAsia="zh-CN"/>
        </w:rPr>
      </w:pPr>
      <w:r>
        <w:t>7.4</w:t>
      </w:r>
      <w:r w:rsidR="00C04371" w:rsidRPr="005A75C2">
        <w:tab/>
      </w:r>
      <w:r w:rsidR="002B58EB" w:rsidRPr="005A75C2">
        <w:t>The Committee recalls that the right of peaceful assembly, as guaranteed under article 21 of the Covenant, is a fundamental human right that is essential for public expression of an individual’s views and opinions and is indispensable in a democratic society. Such assemblies may take many forms, including demonstrations, protests, meetings, processions, rallies, sit-ins, candlelit vigils and flash mobs. They are protected under article 21 whether they are stationary, such as pickets, or mobile, such as processions or marches.</w:t>
      </w:r>
      <w:bookmarkStart w:id="4" w:name="_Ref84588030"/>
      <w:r w:rsidR="002B58EB" w:rsidRPr="005A75C2">
        <w:rPr>
          <w:vertAlign w:val="superscript"/>
        </w:rPr>
        <w:footnoteReference w:id="12"/>
      </w:r>
      <w:bookmarkEnd w:id="4"/>
      <w:r w:rsidR="002B58EB" w:rsidRPr="005A75C2">
        <w:rPr>
          <w:vertAlign w:val="superscript"/>
        </w:rPr>
        <w:t xml:space="preserve"> </w:t>
      </w:r>
      <w:r w:rsidR="002B58EB" w:rsidRPr="005A75C2">
        <w:t>No restriction to this right is permissible, unless it (a) is imposed in conformity with the law; and (b) is necessary in a democratic society, in the interests of national security or public safety, public order (</w:t>
      </w:r>
      <w:proofErr w:type="spellStart"/>
      <w:r w:rsidR="002B58EB" w:rsidRPr="005A75C2">
        <w:rPr>
          <w:i/>
        </w:rPr>
        <w:t>ordre</w:t>
      </w:r>
      <w:proofErr w:type="spellEnd"/>
      <w:r w:rsidR="002B58EB" w:rsidRPr="005A75C2">
        <w:rPr>
          <w:i/>
        </w:rPr>
        <w:t xml:space="preserve"> public</w:t>
      </w:r>
      <w:r w:rsidR="002B58EB" w:rsidRPr="005A75C2">
        <w:t>), protection of public health or morals or protection of the rights and freedoms of others. When a State party imposes restrictions with the aim of reconciling an individual’s right to assembly and the aforementioned interests of general concern, it should be guided by the objective of facilitating the right, rather than seeking unnecessary or disproportionate limitations to it.</w:t>
      </w:r>
      <w:r w:rsidR="002B58EB" w:rsidRPr="005A75C2">
        <w:rPr>
          <w:vertAlign w:val="superscript"/>
        </w:rPr>
        <w:footnoteReference w:id="13"/>
      </w:r>
      <w:r w:rsidR="002B58EB" w:rsidRPr="005A75C2">
        <w:rPr>
          <w:vertAlign w:val="superscript"/>
        </w:rPr>
        <w:t xml:space="preserve"> </w:t>
      </w:r>
      <w:r w:rsidR="002B58EB" w:rsidRPr="005A75C2">
        <w:t>The State party is thus under an obligation to justify the limitation of the right protected by article 21 of the Covenant, and to demonstrate that such limitation does not serve as a disproportionate obstacle on the exercise of the right.</w:t>
      </w:r>
      <w:r w:rsidR="002B58EB" w:rsidRPr="00017C87">
        <w:rPr>
          <w:vertAlign w:val="superscript"/>
        </w:rPr>
        <w:footnoteReference w:id="14"/>
      </w:r>
      <w:r w:rsidR="009562A7">
        <w:t xml:space="preserve"> </w:t>
      </w:r>
      <w:r w:rsidR="002B58EB" w:rsidRPr="002B58EB">
        <w:rPr>
          <w:rFonts w:eastAsia="SimSun"/>
          <w:lang w:eastAsia="zh-CN"/>
        </w:rPr>
        <w:t>Restrictions must not be discriminatory, impair the essence of the right, or be aimed at discouraging participation in assemblies or causing a chilling effect.</w:t>
      </w:r>
      <w:r w:rsidR="002B58EB" w:rsidRPr="002B58EB">
        <w:rPr>
          <w:rFonts w:eastAsia="SimSun"/>
          <w:sz w:val="18"/>
          <w:vertAlign w:val="superscript"/>
          <w:lang w:eastAsia="zh-CN"/>
        </w:rPr>
        <w:footnoteReference w:id="15"/>
      </w:r>
    </w:p>
    <w:p w14:paraId="539E48C8" w14:textId="61E933C8" w:rsidR="00627CBF" w:rsidRDefault="009D7707" w:rsidP="004641BE">
      <w:pPr>
        <w:pStyle w:val="SingleTxtG"/>
      </w:pPr>
      <w:r>
        <w:t>7.5</w:t>
      </w:r>
      <w:r w:rsidR="00C04371" w:rsidRPr="00C04371">
        <w:tab/>
      </w:r>
      <w:r w:rsidR="00627CBF" w:rsidRPr="00317AAD">
        <w:t xml:space="preserve">The Committee notes that </w:t>
      </w:r>
      <w:r w:rsidR="00627CBF">
        <w:t xml:space="preserve">in the present case </w:t>
      </w:r>
      <w:r w:rsidR="00627CBF" w:rsidRPr="00317AAD">
        <w:t>the author was convicted of an administrative offence and sanctioned with 3 days of administrative detention in accordance with article 23.34 (1) of the Code of Administrative Offences because</w:t>
      </w:r>
      <w:r w:rsidR="00627CBF">
        <w:t>, in violation of</w:t>
      </w:r>
      <w:r w:rsidR="00627CBF" w:rsidRPr="00EC5507">
        <w:t xml:space="preserve"> the </w:t>
      </w:r>
      <w:r w:rsidR="00627CBF">
        <w:t xml:space="preserve">procedure established under the </w:t>
      </w:r>
      <w:r w:rsidR="00627CBF" w:rsidRPr="00EC5507">
        <w:t>Public Events Act</w:t>
      </w:r>
      <w:r w:rsidR="00627CBF">
        <w:t>,</w:t>
      </w:r>
      <w:r w:rsidR="00627CBF" w:rsidRPr="00317AAD">
        <w:t xml:space="preserve"> </w:t>
      </w:r>
      <w:r w:rsidR="00627CBF">
        <w:t xml:space="preserve">he </w:t>
      </w:r>
      <w:r w:rsidR="00627CBF" w:rsidRPr="00132832">
        <w:t>had failed to obtain a prior authorization for holding the gathering</w:t>
      </w:r>
      <w:r w:rsidR="00627CBF">
        <w:t xml:space="preserve"> on 5 November 2014</w:t>
      </w:r>
      <w:r w:rsidR="00627CBF" w:rsidRPr="00317AAD">
        <w:t>.</w:t>
      </w:r>
      <w:r w:rsidR="00627CBF">
        <w:t xml:space="preserve"> </w:t>
      </w:r>
      <w:r w:rsidR="00627CBF" w:rsidRPr="004641BE">
        <w:t xml:space="preserve">The Committee observes in this regard that, while the restrictions imposed in the author’s case, which relate to the requirement of seeking a prior authorisation, were in accordance with the </w:t>
      </w:r>
      <w:r w:rsidR="00827766">
        <w:t>Public Events Act</w:t>
      </w:r>
      <w:r w:rsidR="00627CBF" w:rsidRPr="004641BE">
        <w:t xml:space="preserve">, neither the State party nor the </w:t>
      </w:r>
      <w:r w:rsidR="00627CBF">
        <w:t xml:space="preserve">national </w:t>
      </w:r>
      <w:r w:rsidR="00627CBF" w:rsidRPr="004641BE">
        <w:t xml:space="preserve">courts have provided any explanations as to why it was necessary for </w:t>
      </w:r>
      <w:r w:rsidR="00627CBF">
        <w:t>him</w:t>
      </w:r>
      <w:r w:rsidR="00627CBF" w:rsidRPr="004641BE">
        <w:t xml:space="preserve"> – under domestic law and for one of the legitimate purposes set out in the second sentence of article 21 of the Covenant – to obtain authorization prior to </w:t>
      </w:r>
      <w:r w:rsidR="00627CBF">
        <w:t xml:space="preserve">joining a peaceful gathering held on 5 November 2014. </w:t>
      </w:r>
      <w:r w:rsidR="00627CBF" w:rsidRPr="004641BE">
        <w:t xml:space="preserve">Nor did the State party or the national courts explain how, in practice in the present case, the author and a few other individuals, who were </w:t>
      </w:r>
      <w:r w:rsidR="00627CBF">
        <w:t xml:space="preserve">taking </w:t>
      </w:r>
      <w:r w:rsidR="00627CBF" w:rsidRPr="00A1670F">
        <w:t>photographs while standing in front of a graffiti wall and releasing paper birds from paper cages</w:t>
      </w:r>
      <w:r w:rsidR="00627CBF" w:rsidRPr="004641BE">
        <w:t>, could have violated the rights and freedoms of others or posed a threat to public safety or public order (</w:t>
      </w:r>
      <w:proofErr w:type="spellStart"/>
      <w:r w:rsidR="00627CBF" w:rsidRPr="004641BE">
        <w:rPr>
          <w:i/>
        </w:rPr>
        <w:t>ordre</w:t>
      </w:r>
      <w:proofErr w:type="spellEnd"/>
      <w:r w:rsidR="00627CBF" w:rsidRPr="004641BE">
        <w:rPr>
          <w:i/>
        </w:rPr>
        <w:t xml:space="preserve"> public</w:t>
      </w:r>
      <w:r w:rsidR="00627CBF" w:rsidRPr="004641BE">
        <w:t>).</w:t>
      </w:r>
      <w:r w:rsidR="00627CBF" w:rsidRPr="00627CBF">
        <w:t xml:space="preserve"> </w:t>
      </w:r>
      <w:r w:rsidR="00627CBF" w:rsidRPr="00427778">
        <w:t>The Committee also recalls that any restrictions on participation in peaceful assemblies should be based on a differentiated or individualized assessment of the conduct of the participants and the assembly concerned. Blanket restrictions on peaceful assemblies are presumptively disproportionate.</w:t>
      </w:r>
      <w:r w:rsidR="00627CBF" w:rsidRPr="00427778">
        <w:rPr>
          <w:sz w:val="18"/>
          <w:vertAlign w:val="superscript"/>
        </w:rPr>
        <w:footnoteReference w:id="16"/>
      </w:r>
      <w:r w:rsidR="00627CBF" w:rsidRPr="00427778">
        <w:rPr>
          <w:sz w:val="18"/>
        </w:rPr>
        <w:t xml:space="preserve"> </w:t>
      </w:r>
      <w:r w:rsidR="00627CBF" w:rsidRPr="00427778">
        <w:t>For these reasons, the Committee concludes that the State party failed to justify the restriction of the author’s right to peaceful assembly and thus violated article 21 of the Covenant.</w:t>
      </w:r>
    </w:p>
    <w:p w14:paraId="5FC9AB57" w14:textId="0F043FA5" w:rsidR="00C04371" w:rsidRDefault="008759CB" w:rsidP="00317AAD">
      <w:pPr>
        <w:pStyle w:val="SingleTxtG"/>
      </w:pPr>
      <w:r>
        <w:t>7.6</w:t>
      </w:r>
      <w:r>
        <w:tab/>
      </w:r>
      <w:r w:rsidR="00EE46A3">
        <w:t xml:space="preserve">The </w:t>
      </w:r>
      <w:r w:rsidR="00664DF9">
        <w:t>next</w:t>
      </w:r>
      <w:r w:rsidR="00EE46A3">
        <w:t xml:space="preserve"> </w:t>
      </w:r>
      <w:r w:rsidR="00EE46A3" w:rsidRPr="00F60246">
        <w:t>issue before the</w:t>
      </w:r>
      <w:r w:rsidR="00EE46A3">
        <w:t xml:space="preserve"> Committee is whether the author responsible under the administrative procedure for participating in an unauthorised </w:t>
      </w:r>
      <w:r w:rsidR="00EE46A3" w:rsidRPr="009465C3">
        <w:t xml:space="preserve">peaceful </w:t>
      </w:r>
      <w:r w:rsidR="00EE46A3" w:rsidRPr="00A1670F">
        <w:t>gathering in support of the world solidarity campaign “Stand up for journalism”</w:t>
      </w:r>
      <w:r w:rsidR="00EE46A3">
        <w:t xml:space="preserve"> constitutes an unjustified restriction on his right to freedom of expression, as protected by article 19 (2) of the Covenant.</w:t>
      </w:r>
    </w:p>
    <w:p w14:paraId="145EC73F" w14:textId="77777777" w:rsidR="001704B9" w:rsidRDefault="00EE46A3" w:rsidP="001704B9">
      <w:pPr>
        <w:pStyle w:val="SingleTxtG"/>
        <w:rPr>
          <w:rFonts w:eastAsia="Times New Roman"/>
          <w:sz w:val="24"/>
          <w:szCs w:val="24"/>
          <w:lang w:val="en-US" w:eastAsia="en-US" w:bidi="he-IL"/>
        </w:rPr>
      </w:pPr>
      <w:r>
        <w:t>7.7</w:t>
      </w:r>
      <w:r w:rsidR="00E75A7C">
        <w:tab/>
      </w:r>
      <w:r w:rsidR="00E75A7C" w:rsidRPr="00CB57CA">
        <w:t xml:space="preserve">The Committee refers </w:t>
      </w:r>
      <w:r w:rsidR="00E75A7C">
        <w:t xml:space="preserve">in this respect </w:t>
      </w:r>
      <w:r w:rsidR="00E75A7C" w:rsidRPr="00CB57CA">
        <w:t xml:space="preserve">to its general comment No. 34 (2011) on the freedoms of opinion and expression, </w:t>
      </w:r>
      <w:r w:rsidR="00E75A7C" w:rsidRPr="00496D8F">
        <w:t xml:space="preserve">in which it stated, </w:t>
      </w:r>
      <w:r w:rsidR="00E75A7C" w:rsidRPr="005A75C2">
        <w:rPr>
          <w:i/>
        </w:rPr>
        <w:t>inter alia</w:t>
      </w:r>
      <w:r w:rsidR="00E75A7C" w:rsidRPr="00496D8F">
        <w:t>, that the freedom of expression is essential for any society and constitutes a foundation stone for every free and democratic society</w:t>
      </w:r>
      <w:r w:rsidR="00E75A7C">
        <w:t>.</w:t>
      </w:r>
      <w:bookmarkStart w:id="5" w:name="_Ref84588157"/>
      <w:r w:rsidR="00E75A7C" w:rsidRPr="005A75C2">
        <w:rPr>
          <w:vertAlign w:val="superscript"/>
        </w:rPr>
        <w:footnoteReference w:id="17"/>
      </w:r>
      <w:bookmarkEnd w:id="5"/>
      <w:r w:rsidR="00E75A7C">
        <w:t xml:space="preserve"> It recalls that </w:t>
      </w:r>
      <w:r w:rsidR="00E75A7C" w:rsidRPr="009F5637">
        <w:t>article 19 (3) of the Convention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proofErr w:type="spellStart"/>
      <w:r w:rsidR="00E75A7C" w:rsidRPr="005A75C2">
        <w:rPr>
          <w:i/>
        </w:rPr>
        <w:t>ordre</w:t>
      </w:r>
      <w:proofErr w:type="spellEnd"/>
      <w:r w:rsidR="00E75A7C" w:rsidRPr="005A75C2">
        <w:rPr>
          <w:i/>
        </w:rPr>
        <w:t xml:space="preserve"> public</w:t>
      </w:r>
      <w:r w:rsidR="00E75A7C" w:rsidRPr="009F5637">
        <w:t>),</w:t>
      </w:r>
      <w:r w:rsidR="00E75A7C">
        <w:t xml:space="preserve"> or of public health or morals. </w:t>
      </w:r>
      <w:r w:rsidR="00E75A7C" w:rsidRPr="005A75C2">
        <w:t>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E75A7C" w:rsidRPr="005A75C2">
        <w:rPr>
          <w:vertAlign w:val="superscript"/>
        </w:rPr>
        <w:footnoteReference w:id="18"/>
      </w:r>
      <w:r w:rsidR="00E75A7C" w:rsidRPr="005A75C2">
        <w:rPr>
          <w:vertAlign w:val="superscript"/>
        </w:rPr>
        <w:t xml:space="preserve"> </w:t>
      </w:r>
      <w:r w:rsidR="00E75A7C" w:rsidRPr="005A75C2">
        <w:t>Finally, any restriction on freedom of expression must not be overbroad in nature – that is, it must be the least intrusive among the measures that might achieve the relevant protective function.</w:t>
      </w:r>
      <w:r w:rsidR="00E75A7C" w:rsidRPr="005A75C2">
        <w:rPr>
          <w:vertAlign w:val="superscript"/>
        </w:rPr>
        <w:footnoteReference w:id="19"/>
      </w:r>
      <w:r w:rsidR="00E75A7C" w:rsidRPr="005A75C2">
        <w:rPr>
          <w:vertAlign w:val="superscript"/>
        </w:rPr>
        <w:t xml:space="preserve"> </w:t>
      </w:r>
      <w:r w:rsidR="00E75A7C" w:rsidRPr="005A75C2">
        <w:t xml:space="preserve"> The Committee also recalls that it is for the State party to demonstrate that the restrictions on the author’s rights under article 19 of the Covenant </w:t>
      </w:r>
      <w:r w:rsidR="001704B9" w:rsidRPr="001704B9">
        <w:t>were necessary for one of the legitimate aims and that they were proportionate.</w:t>
      </w:r>
      <w:r w:rsidR="001704B9" w:rsidRPr="001704B9">
        <w:rPr>
          <w:rFonts w:eastAsia="Times New Roman"/>
          <w:sz w:val="18"/>
          <w:szCs w:val="24"/>
          <w:vertAlign w:val="superscript"/>
          <w:lang w:val="en-US" w:eastAsia="en-US" w:bidi="he-IL"/>
        </w:rPr>
        <w:footnoteReference w:id="20"/>
      </w:r>
      <w:r w:rsidR="001704B9" w:rsidRPr="001704B9">
        <w:rPr>
          <w:rFonts w:eastAsia="Times New Roman"/>
          <w:sz w:val="24"/>
          <w:szCs w:val="24"/>
          <w:lang w:val="en-US" w:eastAsia="en-US" w:bidi="he-IL"/>
        </w:rPr>
        <w:t xml:space="preserve"> </w:t>
      </w:r>
    </w:p>
    <w:p w14:paraId="7DB6BBF9" w14:textId="7FFF7D84" w:rsidR="00E51465" w:rsidRDefault="001704B9" w:rsidP="001704B9">
      <w:pPr>
        <w:pStyle w:val="SingleTxtG"/>
      </w:pPr>
      <w:r w:rsidRPr="001704B9">
        <w:rPr>
          <w:rFonts w:eastAsia="Times New Roman"/>
          <w:lang w:val="en-US" w:eastAsia="en-US" w:bidi="he-IL"/>
        </w:rPr>
        <w:t>7.8</w:t>
      </w:r>
      <w:r w:rsidRPr="001704B9">
        <w:rPr>
          <w:rFonts w:eastAsia="Times New Roman"/>
          <w:lang w:val="en-US" w:eastAsia="en-US" w:bidi="he-IL"/>
        </w:rPr>
        <w:tab/>
      </w:r>
      <w:r>
        <w:t>I</w:t>
      </w:r>
      <w:r w:rsidRPr="001704B9">
        <w:t xml:space="preserve">n the present case, the Committee observes </w:t>
      </w:r>
      <w:r>
        <w:t xml:space="preserve">however </w:t>
      </w:r>
      <w:r w:rsidRPr="001704B9">
        <w:t>that neither the State party nor the national courts have provided any explanation as to how the restrictions imposed on the author in the ex</w:t>
      </w:r>
      <w:r>
        <w:t>ercise of his</w:t>
      </w:r>
      <w:r w:rsidRPr="001704B9">
        <w:t xml:space="preserve"> right to freedom of expression were justified pursuant to the conditions of necessity and proportionality set out in article 19 (3) of the Covenant.</w:t>
      </w:r>
      <w:r>
        <w:t xml:space="preserve"> </w:t>
      </w:r>
      <w:r w:rsidR="006661E6" w:rsidRPr="003E01E9">
        <w:t xml:space="preserve">Nor did the State party demonstrate that the </w:t>
      </w:r>
      <w:r>
        <w:t xml:space="preserve">restriction </w:t>
      </w:r>
      <w:r w:rsidR="006661E6" w:rsidRPr="003E01E9">
        <w:t xml:space="preserve">applied was the least intrusive amongst those which might </w:t>
      </w:r>
      <w:r w:rsidR="006661E6">
        <w:t xml:space="preserve">have </w:t>
      </w:r>
      <w:r w:rsidR="006661E6" w:rsidRPr="003E01E9">
        <w:t>achieve</w:t>
      </w:r>
      <w:r w:rsidR="006661E6">
        <w:t>d</w:t>
      </w:r>
      <w:r w:rsidR="006661E6" w:rsidRPr="003E01E9">
        <w:t xml:space="preserve"> the </w:t>
      </w:r>
      <w:r w:rsidR="007C32C9">
        <w:t>relevant</w:t>
      </w:r>
      <w:r w:rsidR="00664DF9">
        <w:t xml:space="preserve"> </w:t>
      </w:r>
      <w:r w:rsidR="006661E6" w:rsidRPr="003E01E9">
        <w:t>protective function. In the absence of any explanation by the State party</w:t>
      </w:r>
      <w:r w:rsidR="009277F3">
        <w:t xml:space="preserve"> in that regard</w:t>
      </w:r>
      <w:r w:rsidR="006661E6" w:rsidRPr="003E01E9">
        <w:t xml:space="preserve">, the Committee considers that the restriction imposed on the author, although based on domestic law, was not justified under the conditions set out in article 19 (3) of the Covenant. It therefore concludes that the </w:t>
      </w:r>
      <w:r>
        <w:t xml:space="preserve">author’s </w:t>
      </w:r>
      <w:r w:rsidR="006661E6" w:rsidRPr="003E01E9">
        <w:t>rights under article 19 (2) of the Covenant have been violated</w:t>
      </w:r>
      <w:r w:rsidR="006661E6">
        <w:t>.</w:t>
      </w:r>
    </w:p>
    <w:p w14:paraId="66563C5C" w14:textId="12E514BA" w:rsidR="006661E6" w:rsidRDefault="006661E6" w:rsidP="000F191B">
      <w:pPr>
        <w:pStyle w:val="SingleTxtG"/>
      </w:pPr>
      <w:r>
        <w:t>7</w:t>
      </w:r>
      <w:r w:rsidR="001704B9">
        <w:t>.9</w:t>
      </w:r>
      <w:r>
        <w:tab/>
      </w:r>
      <w:r w:rsidRPr="00411B42">
        <w:t>In the light of the above finding</w:t>
      </w:r>
      <w:r w:rsidR="001704B9">
        <w:t>s</w:t>
      </w:r>
      <w:r w:rsidRPr="00411B42">
        <w:t xml:space="preserve"> </w:t>
      </w:r>
      <w:r w:rsidR="001704B9">
        <w:t xml:space="preserve">by the Committee </w:t>
      </w:r>
      <w:r w:rsidRPr="00411B42">
        <w:t>on the unjustified nature of the restrictions of the author’s rights under articles 19 and 21</w:t>
      </w:r>
      <w:r w:rsidR="001704B9">
        <w:t xml:space="preserve"> of the Covenant</w:t>
      </w:r>
      <w:r w:rsidRPr="00411B42">
        <w:t xml:space="preserve">, and in the absence of </w:t>
      </w:r>
      <w:r w:rsidR="001704B9">
        <w:t xml:space="preserve">any justification from </w:t>
      </w:r>
      <w:r w:rsidRPr="00411B42">
        <w:t xml:space="preserve">the State party </w:t>
      </w:r>
      <w:r w:rsidR="001704B9">
        <w:t xml:space="preserve">as </w:t>
      </w:r>
      <w:r w:rsidRPr="00411B42">
        <w:t xml:space="preserve">why it was necessary and proportionate to </w:t>
      </w:r>
      <w:r w:rsidR="001704B9">
        <w:t xml:space="preserve">sanction the author with </w:t>
      </w:r>
      <w:r w:rsidRPr="00411B42">
        <w:t xml:space="preserve">administrative </w:t>
      </w:r>
      <w:r w:rsidR="001704B9">
        <w:t xml:space="preserve">detention </w:t>
      </w:r>
      <w:r w:rsidRPr="00411B42">
        <w:t>for exercising his rights under the Covenant</w:t>
      </w:r>
      <w:r w:rsidR="007C32C9">
        <w:t>,</w:t>
      </w:r>
      <w:r>
        <w:t xml:space="preserve"> almost one month after his participation in the event in question</w:t>
      </w:r>
      <w:r w:rsidRPr="00411B42">
        <w:t xml:space="preserve">, the Committee </w:t>
      </w:r>
      <w:r w:rsidR="001704B9">
        <w:t xml:space="preserve">also </w:t>
      </w:r>
      <w:r w:rsidRPr="00411B42">
        <w:t>finds that the deprivation of liberty to which the author was subjected was arbitrary in nature and violated his rights under article 9 (1) of the Covenant</w:t>
      </w:r>
      <w:r w:rsidRPr="00CD1967">
        <w:t>.</w:t>
      </w:r>
      <w:r w:rsidRPr="005A75C2">
        <w:rPr>
          <w:vertAlign w:val="superscript"/>
        </w:rPr>
        <w:footnoteReference w:id="21"/>
      </w:r>
      <w:r w:rsidRPr="00CD1967">
        <w:t xml:space="preserve"> T</w:t>
      </w:r>
      <w:r w:rsidRPr="00411B42">
        <w:t>he Committee recalls that arrest or detention as punishment for the legitimate exercise of the rights guaranteed by the Covenant, including freedom of opinion and expression and freedom of assembly, is arbitrary.</w:t>
      </w:r>
      <w:r w:rsidRPr="005A75C2">
        <w:rPr>
          <w:vertAlign w:val="superscript"/>
        </w:rPr>
        <w:footnoteReference w:id="22"/>
      </w:r>
    </w:p>
    <w:p w14:paraId="7958D758" w14:textId="56B11ED1" w:rsidR="00B24755" w:rsidRPr="00C04371" w:rsidRDefault="00B24755" w:rsidP="000F191B">
      <w:pPr>
        <w:pStyle w:val="SingleTxtG"/>
      </w:pPr>
      <w:r>
        <w:t>7.10</w:t>
      </w:r>
      <w:r>
        <w:tab/>
      </w:r>
      <w:r w:rsidRPr="006744B1">
        <w:t xml:space="preserve">Regarding the author’s claim under article 9 (3) </w:t>
      </w:r>
      <w:r w:rsidR="000D028F">
        <w:t xml:space="preserve">of the Covenant </w:t>
      </w:r>
      <w:r w:rsidRPr="006744B1">
        <w:t xml:space="preserve">that </w:t>
      </w:r>
      <w:r w:rsidR="000D028F">
        <w:t xml:space="preserve">his detention from 28 November to 1 December 2014 was not based on a court order and it was retrospectively endorsed by </w:t>
      </w:r>
      <w:proofErr w:type="spellStart"/>
      <w:r w:rsidR="000D028F">
        <w:t>Zheleznodorozhny</w:t>
      </w:r>
      <w:proofErr w:type="spellEnd"/>
      <w:r w:rsidR="000D028F">
        <w:t xml:space="preserve"> District Court of Vitebsk only on 3 December 2014</w:t>
      </w:r>
      <w:r w:rsidRPr="006744B1">
        <w:t>, the Committee notes its position, indicated in its general comment No. 35 (2014), that 48 hours is ordinarily sufficient to prepare an individual for the judicial hearing and that any delay longer than 48 hours must remain absolutely exceptional and be justified under the circumstances.</w:t>
      </w:r>
      <w:r w:rsidR="000D028F">
        <w:rPr>
          <w:rStyle w:val="FootnoteReference"/>
        </w:rPr>
        <w:footnoteReference w:id="23"/>
      </w:r>
      <w:r>
        <w:t xml:space="preserve"> The Committee notes that not only should this requirement apply equally to cases involving prolonged administrative detention, but also that it should be even stricter in cases of minor offences, such as the present case. In the absence of information from the State party on the existence of any exceptional circumstances in the present case to justify a delay in bringing the author before a judge, the </w:t>
      </w:r>
      <w:r w:rsidRPr="006744B1">
        <w:t>Committee finds a violation of article 9 (3) of the Covenant.</w:t>
      </w:r>
      <w:r w:rsidRPr="006744B1">
        <w:rPr>
          <w:rStyle w:val="FootnoteReference"/>
        </w:rPr>
        <w:footnoteReference w:id="24"/>
      </w:r>
    </w:p>
    <w:p w14:paraId="15568DD6" w14:textId="673C600F" w:rsidR="000F191B" w:rsidRPr="000F191B" w:rsidRDefault="000F191B" w:rsidP="000F191B">
      <w:pPr>
        <w:pStyle w:val="SingleTxtG"/>
      </w:pPr>
      <w:r w:rsidRPr="00140541">
        <w:t>8.</w:t>
      </w:r>
      <w:r w:rsidRPr="000F191B">
        <w:tab/>
        <w:t xml:space="preserve">The Committee, acting under article 5 (4) of the Optional Protocol, is of the view that the facts before it disclose a violation by the State party of the author’s rights under articles </w:t>
      </w:r>
      <w:r w:rsidR="00140541">
        <w:t>9</w:t>
      </w:r>
      <w:r w:rsidR="001704B9">
        <w:t xml:space="preserve"> (1)</w:t>
      </w:r>
      <w:r w:rsidR="000D028F">
        <w:t xml:space="preserve"> and (3)</w:t>
      </w:r>
      <w:r w:rsidR="00140541">
        <w:t xml:space="preserve">, 19 </w:t>
      </w:r>
      <w:r w:rsidR="001704B9">
        <w:t xml:space="preserve">(2) </w:t>
      </w:r>
      <w:r w:rsidR="00140541">
        <w:t>and 21</w:t>
      </w:r>
      <w:r w:rsidR="00140541" w:rsidRPr="000F191B">
        <w:t xml:space="preserve"> </w:t>
      </w:r>
      <w:r w:rsidRPr="000F191B">
        <w:t>of the Covenant.</w:t>
      </w:r>
    </w:p>
    <w:p w14:paraId="348BFA3F" w14:textId="09137F93" w:rsidR="003111C3" w:rsidRDefault="000F191B" w:rsidP="005A75C2">
      <w:pPr>
        <w:pStyle w:val="SingleTxtG"/>
      </w:pPr>
      <w:r w:rsidRPr="00140541">
        <w:t>9.</w:t>
      </w:r>
      <w:r w:rsidRPr="000F191B">
        <w:tab/>
      </w:r>
      <w:r w:rsidR="003111C3" w:rsidRPr="003111C3">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 including to reimburse any legal costs incurred by the author. The State party is also under an obligation to take all steps necessary to prevent similar violations from occurring in the future, in particular by reviewing its national legislation on public events and the implementation thereof in order to make it compatible with its obligations </w:t>
      </w:r>
      <w:r w:rsidR="003111C3" w:rsidRPr="005A75C2">
        <w:t xml:space="preserve">under article 2 (2) </w:t>
      </w:r>
      <w:r w:rsidR="003111C3" w:rsidRPr="003111C3">
        <w:t>to adopt measures able to give effect to the rights recognized by articles 19 and 21.</w:t>
      </w:r>
    </w:p>
    <w:p w14:paraId="790C22DE" w14:textId="77777777" w:rsidR="000F191B" w:rsidRPr="003111C3" w:rsidRDefault="000F191B" w:rsidP="005A75C2">
      <w:pPr>
        <w:pStyle w:val="SingleTxtG"/>
      </w:pPr>
      <w:r w:rsidRPr="00101A6E">
        <w:t>10.</w:t>
      </w:r>
      <w:r w:rsidRPr="000F191B">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61A292A3" w14:textId="287B981F" w:rsidR="00D66BCD" w:rsidRDefault="00733D13" w:rsidP="00733D13">
      <w:pPr>
        <w:pStyle w:val="SingleTxtG"/>
        <w:jc w:val="center"/>
      </w:pPr>
      <w:r>
        <w:rPr>
          <w:u w:val="single"/>
        </w:rPr>
        <w:tab/>
      </w:r>
      <w:r>
        <w:rPr>
          <w:u w:val="single"/>
        </w:rPr>
        <w:tab/>
      </w:r>
      <w:r>
        <w:rPr>
          <w:u w:val="single"/>
        </w:rPr>
        <w:tab/>
      </w:r>
      <w:r w:rsidR="00591CAA">
        <w:rPr>
          <w:u w:val="single"/>
        </w:rPr>
        <w:tab/>
      </w:r>
    </w:p>
    <w:sectPr w:rsidR="00D66BCD"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B000" w14:textId="77777777" w:rsidR="00A15DBE" w:rsidRPr="00B903E5" w:rsidRDefault="00A15DBE" w:rsidP="00B903E5">
      <w:pPr>
        <w:pStyle w:val="Footer"/>
      </w:pPr>
    </w:p>
  </w:endnote>
  <w:endnote w:type="continuationSeparator" w:id="0">
    <w:p w14:paraId="35910655" w14:textId="77777777" w:rsidR="00A15DBE" w:rsidRPr="00B903E5" w:rsidRDefault="00A15DB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B506" w14:textId="6DBD2BF1" w:rsidR="00342D59" w:rsidRDefault="00A752E9" w:rsidP="009A7626">
    <w:pPr>
      <w:pStyle w:val="Footer"/>
      <w:tabs>
        <w:tab w:val="right" w:pos="9638"/>
      </w:tabs>
    </w:pPr>
    <w:r w:rsidRPr="00342D59">
      <w:rPr>
        <w:b/>
        <w:bCs/>
        <w:sz w:val="18"/>
      </w:rPr>
      <w:fldChar w:fldCharType="begin"/>
    </w:r>
    <w:r w:rsidR="00342D59" w:rsidRPr="00342D59">
      <w:rPr>
        <w:b/>
        <w:bCs/>
        <w:sz w:val="18"/>
      </w:rPr>
      <w:instrText xml:space="preserve"> PAGE  \* MERGEFORMAT </w:instrText>
    </w:r>
    <w:r w:rsidRPr="00342D59">
      <w:rPr>
        <w:b/>
        <w:bCs/>
        <w:sz w:val="18"/>
      </w:rPr>
      <w:fldChar w:fldCharType="separate"/>
    </w:r>
    <w:r w:rsidR="0073354E">
      <w:rPr>
        <w:b/>
        <w:bCs/>
        <w:noProof/>
        <w:sz w:val="18"/>
      </w:rPr>
      <w:t>6</w:t>
    </w:r>
    <w:r w:rsidRPr="00342D59">
      <w:rPr>
        <w:b/>
        <w:bCs/>
        <w:sz w:val="18"/>
      </w:rPr>
      <w:fldChar w:fldCharType="end"/>
    </w:r>
    <w:r w:rsidR="00342D5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A87C" w14:textId="2C645792" w:rsidR="00342D59" w:rsidRDefault="00342D59" w:rsidP="000C531B">
    <w:pPr>
      <w:pStyle w:val="Footer"/>
      <w:tabs>
        <w:tab w:val="left" w:pos="4791"/>
        <w:tab w:val="right" w:pos="9638"/>
      </w:tabs>
    </w:pPr>
    <w:r>
      <w:tab/>
    </w:r>
    <w:r w:rsidR="000C531B">
      <w:tab/>
    </w:r>
    <w:r w:rsidR="00A752E9" w:rsidRPr="00342D59">
      <w:rPr>
        <w:b/>
        <w:bCs/>
        <w:sz w:val="18"/>
      </w:rPr>
      <w:fldChar w:fldCharType="begin"/>
    </w:r>
    <w:r w:rsidRPr="00342D59">
      <w:rPr>
        <w:b/>
        <w:bCs/>
        <w:sz w:val="18"/>
      </w:rPr>
      <w:instrText xml:space="preserve"> PAGE  \* MERGEFORMAT </w:instrText>
    </w:r>
    <w:r w:rsidR="00A752E9" w:rsidRPr="00342D59">
      <w:rPr>
        <w:b/>
        <w:bCs/>
        <w:sz w:val="18"/>
      </w:rPr>
      <w:fldChar w:fldCharType="separate"/>
    </w:r>
    <w:r w:rsidR="0073354E">
      <w:rPr>
        <w:b/>
        <w:bCs/>
        <w:noProof/>
        <w:sz w:val="18"/>
      </w:rPr>
      <w:t>7</w:t>
    </w:r>
    <w:r w:rsidR="00A752E9" w:rsidRPr="00342D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1208" w14:textId="6610C6B0" w:rsidR="00E54F54" w:rsidRDefault="00346267" w:rsidP="00E54F54">
    <w:pPr>
      <w:pStyle w:val="Footer"/>
    </w:pPr>
    <w:r w:rsidRPr="0027112F">
      <w:rPr>
        <w:noProof/>
        <w:lang w:eastAsia="en-GB"/>
      </w:rPr>
      <w:drawing>
        <wp:anchor distT="0" distB="0" distL="114300" distR="114300" simplePos="0" relativeHeight="251661312" behindDoc="0" locked="1" layoutInCell="1" allowOverlap="1" wp14:anchorId="2CA32B26" wp14:editId="0ABB2926">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E54F54" w:rsidRPr="0027112F">
      <w:rPr>
        <w:noProof/>
        <w:lang w:eastAsia="en-GB"/>
      </w:rPr>
      <w:drawing>
        <wp:anchor distT="0" distB="0" distL="114300" distR="114300" simplePos="0" relativeHeight="251659264" behindDoc="0" locked="1" layoutInCell="1" allowOverlap="1" wp14:anchorId="2BE3EED2" wp14:editId="624DA77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CCB9" w14:textId="77777777" w:rsidR="00A15DBE" w:rsidRPr="00B903E5" w:rsidRDefault="00A15DBE" w:rsidP="00B903E5">
      <w:pPr>
        <w:tabs>
          <w:tab w:val="right" w:pos="2155"/>
        </w:tabs>
        <w:spacing w:after="80" w:line="240" w:lineRule="auto"/>
        <w:ind w:left="680"/>
      </w:pPr>
      <w:r>
        <w:rPr>
          <w:u w:val="single"/>
        </w:rPr>
        <w:tab/>
      </w:r>
    </w:p>
  </w:footnote>
  <w:footnote w:type="continuationSeparator" w:id="0">
    <w:p w14:paraId="2AB2A709" w14:textId="77777777" w:rsidR="00A15DBE" w:rsidRPr="00B903E5" w:rsidRDefault="00A15DBE" w:rsidP="00B903E5">
      <w:pPr>
        <w:tabs>
          <w:tab w:val="right" w:pos="2155"/>
        </w:tabs>
        <w:spacing w:after="80" w:line="240" w:lineRule="auto"/>
        <w:ind w:left="680"/>
      </w:pPr>
      <w:r>
        <w:rPr>
          <w:u w:val="single"/>
        </w:rPr>
        <w:tab/>
      </w:r>
    </w:p>
  </w:footnote>
  <w:footnote w:id="1">
    <w:p w14:paraId="38669138" w14:textId="1DF7C248" w:rsidR="005A656D" w:rsidRPr="0083505C" w:rsidRDefault="005A656D" w:rsidP="005A656D">
      <w:pPr>
        <w:pStyle w:val="FootnoteText"/>
      </w:pPr>
      <w:r>
        <w:rPr>
          <w:rStyle w:val="FootnoteReference"/>
        </w:rPr>
        <w:tab/>
      </w:r>
      <w:r w:rsidRPr="000A762F">
        <w:rPr>
          <w:rStyle w:val="FootnoteReference"/>
          <w:sz w:val="20"/>
          <w:vertAlign w:val="baseline"/>
        </w:rPr>
        <w:t>*</w:t>
      </w:r>
      <w:r>
        <w:rPr>
          <w:rStyle w:val="FootnoteReference"/>
          <w:sz w:val="20"/>
          <w:vertAlign w:val="baseline"/>
        </w:rPr>
        <w:tab/>
      </w:r>
      <w:r w:rsidRPr="00B2629C">
        <w:t xml:space="preserve">Adopted by the Committee at its </w:t>
      </w:r>
      <w:r>
        <w:t>133</w:t>
      </w:r>
      <w:r w:rsidRPr="005A656D">
        <w:rPr>
          <w:vertAlign w:val="superscript"/>
        </w:rPr>
        <w:t>rd</w:t>
      </w:r>
      <w:r>
        <w:t xml:space="preserve"> </w:t>
      </w:r>
      <w:r w:rsidRPr="00B2629C">
        <w:t>session (</w:t>
      </w:r>
      <w:r>
        <w:t>11 October-5 November</w:t>
      </w:r>
      <w:r w:rsidRPr="004B436A">
        <w:t xml:space="preserve"> 2021</w:t>
      </w:r>
      <w:r w:rsidRPr="00B2629C">
        <w:t>)</w:t>
      </w:r>
      <w:r>
        <w:t>.</w:t>
      </w:r>
    </w:p>
  </w:footnote>
  <w:footnote w:id="2">
    <w:p w14:paraId="51DDDEE5" w14:textId="6975B74F" w:rsidR="005A656D" w:rsidRPr="0083505C" w:rsidRDefault="005A656D" w:rsidP="005A656D">
      <w:pPr>
        <w:pStyle w:val="FootnoteText"/>
      </w:pPr>
      <w:r>
        <w:rPr>
          <w:rStyle w:val="FootnoteReference"/>
        </w:rPr>
        <w:tab/>
      </w:r>
      <w:r w:rsidRPr="000A762F">
        <w:rPr>
          <w:rStyle w:val="FootnoteReference"/>
          <w:sz w:val="20"/>
          <w:vertAlign w:val="baseline"/>
        </w:rPr>
        <w:t>**</w:t>
      </w:r>
      <w:r>
        <w:rPr>
          <w:rStyle w:val="FootnoteReference"/>
          <w:sz w:val="20"/>
          <w:vertAlign w:val="baseline"/>
        </w:rPr>
        <w:tab/>
      </w:r>
      <w:r w:rsidRPr="00B2629C">
        <w:t>The following members of the Committee participated in the ex</w:t>
      </w:r>
      <w:r>
        <w:t xml:space="preserve">amination of the communication: </w:t>
      </w:r>
      <w:proofErr w:type="spellStart"/>
      <w:r w:rsidRPr="00A06D1D">
        <w:t>Wafaa</w:t>
      </w:r>
      <w:proofErr w:type="spellEnd"/>
      <w:r w:rsidRPr="00A06D1D">
        <w:t xml:space="preserve"> Ashraf </w:t>
      </w:r>
      <w:proofErr w:type="spellStart"/>
      <w:r w:rsidRPr="00A06D1D">
        <w:t>Moharram</w:t>
      </w:r>
      <w:proofErr w:type="spellEnd"/>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r w:rsidR="00A71E15" w:rsidRPr="00CA1FA1">
        <w:rPr>
          <w:spacing w:val="-1"/>
          <w:szCs w:val="18"/>
        </w:rPr>
        <w:t xml:space="preserve">Christopher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Shuichi </w:t>
      </w:r>
      <w:proofErr w:type="spellStart"/>
      <w:r w:rsidRPr="00B2629C">
        <w:t>Furuya</w:t>
      </w:r>
      <w:proofErr w:type="spellEnd"/>
      <w:r w:rsidRPr="00B2629C">
        <w:t xml:space="preserve">, </w:t>
      </w:r>
      <w:r w:rsidRPr="00A06D1D">
        <w:t xml:space="preserve">Carlos </w:t>
      </w:r>
      <w:r>
        <w:t>Gómez</w:t>
      </w:r>
      <w:r w:rsidRPr="00B2629C">
        <w:t xml:space="preserve"> </w:t>
      </w:r>
      <w:proofErr w:type="spellStart"/>
      <w:r>
        <w:t>Martínez</w:t>
      </w:r>
      <w:proofErr w:type="spellEnd"/>
      <w:r>
        <w:t>,</w:t>
      </w:r>
      <w:r w:rsidR="006E6987" w:rsidRPr="006E6987">
        <w:rPr>
          <w:spacing w:val="-1"/>
          <w:szCs w:val="18"/>
        </w:rPr>
        <w:t xml:space="preserve"> </w:t>
      </w:r>
      <w:r w:rsidR="006E6987">
        <w:rPr>
          <w:spacing w:val="-1"/>
          <w:szCs w:val="18"/>
        </w:rPr>
        <w:t xml:space="preserve">Marcia V.J. </w:t>
      </w:r>
      <w:proofErr w:type="spellStart"/>
      <w:r w:rsidR="006E6987">
        <w:rPr>
          <w:spacing w:val="-1"/>
          <w:szCs w:val="18"/>
        </w:rPr>
        <w:t>Kran</w:t>
      </w:r>
      <w:proofErr w:type="spellEnd"/>
      <w:r>
        <w:t xml:space="preserve">, </w:t>
      </w:r>
      <w:r w:rsidRPr="00B2629C">
        <w:t xml:space="preserve">Duncan </w:t>
      </w:r>
      <w:proofErr w:type="spellStart"/>
      <w:r w:rsidRPr="00B2629C">
        <w:t>Laki</w:t>
      </w:r>
      <w:proofErr w:type="spellEnd"/>
      <w:r w:rsidRPr="00B2629C">
        <w:t xml:space="preserve"> </w:t>
      </w:r>
      <w:proofErr w:type="spellStart"/>
      <w:r w:rsidRPr="00B2629C">
        <w:t>Muhumuza</w:t>
      </w:r>
      <w:proofErr w:type="spellEnd"/>
      <w:r w:rsidRPr="00B2629C">
        <w:t xml:space="preserve">, </w:t>
      </w:r>
      <w:proofErr w:type="spellStart"/>
      <w:r w:rsidRPr="00B2629C">
        <w:t>Photini</w:t>
      </w:r>
      <w:proofErr w:type="spellEnd"/>
      <w:r w:rsidRPr="00B2629C">
        <w:t xml:space="preserve"> </w:t>
      </w:r>
      <w:proofErr w:type="spellStart"/>
      <w:r w:rsidRPr="00B2629C">
        <w:t>Pazartzis</w:t>
      </w:r>
      <w:proofErr w:type="spellEnd"/>
      <w:r w:rsidRPr="00B2629C">
        <w:t xml:space="preserve">,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w:t>
      </w:r>
      <w:proofErr w:type="spellStart"/>
      <w:r>
        <w:t>Changrok</w:t>
      </w:r>
      <w:proofErr w:type="spellEnd"/>
      <w:r>
        <w:t xml:space="preserve"> </w:t>
      </w:r>
      <w:proofErr w:type="spellStart"/>
      <w:r>
        <w:t>Soh</w:t>
      </w:r>
      <w:proofErr w:type="spellEnd"/>
      <w:r>
        <w:t>,</w:t>
      </w:r>
      <w:r w:rsidRPr="005A656D">
        <w:t xml:space="preserve"> </w:t>
      </w:r>
      <w:proofErr w:type="spellStart"/>
      <w:r>
        <w:t>Kobauyah</w:t>
      </w:r>
      <w:proofErr w:type="spellEnd"/>
      <w:r>
        <w:t xml:space="preserve"> </w:t>
      </w:r>
      <w:proofErr w:type="spellStart"/>
      <w:r>
        <w:t>Kpatcha</w:t>
      </w:r>
      <w:proofErr w:type="spellEnd"/>
      <w:r>
        <w:t xml:space="preserve"> </w:t>
      </w:r>
      <w:proofErr w:type="spellStart"/>
      <w:r>
        <w:t>Tchamdja</w:t>
      </w:r>
      <w:proofErr w:type="spellEnd"/>
      <w:r>
        <w:t xml:space="preserve">, </w:t>
      </w:r>
      <w:bookmarkStart w:id="0" w:name="_GoBack"/>
      <w:bookmarkEnd w:id="0"/>
      <w:r>
        <w:t xml:space="preserve">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3">
    <w:p w14:paraId="080B7C30" w14:textId="1E8E6A6D" w:rsidR="00363A7C" w:rsidRPr="00986270" w:rsidRDefault="00363A7C" w:rsidP="00363A7C">
      <w:pPr>
        <w:pStyle w:val="FootnoteText"/>
      </w:pPr>
      <w:r>
        <w:tab/>
      </w:r>
      <w:r>
        <w:rPr>
          <w:rStyle w:val="FootnoteReference"/>
        </w:rPr>
        <w:footnoteRef/>
      </w:r>
      <w:r>
        <w:tab/>
      </w:r>
      <w:r w:rsidRPr="00812945">
        <w:t>The facts on which the present communication is based have been reconstructed on the basis of the author</w:t>
      </w:r>
      <w:r>
        <w:t>’</w:t>
      </w:r>
      <w:r w:rsidRPr="00812945">
        <w:t xml:space="preserve">s own incomplete account, </w:t>
      </w:r>
      <w:r>
        <w:t xml:space="preserve">the </w:t>
      </w:r>
      <w:r w:rsidRPr="0011402E">
        <w:t xml:space="preserve">decisions of </w:t>
      </w:r>
      <w:proofErr w:type="spellStart"/>
      <w:r w:rsidR="00E743D0">
        <w:t>Zheleznodorozhny</w:t>
      </w:r>
      <w:proofErr w:type="spellEnd"/>
      <w:r w:rsidR="00E743D0">
        <w:t xml:space="preserve"> District Court of Vitebsk</w:t>
      </w:r>
      <w:r w:rsidR="00E743D0" w:rsidRPr="0011402E">
        <w:t xml:space="preserve"> </w:t>
      </w:r>
      <w:r w:rsidR="00E743D0">
        <w:t>dated 3 December 2014, Vitebsk Regional Court dated 12 December 2014</w:t>
      </w:r>
      <w:r w:rsidRPr="0011402E">
        <w:t>, as well</w:t>
      </w:r>
      <w:r>
        <w:t xml:space="preserve"> as </w:t>
      </w:r>
      <w:r w:rsidRPr="00812945">
        <w:t xml:space="preserve">other </w:t>
      </w:r>
      <w:r>
        <w:t xml:space="preserve">supporting </w:t>
      </w:r>
      <w:r w:rsidRPr="00812945">
        <w:t>documents available on file.</w:t>
      </w:r>
      <w:r>
        <w:t xml:space="preserve"> </w:t>
      </w:r>
    </w:p>
  </w:footnote>
  <w:footnote w:id="4">
    <w:p w14:paraId="45013BED" w14:textId="766CAA11" w:rsidR="00812044" w:rsidRPr="002A0C1B" w:rsidRDefault="00591CAA" w:rsidP="00042CA7">
      <w:pPr>
        <w:pStyle w:val="FootnoteText"/>
        <w:rPr>
          <w:lang w:val="en-US"/>
        </w:rPr>
      </w:pPr>
      <w:r>
        <w:tab/>
      </w:r>
      <w:r w:rsidR="00812044">
        <w:rPr>
          <w:rStyle w:val="FootnoteReference"/>
        </w:rPr>
        <w:footnoteRef/>
      </w:r>
      <w:r>
        <w:tab/>
      </w:r>
      <w:r>
        <w:tab/>
      </w:r>
      <w:r w:rsidR="00812044">
        <w:rPr>
          <w:lang w:val="en-US"/>
        </w:rPr>
        <w:t xml:space="preserve">A </w:t>
      </w:r>
      <w:r w:rsidR="00016571" w:rsidRPr="00042CA7">
        <w:t>local</w:t>
      </w:r>
      <w:r w:rsidR="00016571">
        <w:rPr>
          <w:lang w:val="en-US"/>
        </w:rPr>
        <w:t xml:space="preserve"> branch of the </w:t>
      </w:r>
      <w:r w:rsidR="00812044">
        <w:rPr>
          <w:lang w:val="en-US"/>
        </w:rPr>
        <w:t xml:space="preserve">human rights </w:t>
      </w:r>
      <w:r w:rsidR="00164660">
        <w:rPr>
          <w:lang w:val="en-US"/>
        </w:rPr>
        <w:t>center</w:t>
      </w:r>
      <w:r w:rsidR="00812044">
        <w:rPr>
          <w:lang w:val="en-US"/>
        </w:rPr>
        <w:t xml:space="preserve"> </w:t>
      </w:r>
      <w:r w:rsidR="00E743D0">
        <w:rPr>
          <w:lang w:val="en-US"/>
        </w:rPr>
        <w:t>“</w:t>
      </w:r>
      <w:proofErr w:type="spellStart"/>
      <w:r w:rsidR="00E743D0">
        <w:rPr>
          <w:lang w:val="en-US"/>
        </w:rPr>
        <w:t>Viasna</w:t>
      </w:r>
      <w:proofErr w:type="spellEnd"/>
      <w:r w:rsidR="00E743D0">
        <w:rPr>
          <w:lang w:val="en-US"/>
        </w:rPr>
        <w:t xml:space="preserve">” </w:t>
      </w:r>
      <w:r w:rsidR="00812044">
        <w:rPr>
          <w:lang w:val="en-US"/>
        </w:rPr>
        <w:t>located in Vitebsk (</w:t>
      </w:r>
      <w:hyperlink r:id="rId1" w:history="1">
        <w:r w:rsidR="00812044" w:rsidRPr="00B10974">
          <w:rPr>
            <w:rStyle w:val="Hyperlink"/>
          </w:rPr>
          <w:t>http://vitebskpring.org</w:t>
        </w:r>
      </w:hyperlink>
      <w:r w:rsidR="00812044">
        <w:t>).</w:t>
      </w:r>
    </w:p>
  </w:footnote>
  <w:footnote w:id="5">
    <w:p w14:paraId="5B64BD80" w14:textId="41C554D2" w:rsidR="00812044" w:rsidRPr="005D3AF1" w:rsidRDefault="00812044" w:rsidP="00042CA7">
      <w:pPr>
        <w:pStyle w:val="FootnoteText"/>
        <w:rPr>
          <w:lang w:val="en-US"/>
        </w:rPr>
      </w:pPr>
      <w:r>
        <w:tab/>
      </w:r>
      <w:r>
        <w:rPr>
          <w:rStyle w:val="FootnoteReference"/>
        </w:rPr>
        <w:footnoteRef/>
      </w:r>
      <w:r w:rsidR="00591CAA">
        <w:tab/>
      </w:r>
      <w:r>
        <w:t xml:space="preserve">The website can be accessed at: </w:t>
      </w:r>
      <w:hyperlink r:id="rId2" w:history="1">
        <w:r w:rsidRPr="00B10974">
          <w:rPr>
            <w:rStyle w:val="Hyperlink"/>
          </w:rPr>
          <w:t>http://www.baj/by</w:t>
        </w:r>
      </w:hyperlink>
      <w:r w:rsidR="008B27DC">
        <w:t>.</w:t>
      </w:r>
    </w:p>
  </w:footnote>
  <w:footnote w:id="6">
    <w:p w14:paraId="3E46E554" w14:textId="77777777" w:rsidR="00B803D6" w:rsidRPr="00E655A9" w:rsidRDefault="00B803D6" w:rsidP="00B803D6">
      <w:pPr>
        <w:pStyle w:val="FootnoteText"/>
        <w:jc w:val="both"/>
        <w:rPr>
          <w:spacing w:val="-1"/>
        </w:rPr>
      </w:pPr>
      <w:r w:rsidRPr="00E655A9">
        <w:rPr>
          <w:spacing w:val="-1"/>
        </w:rPr>
        <w:tab/>
      </w:r>
      <w:r w:rsidRPr="00E655A9">
        <w:rPr>
          <w:rStyle w:val="FootnoteReference"/>
          <w:spacing w:val="-1"/>
        </w:rPr>
        <w:footnoteRef/>
      </w:r>
      <w:r w:rsidRPr="00E655A9">
        <w:rPr>
          <w:spacing w:val="-1"/>
        </w:rPr>
        <w:tab/>
      </w:r>
      <w:r w:rsidRPr="00E655A9">
        <w:rPr>
          <w:spacing w:val="-1"/>
          <w:szCs w:val="18"/>
        </w:rPr>
        <w:t xml:space="preserve">See, for example, </w:t>
      </w:r>
      <w:r w:rsidRPr="00E655A9">
        <w:rPr>
          <w:i/>
          <w:spacing w:val="-1"/>
          <w:szCs w:val="18"/>
        </w:rPr>
        <w:t xml:space="preserve">Alekseev v. the Russian Federation </w:t>
      </w:r>
      <w:r w:rsidRPr="00E655A9">
        <w:rPr>
          <w:bCs/>
          <w:spacing w:val="-1"/>
          <w:szCs w:val="18"/>
        </w:rPr>
        <w:t xml:space="preserve">(CCPR/C/109/D/1873/2009), </w:t>
      </w:r>
      <w:r w:rsidRPr="00E655A9">
        <w:rPr>
          <w:spacing w:val="-1"/>
          <w:szCs w:val="18"/>
        </w:rPr>
        <w:t xml:space="preserve">para. </w:t>
      </w:r>
      <w:r w:rsidRPr="00F25C88">
        <w:rPr>
          <w:spacing w:val="-1"/>
          <w:szCs w:val="18"/>
          <w:lang w:val="es-EC"/>
        </w:rPr>
        <w:t xml:space="preserve">8.4; </w:t>
      </w:r>
      <w:proofErr w:type="spellStart"/>
      <w:r w:rsidRPr="00F25C88">
        <w:rPr>
          <w:i/>
          <w:spacing w:val="-1"/>
          <w:szCs w:val="18"/>
          <w:lang w:val="es-EC"/>
        </w:rPr>
        <w:t>Lozenko</w:t>
      </w:r>
      <w:proofErr w:type="spellEnd"/>
      <w:r w:rsidRPr="00F25C88">
        <w:rPr>
          <w:spacing w:val="-1"/>
          <w:szCs w:val="18"/>
          <w:lang w:val="es-EC"/>
        </w:rPr>
        <w:t xml:space="preserve"> </w:t>
      </w:r>
      <w:r w:rsidRPr="00F25C88">
        <w:rPr>
          <w:i/>
          <w:spacing w:val="-1"/>
          <w:szCs w:val="18"/>
          <w:lang w:val="es-EC"/>
        </w:rPr>
        <w:t xml:space="preserve">v. </w:t>
      </w:r>
      <w:proofErr w:type="spellStart"/>
      <w:r w:rsidRPr="00F25C88">
        <w:rPr>
          <w:i/>
          <w:spacing w:val="-1"/>
          <w:szCs w:val="18"/>
          <w:lang w:val="es-EC"/>
        </w:rPr>
        <w:t>Belarus</w:t>
      </w:r>
      <w:proofErr w:type="spellEnd"/>
      <w:r w:rsidRPr="00F25C88">
        <w:rPr>
          <w:i/>
          <w:spacing w:val="-1"/>
          <w:szCs w:val="18"/>
          <w:lang w:val="es-EC"/>
        </w:rPr>
        <w:t xml:space="preserve"> </w:t>
      </w:r>
      <w:r w:rsidRPr="00F25C88">
        <w:rPr>
          <w:spacing w:val="-1"/>
          <w:szCs w:val="18"/>
          <w:lang w:val="es-EC"/>
        </w:rPr>
        <w:t>(</w:t>
      </w:r>
      <w:r w:rsidRPr="00F25C88">
        <w:rPr>
          <w:bCs/>
          <w:spacing w:val="-1"/>
          <w:szCs w:val="18"/>
          <w:lang w:val="es-EC"/>
        </w:rPr>
        <w:t>CCPR/C/112/D/1929/2010)</w:t>
      </w:r>
      <w:r w:rsidRPr="00F25C88">
        <w:rPr>
          <w:i/>
          <w:spacing w:val="-1"/>
          <w:szCs w:val="18"/>
          <w:lang w:val="es-EC"/>
        </w:rPr>
        <w:t xml:space="preserve">, </w:t>
      </w:r>
      <w:r w:rsidRPr="00F25C88">
        <w:rPr>
          <w:spacing w:val="-1"/>
          <w:szCs w:val="18"/>
          <w:lang w:val="es-EC"/>
        </w:rPr>
        <w:t>para. 6.3;</w:t>
      </w:r>
      <w:r w:rsidRPr="00F25C88">
        <w:rPr>
          <w:spacing w:val="-1"/>
          <w:szCs w:val="18"/>
          <w:lang w:val="es-EC" w:eastAsia="en-GB"/>
        </w:rPr>
        <w:t xml:space="preserve"> and </w:t>
      </w:r>
      <w:proofErr w:type="spellStart"/>
      <w:r w:rsidRPr="00F25C88">
        <w:rPr>
          <w:i/>
          <w:iCs/>
          <w:spacing w:val="-1"/>
          <w:szCs w:val="18"/>
          <w:lang w:val="es-EC" w:eastAsia="en-GB"/>
        </w:rPr>
        <w:t>Sudalenko</w:t>
      </w:r>
      <w:proofErr w:type="spellEnd"/>
      <w:r w:rsidRPr="00F25C88">
        <w:rPr>
          <w:i/>
          <w:iCs/>
          <w:spacing w:val="-1"/>
          <w:szCs w:val="18"/>
          <w:lang w:val="es-EC" w:eastAsia="en-GB"/>
        </w:rPr>
        <w:t xml:space="preserve"> v.</w:t>
      </w:r>
      <w:r w:rsidRPr="00F25C88">
        <w:rPr>
          <w:spacing w:val="-1"/>
          <w:szCs w:val="18"/>
          <w:lang w:val="es-EC" w:eastAsia="en-GB"/>
        </w:rPr>
        <w:t xml:space="preserve"> </w:t>
      </w:r>
      <w:proofErr w:type="spellStart"/>
      <w:r w:rsidRPr="00F25C88">
        <w:rPr>
          <w:i/>
          <w:iCs/>
          <w:spacing w:val="-1"/>
          <w:szCs w:val="18"/>
          <w:lang w:val="es-EC" w:eastAsia="en-GB"/>
        </w:rPr>
        <w:t>Belarus</w:t>
      </w:r>
      <w:proofErr w:type="spellEnd"/>
      <w:r w:rsidRPr="00F25C88">
        <w:rPr>
          <w:i/>
          <w:iCs/>
          <w:spacing w:val="-1"/>
          <w:szCs w:val="18"/>
          <w:lang w:val="es-EC" w:eastAsia="en-GB"/>
        </w:rPr>
        <w:t xml:space="preserve"> </w:t>
      </w:r>
      <w:r w:rsidRPr="00F25C88">
        <w:rPr>
          <w:iCs/>
          <w:spacing w:val="-1"/>
          <w:szCs w:val="18"/>
          <w:lang w:val="es-EC" w:eastAsia="en-GB"/>
        </w:rPr>
        <w:t>(</w:t>
      </w:r>
      <w:r w:rsidRPr="00F25C88">
        <w:rPr>
          <w:bCs/>
          <w:spacing w:val="-1"/>
          <w:szCs w:val="18"/>
          <w:lang w:val="es-EC"/>
        </w:rPr>
        <w:t>CCPR/C/115/D/2016/2010)</w:t>
      </w:r>
      <w:r w:rsidRPr="00F25C88">
        <w:rPr>
          <w:spacing w:val="-1"/>
          <w:szCs w:val="18"/>
          <w:lang w:val="es-EC" w:eastAsia="en-GB"/>
        </w:rPr>
        <w:t xml:space="preserve">, para. </w:t>
      </w:r>
      <w:r w:rsidRPr="00E655A9">
        <w:rPr>
          <w:spacing w:val="-1"/>
          <w:szCs w:val="18"/>
          <w:lang w:eastAsia="en-GB"/>
        </w:rPr>
        <w:t>7.3.</w:t>
      </w:r>
    </w:p>
  </w:footnote>
  <w:footnote w:id="7">
    <w:p w14:paraId="12BFC6E5" w14:textId="4627F4F8" w:rsidR="00586B4A" w:rsidRPr="00534771" w:rsidRDefault="00586B4A" w:rsidP="00586B4A">
      <w:pPr>
        <w:pStyle w:val="FootnoteText"/>
      </w:pPr>
      <w:r w:rsidRPr="00361509">
        <w:tab/>
      </w:r>
      <w:r w:rsidRPr="00361509">
        <w:rPr>
          <w:rStyle w:val="FootnoteReference"/>
        </w:rPr>
        <w:footnoteRef/>
      </w:r>
      <w:r w:rsidRPr="00361509">
        <w:tab/>
        <w:t>See</w:t>
      </w:r>
      <w:r w:rsidR="00D54C4B">
        <w:t>, Human Rights</w:t>
      </w:r>
      <w:r>
        <w:t xml:space="preserve"> Committee</w:t>
      </w:r>
      <w:r w:rsidR="00D54C4B">
        <w:t xml:space="preserve">, </w:t>
      </w:r>
      <w:r>
        <w:t xml:space="preserve">’s </w:t>
      </w:r>
      <w:r w:rsidRPr="00361509">
        <w:t>general comment No. 32 (2007) on the right to equality before courts and tribunals and to a fair trial</w:t>
      </w:r>
      <w:r w:rsidRPr="00361509">
        <w:rPr>
          <w:szCs w:val="18"/>
        </w:rPr>
        <w:t>,</w:t>
      </w:r>
      <w:r w:rsidRPr="00361509">
        <w:t xml:space="preserve"> para. </w:t>
      </w:r>
      <w:r w:rsidRPr="00962FCC">
        <w:rPr>
          <w:lang w:val="es-ES"/>
        </w:rPr>
        <w:t xml:space="preserve">26. </w:t>
      </w:r>
      <w:proofErr w:type="spellStart"/>
      <w:r w:rsidRPr="00962FCC">
        <w:rPr>
          <w:lang w:val="es-ES"/>
        </w:rPr>
        <w:t>See</w:t>
      </w:r>
      <w:proofErr w:type="spellEnd"/>
      <w:r w:rsidRPr="00962FCC">
        <w:rPr>
          <w:lang w:val="es-ES"/>
        </w:rPr>
        <w:t xml:space="preserve"> </w:t>
      </w:r>
      <w:proofErr w:type="spellStart"/>
      <w:r w:rsidRPr="00962FCC">
        <w:rPr>
          <w:lang w:val="es-ES"/>
        </w:rPr>
        <w:t>also</w:t>
      </w:r>
      <w:proofErr w:type="spellEnd"/>
      <w:r w:rsidRPr="00962FCC">
        <w:rPr>
          <w:lang w:val="es-ES"/>
        </w:rPr>
        <w:t xml:space="preserve">, </w:t>
      </w:r>
      <w:r w:rsidRPr="00962FCC">
        <w:rPr>
          <w:iCs/>
          <w:lang w:val="es-ES"/>
        </w:rPr>
        <w:t xml:space="preserve">inter </w:t>
      </w:r>
      <w:proofErr w:type="spellStart"/>
      <w:r w:rsidRPr="00962FCC">
        <w:rPr>
          <w:iCs/>
          <w:lang w:val="es-ES"/>
        </w:rPr>
        <w:t>alia</w:t>
      </w:r>
      <w:proofErr w:type="spellEnd"/>
      <w:r w:rsidRPr="00962FCC">
        <w:rPr>
          <w:iCs/>
          <w:lang w:val="es-ES"/>
        </w:rPr>
        <w:t xml:space="preserve">, </w:t>
      </w:r>
      <w:proofErr w:type="spellStart"/>
      <w:r w:rsidRPr="00962FCC">
        <w:rPr>
          <w:i/>
          <w:iCs/>
          <w:lang w:val="es-ES"/>
        </w:rPr>
        <w:t>Svetik</w:t>
      </w:r>
      <w:proofErr w:type="spellEnd"/>
      <w:r w:rsidRPr="00962FCC">
        <w:rPr>
          <w:i/>
          <w:iCs/>
          <w:lang w:val="es-ES"/>
        </w:rPr>
        <w:t xml:space="preserve"> </w:t>
      </w:r>
      <w:r w:rsidRPr="00962FCC">
        <w:rPr>
          <w:i/>
          <w:lang w:val="es-ES"/>
        </w:rPr>
        <w:t>v.</w:t>
      </w:r>
      <w:r w:rsidRPr="00962FCC">
        <w:rPr>
          <w:i/>
          <w:iCs/>
          <w:lang w:val="es-ES"/>
        </w:rPr>
        <w:t xml:space="preserve"> </w:t>
      </w:r>
      <w:proofErr w:type="spellStart"/>
      <w:r w:rsidRPr="00962FCC">
        <w:rPr>
          <w:i/>
          <w:iCs/>
          <w:lang w:val="es-ES"/>
        </w:rPr>
        <w:t>Belarus</w:t>
      </w:r>
      <w:proofErr w:type="spellEnd"/>
      <w:r w:rsidRPr="00962FCC">
        <w:rPr>
          <w:lang w:val="es-ES"/>
        </w:rPr>
        <w:t xml:space="preserve"> (CCPR/C/81/D/927/2000), para. 6.3; and </w:t>
      </w:r>
      <w:r w:rsidRPr="00962FCC">
        <w:rPr>
          <w:i/>
          <w:iCs/>
          <w:lang w:val="es-ES"/>
        </w:rPr>
        <w:t xml:space="preserve">Cuartero Casado </w:t>
      </w:r>
      <w:r w:rsidRPr="00962FCC">
        <w:rPr>
          <w:i/>
          <w:lang w:val="es-ES"/>
        </w:rPr>
        <w:t xml:space="preserve">v. </w:t>
      </w:r>
      <w:proofErr w:type="spellStart"/>
      <w:r w:rsidRPr="00962FCC">
        <w:rPr>
          <w:i/>
          <w:iCs/>
          <w:lang w:val="es-ES"/>
        </w:rPr>
        <w:t>Spain</w:t>
      </w:r>
      <w:proofErr w:type="spellEnd"/>
      <w:r w:rsidRPr="00962FCC">
        <w:rPr>
          <w:lang w:val="es-ES"/>
        </w:rPr>
        <w:t xml:space="preserve"> (CCPR/C/84/D/1399/2005), para. </w:t>
      </w:r>
      <w:r w:rsidRPr="00534771">
        <w:t xml:space="preserve">4.3; and </w:t>
      </w:r>
      <w:proofErr w:type="spellStart"/>
      <w:r w:rsidRPr="00534771">
        <w:rPr>
          <w:i/>
          <w:szCs w:val="18"/>
        </w:rPr>
        <w:t>Levinov</w:t>
      </w:r>
      <w:proofErr w:type="spellEnd"/>
      <w:r w:rsidRPr="00534771">
        <w:rPr>
          <w:i/>
          <w:szCs w:val="18"/>
        </w:rPr>
        <w:t xml:space="preserve"> v. Belarus</w:t>
      </w:r>
      <w:r w:rsidRPr="00534771">
        <w:rPr>
          <w:szCs w:val="18"/>
        </w:rPr>
        <w:t xml:space="preserve"> (CCPR/C/105/D/1867/2009, 1936, 1975, 1977-1981, 2010/2010), para. 9.5</w:t>
      </w:r>
      <w:r w:rsidRPr="00534771">
        <w:t>.</w:t>
      </w:r>
    </w:p>
  </w:footnote>
  <w:footnote w:id="8">
    <w:p w14:paraId="5D39D5D1" w14:textId="5B7B3D43" w:rsidR="004B652E" w:rsidRPr="005A6E69" w:rsidRDefault="004B652E" w:rsidP="004B652E">
      <w:pPr>
        <w:pStyle w:val="FootnoteText"/>
        <w:rPr>
          <w:sz w:val="24"/>
          <w:szCs w:val="24"/>
        </w:rPr>
      </w:pPr>
      <w:r w:rsidRPr="005A6E69">
        <w:rPr>
          <w:sz w:val="24"/>
          <w:szCs w:val="24"/>
        </w:rPr>
        <w:tab/>
      </w:r>
      <w:r w:rsidRPr="005A6E69">
        <w:rPr>
          <w:rStyle w:val="FootnoteReference"/>
        </w:rPr>
        <w:footnoteRef/>
      </w:r>
      <w:r w:rsidRPr="005A6E69">
        <w:rPr>
          <w:sz w:val="24"/>
          <w:szCs w:val="24"/>
        </w:rPr>
        <w:tab/>
      </w:r>
      <w:r w:rsidR="009B3CA0">
        <w:t>Human Rights Committee, general comment No. 35 (2014) on the right to liberty and security of person, para.31.</w:t>
      </w:r>
    </w:p>
  </w:footnote>
  <w:footnote w:id="9">
    <w:p w14:paraId="0ECCA7BE" w14:textId="28B419E5" w:rsidR="004B652E" w:rsidRPr="00EB2D2A" w:rsidRDefault="004B652E" w:rsidP="004B652E">
      <w:pPr>
        <w:pStyle w:val="FootnoteText"/>
        <w:rPr>
          <w:lang w:val="es-ES"/>
        </w:rPr>
      </w:pPr>
      <w:r w:rsidRPr="005A6E69">
        <w:tab/>
      </w:r>
      <w:r w:rsidRPr="005A6E69">
        <w:rPr>
          <w:rStyle w:val="FootnoteReference"/>
        </w:rPr>
        <w:footnoteRef/>
      </w:r>
      <w:r w:rsidRPr="005A6E69">
        <w:tab/>
      </w:r>
      <w:r w:rsidRPr="005A6E69">
        <w:tab/>
      </w:r>
      <w:r w:rsidR="009B3CA0" w:rsidRPr="00D74CB3">
        <w:rPr>
          <w:szCs w:val="18"/>
        </w:rPr>
        <w:t>Human Rights Committee</w:t>
      </w:r>
      <w:r w:rsidR="009B3CA0" w:rsidRPr="00DB5026">
        <w:t xml:space="preserve">, </w:t>
      </w:r>
      <w:r w:rsidR="009B3CA0" w:rsidRPr="005A6E69">
        <w:t xml:space="preserve">general comment No. 32 (2007), </w:t>
      </w:r>
      <w:r w:rsidR="009B3CA0">
        <w:t xml:space="preserve">supra n. </w:t>
      </w:r>
      <w:r w:rsidR="009B3CA0">
        <w:fldChar w:fldCharType="begin"/>
      </w:r>
      <w:r w:rsidR="009B3CA0">
        <w:instrText xml:space="preserve"> NOTEREF _Ref84587505 \h </w:instrText>
      </w:r>
      <w:r w:rsidR="009B3CA0">
        <w:fldChar w:fldCharType="separate"/>
      </w:r>
      <w:r w:rsidR="0073354E">
        <w:t>5</w:t>
      </w:r>
      <w:r w:rsidR="009B3CA0">
        <w:fldChar w:fldCharType="end"/>
      </w:r>
      <w:r w:rsidR="009B3CA0" w:rsidRPr="00042CA7">
        <w:rPr>
          <w:lang w:val="es-ES"/>
        </w:rPr>
        <w:t xml:space="preserve">, para. 15. </w:t>
      </w:r>
      <w:proofErr w:type="spellStart"/>
      <w:r w:rsidR="009B3CA0" w:rsidRPr="00042CA7">
        <w:rPr>
          <w:lang w:val="es-ES"/>
        </w:rPr>
        <w:t>See</w:t>
      </w:r>
      <w:proofErr w:type="spellEnd"/>
      <w:r w:rsidR="009B3CA0" w:rsidRPr="00042CA7">
        <w:rPr>
          <w:lang w:val="es-ES"/>
        </w:rPr>
        <w:t xml:space="preserve"> </w:t>
      </w:r>
      <w:proofErr w:type="spellStart"/>
      <w:r w:rsidR="009B3CA0" w:rsidRPr="00042CA7">
        <w:rPr>
          <w:lang w:val="es-ES"/>
        </w:rPr>
        <w:t>also</w:t>
      </w:r>
      <w:proofErr w:type="spellEnd"/>
      <w:r w:rsidR="009B3CA0" w:rsidRPr="00042CA7">
        <w:rPr>
          <w:lang w:val="es-ES"/>
        </w:rPr>
        <w:t xml:space="preserve">, </w:t>
      </w:r>
      <w:proofErr w:type="spellStart"/>
      <w:r w:rsidRPr="00042CA7">
        <w:rPr>
          <w:i/>
          <w:iCs/>
          <w:lang w:val="es-ES"/>
        </w:rPr>
        <w:t>Osiyuk</w:t>
      </w:r>
      <w:proofErr w:type="spellEnd"/>
      <w:r w:rsidRPr="00042CA7">
        <w:rPr>
          <w:i/>
          <w:iCs/>
          <w:lang w:val="es-ES"/>
        </w:rPr>
        <w:t xml:space="preserve"> v. </w:t>
      </w:r>
      <w:proofErr w:type="spellStart"/>
      <w:r w:rsidRPr="00042CA7">
        <w:rPr>
          <w:i/>
          <w:iCs/>
          <w:lang w:val="es-ES"/>
        </w:rPr>
        <w:t>Belarus</w:t>
      </w:r>
      <w:proofErr w:type="spellEnd"/>
      <w:r w:rsidRPr="00042CA7">
        <w:rPr>
          <w:i/>
          <w:iCs/>
          <w:lang w:val="es-ES"/>
        </w:rPr>
        <w:t xml:space="preserve"> </w:t>
      </w:r>
      <w:r w:rsidRPr="00042CA7">
        <w:rPr>
          <w:lang w:val="es-ES"/>
        </w:rPr>
        <w:t xml:space="preserve">(CCPR/C/96/D/1311/2004), para. 7.3; and </w:t>
      </w:r>
      <w:proofErr w:type="spellStart"/>
      <w:r w:rsidRPr="00042CA7">
        <w:rPr>
          <w:i/>
          <w:lang w:val="es-ES"/>
        </w:rPr>
        <w:t>Zhagiparov</w:t>
      </w:r>
      <w:proofErr w:type="spellEnd"/>
      <w:r w:rsidRPr="00042CA7">
        <w:rPr>
          <w:i/>
          <w:lang w:val="es-ES"/>
        </w:rPr>
        <w:t xml:space="preserve"> v. </w:t>
      </w:r>
      <w:proofErr w:type="spellStart"/>
      <w:r w:rsidRPr="00042CA7">
        <w:rPr>
          <w:i/>
          <w:lang w:val="es-ES"/>
        </w:rPr>
        <w:t>Kazakhstan</w:t>
      </w:r>
      <w:proofErr w:type="spellEnd"/>
      <w:r w:rsidRPr="00042CA7">
        <w:rPr>
          <w:lang w:val="es-ES"/>
        </w:rPr>
        <w:t xml:space="preserve"> (C</w:t>
      </w:r>
      <w:r w:rsidRPr="00042CA7">
        <w:rPr>
          <w:bCs/>
          <w:lang w:val="es-ES"/>
        </w:rPr>
        <w:t xml:space="preserve">CPR/C/124/D/2441/2014), para. </w:t>
      </w:r>
      <w:r w:rsidRPr="00EB2D2A">
        <w:rPr>
          <w:bCs/>
          <w:lang w:val="es-ES"/>
        </w:rPr>
        <w:t>13.7</w:t>
      </w:r>
      <w:r w:rsidRPr="00EB2D2A">
        <w:rPr>
          <w:i/>
          <w:lang w:val="es-ES"/>
        </w:rPr>
        <w:t>.</w:t>
      </w:r>
      <w:r w:rsidRPr="00EB2D2A">
        <w:rPr>
          <w:lang w:val="es-ES"/>
        </w:rPr>
        <w:t xml:space="preserve">  </w:t>
      </w:r>
    </w:p>
  </w:footnote>
  <w:footnote w:id="10">
    <w:p w14:paraId="5C4BDE51" w14:textId="468F0C12" w:rsidR="004B652E" w:rsidRPr="00042CA7" w:rsidRDefault="004B652E" w:rsidP="004B652E">
      <w:pPr>
        <w:pStyle w:val="FootnoteText"/>
      </w:pPr>
      <w:r w:rsidRPr="00EB2D2A">
        <w:rPr>
          <w:lang w:val="es-ES"/>
        </w:rPr>
        <w:tab/>
      </w:r>
      <w:r w:rsidRPr="005A6E69">
        <w:rPr>
          <w:rStyle w:val="FootnoteReference"/>
        </w:rPr>
        <w:footnoteRef/>
      </w:r>
      <w:r w:rsidRPr="00EB2D2A">
        <w:rPr>
          <w:lang w:val="es-ES"/>
        </w:rPr>
        <w:tab/>
      </w:r>
      <w:r w:rsidRPr="00EB2D2A">
        <w:rPr>
          <w:lang w:val="es-ES"/>
        </w:rPr>
        <w:tab/>
      </w:r>
      <w:proofErr w:type="spellStart"/>
      <w:r w:rsidRPr="00EB2D2A">
        <w:rPr>
          <w:lang w:val="es-ES"/>
        </w:rPr>
        <w:t>See</w:t>
      </w:r>
      <w:proofErr w:type="spellEnd"/>
      <w:r w:rsidRPr="00EB2D2A">
        <w:rPr>
          <w:lang w:val="es-ES"/>
        </w:rPr>
        <w:t xml:space="preserve">, </w:t>
      </w:r>
      <w:proofErr w:type="spellStart"/>
      <w:r w:rsidR="00D54C4B" w:rsidRPr="00042CA7">
        <w:rPr>
          <w:i/>
          <w:lang w:val="es-ES"/>
        </w:rPr>
        <w:t>Volchek</w:t>
      </w:r>
      <w:proofErr w:type="spellEnd"/>
      <w:r w:rsidR="00D54C4B" w:rsidRPr="00042CA7">
        <w:rPr>
          <w:i/>
          <w:lang w:val="es-ES"/>
        </w:rPr>
        <w:t xml:space="preserve"> v. </w:t>
      </w:r>
      <w:proofErr w:type="spellStart"/>
      <w:r w:rsidR="00D54C4B" w:rsidRPr="00042CA7">
        <w:rPr>
          <w:i/>
          <w:lang w:val="es-ES"/>
        </w:rPr>
        <w:t>Belarus</w:t>
      </w:r>
      <w:proofErr w:type="spellEnd"/>
      <w:r w:rsidR="00D54C4B" w:rsidRPr="00042CA7">
        <w:rPr>
          <w:i/>
          <w:lang w:val="es-ES"/>
        </w:rPr>
        <w:t xml:space="preserve"> </w:t>
      </w:r>
      <w:r w:rsidR="00D54C4B" w:rsidRPr="00042CA7">
        <w:rPr>
          <w:lang w:val="es-ES"/>
        </w:rPr>
        <w:t xml:space="preserve">(CCPR/C/129/D/2337/2014), para. </w:t>
      </w:r>
      <w:r w:rsidR="00D54C4B" w:rsidRPr="00042CA7">
        <w:t>6.5.</w:t>
      </w:r>
    </w:p>
  </w:footnote>
  <w:footnote w:id="11">
    <w:p w14:paraId="0BFC860C" w14:textId="77777777" w:rsidR="00F34973" w:rsidRPr="00534771" w:rsidRDefault="00F34973" w:rsidP="00F34973">
      <w:pPr>
        <w:pStyle w:val="FootnoteText"/>
        <w:jc w:val="both"/>
      </w:pPr>
      <w:r w:rsidRPr="00534771">
        <w:tab/>
      </w:r>
      <w:r>
        <w:rPr>
          <w:rStyle w:val="FootnoteReference"/>
        </w:rPr>
        <w:footnoteRef/>
      </w:r>
      <w:r w:rsidRPr="00534771">
        <w:tab/>
      </w:r>
      <w:proofErr w:type="spellStart"/>
      <w:r w:rsidRPr="00534771">
        <w:rPr>
          <w:i/>
          <w:iCs/>
        </w:rPr>
        <w:t>Laptsevich</w:t>
      </w:r>
      <w:proofErr w:type="spellEnd"/>
      <w:r w:rsidRPr="00534771">
        <w:t xml:space="preserve"> v.</w:t>
      </w:r>
      <w:r w:rsidRPr="00534771">
        <w:rPr>
          <w:i/>
        </w:rPr>
        <w:t xml:space="preserve"> Belarus </w:t>
      </w:r>
      <w:r w:rsidRPr="00534771">
        <w:t>(</w:t>
      </w:r>
      <w:r w:rsidRPr="00534771">
        <w:rPr>
          <w:bCs/>
        </w:rPr>
        <w:t>CCPR/C/68/D/780/1997)</w:t>
      </w:r>
      <w:r w:rsidRPr="00534771">
        <w:t>, para. 8.1.</w:t>
      </w:r>
    </w:p>
  </w:footnote>
  <w:footnote w:id="12">
    <w:p w14:paraId="47097E0A" w14:textId="05EDB799" w:rsidR="002B58EB" w:rsidRPr="00FE39FA" w:rsidRDefault="00074755" w:rsidP="00074755">
      <w:pPr>
        <w:pStyle w:val="FootnoteText"/>
        <w:rPr>
          <w:lang w:val="en-US"/>
        </w:rPr>
      </w:pPr>
      <w:r>
        <w:tab/>
      </w:r>
      <w:r w:rsidR="002B58EB">
        <w:rPr>
          <w:rStyle w:val="FootnoteReference"/>
        </w:rPr>
        <w:footnoteRef/>
      </w:r>
      <w:r w:rsidR="002B58EB">
        <w:t xml:space="preserve"> </w:t>
      </w:r>
      <w:r>
        <w:tab/>
      </w:r>
      <w:r>
        <w:tab/>
      </w:r>
      <w:r w:rsidR="009B3CA0">
        <w:t>Human Rights Committee, g</w:t>
      </w:r>
      <w:r w:rsidR="002B58EB" w:rsidRPr="00FE39FA">
        <w:t>eneral comment No. 37 (2020) on the right of peaceful assembly, para 6</w:t>
      </w:r>
      <w:r w:rsidR="002B58EB">
        <w:t>.</w:t>
      </w:r>
    </w:p>
  </w:footnote>
  <w:footnote w:id="13">
    <w:p w14:paraId="52351AD4" w14:textId="738018DC" w:rsidR="002B58EB" w:rsidRPr="00FE39FA" w:rsidRDefault="00074755" w:rsidP="00074755">
      <w:pPr>
        <w:pStyle w:val="FootnoteText"/>
        <w:rPr>
          <w:lang w:val="en-US"/>
        </w:rPr>
      </w:pPr>
      <w:r>
        <w:tab/>
      </w:r>
      <w:r w:rsidR="002B58EB">
        <w:rPr>
          <w:rStyle w:val="FootnoteReference"/>
        </w:rPr>
        <w:footnoteRef/>
      </w:r>
      <w:r w:rsidR="002B58EB">
        <w:t xml:space="preserve"> </w:t>
      </w:r>
      <w:r>
        <w:tab/>
      </w:r>
      <w:r>
        <w:tab/>
      </w:r>
      <w:r w:rsidR="002B58EB" w:rsidRPr="00FE39FA">
        <w:rPr>
          <w:i/>
        </w:rPr>
        <w:t>Ibid</w:t>
      </w:r>
      <w:r w:rsidR="002B58EB" w:rsidRPr="00FE39FA">
        <w:t>., para 36.</w:t>
      </w:r>
    </w:p>
  </w:footnote>
  <w:footnote w:id="14">
    <w:p w14:paraId="5A530A1C" w14:textId="08610953" w:rsidR="002B58EB" w:rsidRPr="00AF1FC8" w:rsidRDefault="00074755" w:rsidP="00074755">
      <w:pPr>
        <w:pStyle w:val="FootnoteText"/>
        <w:rPr>
          <w:lang w:val="en-US"/>
        </w:rPr>
      </w:pPr>
      <w:r>
        <w:tab/>
      </w:r>
      <w:r w:rsidR="002B58EB">
        <w:rPr>
          <w:rStyle w:val="FootnoteReference"/>
        </w:rPr>
        <w:footnoteRef/>
      </w:r>
      <w:r w:rsidR="002B58EB">
        <w:t xml:space="preserve"> </w:t>
      </w:r>
      <w:r>
        <w:tab/>
      </w:r>
      <w:r>
        <w:tab/>
      </w:r>
      <w:r w:rsidR="002B58EB">
        <w:t>See</w:t>
      </w:r>
      <w:r w:rsidR="00D74092">
        <w:t>,</w:t>
      </w:r>
      <w:r w:rsidR="002B58EB">
        <w:t xml:space="preserve"> </w:t>
      </w:r>
      <w:proofErr w:type="spellStart"/>
      <w:r w:rsidR="002B58EB" w:rsidRPr="00AF1FC8">
        <w:rPr>
          <w:i/>
        </w:rPr>
        <w:t>Poplavny</w:t>
      </w:r>
      <w:proofErr w:type="spellEnd"/>
      <w:r w:rsidR="002B58EB" w:rsidRPr="00AF1FC8">
        <w:rPr>
          <w:i/>
        </w:rPr>
        <w:t xml:space="preserve"> and </w:t>
      </w:r>
      <w:proofErr w:type="spellStart"/>
      <w:r w:rsidR="002B58EB" w:rsidRPr="00AF1FC8">
        <w:rPr>
          <w:i/>
        </w:rPr>
        <w:t>Sudalenko</w:t>
      </w:r>
      <w:proofErr w:type="spellEnd"/>
      <w:r w:rsidR="002B58EB" w:rsidRPr="00AF1FC8">
        <w:rPr>
          <w:i/>
        </w:rPr>
        <w:t xml:space="preserve"> v. Belarus</w:t>
      </w:r>
      <w:r w:rsidR="002B58EB">
        <w:t xml:space="preserve"> (</w:t>
      </w:r>
      <w:r w:rsidR="002B58EB" w:rsidRPr="00F53728">
        <w:t>CCPR/C/122/D/2190/2012</w:t>
      </w:r>
      <w:r w:rsidR="002B58EB">
        <w:t>)</w:t>
      </w:r>
      <w:r w:rsidR="002B58EB" w:rsidRPr="00AF1FC8">
        <w:t>, para. 8.5.</w:t>
      </w:r>
    </w:p>
  </w:footnote>
  <w:footnote w:id="15">
    <w:p w14:paraId="5167D2B3" w14:textId="0E8C034A" w:rsidR="002B58EB" w:rsidRPr="00534771" w:rsidRDefault="002B58EB" w:rsidP="002B58EB">
      <w:pPr>
        <w:pStyle w:val="FootnoteText"/>
      </w:pPr>
      <w:r w:rsidRPr="00534771">
        <w:tab/>
      </w:r>
      <w:r w:rsidRPr="00D32941">
        <w:rPr>
          <w:rStyle w:val="FootnoteReference"/>
        </w:rPr>
        <w:footnoteRef/>
      </w:r>
      <w:r w:rsidRPr="00D32941">
        <w:rPr>
          <w:rStyle w:val="FootnoteReference"/>
        </w:rPr>
        <w:t xml:space="preserve"> </w:t>
      </w:r>
      <w:r w:rsidRPr="00534771">
        <w:tab/>
        <w:t xml:space="preserve">Human Rights Committee, general comment No. 37 (2020), </w:t>
      </w:r>
      <w:r w:rsidR="009B3CA0">
        <w:t xml:space="preserve">supra n. </w:t>
      </w:r>
      <w:r w:rsidR="009B3CA0">
        <w:fldChar w:fldCharType="begin"/>
      </w:r>
      <w:r w:rsidR="009B3CA0">
        <w:instrText xml:space="preserve"> NOTEREF _Ref84588030 \h </w:instrText>
      </w:r>
      <w:r w:rsidR="009B3CA0">
        <w:fldChar w:fldCharType="separate"/>
      </w:r>
      <w:r w:rsidR="0073354E">
        <w:t>10</w:t>
      </w:r>
      <w:r w:rsidR="009B3CA0">
        <w:fldChar w:fldCharType="end"/>
      </w:r>
      <w:r w:rsidR="009B3CA0">
        <w:t xml:space="preserve">, </w:t>
      </w:r>
      <w:r w:rsidRPr="00534771">
        <w:t>para. 36.</w:t>
      </w:r>
    </w:p>
  </w:footnote>
  <w:footnote w:id="16">
    <w:p w14:paraId="3D4922AA" w14:textId="77777777" w:rsidR="00627CBF" w:rsidRPr="00534771" w:rsidRDefault="00627CBF" w:rsidP="00C8560D">
      <w:pPr>
        <w:pStyle w:val="FootnoteText"/>
      </w:pPr>
      <w:r w:rsidRPr="00534771">
        <w:tab/>
      </w:r>
      <w:r w:rsidRPr="00D32941">
        <w:rPr>
          <w:rStyle w:val="FootnoteReference"/>
        </w:rPr>
        <w:footnoteRef/>
      </w:r>
      <w:r w:rsidRPr="00D32941">
        <w:rPr>
          <w:rStyle w:val="FootnoteReference"/>
        </w:rPr>
        <w:t xml:space="preserve"> </w:t>
      </w:r>
      <w:r w:rsidRPr="00534771">
        <w:tab/>
        <w:t>Ibid., para. 38.</w:t>
      </w:r>
    </w:p>
  </w:footnote>
  <w:footnote w:id="17">
    <w:p w14:paraId="2D2B6BDE" w14:textId="0BA91278" w:rsidR="00E75A7C" w:rsidRPr="00496D8F" w:rsidRDefault="00E75A7C" w:rsidP="00C8560D">
      <w:pPr>
        <w:pStyle w:val="FootnoteText"/>
        <w:jc w:val="both"/>
        <w:rPr>
          <w:lang w:val="en-US"/>
        </w:rPr>
      </w:pPr>
      <w:r>
        <w:tab/>
      </w:r>
      <w:r>
        <w:rPr>
          <w:rStyle w:val="FootnoteReference"/>
        </w:rPr>
        <w:footnoteRef/>
      </w:r>
      <w:r>
        <w:t xml:space="preserve"> </w:t>
      </w:r>
      <w:r w:rsidR="00C8560D">
        <w:tab/>
      </w:r>
      <w:r w:rsidR="009B3CA0">
        <w:t>Human Rights Committee, g</w:t>
      </w:r>
      <w:r w:rsidRPr="00496D8F">
        <w:t>eneral comment No. 34 (2011) on the freedoms of opinion and expression, para. 2</w:t>
      </w:r>
      <w:r w:rsidR="00C8560D">
        <w:t>.</w:t>
      </w:r>
    </w:p>
  </w:footnote>
  <w:footnote w:id="18">
    <w:p w14:paraId="75D5E702" w14:textId="397D462A" w:rsidR="00E75A7C" w:rsidRPr="00042CA7" w:rsidRDefault="00C8560D" w:rsidP="00C8560D">
      <w:pPr>
        <w:pStyle w:val="FootnoteText"/>
      </w:pPr>
      <w:r>
        <w:tab/>
      </w:r>
      <w:r w:rsidR="00E75A7C">
        <w:rPr>
          <w:rStyle w:val="FootnoteReference"/>
        </w:rPr>
        <w:footnoteRef/>
      </w:r>
      <w:r w:rsidR="00E75A7C">
        <w:t xml:space="preserve"> </w:t>
      </w:r>
      <w:r>
        <w:tab/>
      </w:r>
      <w:r>
        <w:tab/>
      </w:r>
      <w:r w:rsidR="00E75A7C" w:rsidRPr="00E21586">
        <w:rPr>
          <w:i/>
        </w:rPr>
        <w:t>Ibid</w:t>
      </w:r>
      <w:r w:rsidR="00E75A7C">
        <w:t xml:space="preserve">., para. 22. </w:t>
      </w:r>
      <w:r w:rsidR="00E75A7C" w:rsidRPr="00A17B89">
        <w:t>See</w:t>
      </w:r>
      <w:r w:rsidR="00E75A7C">
        <w:t xml:space="preserve"> also </w:t>
      </w:r>
      <w:proofErr w:type="spellStart"/>
      <w:r w:rsidR="00E75A7C" w:rsidRPr="00E21586">
        <w:rPr>
          <w:i/>
        </w:rPr>
        <w:t>Turchenyak</w:t>
      </w:r>
      <w:proofErr w:type="spellEnd"/>
      <w:r w:rsidR="00E75A7C" w:rsidRPr="00E21586">
        <w:rPr>
          <w:i/>
        </w:rPr>
        <w:t xml:space="preserve"> et al. v. Belarus</w:t>
      </w:r>
      <w:r w:rsidR="00E75A7C">
        <w:t xml:space="preserve"> (</w:t>
      </w:r>
      <w:r w:rsidR="00E75A7C" w:rsidRPr="00E21586">
        <w:t>CCPR/C/108/D/1948/2010</w:t>
      </w:r>
      <w:r w:rsidR="00E75A7C">
        <w:t>)</w:t>
      </w:r>
      <w:r w:rsidR="00E75A7C" w:rsidRPr="00A17B89">
        <w:t xml:space="preserve">, para. 7.7; </w:t>
      </w:r>
      <w:r w:rsidR="00E75A7C">
        <w:t xml:space="preserve">and </w:t>
      </w:r>
      <w:proofErr w:type="spellStart"/>
      <w:r w:rsidR="00E75A7C" w:rsidRPr="00E21586">
        <w:rPr>
          <w:i/>
        </w:rPr>
        <w:t>Korol</w:t>
      </w:r>
      <w:proofErr w:type="spellEnd"/>
      <w:r w:rsidR="00E75A7C" w:rsidRPr="00E21586">
        <w:rPr>
          <w:i/>
        </w:rPr>
        <w:t xml:space="preserve"> v. Belarus</w:t>
      </w:r>
      <w:r w:rsidR="00E75A7C">
        <w:t xml:space="preserve"> (</w:t>
      </w:r>
      <w:r w:rsidR="00E75A7C" w:rsidRPr="00E21586">
        <w:t>CCPR/C/117/D/2089/2011</w:t>
      </w:r>
      <w:r w:rsidR="00E75A7C">
        <w:t>)</w:t>
      </w:r>
      <w:r w:rsidR="00E75A7C" w:rsidRPr="00A17B89">
        <w:t xml:space="preserve">, para. </w:t>
      </w:r>
      <w:r w:rsidR="00E75A7C" w:rsidRPr="00042CA7">
        <w:t>7.3.</w:t>
      </w:r>
    </w:p>
  </w:footnote>
  <w:footnote w:id="19">
    <w:p w14:paraId="2A0C1CE2" w14:textId="0161DDCA" w:rsidR="00E75A7C" w:rsidRPr="00042CA7" w:rsidRDefault="00C8560D" w:rsidP="00C8560D">
      <w:pPr>
        <w:pStyle w:val="FootnoteText"/>
      </w:pPr>
      <w:r w:rsidRPr="00042CA7">
        <w:tab/>
      </w:r>
      <w:r w:rsidR="00E75A7C">
        <w:rPr>
          <w:rStyle w:val="FootnoteReference"/>
        </w:rPr>
        <w:footnoteRef/>
      </w:r>
      <w:r w:rsidR="00E75A7C" w:rsidRPr="00042CA7">
        <w:t xml:space="preserve"> </w:t>
      </w:r>
      <w:r w:rsidRPr="00042CA7">
        <w:tab/>
      </w:r>
      <w:r w:rsidR="009B3CA0" w:rsidRPr="00042CA7">
        <w:t>Human Rights Committee, g</w:t>
      </w:r>
      <w:r w:rsidR="00E75A7C" w:rsidRPr="00042CA7">
        <w:t>eneral comment No. 34</w:t>
      </w:r>
      <w:r w:rsidR="009B3CA0" w:rsidRPr="00042CA7">
        <w:t xml:space="preserve"> (2011)</w:t>
      </w:r>
      <w:r w:rsidR="00E75A7C" w:rsidRPr="00042CA7">
        <w:t>, supra note</w:t>
      </w:r>
      <w:r w:rsidR="009B3CA0">
        <w:rPr>
          <w:lang w:val="es-ES"/>
        </w:rPr>
        <w:fldChar w:fldCharType="begin"/>
      </w:r>
      <w:r w:rsidR="009B3CA0" w:rsidRPr="00042CA7">
        <w:instrText xml:space="preserve"> NOTEREF _Ref84588157 \h </w:instrText>
      </w:r>
      <w:r w:rsidR="009B3CA0">
        <w:rPr>
          <w:lang w:val="es-ES"/>
        </w:rPr>
      </w:r>
      <w:r w:rsidR="009B3CA0">
        <w:rPr>
          <w:lang w:val="es-ES"/>
        </w:rPr>
        <w:fldChar w:fldCharType="separate"/>
      </w:r>
      <w:r w:rsidR="0073354E">
        <w:t>15</w:t>
      </w:r>
      <w:r w:rsidR="009B3CA0">
        <w:rPr>
          <w:lang w:val="es-ES"/>
        </w:rPr>
        <w:fldChar w:fldCharType="end"/>
      </w:r>
      <w:r w:rsidR="00E75A7C" w:rsidRPr="00042CA7">
        <w:t>, para. 34.</w:t>
      </w:r>
    </w:p>
  </w:footnote>
  <w:footnote w:id="20">
    <w:p w14:paraId="2B5E6190" w14:textId="77777777" w:rsidR="001704B9" w:rsidRPr="007115AE" w:rsidRDefault="001704B9" w:rsidP="00C8560D">
      <w:pPr>
        <w:pStyle w:val="FootnoteText"/>
        <w:rPr>
          <w:lang w:val="es-ES"/>
        </w:rPr>
      </w:pPr>
      <w:r w:rsidRPr="00042CA7">
        <w:tab/>
      </w:r>
      <w:r w:rsidRPr="00B67016">
        <w:rPr>
          <w:rStyle w:val="FootnoteReference"/>
        </w:rPr>
        <w:footnoteRef/>
      </w:r>
      <w:r w:rsidRPr="00042CA7">
        <w:tab/>
        <w:t xml:space="preserve">See, for example, </w:t>
      </w:r>
      <w:proofErr w:type="spellStart"/>
      <w:r w:rsidRPr="00042CA7">
        <w:rPr>
          <w:i/>
          <w:iCs/>
        </w:rPr>
        <w:t>Pivonos</w:t>
      </w:r>
      <w:proofErr w:type="spellEnd"/>
      <w:r w:rsidRPr="00042CA7">
        <w:rPr>
          <w:i/>
          <w:iCs/>
        </w:rPr>
        <w:t xml:space="preserve"> v. Belarus</w:t>
      </w:r>
      <w:r w:rsidRPr="00042CA7">
        <w:t xml:space="preserve"> (CCPR/C/106/D/1830/2008), para. </w:t>
      </w:r>
      <w:r w:rsidRPr="00F17343">
        <w:rPr>
          <w:lang w:val="es-ES"/>
        </w:rPr>
        <w:t xml:space="preserve">9.3; </w:t>
      </w:r>
      <w:proofErr w:type="spellStart"/>
      <w:r w:rsidRPr="00F17343">
        <w:rPr>
          <w:i/>
          <w:iCs/>
          <w:lang w:val="es-ES"/>
        </w:rPr>
        <w:t>Olechkevitch</w:t>
      </w:r>
      <w:proofErr w:type="spellEnd"/>
      <w:r w:rsidRPr="00F17343">
        <w:rPr>
          <w:i/>
          <w:iCs/>
          <w:lang w:val="es-ES"/>
        </w:rPr>
        <w:t xml:space="preserve"> v. </w:t>
      </w:r>
      <w:proofErr w:type="spellStart"/>
      <w:r w:rsidRPr="00F17343">
        <w:rPr>
          <w:i/>
          <w:iCs/>
          <w:lang w:val="es-ES"/>
        </w:rPr>
        <w:t>Belarus</w:t>
      </w:r>
      <w:proofErr w:type="spellEnd"/>
      <w:r w:rsidRPr="00F17343">
        <w:rPr>
          <w:lang w:val="es-ES"/>
        </w:rPr>
        <w:t xml:space="preserve"> (CCPR/C/107/D/1785/2008), para. </w:t>
      </w:r>
      <w:r w:rsidRPr="007115AE">
        <w:rPr>
          <w:lang w:val="es-ES"/>
        </w:rPr>
        <w:t xml:space="preserve">8.5; and </w:t>
      </w:r>
      <w:proofErr w:type="spellStart"/>
      <w:r w:rsidRPr="007115AE">
        <w:rPr>
          <w:i/>
          <w:lang w:val="es-ES"/>
        </w:rPr>
        <w:t>Androsenko</w:t>
      </w:r>
      <w:proofErr w:type="spellEnd"/>
      <w:r w:rsidRPr="007115AE">
        <w:rPr>
          <w:i/>
          <w:lang w:val="es-ES"/>
        </w:rPr>
        <w:t xml:space="preserve"> v. </w:t>
      </w:r>
      <w:proofErr w:type="spellStart"/>
      <w:r w:rsidRPr="007115AE">
        <w:rPr>
          <w:i/>
          <w:lang w:val="es-ES"/>
        </w:rPr>
        <w:t>Belarus</w:t>
      </w:r>
      <w:proofErr w:type="spellEnd"/>
      <w:r w:rsidRPr="007115AE">
        <w:rPr>
          <w:i/>
          <w:lang w:val="es-ES"/>
        </w:rPr>
        <w:t xml:space="preserve"> </w:t>
      </w:r>
      <w:r w:rsidRPr="007115AE">
        <w:rPr>
          <w:lang w:val="es-ES"/>
        </w:rPr>
        <w:t>(</w:t>
      </w:r>
      <w:r w:rsidRPr="007115AE">
        <w:rPr>
          <w:bCs/>
          <w:szCs w:val="18"/>
          <w:lang w:val="es-ES"/>
        </w:rPr>
        <w:t>CCPR/C/116/D/2092/2011)</w:t>
      </w:r>
      <w:r w:rsidRPr="007115AE">
        <w:rPr>
          <w:lang w:val="es-ES"/>
        </w:rPr>
        <w:t>, para. 7.3.</w:t>
      </w:r>
    </w:p>
  </w:footnote>
  <w:footnote w:id="21">
    <w:p w14:paraId="2B35FDD5" w14:textId="12AFF88F" w:rsidR="006661E6" w:rsidRPr="00042CA7" w:rsidRDefault="00C8560D" w:rsidP="00C8560D">
      <w:pPr>
        <w:pStyle w:val="FootnoteText"/>
      </w:pPr>
      <w:r w:rsidRPr="007115AE">
        <w:rPr>
          <w:lang w:val="es-ES"/>
        </w:rPr>
        <w:tab/>
      </w:r>
      <w:r w:rsidR="006661E6">
        <w:rPr>
          <w:rStyle w:val="FootnoteReference"/>
        </w:rPr>
        <w:footnoteRef/>
      </w:r>
      <w:r w:rsidR="005A75C2" w:rsidRPr="007115AE">
        <w:rPr>
          <w:lang w:val="es-ES"/>
        </w:rPr>
        <w:t xml:space="preserve"> </w:t>
      </w:r>
      <w:r w:rsidRPr="007115AE">
        <w:rPr>
          <w:lang w:val="es-ES"/>
        </w:rPr>
        <w:tab/>
      </w:r>
      <w:r w:rsidRPr="007115AE">
        <w:rPr>
          <w:lang w:val="es-ES"/>
        </w:rPr>
        <w:tab/>
      </w:r>
      <w:proofErr w:type="spellStart"/>
      <w:r w:rsidR="006661E6" w:rsidRPr="007115AE">
        <w:rPr>
          <w:i/>
          <w:lang w:val="es-ES"/>
        </w:rPr>
        <w:t>Ibid</w:t>
      </w:r>
      <w:proofErr w:type="spellEnd"/>
      <w:r w:rsidR="006661E6" w:rsidRPr="007115AE">
        <w:rPr>
          <w:lang w:val="es-ES"/>
        </w:rPr>
        <w:t xml:space="preserve">., para. </w:t>
      </w:r>
      <w:r w:rsidR="006661E6" w:rsidRPr="00042CA7">
        <w:t>8.8.</w:t>
      </w:r>
    </w:p>
  </w:footnote>
  <w:footnote w:id="22">
    <w:p w14:paraId="5157A633" w14:textId="11F5B97B" w:rsidR="006661E6" w:rsidRPr="00411B42" w:rsidRDefault="00C8560D" w:rsidP="00C8560D">
      <w:pPr>
        <w:pStyle w:val="FootnoteText"/>
        <w:rPr>
          <w:lang w:val="en-US"/>
        </w:rPr>
      </w:pPr>
      <w:r w:rsidRPr="00042CA7">
        <w:tab/>
      </w:r>
      <w:r w:rsidR="006661E6">
        <w:rPr>
          <w:rStyle w:val="FootnoteReference"/>
        </w:rPr>
        <w:footnoteRef/>
      </w:r>
      <w:r w:rsidR="006661E6">
        <w:t xml:space="preserve"> </w:t>
      </w:r>
      <w:r>
        <w:tab/>
      </w:r>
      <w:r w:rsidR="009B3CA0">
        <w:t>Human Rights Committee, g</w:t>
      </w:r>
      <w:r w:rsidR="006661E6" w:rsidRPr="00411B42">
        <w:t>eneral comment No. 35 (2014),</w:t>
      </w:r>
      <w:r w:rsidR="009B3CA0">
        <w:t xml:space="preserve"> supra n. </w:t>
      </w:r>
      <w:r w:rsidR="009B3CA0">
        <w:fldChar w:fldCharType="begin"/>
      </w:r>
      <w:r w:rsidR="009B3CA0">
        <w:instrText xml:space="preserve"> NOTEREF _Ref84588244 \h </w:instrText>
      </w:r>
      <w:r w:rsidR="009B3CA0">
        <w:fldChar w:fldCharType="separate"/>
      </w:r>
      <w:r w:rsidR="0073354E">
        <w:t>6</w:t>
      </w:r>
      <w:r w:rsidR="009B3CA0">
        <w:fldChar w:fldCharType="end"/>
      </w:r>
      <w:r w:rsidR="008B16B0">
        <w:t>,</w:t>
      </w:r>
      <w:r w:rsidR="006661E6" w:rsidRPr="00411B42">
        <w:t xml:space="preserve"> para. 17.</w:t>
      </w:r>
    </w:p>
  </w:footnote>
  <w:footnote w:id="23">
    <w:p w14:paraId="63F82EC3" w14:textId="2E4D231C" w:rsidR="000D028F" w:rsidRPr="000D028F" w:rsidRDefault="000D028F">
      <w:pPr>
        <w:pStyle w:val="FootnoteText"/>
      </w:pPr>
      <w:r>
        <w:tab/>
      </w:r>
      <w:r>
        <w:rPr>
          <w:rStyle w:val="FootnoteReference"/>
        </w:rPr>
        <w:footnoteRef/>
      </w:r>
      <w:r>
        <w:t xml:space="preserve"> </w:t>
      </w:r>
      <w:r>
        <w:tab/>
      </w:r>
      <w:r w:rsidR="008B16B0" w:rsidRPr="008B16B0">
        <w:rPr>
          <w:i/>
        </w:rPr>
        <w:t>Ibid</w:t>
      </w:r>
      <w:r w:rsidR="008B16B0">
        <w:t xml:space="preserve">., </w:t>
      </w:r>
      <w:r>
        <w:t>para.33.</w:t>
      </w:r>
    </w:p>
  </w:footnote>
  <w:footnote w:id="24">
    <w:p w14:paraId="3E9A2C4E" w14:textId="77777777" w:rsidR="00B24755" w:rsidRDefault="00B24755" w:rsidP="00B24755">
      <w:pPr>
        <w:pStyle w:val="FootnoteText"/>
      </w:pPr>
      <w:r>
        <w:tab/>
      </w:r>
      <w:r>
        <w:rPr>
          <w:rStyle w:val="FootnoteReference"/>
        </w:rPr>
        <w:footnoteRef/>
      </w:r>
      <w:r>
        <w:tab/>
      </w:r>
      <w:r w:rsidRPr="006744B1">
        <w:t>In October 2018, the Committee recommended that the State party bring its administrative detention legislation and practices into compliance with article 9 of the Covenant, taking into account the Committee’s general comment No. 35 (2014) (CCPR/C/BLR/CO/5, para. 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1990" w14:textId="4C11D064" w:rsidR="00342D59" w:rsidRPr="00346267" w:rsidRDefault="00342D59" w:rsidP="00342D59">
    <w:pPr>
      <w:pStyle w:val="Header"/>
    </w:pPr>
    <w:r>
      <w:t>CCPR/C/</w:t>
    </w:r>
    <w:r w:rsidR="00067542">
      <w:t>133</w:t>
    </w:r>
    <w:r>
      <w:t>/D/</w:t>
    </w:r>
    <w:r w:rsidR="0013735A">
      <w:t>2708/2015</w:t>
    </w:r>
    <w:r w:rsidR="00A71E15">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96B7" w14:textId="627469B0" w:rsidR="00342D59" w:rsidRDefault="0013735A" w:rsidP="00342D59">
    <w:pPr>
      <w:pStyle w:val="Header"/>
      <w:jc w:val="right"/>
    </w:pPr>
    <w:r>
      <w:t>CCPR/C/13</w:t>
    </w:r>
    <w:r w:rsidR="00C45F0E">
      <w:t>3</w:t>
    </w:r>
    <w:r>
      <w:t>/D/2708/2015</w:t>
    </w:r>
    <w:r w:rsidR="00A71E15">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C"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activeWritingStyle w:appName="MSWord" w:lang="fr-CH"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ES" w:vendorID="64" w:dllVersion="131078" w:nlCheck="1" w:checkStyle="0"/>
  <w:proofState w:spelling="clean" w:grammar="clean"/>
  <w:defaultTabStop w:val="567"/>
  <w:hyphenationZone w:val="425"/>
  <w:evenAndOddHeaders/>
  <w:characterSpacingControl w:val="doNotCompress"/>
  <w:hdrShapeDefaults>
    <o:shapedefaults v:ext="edit" spidmax="8193">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F"/>
    <w:rsid w:val="0000112F"/>
    <w:rsid w:val="000110CA"/>
    <w:rsid w:val="00016571"/>
    <w:rsid w:val="00017C87"/>
    <w:rsid w:val="00042CA7"/>
    <w:rsid w:val="00046E92"/>
    <w:rsid w:val="00064BF9"/>
    <w:rsid w:val="0006523D"/>
    <w:rsid w:val="00067542"/>
    <w:rsid w:val="00074755"/>
    <w:rsid w:val="000A7AAB"/>
    <w:rsid w:val="000B61F7"/>
    <w:rsid w:val="000B68DE"/>
    <w:rsid w:val="000C29FA"/>
    <w:rsid w:val="000C531B"/>
    <w:rsid w:val="000D028F"/>
    <w:rsid w:val="000E1C4E"/>
    <w:rsid w:val="000F191B"/>
    <w:rsid w:val="000F1E4D"/>
    <w:rsid w:val="00101A6E"/>
    <w:rsid w:val="001069B2"/>
    <w:rsid w:val="00106C94"/>
    <w:rsid w:val="00112117"/>
    <w:rsid w:val="00131D7A"/>
    <w:rsid w:val="00134808"/>
    <w:rsid w:val="0013735A"/>
    <w:rsid w:val="00137F47"/>
    <w:rsid w:val="00140541"/>
    <w:rsid w:val="001642FF"/>
    <w:rsid w:val="00164660"/>
    <w:rsid w:val="00165C15"/>
    <w:rsid w:val="001704B9"/>
    <w:rsid w:val="001A0682"/>
    <w:rsid w:val="001A7CAD"/>
    <w:rsid w:val="001B4A8B"/>
    <w:rsid w:val="001D74EB"/>
    <w:rsid w:val="001F517F"/>
    <w:rsid w:val="002107FE"/>
    <w:rsid w:val="00232823"/>
    <w:rsid w:val="0023444D"/>
    <w:rsid w:val="00247E2C"/>
    <w:rsid w:val="00254689"/>
    <w:rsid w:val="00297D17"/>
    <w:rsid w:val="002A5705"/>
    <w:rsid w:val="002A671A"/>
    <w:rsid w:val="002A6E47"/>
    <w:rsid w:val="002B10DF"/>
    <w:rsid w:val="002B58EB"/>
    <w:rsid w:val="002C4698"/>
    <w:rsid w:val="002D1209"/>
    <w:rsid w:val="002D6C53"/>
    <w:rsid w:val="002E49FE"/>
    <w:rsid w:val="002E6426"/>
    <w:rsid w:val="002F5595"/>
    <w:rsid w:val="00307A92"/>
    <w:rsid w:val="003111C3"/>
    <w:rsid w:val="003173C6"/>
    <w:rsid w:val="00317AAD"/>
    <w:rsid w:val="00334F6A"/>
    <w:rsid w:val="00336CE8"/>
    <w:rsid w:val="00342AC8"/>
    <w:rsid w:val="00342D59"/>
    <w:rsid w:val="00346267"/>
    <w:rsid w:val="00356C1F"/>
    <w:rsid w:val="00363A7C"/>
    <w:rsid w:val="0038215D"/>
    <w:rsid w:val="00392851"/>
    <w:rsid w:val="00393C88"/>
    <w:rsid w:val="003B2899"/>
    <w:rsid w:val="003B4550"/>
    <w:rsid w:val="003C7FD1"/>
    <w:rsid w:val="003E6B40"/>
    <w:rsid w:val="00406A90"/>
    <w:rsid w:val="00427778"/>
    <w:rsid w:val="004354F4"/>
    <w:rsid w:val="00443EEF"/>
    <w:rsid w:val="00444FE5"/>
    <w:rsid w:val="00461253"/>
    <w:rsid w:val="004641BE"/>
    <w:rsid w:val="00472FED"/>
    <w:rsid w:val="00475479"/>
    <w:rsid w:val="004847C4"/>
    <w:rsid w:val="00484BC5"/>
    <w:rsid w:val="004B652E"/>
    <w:rsid w:val="004C5C69"/>
    <w:rsid w:val="004E1957"/>
    <w:rsid w:val="005042C2"/>
    <w:rsid w:val="00514AED"/>
    <w:rsid w:val="0053033C"/>
    <w:rsid w:val="00534771"/>
    <w:rsid w:val="00570C3E"/>
    <w:rsid w:val="00586B4A"/>
    <w:rsid w:val="005877CA"/>
    <w:rsid w:val="00591CAA"/>
    <w:rsid w:val="005A656D"/>
    <w:rsid w:val="005A75C2"/>
    <w:rsid w:val="005B1B83"/>
    <w:rsid w:val="005C6D8D"/>
    <w:rsid w:val="005D07ED"/>
    <w:rsid w:val="005D4B27"/>
    <w:rsid w:val="005D65FD"/>
    <w:rsid w:val="005E745E"/>
    <w:rsid w:val="00625F22"/>
    <w:rsid w:val="006263BD"/>
    <w:rsid w:val="00627CBF"/>
    <w:rsid w:val="00646844"/>
    <w:rsid w:val="006554FB"/>
    <w:rsid w:val="00655A22"/>
    <w:rsid w:val="00664DF9"/>
    <w:rsid w:val="006661E6"/>
    <w:rsid w:val="006665D3"/>
    <w:rsid w:val="006713AF"/>
    <w:rsid w:val="00671529"/>
    <w:rsid w:val="006716EA"/>
    <w:rsid w:val="006E6987"/>
    <w:rsid w:val="006F26D5"/>
    <w:rsid w:val="006F5261"/>
    <w:rsid w:val="00705CE2"/>
    <w:rsid w:val="007115AE"/>
    <w:rsid w:val="007268F9"/>
    <w:rsid w:val="007327A0"/>
    <w:rsid w:val="0073354E"/>
    <w:rsid w:val="00733D13"/>
    <w:rsid w:val="00734F99"/>
    <w:rsid w:val="0074108C"/>
    <w:rsid w:val="00744949"/>
    <w:rsid w:val="0076165F"/>
    <w:rsid w:val="00772F7B"/>
    <w:rsid w:val="00774DDC"/>
    <w:rsid w:val="007A0E04"/>
    <w:rsid w:val="007A63FC"/>
    <w:rsid w:val="007B0B77"/>
    <w:rsid w:val="007C32C9"/>
    <w:rsid w:val="007C52B0"/>
    <w:rsid w:val="007E78D1"/>
    <w:rsid w:val="00812044"/>
    <w:rsid w:val="00817E57"/>
    <w:rsid w:val="00827766"/>
    <w:rsid w:val="00841E0A"/>
    <w:rsid w:val="00846F13"/>
    <w:rsid w:val="008759CB"/>
    <w:rsid w:val="008913AA"/>
    <w:rsid w:val="008A72D2"/>
    <w:rsid w:val="008B16B0"/>
    <w:rsid w:val="008B27DC"/>
    <w:rsid w:val="008D3450"/>
    <w:rsid w:val="008D6EA0"/>
    <w:rsid w:val="009234EC"/>
    <w:rsid w:val="009277F3"/>
    <w:rsid w:val="00934A31"/>
    <w:rsid w:val="009367CF"/>
    <w:rsid w:val="009411B4"/>
    <w:rsid w:val="009465C3"/>
    <w:rsid w:val="009562A7"/>
    <w:rsid w:val="0097196A"/>
    <w:rsid w:val="0098005A"/>
    <w:rsid w:val="00983737"/>
    <w:rsid w:val="00987769"/>
    <w:rsid w:val="00990B0D"/>
    <w:rsid w:val="0099796A"/>
    <w:rsid w:val="009A7626"/>
    <w:rsid w:val="009B3CA0"/>
    <w:rsid w:val="009C1C6F"/>
    <w:rsid w:val="009C3881"/>
    <w:rsid w:val="009D0139"/>
    <w:rsid w:val="009D7707"/>
    <w:rsid w:val="009E3FA3"/>
    <w:rsid w:val="009F5CDC"/>
    <w:rsid w:val="00A15DBE"/>
    <w:rsid w:val="00A16443"/>
    <w:rsid w:val="00A23459"/>
    <w:rsid w:val="00A249BC"/>
    <w:rsid w:val="00A55D86"/>
    <w:rsid w:val="00A70E89"/>
    <w:rsid w:val="00A71E15"/>
    <w:rsid w:val="00A752E9"/>
    <w:rsid w:val="00A775CF"/>
    <w:rsid w:val="00AE2DB9"/>
    <w:rsid w:val="00AE7DAA"/>
    <w:rsid w:val="00AF163D"/>
    <w:rsid w:val="00B06045"/>
    <w:rsid w:val="00B21340"/>
    <w:rsid w:val="00B24755"/>
    <w:rsid w:val="00B33747"/>
    <w:rsid w:val="00B53AA5"/>
    <w:rsid w:val="00B634D5"/>
    <w:rsid w:val="00B714DC"/>
    <w:rsid w:val="00B803D6"/>
    <w:rsid w:val="00B8773A"/>
    <w:rsid w:val="00B903E5"/>
    <w:rsid w:val="00B93167"/>
    <w:rsid w:val="00BA3827"/>
    <w:rsid w:val="00BA59A5"/>
    <w:rsid w:val="00BC3BEC"/>
    <w:rsid w:val="00BD1841"/>
    <w:rsid w:val="00BD1F8E"/>
    <w:rsid w:val="00BE0C2A"/>
    <w:rsid w:val="00BE3A16"/>
    <w:rsid w:val="00C04371"/>
    <w:rsid w:val="00C10493"/>
    <w:rsid w:val="00C22742"/>
    <w:rsid w:val="00C34B3B"/>
    <w:rsid w:val="00C35A27"/>
    <w:rsid w:val="00C45F0E"/>
    <w:rsid w:val="00C72F7E"/>
    <w:rsid w:val="00C759F9"/>
    <w:rsid w:val="00C85202"/>
    <w:rsid w:val="00C8560D"/>
    <w:rsid w:val="00C92D7E"/>
    <w:rsid w:val="00CA1AEA"/>
    <w:rsid w:val="00CA4F9D"/>
    <w:rsid w:val="00CA6C53"/>
    <w:rsid w:val="00CF276E"/>
    <w:rsid w:val="00D02D88"/>
    <w:rsid w:val="00D03A66"/>
    <w:rsid w:val="00D34EF2"/>
    <w:rsid w:val="00D43B04"/>
    <w:rsid w:val="00D54C4B"/>
    <w:rsid w:val="00D60466"/>
    <w:rsid w:val="00D66BCD"/>
    <w:rsid w:val="00D74092"/>
    <w:rsid w:val="00D7471A"/>
    <w:rsid w:val="00D874E8"/>
    <w:rsid w:val="00DA5E1D"/>
    <w:rsid w:val="00DC2115"/>
    <w:rsid w:val="00DE2869"/>
    <w:rsid w:val="00DF150A"/>
    <w:rsid w:val="00E00509"/>
    <w:rsid w:val="00E02C2B"/>
    <w:rsid w:val="00E15756"/>
    <w:rsid w:val="00E4274D"/>
    <w:rsid w:val="00E51465"/>
    <w:rsid w:val="00E54F54"/>
    <w:rsid w:val="00E60487"/>
    <w:rsid w:val="00E743D0"/>
    <w:rsid w:val="00E75A7C"/>
    <w:rsid w:val="00E776E5"/>
    <w:rsid w:val="00E904AD"/>
    <w:rsid w:val="00EA5A4E"/>
    <w:rsid w:val="00ED6C48"/>
    <w:rsid w:val="00EE46A3"/>
    <w:rsid w:val="00EF2260"/>
    <w:rsid w:val="00EF76A1"/>
    <w:rsid w:val="00EF785C"/>
    <w:rsid w:val="00F1222F"/>
    <w:rsid w:val="00F34973"/>
    <w:rsid w:val="00F41F0F"/>
    <w:rsid w:val="00F57795"/>
    <w:rsid w:val="00F63AF5"/>
    <w:rsid w:val="00F65F5D"/>
    <w:rsid w:val="00F72259"/>
    <w:rsid w:val="00F77399"/>
    <w:rsid w:val="00F86A3A"/>
    <w:rsid w:val="00FB6370"/>
    <w:rsid w:val="00FD4706"/>
    <w:rsid w:val="00FD717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C80E03"/>
  <w15:docId w15:val="{21303B2D-5C9B-4162-9BA4-D2296B5E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Footnote Refernece,callou"/>
    <w:link w:val="Appelnotedebasde"/>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AE7DAA"/>
    <w:rPr>
      <w:rFonts w:ascii="Times New Roman" w:hAnsi="Times New Roman" w:cs="Times New Roman"/>
      <w:sz w:val="20"/>
      <w:szCs w:val="20"/>
    </w:rPr>
  </w:style>
  <w:style w:type="character" w:styleId="Hyperlink">
    <w:name w:val="Hyperlink"/>
    <w:basedOn w:val="DefaultParagraphFont"/>
    <w:uiPriority w:val="99"/>
    <w:unhideWhenUsed/>
    <w:rsid w:val="00812044"/>
    <w:rPr>
      <w:color w:val="0000FF" w:themeColor="hyperlink"/>
      <w:u w:val="single"/>
    </w:rPr>
  </w:style>
  <w:style w:type="character" w:styleId="CommentReference">
    <w:name w:val="annotation reference"/>
    <w:basedOn w:val="DefaultParagraphFont"/>
    <w:uiPriority w:val="99"/>
    <w:semiHidden/>
    <w:unhideWhenUsed/>
    <w:rsid w:val="00CF276E"/>
    <w:rPr>
      <w:sz w:val="16"/>
      <w:szCs w:val="16"/>
    </w:rPr>
  </w:style>
  <w:style w:type="paragraph" w:styleId="CommentText">
    <w:name w:val="annotation text"/>
    <w:basedOn w:val="Normal"/>
    <w:link w:val="CommentTextChar"/>
    <w:uiPriority w:val="99"/>
    <w:semiHidden/>
    <w:unhideWhenUsed/>
    <w:rsid w:val="00CF276E"/>
    <w:pPr>
      <w:spacing w:line="240" w:lineRule="auto"/>
    </w:pPr>
  </w:style>
  <w:style w:type="character" w:customStyle="1" w:styleId="CommentTextChar">
    <w:name w:val="Comment Text Char"/>
    <w:basedOn w:val="DefaultParagraphFont"/>
    <w:link w:val="CommentText"/>
    <w:uiPriority w:val="99"/>
    <w:semiHidden/>
    <w:rsid w:val="00CF276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F276E"/>
    <w:rPr>
      <w:b/>
      <w:bCs/>
    </w:rPr>
  </w:style>
  <w:style w:type="character" w:customStyle="1" w:styleId="CommentSubjectChar">
    <w:name w:val="Comment Subject Char"/>
    <w:basedOn w:val="CommentTextChar"/>
    <w:link w:val="CommentSubject"/>
    <w:uiPriority w:val="99"/>
    <w:semiHidden/>
    <w:rsid w:val="00CF276E"/>
    <w:rPr>
      <w:rFonts w:ascii="Times New Roman" w:eastAsia="Times New Roman" w:hAnsi="Times New Roman" w:cs="Times New Roman"/>
      <w:b/>
      <w:bCs/>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363A7C"/>
    <w:pPr>
      <w:suppressAutoHyphens w:val="0"/>
      <w:spacing w:before="120" w:after="120" w:line="240" w:lineRule="auto"/>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baj/by" TargetMode="External"/><Relationship Id="rId1" Type="http://schemas.openxmlformats.org/officeDocument/2006/relationships/hyperlink" Target="http://vitebskp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5D1A-B686-436F-9AA6-3948E1DD2854}"/>
</file>

<file path=customXml/itemProps2.xml><?xml version="1.0" encoding="utf-8"?>
<ds:datastoreItem xmlns:ds="http://schemas.openxmlformats.org/officeDocument/2006/customXml" ds:itemID="{9DB18B44-847F-453C-BA68-303C329ACC96}">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73550B-FD08-4EFE-8F6F-2013AB96CA84}">
  <ds:schemaRefs>
    <ds:schemaRef ds:uri="http://schemas.microsoft.com/sharepoint/v3/contenttype/forms"/>
  </ds:schemaRefs>
</ds:datastoreItem>
</file>

<file path=customXml/itemProps4.xml><?xml version="1.0" encoding="utf-8"?>
<ds:datastoreItem xmlns:ds="http://schemas.openxmlformats.org/officeDocument/2006/customXml" ds:itemID="{CE92D8DB-B6E9-420F-9C8F-2DC3897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3797</Words>
  <Characters>21643</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CCPR/C/133/DR/2708/2015</vt:lpstr>
      <vt:lpstr>CCPR/C/WG/SS/DR/####/YYYY</vt:lpstr>
    </vt:vector>
  </TitlesOfParts>
  <Company>DCM</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CCPR/C/133/DR/2708/2015</dc:title>
  <dc:subject>2114479</dc:subject>
  <dc:creator>Una Philippa GILTSOFF</dc:creator>
  <cp:keywords/>
  <dc:description/>
  <cp:lastModifiedBy>Mohamed Abdelazim</cp:lastModifiedBy>
  <cp:revision>4</cp:revision>
  <cp:lastPrinted>2021-12-16T12:04:00Z</cp:lastPrinted>
  <dcterms:created xsi:type="dcterms:W3CDTF">2021-12-16T10:27:00Z</dcterms:created>
  <dcterms:modified xsi:type="dcterms:W3CDTF">2021-12-16T12:05:00Z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