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D6C3F" w14:paraId="73E21020" w14:textId="77777777" w:rsidTr="00DC046E">
        <w:trPr>
          <w:cantSplit/>
          <w:trHeight w:hRule="exact" w:val="851"/>
        </w:trPr>
        <w:tc>
          <w:tcPr>
            <w:tcW w:w="1276" w:type="dxa"/>
            <w:tcBorders>
              <w:bottom w:val="single" w:sz="4" w:space="0" w:color="auto"/>
            </w:tcBorders>
            <w:vAlign w:val="bottom"/>
          </w:tcPr>
          <w:p w14:paraId="0AAD2C58" w14:textId="77777777" w:rsidR="00B56E9C" w:rsidRPr="00BF6207" w:rsidRDefault="00B56E9C" w:rsidP="00DC046E">
            <w:pPr>
              <w:spacing w:after="80"/>
              <w:rPr>
                <w:lang w:eastAsia="ja-JP"/>
              </w:rPr>
            </w:pPr>
          </w:p>
        </w:tc>
        <w:tc>
          <w:tcPr>
            <w:tcW w:w="2268" w:type="dxa"/>
            <w:tcBorders>
              <w:bottom w:val="single" w:sz="4" w:space="0" w:color="auto"/>
            </w:tcBorders>
            <w:vAlign w:val="bottom"/>
          </w:tcPr>
          <w:p w14:paraId="308AD974" w14:textId="77777777" w:rsidR="00B56E9C" w:rsidRPr="007D6C3F" w:rsidRDefault="00B56E9C" w:rsidP="00DC046E">
            <w:pPr>
              <w:spacing w:after="80" w:line="300" w:lineRule="exact"/>
              <w:rPr>
                <w:b/>
                <w:sz w:val="24"/>
                <w:szCs w:val="24"/>
              </w:rPr>
            </w:pPr>
            <w:r w:rsidRPr="007D6C3F">
              <w:rPr>
                <w:sz w:val="28"/>
                <w:szCs w:val="28"/>
              </w:rPr>
              <w:t>United Nations</w:t>
            </w:r>
          </w:p>
        </w:tc>
        <w:tc>
          <w:tcPr>
            <w:tcW w:w="6095" w:type="dxa"/>
            <w:gridSpan w:val="2"/>
            <w:tcBorders>
              <w:bottom w:val="single" w:sz="4" w:space="0" w:color="auto"/>
            </w:tcBorders>
            <w:vAlign w:val="bottom"/>
          </w:tcPr>
          <w:p w14:paraId="59C4F46E" w14:textId="395FF484" w:rsidR="00B56E9C" w:rsidRPr="007D6C3F" w:rsidRDefault="009E5E24" w:rsidP="002D0239">
            <w:pPr>
              <w:jc w:val="right"/>
            </w:pPr>
            <w:r w:rsidRPr="007D6C3F">
              <w:rPr>
                <w:color w:val="000000" w:themeColor="text1"/>
                <w:sz w:val="40"/>
              </w:rPr>
              <w:t>CCPR</w:t>
            </w:r>
            <w:r w:rsidR="006A1BF6" w:rsidRPr="007D6C3F">
              <w:rPr>
                <w:color w:val="000000" w:themeColor="text1"/>
              </w:rPr>
              <w:t>/C/</w:t>
            </w:r>
            <w:r w:rsidR="004141EC" w:rsidRPr="007D6C3F">
              <w:rPr>
                <w:color w:val="000000" w:themeColor="text1"/>
              </w:rPr>
              <w:t>13</w:t>
            </w:r>
            <w:r w:rsidR="007170EF">
              <w:rPr>
                <w:color w:val="000000" w:themeColor="text1"/>
              </w:rPr>
              <w:t>1</w:t>
            </w:r>
            <w:r w:rsidRPr="007D6C3F">
              <w:rPr>
                <w:color w:val="000000" w:themeColor="text1"/>
              </w:rPr>
              <w:t>/D/</w:t>
            </w:r>
            <w:r w:rsidR="00A03FE9" w:rsidRPr="007D6C3F">
              <w:t>30</w:t>
            </w:r>
            <w:r w:rsidR="005D407F" w:rsidRPr="007D6C3F">
              <w:t>69</w:t>
            </w:r>
            <w:r w:rsidRPr="007D6C3F">
              <w:t>/201</w:t>
            </w:r>
            <w:r w:rsidR="00A03FE9" w:rsidRPr="007D6C3F">
              <w:t>7</w:t>
            </w:r>
          </w:p>
        </w:tc>
      </w:tr>
      <w:tr w:rsidR="00B56E9C" w:rsidRPr="007D6C3F" w14:paraId="04A2A650" w14:textId="77777777" w:rsidTr="00DC046E">
        <w:trPr>
          <w:cantSplit/>
          <w:trHeight w:hRule="exact" w:val="2835"/>
        </w:trPr>
        <w:tc>
          <w:tcPr>
            <w:tcW w:w="1276" w:type="dxa"/>
            <w:tcBorders>
              <w:top w:val="single" w:sz="4" w:space="0" w:color="auto"/>
              <w:bottom w:val="single" w:sz="12" w:space="0" w:color="auto"/>
            </w:tcBorders>
          </w:tcPr>
          <w:p w14:paraId="4291989B" w14:textId="77777777" w:rsidR="00B56E9C" w:rsidRPr="007D6C3F" w:rsidRDefault="004076CD" w:rsidP="00DC046E">
            <w:pPr>
              <w:spacing w:before="120"/>
            </w:pPr>
            <w:r w:rsidRPr="00F06627">
              <w:rPr>
                <w:noProof/>
                <w:lang w:eastAsia="en-GB"/>
              </w:rPr>
              <w:drawing>
                <wp:inline distT="0" distB="0" distL="0" distR="0" wp14:anchorId="3FB4F351" wp14:editId="1BE736C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7F565C" w14:textId="3667ACD6" w:rsidR="00B56E9C" w:rsidRDefault="00B56E9C" w:rsidP="00DC046E">
            <w:pPr>
              <w:spacing w:before="120" w:line="380" w:lineRule="exact"/>
              <w:rPr>
                <w:b/>
                <w:sz w:val="34"/>
                <w:szCs w:val="40"/>
              </w:rPr>
            </w:pPr>
            <w:r w:rsidRPr="007D6C3F">
              <w:rPr>
                <w:b/>
                <w:sz w:val="34"/>
                <w:szCs w:val="40"/>
              </w:rPr>
              <w:t xml:space="preserve">International </w:t>
            </w:r>
            <w:r w:rsidR="00060C3A" w:rsidRPr="007D6C3F">
              <w:rPr>
                <w:b/>
                <w:sz w:val="34"/>
                <w:szCs w:val="40"/>
              </w:rPr>
              <w:t>Covenant on</w:t>
            </w:r>
            <w:r w:rsidR="00060C3A" w:rsidRPr="007D6C3F">
              <w:rPr>
                <w:b/>
                <w:sz w:val="34"/>
                <w:szCs w:val="40"/>
              </w:rPr>
              <w:br/>
              <w:t>Civil and Political R</w:t>
            </w:r>
            <w:r w:rsidR="00703577" w:rsidRPr="007D6C3F">
              <w:rPr>
                <w:b/>
                <w:sz w:val="34"/>
                <w:szCs w:val="40"/>
              </w:rPr>
              <w:t>ights</w:t>
            </w:r>
          </w:p>
          <w:p w14:paraId="425E614A" w14:textId="77777777" w:rsidR="00E34CAD" w:rsidRDefault="00E34CAD" w:rsidP="00DC046E">
            <w:pPr>
              <w:spacing w:before="120" w:line="380" w:lineRule="exact"/>
              <w:rPr>
                <w:b/>
                <w:sz w:val="34"/>
                <w:szCs w:val="40"/>
              </w:rPr>
            </w:pPr>
          </w:p>
          <w:p w14:paraId="66984B3F" w14:textId="4677F905" w:rsidR="00E34CAD" w:rsidRPr="007D6C3F" w:rsidRDefault="00E34CAD" w:rsidP="00DC046E">
            <w:pPr>
              <w:spacing w:before="120" w:line="380" w:lineRule="exact"/>
              <w:rPr>
                <w:sz w:val="34"/>
              </w:rPr>
            </w:pPr>
            <w:r>
              <w:rPr>
                <w:sz w:val="34"/>
                <w:szCs w:val="40"/>
              </w:rPr>
              <w:t>Advance unedited version</w:t>
            </w:r>
          </w:p>
        </w:tc>
        <w:tc>
          <w:tcPr>
            <w:tcW w:w="2835" w:type="dxa"/>
            <w:tcBorders>
              <w:top w:val="single" w:sz="4" w:space="0" w:color="auto"/>
              <w:bottom w:val="single" w:sz="12" w:space="0" w:color="auto"/>
            </w:tcBorders>
          </w:tcPr>
          <w:p w14:paraId="7B8BA106" w14:textId="5544661C" w:rsidR="00B56E9C" w:rsidRPr="007D6C3F" w:rsidRDefault="00111738" w:rsidP="00111738">
            <w:pPr>
              <w:spacing w:before="240" w:line="240" w:lineRule="exact"/>
            </w:pPr>
            <w:r w:rsidRPr="007D6C3F">
              <w:t xml:space="preserve">Distr.: </w:t>
            </w:r>
            <w:r w:rsidR="007170EF">
              <w:t>General</w:t>
            </w:r>
          </w:p>
          <w:p w14:paraId="36AD6E06" w14:textId="76488C0E" w:rsidR="00111738" w:rsidRPr="007D6C3F" w:rsidRDefault="002D0239" w:rsidP="00111738">
            <w:pPr>
              <w:spacing w:line="240" w:lineRule="exact"/>
            </w:pPr>
            <w:r>
              <w:rPr>
                <w:lang w:val="en-US"/>
              </w:rPr>
              <w:t>2</w:t>
            </w:r>
            <w:r w:rsidR="00E34CAD">
              <w:rPr>
                <w:lang w:val="en-US"/>
              </w:rPr>
              <w:t>2</w:t>
            </w:r>
            <w:r>
              <w:rPr>
                <w:lang w:val="en-US"/>
              </w:rPr>
              <w:t xml:space="preserve"> April</w:t>
            </w:r>
            <w:r w:rsidR="007170EF">
              <w:rPr>
                <w:lang w:val="en-US"/>
              </w:rPr>
              <w:t xml:space="preserve">. </w:t>
            </w:r>
            <w:r w:rsidR="00111738" w:rsidRPr="007D6C3F">
              <w:t>20</w:t>
            </w:r>
            <w:r w:rsidR="00F831A1" w:rsidRPr="007D6C3F">
              <w:t>2</w:t>
            </w:r>
            <w:r w:rsidR="007170EF">
              <w:t>1</w:t>
            </w:r>
          </w:p>
          <w:p w14:paraId="3662A5FC" w14:textId="77777777" w:rsidR="00111738" w:rsidRPr="007D6C3F" w:rsidRDefault="00111738" w:rsidP="00111738">
            <w:pPr>
              <w:spacing w:line="240" w:lineRule="exact"/>
            </w:pPr>
          </w:p>
          <w:p w14:paraId="01868B2B" w14:textId="77777777" w:rsidR="00111738" w:rsidRPr="007D6C3F" w:rsidRDefault="00111738" w:rsidP="00111738">
            <w:pPr>
              <w:spacing w:line="240" w:lineRule="exact"/>
            </w:pPr>
            <w:r w:rsidRPr="007D6C3F">
              <w:t>Original: English</w:t>
            </w:r>
          </w:p>
          <w:p w14:paraId="2195A333" w14:textId="57FF6321" w:rsidR="00111738" w:rsidRPr="007D6C3F" w:rsidRDefault="00111738" w:rsidP="00111738">
            <w:pPr>
              <w:spacing w:line="240" w:lineRule="exact"/>
            </w:pPr>
          </w:p>
        </w:tc>
      </w:tr>
    </w:tbl>
    <w:p w14:paraId="686D2624" w14:textId="7A744DB4" w:rsidR="009E5E24" w:rsidRPr="007D6C3F" w:rsidRDefault="00CD4FB4" w:rsidP="009E5E24">
      <w:pPr>
        <w:spacing w:before="120"/>
        <w:rPr>
          <w:b/>
          <w:bCs/>
          <w:sz w:val="24"/>
        </w:rPr>
      </w:pPr>
      <w:r w:rsidRPr="007D6C3F">
        <w:rPr>
          <w:b/>
          <w:bCs/>
          <w:sz w:val="24"/>
        </w:rPr>
        <w:t xml:space="preserve">Human </w:t>
      </w:r>
      <w:r w:rsidR="009E5E24" w:rsidRPr="007D6C3F">
        <w:rPr>
          <w:b/>
          <w:bCs/>
          <w:sz w:val="24"/>
        </w:rPr>
        <w:t>Rights Committee</w:t>
      </w:r>
    </w:p>
    <w:p w14:paraId="0F33EDF8" w14:textId="38D528BF" w:rsidR="00111738" w:rsidRPr="00756C9B" w:rsidRDefault="00111738" w:rsidP="00E34CAD">
      <w:pPr>
        <w:pStyle w:val="HChG"/>
      </w:pPr>
      <w:r w:rsidRPr="007D6C3F">
        <w:rPr>
          <w:szCs w:val="28"/>
        </w:rPr>
        <w:tab/>
      </w:r>
      <w:r w:rsidRPr="007D6C3F">
        <w:rPr>
          <w:szCs w:val="28"/>
        </w:rPr>
        <w:tab/>
      </w:r>
      <w:r w:rsidR="008B6650" w:rsidRPr="001D03B7">
        <w:t xml:space="preserve">Views </w:t>
      </w:r>
      <w:r w:rsidR="007170EF" w:rsidRPr="001D03B7">
        <w:t>adopted by the Committee under the Optional Protocol, concerning</w:t>
      </w:r>
      <w:r w:rsidR="007170EF" w:rsidRPr="001D03B7" w:rsidDel="006147DE">
        <w:t xml:space="preserve"> </w:t>
      </w:r>
      <w:r w:rsidR="007170EF" w:rsidRPr="001D03B7">
        <w:t>communication No. 3069/2015</w:t>
      </w:r>
      <w:r w:rsidR="007170EF" w:rsidRPr="00E34CAD">
        <w:rPr>
          <w:rStyle w:val="FootnoteReference"/>
          <w:sz w:val="28"/>
          <w:vertAlign w:val="baseline"/>
        </w:rPr>
        <w:footnoteReference w:customMarkFollows="1" w:id="2"/>
        <w:t>*</w:t>
      </w:r>
      <w:r w:rsidR="007170EF" w:rsidRPr="001D03B7">
        <w:rPr>
          <w:vertAlign w:val="superscript"/>
        </w:rPr>
        <w:t>,</w:t>
      </w:r>
      <w:r w:rsidR="007170EF" w:rsidRPr="00E34CAD">
        <w:rPr>
          <w:rStyle w:val="FootnoteReference"/>
          <w:sz w:val="28"/>
          <w:vertAlign w:val="baseline"/>
        </w:rPr>
        <w:footnoteReference w:customMarkFollows="1" w:id="3"/>
        <w:t>**</w:t>
      </w:r>
      <w:r w:rsidR="007170EF" w:rsidRPr="001D03B7">
        <w:rPr>
          <w:vertAlign w:val="superscript"/>
        </w:rPr>
        <w:t>,</w:t>
      </w:r>
      <w:r w:rsidR="007170EF" w:rsidRPr="00E34CAD">
        <w:rPr>
          <w:rStyle w:val="FootnoteReference"/>
          <w:sz w:val="28"/>
          <w:vertAlign w:val="baseline"/>
        </w:rPr>
        <w:footnoteReference w:customMarkFollows="1" w:id="4"/>
        <w:t>***</w:t>
      </w:r>
    </w:p>
    <w:p w14:paraId="563D0867" w14:textId="01E72E29" w:rsidR="00111738" w:rsidRPr="007D6C3F" w:rsidRDefault="00111738" w:rsidP="00C0103E">
      <w:pPr>
        <w:pStyle w:val="SingleTxtG"/>
        <w:ind w:left="4536" w:hanging="3402"/>
        <w:jc w:val="left"/>
      </w:pPr>
      <w:r w:rsidRPr="007D6C3F">
        <w:rPr>
          <w:i/>
        </w:rPr>
        <w:t>Communication submitted by:</w:t>
      </w:r>
      <w:r w:rsidRPr="007D6C3F">
        <w:tab/>
      </w:r>
      <w:r w:rsidR="00415324" w:rsidRPr="007D6C3F">
        <w:rPr>
          <w:iCs/>
        </w:rPr>
        <w:t>B</w:t>
      </w:r>
      <w:r w:rsidR="007C2769" w:rsidRPr="007D6C3F">
        <w:rPr>
          <w:iCs/>
        </w:rPr>
        <w:t>.</w:t>
      </w:r>
      <w:r w:rsidR="00415324" w:rsidRPr="007D6C3F">
        <w:rPr>
          <w:iCs/>
        </w:rPr>
        <w:t>B</w:t>
      </w:r>
      <w:r w:rsidR="007C2769" w:rsidRPr="007D6C3F">
        <w:rPr>
          <w:iCs/>
        </w:rPr>
        <w:t>.</w:t>
      </w:r>
      <w:r w:rsidR="00A03FE9" w:rsidRPr="007D6C3F">
        <w:rPr>
          <w:iCs/>
        </w:rPr>
        <w:t xml:space="preserve"> </w:t>
      </w:r>
      <w:r w:rsidRPr="007D6C3F">
        <w:t>(represented by counsel,</w:t>
      </w:r>
      <w:r w:rsidR="00415324" w:rsidRPr="007D6C3F">
        <w:t xml:space="preserve"> </w:t>
      </w:r>
      <w:r w:rsidR="00105FFA" w:rsidRPr="007D6C3F">
        <w:rPr>
          <w:lang w:val="en-AU"/>
        </w:rPr>
        <w:t>Elin Edin</w:t>
      </w:r>
      <w:r w:rsidRPr="007D6C3F">
        <w:t>)</w:t>
      </w:r>
    </w:p>
    <w:p w14:paraId="7E7831EE" w14:textId="4934150B" w:rsidR="00111738" w:rsidRPr="007D6C3F" w:rsidRDefault="00111738" w:rsidP="00111738">
      <w:pPr>
        <w:pStyle w:val="SingleTxtG"/>
        <w:ind w:left="4536" w:hanging="3402"/>
        <w:jc w:val="left"/>
      </w:pPr>
      <w:r w:rsidRPr="007D6C3F">
        <w:rPr>
          <w:i/>
        </w:rPr>
        <w:t>Alleged victim:</w:t>
      </w:r>
      <w:r w:rsidRPr="007D6C3F">
        <w:tab/>
        <w:t>The author</w:t>
      </w:r>
    </w:p>
    <w:p w14:paraId="6420617C" w14:textId="7A087C2B" w:rsidR="00111738" w:rsidRPr="007D6C3F" w:rsidRDefault="00111738" w:rsidP="00111738">
      <w:pPr>
        <w:pStyle w:val="SingleTxtG"/>
        <w:ind w:left="4536" w:hanging="3402"/>
        <w:jc w:val="left"/>
      </w:pPr>
      <w:r w:rsidRPr="007D6C3F">
        <w:rPr>
          <w:i/>
        </w:rPr>
        <w:t>State party:</w:t>
      </w:r>
      <w:r w:rsidRPr="007D6C3F">
        <w:tab/>
      </w:r>
      <w:r w:rsidR="00A03FE9" w:rsidRPr="004465E2">
        <w:t>Sweden</w:t>
      </w:r>
      <w:r w:rsidR="00C0103E" w:rsidRPr="007D6C3F">
        <w:t xml:space="preserve"> </w:t>
      </w:r>
    </w:p>
    <w:p w14:paraId="4948ACC9" w14:textId="4FBFE5CC" w:rsidR="00111738" w:rsidRPr="007D6C3F" w:rsidRDefault="00111738" w:rsidP="00111738">
      <w:pPr>
        <w:pStyle w:val="SingleTxtG"/>
        <w:ind w:left="4536" w:hanging="3402"/>
        <w:jc w:val="left"/>
      </w:pPr>
      <w:r w:rsidRPr="007D6C3F">
        <w:rPr>
          <w:i/>
        </w:rPr>
        <w:t>Date of communication:</w:t>
      </w:r>
      <w:r w:rsidRPr="007D6C3F">
        <w:tab/>
      </w:r>
      <w:r w:rsidR="00F3408D" w:rsidRPr="007D6C3F">
        <w:t>11</w:t>
      </w:r>
      <w:r w:rsidR="00F73EE1" w:rsidRPr="007D6C3F">
        <w:t xml:space="preserve"> </w:t>
      </w:r>
      <w:r w:rsidR="00F3408D" w:rsidRPr="007D6C3F">
        <w:t>December</w:t>
      </w:r>
      <w:r w:rsidR="00F73EE1" w:rsidRPr="007D6C3F">
        <w:t xml:space="preserve"> 201</w:t>
      </w:r>
      <w:r w:rsidR="00F3408D" w:rsidRPr="007D6C3F">
        <w:t>7</w:t>
      </w:r>
      <w:r w:rsidR="00F73EE1" w:rsidRPr="007D6C3F">
        <w:t xml:space="preserve"> </w:t>
      </w:r>
      <w:r w:rsidRPr="007D6C3F">
        <w:t>(initial submission)</w:t>
      </w:r>
    </w:p>
    <w:p w14:paraId="04197397" w14:textId="16EEE08E" w:rsidR="00111738" w:rsidRPr="007D6C3F" w:rsidRDefault="00111738" w:rsidP="00111738">
      <w:pPr>
        <w:pStyle w:val="SingleTxtG"/>
        <w:ind w:left="4536" w:hanging="3402"/>
      </w:pPr>
      <w:r w:rsidRPr="007D6C3F">
        <w:rPr>
          <w:i/>
        </w:rPr>
        <w:t>Document references:</w:t>
      </w:r>
      <w:r w:rsidRPr="007D6C3F">
        <w:tab/>
      </w:r>
      <w:r w:rsidR="007A1A52" w:rsidRPr="007D6C3F">
        <w:t>Decision taken pursuant to rule 92 of the Committee’s rules of procedure, transmitted to the State party on 15 December 2017 (not issued in document form)</w:t>
      </w:r>
    </w:p>
    <w:p w14:paraId="5F740FCA" w14:textId="56805DF9" w:rsidR="00111738" w:rsidRPr="007D6C3F" w:rsidRDefault="00111738" w:rsidP="00111738">
      <w:pPr>
        <w:pStyle w:val="SingleTxtG"/>
        <w:ind w:left="4536" w:hanging="3402"/>
        <w:jc w:val="left"/>
      </w:pPr>
      <w:r w:rsidRPr="007D6C3F">
        <w:rPr>
          <w:i/>
        </w:rPr>
        <w:t xml:space="preserve">Date of adoption of </w:t>
      </w:r>
      <w:r w:rsidR="008B6650">
        <w:rPr>
          <w:i/>
        </w:rPr>
        <w:t>Views</w:t>
      </w:r>
      <w:r w:rsidRPr="007D6C3F">
        <w:rPr>
          <w:i/>
        </w:rPr>
        <w:t>:</w:t>
      </w:r>
      <w:r w:rsidR="002634FB" w:rsidRPr="007D6C3F">
        <w:tab/>
      </w:r>
      <w:r w:rsidR="007170EF">
        <w:t>16 March 2021</w:t>
      </w:r>
    </w:p>
    <w:p w14:paraId="028EB179" w14:textId="753F7FF9" w:rsidR="00111738" w:rsidRPr="007D6C3F" w:rsidRDefault="00111738" w:rsidP="00111738">
      <w:pPr>
        <w:pStyle w:val="SingleTxtG"/>
        <w:ind w:left="4536" w:hanging="3402"/>
        <w:jc w:val="left"/>
      </w:pPr>
      <w:r w:rsidRPr="007D6C3F">
        <w:rPr>
          <w:i/>
          <w:iCs/>
        </w:rPr>
        <w:t>Subject matter:</w:t>
      </w:r>
      <w:r w:rsidRPr="007D6C3F">
        <w:rPr>
          <w:i/>
          <w:iCs/>
        </w:rPr>
        <w:tab/>
      </w:r>
      <w:r w:rsidR="00BC4660" w:rsidRPr="004465E2">
        <w:t xml:space="preserve">Deportation to </w:t>
      </w:r>
      <w:r w:rsidR="000B0A7D" w:rsidRPr="004465E2">
        <w:t>Afghanistan</w:t>
      </w:r>
    </w:p>
    <w:p w14:paraId="61592804" w14:textId="19AA1BBF" w:rsidR="00816438" w:rsidRPr="007D6C3F" w:rsidRDefault="00111738" w:rsidP="00816438">
      <w:pPr>
        <w:pStyle w:val="SingleTxtG"/>
        <w:ind w:left="4536" w:hanging="3402"/>
        <w:jc w:val="left"/>
        <w:rPr>
          <w:iCs/>
        </w:rPr>
      </w:pPr>
      <w:r w:rsidRPr="007D6C3F">
        <w:rPr>
          <w:i/>
          <w:iCs/>
        </w:rPr>
        <w:t xml:space="preserve">Procedural issue: </w:t>
      </w:r>
      <w:r w:rsidRPr="007D6C3F">
        <w:rPr>
          <w:i/>
          <w:iCs/>
        </w:rPr>
        <w:tab/>
      </w:r>
      <w:r w:rsidR="007F2607" w:rsidRPr="007D6C3F">
        <w:t>L</w:t>
      </w:r>
      <w:r w:rsidR="00B81158" w:rsidRPr="007D6C3F">
        <w:t xml:space="preserve">evel of substantiation of claims </w:t>
      </w:r>
    </w:p>
    <w:p w14:paraId="6FF2ED09" w14:textId="3461125F" w:rsidR="00111738" w:rsidRPr="007D6C3F" w:rsidRDefault="00111738" w:rsidP="00816438">
      <w:pPr>
        <w:pStyle w:val="SingleTxtG"/>
        <w:ind w:left="4536" w:hanging="3402"/>
        <w:jc w:val="left"/>
        <w:rPr>
          <w:color w:val="000000"/>
          <w:lang w:eastAsia="en-GB"/>
        </w:rPr>
      </w:pPr>
      <w:r w:rsidRPr="007D6C3F">
        <w:rPr>
          <w:i/>
          <w:iCs/>
        </w:rPr>
        <w:t xml:space="preserve">Substantive issues: </w:t>
      </w:r>
      <w:r w:rsidRPr="007D6C3F">
        <w:rPr>
          <w:i/>
          <w:iCs/>
        </w:rPr>
        <w:tab/>
      </w:r>
      <w:r w:rsidR="001A0A1F" w:rsidRPr="007D6C3F">
        <w:rPr>
          <w:iCs/>
        </w:rPr>
        <w:t>Right to life;</w:t>
      </w:r>
      <w:r w:rsidR="001A0A1F" w:rsidRPr="007D6C3F">
        <w:rPr>
          <w:i/>
          <w:iCs/>
        </w:rPr>
        <w:t xml:space="preserve"> </w:t>
      </w:r>
      <w:r w:rsidR="001A0A1F" w:rsidRPr="007D6C3F">
        <w:t>risk of torture and other cruel, inhuman or degrading treatment or punishment upon return to country of origin; prohibition of refoulement</w:t>
      </w:r>
    </w:p>
    <w:p w14:paraId="557C5A45" w14:textId="62FEC4BC" w:rsidR="00111738" w:rsidRPr="007D6C3F" w:rsidRDefault="00111738" w:rsidP="00111738">
      <w:pPr>
        <w:pStyle w:val="SingleTxtG"/>
      </w:pPr>
      <w:r w:rsidRPr="007D6C3F">
        <w:rPr>
          <w:i/>
          <w:iCs/>
        </w:rPr>
        <w:t>Articles of the Covenant:</w:t>
      </w:r>
      <w:r w:rsidRPr="007D6C3F">
        <w:t xml:space="preserve"> </w:t>
      </w:r>
      <w:r w:rsidRPr="007D6C3F">
        <w:tab/>
      </w:r>
      <w:r w:rsidRPr="007D6C3F">
        <w:tab/>
      </w:r>
      <w:r w:rsidRPr="007D6C3F">
        <w:tab/>
      </w:r>
      <w:r w:rsidR="000B0A7D" w:rsidRPr="007D6C3F">
        <w:t>6</w:t>
      </w:r>
      <w:r w:rsidR="001A0A1F" w:rsidRPr="007D6C3F">
        <w:t xml:space="preserve"> and</w:t>
      </w:r>
      <w:r w:rsidR="000B0A7D" w:rsidRPr="007D6C3F">
        <w:t xml:space="preserve"> </w:t>
      </w:r>
      <w:r w:rsidR="001A0A1F" w:rsidRPr="007D6C3F">
        <w:t>7</w:t>
      </w:r>
    </w:p>
    <w:p w14:paraId="1E9FE767" w14:textId="700C6893" w:rsidR="00111738" w:rsidRPr="007D6C3F" w:rsidRDefault="00111738" w:rsidP="00111738">
      <w:pPr>
        <w:pStyle w:val="SingleTxtG"/>
        <w:ind w:left="4536" w:hanging="3402"/>
        <w:jc w:val="left"/>
        <w:rPr>
          <w:iCs/>
        </w:rPr>
      </w:pPr>
      <w:r w:rsidRPr="007D6C3F">
        <w:rPr>
          <w:i/>
          <w:iCs/>
        </w:rPr>
        <w:t>Article of the Optional Protocol:</w:t>
      </w:r>
      <w:r w:rsidRPr="007D6C3F">
        <w:rPr>
          <w:i/>
          <w:iCs/>
        </w:rPr>
        <w:tab/>
      </w:r>
      <w:r w:rsidR="003907F9" w:rsidRPr="007D6C3F">
        <w:rPr>
          <w:iCs/>
        </w:rPr>
        <w:t>2</w:t>
      </w:r>
      <w:r w:rsidR="004F457A" w:rsidRPr="007D6C3F">
        <w:rPr>
          <w:iCs/>
        </w:rPr>
        <w:t>, 5(2)(a)</w:t>
      </w:r>
    </w:p>
    <w:p w14:paraId="777D2831" w14:textId="77777777" w:rsidR="0081450D" w:rsidRPr="007D6C3F" w:rsidRDefault="0081450D">
      <w:pPr>
        <w:suppressAutoHyphens w:val="0"/>
        <w:spacing w:line="240" w:lineRule="auto"/>
      </w:pPr>
      <w:r w:rsidRPr="007D6C3F">
        <w:br w:type="page"/>
      </w:r>
    </w:p>
    <w:p w14:paraId="03ACB660" w14:textId="7F956D87" w:rsidR="00111738" w:rsidRPr="007D6C3F" w:rsidRDefault="00111738" w:rsidP="00111738">
      <w:pPr>
        <w:pStyle w:val="SingleTxtG"/>
      </w:pPr>
      <w:r w:rsidRPr="007D6C3F">
        <w:lastRenderedPageBreak/>
        <w:t>1.</w:t>
      </w:r>
      <w:r w:rsidR="00C72AA2" w:rsidRPr="007D6C3F">
        <w:t>1</w:t>
      </w:r>
      <w:r w:rsidRPr="007D6C3F">
        <w:tab/>
        <w:t xml:space="preserve">The author of the communication </w:t>
      </w:r>
      <w:r w:rsidR="00C877C0" w:rsidRPr="007D6C3F">
        <w:t xml:space="preserve">is </w:t>
      </w:r>
      <w:r w:rsidR="00C72AA2" w:rsidRPr="007D6C3F">
        <w:t>B.B</w:t>
      </w:r>
      <w:r w:rsidR="00050C91" w:rsidRPr="007D6C3F">
        <w:t>.</w:t>
      </w:r>
      <w:r w:rsidR="00B5241F" w:rsidRPr="007D6C3F">
        <w:t>,</w:t>
      </w:r>
      <w:r w:rsidRPr="007D6C3F">
        <w:t xml:space="preserve"> </w:t>
      </w:r>
      <w:r w:rsidR="00C72AA2" w:rsidRPr="007D6C3F">
        <w:t xml:space="preserve">a national of </w:t>
      </w:r>
      <w:r w:rsidR="00C72AA2" w:rsidRPr="004465E2">
        <w:t xml:space="preserve">Afghanistan and an ethnic Hazara, born </w:t>
      </w:r>
      <w:r w:rsidR="0017426A" w:rsidRPr="004465E2">
        <w:t>on 24 September</w:t>
      </w:r>
      <w:r w:rsidR="00170365" w:rsidRPr="004465E2">
        <w:t xml:space="preserve"> </w:t>
      </w:r>
      <w:r w:rsidR="00C72AA2" w:rsidRPr="004465E2">
        <w:t>199</w:t>
      </w:r>
      <w:r w:rsidR="0017426A" w:rsidRPr="004465E2">
        <w:t>9</w:t>
      </w:r>
      <w:r w:rsidR="00B81158" w:rsidRPr="004465E2">
        <w:t>.</w:t>
      </w:r>
      <w:r w:rsidR="00C72AA2" w:rsidRPr="004465E2">
        <w:t xml:space="preserve"> He claims that his deportation to Af</w:t>
      </w:r>
      <w:r w:rsidR="00C72AA2" w:rsidRPr="007D6C3F">
        <w:t>ghanistan by the State party would violate his rights under articles 6</w:t>
      </w:r>
      <w:r w:rsidR="0017426A" w:rsidRPr="007D6C3F">
        <w:t xml:space="preserve"> and</w:t>
      </w:r>
      <w:r w:rsidR="00C72AA2" w:rsidRPr="007D6C3F">
        <w:t xml:space="preserve"> 7 of the Covenant. The Optional Protocol entered into force for Sweden on 23 March 1976. The author is represented by counsel.</w:t>
      </w:r>
    </w:p>
    <w:p w14:paraId="7C3161E9" w14:textId="2A49EB90" w:rsidR="00C72AA2" w:rsidRPr="007D6C3F" w:rsidRDefault="00C72AA2" w:rsidP="00963591">
      <w:pPr>
        <w:pStyle w:val="SingleTxtG"/>
      </w:pPr>
      <w:r w:rsidRPr="007D6C3F">
        <w:t>1.2</w:t>
      </w:r>
      <w:r w:rsidRPr="007D6C3F">
        <w:tab/>
      </w:r>
      <w:r w:rsidR="00DF3FF9" w:rsidRPr="007D6C3F">
        <w:rPr>
          <w:lang w:val="en-US"/>
        </w:rPr>
        <w:t xml:space="preserve">On </w:t>
      </w:r>
      <w:r w:rsidRPr="007D6C3F">
        <w:rPr>
          <w:lang w:val="en-US"/>
        </w:rPr>
        <w:t>1</w:t>
      </w:r>
      <w:r w:rsidR="00997BFB" w:rsidRPr="007D6C3F">
        <w:rPr>
          <w:lang w:val="en-US"/>
        </w:rPr>
        <w:t>1</w:t>
      </w:r>
      <w:r w:rsidRPr="007D6C3F">
        <w:t xml:space="preserve"> December 2017, </w:t>
      </w:r>
      <w:r w:rsidRPr="007D6C3F">
        <w:rPr>
          <w:lang w:val="en-US"/>
        </w:rPr>
        <w:t xml:space="preserve">pursuant to </w:t>
      </w:r>
      <w:bookmarkStart w:id="0" w:name="_Hlk14967300"/>
      <w:r w:rsidRPr="007D6C3F">
        <w:rPr>
          <w:lang w:val="en-US"/>
        </w:rPr>
        <w:t xml:space="preserve">rule 94 of its rules of procedure, </w:t>
      </w:r>
      <w:bookmarkEnd w:id="0"/>
      <w:r w:rsidRPr="007D6C3F">
        <w:rPr>
          <w:lang w:val="en-US"/>
        </w:rPr>
        <w:t xml:space="preserve">the Committee, acting through its Special Rapporteur on new communications and interim </w:t>
      </w:r>
      <w:r w:rsidRPr="007D6C3F">
        <w:rPr>
          <w:lang w:val="x-none"/>
        </w:rPr>
        <w:t>measures, requested the State party</w:t>
      </w:r>
      <w:r w:rsidRPr="007D6C3F">
        <w:rPr>
          <w:lang w:val="en-US"/>
        </w:rPr>
        <w:t xml:space="preserve"> to </w:t>
      </w:r>
      <w:r w:rsidRPr="007D6C3F">
        <w:t>refrain from deporting</w:t>
      </w:r>
      <w:r w:rsidRPr="007D6C3F" w:rsidDel="00860BDF">
        <w:rPr>
          <w:lang w:val="en-US"/>
        </w:rPr>
        <w:t xml:space="preserve"> </w:t>
      </w:r>
      <w:r w:rsidRPr="007D6C3F">
        <w:rPr>
          <w:lang w:val="en-US"/>
        </w:rPr>
        <w:t>the author to Afghanistan while his case was under consideration by the Committee.</w:t>
      </w:r>
      <w:r w:rsidR="00DF3FF9" w:rsidRPr="007D6C3F">
        <w:rPr>
          <w:lang w:val="en-US"/>
        </w:rPr>
        <w:t xml:space="preserve"> On 11 December 2017, the State party suspended the enforcement of the author’s deportation order until further </w:t>
      </w:r>
      <w:proofErr w:type="gramStart"/>
      <w:r w:rsidR="00DF3FF9" w:rsidRPr="007D6C3F">
        <w:rPr>
          <w:lang w:val="en-US"/>
        </w:rPr>
        <w:t>notice, and</w:t>
      </w:r>
      <w:proofErr w:type="gramEnd"/>
      <w:r w:rsidR="00DF3FF9" w:rsidRPr="007D6C3F">
        <w:rPr>
          <w:lang w:val="en-US"/>
        </w:rPr>
        <w:t xml:space="preserve"> released the author from detention</w:t>
      </w:r>
      <w:r w:rsidR="00D63E58" w:rsidRPr="007D6C3F">
        <w:rPr>
          <w:lang w:val="en-US"/>
        </w:rPr>
        <w:t>.</w:t>
      </w:r>
      <w:r w:rsidR="00261412" w:rsidRPr="007D6C3F">
        <w:rPr>
          <w:rStyle w:val="FootnoteReference"/>
          <w:lang w:val="en-US"/>
        </w:rPr>
        <w:footnoteReference w:id="5"/>
      </w:r>
    </w:p>
    <w:p w14:paraId="13DD401E" w14:textId="236E3397" w:rsidR="00111738" w:rsidRPr="007D6C3F" w:rsidRDefault="00111738" w:rsidP="00111738">
      <w:pPr>
        <w:pStyle w:val="H23G"/>
      </w:pPr>
      <w:r w:rsidRPr="007D6C3F">
        <w:tab/>
      </w:r>
      <w:r w:rsidRPr="007D6C3F">
        <w:tab/>
      </w:r>
      <w:r w:rsidR="00F87D21" w:rsidRPr="007D6C3F">
        <w:t xml:space="preserve">Factual background </w:t>
      </w:r>
    </w:p>
    <w:p w14:paraId="7622F783" w14:textId="65DB8BEB" w:rsidR="00501935" w:rsidRPr="007D6C3F" w:rsidRDefault="0081450D"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2.1</w:t>
      </w:r>
      <w:r w:rsidR="00111738" w:rsidRPr="007D6C3F">
        <w:rPr>
          <w:rFonts w:ascii="Times New Roman" w:hAnsi="Times New Roman"/>
          <w:sz w:val="20"/>
          <w:szCs w:val="20"/>
          <w:lang w:val="en-GB"/>
        </w:rPr>
        <w:tab/>
      </w:r>
      <w:r w:rsidR="00997BFB" w:rsidRPr="007D6C3F">
        <w:rPr>
          <w:rFonts w:ascii="Times New Roman" w:hAnsi="Times New Roman"/>
          <w:sz w:val="20"/>
          <w:szCs w:val="20"/>
          <w:lang w:val="en-GB"/>
        </w:rPr>
        <w:t xml:space="preserve">The author was born </w:t>
      </w:r>
      <w:r w:rsidR="005F7703" w:rsidRPr="007D6C3F">
        <w:rPr>
          <w:rFonts w:ascii="Times New Roman" w:hAnsi="Times New Roman"/>
          <w:sz w:val="20"/>
          <w:szCs w:val="20"/>
          <w:lang w:val="en-GB"/>
        </w:rPr>
        <w:t xml:space="preserve">in </w:t>
      </w:r>
      <w:r w:rsidR="009C5881" w:rsidRPr="007D6C3F">
        <w:rPr>
          <w:rFonts w:ascii="Times New Roman" w:hAnsi="Times New Roman"/>
          <w:sz w:val="20"/>
          <w:szCs w:val="20"/>
          <w:lang w:val="en-GB"/>
        </w:rPr>
        <w:t xml:space="preserve">Iran after his parents moved </w:t>
      </w:r>
      <w:r w:rsidR="002F07D4" w:rsidRPr="007D6C3F">
        <w:rPr>
          <w:rFonts w:ascii="Times New Roman" w:hAnsi="Times New Roman"/>
          <w:sz w:val="20"/>
          <w:szCs w:val="20"/>
          <w:lang w:val="en-GB"/>
        </w:rPr>
        <w:t xml:space="preserve">there </w:t>
      </w:r>
      <w:r w:rsidR="009C5881" w:rsidRPr="007D6C3F">
        <w:rPr>
          <w:rFonts w:ascii="Times New Roman" w:hAnsi="Times New Roman"/>
          <w:sz w:val="20"/>
          <w:szCs w:val="20"/>
          <w:lang w:val="en-GB"/>
        </w:rPr>
        <w:t>from Mazar-e-Sharif in Afghanistan</w:t>
      </w:r>
      <w:r w:rsidR="00B21DFD" w:rsidRPr="007D6C3F">
        <w:rPr>
          <w:rFonts w:ascii="Times New Roman" w:hAnsi="Times New Roman"/>
          <w:sz w:val="20"/>
          <w:szCs w:val="20"/>
          <w:lang w:val="en-GB"/>
        </w:rPr>
        <w:t>.</w:t>
      </w:r>
      <w:r w:rsidR="00BF2A29" w:rsidRPr="007D6C3F">
        <w:rPr>
          <w:rFonts w:ascii="Times New Roman" w:hAnsi="Times New Roman"/>
          <w:sz w:val="20"/>
          <w:szCs w:val="20"/>
          <w:lang w:val="en-GB"/>
        </w:rPr>
        <w:t xml:space="preserve"> </w:t>
      </w:r>
      <w:r w:rsidR="002F07D4" w:rsidRPr="007D6C3F">
        <w:rPr>
          <w:rFonts w:ascii="Times New Roman" w:hAnsi="Times New Roman"/>
          <w:sz w:val="20"/>
          <w:szCs w:val="20"/>
          <w:lang w:val="en-GB"/>
        </w:rPr>
        <w:t>The</w:t>
      </w:r>
      <w:r w:rsidR="00BF2A29" w:rsidRPr="007D6C3F">
        <w:rPr>
          <w:rFonts w:ascii="Times New Roman" w:hAnsi="Times New Roman"/>
          <w:sz w:val="20"/>
          <w:szCs w:val="20"/>
          <w:lang w:val="en-GB"/>
        </w:rPr>
        <w:t xml:space="preserve"> author grew up in </w:t>
      </w:r>
      <w:proofErr w:type="spellStart"/>
      <w:r w:rsidR="00BF2A29" w:rsidRPr="007D6C3F">
        <w:rPr>
          <w:rFonts w:ascii="Times New Roman" w:hAnsi="Times New Roman"/>
          <w:sz w:val="20"/>
          <w:szCs w:val="20"/>
          <w:lang w:val="en-GB"/>
        </w:rPr>
        <w:t>Mashad</w:t>
      </w:r>
      <w:proofErr w:type="spellEnd"/>
      <w:r w:rsidR="00BF2A29" w:rsidRPr="007D6C3F">
        <w:rPr>
          <w:rFonts w:ascii="Times New Roman" w:hAnsi="Times New Roman"/>
          <w:sz w:val="20"/>
          <w:szCs w:val="20"/>
          <w:lang w:val="en-GB"/>
        </w:rPr>
        <w:t>, Iran with his family.</w:t>
      </w:r>
      <w:r w:rsidR="00BF2A29" w:rsidRPr="007D6C3F">
        <w:rPr>
          <w:rStyle w:val="FootnoteReference"/>
          <w:szCs w:val="20"/>
          <w:lang w:val="en-GB"/>
        </w:rPr>
        <w:footnoteReference w:id="6"/>
      </w:r>
      <w:r w:rsidR="00BF2A29" w:rsidRPr="007D6C3F">
        <w:rPr>
          <w:rFonts w:ascii="Times New Roman" w:hAnsi="Times New Roman"/>
          <w:sz w:val="20"/>
          <w:szCs w:val="20"/>
          <w:lang w:val="en-GB"/>
        </w:rPr>
        <w:t xml:space="preserve"> </w:t>
      </w:r>
    </w:p>
    <w:p w14:paraId="05C28C9C" w14:textId="5A90C7BB" w:rsidR="00DC788E" w:rsidRPr="007D6C3F" w:rsidRDefault="00D80C92"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2.2</w:t>
      </w:r>
      <w:r w:rsidRPr="007D6C3F">
        <w:rPr>
          <w:rFonts w:ascii="Times New Roman" w:hAnsi="Times New Roman"/>
          <w:sz w:val="20"/>
          <w:szCs w:val="20"/>
          <w:lang w:val="en-GB"/>
        </w:rPr>
        <w:tab/>
      </w:r>
      <w:r w:rsidR="007A39F6" w:rsidRPr="007D6C3F">
        <w:rPr>
          <w:rFonts w:ascii="Times New Roman" w:hAnsi="Times New Roman"/>
          <w:sz w:val="20"/>
          <w:szCs w:val="20"/>
          <w:lang w:val="en-GB"/>
        </w:rPr>
        <w:t xml:space="preserve">On 11 September 2015, </w:t>
      </w:r>
      <w:r w:rsidR="00BF2A29" w:rsidRPr="007D6C3F">
        <w:rPr>
          <w:rFonts w:ascii="Times New Roman" w:hAnsi="Times New Roman"/>
          <w:sz w:val="20"/>
          <w:szCs w:val="20"/>
          <w:lang w:val="en-GB"/>
        </w:rPr>
        <w:t>the author</w:t>
      </w:r>
      <w:r w:rsidR="00834EF7" w:rsidRPr="007D6C3F">
        <w:rPr>
          <w:rFonts w:ascii="Times New Roman" w:hAnsi="Times New Roman"/>
          <w:sz w:val="20"/>
          <w:szCs w:val="20"/>
          <w:lang w:val="en-GB"/>
        </w:rPr>
        <w:t xml:space="preserve"> </w:t>
      </w:r>
      <w:r w:rsidR="007A39F6" w:rsidRPr="007D6C3F">
        <w:rPr>
          <w:rFonts w:ascii="Times New Roman" w:hAnsi="Times New Roman"/>
          <w:sz w:val="20"/>
          <w:szCs w:val="20"/>
          <w:lang w:val="en-GB"/>
        </w:rPr>
        <w:t xml:space="preserve">applied for </w:t>
      </w:r>
      <w:r w:rsidR="00834EF7" w:rsidRPr="007D6C3F">
        <w:rPr>
          <w:rFonts w:ascii="Times New Roman" w:hAnsi="Times New Roman"/>
          <w:sz w:val="20"/>
          <w:szCs w:val="20"/>
          <w:lang w:val="en-GB"/>
        </w:rPr>
        <w:t>asylum</w:t>
      </w:r>
      <w:r w:rsidR="00BF2A29" w:rsidRPr="007D6C3F">
        <w:rPr>
          <w:rFonts w:ascii="Times New Roman" w:hAnsi="Times New Roman"/>
          <w:sz w:val="20"/>
          <w:szCs w:val="20"/>
          <w:lang w:val="en-GB"/>
        </w:rPr>
        <w:t xml:space="preserve"> in Sweden </w:t>
      </w:r>
      <w:r w:rsidR="00434454" w:rsidRPr="007D6C3F">
        <w:rPr>
          <w:rFonts w:ascii="Times New Roman" w:hAnsi="Times New Roman"/>
          <w:sz w:val="20"/>
          <w:szCs w:val="20"/>
          <w:lang w:val="en-GB"/>
        </w:rPr>
        <w:t xml:space="preserve">as </w:t>
      </w:r>
      <w:r w:rsidR="00BF2A29" w:rsidRPr="007D6C3F">
        <w:rPr>
          <w:rFonts w:ascii="Times New Roman" w:hAnsi="Times New Roman"/>
          <w:sz w:val="20"/>
          <w:szCs w:val="20"/>
          <w:lang w:val="en-GB"/>
        </w:rPr>
        <w:t>an unaccompanied minor</w:t>
      </w:r>
      <w:r w:rsidR="00834EF7" w:rsidRPr="007D6C3F">
        <w:rPr>
          <w:rFonts w:ascii="Times New Roman" w:hAnsi="Times New Roman"/>
          <w:sz w:val="20"/>
          <w:szCs w:val="20"/>
          <w:lang w:val="en-GB"/>
        </w:rPr>
        <w:t>.</w:t>
      </w:r>
      <w:r w:rsidR="00BF2A29" w:rsidRPr="007D6C3F">
        <w:rPr>
          <w:rStyle w:val="FootnoteReference"/>
          <w:szCs w:val="20"/>
          <w:lang w:val="en-GB"/>
        </w:rPr>
        <w:footnoteReference w:id="7"/>
      </w:r>
      <w:r w:rsidR="00834EF7" w:rsidRPr="007D6C3F">
        <w:rPr>
          <w:rFonts w:ascii="Times New Roman" w:hAnsi="Times New Roman"/>
          <w:sz w:val="20"/>
          <w:szCs w:val="20"/>
          <w:lang w:val="en-GB"/>
        </w:rPr>
        <w:t xml:space="preserve"> </w:t>
      </w:r>
      <w:r w:rsidR="00963591" w:rsidRPr="007D6C3F">
        <w:rPr>
          <w:rFonts w:ascii="Times New Roman" w:hAnsi="Times New Roman"/>
          <w:sz w:val="20"/>
          <w:szCs w:val="20"/>
          <w:lang w:val="en-GB"/>
        </w:rPr>
        <w:t>He alleged that he would risk suffering violence by Taliban and ISIL (Da’esh) because he is a Shia Muslim</w:t>
      </w:r>
      <w:r w:rsidR="00170365" w:rsidRPr="007D6C3F">
        <w:rPr>
          <w:rFonts w:ascii="Times New Roman" w:hAnsi="Times New Roman"/>
          <w:sz w:val="20"/>
          <w:szCs w:val="20"/>
          <w:lang w:val="en-GB"/>
        </w:rPr>
        <w:t>,</w:t>
      </w:r>
      <w:r w:rsidR="00963591" w:rsidRPr="007D6C3F">
        <w:rPr>
          <w:rFonts w:ascii="Times New Roman" w:hAnsi="Times New Roman"/>
          <w:sz w:val="20"/>
          <w:szCs w:val="20"/>
          <w:lang w:val="en-GB"/>
        </w:rPr>
        <w:t xml:space="preserve"> or forcibly being recruited by ISIL (Da’esh), if returned to </w:t>
      </w:r>
      <w:r w:rsidR="00A911A6" w:rsidRPr="007D6C3F">
        <w:rPr>
          <w:rFonts w:ascii="Times New Roman" w:hAnsi="Times New Roman"/>
          <w:sz w:val="20"/>
          <w:szCs w:val="20"/>
          <w:lang w:val="en-GB"/>
        </w:rPr>
        <w:t>Afghanistan</w:t>
      </w:r>
      <w:r w:rsidR="00963591" w:rsidRPr="007D6C3F">
        <w:rPr>
          <w:rFonts w:ascii="Times New Roman" w:hAnsi="Times New Roman"/>
          <w:sz w:val="20"/>
          <w:szCs w:val="20"/>
          <w:lang w:val="en-GB"/>
        </w:rPr>
        <w:t>.</w:t>
      </w:r>
      <w:r w:rsidR="00170365" w:rsidRPr="007D6C3F">
        <w:rPr>
          <w:rFonts w:ascii="Times New Roman" w:hAnsi="Times New Roman"/>
          <w:sz w:val="20"/>
          <w:szCs w:val="20"/>
          <w:lang w:val="en-GB"/>
        </w:rPr>
        <w:t xml:space="preserve"> </w:t>
      </w:r>
      <w:r w:rsidR="00BF2A29" w:rsidRPr="007D6C3F">
        <w:rPr>
          <w:rFonts w:ascii="Times New Roman" w:hAnsi="Times New Roman"/>
          <w:sz w:val="20"/>
          <w:szCs w:val="20"/>
          <w:lang w:val="en-GB"/>
        </w:rPr>
        <w:t>On 14 September 2015, d</w:t>
      </w:r>
      <w:r w:rsidR="00621F58" w:rsidRPr="007D6C3F">
        <w:rPr>
          <w:rFonts w:ascii="Times New Roman" w:hAnsi="Times New Roman"/>
          <w:sz w:val="20"/>
          <w:szCs w:val="20"/>
          <w:lang w:val="en-GB"/>
        </w:rPr>
        <w:t xml:space="preserve">uring </w:t>
      </w:r>
      <w:r w:rsidR="00BF2A29" w:rsidRPr="007D6C3F">
        <w:rPr>
          <w:rFonts w:ascii="Times New Roman" w:hAnsi="Times New Roman"/>
          <w:sz w:val="20"/>
          <w:szCs w:val="20"/>
          <w:lang w:val="en-GB"/>
        </w:rPr>
        <w:t>an</w:t>
      </w:r>
      <w:r w:rsidR="00621F58" w:rsidRPr="007D6C3F">
        <w:rPr>
          <w:rFonts w:ascii="Times New Roman" w:hAnsi="Times New Roman"/>
          <w:sz w:val="20"/>
          <w:szCs w:val="20"/>
          <w:lang w:val="en-GB"/>
        </w:rPr>
        <w:t xml:space="preserve"> introductory interview, the author stated that</w:t>
      </w:r>
      <w:r w:rsidR="00434454" w:rsidRPr="007D6C3F">
        <w:rPr>
          <w:rFonts w:ascii="Times New Roman" w:hAnsi="Times New Roman"/>
          <w:sz w:val="20"/>
          <w:szCs w:val="20"/>
          <w:lang w:val="en-GB"/>
        </w:rPr>
        <w:t xml:space="preserve">, if </w:t>
      </w:r>
      <w:r w:rsidR="00170365" w:rsidRPr="007D6C3F">
        <w:rPr>
          <w:rFonts w:ascii="Times New Roman" w:hAnsi="Times New Roman"/>
          <w:sz w:val="20"/>
          <w:szCs w:val="20"/>
          <w:lang w:val="en-GB"/>
        </w:rPr>
        <w:t>granted a</w:t>
      </w:r>
      <w:r w:rsidR="00434454" w:rsidRPr="007D6C3F">
        <w:rPr>
          <w:rFonts w:ascii="Times New Roman" w:hAnsi="Times New Roman"/>
          <w:sz w:val="20"/>
          <w:szCs w:val="20"/>
          <w:lang w:val="en-GB"/>
        </w:rPr>
        <w:t xml:space="preserve"> residence permit,</w:t>
      </w:r>
      <w:r w:rsidR="00621F58" w:rsidRPr="007D6C3F">
        <w:rPr>
          <w:rFonts w:ascii="Times New Roman" w:hAnsi="Times New Roman"/>
          <w:sz w:val="20"/>
          <w:szCs w:val="20"/>
          <w:lang w:val="en-GB"/>
        </w:rPr>
        <w:t xml:space="preserve"> he would like to bring his parents and siblings </w:t>
      </w:r>
      <w:r w:rsidR="00434454" w:rsidRPr="007D6C3F">
        <w:rPr>
          <w:rFonts w:ascii="Times New Roman" w:hAnsi="Times New Roman"/>
          <w:sz w:val="20"/>
          <w:szCs w:val="20"/>
          <w:lang w:val="en-GB"/>
        </w:rPr>
        <w:t>from</w:t>
      </w:r>
      <w:r w:rsidR="00621F58" w:rsidRPr="007D6C3F">
        <w:rPr>
          <w:rFonts w:ascii="Times New Roman" w:hAnsi="Times New Roman"/>
          <w:sz w:val="20"/>
          <w:szCs w:val="20"/>
          <w:lang w:val="en-GB"/>
        </w:rPr>
        <w:t xml:space="preserve"> Iran to Sweden. </w:t>
      </w:r>
    </w:p>
    <w:p w14:paraId="33596824" w14:textId="1A8179DB" w:rsidR="00A72894" w:rsidRPr="007D6C3F" w:rsidRDefault="00DC788E"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2.3</w:t>
      </w:r>
      <w:r w:rsidRPr="007D6C3F">
        <w:rPr>
          <w:rFonts w:ascii="Times New Roman" w:hAnsi="Times New Roman"/>
          <w:sz w:val="20"/>
          <w:szCs w:val="20"/>
          <w:lang w:val="en-GB"/>
        </w:rPr>
        <w:tab/>
        <w:t>On 7 November 2015, the author’s parents and the younger brother</w:t>
      </w:r>
      <w:r w:rsidR="006D2891" w:rsidRPr="007D6C3F">
        <w:rPr>
          <w:rFonts w:ascii="Times New Roman" w:hAnsi="Times New Roman"/>
          <w:sz w:val="20"/>
          <w:szCs w:val="20"/>
          <w:lang w:val="en-GB"/>
        </w:rPr>
        <w:t xml:space="preserve"> </w:t>
      </w:r>
      <w:r w:rsidR="00EA4666">
        <w:rPr>
          <w:rFonts w:ascii="Times New Roman" w:hAnsi="Times New Roman"/>
          <w:sz w:val="20"/>
          <w:szCs w:val="20"/>
          <w:lang w:val="en-GB"/>
        </w:rPr>
        <w:t xml:space="preserve">also </w:t>
      </w:r>
      <w:r w:rsidRPr="007D6C3F">
        <w:rPr>
          <w:rFonts w:ascii="Times New Roman" w:hAnsi="Times New Roman"/>
          <w:sz w:val="20"/>
          <w:szCs w:val="20"/>
          <w:lang w:val="en-GB"/>
        </w:rPr>
        <w:t xml:space="preserve">applied for asylum in Sweden. </w:t>
      </w:r>
      <w:r w:rsidR="00434454" w:rsidRPr="007D6C3F">
        <w:rPr>
          <w:rFonts w:ascii="Times New Roman" w:hAnsi="Times New Roman"/>
          <w:sz w:val="20"/>
          <w:szCs w:val="20"/>
          <w:lang w:val="en-GB"/>
        </w:rPr>
        <w:t>On 2 June 2016, the author went through another oral interview on the understanding that on that date he could no longer be considered as an unaccompanied minor</w:t>
      </w:r>
      <w:r w:rsidR="00F87D21" w:rsidRPr="007D6C3F">
        <w:rPr>
          <w:rFonts w:ascii="Times New Roman" w:hAnsi="Times New Roman"/>
          <w:sz w:val="20"/>
          <w:szCs w:val="20"/>
          <w:lang w:val="en-GB"/>
        </w:rPr>
        <w:t xml:space="preserve"> as he was </w:t>
      </w:r>
      <w:r w:rsidR="00EA4666">
        <w:rPr>
          <w:rFonts w:ascii="Times New Roman" w:hAnsi="Times New Roman"/>
          <w:sz w:val="20"/>
          <w:szCs w:val="20"/>
          <w:lang w:val="en-GB"/>
        </w:rPr>
        <w:t>reunited</w:t>
      </w:r>
      <w:r w:rsidR="00EA4666" w:rsidRPr="007D6C3F">
        <w:rPr>
          <w:rFonts w:ascii="Times New Roman" w:hAnsi="Times New Roman"/>
          <w:sz w:val="20"/>
          <w:szCs w:val="20"/>
          <w:lang w:val="en-GB"/>
        </w:rPr>
        <w:t xml:space="preserve"> </w:t>
      </w:r>
      <w:r w:rsidR="00F87D21" w:rsidRPr="007D6C3F">
        <w:rPr>
          <w:rFonts w:ascii="Times New Roman" w:hAnsi="Times New Roman"/>
          <w:sz w:val="20"/>
          <w:szCs w:val="20"/>
          <w:lang w:val="en-GB"/>
        </w:rPr>
        <w:t>with his family.</w:t>
      </w:r>
      <w:r w:rsidR="00434454" w:rsidRPr="007D6C3F">
        <w:rPr>
          <w:rFonts w:ascii="Times New Roman" w:hAnsi="Times New Roman"/>
          <w:sz w:val="20"/>
          <w:szCs w:val="20"/>
          <w:lang w:val="en-GB"/>
        </w:rPr>
        <w:t xml:space="preserve"> </w:t>
      </w:r>
      <w:r w:rsidR="005F7703" w:rsidRPr="007D6C3F">
        <w:rPr>
          <w:rFonts w:ascii="Times New Roman" w:hAnsi="Times New Roman"/>
          <w:sz w:val="20"/>
          <w:szCs w:val="20"/>
          <w:lang w:val="en-GB"/>
        </w:rPr>
        <w:t>On 1 July 2016, before</w:t>
      </w:r>
      <w:r w:rsidR="00BF2A29" w:rsidRPr="007D6C3F">
        <w:rPr>
          <w:rFonts w:ascii="Times New Roman" w:hAnsi="Times New Roman"/>
          <w:sz w:val="20"/>
          <w:szCs w:val="20"/>
          <w:lang w:val="en-GB"/>
        </w:rPr>
        <w:t xml:space="preserve"> any decision was taken by the Migration </w:t>
      </w:r>
      <w:r w:rsidR="00C66259" w:rsidRPr="007D6C3F">
        <w:rPr>
          <w:rFonts w:ascii="Times New Roman" w:hAnsi="Times New Roman"/>
          <w:sz w:val="20"/>
          <w:szCs w:val="20"/>
          <w:lang w:val="en-GB"/>
        </w:rPr>
        <w:t>Board</w:t>
      </w:r>
      <w:r w:rsidR="00BF2A29" w:rsidRPr="007D6C3F">
        <w:rPr>
          <w:rFonts w:ascii="Times New Roman" w:hAnsi="Times New Roman"/>
          <w:sz w:val="20"/>
          <w:szCs w:val="20"/>
          <w:lang w:val="en-GB"/>
        </w:rPr>
        <w:t>, the parents withdrew their asylum applications</w:t>
      </w:r>
      <w:r w:rsidR="00EA4666">
        <w:rPr>
          <w:rFonts w:ascii="Times New Roman" w:hAnsi="Times New Roman"/>
          <w:sz w:val="20"/>
          <w:szCs w:val="20"/>
          <w:lang w:val="en-GB"/>
        </w:rPr>
        <w:t xml:space="preserve"> because they wanted </w:t>
      </w:r>
      <w:r w:rsidR="005F7703" w:rsidRPr="007D6C3F">
        <w:rPr>
          <w:rFonts w:ascii="Times New Roman" w:hAnsi="Times New Roman"/>
          <w:sz w:val="20"/>
          <w:szCs w:val="20"/>
          <w:lang w:val="en-GB"/>
        </w:rPr>
        <w:t xml:space="preserve">to return to Afghanistan to </w:t>
      </w:r>
      <w:r w:rsidR="00A30CAF">
        <w:rPr>
          <w:rFonts w:ascii="Times New Roman" w:hAnsi="Times New Roman"/>
          <w:sz w:val="20"/>
          <w:szCs w:val="20"/>
          <w:lang w:val="en-GB"/>
        </w:rPr>
        <w:t>care for</w:t>
      </w:r>
      <w:r w:rsidR="005F7703" w:rsidRPr="007D6C3F">
        <w:rPr>
          <w:rFonts w:ascii="Times New Roman" w:hAnsi="Times New Roman"/>
          <w:sz w:val="20"/>
          <w:szCs w:val="20"/>
          <w:lang w:val="en-GB"/>
        </w:rPr>
        <w:t xml:space="preserve"> the author’s grandfather</w:t>
      </w:r>
      <w:r w:rsidR="00A30CAF">
        <w:rPr>
          <w:rFonts w:ascii="Times New Roman" w:hAnsi="Times New Roman"/>
          <w:sz w:val="20"/>
          <w:szCs w:val="20"/>
          <w:lang w:val="en-GB"/>
        </w:rPr>
        <w:t>.</w:t>
      </w:r>
      <w:r w:rsidR="005F7703" w:rsidRPr="007D6C3F">
        <w:rPr>
          <w:rFonts w:ascii="Times New Roman" w:hAnsi="Times New Roman"/>
          <w:sz w:val="20"/>
          <w:szCs w:val="20"/>
          <w:lang w:val="en-GB"/>
        </w:rPr>
        <w:t xml:space="preserve"> </w:t>
      </w:r>
      <w:r w:rsidR="00BF2A29" w:rsidRPr="007D6C3F">
        <w:rPr>
          <w:rFonts w:ascii="Times New Roman" w:hAnsi="Times New Roman"/>
          <w:sz w:val="20"/>
          <w:szCs w:val="20"/>
          <w:lang w:val="en-GB"/>
        </w:rPr>
        <w:t xml:space="preserve">The </w:t>
      </w:r>
      <w:r w:rsidRPr="007D6C3F">
        <w:rPr>
          <w:rFonts w:ascii="Times New Roman" w:hAnsi="Times New Roman"/>
          <w:sz w:val="20"/>
          <w:szCs w:val="20"/>
          <w:lang w:val="en-GB"/>
        </w:rPr>
        <w:t xml:space="preserve">Migration </w:t>
      </w:r>
      <w:r w:rsidR="00C66259" w:rsidRPr="007D6C3F">
        <w:rPr>
          <w:rFonts w:ascii="Times New Roman" w:hAnsi="Times New Roman"/>
          <w:sz w:val="20"/>
          <w:szCs w:val="20"/>
          <w:lang w:val="en-GB"/>
        </w:rPr>
        <w:t>Board</w:t>
      </w:r>
      <w:r w:rsidRPr="007D6C3F">
        <w:rPr>
          <w:rFonts w:ascii="Times New Roman" w:hAnsi="Times New Roman"/>
          <w:sz w:val="20"/>
          <w:szCs w:val="20"/>
          <w:lang w:val="en-GB"/>
        </w:rPr>
        <w:t xml:space="preserve"> </w:t>
      </w:r>
      <w:r w:rsidR="00904D99">
        <w:rPr>
          <w:rFonts w:ascii="Times New Roman" w:hAnsi="Times New Roman"/>
          <w:sz w:val="20"/>
          <w:szCs w:val="20"/>
          <w:lang w:val="en-GB"/>
        </w:rPr>
        <w:t>struck</w:t>
      </w:r>
      <w:r w:rsidR="00A30CAF">
        <w:rPr>
          <w:rFonts w:ascii="Times New Roman" w:hAnsi="Times New Roman"/>
          <w:sz w:val="20"/>
          <w:szCs w:val="20"/>
          <w:lang w:val="en-GB"/>
        </w:rPr>
        <w:t xml:space="preserve"> out</w:t>
      </w:r>
      <w:r w:rsidRPr="007D6C3F">
        <w:rPr>
          <w:rFonts w:ascii="Times New Roman" w:hAnsi="Times New Roman"/>
          <w:sz w:val="20"/>
          <w:szCs w:val="20"/>
          <w:lang w:val="en-GB"/>
        </w:rPr>
        <w:t xml:space="preserve"> the</w:t>
      </w:r>
      <w:r w:rsidR="00261412" w:rsidRPr="007D6C3F">
        <w:rPr>
          <w:rFonts w:ascii="Times New Roman" w:hAnsi="Times New Roman"/>
          <w:sz w:val="20"/>
          <w:szCs w:val="20"/>
          <w:lang w:val="en-GB"/>
        </w:rPr>
        <w:t xml:space="preserve"> parents’</w:t>
      </w:r>
      <w:r w:rsidRPr="007D6C3F">
        <w:rPr>
          <w:rFonts w:ascii="Times New Roman" w:hAnsi="Times New Roman"/>
          <w:sz w:val="20"/>
          <w:szCs w:val="20"/>
          <w:lang w:val="en-GB"/>
        </w:rPr>
        <w:t xml:space="preserve"> asylum </w:t>
      </w:r>
      <w:r w:rsidR="00BF2A29" w:rsidRPr="007D6C3F">
        <w:rPr>
          <w:rFonts w:ascii="Times New Roman" w:hAnsi="Times New Roman"/>
          <w:sz w:val="20"/>
          <w:szCs w:val="20"/>
          <w:lang w:val="en-GB"/>
        </w:rPr>
        <w:t>application</w:t>
      </w:r>
      <w:r w:rsidR="00013ED6" w:rsidRPr="00F515CC">
        <w:rPr>
          <w:rFonts w:ascii="Times New Roman" w:hAnsi="Times New Roman"/>
          <w:sz w:val="20"/>
          <w:szCs w:val="20"/>
          <w:lang w:val="en-GB"/>
        </w:rPr>
        <w:t>.</w:t>
      </w:r>
    </w:p>
    <w:p w14:paraId="232F2795" w14:textId="0A34B005" w:rsidR="00F21721" w:rsidRPr="007D6C3F" w:rsidRDefault="00A72894"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w:t>
      </w:r>
      <w:r w:rsidR="00811BF4" w:rsidRPr="007D6C3F">
        <w:rPr>
          <w:rFonts w:ascii="Times New Roman" w:hAnsi="Times New Roman"/>
          <w:sz w:val="20"/>
          <w:szCs w:val="20"/>
          <w:lang w:val="en-GB"/>
        </w:rPr>
        <w:t>.4</w:t>
      </w:r>
      <w:r w:rsidR="00DC788E" w:rsidRPr="007D6C3F">
        <w:rPr>
          <w:rFonts w:ascii="Times New Roman" w:hAnsi="Times New Roman"/>
          <w:sz w:val="20"/>
          <w:szCs w:val="20"/>
          <w:lang w:val="en-GB"/>
        </w:rPr>
        <w:tab/>
        <w:t xml:space="preserve">On 15 July 2016, the asylum </w:t>
      </w:r>
      <w:r w:rsidRPr="007D6C3F">
        <w:rPr>
          <w:rFonts w:ascii="Times New Roman" w:hAnsi="Times New Roman"/>
          <w:sz w:val="20"/>
          <w:szCs w:val="20"/>
          <w:lang w:val="en-GB"/>
        </w:rPr>
        <w:t xml:space="preserve">application </w:t>
      </w:r>
      <w:r w:rsidR="00DC788E" w:rsidRPr="007D6C3F">
        <w:rPr>
          <w:rFonts w:ascii="Times New Roman" w:hAnsi="Times New Roman"/>
          <w:sz w:val="20"/>
          <w:szCs w:val="20"/>
          <w:lang w:val="en-GB"/>
        </w:rPr>
        <w:t xml:space="preserve">of the author and his brother </w:t>
      </w:r>
      <w:r w:rsidR="00811BF4" w:rsidRPr="007D6C3F">
        <w:rPr>
          <w:rFonts w:ascii="Times New Roman" w:hAnsi="Times New Roman"/>
          <w:sz w:val="20"/>
          <w:szCs w:val="20"/>
          <w:lang w:val="en-GB"/>
        </w:rPr>
        <w:t>was</w:t>
      </w:r>
      <w:r w:rsidRPr="007D6C3F">
        <w:rPr>
          <w:rFonts w:ascii="Times New Roman" w:hAnsi="Times New Roman"/>
          <w:sz w:val="20"/>
          <w:szCs w:val="20"/>
          <w:lang w:val="en-GB"/>
        </w:rPr>
        <w:t xml:space="preserve"> rejected by the Migration </w:t>
      </w:r>
      <w:r w:rsidR="00C66259" w:rsidRPr="007D6C3F">
        <w:rPr>
          <w:rFonts w:ascii="Times New Roman" w:hAnsi="Times New Roman"/>
          <w:sz w:val="20"/>
          <w:szCs w:val="20"/>
          <w:lang w:val="en-GB"/>
        </w:rPr>
        <w:t>Board</w:t>
      </w:r>
      <w:r w:rsidRPr="007D6C3F">
        <w:rPr>
          <w:rFonts w:ascii="Times New Roman" w:hAnsi="Times New Roman"/>
          <w:sz w:val="20"/>
          <w:szCs w:val="20"/>
          <w:lang w:val="en-GB"/>
        </w:rPr>
        <w:t>.</w:t>
      </w:r>
      <w:r w:rsidRPr="00F515CC">
        <w:rPr>
          <w:rFonts w:ascii="Times New Roman" w:hAnsi="Times New Roman"/>
          <w:sz w:val="20"/>
          <w:szCs w:val="20"/>
          <w:vertAlign w:val="superscript"/>
          <w:lang w:val="en-GB"/>
        </w:rPr>
        <w:t xml:space="preserve"> </w:t>
      </w:r>
      <w:r w:rsidR="00682C03" w:rsidRPr="007D6C3F">
        <w:rPr>
          <w:rFonts w:ascii="Times New Roman" w:hAnsi="Times New Roman"/>
          <w:sz w:val="20"/>
          <w:szCs w:val="20"/>
          <w:lang w:val="en-GB"/>
        </w:rPr>
        <w:t>As they did not have any identity document</w:t>
      </w:r>
      <w:r w:rsidR="00170365" w:rsidRPr="007D6C3F">
        <w:rPr>
          <w:rFonts w:ascii="Times New Roman" w:hAnsi="Times New Roman"/>
          <w:sz w:val="20"/>
          <w:szCs w:val="20"/>
          <w:lang w:val="en-GB"/>
        </w:rPr>
        <w:t>s</w:t>
      </w:r>
      <w:r w:rsidR="00682C03" w:rsidRPr="007D6C3F">
        <w:rPr>
          <w:rFonts w:ascii="Times New Roman" w:hAnsi="Times New Roman"/>
          <w:sz w:val="20"/>
          <w:szCs w:val="20"/>
          <w:lang w:val="en-GB"/>
        </w:rPr>
        <w:t>, t</w:t>
      </w:r>
      <w:r w:rsidR="00BF2A29" w:rsidRPr="007D6C3F">
        <w:rPr>
          <w:rFonts w:ascii="Times New Roman" w:hAnsi="Times New Roman"/>
          <w:sz w:val="20"/>
          <w:szCs w:val="20"/>
          <w:lang w:val="en-GB"/>
        </w:rPr>
        <w:t xml:space="preserve">he Migration </w:t>
      </w:r>
      <w:r w:rsidR="00C66259" w:rsidRPr="007D6C3F">
        <w:rPr>
          <w:rFonts w:ascii="Times New Roman" w:hAnsi="Times New Roman"/>
          <w:sz w:val="20"/>
          <w:szCs w:val="20"/>
          <w:lang w:val="en-GB"/>
        </w:rPr>
        <w:t>Board</w:t>
      </w:r>
      <w:r w:rsidR="00BF2A29" w:rsidRPr="007D6C3F">
        <w:rPr>
          <w:rFonts w:ascii="Times New Roman" w:hAnsi="Times New Roman"/>
          <w:sz w:val="20"/>
          <w:szCs w:val="20"/>
          <w:lang w:val="en-GB"/>
        </w:rPr>
        <w:t xml:space="preserve"> </w:t>
      </w:r>
      <w:r w:rsidR="00682C03" w:rsidRPr="007D6C3F">
        <w:rPr>
          <w:rFonts w:ascii="Times New Roman" w:hAnsi="Times New Roman"/>
          <w:sz w:val="20"/>
          <w:szCs w:val="20"/>
          <w:lang w:val="en-GB"/>
        </w:rPr>
        <w:t>took Mazar-e-Sharif in Afg</w:t>
      </w:r>
      <w:r w:rsidR="00170365" w:rsidRPr="007D6C3F">
        <w:rPr>
          <w:rFonts w:ascii="Times New Roman" w:hAnsi="Times New Roman"/>
          <w:sz w:val="20"/>
          <w:szCs w:val="20"/>
          <w:lang w:val="en-GB"/>
        </w:rPr>
        <w:t>h</w:t>
      </w:r>
      <w:r w:rsidR="00682C03" w:rsidRPr="007D6C3F">
        <w:rPr>
          <w:rFonts w:ascii="Times New Roman" w:hAnsi="Times New Roman"/>
          <w:sz w:val="20"/>
          <w:szCs w:val="20"/>
          <w:lang w:val="en-GB"/>
        </w:rPr>
        <w:t>anistan</w:t>
      </w:r>
      <w:r w:rsidR="00170365" w:rsidRPr="007D6C3F">
        <w:rPr>
          <w:rFonts w:ascii="Times New Roman" w:hAnsi="Times New Roman"/>
          <w:sz w:val="20"/>
          <w:szCs w:val="20"/>
          <w:lang w:val="en-GB"/>
        </w:rPr>
        <w:t>,</w:t>
      </w:r>
      <w:r w:rsidR="00682C03" w:rsidRPr="007D6C3F">
        <w:rPr>
          <w:rFonts w:ascii="Times New Roman" w:hAnsi="Times New Roman"/>
          <w:sz w:val="20"/>
          <w:szCs w:val="20"/>
          <w:lang w:val="en-GB"/>
        </w:rPr>
        <w:t xml:space="preserve"> where the parents of the author were origina</w:t>
      </w:r>
      <w:r w:rsidR="00E726FA" w:rsidRPr="007D6C3F">
        <w:rPr>
          <w:rFonts w:ascii="Times New Roman" w:hAnsi="Times New Roman"/>
          <w:sz w:val="20"/>
          <w:szCs w:val="20"/>
          <w:lang w:val="en-GB"/>
        </w:rPr>
        <w:t>lly</w:t>
      </w:r>
      <w:r w:rsidR="00682C03" w:rsidRPr="007D6C3F">
        <w:rPr>
          <w:rFonts w:ascii="Times New Roman" w:hAnsi="Times New Roman"/>
          <w:sz w:val="20"/>
          <w:szCs w:val="20"/>
          <w:lang w:val="en-GB"/>
        </w:rPr>
        <w:t xml:space="preserve"> from</w:t>
      </w:r>
      <w:r w:rsidR="00170365" w:rsidRPr="007D6C3F">
        <w:rPr>
          <w:rFonts w:ascii="Times New Roman" w:hAnsi="Times New Roman"/>
          <w:sz w:val="20"/>
          <w:szCs w:val="20"/>
          <w:lang w:val="en-GB"/>
        </w:rPr>
        <w:t>,</w:t>
      </w:r>
      <w:r w:rsidR="00682C03" w:rsidRPr="007D6C3F">
        <w:rPr>
          <w:rFonts w:ascii="Times New Roman" w:hAnsi="Times New Roman"/>
          <w:sz w:val="20"/>
          <w:szCs w:val="20"/>
          <w:lang w:val="en-GB"/>
        </w:rPr>
        <w:t xml:space="preserve"> as </w:t>
      </w:r>
      <w:r w:rsidR="00963591" w:rsidRPr="007D6C3F">
        <w:rPr>
          <w:rFonts w:ascii="Times New Roman" w:hAnsi="Times New Roman"/>
          <w:sz w:val="20"/>
          <w:szCs w:val="20"/>
          <w:lang w:val="en-GB"/>
        </w:rPr>
        <w:t xml:space="preserve">their </w:t>
      </w:r>
      <w:r w:rsidR="00682C03" w:rsidRPr="007D6C3F">
        <w:rPr>
          <w:rFonts w:ascii="Times New Roman" w:hAnsi="Times New Roman"/>
          <w:sz w:val="20"/>
          <w:szCs w:val="20"/>
          <w:lang w:val="en-GB"/>
        </w:rPr>
        <w:t>place of origin. The</w:t>
      </w:r>
      <w:r w:rsidR="00963591" w:rsidRPr="007D6C3F">
        <w:rPr>
          <w:rFonts w:ascii="Times New Roman" w:hAnsi="Times New Roman"/>
          <w:sz w:val="20"/>
          <w:szCs w:val="20"/>
          <w:lang w:val="en-GB"/>
        </w:rPr>
        <w:t xml:space="preserve"> Migration</w:t>
      </w:r>
      <w:r w:rsidR="00682C03" w:rsidRPr="007D6C3F">
        <w:rPr>
          <w:rFonts w:ascii="Times New Roman" w:hAnsi="Times New Roman"/>
          <w:sz w:val="20"/>
          <w:szCs w:val="20"/>
          <w:lang w:val="en-GB"/>
        </w:rPr>
        <w:t xml:space="preserve"> </w:t>
      </w:r>
      <w:r w:rsidR="00C66259" w:rsidRPr="007D6C3F">
        <w:rPr>
          <w:rFonts w:ascii="Times New Roman" w:hAnsi="Times New Roman"/>
          <w:sz w:val="20"/>
          <w:szCs w:val="20"/>
          <w:lang w:val="en-GB"/>
        </w:rPr>
        <w:t>Board</w:t>
      </w:r>
      <w:r w:rsidR="00682C03" w:rsidRPr="007D6C3F">
        <w:rPr>
          <w:rFonts w:ascii="Times New Roman" w:hAnsi="Times New Roman"/>
          <w:sz w:val="20"/>
          <w:szCs w:val="20"/>
          <w:lang w:val="en-GB"/>
        </w:rPr>
        <w:t xml:space="preserve"> </w:t>
      </w:r>
      <w:r w:rsidR="00BF2A29" w:rsidRPr="007D6C3F">
        <w:rPr>
          <w:rFonts w:ascii="Times New Roman" w:hAnsi="Times New Roman"/>
          <w:sz w:val="20"/>
          <w:szCs w:val="20"/>
          <w:lang w:val="en-GB"/>
        </w:rPr>
        <w:t>found that it was unlikely that the author and his brother would be recruited by ISIL</w:t>
      </w:r>
      <w:r w:rsidR="00170365" w:rsidRPr="007D6C3F">
        <w:rPr>
          <w:rFonts w:ascii="Times New Roman" w:hAnsi="Times New Roman"/>
          <w:sz w:val="20"/>
          <w:szCs w:val="20"/>
          <w:lang w:val="en-GB"/>
        </w:rPr>
        <w:t xml:space="preserve"> </w:t>
      </w:r>
      <w:r w:rsidR="00963591" w:rsidRPr="007D6C3F">
        <w:rPr>
          <w:rFonts w:ascii="Times New Roman" w:hAnsi="Times New Roman"/>
          <w:sz w:val="20"/>
          <w:szCs w:val="20"/>
          <w:lang w:val="en-GB"/>
        </w:rPr>
        <w:t>(</w:t>
      </w:r>
      <w:r w:rsidR="00BF2A29" w:rsidRPr="007D6C3F">
        <w:rPr>
          <w:rFonts w:ascii="Times New Roman" w:hAnsi="Times New Roman"/>
          <w:sz w:val="20"/>
          <w:szCs w:val="20"/>
          <w:lang w:val="en-GB"/>
        </w:rPr>
        <w:t>Da</w:t>
      </w:r>
      <w:r w:rsidR="00963591" w:rsidRPr="007D6C3F">
        <w:rPr>
          <w:rFonts w:ascii="Times New Roman" w:hAnsi="Times New Roman"/>
          <w:sz w:val="20"/>
          <w:szCs w:val="20"/>
          <w:lang w:val="en-GB"/>
        </w:rPr>
        <w:t>’</w:t>
      </w:r>
      <w:r w:rsidR="00BF2A29" w:rsidRPr="007D6C3F">
        <w:rPr>
          <w:rFonts w:ascii="Times New Roman" w:hAnsi="Times New Roman"/>
          <w:sz w:val="20"/>
          <w:szCs w:val="20"/>
          <w:lang w:val="en-GB"/>
        </w:rPr>
        <w:t>esh</w:t>
      </w:r>
      <w:r w:rsidR="00963591" w:rsidRPr="007D6C3F">
        <w:rPr>
          <w:rFonts w:ascii="Times New Roman" w:hAnsi="Times New Roman"/>
          <w:sz w:val="20"/>
          <w:szCs w:val="20"/>
          <w:lang w:val="en-GB"/>
        </w:rPr>
        <w:t>)</w:t>
      </w:r>
      <w:r w:rsidR="00BF2A29" w:rsidRPr="007D6C3F">
        <w:rPr>
          <w:rFonts w:ascii="Times New Roman" w:hAnsi="Times New Roman"/>
          <w:sz w:val="20"/>
          <w:szCs w:val="20"/>
          <w:lang w:val="en-GB"/>
        </w:rPr>
        <w:t xml:space="preserve"> upon return, </w:t>
      </w:r>
      <w:r w:rsidR="006D2891" w:rsidRPr="007D6C3F">
        <w:rPr>
          <w:rFonts w:ascii="Times New Roman" w:hAnsi="Times New Roman"/>
          <w:sz w:val="20"/>
          <w:szCs w:val="20"/>
          <w:lang w:val="en-GB"/>
        </w:rPr>
        <w:t xml:space="preserve">in view of the fact that </w:t>
      </w:r>
      <w:r w:rsidR="00BF2A29" w:rsidRPr="007D6C3F">
        <w:rPr>
          <w:rFonts w:ascii="Times New Roman" w:hAnsi="Times New Roman"/>
          <w:sz w:val="20"/>
          <w:szCs w:val="20"/>
          <w:lang w:val="en-GB"/>
        </w:rPr>
        <w:t xml:space="preserve">there is no evidence of </w:t>
      </w:r>
      <w:r w:rsidR="00963591" w:rsidRPr="007D6C3F">
        <w:rPr>
          <w:rFonts w:ascii="Times New Roman" w:hAnsi="Times New Roman"/>
          <w:sz w:val="20"/>
          <w:szCs w:val="20"/>
          <w:lang w:val="en-GB"/>
        </w:rPr>
        <w:t>ISIL</w:t>
      </w:r>
      <w:r w:rsidR="00170365" w:rsidRPr="007D6C3F">
        <w:rPr>
          <w:rFonts w:ascii="Times New Roman" w:hAnsi="Times New Roman"/>
          <w:sz w:val="20"/>
          <w:szCs w:val="20"/>
          <w:lang w:val="en-GB"/>
        </w:rPr>
        <w:t xml:space="preserve"> </w:t>
      </w:r>
      <w:r w:rsidR="00963591" w:rsidRPr="007D6C3F">
        <w:rPr>
          <w:rFonts w:ascii="Times New Roman" w:hAnsi="Times New Roman"/>
          <w:sz w:val="20"/>
          <w:szCs w:val="20"/>
          <w:lang w:val="en-GB"/>
        </w:rPr>
        <w:t>(Da’esh)</w:t>
      </w:r>
      <w:r w:rsidR="00BF2A29" w:rsidRPr="007D6C3F">
        <w:rPr>
          <w:rFonts w:ascii="Times New Roman" w:hAnsi="Times New Roman"/>
          <w:sz w:val="20"/>
          <w:szCs w:val="20"/>
          <w:lang w:val="en-GB"/>
        </w:rPr>
        <w:t xml:space="preserve">’s presence in that region, and </w:t>
      </w:r>
      <w:r w:rsidR="006D2891" w:rsidRPr="007D6C3F">
        <w:rPr>
          <w:rFonts w:ascii="Times New Roman" w:hAnsi="Times New Roman"/>
          <w:sz w:val="20"/>
          <w:szCs w:val="20"/>
          <w:lang w:val="en-GB"/>
        </w:rPr>
        <w:t xml:space="preserve">that </w:t>
      </w:r>
      <w:r w:rsidR="00BF2A29" w:rsidRPr="007D6C3F">
        <w:rPr>
          <w:rFonts w:ascii="Times New Roman" w:hAnsi="Times New Roman"/>
          <w:sz w:val="20"/>
          <w:szCs w:val="20"/>
          <w:lang w:val="en-GB"/>
        </w:rPr>
        <w:t xml:space="preserve">they </w:t>
      </w:r>
      <w:r w:rsidR="006D2891" w:rsidRPr="007D6C3F">
        <w:rPr>
          <w:rFonts w:ascii="Times New Roman" w:hAnsi="Times New Roman"/>
          <w:sz w:val="20"/>
          <w:szCs w:val="20"/>
          <w:lang w:val="en-GB"/>
        </w:rPr>
        <w:t xml:space="preserve">usually </w:t>
      </w:r>
      <w:r w:rsidR="00BF2A29" w:rsidRPr="007D6C3F">
        <w:rPr>
          <w:rFonts w:ascii="Times New Roman" w:hAnsi="Times New Roman"/>
          <w:sz w:val="20"/>
          <w:szCs w:val="20"/>
          <w:lang w:val="en-GB"/>
        </w:rPr>
        <w:t xml:space="preserve">recruit ideologically motivated people. The Migration </w:t>
      </w:r>
      <w:r w:rsidR="00C66259" w:rsidRPr="007D6C3F">
        <w:rPr>
          <w:rFonts w:ascii="Times New Roman" w:hAnsi="Times New Roman"/>
          <w:sz w:val="20"/>
          <w:szCs w:val="20"/>
          <w:lang w:val="en-GB"/>
        </w:rPr>
        <w:t>Board</w:t>
      </w:r>
      <w:r w:rsidR="00BF2A29" w:rsidRPr="007D6C3F">
        <w:rPr>
          <w:rFonts w:ascii="Times New Roman" w:hAnsi="Times New Roman"/>
          <w:sz w:val="20"/>
          <w:szCs w:val="20"/>
          <w:lang w:val="en-GB"/>
        </w:rPr>
        <w:t xml:space="preserve"> also found that </w:t>
      </w:r>
      <w:r w:rsidR="006D2891" w:rsidRPr="007D6C3F">
        <w:rPr>
          <w:rFonts w:ascii="Times New Roman" w:hAnsi="Times New Roman"/>
          <w:sz w:val="20"/>
          <w:szCs w:val="20"/>
          <w:lang w:val="en-GB"/>
        </w:rPr>
        <w:t>bearing in mind the author</w:t>
      </w:r>
      <w:r w:rsidR="00170365" w:rsidRPr="007D6C3F">
        <w:rPr>
          <w:rFonts w:ascii="Times New Roman" w:hAnsi="Times New Roman"/>
          <w:sz w:val="20"/>
          <w:szCs w:val="20"/>
          <w:lang w:val="en-GB"/>
        </w:rPr>
        <w:t>’s</w:t>
      </w:r>
      <w:r w:rsidR="006D2891" w:rsidRPr="007D6C3F">
        <w:rPr>
          <w:rFonts w:ascii="Times New Roman" w:hAnsi="Times New Roman"/>
          <w:sz w:val="20"/>
          <w:szCs w:val="20"/>
          <w:lang w:val="en-GB"/>
        </w:rPr>
        <w:t xml:space="preserve"> and </w:t>
      </w:r>
      <w:r w:rsidR="00170365" w:rsidRPr="007D6C3F">
        <w:rPr>
          <w:rFonts w:ascii="Times New Roman" w:hAnsi="Times New Roman"/>
          <w:sz w:val="20"/>
          <w:szCs w:val="20"/>
          <w:lang w:val="en-GB"/>
        </w:rPr>
        <w:t xml:space="preserve">his </w:t>
      </w:r>
      <w:r w:rsidR="006D2891" w:rsidRPr="007D6C3F">
        <w:rPr>
          <w:rFonts w:ascii="Times New Roman" w:hAnsi="Times New Roman"/>
          <w:sz w:val="20"/>
          <w:szCs w:val="20"/>
          <w:lang w:val="en-GB"/>
        </w:rPr>
        <w:t>brother’s health, development, and best interest in general, they s</w:t>
      </w:r>
      <w:r w:rsidR="00BF2A29" w:rsidRPr="007D6C3F">
        <w:rPr>
          <w:rFonts w:ascii="Times New Roman" w:hAnsi="Times New Roman"/>
          <w:sz w:val="20"/>
          <w:szCs w:val="20"/>
          <w:lang w:val="en-GB"/>
        </w:rPr>
        <w:t>hould not be separated from their parents who ha</w:t>
      </w:r>
      <w:r w:rsidR="006D2891" w:rsidRPr="007D6C3F">
        <w:rPr>
          <w:rFonts w:ascii="Times New Roman" w:hAnsi="Times New Roman"/>
          <w:sz w:val="20"/>
          <w:szCs w:val="20"/>
          <w:lang w:val="en-GB"/>
        </w:rPr>
        <w:t>d</w:t>
      </w:r>
      <w:r w:rsidR="00BF2A29" w:rsidRPr="007D6C3F">
        <w:rPr>
          <w:rFonts w:ascii="Times New Roman" w:hAnsi="Times New Roman"/>
          <w:sz w:val="20"/>
          <w:szCs w:val="20"/>
          <w:lang w:val="en-GB"/>
        </w:rPr>
        <w:t xml:space="preserve"> </w:t>
      </w:r>
      <w:r w:rsidR="00A30CAF">
        <w:rPr>
          <w:rFonts w:ascii="Times New Roman" w:hAnsi="Times New Roman"/>
          <w:sz w:val="20"/>
          <w:szCs w:val="20"/>
          <w:lang w:val="en-GB"/>
        </w:rPr>
        <w:t xml:space="preserve">expressed their wish </w:t>
      </w:r>
      <w:r w:rsidR="00811BF4" w:rsidRPr="007D6C3F">
        <w:rPr>
          <w:rFonts w:ascii="Times New Roman" w:hAnsi="Times New Roman"/>
          <w:sz w:val="20"/>
          <w:szCs w:val="20"/>
          <w:lang w:val="en-GB"/>
        </w:rPr>
        <w:t xml:space="preserve">to </w:t>
      </w:r>
      <w:r w:rsidR="00A30CAF">
        <w:rPr>
          <w:rFonts w:ascii="Times New Roman" w:hAnsi="Times New Roman"/>
          <w:sz w:val="20"/>
          <w:szCs w:val="20"/>
          <w:lang w:val="en-GB"/>
        </w:rPr>
        <w:t xml:space="preserve">return to </w:t>
      </w:r>
      <w:r w:rsidR="00811BF4" w:rsidRPr="007D6C3F">
        <w:rPr>
          <w:rFonts w:ascii="Times New Roman" w:hAnsi="Times New Roman"/>
          <w:sz w:val="20"/>
          <w:szCs w:val="20"/>
          <w:lang w:val="en-GB"/>
        </w:rPr>
        <w:t>Afg</w:t>
      </w:r>
      <w:r w:rsidR="007C4472" w:rsidRPr="007D6C3F">
        <w:rPr>
          <w:rFonts w:ascii="Times New Roman" w:hAnsi="Times New Roman"/>
          <w:sz w:val="20"/>
          <w:szCs w:val="20"/>
          <w:lang w:val="en-GB"/>
        </w:rPr>
        <w:t>h</w:t>
      </w:r>
      <w:r w:rsidR="00811BF4" w:rsidRPr="007D6C3F">
        <w:rPr>
          <w:rFonts w:ascii="Times New Roman" w:hAnsi="Times New Roman"/>
          <w:sz w:val="20"/>
          <w:szCs w:val="20"/>
          <w:lang w:val="en-GB"/>
        </w:rPr>
        <w:t>anistan</w:t>
      </w:r>
      <w:r w:rsidR="00BF2A29" w:rsidRPr="007D6C3F">
        <w:rPr>
          <w:rFonts w:ascii="Times New Roman" w:hAnsi="Times New Roman"/>
          <w:sz w:val="20"/>
          <w:szCs w:val="20"/>
          <w:lang w:val="en-GB"/>
        </w:rPr>
        <w:t>.</w:t>
      </w:r>
      <w:r w:rsidR="00BF2A29" w:rsidRPr="007D6C3F">
        <w:rPr>
          <w:lang w:val="en-GB" w:eastAsia="ja-JP"/>
        </w:rPr>
        <w:t xml:space="preserve"> </w:t>
      </w:r>
      <w:r w:rsidRPr="007D6C3F">
        <w:rPr>
          <w:rFonts w:ascii="Times New Roman" w:hAnsi="Times New Roman"/>
          <w:sz w:val="20"/>
          <w:szCs w:val="20"/>
          <w:lang w:val="en-GB"/>
        </w:rPr>
        <w:t>The decision was appealed to the Migration Court</w:t>
      </w:r>
      <w:r w:rsidR="00BF2A29" w:rsidRPr="007D6C3F">
        <w:rPr>
          <w:rFonts w:ascii="Times New Roman" w:hAnsi="Times New Roman"/>
          <w:sz w:val="20"/>
          <w:szCs w:val="20"/>
          <w:lang w:val="en-GB"/>
        </w:rPr>
        <w:t>.</w:t>
      </w:r>
    </w:p>
    <w:p w14:paraId="4E923F36" w14:textId="318C707E" w:rsidR="00BF2A29" w:rsidRPr="007D6C3F" w:rsidRDefault="00F21721"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w:t>
      </w:r>
      <w:r w:rsidR="00811BF4" w:rsidRPr="007D6C3F">
        <w:rPr>
          <w:rFonts w:ascii="Times New Roman" w:hAnsi="Times New Roman"/>
          <w:sz w:val="20"/>
          <w:szCs w:val="20"/>
          <w:lang w:val="en-GB"/>
        </w:rPr>
        <w:t>5</w:t>
      </w:r>
      <w:r w:rsidRPr="007D6C3F">
        <w:rPr>
          <w:rFonts w:ascii="Times New Roman" w:hAnsi="Times New Roman"/>
          <w:sz w:val="20"/>
          <w:szCs w:val="20"/>
          <w:lang w:val="en-GB"/>
        </w:rPr>
        <w:tab/>
      </w:r>
      <w:r w:rsidR="00417F9E" w:rsidRPr="007D6C3F">
        <w:rPr>
          <w:rFonts w:ascii="Times New Roman" w:hAnsi="Times New Roman"/>
          <w:sz w:val="20"/>
          <w:szCs w:val="20"/>
          <w:lang w:val="en-GB"/>
        </w:rPr>
        <w:t xml:space="preserve">On </w:t>
      </w:r>
      <w:r w:rsidR="00BF2A29" w:rsidRPr="007D6C3F">
        <w:rPr>
          <w:rFonts w:ascii="Times New Roman" w:hAnsi="Times New Roman"/>
          <w:sz w:val="20"/>
          <w:szCs w:val="20"/>
          <w:lang w:val="en-GB"/>
        </w:rPr>
        <w:t>23 September 2016</w:t>
      </w:r>
      <w:r w:rsidR="00122BD0" w:rsidRPr="007D6C3F">
        <w:rPr>
          <w:rFonts w:ascii="Times New Roman" w:hAnsi="Times New Roman"/>
          <w:sz w:val="20"/>
          <w:szCs w:val="20"/>
          <w:lang w:val="en-GB"/>
        </w:rPr>
        <w:t>,</w:t>
      </w:r>
      <w:r w:rsidR="00811BF4" w:rsidRPr="007D6C3F">
        <w:rPr>
          <w:rFonts w:ascii="Times New Roman" w:hAnsi="Times New Roman"/>
          <w:sz w:val="20"/>
          <w:szCs w:val="20"/>
          <w:lang w:val="en-GB"/>
        </w:rPr>
        <w:t xml:space="preserve"> </w:t>
      </w:r>
      <w:r w:rsidR="00CF2DB5" w:rsidRPr="007D6C3F">
        <w:rPr>
          <w:rFonts w:ascii="Times New Roman" w:hAnsi="Times New Roman"/>
          <w:sz w:val="20"/>
          <w:szCs w:val="20"/>
          <w:lang w:val="en-GB"/>
        </w:rPr>
        <w:t xml:space="preserve">the parents stated before the Migration </w:t>
      </w:r>
      <w:r w:rsidR="00C66259" w:rsidRPr="007D6C3F">
        <w:rPr>
          <w:rFonts w:ascii="Times New Roman" w:hAnsi="Times New Roman"/>
          <w:sz w:val="20"/>
          <w:szCs w:val="20"/>
          <w:lang w:val="en-GB"/>
        </w:rPr>
        <w:t>Board</w:t>
      </w:r>
      <w:r w:rsidR="00CF2DB5" w:rsidRPr="007D6C3F">
        <w:rPr>
          <w:rFonts w:ascii="Times New Roman" w:hAnsi="Times New Roman"/>
          <w:sz w:val="20"/>
          <w:szCs w:val="20"/>
          <w:lang w:val="en-GB"/>
        </w:rPr>
        <w:t xml:space="preserve"> that they would like to return to Afghanistan without the</w:t>
      </w:r>
      <w:r w:rsidR="00811BF4" w:rsidRPr="007D6C3F">
        <w:rPr>
          <w:rFonts w:ascii="Times New Roman" w:hAnsi="Times New Roman"/>
          <w:sz w:val="20"/>
          <w:szCs w:val="20"/>
          <w:lang w:val="en-GB"/>
        </w:rPr>
        <w:t>ir</w:t>
      </w:r>
      <w:r w:rsidR="00CF2DB5" w:rsidRPr="007D6C3F">
        <w:rPr>
          <w:rFonts w:ascii="Times New Roman" w:hAnsi="Times New Roman"/>
          <w:sz w:val="20"/>
          <w:szCs w:val="20"/>
          <w:lang w:val="en-GB"/>
        </w:rPr>
        <w:t xml:space="preserve"> children since the children would have a better life in Sweden</w:t>
      </w:r>
      <w:r w:rsidR="00682C03" w:rsidRPr="007D6C3F">
        <w:rPr>
          <w:rFonts w:ascii="Times New Roman" w:hAnsi="Times New Roman"/>
          <w:sz w:val="20"/>
          <w:szCs w:val="20"/>
          <w:lang w:val="en-GB"/>
        </w:rPr>
        <w:t xml:space="preserve"> and </w:t>
      </w:r>
      <w:r w:rsidR="00811BF4" w:rsidRPr="007D6C3F">
        <w:rPr>
          <w:rFonts w:ascii="Times New Roman" w:hAnsi="Times New Roman"/>
          <w:sz w:val="20"/>
          <w:szCs w:val="20"/>
          <w:lang w:val="en-GB"/>
        </w:rPr>
        <w:t>the parents</w:t>
      </w:r>
      <w:r w:rsidR="00CF2DB5" w:rsidRPr="007D6C3F">
        <w:rPr>
          <w:rFonts w:ascii="Times New Roman" w:hAnsi="Times New Roman"/>
          <w:sz w:val="20"/>
          <w:szCs w:val="20"/>
          <w:lang w:val="en-GB"/>
        </w:rPr>
        <w:t xml:space="preserve"> had a friend in Sweden who was willing to adopt the</w:t>
      </w:r>
      <w:r w:rsidR="006D2891" w:rsidRPr="007D6C3F">
        <w:rPr>
          <w:rFonts w:ascii="Times New Roman" w:hAnsi="Times New Roman"/>
          <w:sz w:val="20"/>
          <w:szCs w:val="20"/>
          <w:lang w:val="en-GB"/>
        </w:rPr>
        <w:t>m</w:t>
      </w:r>
      <w:r w:rsidR="00CF2DB5" w:rsidRPr="007D6C3F">
        <w:rPr>
          <w:rFonts w:ascii="Times New Roman" w:hAnsi="Times New Roman"/>
          <w:sz w:val="20"/>
          <w:szCs w:val="20"/>
          <w:lang w:val="en-GB"/>
        </w:rPr>
        <w:t xml:space="preserve">. When the author’s brother was left alone in the room with the case officer, he stated that he did not want to return to Afghanistan with his parents, and then confirmed that his father </w:t>
      </w:r>
      <w:r w:rsidR="00811BF4" w:rsidRPr="007D6C3F">
        <w:rPr>
          <w:rFonts w:ascii="Times New Roman" w:hAnsi="Times New Roman"/>
          <w:sz w:val="20"/>
          <w:szCs w:val="20"/>
          <w:lang w:val="en-GB"/>
        </w:rPr>
        <w:t xml:space="preserve">had </w:t>
      </w:r>
      <w:r w:rsidR="00CF2DB5" w:rsidRPr="007D6C3F">
        <w:rPr>
          <w:rFonts w:ascii="Times New Roman" w:hAnsi="Times New Roman"/>
          <w:sz w:val="20"/>
          <w:szCs w:val="20"/>
          <w:lang w:val="en-GB"/>
        </w:rPr>
        <w:t>beat</w:t>
      </w:r>
      <w:r w:rsidR="00811BF4" w:rsidRPr="007D6C3F">
        <w:rPr>
          <w:rFonts w:ascii="Times New Roman" w:hAnsi="Times New Roman"/>
          <w:sz w:val="20"/>
          <w:szCs w:val="20"/>
          <w:lang w:val="en-GB"/>
        </w:rPr>
        <w:t>en</w:t>
      </w:r>
      <w:r w:rsidR="00CF2DB5" w:rsidRPr="007D6C3F">
        <w:rPr>
          <w:rFonts w:ascii="Times New Roman" w:hAnsi="Times New Roman"/>
          <w:sz w:val="20"/>
          <w:szCs w:val="20"/>
          <w:lang w:val="en-GB"/>
        </w:rPr>
        <w:t xml:space="preserve"> </w:t>
      </w:r>
      <w:r w:rsidR="006D2891" w:rsidRPr="007D6C3F">
        <w:rPr>
          <w:rFonts w:ascii="Times New Roman" w:hAnsi="Times New Roman"/>
          <w:sz w:val="20"/>
          <w:szCs w:val="20"/>
          <w:lang w:val="en-GB"/>
        </w:rPr>
        <w:t>both his brother and him</w:t>
      </w:r>
      <w:r w:rsidR="00CF2DB5" w:rsidRPr="007D6C3F">
        <w:rPr>
          <w:rFonts w:ascii="Times New Roman" w:hAnsi="Times New Roman"/>
          <w:sz w:val="20"/>
          <w:szCs w:val="20"/>
          <w:lang w:val="en-GB"/>
        </w:rPr>
        <w:t xml:space="preserve">. Against this background, the </w:t>
      </w:r>
      <w:r w:rsidR="00963591" w:rsidRPr="007D6C3F">
        <w:rPr>
          <w:rFonts w:ascii="Times New Roman" w:hAnsi="Times New Roman"/>
          <w:sz w:val="20"/>
          <w:szCs w:val="20"/>
          <w:lang w:val="en-GB"/>
        </w:rPr>
        <w:t xml:space="preserve">Migration </w:t>
      </w:r>
      <w:r w:rsidR="00C66259" w:rsidRPr="007D6C3F">
        <w:rPr>
          <w:rFonts w:ascii="Times New Roman" w:hAnsi="Times New Roman"/>
          <w:sz w:val="20"/>
          <w:szCs w:val="20"/>
          <w:lang w:val="en-GB"/>
        </w:rPr>
        <w:t>Board</w:t>
      </w:r>
      <w:r w:rsidR="00CF2DB5" w:rsidRPr="007D6C3F">
        <w:rPr>
          <w:rFonts w:ascii="Times New Roman" w:hAnsi="Times New Roman"/>
          <w:sz w:val="20"/>
          <w:szCs w:val="20"/>
          <w:lang w:val="en-GB"/>
        </w:rPr>
        <w:t xml:space="preserve"> filed a report to the Social </w:t>
      </w:r>
      <w:r w:rsidR="007C4472" w:rsidRPr="007D6C3F">
        <w:rPr>
          <w:rFonts w:ascii="Times New Roman" w:hAnsi="Times New Roman"/>
          <w:sz w:val="20"/>
          <w:szCs w:val="20"/>
          <w:lang w:val="en-GB"/>
        </w:rPr>
        <w:t>S</w:t>
      </w:r>
      <w:r w:rsidR="00CF2DB5" w:rsidRPr="007D6C3F">
        <w:rPr>
          <w:rFonts w:ascii="Times New Roman" w:hAnsi="Times New Roman"/>
          <w:sz w:val="20"/>
          <w:szCs w:val="20"/>
          <w:lang w:val="en-GB"/>
        </w:rPr>
        <w:t>ervices expressing concern for the children.</w:t>
      </w:r>
      <w:r w:rsidR="00122BD0" w:rsidRPr="007D6C3F">
        <w:rPr>
          <w:rFonts w:ascii="Times New Roman" w:hAnsi="Times New Roman"/>
          <w:sz w:val="20"/>
          <w:szCs w:val="20"/>
          <w:lang w:val="en-GB"/>
        </w:rPr>
        <w:t xml:space="preserve"> </w:t>
      </w:r>
    </w:p>
    <w:p w14:paraId="754096E1" w14:textId="272D07FD" w:rsidR="00A258BE" w:rsidRPr="007D6C3F" w:rsidRDefault="001F5DE2" w:rsidP="00BD7308">
      <w:pPr>
        <w:pStyle w:val="ListParagraph"/>
        <w:spacing w:before="120" w:after="120"/>
        <w:ind w:left="1134" w:right="1089"/>
        <w:contextualSpacing w:val="0"/>
        <w:jc w:val="both"/>
        <w:rPr>
          <w:rFonts w:ascii="Times New Roman" w:eastAsia="MS Mincho" w:hAnsi="Times New Roman"/>
          <w:sz w:val="20"/>
          <w:szCs w:val="20"/>
          <w:lang w:val="en-GB" w:eastAsia="ja-JP"/>
        </w:rPr>
      </w:pPr>
      <w:r w:rsidRPr="007D6C3F">
        <w:rPr>
          <w:rFonts w:ascii="Times New Roman" w:hAnsi="Times New Roman"/>
          <w:sz w:val="20"/>
          <w:szCs w:val="20"/>
          <w:lang w:val="en-GB"/>
        </w:rPr>
        <w:t>2.6</w:t>
      </w:r>
      <w:r w:rsidR="00BF2A29" w:rsidRPr="007D6C3F">
        <w:rPr>
          <w:rFonts w:ascii="Times New Roman" w:hAnsi="Times New Roman"/>
          <w:sz w:val="20"/>
          <w:szCs w:val="20"/>
          <w:lang w:val="en-GB"/>
        </w:rPr>
        <w:tab/>
      </w:r>
      <w:r w:rsidR="00BF2A29" w:rsidRPr="009405CF">
        <w:rPr>
          <w:rFonts w:ascii="Times New Roman" w:hAnsi="Times New Roman"/>
          <w:sz w:val="20"/>
          <w:szCs w:val="20"/>
          <w:lang w:val="en-GB"/>
        </w:rPr>
        <w:t>On 1 February 2017</w:t>
      </w:r>
      <w:r w:rsidR="00BF2A29" w:rsidRPr="007D6C3F">
        <w:rPr>
          <w:rFonts w:ascii="Times New Roman" w:hAnsi="Times New Roman"/>
          <w:sz w:val="20"/>
          <w:szCs w:val="20"/>
          <w:lang w:val="en-GB"/>
        </w:rPr>
        <w:t>, the Migration Court rejected the appeal</w:t>
      </w:r>
      <w:r w:rsidR="001D7EFD" w:rsidRPr="007D6C3F">
        <w:rPr>
          <w:rFonts w:ascii="Times New Roman" w:hAnsi="Times New Roman"/>
          <w:sz w:val="20"/>
          <w:szCs w:val="20"/>
          <w:lang w:val="en-GB"/>
        </w:rPr>
        <w:t xml:space="preserve"> of the author</w:t>
      </w:r>
      <w:r w:rsidR="00BF2A29" w:rsidRPr="007D6C3F">
        <w:rPr>
          <w:rFonts w:ascii="Times New Roman" w:hAnsi="Times New Roman"/>
          <w:sz w:val="20"/>
          <w:szCs w:val="20"/>
          <w:lang w:val="en-GB"/>
        </w:rPr>
        <w:t>. On 9 March 2017, the Migration Court of Appeal refused leave to appeal</w:t>
      </w:r>
      <w:r w:rsidR="007C4472" w:rsidRPr="007D6C3F">
        <w:rPr>
          <w:rFonts w:ascii="Times New Roman" w:hAnsi="Times New Roman"/>
          <w:sz w:val="20"/>
          <w:szCs w:val="20"/>
          <w:lang w:val="en-GB"/>
        </w:rPr>
        <w:t>,</w:t>
      </w:r>
      <w:r w:rsidR="00BF2A29" w:rsidRPr="007D6C3F">
        <w:rPr>
          <w:rFonts w:ascii="Times New Roman" w:hAnsi="Times New Roman"/>
          <w:sz w:val="20"/>
          <w:szCs w:val="20"/>
          <w:lang w:val="en-GB"/>
        </w:rPr>
        <w:t xml:space="preserve"> and the decision to expel the author became final. </w:t>
      </w:r>
    </w:p>
    <w:p w14:paraId="58470CBA" w14:textId="4F1DA819" w:rsidR="00A258BE" w:rsidRPr="007D6C3F" w:rsidRDefault="00A258BE"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w:t>
      </w:r>
      <w:r w:rsidR="001F5DE2" w:rsidRPr="007D6C3F">
        <w:rPr>
          <w:rFonts w:ascii="Times New Roman" w:hAnsi="Times New Roman"/>
          <w:sz w:val="20"/>
          <w:szCs w:val="20"/>
          <w:lang w:val="en-GB"/>
        </w:rPr>
        <w:t>7</w:t>
      </w:r>
      <w:r w:rsidRPr="007D6C3F">
        <w:rPr>
          <w:rFonts w:ascii="Times New Roman" w:hAnsi="Times New Roman"/>
          <w:sz w:val="20"/>
          <w:szCs w:val="20"/>
          <w:lang w:val="en-GB"/>
        </w:rPr>
        <w:tab/>
      </w:r>
      <w:r w:rsidR="001D7EFD" w:rsidRPr="007D6C3F">
        <w:rPr>
          <w:rFonts w:ascii="Times New Roman" w:hAnsi="Times New Roman"/>
          <w:sz w:val="20"/>
          <w:szCs w:val="20"/>
          <w:lang w:val="en-GB"/>
        </w:rPr>
        <w:t>On</w:t>
      </w:r>
      <w:r w:rsidR="00A30CAF">
        <w:rPr>
          <w:rFonts w:ascii="Times New Roman" w:hAnsi="Times New Roman"/>
          <w:sz w:val="20"/>
          <w:szCs w:val="20"/>
          <w:lang w:val="en-GB"/>
        </w:rPr>
        <w:t xml:space="preserve"> an unspecified</w:t>
      </w:r>
      <w:r w:rsidR="001D7EFD" w:rsidRPr="007D6C3F">
        <w:rPr>
          <w:rFonts w:ascii="Times New Roman" w:hAnsi="Times New Roman"/>
          <w:sz w:val="20"/>
          <w:szCs w:val="20"/>
          <w:lang w:val="en-GB"/>
        </w:rPr>
        <w:t xml:space="preserve"> day, the author’s father beat h</w:t>
      </w:r>
      <w:r w:rsidR="00CA0319" w:rsidRPr="007D6C3F">
        <w:rPr>
          <w:rFonts w:ascii="Times New Roman" w:hAnsi="Times New Roman"/>
          <w:sz w:val="20"/>
          <w:szCs w:val="20"/>
          <w:lang w:val="en-GB"/>
        </w:rPr>
        <w:t xml:space="preserve">im severely with </w:t>
      </w:r>
      <w:r w:rsidR="00067380" w:rsidRPr="007D6C3F">
        <w:rPr>
          <w:rFonts w:ascii="Times New Roman" w:hAnsi="Times New Roman"/>
          <w:sz w:val="20"/>
          <w:szCs w:val="20"/>
          <w:lang w:val="en-GB"/>
        </w:rPr>
        <w:t xml:space="preserve">an </w:t>
      </w:r>
      <w:r w:rsidR="00CA0319" w:rsidRPr="007D6C3F">
        <w:rPr>
          <w:rFonts w:ascii="Times New Roman" w:hAnsi="Times New Roman"/>
          <w:sz w:val="20"/>
          <w:szCs w:val="20"/>
          <w:lang w:val="en-GB"/>
        </w:rPr>
        <w:t>electric cable. T</w:t>
      </w:r>
      <w:r w:rsidR="00E05F0C" w:rsidRPr="007D6C3F">
        <w:rPr>
          <w:rFonts w:ascii="Times New Roman" w:hAnsi="Times New Roman"/>
          <w:sz w:val="20"/>
          <w:szCs w:val="20"/>
          <w:lang w:val="en-GB"/>
        </w:rPr>
        <w:t xml:space="preserve">he author </w:t>
      </w:r>
      <w:r w:rsidR="00BE62EE" w:rsidRPr="007D6C3F">
        <w:rPr>
          <w:rFonts w:ascii="Times New Roman" w:hAnsi="Times New Roman"/>
          <w:sz w:val="20"/>
          <w:szCs w:val="20"/>
          <w:lang w:val="en-GB"/>
        </w:rPr>
        <w:t>reported the abuse to the police, and he and</w:t>
      </w:r>
      <w:r w:rsidR="00E05F0C" w:rsidRPr="007D6C3F">
        <w:rPr>
          <w:rFonts w:ascii="Times New Roman" w:hAnsi="Times New Roman"/>
          <w:sz w:val="20"/>
          <w:szCs w:val="20"/>
          <w:lang w:val="en-GB"/>
        </w:rPr>
        <w:t xml:space="preserve"> his brother </w:t>
      </w:r>
      <w:r w:rsidR="00CA0319" w:rsidRPr="007D6C3F">
        <w:rPr>
          <w:rFonts w:ascii="Times New Roman" w:hAnsi="Times New Roman"/>
          <w:sz w:val="20"/>
          <w:szCs w:val="20"/>
          <w:lang w:val="en-GB"/>
        </w:rPr>
        <w:t xml:space="preserve">were </w:t>
      </w:r>
      <w:r w:rsidR="00245945" w:rsidRPr="007D6C3F">
        <w:rPr>
          <w:rFonts w:ascii="Times New Roman" w:hAnsi="Times New Roman"/>
          <w:sz w:val="20"/>
          <w:szCs w:val="20"/>
          <w:lang w:val="en-GB"/>
        </w:rPr>
        <w:t xml:space="preserve">separated from their parents and </w:t>
      </w:r>
      <w:r w:rsidR="00CA0319" w:rsidRPr="007D6C3F">
        <w:rPr>
          <w:rFonts w:ascii="Times New Roman" w:hAnsi="Times New Roman"/>
          <w:sz w:val="20"/>
          <w:szCs w:val="20"/>
          <w:lang w:val="en-GB"/>
        </w:rPr>
        <w:t>brought to</w:t>
      </w:r>
      <w:r w:rsidR="00E05F0C" w:rsidRPr="007D6C3F">
        <w:rPr>
          <w:rFonts w:ascii="Times New Roman" w:hAnsi="Times New Roman"/>
          <w:sz w:val="20"/>
          <w:szCs w:val="20"/>
          <w:lang w:val="en-GB"/>
        </w:rPr>
        <w:t xml:space="preserve"> </w:t>
      </w:r>
      <w:r w:rsidR="00245945" w:rsidRPr="007D6C3F">
        <w:rPr>
          <w:rFonts w:ascii="Times New Roman" w:hAnsi="Times New Roman"/>
          <w:sz w:val="20"/>
          <w:szCs w:val="20"/>
          <w:lang w:val="en-GB"/>
        </w:rPr>
        <w:t>a centre</w:t>
      </w:r>
      <w:r w:rsidR="00CA0319" w:rsidRPr="007D6C3F">
        <w:rPr>
          <w:rFonts w:ascii="Times New Roman" w:hAnsi="Times New Roman"/>
          <w:sz w:val="20"/>
          <w:szCs w:val="20"/>
          <w:lang w:val="en-GB"/>
        </w:rPr>
        <w:t xml:space="preserve"> for </w:t>
      </w:r>
      <w:r w:rsidR="00E05F0C" w:rsidRPr="007D6C3F">
        <w:rPr>
          <w:rFonts w:ascii="Times New Roman" w:hAnsi="Times New Roman"/>
          <w:sz w:val="20"/>
          <w:szCs w:val="20"/>
          <w:lang w:val="en-GB"/>
        </w:rPr>
        <w:t>refugee children</w:t>
      </w:r>
      <w:r w:rsidR="00BE62EE" w:rsidRPr="007D6C3F">
        <w:rPr>
          <w:rFonts w:ascii="Times New Roman" w:hAnsi="Times New Roman"/>
          <w:sz w:val="20"/>
          <w:szCs w:val="20"/>
          <w:lang w:val="en-GB"/>
        </w:rPr>
        <w:t>.</w:t>
      </w:r>
      <w:r w:rsidR="00E05F0C" w:rsidRPr="007D6C3F">
        <w:rPr>
          <w:rFonts w:ascii="Times New Roman" w:hAnsi="Times New Roman"/>
          <w:sz w:val="20"/>
          <w:szCs w:val="20"/>
          <w:lang w:val="en-GB"/>
        </w:rPr>
        <w:t xml:space="preserve"> </w:t>
      </w:r>
      <w:r w:rsidR="00BE62EE" w:rsidRPr="007D6C3F">
        <w:rPr>
          <w:rFonts w:ascii="Times New Roman" w:hAnsi="Times New Roman"/>
          <w:sz w:val="20"/>
          <w:szCs w:val="20"/>
          <w:lang w:val="en-GB"/>
        </w:rPr>
        <w:t xml:space="preserve">After </w:t>
      </w:r>
      <w:r w:rsidR="00963591" w:rsidRPr="007D6C3F">
        <w:rPr>
          <w:rFonts w:ascii="Times New Roman" w:hAnsi="Times New Roman"/>
          <w:sz w:val="20"/>
          <w:szCs w:val="20"/>
          <w:lang w:val="en-GB"/>
        </w:rPr>
        <w:t xml:space="preserve">around a </w:t>
      </w:r>
      <w:r w:rsidR="00BE62EE" w:rsidRPr="007D6C3F">
        <w:rPr>
          <w:rFonts w:ascii="Times New Roman" w:hAnsi="Times New Roman"/>
          <w:sz w:val="20"/>
          <w:szCs w:val="20"/>
          <w:lang w:val="en-GB"/>
        </w:rPr>
        <w:t>week, t</w:t>
      </w:r>
      <w:r w:rsidR="00E05F0C" w:rsidRPr="007D6C3F">
        <w:rPr>
          <w:rFonts w:ascii="Times New Roman" w:hAnsi="Times New Roman"/>
          <w:sz w:val="20"/>
          <w:szCs w:val="20"/>
          <w:lang w:val="en-GB"/>
        </w:rPr>
        <w:t xml:space="preserve">hey were </w:t>
      </w:r>
      <w:r w:rsidR="00245945" w:rsidRPr="007D6C3F">
        <w:rPr>
          <w:rFonts w:ascii="Times New Roman" w:hAnsi="Times New Roman"/>
          <w:sz w:val="20"/>
          <w:szCs w:val="20"/>
          <w:lang w:val="en-GB"/>
        </w:rPr>
        <w:t xml:space="preserve">sent </w:t>
      </w:r>
      <w:r w:rsidR="00E05F0C" w:rsidRPr="007D6C3F">
        <w:rPr>
          <w:rFonts w:ascii="Times New Roman" w:hAnsi="Times New Roman"/>
          <w:sz w:val="20"/>
          <w:szCs w:val="20"/>
          <w:lang w:val="en-GB"/>
        </w:rPr>
        <w:t>back to live with their parents</w:t>
      </w:r>
      <w:r w:rsidR="00245945" w:rsidRPr="007D6C3F">
        <w:rPr>
          <w:rFonts w:ascii="Times New Roman" w:hAnsi="Times New Roman"/>
          <w:sz w:val="20"/>
          <w:szCs w:val="20"/>
          <w:lang w:val="en-GB"/>
        </w:rPr>
        <w:t xml:space="preserve"> who </w:t>
      </w:r>
      <w:r w:rsidR="00CA0319" w:rsidRPr="007D6C3F">
        <w:rPr>
          <w:rFonts w:ascii="Times New Roman" w:hAnsi="Times New Roman"/>
          <w:sz w:val="20"/>
          <w:szCs w:val="20"/>
          <w:lang w:val="en-GB"/>
        </w:rPr>
        <w:t xml:space="preserve">blamed </w:t>
      </w:r>
      <w:r w:rsidR="00245945" w:rsidRPr="007D6C3F">
        <w:rPr>
          <w:rFonts w:ascii="Times New Roman" w:hAnsi="Times New Roman"/>
          <w:sz w:val="20"/>
          <w:szCs w:val="20"/>
          <w:lang w:val="en-GB"/>
        </w:rPr>
        <w:t>them</w:t>
      </w:r>
      <w:r w:rsidR="00CA0319" w:rsidRPr="007D6C3F">
        <w:rPr>
          <w:rFonts w:ascii="Times New Roman" w:hAnsi="Times New Roman"/>
          <w:sz w:val="20"/>
          <w:szCs w:val="20"/>
          <w:lang w:val="en-GB"/>
        </w:rPr>
        <w:t xml:space="preserve"> for reporting the assault to the police </w:t>
      </w:r>
      <w:r w:rsidR="00245945" w:rsidRPr="007D6C3F">
        <w:rPr>
          <w:rFonts w:ascii="Times New Roman" w:hAnsi="Times New Roman"/>
          <w:sz w:val="20"/>
          <w:szCs w:val="20"/>
          <w:lang w:val="en-GB"/>
        </w:rPr>
        <w:t>and abused them both verbally and physically</w:t>
      </w:r>
      <w:r w:rsidR="00963591" w:rsidRPr="007D6C3F">
        <w:rPr>
          <w:rFonts w:ascii="Times New Roman" w:hAnsi="Times New Roman"/>
          <w:sz w:val="20"/>
          <w:szCs w:val="20"/>
          <w:lang w:val="en-GB"/>
        </w:rPr>
        <w:t>.</w:t>
      </w:r>
      <w:r w:rsidR="00CA0319" w:rsidRPr="007D6C3F">
        <w:rPr>
          <w:rFonts w:ascii="Times New Roman" w:hAnsi="Times New Roman"/>
          <w:sz w:val="20"/>
          <w:szCs w:val="20"/>
          <w:lang w:val="en-GB"/>
        </w:rPr>
        <w:t xml:space="preserve"> </w:t>
      </w:r>
      <w:r w:rsidR="00FA7D19" w:rsidRPr="007D6C3F">
        <w:rPr>
          <w:rFonts w:ascii="Times New Roman" w:hAnsi="Times New Roman"/>
          <w:sz w:val="20"/>
          <w:szCs w:val="20"/>
          <w:lang w:val="en-GB"/>
        </w:rPr>
        <w:t xml:space="preserve">On 30 March 2017, the District Court of </w:t>
      </w:r>
      <w:proofErr w:type="spellStart"/>
      <w:r w:rsidR="00FA7D19" w:rsidRPr="007D6C3F">
        <w:rPr>
          <w:rFonts w:ascii="Times New Roman" w:hAnsi="Times New Roman"/>
          <w:sz w:val="20"/>
          <w:szCs w:val="20"/>
          <w:lang w:val="en-GB"/>
        </w:rPr>
        <w:t>Angermanland</w:t>
      </w:r>
      <w:proofErr w:type="spellEnd"/>
      <w:r w:rsidR="00FA7D19" w:rsidRPr="007D6C3F">
        <w:rPr>
          <w:rFonts w:ascii="Times New Roman" w:hAnsi="Times New Roman"/>
          <w:sz w:val="20"/>
          <w:szCs w:val="20"/>
          <w:lang w:val="en-GB"/>
        </w:rPr>
        <w:t xml:space="preserve"> </w:t>
      </w:r>
      <w:r w:rsidR="00FA7D19" w:rsidRPr="007D6C3F">
        <w:rPr>
          <w:rFonts w:ascii="Times New Roman" w:hAnsi="Times New Roman"/>
          <w:sz w:val="20"/>
          <w:szCs w:val="20"/>
          <w:lang w:val="en-GB"/>
        </w:rPr>
        <w:lastRenderedPageBreak/>
        <w:t>sentenced the author’s father to 4 months</w:t>
      </w:r>
      <w:r w:rsidR="00A30CAF">
        <w:rPr>
          <w:rFonts w:ascii="Times New Roman" w:hAnsi="Times New Roman"/>
          <w:sz w:val="20"/>
          <w:szCs w:val="20"/>
          <w:lang w:val="en-GB"/>
        </w:rPr>
        <w:t>’</w:t>
      </w:r>
      <w:r w:rsidR="00FA7D19" w:rsidRPr="007D6C3F">
        <w:rPr>
          <w:rFonts w:ascii="Times New Roman" w:hAnsi="Times New Roman"/>
          <w:sz w:val="20"/>
          <w:szCs w:val="20"/>
          <w:lang w:val="en-GB"/>
        </w:rPr>
        <w:t xml:space="preserve"> imprisonment and </w:t>
      </w:r>
      <w:r w:rsidR="00245945" w:rsidRPr="007D6C3F">
        <w:rPr>
          <w:rFonts w:ascii="Times New Roman" w:hAnsi="Times New Roman"/>
          <w:sz w:val="20"/>
          <w:szCs w:val="20"/>
          <w:lang w:val="en-GB"/>
        </w:rPr>
        <w:t>to pay compensation</w:t>
      </w:r>
      <w:r w:rsidR="00FA7D19" w:rsidRPr="007D6C3F">
        <w:rPr>
          <w:rFonts w:ascii="Times New Roman" w:hAnsi="Times New Roman"/>
          <w:sz w:val="20"/>
          <w:szCs w:val="20"/>
          <w:lang w:val="en-GB"/>
        </w:rPr>
        <w:t xml:space="preserve"> to the author and his brother for </w:t>
      </w:r>
      <w:r w:rsidR="00245945" w:rsidRPr="007D6C3F">
        <w:rPr>
          <w:rFonts w:ascii="Times New Roman" w:hAnsi="Times New Roman"/>
          <w:sz w:val="20"/>
          <w:szCs w:val="20"/>
          <w:lang w:val="en-GB"/>
        </w:rPr>
        <w:t xml:space="preserve">repeated physical abuse </w:t>
      </w:r>
      <w:r w:rsidR="00FA7D19" w:rsidRPr="007D6C3F">
        <w:rPr>
          <w:rFonts w:ascii="Times New Roman" w:hAnsi="Times New Roman"/>
          <w:sz w:val="20"/>
          <w:szCs w:val="20"/>
          <w:lang w:val="en-GB"/>
        </w:rPr>
        <w:t>between 1 November 2015 and 18 October 2016.</w:t>
      </w:r>
      <w:r w:rsidR="00FA7D19" w:rsidRPr="007D6C3F">
        <w:rPr>
          <w:rStyle w:val="FootnoteReference"/>
          <w:szCs w:val="20"/>
          <w:lang w:val="en-GB"/>
        </w:rPr>
        <w:footnoteReference w:id="8"/>
      </w:r>
      <w:r w:rsidR="00FA7D19" w:rsidRPr="007D6C3F">
        <w:rPr>
          <w:szCs w:val="20"/>
          <w:lang w:val="en-GB"/>
        </w:rPr>
        <w:t xml:space="preserve"> </w:t>
      </w:r>
      <w:r w:rsidR="00963591" w:rsidRPr="007D6C3F">
        <w:rPr>
          <w:rFonts w:ascii="Times New Roman" w:hAnsi="Times New Roman"/>
          <w:sz w:val="20"/>
          <w:szCs w:val="20"/>
          <w:lang w:val="en-GB"/>
        </w:rPr>
        <w:t>The author’s mother was also convicted for minor assault against the boys but was only given a fine.</w:t>
      </w:r>
    </w:p>
    <w:p w14:paraId="156AA3E0" w14:textId="3FC6A8CA" w:rsidR="00BF2A29" w:rsidRPr="007D6C3F" w:rsidRDefault="001F5DE2"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2.8</w:t>
      </w:r>
      <w:r w:rsidR="000D7D6F" w:rsidRPr="007D6C3F">
        <w:rPr>
          <w:rFonts w:ascii="Times New Roman" w:hAnsi="Times New Roman"/>
          <w:sz w:val="20"/>
          <w:szCs w:val="20"/>
          <w:lang w:val="en-GB"/>
        </w:rPr>
        <w:tab/>
      </w:r>
      <w:r w:rsidR="00C93899" w:rsidRPr="007D6C3F">
        <w:rPr>
          <w:rFonts w:ascii="Times New Roman" w:hAnsi="Times New Roman"/>
          <w:sz w:val="20"/>
          <w:szCs w:val="20"/>
          <w:lang w:val="en-GB"/>
        </w:rPr>
        <w:t>In April 2017, b</w:t>
      </w:r>
      <w:r w:rsidR="00834EF7" w:rsidRPr="007D6C3F">
        <w:rPr>
          <w:rFonts w:ascii="Times New Roman" w:hAnsi="Times New Roman"/>
          <w:sz w:val="20"/>
          <w:szCs w:val="20"/>
          <w:lang w:val="en-GB"/>
        </w:rPr>
        <w:t>efore the prison sentence was enforced, the author’s parents</w:t>
      </w:r>
      <w:r w:rsidR="00AA0C7A" w:rsidRPr="007D6C3F">
        <w:rPr>
          <w:rFonts w:ascii="Times New Roman" w:hAnsi="Times New Roman"/>
          <w:sz w:val="20"/>
          <w:szCs w:val="20"/>
          <w:lang w:val="en-GB"/>
        </w:rPr>
        <w:t xml:space="preserve"> disapp</w:t>
      </w:r>
      <w:r w:rsidR="00D92FE5" w:rsidRPr="007D6C3F">
        <w:rPr>
          <w:rFonts w:ascii="Times New Roman" w:hAnsi="Times New Roman"/>
          <w:sz w:val="20"/>
          <w:szCs w:val="20"/>
          <w:lang w:val="en-GB"/>
        </w:rPr>
        <w:t>eare</w:t>
      </w:r>
      <w:r w:rsidR="00AA0C7A" w:rsidRPr="007D6C3F">
        <w:rPr>
          <w:rFonts w:ascii="Times New Roman" w:hAnsi="Times New Roman"/>
          <w:sz w:val="20"/>
          <w:szCs w:val="20"/>
          <w:lang w:val="en-GB"/>
        </w:rPr>
        <w:t xml:space="preserve">d from </w:t>
      </w:r>
      <w:r w:rsidR="00067380" w:rsidRPr="007D6C3F">
        <w:rPr>
          <w:rFonts w:ascii="Times New Roman" w:hAnsi="Times New Roman"/>
          <w:sz w:val="20"/>
          <w:szCs w:val="20"/>
          <w:lang w:val="en-GB"/>
        </w:rPr>
        <w:t xml:space="preserve">their </w:t>
      </w:r>
      <w:r w:rsidR="00AA0C7A" w:rsidRPr="007D6C3F">
        <w:rPr>
          <w:rFonts w:ascii="Times New Roman" w:hAnsi="Times New Roman"/>
          <w:sz w:val="20"/>
          <w:szCs w:val="20"/>
          <w:lang w:val="en-GB"/>
        </w:rPr>
        <w:t>home</w:t>
      </w:r>
      <w:r w:rsidR="00500100" w:rsidRPr="007D6C3F">
        <w:rPr>
          <w:rFonts w:ascii="Times New Roman" w:hAnsi="Times New Roman"/>
          <w:sz w:val="20"/>
          <w:szCs w:val="20"/>
          <w:lang w:val="en-GB"/>
        </w:rPr>
        <w:t>.</w:t>
      </w:r>
      <w:r w:rsidR="0093521C" w:rsidRPr="007D6C3F">
        <w:rPr>
          <w:rStyle w:val="FootnoteReference"/>
          <w:szCs w:val="20"/>
          <w:lang w:val="en-GB"/>
        </w:rPr>
        <w:footnoteReference w:id="9"/>
      </w:r>
      <w:r w:rsidR="00834EF7" w:rsidRPr="007D6C3F">
        <w:rPr>
          <w:rFonts w:ascii="Times New Roman" w:hAnsi="Times New Roman"/>
          <w:sz w:val="20"/>
          <w:szCs w:val="20"/>
          <w:lang w:val="en-GB"/>
        </w:rPr>
        <w:t xml:space="preserve"> </w:t>
      </w:r>
      <w:r w:rsidR="00BE62EE" w:rsidRPr="007D6C3F">
        <w:rPr>
          <w:rFonts w:ascii="Times New Roman" w:hAnsi="Times New Roman"/>
          <w:sz w:val="20"/>
          <w:szCs w:val="20"/>
          <w:lang w:val="en-GB"/>
        </w:rPr>
        <w:t xml:space="preserve">When </w:t>
      </w:r>
      <w:r w:rsidR="00245945" w:rsidRPr="007D6C3F">
        <w:rPr>
          <w:rFonts w:ascii="Times New Roman" w:hAnsi="Times New Roman"/>
          <w:sz w:val="20"/>
          <w:szCs w:val="20"/>
          <w:lang w:val="en-GB"/>
        </w:rPr>
        <w:t xml:space="preserve">the author </w:t>
      </w:r>
      <w:r w:rsidR="00BE62EE" w:rsidRPr="007D6C3F">
        <w:rPr>
          <w:rFonts w:ascii="Times New Roman" w:hAnsi="Times New Roman"/>
          <w:sz w:val="20"/>
          <w:szCs w:val="20"/>
          <w:lang w:val="en-GB"/>
        </w:rPr>
        <w:t xml:space="preserve">came back from school, </w:t>
      </w:r>
      <w:r w:rsidR="00245945" w:rsidRPr="007D6C3F">
        <w:rPr>
          <w:rFonts w:ascii="Times New Roman" w:hAnsi="Times New Roman"/>
          <w:sz w:val="20"/>
          <w:szCs w:val="20"/>
          <w:lang w:val="en-GB"/>
        </w:rPr>
        <w:t>he</w:t>
      </w:r>
      <w:r w:rsidR="00BE62EE" w:rsidRPr="007D6C3F">
        <w:rPr>
          <w:rFonts w:ascii="Times New Roman" w:hAnsi="Times New Roman"/>
          <w:sz w:val="20"/>
          <w:szCs w:val="20"/>
          <w:lang w:val="en-GB"/>
        </w:rPr>
        <w:t xml:space="preserve"> found a letter</w:t>
      </w:r>
      <w:r w:rsidR="004404AA" w:rsidRPr="007D6C3F">
        <w:rPr>
          <w:rFonts w:ascii="Times New Roman" w:hAnsi="Times New Roman"/>
          <w:sz w:val="20"/>
          <w:szCs w:val="20"/>
          <w:lang w:val="en-GB"/>
        </w:rPr>
        <w:t xml:space="preserve"> in which</w:t>
      </w:r>
      <w:r w:rsidR="00BE62EE" w:rsidRPr="007D6C3F">
        <w:rPr>
          <w:rFonts w:ascii="Times New Roman" w:hAnsi="Times New Roman"/>
          <w:sz w:val="20"/>
          <w:szCs w:val="20"/>
          <w:lang w:val="en-GB"/>
        </w:rPr>
        <w:t xml:space="preserve"> </w:t>
      </w:r>
      <w:r w:rsidR="00245945" w:rsidRPr="007D6C3F">
        <w:rPr>
          <w:rFonts w:ascii="Times New Roman" w:hAnsi="Times New Roman"/>
          <w:sz w:val="20"/>
          <w:szCs w:val="20"/>
          <w:lang w:val="en-GB"/>
        </w:rPr>
        <w:t>his</w:t>
      </w:r>
      <w:r w:rsidR="00BE62EE" w:rsidRPr="007D6C3F">
        <w:rPr>
          <w:rFonts w:ascii="Times New Roman" w:hAnsi="Times New Roman"/>
          <w:sz w:val="20"/>
          <w:szCs w:val="20"/>
          <w:lang w:val="en-GB"/>
        </w:rPr>
        <w:t xml:space="preserve"> father disown</w:t>
      </w:r>
      <w:r w:rsidR="00245945" w:rsidRPr="007D6C3F">
        <w:rPr>
          <w:rFonts w:ascii="Times New Roman" w:hAnsi="Times New Roman"/>
          <w:sz w:val="20"/>
          <w:szCs w:val="20"/>
          <w:lang w:val="en-GB"/>
        </w:rPr>
        <w:t>ed him</w:t>
      </w:r>
      <w:r w:rsidR="00BE62EE" w:rsidRPr="007D6C3F">
        <w:rPr>
          <w:rFonts w:ascii="Times New Roman" w:hAnsi="Times New Roman"/>
          <w:sz w:val="20"/>
          <w:szCs w:val="20"/>
          <w:lang w:val="en-GB"/>
        </w:rPr>
        <w:t xml:space="preserve"> and his brother and promise</w:t>
      </w:r>
      <w:r w:rsidR="00245945" w:rsidRPr="007D6C3F">
        <w:rPr>
          <w:rFonts w:ascii="Times New Roman" w:hAnsi="Times New Roman"/>
          <w:sz w:val="20"/>
          <w:szCs w:val="20"/>
          <w:lang w:val="en-GB"/>
        </w:rPr>
        <w:t>d</w:t>
      </w:r>
      <w:r w:rsidR="00BE62EE" w:rsidRPr="007D6C3F">
        <w:rPr>
          <w:rFonts w:ascii="Times New Roman" w:hAnsi="Times New Roman"/>
          <w:sz w:val="20"/>
          <w:szCs w:val="20"/>
          <w:lang w:val="en-GB"/>
        </w:rPr>
        <w:t xml:space="preserve"> to kill </w:t>
      </w:r>
      <w:r w:rsidR="00245945" w:rsidRPr="007D6C3F">
        <w:rPr>
          <w:rFonts w:ascii="Times New Roman" w:hAnsi="Times New Roman"/>
          <w:sz w:val="20"/>
          <w:szCs w:val="20"/>
          <w:lang w:val="en-GB"/>
        </w:rPr>
        <w:t>him</w:t>
      </w:r>
      <w:r w:rsidR="00BE62EE" w:rsidRPr="007D6C3F">
        <w:rPr>
          <w:rFonts w:ascii="Times New Roman" w:hAnsi="Times New Roman"/>
          <w:sz w:val="20"/>
          <w:szCs w:val="20"/>
          <w:lang w:val="en-GB"/>
        </w:rPr>
        <w:t xml:space="preserve"> when he returns to Afghanistan </w:t>
      </w:r>
      <w:r w:rsidR="00245945" w:rsidRPr="007D6C3F">
        <w:rPr>
          <w:rFonts w:ascii="Times New Roman" w:hAnsi="Times New Roman"/>
          <w:sz w:val="20"/>
          <w:szCs w:val="20"/>
          <w:lang w:val="en-GB"/>
        </w:rPr>
        <w:t xml:space="preserve">to punish him </w:t>
      </w:r>
      <w:r w:rsidR="00BE62EE" w:rsidRPr="007D6C3F">
        <w:rPr>
          <w:rFonts w:ascii="Times New Roman" w:hAnsi="Times New Roman"/>
          <w:sz w:val="20"/>
          <w:szCs w:val="20"/>
          <w:lang w:val="en-GB"/>
        </w:rPr>
        <w:t xml:space="preserve">for reporting his abuse to the police, </w:t>
      </w:r>
      <w:r w:rsidR="00245945" w:rsidRPr="007D6C3F">
        <w:rPr>
          <w:rFonts w:ascii="Times New Roman" w:hAnsi="Times New Roman"/>
          <w:sz w:val="20"/>
          <w:szCs w:val="20"/>
          <w:lang w:val="en-GB"/>
        </w:rPr>
        <w:t xml:space="preserve">and for the ensuing </w:t>
      </w:r>
      <w:r w:rsidR="00BE62EE" w:rsidRPr="007D6C3F">
        <w:rPr>
          <w:rFonts w:ascii="Times New Roman" w:hAnsi="Times New Roman"/>
          <w:sz w:val="20"/>
          <w:szCs w:val="20"/>
          <w:lang w:val="en-GB"/>
        </w:rPr>
        <w:t xml:space="preserve">conviction. </w:t>
      </w:r>
      <w:r w:rsidR="006C19A5" w:rsidRPr="007D6C3F">
        <w:rPr>
          <w:rFonts w:ascii="Times New Roman" w:hAnsi="Times New Roman"/>
          <w:sz w:val="20"/>
          <w:szCs w:val="20"/>
          <w:lang w:val="en-GB"/>
        </w:rPr>
        <w:t xml:space="preserve">The author was </w:t>
      </w:r>
      <w:r w:rsidR="00245945" w:rsidRPr="007D6C3F">
        <w:rPr>
          <w:rFonts w:ascii="Times New Roman" w:hAnsi="Times New Roman"/>
          <w:sz w:val="20"/>
          <w:szCs w:val="20"/>
          <w:lang w:val="en-GB"/>
        </w:rPr>
        <w:t xml:space="preserve">considered </w:t>
      </w:r>
      <w:r w:rsidR="006C19A5" w:rsidRPr="007D6C3F">
        <w:rPr>
          <w:rFonts w:ascii="Times New Roman" w:hAnsi="Times New Roman"/>
          <w:sz w:val="20"/>
          <w:szCs w:val="20"/>
          <w:lang w:val="en-GB"/>
        </w:rPr>
        <w:t xml:space="preserve">as </w:t>
      </w:r>
      <w:r w:rsidR="00E05F0C" w:rsidRPr="007D6C3F">
        <w:rPr>
          <w:rFonts w:ascii="Times New Roman" w:hAnsi="Times New Roman"/>
          <w:sz w:val="20"/>
          <w:szCs w:val="20"/>
          <w:lang w:val="en-GB"/>
        </w:rPr>
        <w:t xml:space="preserve">an </w:t>
      </w:r>
      <w:r w:rsidR="005122E1" w:rsidRPr="007D6C3F">
        <w:rPr>
          <w:rFonts w:ascii="Times New Roman" w:hAnsi="Times New Roman"/>
          <w:sz w:val="20"/>
          <w:szCs w:val="20"/>
          <w:lang w:val="en-GB"/>
        </w:rPr>
        <w:t>unaccompanied</w:t>
      </w:r>
      <w:r w:rsidR="006C19A5" w:rsidRPr="007D6C3F">
        <w:rPr>
          <w:rFonts w:ascii="Times New Roman" w:hAnsi="Times New Roman"/>
          <w:sz w:val="20"/>
          <w:szCs w:val="20"/>
          <w:lang w:val="en-GB"/>
        </w:rPr>
        <w:t xml:space="preserve"> minor and placed at a children’s home. </w:t>
      </w:r>
    </w:p>
    <w:p w14:paraId="3FCD2918" w14:textId="6F9E71E4" w:rsidR="00ED5537" w:rsidRPr="007D6C3F" w:rsidRDefault="001F5DE2"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2.9</w:t>
      </w:r>
      <w:r w:rsidR="00BF2A29" w:rsidRPr="007D6C3F">
        <w:rPr>
          <w:rFonts w:ascii="Times New Roman" w:hAnsi="Times New Roman"/>
          <w:sz w:val="20"/>
          <w:szCs w:val="20"/>
          <w:lang w:val="en-GB"/>
        </w:rPr>
        <w:tab/>
      </w:r>
      <w:r w:rsidR="00FF2CB0">
        <w:rPr>
          <w:rFonts w:ascii="Times New Roman" w:hAnsi="Times New Roman"/>
          <w:sz w:val="20"/>
          <w:szCs w:val="20"/>
          <w:lang w:val="en-GB"/>
        </w:rPr>
        <w:t>T</w:t>
      </w:r>
      <w:r w:rsidR="009A363B" w:rsidRPr="007D6C3F">
        <w:rPr>
          <w:rFonts w:ascii="Times New Roman" w:hAnsi="Times New Roman"/>
          <w:sz w:val="20"/>
          <w:szCs w:val="20"/>
          <w:lang w:val="en-GB"/>
        </w:rPr>
        <w:t xml:space="preserve">he author’s legal guardian submitted on his behalf </w:t>
      </w:r>
      <w:r w:rsidR="0089120C" w:rsidRPr="007D6C3F">
        <w:rPr>
          <w:rFonts w:ascii="Times New Roman" w:hAnsi="Times New Roman"/>
          <w:sz w:val="20"/>
          <w:szCs w:val="20"/>
          <w:lang w:val="en-GB"/>
        </w:rPr>
        <w:t>an applic</w:t>
      </w:r>
      <w:r w:rsidR="00E05F0C" w:rsidRPr="007D6C3F">
        <w:rPr>
          <w:rFonts w:ascii="Times New Roman" w:hAnsi="Times New Roman"/>
          <w:sz w:val="20"/>
          <w:szCs w:val="20"/>
          <w:lang w:val="en-GB"/>
        </w:rPr>
        <w:t>a</w:t>
      </w:r>
      <w:r w:rsidR="0089120C" w:rsidRPr="007D6C3F">
        <w:rPr>
          <w:rFonts w:ascii="Times New Roman" w:hAnsi="Times New Roman"/>
          <w:sz w:val="20"/>
          <w:szCs w:val="20"/>
          <w:lang w:val="en-GB"/>
        </w:rPr>
        <w:t>tion of impediment to enforcement of his expulsion order</w:t>
      </w:r>
      <w:r w:rsidR="00E05F0C" w:rsidRPr="007D6C3F">
        <w:rPr>
          <w:rFonts w:ascii="Times New Roman" w:hAnsi="Times New Roman"/>
          <w:sz w:val="20"/>
          <w:szCs w:val="20"/>
          <w:lang w:val="en-GB"/>
        </w:rPr>
        <w:t>.</w:t>
      </w:r>
      <w:r w:rsidR="0089120C" w:rsidRPr="007D6C3F">
        <w:rPr>
          <w:rStyle w:val="FootnoteReference"/>
          <w:szCs w:val="20"/>
          <w:lang w:val="en-GB"/>
        </w:rPr>
        <w:footnoteReference w:id="10"/>
      </w:r>
      <w:r w:rsidR="0089120C" w:rsidRPr="007D6C3F">
        <w:rPr>
          <w:rFonts w:ascii="Times New Roman" w:hAnsi="Times New Roman"/>
          <w:sz w:val="20"/>
          <w:szCs w:val="20"/>
          <w:lang w:val="en-GB"/>
        </w:rPr>
        <w:t xml:space="preserve"> </w:t>
      </w:r>
      <w:r w:rsidR="00E05F0C" w:rsidRPr="007D6C3F">
        <w:rPr>
          <w:rFonts w:ascii="Times New Roman" w:hAnsi="Times New Roman"/>
          <w:sz w:val="20"/>
          <w:szCs w:val="20"/>
          <w:lang w:val="en-GB"/>
        </w:rPr>
        <w:t xml:space="preserve">It requests </w:t>
      </w:r>
      <w:r w:rsidR="00ED5537" w:rsidRPr="007D6C3F">
        <w:rPr>
          <w:rFonts w:ascii="Times New Roman" w:hAnsi="Times New Roman"/>
          <w:sz w:val="20"/>
          <w:szCs w:val="20"/>
          <w:lang w:val="en-GB"/>
        </w:rPr>
        <w:t xml:space="preserve">granting </w:t>
      </w:r>
      <w:r w:rsidR="00E05F0C" w:rsidRPr="007D6C3F">
        <w:rPr>
          <w:rFonts w:ascii="Times New Roman" w:hAnsi="Times New Roman"/>
          <w:sz w:val="20"/>
          <w:szCs w:val="20"/>
          <w:lang w:val="en-GB"/>
        </w:rPr>
        <w:t xml:space="preserve">the author </w:t>
      </w:r>
      <w:r w:rsidR="00ED5537" w:rsidRPr="007D6C3F">
        <w:rPr>
          <w:rFonts w:ascii="Times New Roman" w:hAnsi="Times New Roman"/>
          <w:sz w:val="20"/>
          <w:szCs w:val="20"/>
          <w:lang w:val="en-GB"/>
        </w:rPr>
        <w:t xml:space="preserve">a resident permit or </w:t>
      </w:r>
      <w:r w:rsidR="0093278C" w:rsidRPr="007D6C3F">
        <w:rPr>
          <w:rFonts w:ascii="Times New Roman" w:hAnsi="Times New Roman"/>
          <w:sz w:val="20"/>
          <w:szCs w:val="20"/>
          <w:lang w:val="en-GB"/>
        </w:rPr>
        <w:t xml:space="preserve">a </w:t>
      </w:r>
      <w:r w:rsidR="00ED5537" w:rsidRPr="007D6C3F">
        <w:rPr>
          <w:rFonts w:ascii="Times New Roman" w:hAnsi="Times New Roman"/>
          <w:sz w:val="20"/>
          <w:szCs w:val="20"/>
          <w:lang w:val="en-GB"/>
        </w:rPr>
        <w:t xml:space="preserve">re-examination of </w:t>
      </w:r>
      <w:r w:rsidR="00E05F0C" w:rsidRPr="007D6C3F">
        <w:rPr>
          <w:rFonts w:ascii="Times New Roman" w:hAnsi="Times New Roman"/>
          <w:sz w:val="20"/>
          <w:szCs w:val="20"/>
          <w:lang w:val="en-GB"/>
        </w:rPr>
        <w:t>his asylum</w:t>
      </w:r>
      <w:r w:rsidR="00ED5537" w:rsidRPr="007D6C3F">
        <w:rPr>
          <w:rFonts w:ascii="Times New Roman" w:hAnsi="Times New Roman"/>
          <w:sz w:val="20"/>
          <w:szCs w:val="20"/>
          <w:lang w:val="en-GB"/>
        </w:rPr>
        <w:t xml:space="preserve"> case base</w:t>
      </w:r>
      <w:r w:rsidR="00E05F0C" w:rsidRPr="007D6C3F">
        <w:rPr>
          <w:rFonts w:ascii="Times New Roman" w:hAnsi="Times New Roman"/>
          <w:sz w:val="20"/>
          <w:szCs w:val="20"/>
          <w:lang w:val="en-GB"/>
        </w:rPr>
        <w:t>d</w:t>
      </w:r>
      <w:r w:rsidR="00ED5537" w:rsidRPr="007D6C3F">
        <w:rPr>
          <w:rFonts w:ascii="Times New Roman" w:hAnsi="Times New Roman"/>
          <w:sz w:val="20"/>
          <w:szCs w:val="20"/>
          <w:lang w:val="en-GB"/>
        </w:rPr>
        <w:t xml:space="preserve"> on </w:t>
      </w:r>
      <w:r w:rsidR="007006AE" w:rsidRPr="007D6C3F">
        <w:rPr>
          <w:rFonts w:ascii="Times New Roman" w:hAnsi="Times New Roman"/>
          <w:sz w:val="20"/>
          <w:szCs w:val="20"/>
          <w:lang w:val="en-GB"/>
        </w:rPr>
        <w:t xml:space="preserve">the developments in the author’s situation </w:t>
      </w:r>
      <w:r w:rsidR="0089120C" w:rsidRPr="007D6C3F">
        <w:rPr>
          <w:rFonts w:ascii="Times New Roman" w:hAnsi="Times New Roman"/>
          <w:sz w:val="20"/>
          <w:szCs w:val="20"/>
          <w:lang w:val="en-GB"/>
        </w:rPr>
        <w:t xml:space="preserve">after the expulsion order </w:t>
      </w:r>
      <w:r w:rsidR="007006AE" w:rsidRPr="007D6C3F">
        <w:rPr>
          <w:rFonts w:ascii="Times New Roman" w:hAnsi="Times New Roman"/>
          <w:sz w:val="20"/>
          <w:szCs w:val="20"/>
          <w:lang w:val="en-GB"/>
        </w:rPr>
        <w:t>became</w:t>
      </w:r>
      <w:r w:rsidR="0089120C" w:rsidRPr="007D6C3F">
        <w:rPr>
          <w:rFonts w:ascii="Times New Roman" w:hAnsi="Times New Roman"/>
          <w:sz w:val="20"/>
          <w:szCs w:val="20"/>
          <w:lang w:val="en-GB"/>
        </w:rPr>
        <w:t xml:space="preserve"> final</w:t>
      </w:r>
      <w:r w:rsidR="00C21AF2" w:rsidRPr="007D6C3F">
        <w:rPr>
          <w:rFonts w:ascii="Times New Roman" w:hAnsi="Times New Roman"/>
          <w:sz w:val="20"/>
          <w:szCs w:val="20"/>
          <w:lang w:val="en-GB"/>
        </w:rPr>
        <w:t>,</w:t>
      </w:r>
      <w:r w:rsidR="0089120C" w:rsidRPr="007D6C3F">
        <w:rPr>
          <w:rFonts w:ascii="Times New Roman" w:hAnsi="Times New Roman"/>
          <w:sz w:val="20"/>
          <w:szCs w:val="20"/>
          <w:lang w:val="en-GB"/>
        </w:rPr>
        <w:t xml:space="preserve"> </w:t>
      </w:r>
      <w:r w:rsidR="007006AE" w:rsidRPr="007D6C3F">
        <w:rPr>
          <w:rFonts w:ascii="Times New Roman" w:hAnsi="Times New Roman"/>
          <w:sz w:val="20"/>
          <w:szCs w:val="20"/>
          <w:lang w:val="en-GB"/>
        </w:rPr>
        <w:t xml:space="preserve">i.e. </w:t>
      </w:r>
      <w:r w:rsidR="00E360C3" w:rsidRPr="007D6C3F">
        <w:rPr>
          <w:rFonts w:ascii="Times New Roman" w:hAnsi="Times New Roman"/>
          <w:sz w:val="20"/>
          <w:szCs w:val="20"/>
          <w:lang w:val="en-GB"/>
        </w:rPr>
        <w:t>that his parents have travelled to Afghanistan and he is now in Sweden alone with his brother and that he has received a threat</w:t>
      </w:r>
      <w:r w:rsidR="00067380" w:rsidRPr="007D6C3F">
        <w:rPr>
          <w:rFonts w:ascii="Times New Roman" w:hAnsi="Times New Roman"/>
          <w:sz w:val="20"/>
          <w:szCs w:val="20"/>
          <w:lang w:val="en-GB"/>
        </w:rPr>
        <w:t>e</w:t>
      </w:r>
      <w:r w:rsidR="002846D4" w:rsidRPr="007D6C3F">
        <w:rPr>
          <w:rFonts w:ascii="Times New Roman" w:hAnsi="Times New Roman"/>
          <w:sz w:val="20"/>
          <w:szCs w:val="20"/>
          <w:lang w:val="en-GB"/>
        </w:rPr>
        <w:t>n</w:t>
      </w:r>
      <w:r w:rsidR="00067380" w:rsidRPr="007D6C3F">
        <w:rPr>
          <w:rFonts w:ascii="Times New Roman" w:hAnsi="Times New Roman"/>
          <w:sz w:val="20"/>
          <w:szCs w:val="20"/>
          <w:lang w:val="en-GB"/>
        </w:rPr>
        <w:t>ing</w:t>
      </w:r>
      <w:r w:rsidR="00E360C3" w:rsidRPr="007D6C3F">
        <w:rPr>
          <w:rFonts w:ascii="Times New Roman" w:hAnsi="Times New Roman"/>
          <w:sz w:val="20"/>
          <w:szCs w:val="20"/>
          <w:lang w:val="en-GB"/>
        </w:rPr>
        <w:t xml:space="preserve"> letter from his father who writes that he will kill him if he travels to Afghanistan. </w:t>
      </w:r>
    </w:p>
    <w:p w14:paraId="4E3C1658" w14:textId="665828CF" w:rsidR="00CF2DB5" w:rsidRPr="007D6C3F" w:rsidRDefault="00CF2DB5"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w:t>
      </w:r>
      <w:r w:rsidR="00C66259" w:rsidRPr="007D6C3F">
        <w:rPr>
          <w:rFonts w:ascii="Times New Roman" w:hAnsi="Times New Roman"/>
          <w:sz w:val="20"/>
          <w:szCs w:val="20"/>
          <w:lang w:val="en-GB"/>
        </w:rPr>
        <w:t>10</w:t>
      </w:r>
      <w:r w:rsidRPr="007D6C3F">
        <w:rPr>
          <w:rFonts w:ascii="Times New Roman" w:hAnsi="Times New Roman"/>
          <w:sz w:val="20"/>
          <w:szCs w:val="20"/>
          <w:lang w:val="en-GB"/>
        </w:rPr>
        <w:tab/>
        <w:t xml:space="preserve">On 7 July 2017, the Migration </w:t>
      </w:r>
      <w:r w:rsidR="00C66259" w:rsidRPr="007D6C3F">
        <w:rPr>
          <w:rFonts w:ascii="Times New Roman" w:hAnsi="Times New Roman"/>
          <w:sz w:val="20"/>
          <w:szCs w:val="20"/>
          <w:lang w:val="en-GB"/>
        </w:rPr>
        <w:t>Board</w:t>
      </w:r>
      <w:r w:rsidR="00532179" w:rsidRPr="007D6C3F">
        <w:rPr>
          <w:rFonts w:ascii="Times New Roman" w:hAnsi="Times New Roman"/>
          <w:sz w:val="20"/>
          <w:szCs w:val="20"/>
          <w:lang w:val="en-GB"/>
        </w:rPr>
        <w:t xml:space="preserve"> </w:t>
      </w:r>
      <w:r w:rsidRPr="007D6C3F">
        <w:rPr>
          <w:rFonts w:ascii="Times New Roman" w:hAnsi="Times New Roman"/>
          <w:sz w:val="20"/>
          <w:szCs w:val="20"/>
          <w:lang w:val="en-GB"/>
        </w:rPr>
        <w:t xml:space="preserve">rejected his application for a resident permit or re-examination of his case. </w:t>
      </w:r>
      <w:r w:rsidR="00E360C3" w:rsidRPr="007D6C3F">
        <w:rPr>
          <w:rFonts w:ascii="Times New Roman" w:hAnsi="Times New Roman"/>
          <w:sz w:val="20"/>
          <w:szCs w:val="20"/>
          <w:lang w:val="en-GB"/>
        </w:rPr>
        <w:t xml:space="preserve">The Migration Board noted that the disappearance of the author’s parents was a new circumstance that had not been previously examined, but there was no evidence in support of the author’s claims that his parents had actually left Sweden to Afghanistan. </w:t>
      </w:r>
      <w:r w:rsidR="002B08D0" w:rsidRPr="007D6C3F">
        <w:rPr>
          <w:rFonts w:ascii="Times New Roman" w:hAnsi="Times New Roman"/>
          <w:sz w:val="20"/>
          <w:szCs w:val="20"/>
          <w:lang w:val="en-GB"/>
        </w:rPr>
        <w:t xml:space="preserve">The </w:t>
      </w:r>
      <w:r w:rsidR="00C66259" w:rsidRPr="007D6C3F">
        <w:rPr>
          <w:rFonts w:ascii="Times New Roman" w:hAnsi="Times New Roman"/>
          <w:sz w:val="20"/>
          <w:szCs w:val="20"/>
          <w:lang w:val="en-GB"/>
        </w:rPr>
        <w:t>Board</w:t>
      </w:r>
      <w:r w:rsidR="002B08D0" w:rsidRPr="007D6C3F">
        <w:rPr>
          <w:rFonts w:ascii="Times New Roman" w:hAnsi="Times New Roman"/>
          <w:sz w:val="20"/>
          <w:szCs w:val="20"/>
          <w:lang w:val="en-GB"/>
        </w:rPr>
        <w:t xml:space="preserve"> held </w:t>
      </w:r>
      <w:r w:rsidR="00EB273F" w:rsidRPr="007D6C3F">
        <w:rPr>
          <w:rFonts w:ascii="Times New Roman" w:hAnsi="Times New Roman"/>
          <w:sz w:val="20"/>
          <w:szCs w:val="20"/>
          <w:lang w:val="en-GB"/>
        </w:rPr>
        <w:t xml:space="preserve">that </w:t>
      </w:r>
      <w:r w:rsidR="00483889" w:rsidRPr="007D6C3F">
        <w:rPr>
          <w:rFonts w:ascii="Times New Roman" w:hAnsi="Times New Roman"/>
          <w:sz w:val="20"/>
          <w:szCs w:val="20"/>
          <w:lang w:val="en-GB"/>
        </w:rPr>
        <w:t>the threat</w:t>
      </w:r>
      <w:r w:rsidR="00067380" w:rsidRPr="007D6C3F">
        <w:rPr>
          <w:rFonts w:ascii="Times New Roman" w:hAnsi="Times New Roman"/>
          <w:sz w:val="20"/>
          <w:szCs w:val="20"/>
          <w:lang w:val="en-GB"/>
        </w:rPr>
        <w:t>ening</w:t>
      </w:r>
      <w:r w:rsidR="00483889" w:rsidRPr="007D6C3F">
        <w:rPr>
          <w:rFonts w:ascii="Times New Roman" w:hAnsi="Times New Roman"/>
          <w:sz w:val="20"/>
          <w:szCs w:val="20"/>
          <w:lang w:val="en-GB"/>
        </w:rPr>
        <w:t xml:space="preserve"> letter</w:t>
      </w:r>
      <w:r w:rsidR="00EB273F" w:rsidRPr="007D6C3F">
        <w:rPr>
          <w:rFonts w:ascii="Times New Roman" w:hAnsi="Times New Roman"/>
          <w:sz w:val="20"/>
          <w:szCs w:val="20"/>
          <w:lang w:val="en-GB"/>
        </w:rPr>
        <w:t xml:space="preserve"> could not </w:t>
      </w:r>
      <w:r w:rsidR="002B08D0" w:rsidRPr="007D6C3F">
        <w:rPr>
          <w:rFonts w:ascii="Times New Roman" w:hAnsi="Times New Roman"/>
          <w:sz w:val="20"/>
          <w:szCs w:val="20"/>
          <w:lang w:val="en-GB"/>
        </w:rPr>
        <w:t xml:space="preserve">have evidential value as </w:t>
      </w:r>
      <w:r w:rsidR="009C6210" w:rsidRPr="007D6C3F">
        <w:rPr>
          <w:rFonts w:ascii="Times New Roman" w:hAnsi="Times New Roman"/>
          <w:sz w:val="20"/>
          <w:szCs w:val="20"/>
          <w:lang w:val="en-GB"/>
        </w:rPr>
        <w:t>it</w:t>
      </w:r>
      <w:r w:rsidR="00EB273F" w:rsidRPr="007D6C3F">
        <w:rPr>
          <w:rFonts w:ascii="Times New Roman" w:hAnsi="Times New Roman"/>
          <w:sz w:val="20"/>
          <w:szCs w:val="20"/>
          <w:lang w:val="en-GB"/>
        </w:rPr>
        <w:t xml:space="preserve"> was a </w:t>
      </w:r>
      <w:r w:rsidR="00FF2CB0">
        <w:rPr>
          <w:rFonts w:ascii="Times New Roman" w:hAnsi="Times New Roman"/>
          <w:sz w:val="20"/>
          <w:szCs w:val="20"/>
          <w:lang w:val="en-GB"/>
        </w:rPr>
        <w:t xml:space="preserve">simple </w:t>
      </w:r>
      <w:r w:rsidR="00EB273F" w:rsidRPr="007D6C3F">
        <w:rPr>
          <w:rFonts w:ascii="Times New Roman" w:hAnsi="Times New Roman"/>
          <w:sz w:val="20"/>
          <w:szCs w:val="20"/>
          <w:lang w:val="en-GB"/>
        </w:rPr>
        <w:t xml:space="preserve">handwritten message </w:t>
      </w:r>
      <w:r w:rsidR="002B08D0" w:rsidRPr="007D6C3F">
        <w:rPr>
          <w:rFonts w:ascii="Times New Roman" w:hAnsi="Times New Roman"/>
          <w:sz w:val="20"/>
          <w:szCs w:val="20"/>
          <w:lang w:val="en-GB"/>
        </w:rPr>
        <w:t>with</w:t>
      </w:r>
      <w:r w:rsidR="00EB273F" w:rsidRPr="007D6C3F">
        <w:rPr>
          <w:rFonts w:ascii="Times New Roman" w:hAnsi="Times New Roman"/>
          <w:sz w:val="20"/>
          <w:szCs w:val="20"/>
          <w:lang w:val="en-GB"/>
        </w:rPr>
        <w:t xml:space="preserve"> no indication of when, how, by whom</w:t>
      </w:r>
      <w:r w:rsidR="00D92FE5" w:rsidRPr="007D6C3F">
        <w:rPr>
          <w:rFonts w:ascii="Times New Roman" w:hAnsi="Times New Roman"/>
          <w:sz w:val="20"/>
          <w:szCs w:val="20"/>
          <w:lang w:val="en-GB"/>
        </w:rPr>
        <w:t>,</w:t>
      </w:r>
      <w:r w:rsidR="00EB273F" w:rsidRPr="007D6C3F">
        <w:rPr>
          <w:rFonts w:ascii="Times New Roman" w:hAnsi="Times New Roman"/>
          <w:sz w:val="20"/>
          <w:szCs w:val="20"/>
          <w:lang w:val="en-GB"/>
        </w:rPr>
        <w:t xml:space="preserve"> or why the author had received it. The translat</w:t>
      </w:r>
      <w:r w:rsidR="00C21AF2" w:rsidRPr="007D6C3F">
        <w:rPr>
          <w:rFonts w:ascii="Times New Roman" w:hAnsi="Times New Roman"/>
          <w:sz w:val="20"/>
          <w:szCs w:val="20"/>
          <w:lang w:val="en-GB"/>
        </w:rPr>
        <w:t>ion</w:t>
      </w:r>
      <w:r w:rsidR="00EB273F" w:rsidRPr="007D6C3F">
        <w:rPr>
          <w:rFonts w:ascii="Times New Roman" w:hAnsi="Times New Roman"/>
          <w:sz w:val="20"/>
          <w:szCs w:val="20"/>
          <w:lang w:val="en-GB"/>
        </w:rPr>
        <w:t xml:space="preserve"> service used by the </w:t>
      </w:r>
      <w:r w:rsidR="00C21AF2" w:rsidRPr="007D6C3F">
        <w:rPr>
          <w:rFonts w:ascii="Times New Roman" w:hAnsi="Times New Roman"/>
          <w:sz w:val="20"/>
          <w:szCs w:val="20"/>
          <w:lang w:val="en-GB"/>
        </w:rPr>
        <w:t xml:space="preserve">Migration </w:t>
      </w:r>
      <w:r w:rsidR="00C66259" w:rsidRPr="007D6C3F">
        <w:rPr>
          <w:rFonts w:ascii="Times New Roman" w:hAnsi="Times New Roman"/>
          <w:sz w:val="20"/>
          <w:szCs w:val="20"/>
          <w:lang w:val="en-GB"/>
        </w:rPr>
        <w:t>Board</w:t>
      </w:r>
      <w:r w:rsidR="00EB273F" w:rsidRPr="007D6C3F">
        <w:rPr>
          <w:rFonts w:ascii="Times New Roman" w:hAnsi="Times New Roman"/>
          <w:sz w:val="20"/>
          <w:szCs w:val="20"/>
          <w:lang w:val="en-GB"/>
        </w:rPr>
        <w:t xml:space="preserve"> </w:t>
      </w:r>
      <w:r w:rsidR="00C21AF2" w:rsidRPr="007D6C3F">
        <w:rPr>
          <w:rFonts w:ascii="Times New Roman" w:hAnsi="Times New Roman"/>
          <w:sz w:val="20"/>
          <w:szCs w:val="20"/>
          <w:lang w:val="en-GB"/>
        </w:rPr>
        <w:t xml:space="preserve">noted </w:t>
      </w:r>
      <w:r w:rsidR="00EB273F" w:rsidRPr="007D6C3F">
        <w:rPr>
          <w:rFonts w:ascii="Times New Roman" w:hAnsi="Times New Roman"/>
          <w:sz w:val="20"/>
          <w:szCs w:val="20"/>
          <w:lang w:val="en-GB"/>
        </w:rPr>
        <w:t>that the letter could not be properly translated, as it was incomprehensible.</w:t>
      </w:r>
      <w:r w:rsidR="00483889" w:rsidRPr="007D6C3F">
        <w:rPr>
          <w:rFonts w:ascii="Times New Roman" w:hAnsi="Times New Roman"/>
          <w:sz w:val="20"/>
          <w:szCs w:val="20"/>
          <w:lang w:val="en-GB"/>
        </w:rPr>
        <w:t xml:space="preserve"> </w:t>
      </w:r>
      <w:r w:rsidR="006E1F9B" w:rsidRPr="007D6C3F">
        <w:rPr>
          <w:rFonts w:ascii="Times New Roman" w:hAnsi="Times New Roman"/>
          <w:sz w:val="20"/>
          <w:szCs w:val="20"/>
          <w:lang w:val="en-GB"/>
        </w:rPr>
        <w:t>The information which the author himself has pr</w:t>
      </w:r>
      <w:r w:rsidR="00067380" w:rsidRPr="007D6C3F">
        <w:rPr>
          <w:rFonts w:ascii="Times New Roman" w:hAnsi="Times New Roman"/>
          <w:sz w:val="20"/>
          <w:szCs w:val="20"/>
          <w:lang w:val="en-GB"/>
        </w:rPr>
        <w:t>o</w:t>
      </w:r>
      <w:r w:rsidR="006E1F9B" w:rsidRPr="007D6C3F">
        <w:rPr>
          <w:rFonts w:ascii="Times New Roman" w:hAnsi="Times New Roman"/>
          <w:sz w:val="20"/>
          <w:szCs w:val="20"/>
          <w:lang w:val="en-GB"/>
        </w:rPr>
        <w:t xml:space="preserve">vided about the content of the document is scarce, unclear and vaguely formulated. </w:t>
      </w:r>
      <w:r w:rsidR="00AA0C7A" w:rsidRPr="007D6C3F">
        <w:rPr>
          <w:rFonts w:ascii="Times New Roman" w:hAnsi="Times New Roman"/>
          <w:sz w:val="20"/>
          <w:szCs w:val="20"/>
          <w:lang w:val="en-GB"/>
        </w:rPr>
        <w:t xml:space="preserve">The </w:t>
      </w:r>
      <w:r w:rsidR="00C21AF2" w:rsidRPr="007D6C3F">
        <w:rPr>
          <w:rFonts w:ascii="Times New Roman" w:hAnsi="Times New Roman"/>
          <w:sz w:val="20"/>
          <w:szCs w:val="20"/>
          <w:lang w:val="en-GB"/>
        </w:rPr>
        <w:t xml:space="preserve">Migration </w:t>
      </w:r>
      <w:r w:rsidR="00C66259" w:rsidRPr="007D6C3F">
        <w:rPr>
          <w:rFonts w:ascii="Times New Roman" w:hAnsi="Times New Roman"/>
          <w:sz w:val="20"/>
          <w:szCs w:val="20"/>
          <w:lang w:val="en-GB"/>
        </w:rPr>
        <w:t>Board</w:t>
      </w:r>
      <w:r w:rsidR="00E360C3" w:rsidRPr="007D6C3F">
        <w:rPr>
          <w:rFonts w:ascii="Times New Roman" w:hAnsi="Times New Roman"/>
          <w:sz w:val="20"/>
          <w:szCs w:val="20"/>
          <w:lang w:val="en-GB"/>
        </w:rPr>
        <w:t>,</w:t>
      </w:r>
      <w:r w:rsidR="00AA0C7A" w:rsidRPr="007D6C3F">
        <w:rPr>
          <w:rFonts w:ascii="Times New Roman" w:hAnsi="Times New Roman"/>
          <w:sz w:val="20"/>
          <w:szCs w:val="20"/>
          <w:lang w:val="en-GB"/>
        </w:rPr>
        <w:t xml:space="preserve"> </w:t>
      </w:r>
      <w:r w:rsidR="009C6210" w:rsidRPr="007D6C3F">
        <w:rPr>
          <w:rFonts w:ascii="Times New Roman" w:hAnsi="Times New Roman"/>
          <w:sz w:val="20"/>
          <w:szCs w:val="20"/>
          <w:lang w:val="en-GB"/>
        </w:rPr>
        <w:t>therefore</w:t>
      </w:r>
      <w:r w:rsidR="00E360C3" w:rsidRPr="007D6C3F">
        <w:rPr>
          <w:rFonts w:ascii="Times New Roman" w:hAnsi="Times New Roman"/>
          <w:sz w:val="20"/>
          <w:szCs w:val="20"/>
          <w:lang w:val="en-GB"/>
        </w:rPr>
        <w:t>,</w:t>
      </w:r>
      <w:r w:rsidR="009C6210" w:rsidRPr="007D6C3F">
        <w:rPr>
          <w:rFonts w:ascii="Times New Roman" w:hAnsi="Times New Roman"/>
          <w:sz w:val="20"/>
          <w:szCs w:val="20"/>
          <w:lang w:val="en-GB"/>
        </w:rPr>
        <w:t xml:space="preserve"> </w:t>
      </w:r>
      <w:r w:rsidRPr="007D6C3F">
        <w:rPr>
          <w:rFonts w:ascii="Times New Roman" w:hAnsi="Times New Roman"/>
          <w:sz w:val="20"/>
          <w:szCs w:val="20"/>
          <w:lang w:val="en-GB"/>
        </w:rPr>
        <w:t xml:space="preserve">concluded that there were reasons to believe that the author’s parents were deliberately hiding so that the author would be </w:t>
      </w:r>
      <w:r w:rsidR="009C6210" w:rsidRPr="007D6C3F">
        <w:rPr>
          <w:rFonts w:ascii="Times New Roman" w:hAnsi="Times New Roman"/>
          <w:sz w:val="20"/>
          <w:szCs w:val="20"/>
          <w:lang w:val="en-GB"/>
        </w:rPr>
        <w:t xml:space="preserve">once again </w:t>
      </w:r>
      <w:r w:rsidRPr="007D6C3F">
        <w:rPr>
          <w:rFonts w:ascii="Times New Roman" w:hAnsi="Times New Roman"/>
          <w:sz w:val="20"/>
          <w:szCs w:val="20"/>
          <w:lang w:val="en-GB"/>
        </w:rPr>
        <w:t xml:space="preserve">considered </w:t>
      </w:r>
      <w:r w:rsidR="009C6210" w:rsidRPr="007D6C3F">
        <w:rPr>
          <w:rFonts w:ascii="Times New Roman" w:hAnsi="Times New Roman"/>
          <w:sz w:val="20"/>
          <w:szCs w:val="20"/>
          <w:lang w:val="en-GB"/>
        </w:rPr>
        <w:t xml:space="preserve">and treated as </w:t>
      </w:r>
      <w:r w:rsidRPr="007D6C3F">
        <w:rPr>
          <w:rFonts w:ascii="Times New Roman" w:hAnsi="Times New Roman"/>
          <w:sz w:val="20"/>
          <w:szCs w:val="20"/>
          <w:lang w:val="en-GB"/>
        </w:rPr>
        <w:t xml:space="preserve">an unaccompanied minor. Furthermore, </w:t>
      </w:r>
      <w:r w:rsidR="00AA0C7A" w:rsidRPr="007D6C3F">
        <w:rPr>
          <w:rFonts w:ascii="Times New Roman" w:hAnsi="Times New Roman"/>
          <w:sz w:val="20"/>
          <w:szCs w:val="20"/>
          <w:lang w:val="en-GB"/>
        </w:rPr>
        <w:t xml:space="preserve">it held that </w:t>
      </w:r>
      <w:r w:rsidRPr="007D6C3F">
        <w:rPr>
          <w:rFonts w:ascii="Times New Roman" w:hAnsi="Times New Roman"/>
          <w:sz w:val="20"/>
          <w:szCs w:val="20"/>
          <w:lang w:val="en-GB"/>
        </w:rPr>
        <w:t xml:space="preserve">even though the author’s parents’ whereabouts were unknown, </w:t>
      </w:r>
      <w:r w:rsidR="009C6210" w:rsidRPr="007D6C3F">
        <w:rPr>
          <w:rFonts w:ascii="Times New Roman" w:hAnsi="Times New Roman"/>
          <w:sz w:val="20"/>
          <w:szCs w:val="20"/>
          <w:lang w:val="en-GB"/>
        </w:rPr>
        <w:t>it has been established that the author</w:t>
      </w:r>
      <w:r w:rsidRPr="007D6C3F">
        <w:rPr>
          <w:rFonts w:ascii="Times New Roman" w:hAnsi="Times New Roman"/>
          <w:sz w:val="20"/>
          <w:szCs w:val="20"/>
          <w:lang w:val="en-GB"/>
        </w:rPr>
        <w:t xml:space="preserve"> had other relatives in Afghanistan.</w:t>
      </w:r>
      <w:r w:rsidRPr="007D6C3F">
        <w:rPr>
          <w:rStyle w:val="FootnoteReference"/>
          <w:szCs w:val="20"/>
          <w:lang w:val="en-GB"/>
        </w:rPr>
        <w:footnoteReference w:id="11"/>
      </w:r>
      <w:r w:rsidRPr="007D6C3F">
        <w:rPr>
          <w:rFonts w:ascii="Times New Roman" w:hAnsi="Times New Roman"/>
          <w:sz w:val="20"/>
          <w:szCs w:val="20"/>
          <w:lang w:val="en-GB"/>
        </w:rPr>
        <w:t xml:space="preserve"> Accordingly, the </w:t>
      </w:r>
      <w:r w:rsidR="00C66259" w:rsidRPr="007D6C3F">
        <w:rPr>
          <w:rFonts w:ascii="Times New Roman" w:hAnsi="Times New Roman"/>
          <w:sz w:val="20"/>
          <w:szCs w:val="20"/>
          <w:lang w:val="en-GB"/>
        </w:rPr>
        <w:t>Board</w:t>
      </w:r>
      <w:r w:rsidR="00AA0C7A" w:rsidRPr="007D6C3F">
        <w:rPr>
          <w:rFonts w:ascii="Times New Roman" w:hAnsi="Times New Roman"/>
          <w:sz w:val="20"/>
          <w:szCs w:val="20"/>
          <w:lang w:val="en-GB"/>
        </w:rPr>
        <w:t xml:space="preserve"> concluded that there was no practical impediment</w:t>
      </w:r>
      <w:r w:rsidRPr="007D6C3F">
        <w:rPr>
          <w:rFonts w:ascii="Times New Roman" w:hAnsi="Times New Roman"/>
          <w:sz w:val="20"/>
          <w:szCs w:val="20"/>
          <w:lang w:val="en-GB"/>
        </w:rPr>
        <w:t xml:space="preserve"> to the enforcement</w:t>
      </w:r>
      <w:r w:rsidR="00483889" w:rsidRPr="007D6C3F">
        <w:rPr>
          <w:rFonts w:ascii="Times New Roman" w:hAnsi="Times New Roman"/>
          <w:sz w:val="20"/>
          <w:szCs w:val="20"/>
          <w:lang w:val="en-GB"/>
        </w:rPr>
        <w:t xml:space="preserve"> of the expulsion order</w:t>
      </w:r>
      <w:r w:rsidR="00E360C3" w:rsidRPr="007D6C3F">
        <w:rPr>
          <w:rFonts w:ascii="Times New Roman" w:hAnsi="Times New Roman"/>
          <w:sz w:val="20"/>
          <w:szCs w:val="20"/>
          <w:lang w:val="en-GB"/>
        </w:rPr>
        <w:t xml:space="preserve"> against the author</w:t>
      </w:r>
      <w:r w:rsidRPr="007D6C3F">
        <w:rPr>
          <w:rFonts w:ascii="Times New Roman" w:hAnsi="Times New Roman"/>
          <w:sz w:val="20"/>
          <w:szCs w:val="20"/>
          <w:lang w:val="en-GB"/>
        </w:rPr>
        <w:t>.</w:t>
      </w:r>
      <w:r w:rsidR="002B08D0" w:rsidRPr="007D6C3F">
        <w:rPr>
          <w:rFonts w:ascii="Times New Roman" w:hAnsi="Times New Roman"/>
          <w:sz w:val="20"/>
          <w:szCs w:val="20"/>
          <w:lang w:val="en-GB"/>
        </w:rPr>
        <w:t xml:space="preserve"> </w:t>
      </w:r>
    </w:p>
    <w:p w14:paraId="7644625F" w14:textId="5F22714D" w:rsidR="00CF2DB5" w:rsidRPr="007D6C3F" w:rsidRDefault="00CF2DB5"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w:t>
      </w:r>
      <w:r w:rsidR="00C66259" w:rsidRPr="007D6C3F">
        <w:rPr>
          <w:rFonts w:ascii="Times New Roman" w:hAnsi="Times New Roman"/>
          <w:sz w:val="20"/>
          <w:szCs w:val="20"/>
          <w:lang w:val="en-GB"/>
        </w:rPr>
        <w:t>11</w:t>
      </w:r>
      <w:r w:rsidRPr="007D6C3F">
        <w:rPr>
          <w:rFonts w:ascii="Times New Roman" w:hAnsi="Times New Roman"/>
          <w:sz w:val="20"/>
          <w:szCs w:val="20"/>
          <w:lang w:val="en-GB"/>
        </w:rPr>
        <w:tab/>
        <w:t xml:space="preserve">The decision was appealed to the Migration Court. In support of the claimed threat against him from his father, </w:t>
      </w:r>
      <w:r w:rsidRPr="009405CF">
        <w:rPr>
          <w:rFonts w:ascii="Times New Roman" w:hAnsi="Times New Roman"/>
          <w:sz w:val="20"/>
          <w:szCs w:val="20"/>
          <w:lang w:val="en-GB"/>
        </w:rPr>
        <w:t xml:space="preserve">the </w:t>
      </w:r>
      <w:proofErr w:type="gramStart"/>
      <w:r w:rsidRPr="009405CF">
        <w:rPr>
          <w:rFonts w:ascii="Times New Roman" w:hAnsi="Times New Roman"/>
          <w:sz w:val="20"/>
          <w:szCs w:val="20"/>
          <w:lang w:val="en-GB"/>
        </w:rPr>
        <w:t>author  submitted</w:t>
      </w:r>
      <w:proofErr w:type="gramEnd"/>
      <w:r w:rsidRPr="009405CF">
        <w:rPr>
          <w:rFonts w:ascii="Times New Roman" w:hAnsi="Times New Roman"/>
          <w:sz w:val="20"/>
          <w:szCs w:val="20"/>
          <w:lang w:val="en-GB"/>
        </w:rPr>
        <w:t xml:space="preserve"> </w:t>
      </w:r>
      <w:r w:rsidR="00412E1F" w:rsidRPr="009405CF">
        <w:rPr>
          <w:rFonts w:ascii="Times New Roman" w:hAnsi="Times New Roman"/>
          <w:sz w:val="20"/>
          <w:szCs w:val="20"/>
          <w:lang w:val="en-GB"/>
        </w:rPr>
        <w:t>the</w:t>
      </w:r>
      <w:r w:rsidRPr="009405CF">
        <w:rPr>
          <w:rFonts w:ascii="Times New Roman" w:hAnsi="Times New Roman"/>
          <w:sz w:val="20"/>
          <w:szCs w:val="20"/>
          <w:lang w:val="en-GB"/>
        </w:rPr>
        <w:t xml:space="preserve"> judgement of 30 March 2017 by the District Court of </w:t>
      </w:r>
      <w:proofErr w:type="spellStart"/>
      <w:r w:rsidRPr="009405CF">
        <w:rPr>
          <w:rFonts w:ascii="Times New Roman" w:hAnsi="Times New Roman"/>
          <w:sz w:val="20"/>
          <w:szCs w:val="20"/>
          <w:lang w:val="en-GB"/>
        </w:rPr>
        <w:t>Angermanland</w:t>
      </w:r>
      <w:proofErr w:type="spellEnd"/>
      <w:r w:rsidRPr="007D6C3F">
        <w:rPr>
          <w:rFonts w:ascii="Times New Roman" w:hAnsi="Times New Roman"/>
          <w:sz w:val="20"/>
          <w:szCs w:val="20"/>
          <w:lang w:val="en-GB"/>
        </w:rPr>
        <w:t>, in which his parents were convicted of assault against him and his brother.</w:t>
      </w:r>
      <w:r w:rsidR="00C66259" w:rsidRPr="007D6C3F">
        <w:rPr>
          <w:rStyle w:val="FootnoteReference"/>
          <w:szCs w:val="20"/>
          <w:lang w:val="en-GB"/>
        </w:rPr>
        <w:footnoteReference w:id="12"/>
      </w:r>
      <w:r w:rsidRPr="007D6C3F">
        <w:rPr>
          <w:rFonts w:ascii="Times New Roman" w:hAnsi="Times New Roman"/>
          <w:sz w:val="20"/>
          <w:szCs w:val="20"/>
          <w:lang w:val="en-GB"/>
        </w:rPr>
        <w:t xml:space="preserve"> </w:t>
      </w:r>
      <w:r w:rsidRPr="00AB4894">
        <w:rPr>
          <w:rFonts w:ascii="Times New Roman" w:hAnsi="Times New Roman"/>
          <w:sz w:val="20"/>
          <w:szCs w:val="20"/>
          <w:lang w:val="en-GB"/>
        </w:rPr>
        <w:t>On 21 July 2017,</w:t>
      </w:r>
      <w:r w:rsidRPr="007D6C3F">
        <w:rPr>
          <w:rFonts w:ascii="Times New Roman" w:hAnsi="Times New Roman"/>
          <w:sz w:val="20"/>
          <w:szCs w:val="20"/>
          <w:lang w:val="en-GB"/>
        </w:rPr>
        <w:t xml:space="preserve"> the court rejected the author’s plea for inhibition</w:t>
      </w:r>
      <w:r w:rsidR="00C66259" w:rsidRPr="007D6C3F">
        <w:rPr>
          <w:rFonts w:ascii="Times New Roman" w:hAnsi="Times New Roman"/>
          <w:sz w:val="20"/>
          <w:szCs w:val="20"/>
          <w:lang w:val="en-GB"/>
        </w:rPr>
        <w:t xml:space="preserve"> of the enforcement </w:t>
      </w:r>
      <w:r w:rsidRPr="007D6C3F">
        <w:rPr>
          <w:rFonts w:ascii="Times New Roman" w:hAnsi="Times New Roman"/>
          <w:sz w:val="20"/>
          <w:szCs w:val="20"/>
          <w:lang w:val="en-GB"/>
        </w:rPr>
        <w:t xml:space="preserve">of the expulsion order and oral hearing. </w:t>
      </w:r>
      <w:r w:rsidRPr="009405CF">
        <w:rPr>
          <w:rFonts w:ascii="Times New Roman" w:hAnsi="Times New Roman"/>
          <w:sz w:val="20"/>
          <w:szCs w:val="20"/>
          <w:lang w:val="en-GB"/>
        </w:rPr>
        <w:t>On 9 August 2017</w:t>
      </w:r>
      <w:r w:rsidRPr="00AB4894">
        <w:rPr>
          <w:rFonts w:ascii="Times New Roman" w:hAnsi="Times New Roman"/>
          <w:sz w:val="20"/>
          <w:szCs w:val="20"/>
          <w:lang w:val="en-GB"/>
        </w:rPr>
        <w:t>,</w:t>
      </w:r>
      <w:r w:rsidRPr="007D6C3F">
        <w:rPr>
          <w:rFonts w:ascii="Times New Roman" w:hAnsi="Times New Roman"/>
          <w:sz w:val="20"/>
          <w:szCs w:val="20"/>
          <w:lang w:val="en-GB"/>
        </w:rPr>
        <w:t xml:space="preserve"> the court rejected the appeal.</w:t>
      </w:r>
      <w:r w:rsidR="004D50AD" w:rsidRPr="007D6C3F">
        <w:rPr>
          <w:rStyle w:val="FootnoteReference"/>
          <w:szCs w:val="20"/>
          <w:lang w:val="en-GB"/>
        </w:rPr>
        <w:footnoteReference w:id="13"/>
      </w:r>
      <w:r w:rsidRPr="007D6C3F">
        <w:rPr>
          <w:rFonts w:ascii="Times New Roman" w:hAnsi="Times New Roman"/>
          <w:sz w:val="20"/>
          <w:szCs w:val="20"/>
          <w:lang w:val="en-GB"/>
        </w:rPr>
        <w:t xml:space="preserve"> The author again appealed the decision to the Migration Court of Appeal</w:t>
      </w:r>
      <w:r w:rsidR="00BE6938" w:rsidRPr="007D6C3F">
        <w:rPr>
          <w:rFonts w:ascii="Times New Roman" w:hAnsi="Times New Roman"/>
          <w:sz w:val="20"/>
          <w:szCs w:val="20"/>
          <w:lang w:val="en-GB"/>
        </w:rPr>
        <w:t xml:space="preserve"> which </w:t>
      </w:r>
      <w:r w:rsidRPr="007D6C3F">
        <w:rPr>
          <w:rFonts w:ascii="Times New Roman" w:hAnsi="Times New Roman"/>
          <w:sz w:val="20"/>
          <w:szCs w:val="20"/>
          <w:lang w:val="en-GB"/>
        </w:rPr>
        <w:t>rejected leave to appeal on 19 September 2017.</w:t>
      </w:r>
    </w:p>
    <w:p w14:paraId="32C7D7A4" w14:textId="47618A96" w:rsidR="00FA7D19" w:rsidRPr="007D6C3F" w:rsidRDefault="006C3802"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w:t>
      </w:r>
      <w:r w:rsidR="00C66259" w:rsidRPr="007D6C3F">
        <w:rPr>
          <w:rFonts w:ascii="Times New Roman" w:hAnsi="Times New Roman"/>
          <w:sz w:val="20"/>
          <w:szCs w:val="20"/>
          <w:lang w:val="en-GB"/>
        </w:rPr>
        <w:t>12</w:t>
      </w:r>
      <w:r w:rsidRPr="007D6C3F">
        <w:rPr>
          <w:rFonts w:ascii="Times New Roman" w:hAnsi="Times New Roman"/>
          <w:sz w:val="20"/>
          <w:szCs w:val="20"/>
          <w:lang w:val="en-GB"/>
        </w:rPr>
        <w:tab/>
      </w:r>
      <w:r w:rsidR="003029F7" w:rsidRPr="007D6C3F">
        <w:rPr>
          <w:rFonts w:ascii="Times New Roman" w:hAnsi="Times New Roman"/>
          <w:sz w:val="20"/>
          <w:szCs w:val="20"/>
          <w:lang w:val="en-GB"/>
        </w:rPr>
        <w:t xml:space="preserve">On 25 September 2017, the Migration </w:t>
      </w:r>
      <w:r w:rsidR="00C66259" w:rsidRPr="007D6C3F">
        <w:rPr>
          <w:rFonts w:ascii="Times New Roman" w:hAnsi="Times New Roman"/>
          <w:sz w:val="20"/>
          <w:szCs w:val="20"/>
          <w:lang w:val="en-GB"/>
        </w:rPr>
        <w:t>Board</w:t>
      </w:r>
      <w:r w:rsidR="003029F7" w:rsidRPr="007D6C3F">
        <w:rPr>
          <w:rFonts w:ascii="Times New Roman" w:hAnsi="Times New Roman"/>
          <w:sz w:val="20"/>
          <w:szCs w:val="20"/>
          <w:lang w:val="en-GB"/>
        </w:rPr>
        <w:t xml:space="preserve"> decided to hand over the enforcement of the expulsion order to the police authority. On the same day, the police authority detain</w:t>
      </w:r>
      <w:r w:rsidR="00BE62EE" w:rsidRPr="007D6C3F">
        <w:rPr>
          <w:rFonts w:ascii="Times New Roman" w:hAnsi="Times New Roman"/>
          <w:sz w:val="20"/>
          <w:szCs w:val="20"/>
          <w:lang w:val="en-GB"/>
        </w:rPr>
        <w:t>ed</w:t>
      </w:r>
      <w:r w:rsidR="003029F7" w:rsidRPr="007D6C3F">
        <w:rPr>
          <w:rFonts w:ascii="Times New Roman" w:hAnsi="Times New Roman"/>
          <w:sz w:val="20"/>
          <w:szCs w:val="20"/>
          <w:lang w:val="en-GB"/>
        </w:rPr>
        <w:t xml:space="preserve"> the author, since </w:t>
      </w:r>
      <w:r w:rsidR="004C63A1" w:rsidRPr="007D6C3F">
        <w:rPr>
          <w:rFonts w:ascii="Times New Roman" w:hAnsi="Times New Roman"/>
          <w:sz w:val="20"/>
          <w:szCs w:val="20"/>
          <w:lang w:val="en-GB"/>
        </w:rPr>
        <w:t xml:space="preserve">they assumed that </w:t>
      </w:r>
      <w:r w:rsidR="003029F7" w:rsidRPr="007D6C3F">
        <w:rPr>
          <w:rFonts w:ascii="Times New Roman" w:hAnsi="Times New Roman"/>
          <w:sz w:val="20"/>
          <w:szCs w:val="20"/>
          <w:lang w:val="en-GB"/>
        </w:rPr>
        <w:t xml:space="preserve">he otherwise might go into hiding or pursue criminal activities </w:t>
      </w:r>
      <w:r w:rsidR="003029F7" w:rsidRPr="007D6C3F">
        <w:rPr>
          <w:rFonts w:ascii="Times New Roman" w:hAnsi="Times New Roman"/>
          <w:sz w:val="20"/>
          <w:szCs w:val="20"/>
          <w:lang w:val="en-GB"/>
        </w:rPr>
        <w:lastRenderedPageBreak/>
        <w:t>in Sweden.</w:t>
      </w:r>
      <w:r w:rsidR="00BE6938" w:rsidRPr="007D6C3F">
        <w:rPr>
          <w:rStyle w:val="FootnoteReference"/>
          <w:szCs w:val="20"/>
          <w:lang w:val="en-GB"/>
        </w:rPr>
        <w:footnoteReference w:id="14"/>
      </w:r>
      <w:r w:rsidR="003029F7" w:rsidRPr="007D6C3F">
        <w:rPr>
          <w:rFonts w:ascii="Times New Roman" w:hAnsi="Times New Roman"/>
          <w:sz w:val="20"/>
          <w:szCs w:val="20"/>
          <w:lang w:val="en-GB"/>
        </w:rPr>
        <w:t xml:space="preserve"> </w:t>
      </w:r>
      <w:r w:rsidR="00E05F0C" w:rsidRPr="007D6C3F">
        <w:rPr>
          <w:rFonts w:ascii="Times New Roman" w:hAnsi="Times New Roman"/>
          <w:sz w:val="20"/>
          <w:szCs w:val="20"/>
          <w:lang w:val="en-GB"/>
        </w:rPr>
        <w:t xml:space="preserve">On </w:t>
      </w:r>
      <w:r w:rsidR="003029F7" w:rsidRPr="007D6C3F">
        <w:rPr>
          <w:rFonts w:ascii="Times New Roman" w:hAnsi="Times New Roman"/>
          <w:sz w:val="20"/>
          <w:szCs w:val="20"/>
          <w:lang w:val="en-GB"/>
        </w:rPr>
        <w:t xml:space="preserve">2 October 2017, the author was indicted </w:t>
      </w:r>
      <w:r w:rsidR="00D4754E" w:rsidRPr="007D6C3F">
        <w:rPr>
          <w:rFonts w:ascii="Times New Roman" w:hAnsi="Times New Roman"/>
          <w:sz w:val="20"/>
          <w:szCs w:val="20"/>
          <w:lang w:val="en-GB"/>
        </w:rPr>
        <w:t>for</w:t>
      </w:r>
      <w:r w:rsidR="003029F7" w:rsidRPr="007D6C3F">
        <w:rPr>
          <w:rFonts w:ascii="Times New Roman" w:hAnsi="Times New Roman"/>
          <w:sz w:val="20"/>
          <w:szCs w:val="20"/>
          <w:lang w:val="en-GB"/>
        </w:rPr>
        <w:t xml:space="preserve"> a minor drug offense.</w:t>
      </w:r>
      <w:r w:rsidR="004C63A1" w:rsidRPr="007D6C3F">
        <w:rPr>
          <w:rStyle w:val="FootnoteReference"/>
          <w:szCs w:val="20"/>
          <w:lang w:val="en-GB"/>
        </w:rPr>
        <w:footnoteReference w:id="15"/>
      </w:r>
      <w:r w:rsidR="003029F7" w:rsidRPr="007D6C3F">
        <w:rPr>
          <w:rFonts w:ascii="Times New Roman" w:hAnsi="Times New Roman"/>
          <w:sz w:val="20"/>
          <w:szCs w:val="20"/>
          <w:lang w:val="en-GB"/>
        </w:rPr>
        <w:t xml:space="preserve"> Upon request by the police authority, on 6 October 2017, the Migration </w:t>
      </w:r>
      <w:r w:rsidR="00C66259" w:rsidRPr="007D6C3F">
        <w:rPr>
          <w:rFonts w:ascii="Times New Roman" w:hAnsi="Times New Roman"/>
          <w:sz w:val="20"/>
          <w:szCs w:val="20"/>
          <w:lang w:val="en-GB"/>
        </w:rPr>
        <w:t>Board</w:t>
      </w:r>
      <w:r w:rsidR="003029F7" w:rsidRPr="007D6C3F">
        <w:rPr>
          <w:rFonts w:ascii="Times New Roman" w:hAnsi="Times New Roman"/>
          <w:sz w:val="20"/>
          <w:szCs w:val="20"/>
          <w:lang w:val="en-GB"/>
        </w:rPr>
        <w:t xml:space="preserve"> examined the current security situation in Afghanistan and concluded that </w:t>
      </w:r>
      <w:r w:rsidR="008E3C71" w:rsidRPr="007D6C3F">
        <w:rPr>
          <w:rFonts w:ascii="Times New Roman" w:hAnsi="Times New Roman"/>
          <w:sz w:val="20"/>
          <w:szCs w:val="20"/>
          <w:lang w:val="en-GB"/>
        </w:rPr>
        <w:t xml:space="preserve">it </w:t>
      </w:r>
      <w:r w:rsidR="003029F7" w:rsidRPr="007D6C3F">
        <w:rPr>
          <w:rFonts w:ascii="Times New Roman" w:hAnsi="Times New Roman"/>
          <w:sz w:val="20"/>
          <w:szCs w:val="20"/>
          <w:lang w:val="en-GB"/>
        </w:rPr>
        <w:t>could not be deemed an impediment to the enforcement of the expulsion order against the author.</w:t>
      </w:r>
    </w:p>
    <w:p w14:paraId="1D1D4D62" w14:textId="3F04D1C6" w:rsidR="003029F7" w:rsidRPr="007D6C3F" w:rsidRDefault="00AA0C7A"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2.1</w:t>
      </w:r>
      <w:r w:rsidR="00C66259" w:rsidRPr="007D6C3F">
        <w:rPr>
          <w:rFonts w:ascii="Times New Roman" w:hAnsi="Times New Roman"/>
          <w:sz w:val="20"/>
          <w:szCs w:val="20"/>
          <w:lang w:val="en-GB"/>
        </w:rPr>
        <w:t>3</w:t>
      </w:r>
      <w:r w:rsidR="0002661D" w:rsidRPr="007D6C3F">
        <w:rPr>
          <w:rFonts w:ascii="Times New Roman" w:hAnsi="Times New Roman"/>
          <w:sz w:val="20"/>
          <w:szCs w:val="20"/>
          <w:lang w:val="en-GB"/>
        </w:rPr>
        <w:tab/>
      </w:r>
      <w:r w:rsidR="00955AD5" w:rsidRPr="007D6C3F">
        <w:rPr>
          <w:rFonts w:ascii="Times New Roman" w:hAnsi="Times New Roman"/>
          <w:sz w:val="20"/>
          <w:szCs w:val="20"/>
          <w:lang w:val="en-GB"/>
        </w:rPr>
        <w:t>On 22 October 2017, he got baptized while he was in detention.</w:t>
      </w:r>
      <w:r w:rsidR="00955AD5" w:rsidRPr="007D6C3F">
        <w:rPr>
          <w:rFonts w:ascii="Times New Roman" w:hAnsi="Times New Roman"/>
          <w:sz w:val="20"/>
          <w:szCs w:val="20"/>
          <w:vertAlign w:val="superscript"/>
          <w:lang w:val="en-GB"/>
        </w:rPr>
        <w:footnoteReference w:id="16"/>
      </w:r>
      <w:r w:rsidR="00955AD5" w:rsidRPr="007D6C3F">
        <w:rPr>
          <w:rFonts w:ascii="Times New Roman" w:hAnsi="Times New Roman"/>
          <w:sz w:val="20"/>
          <w:szCs w:val="20"/>
          <w:lang w:val="en-GB"/>
        </w:rPr>
        <w:t xml:space="preserve"> </w:t>
      </w:r>
      <w:r w:rsidR="00920316" w:rsidRPr="007D6C3F">
        <w:rPr>
          <w:rFonts w:ascii="Times New Roman" w:hAnsi="Times New Roman"/>
          <w:sz w:val="20"/>
          <w:szCs w:val="20"/>
          <w:lang w:val="en-GB"/>
        </w:rPr>
        <w:t xml:space="preserve">On 25 October 2017, the author again claimed before the Migration </w:t>
      </w:r>
      <w:r w:rsidR="00C66259" w:rsidRPr="007D6C3F">
        <w:rPr>
          <w:rFonts w:ascii="Times New Roman" w:hAnsi="Times New Roman"/>
          <w:sz w:val="20"/>
          <w:szCs w:val="20"/>
          <w:lang w:val="en-GB"/>
        </w:rPr>
        <w:t>Board</w:t>
      </w:r>
      <w:r w:rsidR="00412E1F" w:rsidRPr="007D6C3F">
        <w:rPr>
          <w:rFonts w:ascii="Times New Roman" w:hAnsi="Times New Roman"/>
          <w:sz w:val="20"/>
          <w:szCs w:val="20"/>
          <w:lang w:val="en-GB"/>
        </w:rPr>
        <w:t xml:space="preserve"> </w:t>
      </w:r>
      <w:r w:rsidR="00920316" w:rsidRPr="007D6C3F">
        <w:rPr>
          <w:rFonts w:ascii="Times New Roman" w:hAnsi="Times New Roman"/>
          <w:sz w:val="20"/>
          <w:szCs w:val="20"/>
          <w:lang w:val="en-GB"/>
        </w:rPr>
        <w:t xml:space="preserve">impediments to </w:t>
      </w:r>
      <w:r w:rsidR="00E66E3A" w:rsidRPr="007D6C3F">
        <w:rPr>
          <w:rFonts w:ascii="Times New Roman" w:hAnsi="Times New Roman"/>
          <w:sz w:val="20"/>
          <w:szCs w:val="20"/>
          <w:lang w:val="en-GB"/>
        </w:rPr>
        <w:t xml:space="preserve">the </w:t>
      </w:r>
      <w:r w:rsidR="00920316" w:rsidRPr="007D6C3F">
        <w:rPr>
          <w:rFonts w:ascii="Times New Roman" w:hAnsi="Times New Roman"/>
          <w:sz w:val="20"/>
          <w:szCs w:val="20"/>
          <w:lang w:val="en-GB"/>
        </w:rPr>
        <w:t>enforcement of the expulsion order and requested a re-examination of his case, as he had converted from Islam to Christian</w:t>
      </w:r>
      <w:r w:rsidR="00013C64" w:rsidRPr="007D6C3F">
        <w:rPr>
          <w:rFonts w:ascii="Times New Roman" w:hAnsi="Times New Roman"/>
          <w:sz w:val="20"/>
          <w:szCs w:val="20"/>
          <w:lang w:val="en-GB"/>
        </w:rPr>
        <w:t>ity</w:t>
      </w:r>
      <w:r w:rsidR="00920316" w:rsidRPr="007D6C3F">
        <w:rPr>
          <w:rFonts w:ascii="Times New Roman" w:hAnsi="Times New Roman"/>
          <w:sz w:val="20"/>
          <w:szCs w:val="20"/>
          <w:lang w:val="en-GB"/>
        </w:rPr>
        <w:t>.</w:t>
      </w:r>
      <w:r w:rsidR="00714849" w:rsidRPr="007D6C3F">
        <w:rPr>
          <w:rFonts w:ascii="Times New Roman" w:hAnsi="Times New Roman"/>
          <w:sz w:val="20"/>
          <w:szCs w:val="20"/>
          <w:lang w:val="en-GB"/>
        </w:rPr>
        <w:t xml:space="preserve"> </w:t>
      </w:r>
      <w:r w:rsidR="003029F7" w:rsidRPr="007D6C3F">
        <w:rPr>
          <w:rFonts w:ascii="Times New Roman" w:hAnsi="Times New Roman"/>
          <w:sz w:val="20"/>
          <w:szCs w:val="20"/>
          <w:lang w:val="en-GB"/>
        </w:rPr>
        <w:t xml:space="preserve">On 26 October 2017, </w:t>
      </w:r>
      <w:bookmarkStart w:id="1" w:name="_Hlk52975650"/>
      <w:r w:rsidR="003029F7" w:rsidRPr="007D6C3F">
        <w:rPr>
          <w:rFonts w:ascii="Times New Roman" w:hAnsi="Times New Roman"/>
          <w:sz w:val="20"/>
          <w:szCs w:val="20"/>
          <w:lang w:val="en-GB"/>
        </w:rPr>
        <w:t xml:space="preserve">the Migration </w:t>
      </w:r>
      <w:r w:rsidR="00C66259" w:rsidRPr="007D6C3F">
        <w:rPr>
          <w:rFonts w:ascii="Times New Roman" w:hAnsi="Times New Roman"/>
          <w:sz w:val="20"/>
          <w:szCs w:val="20"/>
          <w:lang w:val="en-GB"/>
        </w:rPr>
        <w:t>Board</w:t>
      </w:r>
      <w:r w:rsidR="003029F7" w:rsidRPr="007D6C3F">
        <w:rPr>
          <w:rFonts w:ascii="Times New Roman" w:hAnsi="Times New Roman"/>
          <w:sz w:val="20"/>
          <w:szCs w:val="20"/>
          <w:lang w:val="en-GB"/>
        </w:rPr>
        <w:t xml:space="preserve"> decided to reject his application</w:t>
      </w:r>
      <w:r w:rsidR="00C42284" w:rsidRPr="007D6C3F">
        <w:rPr>
          <w:rFonts w:ascii="Times New Roman" w:hAnsi="Times New Roman"/>
          <w:sz w:val="20"/>
          <w:szCs w:val="20"/>
          <w:lang w:val="en-GB"/>
        </w:rPr>
        <w:t xml:space="preserve"> due to a lack of ex</w:t>
      </w:r>
      <w:r w:rsidR="00E66E3A" w:rsidRPr="007D6C3F">
        <w:rPr>
          <w:rFonts w:ascii="Times New Roman" w:hAnsi="Times New Roman"/>
          <w:sz w:val="20"/>
          <w:szCs w:val="20"/>
          <w:lang w:val="en-GB"/>
        </w:rPr>
        <w:t>planation</w:t>
      </w:r>
      <w:r w:rsidR="00C42284" w:rsidRPr="007D6C3F">
        <w:rPr>
          <w:rFonts w:ascii="Times New Roman" w:hAnsi="Times New Roman"/>
          <w:sz w:val="20"/>
          <w:szCs w:val="20"/>
          <w:lang w:val="en-GB"/>
        </w:rPr>
        <w:t xml:space="preserve"> for not having raised issues relating to his alleged Christian faith earlier</w:t>
      </w:r>
      <w:r w:rsidR="00BF2A29" w:rsidRPr="007D6C3F">
        <w:rPr>
          <w:rFonts w:ascii="Times New Roman" w:hAnsi="Times New Roman"/>
          <w:sz w:val="20"/>
          <w:szCs w:val="20"/>
          <w:lang w:val="en-GB"/>
        </w:rPr>
        <w:t xml:space="preserve">, even </w:t>
      </w:r>
      <w:r w:rsidR="00E66E3A" w:rsidRPr="007D6C3F">
        <w:rPr>
          <w:rFonts w:ascii="Times New Roman" w:hAnsi="Times New Roman"/>
          <w:sz w:val="20"/>
          <w:szCs w:val="20"/>
          <w:lang w:val="en-GB"/>
        </w:rPr>
        <w:t xml:space="preserve">though </w:t>
      </w:r>
      <w:r w:rsidR="00BF2A29" w:rsidRPr="007D6C3F">
        <w:rPr>
          <w:rFonts w:ascii="Times New Roman" w:hAnsi="Times New Roman"/>
          <w:sz w:val="20"/>
          <w:szCs w:val="20"/>
          <w:lang w:val="en-GB"/>
        </w:rPr>
        <w:t>he had a chance to do so in</w:t>
      </w:r>
      <w:r w:rsidR="00FB5445" w:rsidRPr="007D6C3F">
        <w:rPr>
          <w:rFonts w:ascii="Times New Roman" w:hAnsi="Times New Roman"/>
          <w:sz w:val="20"/>
          <w:szCs w:val="20"/>
          <w:lang w:val="en-GB"/>
        </w:rPr>
        <w:t xml:space="preserve"> </w:t>
      </w:r>
      <w:r w:rsidR="00BF2A29" w:rsidRPr="007D6C3F">
        <w:rPr>
          <w:rFonts w:ascii="Times New Roman" w:hAnsi="Times New Roman"/>
          <w:sz w:val="20"/>
          <w:szCs w:val="20"/>
          <w:lang w:val="en-GB"/>
        </w:rPr>
        <w:t xml:space="preserve">the Migration Court before 9 August 2017, </w:t>
      </w:r>
      <w:r w:rsidR="00C42284" w:rsidRPr="007D6C3F">
        <w:rPr>
          <w:rFonts w:ascii="Times New Roman" w:hAnsi="Times New Roman"/>
          <w:sz w:val="20"/>
          <w:szCs w:val="20"/>
          <w:lang w:val="en-GB"/>
        </w:rPr>
        <w:t xml:space="preserve">and therefore, his claims regarding Christianity </w:t>
      </w:r>
      <w:r w:rsidR="00E66E3A" w:rsidRPr="007D6C3F">
        <w:rPr>
          <w:rFonts w:ascii="Times New Roman" w:hAnsi="Times New Roman"/>
          <w:sz w:val="20"/>
          <w:szCs w:val="20"/>
          <w:lang w:val="en-GB"/>
        </w:rPr>
        <w:t>were</w:t>
      </w:r>
      <w:r w:rsidR="00C42284" w:rsidRPr="007D6C3F">
        <w:rPr>
          <w:rFonts w:ascii="Times New Roman" w:hAnsi="Times New Roman"/>
          <w:sz w:val="20"/>
          <w:szCs w:val="20"/>
          <w:lang w:val="en-GB"/>
        </w:rPr>
        <w:t xml:space="preserve"> not deemed credible</w:t>
      </w:r>
      <w:bookmarkEnd w:id="1"/>
      <w:r w:rsidR="003029F7" w:rsidRPr="007D6C3F">
        <w:rPr>
          <w:rFonts w:ascii="Times New Roman" w:hAnsi="Times New Roman"/>
          <w:sz w:val="20"/>
          <w:szCs w:val="20"/>
          <w:lang w:val="en-GB"/>
        </w:rPr>
        <w:t>.</w:t>
      </w:r>
      <w:r w:rsidR="003029F7" w:rsidRPr="007D6C3F">
        <w:rPr>
          <w:rFonts w:ascii="Times New Roman" w:hAnsi="Times New Roman"/>
          <w:sz w:val="20"/>
          <w:szCs w:val="20"/>
          <w:vertAlign w:val="superscript"/>
          <w:lang w:val="en-GB"/>
        </w:rPr>
        <w:footnoteReference w:id="17"/>
      </w:r>
      <w:r w:rsidR="003029F7" w:rsidRPr="007D6C3F">
        <w:rPr>
          <w:rFonts w:ascii="Times New Roman" w:hAnsi="Times New Roman"/>
          <w:sz w:val="20"/>
          <w:szCs w:val="20"/>
          <w:lang w:val="en-GB"/>
        </w:rPr>
        <w:t xml:space="preserve"> On 17 November 2017, the Migration Court rejected the appeal as </w:t>
      </w:r>
      <w:r w:rsidR="00E66E3A" w:rsidRPr="007D6C3F">
        <w:rPr>
          <w:rFonts w:ascii="Times New Roman" w:hAnsi="Times New Roman"/>
          <w:sz w:val="20"/>
          <w:szCs w:val="20"/>
          <w:lang w:val="en-GB"/>
        </w:rPr>
        <w:t>it</w:t>
      </w:r>
      <w:r w:rsidR="003029F7" w:rsidRPr="007D6C3F">
        <w:rPr>
          <w:rFonts w:ascii="Times New Roman" w:hAnsi="Times New Roman"/>
          <w:sz w:val="20"/>
          <w:szCs w:val="20"/>
          <w:lang w:val="en-GB"/>
        </w:rPr>
        <w:t xml:space="preserve"> </w:t>
      </w:r>
      <w:r w:rsidR="008E3C71" w:rsidRPr="007D6C3F">
        <w:rPr>
          <w:rFonts w:ascii="Times New Roman" w:hAnsi="Times New Roman"/>
          <w:sz w:val="20"/>
          <w:szCs w:val="20"/>
          <w:lang w:val="en-GB"/>
        </w:rPr>
        <w:t xml:space="preserve">also </w:t>
      </w:r>
      <w:r w:rsidR="003029F7" w:rsidRPr="007D6C3F">
        <w:rPr>
          <w:rFonts w:ascii="Times New Roman" w:hAnsi="Times New Roman"/>
          <w:sz w:val="20"/>
          <w:szCs w:val="20"/>
          <w:lang w:val="en-GB"/>
        </w:rPr>
        <w:t xml:space="preserve">did not find the </w:t>
      </w:r>
      <w:r w:rsidR="00D2774E" w:rsidRPr="007D6C3F">
        <w:rPr>
          <w:rFonts w:ascii="Times New Roman" w:hAnsi="Times New Roman"/>
          <w:sz w:val="20"/>
          <w:szCs w:val="20"/>
          <w:lang w:val="en-GB"/>
        </w:rPr>
        <w:t xml:space="preserve">information provided by the </w:t>
      </w:r>
      <w:r w:rsidR="003029F7" w:rsidRPr="007D6C3F">
        <w:rPr>
          <w:rFonts w:ascii="Times New Roman" w:hAnsi="Times New Roman"/>
          <w:sz w:val="20"/>
          <w:szCs w:val="20"/>
          <w:lang w:val="en-GB"/>
        </w:rPr>
        <w:t xml:space="preserve">author </w:t>
      </w:r>
      <w:r w:rsidR="00D2774E" w:rsidRPr="007D6C3F">
        <w:rPr>
          <w:rFonts w:ascii="Times New Roman" w:hAnsi="Times New Roman"/>
          <w:sz w:val="20"/>
          <w:szCs w:val="20"/>
          <w:lang w:val="en-GB"/>
        </w:rPr>
        <w:t xml:space="preserve">about his conversion </w:t>
      </w:r>
      <w:r w:rsidR="003029F7" w:rsidRPr="007D6C3F">
        <w:rPr>
          <w:rFonts w:ascii="Times New Roman" w:hAnsi="Times New Roman"/>
          <w:sz w:val="20"/>
          <w:szCs w:val="20"/>
          <w:lang w:val="en-GB"/>
        </w:rPr>
        <w:t>credible.</w:t>
      </w:r>
      <w:r w:rsidR="003029F7" w:rsidRPr="007D6C3F">
        <w:rPr>
          <w:rFonts w:ascii="Times New Roman" w:hAnsi="Times New Roman"/>
          <w:sz w:val="20"/>
          <w:szCs w:val="20"/>
          <w:vertAlign w:val="superscript"/>
          <w:lang w:val="en-GB"/>
        </w:rPr>
        <w:footnoteReference w:id="18"/>
      </w:r>
      <w:r w:rsidR="003029F7" w:rsidRPr="007D6C3F">
        <w:rPr>
          <w:rFonts w:ascii="Times New Roman" w:hAnsi="Times New Roman"/>
          <w:sz w:val="20"/>
          <w:szCs w:val="20"/>
          <w:lang w:val="en-GB"/>
        </w:rPr>
        <w:t xml:space="preserve"> </w:t>
      </w:r>
      <w:r w:rsidR="008E3C71" w:rsidRPr="007D6C3F">
        <w:rPr>
          <w:rFonts w:ascii="Times New Roman" w:hAnsi="Times New Roman"/>
          <w:sz w:val="20"/>
          <w:szCs w:val="20"/>
          <w:lang w:val="en-GB"/>
        </w:rPr>
        <w:t xml:space="preserve">On 4 December 2017, the </w:t>
      </w:r>
      <w:r w:rsidR="003029F7" w:rsidRPr="007D6C3F">
        <w:rPr>
          <w:rFonts w:ascii="Times New Roman" w:hAnsi="Times New Roman"/>
          <w:sz w:val="20"/>
          <w:szCs w:val="20"/>
          <w:lang w:val="en-GB"/>
        </w:rPr>
        <w:t>Migrati</w:t>
      </w:r>
      <w:r w:rsidR="008E3C71" w:rsidRPr="007D6C3F">
        <w:rPr>
          <w:rFonts w:ascii="Times New Roman" w:hAnsi="Times New Roman"/>
          <w:sz w:val="20"/>
          <w:szCs w:val="20"/>
          <w:lang w:val="en-GB"/>
        </w:rPr>
        <w:t xml:space="preserve">on Court of Appeal </w:t>
      </w:r>
      <w:r w:rsidR="003029F7" w:rsidRPr="007D6C3F">
        <w:rPr>
          <w:rFonts w:ascii="Times New Roman" w:hAnsi="Times New Roman"/>
          <w:sz w:val="20"/>
          <w:szCs w:val="20"/>
          <w:lang w:val="en-GB"/>
        </w:rPr>
        <w:t>denied the request for leave to appeal.</w:t>
      </w:r>
    </w:p>
    <w:p w14:paraId="3E572E27" w14:textId="5E5CCA75" w:rsidR="003F5D7D" w:rsidRPr="007D6C3F" w:rsidRDefault="00111738" w:rsidP="00BD7308">
      <w:pPr>
        <w:pStyle w:val="H23G"/>
      </w:pPr>
      <w:r w:rsidRPr="007D6C3F">
        <w:tab/>
      </w:r>
      <w:r w:rsidRPr="007D6C3F">
        <w:tab/>
        <w:t>The complaint</w:t>
      </w:r>
    </w:p>
    <w:p w14:paraId="678098AE" w14:textId="040E80C0" w:rsidR="00D07636" w:rsidRPr="00C64B3A" w:rsidRDefault="003F5D7D" w:rsidP="00BD7308">
      <w:pPr>
        <w:pStyle w:val="ListParagraph"/>
        <w:spacing w:before="120" w:after="120"/>
        <w:ind w:left="1134" w:right="1089"/>
        <w:contextualSpacing w:val="0"/>
        <w:jc w:val="both"/>
        <w:rPr>
          <w:lang w:val="en-US"/>
        </w:rPr>
      </w:pPr>
      <w:r w:rsidRPr="007D6C3F">
        <w:rPr>
          <w:rFonts w:ascii="Times New Roman" w:hAnsi="Times New Roman"/>
          <w:sz w:val="20"/>
          <w:szCs w:val="20"/>
          <w:lang w:val="en-GB"/>
        </w:rPr>
        <w:t>3.1</w:t>
      </w:r>
      <w:r w:rsidRPr="007D6C3F">
        <w:rPr>
          <w:rFonts w:ascii="Times New Roman" w:hAnsi="Times New Roman"/>
          <w:sz w:val="20"/>
          <w:szCs w:val="20"/>
          <w:lang w:val="en-GB"/>
        </w:rPr>
        <w:tab/>
      </w:r>
      <w:r w:rsidR="004F583E" w:rsidRPr="007D6C3F">
        <w:rPr>
          <w:rFonts w:ascii="Times New Roman" w:hAnsi="Times New Roman"/>
          <w:sz w:val="20"/>
          <w:szCs w:val="20"/>
          <w:lang w:val="en-GB"/>
        </w:rPr>
        <w:t xml:space="preserve">The author submits that </w:t>
      </w:r>
      <w:r w:rsidR="00BE62EE" w:rsidRPr="007D6C3F">
        <w:rPr>
          <w:rFonts w:ascii="Times New Roman" w:hAnsi="Times New Roman"/>
          <w:sz w:val="20"/>
          <w:szCs w:val="20"/>
          <w:lang w:val="en-GB"/>
        </w:rPr>
        <w:t>his deportation to</w:t>
      </w:r>
      <w:r w:rsidR="004F583E" w:rsidRPr="007D6C3F">
        <w:rPr>
          <w:rFonts w:ascii="Times New Roman" w:hAnsi="Times New Roman"/>
          <w:sz w:val="20"/>
          <w:szCs w:val="20"/>
          <w:lang w:val="en-GB"/>
        </w:rPr>
        <w:t xml:space="preserve"> Afghanistan</w:t>
      </w:r>
      <w:r w:rsidR="00BE62EE" w:rsidRPr="007D6C3F">
        <w:rPr>
          <w:rFonts w:ascii="Times New Roman" w:hAnsi="Times New Roman"/>
          <w:sz w:val="20"/>
          <w:szCs w:val="20"/>
          <w:lang w:val="en-GB"/>
        </w:rPr>
        <w:t xml:space="preserve"> would constitute </w:t>
      </w:r>
      <w:r w:rsidR="00E66E3A" w:rsidRPr="007D6C3F">
        <w:rPr>
          <w:rFonts w:ascii="Times New Roman" w:hAnsi="Times New Roman"/>
          <w:sz w:val="20"/>
          <w:szCs w:val="20"/>
          <w:lang w:val="en-GB"/>
        </w:rPr>
        <w:t>a</w:t>
      </w:r>
      <w:r w:rsidR="00BE62EE" w:rsidRPr="007D6C3F">
        <w:rPr>
          <w:rFonts w:ascii="Times New Roman" w:hAnsi="Times New Roman"/>
          <w:sz w:val="20"/>
          <w:szCs w:val="20"/>
          <w:lang w:val="en-GB"/>
        </w:rPr>
        <w:t xml:space="preserve"> violation of</w:t>
      </w:r>
      <w:r w:rsidR="004F583E" w:rsidRPr="007D6C3F">
        <w:rPr>
          <w:rFonts w:ascii="Times New Roman" w:hAnsi="Times New Roman"/>
          <w:sz w:val="20"/>
          <w:szCs w:val="20"/>
          <w:lang w:val="en-GB"/>
        </w:rPr>
        <w:t xml:space="preserve"> his rights under article</w:t>
      </w:r>
      <w:r w:rsidR="00C4233B" w:rsidRPr="007D6C3F">
        <w:rPr>
          <w:rFonts w:ascii="Times New Roman" w:hAnsi="Times New Roman"/>
          <w:sz w:val="20"/>
          <w:szCs w:val="20"/>
          <w:lang w:val="en-GB"/>
        </w:rPr>
        <w:t>s</w:t>
      </w:r>
      <w:r w:rsidR="004F583E" w:rsidRPr="007D6C3F">
        <w:rPr>
          <w:rFonts w:ascii="Times New Roman" w:hAnsi="Times New Roman"/>
          <w:sz w:val="20"/>
          <w:szCs w:val="20"/>
          <w:lang w:val="en-GB"/>
        </w:rPr>
        <w:t xml:space="preserve"> </w:t>
      </w:r>
      <w:r w:rsidR="00C4233B" w:rsidRPr="007D6C3F">
        <w:rPr>
          <w:rFonts w:ascii="Times New Roman" w:hAnsi="Times New Roman"/>
          <w:sz w:val="20"/>
          <w:szCs w:val="20"/>
          <w:lang w:val="en-GB"/>
        </w:rPr>
        <w:t xml:space="preserve">6 and </w:t>
      </w:r>
      <w:r w:rsidR="004F583E" w:rsidRPr="007D6C3F">
        <w:rPr>
          <w:rFonts w:ascii="Times New Roman" w:hAnsi="Times New Roman"/>
          <w:sz w:val="20"/>
          <w:szCs w:val="20"/>
          <w:lang w:val="en-GB"/>
        </w:rPr>
        <w:t>7 of the Covenant</w:t>
      </w:r>
      <w:r w:rsidR="00BE62EE" w:rsidRPr="007D6C3F">
        <w:rPr>
          <w:rFonts w:ascii="Times New Roman" w:hAnsi="Times New Roman"/>
          <w:sz w:val="20"/>
          <w:szCs w:val="20"/>
          <w:lang w:val="en-GB"/>
        </w:rPr>
        <w:t xml:space="preserve">. He </w:t>
      </w:r>
      <w:r w:rsidR="00CF2D36" w:rsidRPr="007D6C3F">
        <w:rPr>
          <w:rFonts w:ascii="Times New Roman" w:hAnsi="Times New Roman"/>
          <w:sz w:val="20"/>
          <w:szCs w:val="20"/>
          <w:lang w:val="en-GB"/>
        </w:rPr>
        <w:t xml:space="preserve">claims he </w:t>
      </w:r>
      <w:r w:rsidR="00BE62EE" w:rsidRPr="007D6C3F">
        <w:rPr>
          <w:rFonts w:ascii="Times New Roman" w:hAnsi="Times New Roman"/>
          <w:sz w:val="20"/>
          <w:szCs w:val="20"/>
          <w:lang w:val="en-GB"/>
        </w:rPr>
        <w:t xml:space="preserve">will </w:t>
      </w:r>
      <w:r w:rsidR="00D2774E" w:rsidRPr="007D6C3F">
        <w:rPr>
          <w:rFonts w:ascii="Times New Roman" w:hAnsi="Times New Roman"/>
          <w:sz w:val="20"/>
          <w:szCs w:val="20"/>
          <w:lang w:val="en-GB"/>
        </w:rPr>
        <w:t>be persecuted by</w:t>
      </w:r>
      <w:r w:rsidR="00BE62EE" w:rsidRPr="007D6C3F">
        <w:rPr>
          <w:rFonts w:ascii="Times New Roman" w:hAnsi="Times New Roman"/>
          <w:sz w:val="20"/>
          <w:szCs w:val="20"/>
          <w:lang w:val="en-GB"/>
        </w:rPr>
        <w:t xml:space="preserve"> his father, the Afghan authorities, and the general population </w:t>
      </w:r>
      <w:r w:rsidR="004F583E" w:rsidRPr="007D6C3F">
        <w:rPr>
          <w:rFonts w:ascii="Times New Roman" w:hAnsi="Times New Roman"/>
          <w:sz w:val="20"/>
          <w:szCs w:val="20"/>
          <w:lang w:val="en-GB"/>
        </w:rPr>
        <w:t xml:space="preserve">due to his </w:t>
      </w:r>
      <w:proofErr w:type="spellStart"/>
      <w:r w:rsidR="00D2774E" w:rsidRPr="007D6C3F">
        <w:rPr>
          <w:rFonts w:ascii="Times New Roman" w:hAnsi="Times New Roman"/>
          <w:sz w:val="20"/>
          <w:szCs w:val="20"/>
          <w:lang w:val="en-GB"/>
        </w:rPr>
        <w:t>renegation</w:t>
      </w:r>
      <w:proofErr w:type="spellEnd"/>
      <w:r w:rsidR="00D2774E" w:rsidRPr="007D6C3F">
        <w:rPr>
          <w:rFonts w:ascii="Times New Roman" w:hAnsi="Times New Roman"/>
          <w:sz w:val="20"/>
          <w:szCs w:val="20"/>
          <w:lang w:val="en-GB"/>
        </w:rPr>
        <w:t xml:space="preserve"> of</w:t>
      </w:r>
      <w:r w:rsidR="004F583E" w:rsidRPr="007D6C3F">
        <w:rPr>
          <w:rFonts w:ascii="Times New Roman" w:hAnsi="Times New Roman"/>
          <w:sz w:val="20"/>
          <w:szCs w:val="20"/>
          <w:lang w:val="en-GB"/>
        </w:rPr>
        <w:t xml:space="preserve"> Islam and conversion to Christianity, </w:t>
      </w:r>
      <w:r w:rsidR="00BE62EE" w:rsidRPr="007D6C3F">
        <w:rPr>
          <w:rFonts w:ascii="Times New Roman" w:hAnsi="Times New Roman"/>
          <w:sz w:val="20"/>
          <w:szCs w:val="20"/>
          <w:lang w:val="en-GB"/>
        </w:rPr>
        <w:t xml:space="preserve">which is punishable </w:t>
      </w:r>
      <w:r w:rsidR="00910026" w:rsidRPr="007D6C3F">
        <w:rPr>
          <w:rFonts w:ascii="Times New Roman" w:hAnsi="Times New Roman"/>
          <w:sz w:val="20"/>
          <w:szCs w:val="20"/>
          <w:lang w:val="en-GB"/>
        </w:rPr>
        <w:t>by</w:t>
      </w:r>
      <w:r w:rsidR="00BE62EE" w:rsidRPr="007D6C3F">
        <w:rPr>
          <w:rFonts w:ascii="Times New Roman" w:hAnsi="Times New Roman"/>
          <w:sz w:val="20"/>
          <w:szCs w:val="20"/>
          <w:lang w:val="en-GB"/>
        </w:rPr>
        <w:t xml:space="preserve"> death in Afg</w:t>
      </w:r>
      <w:r w:rsidR="00446A01" w:rsidRPr="007D6C3F">
        <w:rPr>
          <w:rFonts w:ascii="Times New Roman" w:hAnsi="Times New Roman"/>
          <w:sz w:val="20"/>
          <w:szCs w:val="20"/>
          <w:lang w:val="en-GB"/>
        </w:rPr>
        <w:t>h</w:t>
      </w:r>
      <w:r w:rsidR="00BE62EE" w:rsidRPr="007D6C3F">
        <w:rPr>
          <w:rFonts w:ascii="Times New Roman" w:hAnsi="Times New Roman"/>
          <w:sz w:val="20"/>
          <w:szCs w:val="20"/>
          <w:lang w:val="en-GB"/>
        </w:rPr>
        <w:t>an law</w:t>
      </w:r>
      <w:r w:rsidR="004F583E" w:rsidRPr="007D6C3F">
        <w:rPr>
          <w:rFonts w:ascii="Times New Roman" w:hAnsi="Times New Roman"/>
          <w:sz w:val="20"/>
          <w:szCs w:val="20"/>
          <w:lang w:val="en-GB"/>
        </w:rPr>
        <w:t>.</w:t>
      </w:r>
      <w:r w:rsidR="004F583E" w:rsidRPr="007D6C3F">
        <w:rPr>
          <w:rStyle w:val="FootnoteReference"/>
          <w:rFonts w:ascii="Times" w:hAnsi="Times"/>
        </w:rPr>
        <w:footnoteReference w:id="19"/>
      </w:r>
      <w:r w:rsidR="004F583E" w:rsidRPr="007D6C3F">
        <w:rPr>
          <w:rFonts w:ascii="Times New Roman" w:hAnsi="Times New Roman"/>
          <w:sz w:val="20"/>
          <w:szCs w:val="20"/>
          <w:lang w:val="en-GB"/>
        </w:rPr>
        <w:t xml:space="preserve"> The author </w:t>
      </w:r>
      <w:r w:rsidR="00D2774E" w:rsidRPr="007D6C3F">
        <w:rPr>
          <w:rFonts w:ascii="Times New Roman" w:hAnsi="Times New Roman"/>
          <w:sz w:val="20"/>
          <w:szCs w:val="20"/>
          <w:lang w:val="en-GB"/>
        </w:rPr>
        <w:t xml:space="preserve">contends that according to the Afghan vengeful culture, the fact that he reported his </w:t>
      </w:r>
      <w:r w:rsidR="004F583E" w:rsidRPr="007D6C3F">
        <w:rPr>
          <w:rFonts w:ascii="Times New Roman" w:hAnsi="Times New Roman"/>
          <w:sz w:val="20"/>
          <w:szCs w:val="20"/>
          <w:lang w:val="en-GB"/>
        </w:rPr>
        <w:t>father to the police</w:t>
      </w:r>
      <w:r w:rsidR="00D2774E" w:rsidRPr="007D6C3F">
        <w:rPr>
          <w:rFonts w:ascii="Times New Roman" w:hAnsi="Times New Roman"/>
          <w:sz w:val="20"/>
          <w:szCs w:val="20"/>
          <w:lang w:val="en-GB"/>
        </w:rPr>
        <w:t xml:space="preserve"> damaged his father’s honour</w:t>
      </w:r>
      <w:r w:rsidR="00CF2D36" w:rsidRPr="007D6C3F">
        <w:rPr>
          <w:rFonts w:ascii="Times New Roman" w:hAnsi="Times New Roman"/>
          <w:sz w:val="20"/>
          <w:szCs w:val="20"/>
          <w:lang w:val="en-GB"/>
        </w:rPr>
        <w:t>,</w:t>
      </w:r>
      <w:r w:rsidR="00D2774E" w:rsidRPr="007D6C3F">
        <w:rPr>
          <w:rFonts w:ascii="Times New Roman" w:hAnsi="Times New Roman"/>
          <w:sz w:val="20"/>
          <w:szCs w:val="20"/>
          <w:lang w:val="en-GB"/>
        </w:rPr>
        <w:t xml:space="preserve"> which can only</w:t>
      </w:r>
      <w:r w:rsidR="00941D12" w:rsidRPr="007D6C3F">
        <w:rPr>
          <w:rFonts w:ascii="Times New Roman" w:hAnsi="Times New Roman"/>
          <w:sz w:val="20"/>
          <w:szCs w:val="20"/>
          <w:lang w:val="en-GB"/>
        </w:rPr>
        <w:t xml:space="preserve"> </w:t>
      </w:r>
      <w:r w:rsidR="00945C12" w:rsidRPr="007D6C3F">
        <w:rPr>
          <w:rFonts w:ascii="Times New Roman" w:hAnsi="Times New Roman"/>
          <w:sz w:val="20"/>
          <w:szCs w:val="20"/>
          <w:lang w:val="en-GB"/>
        </w:rPr>
        <w:t>be</w:t>
      </w:r>
      <w:r w:rsidR="00D2774E" w:rsidRPr="007D6C3F">
        <w:rPr>
          <w:rFonts w:ascii="Times New Roman" w:hAnsi="Times New Roman"/>
          <w:sz w:val="20"/>
          <w:szCs w:val="20"/>
          <w:lang w:val="en-GB"/>
        </w:rPr>
        <w:t xml:space="preserve"> restored through </w:t>
      </w:r>
      <w:r w:rsidR="00941D12" w:rsidRPr="007D6C3F">
        <w:rPr>
          <w:rFonts w:ascii="Times New Roman" w:hAnsi="Times New Roman"/>
          <w:sz w:val="20"/>
          <w:szCs w:val="20"/>
          <w:lang w:val="en-GB"/>
        </w:rPr>
        <w:t>the author’s</w:t>
      </w:r>
      <w:r w:rsidR="00D2774E" w:rsidRPr="007D6C3F">
        <w:rPr>
          <w:rFonts w:ascii="Times New Roman" w:hAnsi="Times New Roman"/>
          <w:sz w:val="20"/>
          <w:szCs w:val="20"/>
          <w:lang w:val="en-GB"/>
        </w:rPr>
        <w:t xml:space="preserve"> death. His father must therefore kill him to restore his lost honour.</w:t>
      </w:r>
      <w:r w:rsidR="004F583E" w:rsidRPr="007D6C3F">
        <w:rPr>
          <w:rStyle w:val="FootnoteReference"/>
          <w:rFonts w:ascii="Times" w:hAnsi="Times"/>
        </w:rPr>
        <w:footnoteReference w:id="20"/>
      </w:r>
    </w:p>
    <w:p w14:paraId="78C1A453" w14:textId="3B6DFA93" w:rsidR="009C5C36" w:rsidRPr="007D6C3F" w:rsidRDefault="00D07636"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3.</w:t>
      </w:r>
      <w:r w:rsidR="00AD4BED" w:rsidRPr="007D6C3F">
        <w:rPr>
          <w:rFonts w:ascii="Times New Roman" w:hAnsi="Times New Roman"/>
          <w:sz w:val="20"/>
          <w:szCs w:val="20"/>
          <w:lang w:val="en-GB"/>
        </w:rPr>
        <w:t>2</w:t>
      </w:r>
      <w:r w:rsidRPr="007D6C3F">
        <w:rPr>
          <w:rFonts w:ascii="Times New Roman" w:hAnsi="Times New Roman"/>
          <w:sz w:val="20"/>
          <w:szCs w:val="20"/>
          <w:lang w:val="en-GB"/>
        </w:rPr>
        <w:tab/>
      </w:r>
      <w:r w:rsidR="000A2641" w:rsidRPr="007D6C3F">
        <w:rPr>
          <w:rFonts w:ascii="Times New Roman" w:hAnsi="Times New Roman"/>
          <w:sz w:val="20"/>
          <w:szCs w:val="20"/>
          <w:lang w:val="en-GB"/>
        </w:rPr>
        <w:t>The</w:t>
      </w:r>
      <w:r w:rsidRPr="007D6C3F">
        <w:rPr>
          <w:rFonts w:ascii="Times New Roman" w:hAnsi="Times New Roman"/>
          <w:sz w:val="20"/>
          <w:szCs w:val="20"/>
          <w:lang w:val="en-GB"/>
        </w:rPr>
        <w:t xml:space="preserve"> author notes that there ha</w:t>
      </w:r>
      <w:r w:rsidR="00920316" w:rsidRPr="007D6C3F">
        <w:rPr>
          <w:rFonts w:ascii="Times New Roman" w:hAnsi="Times New Roman"/>
          <w:sz w:val="20"/>
          <w:szCs w:val="20"/>
          <w:lang w:val="en-GB"/>
        </w:rPr>
        <w:t>s</w:t>
      </w:r>
      <w:r w:rsidRPr="007D6C3F">
        <w:rPr>
          <w:rFonts w:ascii="Times New Roman" w:hAnsi="Times New Roman"/>
          <w:sz w:val="20"/>
          <w:szCs w:val="20"/>
          <w:lang w:val="en-GB"/>
        </w:rPr>
        <w:t xml:space="preserve"> been no </w:t>
      </w:r>
      <w:r w:rsidR="00BE62EE" w:rsidRPr="007D6C3F">
        <w:rPr>
          <w:rFonts w:ascii="Times New Roman" w:hAnsi="Times New Roman"/>
          <w:sz w:val="20"/>
          <w:szCs w:val="20"/>
          <w:lang w:val="en-GB"/>
        </w:rPr>
        <w:t>adequate examination</w:t>
      </w:r>
      <w:r w:rsidRPr="007D6C3F">
        <w:rPr>
          <w:rFonts w:ascii="Times New Roman" w:hAnsi="Times New Roman"/>
          <w:sz w:val="20"/>
          <w:szCs w:val="20"/>
          <w:lang w:val="en-GB"/>
        </w:rPr>
        <w:t xml:space="preserve"> </w:t>
      </w:r>
      <w:r w:rsidR="00C4233B" w:rsidRPr="007D6C3F">
        <w:rPr>
          <w:rFonts w:ascii="Times New Roman" w:hAnsi="Times New Roman"/>
          <w:sz w:val="20"/>
          <w:szCs w:val="20"/>
          <w:lang w:val="en-GB"/>
        </w:rPr>
        <w:t>of his conversion</w:t>
      </w:r>
      <w:r w:rsidRPr="007D6C3F">
        <w:rPr>
          <w:rFonts w:ascii="Times New Roman" w:hAnsi="Times New Roman"/>
          <w:sz w:val="20"/>
          <w:szCs w:val="20"/>
          <w:lang w:val="en-GB"/>
        </w:rPr>
        <w:t xml:space="preserve"> by the Migration Board and thus, there has been no opportunity </w:t>
      </w:r>
      <w:r w:rsidR="00C4233B" w:rsidRPr="007D6C3F">
        <w:rPr>
          <w:rFonts w:ascii="Times New Roman" w:hAnsi="Times New Roman"/>
          <w:sz w:val="20"/>
          <w:szCs w:val="20"/>
          <w:lang w:val="en-GB"/>
        </w:rPr>
        <w:t xml:space="preserve">for him to </w:t>
      </w:r>
      <w:r w:rsidRPr="007D6C3F">
        <w:rPr>
          <w:rFonts w:ascii="Times New Roman" w:hAnsi="Times New Roman"/>
          <w:sz w:val="20"/>
          <w:szCs w:val="20"/>
          <w:lang w:val="en-GB"/>
        </w:rPr>
        <w:t xml:space="preserve">demonstrate </w:t>
      </w:r>
      <w:r w:rsidR="00C4233B" w:rsidRPr="007D6C3F">
        <w:rPr>
          <w:rFonts w:ascii="Times New Roman" w:hAnsi="Times New Roman"/>
          <w:sz w:val="20"/>
          <w:szCs w:val="20"/>
          <w:lang w:val="en-GB"/>
        </w:rPr>
        <w:t>the genuin</w:t>
      </w:r>
      <w:r w:rsidR="00CF2D36" w:rsidRPr="007D6C3F">
        <w:rPr>
          <w:rFonts w:ascii="Times New Roman" w:hAnsi="Times New Roman"/>
          <w:sz w:val="20"/>
          <w:szCs w:val="20"/>
          <w:lang w:val="en-GB"/>
        </w:rPr>
        <w:t>e</w:t>
      </w:r>
      <w:r w:rsidR="00781E06" w:rsidRPr="007D6C3F">
        <w:rPr>
          <w:rFonts w:ascii="Times New Roman" w:hAnsi="Times New Roman"/>
          <w:sz w:val="20"/>
          <w:szCs w:val="20"/>
          <w:lang w:val="en-GB"/>
        </w:rPr>
        <w:t>ne</w:t>
      </w:r>
      <w:r w:rsidR="00CF2D36" w:rsidRPr="007D6C3F">
        <w:rPr>
          <w:rFonts w:ascii="Times New Roman" w:hAnsi="Times New Roman"/>
          <w:sz w:val="20"/>
          <w:szCs w:val="20"/>
          <w:lang w:val="en-GB"/>
        </w:rPr>
        <w:t>ss</w:t>
      </w:r>
      <w:r w:rsidR="00C4233B" w:rsidRPr="007D6C3F">
        <w:rPr>
          <w:rFonts w:ascii="Times New Roman" w:hAnsi="Times New Roman"/>
          <w:sz w:val="20"/>
          <w:szCs w:val="20"/>
          <w:lang w:val="en-GB"/>
        </w:rPr>
        <w:t xml:space="preserve"> of his change of faith</w:t>
      </w:r>
      <w:r w:rsidR="00941D12" w:rsidRPr="007D6C3F">
        <w:rPr>
          <w:rFonts w:ascii="Times New Roman" w:hAnsi="Times New Roman"/>
          <w:sz w:val="20"/>
          <w:szCs w:val="20"/>
          <w:lang w:val="en-GB"/>
        </w:rPr>
        <w:t xml:space="preserve"> </w:t>
      </w:r>
      <w:r w:rsidR="00C4233B" w:rsidRPr="007D6C3F">
        <w:rPr>
          <w:rFonts w:ascii="Times New Roman" w:hAnsi="Times New Roman"/>
          <w:sz w:val="20"/>
          <w:szCs w:val="20"/>
          <w:lang w:val="en-GB"/>
        </w:rPr>
        <w:t>to the</w:t>
      </w:r>
      <w:r w:rsidRPr="007D6C3F">
        <w:rPr>
          <w:rFonts w:ascii="Times New Roman" w:hAnsi="Times New Roman"/>
          <w:sz w:val="20"/>
          <w:szCs w:val="20"/>
          <w:lang w:val="en-GB"/>
        </w:rPr>
        <w:t xml:space="preserve"> deciding authorities. He claims a failure </w:t>
      </w:r>
      <w:r w:rsidR="00C4233B" w:rsidRPr="007D6C3F">
        <w:rPr>
          <w:rFonts w:ascii="Times New Roman" w:hAnsi="Times New Roman"/>
          <w:sz w:val="20"/>
          <w:szCs w:val="20"/>
          <w:lang w:val="en-GB"/>
        </w:rPr>
        <w:t xml:space="preserve">of the principle </w:t>
      </w:r>
      <w:proofErr w:type="gramStart"/>
      <w:r w:rsidR="00C4233B" w:rsidRPr="007D6C3F">
        <w:rPr>
          <w:rFonts w:ascii="Times New Roman" w:hAnsi="Times New Roman"/>
          <w:sz w:val="20"/>
          <w:szCs w:val="20"/>
          <w:lang w:val="en-GB"/>
        </w:rPr>
        <w:t xml:space="preserve">of </w:t>
      </w:r>
      <w:r w:rsidRPr="007D6C3F">
        <w:rPr>
          <w:rFonts w:ascii="Times New Roman" w:hAnsi="Times New Roman"/>
          <w:sz w:val="20"/>
          <w:szCs w:val="20"/>
          <w:lang w:val="en-GB"/>
        </w:rPr>
        <w:t xml:space="preserve"> due</w:t>
      </w:r>
      <w:proofErr w:type="gramEnd"/>
      <w:r w:rsidRPr="007D6C3F">
        <w:rPr>
          <w:rFonts w:ascii="Times New Roman" w:hAnsi="Times New Roman"/>
          <w:sz w:val="20"/>
          <w:szCs w:val="20"/>
          <w:lang w:val="en-GB"/>
        </w:rPr>
        <w:t xml:space="preserve"> diligence on the part of the State party and </w:t>
      </w:r>
      <w:r w:rsidR="00C4233B" w:rsidRPr="007D6C3F">
        <w:rPr>
          <w:rFonts w:ascii="Times New Roman" w:hAnsi="Times New Roman"/>
          <w:sz w:val="20"/>
          <w:szCs w:val="20"/>
          <w:lang w:val="en-GB"/>
        </w:rPr>
        <w:t xml:space="preserve">that </w:t>
      </w:r>
      <w:r w:rsidRPr="007D6C3F">
        <w:rPr>
          <w:rFonts w:ascii="Times New Roman" w:hAnsi="Times New Roman"/>
          <w:sz w:val="20"/>
          <w:szCs w:val="20"/>
          <w:lang w:val="en-GB"/>
        </w:rPr>
        <w:t>a</w:t>
      </w:r>
      <w:r w:rsidR="00BE62EE" w:rsidRPr="007D6C3F">
        <w:rPr>
          <w:rFonts w:ascii="Times New Roman" w:hAnsi="Times New Roman"/>
          <w:sz w:val="20"/>
          <w:szCs w:val="20"/>
          <w:lang w:val="en-GB"/>
        </w:rPr>
        <w:t>n</w:t>
      </w:r>
      <w:r w:rsidRPr="007D6C3F">
        <w:rPr>
          <w:rFonts w:ascii="Times New Roman" w:hAnsi="Times New Roman"/>
          <w:sz w:val="20"/>
          <w:szCs w:val="20"/>
          <w:lang w:val="en-GB"/>
        </w:rPr>
        <w:t xml:space="preserve"> </w:t>
      </w:r>
      <w:r w:rsidR="00BE62EE" w:rsidRPr="007D6C3F">
        <w:rPr>
          <w:rFonts w:ascii="Times New Roman" w:hAnsi="Times New Roman"/>
          <w:sz w:val="20"/>
          <w:szCs w:val="20"/>
          <w:lang w:val="en-GB"/>
        </w:rPr>
        <w:t xml:space="preserve">oral </w:t>
      </w:r>
      <w:r w:rsidRPr="007D6C3F">
        <w:rPr>
          <w:rFonts w:ascii="Times New Roman" w:hAnsi="Times New Roman"/>
          <w:sz w:val="20"/>
          <w:szCs w:val="20"/>
          <w:lang w:val="en-GB"/>
        </w:rPr>
        <w:t xml:space="preserve">hearing for asylum claims on the basis of religion must be </w:t>
      </w:r>
      <w:r w:rsidR="002A0E34" w:rsidRPr="007D6C3F">
        <w:rPr>
          <w:rFonts w:ascii="Times New Roman" w:hAnsi="Times New Roman"/>
          <w:sz w:val="20"/>
          <w:szCs w:val="20"/>
          <w:lang w:val="en-GB"/>
        </w:rPr>
        <w:t>held</w:t>
      </w:r>
      <w:r w:rsidRPr="007D6C3F">
        <w:rPr>
          <w:rFonts w:ascii="Times New Roman" w:hAnsi="Times New Roman"/>
          <w:sz w:val="20"/>
          <w:szCs w:val="20"/>
          <w:lang w:val="en-GB"/>
        </w:rPr>
        <w:t xml:space="preserve"> to discharge the State party’s positive obligations under international law. </w:t>
      </w:r>
      <w:r w:rsidR="00BE62EE" w:rsidRPr="007D6C3F">
        <w:rPr>
          <w:rFonts w:ascii="Times New Roman" w:hAnsi="Times New Roman"/>
          <w:sz w:val="20"/>
          <w:szCs w:val="20"/>
          <w:lang w:val="en-GB"/>
        </w:rPr>
        <w:t xml:space="preserve">He also notes that the assessment of the Migration </w:t>
      </w:r>
      <w:r w:rsidR="00C66259" w:rsidRPr="007D6C3F">
        <w:rPr>
          <w:rFonts w:ascii="Times New Roman" w:hAnsi="Times New Roman"/>
          <w:sz w:val="20"/>
          <w:szCs w:val="20"/>
          <w:lang w:val="en-GB"/>
        </w:rPr>
        <w:t>Board</w:t>
      </w:r>
      <w:r w:rsidR="00BE62EE" w:rsidRPr="007D6C3F">
        <w:rPr>
          <w:rFonts w:ascii="Times New Roman" w:hAnsi="Times New Roman"/>
          <w:sz w:val="20"/>
          <w:szCs w:val="20"/>
          <w:lang w:val="en-GB"/>
        </w:rPr>
        <w:t xml:space="preserve"> </w:t>
      </w:r>
      <w:r w:rsidR="00C4233B" w:rsidRPr="007D6C3F">
        <w:rPr>
          <w:rFonts w:ascii="Times New Roman" w:hAnsi="Times New Roman"/>
          <w:sz w:val="20"/>
          <w:szCs w:val="20"/>
          <w:lang w:val="en-GB"/>
        </w:rPr>
        <w:t xml:space="preserve">about the delay in invoking </w:t>
      </w:r>
      <w:r w:rsidR="00BE62EE" w:rsidRPr="007D6C3F">
        <w:rPr>
          <w:rFonts w:ascii="Times New Roman" w:hAnsi="Times New Roman"/>
          <w:sz w:val="20"/>
          <w:szCs w:val="20"/>
          <w:lang w:val="en-GB"/>
        </w:rPr>
        <w:t xml:space="preserve">his </w:t>
      </w:r>
      <w:r w:rsidR="00C4233B" w:rsidRPr="007D6C3F">
        <w:rPr>
          <w:rFonts w:ascii="Times New Roman" w:hAnsi="Times New Roman"/>
          <w:sz w:val="20"/>
          <w:szCs w:val="20"/>
          <w:lang w:val="en-GB"/>
        </w:rPr>
        <w:t xml:space="preserve">conversion to the </w:t>
      </w:r>
      <w:r w:rsidR="00BE62EE" w:rsidRPr="007D6C3F">
        <w:rPr>
          <w:rFonts w:ascii="Times New Roman" w:hAnsi="Times New Roman"/>
          <w:sz w:val="20"/>
          <w:szCs w:val="20"/>
          <w:lang w:val="en-GB"/>
        </w:rPr>
        <w:t xml:space="preserve">Christian faith </w:t>
      </w:r>
      <w:r w:rsidR="00C4233B" w:rsidRPr="007D6C3F">
        <w:rPr>
          <w:rFonts w:ascii="Times New Roman" w:hAnsi="Times New Roman"/>
          <w:sz w:val="20"/>
          <w:szCs w:val="20"/>
          <w:lang w:val="en-GB"/>
        </w:rPr>
        <w:t>in the</w:t>
      </w:r>
      <w:r w:rsidR="00920316" w:rsidRPr="007D6C3F">
        <w:rPr>
          <w:rFonts w:ascii="Times New Roman" w:hAnsi="Times New Roman"/>
          <w:sz w:val="20"/>
          <w:szCs w:val="20"/>
          <w:lang w:val="en-GB"/>
        </w:rPr>
        <w:t xml:space="preserve"> asylum process</w:t>
      </w:r>
      <w:r w:rsidR="00BE62EE" w:rsidRPr="007D6C3F">
        <w:rPr>
          <w:rFonts w:ascii="Times New Roman" w:hAnsi="Times New Roman"/>
          <w:sz w:val="20"/>
          <w:szCs w:val="20"/>
          <w:lang w:val="en-GB"/>
        </w:rPr>
        <w:t xml:space="preserve"> </w:t>
      </w:r>
      <w:r w:rsidR="00C4233B" w:rsidRPr="007D6C3F">
        <w:rPr>
          <w:rFonts w:ascii="Times New Roman" w:hAnsi="Times New Roman"/>
          <w:sz w:val="20"/>
          <w:szCs w:val="20"/>
          <w:lang w:val="en-GB"/>
        </w:rPr>
        <w:t xml:space="preserve">displays a lack of </w:t>
      </w:r>
      <w:r w:rsidR="00BE62EE" w:rsidRPr="007D6C3F">
        <w:rPr>
          <w:rFonts w:ascii="Times New Roman" w:hAnsi="Times New Roman"/>
          <w:sz w:val="20"/>
          <w:szCs w:val="20"/>
          <w:lang w:val="en-GB"/>
        </w:rPr>
        <w:t xml:space="preserve">understanding of the psychological and emotional </w:t>
      </w:r>
      <w:r w:rsidR="00726E85" w:rsidRPr="007D6C3F">
        <w:rPr>
          <w:rFonts w:ascii="Times New Roman" w:hAnsi="Times New Roman"/>
          <w:sz w:val="20"/>
          <w:szCs w:val="20"/>
          <w:lang w:val="en-GB"/>
        </w:rPr>
        <w:t>background</w:t>
      </w:r>
      <w:r w:rsidR="00BE62EE" w:rsidRPr="007D6C3F">
        <w:rPr>
          <w:rFonts w:ascii="Times New Roman" w:hAnsi="Times New Roman"/>
          <w:sz w:val="20"/>
          <w:szCs w:val="20"/>
          <w:lang w:val="en-GB"/>
        </w:rPr>
        <w:t xml:space="preserve"> of the author as a young person with a </w:t>
      </w:r>
      <w:r w:rsidR="00EF13F0" w:rsidRPr="007D6C3F">
        <w:rPr>
          <w:rFonts w:ascii="Times New Roman" w:hAnsi="Times New Roman"/>
          <w:sz w:val="20"/>
          <w:szCs w:val="20"/>
          <w:lang w:val="en-GB"/>
        </w:rPr>
        <w:t xml:space="preserve">long </w:t>
      </w:r>
      <w:r w:rsidR="00BE62EE" w:rsidRPr="007D6C3F">
        <w:rPr>
          <w:rFonts w:ascii="Times New Roman" w:hAnsi="Times New Roman"/>
          <w:sz w:val="20"/>
          <w:szCs w:val="20"/>
          <w:lang w:val="en-GB"/>
        </w:rPr>
        <w:t>history of abuse and fear of his parents.</w:t>
      </w:r>
      <w:r w:rsidR="00AA5FB6" w:rsidRPr="007D6C3F">
        <w:rPr>
          <w:rStyle w:val="FootnoteReference"/>
          <w:szCs w:val="20"/>
          <w:lang w:val="en-GB"/>
        </w:rPr>
        <w:footnoteReference w:id="21"/>
      </w:r>
      <w:r w:rsidR="00BE62EE" w:rsidRPr="007D6C3F">
        <w:rPr>
          <w:rFonts w:ascii="Times New Roman" w:hAnsi="Times New Roman"/>
          <w:sz w:val="20"/>
          <w:szCs w:val="20"/>
          <w:lang w:val="en-GB"/>
        </w:rPr>
        <w:t xml:space="preserve"> </w:t>
      </w:r>
    </w:p>
    <w:p w14:paraId="21A83B8D" w14:textId="05667F73" w:rsidR="00A1140B" w:rsidRPr="00C64B3A" w:rsidRDefault="00206714" w:rsidP="00BD7308">
      <w:pPr>
        <w:pStyle w:val="ListParagraph"/>
        <w:spacing w:before="120" w:after="120"/>
        <w:ind w:left="1134" w:right="1089"/>
        <w:contextualSpacing w:val="0"/>
        <w:jc w:val="both"/>
        <w:rPr>
          <w:rFonts w:ascii="Times New Roman" w:hAnsi="Times New Roman"/>
          <w:sz w:val="20"/>
          <w:szCs w:val="20"/>
          <w:lang w:val="en-US"/>
        </w:rPr>
      </w:pPr>
      <w:r w:rsidRPr="00C64B3A">
        <w:rPr>
          <w:rFonts w:ascii="Times New Roman" w:hAnsi="Times New Roman"/>
          <w:sz w:val="20"/>
          <w:szCs w:val="20"/>
          <w:lang w:val="en-US"/>
        </w:rPr>
        <w:lastRenderedPageBreak/>
        <w:t>3.</w:t>
      </w:r>
      <w:r w:rsidR="007B1700" w:rsidRPr="00C64B3A">
        <w:rPr>
          <w:rFonts w:ascii="Times New Roman" w:hAnsi="Times New Roman"/>
          <w:sz w:val="20"/>
          <w:szCs w:val="20"/>
          <w:lang w:val="en-US"/>
        </w:rPr>
        <w:t>3</w:t>
      </w:r>
      <w:r w:rsidRPr="00C64B3A">
        <w:rPr>
          <w:rFonts w:ascii="Times New Roman" w:hAnsi="Times New Roman"/>
          <w:sz w:val="20"/>
          <w:szCs w:val="20"/>
          <w:lang w:val="en-US"/>
        </w:rPr>
        <w:tab/>
        <w:t xml:space="preserve">In this connection, the author </w:t>
      </w:r>
      <w:r w:rsidR="00EF13F0" w:rsidRPr="007D6C3F">
        <w:rPr>
          <w:rFonts w:ascii="Times New Roman" w:hAnsi="Times New Roman"/>
          <w:sz w:val="20"/>
          <w:szCs w:val="20"/>
          <w:lang w:val="en-GB"/>
        </w:rPr>
        <w:t xml:space="preserve">puts forward a number of factors of vulnerability: he is a </w:t>
      </w:r>
      <w:r w:rsidR="004B5A30" w:rsidRPr="007D6C3F">
        <w:rPr>
          <w:rFonts w:ascii="Times New Roman" w:hAnsi="Times New Roman"/>
          <w:sz w:val="20"/>
          <w:szCs w:val="20"/>
          <w:lang w:val="en-GB"/>
        </w:rPr>
        <w:t>young man victim of domestic violence</w:t>
      </w:r>
      <w:r w:rsidR="00CF2D36" w:rsidRPr="007D6C3F">
        <w:rPr>
          <w:rFonts w:ascii="Times New Roman" w:hAnsi="Times New Roman"/>
          <w:sz w:val="20"/>
          <w:szCs w:val="20"/>
          <w:lang w:val="en-GB"/>
        </w:rPr>
        <w:t>,</w:t>
      </w:r>
      <w:r w:rsidR="004B5A30" w:rsidRPr="007D6C3F">
        <w:rPr>
          <w:rFonts w:ascii="Times New Roman" w:hAnsi="Times New Roman"/>
          <w:sz w:val="20"/>
          <w:szCs w:val="20"/>
          <w:lang w:val="en-GB"/>
        </w:rPr>
        <w:t xml:space="preserve"> with absolutely no social and linguistic ties to Afghanistan since he was born and grew up in Iran, he is </w:t>
      </w:r>
      <w:r w:rsidR="00D4754E" w:rsidRPr="007D6C3F">
        <w:rPr>
          <w:rFonts w:ascii="Times New Roman" w:hAnsi="Times New Roman"/>
          <w:sz w:val="20"/>
          <w:szCs w:val="20"/>
          <w:lang w:val="en-GB"/>
        </w:rPr>
        <w:t xml:space="preserve">of </w:t>
      </w:r>
      <w:r w:rsidR="00CF2D36" w:rsidRPr="007D6C3F">
        <w:rPr>
          <w:rFonts w:ascii="Times New Roman" w:hAnsi="Times New Roman"/>
          <w:sz w:val="20"/>
          <w:szCs w:val="20"/>
          <w:lang w:val="en-GB"/>
        </w:rPr>
        <w:t>H</w:t>
      </w:r>
      <w:r w:rsidR="007E27F2" w:rsidRPr="007D6C3F">
        <w:rPr>
          <w:rFonts w:ascii="Times New Roman" w:hAnsi="Times New Roman"/>
          <w:sz w:val="20"/>
          <w:szCs w:val="20"/>
          <w:lang w:val="en-GB"/>
        </w:rPr>
        <w:t xml:space="preserve">azara </w:t>
      </w:r>
      <w:r w:rsidR="00D4754E" w:rsidRPr="007D6C3F">
        <w:rPr>
          <w:rFonts w:ascii="Times New Roman" w:hAnsi="Times New Roman"/>
          <w:sz w:val="20"/>
          <w:szCs w:val="20"/>
          <w:lang w:val="en-GB"/>
        </w:rPr>
        <w:t xml:space="preserve">ethnic origin, </w:t>
      </w:r>
      <w:r w:rsidR="006B15DB" w:rsidRPr="007D6C3F">
        <w:rPr>
          <w:rFonts w:ascii="Times New Roman" w:hAnsi="Times New Roman"/>
          <w:sz w:val="20"/>
          <w:szCs w:val="20"/>
          <w:lang w:val="en-GB"/>
        </w:rPr>
        <w:t>he has</w:t>
      </w:r>
      <w:r w:rsidR="007E27F2" w:rsidRPr="007D6C3F">
        <w:rPr>
          <w:rFonts w:ascii="Times New Roman" w:hAnsi="Times New Roman"/>
          <w:sz w:val="20"/>
          <w:szCs w:val="20"/>
          <w:lang w:val="en-GB"/>
        </w:rPr>
        <w:t xml:space="preserve"> converted to </w:t>
      </w:r>
      <w:r w:rsidR="00EF13F0" w:rsidRPr="007D6C3F">
        <w:rPr>
          <w:rFonts w:ascii="Times New Roman" w:hAnsi="Times New Roman"/>
          <w:sz w:val="20"/>
          <w:szCs w:val="20"/>
          <w:lang w:val="en-GB"/>
        </w:rPr>
        <w:t>Christian</w:t>
      </w:r>
      <w:r w:rsidR="007E27F2" w:rsidRPr="007D6C3F">
        <w:rPr>
          <w:rFonts w:ascii="Times New Roman" w:hAnsi="Times New Roman"/>
          <w:sz w:val="20"/>
          <w:szCs w:val="20"/>
          <w:lang w:val="en-GB"/>
        </w:rPr>
        <w:t>ity</w:t>
      </w:r>
      <w:r w:rsidR="00726E85" w:rsidRPr="007D6C3F">
        <w:rPr>
          <w:rFonts w:ascii="Times New Roman" w:hAnsi="Times New Roman"/>
          <w:sz w:val="20"/>
          <w:szCs w:val="20"/>
          <w:lang w:val="en-GB"/>
        </w:rPr>
        <w:t>.</w:t>
      </w:r>
      <w:r w:rsidRPr="00C64B3A">
        <w:rPr>
          <w:rFonts w:ascii="Times New Roman" w:hAnsi="Times New Roman"/>
          <w:sz w:val="20"/>
          <w:szCs w:val="20"/>
          <w:lang w:val="en-US"/>
        </w:rPr>
        <w:t xml:space="preserve"> </w:t>
      </w:r>
      <w:r w:rsidR="004B5A30" w:rsidRPr="007D6C3F">
        <w:rPr>
          <w:rFonts w:ascii="Times New Roman" w:hAnsi="Times New Roman"/>
          <w:sz w:val="20"/>
          <w:szCs w:val="20"/>
          <w:lang w:val="en-GB"/>
        </w:rPr>
        <w:t>All those elements</w:t>
      </w:r>
      <w:r w:rsidR="00B22BA4" w:rsidRPr="00C64B3A">
        <w:rPr>
          <w:rFonts w:ascii="Times New Roman" w:hAnsi="Times New Roman"/>
          <w:sz w:val="20"/>
          <w:szCs w:val="20"/>
          <w:lang w:val="en-US"/>
        </w:rPr>
        <w:t xml:space="preserve"> make </w:t>
      </w:r>
      <w:r w:rsidR="004B5A30" w:rsidRPr="007D6C3F">
        <w:rPr>
          <w:rFonts w:ascii="Times New Roman" w:hAnsi="Times New Roman"/>
          <w:sz w:val="20"/>
          <w:szCs w:val="20"/>
          <w:lang w:val="en-GB"/>
        </w:rPr>
        <w:t xml:space="preserve">it </w:t>
      </w:r>
      <w:r w:rsidR="00B22BA4" w:rsidRPr="00C64B3A">
        <w:rPr>
          <w:rFonts w:ascii="Times New Roman" w:hAnsi="Times New Roman"/>
          <w:sz w:val="20"/>
          <w:szCs w:val="20"/>
          <w:lang w:val="en-US"/>
        </w:rPr>
        <w:t>difficult for him to get integrated into Afg</w:t>
      </w:r>
      <w:r w:rsidR="00726E85" w:rsidRPr="00C64B3A">
        <w:rPr>
          <w:rFonts w:ascii="Times New Roman" w:hAnsi="Times New Roman"/>
          <w:sz w:val="20"/>
          <w:szCs w:val="20"/>
          <w:lang w:val="en-US"/>
        </w:rPr>
        <w:t>h</w:t>
      </w:r>
      <w:r w:rsidR="00B22BA4" w:rsidRPr="00C64B3A">
        <w:rPr>
          <w:rFonts w:ascii="Times New Roman" w:hAnsi="Times New Roman"/>
          <w:sz w:val="20"/>
          <w:szCs w:val="20"/>
          <w:lang w:val="en-US"/>
        </w:rPr>
        <w:t>an society and increase the risk of trafficking, forced recruitment</w:t>
      </w:r>
      <w:r w:rsidR="004B5A30" w:rsidRPr="007D6C3F">
        <w:rPr>
          <w:rFonts w:ascii="Times New Roman" w:hAnsi="Times New Roman"/>
          <w:sz w:val="20"/>
          <w:szCs w:val="20"/>
          <w:lang w:val="en-GB"/>
        </w:rPr>
        <w:t xml:space="preserve"> by the </w:t>
      </w:r>
      <w:r w:rsidR="00726E85" w:rsidRPr="007D6C3F">
        <w:rPr>
          <w:rFonts w:ascii="Times New Roman" w:hAnsi="Times New Roman"/>
          <w:sz w:val="20"/>
          <w:szCs w:val="20"/>
          <w:lang w:val="en-GB"/>
        </w:rPr>
        <w:t>Taliban</w:t>
      </w:r>
      <w:r w:rsidR="00726E85" w:rsidRPr="00C64B3A">
        <w:rPr>
          <w:rFonts w:ascii="Times New Roman" w:hAnsi="Times New Roman"/>
          <w:sz w:val="20"/>
          <w:szCs w:val="20"/>
          <w:lang w:val="en-US"/>
        </w:rPr>
        <w:t xml:space="preserve">, </w:t>
      </w:r>
      <w:r w:rsidR="00B22BA4" w:rsidRPr="00C64B3A">
        <w:rPr>
          <w:rFonts w:ascii="Times New Roman" w:hAnsi="Times New Roman"/>
          <w:sz w:val="20"/>
          <w:szCs w:val="20"/>
          <w:lang w:val="en-US"/>
        </w:rPr>
        <w:t>drug trade</w:t>
      </w:r>
      <w:r w:rsidR="00726E85" w:rsidRPr="00C64B3A">
        <w:rPr>
          <w:rFonts w:ascii="Times New Roman" w:hAnsi="Times New Roman"/>
          <w:sz w:val="20"/>
          <w:szCs w:val="20"/>
          <w:lang w:val="en-US"/>
        </w:rPr>
        <w:t>,</w:t>
      </w:r>
      <w:r w:rsidR="00B22BA4" w:rsidRPr="00C64B3A">
        <w:rPr>
          <w:rFonts w:ascii="Times New Roman" w:hAnsi="Times New Roman"/>
          <w:sz w:val="20"/>
          <w:szCs w:val="20"/>
          <w:lang w:val="en-US"/>
        </w:rPr>
        <w:t xml:space="preserve"> etc. He </w:t>
      </w:r>
      <w:r w:rsidR="004B5A30" w:rsidRPr="007D6C3F">
        <w:rPr>
          <w:rFonts w:ascii="Times New Roman" w:hAnsi="Times New Roman"/>
          <w:sz w:val="20"/>
          <w:szCs w:val="20"/>
          <w:lang w:val="en-GB"/>
        </w:rPr>
        <w:t>claims</w:t>
      </w:r>
      <w:r w:rsidR="004B5A30" w:rsidRPr="00C64B3A">
        <w:rPr>
          <w:rFonts w:ascii="Times New Roman" w:hAnsi="Times New Roman"/>
          <w:sz w:val="20"/>
          <w:szCs w:val="20"/>
          <w:lang w:val="en-US"/>
        </w:rPr>
        <w:t xml:space="preserve"> </w:t>
      </w:r>
      <w:r w:rsidR="00B22BA4" w:rsidRPr="00C64B3A">
        <w:rPr>
          <w:rFonts w:ascii="Times New Roman" w:hAnsi="Times New Roman"/>
          <w:sz w:val="20"/>
          <w:szCs w:val="20"/>
          <w:lang w:val="en-US"/>
        </w:rPr>
        <w:t>th</w:t>
      </w:r>
      <w:r w:rsidR="00CF2D36" w:rsidRPr="00C64B3A">
        <w:rPr>
          <w:rFonts w:ascii="Times New Roman" w:hAnsi="Times New Roman"/>
          <w:sz w:val="20"/>
          <w:szCs w:val="20"/>
          <w:lang w:val="en-US"/>
        </w:rPr>
        <w:t>e</w:t>
      </w:r>
      <w:r w:rsidR="00B22BA4" w:rsidRPr="00C64B3A">
        <w:rPr>
          <w:rFonts w:ascii="Times New Roman" w:hAnsi="Times New Roman"/>
          <w:sz w:val="20"/>
          <w:szCs w:val="20"/>
          <w:lang w:val="en-US"/>
        </w:rPr>
        <w:t xml:space="preserve">se elements were not adequately examined </w:t>
      </w:r>
      <w:r w:rsidR="004B5A30" w:rsidRPr="007D6C3F">
        <w:rPr>
          <w:rFonts w:ascii="Times New Roman" w:hAnsi="Times New Roman"/>
          <w:sz w:val="20"/>
          <w:szCs w:val="20"/>
          <w:lang w:val="en-GB"/>
        </w:rPr>
        <w:t xml:space="preserve">and assessed </w:t>
      </w:r>
      <w:r w:rsidR="00B22BA4" w:rsidRPr="00C64B3A">
        <w:rPr>
          <w:rFonts w:ascii="Times New Roman" w:hAnsi="Times New Roman"/>
          <w:sz w:val="20"/>
          <w:szCs w:val="20"/>
          <w:lang w:val="en-US"/>
        </w:rPr>
        <w:t>in his asylum proceedings.</w:t>
      </w:r>
      <w:r w:rsidR="00A1140B" w:rsidRPr="00C64B3A">
        <w:rPr>
          <w:rFonts w:ascii="Times New Roman" w:hAnsi="Times New Roman"/>
          <w:sz w:val="20"/>
          <w:szCs w:val="20"/>
          <w:lang w:val="en-US"/>
        </w:rPr>
        <w:t xml:space="preserve"> He also adds that </w:t>
      </w:r>
      <w:r w:rsidR="00243A09" w:rsidRPr="007D6C3F">
        <w:rPr>
          <w:rFonts w:ascii="Times New Roman" w:hAnsi="Times New Roman"/>
          <w:sz w:val="20"/>
          <w:szCs w:val="20"/>
          <w:lang w:val="en-GB"/>
        </w:rPr>
        <w:t xml:space="preserve">since he fears his parents, </w:t>
      </w:r>
      <w:r w:rsidR="00E05F0C" w:rsidRPr="00C64B3A">
        <w:rPr>
          <w:rFonts w:ascii="Times New Roman" w:hAnsi="Times New Roman"/>
          <w:sz w:val="20"/>
          <w:szCs w:val="20"/>
          <w:lang w:val="en-US"/>
        </w:rPr>
        <w:t xml:space="preserve">it </w:t>
      </w:r>
      <w:r w:rsidR="00243A09" w:rsidRPr="007D6C3F">
        <w:rPr>
          <w:rFonts w:ascii="Times New Roman" w:hAnsi="Times New Roman"/>
          <w:sz w:val="20"/>
          <w:szCs w:val="20"/>
          <w:lang w:val="en-GB"/>
        </w:rPr>
        <w:t xml:space="preserve">is </w:t>
      </w:r>
      <w:r w:rsidR="00A1140B" w:rsidRPr="00C64B3A">
        <w:rPr>
          <w:rFonts w:ascii="Times New Roman" w:hAnsi="Times New Roman"/>
          <w:sz w:val="20"/>
          <w:szCs w:val="20"/>
          <w:lang w:val="en-US"/>
        </w:rPr>
        <w:t xml:space="preserve">difficult for him to </w:t>
      </w:r>
      <w:r w:rsidR="00920E24" w:rsidRPr="007D6C3F">
        <w:rPr>
          <w:rFonts w:ascii="Times New Roman" w:hAnsi="Times New Roman"/>
          <w:sz w:val="20"/>
          <w:szCs w:val="20"/>
          <w:lang w:val="en-GB"/>
        </w:rPr>
        <w:t>request</w:t>
      </w:r>
      <w:r w:rsidR="00920E24" w:rsidRPr="00C64B3A">
        <w:rPr>
          <w:rFonts w:ascii="Times New Roman" w:hAnsi="Times New Roman"/>
          <w:sz w:val="20"/>
          <w:szCs w:val="20"/>
          <w:lang w:val="en-US"/>
        </w:rPr>
        <w:t xml:space="preserve"> </w:t>
      </w:r>
      <w:r w:rsidR="00A1140B" w:rsidRPr="00C64B3A">
        <w:rPr>
          <w:rFonts w:ascii="Times New Roman" w:hAnsi="Times New Roman"/>
          <w:sz w:val="20"/>
          <w:szCs w:val="20"/>
          <w:lang w:val="en-US"/>
        </w:rPr>
        <w:t xml:space="preserve">a </w:t>
      </w:r>
      <w:proofErr w:type="spellStart"/>
      <w:r w:rsidR="00A1140B" w:rsidRPr="00C64B3A">
        <w:rPr>
          <w:rFonts w:ascii="Times New Roman" w:hAnsi="Times New Roman"/>
          <w:sz w:val="20"/>
          <w:szCs w:val="20"/>
          <w:lang w:val="en-US"/>
        </w:rPr>
        <w:t>tazkira</w:t>
      </w:r>
      <w:proofErr w:type="spellEnd"/>
      <w:r w:rsidR="00A1140B" w:rsidRPr="00C64B3A">
        <w:rPr>
          <w:rFonts w:ascii="Times New Roman" w:hAnsi="Times New Roman"/>
          <w:sz w:val="20"/>
          <w:szCs w:val="20"/>
          <w:lang w:val="en-US"/>
        </w:rPr>
        <w:t>, an identity document necessary for life in Afg</w:t>
      </w:r>
      <w:r w:rsidR="00D4754E" w:rsidRPr="00C64B3A">
        <w:rPr>
          <w:rFonts w:ascii="Times New Roman" w:hAnsi="Times New Roman"/>
          <w:sz w:val="20"/>
          <w:szCs w:val="20"/>
          <w:lang w:val="en-US"/>
        </w:rPr>
        <w:t>h</w:t>
      </w:r>
      <w:r w:rsidR="00A1140B" w:rsidRPr="00C64B3A">
        <w:rPr>
          <w:rFonts w:ascii="Times New Roman" w:hAnsi="Times New Roman"/>
          <w:sz w:val="20"/>
          <w:szCs w:val="20"/>
          <w:lang w:val="en-US"/>
        </w:rPr>
        <w:t>anistan.</w:t>
      </w:r>
    </w:p>
    <w:p w14:paraId="34D42FFB" w14:textId="101BD7CB" w:rsidR="00AE5998" w:rsidRPr="007D6C3F" w:rsidRDefault="00AE5998" w:rsidP="00BD7308">
      <w:pPr>
        <w:pStyle w:val="ListParagraph"/>
        <w:spacing w:before="120" w:after="120"/>
        <w:ind w:left="1134" w:right="1089"/>
        <w:contextualSpacing w:val="0"/>
        <w:jc w:val="both"/>
        <w:rPr>
          <w:rFonts w:ascii="Times New Roman" w:hAnsi="Times New Roman"/>
          <w:sz w:val="20"/>
          <w:szCs w:val="20"/>
          <w:lang w:val="en-GB"/>
        </w:rPr>
      </w:pPr>
      <w:r w:rsidRPr="007D6C3F">
        <w:rPr>
          <w:rFonts w:ascii="Times New Roman" w:hAnsi="Times New Roman"/>
          <w:sz w:val="20"/>
          <w:szCs w:val="20"/>
          <w:lang w:val="en-GB"/>
        </w:rPr>
        <w:t>3.</w:t>
      </w:r>
      <w:r w:rsidR="007B1700" w:rsidRPr="007D6C3F">
        <w:rPr>
          <w:rFonts w:ascii="Times New Roman" w:hAnsi="Times New Roman"/>
          <w:sz w:val="20"/>
          <w:szCs w:val="20"/>
          <w:lang w:val="en-GB"/>
        </w:rPr>
        <w:t>4</w:t>
      </w:r>
      <w:r w:rsidRPr="007D6C3F">
        <w:rPr>
          <w:rFonts w:ascii="Times New Roman" w:hAnsi="Times New Roman"/>
          <w:sz w:val="20"/>
          <w:szCs w:val="20"/>
          <w:lang w:val="en-GB"/>
        </w:rPr>
        <w:tab/>
        <w:t xml:space="preserve">The author </w:t>
      </w:r>
      <w:r w:rsidR="00941D12" w:rsidRPr="007D6C3F">
        <w:rPr>
          <w:rFonts w:ascii="Times New Roman" w:hAnsi="Times New Roman"/>
          <w:sz w:val="20"/>
          <w:szCs w:val="20"/>
          <w:lang w:val="en-GB"/>
        </w:rPr>
        <w:t>submits</w:t>
      </w:r>
      <w:r w:rsidR="00AD4BED" w:rsidRPr="007D6C3F">
        <w:rPr>
          <w:rFonts w:ascii="Times New Roman" w:hAnsi="Times New Roman"/>
          <w:sz w:val="20"/>
          <w:szCs w:val="20"/>
          <w:lang w:val="en-GB"/>
        </w:rPr>
        <w:t xml:space="preserve"> </w:t>
      </w:r>
      <w:r w:rsidRPr="007D6C3F">
        <w:rPr>
          <w:rFonts w:ascii="Times New Roman" w:hAnsi="Times New Roman"/>
          <w:sz w:val="20"/>
          <w:szCs w:val="20"/>
          <w:lang w:val="en-GB"/>
        </w:rPr>
        <w:t xml:space="preserve">that he exhausted the domestic remedies. </w:t>
      </w:r>
    </w:p>
    <w:p w14:paraId="20C74690" w14:textId="0FBCA528" w:rsidR="00111738" w:rsidRPr="007D6C3F" w:rsidRDefault="00111738" w:rsidP="00111738">
      <w:pPr>
        <w:pStyle w:val="H23G"/>
      </w:pPr>
      <w:r w:rsidRPr="007D6C3F">
        <w:tab/>
      </w:r>
      <w:r w:rsidRPr="007D6C3F">
        <w:tab/>
        <w:t xml:space="preserve">State party’s observations on admissibility and </w:t>
      </w:r>
      <w:r w:rsidR="00E80FF5" w:rsidRPr="007D6C3F">
        <w:t xml:space="preserve">the </w:t>
      </w:r>
      <w:r w:rsidRPr="007D6C3F">
        <w:t>merits</w:t>
      </w:r>
    </w:p>
    <w:p w14:paraId="17EAD5EF" w14:textId="48340D62" w:rsidR="00111738" w:rsidRPr="007D6C3F" w:rsidRDefault="00111738" w:rsidP="00111738">
      <w:pPr>
        <w:pStyle w:val="SingleTxtG"/>
      </w:pPr>
      <w:r w:rsidRPr="007D6C3F">
        <w:t>4.1</w:t>
      </w:r>
      <w:r w:rsidRPr="007D6C3F">
        <w:tab/>
        <w:t xml:space="preserve">In a note </w:t>
      </w:r>
      <w:proofErr w:type="spellStart"/>
      <w:r w:rsidRPr="007D6C3F">
        <w:t>verbale</w:t>
      </w:r>
      <w:proofErr w:type="spellEnd"/>
      <w:r w:rsidRPr="007D6C3F">
        <w:t xml:space="preserve"> of</w:t>
      </w:r>
      <w:r w:rsidR="00286454" w:rsidRPr="007D6C3F">
        <w:t xml:space="preserve"> </w:t>
      </w:r>
      <w:r w:rsidR="00A258BE" w:rsidRPr="007D6C3F">
        <w:t>11 June</w:t>
      </w:r>
      <w:r w:rsidRPr="007D6C3F">
        <w:t xml:space="preserve"> 201</w:t>
      </w:r>
      <w:r w:rsidR="00A258BE" w:rsidRPr="007D6C3F">
        <w:t>8</w:t>
      </w:r>
      <w:r w:rsidRPr="007D6C3F">
        <w:t xml:space="preserve">, the State party submits </w:t>
      </w:r>
      <w:r w:rsidR="001D133C" w:rsidRPr="007D6C3F">
        <w:t>its observation</w:t>
      </w:r>
      <w:r w:rsidR="00920E24" w:rsidRPr="007D6C3F">
        <w:t>s</w:t>
      </w:r>
      <w:r w:rsidR="001D133C" w:rsidRPr="007D6C3F">
        <w:t xml:space="preserve"> on the admissibility and merits of the communication. </w:t>
      </w:r>
    </w:p>
    <w:p w14:paraId="7C36F227" w14:textId="6FD5955D" w:rsidR="00AA5FB6" w:rsidRPr="007D6C3F" w:rsidRDefault="00111738" w:rsidP="00AA5FB6">
      <w:pPr>
        <w:pStyle w:val="SingleTxtG"/>
      </w:pPr>
      <w:r w:rsidRPr="007D6C3F">
        <w:t>4.2</w:t>
      </w:r>
      <w:r w:rsidRPr="007D6C3F">
        <w:tab/>
      </w:r>
      <w:r w:rsidR="006801AD" w:rsidRPr="007D6C3F">
        <w:t>In regard to the admissibility of the communication</w:t>
      </w:r>
      <w:r w:rsidR="00AA5FB6" w:rsidRPr="007D6C3F">
        <w:t xml:space="preserve"> under article 5(2)(a) of the Optional Protocol and rule 9</w:t>
      </w:r>
      <w:r w:rsidR="00941D12" w:rsidRPr="007D6C3F">
        <w:t>9</w:t>
      </w:r>
      <w:r w:rsidR="00AA5FB6" w:rsidRPr="007D6C3F">
        <w:t>(e) of the Committee’s rules of procedure</w:t>
      </w:r>
      <w:r w:rsidR="006801AD" w:rsidRPr="007D6C3F">
        <w:t xml:space="preserve">, the State party </w:t>
      </w:r>
      <w:r w:rsidR="00057C01" w:rsidRPr="007D6C3F">
        <w:t xml:space="preserve">submits that </w:t>
      </w:r>
      <w:r w:rsidR="00AA5FB6" w:rsidRPr="007D6C3F">
        <w:t xml:space="preserve">it is not aware </w:t>
      </w:r>
      <w:r w:rsidR="001664A9" w:rsidRPr="007D6C3F">
        <w:t>whether</w:t>
      </w:r>
      <w:r w:rsidR="00AA5FB6" w:rsidRPr="007D6C3F">
        <w:t xml:space="preserve"> </w:t>
      </w:r>
      <w:bookmarkStart w:id="2" w:name="_Hlk51157335"/>
      <w:r w:rsidR="00057C01" w:rsidRPr="007D6C3F">
        <w:t xml:space="preserve">the </w:t>
      </w:r>
      <w:r w:rsidR="00AA5FB6" w:rsidRPr="007D6C3F">
        <w:t xml:space="preserve">present </w:t>
      </w:r>
      <w:r w:rsidR="00057C01" w:rsidRPr="007D6C3F">
        <w:t xml:space="preserve">communication </w:t>
      </w:r>
      <w:r w:rsidR="00AA5FB6" w:rsidRPr="007D6C3F">
        <w:t>is being or has been examined under another procedure of international investigation or settlement</w:t>
      </w:r>
      <w:bookmarkEnd w:id="2"/>
      <w:r w:rsidR="00AA5FB6" w:rsidRPr="007D6C3F">
        <w:t>.</w:t>
      </w:r>
    </w:p>
    <w:p w14:paraId="4A63D8BF" w14:textId="36F06609" w:rsidR="00AA5FB6" w:rsidRPr="007D6C3F" w:rsidRDefault="00AA5FB6" w:rsidP="00AA5FB6">
      <w:pPr>
        <w:pStyle w:val="SingleTxtG"/>
      </w:pPr>
      <w:r w:rsidRPr="007D6C3F">
        <w:t>4.3</w:t>
      </w:r>
      <w:r w:rsidRPr="007D6C3F">
        <w:tab/>
        <w:t>The State party notes it does not contest the admissibility in regard to article 5(2)(b) of the Optional Protocol and rule 9</w:t>
      </w:r>
      <w:r w:rsidR="006D3C4A" w:rsidRPr="007D6C3F">
        <w:t xml:space="preserve">9 </w:t>
      </w:r>
      <w:r w:rsidR="00941D12" w:rsidRPr="007D6C3F">
        <w:t>(f</w:t>
      </w:r>
      <w:r w:rsidR="006D3C4A" w:rsidRPr="007D6C3F">
        <w:t>)</w:t>
      </w:r>
      <w:r w:rsidRPr="007D6C3F">
        <w:t xml:space="preserve"> of the Committee’s rules of procedure.</w:t>
      </w:r>
    </w:p>
    <w:p w14:paraId="7A414B2D" w14:textId="5BCEFC04" w:rsidR="00057C01" w:rsidRPr="007D6C3F" w:rsidRDefault="00AA5FB6" w:rsidP="00AA5FB6">
      <w:pPr>
        <w:pStyle w:val="SingleTxtG"/>
      </w:pPr>
      <w:r w:rsidRPr="007D6C3F">
        <w:t>4.4</w:t>
      </w:r>
      <w:r w:rsidRPr="007D6C3F">
        <w:tab/>
        <w:t xml:space="preserve">The State party maintains that the author’s assertion that he </w:t>
      </w:r>
      <w:r w:rsidR="006D3C4A" w:rsidRPr="007D6C3F">
        <w:t xml:space="preserve">runs the </w:t>
      </w:r>
      <w:r w:rsidRPr="007D6C3F">
        <w:t>risk</w:t>
      </w:r>
      <w:r w:rsidR="006D3C4A" w:rsidRPr="007D6C3F">
        <w:t xml:space="preserve"> of</w:t>
      </w:r>
      <w:r w:rsidRPr="007D6C3F">
        <w:t xml:space="preserve"> being treated in a manner that would amount to a breach of the Co</w:t>
      </w:r>
      <w:r w:rsidR="006D3C4A" w:rsidRPr="007D6C3F">
        <w:t>vena</w:t>
      </w:r>
      <w:r w:rsidR="00BA6C90" w:rsidRPr="007D6C3F">
        <w:t>nt</w:t>
      </w:r>
      <w:r w:rsidRPr="007D6C3F">
        <w:t xml:space="preserve"> failed to attain the basic level of substantiation required for the purpose of admissibility. The communication is thus, </w:t>
      </w:r>
      <w:r w:rsidR="00057C01" w:rsidRPr="007D6C3F">
        <w:t>inadmissible pursuant to article 3 of the Optional Protocol and rule 9</w:t>
      </w:r>
      <w:r w:rsidR="006D3C4A" w:rsidRPr="007D6C3F">
        <w:t>9 (b)</w:t>
      </w:r>
      <w:r w:rsidR="00057C01" w:rsidRPr="007D6C3F">
        <w:t xml:space="preserve"> of the Committee’s rules of procedure.</w:t>
      </w:r>
    </w:p>
    <w:p w14:paraId="7B4E471F" w14:textId="4E33BE72" w:rsidR="00BD7DC9" w:rsidRPr="007D6C3F" w:rsidRDefault="00111738" w:rsidP="00AA5FB6">
      <w:pPr>
        <w:pStyle w:val="SingleTxtG"/>
      </w:pPr>
      <w:r w:rsidRPr="007D6C3F">
        <w:t>4.5</w:t>
      </w:r>
      <w:r w:rsidRPr="007D6C3F">
        <w:tab/>
      </w:r>
      <w:r w:rsidR="00061811" w:rsidRPr="007D6C3F">
        <w:t>In regard to the alleged violation of article</w:t>
      </w:r>
      <w:r w:rsidR="00E96987">
        <w:t>s</w:t>
      </w:r>
      <w:r w:rsidR="00061811" w:rsidRPr="007D6C3F">
        <w:t xml:space="preserve"> </w:t>
      </w:r>
      <w:r w:rsidR="007413CC" w:rsidRPr="007D6C3F">
        <w:t>6 and 7 of the Covenant</w:t>
      </w:r>
      <w:r w:rsidR="007B3083" w:rsidRPr="007D6C3F">
        <w:t>,</w:t>
      </w:r>
      <w:r w:rsidR="00965004" w:rsidRPr="007D6C3F">
        <w:t xml:space="preserve"> the State party notes that </w:t>
      </w:r>
      <w:r w:rsidR="006D3C4A" w:rsidRPr="007D6C3F">
        <w:t xml:space="preserve">a </w:t>
      </w:r>
      <w:r w:rsidR="00965004" w:rsidRPr="007D6C3F">
        <w:t xml:space="preserve">forced return </w:t>
      </w:r>
      <w:r w:rsidR="006D3C4A" w:rsidRPr="007D6C3F">
        <w:t>to the country of origin</w:t>
      </w:r>
      <w:r w:rsidR="00965004" w:rsidRPr="007D6C3F">
        <w:t xml:space="preserve"> </w:t>
      </w:r>
      <w:r w:rsidR="00AA5FB6" w:rsidRPr="007D6C3F">
        <w:t xml:space="preserve">may </w:t>
      </w:r>
      <w:r w:rsidR="00965004" w:rsidRPr="007D6C3F">
        <w:t>constitute a breach of articles 6 or 7 of the Covenant,</w:t>
      </w:r>
      <w:r w:rsidR="00AA5FB6" w:rsidRPr="007D6C3F">
        <w:t xml:space="preserve"> where there are substantial grounds for believing that there is a real risk of irreparable harm</w:t>
      </w:r>
      <w:r w:rsidR="00E25FFA" w:rsidRPr="007D6C3F">
        <w:t xml:space="preserve"> but</w:t>
      </w:r>
      <w:r w:rsidR="00AA5FB6" w:rsidRPr="007D6C3F">
        <w:t xml:space="preserve"> that the real risk must be the necessary and foreseeable consequence of forced return and personal.</w:t>
      </w:r>
      <w:r w:rsidR="00AA5FB6" w:rsidRPr="007D6C3F">
        <w:rPr>
          <w:rStyle w:val="FootnoteReference"/>
        </w:rPr>
        <w:footnoteReference w:id="22"/>
      </w:r>
      <w:r w:rsidR="00AA5FB6" w:rsidRPr="007D6C3F">
        <w:t xml:space="preserve"> The State party also notes that considerable weight should be given to the assessment conducted by the </w:t>
      </w:r>
      <w:r w:rsidR="006D3C4A" w:rsidRPr="007D6C3F">
        <w:t>domestic authorities</w:t>
      </w:r>
      <w:r w:rsidR="00AA5FB6" w:rsidRPr="007D6C3F">
        <w:t xml:space="preserve">, given that it is generally for </w:t>
      </w:r>
      <w:r w:rsidR="006D3C4A" w:rsidRPr="007D6C3F">
        <w:t>these</w:t>
      </w:r>
      <w:r w:rsidR="00AA5FB6" w:rsidRPr="007D6C3F">
        <w:t xml:space="preserve"> authorities to directly review or evaluate facts and evidence in order to determine whether a real risk of irreparable harm exists unless it is found that the evaluation was clearly arbitrary or amounted to a manifest error or denial of justice. </w:t>
      </w:r>
      <w:r w:rsidR="00AA5FB6" w:rsidRPr="007D6C3F">
        <w:rPr>
          <w:szCs w:val="18"/>
        </w:rPr>
        <w:t xml:space="preserve">The State party emphasizes that that approach is based on the acceptance by the Committee of the comparative advantage that domestic authorities have in making factual findings due to their direct access to oral testimonies and other materials presented in legal proceedings at the national level. </w:t>
      </w:r>
      <w:r w:rsidR="001664A9" w:rsidRPr="007D6C3F">
        <w:t xml:space="preserve">The State </w:t>
      </w:r>
      <w:proofErr w:type="gramStart"/>
      <w:r w:rsidR="001664A9" w:rsidRPr="007D6C3F">
        <w:t xml:space="preserve">party  </w:t>
      </w:r>
      <w:r w:rsidR="006D3C4A" w:rsidRPr="007D6C3F">
        <w:t>adds</w:t>
      </w:r>
      <w:proofErr w:type="gramEnd"/>
      <w:r w:rsidR="006D3C4A" w:rsidRPr="007D6C3F">
        <w:t xml:space="preserve"> </w:t>
      </w:r>
      <w:r w:rsidR="001664A9" w:rsidRPr="007D6C3F">
        <w:t>that several provisions in the Aliens Act reflect the same principles as those set out in articles 6 (1) and 7 of the Covenant. The Swedish migration authorities therefore apply the same kind of test when considering an application for asylum under the Aliens Act as the Committee applies when examining a complaint under the Covenant.</w:t>
      </w:r>
    </w:p>
    <w:p w14:paraId="385243F2" w14:textId="40E0E119" w:rsidR="00AA5FB6" w:rsidRPr="007D6C3F" w:rsidRDefault="00AA5FB6" w:rsidP="006A1BF6">
      <w:pPr>
        <w:pStyle w:val="SingleTxtG"/>
      </w:pPr>
      <w:r w:rsidRPr="007D6C3F">
        <w:t>4.</w:t>
      </w:r>
      <w:r w:rsidR="00E72183" w:rsidRPr="007D6C3F">
        <w:t>6</w:t>
      </w:r>
      <w:r w:rsidRPr="007D6C3F">
        <w:tab/>
        <w:t>As for the general human rights situation in Afghanistan, the State party notes that Afghanistan is a party to the Covenant, as well as to the Convention against Torture and Other Cruel and Inhuman or Degrading Treatment or Punishment.</w:t>
      </w:r>
      <w:r w:rsidR="006B15DB" w:rsidRPr="007D6C3F">
        <w:t xml:space="preserve"> </w:t>
      </w:r>
      <w:r w:rsidRPr="007D6C3F">
        <w:t xml:space="preserve">The State party also notes that, whereas it </w:t>
      </w:r>
      <w:r w:rsidR="00E72183" w:rsidRPr="007D6C3F">
        <w:t>recog</w:t>
      </w:r>
      <w:r w:rsidR="00D92FE5" w:rsidRPr="007D6C3F">
        <w:t>ni</w:t>
      </w:r>
      <w:r w:rsidR="00E72183" w:rsidRPr="007D6C3F">
        <w:t>se</w:t>
      </w:r>
      <w:r w:rsidR="00D92FE5" w:rsidRPr="007D6C3F">
        <w:t>s</w:t>
      </w:r>
      <w:r w:rsidR="00E72183" w:rsidRPr="007D6C3F">
        <w:t xml:space="preserve"> the security situation of </w:t>
      </w:r>
      <w:r w:rsidR="00DC4A46" w:rsidRPr="007D6C3F">
        <w:t>Afghanistan</w:t>
      </w:r>
      <w:r w:rsidR="00E72183" w:rsidRPr="007D6C3F">
        <w:t xml:space="preserve"> in recent years has deteriorated</w:t>
      </w:r>
      <w:r w:rsidR="00BF2A29" w:rsidRPr="007D6C3F">
        <w:t xml:space="preserve">, there is a great variation in the intensity of the conflict in </w:t>
      </w:r>
      <w:r w:rsidR="007E27F2" w:rsidRPr="007D6C3F">
        <w:t>in the different regions of</w:t>
      </w:r>
      <w:r w:rsidR="00BF2A29" w:rsidRPr="007D6C3F">
        <w:t xml:space="preserve"> the country and the level of indiscriminate violence in the country as a whole is not such </w:t>
      </w:r>
      <w:r w:rsidR="00BF2A29" w:rsidRPr="007D6C3F">
        <w:lastRenderedPageBreak/>
        <w:t>that there is a general need to protect all asylum seekers from that country.</w:t>
      </w:r>
      <w:r w:rsidR="00941D12" w:rsidRPr="007D6C3F">
        <w:rPr>
          <w:vertAlign w:val="superscript"/>
        </w:rPr>
        <w:footnoteReference w:id="23"/>
      </w:r>
      <w:r w:rsidR="00941D12" w:rsidRPr="007D6C3F">
        <w:t xml:space="preserve"> </w:t>
      </w:r>
      <w:r w:rsidR="00BF2A29" w:rsidRPr="007D6C3F">
        <w:t xml:space="preserve"> </w:t>
      </w:r>
      <w:r w:rsidR="00B00611" w:rsidRPr="007D6C3F">
        <w:t>The</w:t>
      </w:r>
      <w:r w:rsidR="00BF2A29" w:rsidRPr="007D6C3F">
        <w:t xml:space="preserve"> State party </w:t>
      </w:r>
      <w:r w:rsidR="00B00611" w:rsidRPr="007D6C3F">
        <w:t xml:space="preserve">also </w:t>
      </w:r>
      <w:r w:rsidR="00BF2A29" w:rsidRPr="007D6C3F">
        <w:t xml:space="preserve">notes that </w:t>
      </w:r>
      <w:r w:rsidR="00EF1B89" w:rsidRPr="007D6C3F">
        <w:t xml:space="preserve">although the general </w:t>
      </w:r>
      <w:r w:rsidR="00B00611" w:rsidRPr="007D6C3F">
        <w:t xml:space="preserve">discrimination </w:t>
      </w:r>
      <w:r w:rsidR="00EF1B89" w:rsidRPr="007D6C3F">
        <w:t>against Hazara</w:t>
      </w:r>
      <w:r w:rsidR="00B00611" w:rsidRPr="007D6C3F">
        <w:t xml:space="preserve"> is still prevalent in Afghanistan, the latest documented information do</w:t>
      </w:r>
      <w:r w:rsidR="006B15DB" w:rsidRPr="007D6C3F">
        <w:t>es</w:t>
      </w:r>
      <w:r w:rsidR="00B00611" w:rsidRPr="007D6C3F">
        <w:t xml:space="preserve"> not however establish ethnicity or religion as a major ground to discriminate against Hazaras</w:t>
      </w:r>
      <w:r w:rsidR="00BF2A29" w:rsidRPr="007D6C3F">
        <w:t>.</w:t>
      </w:r>
      <w:r w:rsidR="00BF2A29" w:rsidRPr="007D6C3F">
        <w:rPr>
          <w:rStyle w:val="FootnoteReference"/>
        </w:rPr>
        <w:footnoteReference w:id="24"/>
      </w:r>
      <w:r w:rsidR="00BF2A29" w:rsidRPr="007D6C3F">
        <w:t xml:space="preserve"> The State party </w:t>
      </w:r>
      <w:r w:rsidR="00A504E1" w:rsidRPr="007D6C3F">
        <w:t>indicates</w:t>
      </w:r>
      <w:r w:rsidR="00BF2A29" w:rsidRPr="007D6C3F">
        <w:t xml:space="preserve"> that the Swedish Migration </w:t>
      </w:r>
      <w:r w:rsidR="00C66259" w:rsidRPr="007D6C3F">
        <w:t>Board</w:t>
      </w:r>
      <w:r w:rsidR="00BF2A29" w:rsidRPr="007D6C3F">
        <w:t xml:space="preserve">’s report in December 2017 does not support the conclusion that </w:t>
      </w:r>
      <w:r w:rsidR="006B15DB" w:rsidRPr="007D6C3F">
        <w:t xml:space="preserve">the </w:t>
      </w:r>
      <w:r w:rsidR="00BF2A29" w:rsidRPr="007D6C3F">
        <w:t>mere claim of renunciation of Islam suffices to conclude that there is a real risk of persecution of an individual that would warrant international protection</w:t>
      </w:r>
      <w:r w:rsidR="00DC4A46" w:rsidRPr="007D6C3F">
        <w:t>, while it also notes that according to the report, in Afghanistan,  apostate</w:t>
      </w:r>
      <w:r w:rsidR="00E96987">
        <w:t>s</w:t>
      </w:r>
      <w:r w:rsidR="00DC4A46" w:rsidRPr="007D6C3F">
        <w:t xml:space="preserve"> risk being disowned by their family and being killed by others in society without judicial process, and mere accusations of apostasy can provoke violence, and people who lack a social network are particularly vulnerable without support.</w:t>
      </w:r>
      <w:r w:rsidR="00BF2A29" w:rsidRPr="007D6C3F">
        <w:t xml:space="preserve"> </w:t>
      </w:r>
      <w:r w:rsidR="00B72FED" w:rsidRPr="007D6C3F">
        <w:t xml:space="preserve">The State party also notes that there is a possibility for apostates to repent and to return to the Muslim faith. </w:t>
      </w:r>
      <w:r w:rsidR="00BF2A29" w:rsidRPr="007D6C3F">
        <w:t xml:space="preserve">Thus, a general situation does not in itself suffice to establish that the author’s expulsion would contravene articles 6 or 7 of the Covenant. </w:t>
      </w:r>
      <w:r w:rsidRPr="007D6C3F">
        <w:t>The assessment before the Committee must therefore focus on the foreseeable consequences to the author of his expulsion to Afghanistan in the light of his personal circumstances.</w:t>
      </w:r>
      <w:r w:rsidR="00BF2A29" w:rsidRPr="007D6C3F">
        <w:t xml:space="preserve"> In this connection, the State party emphasise</w:t>
      </w:r>
      <w:r w:rsidR="001664A9" w:rsidRPr="007D6C3F">
        <w:t>s</w:t>
      </w:r>
      <w:r w:rsidR="00BF2A29" w:rsidRPr="007D6C3F">
        <w:t xml:space="preserve"> that it is asylum seekers that ha</w:t>
      </w:r>
      <w:r w:rsidR="001664A9" w:rsidRPr="007D6C3F">
        <w:t>ve</w:t>
      </w:r>
      <w:r w:rsidR="00BF2A29" w:rsidRPr="007D6C3F">
        <w:t xml:space="preserve"> the burden of proof to plausibly demonstrate that they belong to a group that is at risk of persecution. </w:t>
      </w:r>
    </w:p>
    <w:p w14:paraId="3382EE25" w14:textId="61F859F8" w:rsidR="00AA5FB6" w:rsidRPr="007D6C3F" w:rsidRDefault="00AA5FB6" w:rsidP="001664A9">
      <w:pPr>
        <w:pStyle w:val="SingleTxtG"/>
      </w:pPr>
      <w:r w:rsidRPr="007D6C3F">
        <w:t>4.</w:t>
      </w:r>
      <w:r w:rsidR="00BF2A29" w:rsidRPr="007D6C3F">
        <w:t>7</w:t>
      </w:r>
      <w:r w:rsidRPr="007D6C3F">
        <w:tab/>
      </w:r>
      <w:r w:rsidR="001664A9" w:rsidRPr="007D6C3F">
        <w:t>T</w:t>
      </w:r>
      <w:r w:rsidRPr="007D6C3F">
        <w:t xml:space="preserve">he State party contends that due process was </w:t>
      </w:r>
      <w:r w:rsidR="00A504E1" w:rsidRPr="007D6C3F">
        <w:t xml:space="preserve">upheld </w:t>
      </w:r>
      <w:r w:rsidRPr="007D6C3F">
        <w:t xml:space="preserve">in assessing the author’s application for asylum. The Migration </w:t>
      </w:r>
      <w:r w:rsidR="00C66259" w:rsidRPr="007D6C3F">
        <w:t>Board</w:t>
      </w:r>
      <w:r w:rsidRPr="007D6C3F">
        <w:t xml:space="preserve"> conducted several interviews with the author in the presence of public counsel and interpreters, who the author confirmed understood his language well. Therefore, the author had several opportunities to explain the relevant facts and circumstances in support of his claim</w:t>
      </w:r>
      <w:r w:rsidR="00E41402" w:rsidRPr="007D6C3F">
        <w:t>s</w:t>
      </w:r>
      <w:r w:rsidRPr="007D6C3F">
        <w:t xml:space="preserve"> and to argue his case, orally </w:t>
      </w:r>
      <w:r w:rsidR="00DC4A46" w:rsidRPr="007D6C3F">
        <w:t>and in</w:t>
      </w:r>
      <w:r w:rsidRPr="007D6C3F">
        <w:t xml:space="preserve"> writing before the Migration </w:t>
      </w:r>
      <w:r w:rsidR="00C66259" w:rsidRPr="007D6C3F">
        <w:t>Board</w:t>
      </w:r>
      <w:r w:rsidRPr="007D6C3F">
        <w:t xml:space="preserve"> and, in writing, before the Migration Court.</w:t>
      </w:r>
      <w:r w:rsidR="001664A9" w:rsidRPr="007D6C3F">
        <w:t xml:space="preserve"> Thus, </w:t>
      </w:r>
      <w:r w:rsidR="001664A9" w:rsidRPr="007D6C3F">
        <w:rPr>
          <w:szCs w:val="18"/>
        </w:rPr>
        <w:t xml:space="preserve">the Migration </w:t>
      </w:r>
      <w:r w:rsidR="00C66259" w:rsidRPr="007D6C3F">
        <w:rPr>
          <w:szCs w:val="18"/>
        </w:rPr>
        <w:t>Board</w:t>
      </w:r>
      <w:r w:rsidR="001664A9" w:rsidRPr="007D6C3F">
        <w:rPr>
          <w:szCs w:val="18"/>
        </w:rPr>
        <w:t xml:space="preserve"> and the Migration Court have thoroughly examined all the facts of the author’s case, whereby they have considered whether his claims are coherent and detailed and whether they contradict generally known facts or available </w:t>
      </w:r>
      <w:r w:rsidR="00E41402" w:rsidRPr="007D6C3F">
        <w:rPr>
          <w:szCs w:val="18"/>
        </w:rPr>
        <w:t xml:space="preserve">information on the </w:t>
      </w:r>
      <w:r w:rsidR="001664A9" w:rsidRPr="007D6C3F">
        <w:rPr>
          <w:szCs w:val="18"/>
        </w:rPr>
        <w:t>country of origin.</w:t>
      </w:r>
    </w:p>
    <w:p w14:paraId="40F6D4E9" w14:textId="0FA07230" w:rsidR="00AA5FB6" w:rsidRPr="007D6C3F" w:rsidRDefault="00AA5FB6" w:rsidP="006A1BF6">
      <w:pPr>
        <w:pStyle w:val="SingleTxtG"/>
      </w:pPr>
      <w:r w:rsidRPr="007D6C3F">
        <w:t>4.</w:t>
      </w:r>
      <w:r w:rsidR="001664A9" w:rsidRPr="007D6C3F">
        <w:t>8</w:t>
      </w:r>
      <w:r w:rsidRPr="007D6C3F">
        <w:tab/>
        <w:t>Against th</w:t>
      </w:r>
      <w:r w:rsidR="00BF2A29" w:rsidRPr="007D6C3F">
        <w:t>is</w:t>
      </w:r>
      <w:r w:rsidRPr="007D6C3F">
        <w:t xml:space="preserve"> backdrop, the State party holds that it must be considered that the Migration </w:t>
      </w:r>
      <w:r w:rsidR="00C66259" w:rsidRPr="007D6C3F">
        <w:t>Board</w:t>
      </w:r>
      <w:r w:rsidRPr="007D6C3F">
        <w:t xml:space="preserve"> and the Migration Court had sufficient information, together with the facts and evidence with regard to the present case, to ensure that they had a solid basis </w:t>
      </w:r>
      <w:r w:rsidR="00E41402" w:rsidRPr="007D6C3F">
        <w:t>to make</w:t>
      </w:r>
      <w:r w:rsidRPr="007D6C3F">
        <w:t xml:space="preserve"> a well-informed, transparent and reasonable risk assessment concerning the author’s need for protection in Sweden. In view of the fact that the Migration </w:t>
      </w:r>
      <w:r w:rsidR="00C66259" w:rsidRPr="007D6C3F">
        <w:t>Board</w:t>
      </w:r>
      <w:r w:rsidRPr="007D6C3F">
        <w:t xml:space="preserve"> and the </w:t>
      </w:r>
      <w:r w:rsidR="00BF2A29" w:rsidRPr="007D6C3F">
        <w:t>M</w:t>
      </w:r>
      <w:r w:rsidRPr="007D6C3F">
        <w:t xml:space="preserve">igration </w:t>
      </w:r>
      <w:r w:rsidR="00BF2A29" w:rsidRPr="007D6C3F">
        <w:t>C</w:t>
      </w:r>
      <w:r w:rsidRPr="007D6C3F">
        <w:t xml:space="preserve">ourt are specialized bodies, with particular expertise in the field of asylum law and practice, the State party contends that there is no reason to conclude that the national rulings were inadequate or that the outcome of the domestic proceedings was in any way arbitrary or that it amounted to a denial of justice. Accordingly, the State party holds that considerable weight must be attached to the </w:t>
      </w:r>
      <w:r w:rsidR="00DC4A46" w:rsidRPr="007D6C3F">
        <w:t>conclusions of</w:t>
      </w:r>
      <w:r w:rsidRPr="007D6C3F">
        <w:t xml:space="preserve"> the Swedish migration authorities.</w:t>
      </w:r>
      <w:r w:rsidR="00B72FED" w:rsidRPr="007D6C3F">
        <w:t xml:space="preserve"> </w:t>
      </w:r>
    </w:p>
    <w:p w14:paraId="7A5122C5" w14:textId="0E285420" w:rsidR="00AA5FB6" w:rsidRPr="007D6C3F" w:rsidRDefault="001664A9" w:rsidP="006A1BF6">
      <w:pPr>
        <w:pStyle w:val="SingleTxtG"/>
      </w:pPr>
      <w:r w:rsidRPr="007D6C3F">
        <w:t>4.</w:t>
      </w:r>
      <w:r w:rsidRPr="007D6C3F">
        <w:rPr>
          <w:lang w:eastAsia="ja-JP"/>
        </w:rPr>
        <w:t>9</w:t>
      </w:r>
      <w:r w:rsidRPr="007D6C3F">
        <w:rPr>
          <w:lang w:eastAsia="ja-JP"/>
        </w:rPr>
        <w:tab/>
      </w:r>
      <w:r w:rsidR="00AA5FB6" w:rsidRPr="007D6C3F">
        <w:t xml:space="preserve">Concerning the claims that the author would be at risk of persecution upon his return to Afghanistan, given that he has </w:t>
      </w:r>
      <w:r w:rsidR="00BA3A07">
        <w:t>converted away from</w:t>
      </w:r>
      <w:r w:rsidR="00AA5FB6" w:rsidRPr="007D6C3F">
        <w:t xml:space="preserve"> Islam, </w:t>
      </w:r>
      <w:r w:rsidR="00B72FED" w:rsidRPr="007D6C3F">
        <w:t>the State party concedes that Christian</w:t>
      </w:r>
      <w:r w:rsidR="00E41402" w:rsidRPr="007D6C3F">
        <w:t>s</w:t>
      </w:r>
      <w:r w:rsidR="00B72FED" w:rsidRPr="007D6C3F">
        <w:t xml:space="preserve"> and Christian converts in </w:t>
      </w:r>
      <w:r w:rsidR="00A42EA0" w:rsidRPr="007D6C3F">
        <w:t>Afghanistan</w:t>
      </w:r>
      <w:r w:rsidR="00B72FED" w:rsidRPr="007D6C3F">
        <w:t xml:space="preserve"> run a real risk of being subjected to persecu</w:t>
      </w:r>
      <w:r w:rsidR="000935C1" w:rsidRPr="007D6C3F">
        <w:t>t</w:t>
      </w:r>
      <w:r w:rsidR="00B72FED" w:rsidRPr="007D6C3F">
        <w:t>ion warranting international protection. However, the question is whether the author’s alleged Christian faith is based on genuine personal religious conviction</w:t>
      </w:r>
      <w:r w:rsidR="00812DE8" w:rsidRPr="007D6C3F">
        <w:t>. The State p</w:t>
      </w:r>
      <w:r w:rsidR="00D92FE5" w:rsidRPr="007D6C3F">
        <w:t>ar</w:t>
      </w:r>
      <w:r w:rsidR="00812DE8" w:rsidRPr="007D6C3F">
        <w:t xml:space="preserve">ty </w:t>
      </w:r>
      <w:proofErr w:type="gramStart"/>
      <w:r w:rsidR="00E41402" w:rsidRPr="007D6C3F">
        <w:t xml:space="preserve">contests </w:t>
      </w:r>
      <w:r w:rsidR="00812DE8" w:rsidRPr="007D6C3F">
        <w:t xml:space="preserve"> that</w:t>
      </w:r>
      <w:proofErr w:type="gramEnd"/>
      <w:r w:rsidR="00812DE8" w:rsidRPr="007D6C3F">
        <w:t xml:space="preserve"> the author’s conversion </w:t>
      </w:r>
      <w:r w:rsidR="00E41402" w:rsidRPr="007D6C3F">
        <w:t>was</w:t>
      </w:r>
      <w:r w:rsidR="00812DE8" w:rsidRPr="007D6C3F">
        <w:t xml:space="preserve"> based on genuine faith </w:t>
      </w:r>
      <w:r w:rsidRPr="007D6C3F">
        <w:t>as</w:t>
      </w:r>
      <w:r w:rsidR="00812DE8" w:rsidRPr="007D6C3F">
        <w:t xml:space="preserve"> it was submitted at </w:t>
      </w:r>
      <w:r w:rsidR="00E41402" w:rsidRPr="007D6C3F">
        <w:t xml:space="preserve">a </w:t>
      </w:r>
      <w:r w:rsidR="00812DE8" w:rsidRPr="007D6C3F">
        <w:t xml:space="preserve">very late stage of the asylum proceedings, </w:t>
      </w:r>
      <w:r w:rsidR="00B72FED" w:rsidRPr="007D6C3F">
        <w:t xml:space="preserve">after the expulsion order had gained legal force </w:t>
      </w:r>
      <w:r w:rsidR="00812DE8" w:rsidRPr="007D6C3F">
        <w:t xml:space="preserve">and </w:t>
      </w:r>
      <w:r w:rsidR="00B72FED" w:rsidRPr="007D6C3F">
        <w:t>when the author was detained by</w:t>
      </w:r>
      <w:r w:rsidR="00812DE8" w:rsidRPr="007D6C3F">
        <w:t xml:space="preserve"> enforcing police authority. Furth</w:t>
      </w:r>
      <w:r w:rsidR="00D92FE5" w:rsidRPr="007D6C3F">
        <w:t>er</w:t>
      </w:r>
      <w:r w:rsidR="00812DE8" w:rsidRPr="007D6C3F">
        <w:t xml:space="preserve">more, </w:t>
      </w:r>
      <w:r w:rsidR="00B72FED" w:rsidRPr="007D6C3F">
        <w:t xml:space="preserve">the author did not provide a reasonable explanation as to why he did not mention that his religious beliefs had changed during the proceedings of his first application for re-examination of his case. </w:t>
      </w:r>
      <w:r w:rsidR="00D41512" w:rsidRPr="007D6C3F">
        <w:t xml:space="preserve">The State party also argues that the author’s account of his thoughts and reflections about his </w:t>
      </w:r>
      <w:r w:rsidR="00D41512" w:rsidRPr="007D6C3F">
        <w:lastRenderedPageBreak/>
        <w:t xml:space="preserve">faith has been deemed by the national instances </w:t>
      </w:r>
      <w:r w:rsidR="000935C1" w:rsidRPr="007D6C3F">
        <w:t xml:space="preserve">to </w:t>
      </w:r>
      <w:r w:rsidR="00D41512" w:rsidRPr="007D6C3F">
        <w:t xml:space="preserve">be general descriptions and comparisons of Islam and Christianity. </w:t>
      </w:r>
      <w:r w:rsidR="00B72FED" w:rsidRPr="007D6C3F">
        <w:t xml:space="preserve">Thus, the State party </w:t>
      </w:r>
      <w:r w:rsidR="00E41402" w:rsidRPr="007D6C3F">
        <w:t>considers that the motives behind the conversion raise doubts and are questionable.</w:t>
      </w:r>
      <w:r w:rsidR="00B72FED" w:rsidRPr="007D6C3F">
        <w:t xml:space="preserve"> The State party notes that </w:t>
      </w:r>
      <w:r w:rsidR="000935C1" w:rsidRPr="007D6C3F">
        <w:t xml:space="preserve">the </w:t>
      </w:r>
      <w:r w:rsidR="00B72FED" w:rsidRPr="007D6C3F">
        <w:t xml:space="preserve">judgement of the District Court of </w:t>
      </w:r>
      <w:proofErr w:type="spellStart"/>
      <w:r w:rsidR="00B72FED" w:rsidRPr="007D6C3F">
        <w:t>Angermanland</w:t>
      </w:r>
      <w:proofErr w:type="spellEnd"/>
      <w:r w:rsidR="00B72FED" w:rsidRPr="007D6C3F">
        <w:t xml:space="preserve"> </w:t>
      </w:r>
      <w:r w:rsidR="00E41402" w:rsidRPr="007D6C3F">
        <w:t xml:space="preserve">does not contain any </w:t>
      </w:r>
      <w:r w:rsidR="00DC4A46" w:rsidRPr="007D6C3F">
        <w:t>information linked</w:t>
      </w:r>
      <w:r w:rsidR="00B72FED" w:rsidRPr="007D6C3F">
        <w:t xml:space="preserve"> to the author’s religious belief. Thus, the State party </w:t>
      </w:r>
      <w:r w:rsidR="00E41402" w:rsidRPr="007D6C3F">
        <w:t>is of the view</w:t>
      </w:r>
      <w:r w:rsidR="00B72FED" w:rsidRPr="007D6C3F">
        <w:t xml:space="preserve"> that the author has not plausibly demonstrated that he has converted from Isla</w:t>
      </w:r>
      <w:r w:rsidR="006F2D75" w:rsidRPr="007D6C3F">
        <w:t>m</w:t>
      </w:r>
      <w:r w:rsidR="00B72FED" w:rsidRPr="007D6C3F">
        <w:t xml:space="preserve"> to Christianity out of genuine religious conviction. Nor can it be assumed that there is a threat against him due to his father’s or anyone else’s awareness of his baptism in Sweden, or that he in some other way risks being ascribed a religious view. </w:t>
      </w:r>
    </w:p>
    <w:p w14:paraId="19A90692" w14:textId="3C301383" w:rsidR="00B72FED" w:rsidRPr="007D6C3F" w:rsidRDefault="00B72FED" w:rsidP="00AA5FB6">
      <w:pPr>
        <w:pStyle w:val="SingleTxtG"/>
      </w:pPr>
      <w:r w:rsidRPr="007D6C3F">
        <w:t>4.1</w:t>
      </w:r>
      <w:r w:rsidR="002634FB" w:rsidRPr="007D6C3F">
        <w:t>0</w:t>
      </w:r>
      <w:r w:rsidRPr="007D6C3F">
        <w:tab/>
        <w:t xml:space="preserve">The State party also notes that the author has never mentioned, either in his initial asylum application in Sweden or later during the domestic re-examination of his case, that </w:t>
      </w:r>
      <w:r w:rsidR="00D42020" w:rsidRPr="007D6C3F">
        <w:t>he</w:t>
      </w:r>
      <w:r w:rsidRPr="007D6C3F">
        <w:t xml:space="preserve"> </w:t>
      </w:r>
      <w:r w:rsidR="00D42020" w:rsidRPr="007D6C3F">
        <w:t>had been</w:t>
      </w:r>
      <w:r w:rsidRPr="007D6C3F">
        <w:t xml:space="preserve"> subjected to beatings as punishment for </w:t>
      </w:r>
      <w:r w:rsidR="00634649" w:rsidRPr="007D6C3F">
        <w:t>being critical agains</w:t>
      </w:r>
      <w:r w:rsidR="00D92FE5" w:rsidRPr="007D6C3F">
        <w:t>t</w:t>
      </w:r>
      <w:r w:rsidR="00634649" w:rsidRPr="007D6C3F">
        <w:t xml:space="preserve"> Islam </w:t>
      </w:r>
      <w:r w:rsidRPr="007D6C3F">
        <w:t xml:space="preserve">or that he had had any connections to Christianity while in Iran. </w:t>
      </w:r>
      <w:proofErr w:type="gramStart"/>
      <w:r w:rsidRPr="007D6C3F">
        <w:t>Thus</w:t>
      </w:r>
      <w:proofErr w:type="gramEnd"/>
      <w:r w:rsidRPr="007D6C3F">
        <w:t xml:space="preserve"> these are new claims submitted before the Committee and which have not been made before the domestic migration authorities. The State party thus strongly question</w:t>
      </w:r>
      <w:r w:rsidR="00144B03" w:rsidRPr="007D6C3F">
        <w:t>s</w:t>
      </w:r>
      <w:r w:rsidRPr="007D6C3F">
        <w:t xml:space="preserve"> the veracity of these claims.</w:t>
      </w:r>
    </w:p>
    <w:p w14:paraId="74841B23" w14:textId="17917FCA" w:rsidR="00E84E03" w:rsidRPr="007D6C3F" w:rsidRDefault="002634FB" w:rsidP="00E84E03">
      <w:pPr>
        <w:pStyle w:val="SingleTxtG"/>
      </w:pPr>
      <w:r w:rsidRPr="007D6C3F">
        <w:t>4.11</w:t>
      </w:r>
      <w:r w:rsidR="00E84E03" w:rsidRPr="007D6C3F">
        <w:tab/>
        <w:t xml:space="preserve">The State party also adds some facts that on 25 August 2017, the Migration </w:t>
      </w:r>
      <w:r w:rsidR="00C66259" w:rsidRPr="007D6C3F">
        <w:t>Board</w:t>
      </w:r>
      <w:r w:rsidR="00E84E03" w:rsidRPr="007D6C3F">
        <w:t xml:space="preserve"> was informed by the District Court of </w:t>
      </w:r>
      <w:proofErr w:type="spellStart"/>
      <w:r w:rsidR="00E84E03" w:rsidRPr="007D6C3F">
        <w:t>Angermanland</w:t>
      </w:r>
      <w:proofErr w:type="spellEnd"/>
      <w:r w:rsidR="00E84E03" w:rsidRPr="007D6C3F">
        <w:t xml:space="preserve"> that the author had been detained, as he was suspected of molestation and attempted manslaughter. On 18 September 2017, the </w:t>
      </w:r>
      <w:r w:rsidR="00C66259" w:rsidRPr="007D6C3F">
        <w:t>Board</w:t>
      </w:r>
      <w:r w:rsidR="00E84E03" w:rsidRPr="007D6C3F">
        <w:t xml:space="preserve"> was further informed that the author had been released from detention. He had also been suspected of sexual molestation of a female employee at the migration boarding house and </w:t>
      </w:r>
      <w:r w:rsidR="004C3107" w:rsidRPr="007D6C3F">
        <w:t xml:space="preserve">of </w:t>
      </w:r>
      <w:r w:rsidR="00E84E03" w:rsidRPr="007D6C3F">
        <w:t>using drugs, which was reported from the migration boarding house to the social welfare committee with several notifications.</w:t>
      </w:r>
    </w:p>
    <w:p w14:paraId="18C02987" w14:textId="1B6951CC" w:rsidR="00AA5FB6" w:rsidRPr="007D6C3F" w:rsidRDefault="00AA5FB6" w:rsidP="00AA5FB6">
      <w:pPr>
        <w:pStyle w:val="SingleTxtG"/>
      </w:pPr>
      <w:r w:rsidRPr="007D6C3F">
        <w:t>4.1</w:t>
      </w:r>
      <w:r w:rsidR="002634FB" w:rsidRPr="007D6C3F">
        <w:t>2</w:t>
      </w:r>
      <w:r w:rsidRPr="007D6C3F">
        <w:tab/>
        <w:t xml:space="preserve">The State party holds that the author’s account and the facts </w:t>
      </w:r>
      <w:r w:rsidR="00D42020" w:rsidRPr="007D6C3F">
        <w:t xml:space="preserve">he </w:t>
      </w:r>
      <w:r w:rsidRPr="007D6C3F">
        <w:t xml:space="preserve">relied on are insufficient to conclude that the alleged risk of ill-treatment upon return to Afghanistan meets the requirements of being a foreseeable, real and personal risk. Consequently, </w:t>
      </w:r>
      <w:r w:rsidR="00812DE8" w:rsidRPr="007D6C3F">
        <w:t xml:space="preserve">it concludes that </w:t>
      </w:r>
      <w:r w:rsidRPr="007D6C3F">
        <w:t>enforcement of the expulsion order would not, under the present circumstances, constitute a violation of the obligations of Sweden under articles 6 or 7 of the Covenant.</w:t>
      </w:r>
    </w:p>
    <w:p w14:paraId="6968D730" w14:textId="797AAA55" w:rsidR="00111738" w:rsidRPr="007D6C3F" w:rsidRDefault="0081450D" w:rsidP="00AA5FB6">
      <w:pPr>
        <w:pStyle w:val="H23G"/>
        <w:ind w:left="0" w:firstLine="0"/>
      </w:pPr>
      <w:r w:rsidRPr="007D6C3F">
        <w:tab/>
      </w:r>
      <w:r w:rsidRPr="007D6C3F">
        <w:tab/>
      </w:r>
      <w:r w:rsidR="00111738" w:rsidRPr="007D6C3F">
        <w:t>Author’s comments on the State party’s observations on admissibility</w:t>
      </w:r>
      <w:r w:rsidR="00192C3F" w:rsidRPr="007D6C3F">
        <w:t xml:space="preserve"> and </w:t>
      </w:r>
      <w:r w:rsidR="00E80FF5" w:rsidRPr="007D6C3F">
        <w:t xml:space="preserve">the </w:t>
      </w:r>
      <w:r w:rsidR="00192C3F" w:rsidRPr="007D6C3F">
        <w:t xml:space="preserve">merits </w:t>
      </w:r>
    </w:p>
    <w:p w14:paraId="46011D70" w14:textId="2939DBA4" w:rsidR="00EF319D" w:rsidRPr="007D6C3F" w:rsidRDefault="00111738" w:rsidP="00EF319D">
      <w:pPr>
        <w:pStyle w:val="SingleTxtG"/>
      </w:pPr>
      <w:r w:rsidRPr="007D6C3F">
        <w:t>5.1</w:t>
      </w:r>
      <w:r w:rsidRPr="007D6C3F">
        <w:tab/>
      </w:r>
      <w:r w:rsidR="00F3486D" w:rsidRPr="007D6C3F">
        <w:t xml:space="preserve">On </w:t>
      </w:r>
      <w:r w:rsidR="001D7EFD" w:rsidRPr="007D6C3F">
        <w:t>29</w:t>
      </w:r>
      <w:r w:rsidR="009A3749" w:rsidRPr="007D6C3F">
        <w:t xml:space="preserve"> </w:t>
      </w:r>
      <w:r w:rsidR="001D7EFD" w:rsidRPr="007D6C3F">
        <w:t>October</w:t>
      </w:r>
      <w:r w:rsidR="009A3749" w:rsidRPr="007D6C3F">
        <w:t xml:space="preserve"> 201</w:t>
      </w:r>
      <w:r w:rsidR="00B72FED" w:rsidRPr="007D6C3F">
        <w:t>8</w:t>
      </w:r>
      <w:r w:rsidRPr="007D6C3F">
        <w:t xml:space="preserve">, the author </w:t>
      </w:r>
      <w:r w:rsidR="00F3486D" w:rsidRPr="007D6C3F">
        <w:t>submit</w:t>
      </w:r>
      <w:r w:rsidR="004C3107" w:rsidRPr="007D6C3F">
        <w:t>ted</w:t>
      </w:r>
      <w:r w:rsidR="00F3486D" w:rsidRPr="007D6C3F">
        <w:t xml:space="preserve"> </w:t>
      </w:r>
      <w:r w:rsidR="006D5A9D" w:rsidRPr="007D6C3F">
        <w:t xml:space="preserve">his </w:t>
      </w:r>
      <w:r w:rsidR="00F3486D" w:rsidRPr="007D6C3F">
        <w:t>comments on the State party’s observations on admissibility and merit</w:t>
      </w:r>
      <w:r w:rsidR="009A665E" w:rsidRPr="007D6C3F">
        <w:t>s</w:t>
      </w:r>
      <w:r w:rsidR="00F3486D" w:rsidRPr="007D6C3F">
        <w:t>.</w:t>
      </w:r>
    </w:p>
    <w:p w14:paraId="42EC5A90" w14:textId="39BD0310" w:rsidR="00EF319D" w:rsidRPr="007D6C3F" w:rsidRDefault="002D16DE" w:rsidP="007F684D">
      <w:pPr>
        <w:pStyle w:val="SingleTxtG"/>
      </w:pPr>
      <w:r w:rsidRPr="007D6C3F">
        <w:t>5.2</w:t>
      </w:r>
      <w:r w:rsidRPr="007D6C3F">
        <w:tab/>
      </w:r>
      <w:r w:rsidR="00EF319D" w:rsidRPr="007D6C3F">
        <w:t xml:space="preserve">Regarding the admissibility of the case, the author confirms that the same matter is not being examined nor has been examined under another procedure of international investigation. The author also contends that given what is elaborated in </w:t>
      </w:r>
      <w:r w:rsidR="006D5A9D" w:rsidRPr="007D6C3F">
        <w:t xml:space="preserve">his </w:t>
      </w:r>
      <w:r w:rsidR="00EF319D" w:rsidRPr="007D6C3F">
        <w:t xml:space="preserve">initial submission and the present comments, his claims are substantiated enough for the purpose of admissibility. </w:t>
      </w:r>
    </w:p>
    <w:p w14:paraId="7830B09B" w14:textId="7D3D2895" w:rsidR="00EF319D" w:rsidRPr="007D6C3F" w:rsidRDefault="00EF319D" w:rsidP="00EF319D">
      <w:pPr>
        <w:pStyle w:val="SingleTxtG"/>
      </w:pPr>
      <w:r w:rsidRPr="007D6C3F">
        <w:t>5.3</w:t>
      </w:r>
      <w:r w:rsidRPr="007D6C3F">
        <w:tab/>
        <w:t>As for the merits of the case, the author argues that it is not sufficient that the Aliens Act reflects the same principles as those laid down in article 6</w:t>
      </w:r>
      <w:r w:rsidR="00ED5F80" w:rsidRPr="007D6C3F">
        <w:t xml:space="preserve"> </w:t>
      </w:r>
      <w:r w:rsidRPr="007D6C3F">
        <w:t>(1) and 7 of the Covenant</w:t>
      </w:r>
      <w:r w:rsidR="00830F11" w:rsidRPr="007D6C3F">
        <w:t xml:space="preserve"> for</w:t>
      </w:r>
      <w:r w:rsidRPr="007D6C3F">
        <w:t xml:space="preserve"> these rights to be exercised in practice and not to be just an abstract principle</w:t>
      </w:r>
      <w:r w:rsidR="00830F11" w:rsidRPr="007D6C3F">
        <w:t xml:space="preserve">. </w:t>
      </w:r>
    </w:p>
    <w:p w14:paraId="0FC402D5" w14:textId="2E4AD79D" w:rsidR="007F684D" w:rsidRPr="007D6C3F" w:rsidRDefault="00EF319D" w:rsidP="006A1BF6">
      <w:pPr>
        <w:pStyle w:val="SingleTxtG"/>
      </w:pPr>
      <w:r w:rsidRPr="007D6C3F">
        <w:t>5.4</w:t>
      </w:r>
      <w:r w:rsidRPr="007D6C3F">
        <w:tab/>
      </w:r>
      <w:r w:rsidR="00220FEC" w:rsidRPr="007D6C3F">
        <w:t>The</w:t>
      </w:r>
      <w:r w:rsidRPr="007D6C3F">
        <w:t xml:space="preserve"> author contests the State party’s allegation that </w:t>
      </w:r>
      <w:r w:rsidR="009A0C0F" w:rsidRPr="007D6C3F">
        <w:t xml:space="preserve">the author’s case </w:t>
      </w:r>
      <w:r w:rsidRPr="007D6C3F">
        <w:t>was</w:t>
      </w:r>
      <w:r w:rsidR="00ED5F80" w:rsidRPr="007D6C3F">
        <w:t xml:space="preserve"> </w:t>
      </w:r>
      <w:r w:rsidR="009A0C0F" w:rsidRPr="007D6C3F">
        <w:t xml:space="preserve">“thoroughly” examined by the national migration authorities, given that he was interviewed only once in June 2016. Contrary to the State party’s </w:t>
      </w:r>
      <w:r w:rsidRPr="007D6C3F">
        <w:t>observation</w:t>
      </w:r>
      <w:r w:rsidR="00830F11" w:rsidRPr="007D6C3F">
        <w:t>s</w:t>
      </w:r>
      <w:r w:rsidR="009A0C0F" w:rsidRPr="007D6C3F">
        <w:t xml:space="preserve">, the author’s allegations on the conversion and threats from his father have </w:t>
      </w:r>
      <w:r w:rsidR="007F684D" w:rsidRPr="007D6C3F">
        <w:t xml:space="preserve">never </w:t>
      </w:r>
      <w:r w:rsidR="009A0C0F" w:rsidRPr="007D6C3F">
        <w:t xml:space="preserve">been heard </w:t>
      </w:r>
      <w:r w:rsidR="00D41512" w:rsidRPr="007D6C3F">
        <w:t>in oral interview</w:t>
      </w:r>
      <w:r w:rsidR="00830F11" w:rsidRPr="007D6C3F">
        <w:t>s</w:t>
      </w:r>
      <w:r w:rsidR="00D41512" w:rsidRPr="007D6C3F">
        <w:t xml:space="preserve"> or investigat</w:t>
      </w:r>
      <w:r w:rsidR="00830F11" w:rsidRPr="007D6C3F">
        <w:t>ed</w:t>
      </w:r>
      <w:r w:rsidR="00D41512" w:rsidRPr="007D6C3F">
        <w:t xml:space="preserve"> </w:t>
      </w:r>
      <w:r w:rsidR="009A0C0F" w:rsidRPr="007D6C3F">
        <w:t xml:space="preserve">by any authorities despite the </w:t>
      </w:r>
      <w:r w:rsidR="00830F11" w:rsidRPr="007D6C3F">
        <w:t xml:space="preserve">author’s </w:t>
      </w:r>
      <w:r w:rsidR="00D41512" w:rsidRPr="007D6C3F">
        <w:t xml:space="preserve">request </w:t>
      </w:r>
      <w:r w:rsidR="00830F11" w:rsidRPr="007D6C3F">
        <w:t xml:space="preserve">to be heard in an </w:t>
      </w:r>
      <w:r w:rsidR="00D41512" w:rsidRPr="007D6C3F">
        <w:t xml:space="preserve">oral </w:t>
      </w:r>
      <w:r w:rsidR="00830F11" w:rsidRPr="007D6C3F">
        <w:t>procedure</w:t>
      </w:r>
      <w:r w:rsidR="009A0C0F" w:rsidRPr="007D6C3F">
        <w:t>.</w:t>
      </w:r>
      <w:r w:rsidR="000935C1" w:rsidRPr="007D6C3F">
        <w:t xml:space="preserve"> The author </w:t>
      </w:r>
      <w:r w:rsidR="00830F11" w:rsidRPr="007D6C3F">
        <w:t xml:space="preserve">states </w:t>
      </w:r>
      <w:r w:rsidR="000935C1" w:rsidRPr="007D6C3F">
        <w:t xml:space="preserve">that he has never been given </w:t>
      </w:r>
      <w:r w:rsidR="00830F11" w:rsidRPr="007D6C3F">
        <w:t>a</w:t>
      </w:r>
      <w:r w:rsidR="000935C1" w:rsidRPr="007D6C3F">
        <w:t xml:space="preserve"> proper chance to </w:t>
      </w:r>
      <w:r w:rsidRPr="007D6C3F">
        <w:t>substantiate his claims with</w:t>
      </w:r>
      <w:r w:rsidR="000935C1" w:rsidRPr="007D6C3F">
        <w:t xml:space="preserve"> a case officer at the Migration </w:t>
      </w:r>
      <w:r w:rsidR="00C66259" w:rsidRPr="007D6C3F">
        <w:t>Board</w:t>
      </w:r>
      <w:r w:rsidR="000935C1" w:rsidRPr="007D6C3F">
        <w:t xml:space="preserve"> without his parents’ presence.</w:t>
      </w:r>
      <w:r w:rsidR="000935C1" w:rsidRPr="007D6C3F">
        <w:rPr>
          <w:rStyle w:val="FootnoteReference"/>
        </w:rPr>
        <w:footnoteReference w:id="25"/>
      </w:r>
      <w:r w:rsidR="000935C1" w:rsidRPr="007D6C3F">
        <w:t xml:space="preserve"> </w:t>
      </w:r>
    </w:p>
    <w:p w14:paraId="4CC50C1F" w14:textId="5C5D3D80" w:rsidR="00481FE5" w:rsidRPr="007D6C3F" w:rsidRDefault="00EF319D" w:rsidP="006A1BF6">
      <w:pPr>
        <w:pStyle w:val="SingleTxtG"/>
      </w:pPr>
      <w:r w:rsidRPr="007D6C3F">
        <w:t>5.</w:t>
      </w:r>
      <w:r w:rsidR="00220FEC" w:rsidRPr="007D6C3F">
        <w:t>5</w:t>
      </w:r>
      <w:r w:rsidRPr="007D6C3F">
        <w:tab/>
      </w:r>
      <w:r w:rsidR="00220FEC" w:rsidRPr="007D6C3F">
        <w:t>In this connection, t</w:t>
      </w:r>
      <w:r w:rsidRPr="007D6C3F">
        <w:t xml:space="preserve">he author contests the State party’s allegation that </w:t>
      </w:r>
      <w:r w:rsidR="00AA33AB" w:rsidRPr="007D6C3F">
        <w:t>he</w:t>
      </w:r>
      <w:r w:rsidRPr="007D6C3F">
        <w:t xml:space="preserve"> lacks a valid excuse for having waited several months after his father left before he told the authorities about his conversion. He alleges that the authorities showed a total lack of consideration of the impact of abuse by caregivers and trauma on a young person. </w:t>
      </w:r>
      <w:r w:rsidR="0094646A" w:rsidRPr="007D6C3F">
        <w:t>T</w:t>
      </w:r>
      <w:r w:rsidR="00220FEC" w:rsidRPr="007D6C3F">
        <w:t xml:space="preserve">he District Court of </w:t>
      </w:r>
      <w:proofErr w:type="spellStart"/>
      <w:r w:rsidR="00220FEC" w:rsidRPr="007D6C3F">
        <w:t>Angermanland</w:t>
      </w:r>
      <w:proofErr w:type="spellEnd"/>
      <w:r w:rsidR="00220FEC" w:rsidRPr="007D6C3F">
        <w:t xml:space="preserve"> established that the father regularly resort</w:t>
      </w:r>
      <w:r w:rsidR="0094646A" w:rsidRPr="007D6C3F">
        <w:t>ed</w:t>
      </w:r>
      <w:r w:rsidR="00220FEC" w:rsidRPr="007D6C3F">
        <w:t xml:space="preserve"> to severe acts of violence against the children, which indicates his past abuse in Iran.</w:t>
      </w:r>
      <w:r w:rsidR="00287175" w:rsidRPr="007D6C3F">
        <w:t xml:space="preserve"> </w:t>
      </w:r>
      <w:r w:rsidR="00220FEC" w:rsidRPr="007D6C3F">
        <w:t xml:space="preserve">Thus, the </w:t>
      </w:r>
      <w:r w:rsidR="00287175" w:rsidRPr="007D6C3F">
        <w:t>author</w:t>
      </w:r>
      <w:r w:rsidR="00220FEC" w:rsidRPr="007D6C3F">
        <w:t xml:space="preserve"> </w:t>
      </w:r>
      <w:r w:rsidR="0094646A" w:rsidRPr="007D6C3F">
        <w:t xml:space="preserve">has </w:t>
      </w:r>
      <w:r w:rsidR="00220FEC" w:rsidRPr="007D6C3F">
        <w:t>lived in constant fear</w:t>
      </w:r>
      <w:r w:rsidR="00287175" w:rsidRPr="007D6C3F">
        <w:t xml:space="preserve"> </w:t>
      </w:r>
      <w:r w:rsidR="00287175" w:rsidRPr="007D6C3F">
        <w:lastRenderedPageBreak/>
        <w:t xml:space="preserve">and trauma, which </w:t>
      </w:r>
      <w:r w:rsidR="0094646A" w:rsidRPr="007D6C3F">
        <w:t xml:space="preserve">has </w:t>
      </w:r>
      <w:r w:rsidR="00287175" w:rsidRPr="007D6C3F">
        <w:t>exacerbated after the author came to Sweden</w:t>
      </w:r>
      <w:r w:rsidR="00220FEC" w:rsidRPr="007D6C3F">
        <w:t>.</w:t>
      </w:r>
      <w:r w:rsidR="00287175" w:rsidRPr="007D6C3F">
        <w:t xml:space="preserve"> </w:t>
      </w:r>
      <w:r w:rsidR="00481FE5" w:rsidRPr="007D6C3F">
        <w:t xml:space="preserve">The author </w:t>
      </w:r>
      <w:r w:rsidR="0094646A" w:rsidRPr="007D6C3F">
        <w:t xml:space="preserve">also </w:t>
      </w:r>
      <w:r w:rsidR="00481FE5" w:rsidRPr="007D6C3F">
        <w:t xml:space="preserve">emphasises that he </w:t>
      </w:r>
      <w:r w:rsidR="00287175" w:rsidRPr="007D6C3F">
        <w:t xml:space="preserve">shows </w:t>
      </w:r>
      <w:r w:rsidR="00580236" w:rsidRPr="007D6C3F">
        <w:t xml:space="preserve">the </w:t>
      </w:r>
      <w:r w:rsidR="00287175" w:rsidRPr="007D6C3F">
        <w:t>typical attitudes of persons who have suffered from repeated physical violence and abuse. He has tremors and hyperarousal, being constantly hyper-vigilant</w:t>
      </w:r>
      <w:r w:rsidR="00287175" w:rsidRPr="007D6C3F">
        <w:rPr>
          <w:rStyle w:val="FootnoteReference"/>
        </w:rPr>
        <w:footnoteReference w:id="26"/>
      </w:r>
      <w:r w:rsidR="00287175" w:rsidRPr="007D6C3F">
        <w:t xml:space="preserve"> He burst into tears without reason and has anxiety attacks. </w:t>
      </w:r>
      <w:r w:rsidR="00481FE5" w:rsidRPr="007D6C3F">
        <w:t>Nevertheless,</w:t>
      </w:r>
      <w:r w:rsidR="00580236" w:rsidRPr="007D6C3F">
        <w:t xml:space="preserve"> those facts have </w:t>
      </w:r>
      <w:r w:rsidR="00481FE5" w:rsidRPr="007D6C3F">
        <w:t>never</w:t>
      </w:r>
      <w:r w:rsidR="00580236" w:rsidRPr="007D6C3F">
        <w:t xml:space="preserve"> been considered by the </w:t>
      </w:r>
      <w:r w:rsidR="00481FE5" w:rsidRPr="007D6C3F">
        <w:t xml:space="preserve">migration </w:t>
      </w:r>
      <w:r w:rsidR="00580236" w:rsidRPr="007D6C3F">
        <w:t xml:space="preserve">authorities. </w:t>
      </w:r>
    </w:p>
    <w:p w14:paraId="2D0DF41F" w14:textId="10C2CDA3" w:rsidR="00481FE5" w:rsidRPr="007D6C3F" w:rsidRDefault="00481FE5" w:rsidP="006A1BF6">
      <w:pPr>
        <w:pStyle w:val="SingleTxtG"/>
      </w:pPr>
      <w:r w:rsidRPr="007D6C3F">
        <w:t>5.6</w:t>
      </w:r>
      <w:r w:rsidRPr="007D6C3F">
        <w:tab/>
      </w:r>
      <w:r w:rsidR="00580236" w:rsidRPr="007D6C3F">
        <w:t xml:space="preserve">The author </w:t>
      </w:r>
      <w:r w:rsidRPr="007D6C3F">
        <w:t>argues</w:t>
      </w:r>
      <w:r w:rsidR="00580236" w:rsidRPr="007D6C3F">
        <w:t xml:space="preserve"> that as the State party itself stresses, considerable weight must be given to the Swedish authorities’ own competence and the weight should be given to the conviction against the author’s father and the victimization of the author, which was disregarded in the asylum proceedings. </w:t>
      </w:r>
      <w:r w:rsidRPr="007D6C3F">
        <w:t xml:space="preserve">The author contests the decision of the Migration Court which refused to consider the judgement by the District Court of </w:t>
      </w:r>
      <w:proofErr w:type="spellStart"/>
      <w:r w:rsidR="00082547" w:rsidRPr="007D6C3F">
        <w:t>A</w:t>
      </w:r>
      <w:r w:rsidRPr="007D6C3F">
        <w:t>ngermanland</w:t>
      </w:r>
      <w:proofErr w:type="spellEnd"/>
      <w:r w:rsidRPr="007D6C3F">
        <w:t xml:space="preserve"> as new circumstances in the second application </w:t>
      </w:r>
      <w:r w:rsidR="00A8566A" w:rsidRPr="007D6C3F">
        <w:t xml:space="preserve">for </w:t>
      </w:r>
      <w:r w:rsidRPr="007D6C3F">
        <w:t>re-examination of this case.</w:t>
      </w:r>
      <w:r w:rsidR="00A8566A" w:rsidRPr="007D6C3F">
        <w:rPr>
          <w:rStyle w:val="FootnoteReference"/>
        </w:rPr>
        <w:footnoteReference w:id="27"/>
      </w:r>
      <w:r w:rsidRPr="007D6C3F">
        <w:t xml:space="preserve"> </w:t>
      </w:r>
      <w:r w:rsidR="00180D0F">
        <w:t xml:space="preserve">In this regard, the author submits that </w:t>
      </w:r>
      <w:r w:rsidRPr="007D6C3F">
        <w:t>it is not unusual that a prison sentence against a parent having assaulted his son does</w:t>
      </w:r>
      <w:r w:rsidR="00904AD1" w:rsidRPr="007D6C3F">
        <w:t xml:space="preserve"> not</w:t>
      </w:r>
      <w:r w:rsidRPr="007D6C3F">
        <w:t xml:space="preserve"> contain information about the motive of the assault</w:t>
      </w:r>
      <w:r w:rsidR="00904AD1" w:rsidRPr="007D6C3F">
        <w:t>,</w:t>
      </w:r>
      <w:r w:rsidRPr="007D6C3F">
        <w:t xml:space="preserve"> and this information should have been examined as new circumstances with the author’s oral investigation</w:t>
      </w:r>
      <w:r w:rsidR="00180D0F">
        <w:t xml:space="preserve"> in order to assess if there was a connection between</w:t>
      </w:r>
      <w:r w:rsidR="00180D0F" w:rsidRPr="007D6C3F">
        <w:t xml:space="preserve"> the author's conversion and </w:t>
      </w:r>
      <w:r w:rsidR="00180D0F">
        <w:t>his</w:t>
      </w:r>
      <w:r w:rsidR="00180D0F" w:rsidRPr="007D6C3F">
        <w:t xml:space="preserve"> father</w:t>
      </w:r>
      <w:r w:rsidR="00180D0F">
        <w:t>’</w:t>
      </w:r>
      <w:r w:rsidR="00180D0F" w:rsidRPr="007D6C3F">
        <w:t>s abuse</w:t>
      </w:r>
      <w:r w:rsidRPr="007D6C3F">
        <w:t>.</w:t>
      </w:r>
    </w:p>
    <w:p w14:paraId="681705BF" w14:textId="1C57AB60" w:rsidR="007F684D" w:rsidRPr="007D6C3F" w:rsidRDefault="00481FE5" w:rsidP="006A1BF6">
      <w:pPr>
        <w:pStyle w:val="SingleTxtG"/>
      </w:pPr>
      <w:r w:rsidRPr="007D6C3F">
        <w:t>5.7</w:t>
      </w:r>
      <w:r w:rsidRPr="007D6C3F">
        <w:tab/>
      </w:r>
      <w:r w:rsidR="00287175" w:rsidRPr="007D6C3F">
        <w:t xml:space="preserve">The author emphasises that </w:t>
      </w:r>
      <w:r w:rsidR="00580236" w:rsidRPr="007D6C3F">
        <w:t xml:space="preserve">although </w:t>
      </w:r>
      <w:r w:rsidR="00287175" w:rsidRPr="007D6C3F">
        <w:t>he lived in constant fear of his father, he still craved his father’s love</w:t>
      </w:r>
      <w:r w:rsidR="00580236" w:rsidRPr="007D6C3F">
        <w:t xml:space="preserve"> as children do</w:t>
      </w:r>
      <w:r w:rsidR="00287175" w:rsidRPr="007D6C3F">
        <w:t xml:space="preserve">. Thus, the fact that he said in the introductory interview that he wanted to bring his parents to Sweden if he </w:t>
      </w:r>
      <w:r w:rsidR="00904AD1" w:rsidRPr="007D6C3F">
        <w:t>were</w:t>
      </w:r>
      <w:r w:rsidR="00287175" w:rsidRPr="007D6C3F">
        <w:t xml:space="preserve"> given </w:t>
      </w:r>
      <w:r w:rsidR="00580236" w:rsidRPr="007D6C3F">
        <w:t xml:space="preserve">a </w:t>
      </w:r>
      <w:r w:rsidR="00287175" w:rsidRPr="007D6C3F">
        <w:t xml:space="preserve">residence permit cannot be seen as evidence that his father was not violent and cannot be given a higher value than a four-month-long prison sentence against his father for having subjected the author to physical violence. </w:t>
      </w:r>
      <w:r w:rsidR="00EF319D" w:rsidRPr="007D6C3F">
        <w:t xml:space="preserve">The author </w:t>
      </w:r>
      <w:r w:rsidR="00220FEC" w:rsidRPr="007D6C3F">
        <w:t xml:space="preserve">reiterates </w:t>
      </w:r>
      <w:r w:rsidR="00EF319D" w:rsidRPr="007D6C3F">
        <w:t xml:space="preserve">that it would not be possible </w:t>
      </w:r>
      <w:r w:rsidR="00AA33AB" w:rsidRPr="007D6C3F">
        <w:t>to assess the</w:t>
      </w:r>
      <w:r w:rsidR="00EF319D" w:rsidRPr="007D6C3F">
        <w:t xml:space="preserve"> credibility or the sincerity of the belief without having interviewed the person, in particular, to examine </w:t>
      </w:r>
      <w:r w:rsidR="00AA33AB" w:rsidRPr="007D6C3F">
        <w:t xml:space="preserve">the </w:t>
      </w:r>
      <w:r w:rsidR="00EF319D" w:rsidRPr="007D6C3F">
        <w:t>psychological aspect</w:t>
      </w:r>
      <w:r w:rsidR="00AA33AB" w:rsidRPr="007D6C3F">
        <w:t>s of the conversion</w:t>
      </w:r>
      <w:r w:rsidR="00EF319D" w:rsidRPr="007D6C3F">
        <w:t xml:space="preserve">. He further notes that he should have </w:t>
      </w:r>
      <w:r w:rsidR="00AA33AB" w:rsidRPr="007D6C3F">
        <w:t xml:space="preserve">at least </w:t>
      </w:r>
      <w:r w:rsidR="00EF319D" w:rsidRPr="007D6C3F">
        <w:t>been given the opportunity to answer to alleged deficiencies in credibility.</w:t>
      </w:r>
      <w:r w:rsidR="00220FEC" w:rsidRPr="007D6C3F">
        <w:t xml:space="preserve"> </w:t>
      </w:r>
    </w:p>
    <w:p w14:paraId="3D5EE0E1" w14:textId="74A220D7" w:rsidR="00580236" w:rsidRPr="007D6C3F" w:rsidRDefault="00580236" w:rsidP="006A1BF6">
      <w:pPr>
        <w:pStyle w:val="SingleTxtG"/>
      </w:pPr>
      <w:r w:rsidRPr="007D6C3F">
        <w:t>5.</w:t>
      </w:r>
      <w:r w:rsidR="00481FE5" w:rsidRPr="007D6C3F">
        <w:t>8</w:t>
      </w:r>
      <w:r w:rsidRPr="007D6C3F">
        <w:tab/>
        <w:t xml:space="preserve">The author also adds that the State party failed to take protective measures towards him and his brother as victims of abuse even though the case officer was informed that the father was physically abusing the author and his brother on 23 September 2016. This element was not considered a reason for protection. Thus, the author had been forced to stay with his parents even after he reported their abuse to the police. </w:t>
      </w:r>
    </w:p>
    <w:p w14:paraId="3D234E9C" w14:textId="0C0C840C" w:rsidR="00461840" w:rsidRPr="007D6C3F" w:rsidRDefault="00481FE5" w:rsidP="006A1BF6">
      <w:pPr>
        <w:pStyle w:val="SingleTxtG"/>
      </w:pPr>
      <w:r w:rsidRPr="007D6C3F">
        <w:t>5.9</w:t>
      </w:r>
      <w:r w:rsidR="00580236" w:rsidRPr="007D6C3F">
        <w:tab/>
        <w:t xml:space="preserve">The author reiterates that in </w:t>
      </w:r>
      <w:r w:rsidR="00683189" w:rsidRPr="007D6C3F">
        <w:t>Afghanistan</w:t>
      </w:r>
      <w:r w:rsidR="00580236" w:rsidRPr="007D6C3F">
        <w:t>, the tradition is strictly patriarchal</w:t>
      </w:r>
      <w:r w:rsidR="00DC4A46" w:rsidRPr="007D6C3F">
        <w:t>,</w:t>
      </w:r>
      <w:r w:rsidR="00580236" w:rsidRPr="007D6C3F">
        <w:t xml:space="preserve"> and revenge is seen as a virtue and as an absolute duty. The fact that a father who has been sentenced to prison for assault against his own children, abscond</w:t>
      </w:r>
      <w:r w:rsidR="00904AD1" w:rsidRPr="007D6C3F">
        <w:t>s</w:t>
      </w:r>
      <w:r w:rsidR="00580236" w:rsidRPr="007D6C3F">
        <w:t xml:space="preserve"> before the prison sentence is enforced must be seen as a warning signal. The author argues that considering all of those background elements, the State party has been particularly negligent in its obligation to protect human rights without discrimination since it did not give the author the chance of an oral hearing to substantiate his allegations, no</w:t>
      </w:r>
      <w:r w:rsidR="00904AD1" w:rsidRPr="007D6C3F">
        <w:t>r</w:t>
      </w:r>
      <w:r w:rsidR="00580236" w:rsidRPr="007D6C3F">
        <w:t xml:space="preserve"> weigh</w:t>
      </w:r>
      <w:r w:rsidR="00904AD1" w:rsidRPr="007D6C3F">
        <w:t>ed</w:t>
      </w:r>
      <w:r w:rsidR="00580236" w:rsidRPr="007D6C3F">
        <w:t xml:space="preserve"> the threat letter and the conviction of his father on a charge of child abuse.</w:t>
      </w:r>
      <w:r w:rsidR="00580236" w:rsidRPr="007D6C3F">
        <w:rPr>
          <w:rStyle w:val="FootnoteReference"/>
        </w:rPr>
        <w:footnoteReference w:id="28"/>
      </w:r>
      <w:r w:rsidR="00580236" w:rsidRPr="007D6C3F">
        <w:t xml:space="preserve"> </w:t>
      </w:r>
    </w:p>
    <w:p w14:paraId="3AD049DA" w14:textId="45958A49" w:rsidR="004C63A1" w:rsidRPr="007D6C3F" w:rsidRDefault="004C63A1" w:rsidP="007F684D">
      <w:pPr>
        <w:pStyle w:val="SingleTxtG"/>
      </w:pPr>
      <w:r w:rsidRPr="007D6C3F">
        <w:t>5.</w:t>
      </w:r>
      <w:r w:rsidR="00461840" w:rsidRPr="007D6C3F">
        <w:t>10</w:t>
      </w:r>
      <w:r w:rsidRPr="007D6C3F">
        <w:tab/>
        <w:t xml:space="preserve">The author also adds that he </w:t>
      </w:r>
      <w:r w:rsidR="00BF4618" w:rsidRPr="007D6C3F">
        <w:t>has no</w:t>
      </w:r>
      <w:r w:rsidRPr="007D6C3F">
        <w:t xml:space="preserve"> social network in Afghanistan </w:t>
      </w:r>
      <w:r w:rsidR="00BF4618" w:rsidRPr="007D6C3F">
        <w:t>other than his abusive parents</w:t>
      </w:r>
      <w:r w:rsidR="00EF319D" w:rsidRPr="007D6C3F">
        <w:t xml:space="preserve">, which makes </w:t>
      </w:r>
      <w:r w:rsidR="00BF4618" w:rsidRPr="007D6C3F">
        <w:t xml:space="preserve">him in need </w:t>
      </w:r>
      <w:r w:rsidR="000343FF">
        <w:t>of</w:t>
      </w:r>
      <w:r w:rsidR="000343FF" w:rsidRPr="007D6C3F">
        <w:t xml:space="preserve"> </w:t>
      </w:r>
      <w:r w:rsidRPr="007D6C3F">
        <w:t xml:space="preserve">protection </w:t>
      </w:r>
      <w:r w:rsidR="00EF319D" w:rsidRPr="007D6C3F">
        <w:t xml:space="preserve">in particular </w:t>
      </w:r>
      <w:r w:rsidRPr="007D6C3F">
        <w:t>as there is a concrete threat against him from his father.</w:t>
      </w:r>
      <w:r w:rsidR="0026030D" w:rsidRPr="007D6C3F">
        <w:rPr>
          <w:rStyle w:val="FootnoteReference"/>
        </w:rPr>
        <w:footnoteReference w:id="29"/>
      </w:r>
      <w:r w:rsidR="00EF319D" w:rsidRPr="007D6C3F">
        <w:t xml:space="preserve"> The author also reiterates the severe human rights situation regarding the persecution and execution of Christian convert</w:t>
      </w:r>
      <w:r w:rsidR="00BF4618" w:rsidRPr="007D6C3F">
        <w:t>s</w:t>
      </w:r>
      <w:r w:rsidR="00EF319D" w:rsidRPr="007D6C3F">
        <w:t xml:space="preserve">. The author adds that though the State party focuses on the security situation </w:t>
      </w:r>
      <w:r w:rsidR="00BF4618" w:rsidRPr="007D6C3F">
        <w:t>in the country</w:t>
      </w:r>
      <w:r w:rsidR="00EF319D" w:rsidRPr="007D6C3F">
        <w:t xml:space="preserve">, the risk </w:t>
      </w:r>
      <w:r w:rsidR="00BF4618" w:rsidRPr="007D6C3F">
        <w:t>he would face as an apostate makes the risk concrete and personal.</w:t>
      </w:r>
    </w:p>
    <w:p w14:paraId="415CEE9D" w14:textId="54CB74A3" w:rsidR="003702A7" w:rsidRPr="007D6C3F" w:rsidRDefault="003702A7" w:rsidP="006A1BF6">
      <w:pPr>
        <w:pStyle w:val="SingleTxtG"/>
      </w:pPr>
      <w:r w:rsidRPr="007D6C3F">
        <w:t>5.1</w:t>
      </w:r>
      <w:r w:rsidR="00461840" w:rsidRPr="007D6C3F">
        <w:t>1</w:t>
      </w:r>
      <w:r w:rsidRPr="007D6C3F">
        <w:tab/>
        <w:t xml:space="preserve">The author also confirms that </w:t>
      </w:r>
      <w:r w:rsidR="00BF4618" w:rsidRPr="007D6C3F">
        <w:t>he</w:t>
      </w:r>
      <w:r w:rsidRPr="007D6C3F">
        <w:t xml:space="preserve"> </w:t>
      </w:r>
      <w:r w:rsidR="00EF319D" w:rsidRPr="007D6C3F">
        <w:t>has</w:t>
      </w:r>
      <w:r w:rsidRPr="007D6C3F">
        <w:t xml:space="preserve"> not </w:t>
      </w:r>
      <w:r w:rsidR="00EF319D" w:rsidRPr="007D6C3F">
        <w:t xml:space="preserve">been </w:t>
      </w:r>
      <w:r w:rsidRPr="007D6C3F">
        <w:t xml:space="preserve">sentenced to any crime </w:t>
      </w:r>
      <w:r w:rsidR="00BF4618" w:rsidRPr="007D6C3F">
        <w:t>except</w:t>
      </w:r>
      <w:r w:rsidRPr="007D6C3F">
        <w:t xml:space="preserve"> f</w:t>
      </w:r>
      <w:r w:rsidR="00904AD1" w:rsidRPr="007D6C3F">
        <w:t>or</w:t>
      </w:r>
      <w:r w:rsidRPr="007D6C3F">
        <w:t xml:space="preserve"> having smoked a hash-cigarette, for which he paid a fine. The author </w:t>
      </w:r>
      <w:r w:rsidR="00D56982" w:rsidRPr="007D6C3F">
        <w:t>notes</w:t>
      </w:r>
      <w:r w:rsidRPr="007D6C3F">
        <w:t xml:space="preserve"> that th</w:t>
      </w:r>
      <w:r w:rsidR="00EF319D" w:rsidRPr="007D6C3F">
        <w:t xml:space="preserve">e fact that he was indicted for a minor drug offense and that he was suspected of sexual molestation of a female employee at the migration boarding house are not relevant </w:t>
      </w:r>
      <w:r w:rsidR="00BF4618" w:rsidRPr="007D6C3F">
        <w:t>to his non-refoulement</w:t>
      </w:r>
      <w:r w:rsidR="00EF319D" w:rsidRPr="007D6C3F">
        <w:t xml:space="preserve"> case. </w:t>
      </w:r>
    </w:p>
    <w:p w14:paraId="05E32B99" w14:textId="1E4AD38D" w:rsidR="004C63A1" w:rsidRPr="007D6C3F" w:rsidRDefault="00EF319D" w:rsidP="006A1BF6">
      <w:pPr>
        <w:pStyle w:val="SingleTxtG"/>
      </w:pPr>
      <w:r w:rsidRPr="007D6C3F">
        <w:t>5.1</w:t>
      </w:r>
      <w:r w:rsidR="00461840" w:rsidRPr="007D6C3F">
        <w:t>2</w:t>
      </w:r>
      <w:r w:rsidRPr="007D6C3F">
        <w:tab/>
        <w:t xml:space="preserve">In conclusion, the author contends that the State party continues to make general comments in relation to the provisions in the law </w:t>
      </w:r>
      <w:r w:rsidR="00AD7A96" w:rsidRPr="007D6C3F">
        <w:t>without even having assessed the actual circumstances</w:t>
      </w:r>
      <w:r w:rsidR="00AD7A96">
        <w:t xml:space="preserve"> of his case. </w:t>
      </w:r>
      <w:r w:rsidR="001664A9" w:rsidRPr="007D6C3F">
        <w:t xml:space="preserve">The author emphasises that though being aware that the Committee </w:t>
      </w:r>
      <w:r w:rsidR="001664A9" w:rsidRPr="007D6C3F">
        <w:lastRenderedPageBreak/>
        <w:t xml:space="preserve">is not a fourth instance that should examine the facts </w:t>
      </w:r>
      <w:r w:rsidR="001664A9" w:rsidRPr="007D6C3F">
        <w:rPr>
          <w:i/>
          <w:iCs/>
        </w:rPr>
        <w:t>de novo</w:t>
      </w:r>
      <w:r w:rsidR="001664A9" w:rsidRPr="007D6C3F">
        <w:t xml:space="preserve">, it is important to underline that the Swedish migration authorities have not acted in accordance with domestic law nor with the country’s international human rights obligations. The burden of proof is a shared responsibility and while the onus is on the applicant to substantiate his claims, the authorities must provide him with the opportunity to do so orally. </w:t>
      </w:r>
    </w:p>
    <w:p w14:paraId="4A948634" w14:textId="6DAEFF04" w:rsidR="005C517D" w:rsidRPr="007D6C3F" w:rsidRDefault="001D7EFD" w:rsidP="001D7EFD">
      <w:pPr>
        <w:pStyle w:val="H23G"/>
      </w:pPr>
      <w:r w:rsidRPr="007D6C3F">
        <w:tab/>
      </w:r>
      <w:r w:rsidRPr="007D6C3F">
        <w:tab/>
        <w:t xml:space="preserve">State party’s </w:t>
      </w:r>
      <w:r w:rsidR="000D0319" w:rsidRPr="007D6C3F">
        <w:t xml:space="preserve">additional </w:t>
      </w:r>
      <w:r w:rsidRPr="007D6C3F">
        <w:t xml:space="preserve">observations </w:t>
      </w:r>
    </w:p>
    <w:p w14:paraId="3BE3E45D" w14:textId="6BF12117" w:rsidR="001D7EFD" w:rsidRPr="007D6C3F" w:rsidRDefault="001D7EFD" w:rsidP="001D7EFD">
      <w:pPr>
        <w:pStyle w:val="SingleTxtG"/>
      </w:pPr>
      <w:r w:rsidRPr="007D6C3F">
        <w:t>6.1</w:t>
      </w:r>
      <w:r w:rsidRPr="007D6C3F">
        <w:tab/>
      </w:r>
      <w:r w:rsidR="000D0319" w:rsidRPr="007D6C3F">
        <w:t xml:space="preserve">On 22 January 2020, the State party submits its additional observations, stating that the author’s comments do not include any new </w:t>
      </w:r>
      <w:r w:rsidR="00146595" w:rsidRPr="007D6C3F">
        <w:t>elements</w:t>
      </w:r>
      <w:r w:rsidR="000D0319" w:rsidRPr="007D6C3F">
        <w:t xml:space="preserve"> in substance</w:t>
      </w:r>
      <w:r w:rsidR="00BA6C90" w:rsidRPr="007D6C3F">
        <w:t>.</w:t>
      </w:r>
      <w:r w:rsidR="000D0319" w:rsidRPr="007D6C3F">
        <w:t xml:space="preserve"> The State party emphasises that it fully maintains its position regarding the admissibility and merits of the present complaint as expressed in its previous observations</w:t>
      </w:r>
      <w:r w:rsidR="00146595" w:rsidRPr="007D6C3F">
        <w:t xml:space="preserve"> of 11 June 2018</w:t>
      </w:r>
      <w:r w:rsidR="000D0319" w:rsidRPr="007D6C3F">
        <w:t>.</w:t>
      </w:r>
    </w:p>
    <w:p w14:paraId="666F76A7" w14:textId="6A0C5355" w:rsidR="001D7EFD" w:rsidRPr="007D6C3F" w:rsidRDefault="001D7EFD" w:rsidP="006A1BF6">
      <w:pPr>
        <w:pStyle w:val="SingleTxtG"/>
      </w:pPr>
      <w:r w:rsidRPr="007D6C3F">
        <w:t>6.2</w:t>
      </w:r>
      <w:r w:rsidRPr="007D6C3F">
        <w:tab/>
      </w:r>
      <w:r w:rsidR="00461840" w:rsidRPr="007D6C3F">
        <w:t xml:space="preserve">Regarding the author’s claim that the domestic migration authorities were unwilling to provide the </w:t>
      </w:r>
      <w:r w:rsidR="007E2736" w:rsidRPr="007D6C3F">
        <w:t>author</w:t>
      </w:r>
      <w:r w:rsidR="00461840" w:rsidRPr="007D6C3F">
        <w:t xml:space="preserve"> with the opportunity to substantiate his claims</w:t>
      </w:r>
      <w:r w:rsidR="00B442B2" w:rsidRPr="007D6C3F">
        <w:t xml:space="preserve"> of abuse by his parents</w:t>
      </w:r>
      <w:r w:rsidR="00461840" w:rsidRPr="007D6C3F">
        <w:t xml:space="preserve">, the State party </w:t>
      </w:r>
      <w:r w:rsidR="00D97ABD" w:rsidRPr="007D6C3F">
        <w:t xml:space="preserve">reiterates </w:t>
      </w:r>
      <w:r w:rsidR="00461840" w:rsidRPr="007D6C3F">
        <w:t xml:space="preserve">that the author had several opportunities during the ordinary asylum proceedings to explain the relevant facts and circumstances in support of his claims and to argue his case, both orally and in writing before the Swedish Migration </w:t>
      </w:r>
      <w:r w:rsidR="00C66259" w:rsidRPr="007D6C3F">
        <w:t>Board</w:t>
      </w:r>
      <w:r w:rsidR="00904AD1" w:rsidRPr="007D6C3F">
        <w:t>,</w:t>
      </w:r>
      <w:r w:rsidR="00461840" w:rsidRPr="007D6C3F">
        <w:t xml:space="preserve"> and in writing before the Migration Court. However, the domestic migration authorities’ scope of assessment following an application for a new examination at the enforcement stage differs from the scope during the ordinary asylum proceedings. As the author’s newly cited circumstances were not deemed to </w:t>
      </w:r>
      <w:r w:rsidR="00527C66" w:rsidRPr="007D6C3F">
        <w:t>meet the threshold</w:t>
      </w:r>
      <w:r w:rsidR="00461840" w:rsidRPr="007D6C3F">
        <w:t xml:space="preserve"> to constitute a lasting impediment to enforcement</w:t>
      </w:r>
      <w:r w:rsidR="00990C44" w:rsidRPr="007D6C3F">
        <w:t xml:space="preserve">, </w:t>
      </w:r>
      <w:r w:rsidR="00461840" w:rsidRPr="007D6C3F">
        <w:t xml:space="preserve">no further interview or hearing was held with the </w:t>
      </w:r>
      <w:r w:rsidR="001F1847" w:rsidRPr="007D6C3F">
        <w:t>author</w:t>
      </w:r>
      <w:r w:rsidR="00461840" w:rsidRPr="007D6C3F">
        <w:t xml:space="preserve"> by the domestic migration authorities.</w:t>
      </w:r>
    </w:p>
    <w:p w14:paraId="6FD8A935" w14:textId="494A8603" w:rsidR="00C7137E" w:rsidRPr="007D6C3F" w:rsidRDefault="00CF2DB5" w:rsidP="006A1BF6">
      <w:pPr>
        <w:pStyle w:val="SingleTxtG"/>
      </w:pPr>
      <w:r w:rsidRPr="007D6C3F">
        <w:t>6.</w:t>
      </w:r>
      <w:r w:rsidR="00D97ABD" w:rsidRPr="007D6C3F">
        <w:t>3</w:t>
      </w:r>
      <w:r w:rsidRPr="007D6C3F">
        <w:tab/>
        <w:t>The State party also contests the author’s claim</w:t>
      </w:r>
      <w:r w:rsidR="00AC43D2" w:rsidRPr="007D6C3F">
        <w:t>s</w:t>
      </w:r>
      <w:r w:rsidRPr="007D6C3F">
        <w:t xml:space="preserve"> that the migration authorities carelessly disregarded </w:t>
      </w:r>
      <w:r w:rsidR="00D642FB" w:rsidRPr="007D6C3F">
        <w:t>the new circumstances the author submitted</w:t>
      </w:r>
      <w:r w:rsidR="00AD7A96">
        <w:t xml:space="preserve">. </w:t>
      </w:r>
      <w:r w:rsidR="00C7137E" w:rsidRPr="007D6C3F">
        <w:t>Regarding the letter</w:t>
      </w:r>
      <w:r w:rsidR="00AD7A96">
        <w:t xml:space="preserve"> from his father</w:t>
      </w:r>
      <w:r w:rsidR="00C7137E" w:rsidRPr="007D6C3F">
        <w:t xml:space="preserve">, the State party reiterates the assessment of the Migration </w:t>
      </w:r>
      <w:r w:rsidR="00C66259" w:rsidRPr="007D6C3F">
        <w:t>Board</w:t>
      </w:r>
      <w:r w:rsidR="00B442B2" w:rsidRPr="007D6C3F">
        <w:t xml:space="preserve"> that </w:t>
      </w:r>
      <w:r w:rsidR="00C7137E" w:rsidRPr="007D6C3F">
        <w:t>the information he provided in this regard was very brief, indistinct</w:t>
      </w:r>
      <w:r w:rsidR="00D92FE5" w:rsidRPr="007D6C3F">
        <w:t>,</w:t>
      </w:r>
      <w:r w:rsidR="00C7137E" w:rsidRPr="007D6C3F">
        <w:t xml:space="preserve"> and vague</w:t>
      </w:r>
      <w:r w:rsidR="00AD7A96">
        <w:t xml:space="preserve"> for the purposes of a new examination under the relevant laws</w:t>
      </w:r>
      <w:r w:rsidR="00C7137E" w:rsidRPr="007D6C3F">
        <w:t xml:space="preserve">. </w:t>
      </w:r>
      <w:r w:rsidR="00AC43D2" w:rsidRPr="007D6C3F">
        <w:t xml:space="preserve">Regarding </w:t>
      </w:r>
      <w:r w:rsidR="00E07664" w:rsidRPr="007D6C3F">
        <w:t xml:space="preserve">the author’s allegation that the judgement of the District Court of </w:t>
      </w:r>
      <w:proofErr w:type="spellStart"/>
      <w:r w:rsidR="00E07664" w:rsidRPr="007D6C3F">
        <w:t>Angermanland</w:t>
      </w:r>
      <w:proofErr w:type="spellEnd"/>
      <w:r w:rsidR="00E07664" w:rsidRPr="007D6C3F">
        <w:t xml:space="preserve"> was not considered as new circumstances by the Migration Court, the State party e</w:t>
      </w:r>
      <w:r w:rsidR="00B442B2" w:rsidRPr="007D6C3F">
        <w:t>m</w:t>
      </w:r>
      <w:r w:rsidR="00E07664" w:rsidRPr="007D6C3F">
        <w:t xml:space="preserve">phasises that the Migration Court considered, like the </w:t>
      </w:r>
      <w:r w:rsidR="00C66259" w:rsidRPr="007D6C3F">
        <w:t>Board</w:t>
      </w:r>
      <w:r w:rsidR="00E07664" w:rsidRPr="007D6C3F">
        <w:t xml:space="preserve">, that the alleged threat from the </w:t>
      </w:r>
      <w:r w:rsidR="00B442B2" w:rsidRPr="007D6C3F">
        <w:t xml:space="preserve">author’s </w:t>
      </w:r>
      <w:r w:rsidR="00E07664" w:rsidRPr="007D6C3F">
        <w:t>father constituted a new circumstance within the meaning of the Aliens Act. However, the Court found that neither the submitted letter nor the judgment was sufficient evidence for the cited circumstances to be assumed to constitute a lasting impediment to enforcement.</w:t>
      </w:r>
      <w:r w:rsidR="00C7137E" w:rsidRPr="007D6C3F">
        <w:t xml:space="preserve"> </w:t>
      </w:r>
      <w:r w:rsidR="000D0035" w:rsidRPr="007D6C3F">
        <w:t>The State party also emphasises that</w:t>
      </w:r>
      <w:r w:rsidR="00657327" w:rsidRPr="007D6C3F">
        <w:t>, on 7 July 2017,</w:t>
      </w:r>
      <w:r w:rsidR="000D0035" w:rsidRPr="007D6C3F">
        <w:t xml:space="preserve"> the Migration </w:t>
      </w:r>
      <w:r w:rsidR="00C66259" w:rsidRPr="007D6C3F">
        <w:t>Board</w:t>
      </w:r>
      <w:r w:rsidR="000D0035" w:rsidRPr="007D6C3F">
        <w:t xml:space="preserve"> concluded </w:t>
      </w:r>
      <w:r w:rsidR="00657327" w:rsidRPr="007D6C3F">
        <w:t xml:space="preserve">that </w:t>
      </w:r>
      <w:r w:rsidR="000D0035" w:rsidRPr="007D6C3F">
        <w:t>given the author’s parents</w:t>
      </w:r>
      <w:r w:rsidR="00655790" w:rsidRPr="007D6C3F">
        <w:t>’</w:t>
      </w:r>
      <w:r w:rsidR="000D0035" w:rsidRPr="007D6C3F">
        <w:t xml:space="preserve"> inten</w:t>
      </w:r>
      <w:r w:rsidR="00657327" w:rsidRPr="007D6C3F">
        <w:t xml:space="preserve">tion </w:t>
      </w:r>
      <w:r w:rsidR="000D0035" w:rsidRPr="007D6C3F">
        <w:t>to leave the author with his relatives in Sweden, there were reasons to believe that the author’s parents were deliberately hiding so that the author once again would be considered to be an unaccompanied minor.</w:t>
      </w:r>
      <w:r w:rsidR="000D0035" w:rsidRPr="007D6C3F">
        <w:rPr>
          <w:rStyle w:val="FootnoteReference"/>
        </w:rPr>
        <w:footnoteReference w:id="30"/>
      </w:r>
    </w:p>
    <w:p w14:paraId="2A2FB491" w14:textId="4B83AD78" w:rsidR="00AA0C7A" w:rsidRPr="007D6C3F" w:rsidRDefault="00A43307" w:rsidP="006A1BF6">
      <w:pPr>
        <w:pStyle w:val="SingleTxtG"/>
      </w:pPr>
      <w:r w:rsidRPr="007D6C3F">
        <w:t>6.</w:t>
      </w:r>
      <w:r w:rsidR="002634FB" w:rsidRPr="007D6C3F">
        <w:t>4</w:t>
      </w:r>
      <w:r w:rsidRPr="007D6C3F">
        <w:tab/>
      </w:r>
      <w:r w:rsidR="00C7137E" w:rsidRPr="007D6C3F">
        <w:t xml:space="preserve">In regard to the author’s alleged conversion, </w:t>
      </w:r>
      <w:r w:rsidR="00990C44" w:rsidRPr="007D6C3F">
        <w:t xml:space="preserve">the State party reiterates that domestic authorities found that the author’s conversion was a new </w:t>
      </w:r>
      <w:proofErr w:type="gramStart"/>
      <w:r w:rsidR="00990C44" w:rsidRPr="007D6C3F">
        <w:t>circumstance</w:t>
      </w:r>
      <w:proofErr w:type="gramEnd"/>
      <w:r w:rsidR="00990C44" w:rsidRPr="007D6C3F">
        <w:t xml:space="preserve"> and the claim was duly examined. T</w:t>
      </w:r>
      <w:r w:rsidR="004A7B3D" w:rsidRPr="007D6C3F">
        <w:t xml:space="preserve">he State party holds that the </w:t>
      </w:r>
      <w:r w:rsidR="000B2EBC" w:rsidRPr="007D6C3F">
        <w:t>author’s</w:t>
      </w:r>
      <w:r w:rsidR="004A7B3D" w:rsidRPr="007D6C3F">
        <w:t xml:space="preserve"> explanation for not </w:t>
      </w:r>
      <w:r w:rsidR="00657327" w:rsidRPr="007D6C3F">
        <w:t xml:space="preserve">raising </w:t>
      </w:r>
      <w:r w:rsidR="004A7B3D" w:rsidRPr="007D6C3F">
        <w:t xml:space="preserve">his interest in Christianity at an earlier stage </w:t>
      </w:r>
      <w:r w:rsidR="00657327" w:rsidRPr="007D6C3F">
        <w:t>of the proceedings</w:t>
      </w:r>
      <w:r w:rsidR="00655790" w:rsidRPr="007D6C3F">
        <w:t xml:space="preserve"> </w:t>
      </w:r>
      <w:r w:rsidR="004A7B3D" w:rsidRPr="007D6C3F">
        <w:t>impacts his credibility negatively. Furthermore, the domestic authorities underlined that there were no indications in the written evidence or otherwise to suggest that his father had abused him because he was interested in Christianity.</w:t>
      </w:r>
      <w:r w:rsidR="000B2EBC" w:rsidRPr="007D6C3F">
        <w:t xml:space="preserve"> </w:t>
      </w:r>
      <w:r w:rsidR="0048637B" w:rsidRPr="007D6C3F">
        <w:t>The State party concludes that d</w:t>
      </w:r>
      <w:r w:rsidR="00C7137E" w:rsidRPr="007D6C3F">
        <w:t xml:space="preserve">ue to the lack in credibility, the </w:t>
      </w:r>
      <w:r w:rsidR="000B2EBC" w:rsidRPr="007D6C3F">
        <w:t>author</w:t>
      </w:r>
      <w:r w:rsidR="00C7137E" w:rsidRPr="007D6C3F">
        <w:t xml:space="preserve"> had not shown that he had converted to Christianity out of a genuine and personal religious conviction, and that he </w:t>
      </w:r>
      <w:r w:rsidR="0048637B" w:rsidRPr="007D6C3F">
        <w:t xml:space="preserve">intended to live as a convert, </w:t>
      </w:r>
      <w:r w:rsidR="00C7137E" w:rsidRPr="007D6C3F">
        <w:t xml:space="preserve">risking attracting the interest of the Afghan authorities or individuals upon a forced return to Afghanistan or that he had been ascribed any Christian beliefs. </w:t>
      </w:r>
    </w:p>
    <w:p w14:paraId="4FC5C925" w14:textId="34DE2AF9" w:rsidR="00B442B2" w:rsidRPr="007D6C3F" w:rsidRDefault="002634FB" w:rsidP="00293B84">
      <w:pPr>
        <w:pStyle w:val="SingleTxtG"/>
      </w:pPr>
      <w:r w:rsidRPr="007D6C3F">
        <w:t>6.5</w:t>
      </w:r>
      <w:r w:rsidR="00B442B2" w:rsidRPr="007D6C3F">
        <w:tab/>
        <w:t xml:space="preserve">The State party further submits that contrary to the author’s claim it took several </w:t>
      </w:r>
      <w:proofErr w:type="gramStart"/>
      <w:r w:rsidR="00B442B2" w:rsidRPr="007D6C3F">
        <w:t>protection</w:t>
      </w:r>
      <w:proofErr w:type="gramEnd"/>
      <w:r w:rsidR="00B442B2" w:rsidRPr="007D6C3F">
        <w:t xml:space="preserve"> measures for the author.</w:t>
      </w:r>
      <w:r w:rsidR="00B442B2" w:rsidRPr="007D6C3F">
        <w:rPr>
          <w:rStyle w:val="FootnoteReference"/>
        </w:rPr>
        <w:footnoteReference w:id="31"/>
      </w:r>
      <w:r w:rsidR="00B442B2" w:rsidRPr="007D6C3F">
        <w:t xml:space="preserve"> The State party also reiterates that as soon as the </w:t>
      </w:r>
      <w:r w:rsidR="00B442B2" w:rsidRPr="007D6C3F">
        <w:lastRenderedPageBreak/>
        <w:t xml:space="preserve">author’s brother reported their father’s abusive behaviour, the matter was reported to Social Services for their safety. </w:t>
      </w:r>
    </w:p>
    <w:p w14:paraId="7D6DF637" w14:textId="52C651DB" w:rsidR="001D7EFD" w:rsidRPr="007D6C3F" w:rsidRDefault="007B6B2C" w:rsidP="006A1BF6">
      <w:pPr>
        <w:pStyle w:val="H23G"/>
      </w:pPr>
      <w:r w:rsidRPr="007D6C3F">
        <w:tab/>
      </w:r>
      <w:r w:rsidRPr="007D6C3F">
        <w:tab/>
      </w:r>
      <w:r w:rsidR="000D0319" w:rsidRPr="007D6C3F">
        <w:t>Author</w:t>
      </w:r>
      <w:r w:rsidRPr="007D6C3F">
        <w:t xml:space="preserve">’s </w:t>
      </w:r>
      <w:r w:rsidR="000D0319" w:rsidRPr="007D6C3F">
        <w:t xml:space="preserve">additional comments </w:t>
      </w:r>
    </w:p>
    <w:p w14:paraId="22055B38" w14:textId="5E2C5D86" w:rsidR="007B6B2C" w:rsidRPr="007D6C3F" w:rsidRDefault="006951AE" w:rsidP="006A1BF6">
      <w:pPr>
        <w:pStyle w:val="SingleTxtG"/>
      </w:pPr>
      <w:r w:rsidRPr="007D6C3F">
        <w:t>7</w:t>
      </w:r>
      <w:r w:rsidR="007B6B2C" w:rsidRPr="007D6C3F">
        <w:t>.1</w:t>
      </w:r>
      <w:r w:rsidR="007B6B2C" w:rsidRPr="007D6C3F">
        <w:tab/>
      </w:r>
      <w:r w:rsidR="000B2EBC" w:rsidRPr="007D6C3F">
        <w:t>On 2</w:t>
      </w:r>
      <w:r w:rsidR="007E2736" w:rsidRPr="007D6C3F">
        <w:t>5</w:t>
      </w:r>
      <w:r w:rsidR="000B2EBC" w:rsidRPr="007D6C3F">
        <w:t xml:space="preserve"> </w:t>
      </w:r>
      <w:r w:rsidR="007E2736" w:rsidRPr="007D6C3F">
        <w:t>May</w:t>
      </w:r>
      <w:r w:rsidR="000B2EBC" w:rsidRPr="007D6C3F">
        <w:t xml:space="preserve"> 2020, the </w:t>
      </w:r>
      <w:r w:rsidR="007E2736" w:rsidRPr="007D6C3F">
        <w:t>author</w:t>
      </w:r>
      <w:r w:rsidR="000B2EBC" w:rsidRPr="007D6C3F">
        <w:t xml:space="preserve"> submits additional </w:t>
      </w:r>
      <w:r w:rsidR="007E2736" w:rsidRPr="007D6C3F">
        <w:t>comments</w:t>
      </w:r>
      <w:r w:rsidR="00A43307" w:rsidRPr="007D6C3F">
        <w:t>, reiterating the previous claims.</w:t>
      </w:r>
    </w:p>
    <w:p w14:paraId="42893282" w14:textId="3E845DF6" w:rsidR="007B6B2C" w:rsidRPr="007D6C3F" w:rsidRDefault="006951AE" w:rsidP="006A1BF6">
      <w:pPr>
        <w:pStyle w:val="SingleTxtG"/>
      </w:pPr>
      <w:r w:rsidRPr="007D6C3F">
        <w:t>7</w:t>
      </w:r>
      <w:r w:rsidR="007B6B2C" w:rsidRPr="007D6C3F">
        <w:t>.2</w:t>
      </w:r>
      <w:r w:rsidR="007B6B2C" w:rsidRPr="007D6C3F">
        <w:tab/>
      </w:r>
      <w:r w:rsidR="00EF4089" w:rsidRPr="007D6C3F">
        <w:t>The author submits that a</w:t>
      </w:r>
      <w:r w:rsidR="007E2736" w:rsidRPr="007D6C3F">
        <w:t xml:space="preserve">t the time of the ordinary asylum proceedings </w:t>
      </w:r>
      <w:r w:rsidR="00657327" w:rsidRPr="007D6C3F">
        <w:t>when he</w:t>
      </w:r>
      <w:r w:rsidR="00EF4089" w:rsidRPr="007D6C3F">
        <w:t xml:space="preserve"> was given a chance for </w:t>
      </w:r>
      <w:r w:rsidR="00D92FE5" w:rsidRPr="007D6C3F">
        <w:t xml:space="preserve">an </w:t>
      </w:r>
      <w:r w:rsidR="00EF4089" w:rsidRPr="007D6C3F">
        <w:t>interview, the author</w:t>
      </w:r>
      <w:r w:rsidR="007E2736" w:rsidRPr="007D6C3F">
        <w:t xml:space="preserve"> was still a minor</w:t>
      </w:r>
      <w:r w:rsidR="00EF4089" w:rsidRPr="007D6C3F">
        <w:t xml:space="preserve">, and he </w:t>
      </w:r>
      <w:r w:rsidR="007E2736" w:rsidRPr="007D6C3F">
        <w:t>was never given</w:t>
      </w:r>
      <w:r w:rsidR="00EF4089" w:rsidRPr="007D6C3F">
        <w:t xml:space="preserve"> </w:t>
      </w:r>
      <w:r w:rsidR="007E2736" w:rsidRPr="007D6C3F">
        <w:t>the opportunity to be heard at the enforcement stage, after the application of impediments to</w:t>
      </w:r>
      <w:r w:rsidR="00EF4089" w:rsidRPr="007D6C3F">
        <w:t xml:space="preserve"> </w:t>
      </w:r>
      <w:r w:rsidR="007E2736" w:rsidRPr="007D6C3F">
        <w:t xml:space="preserve">enforcement. The migration authorities are obliged to make an </w:t>
      </w:r>
      <w:proofErr w:type="gramStart"/>
      <w:r w:rsidR="007E2736" w:rsidRPr="007D6C3F">
        <w:t>up to date</w:t>
      </w:r>
      <w:proofErr w:type="gramEnd"/>
      <w:r w:rsidR="007E2736" w:rsidRPr="007D6C3F">
        <w:t xml:space="preserve"> risk assessment</w:t>
      </w:r>
      <w:r w:rsidR="00EF4089" w:rsidRPr="007D6C3F">
        <w:t xml:space="preserve"> </w:t>
      </w:r>
      <w:r w:rsidR="007E2736" w:rsidRPr="007D6C3F">
        <w:t xml:space="preserve">before </w:t>
      </w:r>
      <w:r w:rsidR="0009099D" w:rsidRPr="007D6C3F">
        <w:t>expelling</w:t>
      </w:r>
      <w:r w:rsidR="007E2736" w:rsidRPr="007D6C3F">
        <w:t xml:space="preserve"> an asylum seeker.</w:t>
      </w:r>
      <w:r w:rsidR="00690A6F" w:rsidRPr="007D6C3F">
        <w:t xml:space="preserve"> </w:t>
      </w:r>
    </w:p>
    <w:p w14:paraId="6F4E1841" w14:textId="1D1A58FD" w:rsidR="007B6B2C" w:rsidRPr="007D6C3F" w:rsidRDefault="006951AE" w:rsidP="00EF4089">
      <w:pPr>
        <w:pStyle w:val="SingleTxtG"/>
      </w:pPr>
      <w:r w:rsidRPr="007D6C3F">
        <w:t>7</w:t>
      </w:r>
      <w:r w:rsidR="007E2736" w:rsidRPr="007D6C3F">
        <w:t>.3</w:t>
      </w:r>
      <w:r w:rsidR="007E2736" w:rsidRPr="007D6C3F">
        <w:tab/>
      </w:r>
      <w:r w:rsidR="00EF4089" w:rsidRPr="007D6C3F">
        <w:t xml:space="preserve">The author also </w:t>
      </w:r>
      <w:r w:rsidR="007E2736" w:rsidRPr="007D6C3F">
        <w:t>underline</w:t>
      </w:r>
      <w:r w:rsidR="00EF4089" w:rsidRPr="007D6C3F">
        <w:t>s</w:t>
      </w:r>
      <w:r w:rsidR="007E2736" w:rsidRPr="007D6C3F">
        <w:t xml:space="preserve"> that it is pure speculation that </w:t>
      </w:r>
      <w:r w:rsidR="00657327" w:rsidRPr="007D6C3F">
        <w:t xml:space="preserve">his </w:t>
      </w:r>
      <w:r w:rsidR="007E2736" w:rsidRPr="007D6C3F">
        <w:t>parents</w:t>
      </w:r>
      <w:r w:rsidR="00EF4089" w:rsidRPr="007D6C3F">
        <w:t xml:space="preserve"> </w:t>
      </w:r>
      <w:r w:rsidR="007E2736" w:rsidRPr="007D6C3F">
        <w:t xml:space="preserve">were deliberately hiding so that </w:t>
      </w:r>
      <w:r w:rsidR="00657327" w:rsidRPr="007D6C3F">
        <w:t>he</w:t>
      </w:r>
      <w:r w:rsidR="007E2736" w:rsidRPr="007D6C3F">
        <w:t xml:space="preserve"> would be considered an unaccompanied</w:t>
      </w:r>
      <w:r w:rsidR="00EF4089" w:rsidRPr="007D6C3F">
        <w:t xml:space="preserve"> </w:t>
      </w:r>
      <w:r w:rsidR="007E2736" w:rsidRPr="007D6C3F">
        <w:t xml:space="preserve">minor. </w:t>
      </w:r>
    </w:p>
    <w:p w14:paraId="2FDAF07A" w14:textId="75E6D529" w:rsidR="00AC0AF3" w:rsidRPr="007D6C3F" w:rsidRDefault="00AC0AF3" w:rsidP="00AC0AF3">
      <w:pPr>
        <w:pStyle w:val="H23G"/>
      </w:pPr>
      <w:r w:rsidRPr="007D6C3F">
        <w:tab/>
      </w:r>
      <w:r w:rsidRPr="007D6C3F">
        <w:tab/>
      </w:r>
      <w:r w:rsidRPr="007D6C3F" w:rsidDel="004331D6">
        <w:t>Issues and proceedings before the Committee</w:t>
      </w:r>
    </w:p>
    <w:p w14:paraId="4DB8168D" w14:textId="44F84AEF" w:rsidR="00111738" w:rsidRPr="007D6C3F" w:rsidRDefault="00111738" w:rsidP="002634FB">
      <w:pPr>
        <w:pStyle w:val="H4G"/>
        <w:rPr>
          <w:b/>
        </w:rPr>
      </w:pPr>
      <w:r w:rsidRPr="007D6C3F">
        <w:tab/>
      </w:r>
      <w:r w:rsidRPr="007D6C3F">
        <w:tab/>
        <w:t>Consideration of admissibility</w:t>
      </w:r>
    </w:p>
    <w:p w14:paraId="199FAD8B" w14:textId="77777777" w:rsidR="006951AE" w:rsidRPr="007D6C3F" w:rsidRDefault="006951AE" w:rsidP="006A1BF6">
      <w:pPr>
        <w:pStyle w:val="SingleTxtG"/>
      </w:pPr>
      <w:r w:rsidRPr="007D6C3F">
        <w:rPr>
          <w:lang w:val="en-US"/>
        </w:rPr>
        <w:t>8</w:t>
      </w:r>
      <w:r w:rsidRPr="007D6C3F">
        <w:t>.1</w:t>
      </w:r>
      <w:r w:rsidRPr="007D6C3F">
        <w:tab/>
        <w:t>Before considering any claims contained in a communication, the Committee must, in accordance with rule 97 of its rules of procedure, decide whether it is admissible under the Optional Protocol to the Covenant.</w:t>
      </w:r>
    </w:p>
    <w:p w14:paraId="1DD16DA3" w14:textId="77777777" w:rsidR="006951AE" w:rsidRPr="007D6C3F" w:rsidRDefault="006951AE" w:rsidP="006951AE">
      <w:pPr>
        <w:pStyle w:val="SingleTxtG"/>
      </w:pPr>
      <w:r w:rsidRPr="007D6C3F">
        <w:t>8.2</w:t>
      </w:r>
      <w:r w:rsidRPr="007D6C3F">
        <w:tab/>
        <w:t xml:space="preserve">The Committee has ascertained, as required under article 5 (2) (a) of the Optional Protocol, that the same matter is not being examined under another procedure of international investigation or settlement. </w:t>
      </w:r>
    </w:p>
    <w:p w14:paraId="0667CC47" w14:textId="77777777" w:rsidR="006951AE" w:rsidRPr="007D6C3F" w:rsidRDefault="006951AE" w:rsidP="006A1BF6">
      <w:pPr>
        <w:pStyle w:val="SingleTxtG"/>
      </w:pPr>
      <w:r w:rsidRPr="007D6C3F">
        <w:t>8.3</w:t>
      </w:r>
      <w:r w:rsidRPr="007D6C3F">
        <w:tab/>
        <w:t>The Committee notes the author’s claim that he has exhausted all effective domestic remedies available to him. In the absence of any objection by the State party in that connection, the Committee considers that it is not precluded from examining the communication under article 5 (2) (b) of the Optional Protocol.</w:t>
      </w:r>
    </w:p>
    <w:p w14:paraId="75129671" w14:textId="6D8ADCC6" w:rsidR="00680702" w:rsidRPr="007D6C3F" w:rsidRDefault="00680702" w:rsidP="006A1BF6">
      <w:pPr>
        <w:pStyle w:val="SingleTxtG"/>
      </w:pPr>
      <w:r w:rsidRPr="007D6C3F">
        <w:t>8.</w:t>
      </w:r>
      <w:r w:rsidR="00657327" w:rsidRPr="007D6C3F">
        <w:t>4</w:t>
      </w:r>
      <w:r w:rsidRPr="007D6C3F">
        <w:tab/>
        <w:t xml:space="preserve">The Committee notes </w:t>
      </w:r>
      <w:r w:rsidR="00657327" w:rsidRPr="007D6C3F">
        <w:t xml:space="preserve">that </w:t>
      </w:r>
      <w:r w:rsidRPr="007D6C3F">
        <w:t>the State party challenge</w:t>
      </w:r>
      <w:r w:rsidR="00657327" w:rsidRPr="007D6C3F">
        <w:t>s</w:t>
      </w:r>
      <w:r w:rsidRPr="007D6C3F">
        <w:t xml:space="preserve"> </w:t>
      </w:r>
      <w:r w:rsidR="00657327" w:rsidRPr="007D6C3F">
        <w:t xml:space="preserve">the </w:t>
      </w:r>
      <w:r w:rsidRPr="007D6C3F">
        <w:t xml:space="preserve">admissibility </w:t>
      </w:r>
      <w:r w:rsidR="00657327" w:rsidRPr="007D6C3F">
        <w:t xml:space="preserve">of the communication for </w:t>
      </w:r>
      <w:r w:rsidR="001A3D8A" w:rsidRPr="007D6C3F">
        <w:t xml:space="preserve">manifest </w:t>
      </w:r>
      <w:r w:rsidR="00657327" w:rsidRPr="007D6C3F">
        <w:t>lack of substantiation</w:t>
      </w:r>
      <w:r w:rsidR="001A3D8A" w:rsidRPr="007D6C3F">
        <w:t xml:space="preserve"> of the author’s claim under articles 6 and 7</w:t>
      </w:r>
      <w:r w:rsidR="008477C3" w:rsidRPr="007D6C3F">
        <w:t>.</w:t>
      </w:r>
      <w:r w:rsidRPr="007D6C3F">
        <w:t xml:space="preserve"> However, the Committee considers that, for the purposes of admissibility, the author has </w:t>
      </w:r>
      <w:r w:rsidR="000B408B" w:rsidRPr="007D6C3F">
        <w:t>adequately explained the reasons why he fears</w:t>
      </w:r>
      <w:r w:rsidRPr="007D6C3F">
        <w:t xml:space="preserve"> that his forcible return to Afghanistan would result in a risk of treatment contrary to articles 6 and 7 of the Covenant. Therefore, the Committee declares the communication admissible, insofar as it raises issues under articles 6 and 7, and proceeds to its consideration o</w:t>
      </w:r>
      <w:r w:rsidR="00992C29" w:rsidRPr="007D6C3F">
        <w:t>n</w:t>
      </w:r>
      <w:r w:rsidRPr="007D6C3F">
        <w:t xml:space="preserve"> the merits. </w:t>
      </w:r>
    </w:p>
    <w:p w14:paraId="54D8421F" w14:textId="77777777" w:rsidR="00111738" w:rsidRPr="007D6C3F" w:rsidRDefault="00111738" w:rsidP="00111738">
      <w:pPr>
        <w:pStyle w:val="H4G"/>
      </w:pPr>
      <w:r w:rsidRPr="007D6C3F">
        <w:tab/>
      </w:r>
      <w:r w:rsidRPr="007D6C3F">
        <w:tab/>
        <w:t>Consideration of the merits</w:t>
      </w:r>
    </w:p>
    <w:p w14:paraId="6723CAD8" w14:textId="77777777" w:rsidR="00E6217C" w:rsidRPr="007D6C3F" w:rsidRDefault="00E6217C" w:rsidP="006A1BF6">
      <w:pPr>
        <w:pStyle w:val="SingleTxtG"/>
      </w:pPr>
      <w:r w:rsidRPr="007D6C3F">
        <w:rPr>
          <w:lang w:val="en-US"/>
        </w:rPr>
        <w:t>9</w:t>
      </w:r>
      <w:r w:rsidRPr="007D6C3F">
        <w:t>.1</w:t>
      </w:r>
      <w:r w:rsidRPr="007D6C3F">
        <w:tab/>
        <w:t>The Committee has considered the present communication in the light of all the information submitted by the parties, in accordance with article 5 (1) of the Optional Protocol.</w:t>
      </w:r>
    </w:p>
    <w:p w14:paraId="6329AF96" w14:textId="3A5A45A2" w:rsidR="00E6217C" w:rsidRPr="007D6C3F" w:rsidRDefault="00E6217C" w:rsidP="006A1BF6">
      <w:pPr>
        <w:pStyle w:val="SingleTxtG"/>
      </w:pPr>
      <w:r w:rsidRPr="007D6C3F">
        <w:t>9.2</w:t>
      </w:r>
      <w:r w:rsidRPr="007D6C3F">
        <w:tab/>
        <w:t xml:space="preserve">The Committee notes the author’s claim that </w:t>
      </w:r>
      <w:r w:rsidR="001E705A" w:rsidRPr="007D6C3F">
        <w:t xml:space="preserve">if he were returned to </w:t>
      </w:r>
      <w:r w:rsidRPr="007D6C3F">
        <w:t>Afghanistan</w:t>
      </w:r>
      <w:r w:rsidR="001E705A" w:rsidRPr="007D6C3F">
        <w:t xml:space="preserve">, he would be exposed to </w:t>
      </w:r>
      <w:r w:rsidRPr="007D6C3F">
        <w:t xml:space="preserve">a real risk of irreparable harm, in violation of articles 6 and 7 of the Covenant. He </w:t>
      </w:r>
      <w:r w:rsidR="001E705A" w:rsidRPr="007D6C3F">
        <w:t xml:space="preserve">contends </w:t>
      </w:r>
      <w:r w:rsidRPr="007D6C3F">
        <w:t xml:space="preserve">that </w:t>
      </w:r>
      <w:r w:rsidR="001E705A" w:rsidRPr="007D6C3F">
        <w:t xml:space="preserve">in Afghanistan </w:t>
      </w:r>
      <w:r w:rsidRPr="007D6C3F">
        <w:t xml:space="preserve">he would face potentially </w:t>
      </w:r>
      <w:proofErr w:type="gramStart"/>
      <w:r w:rsidRPr="007D6C3F">
        <w:t>life threatening</w:t>
      </w:r>
      <w:proofErr w:type="gramEnd"/>
      <w:r w:rsidRPr="007D6C3F">
        <w:t xml:space="preserve"> persecution due to </w:t>
      </w:r>
      <w:r w:rsidRPr="007D6C3F">
        <w:rPr>
          <w:lang w:val="en-US"/>
        </w:rPr>
        <w:t xml:space="preserve">his apostasy, which </w:t>
      </w:r>
      <w:r w:rsidR="000622B5" w:rsidRPr="007D6C3F">
        <w:rPr>
          <w:lang w:val="en-US"/>
        </w:rPr>
        <w:t xml:space="preserve">allegedly </w:t>
      </w:r>
      <w:r w:rsidRPr="007D6C3F">
        <w:rPr>
          <w:lang w:val="en-US"/>
        </w:rPr>
        <w:t xml:space="preserve">has been </w:t>
      </w:r>
      <w:r w:rsidR="00F644E3" w:rsidRPr="007D6C3F">
        <w:rPr>
          <w:lang w:val="en-US"/>
        </w:rPr>
        <w:t xml:space="preserve">known </w:t>
      </w:r>
      <w:r w:rsidR="001E705A" w:rsidRPr="007D6C3F">
        <w:rPr>
          <w:lang w:val="en-US"/>
        </w:rPr>
        <w:t>and publicized</w:t>
      </w:r>
      <w:r w:rsidRPr="007D6C3F">
        <w:rPr>
          <w:lang w:val="en-US"/>
        </w:rPr>
        <w:t xml:space="preserve"> through </w:t>
      </w:r>
      <w:r w:rsidR="00F644E3" w:rsidRPr="007D6C3F">
        <w:rPr>
          <w:lang w:val="en-US"/>
        </w:rPr>
        <w:t>some retu</w:t>
      </w:r>
      <w:r w:rsidR="0017585B" w:rsidRPr="007D6C3F">
        <w:rPr>
          <w:lang w:val="en-US"/>
        </w:rPr>
        <w:t>r</w:t>
      </w:r>
      <w:r w:rsidR="00F644E3" w:rsidRPr="007D6C3F">
        <w:rPr>
          <w:lang w:val="en-US"/>
        </w:rPr>
        <w:t xml:space="preserve">nees </w:t>
      </w:r>
      <w:r w:rsidR="001E705A" w:rsidRPr="007D6C3F">
        <w:rPr>
          <w:lang w:val="en-US"/>
        </w:rPr>
        <w:t>apprised of</w:t>
      </w:r>
      <w:r w:rsidR="00F644E3" w:rsidRPr="007D6C3F">
        <w:rPr>
          <w:lang w:val="en-US"/>
        </w:rPr>
        <w:t xml:space="preserve"> his conversion from Islam to Christianity</w:t>
      </w:r>
      <w:r w:rsidRPr="007D6C3F">
        <w:rPr>
          <w:lang w:val="en-US"/>
        </w:rPr>
        <w:t>,</w:t>
      </w:r>
      <w:r w:rsidR="0017585B" w:rsidRPr="007D6C3F">
        <w:rPr>
          <w:lang w:val="en-US"/>
        </w:rPr>
        <w:t xml:space="preserve"> </w:t>
      </w:r>
      <w:r w:rsidR="001E705A" w:rsidRPr="007D6C3F">
        <w:rPr>
          <w:lang w:val="en-US"/>
        </w:rPr>
        <w:t xml:space="preserve">as well as persecution from his father who vowed to avenge his </w:t>
      </w:r>
      <w:r w:rsidR="001E705A" w:rsidRPr="007D6C3F">
        <w:t>tainted</w:t>
      </w:r>
      <w:r w:rsidR="001E705A" w:rsidRPr="007D6C3F">
        <w:rPr>
          <w:lang w:val="en-US"/>
        </w:rPr>
        <w:t xml:space="preserve"> </w:t>
      </w:r>
      <w:proofErr w:type="spellStart"/>
      <w:r w:rsidR="001E705A" w:rsidRPr="007D6C3F">
        <w:rPr>
          <w:lang w:val="en-US"/>
        </w:rPr>
        <w:t>honour</w:t>
      </w:r>
      <w:proofErr w:type="spellEnd"/>
      <w:r w:rsidR="001E705A" w:rsidRPr="007D6C3F">
        <w:rPr>
          <w:lang w:val="en-US"/>
        </w:rPr>
        <w:t xml:space="preserve"> after the author reported him to the Swedish authorities for abuse, as documented in the threat</w:t>
      </w:r>
      <w:r w:rsidR="00067380" w:rsidRPr="007D6C3F">
        <w:rPr>
          <w:lang w:val="en-US"/>
        </w:rPr>
        <w:t>ening</w:t>
      </w:r>
      <w:r w:rsidR="001E705A" w:rsidRPr="007D6C3F">
        <w:rPr>
          <w:lang w:val="en-US"/>
        </w:rPr>
        <w:t xml:space="preserve"> letter his father left him before leaving Sweden.</w:t>
      </w:r>
      <w:r w:rsidR="00F644E3" w:rsidRPr="007D6C3F">
        <w:rPr>
          <w:lang w:val="en-US"/>
        </w:rPr>
        <w:t xml:space="preserve"> The Committee also notes his allegation that </w:t>
      </w:r>
      <w:r w:rsidR="001E705A" w:rsidRPr="007D6C3F">
        <w:rPr>
          <w:lang w:val="en-US"/>
        </w:rPr>
        <w:t xml:space="preserve">the risk of persecution would be aggravated by factors of vulnerability such as the fact that he </w:t>
      </w:r>
      <w:r w:rsidRPr="007D6C3F">
        <w:rPr>
          <w:lang w:val="en-US"/>
        </w:rPr>
        <w:t>belong</w:t>
      </w:r>
      <w:r w:rsidR="001E705A" w:rsidRPr="007D6C3F">
        <w:rPr>
          <w:lang w:val="en-US"/>
        </w:rPr>
        <w:t>s</w:t>
      </w:r>
      <w:r w:rsidRPr="007D6C3F">
        <w:rPr>
          <w:lang w:val="en-US"/>
        </w:rPr>
        <w:t xml:space="preserve"> to the Hazara ethnic minority group</w:t>
      </w:r>
      <w:r w:rsidR="001E705A" w:rsidRPr="007D6C3F">
        <w:rPr>
          <w:lang w:val="en-US"/>
        </w:rPr>
        <w:t>, he never lived in Afghanistan and thus has no knowledge of the country, of the language and no social network beside his abusive parents.</w:t>
      </w:r>
      <w:r w:rsidR="00F644E3" w:rsidRPr="007D6C3F">
        <w:t xml:space="preserve"> </w:t>
      </w:r>
    </w:p>
    <w:p w14:paraId="266875CC" w14:textId="6B3249B2" w:rsidR="00531CEC" w:rsidRPr="007D6C3F" w:rsidRDefault="00E6217C" w:rsidP="006A1BF6">
      <w:pPr>
        <w:pStyle w:val="SingleTxtG"/>
        <w:rPr>
          <w:color w:val="FF0000"/>
        </w:rPr>
      </w:pPr>
      <w:r w:rsidRPr="007D6C3F">
        <w:t>9.3</w:t>
      </w:r>
      <w:r w:rsidRPr="007D6C3F">
        <w:tab/>
        <w:t xml:space="preserve">The Committee recalls its general comment No. 31 (2004) on the nature of the general legal obligation imposed on States parties to the Covenant, in which it referred to the obligation of States parties not to extradite, deport, expel or otherwise remove a person from their territory when there were substantial grounds for believing that there was a real risk of </w:t>
      </w:r>
      <w:r w:rsidRPr="007D6C3F">
        <w:lastRenderedPageBreak/>
        <w:t>irreparable harm such as that contemplated by articles 6 and 7 of the Covenant.</w:t>
      </w:r>
      <w:r w:rsidRPr="007D6C3F">
        <w:rPr>
          <w:vertAlign w:val="superscript"/>
        </w:rPr>
        <w:footnoteReference w:id="32"/>
      </w:r>
      <w:r w:rsidRPr="007D6C3F">
        <w:t xml:space="preserve"> The Committee has also indicated that the risk must be personal</w:t>
      </w:r>
      <w:r w:rsidRPr="007D6C3F">
        <w:rPr>
          <w:vertAlign w:val="superscript"/>
        </w:rPr>
        <w:footnoteReference w:id="33"/>
      </w:r>
      <w:r w:rsidRPr="007D6C3F">
        <w:t xml:space="preserve"> and that there is a high threshold for providing substantial grounds to establish that a real risk of irreparable harm exists.</w:t>
      </w:r>
      <w:r w:rsidRPr="007D6C3F">
        <w:rPr>
          <w:vertAlign w:val="superscript"/>
        </w:rPr>
        <w:footnoteReference w:id="34"/>
      </w:r>
      <w:r w:rsidRPr="007D6C3F">
        <w:t xml:space="preserve"> All relevant facts and circumstances must be considered, including the general human rights situation in the author’s country of origin.</w:t>
      </w:r>
      <w:r w:rsidRPr="007D6C3F">
        <w:rPr>
          <w:vertAlign w:val="superscript"/>
        </w:rPr>
        <w:footnoteReference w:id="35"/>
      </w:r>
      <w:r w:rsidRPr="007D6C3F">
        <w:t xml:space="preserve"> The Committee recalls that it is generally for the organs of States parties to examine the facts and evidence of the case in question in order to determine whether such a risk exists,</w:t>
      </w:r>
      <w:r w:rsidRPr="007D6C3F">
        <w:rPr>
          <w:vertAlign w:val="superscript"/>
        </w:rPr>
        <w:footnoteReference w:id="36"/>
      </w:r>
      <w:r w:rsidRPr="007D6C3F">
        <w:t xml:space="preserve"> unless it can be established that the assessment was clearly arbitrary or amounted to a manifest error or denial of justice.</w:t>
      </w:r>
      <w:r w:rsidRPr="007D6C3F">
        <w:rPr>
          <w:vertAlign w:val="superscript"/>
        </w:rPr>
        <w:footnoteReference w:id="37"/>
      </w:r>
    </w:p>
    <w:p w14:paraId="7CA4E756" w14:textId="706105E3" w:rsidR="0078143F" w:rsidRPr="007D6C3F" w:rsidRDefault="0078143F" w:rsidP="0078143F">
      <w:pPr>
        <w:pStyle w:val="SingleTxtG"/>
        <w:rPr>
          <w:lang w:val="en-US"/>
        </w:rPr>
      </w:pPr>
      <w:r w:rsidRPr="007D6C3F">
        <w:rPr>
          <w:lang w:val="en-US"/>
        </w:rPr>
        <w:t>9.4</w:t>
      </w:r>
      <w:r w:rsidRPr="007D6C3F">
        <w:rPr>
          <w:lang w:val="en-US"/>
        </w:rPr>
        <w:tab/>
      </w:r>
      <w:r w:rsidR="00701BB7" w:rsidRPr="007D6C3F">
        <w:rPr>
          <w:lang w:val="en-US"/>
        </w:rPr>
        <w:t>In</w:t>
      </w:r>
      <w:r w:rsidRPr="007D6C3F">
        <w:rPr>
          <w:lang w:val="en-US"/>
        </w:rPr>
        <w:t xml:space="preserve"> regard to the author’s allegation on his faith and conversion, regardless of the sincerity of the conversion, the test remains whether there are substantial grounds for believing that such a conversion may have serious adverse consequences in the country of origin such as to create a real risk of irreparable harm as contemplated by articles 6 and 7 of the Covenant. Therefore, even when it is found that the reported conversion is not sincere, the authorities should proceed to assess whether, in the circumstances of the case, the </w:t>
      </w:r>
      <w:proofErr w:type="spellStart"/>
      <w:r w:rsidRPr="007D6C3F">
        <w:rPr>
          <w:lang w:val="en-US"/>
        </w:rPr>
        <w:t>behaviour</w:t>
      </w:r>
      <w:proofErr w:type="spellEnd"/>
      <w:r w:rsidRPr="007D6C3F">
        <w:rPr>
          <w:lang w:val="en-US"/>
        </w:rPr>
        <w:t xml:space="preserve"> and activities of the asylum seeker in connection with his or her conversion or convictions, could have serious adverse </w:t>
      </w:r>
      <w:r w:rsidRPr="007D6C3F">
        <w:t>consequences</w:t>
      </w:r>
      <w:r w:rsidRPr="007D6C3F">
        <w:rPr>
          <w:lang w:val="en-US"/>
        </w:rPr>
        <w:t xml:space="preserve"> in the country of origin so as to put him or her at risk of irreparable harm.</w:t>
      </w:r>
      <w:r w:rsidRPr="007D6C3F">
        <w:rPr>
          <w:vertAlign w:val="superscript"/>
          <w:lang w:val="en-US"/>
        </w:rPr>
        <w:footnoteReference w:id="38"/>
      </w:r>
      <w:r w:rsidRPr="007D6C3F">
        <w:rPr>
          <w:lang w:val="en-US"/>
        </w:rPr>
        <w:t xml:space="preserve"> In that connection, the Committee recalls that States parties should give sufficient weight to the real and personal risk that a person might face if deported and considers that it was incumbent upon the State party to undertake an individualized assessment of the risk that the author</w:t>
      </w:r>
      <w:r w:rsidR="008D7955" w:rsidRPr="007D6C3F">
        <w:rPr>
          <w:lang w:val="en-US"/>
        </w:rPr>
        <w:t xml:space="preserve"> </w:t>
      </w:r>
      <w:r w:rsidRPr="007D6C3F">
        <w:rPr>
          <w:lang w:val="en-US"/>
        </w:rPr>
        <w:t>would face in Afghanistan.</w:t>
      </w:r>
      <w:r w:rsidRPr="007D6C3F">
        <w:rPr>
          <w:rStyle w:val="FootnoteReference"/>
          <w:lang w:val="en-US"/>
        </w:rPr>
        <w:footnoteReference w:id="39"/>
      </w:r>
      <w:r w:rsidRPr="007D6C3F">
        <w:rPr>
          <w:lang w:val="en-US"/>
        </w:rPr>
        <w:t xml:space="preserve"> </w:t>
      </w:r>
    </w:p>
    <w:p w14:paraId="5D4BD02B" w14:textId="5DE2F7BD" w:rsidR="0078143F" w:rsidRPr="007D6C3F" w:rsidRDefault="0078143F" w:rsidP="0078143F">
      <w:pPr>
        <w:pStyle w:val="SingleTxtG"/>
        <w:rPr>
          <w:lang w:val="en-US"/>
        </w:rPr>
      </w:pPr>
      <w:r w:rsidRPr="007D6C3F">
        <w:rPr>
          <w:lang w:val="en-US"/>
        </w:rPr>
        <w:t>9.5</w:t>
      </w:r>
      <w:r w:rsidRPr="007D6C3F">
        <w:rPr>
          <w:lang w:val="en-US"/>
        </w:rPr>
        <w:tab/>
      </w:r>
      <w:r w:rsidR="00701BB7" w:rsidRPr="007D6C3F">
        <w:rPr>
          <w:lang w:val="en-US"/>
        </w:rPr>
        <w:t xml:space="preserve">In the present case, </w:t>
      </w:r>
      <w:r w:rsidRPr="007D6C3F">
        <w:rPr>
          <w:lang w:val="en-US"/>
        </w:rPr>
        <w:t xml:space="preserve">the Committee notes </w:t>
      </w:r>
      <w:r w:rsidR="008D7955" w:rsidRPr="007D6C3F">
        <w:rPr>
          <w:lang w:val="en-US"/>
        </w:rPr>
        <w:t xml:space="preserve">that the author claims that his allegation regarding his conversion was not adequately examined by the migration authorities. However, the Committee also notes that </w:t>
      </w:r>
      <w:r w:rsidRPr="007D6C3F">
        <w:rPr>
          <w:lang w:val="en-US"/>
        </w:rPr>
        <w:t xml:space="preserve">the State party </w:t>
      </w:r>
      <w:r w:rsidR="00CD4C05" w:rsidRPr="007D6C3F">
        <w:rPr>
          <w:lang w:val="en-US"/>
        </w:rPr>
        <w:t xml:space="preserve">argues </w:t>
      </w:r>
      <w:r w:rsidR="008D7955" w:rsidRPr="007D6C3F">
        <w:rPr>
          <w:lang w:val="en-US"/>
        </w:rPr>
        <w:t xml:space="preserve">that </w:t>
      </w:r>
      <w:r w:rsidRPr="007D6C3F">
        <w:rPr>
          <w:lang w:val="en-US"/>
        </w:rPr>
        <w:t xml:space="preserve">the author’s claim regarding the alleged conversion </w:t>
      </w:r>
      <w:r w:rsidR="00452CD7" w:rsidRPr="007D6C3F">
        <w:rPr>
          <w:lang w:val="en-US"/>
        </w:rPr>
        <w:t>was</w:t>
      </w:r>
      <w:r w:rsidRPr="007D6C3F">
        <w:rPr>
          <w:lang w:val="en-US"/>
        </w:rPr>
        <w:t xml:space="preserve"> not deemed to be credible as</w:t>
      </w:r>
      <w:r w:rsidRPr="007D6C3F">
        <w:t xml:space="preserve"> the information about the conversion was raised at a very late stage of the asylum process </w:t>
      </w:r>
      <w:r w:rsidRPr="007D6C3F">
        <w:rPr>
          <w:lang w:val="en-US"/>
        </w:rPr>
        <w:t xml:space="preserve">and his explanation for the late submission </w:t>
      </w:r>
      <w:r w:rsidR="00452CD7" w:rsidRPr="007D6C3F">
        <w:rPr>
          <w:lang w:val="en-US"/>
        </w:rPr>
        <w:t>was</w:t>
      </w:r>
      <w:r w:rsidRPr="007D6C3F">
        <w:rPr>
          <w:lang w:val="en-US"/>
        </w:rPr>
        <w:t xml:space="preserve"> not convincing. The Committee also notes the Migration </w:t>
      </w:r>
      <w:r w:rsidR="009A04EE" w:rsidRPr="007D6C3F">
        <w:rPr>
          <w:lang w:val="en-US"/>
        </w:rPr>
        <w:t>Board</w:t>
      </w:r>
      <w:r w:rsidRPr="007D6C3F">
        <w:rPr>
          <w:lang w:val="en-US"/>
        </w:rPr>
        <w:t xml:space="preserve">’s decision of 26 October 2017 where it examined the author’s allegation </w:t>
      </w:r>
      <w:r w:rsidR="00CD4C05" w:rsidRPr="007D6C3F">
        <w:rPr>
          <w:lang w:val="en-US"/>
        </w:rPr>
        <w:t>concerning</w:t>
      </w:r>
      <w:r w:rsidRPr="007D6C3F">
        <w:rPr>
          <w:lang w:val="en-US"/>
        </w:rPr>
        <w:t xml:space="preserve"> his conversion but considered there was a good reason to question the motives behind the author’s baptism, which took place on 22 October 2017, when he was taken into detention by the enforcing police authority. </w:t>
      </w:r>
      <w:r w:rsidR="001F012A" w:rsidRPr="007D6C3F">
        <w:rPr>
          <w:lang w:val="en-US"/>
        </w:rPr>
        <w:t xml:space="preserve">The Migration Board </w:t>
      </w:r>
      <w:r w:rsidR="00CD4C05" w:rsidRPr="007D6C3F">
        <w:rPr>
          <w:lang w:val="en-US"/>
        </w:rPr>
        <w:t xml:space="preserve">also </w:t>
      </w:r>
      <w:r w:rsidRPr="007D6C3F">
        <w:rPr>
          <w:lang w:val="en-US"/>
        </w:rPr>
        <w:t xml:space="preserve">took into account that the author </w:t>
      </w:r>
      <w:r w:rsidR="00CD4C05" w:rsidRPr="007D6C3F">
        <w:rPr>
          <w:lang w:val="en-US"/>
        </w:rPr>
        <w:t>never</w:t>
      </w:r>
      <w:r w:rsidRPr="007D6C3F">
        <w:rPr>
          <w:lang w:val="en-US"/>
        </w:rPr>
        <w:t xml:space="preserve"> mention</w:t>
      </w:r>
      <w:r w:rsidR="00CD4C05" w:rsidRPr="007D6C3F">
        <w:rPr>
          <w:lang w:val="en-US"/>
        </w:rPr>
        <w:t>ed</w:t>
      </w:r>
      <w:r w:rsidRPr="007D6C3F">
        <w:rPr>
          <w:lang w:val="en-US"/>
        </w:rPr>
        <w:t xml:space="preserve"> his conv</w:t>
      </w:r>
      <w:r w:rsidR="001F012A" w:rsidRPr="007D6C3F">
        <w:rPr>
          <w:lang w:val="en-US"/>
        </w:rPr>
        <w:t>ersion</w:t>
      </w:r>
      <w:r w:rsidRPr="007D6C3F">
        <w:rPr>
          <w:lang w:val="en-US"/>
        </w:rPr>
        <w:t xml:space="preserve"> before, </w:t>
      </w:r>
      <w:r w:rsidR="00452CD7" w:rsidRPr="007D6C3F">
        <w:rPr>
          <w:lang w:val="en-US"/>
        </w:rPr>
        <w:t>even though</w:t>
      </w:r>
      <w:r w:rsidRPr="007D6C3F">
        <w:rPr>
          <w:lang w:val="en-US"/>
        </w:rPr>
        <w:t xml:space="preserve"> he had </w:t>
      </w:r>
      <w:r w:rsidR="00452CD7" w:rsidRPr="007D6C3F">
        <w:rPr>
          <w:lang w:val="en-US"/>
        </w:rPr>
        <w:t>an opportunity</w:t>
      </w:r>
      <w:r w:rsidRPr="007D6C3F">
        <w:rPr>
          <w:lang w:val="en-US"/>
        </w:rPr>
        <w:t xml:space="preserve"> to </w:t>
      </w:r>
      <w:r w:rsidR="00C72D23" w:rsidRPr="007D6C3F">
        <w:rPr>
          <w:lang w:val="en-US"/>
        </w:rPr>
        <w:t>do so at the time of</w:t>
      </w:r>
      <w:r w:rsidRPr="007D6C3F">
        <w:rPr>
          <w:lang w:val="en-US"/>
        </w:rPr>
        <w:t xml:space="preserve"> his first application for a re-examination. The fact </w:t>
      </w:r>
      <w:r w:rsidR="00C72D23" w:rsidRPr="007D6C3F">
        <w:rPr>
          <w:lang w:val="en-US"/>
        </w:rPr>
        <w:t xml:space="preserve">that </w:t>
      </w:r>
      <w:r w:rsidRPr="007D6C3F">
        <w:rPr>
          <w:lang w:val="en-US"/>
        </w:rPr>
        <w:t>he claimed his con</w:t>
      </w:r>
      <w:r w:rsidR="00B65016" w:rsidRPr="007D6C3F">
        <w:rPr>
          <w:lang w:val="en-US"/>
        </w:rPr>
        <w:t xml:space="preserve">version </w:t>
      </w:r>
      <w:r w:rsidRPr="007D6C3F">
        <w:rPr>
          <w:lang w:val="en-US"/>
        </w:rPr>
        <w:t xml:space="preserve">at </w:t>
      </w:r>
      <w:r w:rsidR="0002156D">
        <w:rPr>
          <w:lang w:val="en-US"/>
        </w:rPr>
        <w:t xml:space="preserve">a </w:t>
      </w:r>
      <w:r w:rsidRPr="007D6C3F">
        <w:rPr>
          <w:lang w:val="en-US"/>
        </w:rPr>
        <w:t xml:space="preserve">very late state of the asylum proceedings has affected the credibility of his information negatively, especially </w:t>
      </w:r>
      <w:r w:rsidR="00C72D23" w:rsidRPr="007D6C3F">
        <w:rPr>
          <w:lang w:val="en-US"/>
        </w:rPr>
        <w:t>since</w:t>
      </w:r>
      <w:r w:rsidRPr="007D6C3F">
        <w:rPr>
          <w:lang w:val="en-US"/>
        </w:rPr>
        <w:t xml:space="preserve"> at that time he had been in Sweden for more than 2 years and had had several chance</w:t>
      </w:r>
      <w:r w:rsidR="00C72D23" w:rsidRPr="007D6C3F">
        <w:rPr>
          <w:lang w:val="en-US"/>
        </w:rPr>
        <w:t xml:space="preserve">s to </w:t>
      </w:r>
      <w:r w:rsidR="00367A7D" w:rsidRPr="007D6C3F">
        <w:rPr>
          <w:lang w:val="en-US"/>
        </w:rPr>
        <w:t>inform</w:t>
      </w:r>
      <w:r w:rsidR="00C72D23" w:rsidRPr="007D6C3F">
        <w:rPr>
          <w:lang w:val="en-US"/>
        </w:rPr>
        <w:t xml:space="preserve"> </w:t>
      </w:r>
      <w:r w:rsidRPr="007D6C3F">
        <w:rPr>
          <w:lang w:val="en-US"/>
        </w:rPr>
        <w:t xml:space="preserve">the migration authorities </w:t>
      </w:r>
      <w:r w:rsidR="00367A7D" w:rsidRPr="007D6C3F">
        <w:rPr>
          <w:lang w:val="en-US"/>
        </w:rPr>
        <w:t>about</w:t>
      </w:r>
      <w:r w:rsidRPr="007D6C3F">
        <w:rPr>
          <w:lang w:val="en-US"/>
        </w:rPr>
        <w:t xml:space="preserve"> his conversion earlier, in particular after April 2017 when his parents </w:t>
      </w:r>
      <w:r w:rsidR="00367A7D" w:rsidRPr="007D6C3F">
        <w:rPr>
          <w:lang w:val="en-US"/>
        </w:rPr>
        <w:t xml:space="preserve">allegedly </w:t>
      </w:r>
      <w:r w:rsidR="00067036">
        <w:rPr>
          <w:lang w:val="en-US"/>
        </w:rPr>
        <w:t>left</w:t>
      </w:r>
      <w:r w:rsidRPr="007D6C3F">
        <w:rPr>
          <w:lang w:val="en-US"/>
        </w:rPr>
        <w:t xml:space="preserve"> Sweden. </w:t>
      </w:r>
    </w:p>
    <w:p w14:paraId="52F47C95" w14:textId="176EA4ED" w:rsidR="001B6B73" w:rsidRPr="007D6C3F" w:rsidRDefault="0078143F" w:rsidP="0078143F">
      <w:pPr>
        <w:pStyle w:val="SingleTxtG"/>
      </w:pPr>
      <w:r w:rsidRPr="007D6C3F">
        <w:rPr>
          <w:lang w:val="en-US"/>
        </w:rPr>
        <w:t>9.</w:t>
      </w:r>
      <w:r w:rsidR="00CD4C05" w:rsidRPr="007D6C3F">
        <w:rPr>
          <w:lang w:val="en-US"/>
        </w:rPr>
        <w:t>6</w:t>
      </w:r>
      <w:r w:rsidRPr="007D6C3F">
        <w:rPr>
          <w:lang w:val="en-US"/>
        </w:rPr>
        <w:tab/>
        <w:t xml:space="preserve">In this regard, </w:t>
      </w:r>
      <w:r w:rsidRPr="00BD7308">
        <w:t xml:space="preserve">the Committee </w:t>
      </w:r>
      <w:r w:rsidRPr="007D6C3F">
        <w:t>recalls its jurisprudence that an author carries the burden of proof to support the allegations of a personal and real risk of irreparable harm</w:t>
      </w:r>
      <w:r w:rsidR="00AE02C7">
        <w:t xml:space="preserve"> if deported</w:t>
      </w:r>
      <w:r w:rsidRPr="007D6C3F">
        <w:t xml:space="preserve">, including the obligation to submit evidence sufficiently in advance of the decisions of the </w:t>
      </w:r>
      <w:r w:rsidRPr="004465E2">
        <w:rPr>
          <w:strike/>
        </w:rPr>
        <w:lastRenderedPageBreak/>
        <w:t>national</w:t>
      </w:r>
      <w:r w:rsidRPr="007D6C3F">
        <w:t xml:space="preserve"> </w:t>
      </w:r>
      <w:r w:rsidR="003B5C7F">
        <w:t xml:space="preserve">domestic </w:t>
      </w:r>
      <w:r w:rsidRPr="007D6C3F">
        <w:t>authorities, unless the information could not have been presented before</w:t>
      </w:r>
      <w:r w:rsidRPr="007D6C3F">
        <w:rPr>
          <w:rStyle w:val="FootnoteReference"/>
        </w:rPr>
        <w:footnoteReference w:id="40"/>
      </w:r>
      <w:r w:rsidRPr="007D6C3F">
        <w:t xml:space="preserve"> In </w:t>
      </w:r>
      <w:r w:rsidRPr="00BD7308">
        <w:t xml:space="preserve">the circumstances of the </w:t>
      </w:r>
      <w:r w:rsidRPr="007D6C3F">
        <w:t xml:space="preserve">present case, the Committee considers the author’s claims </w:t>
      </w:r>
      <w:r w:rsidR="00AE02C7">
        <w:t xml:space="preserve">about the risk to which he would be exposed in Afghanistan as a recent convert to be of a general and vague nature, and that </w:t>
      </w:r>
      <w:r w:rsidR="00AE02C7" w:rsidRPr="006E347D">
        <w:t xml:space="preserve">his claim </w:t>
      </w:r>
      <w:r w:rsidRPr="006E347D">
        <w:t xml:space="preserve">regarding </w:t>
      </w:r>
      <w:r w:rsidRPr="00C064D7">
        <w:t>the examination of his conversion mainly reflect</w:t>
      </w:r>
      <w:r w:rsidR="00BA3A07">
        <w:t>s</w:t>
      </w:r>
      <w:r w:rsidRPr="00C064D7">
        <w:t xml:space="preserve"> his disagreement with the factual conclusions drawn by the State party’s authorities</w:t>
      </w:r>
      <w:r w:rsidR="00AE02C7" w:rsidRPr="00C064D7">
        <w:t xml:space="preserve"> about the credibility of </w:t>
      </w:r>
      <w:r w:rsidR="00AE455C">
        <w:t xml:space="preserve">these </w:t>
      </w:r>
      <w:r w:rsidR="00AE02C7" w:rsidRPr="00C064D7">
        <w:t>allegations</w:t>
      </w:r>
      <w:r w:rsidR="00FF750A" w:rsidRPr="00C064D7">
        <w:t xml:space="preserve"> </w:t>
      </w:r>
      <w:r w:rsidRPr="00C064D7">
        <w:t>and do not demonstrate that these conclusions are</w:t>
      </w:r>
      <w:r w:rsidRPr="007D6C3F">
        <w:t xml:space="preserve"> arbitrary or manifestly unreasonable or that the proceedings in question amounted to a procedural error or denial of justice. </w:t>
      </w:r>
    </w:p>
    <w:p w14:paraId="3F0B1CCA" w14:textId="5C6623FE" w:rsidR="00690A6F" w:rsidRPr="007D6C3F" w:rsidRDefault="00086A25" w:rsidP="0078143F">
      <w:pPr>
        <w:pStyle w:val="SingleTxtG"/>
        <w:rPr>
          <w:lang w:val="en-US"/>
        </w:rPr>
      </w:pPr>
      <w:r w:rsidRPr="007D6C3F">
        <w:rPr>
          <w:lang w:val="en-US"/>
        </w:rPr>
        <w:t>9.</w:t>
      </w:r>
      <w:r w:rsidR="001B6B73" w:rsidRPr="007D6C3F">
        <w:rPr>
          <w:lang w:val="en-US"/>
        </w:rPr>
        <w:t>7</w:t>
      </w:r>
      <w:r w:rsidR="00F644E3" w:rsidRPr="007D6C3F">
        <w:rPr>
          <w:lang w:val="en-US"/>
        </w:rPr>
        <w:tab/>
      </w:r>
      <w:r w:rsidR="001B6B73" w:rsidRPr="007D6C3F">
        <w:rPr>
          <w:lang w:val="en-US"/>
        </w:rPr>
        <w:t>I</w:t>
      </w:r>
      <w:r w:rsidR="00531CEC" w:rsidRPr="007D6C3F">
        <w:rPr>
          <w:lang w:val="en-US"/>
        </w:rPr>
        <w:t xml:space="preserve">n </w:t>
      </w:r>
      <w:r w:rsidR="009C7BF3" w:rsidRPr="007D6C3F">
        <w:rPr>
          <w:lang w:val="en-US"/>
        </w:rPr>
        <w:t>regard t</w:t>
      </w:r>
      <w:r w:rsidR="001F012A" w:rsidRPr="007D6C3F">
        <w:rPr>
          <w:lang w:val="en-US"/>
        </w:rPr>
        <w:t>o</w:t>
      </w:r>
      <w:r w:rsidR="00371A72" w:rsidRPr="007D6C3F">
        <w:rPr>
          <w:lang w:val="en-US"/>
        </w:rPr>
        <w:t xml:space="preserve"> the </w:t>
      </w:r>
      <w:r w:rsidR="003B5C7F">
        <w:rPr>
          <w:lang w:val="en-US"/>
        </w:rPr>
        <w:t xml:space="preserve">examination of the </w:t>
      </w:r>
      <w:r w:rsidR="00371A72" w:rsidRPr="007D6C3F">
        <w:rPr>
          <w:lang w:val="en-US"/>
        </w:rPr>
        <w:t xml:space="preserve">alleged abuse and threat </w:t>
      </w:r>
      <w:r w:rsidR="0009099D" w:rsidRPr="007D6C3F">
        <w:rPr>
          <w:lang w:val="en-US"/>
        </w:rPr>
        <w:t>against</w:t>
      </w:r>
      <w:r w:rsidR="00371A72" w:rsidRPr="007D6C3F">
        <w:rPr>
          <w:lang w:val="en-US"/>
        </w:rPr>
        <w:t xml:space="preserve"> the author</w:t>
      </w:r>
      <w:r w:rsidR="00CA2D6D" w:rsidRPr="007D6C3F">
        <w:rPr>
          <w:lang w:val="en-US"/>
        </w:rPr>
        <w:t xml:space="preserve">, </w:t>
      </w:r>
      <w:r w:rsidR="009C7BF3" w:rsidRPr="007D6C3F">
        <w:rPr>
          <w:lang w:val="en-US"/>
        </w:rPr>
        <w:t xml:space="preserve">the Committee </w:t>
      </w:r>
      <w:r w:rsidR="00690A6F" w:rsidRPr="007D6C3F">
        <w:rPr>
          <w:lang w:val="en-US"/>
        </w:rPr>
        <w:t xml:space="preserve">observes that the State party claims that the author was given </w:t>
      </w:r>
      <w:r w:rsidR="00DA04A7" w:rsidRPr="007D6C3F">
        <w:rPr>
          <w:lang w:val="en-US"/>
        </w:rPr>
        <w:t xml:space="preserve">the </w:t>
      </w:r>
      <w:r w:rsidR="00690A6F" w:rsidRPr="007D6C3F">
        <w:rPr>
          <w:lang w:val="en-US"/>
        </w:rPr>
        <w:t xml:space="preserve">opportunity to substantiate his claims, both orally and in writing before the Migration </w:t>
      </w:r>
      <w:r w:rsidR="009A04EE" w:rsidRPr="007D6C3F">
        <w:rPr>
          <w:lang w:val="en-US"/>
        </w:rPr>
        <w:t>Board</w:t>
      </w:r>
      <w:r w:rsidR="00690A6F" w:rsidRPr="007D6C3F">
        <w:rPr>
          <w:lang w:val="en-US"/>
        </w:rPr>
        <w:t xml:space="preserve"> and in writing before the Migration Court</w:t>
      </w:r>
      <w:r w:rsidR="002B08D0" w:rsidRPr="007D6C3F">
        <w:rPr>
          <w:lang w:val="en-US"/>
        </w:rPr>
        <w:t xml:space="preserve"> </w:t>
      </w:r>
      <w:r w:rsidR="001F012A" w:rsidRPr="007D6C3F">
        <w:rPr>
          <w:lang w:val="en-US"/>
        </w:rPr>
        <w:t xml:space="preserve">during the </w:t>
      </w:r>
      <w:r w:rsidR="002B08D0" w:rsidRPr="007D6C3F">
        <w:rPr>
          <w:lang w:val="en-US"/>
        </w:rPr>
        <w:t xml:space="preserve">ordinary asylum proceedings, while the author alleges that he was not given </w:t>
      </w:r>
      <w:r w:rsidR="00120E6B" w:rsidRPr="007D6C3F">
        <w:rPr>
          <w:lang w:val="en-US"/>
        </w:rPr>
        <w:t xml:space="preserve">a chance </w:t>
      </w:r>
      <w:r w:rsidR="002B08D0" w:rsidRPr="007D6C3F">
        <w:rPr>
          <w:lang w:val="en-US"/>
        </w:rPr>
        <w:t>to orally substantiate his allegation</w:t>
      </w:r>
      <w:r w:rsidR="00120E6B" w:rsidRPr="007D6C3F">
        <w:rPr>
          <w:lang w:val="en-US"/>
        </w:rPr>
        <w:t>s</w:t>
      </w:r>
      <w:r w:rsidR="00444D0B" w:rsidRPr="007D6C3F">
        <w:rPr>
          <w:lang w:val="en-US"/>
        </w:rPr>
        <w:t xml:space="preserve">. </w:t>
      </w:r>
    </w:p>
    <w:p w14:paraId="634E3DDF" w14:textId="779A43E6" w:rsidR="00690A6F" w:rsidRPr="007D6C3F" w:rsidRDefault="00987C89" w:rsidP="006A1BF6">
      <w:pPr>
        <w:pStyle w:val="SingleTxtG"/>
        <w:rPr>
          <w:lang w:val="en-US"/>
        </w:rPr>
      </w:pPr>
      <w:r w:rsidRPr="007D6C3F">
        <w:rPr>
          <w:lang w:val="en-US"/>
        </w:rPr>
        <w:t>9.</w:t>
      </w:r>
      <w:r w:rsidR="001B6B73" w:rsidRPr="007D6C3F">
        <w:rPr>
          <w:lang w:val="en-US"/>
        </w:rPr>
        <w:t>8</w:t>
      </w:r>
      <w:r w:rsidR="00690A6F" w:rsidRPr="007D6C3F">
        <w:rPr>
          <w:lang w:val="en-US"/>
        </w:rPr>
        <w:tab/>
      </w:r>
      <w:r w:rsidR="00371A72" w:rsidRPr="007D6C3F">
        <w:rPr>
          <w:lang w:val="en-US"/>
        </w:rPr>
        <w:t xml:space="preserve">The </w:t>
      </w:r>
      <w:r w:rsidR="00690A6F" w:rsidRPr="007D6C3F">
        <w:rPr>
          <w:lang w:val="en-US"/>
        </w:rPr>
        <w:t xml:space="preserve">Committee notes that </w:t>
      </w:r>
      <w:r w:rsidR="00120E6B" w:rsidRPr="007D6C3F">
        <w:rPr>
          <w:lang w:val="en-US"/>
        </w:rPr>
        <w:t xml:space="preserve">in the asylum interview on 2 June 2016, </w:t>
      </w:r>
      <w:r w:rsidR="002B08D0" w:rsidRPr="007D6C3F">
        <w:rPr>
          <w:lang w:val="en-US"/>
        </w:rPr>
        <w:t xml:space="preserve">the author did not inform </w:t>
      </w:r>
      <w:r w:rsidR="00120E6B" w:rsidRPr="007D6C3F">
        <w:rPr>
          <w:lang w:val="en-US"/>
        </w:rPr>
        <w:t xml:space="preserve">the case officer that he had been abused by his father. However, </w:t>
      </w:r>
      <w:r w:rsidR="00F17233" w:rsidRPr="007D6C3F">
        <w:rPr>
          <w:lang w:val="en-US"/>
        </w:rPr>
        <w:t xml:space="preserve">the Committee also notes that even </w:t>
      </w:r>
      <w:r w:rsidR="00690A6F" w:rsidRPr="007D6C3F">
        <w:rPr>
          <w:lang w:val="en-US"/>
        </w:rPr>
        <w:t xml:space="preserve">after the author’s brother informed the case officer </w:t>
      </w:r>
      <w:r w:rsidR="00DA04A7" w:rsidRPr="007D6C3F">
        <w:rPr>
          <w:lang w:val="en-US"/>
        </w:rPr>
        <w:t xml:space="preserve">on 23 September 2016 </w:t>
      </w:r>
      <w:r w:rsidR="00690A6F" w:rsidRPr="007D6C3F">
        <w:rPr>
          <w:lang w:val="en-US"/>
        </w:rPr>
        <w:t xml:space="preserve">that his father </w:t>
      </w:r>
      <w:r w:rsidR="00120E6B" w:rsidRPr="007D6C3F">
        <w:rPr>
          <w:lang w:val="en-US"/>
        </w:rPr>
        <w:t xml:space="preserve">had </w:t>
      </w:r>
      <w:r w:rsidR="00690A6F" w:rsidRPr="007D6C3F">
        <w:rPr>
          <w:lang w:val="en-US"/>
        </w:rPr>
        <w:t>beat</w:t>
      </w:r>
      <w:r w:rsidR="00B843B5" w:rsidRPr="007D6C3F">
        <w:rPr>
          <w:lang w:val="en-US"/>
        </w:rPr>
        <w:t>en</w:t>
      </w:r>
      <w:r w:rsidR="00690A6F" w:rsidRPr="007D6C3F">
        <w:rPr>
          <w:lang w:val="en-US"/>
        </w:rPr>
        <w:t xml:space="preserve"> him and his brother</w:t>
      </w:r>
      <w:r w:rsidR="00F17233" w:rsidRPr="00D55176">
        <w:rPr>
          <w:lang w:val="en-US"/>
        </w:rPr>
        <w:t xml:space="preserve">, </w:t>
      </w:r>
      <w:r w:rsidR="00690A6F" w:rsidRPr="00AC42FA">
        <w:rPr>
          <w:lang w:val="en-US"/>
        </w:rPr>
        <w:t xml:space="preserve">the </w:t>
      </w:r>
      <w:r w:rsidR="00690A6F" w:rsidRPr="007D6C3F">
        <w:rPr>
          <w:lang w:val="en-US"/>
        </w:rPr>
        <w:t xml:space="preserve">Migration Court on 1 </w:t>
      </w:r>
      <w:r w:rsidR="00690A6F" w:rsidRPr="007D6C3F">
        <w:t>February</w:t>
      </w:r>
      <w:r w:rsidR="00690A6F" w:rsidRPr="007D6C3F">
        <w:rPr>
          <w:lang w:val="en-US"/>
        </w:rPr>
        <w:t xml:space="preserve"> 2017 rejected the appeal of the author</w:t>
      </w:r>
      <w:r w:rsidR="00120E6B" w:rsidRPr="007D6C3F">
        <w:rPr>
          <w:lang w:val="en-US"/>
        </w:rPr>
        <w:t xml:space="preserve"> and </w:t>
      </w:r>
      <w:r w:rsidR="006B3C53" w:rsidRPr="007D6C3F">
        <w:rPr>
          <w:lang w:val="en-US"/>
        </w:rPr>
        <w:t>his</w:t>
      </w:r>
      <w:r w:rsidR="00120E6B" w:rsidRPr="007D6C3F">
        <w:rPr>
          <w:lang w:val="en-US"/>
        </w:rPr>
        <w:t xml:space="preserve"> brother</w:t>
      </w:r>
      <w:r w:rsidR="00690A6F" w:rsidRPr="007D6C3F">
        <w:rPr>
          <w:lang w:val="en-US"/>
        </w:rPr>
        <w:t xml:space="preserve">, without examining </w:t>
      </w:r>
      <w:r w:rsidR="00883D54">
        <w:rPr>
          <w:lang w:val="en-US"/>
        </w:rPr>
        <w:t xml:space="preserve">in depth </w:t>
      </w:r>
      <w:r w:rsidR="00690A6F" w:rsidRPr="007D6C3F">
        <w:rPr>
          <w:lang w:val="en-US"/>
        </w:rPr>
        <w:t xml:space="preserve">the </w:t>
      </w:r>
      <w:r w:rsidR="00883D54">
        <w:rPr>
          <w:lang w:val="en-US"/>
        </w:rPr>
        <w:t>risks associated with the threat related to the alleged abuse</w:t>
      </w:r>
      <w:r w:rsidR="00F17233" w:rsidRPr="007D6C3F">
        <w:rPr>
          <w:lang w:val="en-US"/>
        </w:rPr>
        <w:t>.</w:t>
      </w:r>
      <w:r w:rsidR="00C80211" w:rsidRPr="007D6C3F">
        <w:rPr>
          <w:lang w:val="en-US"/>
        </w:rPr>
        <w:t xml:space="preserve"> </w:t>
      </w:r>
      <w:r w:rsidR="00C064D7">
        <w:rPr>
          <w:lang w:val="en-US"/>
        </w:rPr>
        <w:t xml:space="preserve">The </w:t>
      </w:r>
      <w:r w:rsidR="00610856">
        <w:rPr>
          <w:lang w:val="en-US"/>
        </w:rPr>
        <w:t>Migration C</w:t>
      </w:r>
      <w:r w:rsidR="00C064D7">
        <w:rPr>
          <w:lang w:val="en-US"/>
        </w:rPr>
        <w:t xml:space="preserve">ourt in its decision of </w:t>
      </w:r>
      <w:proofErr w:type="gramStart"/>
      <w:r w:rsidR="00C064D7">
        <w:rPr>
          <w:lang w:val="en-US"/>
        </w:rPr>
        <w:t xml:space="preserve">9 </w:t>
      </w:r>
      <w:r w:rsidR="00610856">
        <w:rPr>
          <w:lang w:val="en-US"/>
        </w:rPr>
        <w:t xml:space="preserve"> August</w:t>
      </w:r>
      <w:proofErr w:type="gramEnd"/>
      <w:r w:rsidR="00C064D7">
        <w:rPr>
          <w:lang w:val="en-US"/>
        </w:rPr>
        <w:t xml:space="preserve">2017 </w:t>
      </w:r>
      <w:r w:rsidR="00610856">
        <w:rPr>
          <w:lang w:val="en-US"/>
        </w:rPr>
        <w:t xml:space="preserve">(§ 2.11) </w:t>
      </w:r>
      <w:r w:rsidR="00C064D7">
        <w:rPr>
          <w:lang w:val="en-US"/>
        </w:rPr>
        <w:t xml:space="preserve">did not find the criminal verdict </w:t>
      </w:r>
      <w:r w:rsidR="000A3842">
        <w:rPr>
          <w:lang w:val="en-US"/>
        </w:rPr>
        <w:t xml:space="preserve">against the author’s parents </w:t>
      </w:r>
      <w:r w:rsidR="00C064D7">
        <w:rPr>
          <w:lang w:val="en-US"/>
        </w:rPr>
        <w:t xml:space="preserve">to </w:t>
      </w:r>
      <w:r w:rsidR="00C064D7" w:rsidRPr="009B084B">
        <w:rPr>
          <w:lang w:val="en-US"/>
        </w:rPr>
        <w:t xml:space="preserve">provide a reason to suppose the author runs a serious risk. </w:t>
      </w:r>
      <w:r w:rsidR="00635363" w:rsidRPr="007D6C3F">
        <w:rPr>
          <w:lang w:val="en-US"/>
        </w:rPr>
        <w:t>The</w:t>
      </w:r>
      <w:r w:rsidR="00C80211" w:rsidRPr="007D6C3F">
        <w:rPr>
          <w:lang w:val="en-US"/>
        </w:rPr>
        <w:t xml:space="preserve"> Committee </w:t>
      </w:r>
      <w:r w:rsidR="00371A72" w:rsidRPr="007D6C3F">
        <w:rPr>
          <w:lang w:val="en-US"/>
        </w:rPr>
        <w:t xml:space="preserve">also </w:t>
      </w:r>
      <w:r w:rsidR="00F17233" w:rsidRPr="007D6C3F">
        <w:rPr>
          <w:lang w:val="en-US"/>
        </w:rPr>
        <w:t>notes that there was no</w:t>
      </w:r>
      <w:r w:rsidR="001F012A" w:rsidRPr="007D6C3F">
        <w:rPr>
          <w:lang w:val="en-US"/>
        </w:rPr>
        <w:t xml:space="preserve"> </w:t>
      </w:r>
      <w:r w:rsidR="00883D54">
        <w:rPr>
          <w:lang w:val="en-US"/>
        </w:rPr>
        <w:t xml:space="preserve">adequate </w:t>
      </w:r>
      <w:r w:rsidR="00F17233" w:rsidRPr="007D6C3F">
        <w:rPr>
          <w:lang w:val="en-US"/>
        </w:rPr>
        <w:t xml:space="preserve">examination of the </w:t>
      </w:r>
      <w:r w:rsidR="00982CB4" w:rsidRPr="007D6C3F">
        <w:rPr>
          <w:lang w:val="en-US"/>
        </w:rPr>
        <w:t xml:space="preserve">alleged </w:t>
      </w:r>
      <w:r w:rsidR="00B8765D" w:rsidRPr="007D6C3F">
        <w:rPr>
          <w:lang w:val="en-US"/>
        </w:rPr>
        <w:t>threats</w:t>
      </w:r>
      <w:r w:rsidR="00F17233" w:rsidRPr="007D6C3F">
        <w:rPr>
          <w:lang w:val="en-US"/>
        </w:rPr>
        <w:t xml:space="preserve"> in the </w:t>
      </w:r>
      <w:r w:rsidR="00883D54">
        <w:rPr>
          <w:lang w:val="en-US"/>
        </w:rPr>
        <w:t xml:space="preserve">subsequent </w:t>
      </w:r>
      <w:r w:rsidR="00F17233" w:rsidRPr="007D6C3F">
        <w:rPr>
          <w:lang w:val="en-US"/>
        </w:rPr>
        <w:t xml:space="preserve">examination of his </w:t>
      </w:r>
      <w:r w:rsidR="0009099D" w:rsidRPr="007D6C3F">
        <w:rPr>
          <w:lang w:val="en-US"/>
        </w:rPr>
        <w:t>asylum</w:t>
      </w:r>
      <w:r w:rsidR="00F17233" w:rsidRPr="007D6C3F">
        <w:rPr>
          <w:lang w:val="en-US"/>
        </w:rPr>
        <w:t xml:space="preserve"> claim</w:t>
      </w:r>
      <w:r w:rsidR="00635363" w:rsidRPr="007D6C3F">
        <w:rPr>
          <w:lang w:val="en-US"/>
        </w:rPr>
        <w:t>,</w:t>
      </w:r>
      <w:r w:rsidR="00F17233" w:rsidRPr="007D6C3F">
        <w:rPr>
          <w:lang w:val="en-US"/>
        </w:rPr>
        <w:t xml:space="preserve"> as the threat</w:t>
      </w:r>
      <w:r w:rsidR="00067380" w:rsidRPr="007D6C3F">
        <w:rPr>
          <w:lang w:val="en-US"/>
        </w:rPr>
        <w:t>ening</w:t>
      </w:r>
      <w:r w:rsidR="00F17233" w:rsidRPr="007D6C3F">
        <w:rPr>
          <w:lang w:val="en-US"/>
        </w:rPr>
        <w:t xml:space="preserve"> letter he submitted was not considered by the Migration </w:t>
      </w:r>
      <w:r w:rsidR="009A04EE" w:rsidRPr="007D6C3F">
        <w:rPr>
          <w:lang w:val="en-US"/>
        </w:rPr>
        <w:t>Board</w:t>
      </w:r>
      <w:r w:rsidR="00F17233" w:rsidRPr="007D6C3F">
        <w:rPr>
          <w:lang w:val="en-US"/>
        </w:rPr>
        <w:t xml:space="preserve"> </w:t>
      </w:r>
      <w:r w:rsidR="00067380" w:rsidRPr="007D6C3F">
        <w:rPr>
          <w:lang w:val="en-US"/>
        </w:rPr>
        <w:t xml:space="preserve">to have </w:t>
      </w:r>
      <w:r w:rsidR="00F17233" w:rsidRPr="007D6C3F">
        <w:rPr>
          <w:lang w:val="en-US"/>
        </w:rPr>
        <w:t>evidential value</w:t>
      </w:r>
      <w:r w:rsidR="00635363" w:rsidRPr="007D6C3F">
        <w:rPr>
          <w:lang w:val="en-US"/>
        </w:rPr>
        <w:t>.</w:t>
      </w:r>
      <w:r w:rsidR="00081B73" w:rsidRPr="007D6C3F">
        <w:rPr>
          <w:lang w:val="en-US"/>
        </w:rPr>
        <w:t xml:space="preserve"> </w:t>
      </w:r>
    </w:p>
    <w:p w14:paraId="11BF2C31" w14:textId="255ADE44" w:rsidR="00A776DC" w:rsidRPr="007D6C3F" w:rsidRDefault="00634649" w:rsidP="005A28B8">
      <w:pPr>
        <w:pStyle w:val="SingleTxtG"/>
        <w:rPr>
          <w:lang w:val="en-US"/>
        </w:rPr>
      </w:pPr>
      <w:r w:rsidRPr="007D6C3F">
        <w:rPr>
          <w:lang w:val="en-US"/>
        </w:rPr>
        <w:t>9.</w:t>
      </w:r>
      <w:r w:rsidR="00D958CC" w:rsidRPr="007D6C3F">
        <w:rPr>
          <w:lang w:val="en-US"/>
        </w:rPr>
        <w:t>9</w:t>
      </w:r>
      <w:r w:rsidRPr="007D6C3F">
        <w:rPr>
          <w:lang w:val="en-US"/>
        </w:rPr>
        <w:tab/>
      </w:r>
      <w:r w:rsidR="001D2490" w:rsidRPr="007D6C3F">
        <w:rPr>
          <w:lang w:val="en-US"/>
        </w:rPr>
        <w:t>The Committee considers that regardless of the motive of abuse</w:t>
      </w:r>
      <w:r w:rsidR="006E4846" w:rsidRPr="007D6C3F">
        <w:rPr>
          <w:lang w:val="en-US"/>
        </w:rPr>
        <w:t>,</w:t>
      </w:r>
      <w:r w:rsidR="00E6035E" w:rsidRPr="007D6C3F">
        <w:rPr>
          <w:lang w:val="en-US"/>
        </w:rPr>
        <w:t xml:space="preserve"> </w:t>
      </w:r>
      <w:r w:rsidR="001D2490" w:rsidRPr="007D6C3F">
        <w:rPr>
          <w:lang w:val="en-US"/>
        </w:rPr>
        <w:t>the alleged abuse and its trauma</w:t>
      </w:r>
      <w:r w:rsidR="00E6035E" w:rsidRPr="007D6C3F">
        <w:rPr>
          <w:lang w:val="en-US"/>
        </w:rPr>
        <w:t xml:space="preserve"> in combination with the vulnerability of the author </w:t>
      </w:r>
      <w:r w:rsidR="00AE02C7">
        <w:rPr>
          <w:lang w:val="en-US"/>
        </w:rPr>
        <w:t>stemming</w:t>
      </w:r>
      <w:r w:rsidR="00B83A69">
        <w:rPr>
          <w:lang w:val="en-US"/>
        </w:rPr>
        <w:t xml:space="preserve"> both</w:t>
      </w:r>
      <w:r w:rsidR="00AE02C7">
        <w:rPr>
          <w:lang w:val="en-US"/>
        </w:rPr>
        <w:t xml:space="preserve"> from his young age and </w:t>
      </w:r>
      <w:r w:rsidR="0078643E">
        <w:rPr>
          <w:lang w:val="en-US"/>
        </w:rPr>
        <w:t>migration history</w:t>
      </w:r>
      <w:r w:rsidR="00AE02C7">
        <w:rPr>
          <w:lang w:val="en-US"/>
        </w:rPr>
        <w:t xml:space="preserve"> </w:t>
      </w:r>
      <w:r w:rsidR="00E6035E" w:rsidRPr="007D6C3F">
        <w:rPr>
          <w:lang w:val="en-US"/>
        </w:rPr>
        <w:t xml:space="preserve">could </w:t>
      </w:r>
      <w:r w:rsidR="001D2490" w:rsidRPr="007D6C3F">
        <w:rPr>
          <w:lang w:val="en-US"/>
        </w:rPr>
        <w:t xml:space="preserve">represent a </w:t>
      </w:r>
      <w:r w:rsidR="001D2490" w:rsidRPr="0034675E">
        <w:rPr>
          <w:strike/>
          <w:lang w:val="en-US"/>
        </w:rPr>
        <w:t>grave</w:t>
      </w:r>
      <w:r w:rsidR="00346C28">
        <w:rPr>
          <w:lang w:val="en-US"/>
        </w:rPr>
        <w:t xml:space="preserve"> serious</w:t>
      </w:r>
      <w:r w:rsidR="001D2490" w:rsidRPr="007D6C3F">
        <w:rPr>
          <w:lang w:val="en-US"/>
        </w:rPr>
        <w:t xml:space="preserve"> risk on the author’s health, p</w:t>
      </w:r>
      <w:r w:rsidR="006E4846" w:rsidRPr="007D6C3F">
        <w:rPr>
          <w:lang w:val="en-US"/>
        </w:rPr>
        <w:t>s</w:t>
      </w:r>
      <w:r w:rsidR="001D2490" w:rsidRPr="007D6C3F">
        <w:rPr>
          <w:lang w:val="en-US"/>
        </w:rPr>
        <w:t>yc</w:t>
      </w:r>
      <w:r w:rsidR="006E4846" w:rsidRPr="007D6C3F">
        <w:rPr>
          <w:lang w:val="en-US"/>
        </w:rPr>
        <w:t>h</w:t>
      </w:r>
      <w:r w:rsidR="001D2490" w:rsidRPr="007D6C3F">
        <w:rPr>
          <w:lang w:val="en-US"/>
        </w:rPr>
        <w:t>ological and physical development</w:t>
      </w:r>
      <w:r w:rsidR="006E4846" w:rsidRPr="007D6C3F">
        <w:rPr>
          <w:lang w:val="en-US"/>
        </w:rPr>
        <w:t xml:space="preserve">. It was therefore </w:t>
      </w:r>
      <w:r w:rsidR="006E4846" w:rsidRPr="0034675E">
        <w:rPr>
          <w:strike/>
          <w:lang w:val="en-US"/>
        </w:rPr>
        <w:t>critical for</w:t>
      </w:r>
      <w:r w:rsidR="006E4846" w:rsidRPr="007D6C3F">
        <w:rPr>
          <w:lang w:val="en-US"/>
        </w:rPr>
        <w:t xml:space="preserve"> </w:t>
      </w:r>
      <w:r w:rsidR="0076500D">
        <w:rPr>
          <w:lang w:val="en-US"/>
        </w:rPr>
        <w:t xml:space="preserve">incumbent upon </w:t>
      </w:r>
      <w:r w:rsidR="006E4846" w:rsidRPr="007D6C3F">
        <w:rPr>
          <w:lang w:val="en-US"/>
        </w:rPr>
        <w:t xml:space="preserve">the domestic </w:t>
      </w:r>
      <w:r w:rsidR="00E6035E" w:rsidRPr="007D6C3F">
        <w:rPr>
          <w:lang w:val="en-US"/>
        </w:rPr>
        <w:t xml:space="preserve">asylum </w:t>
      </w:r>
      <w:r w:rsidR="006E4846" w:rsidRPr="007D6C3F">
        <w:rPr>
          <w:lang w:val="en-US"/>
        </w:rPr>
        <w:t xml:space="preserve">authorities to conduct </w:t>
      </w:r>
      <w:r w:rsidR="00E6035E" w:rsidRPr="007D6C3F">
        <w:rPr>
          <w:lang w:val="en-US"/>
        </w:rPr>
        <w:t>an in-depth examination of the abusive attitude of the parents, in particular since</w:t>
      </w:r>
      <w:r w:rsidR="00F16E40" w:rsidRPr="007D6C3F">
        <w:rPr>
          <w:lang w:val="en-US"/>
        </w:rPr>
        <w:t xml:space="preserve"> the allegation</w:t>
      </w:r>
      <w:r w:rsidR="00E6035E" w:rsidRPr="007D6C3F">
        <w:rPr>
          <w:lang w:val="en-US"/>
        </w:rPr>
        <w:t>s</w:t>
      </w:r>
      <w:r w:rsidR="00F16E40" w:rsidRPr="007D6C3F">
        <w:rPr>
          <w:lang w:val="en-US"/>
        </w:rPr>
        <w:t xml:space="preserve"> of abuse in Sweden had been reported to relevant institutions in September 2016 and the author’s parents were </w:t>
      </w:r>
      <w:proofErr w:type="gramStart"/>
      <w:r w:rsidR="00F16E40" w:rsidRPr="007D6C3F">
        <w:rPr>
          <w:lang w:val="en-US"/>
        </w:rPr>
        <w:t xml:space="preserve">convicted </w:t>
      </w:r>
      <w:r w:rsidR="00B83A69">
        <w:rPr>
          <w:lang w:val="en-US"/>
        </w:rPr>
        <w:t xml:space="preserve"> of</w:t>
      </w:r>
      <w:proofErr w:type="gramEnd"/>
      <w:r w:rsidR="00B83A69">
        <w:rPr>
          <w:lang w:val="en-US"/>
        </w:rPr>
        <w:t xml:space="preserve"> assault against</w:t>
      </w:r>
      <w:r w:rsidR="00032121">
        <w:rPr>
          <w:lang w:val="en-US"/>
        </w:rPr>
        <w:t xml:space="preserve"> </w:t>
      </w:r>
      <w:r w:rsidR="00F16E40" w:rsidRPr="007D6C3F">
        <w:rPr>
          <w:lang w:val="en-US"/>
        </w:rPr>
        <w:t xml:space="preserve"> their children by the judgement of the </w:t>
      </w:r>
      <w:r w:rsidR="00B83A69">
        <w:rPr>
          <w:lang w:val="en-US"/>
        </w:rPr>
        <w:t xml:space="preserve"> </w:t>
      </w:r>
      <w:r w:rsidR="009171F7">
        <w:rPr>
          <w:lang w:val="en-US"/>
        </w:rPr>
        <w:t xml:space="preserve">District Court of </w:t>
      </w:r>
      <w:proofErr w:type="spellStart"/>
      <w:r w:rsidR="009171F7">
        <w:rPr>
          <w:lang w:val="en-US"/>
        </w:rPr>
        <w:t>Angermanland</w:t>
      </w:r>
      <w:proofErr w:type="spellEnd"/>
      <w:r w:rsidR="00F16E40" w:rsidRPr="007D6C3F">
        <w:rPr>
          <w:lang w:val="en-US"/>
        </w:rPr>
        <w:t xml:space="preserve">  </w:t>
      </w:r>
      <w:r w:rsidR="009171F7">
        <w:rPr>
          <w:lang w:val="en-US"/>
        </w:rPr>
        <w:t xml:space="preserve">of 30 </w:t>
      </w:r>
      <w:r w:rsidR="00F16E40" w:rsidRPr="007D6C3F">
        <w:rPr>
          <w:lang w:val="en-US"/>
        </w:rPr>
        <w:t>March 2017</w:t>
      </w:r>
      <w:r w:rsidR="00EE30FF">
        <w:rPr>
          <w:lang w:val="en-US"/>
        </w:rPr>
        <w:t>.</w:t>
      </w:r>
    </w:p>
    <w:p w14:paraId="613A3A28" w14:textId="759E9F2D" w:rsidR="0009099D" w:rsidRPr="007D6C3F" w:rsidRDefault="00A776DC" w:rsidP="005A28B8">
      <w:pPr>
        <w:pStyle w:val="SingleTxtG"/>
        <w:rPr>
          <w:lang w:val="en-US"/>
        </w:rPr>
      </w:pPr>
      <w:r w:rsidRPr="007D6C3F">
        <w:rPr>
          <w:lang w:val="en-US"/>
        </w:rPr>
        <w:t>9.10</w:t>
      </w:r>
      <w:r w:rsidRPr="007D6C3F">
        <w:rPr>
          <w:lang w:val="en-US"/>
        </w:rPr>
        <w:tab/>
      </w:r>
      <w:r w:rsidR="00D82DF2" w:rsidRPr="007D6C3F">
        <w:rPr>
          <w:lang w:val="en-US"/>
        </w:rPr>
        <w:t>Furthermore</w:t>
      </w:r>
      <w:r w:rsidR="00971A21" w:rsidRPr="007D6C3F">
        <w:rPr>
          <w:lang w:val="en-US"/>
        </w:rPr>
        <w:t xml:space="preserve">, </w:t>
      </w:r>
      <w:r w:rsidR="00DF6B22" w:rsidRPr="007D6C3F">
        <w:rPr>
          <w:lang w:val="en-US"/>
        </w:rPr>
        <w:t>the author</w:t>
      </w:r>
      <w:r w:rsidR="001620C6" w:rsidRPr="007D6C3F">
        <w:rPr>
          <w:lang w:val="en-US"/>
        </w:rPr>
        <w:t xml:space="preserve"> may face a real risk of irreparable harm</w:t>
      </w:r>
      <w:r w:rsidR="00463541" w:rsidRPr="007D6C3F">
        <w:rPr>
          <w:lang w:val="en-US"/>
        </w:rPr>
        <w:t xml:space="preserve"> if deported to Afghanistan,</w:t>
      </w:r>
      <w:r w:rsidR="00DF6B22" w:rsidRPr="007D6C3F">
        <w:rPr>
          <w:lang w:val="en-US"/>
        </w:rPr>
        <w:t xml:space="preserve"> </w:t>
      </w:r>
      <w:r w:rsidR="00615953" w:rsidRPr="007D6C3F">
        <w:rPr>
          <w:lang w:val="en-US"/>
        </w:rPr>
        <w:t>since his father</w:t>
      </w:r>
      <w:r w:rsidR="00F16631">
        <w:rPr>
          <w:lang w:val="en-US"/>
        </w:rPr>
        <w:t>, who may have returned there,</w:t>
      </w:r>
      <w:r w:rsidR="00615953" w:rsidRPr="007D6C3F">
        <w:rPr>
          <w:lang w:val="en-US"/>
        </w:rPr>
        <w:t xml:space="preserve"> has allegedly vowed</w:t>
      </w:r>
      <w:r w:rsidR="005A28B8" w:rsidRPr="007D6C3F">
        <w:rPr>
          <w:lang w:val="en-US"/>
        </w:rPr>
        <w:t xml:space="preserve"> to kill him to restore his lost </w:t>
      </w:r>
      <w:proofErr w:type="spellStart"/>
      <w:r w:rsidR="005A28B8" w:rsidRPr="007D6C3F">
        <w:rPr>
          <w:lang w:val="en-US"/>
        </w:rPr>
        <w:t>honour</w:t>
      </w:r>
      <w:proofErr w:type="spellEnd"/>
      <w:r w:rsidR="00B97B3D" w:rsidRPr="007D6C3F">
        <w:rPr>
          <w:lang w:val="en-US"/>
        </w:rPr>
        <w:t xml:space="preserve">, </w:t>
      </w:r>
      <w:r w:rsidR="00506ECE" w:rsidRPr="007D6C3F">
        <w:rPr>
          <w:lang w:val="en-US"/>
        </w:rPr>
        <w:t xml:space="preserve">particularly </w:t>
      </w:r>
      <w:r w:rsidR="00B97B3D" w:rsidRPr="007D6C3F">
        <w:rPr>
          <w:lang w:val="en-US"/>
        </w:rPr>
        <w:t>in the</w:t>
      </w:r>
      <w:r w:rsidR="00506ECE" w:rsidRPr="007D6C3F">
        <w:rPr>
          <w:lang w:val="en-US"/>
        </w:rPr>
        <w:t xml:space="preserve"> </w:t>
      </w:r>
      <w:r w:rsidR="00B97B3D" w:rsidRPr="007D6C3F">
        <w:rPr>
          <w:lang w:val="en-US"/>
        </w:rPr>
        <w:t xml:space="preserve">context of </w:t>
      </w:r>
      <w:r w:rsidR="00D82DF2" w:rsidRPr="007D6C3F">
        <w:rPr>
          <w:lang w:val="en-US"/>
        </w:rPr>
        <w:t>Afghan</w:t>
      </w:r>
      <w:r w:rsidR="00506ECE" w:rsidRPr="007D6C3F">
        <w:rPr>
          <w:lang w:val="en-US"/>
        </w:rPr>
        <w:t xml:space="preserve"> society</w:t>
      </w:r>
      <w:r w:rsidR="00B97B3D" w:rsidRPr="007D6C3F">
        <w:rPr>
          <w:lang w:val="en-US"/>
        </w:rPr>
        <w:t xml:space="preserve"> where </w:t>
      </w:r>
      <w:r w:rsidR="005E0A0E" w:rsidRPr="007D6C3F">
        <w:rPr>
          <w:lang w:val="en-US"/>
        </w:rPr>
        <w:t xml:space="preserve">it is reported that </w:t>
      </w:r>
      <w:r w:rsidR="00B97B3D" w:rsidRPr="007D6C3F">
        <w:rPr>
          <w:lang w:val="en-US"/>
        </w:rPr>
        <w:t xml:space="preserve">the </w:t>
      </w:r>
      <w:r w:rsidR="005E0A0E" w:rsidRPr="007D6C3F">
        <w:rPr>
          <w:lang w:val="en-US"/>
        </w:rPr>
        <w:t>restoration of</w:t>
      </w:r>
      <w:r w:rsidR="00B97B3D" w:rsidRPr="007D6C3F">
        <w:rPr>
          <w:lang w:val="en-US"/>
        </w:rPr>
        <w:t xml:space="preserve"> </w:t>
      </w:r>
      <w:proofErr w:type="spellStart"/>
      <w:r w:rsidR="00B97B3D" w:rsidRPr="007D6C3F">
        <w:rPr>
          <w:lang w:val="en-US"/>
        </w:rPr>
        <w:t>hono</w:t>
      </w:r>
      <w:r w:rsidR="00BA3A07">
        <w:rPr>
          <w:lang w:val="en-US"/>
        </w:rPr>
        <w:t>u</w:t>
      </w:r>
      <w:r w:rsidR="00B97B3D" w:rsidRPr="007D6C3F">
        <w:rPr>
          <w:lang w:val="en-US"/>
        </w:rPr>
        <w:t>r</w:t>
      </w:r>
      <w:proofErr w:type="spellEnd"/>
      <w:r w:rsidR="00B97B3D" w:rsidRPr="007D6C3F">
        <w:rPr>
          <w:lang w:val="en-US"/>
        </w:rPr>
        <w:t xml:space="preserve"> </w:t>
      </w:r>
      <w:r w:rsidR="005E0A0E" w:rsidRPr="007D6C3F">
        <w:rPr>
          <w:lang w:val="en-US"/>
        </w:rPr>
        <w:t xml:space="preserve">often leads to </w:t>
      </w:r>
      <w:r w:rsidR="00506ECE" w:rsidRPr="007D6C3F">
        <w:rPr>
          <w:lang w:val="en-US"/>
        </w:rPr>
        <w:t xml:space="preserve">blood </w:t>
      </w:r>
      <w:r w:rsidR="005E0A0E" w:rsidRPr="007D6C3F">
        <w:rPr>
          <w:lang w:val="en-US"/>
        </w:rPr>
        <w:t>revenge</w:t>
      </w:r>
      <w:r w:rsidR="005A28B8" w:rsidRPr="007D6C3F">
        <w:rPr>
          <w:lang w:val="en-US"/>
        </w:rPr>
        <w:t xml:space="preserve"> and </w:t>
      </w:r>
      <w:r w:rsidR="00D82DF2" w:rsidRPr="00BD7308">
        <w:t>feuds</w:t>
      </w:r>
      <w:r w:rsidR="00DF6B22" w:rsidRPr="007D6C3F">
        <w:rPr>
          <w:lang w:val="en-US"/>
        </w:rPr>
        <w:t>.</w:t>
      </w:r>
      <w:r w:rsidR="005E0A0E" w:rsidRPr="007D6C3F">
        <w:rPr>
          <w:rStyle w:val="FootnoteReference"/>
          <w:lang w:val="en-US"/>
        </w:rPr>
        <w:footnoteReference w:id="41"/>
      </w:r>
      <w:r w:rsidR="00DF6B22" w:rsidRPr="007D6C3F">
        <w:rPr>
          <w:lang w:val="en-US"/>
        </w:rPr>
        <w:t xml:space="preserve"> </w:t>
      </w:r>
      <w:r w:rsidR="005A28B8" w:rsidRPr="007D6C3F">
        <w:rPr>
          <w:lang w:val="en-US"/>
        </w:rPr>
        <w:t xml:space="preserve">In this connection, the Committee also notes that the author </w:t>
      </w:r>
      <w:r w:rsidR="00463541" w:rsidRPr="007D6C3F">
        <w:rPr>
          <w:lang w:val="en-US"/>
        </w:rPr>
        <w:t>grew</w:t>
      </w:r>
      <w:r w:rsidR="005A28B8" w:rsidRPr="007D6C3F">
        <w:rPr>
          <w:lang w:val="en-US"/>
        </w:rPr>
        <w:t xml:space="preserve"> up in Iran and does not have any social network in </w:t>
      </w:r>
      <w:r w:rsidR="00D82DF2" w:rsidRPr="007D6C3F">
        <w:rPr>
          <w:lang w:val="en-US"/>
        </w:rPr>
        <w:t>Afghanistan</w:t>
      </w:r>
      <w:r w:rsidR="00463541" w:rsidRPr="007D6C3F">
        <w:rPr>
          <w:lang w:val="en-US"/>
        </w:rPr>
        <w:t>,</w:t>
      </w:r>
      <w:r w:rsidR="005A28B8" w:rsidRPr="007D6C3F">
        <w:rPr>
          <w:lang w:val="en-US"/>
        </w:rPr>
        <w:t xml:space="preserve"> except for his </w:t>
      </w:r>
      <w:r w:rsidR="00402ECC" w:rsidRPr="007D6C3F">
        <w:rPr>
          <w:lang w:val="en-US"/>
        </w:rPr>
        <w:t>grandfather</w:t>
      </w:r>
      <w:r w:rsidR="005A28B8" w:rsidRPr="007D6C3F">
        <w:rPr>
          <w:lang w:val="en-US"/>
        </w:rPr>
        <w:t xml:space="preserve">. </w:t>
      </w:r>
    </w:p>
    <w:p w14:paraId="720EE431" w14:textId="09DC3F5E" w:rsidR="001C24AD" w:rsidRPr="00BD7308" w:rsidRDefault="0009099D">
      <w:pPr>
        <w:pStyle w:val="SingleTxtG"/>
      </w:pPr>
      <w:r w:rsidRPr="007D6C3F">
        <w:rPr>
          <w:lang w:val="en-US"/>
        </w:rPr>
        <w:t>9.</w:t>
      </w:r>
      <w:r w:rsidR="00D958CC" w:rsidRPr="007D6C3F">
        <w:rPr>
          <w:lang w:val="en-US"/>
        </w:rPr>
        <w:t>1</w:t>
      </w:r>
      <w:r w:rsidR="003535B5" w:rsidRPr="007D6C3F">
        <w:rPr>
          <w:lang w:val="en-US"/>
        </w:rPr>
        <w:t>1</w:t>
      </w:r>
      <w:r w:rsidRPr="007D6C3F">
        <w:rPr>
          <w:lang w:val="en-US"/>
        </w:rPr>
        <w:tab/>
      </w:r>
      <w:r w:rsidR="004F4425" w:rsidRPr="007D6C3F">
        <w:rPr>
          <w:lang w:val="en-US"/>
        </w:rPr>
        <w:t xml:space="preserve">The Committee considers </w:t>
      </w:r>
      <w:r w:rsidR="00301C05" w:rsidRPr="007D6C3F">
        <w:rPr>
          <w:lang w:val="en-US"/>
        </w:rPr>
        <w:t xml:space="preserve">that the risk that the author </w:t>
      </w:r>
      <w:r w:rsidR="005A28B8" w:rsidRPr="007D6C3F">
        <w:rPr>
          <w:lang w:val="en-US"/>
        </w:rPr>
        <w:t>c</w:t>
      </w:r>
      <w:r w:rsidR="00301C05" w:rsidRPr="007D6C3F">
        <w:rPr>
          <w:lang w:val="en-US"/>
        </w:rPr>
        <w:t xml:space="preserve">ould face in </w:t>
      </w:r>
      <w:r w:rsidR="00D82DF2" w:rsidRPr="007D6C3F">
        <w:rPr>
          <w:lang w:val="en-US"/>
        </w:rPr>
        <w:t>Afghanistan</w:t>
      </w:r>
      <w:r w:rsidR="00301C05" w:rsidRPr="007D6C3F">
        <w:rPr>
          <w:lang w:val="en-US"/>
        </w:rPr>
        <w:t xml:space="preserve"> is real and personal as it </w:t>
      </w:r>
      <w:r w:rsidR="00341513" w:rsidRPr="007D6C3F">
        <w:rPr>
          <w:lang w:val="en-US"/>
        </w:rPr>
        <w:t xml:space="preserve">emanates from </w:t>
      </w:r>
      <w:r w:rsidR="00301C05" w:rsidRPr="007D6C3F">
        <w:rPr>
          <w:lang w:val="en-US"/>
        </w:rPr>
        <w:t xml:space="preserve">his own family, rather than </w:t>
      </w:r>
      <w:r w:rsidR="004F4425" w:rsidRPr="007D6C3F">
        <w:rPr>
          <w:lang w:val="en-US"/>
        </w:rPr>
        <w:t xml:space="preserve">a </w:t>
      </w:r>
      <w:r w:rsidR="00301C05" w:rsidRPr="007D6C3F">
        <w:rPr>
          <w:lang w:val="en-US"/>
        </w:rPr>
        <w:t xml:space="preserve">general risk. Thus, the Committee concludes that </w:t>
      </w:r>
      <w:r w:rsidR="004F4425" w:rsidRPr="007D6C3F">
        <w:rPr>
          <w:lang w:val="en-US"/>
        </w:rPr>
        <w:t>the author</w:t>
      </w:r>
      <w:r w:rsidR="00301C05" w:rsidRPr="007D6C3F">
        <w:rPr>
          <w:lang w:val="en-US"/>
        </w:rPr>
        <w:t xml:space="preserve"> could face serious adverse consequences in the country of origin which </w:t>
      </w:r>
      <w:r w:rsidR="00301C05" w:rsidRPr="007D6C3F">
        <w:t>could</w:t>
      </w:r>
      <w:r w:rsidR="00301C05" w:rsidRPr="007D6C3F">
        <w:rPr>
          <w:lang w:val="en-US"/>
        </w:rPr>
        <w:t xml:space="preserve"> put him at risk of irreparable harm. </w:t>
      </w:r>
    </w:p>
    <w:p w14:paraId="525375D3" w14:textId="2A0DAD19" w:rsidR="00E6217C" w:rsidRPr="007D6C3F" w:rsidRDefault="00E6217C" w:rsidP="006A1BF6">
      <w:pPr>
        <w:pStyle w:val="SingleTxtG"/>
        <w:rPr>
          <w:lang w:val="en-US"/>
        </w:rPr>
      </w:pPr>
      <w:r w:rsidRPr="007D6C3F">
        <w:rPr>
          <w:lang w:val="en-US"/>
        </w:rPr>
        <w:t>9.</w:t>
      </w:r>
      <w:r w:rsidR="00B356AB" w:rsidRPr="007D6C3F">
        <w:rPr>
          <w:lang w:val="en-US"/>
        </w:rPr>
        <w:t>1</w:t>
      </w:r>
      <w:r w:rsidR="003535B5" w:rsidRPr="007D6C3F">
        <w:rPr>
          <w:lang w:val="en-US"/>
        </w:rPr>
        <w:t>2</w:t>
      </w:r>
      <w:r w:rsidRPr="007D6C3F">
        <w:rPr>
          <w:lang w:val="en-US"/>
        </w:rPr>
        <w:tab/>
        <w:t xml:space="preserve">In view of the above, the Committee considers that the State party failed to adequately assess the author’s real, </w:t>
      </w:r>
      <w:r w:rsidRPr="007D6C3F">
        <w:t>personal</w:t>
      </w:r>
      <w:r w:rsidRPr="007D6C3F">
        <w:rPr>
          <w:lang w:val="en-US"/>
        </w:rPr>
        <w:t xml:space="preserve"> and </w:t>
      </w:r>
      <w:r w:rsidRPr="007D6C3F">
        <w:t>foreseeable</w:t>
      </w:r>
      <w:r w:rsidRPr="007D6C3F">
        <w:rPr>
          <w:lang w:val="en-US"/>
        </w:rPr>
        <w:t xml:space="preserve"> risk of returning to Afghanistan</w:t>
      </w:r>
      <w:r w:rsidR="00463541" w:rsidRPr="007D6C3F">
        <w:rPr>
          <w:lang w:val="en-US"/>
        </w:rPr>
        <w:t>, in particular due to</w:t>
      </w:r>
      <w:r w:rsidR="00301C05" w:rsidRPr="007D6C3F">
        <w:rPr>
          <w:lang w:val="en-US"/>
        </w:rPr>
        <w:t xml:space="preserve"> his</w:t>
      </w:r>
      <w:r w:rsidR="00463541" w:rsidRPr="007D6C3F">
        <w:rPr>
          <w:lang w:val="en-US"/>
        </w:rPr>
        <w:t xml:space="preserve"> </w:t>
      </w:r>
      <w:r w:rsidR="00301C05" w:rsidRPr="007D6C3F">
        <w:rPr>
          <w:lang w:val="en-US"/>
        </w:rPr>
        <w:t>father’s</w:t>
      </w:r>
      <w:r w:rsidR="00463541" w:rsidRPr="007D6C3F">
        <w:rPr>
          <w:lang w:val="en-US"/>
        </w:rPr>
        <w:t xml:space="preserve"> alleged </w:t>
      </w:r>
      <w:r w:rsidR="00301C05" w:rsidRPr="007D6C3F">
        <w:rPr>
          <w:lang w:val="en-US"/>
        </w:rPr>
        <w:t>threats</w:t>
      </w:r>
      <w:r w:rsidR="00463541" w:rsidRPr="007D6C3F">
        <w:rPr>
          <w:lang w:val="en-US"/>
        </w:rPr>
        <w:t xml:space="preserve"> of revenge and</w:t>
      </w:r>
      <w:r w:rsidR="000E5CB7" w:rsidRPr="007D6C3F">
        <w:rPr>
          <w:lang w:val="en-US"/>
        </w:rPr>
        <w:t xml:space="preserve"> </w:t>
      </w:r>
      <w:r w:rsidR="009C2C11" w:rsidRPr="007D6C3F">
        <w:rPr>
          <w:lang w:val="en-US"/>
        </w:rPr>
        <w:t>his trauma due t</w:t>
      </w:r>
      <w:r w:rsidR="00463541" w:rsidRPr="007D6C3F">
        <w:rPr>
          <w:lang w:val="en-US"/>
        </w:rPr>
        <w:t xml:space="preserve">o parental </w:t>
      </w:r>
      <w:r w:rsidR="009C2C11" w:rsidRPr="007D6C3F">
        <w:rPr>
          <w:lang w:val="en-US"/>
        </w:rPr>
        <w:t>abuse</w:t>
      </w:r>
      <w:r w:rsidRPr="007D6C3F">
        <w:rPr>
          <w:lang w:val="en-US"/>
        </w:rPr>
        <w:t xml:space="preserve">. Accordingly, the Committee considers that the State party failed to give due consideration to the consequences of the author’s personal situation in </w:t>
      </w:r>
      <w:r w:rsidR="001D0F72">
        <w:rPr>
          <w:lang w:val="en-US"/>
        </w:rPr>
        <w:t>Afghanistan</w:t>
      </w:r>
      <w:r w:rsidRPr="007D6C3F">
        <w:rPr>
          <w:lang w:val="en-US"/>
        </w:rPr>
        <w:t xml:space="preserve"> and concludes that his removal to Afghanistan by the State party would </w:t>
      </w:r>
      <w:r w:rsidR="009E4CA2" w:rsidRPr="007D6C3F">
        <w:rPr>
          <w:lang w:val="en-US"/>
        </w:rPr>
        <w:t>constitute</w:t>
      </w:r>
      <w:r w:rsidRPr="007D6C3F">
        <w:rPr>
          <w:lang w:val="en-US"/>
        </w:rPr>
        <w:t xml:space="preserve"> a violation of articles 6 and 7 of the Covenant.</w:t>
      </w:r>
    </w:p>
    <w:p w14:paraId="66DC0D1F" w14:textId="77777777" w:rsidR="00E6217C" w:rsidRPr="007D6C3F" w:rsidRDefault="00E6217C" w:rsidP="006A1BF6">
      <w:pPr>
        <w:pStyle w:val="SingleTxtG"/>
        <w:rPr>
          <w:lang w:val="en-US"/>
        </w:rPr>
      </w:pPr>
      <w:r w:rsidRPr="007D6C3F">
        <w:rPr>
          <w:lang w:val="en-US"/>
        </w:rPr>
        <w:lastRenderedPageBreak/>
        <w:t>10.</w:t>
      </w:r>
      <w:r w:rsidRPr="007D6C3F">
        <w:rPr>
          <w:lang w:val="en-US"/>
        </w:rPr>
        <w:tab/>
        <w:t xml:space="preserve">The Committee, </w:t>
      </w:r>
      <w:r w:rsidRPr="007D6C3F">
        <w:t>acting</w:t>
      </w:r>
      <w:r w:rsidRPr="007D6C3F">
        <w:rPr>
          <w:lang w:val="en-US"/>
        </w:rPr>
        <w:t xml:space="preserve"> under article 5 (4) of the Optional Protocol, is of the view that the author’s removal to </w:t>
      </w:r>
      <w:r w:rsidRPr="007D6C3F">
        <w:t>Afghanistan</w:t>
      </w:r>
      <w:r w:rsidRPr="007D6C3F">
        <w:rPr>
          <w:lang w:val="en-US"/>
        </w:rPr>
        <w:t xml:space="preserve"> would, if implemented, be a violation by the State party of his rights under articles 6 and 7 of the Covenant.</w:t>
      </w:r>
    </w:p>
    <w:p w14:paraId="4776095B" w14:textId="77777777" w:rsidR="00F53FC9" w:rsidRPr="007D6C3F" w:rsidRDefault="00E6217C" w:rsidP="006A1BF6">
      <w:pPr>
        <w:pStyle w:val="SingleTxtG"/>
        <w:rPr>
          <w:lang w:val="en-US"/>
        </w:rPr>
      </w:pPr>
      <w:r w:rsidRPr="007D6C3F">
        <w:rPr>
          <w:lang w:val="en-US"/>
        </w:rPr>
        <w:t>11.</w:t>
      </w:r>
      <w:r w:rsidRPr="007D6C3F">
        <w:rPr>
          <w:lang w:val="en-US"/>
        </w:rPr>
        <w:tab/>
        <w:t xml:space="preserve">In accordance with article 2 (1) of the Covenant, in which it is established that States parties undertake to respect </w:t>
      </w:r>
      <w:r w:rsidRPr="007D6C3F">
        <w:t>and</w:t>
      </w:r>
      <w:r w:rsidRPr="007D6C3F">
        <w:rPr>
          <w:lang w:val="en-US"/>
        </w:rPr>
        <w:t xml:space="preserve"> to ensure to all individuals within their territory and subject to their jurisdiction the rights recognized in the Covenant, the State party is under an obligation to proceed to a review of the author’s case taking into account the State party’s obligations under the Covenant and the present Views of the Committee. The State party is also requested to refrain from expelling the author while his request for asylum is being reconsidered.</w:t>
      </w:r>
    </w:p>
    <w:p w14:paraId="76CFD627" w14:textId="5512FAF6" w:rsidR="00E6217C" w:rsidRDefault="00F53FC9" w:rsidP="006A1BF6">
      <w:pPr>
        <w:pStyle w:val="SingleTxtG"/>
        <w:rPr>
          <w:lang w:val="en-US"/>
        </w:rPr>
      </w:pPr>
      <w:r w:rsidRPr="007D6C3F">
        <w:rPr>
          <w:lang w:val="en-US"/>
        </w:rPr>
        <w:t>12.</w:t>
      </w:r>
      <w:r w:rsidRPr="007D6C3F">
        <w:rPr>
          <w:lang w:val="en-US"/>
        </w:rPr>
        <w:tab/>
      </w:r>
      <w:r w:rsidR="00E6217C" w:rsidRPr="007D6C3F">
        <w:rPr>
          <w:lang w:val="en-US"/>
        </w:rPr>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w:t>
      </w:r>
      <w:r w:rsidR="00E6217C" w:rsidRPr="007D6C3F">
        <w:t>individuals</w:t>
      </w:r>
      <w:r w:rsidR="00E6217C" w:rsidRPr="007D6C3F">
        <w:rPr>
          <w:lang w:val="en-US"/>
        </w:rPr>
        <w:t xml:space="preserve">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In addition, it requests </w:t>
      </w:r>
      <w:r w:rsidR="00655B2A" w:rsidRPr="007D6C3F">
        <w:rPr>
          <w:lang w:val="en-US"/>
        </w:rPr>
        <w:t>t</w:t>
      </w:r>
      <w:r w:rsidR="00E6217C" w:rsidRPr="007D6C3F">
        <w:rPr>
          <w:lang w:val="en-US"/>
        </w:rPr>
        <w:t>he State party to publish the present Views.</w:t>
      </w:r>
    </w:p>
    <w:p w14:paraId="543299C4" w14:textId="13F8C20B" w:rsidR="00315B1B" w:rsidRDefault="00315B1B" w:rsidP="006A1BF6">
      <w:pPr>
        <w:pStyle w:val="SingleTxtG"/>
        <w:spacing w:before="240" w:after="0"/>
        <w:jc w:val="center"/>
        <w:rPr>
          <w:u w:val="single"/>
          <w:lang w:val="en-US"/>
        </w:rPr>
      </w:pPr>
    </w:p>
    <w:p w14:paraId="59F0B190" w14:textId="77777777" w:rsidR="00815F6E" w:rsidRDefault="00815F6E" w:rsidP="007170EF">
      <w:pPr>
        <w:pStyle w:val="SingleTxtG"/>
        <w:spacing w:after="0"/>
        <w:jc w:val="center"/>
        <w:rPr>
          <w:u w:val="single"/>
          <w:lang w:val="en-US"/>
        </w:rPr>
        <w:sectPr w:rsidR="00815F6E" w:rsidSect="00756C9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1907" w:h="16840" w:code="9"/>
          <w:pgMar w:top="1417" w:right="1134" w:bottom="1134" w:left="1134" w:header="850" w:footer="567" w:gutter="0"/>
          <w:cols w:space="720"/>
          <w:titlePg/>
          <w:docGrid w:linePitch="272"/>
        </w:sectPr>
      </w:pPr>
    </w:p>
    <w:p w14:paraId="48F88D74" w14:textId="77777777" w:rsidR="00815F6E" w:rsidRPr="008B2326" w:rsidRDefault="00815F6E" w:rsidP="00815F6E">
      <w:pPr>
        <w:pStyle w:val="H1G"/>
        <w:rPr>
          <w:sz w:val="28"/>
          <w:szCs w:val="28"/>
        </w:rPr>
      </w:pPr>
      <w:r w:rsidRPr="008B2326">
        <w:rPr>
          <w:sz w:val="28"/>
          <w:szCs w:val="28"/>
        </w:rPr>
        <w:lastRenderedPageBreak/>
        <w:t>Annex</w:t>
      </w:r>
      <w:r>
        <w:rPr>
          <w:sz w:val="28"/>
          <w:szCs w:val="28"/>
        </w:rPr>
        <w:t xml:space="preserve"> I</w:t>
      </w:r>
    </w:p>
    <w:p w14:paraId="02577608" w14:textId="77777777" w:rsidR="00815F6E" w:rsidRPr="008B2326" w:rsidRDefault="00815F6E" w:rsidP="00815F6E">
      <w:pPr>
        <w:pStyle w:val="HChG"/>
      </w:pPr>
      <w:r>
        <w:tab/>
      </w:r>
      <w:r>
        <w:tab/>
        <w:t>Joint opinion of Committee members</w:t>
      </w:r>
      <w:r w:rsidRPr="008B2326">
        <w:t xml:space="preserve"> </w:t>
      </w:r>
      <w:proofErr w:type="spellStart"/>
      <w:r>
        <w:t>Vasilka</w:t>
      </w:r>
      <w:proofErr w:type="spellEnd"/>
      <w:r>
        <w:t xml:space="preserve"> </w:t>
      </w:r>
      <w:proofErr w:type="spellStart"/>
      <w:r>
        <w:t>Sancin</w:t>
      </w:r>
      <w:proofErr w:type="spellEnd"/>
      <w:r>
        <w:t xml:space="preserve"> and </w:t>
      </w:r>
      <w:r w:rsidRPr="00A46351">
        <w:rPr>
          <w:szCs w:val="18"/>
        </w:rPr>
        <w:t xml:space="preserve">Photini </w:t>
      </w:r>
      <w:proofErr w:type="spellStart"/>
      <w:r w:rsidRPr="00A46351">
        <w:rPr>
          <w:szCs w:val="18"/>
        </w:rPr>
        <w:t>Pazartzis</w:t>
      </w:r>
      <w:proofErr w:type="spellEnd"/>
      <w:r>
        <w:t xml:space="preserve"> </w:t>
      </w:r>
      <w:r w:rsidRPr="008B2326">
        <w:t>(dissenting)</w:t>
      </w:r>
    </w:p>
    <w:p w14:paraId="7057D10B" w14:textId="77777777" w:rsidR="00815F6E" w:rsidRDefault="00815F6E" w:rsidP="00815F6E">
      <w:pPr>
        <w:pStyle w:val="SingleTxtG"/>
      </w:pPr>
      <w:r>
        <w:t xml:space="preserve">1. </w:t>
      </w:r>
      <w:r>
        <w:tab/>
        <w:t xml:space="preserve">We respectfully disagree with </w:t>
      </w:r>
      <w:r w:rsidRPr="00915491">
        <w:t>the majority of the Committee in finding that the author’s removal to Afghanistan would, if implemented, be a violation by the State party of his rights under articles 6 and 7 of the Covenant.</w:t>
      </w:r>
    </w:p>
    <w:p w14:paraId="73FB7F6B" w14:textId="2BE6D97E" w:rsidR="00815F6E" w:rsidRDefault="00815F6E" w:rsidP="00E34CAD">
      <w:pPr>
        <w:pStyle w:val="SingleTxtG"/>
      </w:pPr>
      <w:r>
        <w:t xml:space="preserve">2. </w:t>
      </w:r>
      <w:r w:rsidRPr="00915491">
        <w:t>In paragraph 9.5</w:t>
      </w:r>
      <w:r>
        <w:t>,</w:t>
      </w:r>
      <w:r w:rsidRPr="00915491">
        <w:t xml:space="preserve"> the Committee recalls that “it is generally for the organs of the States parties to the Covenant to review and evaluate facts and evidence in order to determine whether such risk exists, unless it can be established that the </w:t>
      </w:r>
      <w:r w:rsidRPr="00E34CAD">
        <w:t>evaluation</w:t>
      </w:r>
      <w:r w:rsidRPr="00915491">
        <w:t xml:space="preserve"> was clearly arbitrary or amounted to a manifest error or denial of justice.” This </w:t>
      </w:r>
      <w:r>
        <w:t xml:space="preserve">legal standard </w:t>
      </w:r>
      <w:r w:rsidRPr="00915491">
        <w:t>is consistently reflected throughout the Committee’s jurisprudence,</w:t>
      </w:r>
      <w:r w:rsidRPr="00915491">
        <w:rPr>
          <w:rStyle w:val="FootnoteReference"/>
        </w:rPr>
        <w:footnoteReference w:id="42"/>
      </w:r>
      <w:r w:rsidR="00E34CAD">
        <w:t xml:space="preserve"> </w:t>
      </w:r>
      <w:r w:rsidR="00E34CAD" w:rsidRPr="00915491">
        <w:t>and denotes a threshold, which should not be displaced in the absence of compelling facts that clearly demonstrate arbitrariness or a manifest error or a denial of justice</w:t>
      </w:r>
    </w:p>
    <w:p w14:paraId="3EEA0C27" w14:textId="77777777" w:rsidR="00815F6E" w:rsidRDefault="00815F6E" w:rsidP="00815F6E">
      <w:pPr>
        <w:pStyle w:val="SingleTxtG"/>
        <w:rPr>
          <w:lang w:val="en-US"/>
        </w:rPr>
      </w:pPr>
      <w:r>
        <w:rPr>
          <w:lang w:val="en-US"/>
        </w:rPr>
        <w:t xml:space="preserve">3. </w:t>
      </w:r>
      <w:r>
        <w:rPr>
          <w:lang w:val="en-US"/>
        </w:rPr>
        <w:tab/>
      </w:r>
      <w:r w:rsidRPr="00915491">
        <w:rPr>
          <w:lang w:val="en-US"/>
        </w:rPr>
        <w:t>In para. 9.9 the Committee considers that “regardless of the motive of abuse, the alleged abuse and its trauma in combination with the vulnerability of the author stemming both from his young age and migration history could represent a serious risk on the author’s health, psychological and physical development” which would require an “in-depth examination of the abusive attitude of the parents</w:t>
      </w:r>
      <w:r>
        <w:rPr>
          <w:lang w:val="en-US"/>
        </w:rPr>
        <w:t xml:space="preserve">”. </w:t>
      </w:r>
    </w:p>
    <w:p w14:paraId="33E11A5F" w14:textId="77777777" w:rsidR="00815F6E" w:rsidRDefault="00815F6E" w:rsidP="00815F6E">
      <w:pPr>
        <w:pStyle w:val="SingleTxtG"/>
      </w:pPr>
      <w:r>
        <w:rPr>
          <w:lang w:val="en-US"/>
        </w:rPr>
        <w:t>4.</w:t>
      </w:r>
      <w:r>
        <w:rPr>
          <w:lang w:val="en-US"/>
        </w:rPr>
        <w:tab/>
        <w:t xml:space="preserve"> In our view t</w:t>
      </w:r>
      <w:r w:rsidRPr="00915491">
        <w:rPr>
          <w:lang w:val="en-US"/>
        </w:rPr>
        <w:t>he</w:t>
      </w:r>
      <w:r w:rsidRPr="00915491">
        <w:t xml:space="preserve"> </w:t>
      </w:r>
      <w:r w:rsidRPr="00915491">
        <w:rPr>
          <w:lang w:val="en-US"/>
        </w:rPr>
        <w:t xml:space="preserve">author, no longer a minor, </w:t>
      </w:r>
      <w:r>
        <w:rPr>
          <w:lang w:val="en-US"/>
        </w:rPr>
        <w:t xml:space="preserve">provided no </w:t>
      </w:r>
      <w:r w:rsidRPr="00915491">
        <w:rPr>
          <w:lang w:val="en-US"/>
        </w:rPr>
        <w:t xml:space="preserve">convincing evidence that the State party failed to properly assess whether he would be facing a </w:t>
      </w:r>
      <w:r w:rsidRPr="00915491">
        <w:t xml:space="preserve">real risk of irreparable harm such as that contemplated by articles 6 and 7 of the Covenant, if returned </w:t>
      </w:r>
      <w:r w:rsidRPr="00915491">
        <w:rPr>
          <w:lang w:val="en-US"/>
        </w:rPr>
        <w:t>to Afghanistan</w:t>
      </w:r>
      <w:r>
        <w:rPr>
          <w:lang w:val="en-US"/>
        </w:rPr>
        <w:t>.</w:t>
      </w:r>
      <w:r w:rsidRPr="00915491">
        <w:rPr>
          <w:lang w:val="en-US"/>
        </w:rPr>
        <w:t xml:space="preserve"> </w:t>
      </w:r>
      <w:r>
        <w:rPr>
          <w:lang w:val="en-US"/>
        </w:rPr>
        <w:t>The</w:t>
      </w:r>
      <w:r w:rsidRPr="00915491">
        <w:rPr>
          <w:lang w:val="en-US"/>
        </w:rPr>
        <w:t xml:space="preserve"> </w:t>
      </w:r>
      <w:r>
        <w:rPr>
          <w:lang w:val="en-US"/>
        </w:rPr>
        <w:t>Swedish authorities</w:t>
      </w:r>
      <w:r w:rsidRPr="00915491">
        <w:rPr>
          <w:lang w:val="en-US"/>
        </w:rPr>
        <w:t xml:space="preserve"> </w:t>
      </w:r>
      <w:r>
        <w:rPr>
          <w:lang w:val="en-US"/>
        </w:rPr>
        <w:t>did assess</w:t>
      </w:r>
      <w:r w:rsidRPr="00915491">
        <w:rPr>
          <w:lang w:val="en-US"/>
        </w:rPr>
        <w:t xml:space="preserve"> the threatening letter</w:t>
      </w:r>
      <w:r>
        <w:rPr>
          <w:lang w:val="en-US"/>
        </w:rPr>
        <w:t xml:space="preserve"> allegedly written by the author’s father -</w:t>
      </w:r>
      <w:r w:rsidRPr="00915491">
        <w:rPr>
          <w:lang w:val="en-US"/>
        </w:rPr>
        <w:t xml:space="preserve"> </w:t>
      </w:r>
      <w:r>
        <w:rPr>
          <w:lang w:val="en-US"/>
        </w:rPr>
        <w:t>but</w:t>
      </w:r>
      <w:r w:rsidRPr="00915491">
        <w:rPr>
          <w:lang w:val="en-US"/>
        </w:rPr>
        <w:t xml:space="preserve"> </w:t>
      </w:r>
      <w:r w:rsidRPr="00915491">
        <w:t xml:space="preserve">the Migration Board found </w:t>
      </w:r>
      <w:r>
        <w:t xml:space="preserve">“it </w:t>
      </w:r>
      <w:r w:rsidRPr="00915491">
        <w:t>could not have evidential value as it was a handwritten message of a very simple nature with no indication of when, how, by whom, or why the author had received it. The translation service used by the Migration Board noted that the letter could not be properly translated, as it was incomprehensible. The information which the author himself has provided about the content of the document is scarce, unclear and vaguely formulated. The Migration Board, therefore, concluded that there were reasons to believe that the author’s parents were deliberately hiding so that the author would be once again considered and treated as an unaccompanied minor.</w:t>
      </w:r>
      <w:r>
        <w:t>” (para. 2.10).</w:t>
      </w:r>
      <w:r w:rsidRPr="00915491">
        <w:t xml:space="preserve"> </w:t>
      </w:r>
    </w:p>
    <w:p w14:paraId="7D49F1C3" w14:textId="5DBD7F0F" w:rsidR="00815F6E" w:rsidRDefault="00815F6E" w:rsidP="00E34CAD">
      <w:pPr>
        <w:pStyle w:val="SingleTxtG"/>
        <w:rPr>
          <w:u w:val="single"/>
          <w:lang w:val="en-US"/>
        </w:rPr>
      </w:pPr>
      <w:r>
        <w:t>5.</w:t>
      </w:r>
      <w:r>
        <w:tab/>
        <w:t xml:space="preserve"> </w:t>
      </w:r>
      <w:r w:rsidRPr="00915491">
        <w:t xml:space="preserve">In the absence of any other substantiated evidence of a </w:t>
      </w:r>
      <w:proofErr w:type="gramStart"/>
      <w:r w:rsidRPr="00915491">
        <w:t xml:space="preserve">serious </w:t>
      </w:r>
      <w:r>
        <w:t xml:space="preserve"> and</w:t>
      </w:r>
      <w:proofErr w:type="gramEnd"/>
      <w:r>
        <w:t xml:space="preserve"> personal </w:t>
      </w:r>
      <w:r w:rsidRPr="00915491">
        <w:t xml:space="preserve">risk the author would be exposed to if returned to Afghanistan and given that there </w:t>
      </w:r>
      <w:r>
        <w:t>exists</w:t>
      </w:r>
      <w:r w:rsidRPr="00915491">
        <w:t xml:space="preserve"> ambiguity as to the whereabouts of the </w:t>
      </w:r>
      <w:r>
        <w:t xml:space="preserve">author’s </w:t>
      </w:r>
      <w:r w:rsidRPr="00915491">
        <w:t xml:space="preserve">parents (para. 9.10 recognising that by indicating that the parents </w:t>
      </w:r>
      <w:r w:rsidRPr="00915491">
        <w:rPr>
          <w:i/>
          <w:iCs/>
        </w:rPr>
        <w:t xml:space="preserve">may </w:t>
      </w:r>
      <w:r w:rsidRPr="00915491">
        <w:t xml:space="preserve">have returned to </w:t>
      </w:r>
      <w:r w:rsidRPr="00815F6E">
        <w:t>Afghanistan</w:t>
      </w:r>
      <w:r w:rsidRPr="00915491">
        <w:t>),</w:t>
      </w:r>
      <w:r>
        <w:t xml:space="preserve"> </w:t>
      </w:r>
      <w:r>
        <w:rPr>
          <w:lang w:val="en-US"/>
        </w:rPr>
        <w:t xml:space="preserve">we </w:t>
      </w:r>
      <w:r w:rsidRPr="00915491">
        <w:rPr>
          <w:color w:val="000000" w:themeColor="text1"/>
        </w:rPr>
        <w:t xml:space="preserve">cannot conclude that the decision of the Swedish authorities to refuse the author’s asylum request </w:t>
      </w:r>
      <w:r w:rsidRPr="00915491">
        <w:t xml:space="preserve">was </w:t>
      </w:r>
      <w:r w:rsidRPr="007D6C3F">
        <w:t>clearly arbitrary or amounted to a manifest error or denial of justice</w:t>
      </w:r>
      <w:r w:rsidRPr="00915491">
        <w:t xml:space="preserve"> that would entail a violation of articles 6 and 7 of the Covenant</w:t>
      </w:r>
      <w:r>
        <w:t>.</w:t>
      </w:r>
    </w:p>
    <w:p w14:paraId="318B694C" w14:textId="77777777" w:rsidR="00815F6E" w:rsidRDefault="00315B1B" w:rsidP="007170EF">
      <w:pPr>
        <w:pStyle w:val="SingleTxtG"/>
        <w:spacing w:after="0"/>
        <w:jc w:val="center"/>
        <w:rPr>
          <w:lang w:val="en-US"/>
        </w:rPr>
        <w:sectPr w:rsidR="00815F6E" w:rsidSect="00E34CAD">
          <w:footnotePr>
            <w:numRestart w:val="eachSect"/>
          </w:footnotePr>
          <w:endnotePr>
            <w:numFmt w:val="decimal"/>
          </w:endnotePr>
          <w:pgSz w:w="11907" w:h="16840" w:code="9"/>
          <w:pgMar w:top="1417" w:right="1134" w:bottom="1134" w:left="1134" w:header="850" w:footer="567" w:gutter="0"/>
          <w:cols w:space="720"/>
          <w:docGrid w:linePitch="272"/>
        </w:sectPr>
      </w:pPr>
      <w:r w:rsidRPr="00E34CAD">
        <w:rPr>
          <w:lang w:val="en-US"/>
        </w:rPr>
        <w:br w:type="page"/>
      </w:r>
    </w:p>
    <w:p w14:paraId="3C0D4E42" w14:textId="77777777" w:rsidR="00815F6E" w:rsidRPr="008B2326" w:rsidRDefault="00815F6E" w:rsidP="00815F6E">
      <w:pPr>
        <w:pStyle w:val="H1G"/>
        <w:rPr>
          <w:sz w:val="28"/>
          <w:szCs w:val="28"/>
        </w:rPr>
      </w:pPr>
      <w:r w:rsidRPr="008B2326">
        <w:rPr>
          <w:sz w:val="28"/>
          <w:szCs w:val="28"/>
        </w:rPr>
        <w:lastRenderedPageBreak/>
        <w:t>Annex</w:t>
      </w:r>
      <w:r>
        <w:rPr>
          <w:sz w:val="28"/>
          <w:szCs w:val="28"/>
        </w:rPr>
        <w:t xml:space="preserve"> II</w:t>
      </w:r>
      <w:r w:rsidRPr="008B2326">
        <w:rPr>
          <w:sz w:val="28"/>
          <w:szCs w:val="28"/>
        </w:rPr>
        <w:t xml:space="preserve"> </w:t>
      </w:r>
    </w:p>
    <w:p w14:paraId="6580020E" w14:textId="77777777" w:rsidR="00815F6E" w:rsidRPr="007720F3" w:rsidRDefault="00815F6E" w:rsidP="00815F6E">
      <w:pPr>
        <w:pStyle w:val="H1G"/>
        <w:rPr>
          <w:b w:val="0"/>
          <w:sz w:val="20"/>
        </w:rPr>
      </w:pPr>
      <w:r>
        <w:rPr>
          <w:sz w:val="28"/>
          <w:szCs w:val="28"/>
        </w:rPr>
        <w:tab/>
      </w:r>
      <w:r>
        <w:tab/>
      </w:r>
      <w:r>
        <w:tab/>
      </w:r>
      <w:r w:rsidRPr="004D351D">
        <w:rPr>
          <w:sz w:val="28"/>
          <w:szCs w:val="28"/>
        </w:rPr>
        <w:t xml:space="preserve">Individual opinion </w:t>
      </w:r>
      <w:r>
        <w:rPr>
          <w:sz w:val="28"/>
          <w:szCs w:val="28"/>
        </w:rPr>
        <w:t>by</w:t>
      </w:r>
      <w:r w:rsidRPr="004D351D">
        <w:rPr>
          <w:sz w:val="28"/>
          <w:szCs w:val="28"/>
        </w:rPr>
        <w:t xml:space="preserve"> Committee member </w:t>
      </w:r>
      <w:proofErr w:type="spellStart"/>
      <w:r w:rsidRPr="007720F3">
        <w:rPr>
          <w:sz w:val="28"/>
          <w:szCs w:val="28"/>
        </w:rPr>
        <w:t>Furuya</w:t>
      </w:r>
      <w:proofErr w:type="spellEnd"/>
      <w:r w:rsidRPr="007720F3">
        <w:rPr>
          <w:sz w:val="28"/>
          <w:szCs w:val="28"/>
        </w:rPr>
        <w:t xml:space="preserve"> </w:t>
      </w:r>
      <w:r w:rsidRPr="004D351D">
        <w:rPr>
          <w:sz w:val="28"/>
          <w:szCs w:val="28"/>
        </w:rPr>
        <w:t>Shuichi (</w:t>
      </w:r>
      <w:r>
        <w:rPr>
          <w:sz w:val="28"/>
          <w:szCs w:val="28"/>
        </w:rPr>
        <w:t xml:space="preserve">partially </w:t>
      </w:r>
      <w:r w:rsidRPr="004D351D">
        <w:rPr>
          <w:sz w:val="28"/>
          <w:szCs w:val="28"/>
        </w:rPr>
        <w:t>dissenting)</w:t>
      </w:r>
    </w:p>
    <w:p w14:paraId="7ADBC93F" w14:textId="77777777" w:rsidR="00815F6E" w:rsidRPr="00043EAC" w:rsidRDefault="00815F6E" w:rsidP="00815F6E">
      <w:pPr>
        <w:pStyle w:val="SingleTxtG"/>
        <w:rPr>
          <w:lang w:val="en-US"/>
        </w:rPr>
      </w:pPr>
      <w:r w:rsidRPr="00043EAC">
        <w:rPr>
          <w:lang w:val="en-US"/>
        </w:rPr>
        <w:t xml:space="preserve">1. </w:t>
      </w:r>
      <w:r>
        <w:rPr>
          <w:lang w:val="en-US"/>
        </w:rPr>
        <w:tab/>
      </w:r>
      <w:r w:rsidRPr="00043EAC">
        <w:rPr>
          <w:lang w:val="en-US"/>
        </w:rPr>
        <w:t xml:space="preserve">I am in agreement with the View’s conclusion that, as the State party failed to adequately assess the author’s risk of returning to Afghanistan due to his father’s alleged threats of revenge and his trauma due to parental abuse, his removal to Afghanistan by the State party would constitute a </w:t>
      </w:r>
      <w:r w:rsidRPr="00E34CAD">
        <w:t>violation</w:t>
      </w:r>
      <w:r w:rsidRPr="00043EAC">
        <w:rPr>
          <w:lang w:val="en-US"/>
        </w:rPr>
        <w:t xml:space="preserve"> of articles 6 and 7 of the </w:t>
      </w:r>
      <w:r w:rsidRPr="00043EAC">
        <w:t>Covenant</w:t>
      </w:r>
      <w:r w:rsidRPr="00043EAC">
        <w:rPr>
          <w:lang w:val="en-US"/>
        </w:rPr>
        <w:t>. However, I am unable to concur with its conclusion that the author has failed to demonstrate that State party’s examination of the author’s conversion to Christianity was arbitrary or manifestly unreasonable or that the proceedings in question amounted to a procedural error or denial of justice (para. 9.6).</w:t>
      </w:r>
    </w:p>
    <w:p w14:paraId="5CC460E2" w14:textId="77777777" w:rsidR="00815F6E" w:rsidRPr="00043EAC" w:rsidRDefault="00815F6E" w:rsidP="00815F6E">
      <w:pPr>
        <w:pStyle w:val="SingleTxtG"/>
        <w:rPr>
          <w:lang w:val="en-US"/>
        </w:rPr>
      </w:pPr>
      <w:r w:rsidRPr="00043EAC">
        <w:rPr>
          <w:lang w:val="en-US"/>
        </w:rPr>
        <w:t xml:space="preserve">2. </w:t>
      </w:r>
      <w:r>
        <w:rPr>
          <w:lang w:val="en-US"/>
        </w:rPr>
        <w:tab/>
      </w:r>
      <w:r w:rsidRPr="00043EAC">
        <w:rPr>
          <w:lang w:val="en-US"/>
        </w:rPr>
        <w:t xml:space="preserve">According to the jurisprudence of the Committee, it is generally for the organs of a State party to examine the facts and evidence of the case in question in order to determine whether a real risk of irreparable harm exists when a person is </w:t>
      </w:r>
      <w:r w:rsidRPr="00043EAC">
        <w:t>departed</w:t>
      </w:r>
      <w:r w:rsidRPr="00043EAC">
        <w:rPr>
          <w:lang w:val="en-US"/>
        </w:rPr>
        <w:t xml:space="preserve"> to the country of his or her origin, unless it can be established that the assessment was clearly arbitrary or amounted to a manifest error or denial of justice.</w:t>
      </w:r>
      <w:r w:rsidRPr="00043EAC">
        <w:rPr>
          <w:lang w:val="en-US"/>
        </w:rPr>
        <w:footnoteReference w:id="43"/>
      </w:r>
      <w:r w:rsidRPr="00043EAC">
        <w:rPr>
          <w:lang w:val="en-US"/>
        </w:rPr>
        <w:t xml:space="preserve"> This means that, in deportation cases, the Committee generally respects the assessment by the State party of the substantive aspects of risks, while it may deal with apparent procedural defect or error of that assessment as the basis of finding the violations of the Covenant. In addition, the Committee has taken the position in assessing the risk of conversion that the test is whether there are substantial grounds for believing that the conversion of a person may have serious adverse consequences in the country where he or she is deported such as to create a real risk of irreparable harm irrespective of the sincerity of the conversion. Accordingly, as the View points out in paragraph 9.5, even when it is found that the reported conversion is not sincere, the authorities of the State party should proceed to assess whether, in the circumstances of the case, the </w:t>
      </w:r>
      <w:proofErr w:type="spellStart"/>
      <w:r w:rsidRPr="00043EAC">
        <w:rPr>
          <w:lang w:val="en-US"/>
        </w:rPr>
        <w:t>behaviour</w:t>
      </w:r>
      <w:proofErr w:type="spellEnd"/>
      <w:r w:rsidRPr="00043EAC">
        <w:rPr>
          <w:lang w:val="en-US"/>
        </w:rPr>
        <w:t xml:space="preserve"> and activities of the asylum seeker in connection with his or her conversion, could have serious adverse consequences in the country of origin so as to put him or her at risk of irreparable harm</w:t>
      </w:r>
      <w:r w:rsidRPr="00043EAC">
        <w:rPr>
          <w:lang w:val="en-US"/>
        </w:rPr>
        <w:footnoteReference w:id="44"/>
      </w:r>
      <w:r w:rsidRPr="00043EAC">
        <w:rPr>
          <w:lang w:val="en-US"/>
        </w:rPr>
        <w:t xml:space="preserve">.  </w:t>
      </w:r>
    </w:p>
    <w:p w14:paraId="74C5A6A0" w14:textId="77777777" w:rsidR="00815F6E" w:rsidRPr="00043EAC" w:rsidRDefault="00815F6E" w:rsidP="00815F6E">
      <w:pPr>
        <w:pStyle w:val="SingleTxtG"/>
        <w:rPr>
          <w:lang w:val="en-US"/>
        </w:rPr>
      </w:pPr>
      <w:r w:rsidRPr="00043EAC">
        <w:rPr>
          <w:lang w:val="en-US"/>
        </w:rPr>
        <w:t>3.</w:t>
      </w:r>
      <w:r>
        <w:rPr>
          <w:lang w:val="en-US"/>
        </w:rPr>
        <w:tab/>
      </w:r>
      <w:r w:rsidRPr="00043EAC">
        <w:rPr>
          <w:lang w:val="en-US"/>
        </w:rPr>
        <w:t xml:space="preserve"> In the present case, the State party concedes in general that, according to the Swedish Migration Board’s report in December 2017, in Afghanistan, an </w:t>
      </w:r>
      <w:proofErr w:type="gramStart"/>
      <w:r w:rsidRPr="00043EAC">
        <w:rPr>
          <w:lang w:val="en-US"/>
        </w:rPr>
        <w:t>apostate risks</w:t>
      </w:r>
      <w:proofErr w:type="gramEnd"/>
      <w:r w:rsidRPr="00043EAC">
        <w:rPr>
          <w:lang w:val="en-US"/>
        </w:rPr>
        <w:t xml:space="preserve"> being disowned by their family and being killed by others in society without judicial process, and mere accusations of apostasy can provoke violence, and people who lack a social network are particularly vulnerable without support. Further, it notes that the assessment must focus on the foreseeable consequences to the author of his expulsion to Afghanistan in light of his personal </w:t>
      </w:r>
      <w:proofErr w:type="gramStart"/>
      <w:r w:rsidRPr="00043EAC">
        <w:rPr>
          <w:lang w:val="en-US"/>
        </w:rPr>
        <w:t>circumstances, and</w:t>
      </w:r>
      <w:proofErr w:type="gramEnd"/>
      <w:r w:rsidRPr="00043EAC">
        <w:rPr>
          <w:lang w:val="en-US"/>
        </w:rPr>
        <w:t xml:space="preserve"> emphasizes that it is the author that has the burden of proof to plausibly demonstrate that he is at risk of persecution (para. 4.6). Nevertheless, the State party contests that the author’s conversion was based on genuine faith as it was submitted at a very late stage of the asylum proceedings and, on this very ground of insincerity of his conversion, it denies the risk of persecution upon his return to Afghanistan.</w:t>
      </w:r>
    </w:p>
    <w:p w14:paraId="29FEBB93" w14:textId="61788BF5" w:rsidR="007170EF" w:rsidRDefault="00815F6E" w:rsidP="00E34CAD">
      <w:pPr>
        <w:pStyle w:val="SingleTxtG"/>
        <w:rPr>
          <w:lang w:val="en-US"/>
        </w:rPr>
      </w:pPr>
      <w:r w:rsidRPr="00043EAC">
        <w:rPr>
          <w:lang w:val="en-US"/>
        </w:rPr>
        <w:t xml:space="preserve">4. </w:t>
      </w:r>
      <w:r>
        <w:rPr>
          <w:lang w:val="en-US"/>
        </w:rPr>
        <w:tab/>
      </w:r>
      <w:r w:rsidRPr="00043EAC">
        <w:rPr>
          <w:lang w:val="en-US"/>
        </w:rPr>
        <w:t xml:space="preserve">However, the State party has not made any individualized assessment of the risk that the author would be subject to persecution or other ill-treatments in Afghanistan if he is regarded as an apostate (even if he has not genuinely converted to Christianity). It has also denied </w:t>
      </w:r>
      <w:proofErr w:type="gramStart"/>
      <w:r w:rsidRPr="00043EAC">
        <w:rPr>
          <w:lang w:val="en-US"/>
        </w:rPr>
        <w:t>to have</w:t>
      </w:r>
      <w:proofErr w:type="gramEnd"/>
      <w:r w:rsidRPr="00043EAC">
        <w:rPr>
          <w:lang w:val="en-US"/>
        </w:rPr>
        <w:t xml:space="preserve"> any oral interview despite the author’s request to be heard in an oral procedure. In my view, this denial substantially deprived the author of the opportunity to demonstrate that he would be subject to the risk of persecution because of his conversion. In this regard, the author has repeatedly and sufficiently alleged this procedural defect (paras. 3.2, 5.4 and 5.9).</w:t>
      </w:r>
    </w:p>
    <w:p w14:paraId="4BA9EE35" w14:textId="4F989FB8" w:rsidR="00815F6E" w:rsidRDefault="00815F6E" w:rsidP="00E34CAD">
      <w:pPr>
        <w:pStyle w:val="SingleTxtG"/>
        <w:rPr>
          <w:lang w:val="en-US"/>
        </w:rPr>
      </w:pPr>
      <w:r w:rsidRPr="00043EAC">
        <w:rPr>
          <w:lang w:val="en-US"/>
        </w:rPr>
        <w:lastRenderedPageBreak/>
        <w:t xml:space="preserve">5. </w:t>
      </w:r>
      <w:r>
        <w:rPr>
          <w:lang w:val="en-US"/>
        </w:rPr>
        <w:tab/>
      </w:r>
      <w:r w:rsidRPr="00043EAC">
        <w:rPr>
          <w:lang w:val="en-US"/>
        </w:rPr>
        <w:t>Under such circumstances, I cannot consider that the State party, after having sufficiently examined and assessed relevant facts through adequate proceedings, came to its conclusion that no real risk of irreparable harm would exist even due to the author’s conversion. Accordingly, I have to conclude that the assessment by the State party was clearly arbitrary or amounted to a manifest error or denial of justice and therefore his deportation to Afghanistan would constitute the violations of articles 6 and 7 of the Covenant in light of his conversion as well</w:t>
      </w:r>
      <w:r>
        <w:rPr>
          <w:lang w:val="en-US"/>
        </w:rPr>
        <w:t>.</w:t>
      </w:r>
    </w:p>
    <w:p w14:paraId="2D343E72" w14:textId="7F55AB93" w:rsidR="00E34CAD" w:rsidRPr="00E34CAD" w:rsidRDefault="00E34CAD" w:rsidP="00E34CAD">
      <w:pPr>
        <w:pStyle w:val="SingleTxtG"/>
        <w:spacing w:before="240" w:after="0"/>
        <w:jc w:val="center"/>
        <w:rPr>
          <w:sz w:val="24"/>
          <w:szCs w:val="24"/>
          <w:u w:val="single"/>
        </w:rPr>
      </w:pPr>
      <w:r>
        <w:rPr>
          <w:u w:val="single"/>
          <w:lang w:val="en-US"/>
        </w:rPr>
        <w:tab/>
      </w:r>
      <w:r>
        <w:rPr>
          <w:u w:val="single"/>
          <w:lang w:val="en-US"/>
        </w:rPr>
        <w:tab/>
      </w:r>
      <w:r>
        <w:rPr>
          <w:u w:val="single"/>
          <w:lang w:val="en-US"/>
        </w:rPr>
        <w:tab/>
      </w:r>
    </w:p>
    <w:p w14:paraId="5E6EB218" w14:textId="71A2A3B9" w:rsidR="007170EF" w:rsidRPr="00E34CAD" w:rsidRDefault="007170EF" w:rsidP="00736B79">
      <w:pPr>
        <w:ind w:left="1134" w:right="1559"/>
        <w:jc w:val="both"/>
      </w:pPr>
    </w:p>
    <w:p w14:paraId="6D979FAA" w14:textId="58675026" w:rsidR="007170EF" w:rsidRPr="00915491" w:rsidRDefault="007170EF" w:rsidP="00736B79">
      <w:pPr>
        <w:ind w:left="1134" w:right="1559"/>
        <w:jc w:val="both"/>
      </w:pPr>
    </w:p>
    <w:p w14:paraId="1111F022" w14:textId="23C91803" w:rsidR="006A1BF6" w:rsidRPr="00E34CAD" w:rsidRDefault="00815F6E" w:rsidP="00815F6E">
      <w:pPr>
        <w:pStyle w:val="SingleTxtG"/>
        <w:spacing w:before="240" w:after="0"/>
        <w:jc w:val="center"/>
      </w:pPr>
      <w:r>
        <w:tab/>
      </w:r>
      <w:r>
        <w:tab/>
      </w:r>
      <w:r>
        <w:tab/>
      </w:r>
    </w:p>
    <w:sectPr w:rsidR="006A1BF6" w:rsidRPr="00E34CAD" w:rsidSect="00E34CAD">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189D" w14:textId="77777777" w:rsidR="0047590C" w:rsidRDefault="0047590C"/>
  </w:endnote>
  <w:endnote w:type="continuationSeparator" w:id="0">
    <w:p w14:paraId="3205976D" w14:textId="77777777" w:rsidR="0047590C" w:rsidRDefault="0047590C"/>
  </w:endnote>
  <w:endnote w:type="continuationNotice" w:id="1">
    <w:p w14:paraId="59737DA7" w14:textId="77777777" w:rsidR="0047590C" w:rsidRDefault="00475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ﾇﾑｾ鄂ﾅｸ暿ｶ-Identity-H">
    <w:altName w:val="Yu Gothic"/>
    <w:panose1 w:val="020B0604020202020204"/>
    <w:charset w:val="80"/>
    <w:family w:val="roman"/>
    <w:pitch w:val="default"/>
    <w:sig w:usb0="00000001" w:usb1="08070000" w:usb2="00000010" w:usb3="00000000" w:csb0="00020000" w:csb1="00000000"/>
  </w:font>
  <w:font w:name="TimesNewRomanPS-ItalicMT">
    <w:altName w:val="Times New Roman"/>
    <w:panose1 w:val="020B0604020202020204"/>
    <w:charset w:val="00"/>
    <w:family w:val="roman"/>
    <w:pitch w:val="default"/>
  </w:font>
  <w:font w:name="Times">
    <w:altName w:val="﷽﷽﷽﷽﷽﷽ื"/>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856E" w14:textId="39589CCF" w:rsidR="00346C28" w:rsidRPr="00111738" w:rsidRDefault="00346C28" w:rsidP="00111738">
    <w:pPr>
      <w:pStyle w:val="Footer"/>
      <w:tabs>
        <w:tab w:val="right" w:pos="9638"/>
      </w:tabs>
      <w:rPr>
        <w:sz w:val="18"/>
      </w:rPr>
    </w:pPr>
    <w:r w:rsidRPr="00111738">
      <w:rPr>
        <w:b/>
        <w:sz w:val="18"/>
      </w:rPr>
      <w:fldChar w:fldCharType="begin"/>
    </w:r>
    <w:r w:rsidRPr="00111738">
      <w:rPr>
        <w:b/>
        <w:sz w:val="18"/>
      </w:rPr>
      <w:instrText xml:space="preserve"> PAGE  \* MERGEFORMAT </w:instrText>
    </w:r>
    <w:r w:rsidRPr="00111738">
      <w:rPr>
        <w:b/>
        <w:sz w:val="18"/>
      </w:rPr>
      <w:fldChar w:fldCharType="separate"/>
    </w:r>
    <w:r w:rsidR="00E34CAD">
      <w:rPr>
        <w:b/>
        <w:noProof/>
        <w:sz w:val="18"/>
      </w:rPr>
      <w:t>14</w:t>
    </w:r>
    <w:r w:rsidRPr="001117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BC28" w14:textId="504D2D88" w:rsidR="00346C28" w:rsidRPr="00111738" w:rsidRDefault="00346C28" w:rsidP="00111738">
    <w:pPr>
      <w:pStyle w:val="Footer"/>
      <w:tabs>
        <w:tab w:val="right" w:pos="9638"/>
      </w:tabs>
      <w:rPr>
        <w:b/>
        <w:sz w:val="18"/>
      </w:rPr>
    </w:pPr>
    <w:r>
      <w:tab/>
    </w:r>
    <w:r w:rsidRPr="00111738">
      <w:rPr>
        <w:b/>
        <w:sz w:val="18"/>
      </w:rPr>
      <w:fldChar w:fldCharType="begin"/>
    </w:r>
    <w:r w:rsidRPr="00111738">
      <w:rPr>
        <w:b/>
        <w:sz w:val="18"/>
      </w:rPr>
      <w:instrText xml:space="preserve"> PAGE  \* MERGEFORMAT </w:instrText>
    </w:r>
    <w:r w:rsidRPr="00111738">
      <w:rPr>
        <w:b/>
        <w:sz w:val="18"/>
      </w:rPr>
      <w:fldChar w:fldCharType="separate"/>
    </w:r>
    <w:r w:rsidR="00E34CAD">
      <w:rPr>
        <w:b/>
        <w:noProof/>
        <w:sz w:val="18"/>
      </w:rPr>
      <w:t>15</w:t>
    </w:r>
    <w:r w:rsidRPr="001117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2206" w14:textId="58857773" w:rsidR="00346C28" w:rsidRDefault="00346C28" w:rsidP="00C64B3A">
    <w:pPr>
      <w:pStyle w:val="Footer"/>
    </w:pPr>
    <w:r>
      <w:rPr>
        <w:noProof/>
        <w:lang w:eastAsia="en-GB"/>
      </w:rPr>
      <w:drawing>
        <wp:anchor distT="0" distB="0" distL="114300" distR="114300" simplePos="0" relativeHeight="251659264" behindDoc="1" locked="1" layoutInCell="1" allowOverlap="1" wp14:anchorId="2D218B31" wp14:editId="7AE5AF5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F858F" w14:textId="77777777" w:rsidR="0047590C" w:rsidRPr="000B175B" w:rsidRDefault="0047590C" w:rsidP="000B175B">
      <w:pPr>
        <w:tabs>
          <w:tab w:val="right" w:pos="2155"/>
        </w:tabs>
        <w:spacing w:after="80"/>
        <w:ind w:left="680"/>
        <w:rPr>
          <w:u w:val="single"/>
        </w:rPr>
      </w:pPr>
      <w:r>
        <w:rPr>
          <w:u w:val="single"/>
        </w:rPr>
        <w:tab/>
      </w:r>
    </w:p>
  </w:footnote>
  <w:footnote w:type="continuationSeparator" w:id="0">
    <w:p w14:paraId="5218039A" w14:textId="77777777" w:rsidR="0047590C" w:rsidRPr="00FC68B7" w:rsidRDefault="0047590C" w:rsidP="00FC68B7">
      <w:pPr>
        <w:tabs>
          <w:tab w:val="left" w:pos="2155"/>
        </w:tabs>
        <w:spacing w:after="80"/>
        <w:ind w:left="680"/>
        <w:rPr>
          <w:u w:val="single"/>
        </w:rPr>
      </w:pPr>
      <w:r>
        <w:rPr>
          <w:u w:val="single"/>
        </w:rPr>
        <w:tab/>
      </w:r>
    </w:p>
  </w:footnote>
  <w:footnote w:type="continuationNotice" w:id="1">
    <w:p w14:paraId="3AF867DA" w14:textId="77777777" w:rsidR="0047590C" w:rsidRDefault="0047590C"/>
  </w:footnote>
  <w:footnote w:id="2">
    <w:p w14:paraId="7BE330FA" w14:textId="0CC1E129" w:rsidR="007170EF" w:rsidRPr="002D0239" w:rsidRDefault="007170EF" w:rsidP="002D0239">
      <w:pPr>
        <w:pStyle w:val="FootnoteText"/>
      </w:pPr>
      <w:r w:rsidRPr="00E34CAD">
        <w:rPr>
          <w:rStyle w:val="FootnoteReference"/>
          <w:vertAlign w:val="baseline"/>
        </w:rPr>
        <w:tab/>
        <w:t>*</w:t>
      </w:r>
      <w:r w:rsidRPr="00E34CAD">
        <w:rPr>
          <w:rStyle w:val="FootnoteReference"/>
          <w:vertAlign w:val="baseline"/>
        </w:rPr>
        <w:tab/>
      </w:r>
      <w:r w:rsidRPr="002D0239">
        <w:t>Adopted by the Committee at its 131st session (1–26 March 2021).</w:t>
      </w:r>
    </w:p>
  </w:footnote>
  <w:footnote w:id="3">
    <w:p w14:paraId="55DADC28" w14:textId="3E051936" w:rsidR="007170EF" w:rsidRPr="002D0239" w:rsidRDefault="007170EF">
      <w:pPr>
        <w:pStyle w:val="FootnoteText"/>
      </w:pPr>
      <w:r w:rsidRPr="00E34CAD">
        <w:rPr>
          <w:rStyle w:val="FootnoteReference"/>
          <w:vertAlign w:val="baseline"/>
        </w:rPr>
        <w:tab/>
        <w:t>**</w:t>
      </w:r>
      <w:r w:rsidRPr="00E34CAD">
        <w:rPr>
          <w:rStyle w:val="FootnoteReference"/>
          <w:vertAlign w:val="baseline"/>
        </w:rPr>
        <w:tab/>
      </w:r>
      <w:r w:rsidRPr="002D0239">
        <w:t xml:space="preserve">The following members of the Committee participated in the examination of the communication: </w:t>
      </w:r>
      <w:proofErr w:type="spellStart"/>
      <w:r w:rsidRPr="002D0239">
        <w:t>Yadh</w:t>
      </w:r>
      <w:proofErr w:type="spellEnd"/>
      <w:r w:rsidRPr="002D0239">
        <w:t xml:space="preserve"> Ben </w:t>
      </w:r>
      <w:proofErr w:type="spellStart"/>
      <w:r w:rsidRPr="002D0239">
        <w:t>Achour</w:t>
      </w:r>
      <w:proofErr w:type="spellEnd"/>
      <w:r w:rsidRPr="002D0239">
        <w:t xml:space="preserve">, </w:t>
      </w:r>
      <w:proofErr w:type="spellStart"/>
      <w:r w:rsidRPr="002D0239">
        <w:t>Arif</w:t>
      </w:r>
      <w:proofErr w:type="spellEnd"/>
      <w:r w:rsidRPr="002D0239">
        <w:t xml:space="preserve"> </w:t>
      </w:r>
      <w:proofErr w:type="spellStart"/>
      <w:r w:rsidRPr="002D0239">
        <w:t>Bulkan</w:t>
      </w:r>
      <w:proofErr w:type="spellEnd"/>
      <w:r w:rsidRPr="002D0239">
        <w:t xml:space="preserve">, </w:t>
      </w:r>
      <w:r w:rsidRPr="00E34CAD">
        <w:t>Wafaa Ashraf Moharram</w:t>
      </w:r>
      <w:r w:rsidRPr="002D0239">
        <w:t xml:space="preserve"> </w:t>
      </w:r>
      <w:proofErr w:type="spellStart"/>
      <w:r w:rsidR="00CC3CBB" w:rsidRPr="002D0239">
        <w:t>Bassim</w:t>
      </w:r>
      <w:proofErr w:type="spellEnd"/>
      <w:r w:rsidR="00CC3CBB" w:rsidRPr="002D0239">
        <w:t xml:space="preserve">, </w:t>
      </w:r>
      <w:proofErr w:type="spellStart"/>
      <w:r w:rsidR="00CC3CBB" w:rsidRPr="00E34CAD">
        <w:t>Mahjoub</w:t>
      </w:r>
      <w:proofErr w:type="spellEnd"/>
      <w:r w:rsidR="00CC3CBB" w:rsidRPr="002D0239">
        <w:t xml:space="preserve"> El </w:t>
      </w:r>
      <w:proofErr w:type="spellStart"/>
      <w:r w:rsidR="00CC3CBB" w:rsidRPr="002D0239">
        <w:t>Haiba</w:t>
      </w:r>
      <w:proofErr w:type="spellEnd"/>
      <w:r w:rsidR="00CC3CBB" w:rsidRPr="002D0239">
        <w:t xml:space="preserve">, </w:t>
      </w:r>
      <w:proofErr w:type="spellStart"/>
      <w:r w:rsidRPr="002D0239">
        <w:t>Furuya</w:t>
      </w:r>
      <w:proofErr w:type="spellEnd"/>
      <w:r w:rsidRPr="002D0239">
        <w:t xml:space="preserve"> Shuichi, </w:t>
      </w:r>
      <w:r w:rsidR="00CC3CBB" w:rsidRPr="002D0239">
        <w:t xml:space="preserve">Marcia </w:t>
      </w:r>
      <w:proofErr w:type="spellStart"/>
      <w:r w:rsidR="00CC3CBB" w:rsidRPr="002D0239">
        <w:t>Kran</w:t>
      </w:r>
      <w:proofErr w:type="spellEnd"/>
      <w:r w:rsidRPr="002D0239">
        <w:t>,</w:t>
      </w:r>
      <w:r w:rsidR="00CC3CBB" w:rsidRPr="002D0239">
        <w:t xml:space="preserve"> </w:t>
      </w:r>
      <w:proofErr w:type="spellStart"/>
      <w:r w:rsidR="00CC3CBB" w:rsidRPr="00E34CAD">
        <w:t>Kobauyah</w:t>
      </w:r>
      <w:proofErr w:type="spellEnd"/>
      <w:r w:rsidR="00CC3CBB" w:rsidRPr="00E34CAD">
        <w:t xml:space="preserve"> </w:t>
      </w:r>
      <w:proofErr w:type="spellStart"/>
      <w:r w:rsidR="006C0815" w:rsidRPr="00E34CAD">
        <w:t>Tchamdja</w:t>
      </w:r>
      <w:proofErr w:type="spellEnd"/>
      <w:r w:rsidR="006C0815" w:rsidRPr="00E34CAD">
        <w:t xml:space="preserve"> </w:t>
      </w:r>
      <w:proofErr w:type="spellStart"/>
      <w:r w:rsidR="00CC3CBB" w:rsidRPr="00E34CAD">
        <w:t>Kpatcha</w:t>
      </w:r>
      <w:proofErr w:type="spellEnd"/>
      <w:r w:rsidR="00CC3CBB" w:rsidRPr="00E34CAD">
        <w:t>,</w:t>
      </w:r>
      <w:r w:rsidRPr="002D0239">
        <w:t xml:space="preserve"> Duncan </w:t>
      </w:r>
      <w:proofErr w:type="spellStart"/>
      <w:r w:rsidRPr="002D0239">
        <w:t>Laki</w:t>
      </w:r>
      <w:proofErr w:type="spellEnd"/>
      <w:r w:rsidRPr="002D0239">
        <w:t xml:space="preserve"> </w:t>
      </w:r>
      <w:proofErr w:type="spellStart"/>
      <w:r w:rsidRPr="002D0239">
        <w:t>Muhumuza</w:t>
      </w:r>
      <w:proofErr w:type="spellEnd"/>
      <w:r w:rsidRPr="002D0239">
        <w:t xml:space="preserve">, </w:t>
      </w:r>
      <w:r w:rsidR="00CC3CBB" w:rsidRPr="002D0239">
        <w:t>Carlos Gomez Martinez</w:t>
      </w:r>
      <w:r w:rsidRPr="002D0239">
        <w:t>,</w:t>
      </w:r>
      <w:r w:rsidR="00CC3CBB" w:rsidRPr="002D0239">
        <w:t xml:space="preserve"> Photini </w:t>
      </w:r>
      <w:proofErr w:type="spellStart"/>
      <w:r w:rsidR="00CC3CBB" w:rsidRPr="002D0239">
        <w:t>Pazartzis</w:t>
      </w:r>
      <w:proofErr w:type="spellEnd"/>
      <w:r w:rsidR="00CC3CBB" w:rsidRPr="002D0239">
        <w:t>,</w:t>
      </w:r>
      <w:r w:rsidRPr="002D0239">
        <w:t xml:space="preserve"> </w:t>
      </w:r>
      <w:proofErr w:type="spellStart"/>
      <w:r w:rsidR="00CC3CBB" w:rsidRPr="00E34CAD">
        <w:t>Hernán</w:t>
      </w:r>
      <w:proofErr w:type="spellEnd"/>
      <w:r w:rsidR="00CC3CBB" w:rsidRPr="002D0239">
        <w:t xml:space="preserve"> Quezada, </w:t>
      </w:r>
      <w:proofErr w:type="spellStart"/>
      <w:r w:rsidRPr="002D0239">
        <w:t>Vasilka</w:t>
      </w:r>
      <w:proofErr w:type="spellEnd"/>
      <w:r w:rsidRPr="002D0239">
        <w:t xml:space="preserve"> </w:t>
      </w:r>
      <w:proofErr w:type="spellStart"/>
      <w:r w:rsidRPr="002D0239">
        <w:t>Sancin</w:t>
      </w:r>
      <w:proofErr w:type="spellEnd"/>
      <w:r w:rsidRPr="002D0239">
        <w:t xml:space="preserve">, José Manuel Santos </w:t>
      </w:r>
      <w:proofErr w:type="spellStart"/>
      <w:r w:rsidRPr="002D0239">
        <w:t>Pais</w:t>
      </w:r>
      <w:proofErr w:type="spellEnd"/>
      <w:r w:rsidRPr="002D0239">
        <w:t>,</w:t>
      </w:r>
      <w:r w:rsidR="00CC3CBB" w:rsidRPr="002D0239">
        <w:t xml:space="preserve"> </w:t>
      </w:r>
      <w:proofErr w:type="spellStart"/>
      <w:r w:rsidR="00CC3CBB" w:rsidRPr="00E34CAD">
        <w:t>Changrok</w:t>
      </w:r>
      <w:proofErr w:type="spellEnd"/>
      <w:r w:rsidR="00CC3CBB" w:rsidRPr="00E34CAD">
        <w:t xml:space="preserve"> Soh,</w:t>
      </w:r>
      <w:r w:rsidRPr="002D0239">
        <w:t xml:space="preserve"> Hélène </w:t>
      </w:r>
      <w:proofErr w:type="spellStart"/>
      <w:r w:rsidRPr="002D0239">
        <w:t>Tigroudja</w:t>
      </w:r>
      <w:proofErr w:type="spellEnd"/>
      <w:r w:rsidR="00CC3CBB" w:rsidRPr="002D0239">
        <w:t xml:space="preserve">, </w:t>
      </w:r>
      <w:proofErr w:type="spellStart"/>
      <w:r w:rsidR="00CC3CBB" w:rsidRPr="00E34CAD">
        <w:t>Imeru</w:t>
      </w:r>
      <w:proofErr w:type="spellEnd"/>
      <w:r w:rsidR="00CC3CBB" w:rsidRPr="00E34CAD">
        <w:t xml:space="preserve"> </w:t>
      </w:r>
      <w:proofErr w:type="spellStart"/>
      <w:r w:rsidR="00CC3CBB" w:rsidRPr="00E34CAD">
        <w:t>Tamerat</w:t>
      </w:r>
      <w:proofErr w:type="spellEnd"/>
      <w:r w:rsidR="00CC3CBB" w:rsidRPr="00E34CAD">
        <w:t xml:space="preserve"> </w:t>
      </w:r>
      <w:proofErr w:type="spellStart"/>
      <w:r w:rsidR="00CC3CBB" w:rsidRPr="00E34CAD">
        <w:t>Yigezu</w:t>
      </w:r>
      <w:proofErr w:type="spellEnd"/>
      <w:r w:rsidRPr="002D0239">
        <w:t xml:space="preserve"> and Gentian </w:t>
      </w:r>
      <w:proofErr w:type="spellStart"/>
      <w:r w:rsidRPr="002D0239">
        <w:t>Zyberi</w:t>
      </w:r>
      <w:proofErr w:type="spellEnd"/>
      <w:r w:rsidRPr="002D0239">
        <w:t>.</w:t>
      </w:r>
    </w:p>
  </w:footnote>
  <w:footnote w:id="4">
    <w:p w14:paraId="483CD5C1" w14:textId="4EE1789F" w:rsidR="007170EF" w:rsidRPr="002D0239" w:rsidRDefault="007170EF">
      <w:pPr>
        <w:pStyle w:val="FootnoteText"/>
      </w:pPr>
      <w:r w:rsidRPr="00E34CAD">
        <w:rPr>
          <w:rStyle w:val="FootnoteReference"/>
          <w:vertAlign w:val="baseline"/>
        </w:rPr>
        <w:tab/>
        <w:t>***</w:t>
      </w:r>
      <w:r w:rsidRPr="00E34CAD">
        <w:rPr>
          <w:rStyle w:val="FootnoteReference"/>
          <w:vertAlign w:val="baseline"/>
        </w:rPr>
        <w:tab/>
      </w:r>
      <w:r w:rsidRPr="00756C9B">
        <w:t xml:space="preserve">Individual opinions by Committee members </w:t>
      </w:r>
      <w:proofErr w:type="spellStart"/>
      <w:r w:rsidRPr="00756C9B">
        <w:t>Vasilka</w:t>
      </w:r>
      <w:proofErr w:type="spellEnd"/>
      <w:r w:rsidRPr="00756C9B">
        <w:t xml:space="preserve"> </w:t>
      </w:r>
      <w:proofErr w:type="spellStart"/>
      <w:r w:rsidRPr="00756C9B">
        <w:t>Sancin</w:t>
      </w:r>
      <w:proofErr w:type="spellEnd"/>
      <w:r w:rsidR="00CC3CBB" w:rsidRPr="00756C9B">
        <w:t xml:space="preserve"> and </w:t>
      </w:r>
      <w:r w:rsidR="00CC3CBB" w:rsidRPr="002D0239">
        <w:t xml:space="preserve">Photini </w:t>
      </w:r>
      <w:proofErr w:type="spellStart"/>
      <w:r w:rsidR="00CC3CBB" w:rsidRPr="002D0239">
        <w:t>Pazartzis</w:t>
      </w:r>
      <w:proofErr w:type="spellEnd"/>
      <w:r w:rsidRPr="00756C9B">
        <w:t xml:space="preserve"> (dissenting) and </w:t>
      </w:r>
      <w:proofErr w:type="spellStart"/>
      <w:r w:rsidRPr="00756C9B">
        <w:t>Furuya</w:t>
      </w:r>
      <w:proofErr w:type="spellEnd"/>
      <w:r w:rsidRPr="00756C9B">
        <w:t xml:space="preserve"> Shuichi (dissenting) are annexed to the present </w:t>
      </w:r>
      <w:r w:rsidR="008B6650" w:rsidRPr="001D03B7">
        <w:t>Views</w:t>
      </w:r>
      <w:r w:rsidRPr="001D03B7">
        <w:t>.</w:t>
      </w:r>
    </w:p>
  </w:footnote>
  <w:footnote w:id="5">
    <w:p w14:paraId="70DEC5A8" w14:textId="0F36A0D0" w:rsidR="00346C28" w:rsidRPr="007D6C3F" w:rsidRDefault="00346C28">
      <w:pPr>
        <w:pStyle w:val="FootnoteText"/>
        <w:rPr>
          <w:lang w:eastAsia="ja-JP"/>
        </w:rPr>
      </w:pPr>
      <w:r>
        <w:tab/>
      </w:r>
      <w:r w:rsidRPr="007D6C3F">
        <w:rPr>
          <w:rStyle w:val="FootnoteReference"/>
        </w:rPr>
        <w:footnoteRef/>
      </w:r>
      <w:r>
        <w:tab/>
      </w:r>
      <w:r w:rsidRPr="007D6C3F">
        <w:rPr>
          <w:lang w:eastAsia="ja-JP"/>
        </w:rPr>
        <w:t>The author is still in Sweden according to the information in the file.</w:t>
      </w:r>
    </w:p>
  </w:footnote>
  <w:footnote w:id="6">
    <w:p w14:paraId="3B672EA2" w14:textId="735F8D07" w:rsidR="00346C28" w:rsidRPr="007D6C3F" w:rsidRDefault="00346C28">
      <w:pPr>
        <w:pStyle w:val="FootnoteText"/>
        <w:rPr>
          <w:lang w:eastAsia="ja-JP"/>
        </w:rPr>
      </w:pPr>
      <w:r w:rsidRPr="007D6C3F">
        <w:tab/>
      </w:r>
      <w:r w:rsidRPr="007D6C3F">
        <w:rPr>
          <w:rStyle w:val="FootnoteReference"/>
        </w:rPr>
        <w:footnoteRef/>
      </w:r>
      <w:r w:rsidRPr="007D6C3F">
        <w:tab/>
      </w:r>
      <w:r w:rsidRPr="007D6C3F">
        <w:rPr>
          <w:lang w:eastAsia="ja-JP"/>
        </w:rPr>
        <w:t>There is no evidence that the author had any permits in Iran.</w:t>
      </w:r>
    </w:p>
  </w:footnote>
  <w:footnote w:id="7">
    <w:p w14:paraId="1C946FB0" w14:textId="584D9963" w:rsidR="00346C28" w:rsidRPr="007D6C3F" w:rsidRDefault="00346C28">
      <w:pPr>
        <w:pStyle w:val="FootnoteText"/>
        <w:rPr>
          <w:lang w:eastAsia="ja-JP"/>
        </w:rPr>
      </w:pPr>
      <w:r w:rsidRPr="007D6C3F">
        <w:tab/>
      </w:r>
      <w:r w:rsidRPr="007D6C3F">
        <w:rPr>
          <w:rStyle w:val="FootnoteReference"/>
        </w:rPr>
        <w:footnoteRef/>
      </w:r>
      <w:r w:rsidRPr="007D6C3F">
        <w:tab/>
      </w:r>
      <w:r w:rsidRPr="007D6C3F">
        <w:rPr>
          <w:lang w:eastAsia="ja-JP"/>
        </w:rPr>
        <w:t xml:space="preserve">When he applied for asylum, he was 15 years old. </w:t>
      </w:r>
    </w:p>
  </w:footnote>
  <w:footnote w:id="8">
    <w:p w14:paraId="23DAD20F" w14:textId="5A2CB56F" w:rsidR="00346C28" w:rsidRPr="007D6C3F" w:rsidRDefault="00346C28" w:rsidP="00FA7D19">
      <w:pPr>
        <w:pStyle w:val="FootnoteText"/>
        <w:rPr>
          <w:lang w:eastAsia="ja-JP"/>
        </w:rPr>
      </w:pPr>
      <w:r w:rsidRPr="007D6C3F">
        <w:tab/>
      </w:r>
      <w:r w:rsidRPr="007D6C3F">
        <w:rPr>
          <w:rStyle w:val="FootnoteReference"/>
        </w:rPr>
        <w:footnoteRef/>
      </w:r>
      <w:r w:rsidRPr="007D6C3F">
        <w:tab/>
      </w:r>
      <w:r w:rsidRPr="007D6C3F">
        <w:rPr>
          <w:lang w:eastAsia="ja-JP"/>
        </w:rPr>
        <w:t xml:space="preserve">He was sentenced for six instances of minor assault against the author’s brother and one instance of assault against the author. </w:t>
      </w:r>
    </w:p>
  </w:footnote>
  <w:footnote w:id="9">
    <w:p w14:paraId="7818D436" w14:textId="025841E7" w:rsidR="00346C28" w:rsidRPr="007D6C3F" w:rsidRDefault="00346C28">
      <w:pPr>
        <w:pStyle w:val="FootnoteText"/>
        <w:rPr>
          <w:lang w:eastAsia="ja-JP"/>
        </w:rPr>
      </w:pPr>
      <w:r w:rsidRPr="007D6C3F">
        <w:tab/>
      </w:r>
      <w:r w:rsidRPr="007D6C3F">
        <w:rPr>
          <w:rStyle w:val="FootnoteReference"/>
        </w:rPr>
        <w:footnoteRef/>
      </w:r>
      <w:r w:rsidRPr="007D6C3F">
        <w:tab/>
      </w:r>
      <w:r w:rsidRPr="007D6C3F">
        <w:rPr>
          <w:szCs w:val="18"/>
        </w:rPr>
        <w:t xml:space="preserve">The author believes that his </w:t>
      </w:r>
      <w:r w:rsidRPr="00AB4894">
        <w:rPr>
          <w:szCs w:val="18"/>
        </w:rPr>
        <w:t>parents fled to Afghanistan</w:t>
      </w:r>
      <w:r w:rsidRPr="007D6C3F">
        <w:rPr>
          <w:szCs w:val="18"/>
        </w:rPr>
        <w:t>, as they had been saying they would, to evade the father’s prison sentence.</w:t>
      </w:r>
      <w:r w:rsidRPr="007D6C3F">
        <w:rPr>
          <w:sz w:val="20"/>
        </w:rPr>
        <w:t xml:space="preserve"> </w:t>
      </w:r>
      <w:r w:rsidRPr="007D6C3F">
        <w:rPr>
          <w:lang w:eastAsia="ja-JP"/>
        </w:rPr>
        <w:t xml:space="preserve">The current whereabouts of the parents of the author is not clear according to the information </w:t>
      </w:r>
      <w:r w:rsidR="00FF2CB0">
        <w:rPr>
          <w:lang w:eastAsia="ja-JP"/>
        </w:rPr>
        <w:t>on</w:t>
      </w:r>
      <w:r w:rsidRPr="007D6C3F">
        <w:rPr>
          <w:lang w:eastAsia="ja-JP"/>
        </w:rPr>
        <w:t xml:space="preserve"> file.</w:t>
      </w:r>
    </w:p>
  </w:footnote>
  <w:footnote w:id="10">
    <w:p w14:paraId="16C0B08E" w14:textId="082B4022" w:rsidR="00346C28" w:rsidRPr="007D6C3F" w:rsidRDefault="00346C28" w:rsidP="00663F14">
      <w:pPr>
        <w:pStyle w:val="FootnoteText"/>
      </w:pPr>
      <w:r w:rsidRPr="007D6C3F">
        <w:tab/>
      </w:r>
      <w:r w:rsidRPr="007D6C3F">
        <w:rPr>
          <w:rStyle w:val="FootnoteReference"/>
        </w:rPr>
        <w:footnoteRef/>
      </w:r>
      <w:r w:rsidRPr="007D6C3F">
        <w:tab/>
        <w:t>See chapter 12, sections 18-19 of the Swedish Aliens Act.</w:t>
      </w:r>
    </w:p>
  </w:footnote>
  <w:footnote w:id="11">
    <w:p w14:paraId="1FEA712F" w14:textId="0BE428FA" w:rsidR="00346C28" w:rsidRPr="007D6C3F" w:rsidRDefault="00346C28" w:rsidP="00CF2DB5">
      <w:pPr>
        <w:pStyle w:val="FootnoteText"/>
        <w:rPr>
          <w:lang w:eastAsia="ja-JP"/>
        </w:rPr>
      </w:pPr>
      <w:r w:rsidRPr="007D6C3F">
        <w:tab/>
      </w:r>
      <w:r w:rsidRPr="007D6C3F">
        <w:rPr>
          <w:rStyle w:val="FootnoteReference"/>
        </w:rPr>
        <w:footnoteRef/>
      </w:r>
      <w:r w:rsidRPr="007D6C3F">
        <w:tab/>
        <w:t xml:space="preserve">The Board emphasised that a decision to expel an unaccompanied minor may not be enforced unless the enforcing authority has ensured that the child will be received by a family member, a designated guardian or an organisation well suited to care for children. </w:t>
      </w:r>
    </w:p>
  </w:footnote>
  <w:footnote w:id="12">
    <w:p w14:paraId="30CC3428" w14:textId="17E43ED1" w:rsidR="00346C28" w:rsidRPr="007D6C3F" w:rsidRDefault="00346C28">
      <w:pPr>
        <w:pStyle w:val="FootnoteText"/>
        <w:rPr>
          <w:lang w:eastAsia="ja-JP"/>
        </w:rPr>
      </w:pPr>
      <w:r w:rsidRPr="007D6C3F">
        <w:tab/>
      </w:r>
      <w:r w:rsidRPr="007D6C3F">
        <w:rPr>
          <w:rStyle w:val="FootnoteReference"/>
        </w:rPr>
        <w:footnoteRef/>
      </w:r>
      <w:r w:rsidRPr="007D6C3F">
        <w:tab/>
      </w:r>
      <w:r w:rsidRPr="007D6C3F">
        <w:rPr>
          <w:lang w:eastAsia="ja-JP"/>
        </w:rPr>
        <w:t>See para. 2.7.</w:t>
      </w:r>
    </w:p>
  </w:footnote>
  <w:footnote w:id="13">
    <w:p w14:paraId="7616DBCD" w14:textId="7EBFF431" w:rsidR="00346C28" w:rsidRPr="007D6C3F" w:rsidRDefault="00346C28" w:rsidP="006A1BF6">
      <w:pPr>
        <w:pStyle w:val="FootnoteText"/>
        <w:rPr>
          <w:lang w:eastAsia="ja-JP"/>
        </w:rPr>
      </w:pPr>
      <w:r w:rsidRPr="007D6C3F">
        <w:tab/>
      </w:r>
      <w:r w:rsidRPr="007D6C3F">
        <w:rPr>
          <w:rStyle w:val="FootnoteReference"/>
        </w:rPr>
        <w:footnoteRef/>
      </w:r>
      <w:r w:rsidRPr="007D6C3F">
        <w:rPr>
          <w:lang w:eastAsia="ja-JP"/>
        </w:rPr>
        <w:tab/>
        <w:t xml:space="preserve">The Court simply notes that “(after repeating the reason by the Migration Board for limited evidential value of the letter) Neither does the criminal court verdict </w:t>
      </w:r>
      <w:r w:rsidR="009646D5">
        <w:rPr>
          <w:lang w:eastAsia="ja-JP"/>
        </w:rPr>
        <w:t>provide a</w:t>
      </w:r>
      <w:r w:rsidRPr="00AB4894">
        <w:rPr>
          <w:lang w:eastAsia="ja-JP"/>
        </w:rPr>
        <w:t xml:space="preserve"> </w:t>
      </w:r>
      <w:r w:rsidRPr="007D6C3F">
        <w:rPr>
          <w:lang w:eastAsia="ja-JP"/>
        </w:rPr>
        <w:t xml:space="preserve">reason to suppose that the complainant run such risk which are mentioned in Chapter 12, Section 1 of the Aliens Act nor that such risks exist per Chapter 12, Section 2, and 3 of the Act.”  </w:t>
      </w:r>
    </w:p>
  </w:footnote>
  <w:footnote w:id="14">
    <w:p w14:paraId="36D6D65A" w14:textId="6A2D25DE" w:rsidR="00346C28" w:rsidRPr="007D6C3F" w:rsidRDefault="00346C28">
      <w:pPr>
        <w:pStyle w:val="FootnoteText"/>
        <w:rPr>
          <w:szCs w:val="18"/>
          <w:lang w:eastAsia="ja-JP"/>
        </w:rPr>
      </w:pPr>
      <w:r w:rsidRPr="007D6C3F">
        <w:tab/>
      </w:r>
      <w:r w:rsidRPr="007D6C3F">
        <w:rPr>
          <w:rStyle w:val="FootnoteReference"/>
        </w:rPr>
        <w:footnoteRef/>
      </w:r>
      <w:r w:rsidRPr="007D6C3F">
        <w:tab/>
      </w:r>
      <w:r w:rsidRPr="007D6C3F">
        <w:rPr>
          <w:lang w:eastAsia="ja-JP"/>
        </w:rPr>
        <w:t>See para. 4.1</w:t>
      </w:r>
      <w:r w:rsidR="004F309F">
        <w:rPr>
          <w:lang w:eastAsia="ja-JP"/>
        </w:rPr>
        <w:t>1</w:t>
      </w:r>
      <w:r w:rsidRPr="007D6C3F">
        <w:rPr>
          <w:lang w:eastAsia="ja-JP"/>
        </w:rPr>
        <w:t xml:space="preserve"> </w:t>
      </w:r>
    </w:p>
  </w:footnote>
  <w:footnote w:id="15">
    <w:p w14:paraId="56263A7E" w14:textId="61129AA6" w:rsidR="00346C28" w:rsidRPr="007D6C3F" w:rsidRDefault="00346C28">
      <w:pPr>
        <w:pStyle w:val="FootnoteText"/>
        <w:rPr>
          <w:lang w:eastAsia="ja-JP"/>
        </w:rPr>
      </w:pPr>
      <w:r w:rsidRPr="007D6C3F">
        <w:rPr>
          <w:lang w:eastAsia="ja-JP"/>
        </w:rPr>
        <w:tab/>
      </w:r>
      <w:r w:rsidRPr="007D6C3F">
        <w:rPr>
          <w:rStyle w:val="FootnoteReference"/>
        </w:rPr>
        <w:footnoteRef/>
      </w:r>
      <w:r w:rsidRPr="007D6C3F">
        <w:tab/>
      </w:r>
      <w:r w:rsidRPr="007D6C3F">
        <w:rPr>
          <w:lang w:eastAsia="ja-JP"/>
        </w:rPr>
        <w:t>The author received a summary imposition for a fine on the charge of this drug offense. The author has not been convicted for any other offense in Sweden.</w:t>
      </w:r>
    </w:p>
  </w:footnote>
  <w:footnote w:id="16">
    <w:p w14:paraId="49D2BD32" w14:textId="21C3CCD1" w:rsidR="00346C28" w:rsidRPr="007D6C3F" w:rsidRDefault="00346C28" w:rsidP="00955AD5">
      <w:pPr>
        <w:pStyle w:val="FootnoteText"/>
        <w:rPr>
          <w:lang w:eastAsia="ja-JP"/>
        </w:rPr>
      </w:pPr>
      <w:r w:rsidRPr="007D6C3F">
        <w:rPr>
          <w:lang w:eastAsia="ja-JP"/>
        </w:rPr>
        <w:tab/>
      </w:r>
      <w:r w:rsidRPr="007D6C3F">
        <w:rPr>
          <w:rStyle w:val="FootnoteReference"/>
        </w:rPr>
        <w:footnoteRef/>
      </w:r>
      <w:r w:rsidRPr="007D6C3F">
        <w:tab/>
      </w:r>
      <w:r w:rsidRPr="007D6C3F">
        <w:rPr>
          <w:lang w:eastAsia="ja-JP"/>
        </w:rPr>
        <w:t>The author alleges that in 2016, he started dating a Christian girl who took him to church many times, where he felt peace, and being connected to Jesus. He started to view Islam as a cause of war, while he was touched by evangelical messages of love and forgiveness.</w:t>
      </w:r>
      <w:r w:rsidRPr="007D6C3F">
        <w:rPr>
          <w:vertAlign w:val="superscript"/>
          <w:lang w:eastAsia="ja-JP"/>
        </w:rPr>
        <w:t xml:space="preserve"> </w:t>
      </w:r>
      <w:r w:rsidRPr="007D6C3F">
        <w:rPr>
          <w:lang w:eastAsia="ja-JP"/>
        </w:rPr>
        <w:t>The author also alleges that he associates Islam to his abusive father, as he was afraid of Allah as someone cruel, like his father. The author explains that he was initially so afraid to get baptised for fear of his parents but when he was informed by the police that his parents left Sweden, he felt safe enough to get baptized.</w:t>
      </w:r>
      <w:r w:rsidRPr="007D6C3F">
        <w:t xml:space="preserve"> </w:t>
      </w:r>
    </w:p>
  </w:footnote>
  <w:footnote w:id="17">
    <w:p w14:paraId="53297639" w14:textId="47155F41" w:rsidR="00346C28" w:rsidRPr="007D6C3F" w:rsidRDefault="00346C28" w:rsidP="003029F7">
      <w:pPr>
        <w:pStyle w:val="FootnoteText"/>
        <w:rPr>
          <w:lang w:eastAsia="ja-JP"/>
        </w:rPr>
      </w:pPr>
      <w:r w:rsidRPr="007D6C3F">
        <w:tab/>
      </w:r>
      <w:r w:rsidRPr="007D6C3F">
        <w:rPr>
          <w:rStyle w:val="FootnoteReference"/>
        </w:rPr>
        <w:footnoteRef/>
      </w:r>
      <w:r w:rsidRPr="007D6C3F">
        <w:tab/>
      </w:r>
      <w:r w:rsidRPr="007D6C3F">
        <w:rPr>
          <w:lang w:eastAsia="ja-JP"/>
        </w:rPr>
        <w:t xml:space="preserve">There was no oral hearing on his conversion to the Christian faith. </w:t>
      </w:r>
    </w:p>
  </w:footnote>
  <w:footnote w:id="18">
    <w:p w14:paraId="78A94730" w14:textId="0130396D" w:rsidR="00346C28" w:rsidRPr="007D6C3F" w:rsidRDefault="00346C28" w:rsidP="003029F7">
      <w:pPr>
        <w:pStyle w:val="FootnoteText"/>
        <w:rPr>
          <w:lang w:eastAsia="ja-JP"/>
        </w:rPr>
      </w:pPr>
      <w:r w:rsidRPr="007D6C3F">
        <w:tab/>
      </w:r>
      <w:r w:rsidRPr="007D6C3F">
        <w:rPr>
          <w:rStyle w:val="FootnoteReference"/>
        </w:rPr>
        <w:footnoteRef/>
      </w:r>
      <w:r w:rsidRPr="007D6C3F">
        <w:tab/>
      </w:r>
      <w:r w:rsidR="004F309F">
        <w:rPr>
          <w:lang w:eastAsia="ja-JP"/>
        </w:rPr>
        <w:t>T</w:t>
      </w:r>
      <w:r w:rsidRPr="007D6C3F">
        <w:rPr>
          <w:lang w:eastAsia="ja-JP"/>
        </w:rPr>
        <w:t xml:space="preserve">he Migration Court </w:t>
      </w:r>
      <w:r w:rsidR="004F309F">
        <w:rPr>
          <w:lang w:eastAsia="ja-JP"/>
        </w:rPr>
        <w:t xml:space="preserve">concurred with the reasoning of the Board and also </w:t>
      </w:r>
      <w:r w:rsidRPr="007D6C3F">
        <w:rPr>
          <w:lang w:eastAsia="ja-JP"/>
        </w:rPr>
        <w:t>noted that the judgement of conviction of the author’s father does not reveal any motive for the assault, thus the document does not support the author’s claim that his father threatened him on religious grounds. It also found that the threatening letter of the author’s father was examined in the previous proceedings, thus not a new circumstance.</w:t>
      </w:r>
    </w:p>
  </w:footnote>
  <w:footnote w:id="19">
    <w:p w14:paraId="7E99CB28" w14:textId="0C850D33" w:rsidR="00346C28" w:rsidRPr="007D6C3F" w:rsidRDefault="00346C28" w:rsidP="004F583E">
      <w:pPr>
        <w:pStyle w:val="FootnoteText"/>
        <w:rPr>
          <w:rFonts w:ascii="Times" w:hAnsi="Times"/>
          <w:lang w:val="en-AU"/>
        </w:rPr>
      </w:pPr>
      <w:r w:rsidRPr="007D6C3F">
        <w:rPr>
          <w:rFonts w:ascii="Times" w:hAnsi="Times"/>
        </w:rPr>
        <w:tab/>
      </w:r>
      <w:r w:rsidRPr="007D6C3F">
        <w:rPr>
          <w:rStyle w:val="FootnoteReference"/>
          <w:rFonts w:ascii="Times" w:hAnsi="Times"/>
        </w:rPr>
        <w:footnoteRef/>
      </w:r>
      <w:r w:rsidRPr="007D6C3F">
        <w:rPr>
          <w:rFonts w:ascii="Times" w:hAnsi="Times"/>
        </w:rPr>
        <w:tab/>
      </w:r>
      <w:r w:rsidRPr="007D6C3F">
        <w:rPr>
          <w:rFonts w:ascii="Times" w:hAnsi="Times"/>
          <w:lang w:val="en-AU"/>
        </w:rPr>
        <w:t xml:space="preserve">The author refers to country reports stating that it is not possible to live openly as a Christian convert in Afghanistan. The author also notes that </w:t>
      </w:r>
      <w:r w:rsidR="00E96987">
        <w:rPr>
          <w:rFonts w:ascii="Times" w:hAnsi="Times"/>
          <w:lang w:val="en-AU"/>
        </w:rPr>
        <w:t>his</w:t>
      </w:r>
      <w:r w:rsidRPr="007D6C3F">
        <w:rPr>
          <w:rFonts w:ascii="Times" w:hAnsi="Times"/>
          <w:lang w:val="en-AU"/>
        </w:rPr>
        <w:t xml:space="preserve"> conversion is known in Afghanistan.  </w:t>
      </w:r>
    </w:p>
  </w:footnote>
  <w:footnote w:id="20">
    <w:p w14:paraId="209C5A25" w14:textId="5462D9E4" w:rsidR="00346C28" w:rsidRPr="007D6C3F" w:rsidRDefault="00346C28" w:rsidP="004F583E">
      <w:pPr>
        <w:pStyle w:val="FootnoteText"/>
        <w:rPr>
          <w:rFonts w:ascii="Times" w:hAnsi="Times"/>
          <w:lang w:val="en-AU"/>
        </w:rPr>
      </w:pPr>
      <w:r w:rsidRPr="007D6C3F">
        <w:rPr>
          <w:rFonts w:ascii="Times" w:hAnsi="Times"/>
        </w:rPr>
        <w:tab/>
      </w:r>
      <w:r w:rsidRPr="007D6C3F">
        <w:rPr>
          <w:rStyle w:val="FootnoteReference"/>
          <w:rFonts w:ascii="Times" w:hAnsi="Times"/>
        </w:rPr>
        <w:footnoteRef/>
      </w:r>
      <w:r w:rsidRPr="007D6C3F">
        <w:rPr>
          <w:rFonts w:ascii="Times" w:hAnsi="Times"/>
        </w:rPr>
        <w:tab/>
      </w:r>
      <w:r w:rsidRPr="007D6C3F">
        <w:rPr>
          <w:rFonts w:ascii="Times" w:hAnsi="Times"/>
          <w:lang w:val="en-AU"/>
        </w:rPr>
        <w:t>The author refers to the report, ‘Afghanistan: Blood feuds, traditional law (</w:t>
      </w:r>
      <w:proofErr w:type="spellStart"/>
      <w:r w:rsidRPr="007D6C3F">
        <w:rPr>
          <w:rFonts w:ascii="Times" w:hAnsi="Times"/>
          <w:lang w:val="en-AU"/>
        </w:rPr>
        <w:t>pashtunwali</w:t>
      </w:r>
      <w:proofErr w:type="spellEnd"/>
      <w:r w:rsidRPr="007D6C3F">
        <w:rPr>
          <w:rFonts w:ascii="Times" w:hAnsi="Times"/>
          <w:lang w:val="en-AU"/>
        </w:rPr>
        <w:t xml:space="preserve">) and traditional conflict resolution’, by the </w:t>
      </w:r>
      <w:proofErr w:type="spellStart"/>
      <w:r w:rsidRPr="007D6C3F">
        <w:rPr>
          <w:rFonts w:ascii="Times" w:hAnsi="Times"/>
          <w:lang w:val="en-AU"/>
        </w:rPr>
        <w:t>Landinfo</w:t>
      </w:r>
      <w:proofErr w:type="spellEnd"/>
      <w:r w:rsidRPr="007D6C3F">
        <w:rPr>
          <w:rFonts w:ascii="Times" w:hAnsi="Times"/>
          <w:lang w:val="en-AU"/>
        </w:rPr>
        <w:t xml:space="preserve"> Country of Origin Information Centre 2011, which describes the honour and revenge culture of Afghanistan. It also states that 80% of all murders are connected to revenge, which is strongly linked to honour and a failure to take revenge is perceived as a sign of moral weakness.</w:t>
      </w:r>
    </w:p>
  </w:footnote>
  <w:footnote w:id="21">
    <w:p w14:paraId="2F3E7ADB" w14:textId="0A0A22C3" w:rsidR="00346C28" w:rsidRPr="007D6C3F" w:rsidRDefault="00346C28">
      <w:pPr>
        <w:pStyle w:val="FootnoteText"/>
        <w:rPr>
          <w:lang w:eastAsia="ja-JP"/>
        </w:rPr>
      </w:pPr>
      <w:r w:rsidRPr="007D6C3F">
        <w:tab/>
      </w:r>
      <w:r w:rsidRPr="007D6C3F">
        <w:rPr>
          <w:rStyle w:val="FootnoteReference"/>
        </w:rPr>
        <w:footnoteRef/>
      </w:r>
      <w:r w:rsidRPr="007D6C3F">
        <w:tab/>
        <w:t>The author submits that his father, a very religious Shia Muslim, always had pressured the author to follow Islam since they were in Iran. The author had been physically abused and beaten by his father whenever he questioned Islamic religious doctrines and practice. The author alleges that he has a panic attack with strong fear about his father when he thinks about his return to Afghanistan.</w:t>
      </w:r>
    </w:p>
  </w:footnote>
  <w:footnote w:id="22">
    <w:p w14:paraId="17108857" w14:textId="04A50FE1" w:rsidR="00346C28" w:rsidRPr="007D6C3F" w:rsidRDefault="00346C28" w:rsidP="00AA5FB6">
      <w:pPr>
        <w:pStyle w:val="FootnoteText"/>
        <w:rPr>
          <w:szCs w:val="18"/>
        </w:rPr>
      </w:pPr>
      <w:r w:rsidRPr="007D6C3F">
        <w:rPr>
          <w:szCs w:val="18"/>
        </w:rPr>
        <w:tab/>
      </w:r>
      <w:r w:rsidRPr="007D6C3F">
        <w:rPr>
          <w:rStyle w:val="FootnoteReference"/>
          <w:szCs w:val="18"/>
        </w:rPr>
        <w:footnoteRef/>
      </w:r>
      <w:r w:rsidRPr="007D6C3F">
        <w:rPr>
          <w:szCs w:val="18"/>
        </w:rPr>
        <w:tab/>
        <w:t xml:space="preserve">See General Comment No.31 (2004), para.12. The State party submits that the Committee’s jurisprudence indicates a high threshold for substantial grounds for establishing that a real risk of irreparable harm exists. Therefore, all relevant facts and circumstances must be considered, including the general human rights situation in the author’s country of origin. </w:t>
      </w:r>
      <w:r w:rsidRPr="007D6C3F">
        <w:rPr>
          <w:i/>
          <w:iCs/>
          <w:szCs w:val="18"/>
        </w:rPr>
        <w:t>X v. Norway</w:t>
      </w:r>
      <w:r w:rsidRPr="007D6C3F">
        <w:rPr>
          <w:szCs w:val="18"/>
        </w:rPr>
        <w:t xml:space="preserve"> (CCPR/C/115/D/2474/2014), para. 7.3. The State party also claims that the burden of proof rests with the author, who is required to establish that a real risk of treatment contrary to articles 6 or 7 would be a foreseeable consequence of his expulsion. </w:t>
      </w:r>
      <w:proofErr w:type="spellStart"/>
      <w:r w:rsidRPr="00A26B29">
        <w:rPr>
          <w:i/>
          <w:iCs/>
          <w:szCs w:val="18"/>
          <w:lang w:val="pt-PT"/>
        </w:rPr>
        <w:t>Hamida</w:t>
      </w:r>
      <w:proofErr w:type="spellEnd"/>
      <w:r w:rsidRPr="00A26B29">
        <w:rPr>
          <w:i/>
          <w:iCs/>
          <w:szCs w:val="18"/>
          <w:lang w:val="pt-PT"/>
        </w:rPr>
        <w:t xml:space="preserve"> v. Canada</w:t>
      </w:r>
      <w:r w:rsidRPr="00A26B29">
        <w:rPr>
          <w:szCs w:val="18"/>
          <w:lang w:val="pt-PT"/>
        </w:rPr>
        <w:t xml:space="preserve"> (CCPR/C/98/D/1544/2007), para. 8.7; </w:t>
      </w:r>
      <w:r w:rsidRPr="00A26B29">
        <w:rPr>
          <w:i/>
          <w:iCs/>
          <w:szCs w:val="18"/>
          <w:lang w:val="pt-PT"/>
        </w:rPr>
        <w:t xml:space="preserve">A.R.J. v. </w:t>
      </w:r>
      <w:proofErr w:type="spellStart"/>
      <w:r w:rsidRPr="00A26B29">
        <w:rPr>
          <w:i/>
          <w:iCs/>
          <w:szCs w:val="18"/>
          <w:lang w:val="pt-PT"/>
        </w:rPr>
        <w:t>Australia</w:t>
      </w:r>
      <w:proofErr w:type="spellEnd"/>
      <w:r w:rsidRPr="00A26B29">
        <w:rPr>
          <w:szCs w:val="18"/>
          <w:lang w:val="pt-PT"/>
        </w:rPr>
        <w:t xml:space="preserve"> (CCPR/C/60/D/692/1996), paras. 6.8 </w:t>
      </w:r>
      <w:proofErr w:type="spellStart"/>
      <w:r w:rsidRPr="00A26B29">
        <w:rPr>
          <w:szCs w:val="18"/>
          <w:lang w:val="pt-PT"/>
        </w:rPr>
        <w:t>and</w:t>
      </w:r>
      <w:proofErr w:type="spellEnd"/>
      <w:r w:rsidRPr="00A26B29">
        <w:rPr>
          <w:szCs w:val="18"/>
          <w:lang w:val="pt-PT"/>
        </w:rPr>
        <w:t xml:space="preserve"> 6.14; </w:t>
      </w:r>
      <w:proofErr w:type="spellStart"/>
      <w:r w:rsidRPr="00A26B29">
        <w:rPr>
          <w:i/>
          <w:iCs/>
          <w:szCs w:val="18"/>
          <w:lang w:val="pt-PT"/>
        </w:rPr>
        <w:t>Dauphin</w:t>
      </w:r>
      <w:proofErr w:type="spellEnd"/>
      <w:r w:rsidRPr="00A26B29">
        <w:rPr>
          <w:i/>
          <w:iCs/>
          <w:szCs w:val="18"/>
          <w:lang w:val="pt-PT"/>
        </w:rPr>
        <w:t xml:space="preserve"> v. Canada</w:t>
      </w:r>
      <w:r w:rsidRPr="00A26B29">
        <w:rPr>
          <w:szCs w:val="18"/>
          <w:lang w:val="pt-PT"/>
        </w:rPr>
        <w:t xml:space="preserve"> (</w:t>
      </w:r>
      <w:r w:rsidRPr="00A26B29">
        <w:rPr>
          <w:lang w:val="pt-PT"/>
        </w:rPr>
        <w:t>CCPR/C/96/D/1792/2008</w:t>
      </w:r>
      <w:r w:rsidRPr="00A26B29">
        <w:rPr>
          <w:szCs w:val="18"/>
          <w:lang w:val="pt-PT"/>
        </w:rPr>
        <w:t xml:space="preserve">), para. 7.4; </w:t>
      </w:r>
      <w:proofErr w:type="spellStart"/>
      <w:r w:rsidRPr="00A26B29">
        <w:rPr>
          <w:szCs w:val="18"/>
          <w:lang w:val="pt-PT"/>
        </w:rPr>
        <w:t>and</w:t>
      </w:r>
      <w:proofErr w:type="spellEnd"/>
      <w:r w:rsidRPr="00A26B29">
        <w:rPr>
          <w:szCs w:val="18"/>
          <w:lang w:val="pt-PT"/>
        </w:rPr>
        <w:t xml:space="preserve"> </w:t>
      </w:r>
      <w:r w:rsidRPr="00A26B29">
        <w:rPr>
          <w:i/>
          <w:iCs/>
          <w:szCs w:val="18"/>
          <w:lang w:val="pt-PT"/>
        </w:rPr>
        <w:t xml:space="preserve">A.P.J. v. </w:t>
      </w:r>
      <w:proofErr w:type="spellStart"/>
      <w:r w:rsidRPr="00A26B29">
        <w:rPr>
          <w:i/>
          <w:iCs/>
          <w:szCs w:val="18"/>
          <w:lang w:val="pt-PT"/>
        </w:rPr>
        <w:t>Denmark</w:t>
      </w:r>
      <w:proofErr w:type="spellEnd"/>
      <w:r w:rsidRPr="00A26B29">
        <w:rPr>
          <w:szCs w:val="18"/>
          <w:lang w:val="pt-PT"/>
        </w:rPr>
        <w:t xml:space="preserve"> (CCPR/C/119/D/2253/2013), para. </w:t>
      </w:r>
      <w:r w:rsidRPr="007D6C3F">
        <w:rPr>
          <w:szCs w:val="18"/>
        </w:rPr>
        <w:t>9.6.</w:t>
      </w:r>
    </w:p>
  </w:footnote>
  <w:footnote w:id="23">
    <w:p w14:paraId="7B2EDA32" w14:textId="3DB21789" w:rsidR="00346C28" w:rsidRPr="007D6C3F" w:rsidRDefault="00346C28" w:rsidP="00941D12">
      <w:pPr>
        <w:pStyle w:val="FootnoteText"/>
        <w:rPr>
          <w:szCs w:val="18"/>
          <w:lang w:eastAsia="ja-JP"/>
        </w:rPr>
      </w:pPr>
      <w:r w:rsidRPr="007D6C3F">
        <w:rPr>
          <w:szCs w:val="18"/>
        </w:rPr>
        <w:tab/>
      </w:r>
      <w:r w:rsidRPr="007D6C3F">
        <w:rPr>
          <w:rStyle w:val="FootnoteReference"/>
          <w:szCs w:val="18"/>
        </w:rPr>
        <w:footnoteRef/>
      </w:r>
      <w:r w:rsidRPr="007D6C3F">
        <w:rPr>
          <w:szCs w:val="18"/>
        </w:rPr>
        <w:tab/>
      </w:r>
      <w:r w:rsidRPr="007D6C3F">
        <w:rPr>
          <w:szCs w:val="18"/>
          <w:lang w:eastAsia="ja-JP"/>
        </w:rPr>
        <w:t>The State party also refers to a number of documents of the United Nations, international organizations, Governments and civil society organizations with regard to the human rights situation in Afghanistan, including United Nations Assistance Mission in Afghanistan, “Midyear update on the protection of civilians in armed conflict: 1 January to 30 June 2018”, 15 July 2018; report of the Secretary-General on the situation in Afghanistan and its implications for international peace and security (</w:t>
      </w:r>
      <w:r w:rsidRPr="007D6C3F">
        <w:t>A/72/888–S/2018/539</w:t>
      </w:r>
      <w:r w:rsidRPr="007D6C3F">
        <w:rPr>
          <w:szCs w:val="18"/>
          <w:lang w:eastAsia="ja-JP"/>
        </w:rPr>
        <w:t xml:space="preserve">) </w:t>
      </w:r>
    </w:p>
  </w:footnote>
  <w:footnote w:id="24">
    <w:p w14:paraId="3FC96004" w14:textId="15D0A60B" w:rsidR="00346C28" w:rsidRPr="007D6C3F" w:rsidRDefault="00346C28">
      <w:pPr>
        <w:pStyle w:val="FootnoteText"/>
        <w:rPr>
          <w:lang w:eastAsia="ja-JP"/>
        </w:rPr>
      </w:pPr>
      <w:r w:rsidRPr="007D6C3F">
        <w:tab/>
      </w:r>
      <w:r w:rsidRPr="007D6C3F">
        <w:rPr>
          <w:rStyle w:val="FootnoteReference"/>
        </w:rPr>
        <w:footnoteRef/>
      </w:r>
      <w:r w:rsidRPr="007D6C3F">
        <w:tab/>
      </w:r>
      <w:r w:rsidRPr="007D6C3F">
        <w:rPr>
          <w:lang w:eastAsia="ja-JP"/>
        </w:rPr>
        <w:t>2016 Report of the UN High Commissioner for Human Rights to the Human Rights Council. See also European Union: European Asylum Support Office (EASO), EASO Country of Origin Information Report. Afghanistan Individuals targeted by armed actors in the conflict, December 2017, available at: https://www.refworld.org/docid/5a38cd874.html.</w:t>
      </w:r>
    </w:p>
  </w:footnote>
  <w:footnote w:id="25">
    <w:p w14:paraId="3A5C671E" w14:textId="00FC2CB5" w:rsidR="00346C28" w:rsidRPr="007D6C3F" w:rsidRDefault="00346C28">
      <w:pPr>
        <w:pStyle w:val="FootnoteText"/>
        <w:rPr>
          <w:lang w:eastAsia="ja-JP"/>
        </w:rPr>
      </w:pPr>
      <w:r w:rsidRPr="007D6C3F">
        <w:tab/>
      </w:r>
      <w:r w:rsidRPr="007D6C3F">
        <w:rPr>
          <w:rStyle w:val="FootnoteReference"/>
        </w:rPr>
        <w:footnoteRef/>
      </w:r>
      <w:r w:rsidRPr="007D6C3F">
        <w:tab/>
      </w:r>
      <w:r w:rsidR="00BB46DE">
        <w:t>T</w:t>
      </w:r>
      <w:r w:rsidRPr="007D6C3F">
        <w:t xml:space="preserve">he author </w:t>
      </w:r>
      <w:r w:rsidR="00BB46DE">
        <w:t xml:space="preserve">reiterates that all </w:t>
      </w:r>
      <w:r w:rsidRPr="007D6C3F">
        <w:t>decisions were solely</w:t>
      </w:r>
      <w:r w:rsidR="00BB46DE">
        <w:t xml:space="preserve"> based</w:t>
      </w:r>
      <w:r w:rsidRPr="007D6C3F">
        <w:t xml:space="preserve"> on his interview in 2016, and his parents’ interviews. Nor has he been heard after the first impediment of enforcement was lodged. </w:t>
      </w:r>
    </w:p>
  </w:footnote>
  <w:footnote w:id="26">
    <w:p w14:paraId="0AE8713D" w14:textId="3A5E95EE" w:rsidR="00346C28" w:rsidRPr="007D6C3F" w:rsidRDefault="00346C28" w:rsidP="00287175">
      <w:pPr>
        <w:pStyle w:val="FootnoteText"/>
        <w:rPr>
          <w:lang w:eastAsia="ja-JP"/>
        </w:rPr>
      </w:pPr>
      <w:r w:rsidRPr="007D6C3F">
        <w:tab/>
      </w:r>
      <w:r w:rsidRPr="007D6C3F">
        <w:rPr>
          <w:rStyle w:val="FootnoteReference"/>
        </w:rPr>
        <w:footnoteRef/>
      </w:r>
      <w:r w:rsidRPr="007D6C3F">
        <w:tab/>
      </w:r>
      <w:r w:rsidRPr="007D6C3F">
        <w:rPr>
          <w:lang w:eastAsia="ja-JP"/>
        </w:rPr>
        <w:t>It is a primary symptom of post-traumatic stress disorder (PTSD).</w:t>
      </w:r>
    </w:p>
  </w:footnote>
  <w:footnote w:id="27">
    <w:p w14:paraId="7859844A" w14:textId="0C1B61C7" w:rsidR="00346C28" w:rsidRPr="007D6C3F" w:rsidRDefault="00346C28">
      <w:pPr>
        <w:pStyle w:val="FootnoteText"/>
        <w:rPr>
          <w:lang w:eastAsia="ja-JP"/>
        </w:rPr>
      </w:pPr>
      <w:r w:rsidRPr="007D6C3F">
        <w:tab/>
      </w:r>
      <w:r w:rsidRPr="007D6C3F">
        <w:rPr>
          <w:rStyle w:val="FootnoteReference"/>
        </w:rPr>
        <w:footnoteRef/>
      </w:r>
      <w:r w:rsidRPr="007D6C3F">
        <w:tab/>
      </w:r>
      <w:r w:rsidRPr="007D6C3F">
        <w:rPr>
          <w:lang w:eastAsia="ja-JP"/>
        </w:rPr>
        <w:t>See para. 2.11.</w:t>
      </w:r>
    </w:p>
  </w:footnote>
  <w:footnote w:id="28">
    <w:p w14:paraId="2D891421" w14:textId="0F57D4D9" w:rsidR="00346C28" w:rsidRPr="007D6C3F" w:rsidRDefault="00346C28" w:rsidP="00580236">
      <w:pPr>
        <w:pStyle w:val="FootnoteText"/>
        <w:rPr>
          <w:lang w:eastAsia="ja-JP"/>
        </w:rPr>
      </w:pPr>
      <w:r w:rsidRPr="007D6C3F">
        <w:tab/>
      </w:r>
      <w:r w:rsidRPr="007D6C3F">
        <w:rPr>
          <w:rStyle w:val="FootnoteReference"/>
        </w:rPr>
        <w:footnoteRef/>
      </w:r>
      <w:r w:rsidRPr="007D6C3F">
        <w:tab/>
      </w:r>
      <w:r w:rsidRPr="007D6C3F">
        <w:rPr>
          <w:lang w:eastAsia="ja-JP"/>
        </w:rPr>
        <w:t xml:space="preserve">See article 13, 24 (1) of the Convention, in conjunction with article 2(1) the Convention. </w:t>
      </w:r>
    </w:p>
  </w:footnote>
  <w:footnote w:id="29">
    <w:p w14:paraId="3107D668" w14:textId="7B1DB980" w:rsidR="00346C28" w:rsidRPr="007D6C3F" w:rsidRDefault="00346C28">
      <w:pPr>
        <w:pStyle w:val="FootnoteText"/>
        <w:rPr>
          <w:lang w:eastAsia="ja-JP"/>
        </w:rPr>
      </w:pPr>
      <w:r>
        <w:tab/>
      </w:r>
      <w:r w:rsidRPr="007D6C3F">
        <w:rPr>
          <w:rStyle w:val="FootnoteReference"/>
        </w:rPr>
        <w:footnoteRef/>
      </w:r>
      <w:r w:rsidRPr="007D6C3F">
        <w:t xml:space="preserve"> </w:t>
      </w:r>
      <w:r>
        <w:tab/>
      </w:r>
      <w:r w:rsidRPr="007D6C3F">
        <w:rPr>
          <w:lang w:eastAsia="ja-JP"/>
        </w:rPr>
        <w:t xml:space="preserve">From the information on file, the author has a grandfather in Afghanistan. </w:t>
      </w:r>
    </w:p>
  </w:footnote>
  <w:footnote w:id="30">
    <w:p w14:paraId="54E9738C" w14:textId="6B23F622" w:rsidR="00346C28" w:rsidRPr="007D6C3F" w:rsidRDefault="00346C28" w:rsidP="006A1BF6">
      <w:pPr>
        <w:pStyle w:val="FootnoteText"/>
        <w:rPr>
          <w:b/>
          <w:bCs/>
          <w:lang w:eastAsia="ja-JP"/>
        </w:rPr>
      </w:pPr>
      <w:r w:rsidRPr="007D6C3F">
        <w:tab/>
      </w:r>
      <w:r w:rsidRPr="007D6C3F">
        <w:rPr>
          <w:rStyle w:val="FootnoteReference"/>
        </w:rPr>
        <w:footnoteRef/>
      </w:r>
      <w:r w:rsidRPr="007D6C3F">
        <w:tab/>
        <w:t xml:space="preserve">In this connection, the State party underlines that right before the family was about to be back to Afghanistan </w:t>
      </w:r>
      <w:r w:rsidR="00315B1B">
        <w:t>t</w:t>
      </w:r>
      <w:r w:rsidRPr="007D6C3F">
        <w:t>he author’s public counsel</w:t>
      </w:r>
      <w:r w:rsidR="00315B1B">
        <w:t xml:space="preserve">, instructed by the parents, </w:t>
      </w:r>
      <w:r w:rsidRPr="007D6C3F">
        <w:t>appealed against the Swedish Migration Board’s decision to expel the author and his brother. It follows from the appeal that the family was devastated when they were told that the Board did not allow the parents to travel to Afghanistan without the children.</w:t>
      </w:r>
    </w:p>
  </w:footnote>
  <w:footnote w:id="31">
    <w:p w14:paraId="49042E62" w14:textId="325ED64D" w:rsidR="00346C28" w:rsidRPr="007D6C3F" w:rsidRDefault="00346C28" w:rsidP="006A1BF6">
      <w:pPr>
        <w:pStyle w:val="FootnoteText"/>
        <w:rPr>
          <w:lang w:eastAsia="ja-JP"/>
        </w:rPr>
      </w:pPr>
      <w:r w:rsidRPr="007D6C3F">
        <w:tab/>
      </w:r>
      <w:r w:rsidRPr="007D6C3F">
        <w:rPr>
          <w:rStyle w:val="FootnoteReference"/>
        </w:rPr>
        <w:footnoteRef/>
      </w:r>
      <w:r w:rsidRPr="007D6C3F">
        <w:tab/>
        <w:t xml:space="preserve">The State party provides some detail facts in this regard. </w:t>
      </w:r>
    </w:p>
  </w:footnote>
  <w:footnote w:id="32">
    <w:p w14:paraId="03FBB319" w14:textId="77777777" w:rsidR="00346C28" w:rsidRPr="00C64B3A" w:rsidRDefault="00346C28" w:rsidP="00E6217C">
      <w:pPr>
        <w:pStyle w:val="FootnoteText"/>
      </w:pPr>
      <w:r w:rsidRPr="007D6C3F">
        <w:tab/>
      </w:r>
      <w:r w:rsidRPr="007D6C3F">
        <w:rPr>
          <w:rStyle w:val="FootnoteReference"/>
        </w:rPr>
        <w:footnoteRef/>
      </w:r>
      <w:r w:rsidRPr="007D6C3F">
        <w:tab/>
      </w:r>
      <w:r w:rsidRPr="007D6C3F">
        <w:rPr>
          <w:lang w:eastAsia="ja-JP"/>
        </w:rPr>
        <w:t>Human Rights Committee,</w:t>
      </w:r>
      <w:r w:rsidRPr="007D6C3F">
        <w:t xml:space="preserve"> general comment No. 31 (2004) on the nature of the general legal obligation imposed on States parties to the Covenant, para. </w:t>
      </w:r>
      <w:r w:rsidRPr="00C64B3A">
        <w:t>12.</w:t>
      </w:r>
    </w:p>
  </w:footnote>
  <w:footnote w:id="33">
    <w:p w14:paraId="6A12755C" w14:textId="2766FEDD" w:rsidR="00346C28" w:rsidRPr="007D6C3F" w:rsidRDefault="00346C28" w:rsidP="00E6217C">
      <w:pPr>
        <w:pStyle w:val="FootnoteText"/>
        <w:rPr>
          <w:lang w:val="es-ES"/>
        </w:rPr>
      </w:pPr>
      <w:r w:rsidRPr="00C64B3A">
        <w:tab/>
      </w:r>
      <w:r w:rsidRPr="007D6C3F">
        <w:rPr>
          <w:rStyle w:val="FootnoteReference"/>
        </w:rPr>
        <w:footnoteRef/>
      </w:r>
      <w:r w:rsidRPr="009646D5">
        <w:tab/>
      </w:r>
      <w:r w:rsidRPr="009646D5">
        <w:rPr>
          <w:i/>
          <w:iCs/>
        </w:rPr>
        <w:t xml:space="preserve">K v. Denmark </w:t>
      </w:r>
      <w:r w:rsidRPr="009646D5">
        <w:t xml:space="preserve">(CCPR/C/114/D/2393/2014), para. 7.3; </w:t>
      </w:r>
      <w:r w:rsidRPr="009646D5">
        <w:rPr>
          <w:i/>
          <w:iCs/>
        </w:rPr>
        <w:t xml:space="preserve">P.T. v. Denmark </w:t>
      </w:r>
      <w:r w:rsidRPr="009646D5">
        <w:t xml:space="preserve">(CCPR/C/113/D/2272/2013), para. </w:t>
      </w:r>
      <w:r w:rsidRPr="004465E2">
        <w:rPr>
          <w:lang w:val="es-CO"/>
        </w:rPr>
        <w:t xml:space="preserve">7.2; and </w:t>
      </w:r>
      <w:r w:rsidRPr="004465E2">
        <w:rPr>
          <w:i/>
          <w:iCs/>
          <w:lang w:val="es-CO"/>
        </w:rPr>
        <w:t>X v. Denmark</w:t>
      </w:r>
      <w:r w:rsidRPr="004465E2">
        <w:rPr>
          <w:lang w:val="es-CO"/>
        </w:rPr>
        <w:t xml:space="preserve"> (CCPR/C/110/D/2007/2010), para. 9.2; </w:t>
      </w:r>
      <w:r w:rsidRPr="004465E2">
        <w:rPr>
          <w:i/>
          <w:szCs w:val="18"/>
          <w:lang w:val="es-CO"/>
        </w:rPr>
        <w:t xml:space="preserve">Q.A. v Sweden </w:t>
      </w:r>
      <w:r w:rsidRPr="004465E2">
        <w:rPr>
          <w:szCs w:val="18"/>
          <w:lang w:val="es-CO"/>
        </w:rPr>
        <w:t>(CCPR/C/127/D/3070/2017)</w:t>
      </w:r>
      <w:r w:rsidRPr="004465E2">
        <w:rPr>
          <w:i/>
          <w:szCs w:val="18"/>
          <w:lang w:val="es-CO"/>
        </w:rPr>
        <w:t>,</w:t>
      </w:r>
      <w:r w:rsidRPr="004465E2">
        <w:rPr>
          <w:szCs w:val="18"/>
          <w:lang w:val="es-CO"/>
        </w:rPr>
        <w:t xml:space="preserve"> para. </w:t>
      </w:r>
      <w:r w:rsidRPr="007D6C3F">
        <w:rPr>
          <w:szCs w:val="18"/>
          <w:lang w:val="es-ES"/>
        </w:rPr>
        <w:t xml:space="preserve">9.3; </w:t>
      </w:r>
      <w:r w:rsidRPr="007D6C3F">
        <w:rPr>
          <w:i/>
          <w:iCs/>
          <w:lang w:val="es-ES"/>
        </w:rPr>
        <w:t xml:space="preserve">A.E. v </w:t>
      </w:r>
      <w:proofErr w:type="spellStart"/>
      <w:r w:rsidRPr="007D6C3F">
        <w:rPr>
          <w:i/>
          <w:iCs/>
          <w:lang w:val="es-ES"/>
        </w:rPr>
        <w:t>Sweden</w:t>
      </w:r>
      <w:proofErr w:type="spellEnd"/>
      <w:r w:rsidRPr="007D6C3F">
        <w:rPr>
          <w:lang w:val="es-ES"/>
        </w:rPr>
        <w:t xml:space="preserve"> (CCPR/C/128/D/3300/2019), para 9.3.</w:t>
      </w:r>
    </w:p>
  </w:footnote>
  <w:footnote w:id="34">
    <w:p w14:paraId="612D3BDD" w14:textId="3FF1413A" w:rsidR="00346C28" w:rsidRPr="007D6C3F" w:rsidRDefault="00346C28" w:rsidP="00E6217C">
      <w:pPr>
        <w:pStyle w:val="FootnoteText"/>
      </w:pPr>
      <w:r w:rsidRPr="007D6C3F">
        <w:rPr>
          <w:lang w:val="es-ES"/>
        </w:rPr>
        <w:tab/>
      </w:r>
      <w:r w:rsidRPr="007D6C3F">
        <w:rPr>
          <w:rStyle w:val="FootnoteReference"/>
        </w:rPr>
        <w:footnoteRef/>
      </w:r>
      <w:r w:rsidRPr="007D6C3F">
        <w:rPr>
          <w:rStyle w:val="FootnoteReference"/>
          <w:lang w:val="es-ES"/>
        </w:rPr>
        <w:tab/>
      </w:r>
      <w:r w:rsidRPr="007D6C3F">
        <w:rPr>
          <w:i/>
          <w:iCs/>
          <w:lang w:val="es-ES_tradnl"/>
        </w:rPr>
        <w:t xml:space="preserve">X </w:t>
      </w:r>
      <w:r w:rsidRPr="007D6C3F">
        <w:rPr>
          <w:i/>
          <w:iCs/>
          <w:szCs w:val="18"/>
          <w:lang w:val="es-ES"/>
        </w:rPr>
        <w:t xml:space="preserve">v. </w:t>
      </w:r>
      <w:proofErr w:type="spellStart"/>
      <w:r w:rsidRPr="007D6C3F">
        <w:rPr>
          <w:i/>
          <w:iCs/>
          <w:szCs w:val="18"/>
          <w:lang w:val="es-ES"/>
        </w:rPr>
        <w:t>Denmark</w:t>
      </w:r>
      <w:proofErr w:type="spellEnd"/>
      <w:r w:rsidRPr="007D6C3F">
        <w:rPr>
          <w:szCs w:val="18"/>
          <w:lang w:val="es-ES"/>
        </w:rPr>
        <w:t xml:space="preserve">, para. 9.2; </w:t>
      </w:r>
      <w:r w:rsidRPr="007D6C3F">
        <w:rPr>
          <w:i/>
          <w:iCs/>
          <w:lang w:val="es-ES"/>
        </w:rPr>
        <w:t xml:space="preserve">X v. </w:t>
      </w:r>
      <w:proofErr w:type="spellStart"/>
      <w:r w:rsidRPr="007D6C3F">
        <w:rPr>
          <w:i/>
          <w:iCs/>
          <w:lang w:val="es-ES"/>
        </w:rPr>
        <w:t>Sweden</w:t>
      </w:r>
      <w:proofErr w:type="spellEnd"/>
      <w:r w:rsidRPr="007D6C3F">
        <w:rPr>
          <w:lang w:val="es-ES"/>
        </w:rPr>
        <w:t xml:space="preserve">, para. </w:t>
      </w:r>
      <w:r w:rsidRPr="007D6C3F">
        <w:rPr>
          <w:lang w:val="es-ES_tradnl"/>
        </w:rPr>
        <w:t xml:space="preserve">5.18; </w:t>
      </w:r>
      <w:r w:rsidRPr="007D6C3F">
        <w:rPr>
          <w:i/>
          <w:szCs w:val="18"/>
          <w:lang w:val="es-ES"/>
        </w:rPr>
        <w:t xml:space="preserve">Q.A. v </w:t>
      </w:r>
      <w:proofErr w:type="spellStart"/>
      <w:r w:rsidRPr="007D6C3F">
        <w:rPr>
          <w:i/>
          <w:szCs w:val="18"/>
          <w:lang w:val="es-ES"/>
        </w:rPr>
        <w:t>Sweden</w:t>
      </w:r>
      <w:proofErr w:type="spellEnd"/>
      <w:r w:rsidRPr="007D6C3F">
        <w:rPr>
          <w:i/>
          <w:szCs w:val="18"/>
          <w:lang w:val="es-ES"/>
        </w:rPr>
        <w:t>,</w:t>
      </w:r>
      <w:r w:rsidRPr="007D6C3F">
        <w:rPr>
          <w:szCs w:val="18"/>
          <w:lang w:val="es-ES"/>
        </w:rPr>
        <w:t xml:space="preserve"> para. </w:t>
      </w:r>
      <w:r w:rsidRPr="007D6C3F">
        <w:rPr>
          <w:szCs w:val="18"/>
        </w:rPr>
        <w:t xml:space="preserve">9.3; </w:t>
      </w:r>
      <w:r w:rsidRPr="007D6C3F">
        <w:rPr>
          <w:i/>
          <w:iCs/>
        </w:rPr>
        <w:t>A.E. v Sweden</w:t>
      </w:r>
      <w:r w:rsidRPr="007D6C3F">
        <w:t>, para 9.3.</w:t>
      </w:r>
    </w:p>
  </w:footnote>
  <w:footnote w:id="35">
    <w:p w14:paraId="1F5E6747" w14:textId="1E16B01C" w:rsidR="00346C28" w:rsidRPr="007D6C3F" w:rsidRDefault="00346C28" w:rsidP="006A1BF6">
      <w:pPr>
        <w:pStyle w:val="FootnoteText"/>
        <w:rPr>
          <w:lang w:val="es-ES"/>
        </w:rPr>
      </w:pPr>
      <w:r w:rsidRPr="007D6C3F">
        <w:tab/>
      </w:r>
      <w:r w:rsidRPr="007D6C3F">
        <w:rPr>
          <w:rStyle w:val="FootnoteReference"/>
        </w:rPr>
        <w:footnoteRef/>
      </w:r>
      <w:r w:rsidRPr="007D6C3F">
        <w:rPr>
          <w:rStyle w:val="FootnoteReference"/>
        </w:rPr>
        <w:tab/>
      </w:r>
      <w:r w:rsidRPr="007D6C3F">
        <w:t xml:space="preserve">Ibid. See also </w:t>
      </w:r>
      <w:r w:rsidRPr="007D6C3F">
        <w:rPr>
          <w:i/>
          <w:iCs/>
        </w:rPr>
        <w:t>X v. Denmark</w:t>
      </w:r>
      <w:r w:rsidRPr="007D6C3F">
        <w:t xml:space="preserve">, para. </w:t>
      </w:r>
      <w:r w:rsidRPr="007D6C3F">
        <w:rPr>
          <w:lang w:val="es-ES"/>
        </w:rPr>
        <w:t xml:space="preserve">9.2; </w:t>
      </w:r>
      <w:r w:rsidRPr="007D6C3F">
        <w:rPr>
          <w:i/>
          <w:szCs w:val="18"/>
          <w:lang w:val="es-ES"/>
        </w:rPr>
        <w:t xml:space="preserve">Q.A. v </w:t>
      </w:r>
      <w:proofErr w:type="spellStart"/>
      <w:r w:rsidRPr="007D6C3F">
        <w:rPr>
          <w:i/>
          <w:szCs w:val="18"/>
          <w:lang w:val="es-ES"/>
        </w:rPr>
        <w:t>Sweden</w:t>
      </w:r>
      <w:proofErr w:type="spellEnd"/>
      <w:r w:rsidRPr="007D6C3F">
        <w:rPr>
          <w:i/>
          <w:szCs w:val="18"/>
          <w:lang w:val="es-ES"/>
        </w:rPr>
        <w:t>,</w:t>
      </w:r>
      <w:r w:rsidRPr="007D6C3F">
        <w:rPr>
          <w:szCs w:val="18"/>
          <w:lang w:val="es-ES"/>
        </w:rPr>
        <w:t xml:space="preserve"> para. 9.3</w:t>
      </w:r>
      <w:r w:rsidRPr="007D6C3F">
        <w:rPr>
          <w:lang w:val="es-ES"/>
        </w:rPr>
        <w:t xml:space="preserve"> </w:t>
      </w:r>
      <w:r w:rsidRPr="007D6C3F">
        <w:rPr>
          <w:i/>
          <w:iCs/>
          <w:lang w:val="es-ES"/>
        </w:rPr>
        <w:t xml:space="preserve">A.E. v </w:t>
      </w:r>
      <w:proofErr w:type="spellStart"/>
      <w:r w:rsidRPr="007D6C3F">
        <w:rPr>
          <w:i/>
          <w:iCs/>
          <w:lang w:val="es-ES"/>
        </w:rPr>
        <w:t>Sweden</w:t>
      </w:r>
      <w:proofErr w:type="spellEnd"/>
      <w:r w:rsidRPr="007D6C3F">
        <w:rPr>
          <w:lang w:val="es-ES"/>
        </w:rPr>
        <w:t>, para 9.3.</w:t>
      </w:r>
    </w:p>
  </w:footnote>
  <w:footnote w:id="36">
    <w:p w14:paraId="03ACC80B" w14:textId="7D288B62" w:rsidR="00346C28" w:rsidRPr="004465E2" w:rsidRDefault="00346C28" w:rsidP="00E6217C">
      <w:pPr>
        <w:pStyle w:val="FootnoteText"/>
      </w:pPr>
      <w:r w:rsidRPr="007D6C3F">
        <w:rPr>
          <w:lang w:val="es-ES"/>
        </w:rPr>
        <w:tab/>
      </w:r>
      <w:r w:rsidRPr="007D6C3F">
        <w:rPr>
          <w:rStyle w:val="FootnoteReference"/>
        </w:rPr>
        <w:footnoteRef/>
      </w:r>
      <w:r w:rsidRPr="007D6C3F">
        <w:rPr>
          <w:rStyle w:val="FootnoteReference"/>
          <w:lang w:val="es-ES"/>
        </w:rPr>
        <w:tab/>
      </w:r>
      <w:proofErr w:type="spellStart"/>
      <w:r w:rsidRPr="007D6C3F">
        <w:rPr>
          <w:i/>
          <w:iCs/>
          <w:lang w:val="es-ES"/>
        </w:rPr>
        <w:t>Pillai</w:t>
      </w:r>
      <w:proofErr w:type="spellEnd"/>
      <w:r w:rsidRPr="007D6C3F">
        <w:rPr>
          <w:i/>
          <w:iCs/>
          <w:lang w:val="es-ES"/>
        </w:rPr>
        <w:t xml:space="preserve"> et al. v. </w:t>
      </w:r>
      <w:proofErr w:type="spellStart"/>
      <w:r w:rsidRPr="007D6C3F">
        <w:rPr>
          <w:i/>
          <w:iCs/>
          <w:lang w:val="es-ES"/>
        </w:rPr>
        <w:t>Canada</w:t>
      </w:r>
      <w:proofErr w:type="spellEnd"/>
      <w:r w:rsidRPr="007D6C3F">
        <w:rPr>
          <w:lang w:val="es-ES"/>
        </w:rPr>
        <w:t xml:space="preserve"> (CCPR/C/101/D/1763/2008), para. </w:t>
      </w:r>
      <w:r w:rsidRPr="004465E2">
        <w:t xml:space="preserve">11.4; and </w:t>
      </w:r>
      <w:proofErr w:type="spellStart"/>
      <w:r w:rsidRPr="004465E2">
        <w:rPr>
          <w:i/>
          <w:iCs/>
        </w:rPr>
        <w:t>Linv</w:t>
      </w:r>
      <w:proofErr w:type="spellEnd"/>
      <w:r w:rsidRPr="004465E2">
        <w:rPr>
          <w:i/>
          <w:iCs/>
        </w:rPr>
        <w:t>. Australia</w:t>
      </w:r>
      <w:r w:rsidRPr="004465E2">
        <w:t xml:space="preserve"> (CCPR/C/107/D/1957/2010), para. 9.3.</w:t>
      </w:r>
    </w:p>
  </w:footnote>
  <w:footnote w:id="37">
    <w:p w14:paraId="1682F8C8" w14:textId="1DCEB5CB" w:rsidR="00346C28" w:rsidRPr="007D6C3F" w:rsidRDefault="00346C28" w:rsidP="00507B43">
      <w:pPr>
        <w:pStyle w:val="FootnoteText"/>
        <w:rPr>
          <w:szCs w:val="18"/>
          <w:lang w:val="es-ES"/>
        </w:rPr>
      </w:pPr>
      <w:r w:rsidRPr="004465E2">
        <w:tab/>
      </w:r>
      <w:r w:rsidRPr="007D6C3F">
        <w:rPr>
          <w:rStyle w:val="FootnoteReference"/>
        </w:rPr>
        <w:footnoteRef/>
      </w:r>
      <w:r w:rsidRPr="00E34CAD">
        <w:tab/>
        <w:t xml:space="preserve">For example, </w:t>
      </w:r>
      <w:r w:rsidRPr="00E34CAD">
        <w:rPr>
          <w:i/>
          <w:iCs/>
        </w:rPr>
        <w:t>K v. Denmark</w:t>
      </w:r>
      <w:r w:rsidRPr="00E34CAD">
        <w:t xml:space="preserve">, para. 7.4; </w:t>
      </w:r>
      <w:r w:rsidRPr="00E34CAD">
        <w:rPr>
          <w:i/>
          <w:iCs/>
        </w:rPr>
        <w:t xml:space="preserve">Y.A.A. and F.H.M. v. Denmark </w:t>
      </w:r>
      <w:r w:rsidRPr="00E34CAD">
        <w:t xml:space="preserve">(CCPR/C/119/D/2681/2015) para. </w:t>
      </w:r>
      <w:r w:rsidRPr="007D6C3F">
        <w:rPr>
          <w:lang w:val="es-ES"/>
        </w:rPr>
        <w:t xml:space="preserve">7.3; and </w:t>
      </w:r>
      <w:proofErr w:type="spellStart"/>
      <w:r w:rsidRPr="007D6C3F">
        <w:rPr>
          <w:i/>
          <w:iCs/>
          <w:lang w:val="es-ES"/>
        </w:rPr>
        <w:t>Rezaifar</w:t>
      </w:r>
      <w:proofErr w:type="spellEnd"/>
      <w:r w:rsidRPr="007D6C3F">
        <w:rPr>
          <w:i/>
          <w:iCs/>
          <w:lang w:val="es-ES"/>
        </w:rPr>
        <w:t xml:space="preserve"> v. </w:t>
      </w:r>
      <w:proofErr w:type="spellStart"/>
      <w:r w:rsidRPr="007D6C3F">
        <w:rPr>
          <w:i/>
          <w:iCs/>
          <w:lang w:val="es-ES"/>
        </w:rPr>
        <w:t>Denmark</w:t>
      </w:r>
      <w:proofErr w:type="spellEnd"/>
      <w:r w:rsidRPr="007D6C3F">
        <w:rPr>
          <w:i/>
          <w:iCs/>
          <w:lang w:val="es-ES"/>
        </w:rPr>
        <w:t xml:space="preserve"> </w:t>
      </w:r>
      <w:r w:rsidRPr="007D6C3F">
        <w:rPr>
          <w:lang w:val="es-ES"/>
        </w:rPr>
        <w:t xml:space="preserve">(CCPR/C/119/D/2512/2014), para. 9.3; </w:t>
      </w:r>
      <w:r w:rsidRPr="007D6C3F">
        <w:rPr>
          <w:i/>
          <w:szCs w:val="18"/>
          <w:lang w:val="es-ES"/>
        </w:rPr>
        <w:t xml:space="preserve">Q.A. v </w:t>
      </w:r>
      <w:proofErr w:type="spellStart"/>
      <w:r w:rsidRPr="007D6C3F">
        <w:rPr>
          <w:i/>
          <w:szCs w:val="18"/>
          <w:lang w:val="es-ES"/>
        </w:rPr>
        <w:t>Sweden</w:t>
      </w:r>
      <w:proofErr w:type="spellEnd"/>
      <w:r w:rsidRPr="007D6C3F">
        <w:rPr>
          <w:i/>
          <w:szCs w:val="18"/>
          <w:lang w:val="es-ES"/>
        </w:rPr>
        <w:t>,</w:t>
      </w:r>
      <w:r w:rsidRPr="007D6C3F">
        <w:rPr>
          <w:szCs w:val="18"/>
          <w:lang w:val="es-ES"/>
        </w:rPr>
        <w:t xml:space="preserve"> para. 9.3</w:t>
      </w:r>
      <w:r w:rsidRPr="007D6C3F">
        <w:rPr>
          <w:lang w:val="es-ES"/>
        </w:rPr>
        <w:t xml:space="preserve"> </w:t>
      </w:r>
      <w:r w:rsidRPr="007D6C3F">
        <w:rPr>
          <w:i/>
          <w:iCs/>
          <w:lang w:val="es-ES"/>
        </w:rPr>
        <w:t xml:space="preserve">A.E. v </w:t>
      </w:r>
      <w:proofErr w:type="spellStart"/>
      <w:r w:rsidRPr="007D6C3F">
        <w:rPr>
          <w:i/>
          <w:iCs/>
          <w:lang w:val="es-ES"/>
        </w:rPr>
        <w:t>Sweden</w:t>
      </w:r>
      <w:proofErr w:type="spellEnd"/>
      <w:r w:rsidRPr="007D6C3F">
        <w:rPr>
          <w:lang w:val="es-ES"/>
        </w:rPr>
        <w:t>, para 9.3.</w:t>
      </w:r>
    </w:p>
  </w:footnote>
  <w:footnote w:id="38">
    <w:p w14:paraId="372B119C" w14:textId="256031CD" w:rsidR="00346C28" w:rsidRPr="007D6C3F" w:rsidRDefault="00346C28" w:rsidP="0078143F">
      <w:pPr>
        <w:pStyle w:val="FootnoteText"/>
      </w:pPr>
      <w:r w:rsidRPr="007D6C3F">
        <w:rPr>
          <w:lang w:val="es-ES"/>
        </w:rPr>
        <w:tab/>
      </w:r>
      <w:r w:rsidRPr="007D6C3F">
        <w:rPr>
          <w:rStyle w:val="FootnoteReference"/>
          <w:szCs w:val="18"/>
        </w:rPr>
        <w:footnoteRef/>
      </w:r>
      <w:r w:rsidRPr="007D6C3F">
        <w:rPr>
          <w:lang w:val="es-ES"/>
        </w:rPr>
        <w:tab/>
      </w:r>
      <w:r w:rsidRPr="007D6C3F">
        <w:rPr>
          <w:i/>
          <w:lang w:val="es-ES"/>
        </w:rPr>
        <w:t xml:space="preserve">S.A.H. v. </w:t>
      </w:r>
      <w:proofErr w:type="spellStart"/>
      <w:r w:rsidRPr="007D6C3F">
        <w:rPr>
          <w:i/>
          <w:lang w:val="es-ES"/>
        </w:rPr>
        <w:t>Denmark</w:t>
      </w:r>
      <w:proofErr w:type="spellEnd"/>
      <w:r w:rsidRPr="007D6C3F">
        <w:rPr>
          <w:lang w:val="es-ES"/>
        </w:rPr>
        <w:t xml:space="preserve"> (CCPR/C/121/D/2419/2014), para. 11.8. </w:t>
      </w:r>
      <w:r w:rsidRPr="007D6C3F">
        <w:rPr>
          <w:i/>
          <w:lang w:val="es-ES"/>
        </w:rPr>
        <w:t xml:space="preserve">Q.A. v </w:t>
      </w:r>
      <w:proofErr w:type="spellStart"/>
      <w:r w:rsidRPr="00BD7308">
        <w:rPr>
          <w:i/>
          <w:lang w:val="es-ES"/>
        </w:rPr>
        <w:t>Sweden</w:t>
      </w:r>
      <w:proofErr w:type="spellEnd"/>
      <w:r w:rsidRPr="007D6C3F">
        <w:rPr>
          <w:i/>
          <w:lang w:val="es-ES"/>
        </w:rPr>
        <w:t>,</w:t>
      </w:r>
      <w:r w:rsidRPr="007D6C3F">
        <w:rPr>
          <w:lang w:val="es-ES"/>
        </w:rPr>
        <w:t xml:space="preserve"> para. </w:t>
      </w:r>
      <w:r w:rsidRPr="009646D5">
        <w:rPr>
          <w:lang w:val="es-CO"/>
        </w:rPr>
        <w:t>9.5 (CCPR/C/127/D/3070/2017),</w:t>
      </w:r>
      <w:r w:rsidRPr="009646D5">
        <w:rPr>
          <w:i/>
          <w:iCs/>
          <w:lang w:val="es-CO"/>
        </w:rPr>
        <w:t xml:space="preserve"> J.I. v Sweden</w:t>
      </w:r>
      <w:r w:rsidRPr="009646D5">
        <w:rPr>
          <w:lang w:val="es-CO"/>
        </w:rPr>
        <w:t xml:space="preserve"> (CCPR/C/128/D/3032/2017), para 7.5. </w:t>
      </w:r>
      <w:r w:rsidRPr="007D6C3F">
        <w:t xml:space="preserve">See also European Court of Human Rights, </w:t>
      </w:r>
      <w:r w:rsidRPr="007D6C3F">
        <w:rPr>
          <w:i/>
        </w:rPr>
        <w:t>F.G. v. Sweden</w:t>
      </w:r>
      <w:r w:rsidRPr="007D6C3F">
        <w:t>, para. 156.</w:t>
      </w:r>
    </w:p>
  </w:footnote>
  <w:footnote w:id="39">
    <w:p w14:paraId="0A4F5C46" w14:textId="34A065FE" w:rsidR="00346C28" w:rsidRPr="007D6C3F" w:rsidRDefault="00346C28" w:rsidP="0078143F">
      <w:pPr>
        <w:pStyle w:val="FootnoteText"/>
        <w:rPr>
          <w:lang w:eastAsia="ja-JP"/>
        </w:rPr>
      </w:pPr>
      <w:r w:rsidRPr="007D6C3F">
        <w:tab/>
      </w:r>
      <w:r w:rsidRPr="007D6C3F">
        <w:rPr>
          <w:rStyle w:val="FootnoteReference"/>
        </w:rPr>
        <w:footnoteRef/>
      </w:r>
      <w:r w:rsidRPr="007D6C3F">
        <w:tab/>
      </w:r>
      <w:r w:rsidRPr="007D6C3F">
        <w:rPr>
          <w:lang w:eastAsia="ja-JP"/>
        </w:rPr>
        <w:t xml:space="preserve">See </w:t>
      </w:r>
      <w:r w:rsidRPr="007D6C3F">
        <w:rPr>
          <w:i/>
          <w:iCs/>
          <w:szCs w:val="18"/>
        </w:rPr>
        <w:t>A.B.H. v Denmark</w:t>
      </w:r>
      <w:r w:rsidRPr="007D6C3F">
        <w:rPr>
          <w:szCs w:val="18"/>
        </w:rPr>
        <w:t xml:space="preserve"> (CCPR/C/126/D/2603/2015), para.9.10, </w:t>
      </w:r>
      <w:r w:rsidRPr="007D6C3F">
        <w:rPr>
          <w:i/>
          <w:szCs w:val="18"/>
        </w:rPr>
        <w:t>Q.A. v Sweden,</w:t>
      </w:r>
      <w:r w:rsidRPr="007D6C3F">
        <w:rPr>
          <w:szCs w:val="18"/>
        </w:rPr>
        <w:t xml:space="preserve"> para. 9.6. </w:t>
      </w:r>
    </w:p>
  </w:footnote>
  <w:footnote w:id="40">
    <w:p w14:paraId="2193B1AA" w14:textId="60931350" w:rsidR="00346C28" w:rsidRPr="00A26B29" w:rsidRDefault="00346C28" w:rsidP="0078143F">
      <w:pPr>
        <w:pStyle w:val="FootnoteText"/>
        <w:rPr>
          <w:lang w:eastAsia="ja-JP"/>
        </w:rPr>
      </w:pPr>
      <w:r>
        <w:tab/>
      </w:r>
      <w:r w:rsidRPr="007D6C3F">
        <w:rPr>
          <w:rStyle w:val="FootnoteReference"/>
        </w:rPr>
        <w:footnoteRef/>
      </w:r>
      <w:r w:rsidRPr="007D6C3F">
        <w:t xml:space="preserve"> </w:t>
      </w:r>
      <w:r>
        <w:tab/>
      </w:r>
      <w:r w:rsidRPr="007D6C3F">
        <w:t xml:space="preserve">See, for example, communications </w:t>
      </w:r>
      <w:r w:rsidRPr="007D6C3F">
        <w:rPr>
          <w:i/>
          <w:iCs/>
        </w:rPr>
        <w:t>I.K. v. Denmark</w:t>
      </w:r>
      <w:r w:rsidRPr="007D6C3F">
        <w:t xml:space="preserve"> (CCPR/C/125/D/2373/2014), para. </w:t>
      </w:r>
      <w:r w:rsidRPr="009646D5">
        <w:rPr>
          <w:lang w:val="es-CO"/>
        </w:rPr>
        <w:t xml:space="preserve">9.7, </w:t>
      </w:r>
      <w:r w:rsidRPr="009646D5">
        <w:rPr>
          <w:i/>
          <w:iCs/>
          <w:lang w:val="es-CO"/>
        </w:rPr>
        <w:t>M.P. et al. v. Denmark</w:t>
      </w:r>
      <w:r w:rsidRPr="009646D5">
        <w:rPr>
          <w:lang w:val="es-CO"/>
        </w:rPr>
        <w:t xml:space="preserve"> (CCPR/C/121/D/2643/2015), para. </w:t>
      </w:r>
      <w:r w:rsidRPr="00A26B29">
        <w:t xml:space="preserve">8.7., and </w:t>
      </w:r>
      <w:r w:rsidRPr="00A26B29">
        <w:rPr>
          <w:i/>
          <w:iCs/>
        </w:rPr>
        <w:t>A.E. v. Sweden</w:t>
      </w:r>
      <w:r w:rsidRPr="00A26B29">
        <w:t xml:space="preserve"> (CCPR/C/128/D/3300/2019), para.9.7.</w:t>
      </w:r>
    </w:p>
  </w:footnote>
  <w:footnote w:id="41">
    <w:p w14:paraId="7681424D" w14:textId="32F168D5" w:rsidR="00346C28" w:rsidRPr="00E34CAD" w:rsidRDefault="00346C28">
      <w:pPr>
        <w:pStyle w:val="FootnoteText"/>
      </w:pPr>
      <w:r w:rsidRPr="00A26B29">
        <w:tab/>
      </w:r>
      <w:r w:rsidRPr="007D6C3F">
        <w:rPr>
          <w:rStyle w:val="FootnoteReference"/>
        </w:rPr>
        <w:footnoteRef/>
      </w:r>
      <w:r w:rsidRPr="00BD7308">
        <w:t xml:space="preserve"> </w:t>
      </w:r>
      <w:r w:rsidRPr="00BD7308">
        <w:tab/>
        <w:t xml:space="preserve">See </w:t>
      </w:r>
      <w:r w:rsidRPr="007D6C3F">
        <w:t>Afghanistan</w:t>
      </w:r>
      <w:r w:rsidRPr="00BD7308">
        <w:t>: Blood feuds, traditional law (</w:t>
      </w:r>
      <w:proofErr w:type="spellStart"/>
      <w:r w:rsidRPr="00BD7308">
        <w:t>pashtunwali</w:t>
      </w:r>
      <w:proofErr w:type="spellEnd"/>
      <w:r w:rsidRPr="00BD7308">
        <w:t xml:space="preserve">) and traditional conflict resolution, 2011.  </w:t>
      </w:r>
      <w:r w:rsidRPr="00E34CAD">
        <w:t>https://www.refworld.org/docid/5124c6512.html</w:t>
      </w:r>
    </w:p>
  </w:footnote>
  <w:footnote w:id="42">
    <w:p w14:paraId="49C04667" w14:textId="77777777" w:rsidR="00815F6E" w:rsidRPr="00043EAC" w:rsidRDefault="00815F6E" w:rsidP="00815F6E">
      <w:pPr>
        <w:pStyle w:val="FootnoteText"/>
        <w:rPr>
          <w:lang w:val="es-CO"/>
        </w:rPr>
      </w:pPr>
      <w:r>
        <w:tab/>
      </w:r>
      <w:r w:rsidRPr="007F5000">
        <w:rPr>
          <w:rStyle w:val="FootnoteReference"/>
        </w:rPr>
        <w:footnoteRef/>
      </w:r>
      <w:r w:rsidRPr="007F5000">
        <w:t xml:space="preserve"> </w:t>
      </w:r>
      <w:r w:rsidRPr="00BA4180">
        <w:tab/>
      </w:r>
      <w:r w:rsidRPr="00043EAC">
        <w:t xml:space="preserve"> </w:t>
      </w:r>
      <w:r w:rsidRPr="00BA4180">
        <w:t>A.S.M. and R.A.H. v. Denmark, Communication No. 2378/2014, Doc. CCPR/C/113/D/2378/2014</w:t>
      </w:r>
      <w:r w:rsidRPr="00043EAC">
        <w:t xml:space="preserve"> (7 July 2016), at paras. 8.3 and 8.6; E.U.R. v. Denmark, Communication No. 2469/2014, Doc. CCPR/C/117/D/2469/2014</w:t>
      </w:r>
      <w:r w:rsidRPr="00043EAC" w:rsidDel="005E46A9">
        <w:t xml:space="preserve"> </w:t>
      </w:r>
      <w:r w:rsidRPr="00043EAC">
        <w:t>(9 September 2016), at para. 9.7, citing to communications J.J. N. v. Denmark, No. 2007/2010 (26 March 2014), para. 9.2; X. v. Sweden, No. 1833/2008 (1 November 2011) para. 5.18; Pillai et al. v. Canada, No. 1763/2008 (25 March 2011) at paras 11.2 and 11.4; Lin v. Australia, No. 1957/2010, (21 March 2013) at para. 9.3; A.A. v. Canada, No. 1819/2008, inadmissibility decision adopted on 31 October 2010, para. 7.8; Z. v. Australia, No. 2049/2011, (18 July 2014) at para. 9.3. See also Ashby v. Trinidad and Tobago, Communication No. 580/1994, Doc. CCPR/C/74/D/580/1994 (19 April 2002), at para. 10.3</w:t>
      </w:r>
    </w:p>
  </w:footnote>
  <w:footnote w:id="43">
    <w:p w14:paraId="65DDD8D0" w14:textId="77777777" w:rsidR="00815F6E" w:rsidRPr="00043EAC" w:rsidRDefault="00815F6E" w:rsidP="00815F6E">
      <w:pPr>
        <w:pStyle w:val="FootnoteText"/>
      </w:pPr>
      <w:r>
        <w:tab/>
      </w:r>
      <w:r w:rsidRPr="00043EAC">
        <w:rPr>
          <w:rStyle w:val="FootnoteReference"/>
          <w:vertAlign w:val="baseline"/>
        </w:rPr>
        <w:footnoteRef/>
      </w:r>
      <w:r w:rsidRPr="00043EAC">
        <w:t xml:space="preserve"> </w:t>
      </w:r>
      <w:r>
        <w:tab/>
      </w:r>
      <w:r w:rsidRPr="00043EAC">
        <w:t>K v. Denmark (CCPR/C/114/D/2393/2014), para. 7.4; Q.A. v. Sweden (CCPR/C/127/D/3070/2017), para. 9.5; A.E. v Sweden (CCPR/C/128/D/3300/2019), para 9.3.</w:t>
      </w:r>
    </w:p>
  </w:footnote>
  <w:footnote w:id="44">
    <w:p w14:paraId="0AD3A2CB" w14:textId="77777777" w:rsidR="00815F6E" w:rsidRPr="00043EAC" w:rsidRDefault="00815F6E" w:rsidP="00815F6E">
      <w:pPr>
        <w:pStyle w:val="FootnoteText"/>
      </w:pPr>
      <w:r>
        <w:tab/>
      </w:r>
      <w:r w:rsidRPr="00043EAC">
        <w:rPr>
          <w:rStyle w:val="FootnoteReference"/>
          <w:vertAlign w:val="baseline"/>
        </w:rPr>
        <w:footnoteRef/>
      </w:r>
      <w:r w:rsidRPr="00043EAC">
        <w:t xml:space="preserve"> </w:t>
      </w:r>
      <w:r>
        <w:tab/>
      </w:r>
      <w:r w:rsidRPr="00043EAC">
        <w:t>S.A.H. v. Denmark (CCPR/C/121/D/2419/2014), para. 11.8; J.I. v Sweden (CCPR/C/128/D/3032/2017), para. 7.5; Q.A. v. Sweden, supra note 1, para.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A437" w14:textId="48F24A7A" w:rsidR="00346C28" w:rsidRPr="00111738" w:rsidRDefault="00346C28" w:rsidP="004141EC">
    <w:pPr>
      <w:pStyle w:val="Header"/>
    </w:pPr>
    <w:r>
      <w:t>CCPR/C/</w:t>
    </w:r>
    <w:r w:rsidR="00756C9B">
      <w:t>131</w:t>
    </w:r>
    <w:r>
      <w:t>/D/3069/2017</w:t>
    </w:r>
    <w:r w:rsidR="00E34CAD" w:rsidRPr="00E34CAD">
      <w:t xml:space="preserve"> </w:t>
    </w:r>
    <w:r w:rsidR="00E34CAD">
      <w:t>(</w:t>
    </w:r>
    <w:r w:rsidR="00E34CAD" w:rsidRPr="00E34CAD">
      <w:t>Advance unedited version</w:t>
    </w:r>
    <w:r w:rsidR="00E34CAD">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E863" w14:textId="5F6D5196" w:rsidR="00346C28" w:rsidRPr="00BA6FC4" w:rsidRDefault="00346C28" w:rsidP="004141EC">
    <w:pPr>
      <w:pStyle w:val="Header"/>
      <w:jc w:val="right"/>
      <w:rPr>
        <w:lang w:val="en-US"/>
      </w:rPr>
    </w:pPr>
    <w:r>
      <w:t>CCPR/C/</w:t>
    </w:r>
    <w:r w:rsidR="00756C9B">
      <w:t>131</w:t>
    </w:r>
    <w:r>
      <w:t>/D/3069/2017</w:t>
    </w:r>
    <w:r w:rsidR="00E34CAD" w:rsidRPr="00E34CAD">
      <w:t xml:space="preserve"> </w:t>
    </w:r>
    <w:r w:rsidR="00E34CAD">
      <w:t>(</w:t>
    </w:r>
    <w:r w:rsidR="00E34CAD" w:rsidRPr="00E34CAD">
      <w:t>Advance unedited version</w:t>
    </w:r>
    <w:r w:rsidR="00E34CA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C86B" w14:textId="77777777" w:rsidR="00346C28" w:rsidRDefault="00346C28" w:rsidP="00BD73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787314D"/>
    <w:multiLevelType w:val="multilevel"/>
    <w:tmpl w:val="134A4A60"/>
    <w:lvl w:ilvl="0">
      <w:start w:val="3"/>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3" w15:restartNumberingAfterBreak="0">
    <w:nsid w:val="5AF7108B"/>
    <w:multiLevelType w:val="hybridMultilevel"/>
    <w:tmpl w:val="FCB8ABB6"/>
    <w:lvl w:ilvl="0" w:tplc="88849BA8">
      <w:start w:val="9"/>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F03518"/>
    <w:multiLevelType w:val="hybridMultilevel"/>
    <w:tmpl w:val="325C63B2"/>
    <w:lvl w:ilvl="0" w:tplc="A1BAE3CE">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
  </w:num>
  <w:num w:numId="5">
    <w:abstractNumId w:val="5"/>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fr-FR" w:vendorID="64" w:dllVersion="6" w:nlCheck="1" w:checkStyle="0"/>
  <w:activeWritingStyle w:appName="MSWord" w:lang="fr-FR" w:vendorID="64" w:dllVersion="0" w:nlCheck="1" w:checkStyle="0"/>
  <w:activeWritingStyle w:appName="MSWord" w:lang="ja-JP" w:vendorID="64" w:dllVersion="0" w:nlCheck="1" w:checkStyle="1"/>
  <w:activeWritingStyle w:appName="MSWord" w:lang="en-AU" w:vendorID="64" w:dllVersion="0" w:nlCheck="1" w:checkStyle="0"/>
  <w:activeWritingStyle w:appName="MSWord" w:lang="es-ES_tradnl" w:vendorID="64" w:dllVersion="0" w:nlCheck="1" w:checkStyle="0"/>
  <w:activeWritingStyle w:appName="MSWord" w:lang="en-AU" w:vendorID="64" w:dllVersion="6" w:nlCheck="1" w:checkStyle="0"/>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s-CO" w:vendorID="64" w:dllVersion="6" w:nlCheck="1" w:checkStyle="0"/>
  <w:activeWritingStyle w:appName="MSWord" w:lang="es-CO" w:vendorID="64" w:dllVersion="4096" w:nlCheck="1" w:checkStyle="0"/>
  <w:activeWritingStyle w:appName="MSWord" w:lang="pt-PT"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NjIzM7SwsDQwMDZU0lEKTi0uzszPAykwNKkFAB2CNRYtAAAA"/>
  </w:docVars>
  <w:rsids>
    <w:rsidRoot w:val="00111738"/>
    <w:rsid w:val="0000128B"/>
    <w:rsid w:val="00002DC2"/>
    <w:rsid w:val="00004E64"/>
    <w:rsid w:val="00005FA3"/>
    <w:rsid w:val="000130FC"/>
    <w:rsid w:val="00013C64"/>
    <w:rsid w:val="00013ED6"/>
    <w:rsid w:val="00016E75"/>
    <w:rsid w:val="00016F8C"/>
    <w:rsid w:val="0002156D"/>
    <w:rsid w:val="00021AB2"/>
    <w:rsid w:val="00023506"/>
    <w:rsid w:val="000244B7"/>
    <w:rsid w:val="000245D1"/>
    <w:rsid w:val="000259D5"/>
    <w:rsid w:val="0002661D"/>
    <w:rsid w:val="000272B3"/>
    <w:rsid w:val="0003026D"/>
    <w:rsid w:val="00031676"/>
    <w:rsid w:val="00032109"/>
    <w:rsid w:val="00032121"/>
    <w:rsid w:val="00032CD4"/>
    <w:rsid w:val="0003345F"/>
    <w:rsid w:val="000343F7"/>
    <w:rsid w:val="000343FF"/>
    <w:rsid w:val="00034B70"/>
    <w:rsid w:val="0003738F"/>
    <w:rsid w:val="000377D8"/>
    <w:rsid w:val="00040CCF"/>
    <w:rsid w:val="0004114D"/>
    <w:rsid w:val="000427E8"/>
    <w:rsid w:val="0004329C"/>
    <w:rsid w:val="00043B19"/>
    <w:rsid w:val="00043C26"/>
    <w:rsid w:val="00043F6D"/>
    <w:rsid w:val="00044179"/>
    <w:rsid w:val="0004428A"/>
    <w:rsid w:val="00044848"/>
    <w:rsid w:val="00044D46"/>
    <w:rsid w:val="00044EC3"/>
    <w:rsid w:val="00044F15"/>
    <w:rsid w:val="000455A6"/>
    <w:rsid w:val="00045706"/>
    <w:rsid w:val="0004570D"/>
    <w:rsid w:val="0005099A"/>
    <w:rsid w:val="00050C91"/>
    <w:rsid w:val="00050F6B"/>
    <w:rsid w:val="000511A8"/>
    <w:rsid w:val="00052497"/>
    <w:rsid w:val="00053354"/>
    <w:rsid w:val="00053800"/>
    <w:rsid w:val="00056630"/>
    <w:rsid w:val="000568FF"/>
    <w:rsid w:val="00057C01"/>
    <w:rsid w:val="00057E97"/>
    <w:rsid w:val="00060C3A"/>
    <w:rsid w:val="00061811"/>
    <w:rsid w:val="000622B5"/>
    <w:rsid w:val="00065899"/>
    <w:rsid w:val="00067036"/>
    <w:rsid w:val="00067380"/>
    <w:rsid w:val="00072C8C"/>
    <w:rsid w:val="000733B5"/>
    <w:rsid w:val="00073661"/>
    <w:rsid w:val="00073DB9"/>
    <w:rsid w:val="00075B62"/>
    <w:rsid w:val="00077061"/>
    <w:rsid w:val="000779BE"/>
    <w:rsid w:val="000805FE"/>
    <w:rsid w:val="0008104C"/>
    <w:rsid w:val="000814B0"/>
    <w:rsid w:val="00081815"/>
    <w:rsid w:val="00081B73"/>
    <w:rsid w:val="00082547"/>
    <w:rsid w:val="0008260C"/>
    <w:rsid w:val="00085ED8"/>
    <w:rsid w:val="00086A25"/>
    <w:rsid w:val="000877EA"/>
    <w:rsid w:val="0009060C"/>
    <w:rsid w:val="0009099D"/>
    <w:rsid w:val="00090F3D"/>
    <w:rsid w:val="00090F80"/>
    <w:rsid w:val="000925F8"/>
    <w:rsid w:val="0009262A"/>
    <w:rsid w:val="000931C0"/>
    <w:rsid w:val="000935C1"/>
    <w:rsid w:val="00094E40"/>
    <w:rsid w:val="00097856"/>
    <w:rsid w:val="000978DB"/>
    <w:rsid w:val="00097DAC"/>
    <w:rsid w:val="000A023C"/>
    <w:rsid w:val="000A0BB1"/>
    <w:rsid w:val="000A2641"/>
    <w:rsid w:val="000A3389"/>
    <w:rsid w:val="000A3842"/>
    <w:rsid w:val="000A422E"/>
    <w:rsid w:val="000A60E5"/>
    <w:rsid w:val="000A610A"/>
    <w:rsid w:val="000A78D0"/>
    <w:rsid w:val="000B0A7D"/>
    <w:rsid w:val="000B0AF1"/>
    <w:rsid w:val="000B175B"/>
    <w:rsid w:val="000B2EBC"/>
    <w:rsid w:val="000B3A0F"/>
    <w:rsid w:val="000B3E7F"/>
    <w:rsid w:val="000B408B"/>
    <w:rsid w:val="000B4EF7"/>
    <w:rsid w:val="000B6EBC"/>
    <w:rsid w:val="000B7D85"/>
    <w:rsid w:val="000C0636"/>
    <w:rsid w:val="000C2C03"/>
    <w:rsid w:val="000C2D2E"/>
    <w:rsid w:val="000C529C"/>
    <w:rsid w:val="000C7BA5"/>
    <w:rsid w:val="000D0035"/>
    <w:rsid w:val="000D0319"/>
    <w:rsid w:val="000D2FE2"/>
    <w:rsid w:val="000D49CF"/>
    <w:rsid w:val="000D5F32"/>
    <w:rsid w:val="000D7D6F"/>
    <w:rsid w:val="000E020A"/>
    <w:rsid w:val="000E0415"/>
    <w:rsid w:val="000E1106"/>
    <w:rsid w:val="000E3DB7"/>
    <w:rsid w:val="000E4262"/>
    <w:rsid w:val="000E4C0F"/>
    <w:rsid w:val="000E5CB7"/>
    <w:rsid w:val="000E5CE0"/>
    <w:rsid w:val="000E791D"/>
    <w:rsid w:val="000E7A7F"/>
    <w:rsid w:val="000F085B"/>
    <w:rsid w:val="000F0A26"/>
    <w:rsid w:val="000F21F0"/>
    <w:rsid w:val="000F2AFC"/>
    <w:rsid w:val="000F5A2B"/>
    <w:rsid w:val="000F5BFF"/>
    <w:rsid w:val="000F5E48"/>
    <w:rsid w:val="000F5F63"/>
    <w:rsid w:val="000F6ABC"/>
    <w:rsid w:val="000F6C15"/>
    <w:rsid w:val="000F7E42"/>
    <w:rsid w:val="00100698"/>
    <w:rsid w:val="001006B3"/>
    <w:rsid w:val="00100A4D"/>
    <w:rsid w:val="001047A3"/>
    <w:rsid w:val="00105B82"/>
    <w:rsid w:val="00105FFA"/>
    <w:rsid w:val="001060DE"/>
    <w:rsid w:val="00106417"/>
    <w:rsid w:val="00107AB0"/>
    <w:rsid w:val="001103AA"/>
    <w:rsid w:val="00111738"/>
    <w:rsid w:val="00113AB3"/>
    <w:rsid w:val="00114109"/>
    <w:rsid w:val="001169B0"/>
    <w:rsid w:val="00117552"/>
    <w:rsid w:val="0011758A"/>
    <w:rsid w:val="00120E6B"/>
    <w:rsid w:val="00122398"/>
    <w:rsid w:val="00122BD0"/>
    <w:rsid w:val="00122C97"/>
    <w:rsid w:val="00126019"/>
    <w:rsid w:val="0013035C"/>
    <w:rsid w:val="00130531"/>
    <w:rsid w:val="00131807"/>
    <w:rsid w:val="0013461C"/>
    <w:rsid w:val="00134C98"/>
    <w:rsid w:val="00137806"/>
    <w:rsid w:val="0014085C"/>
    <w:rsid w:val="00140B8C"/>
    <w:rsid w:val="00143A0A"/>
    <w:rsid w:val="00144B03"/>
    <w:rsid w:val="00145977"/>
    <w:rsid w:val="00145DB9"/>
    <w:rsid w:val="00146595"/>
    <w:rsid w:val="00146611"/>
    <w:rsid w:val="00146E03"/>
    <w:rsid w:val="00147EB3"/>
    <w:rsid w:val="001524FD"/>
    <w:rsid w:val="00154C29"/>
    <w:rsid w:val="00154ED0"/>
    <w:rsid w:val="00155256"/>
    <w:rsid w:val="001568BC"/>
    <w:rsid w:val="001620C6"/>
    <w:rsid w:val="00162832"/>
    <w:rsid w:val="00163CA5"/>
    <w:rsid w:val="001651C9"/>
    <w:rsid w:val="00165F3A"/>
    <w:rsid w:val="00166211"/>
    <w:rsid w:val="001664A9"/>
    <w:rsid w:val="00170365"/>
    <w:rsid w:val="00171726"/>
    <w:rsid w:val="001732E9"/>
    <w:rsid w:val="0017384D"/>
    <w:rsid w:val="00173FD4"/>
    <w:rsid w:val="00174156"/>
    <w:rsid w:val="0017426A"/>
    <w:rsid w:val="001742A3"/>
    <w:rsid w:val="0017454F"/>
    <w:rsid w:val="0017546E"/>
    <w:rsid w:val="0017585B"/>
    <w:rsid w:val="00180D0F"/>
    <w:rsid w:val="00180E51"/>
    <w:rsid w:val="00180FC7"/>
    <w:rsid w:val="00183968"/>
    <w:rsid w:val="00185B91"/>
    <w:rsid w:val="001862E5"/>
    <w:rsid w:val="00186C21"/>
    <w:rsid w:val="0018750B"/>
    <w:rsid w:val="00187B51"/>
    <w:rsid w:val="00190003"/>
    <w:rsid w:val="00190615"/>
    <w:rsid w:val="00190C11"/>
    <w:rsid w:val="00190F9B"/>
    <w:rsid w:val="00192C3F"/>
    <w:rsid w:val="0019418F"/>
    <w:rsid w:val="00194EF8"/>
    <w:rsid w:val="00196D63"/>
    <w:rsid w:val="00197417"/>
    <w:rsid w:val="001A0A1F"/>
    <w:rsid w:val="001A0EA4"/>
    <w:rsid w:val="001A1552"/>
    <w:rsid w:val="001A1C3A"/>
    <w:rsid w:val="001A20A7"/>
    <w:rsid w:val="001A2DB8"/>
    <w:rsid w:val="001A2F83"/>
    <w:rsid w:val="001A3D8A"/>
    <w:rsid w:val="001A4BDE"/>
    <w:rsid w:val="001A62E3"/>
    <w:rsid w:val="001A6686"/>
    <w:rsid w:val="001B027B"/>
    <w:rsid w:val="001B05E2"/>
    <w:rsid w:val="001B2DC2"/>
    <w:rsid w:val="001B2EE9"/>
    <w:rsid w:val="001B3676"/>
    <w:rsid w:val="001B4731"/>
    <w:rsid w:val="001B4B04"/>
    <w:rsid w:val="001B520D"/>
    <w:rsid w:val="001B5BD7"/>
    <w:rsid w:val="001B6388"/>
    <w:rsid w:val="001B6B73"/>
    <w:rsid w:val="001B6D54"/>
    <w:rsid w:val="001C0FF4"/>
    <w:rsid w:val="001C20FB"/>
    <w:rsid w:val="001C24AD"/>
    <w:rsid w:val="001C609B"/>
    <w:rsid w:val="001C6663"/>
    <w:rsid w:val="001C7895"/>
    <w:rsid w:val="001C7D0E"/>
    <w:rsid w:val="001D03B7"/>
    <w:rsid w:val="001D0C8C"/>
    <w:rsid w:val="001D0F72"/>
    <w:rsid w:val="001D133C"/>
    <w:rsid w:val="001D2490"/>
    <w:rsid w:val="001D26DF"/>
    <w:rsid w:val="001D3A03"/>
    <w:rsid w:val="001D4B60"/>
    <w:rsid w:val="001D4F7A"/>
    <w:rsid w:val="001D779F"/>
    <w:rsid w:val="001D7EFD"/>
    <w:rsid w:val="001E1A79"/>
    <w:rsid w:val="001E1B29"/>
    <w:rsid w:val="001E244E"/>
    <w:rsid w:val="001E251F"/>
    <w:rsid w:val="001E48D1"/>
    <w:rsid w:val="001E4C37"/>
    <w:rsid w:val="001E4FFB"/>
    <w:rsid w:val="001E55F2"/>
    <w:rsid w:val="001E705A"/>
    <w:rsid w:val="001E7143"/>
    <w:rsid w:val="001E7710"/>
    <w:rsid w:val="001F012A"/>
    <w:rsid w:val="001F0F98"/>
    <w:rsid w:val="001F0FA8"/>
    <w:rsid w:val="001F1847"/>
    <w:rsid w:val="001F49AE"/>
    <w:rsid w:val="001F53E0"/>
    <w:rsid w:val="001F5DE2"/>
    <w:rsid w:val="001F65A7"/>
    <w:rsid w:val="001F66F3"/>
    <w:rsid w:val="001F716C"/>
    <w:rsid w:val="00201C38"/>
    <w:rsid w:val="002022D7"/>
    <w:rsid w:val="00202DA8"/>
    <w:rsid w:val="00205F87"/>
    <w:rsid w:val="00206041"/>
    <w:rsid w:val="00206714"/>
    <w:rsid w:val="0020707C"/>
    <w:rsid w:val="00207B04"/>
    <w:rsid w:val="00210E1D"/>
    <w:rsid w:val="0021132A"/>
    <w:rsid w:val="002114A2"/>
    <w:rsid w:val="002116DD"/>
    <w:rsid w:val="00211E0B"/>
    <w:rsid w:val="0021296C"/>
    <w:rsid w:val="002129F1"/>
    <w:rsid w:val="00220FEC"/>
    <w:rsid w:val="002215D3"/>
    <w:rsid w:val="0022278E"/>
    <w:rsid w:val="00223C0A"/>
    <w:rsid w:val="002251B5"/>
    <w:rsid w:val="002261BD"/>
    <w:rsid w:val="00226814"/>
    <w:rsid w:val="00227AD8"/>
    <w:rsid w:val="00230958"/>
    <w:rsid w:val="00231A2A"/>
    <w:rsid w:val="0023210C"/>
    <w:rsid w:val="00233176"/>
    <w:rsid w:val="002331CA"/>
    <w:rsid w:val="00234A10"/>
    <w:rsid w:val="002355D1"/>
    <w:rsid w:val="00237512"/>
    <w:rsid w:val="00240103"/>
    <w:rsid w:val="0024168F"/>
    <w:rsid w:val="0024215B"/>
    <w:rsid w:val="002424CB"/>
    <w:rsid w:val="00242B2F"/>
    <w:rsid w:val="00243A09"/>
    <w:rsid w:val="00243AD2"/>
    <w:rsid w:val="00243F58"/>
    <w:rsid w:val="00245931"/>
    <w:rsid w:val="00245945"/>
    <w:rsid w:val="00245FDB"/>
    <w:rsid w:val="002465BA"/>
    <w:rsid w:val="00246D7B"/>
    <w:rsid w:val="002477E6"/>
    <w:rsid w:val="00247ADE"/>
    <w:rsid w:val="00250E60"/>
    <w:rsid w:val="00251699"/>
    <w:rsid w:val="002529BD"/>
    <w:rsid w:val="002532F1"/>
    <w:rsid w:val="00254DB6"/>
    <w:rsid w:val="002554BA"/>
    <w:rsid w:val="00256B1C"/>
    <w:rsid w:val="00256DBD"/>
    <w:rsid w:val="00257974"/>
    <w:rsid w:val="0026030D"/>
    <w:rsid w:val="00260883"/>
    <w:rsid w:val="00261412"/>
    <w:rsid w:val="002625DA"/>
    <w:rsid w:val="00262819"/>
    <w:rsid w:val="00262865"/>
    <w:rsid w:val="00263165"/>
    <w:rsid w:val="002634FB"/>
    <w:rsid w:val="00263949"/>
    <w:rsid w:val="00263C5B"/>
    <w:rsid w:val="002649C7"/>
    <w:rsid w:val="00266250"/>
    <w:rsid w:val="00266341"/>
    <w:rsid w:val="0026758B"/>
    <w:rsid w:val="00267A9E"/>
    <w:rsid w:val="00267F5F"/>
    <w:rsid w:val="00271FEC"/>
    <w:rsid w:val="002721FC"/>
    <w:rsid w:val="00272985"/>
    <w:rsid w:val="002738CA"/>
    <w:rsid w:val="00273B52"/>
    <w:rsid w:val="00275CD2"/>
    <w:rsid w:val="0028051C"/>
    <w:rsid w:val="00280964"/>
    <w:rsid w:val="00281441"/>
    <w:rsid w:val="00281AE6"/>
    <w:rsid w:val="00283BD3"/>
    <w:rsid w:val="00283CB9"/>
    <w:rsid w:val="002846D4"/>
    <w:rsid w:val="002856CC"/>
    <w:rsid w:val="00285A13"/>
    <w:rsid w:val="00286454"/>
    <w:rsid w:val="00286B4D"/>
    <w:rsid w:val="00287175"/>
    <w:rsid w:val="00290F07"/>
    <w:rsid w:val="002929CE"/>
    <w:rsid w:val="00292BB2"/>
    <w:rsid w:val="00292BE1"/>
    <w:rsid w:val="00293B84"/>
    <w:rsid w:val="0029466D"/>
    <w:rsid w:val="002969D6"/>
    <w:rsid w:val="002974F2"/>
    <w:rsid w:val="002A0AA1"/>
    <w:rsid w:val="002A0E34"/>
    <w:rsid w:val="002A157A"/>
    <w:rsid w:val="002A55B1"/>
    <w:rsid w:val="002A65F5"/>
    <w:rsid w:val="002B08D0"/>
    <w:rsid w:val="002B0BEA"/>
    <w:rsid w:val="002B15E7"/>
    <w:rsid w:val="002B1DD2"/>
    <w:rsid w:val="002B206F"/>
    <w:rsid w:val="002B27BD"/>
    <w:rsid w:val="002B30A1"/>
    <w:rsid w:val="002B3182"/>
    <w:rsid w:val="002B368F"/>
    <w:rsid w:val="002B3E59"/>
    <w:rsid w:val="002B4A08"/>
    <w:rsid w:val="002B7A63"/>
    <w:rsid w:val="002C1746"/>
    <w:rsid w:val="002C1EA8"/>
    <w:rsid w:val="002C26D2"/>
    <w:rsid w:val="002C3E42"/>
    <w:rsid w:val="002C4C06"/>
    <w:rsid w:val="002D0239"/>
    <w:rsid w:val="002D16DE"/>
    <w:rsid w:val="002D2D30"/>
    <w:rsid w:val="002D37D0"/>
    <w:rsid w:val="002E273E"/>
    <w:rsid w:val="002E2E12"/>
    <w:rsid w:val="002F07D4"/>
    <w:rsid w:val="002F13BA"/>
    <w:rsid w:val="002F175C"/>
    <w:rsid w:val="002F19CA"/>
    <w:rsid w:val="002F2B73"/>
    <w:rsid w:val="002F62AF"/>
    <w:rsid w:val="00300343"/>
    <w:rsid w:val="00300A8D"/>
    <w:rsid w:val="003012BF"/>
    <w:rsid w:val="003015B1"/>
    <w:rsid w:val="00301C05"/>
    <w:rsid w:val="00302630"/>
    <w:rsid w:val="003029F7"/>
    <w:rsid w:val="0030391D"/>
    <w:rsid w:val="00304A7E"/>
    <w:rsid w:val="00305B34"/>
    <w:rsid w:val="00306759"/>
    <w:rsid w:val="00306BD4"/>
    <w:rsid w:val="00311BA9"/>
    <w:rsid w:val="00312BEE"/>
    <w:rsid w:val="00313A31"/>
    <w:rsid w:val="00314E41"/>
    <w:rsid w:val="00315249"/>
    <w:rsid w:val="00315B1B"/>
    <w:rsid w:val="00317238"/>
    <w:rsid w:val="003179CE"/>
    <w:rsid w:val="00317B6E"/>
    <w:rsid w:val="00321279"/>
    <w:rsid w:val="003229D8"/>
    <w:rsid w:val="0032482F"/>
    <w:rsid w:val="00324A1C"/>
    <w:rsid w:val="00332CB8"/>
    <w:rsid w:val="003335E3"/>
    <w:rsid w:val="00334275"/>
    <w:rsid w:val="00335183"/>
    <w:rsid w:val="003357E2"/>
    <w:rsid w:val="00335DE7"/>
    <w:rsid w:val="00337A06"/>
    <w:rsid w:val="00341513"/>
    <w:rsid w:val="003420DF"/>
    <w:rsid w:val="0034295D"/>
    <w:rsid w:val="00343AB3"/>
    <w:rsid w:val="0034400F"/>
    <w:rsid w:val="0034675E"/>
    <w:rsid w:val="003468E2"/>
    <w:rsid w:val="00346C28"/>
    <w:rsid w:val="0035055C"/>
    <w:rsid w:val="00350C9A"/>
    <w:rsid w:val="00351909"/>
    <w:rsid w:val="00352709"/>
    <w:rsid w:val="00352CF4"/>
    <w:rsid w:val="0035309A"/>
    <w:rsid w:val="003535B5"/>
    <w:rsid w:val="00356A34"/>
    <w:rsid w:val="00360DFF"/>
    <w:rsid w:val="00360E4F"/>
    <w:rsid w:val="003612F1"/>
    <w:rsid w:val="003614C7"/>
    <w:rsid w:val="00361630"/>
    <w:rsid w:val="00362272"/>
    <w:rsid w:val="003643DB"/>
    <w:rsid w:val="003653E3"/>
    <w:rsid w:val="00365DDE"/>
    <w:rsid w:val="0036636B"/>
    <w:rsid w:val="00367389"/>
    <w:rsid w:val="00367567"/>
    <w:rsid w:val="003676DE"/>
    <w:rsid w:val="003678FA"/>
    <w:rsid w:val="00367A7D"/>
    <w:rsid w:val="00367A8E"/>
    <w:rsid w:val="00367E32"/>
    <w:rsid w:val="003702A7"/>
    <w:rsid w:val="00371178"/>
    <w:rsid w:val="00371800"/>
    <w:rsid w:val="00371A72"/>
    <w:rsid w:val="0037717C"/>
    <w:rsid w:val="00380362"/>
    <w:rsid w:val="00381041"/>
    <w:rsid w:val="00381ED6"/>
    <w:rsid w:val="0038336C"/>
    <w:rsid w:val="00383727"/>
    <w:rsid w:val="0038550D"/>
    <w:rsid w:val="00385BE1"/>
    <w:rsid w:val="00385C2E"/>
    <w:rsid w:val="0039001D"/>
    <w:rsid w:val="003907F9"/>
    <w:rsid w:val="00390C1B"/>
    <w:rsid w:val="00391BAD"/>
    <w:rsid w:val="003923D2"/>
    <w:rsid w:val="00393B9C"/>
    <w:rsid w:val="003956C5"/>
    <w:rsid w:val="00396A1A"/>
    <w:rsid w:val="003A1D50"/>
    <w:rsid w:val="003A3737"/>
    <w:rsid w:val="003A6810"/>
    <w:rsid w:val="003A6C5A"/>
    <w:rsid w:val="003B5718"/>
    <w:rsid w:val="003B5C7F"/>
    <w:rsid w:val="003B5D85"/>
    <w:rsid w:val="003B5F7F"/>
    <w:rsid w:val="003B6C57"/>
    <w:rsid w:val="003B6C65"/>
    <w:rsid w:val="003B77FB"/>
    <w:rsid w:val="003C037A"/>
    <w:rsid w:val="003C05ED"/>
    <w:rsid w:val="003C1CEA"/>
    <w:rsid w:val="003C2B3B"/>
    <w:rsid w:val="003C2CC4"/>
    <w:rsid w:val="003C3C57"/>
    <w:rsid w:val="003C6B33"/>
    <w:rsid w:val="003C7A48"/>
    <w:rsid w:val="003C7C86"/>
    <w:rsid w:val="003D00FB"/>
    <w:rsid w:val="003D2007"/>
    <w:rsid w:val="003D22BC"/>
    <w:rsid w:val="003D34B1"/>
    <w:rsid w:val="003D3CE6"/>
    <w:rsid w:val="003D4B23"/>
    <w:rsid w:val="003D6246"/>
    <w:rsid w:val="003D7BC1"/>
    <w:rsid w:val="003E14E2"/>
    <w:rsid w:val="003E2BF7"/>
    <w:rsid w:val="003E4406"/>
    <w:rsid w:val="003E4AC0"/>
    <w:rsid w:val="003E5ED8"/>
    <w:rsid w:val="003E7CB4"/>
    <w:rsid w:val="003F1F99"/>
    <w:rsid w:val="003F46B1"/>
    <w:rsid w:val="003F47FB"/>
    <w:rsid w:val="003F5D7D"/>
    <w:rsid w:val="003F6618"/>
    <w:rsid w:val="003F726C"/>
    <w:rsid w:val="0040005C"/>
    <w:rsid w:val="004000E2"/>
    <w:rsid w:val="00400FBC"/>
    <w:rsid w:val="004011DF"/>
    <w:rsid w:val="00401BF0"/>
    <w:rsid w:val="00402ECC"/>
    <w:rsid w:val="00404C4F"/>
    <w:rsid w:val="0040621A"/>
    <w:rsid w:val="004070AA"/>
    <w:rsid w:val="0040738D"/>
    <w:rsid w:val="0040763E"/>
    <w:rsid w:val="004076CD"/>
    <w:rsid w:val="00410C89"/>
    <w:rsid w:val="00412DF5"/>
    <w:rsid w:val="00412E1F"/>
    <w:rsid w:val="00413D03"/>
    <w:rsid w:val="004141EC"/>
    <w:rsid w:val="00415324"/>
    <w:rsid w:val="004169AB"/>
    <w:rsid w:val="00417F9E"/>
    <w:rsid w:val="0042257E"/>
    <w:rsid w:val="00422813"/>
    <w:rsid w:val="00423AA6"/>
    <w:rsid w:val="00423FC5"/>
    <w:rsid w:val="00425892"/>
    <w:rsid w:val="00426B9B"/>
    <w:rsid w:val="00430F93"/>
    <w:rsid w:val="004313AE"/>
    <w:rsid w:val="0043155C"/>
    <w:rsid w:val="004316B7"/>
    <w:rsid w:val="004325CB"/>
    <w:rsid w:val="00432968"/>
    <w:rsid w:val="004331BD"/>
    <w:rsid w:val="0043359B"/>
    <w:rsid w:val="00433FC8"/>
    <w:rsid w:val="00434002"/>
    <w:rsid w:val="00434454"/>
    <w:rsid w:val="00436B33"/>
    <w:rsid w:val="004404AA"/>
    <w:rsid w:val="004408B0"/>
    <w:rsid w:val="00440FBC"/>
    <w:rsid w:val="00442A83"/>
    <w:rsid w:val="00443ADE"/>
    <w:rsid w:val="00443FED"/>
    <w:rsid w:val="00444662"/>
    <w:rsid w:val="00444D0B"/>
    <w:rsid w:val="00445140"/>
    <w:rsid w:val="004465E2"/>
    <w:rsid w:val="00446A01"/>
    <w:rsid w:val="00446D0C"/>
    <w:rsid w:val="0044735C"/>
    <w:rsid w:val="00451DF0"/>
    <w:rsid w:val="00452CD7"/>
    <w:rsid w:val="004534D0"/>
    <w:rsid w:val="0045495B"/>
    <w:rsid w:val="00455AE2"/>
    <w:rsid w:val="00455B52"/>
    <w:rsid w:val="0045646B"/>
    <w:rsid w:val="00460AAE"/>
    <w:rsid w:val="00460B4C"/>
    <w:rsid w:val="0046103C"/>
    <w:rsid w:val="00461054"/>
    <w:rsid w:val="00461840"/>
    <w:rsid w:val="004630C3"/>
    <w:rsid w:val="00463541"/>
    <w:rsid w:val="004641AE"/>
    <w:rsid w:val="00465216"/>
    <w:rsid w:val="0046540D"/>
    <w:rsid w:val="00465EAE"/>
    <w:rsid w:val="00466B4E"/>
    <w:rsid w:val="00471CCD"/>
    <w:rsid w:val="0047261C"/>
    <w:rsid w:val="00472661"/>
    <w:rsid w:val="00473D64"/>
    <w:rsid w:val="00473FF1"/>
    <w:rsid w:val="004742A4"/>
    <w:rsid w:val="004753B7"/>
    <w:rsid w:val="0047590C"/>
    <w:rsid w:val="00476429"/>
    <w:rsid w:val="004778A4"/>
    <w:rsid w:val="00477B21"/>
    <w:rsid w:val="00481FE5"/>
    <w:rsid w:val="00482637"/>
    <w:rsid w:val="00483889"/>
    <w:rsid w:val="0048637B"/>
    <w:rsid w:val="004864E6"/>
    <w:rsid w:val="00486685"/>
    <w:rsid w:val="00487488"/>
    <w:rsid w:val="00487C41"/>
    <w:rsid w:val="00491B35"/>
    <w:rsid w:val="00492148"/>
    <w:rsid w:val="004936D8"/>
    <w:rsid w:val="00493739"/>
    <w:rsid w:val="00494C81"/>
    <w:rsid w:val="00495740"/>
    <w:rsid w:val="0049589C"/>
    <w:rsid w:val="00497E46"/>
    <w:rsid w:val="004A0450"/>
    <w:rsid w:val="004A29BD"/>
    <w:rsid w:val="004A7B3D"/>
    <w:rsid w:val="004B201D"/>
    <w:rsid w:val="004B328A"/>
    <w:rsid w:val="004B4704"/>
    <w:rsid w:val="004B5390"/>
    <w:rsid w:val="004B549C"/>
    <w:rsid w:val="004B5A30"/>
    <w:rsid w:val="004B6E39"/>
    <w:rsid w:val="004B72FF"/>
    <w:rsid w:val="004B797F"/>
    <w:rsid w:val="004C1CE2"/>
    <w:rsid w:val="004C3107"/>
    <w:rsid w:val="004C5493"/>
    <w:rsid w:val="004C63A1"/>
    <w:rsid w:val="004C641A"/>
    <w:rsid w:val="004C6813"/>
    <w:rsid w:val="004C6E3E"/>
    <w:rsid w:val="004C7AA7"/>
    <w:rsid w:val="004D20F3"/>
    <w:rsid w:val="004D21B4"/>
    <w:rsid w:val="004D3164"/>
    <w:rsid w:val="004D366B"/>
    <w:rsid w:val="004D4D69"/>
    <w:rsid w:val="004D50AD"/>
    <w:rsid w:val="004D69E9"/>
    <w:rsid w:val="004D6C5A"/>
    <w:rsid w:val="004E04D4"/>
    <w:rsid w:val="004E2B23"/>
    <w:rsid w:val="004E3909"/>
    <w:rsid w:val="004E3A3B"/>
    <w:rsid w:val="004E558E"/>
    <w:rsid w:val="004E5900"/>
    <w:rsid w:val="004E68A5"/>
    <w:rsid w:val="004E7391"/>
    <w:rsid w:val="004E748D"/>
    <w:rsid w:val="004E77A4"/>
    <w:rsid w:val="004F0B77"/>
    <w:rsid w:val="004F0BE4"/>
    <w:rsid w:val="004F1F09"/>
    <w:rsid w:val="004F309F"/>
    <w:rsid w:val="004F4425"/>
    <w:rsid w:val="004F457A"/>
    <w:rsid w:val="004F5241"/>
    <w:rsid w:val="004F583E"/>
    <w:rsid w:val="004F6A55"/>
    <w:rsid w:val="004F7225"/>
    <w:rsid w:val="00500100"/>
    <w:rsid w:val="00501935"/>
    <w:rsid w:val="00503365"/>
    <w:rsid w:val="0050524A"/>
    <w:rsid w:val="00506275"/>
    <w:rsid w:val="00506ECE"/>
    <w:rsid w:val="00507B43"/>
    <w:rsid w:val="00510E7E"/>
    <w:rsid w:val="005115D1"/>
    <w:rsid w:val="005122E1"/>
    <w:rsid w:val="005129F9"/>
    <w:rsid w:val="0051586E"/>
    <w:rsid w:val="0052136D"/>
    <w:rsid w:val="00523513"/>
    <w:rsid w:val="0052403C"/>
    <w:rsid w:val="0052775E"/>
    <w:rsid w:val="00527A22"/>
    <w:rsid w:val="00527C66"/>
    <w:rsid w:val="00530A5E"/>
    <w:rsid w:val="00530D28"/>
    <w:rsid w:val="005310CA"/>
    <w:rsid w:val="00531869"/>
    <w:rsid w:val="00531CEC"/>
    <w:rsid w:val="00532179"/>
    <w:rsid w:val="00534505"/>
    <w:rsid w:val="00534FBC"/>
    <w:rsid w:val="0053653F"/>
    <w:rsid w:val="005420F2"/>
    <w:rsid w:val="005424FD"/>
    <w:rsid w:val="005437C3"/>
    <w:rsid w:val="00543E06"/>
    <w:rsid w:val="005441BB"/>
    <w:rsid w:val="00545D63"/>
    <w:rsid w:val="00546BE7"/>
    <w:rsid w:val="00546D79"/>
    <w:rsid w:val="00547156"/>
    <w:rsid w:val="00547AF8"/>
    <w:rsid w:val="00551FF5"/>
    <w:rsid w:val="00552587"/>
    <w:rsid w:val="005549CD"/>
    <w:rsid w:val="005552BC"/>
    <w:rsid w:val="005602D4"/>
    <w:rsid w:val="00560536"/>
    <w:rsid w:val="00560F2F"/>
    <w:rsid w:val="00561A01"/>
    <w:rsid w:val="00562418"/>
    <w:rsid w:val="00562824"/>
    <w:rsid w:val="005628B6"/>
    <w:rsid w:val="00562930"/>
    <w:rsid w:val="00563B55"/>
    <w:rsid w:val="00565E59"/>
    <w:rsid w:val="0056653D"/>
    <w:rsid w:val="00567AB0"/>
    <w:rsid w:val="00567BAC"/>
    <w:rsid w:val="00571C27"/>
    <w:rsid w:val="005723DC"/>
    <w:rsid w:val="00574467"/>
    <w:rsid w:val="00580236"/>
    <w:rsid w:val="00580847"/>
    <w:rsid w:val="00581875"/>
    <w:rsid w:val="00582C1D"/>
    <w:rsid w:val="005848B3"/>
    <w:rsid w:val="0058574D"/>
    <w:rsid w:val="005871A6"/>
    <w:rsid w:val="00587771"/>
    <w:rsid w:val="00590F29"/>
    <w:rsid w:val="0059135E"/>
    <w:rsid w:val="005925DA"/>
    <w:rsid w:val="00592C0D"/>
    <w:rsid w:val="0059382F"/>
    <w:rsid w:val="005967FC"/>
    <w:rsid w:val="00596F81"/>
    <w:rsid w:val="005A0A3B"/>
    <w:rsid w:val="005A0DD1"/>
    <w:rsid w:val="005A230D"/>
    <w:rsid w:val="005A28B8"/>
    <w:rsid w:val="005A2EE7"/>
    <w:rsid w:val="005A3323"/>
    <w:rsid w:val="005A35AB"/>
    <w:rsid w:val="005A4246"/>
    <w:rsid w:val="005A4B0D"/>
    <w:rsid w:val="005A4B5A"/>
    <w:rsid w:val="005A4C34"/>
    <w:rsid w:val="005A629F"/>
    <w:rsid w:val="005A6F62"/>
    <w:rsid w:val="005A7ED7"/>
    <w:rsid w:val="005A7FBC"/>
    <w:rsid w:val="005B0008"/>
    <w:rsid w:val="005B3DB3"/>
    <w:rsid w:val="005B486B"/>
    <w:rsid w:val="005B622D"/>
    <w:rsid w:val="005B6CFF"/>
    <w:rsid w:val="005C062A"/>
    <w:rsid w:val="005C1A98"/>
    <w:rsid w:val="005C2633"/>
    <w:rsid w:val="005C34C9"/>
    <w:rsid w:val="005C41F1"/>
    <w:rsid w:val="005C517D"/>
    <w:rsid w:val="005C5E9A"/>
    <w:rsid w:val="005C6137"/>
    <w:rsid w:val="005C7B6C"/>
    <w:rsid w:val="005D0C57"/>
    <w:rsid w:val="005D217A"/>
    <w:rsid w:val="005D222C"/>
    <w:rsid w:val="005D2471"/>
    <w:rsid w:val="005D25FB"/>
    <w:rsid w:val="005D26AB"/>
    <w:rsid w:val="005D407F"/>
    <w:rsid w:val="005D4211"/>
    <w:rsid w:val="005D5DE8"/>
    <w:rsid w:val="005E06DE"/>
    <w:rsid w:val="005E0A0E"/>
    <w:rsid w:val="005E5CD6"/>
    <w:rsid w:val="005E7C29"/>
    <w:rsid w:val="005F2BCD"/>
    <w:rsid w:val="005F2FCE"/>
    <w:rsid w:val="005F316C"/>
    <w:rsid w:val="005F3613"/>
    <w:rsid w:val="005F5FD4"/>
    <w:rsid w:val="005F6604"/>
    <w:rsid w:val="005F6677"/>
    <w:rsid w:val="005F7703"/>
    <w:rsid w:val="005F7717"/>
    <w:rsid w:val="005F77D0"/>
    <w:rsid w:val="005F7B75"/>
    <w:rsid w:val="006001EE"/>
    <w:rsid w:val="006018BE"/>
    <w:rsid w:val="00602975"/>
    <w:rsid w:val="006033E6"/>
    <w:rsid w:val="006034C8"/>
    <w:rsid w:val="00603A7E"/>
    <w:rsid w:val="0060413B"/>
    <w:rsid w:val="00605042"/>
    <w:rsid w:val="0060578C"/>
    <w:rsid w:val="006079BD"/>
    <w:rsid w:val="00610856"/>
    <w:rsid w:val="00611FC4"/>
    <w:rsid w:val="00612D62"/>
    <w:rsid w:val="00613F78"/>
    <w:rsid w:val="00614594"/>
    <w:rsid w:val="006146BA"/>
    <w:rsid w:val="00614744"/>
    <w:rsid w:val="006155A2"/>
    <w:rsid w:val="00615953"/>
    <w:rsid w:val="00616FBE"/>
    <w:rsid w:val="006176FB"/>
    <w:rsid w:val="00621F58"/>
    <w:rsid w:val="00622446"/>
    <w:rsid w:val="00627E3C"/>
    <w:rsid w:val="0063059B"/>
    <w:rsid w:val="00631CF6"/>
    <w:rsid w:val="006338B3"/>
    <w:rsid w:val="00634649"/>
    <w:rsid w:val="0063511D"/>
    <w:rsid w:val="00635363"/>
    <w:rsid w:val="006404CB"/>
    <w:rsid w:val="00640B26"/>
    <w:rsid w:val="00641773"/>
    <w:rsid w:val="0064598C"/>
    <w:rsid w:val="00650EFB"/>
    <w:rsid w:val="00651150"/>
    <w:rsid w:val="006519F0"/>
    <w:rsid w:val="00651AB9"/>
    <w:rsid w:val="00652D0A"/>
    <w:rsid w:val="0065403B"/>
    <w:rsid w:val="00655790"/>
    <w:rsid w:val="00655B2A"/>
    <w:rsid w:val="006562B7"/>
    <w:rsid w:val="00656783"/>
    <w:rsid w:val="00657327"/>
    <w:rsid w:val="00657459"/>
    <w:rsid w:val="00657E3F"/>
    <w:rsid w:val="00661851"/>
    <w:rsid w:val="0066225D"/>
    <w:rsid w:val="00662BB6"/>
    <w:rsid w:val="00663AB5"/>
    <w:rsid w:val="00663F14"/>
    <w:rsid w:val="00664021"/>
    <w:rsid w:val="00664DBE"/>
    <w:rsid w:val="0067277D"/>
    <w:rsid w:val="0067295A"/>
    <w:rsid w:val="006744F5"/>
    <w:rsid w:val="0067499A"/>
    <w:rsid w:val="00677386"/>
    <w:rsid w:val="006801AD"/>
    <w:rsid w:val="00680702"/>
    <w:rsid w:val="00680BD9"/>
    <w:rsid w:val="00682C03"/>
    <w:rsid w:val="00683189"/>
    <w:rsid w:val="00683A9B"/>
    <w:rsid w:val="00684C21"/>
    <w:rsid w:val="0068742D"/>
    <w:rsid w:val="00690A6F"/>
    <w:rsid w:val="00690C67"/>
    <w:rsid w:val="00691BCA"/>
    <w:rsid w:val="006931D1"/>
    <w:rsid w:val="00693825"/>
    <w:rsid w:val="00693941"/>
    <w:rsid w:val="00695033"/>
    <w:rsid w:val="006951AE"/>
    <w:rsid w:val="00695395"/>
    <w:rsid w:val="006973D5"/>
    <w:rsid w:val="006A0EF8"/>
    <w:rsid w:val="006A1BF6"/>
    <w:rsid w:val="006A251F"/>
    <w:rsid w:val="006A2B2E"/>
    <w:rsid w:val="006A475C"/>
    <w:rsid w:val="006A62FF"/>
    <w:rsid w:val="006A7300"/>
    <w:rsid w:val="006A7C47"/>
    <w:rsid w:val="006B15DB"/>
    <w:rsid w:val="006B20D3"/>
    <w:rsid w:val="006B27B2"/>
    <w:rsid w:val="006B3C53"/>
    <w:rsid w:val="006B5B11"/>
    <w:rsid w:val="006B662B"/>
    <w:rsid w:val="006B6833"/>
    <w:rsid w:val="006B7F61"/>
    <w:rsid w:val="006C048A"/>
    <w:rsid w:val="006C0815"/>
    <w:rsid w:val="006C130F"/>
    <w:rsid w:val="006C19A5"/>
    <w:rsid w:val="006C362E"/>
    <w:rsid w:val="006C3802"/>
    <w:rsid w:val="006C3A80"/>
    <w:rsid w:val="006C3DAE"/>
    <w:rsid w:val="006C460A"/>
    <w:rsid w:val="006C4D49"/>
    <w:rsid w:val="006C5440"/>
    <w:rsid w:val="006C57C9"/>
    <w:rsid w:val="006C63DD"/>
    <w:rsid w:val="006C79EB"/>
    <w:rsid w:val="006D271A"/>
    <w:rsid w:val="006D2891"/>
    <w:rsid w:val="006D37AF"/>
    <w:rsid w:val="006D3A2C"/>
    <w:rsid w:val="006D3C4A"/>
    <w:rsid w:val="006D51D0"/>
    <w:rsid w:val="006D58A3"/>
    <w:rsid w:val="006D5A9D"/>
    <w:rsid w:val="006D759B"/>
    <w:rsid w:val="006D7FF1"/>
    <w:rsid w:val="006E0E73"/>
    <w:rsid w:val="006E1F9B"/>
    <w:rsid w:val="006E2057"/>
    <w:rsid w:val="006E217F"/>
    <w:rsid w:val="006E2C13"/>
    <w:rsid w:val="006E341E"/>
    <w:rsid w:val="006E347D"/>
    <w:rsid w:val="006E4324"/>
    <w:rsid w:val="006E4846"/>
    <w:rsid w:val="006E48B7"/>
    <w:rsid w:val="006E564B"/>
    <w:rsid w:val="006E7191"/>
    <w:rsid w:val="006F086B"/>
    <w:rsid w:val="006F0923"/>
    <w:rsid w:val="006F12CE"/>
    <w:rsid w:val="006F2D75"/>
    <w:rsid w:val="006F42EC"/>
    <w:rsid w:val="006F51E6"/>
    <w:rsid w:val="006F5F84"/>
    <w:rsid w:val="006F7D19"/>
    <w:rsid w:val="007006AE"/>
    <w:rsid w:val="00701BB7"/>
    <w:rsid w:val="00703577"/>
    <w:rsid w:val="007040EA"/>
    <w:rsid w:val="00705C69"/>
    <w:rsid w:val="00705F83"/>
    <w:rsid w:val="00706EEE"/>
    <w:rsid w:val="00707056"/>
    <w:rsid w:val="00707650"/>
    <w:rsid w:val="00710437"/>
    <w:rsid w:val="007111FE"/>
    <w:rsid w:val="0071194C"/>
    <w:rsid w:val="00712673"/>
    <w:rsid w:val="007132D4"/>
    <w:rsid w:val="00713EDB"/>
    <w:rsid w:val="00714849"/>
    <w:rsid w:val="00714A22"/>
    <w:rsid w:val="00715725"/>
    <w:rsid w:val="00715752"/>
    <w:rsid w:val="00715959"/>
    <w:rsid w:val="00715CD2"/>
    <w:rsid w:val="007170EF"/>
    <w:rsid w:val="00720118"/>
    <w:rsid w:val="00720A70"/>
    <w:rsid w:val="00722064"/>
    <w:rsid w:val="00725B57"/>
    <w:rsid w:val="0072632A"/>
    <w:rsid w:val="00726E85"/>
    <w:rsid w:val="0072760B"/>
    <w:rsid w:val="007327D5"/>
    <w:rsid w:val="00733E22"/>
    <w:rsid w:val="007361B7"/>
    <w:rsid w:val="00736B79"/>
    <w:rsid w:val="00737093"/>
    <w:rsid w:val="00737AED"/>
    <w:rsid w:val="007407D8"/>
    <w:rsid w:val="007413CC"/>
    <w:rsid w:val="0074224E"/>
    <w:rsid w:val="00742F9A"/>
    <w:rsid w:val="00745537"/>
    <w:rsid w:val="00745C60"/>
    <w:rsid w:val="00746FF7"/>
    <w:rsid w:val="00747CB2"/>
    <w:rsid w:val="00747D16"/>
    <w:rsid w:val="007508E9"/>
    <w:rsid w:val="00752CB6"/>
    <w:rsid w:val="00754840"/>
    <w:rsid w:val="00754DF3"/>
    <w:rsid w:val="00756665"/>
    <w:rsid w:val="00756AAF"/>
    <w:rsid w:val="00756C9B"/>
    <w:rsid w:val="007608CA"/>
    <w:rsid w:val="007614BA"/>
    <w:rsid w:val="00761547"/>
    <w:rsid w:val="0076252E"/>
    <w:rsid w:val="007629C8"/>
    <w:rsid w:val="00763BE4"/>
    <w:rsid w:val="00763E31"/>
    <w:rsid w:val="00764004"/>
    <w:rsid w:val="007645CF"/>
    <w:rsid w:val="0076500D"/>
    <w:rsid w:val="00765234"/>
    <w:rsid w:val="00767852"/>
    <w:rsid w:val="00767915"/>
    <w:rsid w:val="0077018C"/>
    <w:rsid w:val="0077023E"/>
    <w:rsid w:val="0077059F"/>
    <w:rsid w:val="007734ED"/>
    <w:rsid w:val="00773584"/>
    <w:rsid w:val="00774804"/>
    <w:rsid w:val="00775FED"/>
    <w:rsid w:val="0077669B"/>
    <w:rsid w:val="007803AC"/>
    <w:rsid w:val="00780C1E"/>
    <w:rsid w:val="0078143F"/>
    <w:rsid w:val="00781E06"/>
    <w:rsid w:val="00781F18"/>
    <w:rsid w:val="007839CE"/>
    <w:rsid w:val="00784424"/>
    <w:rsid w:val="00784CD6"/>
    <w:rsid w:val="00784F76"/>
    <w:rsid w:val="007856AE"/>
    <w:rsid w:val="00785E86"/>
    <w:rsid w:val="0078643E"/>
    <w:rsid w:val="0079248E"/>
    <w:rsid w:val="00792E58"/>
    <w:rsid w:val="007934D7"/>
    <w:rsid w:val="00794FB6"/>
    <w:rsid w:val="00796AA7"/>
    <w:rsid w:val="00797438"/>
    <w:rsid w:val="007978D9"/>
    <w:rsid w:val="007A0E39"/>
    <w:rsid w:val="007A1A52"/>
    <w:rsid w:val="007A2479"/>
    <w:rsid w:val="007A39F6"/>
    <w:rsid w:val="007A3C2D"/>
    <w:rsid w:val="007A4C34"/>
    <w:rsid w:val="007A61CE"/>
    <w:rsid w:val="007A7354"/>
    <w:rsid w:val="007A7A8A"/>
    <w:rsid w:val="007B1700"/>
    <w:rsid w:val="007B3083"/>
    <w:rsid w:val="007B370E"/>
    <w:rsid w:val="007B3A6E"/>
    <w:rsid w:val="007B6B2C"/>
    <w:rsid w:val="007B6BA5"/>
    <w:rsid w:val="007B7540"/>
    <w:rsid w:val="007C119D"/>
    <w:rsid w:val="007C2769"/>
    <w:rsid w:val="007C2CDC"/>
    <w:rsid w:val="007C3390"/>
    <w:rsid w:val="007C39D8"/>
    <w:rsid w:val="007C4472"/>
    <w:rsid w:val="007C4949"/>
    <w:rsid w:val="007C4F4B"/>
    <w:rsid w:val="007C6502"/>
    <w:rsid w:val="007C784F"/>
    <w:rsid w:val="007D0269"/>
    <w:rsid w:val="007D02A3"/>
    <w:rsid w:val="007D0EC6"/>
    <w:rsid w:val="007D10B4"/>
    <w:rsid w:val="007D6C3F"/>
    <w:rsid w:val="007D753F"/>
    <w:rsid w:val="007D7D71"/>
    <w:rsid w:val="007E0B2D"/>
    <w:rsid w:val="007E1776"/>
    <w:rsid w:val="007E2736"/>
    <w:rsid w:val="007E27F2"/>
    <w:rsid w:val="007E2A9C"/>
    <w:rsid w:val="007E2BF4"/>
    <w:rsid w:val="007E39A0"/>
    <w:rsid w:val="007F122D"/>
    <w:rsid w:val="007F15E5"/>
    <w:rsid w:val="007F15F6"/>
    <w:rsid w:val="007F1D49"/>
    <w:rsid w:val="007F1FB3"/>
    <w:rsid w:val="007F201D"/>
    <w:rsid w:val="007F2607"/>
    <w:rsid w:val="007F6611"/>
    <w:rsid w:val="007F684D"/>
    <w:rsid w:val="007F7965"/>
    <w:rsid w:val="00800BA4"/>
    <w:rsid w:val="00802247"/>
    <w:rsid w:val="008040CD"/>
    <w:rsid w:val="00805B82"/>
    <w:rsid w:val="00806649"/>
    <w:rsid w:val="00806FFB"/>
    <w:rsid w:val="008073FC"/>
    <w:rsid w:val="00807F25"/>
    <w:rsid w:val="00807FE4"/>
    <w:rsid w:val="008105B8"/>
    <w:rsid w:val="0081079E"/>
    <w:rsid w:val="00811BF4"/>
    <w:rsid w:val="00812DE8"/>
    <w:rsid w:val="0081373D"/>
    <w:rsid w:val="0081450D"/>
    <w:rsid w:val="008148A6"/>
    <w:rsid w:val="00815EDD"/>
    <w:rsid w:val="00815F6E"/>
    <w:rsid w:val="00816438"/>
    <w:rsid w:val="008164BB"/>
    <w:rsid w:val="00816B4E"/>
    <w:rsid w:val="0082126B"/>
    <w:rsid w:val="008230CC"/>
    <w:rsid w:val="008242D7"/>
    <w:rsid w:val="008257B1"/>
    <w:rsid w:val="008257FA"/>
    <w:rsid w:val="00826A45"/>
    <w:rsid w:val="0082710B"/>
    <w:rsid w:val="00830D2E"/>
    <w:rsid w:val="00830F11"/>
    <w:rsid w:val="00833155"/>
    <w:rsid w:val="008345A4"/>
    <w:rsid w:val="00834EEC"/>
    <w:rsid w:val="00834EF7"/>
    <w:rsid w:val="00835294"/>
    <w:rsid w:val="00836CBA"/>
    <w:rsid w:val="008434F7"/>
    <w:rsid w:val="00843767"/>
    <w:rsid w:val="00844E3F"/>
    <w:rsid w:val="00844E8F"/>
    <w:rsid w:val="008477C3"/>
    <w:rsid w:val="00852796"/>
    <w:rsid w:val="00857F47"/>
    <w:rsid w:val="00862CB4"/>
    <w:rsid w:val="00866466"/>
    <w:rsid w:val="0086646F"/>
    <w:rsid w:val="0086779C"/>
    <w:rsid w:val="008679D9"/>
    <w:rsid w:val="00871E68"/>
    <w:rsid w:val="008729D7"/>
    <w:rsid w:val="008764A5"/>
    <w:rsid w:val="008766FF"/>
    <w:rsid w:val="008822A7"/>
    <w:rsid w:val="0088340B"/>
    <w:rsid w:val="00883D54"/>
    <w:rsid w:val="008849A6"/>
    <w:rsid w:val="008864C2"/>
    <w:rsid w:val="00886C2A"/>
    <w:rsid w:val="00886E0C"/>
    <w:rsid w:val="00890AF7"/>
    <w:rsid w:val="0089120C"/>
    <w:rsid w:val="00891809"/>
    <w:rsid w:val="00891B81"/>
    <w:rsid w:val="00893A48"/>
    <w:rsid w:val="00893B18"/>
    <w:rsid w:val="008945D7"/>
    <w:rsid w:val="00896CF6"/>
    <w:rsid w:val="00896E1F"/>
    <w:rsid w:val="008979B1"/>
    <w:rsid w:val="008A0E9D"/>
    <w:rsid w:val="008A1DB2"/>
    <w:rsid w:val="008A29D2"/>
    <w:rsid w:val="008A2B2B"/>
    <w:rsid w:val="008A313A"/>
    <w:rsid w:val="008A3964"/>
    <w:rsid w:val="008A5D7D"/>
    <w:rsid w:val="008A5DA2"/>
    <w:rsid w:val="008A6B25"/>
    <w:rsid w:val="008A6C4F"/>
    <w:rsid w:val="008A7F36"/>
    <w:rsid w:val="008A7F6D"/>
    <w:rsid w:val="008B2335"/>
    <w:rsid w:val="008B2EFC"/>
    <w:rsid w:val="008B3085"/>
    <w:rsid w:val="008B35B4"/>
    <w:rsid w:val="008B4650"/>
    <w:rsid w:val="008B4882"/>
    <w:rsid w:val="008B51CF"/>
    <w:rsid w:val="008B6650"/>
    <w:rsid w:val="008C07F0"/>
    <w:rsid w:val="008C3013"/>
    <w:rsid w:val="008C3247"/>
    <w:rsid w:val="008C476D"/>
    <w:rsid w:val="008C633D"/>
    <w:rsid w:val="008C6D76"/>
    <w:rsid w:val="008C756E"/>
    <w:rsid w:val="008C79A6"/>
    <w:rsid w:val="008D00BE"/>
    <w:rsid w:val="008D05A7"/>
    <w:rsid w:val="008D1781"/>
    <w:rsid w:val="008D17B3"/>
    <w:rsid w:val="008D2AF0"/>
    <w:rsid w:val="008D3415"/>
    <w:rsid w:val="008D35CF"/>
    <w:rsid w:val="008D37FD"/>
    <w:rsid w:val="008D5786"/>
    <w:rsid w:val="008D59DC"/>
    <w:rsid w:val="008D7938"/>
    <w:rsid w:val="008D7955"/>
    <w:rsid w:val="008D7C28"/>
    <w:rsid w:val="008E05C3"/>
    <w:rsid w:val="008E0678"/>
    <w:rsid w:val="008E0C82"/>
    <w:rsid w:val="008E2350"/>
    <w:rsid w:val="008E3C71"/>
    <w:rsid w:val="008E59DB"/>
    <w:rsid w:val="008E5DF8"/>
    <w:rsid w:val="008E695C"/>
    <w:rsid w:val="008E7D2B"/>
    <w:rsid w:val="008F014C"/>
    <w:rsid w:val="008F1693"/>
    <w:rsid w:val="008F1A8D"/>
    <w:rsid w:val="008F2A4C"/>
    <w:rsid w:val="008F2CA5"/>
    <w:rsid w:val="008F57BA"/>
    <w:rsid w:val="00900DE5"/>
    <w:rsid w:val="00902C5E"/>
    <w:rsid w:val="0090422C"/>
    <w:rsid w:val="00904AD1"/>
    <w:rsid w:val="00904D99"/>
    <w:rsid w:val="009072B3"/>
    <w:rsid w:val="00907601"/>
    <w:rsid w:val="0090797F"/>
    <w:rsid w:val="00907EF6"/>
    <w:rsid w:val="00910026"/>
    <w:rsid w:val="00910768"/>
    <w:rsid w:val="00910F40"/>
    <w:rsid w:val="00911308"/>
    <w:rsid w:val="00911A4E"/>
    <w:rsid w:val="00912C08"/>
    <w:rsid w:val="009149ED"/>
    <w:rsid w:val="00915E48"/>
    <w:rsid w:val="009171F7"/>
    <w:rsid w:val="009175BA"/>
    <w:rsid w:val="00920316"/>
    <w:rsid w:val="00920E24"/>
    <w:rsid w:val="009215A2"/>
    <w:rsid w:val="00921BD3"/>
    <w:rsid w:val="009223CA"/>
    <w:rsid w:val="00923153"/>
    <w:rsid w:val="00924AF9"/>
    <w:rsid w:val="009258FD"/>
    <w:rsid w:val="00926D7C"/>
    <w:rsid w:val="00930FBE"/>
    <w:rsid w:val="0093278C"/>
    <w:rsid w:val="0093521C"/>
    <w:rsid w:val="00936984"/>
    <w:rsid w:val="00937629"/>
    <w:rsid w:val="009405CF"/>
    <w:rsid w:val="00940F93"/>
    <w:rsid w:val="0094139B"/>
    <w:rsid w:val="00941996"/>
    <w:rsid w:val="00941D12"/>
    <w:rsid w:val="009425A6"/>
    <w:rsid w:val="00944050"/>
    <w:rsid w:val="00944955"/>
    <w:rsid w:val="00945C12"/>
    <w:rsid w:val="0094646A"/>
    <w:rsid w:val="00947021"/>
    <w:rsid w:val="00951A73"/>
    <w:rsid w:val="009525F4"/>
    <w:rsid w:val="0095347F"/>
    <w:rsid w:val="0095556A"/>
    <w:rsid w:val="0095561F"/>
    <w:rsid w:val="00955AD5"/>
    <w:rsid w:val="00956FEC"/>
    <w:rsid w:val="00960148"/>
    <w:rsid w:val="009603DB"/>
    <w:rsid w:val="00963591"/>
    <w:rsid w:val="009646D5"/>
    <w:rsid w:val="00964A8D"/>
    <w:rsid w:val="00965004"/>
    <w:rsid w:val="00966BE8"/>
    <w:rsid w:val="00967EF1"/>
    <w:rsid w:val="00971A21"/>
    <w:rsid w:val="00972EEA"/>
    <w:rsid w:val="00973089"/>
    <w:rsid w:val="00973094"/>
    <w:rsid w:val="00973A49"/>
    <w:rsid w:val="00973EC6"/>
    <w:rsid w:val="00974A5E"/>
    <w:rsid w:val="00974EC6"/>
    <w:rsid w:val="009760F3"/>
    <w:rsid w:val="0097647A"/>
    <w:rsid w:val="009810AB"/>
    <w:rsid w:val="00982CB4"/>
    <w:rsid w:val="00984D70"/>
    <w:rsid w:val="00985117"/>
    <w:rsid w:val="00986DF4"/>
    <w:rsid w:val="0098718C"/>
    <w:rsid w:val="0098784C"/>
    <w:rsid w:val="00987C89"/>
    <w:rsid w:val="009909F5"/>
    <w:rsid w:val="00990C44"/>
    <w:rsid w:val="0099145D"/>
    <w:rsid w:val="009920A5"/>
    <w:rsid w:val="009922E9"/>
    <w:rsid w:val="009924E9"/>
    <w:rsid w:val="00992C29"/>
    <w:rsid w:val="009942E7"/>
    <w:rsid w:val="00995066"/>
    <w:rsid w:val="00995544"/>
    <w:rsid w:val="00997BFB"/>
    <w:rsid w:val="009A04EE"/>
    <w:rsid w:val="009A0C0F"/>
    <w:rsid w:val="009A0E8D"/>
    <w:rsid w:val="009A148E"/>
    <w:rsid w:val="009A19DC"/>
    <w:rsid w:val="009A29DB"/>
    <w:rsid w:val="009A363B"/>
    <w:rsid w:val="009A3749"/>
    <w:rsid w:val="009A665E"/>
    <w:rsid w:val="009B26E7"/>
    <w:rsid w:val="009B3B06"/>
    <w:rsid w:val="009B508D"/>
    <w:rsid w:val="009B592C"/>
    <w:rsid w:val="009B7C28"/>
    <w:rsid w:val="009C03C1"/>
    <w:rsid w:val="009C1489"/>
    <w:rsid w:val="009C2C11"/>
    <w:rsid w:val="009C464E"/>
    <w:rsid w:val="009C481E"/>
    <w:rsid w:val="009C5881"/>
    <w:rsid w:val="009C5A60"/>
    <w:rsid w:val="009C5C36"/>
    <w:rsid w:val="009C6210"/>
    <w:rsid w:val="009C6E17"/>
    <w:rsid w:val="009C6FC9"/>
    <w:rsid w:val="009C7BF3"/>
    <w:rsid w:val="009C7BF5"/>
    <w:rsid w:val="009D3B63"/>
    <w:rsid w:val="009D4425"/>
    <w:rsid w:val="009D575D"/>
    <w:rsid w:val="009D5A31"/>
    <w:rsid w:val="009D78AE"/>
    <w:rsid w:val="009E0166"/>
    <w:rsid w:val="009E06CB"/>
    <w:rsid w:val="009E0BBB"/>
    <w:rsid w:val="009E3379"/>
    <w:rsid w:val="009E3D1F"/>
    <w:rsid w:val="009E4CA2"/>
    <w:rsid w:val="009E5C5E"/>
    <w:rsid w:val="009E5E24"/>
    <w:rsid w:val="009E5FEB"/>
    <w:rsid w:val="009E6E8E"/>
    <w:rsid w:val="009E7676"/>
    <w:rsid w:val="009E782E"/>
    <w:rsid w:val="009F11F1"/>
    <w:rsid w:val="009F411E"/>
    <w:rsid w:val="009F5B83"/>
    <w:rsid w:val="009F623D"/>
    <w:rsid w:val="009F7DB9"/>
    <w:rsid w:val="009F7DFA"/>
    <w:rsid w:val="00A00117"/>
    <w:rsid w:val="00A00A3F"/>
    <w:rsid w:val="00A01489"/>
    <w:rsid w:val="00A014A1"/>
    <w:rsid w:val="00A026C7"/>
    <w:rsid w:val="00A03FE9"/>
    <w:rsid w:val="00A04D06"/>
    <w:rsid w:val="00A054ED"/>
    <w:rsid w:val="00A057DC"/>
    <w:rsid w:val="00A079CB"/>
    <w:rsid w:val="00A07CED"/>
    <w:rsid w:val="00A10175"/>
    <w:rsid w:val="00A10CC6"/>
    <w:rsid w:val="00A10E95"/>
    <w:rsid w:val="00A1140B"/>
    <w:rsid w:val="00A1166A"/>
    <w:rsid w:val="00A11739"/>
    <w:rsid w:val="00A1254D"/>
    <w:rsid w:val="00A12966"/>
    <w:rsid w:val="00A13ABC"/>
    <w:rsid w:val="00A14BA9"/>
    <w:rsid w:val="00A154CF"/>
    <w:rsid w:val="00A160AF"/>
    <w:rsid w:val="00A176FD"/>
    <w:rsid w:val="00A205D9"/>
    <w:rsid w:val="00A20DF9"/>
    <w:rsid w:val="00A20FFB"/>
    <w:rsid w:val="00A21CAF"/>
    <w:rsid w:val="00A230D4"/>
    <w:rsid w:val="00A238C4"/>
    <w:rsid w:val="00A242DB"/>
    <w:rsid w:val="00A24801"/>
    <w:rsid w:val="00A258BE"/>
    <w:rsid w:val="00A26B29"/>
    <w:rsid w:val="00A30B7B"/>
    <w:rsid w:val="00A30CAF"/>
    <w:rsid w:val="00A338F1"/>
    <w:rsid w:val="00A35D12"/>
    <w:rsid w:val="00A3646B"/>
    <w:rsid w:val="00A36928"/>
    <w:rsid w:val="00A37567"/>
    <w:rsid w:val="00A37A47"/>
    <w:rsid w:val="00A37EA1"/>
    <w:rsid w:val="00A40793"/>
    <w:rsid w:val="00A40AC7"/>
    <w:rsid w:val="00A40CEC"/>
    <w:rsid w:val="00A4233A"/>
    <w:rsid w:val="00A42980"/>
    <w:rsid w:val="00A42EA0"/>
    <w:rsid w:val="00A43307"/>
    <w:rsid w:val="00A435C8"/>
    <w:rsid w:val="00A43CA8"/>
    <w:rsid w:val="00A44615"/>
    <w:rsid w:val="00A44FAA"/>
    <w:rsid w:val="00A45108"/>
    <w:rsid w:val="00A45349"/>
    <w:rsid w:val="00A45BFB"/>
    <w:rsid w:val="00A463D7"/>
    <w:rsid w:val="00A46ACA"/>
    <w:rsid w:val="00A504E1"/>
    <w:rsid w:val="00A51472"/>
    <w:rsid w:val="00A53A29"/>
    <w:rsid w:val="00A54B51"/>
    <w:rsid w:val="00A55BBB"/>
    <w:rsid w:val="00A55EC9"/>
    <w:rsid w:val="00A56E03"/>
    <w:rsid w:val="00A57706"/>
    <w:rsid w:val="00A5799B"/>
    <w:rsid w:val="00A6041C"/>
    <w:rsid w:val="00A613EC"/>
    <w:rsid w:val="00A620EF"/>
    <w:rsid w:val="00A649D9"/>
    <w:rsid w:val="00A64BCD"/>
    <w:rsid w:val="00A655A1"/>
    <w:rsid w:val="00A673AC"/>
    <w:rsid w:val="00A67888"/>
    <w:rsid w:val="00A70DB7"/>
    <w:rsid w:val="00A71675"/>
    <w:rsid w:val="00A7180B"/>
    <w:rsid w:val="00A71D1B"/>
    <w:rsid w:val="00A720DD"/>
    <w:rsid w:val="00A72894"/>
    <w:rsid w:val="00A72F1E"/>
    <w:rsid w:val="00A72F22"/>
    <w:rsid w:val="00A730E7"/>
    <w:rsid w:val="00A733BB"/>
    <w:rsid w:val="00A73552"/>
    <w:rsid w:val="00A7360F"/>
    <w:rsid w:val="00A74256"/>
    <w:rsid w:val="00A748A6"/>
    <w:rsid w:val="00A758E3"/>
    <w:rsid w:val="00A761F8"/>
    <w:rsid w:val="00A769F4"/>
    <w:rsid w:val="00A774DC"/>
    <w:rsid w:val="00A776B4"/>
    <w:rsid w:val="00A776DC"/>
    <w:rsid w:val="00A80029"/>
    <w:rsid w:val="00A82E01"/>
    <w:rsid w:val="00A84422"/>
    <w:rsid w:val="00A8566A"/>
    <w:rsid w:val="00A866E7"/>
    <w:rsid w:val="00A86884"/>
    <w:rsid w:val="00A87FCB"/>
    <w:rsid w:val="00A911A6"/>
    <w:rsid w:val="00A92084"/>
    <w:rsid w:val="00A92BAC"/>
    <w:rsid w:val="00A94361"/>
    <w:rsid w:val="00A94511"/>
    <w:rsid w:val="00A94D30"/>
    <w:rsid w:val="00A9530B"/>
    <w:rsid w:val="00A960FD"/>
    <w:rsid w:val="00A968CD"/>
    <w:rsid w:val="00AA09AB"/>
    <w:rsid w:val="00AA0C7A"/>
    <w:rsid w:val="00AA293C"/>
    <w:rsid w:val="00AA33AB"/>
    <w:rsid w:val="00AA5FB6"/>
    <w:rsid w:val="00AB0D91"/>
    <w:rsid w:val="00AB1A32"/>
    <w:rsid w:val="00AB2AE7"/>
    <w:rsid w:val="00AB4855"/>
    <w:rsid w:val="00AB4894"/>
    <w:rsid w:val="00AB5AAA"/>
    <w:rsid w:val="00AB62BE"/>
    <w:rsid w:val="00AB6832"/>
    <w:rsid w:val="00AB6E38"/>
    <w:rsid w:val="00AB77E5"/>
    <w:rsid w:val="00AC02FA"/>
    <w:rsid w:val="00AC0AF3"/>
    <w:rsid w:val="00AC298E"/>
    <w:rsid w:val="00AC3239"/>
    <w:rsid w:val="00AC32E9"/>
    <w:rsid w:val="00AC42FA"/>
    <w:rsid w:val="00AC43D2"/>
    <w:rsid w:val="00AC6956"/>
    <w:rsid w:val="00AC7FBC"/>
    <w:rsid w:val="00AD11F5"/>
    <w:rsid w:val="00AD1C51"/>
    <w:rsid w:val="00AD219F"/>
    <w:rsid w:val="00AD2DB8"/>
    <w:rsid w:val="00AD4BED"/>
    <w:rsid w:val="00AD5AA8"/>
    <w:rsid w:val="00AD7A96"/>
    <w:rsid w:val="00AE02C7"/>
    <w:rsid w:val="00AE1071"/>
    <w:rsid w:val="00AE2783"/>
    <w:rsid w:val="00AE3190"/>
    <w:rsid w:val="00AE3FFA"/>
    <w:rsid w:val="00AE455C"/>
    <w:rsid w:val="00AE4693"/>
    <w:rsid w:val="00AE5998"/>
    <w:rsid w:val="00AE5ECB"/>
    <w:rsid w:val="00AE709E"/>
    <w:rsid w:val="00AF0E7F"/>
    <w:rsid w:val="00AF1443"/>
    <w:rsid w:val="00AF18CB"/>
    <w:rsid w:val="00AF2905"/>
    <w:rsid w:val="00AF3D86"/>
    <w:rsid w:val="00B00059"/>
    <w:rsid w:val="00B00611"/>
    <w:rsid w:val="00B015FE"/>
    <w:rsid w:val="00B03113"/>
    <w:rsid w:val="00B1244D"/>
    <w:rsid w:val="00B13E9B"/>
    <w:rsid w:val="00B1484A"/>
    <w:rsid w:val="00B1562F"/>
    <w:rsid w:val="00B15B29"/>
    <w:rsid w:val="00B173FD"/>
    <w:rsid w:val="00B20001"/>
    <w:rsid w:val="00B2196F"/>
    <w:rsid w:val="00B21DFD"/>
    <w:rsid w:val="00B22BA4"/>
    <w:rsid w:val="00B23ABC"/>
    <w:rsid w:val="00B23ABE"/>
    <w:rsid w:val="00B258D9"/>
    <w:rsid w:val="00B27917"/>
    <w:rsid w:val="00B30179"/>
    <w:rsid w:val="00B3029A"/>
    <w:rsid w:val="00B30358"/>
    <w:rsid w:val="00B3082E"/>
    <w:rsid w:val="00B30A67"/>
    <w:rsid w:val="00B31A77"/>
    <w:rsid w:val="00B31F7F"/>
    <w:rsid w:val="00B33343"/>
    <w:rsid w:val="00B339A7"/>
    <w:rsid w:val="00B349B5"/>
    <w:rsid w:val="00B356AB"/>
    <w:rsid w:val="00B37FCE"/>
    <w:rsid w:val="00B404D2"/>
    <w:rsid w:val="00B40E34"/>
    <w:rsid w:val="00B442B2"/>
    <w:rsid w:val="00B46108"/>
    <w:rsid w:val="00B46E0D"/>
    <w:rsid w:val="00B504EE"/>
    <w:rsid w:val="00B51157"/>
    <w:rsid w:val="00B51773"/>
    <w:rsid w:val="00B5241F"/>
    <w:rsid w:val="00B5255F"/>
    <w:rsid w:val="00B5307A"/>
    <w:rsid w:val="00B54800"/>
    <w:rsid w:val="00B55EA2"/>
    <w:rsid w:val="00B56E4A"/>
    <w:rsid w:val="00B56E9C"/>
    <w:rsid w:val="00B6111A"/>
    <w:rsid w:val="00B61FBB"/>
    <w:rsid w:val="00B63B09"/>
    <w:rsid w:val="00B64A06"/>
    <w:rsid w:val="00B64B1F"/>
    <w:rsid w:val="00B65016"/>
    <w:rsid w:val="00B6553F"/>
    <w:rsid w:val="00B65F7F"/>
    <w:rsid w:val="00B66E5E"/>
    <w:rsid w:val="00B67048"/>
    <w:rsid w:val="00B67C2A"/>
    <w:rsid w:val="00B707DA"/>
    <w:rsid w:val="00B72709"/>
    <w:rsid w:val="00B72D5B"/>
    <w:rsid w:val="00B72FED"/>
    <w:rsid w:val="00B730F9"/>
    <w:rsid w:val="00B73F6F"/>
    <w:rsid w:val="00B7404A"/>
    <w:rsid w:val="00B779C7"/>
    <w:rsid w:val="00B77D05"/>
    <w:rsid w:val="00B802BC"/>
    <w:rsid w:val="00B81158"/>
    <w:rsid w:val="00B81206"/>
    <w:rsid w:val="00B81E12"/>
    <w:rsid w:val="00B824FE"/>
    <w:rsid w:val="00B839BC"/>
    <w:rsid w:val="00B83A69"/>
    <w:rsid w:val="00B83FB7"/>
    <w:rsid w:val="00B843B5"/>
    <w:rsid w:val="00B844EF"/>
    <w:rsid w:val="00B86725"/>
    <w:rsid w:val="00B8765D"/>
    <w:rsid w:val="00B9067B"/>
    <w:rsid w:val="00B90E7E"/>
    <w:rsid w:val="00B91623"/>
    <w:rsid w:val="00B91A26"/>
    <w:rsid w:val="00B930D7"/>
    <w:rsid w:val="00B94711"/>
    <w:rsid w:val="00B9473E"/>
    <w:rsid w:val="00B97B3D"/>
    <w:rsid w:val="00BA0EC7"/>
    <w:rsid w:val="00BA202C"/>
    <w:rsid w:val="00BA2324"/>
    <w:rsid w:val="00BA325F"/>
    <w:rsid w:val="00BA3456"/>
    <w:rsid w:val="00BA3A07"/>
    <w:rsid w:val="00BA4180"/>
    <w:rsid w:val="00BA64F0"/>
    <w:rsid w:val="00BA6C90"/>
    <w:rsid w:val="00BA6FC4"/>
    <w:rsid w:val="00BB068F"/>
    <w:rsid w:val="00BB1A77"/>
    <w:rsid w:val="00BB4543"/>
    <w:rsid w:val="00BB4652"/>
    <w:rsid w:val="00BB46DE"/>
    <w:rsid w:val="00BB544C"/>
    <w:rsid w:val="00BB596F"/>
    <w:rsid w:val="00BB5EEA"/>
    <w:rsid w:val="00BB6105"/>
    <w:rsid w:val="00BB7073"/>
    <w:rsid w:val="00BB748C"/>
    <w:rsid w:val="00BB770B"/>
    <w:rsid w:val="00BC21C0"/>
    <w:rsid w:val="00BC27C1"/>
    <w:rsid w:val="00BC2C23"/>
    <w:rsid w:val="00BC3028"/>
    <w:rsid w:val="00BC3635"/>
    <w:rsid w:val="00BC4660"/>
    <w:rsid w:val="00BC4843"/>
    <w:rsid w:val="00BC74E9"/>
    <w:rsid w:val="00BD035E"/>
    <w:rsid w:val="00BD080D"/>
    <w:rsid w:val="00BD3F51"/>
    <w:rsid w:val="00BD4019"/>
    <w:rsid w:val="00BD4114"/>
    <w:rsid w:val="00BD44C7"/>
    <w:rsid w:val="00BD472C"/>
    <w:rsid w:val="00BD7308"/>
    <w:rsid w:val="00BD7312"/>
    <w:rsid w:val="00BD7DC9"/>
    <w:rsid w:val="00BE05D4"/>
    <w:rsid w:val="00BE1BFD"/>
    <w:rsid w:val="00BE2A33"/>
    <w:rsid w:val="00BE3943"/>
    <w:rsid w:val="00BE5A4D"/>
    <w:rsid w:val="00BE6168"/>
    <w:rsid w:val="00BE62EE"/>
    <w:rsid w:val="00BE6938"/>
    <w:rsid w:val="00BE753D"/>
    <w:rsid w:val="00BE7726"/>
    <w:rsid w:val="00BF2A29"/>
    <w:rsid w:val="00BF3962"/>
    <w:rsid w:val="00BF4618"/>
    <w:rsid w:val="00BF59AA"/>
    <w:rsid w:val="00BF5FBA"/>
    <w:rsid w:val="00BF6207"/>
    <w:rsid w:val="00BF68A8"/>
    <w:rsid w:val="00BF6D87"/>
    <w:rsid w:val="00BF740A"/>
    <w:rsid w:val="00C0103E"/>
    <w:rsid w:val="00C01502"/>
    <w:rsid w:val="00C018B2"/>
    <w:rsid w:val="00C02BE5"/>
    <w:rsid w:val="00C039EA"/>
    <w:rsid w:val="00C03C11"/>
    <w:rsid w:val="00C0562B"/>
    <w:rsid w:val="00C0639E"/>
    <w:rsid w:val="00C064D7"/>
    <w:rsid w:val="00C06EBD"/>
    <w:rsid w:val="00C06F4B"/>
    <w:rsid w:val="00C105EC"/>
    <w:rsid w:val="00C10706"/>
    <w:rsid w:val="00C111F5"/>
    <w:rsid w:val="00C113B0"/>
    <w:rsid w:val="00C119F8"/>
    <w:rsid w:val="00C11A03"/>
    <w:rsid w:val="00C124D3"/>
    <w:rsid w:val="00C13403"/>
    <w:rsid w:val="00C20B31"/>
    <w:rsid w:val="00C21AF2"/>
    <w:rsid w:val="00C2257D"/>
    <w:rsid w:val="00C245C2"/>
    <w:rsid w:val="00C25709"/>
    <w:rsid w:val="00C264C6"/>
    <w:rsid w:val="00C30941"/>
    <w:rsid w:val="00C30D55"/>
    <w:rsid w:val="00C31899"/>
    <w:rsid w:val="00C31A1A"/>
    <w:rsid w:val="00C31F6C"/>
    <w:rsid w:val="00C32460"/>
    <w:rsid w:val="00C32B5A"/>
    <w:rsid w:val="00C32DF1"/>
    <w:rsid w:val="00C33A7E"/>
    <w:rsid w:val="00C3461B"/>
    <w:rsid w:val="00C3591C"/>
    <w:rsid w:val="00C35927"/>
    <w:rsid w:val="00C370C0"/>
    <w:rsid w:val="00C405CF"/>
    <w:rsid w:val="00C4108B"/>
    <w:rsid w:val="00C42284"/>
    <w:rsid w:val="00C4233B"/>
    <w:rsid w:val="00C44B38"/>
    <w:rsid w:val="00C45B87"/>
    <w:rsid w:val="00C45C51"/>
    <w:rsid w:val="00C4621B"/>
    <w:rsid w:val="00C463DD"/>
    <w:rsid w:val="00C466C1"/>
    <w:rsid w:val="00C471A7"/>
    <w:rsid w:val="00C4724C"/>
    <w:rsid w:val="00C5034F"/>
    <w:rsid w:val="00C5099B"/>
    <w:rsid w:val="00C50AA0"/>
    <w:rsid w:val="00C50AD3"/>
    <w:rsid w:val="00C5224F"/>
    <w:rsid w:val="00C52C7A"/>
    <w:rsid w:val="00C52E61"/>
    <w:rsid w:val="00C56A13"/>
    <w:rsid w:val="00C60806"/>
    <w:rsid w:val="00C629A0"/>
    <w:rsid w:val="00C63F1A"/>
    <w:rsid w:val="00C64B3A"/>
    <w:rsid w:val="00C655B5"/>
    <w:rsid w:val="00C66259"/>
    <w:rsid w:val="00C66655"/>
    <w:rsid w:val="00C67285"/>
    <w:rsid w:val="00C7137E"/>
    <w:rsid w:val="00C72888"/>
    <w:rsid w:val="00C72AA2"/>
    <w:rsid w:val="00C72D23"/>
    <w:rsid w:val="00C738CB"/>
    <w:rsid w:val="00C745C3"/>
    <w:rsid w:val="00C74C4A"/>
    <w:rsid w:val="00C7602A"/>
    <w:rsid w:val="00C76AB6"/>
    <w:rsid w:val="00C76C03"/>
    <w:rsid w:val="00C77A08"/>
    <w:rsid w:val="00C8002E"/>
    <w:rsid w:val="00C80211"/>
    <w:rsid w:val="00C82394"/>
    <w:rsid w:val="00C845A6"/>
    <w:rsid w:val="00C86DC7"/>
    <w:rsid w:val="00C877C0"/>
    <w:rsid w:val="00C87ACB"/>
    <w:rsid w:val="00C9074B"/>
    <w:rsid w:val="00C90AE0"/>
    <w:rsid w:val="00C91471"/>
    <w:rsid w:val="00C927D7"/>
    <w:rsid w:val="00C932A0"/>
    <w:rsid w:val="00C93758"/>
    <w:rsid w:val="00C93899"/>
    <w:rsid w:val="00C93E13"/>
    <w:rsid w:val="00C95D6B"/>
    <w:rsid w:val="00C97266"/>
    <w:rsid w:val="00C979EE"/>
    <w:rsid w:val="00C97F6C"/>
    <w:rsid w:val="00CA0319"/>
    <w:rsid w:val="00CA19C0"/>
    <w:rsid w:val="00CA1ED5"/>
    <w:rsid w:val="00CA2817"/>
    <w:rsid w:val="00CA2D6D"/>
    <w:rsid w:val="00CB158A"/>
    <w:rsid w:val="00CB41B6"/>
    <w:rsid w:val="00CB429C"/>
    <w:rsid w:val="00CB5EA6"/>
    <w:rsid w:val="00CB5F1C"/>
    <w:rsid w:val="00CC171C"/>
    <w:rsid w:val="00CC23F1"/>
    <w:rsid w:val="00CC395F"/>
    <w:rsid w:val="00CC3CBB"/>
    <w:rsid w:val="00CC416F"/>
    <w:rsid w:val="00CC60A9"/>
    <w:rsid w:val="00CC6AE6"/>
    <w:rsid w:val="00CD02EE"/>
    <w:rsid w:val="00CD2A69"/>
    <w:rsid w:val="00CD4C05"/>
    <w:rsid w:val="00CD4FB4"/>
    <w:rsid w:val="00CD50AE"/>
    <w:rsid w:val="00CD5C81"/>
    <w:rsid w:val="00CD612F"/>
    <w:rsid w:val="00CD62C5"/>
    <w:rsid w:val="00CE0284"/>
    <w:rsid w:val="00CE0D66"/>
    <w:rsid w:val="00CE2D68"/>
    <w:rsid w:val="00CE37E6"/>
    <w:rsid w:val="00CE4A8F"/>
    <w:rsid w:val="00CE577A"/>
    <w:rsid w:val="00CF2061"/>
    <w:rsid w:val="00CF2683"/>
    <w:rsid w:val="00CF2D36"/>
    <w:rsid w:val="00CF2DB5"/>
    <w:rsid w:val="00CF309A"/>
    <w:rsid w:val="00CF3B7F"/>
    <w:rsid w:val="00CF5688"/>
    <w:rsid w:val="00CF6192"/>
    <w:rsid w:val="00CF67A7"/>
    <w:rsid w:val="00CF7F88"/>
    <w:rsid w:val="00D00445"/>
    <w:rsid w:val="00D00BD2"/>
    <w:rsid w:val="00D01D4B"/>
    <w:rsid w:val="00D03BA5"/>
    <w:rsid w:val="00D05C47"/>
    <w:rsid w:val="00D07636"/>
    <w:rsid w:val="00D11B23"/>
    <w:rsid w:val="00D126E1"/>
    <w:rsid w:val="00D14F73"/>
    <w:rsid w:val="00D15558"/>
    <w:rsid w:val="00D20078"/>
    <w:rsid w:val="00D2031B"/>
    <w:rsid w:val="00D25FE2"/>
    <w:rsid w:val="00D26E83"/>
    <w:rsid w:val="00D2774E"/>
    <w:rsid w:val="00D3191F"/>
    <w:rsid w:val="00D31C3D"/>
    <w:rsid w:val="00D32989"/>
    <w:rsid w:val="00D330EA"/>
    <w:rsid w:val="00D33D59"/>
    <w:rsid w:val="00D357ED"/>
    <w:rsid w:val="00D368D5"/>
    <w:rsid w:val="00D36961"/>
    <w:rsid w:val="00D40796"/>
    <w:rsid w:val="00D41512"/>
    <w:rsid w:val="00D4197B"/>
    <w:rsid w:val="00D42020"/>
    <w:rsid w:val="00D43252"/>
    <w:rsid w:val="00D4332F"/>
    <w:rsid w:val="00D44BC2"/>
    <w:rsid w:val="00D45958"/>
    <w:rsid w:val="00D46904"/>
    <w:rsid w:val="00D4754E"/>
    <w:rsid w:val="00D47EEA"/>
    <w:rsid w:val="00D5017B"/>
    <w:rsid w:val="00D51703"/>
    <w:rsid w:val="00D52C82"/>
    <w:rsid w:val="00D54C28"/>
    <w:rsid w:val="00D55176"/>
    <w:rsid w:val="00D559A9"/>
    <w:rsid w:val="00D55E84"/>
    <w:rsid w:val="00D568D4"/>
    <w:rsid w:val="00D56982"/>
    <w:rsid w:val="00D57244"/>
    <w:rsid w:val="00D575B1"/>
    <w:rsid w:val="00D57855"/>
    <w:rsid w:val="00D57A12"/>
    <w:rsid w:val="00D600F2"/>
    <w:rsid w:val="00D61FE8"/>
    <w:rsid w:val="00D63E58"/>
    <w:rsid w:val="00D642FB"/>
    <w:rsid w:val="00D64562"/>
    <w:rsid w:val="00D65891"/>
    <w:rsid w:val="00D673CB"/>
    <w:rsid w:val="00D6753B"/>
    <w:rsid w:val="00D735FC"/>
    <w:rsid w:val="00D76E60"/>
    <w:rsid w:val="00D80C92"/>
    <w:rsid w:val="00D82803"/>
    <w:rsid w:val="00D82DF2"/>
    <w:rsid w:val="00D83797"/>
    <w:rsid w:val="00D8379A"/>
    <w:rsid w:val="00D84528"/>
    <w:rsid w:val="00D85337"/>
    <w:rsid w:val="00D87D77"/>
    <w:rsid w:val="00D90D2A"/>
    <w:rsid w:val="00D91464"/>
    <w:rsid w:val="00D92FE5"/>
    <w:rsid w:val="00D940F8"/>
    <w:rsid w:val="00D94FA7"/>
    <w:rsid w:val="00D95303"/>
    <w:rsid w:val="00D953BE"/>
    <w:rsid w:val="00D95677"/>
    <w:rsid w:val="00D958CC"/>
    <w:rsid w:val="00D9599A"/>
    <w:rsid w:val="00D978C6"/>
    <w:rsid w:val="00D97ABD"/>
    <w:rsid w:val="00D97AD9"/>
    <w:rsid w:val="00DA04A7"/>
    <w:rsid w:val="00DA16DA"/>
    <w:rsid w:val="00DA25C6"/>
    <w:rsid w:val="00DA3111"/>
    <w:rsid w:val="00DA321A"/>
    <w:rsid w:val="00DA3693"/>
    <w:rsid w:val="00DA3B16"/>
    <w:rsid w:val="00DA3C1C"/>
    <w:rsid w:val="00DA4FC5"/>
    <w:rsid w:val="00DA5E37"/>
    <w:rsid w:val="00DB0340"/>
    <w:rsid w:val="00DB0C79"/>
    <w:rsid w:val="00DB118A"/>
    <w:rsid w:val="00DB173E"/>
    <w:rsid w:val="00DB3ED7"/>
    <w:rsid w:val="00DB469B"/>
    <w:rsid w:val="00DB64FC"/>
    <w:rsid w:val="00DC028D"/>
    <w:rsid w:val="00DC0399"/>
    <w:rsid w:val="00DC046E"/>
    <w:rsid w:val="00DC143C"/>
    <w:rsid w:val="00DC19C4"/>
    <w:rsid w:val="00DC225E"/>
    <w:rsid w:val="00DC3732"/>
    <w:rsid w:val="00DC3E63"/>
    <w:rsid w:val="00DC4A46"/>
    <w:rsid w:val="00DC570F"/>
    <w:rsid w:val="00DC60BE"/>
    <w:rsid w:val="00DC6448"/>
    <w:rsid w:val="00DC67A5"/>
    <w:rsid w:val="00DC6ACB"/>
    <w:rsid w:val="00DC6C81"/>
    <w:rsid w:val="00DC788E"/>
    <w:rsid w:val="00DC7FE6"/>
    <w:rsid w:val="00DD13D2"/>
    <w:rsid w:val="00DD2817"/>
    <w:rsid w:val="00DD4137"/>
    <w:rsid w:val="00DD4E33"/>
    <w:rsid w:val="00DD6592"/>
    <w:rsid w:val="00DD7392"/>
    <w:rsid w:val="00DE2E32"/>
    <w:rsid w:val="00DE4F71"/>
    <w:rsid w:val="00DE571E"/>
    <w:rsid w:val="00DE7929"/>
    <w:rsid w:val="00DF03BA"/>
    <w:rsid w:val="00DF0882"/>
    <w:rsid w:val="00DF0AAE"/>
    <w:rsid w:val="00DF2BD7"/>
    <w:rsid w:val="00DF3FF9"/>
    <w:rsid w:val="00DF4576"/>
    <w:rsid w:val="00DF51B1"/>
    <w:rsid w:val="00DF5370"/>
    <w:rsid w:val="00DF5859"/>
    <w:rsid w:val="00DF6B22"/>
    <w:rsid w:val="00DF764B"/>
    <w:rsid w:val="00DF772E"/>
    <w:rsid w:val="00E0149B"/>
    <w:rsid w:val="00E0223C"/>
    <w:rsid w:val="00E02FEB"/>
    <w:rsid w:val="00E04BC1"/>
    <w:rsid w:val="00E05F0C"/>
    <w:rsid w:val="00E06098"/>
    <w:rsid w:val="00E072E5"/>
    <w:rsid w:val="00E07664"/>
    <w:rsid w:val="00E1165D"/>
    <w:rsid w:val="00E131ED"/>
    <w:rsid w:val="00E1441C"/>
    <w:rsid w:val="00E15A16"/>
    <w:rsid w:val="00E15BC2"/>
    <w:rsid w:val="00E15E5E"/>
    <w:rsid w:val="00E17EBA"/>
    <w:rsid w:val="00E24899"/>
    <w:rsid w:val="00E24BC5"/>
    <w:rsid w:val="00E24FE4"/>
    <w:rsid w:val="00E25FFA"/>
    <w:rsid w:val="00E264E7"/>
    <w:rsid w:val="00E27346"/>
    <w:rsid w:val="00E30A4E"/>
    <w:rsid w:val="00E3107A"/>
    <w:rsid w:val="00E31594"/>
    <w:rsid w:val="00E31801"/>
    <w:rsid w:val="00E330E6"/>
    <w:rsid w:val="00E34CAD"/>
    <w:rsid w:val="00E34E31"/>
    <w:rsid w:val="00E34ED4"/>
    <w:rsid w:val="00E360C3"/>
    <w:rsid w:val="00E3686A"/>
    <w:rsid w:val="00E37847"/>
    <w:rsid w:val="00E37BE6"/>
    <w:rsid w:val="00E4035E"/>
    <w:rsid w:val="00E406B6"/>
    <w:rsid w:val="00E40FF3"/>
    <w:rsid w:val="00E41402"/>
    <w:rsid w:val="00E4244F"/>
    <w:rsid w:val="00E428E6"/>
    <w:rsid w:val="00E43590"/>
    <w:rsid w:val="00E501ED"/>
    <w:rsid w:val="00E507AD"/>
    <w:rsid w:val="00E50C40"/>
    <w:rsid w:val="00E53A23"/>
    <w:rsid w:val="00E53AB3"/>
    <w:rsid w:val="00E53EFD"/>
    <w:rsid w:val="00E543D4"/>
    <w:rsid w:val="00E55870"/>
    <w:rsid w:val="00E56655"/>
    <w:rsid w:val="00E56BB3"/>
    <w:rsid w:val="00E57232"/>
    <w:rsid w:val="00E5748B"/>
    <w:rsid w:val="00E57E41"/>
    <w:rsid w:val="00E6035E"/>
    <w:rsid w:val="00E60C6F"/>
    <w:rsid w:val="00E6217C"/>
    <w:rsid w:val="00E63D24"/>
    <w:rsid w:val="00E64548"/>
    <w:rsid w:val="00E645DC"/>
    <w:rsid w:val="00E66E3A"/>
    <w:rsid w:val="00E6701D"/>
    <w:rsid w:val="00E70405"/>
    <w:rsid w:val="00E715CF"/>
    <w:rsid w:val="00E71BC8"/>
    <w:rsid w:val="00E71C8B"/>
    <w:rsid w:val="00E72183"/>
    <w:rsid w:val="00E7260F"/>
    <w:rsid w:val="00E726FA"/>
    <w:rsid w:val="00E72A7E"/>
    <w:rsid w:val="00E72C43"/>
    <w:rsid w:val="00E735E0"/>
    <w:rsid w:val="00E742B3"/>
    <w:rsid w:val="00E7572A"/>
    <w:rsid w:val="00E75E5D"/>
    <w:rsid w:val="00E75FDB"/>
    <w:rsid w:val="00E779FC"/>
    <w:rsid w:val="00E80FF5"/>
    <w:rsid w:val="00E827A0"/>
    <w:rsid w:val="00E82AA4"/>
    <w:rsid w:val="00E8312A"/>
    <w:rsid w:val="00E838CF"/>
    <w:rsid w:val="00E84199"/>
    <w:rsid w:val="00E84E03"/>
    <w:rsid w:val="00E903AF"/>
    <w:rsid w:val="00E91174"/>
    <w:rsid w:val="00E92EBD"/>
    <w:rsid w:val="00E93CE3"/>
    <w:rsid w:val="00E93D27"/>
    <w:rsid w:val="00E96630"/>
    <w:rsid w:val="00E96987"/>
    <w:rsid w:val="00EA01FC"/>
    <w:rsid w:val="00EA08DE"/>
    <w:rsid w:val="00EA0D03"/>
    <w:rsid w:val="00EA0DF5"/>
    <w:rsid w:val="00EA1682"/>
    <w:rsid w:val="00EA30E9"/>
    <w:rsid w:val="00EA31C3"/>
    <w:rsid w:val="00EA44FD"/>
    <w:rsid w:val="00EA4666"/>
    <w:rsid w:val="00EA4B87"/>
    <w:rsid w:val="00EA7C92"/>
    <w:rsid w:val="00EA7CE6"/>
    <w:rsid w:val="00EB2581"/>
    <w:rsid w:val="00EB273F"/>
    <w:rsid w:val="00EB2D82"/>
    <w:rsid w:val="00EB5948"/>
    <w:rsid w:val="00EB7A5E"/>
    <w:rsid w:val="00EC1425"/>
    <w:rsid w:val="00EC1646"/>
    <w:rsid w:val="00EC390C"/>
    <w:rsid w:val="00EC71A6"/>
    <w:rsid w:val="00EC7E2E"/>
    <w:rsid w:val="00ED139E"/>
    <w:rsid w:val="00ED20B3"/>
    <w:rsid w:val="00ED2EBC"/>
    <w:rsid w:val="00ED377E"/>
    <w:rsid w:val="00ED422B"/>
    <w:rsid w:val="00ED4DF2"/>
    <w:rsid w:val="00ED5537"/>
    <w:rsid w:val="00ED5F80"/>
    <w:rsid w:val="00ED640A"/>
    <w:rsid w:val="00ED757D"/>
    <w:rsid w:val="00ED7A2A"/>
    <w:rsid w:val="00EE02DD"/>
    <w:rsid w:val="00EE1073"/>
    <w:rsid w:val="00EE1307"/>
    <w:rsid w:val="00EE1B90"/>
    <w:rsid w:val="00EE30FF"/>
    <w:rsid w:val="00EE32EA"/>
    <w:rsid w:val="00EE4CC2"/>
    <w:rsid w:val="00EE4E8E"/>
    <w:rsid w:val="00EE581F"/>
    <w:rsid w:val="00EE76F7"/>
    <w:rsid w:val="00EE7C1C"/>
    <w:rsid w:val="00EF13F0"/>
    <w:rsid w:val="00EF168C"/>
    <w:rsid w:val="00EF1B89"/>
    <w:rsid w:val="00EF1D7F"/>
    <w:rsid w:val="00EF290D"/>
    <w:rsid w:val="00EF319D"/>
    <w:rsid w:val="00EF4089"/>
    <w:rsid w:val="00EF42E6"/>
    <w:rsid w:val="00EF5263"/>
    <w:rsid w:val="00EF5ACC"/>
    <w:rsid w:val="00EF6DB2"/>
    <w:rsid w:val="00EF75AA"/>
    <w:rsid w:val="00EF7A5B"/>
    <w:rsid w:val="00F00709"/>
    <w:rsid w:val="00F0364E"/>
    <w:rsid w:val="00F03ACB"/>
    <w:rsid w:val="00F056CE"/>
    <w:rsid w:val="00F05A15"/>
    <w:rsid w:val="00F06627"/>
    <w:rsid w:val="00F07DB7"/>
    <w:rsid w:val="00F07EA7"/>
    <w:rsid w:val="00F104CE"/>
    <w:rsid w:val="00F10576"/>
    <w:rsid w:val="00F11CD2"/>
    <w:rsid w:val="00F12CF1"/>
    <w:rsid w:val="00F15120"/>
    <w:rsid w:val="00F15BD2"/>
    <w:rsid w:val="00F15DF0"/>
    <w:rsid w:val="00F1629B"/>
    <w:rsid w:val="00F16631"/>
    <w:rsid w:val="00F16E40"/>
    <w:rsid w:val="00F17233"/>
    <w:rsid w:val="00F20BA4"/>
    <w:rsid w:val="00F20C3D"/>
    <w:rsid w:val="00F21721"/>
    <w:rsid w:val="00F21724"/>
    <w:rsid w:val="00F24F8E"/>
    <w:rsid w:val="00F256F1"/>
    <w:rsid w:val="00F3053A"/>
    <w:rsid w:val="00F30733"/>
    <w:rsid w:val="00F30F82"/>
    <w:rsid w:val="00F3317B"/>
    <w:rsid w:val="00F3408D"/>
    <w:rsid w:val="00F3467D"/>
    <w:rsid w:val="00F34867"/>
    <w:rsid w:val="00F3486D"/>
    <w:rsid w:val="00F34DF4"/>
    <w:rsid w:val="00F36170"/>
    <w:rsid w:val="00F42823"/>
    <w:rsid w:val="00F42C4D"/>
    <w:rsid w:val="00F42D17"/>
    <w:rsid w:val="00F43E9E"/>
    <w:rsid w:val="00F45935"/>
    <w:rsid w:val="00F475A8"/>
    <w:rsid w:val="00F47F8E"/>
    <w:rsid w:val="00F51242"/>
    <w:rsid w:val="00F515CC"/>
    <w:rsid w:val="00F53FC9"/>
    <w:rsid w:val="00F61122"/>
    <w:rsid w:val="00F6275E"/>
    <w:rsid w:val="00F62A9E"/>
    <w:rsid w:val="00F6330E"/>
    <w:rsid w:val="00F634A7"/>
    <w:rsid w:val="00F643BE"/>
    <w:rsid w:val="00F644E3"/>
    <w:rsid w:val="00F64C06"/>
    <w:rsid w:val="00F66235"/>
    <w:rsid w:val="00F726EC"/>
    <w:rsid w:val="00F7336E"/>
    <w:rsid w:val="00F737B8"/>
    <w:rsid w:val="00F73EE1"/>
    <w:rsid w:val="00F74292"/>
    <w:rsid w:val="00F74C45"/>
    <w:rsid w:val="00F822C4"/>
    <w:rsid w:val="00F831A1"/>
    <w:rsid w:val="00F83427"/>
    <w:rsid w:val="00F8468B"/>
    <w:rsid w:val="00F86F07"/>
    <w:rsid w:val="00F87AAA"/>
    <w:rsid w:val="00F87D21"/>
    <w:rsid w:val="00F9057C"/>
    <w:rsid w:val="00F906D7"/>
    <w:rsid w:val="00F93250"/>
    <w:rsid w:val="00F93781"/>
    <w:rsid w:val="00F96BFA"/>
    <w:rsid w:val="00F979C7"/>
    <w:rsid w:val="00FA0C7C"/>
    <w:rsid w:val="00FA1466"/>
    <w:rsid w:val="00FA1E5B"/>
    <w:rsid w:val="00FA3EC8"/>
    <w:rsid w:val="00FA4737"/>
    <w:rsid w:val="00FA56D5"/>
    <w:rsid w:val="00FA6551"/>
    <w:rsid w:val="00FA6A44"/>
    <w:rsid w:val="00FA6ED7"/>
    <w:rsid w:val="00FA7BA1"/>
    <w:rsid w:val="00FA7D19"/>
    <w:rsid w:val="00FB1566"/>
    <w:rsid w:val="00FB3690"/>
    <w:rsid w:val="00FB3EA2"/>
    <w:rsid w:val="00FB5445"/>
    <w:rsid w:val="00FB5C49"/>
    <w:rsid w:val="00FB613B"/>
    <w:rsid w:val="00FB70B0"/>
    <w:rsid w:val="00FC0B63"/>
    <w:rsid w:val="00FC2AD7"/>
    <w:rsid w:val="00FC2EA5"/>
    <w:rsid w:val="00FC33EC"/>
    <w:rsid w:val="00FC3557"/>
    <w:rsid w:val="00FC41BA"/>
    <w:rsid w:val="00FC41BC"/>
    <w:rsid w:val="00FC4D09"/>
    <w:rsid w:val="00FC534C"/>
    <w:rsid w:val="00FC68B7"/>
    <w:rsid w:val="00FC723C"/>
    <w:rsid w:val="00FD3972"/>
    <w:rsid w:val="00FD54C2"/>
    <w:rsid w:val="00FD7F55"/>
    <w:rsid w:val="00FE09B6"/>
    <w:rsid w:val="00FE106A"/>
    <w:rsid w:val="00FE327C"/>
    <w:rsid w:val="00FE4221"/>
    <w:rsid w:val="00FE47E5"/>
    <w:rsid w:val="00FE4C92"/>
    <w:rsid w:val="00FE747D"/>
    <w:rsid w:val="00FE7B30"/>
    <w:rsid w:val="00FE7F54"/>
    <w:rsid w:val="00FF0162"/>
    <w:rsid w:val="00FF2CB0"/>
    <w:rsid w:val="00FF36A8"/>
    <w:rsid w:val="00FF4499"/>
    <w:rsid w:val="00FF642B"/>
    <w:rsid w:val="00FF750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2602380"/>
  <w15:docId w15:val="{B46E9F22-7924-4C4D-870C-F0CFE917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Appel note de bas de p."/>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tabs>
        <w:tab w:val="clear" w:pos="1701"/>
      </w:tabs>
      <w:kinsoku w:val="0"/>
      <w:overflowPunct w:val="0"/>
      <w:autoSpaceDE w:val="0"/>
      <w:autoSpaceDN w:val="0"/>
      <w:adjustRightInd w:val="0"/>
      <w:snapToGrid w:val="0"/>
      <w:ind w:left="360" w:hanging="36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uiPriority w:val="99"/>
    <w:rsid w:val="00111738"/>
    <w:rPr>
      <w:sz w:val="18"/>
      <w:lang w:val="en-GB" w:eastAsia="en-US"/>
    </w:rPr>
  </w:style>
  <w:style w:type="character" w:customStyle="1" w:styleId="SingleTxtGChar">
    <w:name w:val="_ Single Txt_G Char"/>
    <w:link w:val="SingleTxtG"/>
    <w:rsid w:val="00111738"/>
    <w:rPr>
      <w:lang w:val="en-GB" w:eastAsia="en-US"/>
    </w:rPr>
  </w:style>
  <w:style w:type="paragraph" w:styleId="ListParagraph">
    <w:name w:val="List Paragraph"/>
    <w:basedOn w:val="Normal"/>
    <w:uiPriority w:val="34"/>
    <w:qFormat/>
    <w:rsid w:val="00111738"/>
    <w:pPr>
      <w:suppressAutoHyphens w:val="0"/>
      <w:spacing w:line="240" w:lineRule="auto"/>
      <w:ind w:left="720"/>
      <w:contextualSpacing/>
    </w:pPr>
    <w:rPr>
      <w:rFonts w:ascii="Arial" w:eastAsia="Cambria" w:hAnsi="Arial"/>
      <w:sz w:val="24"/>
      <w:szCs w:val="24"/>
      <w:lang w:val="ru-RU"/>
    </w:rPr>
  </w:style>
  <w:style w:type="paragraph" w:styleId="NoSpacing">
    <w:name w:val="No Spacing"/>
    <w:uiPriority w:val="1"/>
    <w:qFormat/>
    <w:rsid w:val="00111738"/>
    <w:rPr>
      <w:rFonts w:ascii="Calibri" w:eastAsia="Calibri" w:hAnsi="Calibri"/>
      <w:sz w:val="22"/>
      <w:szCs w:val="22"/>
      <w:lang w:val="en-US" w:eastAsia="en-US"/>
    </w:rPr>
  </w:style>
  <w:style w:type="paragraph" w:styleId="Revision">
    <w:name w:val="Revision"/>
    <w:hidden/>
    <w:uiPriority w:val="99"/>
    <w:semiHidden/>
    <w:rsid w:val="0074224E"/>
    <w:rPr>
      <w:lang w:val="en-GB" w:eastAsia="en-US"/>
    </w:rPr>
  </w:style>
  <w:style w:type="character" w:styleId="CommentReference">
    <w:name w:val="annotation reference"/>
    <w:basedOn w:val="DefaultParagraphFont"/>
    <w:semiHidden/>
    <w:unhideWhenUsed/>
    <w:rsid w:val="00465216"/>
    <w:rPr>
      <w:sz w:val="16"/>
      <w:szCs w:val="16"/>
    </w:rPr>
  </w:style>
  <w:style w:type="paragraph" w:styleId="CommentText">
    <w:name w:val="annotation text"/>
    <w:basedOn w:val="Normal"/>
    <w:link w:val="CommentTextChar"/>
    <w:unhideWhenUsed/>
    <w:rsid w:val="00D55176"/>
    <w:pPr>
      <w:spacing w:line="240" w:lineRule="auto"/>
    </w:pPr>
  </w:style>
  <w:style w:type="character" w:customStyle="1" w:styleId="CommentTextChar">
    <w:name w:val="Comment Text Char"/>
    <w:basedOn w:val="DefaultParagraphFont"/>
    <w:link w:val="CommentText"/>
    <w:rsid w:val="00465216"/>
    <w:rPr>
      <w:lang w:val="en-GB" w:eastAsia="en-US"/>
    </w:rPr>
  </w:style>
  <w:style w:type="paragraph" w:styleId="CommentSubject">
    <w:name w:val="annotation subject"/>
    <w:basedOn w:val="CommentText"/>
    <w:next w:val="CommentText"/>
    <w:link w:val="CommentSubjectChar"/>
    <w:semiHidden/>
    <w:unhideWhenUsed/>
    <w:rsid w:val="00465216"/>
    <w:rPr>
      <w:b/>
      <w:bCs/>
    </w:rPr>
  </w:style>
  <w:style w:type="character" w:customStyle="1" w:styleId="CommentSubjectChar">
    <w:name w:val="Comment Subject Char"/>
    <w:basedOn w:val="CommentTextChar"/>
    <w:link w:val="CommentSubject"/>
    <w:semiHidden/>
    <w:rsid w:val="00465216"/>
    <w:rPr>
      <w:b/>
      <w:bCs/>
      <w:lang w:val="en-GB" w:eastAsia="en-US"/>
    </w:rPr>
  </w:style>
  <w:style w:type="character" w:customStyle="1" w:styleId="fontstyle01">
    <w:name w:val="fontstyle01"/>
    <w:basedOn w:val="DefaultParagraphFont"/>
    <w:rsid w:val="00AC6956"/>
    <w:rPr>
      <w:rFonts w:ascii="*ﾇﾑｾ鄂ﾅｸ暿ｶ-Identity-H" w:eastAsia="*ﾇﾑｾ鄂ﾅｸ暿ｶ-Identity-H" w:hint="eastAsia"/>
      <w:b w:val="0"/>
      <w:bCs w:val="0"/>
      <w:i w:val="0"/>
      <w:iCs w:val="0"/>
      <w:color w:val="000000"/>
      <w:sz w:val="20"/>
      <w:szCs w:val="20"/>
    </w:rPr>
  </w:style>
  <w:style w:type="character" w:customStyle="1" w:styleId="fontstyle21">
    <w:name w:val="fontstyle21"/>
    <w:basedOn w:val="DefaultParagraphFont"/>
    <w:rsid w:val="00C06EBD"/>
    <w:rPr>
      <w:rFonts w:ascii="TimesNewRomanPS-ItalicMT" w:hAnsi="TimesNewRomanPS-ItalicMT" w:hint="default"/>
      <w:b w:val="0"/>
      <w:bCs w:val="0"/>
      <w:i/>
      <w:iCs/>
      <w:color w:val="000000"/>
      <w:sz w:val="24"/>
      <w:szCs w:val="24"/>
    </w:rPr>
  </w:style>
  <w:style w:type="character" w:styleId="Emphasis">
    <w:name w:val="Emphasis"/>
    <w:basedOn w:val="DefaultParagraphFont"/>
    <w:uiPriority w:val="20"/>
    <w:qFormat/>
    <w:rsid w:val="00BF2A29"/>
    <w:rPr>
      <w:i/>
      <w:iCs/>
    </w:rPr>
  </w:style>
  <w:style w:type="character" w:customStyle="1" w:styleId="UnresolvedMention1">
    <w:name w:val="Unresolved Mention1"/>
    <w:basedOn w:val="DefaultParagraphFont"/>
    <w:uiPriority w:val="99"/>
    <w:semiHidden/>
    <w:unhideWhenUsed/>
    <w:rsid w:val="004F457A"/>
    <w:rPr>
      <w:color w:val="605E5C"/>
      <w:shd w:val="clear" w:color="auto" w:fill="E1DFDD"/>
    </w:rPr>
  </w:style>
  <w:style w:type="character" w:customStyle="1" w:styleId="HeaderChar">
    <w:name w:val="Header Char"/>
    <w:aliases w:val="6_G Char"/>
    <w:basedOn w:val="DefaultParagraphFont"/>
    <w:link w:val="Header"/>
    <w:rsid w:val="00815F6E"/>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613482">
      <w:bodyDiv w:val="1"/>
      <w:marLeft w:val="0"/>
      <w:marRight w:val="0"/>
      <w:marTop w:val="0"/>
      <w:marBottom w:val="0"/>
      <w:divBdr>
        <w:top w:val="none" w:sz="0" w:space="0" w:color="auto"/>
        <w:left w:val="none" w:sz="0" w:space="0" w:color="auto"/>
        <w:bottom w:val="none" w:sz="0" w:space="0" w:color="auto"/>
        <w:right w:val="none" w:sz="0" w:space="0" w:color="auto"/>
      </w:divBdr>
    </w:div>
    <w:div w:id="17626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7B78-0050-4827-BEDB-6457F4413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BD79A5-1491-4D6B-A843-E58A9D44C5FA}">
  <ds:schemaRefs>
    <ds:schemaRef ds:uri="http://schemas.microsoft.com/sharepoint/v3/contenttype/forms"/>
  </ds:schemaRefs>
</ds:datastoreItem>
</file>

<file path=customXml/itemProps3.xml><?xml version="1.0" encoding="utf-8"?>
<ds:datastoreItem xmlns:ds="http://schemas.openxmlformats.org/officeDocument/2006/customXml" ds:itemID="{DE0FAB67-95EC-4CB0-BD29-95F8E0748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32D0BB-A7B1-473A-B286-5E595D16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C:\UN-Docs2017\Templates\CCPR\CCPR_E.dotm</Template>
  <TotalTime>0</TotalTime>
  <Pages>16</Pages>
  <Words>7874</Words>
  <Characters>44884</Characters>
  <Application>Microsoft Office Word</Application>
  <DocSecurity>0</DocSecurity>
  <Lines>374</Lines>
  <Paragraphs>105</Paragraphs>
  <ScaleCrop>false</ScaleCrop>
  <HeadingPairs>
    <vt:vector size="8" baseType="variant">
      <vt:variant>
        <vt:lpstr>Title</vt:lpstr>
      </vt:variant>
      <vt:variant>
        <vt:i4>1</vt:i4>
      </vt:variant>
      <vt:variant>
        <vt:lpstr>タイトル</vt:lpstr>
      </vt:variant>
      <vt:variant>
        <vt:i4>1</vt:i4>
      </vt:variant>
      <vt:variant>
        <vt:lpstr>Título</vt:lpstr>
      </vt:variant>
      <vt:variant>
        <vt:i4>1</vt:i4>
      </vt:variant>
      <vt:variant>
        <vt:lpstr>Naslov</vt:lpstr>
      </vt:variant>
      <vt:variant>
        <vt:i4>1</vt:i4>
      </vt:variant>
    </vt:vector>
  </HeadingPairs>
  <TitlesOfParts>
    <vt:vector size="4" baseType="lpstr">
      <vt:lpstr>CCPR/C/130/DR/3069/2017/Rev.1</vt:lpstr>
      <vt:lpstr>CCPR/C/130/DR/3069/2017/Rev.1</vt:lpstr>
      <vt:lpstr>CCPR/C/130/DR/3069/2017/Rev.1</vt:lpstr>
      <vt:lpstr>CCPR/C/130/DR/3069/2017</vt:lpstr>
    </vt:vector>
  </TitlesOfParts>
  <Company>CSD</Company>
  <LinksUpToDate>false</LinksUpToDate>
  <CharactersWithSpaces>52653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CCPR/C/130/DR/3069/2017/Rev.1</dc:title>
  <dc:subject>2013624</dc:subject>
  <dc:creator>Ayako Hatano - Marianna Levai</dc:creator>
  <cp:keywords/>
  <dc:description/>
  <cp:lastModifiedBy>Daniella Ferreira</cp:lastModifiedBy>
  <cp:revision>2</cp:revision>
  <cp:lastPrinted>2021-04-22T13:12:00Z</cp:lastPrinted>
  <dcterms:created xsi:type="dcterms:W3CDTF">2021-04-29T10:01:00Z</dcterms:created>
  <dcterms:modified xsi:type="dcterms:W3CDTF">2021-04-29T10:01:00Z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