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B9AA3CD" w14:textId="77777777" w:rsidTr="00F603F4">
        <w:trPr>
          <w:cantSplit/>
          <w:trHeight w:hRule="exact" w:val="851"/>
        </w:trPr>
        <w:tc>
          <w:tcPr>
            <w:tcW w:w="1276" w:type="dxa"/>
            <w:tcBorders>
              <w:bottom w:val="single" w:sz="4" w:space="0" w:color="auto"/>
            </w:tcBorders>
            <w:vAlign w:val="bottom"/>
          </w:tcPr>
          <w:p w14:paraId="4B9AA3CA" w14:textId="77777777" w:rsidR="00165C15" w:rsidRDefault="00165C15" w:rsidP="00F603F4">
            <w:pPr>
              <w:spacing w:after="80"/>
            </w:pPr>
          </w:p>
        </w:tc>
        <w:tc>
          <w:tcPr>
            <w:tcW w:w="2268" w:type="dxa"/>
            <w:tcBorders>
              <w:bottom w:val="single" w:sz="4" w:space="0" w:color="auto"/>
            </w:tcBorders>
            <w:vAlign w:val="bottom"/>
          </w:tcPr>
          <w:p w14:paraId="4B9AA3CB" w14:textId="77777777" w:rsidR="00165C15" w:rsidRPr="00B97172" w:rsidRDefault="00165C15" w:rsidP="00F603F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9AA3CC" w14:textId="2A2B051F" w:rsidR="00165C15" w:rsidRPr="006A31AE" w:rsidRDefault="00D01190" w:rsidP="0083505C">
            <w:pPr>
              <w:suppressAutoHyphens w:val="0"/>
              <w:spacing w:after="20"/>
              <w:jc w:val="right"/>
              <w:rPr>
                <w:sz w:val="40"/>
              </w:rPr>
            </w:pPr>
            <w:r w:rsidRPr="00CF05B7">
              <w:rPr>
                <w:sz w:val="40"/>
                <w:szCs w:val="40"/>
              </w:rPr>
              <w:t>CCPR</w:t>
            </w:r>
            <w:r w:rsidR="006312E1">
              <w:t>/C/</w:t>
            </w:r>
            <w:r w:rsidRPr="00CF05B7">
              <w:t>1</w:t>
            </w:r>
            <w:r>
              <w:t>31</w:t>
            </w:r>
            <w:r w:rsidR="006A31AE" w:rsidRPr="00466CBC">
              <w:t>/</w:t>
            </w:r>
            <w:r w:rsidR="006A31AE">
              <w:t>D/</w:t>
            </w:r>
            <w:r w:rsidR="00817E90">
              <w:t>2</w:t>
            </w:r>
            <w:r w:rsidR="00B014DE">
              <w:t>452</w:t>
            </w:r>
            <w:r w:rsidR="006A31AE">
              <w:t>/</w:t>
            </w:r>
            <w:r w:rsidR="00E80FA1">
              <w:t>201</w:t>
            </w:r>
            <w:r w:rsidR="00B014DE">
              <w:t>4</w:t>
            </w:r>
          </w:p>
        </w:tc>
      </w:tr>
      <w:tr w:rsidR="00165C15" w14:paraId="4B9AA3D5" w14:textId="77777777" w:rsidTr="00F603F4">
        <w:trPr>
          <w:cantSplit/>
          <w:trHeight w:hRule="exact" w:val="2835"/>
        </w:trPr>
        <w:tc>
          <w:tcPr>
            <w:tcW w:w="1276" w:type="dxa"/>
            <w:tcBorders>
              <w:top w:val="single" w:sz="4" w:space="0" w:color="auto"/>
              <w:bottom w:val="single" w:sz="12" w:space="0" w:color="auto"/>
            </w:tcBorders>
          </w:tcPr>
          <w:p w14:paraId="4B9AA3CE" w14:textId="77777777" w:rsidR="00165C15" w:rsidRDefault="00165C15" w:rsidP="00F603F4">
            <w:pPr>
              <w:spacing w:before="120"/>
            </w:pPr>
            <w:r>
              <w:rPr>
                <w:noProof/>
                <w:lang w:eastAsia="en-GB"/>
              </w:rPr>
              <w:drawing>
                <wp:inline distT="0" distB="0" distL="0" distR="0" wp14:anchorId="4B9AA43A" wp14:editId="4B9AA43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932779" w14:textId="77777777" w:rsidR="00165C15" w:rsidRDefault="00165C15" w:rsidP="00F603F4">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175A02A5" w14:textId="77777777" w:rsidR="00F60DF1" w:rsidRDefault="00F60DF1" w:rsidP="00F603F4">
            <w:pPr>
              <w:spacing w:before="120" w:line="380" w:lineRule="exact"/>
              <w:rPr>
                <w:b/>
                <w:sz w:val="34"/>
                <w:szCs w:val="40"/>
              </w:rPr>
            </w:pPr>
          </w:p>
          <w:p w14:paraId="4B9AA3CF" w14:textId="44311778" w:rsidR="00F60DF1" w:rsidRPr="00267F5F" w:rsidRDefault="00F60DF1" w:rsidP="00F603F4">
            <w:pPr>
              <w:spacing w:before="120" w:line="380" w:lineRule="exact"/>
              <w:rPr>
                <w:sz w:val="34"/>
              </w:rPr>
            </w:pPr>
            <w:r>
              <w:rPr>
                <w:sz w:val="34"/>
                <w:szCs w:val="40"/>
              </w:rPr>
              <w:t>Advance unedited version</w:t>
            </w:r>
          </w:p>
        </w:tc>
        <w:tc>
          <w:tcPr>
            <w:tcW w:w="2835" w:type="dxa"/>
            <w:tcBorders>
              <w:top w:val="single" w:sz="4" w:space="0" w:color="auto"/>
              <w:bottom w:val="single" w:sz="12" w:space="0" w:color="auto"/>
            </w:tcBorders>
          </w:tcPr>
          <w:p w14:paraId="4B9AA3D0" w14:textId="22C386DC" w:rsidR="00165C15" w:rsidRDefault="006A31AE" w:rsidP="00F603F4">
            <w:pPr>
              <w:suppressAutoHyphens w:val="0"/>
              <w:spacing w:before="240" w:line="240" w:lineRule="exact"/>
            </w:pPr>
            <w:r>
              <w:t xml:space="preserve">Distr.: </w:t>
            </w:r>
            <w:r w:rsidR="0083505C">
              <w:t>General</w:t>
            </w:r>
          </w:p>
          <w:p w14:paraId="4B9AA3D1" w14:textId="2647BA47" w:rsidR="006A31AE" w:rsidRPr="003125C4" w:rsidRDefault="00BE33D4" w:rsidP="00F603F4">
            <w:pPr>
              <w:suppressAutoHyphens w:val="0"/>
            </w:pPr>
            <w:r>
              <w:t>22</w:t>
            </w:r>
            <w:r w:rsidR="0083505C">
              <w:t xml:space="preserve"> April</w:t>
            </w:r>
            <w:r w:rsidR="00016A73">
              <w:t xml:space="preserve"> 2021</w:t>
            </w:r>
          </w:p>
          <w:p w14:paraId="4B9AA3D2" w14:textId="77777777" w:rsidR="006A31AE" w:rsidRDefault="006A31AE" w:rsidP="00F603F4">
            <w:pPr>
              <w:suppressAutoHyphens w:val="0"/>
            </w:pPr>
          </w:p>
          <w:p w14:paraId="4B9AA3D3" w14:textId="77777777" w:rsidR="006A31AE" w:rsidRDefault="006A31AE" w:rsidP="00F603F4">
            <w:pPr>
              <w:suppressAutoHyphens w:val="0"/>
            </w:pPr>
            <w:r>
              <w:t>Original: English</w:t>
            </w:r>
          </w:p>
          <w:p w14:paraId="60E67508" w14:textId="7FA1BAE2" w:rsidR="006A31AE" w:rsidRDefault="006A31AE" w:rsidP="00F603F4">
            <w:pPr>
              <w:suppressAutoHyphens w:val="0"/>
            </w:pPr>
          </w:p>
          <w:p w14:paraId="4B9AA3D4" w14:textId="3B08EFDB" w:rsidR="00F60DF1" w:rsidRDefault="00F60DF1" w:rsidP="00F603F4">
            <w:pPr>
              <w:suppressAutoHyphens w:val="0"/>
            </w:pPr>
          </w:p>
        </w:tc>
      </w:tr>
    </w:tbl>
    <w:p w14:paraId="4B9AA3D9" w14:textId="49D1D1AF" w:rsidR="009B153E" w:rsidRPr="009B153E" w:rsidRDefault="009B153E" w:rsidP="00BE33D4">
      <w:pPr>
        <w:suppressAutoHyphens w:val="0"/>
        <w:spacing w:before="120" w:line="240" w:lineRule="auto"/>
        <w:rPr>
          <w:rFonts w:eastAsiaTheme="minorEastAsia"/>
          <w:b/>
          <w:bCs/>
          <w:lang w:val="en-US" w:bidi="he-IL"/>
        </w:rPr>
      </w:pPr>
      <w:r w:rsidRPr="009B153E">
        <w:rPr>
          <w:rFonts w:eastAsiaTheme="minorEastAsia"/>
          <w:b/>
          <w:bCs/>
          <w:sz w:val="24"/>
          <w:szCs w:val="24"/>
          <w:lang w:val="en-US" w:bidi="he-IL"/>
        </w:rPr>
        <w:t>Human Rights Committee</w:t>
      </w:r>
      <w:r w:rsidRPr="009B153E">
        <w:rPr>
          <w:rFonts w:eastAsiaTheme="minorEastAsia"/>
          <w:b/>
          <w:bCs/>
          <w:sz w:val="24"/>
          <w:szCs w:val="24"/>
          <w:lang w:val="en-US" w:bidi="he-IL"/>
        </w:rPr>
        <w:br/>
      </w:r>
    </w:p>
    <w:p w14:paraId="4B9AA3DA" w14:textId="1165FBC5" w:rsidR="006A31AE" w:rsidRPr="00BE33D4" w:rsidRDefault="006A31AE" w:rsidP="00BE33D4">
      <w:pPr>
        <w:pStyle w:val="HChG"/>
      </w:pPr>
      <w:r w:rsidRPr="002F3906">
        <w:tab/>
      </w:r>
      <w:r w:rsidRPr="002F3906">
        <w:tab/>
      </w:r>
      <w:r w:rsidR="0083505C" w:rsidRPr="00BE33D4">
        <w:t>Views adopted by the Committee under article 5 (4) of the Optional Protocol, concerning c</w:t>
      </w:r>
      <w:r w:rsidRPr="00BE33D4">
        <w:t xml:space="preserve">ommunication No. </w:t>
      </w:r>
      <w:r w:rsidR="00395056" w:rsidRPr="00BE33D4">
        <w:t>2</w:t>
      </w:r>
      <w:r w:rsidR="00B014DE" w:rsidRPr="00BE33D4">
        <w:t>452/2014</w:t>
      </w:r>
      <w:r w:rsidR="0083505C" w:rsidRPr="00BE33D4">
        <w:rPr>
          <w:rStyle w:val="FootnoteReference"/>
          <w:sz w:val="28"/>
          <w:vertAlign w:val="baseline"/>
        </w:rPr>
        <w:footnoteReference w:customMarkFollows="1" w:id="1"/>
        <w:t>*</w:t>
      </w:r>
      <w:r w:rsidR="0083505C" w:rsidRPr="00BE33D4">
        <w:rPr>
          <w:vertAlign w:val="superscript"/>
        </w:rPr>
        <w:t>,</w:t>
      </w:r>
      <w:r w:rsidR="0083505C" w:rsidRPr="00BE33D4">
        <w:rPr>
          <w:rStyle w:val="FootnoteReference"/>
          <w:sz w:val="28"/>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6A31AE" w14:paraId="4B9AA3DE" w14:textId="77777777" w:rsidTr="00525607">
        <w:tc>
          <w:tcPr>
            <w:tcW w:w="3119" w:type="dxa"/>
          </w:tcPr>
          <w:p w14:paraId="4B9AA3DC" w14:textId="77777777" w:rsidR="006A31AE" w:rsidRDefault="006A31AE" w:rsidP="005553FD">
            <w:pPr>
              <w:pStyle w:val="SingleTxtG"/>
              <w:ind w:left="0" w:right="0"/>
              <w:jc w:val="left"/>
              <w:rPr>
                <w:i/>
              </w:rPr>
            </w:pPr>
            <w:r w:rsidRPr="007F4B1A">
              <w:rPr>
                <w:i/>
              </w:rPr>
              <w:t>Communication submitted by:</w:t>
            </w:r>
          </w:p>
        </w:tc>
        <w:tc>
          <w:tcPr>
            <w:tcW w:w="3685" w:type="dxa"/>
          </w:tcPr>
          <w:p w14:paraId="4B9AA3DD" w14:textId="77777777" w:rsidR="006A31AE" w:rsidRPr="00395056" w:rsidRDefault="00B014DE" w:rsidP="00B014DE">
            <w:pPr>
              <w:pStyle w:val="SingleTxtG"/>
              <w:ind w:left="0" w:right="0"/>
              <w:jc w:val="left"/>
            </w:pPr>
            <w:proofErr w:type="spellStart"/>
            <w:r>
              <w:t>Kanat</w:t>
            </w:r>
            <w:proofErr w:type="spellEnd"/>
            <w:r>
              <w:t xml:space="preserve"> </w:t>
            </w:r>
            <w:proofErr w:type="spellStart"/>
            <w:r>
              <w:t>Ibragimov</w:t>
            </w:r>
            <w:proofErr w:type="spellEnd"/>
            <w:r>
              <w:t xml:space="preserve"> </w:t>
            </w:r>
            <w:r w:rsidR="006A31AE" w:rsidRPr="00395056">
              <w:t>(represented by counsel</w:t>
            </w:r>
            <w:r w:rsidR="006A25CB">
              <w:t xml:space="preserve">, </w:t>
            </w:r>
            <w:proofErr w:type="spellStart"/>
            <w:r>
              <w:t>Bakhytzhan</w:t>
            </w:r>
            <w:proofErr w:type="spellEnd"/>
            <w:r>
              <w:t xml:space="preserve"> </w:t>
            </w:r>
            <w:proofErr w:type="spellStart"/>
            <w:r>
              <w:t>Toregozhina</w:t>
            </w:r>
            <w:proofErr w:type="spellEnd"/>
            <w:r w:rsidR="006A31AE" w:rsidRPr="00395056">
              <w:t>)</w:t>
            </w:r>
          </w:p>
        </w:tc>
      </w:tr>
      <w:tr w:rsidR="006A31AE" w14:paraId="4B9AA3E1" w14:textId="77777777" w:rsidTr="00525607">
        <w:tc>
          <w:tcPr>
            <w:tcW w:w="3119" w:type="dxa"/>
          </w:tcPr>
          <w:p w14:paraId="4B9AA3DF" w14:textId="77777777" w:rsidR="006A31AE" w:rsidRPr="00FD511F" w:rsidRDefault="006A31AE" w:rsidP="005553FD">
            <w:pPr>
              <w:pStyle w:val="SingleTxtG"/>
              <w:ind w:left="0" w:right="0"/>
              <w:jc w:val="left"/>
              <w:rPr>
                <w:i/>
              </w:rPr>
            </w:pPr>
            <w:r>
              <w:rPr>
                <w:i/>
              </w:rPr>
              <w:t>Alleged victim</w:t>
            </w:r>
            <w:r w:rsidRPr="00FD511F">
              <w:rPr>
                <w:i/>
              </w:rPr>
              <w:t>:</w:t>
            </w:r>
          </w:p>
        </w:tc>
        <w:tc>
          <w:tcPr>
            <w:tcW w:w="3685" w:type="dxa"/>
          </w:tcPr>
          <w:p w14:paraId="4B9AA3E0" w14:textId="77777777" w:rsidR="006A31AE" w:rsidRPr="00395056" w:rsidRDefault="006A31AE" w:rsidP="005553FD">
            <w:pPr>
              <w:pStyle w:val="SingleTxtG"/>
              <w:ind w:left="0" w:right="0"/>
              <w:jc w:val="left"/>
            </w:pPr>
            <w:r w:rsidRPr="00395056">
              <w:t>The author</w:t>
            </w:r>
          </w:p>
        </w:tc>
      </w:tr>
      <w:tr w:rsidR="006A31AE" w14:paraId="4B9AA3E4" w14:textId="77777777" w:rsidTr="00525607">
        <w:tc>
          <w:tcPr>
            <w:tcW w:w="3119" w:type="dxa"/>
          </w:tcPr>
          <w:p w14:paraId="4B9AA3E2" w14:textId="77777777" w:rsidR="006A31AE" w:rsidRPr="00FD511F" w:rsidRDefault="006A31AE" w:rsidP="005553FD">
            <w:pPr>
              <w:pStyle w:val="SingleTxtG"/>
              <w:ind w:left="0" w:right="0"/>
              <w:jc w:val="left"/>
              <w:rPr>
                <w:i/>
              </w:rPr>
            </w:pPr>
            <w:r>
              <w:rPr>
                <w:i/>
              </w:rPr>
              <w:t>State party</w:t>
            </w:r>
            <w:r w:rsidRPr="00FD511F">
              <w:rPr>
                <w:i/>
              </w:rPr>
              <w:t>:</w:t>
            </w:r>
          </w:p>
        </w:tc>
        <w:tc>
          <w:tcPr>
            <w:tcW w:w="3685" w:type="dxa"/>
          </w:tcPr>
          <w:p w14:paraId="4B9AA3E3" w14:textId="77777777" w:rsidR="006A31AE" w:rsidRPr="00395056" w:rsidRDefault="00E80FA1" w:rsidP="005553FD">
            <w:pPr>
              <w:pStyle w:val="SingleTxtG"/>
              <w:ind w:left="0" w:right="0"/>
              <w:jc w:val="left"/>
            </w:pPr>
            <w:r>
              <w:t>Kazakhstan</w:t>
            </w:r>
          </w:p>
        </w:tc>
      </w:tr>
      <w:tr w:rsidR="006A31AE" w14:paraId="4B9AA3E7" w14:textId="77777777" w:rsidTr="00525607">
        <w:tc>
          <w:tcPr>
            <w:tcW w:w="3119" w:type="dxa"/>
          </w:tcPr>
          <w:p w14:paraId="4B9AA3E5" w14:textId="77777777" w:rsidR="006A31AE" w:rsidRPr="006F1AA2" w:rsidRDefault="006A31AE" w:rsidP="005553FD">
            <w:pPr>
              <w:pStyle w:val="SingleTxtG"/>
              <w:ind w:left="0" w:right="0"/>
              <w:jc w:val="left"/>
              <w:rPr>
                <w:i/>
              </w:rPr>
            </w:pPr>
            <w:r w:rsidRPr="006F1AA2">
              <w:rPr>
                <w:i/>
              </w:rPr>
              <w:t>Date of communication:</w:t>
            </w:r>
          </w:p>
        </w:tc>
        <w:tc>
          <w:tcPr>
            <w:tcW w:w="3685" w:type="dxa"/>
          </w:tcPr>
          <w:p w14:paraId="4B9AA3E6" w14:textId="77777777" w:rsidR="006A31AE" w:rsidRPr="006F1AA2" w:rsidRDefault="00B014DE" w:rsidP="00B014DE">
            <w:pPr>
              <w:spacing w:after="120"/>
            </w:pPr>
            <w:r>
              <w:t>21 November 2012</w:t>
            </w:r>
            <w:r w:rsidR="006F1AA2" w:rsidRPr="006F1AA2">
              <w:t xml:space="preserve"> </w:t>
            </w:r>
            <w:r w:rsidR="006A31AE" w:rsidRPr="006F1AA2">
              <w:t>(initial submission)</w:t>
            </w:r>
          </w:p>
        </w:tc>
      </w:tr>
      <w:tr w:rsidR="006A31AE" w14:paraId="4B9AA3EB" w14:textId="77777777" w:rsidTr="00525607">
        <w:tc>
          <w:tcPr>
            <w:tcW w:w="3119" w:type="dxa"/>
          </w:tcPr>
          <w:p w14:paraId="4B9AA3E8" w14:textId="77777777" w:rsidR="006A31AE" w:rsidRPr="00FD511F" w:rsidRDefault="006A31AE" w:rsidP="005553FD">
            <w:pPr>
              <w:pStyle w:val="SingleTxtG"/>
              <w:ind w:left="0" w:right="0"/>
              <w:jc w:val="left"/>
              <w:rPr>
                <w:i/>
              </w:rPr>
            </w:pPr>
            <w:r>
              <w:rPr>
                <w:i/>
              </w:rPr>
              <w:t>Document references</w:t>
            </w:r>
            <w:r w:rsidRPr="00FD511F">
              <w:rPr>
                <w:i/>
              </w:rPr>
              <w:t>:</w:t>
            </w:r>
          </w:p>
        </w:tc>
        <w:tc>
          <w:tcPr>
            <w:tcW w:w="3685" w:type="dxa"/>
          </w:tcPr>
          <w:p w14:paraId="4B9AA3E9" w14:textId="77777777" w:rsidR="006A31AE" w:rsidRDefault="006A31AE" w:rsidP="00B014DE">
            <w:r w:rsidRPr="002F3906">
              <w:t xml:space="preserve">Decision taken </w:t>
            </w:r>
            <w:r w:rsidRPr="00AB0C7C">
              <w:t xml:space="preserve">pursuant </w:t>
            </w:r>
            <w:r w:rsidR="00B014DE" w:rsidRPr="00B014DE">
              <w:rPr>
                <w:color w:val="000000"/>
              </w:rPr>
              <w:t>to rule 9</w:t>
            </w:r>
            <w:r w:rsidR="00A0332C">
              <w:rPr>
                <w:color w:val="000000"/>
              </w:rPr>
              <w:t>2</w:t>
            </w:r>
            <w:r w:rsidR="00B014DE" w:rsidRPr="00B014DE">
              <w:rPr>
                <w:color w:val="000000"/>
              </w:rPr>
              <w:t xml:space="preserve"> of the Committee’s rules of procedure, transmitted to the State party </w:t>
            </w:r>
            <w:r w:rsidRPr="002F3906">
              <w:t xml:space="preserve">on </w:t>
            </w:r>
            <w:r w:rsidR="00B014DE">
              <w:t>19 August 2014</w:t>
            </w:r>
            <w:r w:rsidRPr="007A5A59">
              <w:rPr>
                <w:color w:val="FF0000"/>
              </w:rPr>
              <w:t xml:space="preserve"> </w:t>
            </w:r>
            <w:r w:rsidRPr="002F3906">
              <w:t>(not issued in document form)</w:t>
            </w:r>
          </w:p>
          <w:p w14:paraId="4B9AA3EA" w14:textId="77777777" w:rsidR="00B014DE" w:rsidRPr="00B014DE" w:rsidRDefault="00B014DE" w:rsidP="00B014DE">
            <w:pPr>
              <w:rPr>
                <w:color w:val="000000"/>
                <w:sz w:val="24"/>
                <w:szCs w:val="24"/>
              </w:rPr>
            </w:pPr>
          </w:p>
        </w:tc>
      </w:tr>
      <w:tr w:rsidR="006A31AE" w14:paraId="4B9AA3EE" w14:textId="77777777" w:rsidTr="00525607">
        <w:tc>
          <w:tcPr>
            <w:tcW w:w="3119" w:type="dxa"/>
          </w:tcPr>
          <w:p w14:paraId="4B9AA3EC" w14:textId="77777777" w:rsidR="006A31AE" w:rsidRPr="00FD511F" w:rsidRDefault="006A31AE" w:rsidP="005553FD">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14:paraId="4B9AA3ED" w14:textId="385688E9" w:rsidR="006A31AE" w:rsidRDefault="0083505C" w:rsidP="0083505C">
            <w:pPr>
              <w:pStyle w:val="SingleTxtG"/>
              <w:ind w:left="0" w:right="0"/>
              <w:jc w:val="left"/>
            </w:pPr>
            <w:r>
              <w:t xml:space="preserve">24 </w:t>
            </w:r>
            <w:r w:rsidR="00A0332C">
              <w:t>March 2021</w:t>
            </w:r>
          </w:p>
        </w:tc>
      </w:tr>
      <w:tr w:rsidR="006A31AE" w14:paraId="4B9AA3F1" w14:textId="77777777" w:rsidTr="00525607">
        <w:tc>
          <w:tcPr>
            <w:tcW w:w="3119" w:type="dxa"/>
          </w:tcPr>
          <w:p w14:paraId="4B9AA3EF" w14:textId="77777777" w:rsidR="006A31AE" w:rsidRPr="001A5B2B" w:rsidRDefault="006A31AE" w:rsidP="005553FD">
            <w:pPr>
              <w:pStyle w:val="SingleTxtG"/>
              <w:ind w:left="0" w:right="0"/>
              <w:jc w:val="left"/>
              <w:rPr>
                <w:i/>
              </w:rPr>
            </w:pPr>
            <w:r w:rsidRPr="001A5B2B">
              <w:rPr>
                <w:i/>
                <w:iCs/>
              </w:rPr>
              <w:t>Subject matter:</w:t>
            </w:r>
          </w:p>
        </w:tc>
        <w:tc>
          <w:tcPr>
            <w:tcW w:w="3685" w:type="dxa"/>
          </w:tcPr>
          <w:p w14:paraId="4B9AA3F0" w14:textId="77777777" w:rsidR="006A31AE" w:rsidRPr="001A5B2B" w:rsidRDefault="009334DC" w:rsidP="009334DC">
            <w:pPr>
              <w:pStyle w:val="SingleTxtG"/>
              <w:ind w:left="0" w:right="0"/>
              <w:jc w:val="left"/>
            </w:pPr>
            <w:r>
              <w:t xml:space="preserve">Subjecting the author to administrative liability and sanctioning him with administrative detention for having participated in an unauthorized </w:t>
            </w:r>
            <w:r w:rsidR="001C6EE2" w:rsidRPr="008D1EBF">
              <w:t>peaceful assembly</w:t>
            </w:r>
          </w:p>
        </w:tc>
      </w:tr>
      <w:tr w:rsidR="006A31AE" w:rsidRPr="00432A83" w14:paraId="4B9AA3F4" w14:textId="77777777" w:rsidTr="00525607">
        <w:tc>
          <w:tcPr>
            <w:tcW w:w="3119" w:type="dxa"/>
          </w:tcPr>
          <w:p w14:paraId="4B9AA3F2" w14:textId="77777777" w:rsidR="006A31AE" w:rsidRPr="001C6EE2" w:rsidRDefault="00E9523D" w:rsidP="00BA660F">
            <w:pPr>
              <w:pStyle w:val="SingleTxtG"/>
              <w:ind w:left="0" w:right="0"/>
              <w:jc w:val="left"/>
              <w:rPr>
                <w:i/>
                <w:iCs/>
              </w:rPr>
            </w:pPr>
            <w:r w:rsidRPr="001C6EE2">
              <w:rPr>
                <w:i/>
                <w:iCs/>
              </w:rPr>
              <w:t>Procedural issue</w:t>
            </w:r>
            <w:r w:rsidR="006A31AE" w:rsidRPr="001C6EE2">
              <w:rPr>
                <w:i/>
              </w:rPr>
              <w:t>:</w:t>
            </w:r>
          </w:p>
        </w:tc>
        <w:tc>
          <w:tcPr>
            <w:tcW w:w="3685" w:type="dxa"/>
          </w:tcPr>
          <w:p w14:paraId="4B9AA3F3" w14:textId="77777777" w:rsidR="006A31AE" w:rsidRPr="00432A83" w:rsidRDefault="006523A1" w:rsidP="00BA660F">
            <w:pPr>
              <w:pStyle w:val="SingleTxtG"/>
              <w:ind w:left="0" w:right="0"/>
              <w:jc w:val="left"/>
            </w:pPr>
            <w:r w:rsidRPr="00432A83">
              <w:t>Exhaustion of domestic remedies</w:t>
            </w:r>
          </w:p>
        </w:tc>
      </w:tr>
      <w:tr w:rsidR="006A31AE" w:rsidRPr="00432A83" w14:paraId="4B9AA3F7" w14:textId="77777777" w:rsidTr="00525607">
        <w:tc>
          <w:tcPr>
            <w:tcW w:w="3119" w:type="dxa"/>
          </w:tcPr>
          <w:p w14:paraId="4B9AA3F5" w14:textId="77777777" w:rsidR="006A31AE" w:rsidRPr="001C6EE2" w:rsidRDefault="006A31AE" w:rsidP="005553FD">
            <w:pPr>
              <w:pStyle w:val="SingleTxtG"/>
              <w:keepNext/>
              <w:ind w:left="0" w:right="0"/>
              <w:jc w:val="left"/>
              <w:rPr>
                <w:i/>
                <w:iCs/>
              </w:rPr>
            </w:pPr>
            <w:r w:rsidRPr="001C6EE2">
              <w:rPr>
                <w:i/>
                <w:iCs/>
              </w:rPr>
              <w:t>Substantive issues:</w:t>
            </w:r>
          </w:p>
        </w:tc>
        <w:tc>
          <w:tcPr>
            <w:tcW w:w="3685" w:type="dxa"/>
          </w:tcPr>
          <w:p w14:paraId="4B9AA3F6" w14:textId="77777777" w:rsidR="006A31AE" w:rsidRPr="00432A83" w:rsidRDefault="004979DF" w:rsidP="00BA660F">
            <w:pPr>
              <w:keepNext/>
              <w:spacing w:after="120"/>
            </w:pPr>
            <w:r w:rsidRPr="00432A83">
              <w:t>Freedom of expression; f</w:t>
            </w:r>
            <w:r w:rsidR="00E95B27" w:rsidRPr="00432A83">
              <w:t xml:space="preserve">reedom of assembly </w:t>
            </w:r>
          </w:p>
        </w:tc>
      </w:tr>
      <w:tr w:rsidR="006A31AE" w14:paraId="4B9AA3FA" w14:textId="77777777" w:rsidTr="00525607">
        <w:tc>
          <w:tcPr>
            <w:tcW w:w="3119" w:type="dxa"/>
          </w:tcPr>
          <w:p w14:paraId="4B9AA3F8" w14:textId="77777777" w:rsidR="006A31AE" w:rsidRPr="001C6EE2" w:rsidRDefault="006A31AE" w:rsidP="005553FD">
            <w:pPr>
              <w:pStyle w:val="SingleTxtG"/>
              <w:ind w:left="0" w:right="0"/>
              <w:jc w:val="left"/>
              <w:rPr>
                <w:i/>
                <w:iCs/>
              </w:rPr>
            </w:pPr>
            <w:r w:rsidRPr="001C6EE2">
              <w:rPr>
                <w:i/>
                <w:iCs/>
              </w:rPr>
              <w:t>Articles of the Covenant</w:t>
            </w:r>
            <w:r w:rsidRPr="001C6EE2">
              <w:rPr>
                <w:i/>
              </w:rPr>
              <w:t>:</w:t>
            </w:r>
          </w:p>
        </w:tc>
        <w:tc>
          <w:tcPr>
            <w:tcW w:w="3685" w:type="dxa"/>
          </w:tcPr>
          <w:p w14:paraId="4B9AA3F9" w14:textId="77777777" w:rsidR="006A31AE" w:rsidRPr="004979DF" w:rsidRDefault="004979DF" w:rsidP="000D639B">
            <w:pPr>
              <w:pStyle w:val="SingleTxtG"/>
              <w:ind w:left="0" w:right="0"/>
              <w:jc w:val="left"/>
              <w:rPr>
                <w:lang w:val="fr-CH"/>
              </w:rPr>
            </w:pPr>
            <w:r>
              <w:t>19</w:t>
            </w:r>
            <w:r w:rsidR="000D639B">
              <w:rPr>
                <w:lang w:val="ru-RU"/>
              </w:rPr>
              <w:t xml:space="preserve"> </w:t>
            </w:r>
            <w:r w:rsidR="000D639B">
              <w:rPr>
                <w:lang w:val="fr-CH"/>
              </w:rPr>
              <w:t xml:space="preserve">(2) </w:t>
            </w:r>
            <w:r>
              <w:t>and 21</w:t>
            </w:r>
          </w:p>
        </w:tc>
      </w:tr>
      <w:tr w:rsidR="006A31AE" w14:paraId="4B9AA3FD" w14:textId="77777777" w:rsidTr="00525607">
        <w:tc>
          <w:tcPr>
            <w:tcW w:w="3119" w:type="dxa"/>
          </w:tcPr>
          <w:p w14:paraId="4B9AA3FB" w14:textId="77777777" w:rsidR="006A31AE" w:rsidRPr="001C6EE2" w:rsidRDefault="006A31AE" w:rsidP="00A532A4">
            <w:pPr>
              <w:pStyle w:val="SingleTxtG"/>
              <w:ind w:left="0" w:right="0"/>
              <w:jc w:val="left"/>
              <w:rPr>
                <w:i/>
                <w:iCs/>
              </w:rPr>
            </w:pPr>
            <w:r w:rsidRPr="001C6EE2">
              <w:rPr>
                <w:i/>
                <w:iCs/>
              </w:rPr>
              <w:t>Article of the Optional Protocol:</w:t>
            </w:r>
          </w:p>
        </w:tc>
        <w:tc>
          <w:tcPr>
            <w:tcW w:w="3685" w:type="dxa"/>
          </w:tcPr>
          <w:p w14:paraId="4B9AA3FC" w14:textId="77777777" w:rsidR="006A31AE" w:rsidRPr="001C6EE2" w:rsidRDefault="00E95B27" w:rsidP="00A90A19">
            <w:pPr>
              <w:pStyle w:val="SingleTxtG"/>
              <w:ind w:left="0" w:right="0"/>
              <w:jc w:val="left"/>
            </w:pPr>
            <w:r w:rsidRPr="00432A83">
              <w:t>5 (2) (b)</w:t>
            </w:r>
          </w:p>
        </w:tc>
      </w:tr>
    </w:tbl>
    <w:p w14:paraId="4B9AA3FF" w14:textId="77777777" w:rsidR="001A5BAE" w:rsidRPr="00552D99" w:rsidRDefault="00287032" w:rsidP="000C7386">
      <w:pPr>
        <w:pStyle w:val="SingleTxtG"/>
      </w:pPr>
      <w:r>
        <w:t>1.</w:t>
      </w:r>
      <w:r>
        <w:tab/>
      </w:r>
      <w:r w:rsidR="00E256E5" w:rsidRPr="00E256E5">
        <w:t xml:space="preserve">The author of the communication is </w:t>
      </w:r>
      <w:proofErr w:type="spellStart"/>
      <w:r w:rsidR="004979DF">
        <w:t>Kanat</w:t>
      </w:r>
      <w:proofErr w:type="spellEnd"/>
      <w:r w:rsidR="004979DF">
        <w:t xml:space="preserve"> </w:t>
      </w:r>
      <w:proofErr w:type="spellStart"/>
      <w:r w:rsidR="004979DF">
        <w:t>Ibragimov</w:t>
      </w:r>
      <w:proofErr w:type="spellEnd"/>
      <w:r w:rsidR="00E256E5" w:rsidRPr="00E256E5">
        <w:t>,</w:t>
      </w:r>
      <w:r w:rsidR="001A5BAE">
        <w:t xml:space="preserve"> a</w:t>
      </w:r>
      <w:r w:rsidR="00E256E5" w:rsidRPr="00E256E5">
        <w:t xml:space="preserve"> </w:t>
      </w:r>
      <w:r w:rsidR="00E256E5" w:rsidRPr="00161AB0">
        <w:t xml:space="preserve">national </w:t>
      </w:r>
      <w:r w:rsidR="001A5BAE">
        <w:t xml:space="preserve">of Kazakhstan </w:t>
      </w:r>
      <w:r w:rsidR="00E256E5" w:rsidRPr="001A5B2B">
        <w:t>born in 19</w:t>
      </w:r>
      <w:r w:rsidR="001A5BAE">
        <w:t>6</w:t>
      </w:r>
      <w:r w:rsidR="004979DF">
        <w:t>4</w:t>
      </w:r>
      <w:r w:rsidR="00E256E5" w:rsidRPr="001A5B2B">
        <w:t xml:space="preserve">. </w:t>
      </w:r>
      <w:r w:rsidR="004979DF">
        <w:t>He</w:t>
      </w:r>
      <w:r w:rsidR="001A5BAE">
        <w:t xml:space="preserve"> </w:t>
      </w:r>
      <w:r w:rsidR="001A5BAE" w:rsidRPr="00180493">
        <w:t>claims that the State party has violated h</w:t>
      </w:r>
      <w:r w:rsidR="004979DF">
        <w:t xml:space="preserve">is </w:t>
      </w:r>
      <w:r w:rsidR="001A5BAE" w:rsidRPr="00180493">
        <w:t xml:space="preserve">rights under articles </w:t>
      </w:r>
      <w:r w:rsidR="004979DF">
        <w:t xml:space="preserve">19 </w:t>
      </w:r>
      <w:r w:rsidR="00EE23D0">
        <w:t xml:space="preserve">(2) </w:t>
      </w:r>
      <w:r w:rsidR="004979DF">
        <w:t xml:space="preserve">and </w:t>
      </w:r>
      <w:r w:rsidR="001A5BAE" w:rsidRPr="00180493">
        <w:t>21 of the Covenant</w:t>
      </w:r>
      <w:r w:rsidR="001A5BAE" w:rsidRPr="0078205A">
        <w:t>. The Optional Protocol entered into force for the State party on 30 September 2009. The author is represented by counsel</w:t>
      </w:r>
      <w:r w:rsidR="004979DF">
        <w:t xml:space="preserve">, </w:t>
      </w:r>
      <w:proofErr w:type="spellStart"/>
      <w:r w:rsidR="004979DF">
        <w:t>Bakhytzhan</w:t>
      </w:r>
      <w:proofErr w:type="spellEnd"/>
      <w:r w:rsidR="004979DF">
        <w:t xml:space="preserve"> </w:t>
      </w:r>
      <w:proofErr w:type="spellStart"/>
      <w:r w:rsidR="004979DF">
        <w:t>Toregozhina</w:t>
      </w:r>
      <w:proofErr w:type="spellEnd"/>
      <w:r w:rsidR="001A5BAE" w:rsidRPr="0078205A">
        <w:t>.</w:t>
      </w:r>
    </w:p>
    <w:p w14:paraId="4B9AA400" w14:textId="77777777" w:rsidR="00987575" w:rsidRPr="00552D99" w:rsidRDefault="007600E5" w:rsidP="007600E5">
      <w:pPr>
        <w:pStyle w:val="H23G"/>
      </w:pPr>
      <w:r>
        <w:lastRenderedPageBreak/>
        <w:tab/>
      </w:r>
      <w:r>
        <w:tab/>
      </w:r>
      <w:r w:rsidR="0005745C" w:rsidRPr="00552D99">
        <w:t xml:space="preserve">The facts as </w:t>
      </w:r>
      <w:r w:rsidR="00E22AE3" w:rsidRPr="00552D99">
        <w:t xml:space="preserve">submitted </w:t>
      </w:r>
      <w:r w:rsidR="0005745C" w:rsidRPr="00552D99">
        <w:t>by the author</w:t>
      </w:r>
    </w:p>
    <w:p w14:paraId="4B9AA401" w14:textId="48C33C83" w:rsidR="00281284" w:rsidRPr="0021699B" w:rsidRDefault="00531B3C" w:rsidP="00531B3C">
      <w:pPr>
        <w:pStyle w:val="SingleTxtG"/>
      </w:pPr>
      <w:r w:rsidRPr="00552D99">
        <w:t>2.1</w:t>
      </w:r>
      <w:r w:rsidR="004979DF">
        <w:tab/>
        <w:t xml:space="preserve">The </w:t>
      </w:r>
      <w:r w:rsidR="00B9295B">
        <w:t xml:space="preserve">author is a painter and a civic activist. On 24 March 2012, he participated </w:t>
      </w:r>
      <w:r w:rsidRPr="00552D99">
        <w:tab/>
      </w:r>
      <w:r w:rsidR="00B9295B">
        <w:t xml:space="preserve">in </w:t>
      </w:r>
      <w:r w:rsidR="00B9295B" w:rsidRPr="00381EF0">
        <w:t xml:space="preserve">a </w:t>
      </w:r>
      <w:r w:rsidR="0021699B">
        <w:t>peaceful rally</w:t>
      </w:r>
      <w:r w:rsidR="00B9295B" w:rsidRPr="00281284">
        <w:t xml:space="preserve"> (meeting)</w:t>
      </w:r>
      <w:r w:rsidR="00B9295B" w:rsidRPr="00281284">
        <w:rPr>
          <w:rStyle w:val="FootnoteReference"/>
          <w:sz w:val="20"/>
        </w:rPr>
        <w:footnoteReference w:id="3"/>
      </w:r>
      <w:r w:rsidR="00B9295B" w:rsidRPr="00281284">
        <w:t xml:space="preserve"> </w:t>
      </w:r>
      <w:r w:rsidR="005831E8" w:rsidRPr="00281284">
        <w:t xml:space="preserve">in commemoration of </w:t>
      </w:r>
      <w:r w:rsidR="00B9295B" w:rsidRPr="00281284">
        <w:t xml:space="preserve">100 days after the shooting of people in </w:t>
      </w:r>
      <w:r w:rsidR="00B9295B" w:rsidRPr="00A37D7A">
        <w:t xml:space="preserve">Zhanaozen, </w:t>
      </w:r>
      <w:r w:rsidR="005831E8" w:rsidRPr="00A37D7A">
        <w:t xml:space="preserve">which took place on the square park of the hotel “Kazakhstan”. </w:t>
      </w:r>
      <w:r w:rsidR="00281284" w:rsidRPr="00A37D7A">
        <w:t>Shortly afterwards, t</w:t>
      </w:r>
      <w:r w:rsidR="00197D77" w:rsidRPr="00A37D7A">
        <w:t xml:space="preserve">he author was detained </w:t>
      </w:r>
      <w:r w:rsidR="00281284" w:rsidRPr="00A37D7A">
        <w:t xml:space="preserve">by police </w:t>
      </w:r>
      <w:r w:rsidR="006325A5" w:rsidRPr="00A37D7A">
        <w:t xml:space="preserve">officers </w:t>
      </w:r>
      <w:r w:rsidR="00281284" w:rsidRPr="00A37D7A">
        <w:t>along with the other participants of the</w:t>
      </w:r>
      <w:r w:rsidR="00281284" w:rsidRPr="00281284">
        <w:t xml:space="preserve"> commemoration ceremony </w:t>
      </w:r>
      <w:r w:rsidR="00197D77" w:rsidRPr="00281284">
        <w:t xml:space="preserve">and found guilty </w:t>
      </w:r>
      <w:r w:rsidR="00281284" w:rsidRPr="00281284">
        <w:t xml:space="preserve">on the same day </w:t>
      </w:r>
      <w:r w:rsidR="00197D77" w:rsidRPr="00281284">
        <w:t xml:space="preserve">by the Specialized Inter-District Administrative Court of Almaty of an administrative offence under article </w:t>
      </w:r>
      <w:r w:rsidR="00281284" w:rsidRPr="00F65FA0">
        <w:t>373</w:t>
      </w:r>
      <w:r w:rsidR="007B75BA" w:rsidRPr="00F65FA0">
        <w:t xml:space="preserve"> (3)</w:t>
      </w:r>
      <w:r w:rsidR="00281284" w:rsidRPr="00F65FA0">
        <w:t xml:space="preserve"> </w:t>
      </w:r>
      <w:r w:rsidR="00197D77" w:rsidRPr="00F65FA0">
        <w:t>of the Code of Administrative Offences</w:t>
      </w:r>
      <w:r w:rsidR="00281284" w:rsidRPr="00F65FA0">
        <w:t>. The Court established that the author</w:t>
      </w:r>
      <w:r w:rsidR="00281284">
        <w:t xml:space="preserve"> </w:t>
      </w:r>
      <w:r w:rsidR="00C35316">
        <w:t>repeatedly</w:t>
      </w:r>
      <w:r w:rsidR="00680FFE">
        <w:rPr>
          <w:rStyle w:val="FootnoteReference"/>
        </w:rPr>
        <w:footnoteReference w:id="4"/>
      </w:r>
      <w:r w:rsidR="00C35316">
        <w:t xml:space="preserve"> took part in an unauthorized meeting within a year </w:t>
      </w:r>
      <w:r w:rsidR="00281284">
        <w:t xml:space="preserve">and </w:t>
      </w:r>
      <w:r w:rsidR="00281284" w:rsidRPr="00281284">
        <w:t xml:space="preserve">sanctioned </w:t>
      </w:r>
      <w:r w:rsidR="00281284">
        <w:t xml:space="preserve">him </w:t>
      </w:r>
      <w:r w:rsidR="00281284" w:rsidRPr="00281284">
        <w:t>with 15 days of administrative detention.</w:t>
      </w:r>
      <w:r w:rsidR="00641F40">
        <w:t xml:space="preserve"> </w:t>
      </w:r>
      <w:r w:rsidR="00FB79F9">
        <w:t>As a</w:t>
      </w:r>
      <w:r w:rsidR="005C248C">
        <w:t xml:space="preserve"> protest against the violation of his freedom of expression, the author started a hunger strike while in detention, which significantly undermined his health and required a long recovery period </w:t>
      </w:r>
      <w:r w:rsidR="005C248C" w:rsidRPr="0021699B">
        <w:t xml:space="preserve">afterwards. </w:t>
      </w:r>
      <w:r w:rsidR="00281284" w:rsidRPr="0021699B">
        <w:t xml:space="preserve"> </w:t>
      </w:r>
    </w:p>
    <w:p w14:paraId="4B9AA402" w14:textId="77777777" w:rsidR="009F207F" w:rsidRDefault="0021699B" w:rsidP="00787600">
      <w:pPr>
        <w:pStyle w:val="SingleTxtG"/>
      </w:pPr>
      <w:r w:rsidRPr="0021699B">
        <w:t>2.2</w:t>
      </w:r>
      <w:r w:rsidRPr="0021699B">
        <w:tab/>
        <w:t>Another pea</w:t>
      </w:r>
      <w:r>
        <w:t xml:space="preserve">ceful </w:t>
      </w:r>
      <w:r w:rsidRPr="00604A95">
        <w:t>“rally of dissent”</w:t>
      </w:r>
      <w:r w:rsidR="009E67F3" w:rsidRPr="00604A95">
        <w:rPr>
          <w:rStyle w:val="FootnoteReference"/>
        </w:rPr>
        <w:footnoteReference w:id="5"/>
      </w:r>
      <w:r>
        <w:t xml:space="preserve"> was planned for 28 April 2012, by the Monument to </w:t>
      </w:r>
      <w:proofErr w:type="spellStart"/>
      <w:r>
        <w:t>Abai</w:t>
      </w:r>
      <w:proofErr w:type="spellEnd"/>
      <w:r>
        <w:t xml:space="preserve"> </w:t>
      </w:r>
      <w:proofErr w:type="spellStart"/>
      <w:r>
        <w:t>Qunanbaiuli</w:t>
      </w:r>
      <w:proofErr w:type="spellEnd"/>
      <w:r>
        <w:t xml:space="preserve"> in Almaty. Although an application</w:t>
      </w:r>
      <w:r w:rsidR="006C688B">
        <w:t>,</w:t>
      </w:r>
      <w:r>
        <w:t xml:space="preserve"> requesting authorization to hold a peaceful “rally of dissent” was submitted by a group of individuals </w:t>
      </w:r>
      <w:r w:rsidR="006C688B">
        <w:t xml:space="preserve">to the </w:t>
      </w:r>
      <w:proofErr w:type="spellStart"/>
      <w:r w:rsidR="006C688B">
        <w:t>Akimat</w:t>
      </w:r>
      <w:proofErr w:type="spellEnd"/>
      <w:r w:rsidR="006C688B">
        <w:rPr>
          <w:rStyle w:val="FootnoteReference"/>
        </w:rPr>
        <w:footnoteReference w:id="6"/>
      </w:r>
      <w:r w:rsidR="006C688B">
        <w:t xml:space="preserve"> of Almaty,</w:t>
      </w:r>
      <w:r w:rsidR="00DC6C4F">
        <w:rPr>
          <w:rStyle w:val="FootnoteReference"/>
        </w:rPr>
        <w:footnoteReference w:id="7"/>
      </w:r>
      <w:r w:rsidR="006C688B">
        <w:t xml:space="preserve"> the author himself could not take part in that </w:t>
      </w:r>
      <w:r w:rsidR="003658FD">
        <w:t>application process</w:t>
      </w:r>
      <w:r w:rsidR="006C688B">
        <w:t>,</w:t>
      </w:r>
      <w:r w:rsidR="00C5664A">
        <w:t xml:space="preserve"> since</w:t>
      </w:r>
      <w:r w:rsidR="006C688B">
        <w:t xml:space="preserve"> he was serving his term of administrative detention </w:t>
      </w:r>
      <w:r w:rsidR="003104D1">
        <w:t xml:space="preserve">when the </w:t>
      </w:r>
      <w:r w:rsidR="00371647">
        <w:t>preparation</w:t>
      </w:r>
      <w:r w:rsidR="00E962E2">
        <w:t>s</w:t>
      </w:r>
      <w:r w:rsidR="00371647">
        <w:t xml:space="preserve"> for the rally were</w:t>
      </w:r>
      <w:r w:rsidR="003104D1">
        <w:t xml:space="preserve"> being</w:t>
      </w:r>
      <w:r w:rsidR="00371647">
        <w:t xml:space="preserve"> made</w:t>
      </w:r>
      <w:r w:rsidR="00C5664A">
        <w:t xml:space="preserve"> and also due to his ailing health. </w:t>
      </w:r>
      <w:r w:rsidR="000D2B96">
        <w:t xml:space="preserve">Nevertheless, on 22 April 2012, the author received a phone call from an employee of the </w:t>
      </w:r>
      <w:proofErr w:type="spellStart"/>
      <w:r w:rsidR="000D2B96">
        <w:t>Akimat</w:t>
      </w:r>
      <w:proofErr w:type="spellEnd"/>
      <w:r w:rsidR="000D2B96">
        <w:t xml:space="preserve"> of Almaty, </w:t>
      </w:r>
      <w:r w:rsidR="00FA2DA4">
        <w:t xml:space="preserve">Mr. K.D., </w:t>
      </w:r>
      <w:r w:rsidR="000D2B96">
        <w:t>who “</w:t>
      </w:r>
      <w:r w:rsidR="00FA2DA4">
        <w:t>offered</w:t>
      </w:r>
      <w:r w:rsidR="000D2B96">
        <w:t xml:space="preserve">” the author to come to the </w:t>
      </w:r>
      <w:proofErr w:type="spellStart"/>
      <w:r w:rsidR="000D2B96">
        <w:t>Akimat</w:t>
      </w:r>
      <w:proofErr w:type="spellEnd"/>
      <w:r w:rsidR="000D2B96">
        <w:t xml:space="preserve"> of Almaty in person </w:t>
      </w:r>
      <w:r w:rsidR="00FA2DA4">
        <w:t xml:space="preserve">on the same day </w:t>
      </w:r>
      <w:r w:rsidR="000D2B96">
        <w:t xml:space="preserve">in order to discuss the upcoming “rally of </w:t>
      </w:r>
      <w:r w:rsidR="000D2B96" w:rsidRPr="007B75BA">
        <w:t>dissent”</w:t>
      </w:r>
      <w:r w:rsidR="008C6C8A" w:rsidRPr="007B75BA">
        <w:t xml:space="preserve"> with </w:t>
      </w:r>
      <w:r w:rsidR="00FA2DA4" w:rsidRPr="007B75BA">
        <w:t>the</w:t>
      </w:r>
      <w:r w:rsidR="00FA2DA4">
        <w:t xml:space="preserve"> Deputy Head of Department of Internal Policy in the </w:t>
      </w:r>
      <w:proofErr w:type="spellStart"/>
      <w:r w:rsidR="00FA2DA4">
        <w:t>Akimat</w:t>
      </w:r>
      <w:proofErr w:type="spellEnd"/>
      <w:r w:rsidR="00FA2DA4">
        <w:t xml:space="preserve"> of Almaty, Mr. R.D.</w:t>
      </w:r>
      <w:r w:rsidR="000D2B96">
        <w:t xml:space="preserve"> The author politely declined that </w:t>
      </w:r>
      <w:r w:rsidR="00FA2DA4">
        <w:t>offer</w:t>
      </w:r>
      <w:r w:rsidR="000D2B96">
        <w:t xml:space="preserve">, suggesting to </w:t>
      </w:r>
      <w:r w:rsidR="00FA2DA4">
        <w:t xml:space="preserve">speak to Mr. R.D. </w:t>
      </w:r>
      <w:r w:rsidR="00056FD8">
        <w:t xml:space="preserve">on the phone instead. </w:t>
      </w:r>
      <w:r w:rsidR="00FA2DA4">
        <w:t>T</w:t>
      </w:r>
      <w:r w:rsidR="00056FD8">
        <w:t xml:space="preserve">he author </w:t>
      </w:r>
      <w:r w:rsidR="00FA2DA4">
        <w:t xml:space="preserve">then </w:t>
      </w:r>
      <w:r w:rsidR="00056FD8">
        <w:t xml:space="preserve">received </w:t>
      </w:r>
      <w:r w:rsidR="00FA2DA4">
        <w:t xml:space="preserve">a </w:t>
      </w:r>
      <w:r w:rsidR="00056FD8">
        <w:t>phone call from Mr. R.D.</w:t>
      </w:r>
      <w:r w:rsidR="00FA2DA4">
        <w:t xml:space="preserve"> himself</w:t>
      </w:r>
      <w:r w:rsidR="00056FD8">
        <w:t>, who insisted that the author was in fact an organizer of the upcoming “rally of dissent”</w:t>
      </w:r>
      <w:r w:rsidR="00FA2DA4">
        <w:t xml:space="preserve"> and suggested to change the venue of the upcoming “rally of dissent” to an in-doors location. The author explained that he was not involved in the organization of the “rally of dissent” and suggested to Mr. R.D. to verify that information in the application for </w:t>
      </w:r>
      <w:r w:rsidR="00BA5422">
        <w:t xml:space="preserve">authorization to hold a peaceful assembly on 28 April 2012. </w:t>
      </w:r>
      <w:r w:rsidR="00787600">
        <w:t xml:space="preserve">Mr. R.D. responded that it was the author who </w:t>
      </w:r>
      <w:r w:rsidR="00725C3B">
        <w:t>publicly</w:t>
      </w:r>
      <w:r w:rsidR="00787600">
        <w:t xml:space="preserve"> announced the date of the next rally and that, therefore, he would be detained again in any case, </w:t>
      </w:r>
      <w:r w:rsidR="00765B1D">
        <w:t>regardless</w:t>
      </w:r>
      <w:r w:rsidR="00056FD8">
        <w:t xml:space="preserve"> of whether the author would actually take part in the “rally of dissent” or not. </w:t>
      </w:r>
    </w:p>
    <w:p w14:paraId="4B9AA403" w14:textId="77777777" w:rsidR="006850E5" w:rsidRDefault="009F207F" w:rsidP="00787600">
      <w:pPr>
        <w:pStyle w:val="SingleTxtG"/>
        <w:rPr>
          <w:rFonts w:ascii="Times" w:hAnsi="Times"/>
        </w:rPr>
      </w:pPr>
      <w:r>
        <w:t>2.3</w:t>
      </w:r>
      <w:r>
        <w:tab/>
      </w:r>
      <w:r w:rsidR="008C6C8A">
        <w:t xml:space="preserve">On 25 April 2012, one of the on-line national newspapers, </w:t>
      </w:r>
      <w:proofErr w:type="spellStart"/>
      <w:r w:rsidR="008C6C8A" w:rsidRPr="008C6C8A">
        <w:rPr>
          <w:i/>
        </w:rPr>
        <w:t>Vremya</w:t>
      </w:r>
      <w:proofErr w:type="spellEnd"/>
      <w:r w:rsidR="008C6C8A" w:rsidRPr="008C6C8A">
        <w:rPr>
          <w:i/>
        </w:rPr>
        <w:t xml:space="preserve"> (The Times)</w:t>
      </w:r>
      <w:r w:rsidR="008C6C8A">
        <w:t>, published an article entitled “To take part in a me</w:t>
      </w:r>
      <w:r w:rsidR="003C043A">
        <w:t>eting is not the same as to paint</w:t>
      </w:r>
      <w:r w:rsidR="008C6C8A">
        <w:t>” in which it referred to the “campaign of exercising pressure by force and intimidation” against the author.</w:t>
      </w:r>
      <w:r>
        <w:rPr>
          <w:rStyle w:val="FootnoteReference"/>
        </w:rPr>
        <w:footnoteReference w:id="8"/>
      </w:r>
      <w:r>
        <w:t xml:space="preserve"> The article in question contained an interview with Mr. R.D. in which he confirmed the information presented </w:t>
      </w:r>
      <w:r w:rsidR="00DF7C7F">
        <w:t>by</w:t>
      </w:r>
      <w:r>
        <w:t xml:space="preserve"> the author in his communication to the Committee (see, para. 2.2 above). In the interview, Mr. R.D. also named three individuals who applied for authorization to hold the “rally of dissent” on 28 April 2012, linking one of them to the </w:t>
      </w:r>
      <w:r w:rsidR="006850E5">
        <w:t xml:space="preserve">unregistered </w:t>
      </w:r>
      <w:r>
        <w:t xml:space="preserve">opposition party </w:t>
      </w:r>
      <w:r w:rsidRPr="006850E5">
        <w:rPr>
          <w:i/>
        </w:rPr>
        <w:t>Alga!</w:t>
      </w:r>
      <w:r w:rsidR="006850E5" w:rsidRPr="006850E5">
        <w:rPr>
          <w:i/>
        </w:rPr>
        <w:t xml:space="preserve"> (Go ahead!)</w:t>
      </w:r>
      <w:r w:rsidR="006850E5">
        <w:t xml:space="preserve"> and its alleged plot to organize a terrorist attack in Almaty. After being prompted by a journalist, Mr. R.D. fur</w:t>
      </w:r>
      <w:r w:rsidR="00790AF5">
        <w:t xml:space="preserve">ther stated that even if </w:t>
      </w:r>
      <w:r w:rsidR="006850E5">
        <w:t xml:space="preserve">organizers would have requested an authorization to hold the “rally of dissent” </w:t>
      </w:r>
      <w:r w:rsidR="00790AF5">
        <w:t xml:space="preserve">in the only officially authorized location for </w:t>
      </w:r>
      <w:r w:rsidR="00790AF5" w:rsidRPr="006B0676">
        <w:rPr>
          <w:rFonts w:ascii="Times" w:hAnsi="Times"/>
        </w:rPr>
        <w:t xml:space="preserve">all non-governmental </w:t>
      </w:r>
      <w:r w:rsidR="00790AF5">
        <w:rPr>
          <w:rFonts w:ascii="Times" w:hAnsi="Times"/>
        </w:rPr>
        <w:t xml:space="preserve">public events or </w:t>
      </w:r>
      <w:r w:rsidR="00790AF5" w:rsidRPr="006B0676">
        <w:rPr>
          <w:rFonts w:ascii="Times" w:hAnsi="Times"/>
        </w:rPr>
        <w:t xml:space="preserve">meetings of </w:t>
      </w:r>
      <w:r w:rsidR="00790AF5">
        <w:rPr>
          <w:rFonts w:ascii="Times" w:hAnsi="Times"/>
        </w:rPr>
        <w:t>“</w:t>
      </w:r>
      <w:r w:rsidR="00790AF5" w:rsidRPr="006B0676">
        <w:rPr>
          <w:rFonts w:ascii="Times" w:hAnsi="Times"/>
        </w:rPr>
        <w:t>soci</w:t>
      </w:r>
      <w:r w:rsidR="00790AF5">
        <w:rPr>
          <w:rFonts w:ascii="Times" w:hAnsi="Times"/>
        </w:rPr>
        <w:t xml:space="preserve">al and </w:t>
      </w:r>
      <w:r w:rsidR="00790AF5" w:rsidRPr="006B0676">
        <w:rPr>
          <w:rFonts w:ascii="Times" w:hAnsi="Times"/>
        </w:rPr>
        <w:t>political nature</w:t>
      </w:r>
      <w:r w:rsidR="00790AF5">
        <w:rPr>
          <w:rFonts w:ascii="Times" w:hAnsi="Times"/>
        </w:rPr>
        <w:t xml:space="preserve">” on </w:t>
      </w:r>
      <w:r w:rsidR="00790AF5" w:rsidRPr="006B0676">
        <w:rPr>
          <w:rFonts w:ascii="Times" w:hAnsi="Times"/>
        </w:rPr>
        <w:t xml:space="preserve">the square behind the </w:t>
      </w:r>
      <w:r w:rsidR="00790AF5">
        <w:rPr>
          <w:rFonts w:ascii="Times" w:hAnsi="Times"/>
        </w:rPr>
        <w:t xml:space="preserve">cinema </w:t>
      </w:r>
      <w:r w:rsidR="00790AF5" w:rsidRPr="006B0676">
        <w:rPr>
          <w:rFonts w:ascii="Times" w:hAnsi="Times"/>
        </w:rPr>
        <w:t>“</w:t>
      </w:r>
      <w:proofErr w:type="spellStart"/>
      <w:r w:rsidR="00790AF5" w:rsidRPr="006B0676">
        <w:rPr>
          <w:rFonts w:ascii="Times" w:hAnsi="Times"/>
        </w:rPr>
        <w:t>Sary</w:t>
      </w:r>
      <w:proofErr w:type="spellEnd"/>
      <w:r w:rsidR="00790AF5" w:rsidRPr="006B0676">
        <w:rPr>
          <w:rFonts w:ascii="Times" w:hAnsi="Times"/>
        </w:rPr>
        <w:t xml:space="preserve"> </w:t>
      </w:r>
      <w:proofErr w:type="spellStart"/>
      <w:r w:rsidR="00790AF5" w:rsidRPr="006B0676">
        <w:rPr>
          <w:rFonts w:ascii="Times" w:hAnsi="Times"/>
        </w:rPr>
        <w:t>Arka</w:t>
      </w:r>
      <w:proofErr w:type="spellEnd"/>
      <w:r w:rsidR="00790AF5" w:rsidRPr="006B0676">
        <w:rPr>
          <w:rFonts w:ascii="Times" w:hAnsi="Times"/>
        </w:rPr>
        <w:t>”</w:t>
      </w:r>
      <w:r w:rsidR="00790AF5">
        <w:rPr>
          <w:rFonts w:ascii="Times" w:hAnsi="Times"/>
        </w:rPr>
        <w:t xml:space="preserve">, </w:t>
      </w:r>
      <w:r w:rsidR="00551851">
        <w:rPr>
          <w:rFonts w:ascii="Times" w:hAnsi="Times"/>
        </w:rPr>
        <w:t xml:space="preserve">their </w:t>
      </w:r>
      <w:r w:rsidR="00790AF5">
        <w:rPr>
          <w:rFonts w:ascii="Times" w:hAnsi="Times"/>
        </w:rPr>
        <w:t xml:space="preserve">request would have </w:t>
      </w:r>
      <w:r w:rsidR="00790AF5">
        <w:rPr>
          <w:rFonts w:ascii="Times" w:hAnsi="Times"/>
        </w:rPr>
        <w:lastRenderedPageBreak/>
        <w:t>been denied</w:t>
      </w:r>
      <w:r w:rsidR="00551851">
        <w:rPr>
          <w:rFonts w:ascii="Times" w:hAnsi="Times"/>
        </w:rPr>
        <w:t xml:space="preserve"> in any case</w:t>
      </w:r>
      <w:r w:rsidR="00790AF5">
        <w:rPr>
          <w:rFonts w:ascii="Times" w:hAnsi="Times"/>
        </w:rPr>
        <w:t xml:space="preserve">, because the application had been submitted with </w:t>
      </w:r>
      <w:r w:rsidR="00551851">
        <w:rPr>
          <w:rFonts w:ascii="Times" w:hAnsi="Times"/>
        </w:rPr>
        <w:t xml:space="preserve">[procedural] </w:t>
      </w:r>
      <w:r w:rsidR="00790AF5">
        <w:rPr>
          <w:rFonts w:ascii="Times" w:hAnsi="Times"/>
        </w:rPr>
        <w:t>violations</w:t>
      </w:r>
      <w:r w:rsidR="00790AF5" w:rsidRPr="006B0676">
        <w:rPr>
          <w:rFonts w:ascii="Times" w:hAnsi="Times"/>
        </w:rPr>
        <w:t>.</w:t>
      </w:r>
    </w:p>
    <w:p w14:paraId="4B9AA404" w14:textId="77777777" w:rsidR="00FC6605" w:rsidRDefault="00A70CC9" w:rsidP="00787600">
      <w:pPr>
        <w:pStyle w:val="SingleTxtG"/>
        <w:rPr>
          <w:rFonts w:ascii="Times" w:hAnsi="Times"/>
        </w:rPr>
      </w:pPr>
      <w:r>
        <w:rPr>
          <w:rFonts w:ascii="Times" w:hAnsi="Times"/>
        </w:rPr>
        <w:t>2.4</w:t>
      </w:r>
      <w:r>
        <w:rPr>
          <w:rFonts w:ascii="Times" w:hAnsi="Times"/>
        </w:rPr>
        <w:tab/>
      </w:r>
      <w:r w:rsidR="00173BD7">
        <w:rPr>
          <w:rFonts w:ascii="Times" w:hAnsi="Times"/>
        </w:rPr>
        <w:t>Between May and July 2012</w:t>
      </w:r>
      <w:r>
        <w:rPr>
          <w:rFonts w:ascii="Times" w:hAnsi="Times"/>
        </w:rPr>
        <w:t xml:space="preserve">, the author </w:t>
      </w:r>
      <w:r w:rsidR="00FC6605">
        <w:rPr>
          <w:rFonts w:ascii="Times" w:hAnsi="Times"/>
        </w:rPr>
        <w:t xml:space="preserve">brought </w:t>
      </w:r>
      <w:r w:rsidR="00173BD7">
        <w:rPr>
          <w:rFonts w:ascii="Times" w:hAnsi="Times"/>
        </w:rPr>
        <w:t xml:space="preserve">a number of </w:t>
      </w:r>
      <w:r w:rsidR="00FC6605">
        <w:rPr>
          <w:rFonts w:ascii="Times" w:hAnsi="Times"/>
        </w:rPr>
        <w:t>lawsuit</w:t>
      </w:r>
      <w:r w:rsidR="00173BD7">
        <w:rPr>
          <w:rFonts w:ascii="Times" w:hAnsi="Times"/>
        </w:rPr>
        <w:t>s</w:t>
      </w:r>
      <w:r w:rsidR="00FC6605">
        <w:rPr>
          <w:rFonts w:ascii="Times" w:hAnsi="Times"/>
        </w:rPr>
        <w:t xml:space="preserve"> under civil proceedings </w:t>
      </w:r>
      <w:r>
        <w:rPr>
          <w:rFonts w:ascii="Times" w:hAnsi="Times"/>
        </w:rPr>
        <w:t>to</w:t>
      </w:r>
      <w:r w:rsidR="002247C5" w:rsidRPr="002247C5">
        <w:rPr>
          <w:rFonts w:ascii="Times" w:hAnsi="Times"/>
        </w:rPr>
        <w:t xml:space="preserve"> </w:t>
      </w:r>
      <w:proofErr w:type="spellStart"/>
      <w:r w:rsidR="002247C5">
        <w:rPr>
          <w:rFonts w:ascii="Times" w:hAnsi="Times"/>
        </w:rPr>
        <w:t>Bostandyk</w:t>
      </w:r>
      <w:proofErr w:type="spellEnd"/>
      <w:r w:rsidR="002247C5">
        <w:rPr>
          <w:rFonts w:ascii="Times" w:hAnsi="Times"/>
        </w:rPr>
        <w:t xml:space="preserve"> District Court of Almaty</w:t>
      </w:r>
      <w:r>
        <w:rPr>
          <w:rFonts w:ascii="Times" w:hAnsi="Times"/>
        </w:rPr>
        <w:t xml:space="preserve">, with the request to recognize the actions of officials of the </w:t>
      </w:r>
      <w:proofErr w:type="spellStart"/>
      <w:r>
        <w:rPr>
          <w:rFonts w:ascii="Times" w:hAnsi="Times"/>
        </w:rPr>
        <w:t>Akimat</w:t>
      </w:r>
      <w:proofErr w:type="spellEnd"/>
      <w:r>
        <w:rPr>
          <w:rFonts w:ascii="Times" w:hAnsi="Times"/>
        </w:rPr>
        <w:t xml:space="preserve"> of Almaty </w:t>
      </w:r>
      <w:r w:rsidR="00B55B54">
        <w:rPr>
          <w:rFonts w:ascii="Times" w:hAnsi="Times"/>
        </w:rPr>
        <w:t xml:space="preserve">towards him </w:t>
      </w:r>
      <w:r>
        <w:rPr>
          <w:rFonts w:ascii="Times" w:hAnsi="Times"/>
        </w:rPr>
        <w:t xml:space="preserve">as unlawful and </w:t>
      </w:r>
      <w:r w:rsidR="00B55B54">
        <w:rPr>
          <w:rFonts w:ascii="Times" w:hAnsi="Times"/>
        </w:rPr>
        <w:t>to compensate him for the non-</w:t>
      </w:r>
      <w:r w:rsidR="002D74C0">
        <w:rPr>
          <w:rFonts w:ascii="Times" w:hAnsi="Times"/>
        </w:rPr>
        <w:t>pecuniary</w:t>
      </w:r>
      <w:r w:rsidR="00B55B54">
        <w:rPr>
          <w:rFonts w:ascii="Times" w:hAnsi="Times"/>
        </w:rPr>
        <w:t xml:space="preserve"> </w:t>
      </w:r>
      <w:r w:rsidR="002D74C0">
        <w:rPr>
          <w:rFonts w:ascii="Times" w:hAnsi="Times"/>
        </w:rPr>
        <w:t>damage</w:t>
      </w:r>
      <w:r w:rsidR="007250C1">
        <w:rPr>
          <w:rFonts w:ascii="Times" w:hAnsi="Times"/>
        </w:rPr>
        <w:t xml:space="preserve"> as a result of their a</w:t>
      </w:r>
      <w:r w:rsidR="002247C5">
        <w:rPr>
          <w:rFonts w:ascii="Times" w:hAnsi="Times"/>
        </w:rPr>
        <w:t>c</w:t>
      </w:r>
      <w:r w:rsidR="007250C1">
        <w:rPr>
          <w:rFonts w:ascii="Times" w:hAnsi="Times"/>
        </w:rPr>
        <w:t>tions</w:t>
      </w:r>
      <w:r w:rsidR="00B55B54">
        <w:rPr>
          <w:rFonts w:ascii="Times" w:hAnsi="Times"/>
        </w:rPr>
        <w:t xml:space="preserve">. </w:t>
      </w:r>
      <w:r w:rsidR="00173BD7">
        <w:rPr>
          <w:rFonts w:ascii="Times" w:hAnsi="Times"/>
        </w:rPr>
        <w:t>By its decisions of 1 June</w:t>
      </w:r>
      <w:r w:rsidR="002247C5">
        <w:rPr>
          <w:rFonts w:ascii="Times" w:hAnsi="Times"/>
        </w:rPr>
        <w:t xml:space="preserve"> 2012,</w:t>
      </w:r>
      <w:r w:rsidR="00173BD7">
        <w:rPr>
          <w:rFonts w:ascii="Times" w:hAnsi="Times"/>
        </w:rPr>
        <w:t xml:space="preserve"> 25 June 2012 and 12 July 2012,</w:t>
      </w:r>
      <w:r w:rsidR="002247C5">
        <w:rPr>
          <w:rFonts w:ascii="Times" w:hAnsi="Times"/>
        </w:rPr>
        <w:t xml:space="preserve"> </w:t>
      </w:r>
      <w:r w:rsidR="00173BD7">
        <w:rPr>
          <w:rFonts w:ascii="Times" w:hAnsi="Times"/>
        </w:rPr>
        <w:t xml:space="preserve">a judge of </w:t>
      </w:r>
      <w:proofErr w:type="spellStart"/>
      <w:r w:rsidR="002247C5">
        <w:rPr>
          <w:rFonts w:ascii="Times" w:hAnsi="Times"/>
        </w:rPr>
        <w:t>Bosta</w:t>
      </w:r>
      <w:r w:rsidR="002247C5" w:rsidRPr="00E372A6">
        <w:rPr>
          <w:rFonts w:ascii="Times" w:hAnsi="Times"/>
        </w:rPr>
        <w:t>ndyk</w:t>
      </w:r>
      <w:proofErr w:type="spellEnd"/>
      <w:r w:rsidR="002247C5" w:rsidRPr="00E372A6">
        <w:rPr>
          <w:rFonts w:ascii="Times" w:hAnsi="Times"/>
        </w:rPr>
        <w:t xml:space="preserve"> District Court of Almaty </w:t>
      </w:r>
      <w:r w:rsidR="002C59AF" w:rsidRPr="00E372A6">
        <w:rPr>
          <w:rFonts w:ascii="Times" w:hAnsi="Times"/>
        </w:rPr>
        <w:t xml:space="preserve">repeatedly refused to accept the author’s </w:t>
      </w:r>
      <w:r w:rsidR="00FC6605" w:rsidRPr="00E372A6">
        <w:rPr>
          <w:rFonts w:ascii="Times" w:hAnsi="Times"/>
        </w:rPr>
        <w:t xml:space="preserve">lawsuit </w:t>
      </w:r>
      <w:r w:rsidR="002C59AF" w:rsidRPr="00E372A6">
        <w:rPr>
          <w:rFonts w:ascii="Times" w:hAnsi="Times"/>
        </w:rPr>
        <w:t xml:space="preserve">for consideration. </w:t>
      </w:r>
      <w:r w:rsidR="00DE2390">
        <w:rPr>
          <w:rFonts w:ascii="Times" w:hAnsi="Times"/>
        </w:rPr>
        <w:t>T</w:t>
      </w:r>
      <w:r w:rsidR="002247C5">
        <w:rPr>
          <w:rFonts w:ascii="Times" w:hAnsi="Times"/>
        </w:rPr>
        <w:t>he author’s lawsuit of 17 July 2012</w:t>
      </w:r>
      <w:r w:rsidR="00DE2390">
        <w:rPr>
          <w:rFonts w:ascii="Times" w:hAnsi="Times"/>
        </w:rPr>
        <w:t>, which</w:t>
      </w:r>
      <w:r w:rsidR="002247C5">
        <w:rPr>
          <w:rFonts w:ascii="Times" w:hAnsi="Times"/>
        </w:rPr>
        <w:t xml:space="preserve"> </w:t>
      </w:r>
      <w:r w:rsidR="00867FC2">
        <w:rPr>
          <w:rFonts w:ascii="Times" w:hAnsi="Times"/>
        </w:rPr>
        <w:t xml:space="preserve">was </w:t>
      </w:r>
      <w:r w:rsidR="00DE2390">
        <w:rPr>
          <w:rFonts w:ascii="Times" w:hAnsi="Times"/>
        </w:rPr>
        <w:t xml:space="preserve">initially </w:t>
      </w:r>
      <w:r w:rsidR="00867FC2">
        <w:rPr>
          <w:rFonts w:ascii="Times" w:hAnsi="Times"/>
        </w:rPr>
        <w:t xml:space="preserve">accepted by </w:t>
      </w:r>
      <w:proofErr w:type="spellStart"/>
      <w:r w:rsidR="00867FC2">
        <w:rPr>
          <w:rFonts w:ascii="Times" w:hAnsi="Times"/>
        </w:rPr>
        <w:t>Bostandyk</w:t>
      </w:r>
      <w:proofErr w:type="spellEnd"/>
      <w:r w:rsidR="00867FC2">
        <w:rPr>
          <w:rFonts w:ascii="Times" w:hAnsi="Times"/>
        </w:rPr>
        <w:t xml:space="preserve"> Court of Almaty</w:t>
      </w:r>
      <w:r w:rsidR="00DE2390">
        <w:rPr>
          <w:rFonts w:ascii="Times" w:hAnsi="Times"/>
        </w:rPr>
        <w:t xml:space="preserve">, was dismissed by it </w:t>
      </w:r>
      <w:r w:rsidR="003D441D">
        <w:rPr>
          <w:rFonts w:ascii="Times" w:hAnsi="Times"/>
        </w:rPr>
        <w:t>shortly afterwards.</w:t>
      </w:r>
      <w:r w:rsidR="00DE2390">
        <w:rPr>
          <w:rFonts w:ascii="Times" w:hAnsi="Times"/>
        </w:rPr>
        <w:t xml:space="preserve"> In its decision of </w:t>
      </w:r>
      <w:r w:rsidR="00173BD7">
        <w:rPr>
          <w:rFonts w:ascii="Times" w:hAnsi="Times"/>
        </w:rPr>
        <w:t>14 August 2012</w:t>
      </w:r>
      <w:r w:rsidR="002C59AF">
        <w:rPr>
          <w:rFonts w:ascii="Times" w:hAnsi="Times"/>
        </w:rPr>
        <w:t xml:space="preserve">, </w:t>
      </w:r>
      <w:proofErr w:type="spellStart"/>
      <w:r w:rsidR="002C59AF">
        <w:rPr>
          <w:rFonts w:ascii="Times" w:hAnsi="Times"/>
        </w:rPr>
        <w:t>Bostandyk</w:t>
      </w:r>
      <w:proofErr w:type="spellEnd"/>
      <w:r w:rsidR="002C59AF">
        <w:rPr>
          <w:rFonts w:ascii="Times" w:hAnsi="Times"/>
        </w:rPr>
        <w:t xml:space="preserve"> Court of Almaty</w:t>
      </w:r>
      <w:r w:rsidR="00FC6605">
        <w:rPr>
          <w:rFonts w:ascii="Times" w:hAnsi="Times"/>
        </w:rPr>
        <w:t xml:space="preserve"> conclud</w:t>
      </w:r>
      <w:r w:rsidR="00DE2390">
        <w:rPr>
          <w:rFonts w:ascii="Times" w:hAnsi="Times"/>
        </w:rPr>
        <w:t>ed</w:t>
      </w:r>
      <w:r w:rsidR="00FC6605">
        <w:rPr>
          <w:rFonts w:ascii="Times" w:hAnsi="Times"/>
        </w:rPr>
        <w:t xml:space="preserve"> that</w:t>
      </w:r>
      <w:r w:rsidR="0025676F" w:rsidRPr="0025676F">
        <w:rPr>
          <w:rFonts w:ascii="Times" w:hAnsi="Times"/>
        </w:rPr>
        <w:t xml:space="preserve"> </w:t>
      </w:r>
      <w:r w:rsidR="0025676F">
        <w:rPr>
          <w:rFonts w:ascii="Times" w:hAnsi="Times"/>
        </w:rPr>
        <w:t xml:space="preserve">officials of the </w:t>
      </w:r>
      <w:proofErr w:type="spellStart"/>
      <w:r w:rsidR="0025676F">
        <w:rPr>
          <w:rFonts w:ascii="Times" w:hAnsi="Times"/>
        </w:rPr>
        <w:t>Akimat</w:t>
      </w:r>
      <w:proofErr w:type="spellEnd"/>
      <w:r w:rsidR="0025676F">
        <w:rPr>
          <w:rFonts w:ascii="Times" w:hAnsi="Times"/>
        </w:rPr>
        <w:t xml:space="preserve"> of Almaty had not committed any unlawful actions towards the author.</w:t>
      </w:r>
      <w:r w:rsidR="00FC6605">
        <w:rPr>
          <w:rFonts w:ascii="Times" w:hAnsi="Times"/>
        </w:rPr>
        <w:t xml:space="preserve"> </w:t>
      </w:r>
      <w:proofErr w:type="spellStart"/>
      <w:r w:rsidR="00D7603E">
        <w:rPr>
          <w:rFonts w:ascii="Times" w:hAnsi="Times"/>
        </w:rPr>
        <w:t>Bostandyk</w:t>
      </w:r>
      <w:proofErr w:type="spellEnd"/>
      <w:r w:rsidR="00D7603E">
        <w:rPr>
          <w:rFonts w:ascii="Times" w:hAnsi="Times"/>
        </w:rPr>
        <w:t xml:space="preserve"> Court of Almaty also determined that the author has failed to provide any evidence</w:t>
      </w:r>
      <w:r w:rsidR="00D82533">
        <w:rPr>
          <w:rFonts w:ascii="Times" w:hAnsi="Times"/>
        </w:rPr>
        <w:t xml:space="preserve">, such as an audio recording of </w:t>
      </w:r>
      <w:r w:rsidR="002C11DF">
        <w:rPr>
          <w:rFonts w:ascii="Times" w:hAnsi="Times"/>
        </w:rPr>
        <w:t xml:space="preserve">his </w:t>
      </w:r>
      <w:r w:rsidR="00D82533">
        <w:rPr>
          <w:rFonts w:ascii="Times" w:hAnsi="Times"/>
        </w:rPr>
        <w:t xml:space="preserve">phone call </w:t>
      </w:r>
      <w:r w:rsidR="002C11DF">
        <w:rPr>
          <w:rFonts w:ascii="Times" w:hAnsi="Times"/>
        </w:rPr>
        <w:t xml:space="preserve">with Mr. R.D. </w:t>
      </w:r>
      <w:r w:rsidR="00D82533">
        <w:rPr>
          <w:rFonts w:ascii="Times" w:hAnsi="Times"/>
        </w:rPr>
        <w:t>(see, para. 2.2) or medical certificates,</w:t>
      </w:r>
      <w:r w:rsidR="00D7603E">
        <w:rPr>
          <w:rFonts w:ascii="Times" w:hAnsi="Times"/>
        </w:rPr>
        <w:t xml:space="preserve"> in support of his claims that he had received threats from a public official</w:t>
      </w:r>
      <w:r w:rsidR="00D82533">
        <w:rPr>
          <w:rFonts w:ascii="Times" w:hAnsi="Times"/>
        </w:rPr>
        <w:t xml:space="preserve"> or </w:t>
      </w:r>
      <w:r w:rsidR="002C11DF">
        <w:rPr>
          <w:rFonts w:ascii="Times" w:hAnsi="Times"/>
        </w:rPr>
        <w:t>that his health was adversely affect</w:t>
      </w:r>
      <w:r w:rsidR="0056279A">
        <w:rPr>
          <w:rFonts w:ascii="Times" w:hAnsi="Times"/>
        </w:rPr>
        <w:t>ed as a result of their actions.</w:t>
      </w:r>
      <w:r w:rsidR="00D7603E">
        <w:rPr>
          <w:rFonts w:ascii="Times" w:hAnsi="Times"/>
        </w:rPr>
        <w:t xml:space="preserve"> </w:t>
      </w:r>
    </w:p>
    <w:p w14:paraId="4B9AA405" w14:textId="04F54B1B" w:rsidR="00CD2A59" w:rsidRDefault="00FC6605" w:rsidP="00787600">
      <w:pPr>
        <w:pStyle w:val="SingleTxtG"/>
      </w:pPr>
      <w:r>
        <w:rPr>
          <w:rFonts w:ascii="Times" w:hAnsi="Times"/>
        </w:rPr>
        <w:t>2.5</w:t>
      </w:r>
      <w:r>
        <w:rPr>
          <w:rFonts w:ascii="Times" w:hAnsi="Times"/>
        </w:rPr>
        <w:tab/>
        <w:t>On 28 April 2012, the author attended</w:t>
      </w:r>
      <w:r w:rsidR="00171DE8">
        <w:rPr>
          <w:rStyle w:val="FootnoteReference"/>
        </w:rPr>
        <w:footnoteReference w:id="9"/>
      </w:r>
      <w:r>
        <w:rPr>
          <w:rFonts w:ascii="Times" w:hAnsi="Times"/>
        </w:rPr>
        <w:t xml:space="preserve"> the “rally of dissent” in defiance of the personal threats received from officials of the </w:t>
      </w:r>
      <w:proofErr w:type="spellStart"/>
      <w:r>
        <w:rPr>
          <w:rFonts w:ascii="Times" w:hAnsi="Times"/>
        </w:rPr>
        <w:t>Akimat</w:t>
      </w:r>
      <w:proofErr w:type="spellEnd"/>
      <w:r>
        <w:rPr>
          <w:rFonts w:ascii="Times" w:hAnsi="Times"/>
        </w:rPr>
        <w:t xml:space="preserve"> of Almat</w:t>
      </w:r>
      <w:r w:rsidR="003D441D">
        <w:rPr>
          <w:rFonts w:ascii="Times" w:hAnsi="Times"/>
        </w:rPr>
        <w:t xml:space="preserve">y and despite his ill health in </w:t>
      </w:r>
      <w:r>
        <w:rPr>
          <w:rFonts w:ascii="Times" w:hAnsi="Times"/>
        </w:rPr>
        <w:t>order to exercise his right to freedom of expression guaranteed by the Constitution of Kazakhstan and the Covenant. As soon as the rally ended, the author was detained by police</w:t>
      </w:r>
      <w:r w:rsidR="003C043A">
        <w:rPr>
          <w:rFonts w:ascii="Times" w:hAnsi="Times"/>
        </w:rPr>
        <w:t xml:space="preserve"> officers</w:t>
      </w:r>
      <w:r>
        <w:rPr>
          <w:rFonts w:ascii="Times" w:hAnsi="Times"/>
        </w:rPr>
        <w:t xml:space="preserve"> with the use of force and brought to </w:t>
      </w:r>
      <w:r w:rsidRPr="00281284">
        <w:t>the Specialized Inter-District Administrative Court of Almaty</w:t>
      </w:r>
      <w:r>
        <w:t xml:space="preserve"> against his will</w:t>
      </w:r>
      <w:r w:rsidR="00CD2A59">
        <w:t xml:space="preserve">. He was subjected to beatings and his </w:t>
      </w:r>
      <w:r>
        <w:t xml:space="preserve">arms </w:t>
      </w:r>
      <w:r w:rsidR="00CD2A59">
        <w:t xml:space="preserve">were twisted by police </w:t>
      </w:r>
      <w:r w:rsidR="00CD2A59" w:rsidRPr="003D441D">
        <w:t xml:space="preserve">officers. </w:t>
      </w:r>
      <w:r w:rsidR="003E5033" w:rsidRPr="003D441D">
        <w:t>On the same day, the author submitted a written request to order his medical examination addressed to a judge of the Specialized Inter-District Administrative Court of Almaty</w:t>
      </w:r>
      <w:r w:rsidR="00665454" w:rsidRPr="003D441D">
        <w:t xml:space="preserve">, as well as </w:t>
      </w:r>
      <w:r w:rsidR="00CD2A59" w:rsidRPr="003D441D">
        <w:t>a complaint about the unlawful actions of police officers to the Prosecutor’s Office of</w:t>
      </w:r>
      <w:r w:rsidR="00665454" w:rsidRPr="003D441D">
        <w:t xml:space="preserve"> the </w:t>
      </w:r>
      <w:proofErr w:type="spellStart"/>
      <w:r w:rsidR="00665454" w:rsidRPr="003D441D">
        <w:t>Almaly</w:t>
      </w:r>
      <w:proofErr w:type="spellEnd"/>
      <w:r w:rsidR="00665454" w:rsidRPr="003D441D">
        <w:t xml:space="preserve"> District of</w:t>
      </w:r>
      <w:r w:rsidR="00CD2A59" w:rsidRPr="003D441D">
        <w:t xml:space="preserve"> Almaty.</w:t>
      </w:r>
      <w:r w:rsidR="00123453" w:rsidRPr="003D441D">
        <w:t xml:space="preserve"> On the unspecified date, the author’s complaint was transmitted by the Prosecutor’s Office of the </w:t>
      </w:r>
      <w:proofErr w:type="spellStart"/>
      <w:r w:rsidR="00123453" w:rsidRPr="003D441D">
        <w:t>Almaly</w:t>
      </w:r>
      <w:proofErr w:type="spellEnd"/>
      <w:r w:rsidR="00123453" w:rsidRPr="003D441D">
        <w:t xml:space="preserve"> District of Almaty to the Internal Security Division of the Department of Internal Affairs of Almaty. On 1 June 2012, the Internal Security Division dismissed the author’s complaint, concluding that there were no grounds to initiate either disciplinary or criminal proceedings against police officers who detained the author on 28 April 2012.</w:t>
      </w:r>
    </w:p>
    <w:p w14:paraId="4B9AA406" w14:textId="514EF24C" w:rsidR="00F506AA" w:rsidRPr="00E63DE4" w:rsidRDefault="00CD2A59" w:rsidP="003D441D">
      <w:pPr>
        <w:pStyle w:val="SingleTxtG"/>
      </w:pPr>
      <w:r>
        <w:t>2.6</w:t>
      </w:r>
      <w:r>
        <w:tab/>
        <w:t xml:space="preserve">On 28 April 2012, the author was </w:t>
      </w:r>
      <w:r w:rsidRPr="00281284">
        <w:t xml:space="preserve">found guilty of </w:t>
      </w:r>
      <w:r w:rsidR="003D441D">
        <w:t xml:space="preserve">an administrative offence under </w:t>
      </w:r>
      <w:r w:rsidRPr="00EE68FD">
        <w:t>article 373 (3) of the Code of Administrative Offences.</w:t>
      </w:r>
      <w:r w:rsidRPr="00281284">
        <w:t xml:space="preserve"> </w:t>
      </w:r>
      <w:r>
        <w:t xml:space="preserve">The </w:t>
      </w:r>
      <w:r w:rsidRPr="00281284">
        <w:t>Specialized Inter-District Administrative Court of Almaty</w:t>
      </w:r>
      <w:r>
        <w:t xml:space="preserve"> established that the author violated the procedure for the organization of a peaceful meeting and repeatedly took part in an unauthorized meeting</w:t>
      </w:r>
      <w:r w:rsidR="00725C3B">
        <w:t>s</w:t>
      </w:r>
      <w:r>
        <w:t xml:space="preserve"> within a year. He was again </w:t>
      </w:r>
      <w:r w:rsidRPr="00281284">
        <w:t>sanctioned with 15 days of administrative detention.</w:t>
      </w:r>
      <w:r w:rsidR="004E01D9">
        <w:t xml:space="preserve"> The author, however, was not provided with a copy of the decision of the </w:t>
      </w:r>
      <w:r w:rsidR="004E01D9" w:rsidRPr="00281284">
        <w:t>Specialized Inter-District Administrative Court of Almaty</w:t>
      </w:r>
      <w:r w:rsidR="004E01D9">
        <w:t xml:space="preserve"> and the administration of the detention facility</w:t>
      </w:r>
      <w:r w:rsidR="000E6046">
        <w:t xml:space="preserve"> where the author was serving his administrative detention prevented all contacts with his public defender and counsel. </w:t>
      </w:r>
      <w:r w:rsidR="00364DE3">
        <w:t xml:space="preserve">On 3 May 2012, the author, who was still in detention at that time and without having any access to his legal representatives, submitted an appeal against the decision of the </w:t>
      </w:r>
      <w:r w:rsidR="00364DE3" w:rsidRPr="00281284">
        <w:t>Specialized Inter-District Administrative Court of Almaty</w:t>
      </w:r>
      <w:r w:rsidR="00364DE3">
        <w:t xml:space="preserve"> to Almaty City Court. His appeal was rejected by the Almaty City Court on 4 May 2012. </w:t>
      </w:r>
      <w:r w:rsidR="00FD2999">
        <w:t xml:space="preserve">On 18 May 2012, the author submitted a request to the General Prosecutor’s Office to review the decision of the </w:t>
      </w:r>
      <w:r w:rsidR="00FD2999" w:rsidRPr="00281284">
        <w:t>Specialized Inter-District Administrative Court of Almaty</w:t>
      </w:r>
      <w:r w:rsidR="004E01D9">
        <w:t xml:space="preserve"> </w:t>
      </w:r>
      <w:r w:rsidR="00FD2999">
        <w:t xml:space="preserve">of 28 April 2012. On 15 August 2012, the author was informed by the General Prosecutor’s Office that his request required an additional verification and, on 27 August 2012, the author’s request was transmitted to the Prosecutor’s Office of Almaty for that purpose. On 25 September 2012, the author was informed by the Prosecutor’s Office of Almaty that there were no grounds to initiate the review of the court decisions made in his regard that already became executory. </w:t>
      </w:r>
      <w:r w:rsidR="00F506AA" w:rsidRPr="0082438F">
        <w:t>The author submits, therefore, that he has exhausted all available and effective domestic remedies.</w:t>
      </w:r>
    </w:p>
    <w:p w14:paraId="4B9AA407" w14:textId="77777777" w:rsidR="00531B3C" w:rsidRPr="00F506AA" w:rsidRDefault="007600E5" w:rsidP="007600E5">
      <w:pPr>
        <w:pStyle w:val="H23G"/>
      </w:pPr>
      <w:r>
        <w:lastRenderedPageBreak/>
        <w:tab/>
      </w:r>
      <w:r>
        <w:tab/>
      </w:r>
      <w:r w:rsidR="00531B3C" w:rsidRPr="00B66BC1">
        <w:t>The complaint</w:t>
      </w:r>
    </w:p>
    <w:p w14:paraId="4B9AA408" w14:textId="77777777" w:rsidR="00C13597" w:rsidRDefault="00531B3C" w:rsidP="0054060D">
      <w:pPr>
        <w:pStyle w:val="SingleTxtG"/>
      </w:pPr>
      <w:r w:rsidRPr="00B66BC1">
        <w:t>3.</w:t>
      </w:r>
      <w:r w:rsidR="00043B53">
        <w:t>1</w:t>
      </w:r>
      <w:r w:rsidR="00043B53">
        <w:tab/>
      </w:r>
      <w:r>
        <w:t>The author claims that</w:t>
      </w:r>
      <w:r w:rsidR="00E63DE4" w:rsidRPr="00E63DE4">
        <w:t xml:space="preserve">, by </w:t>
      </w:r>
      <w:r w:rsidR="00E63DE4">
        <w:t xml:space="preserve">repeatedly </w:t>
      </w:r>
      <w:r w:rsidR="00E63DE4" w:rsidRPr="00E63DE4">
        <w:t xml:space="preserve">detaining and </w:t>
      </w:r>
      <w:r w:rsidR="00E63DE4">
        <w:t xml:space="preserve">subjecting him to administrative liability for the mere participation in peaceful meetings aimed at expressing his civic position, the State party’s authorities and courts have violated his right to freedom of expression and his right of peaceful assembly, guaranteed under articles 19 (2) and 21 of the Covenant. He adds that the restrictions of these rights provided by </w:t>
      </w:r>
      <w:r w:rsidR="008E0D5A">
        <w:t xml:space="preserve">domestic </w:t>
      </w:r>
      <w:r w:rsidR="00E63DE4">
        <w:t xml:space="preserve">law are so broad and imprecise that they leave a </w:t>
      </w:r>
      <w:r w:rsidR="008E0D5A">
        <w:t xml:space="preserve">wide margin for abuse by executive and law-enforcement authorities, and that the judiciary is not independent and impartial in the consideration of complaints related to the abusive use of restrictions of the aforementioned rights. </w:t>
      </w:r>
    </w:p>
    <w:p w14:paraId="4B9AA409" w14:textId="77777777" w:rsidR="00BF448A" w:rsidRDefault="00C13597" w:rsidP="0054060D">
      <w:pPr>
        <w:pStyle w:val="SingleTxtG"/>
      </w:pPr>
      <w:r>
        <w:t>3.2</w:t>
      </w:r>
      <w:r>
        <w:tab/>
        <w:t xml:space="preserve">In light of the foregoing, the author specifically asks the Committee to request the State party to repeal the existing restrictions on the exercise of the right of peaceful assembly </w:t>
      </w:r>
      <w:r w:rsidR="00986B9C">
        <w:t xml:space="preserve">in its domestic law </w:t>
      </w:r>
      <w:r>
        <w:t xml:space="preserve">that run counter </w:t>
      </w:r>
      <w:r w:rsidR="00986B9C">
        <w:t xml:space="preserve">to the State party’s obligations under article 21 of the Covenant and international standards. </w:t>
      </w:r>
    </w:p>
    <w:p w14:paraId="4B9AA40A" w14:textId="77777777" w:rsidR="004D2B1E" w:rsidRPr="00C23B4C" w:rsidRDefault="004D2B1E" w:rsidP="004D2B1E">
      <w:pPr>
        <w:pStyle w:val="H23G"/>
      </w:pPr>
      <w:r w:rsidRPr="00C23B4C">
        <w:tab/>
      </w:r>
      <w:r w:rsidRPr="00C23B4C">
        <w:tab/>
        <w:t>State party’s observations on admissibility and the merits</w:t>
      </w:r>
    </w:p>
    <w:p w14:paraId="4B9AA40B" w14:textId="77777777" w:rsidR="00CE2706" w:rsidRDefault="000359B6" w:rsidP="000359B6">
      <w:pPr>
        <w:pStyle w:val="SingleTxtG"/>
      </w:pPr>
      <w:r w:rsidRPr="00381EF0">
        <w:t>4.1</w:t>
      </w:r>
      <w:r w:rsidRPr="00381EF0">
        <w:tab/>
        <w:t xml:space="preserve">In a note </w:t>
      </w:r>
      <w:proofErr w:type="spellStart"/>
      <w:r w:rsidRPr="00381EF0">
        <w:t>verbale</w:t>
      </w:r>
      <w:proofErr w:type="spellEnd"/>
      <w:r w:rsidRPr="00381EF0">
        <w:t xml:space="preserve"> dated 2</w:t>
      </w:r>
      <w:r w:rsidR="00CE2706">
        <w:t xml:space="preserve">0 October </w:t>
      </w:r>
      <w:r w:rsidRPr="00381EF0">
        <w:t>2014, the State party recalls the facts on which the present communication is based and submits that</w:t>
      </w:r>
      <w:r w:rsidR="00CE2706">
        <w:t>, on 24 March 2012 and 28 April 2012, the author has participated in the unauthorised rallies and was subsequently subjected to administrative liability. The State party also adds that the author pleaded not guilty</w:t>
      </w:r>
      <w:r w:rsidR="00CE2706" w:rsidRPr="00CE2706">
        <w:t xml:space="preserve"> </w:t>
      </w:r>
      <w:r w:rsidR="00CE2706">
        <w:t xml:space="preserve">on both occasions. </w:t>
      </w:r>
    </w:p>
    <w:p w14:paraId="4B9AA40C" w14:textId="77777777" w:rsidR="00CD277E" w:rsidRDefault="00CE2706" w:rsidP="00CD277E">
      <w:pPr>
        <w:pStyle w:val="SingleTxtG"/>
      </w:pPr>
      <w:r>
        <w:t>4.2</w:t>
      </w:r>
      <w:r>
        <w:tab/>
        <w:t xml:space="preserve">The State party argues that the present communication </w:t>
      </w:r>
      <w:r w:rsidR="000359B6" w:rsidRPr="00381EF0">
        <w:t xml:space="preserve">should be declared inadmissible by the Committee as being manifestly unfounded. The State party submits that article 32 of the Constitution guarantees the right of citizens to gather peacefully and to hold meetings, rallies, demonstrations, street processions and pickets. The realization of this right, however, may be restricted by law in the interests of State security, public order, and the protection of the health, rights and freedoms of others. The format and the manner of the expression of societal, group or personal interests in public places, as well as certain limitations on the above, are established by Law on the Procedure for the Organization and Conduct of Peaceful Assemblies, Meetings, Processions, Pickets and Demonstrations. Article 7 of this Law gives the local executive bodies authority to prohibit the holding of public events if, inter alia, these events threaten </w:t>
      </w:r>
      <w:r w:rsidR="000359B6">
        <w:t>“</w:t>
      </w:r>
      <w:r w:rsidR="000359B6" w:rsidRPr="00381EF0">
        <w:t>public order and the security of citizens</w:t>
      </w:r>
      <w:r w:rsidR="000359B6">
        <w:t>”</w:t>
      </w:r>
      <w:r w:rsidR="000359B6" w:rsidRPr="00381EF0">
        <w:t>.</w:t>
      </w:r>
      <w:r w:rsidR="00CD277E">
        <w:t xml:space="preserve"> Pursuant to article 10 of the same Law, the local executive bodies may also establish additional requirements for the conduct of public events, which are adapted to local conditions and based in </w:t>
      </w:r>
      <w:r w:rsidR="003A422F">
        <w:t xml:space="preserve">law. </w:t>
      </w:r>
    </w:p>
    <w:p w14:paraId="4B9AA40D" w14:textId="77777777" w:rsidR="003A422F" w:rsidRDefault="003A422F" w:rsidP="000359B6">
      <w:pPr>
        <w:pStyle w:val="SingleTxtG"/>
      </w:pPr>
      <w:r>
        <w:t>4.3</w:t>
      </w:r>
      <w:r w:rsidR="000359B6" w:rsidRPr="00381EF0">
        <w:tab/>
        <w:t>The State party argues that the holding of peaceful assemblies, meetings, processions and demonstrations is not prohibited on its territory. However, pursuant to the Law on the Procedure for the Organization and Conduct of Peaceful Assemblies, Meetings, Processions, Pickets and Demonstrations, organizers should obtain authorization from the local executive body prior to holding such a public event</w:t>
      </w:r>
      <w:r>
        <w:t xml:space="preserve"> and that such as authorization could be refused in certain circumstances. </w:t>
      </w:r>
    </w:p>
    <w:p w14:paraId="4B9AA40E" w14:textId="77777777" w:rsidR="000359B6" w:rsidRPr="00381EF0" w:rsidRDefault="003A422F" w:rsidP="000359B6">
      <w:pPr>
        <w:pStyle w:val="SingleTxtG"/>
      </w:pPr>
      <w:r>
        <w:t>4.4</w:t>
      </w:r>
      <w:r w:rsidR="000359B6" w:rsidRPr="00381EF0">
        <w:tab/>
        <w:t>The State party further submits</w:t>
      </w:r>
      <w:r w:rsidR="0017319B">
        <w:t xml:space="preserve"> the OSCE / ODIHR Guidelines on Freedom of Peaceful Assembly</w:t>
      </w:r>
      <w:r w:rsidR="002F7242">
        <w:rPr>
          <w:rStyle w:val="FootnoteReference"/>
        </w:rPr>
        <w:footnoteReference w:id="10"/>
      </w:r>
      <w:r w:rsidR="0017319B">
        <w:t xml:space="preserve"> </w:t>
      </w:r>
      <w:r w:rsidR="002E6588">
        <w:t xml:space="preserve">also </w:t>
      </w:r>
      <w:r w:rsidR="0017319B">
        <w:t>recognise the n</w:t>
      </w:r>
      <w:r w:rsidR="002E6588">
        <w:t xml:space="preserve">ecessity of establishing certain restrictions and limitations on the exercise of the right to freedom of assembly. The State party adds that </w:t>
      </w:r>
      <w:r w:rsidR="000359B6" w:rsidRPr="00381EF0">
        <w:t xml:space="preserve">it studied the practice of several other countries and found that the restrictions on public events in some countries were more stringent than in Kazakhstan. In New York City, for example, it is necessary to request permission 45 days before the event itself and to indicate the route of the event. The city authorities have the right to move the event if its location is not acceptable. Other countries, such as Sweden, have a blacklist of organizers of previously prohibited or dispersed demonstrations. In France, local authorities have the right to prohibit any demonstrations. In the United Kingdom of Great Britain and Northern Ireland, the authorities have the right to introduce temporary bans. Also, in the United Kingdom, street </w:t>
      </w:r>
      <w:r w:rsidR="000359B6" w:rsidRPr="00381EF0">
        <w:lastRenderedPageBreak/>
        <w:t xml:space="preserve">events are only allowed after receiving permission from the police. In Germany, any mass event, meeting or demonstration inside or outside must be permitted by the authorities. </w:t>
      </w:r>
    </w:p>
    <w:p w14:paraId="4B9AA40F" w14:textId="77777777" w:rsidR="000359B6" w:rsidRPr="00381EF0" w:rsidRDefault="003A422F" w:rsidP="000359B6">
      <w:pPr>
        <w:pStyle w:val="SingleTxtG"/>
      </w:pPr>
      <w:r>
        <w:t>4.5</w:t>
      </w:r>
      <w:r w:rsidR="000359B6" w:rsidRPr="00381EF0">
        <w:tab/>
        <w:t>In order to protect the rights and freedoms of others, public order and the transportation system and other infrastructure, the State party</w:t>
      </w:r>
      <w:r w:rsidR="000359B6">
        <w:t>’</w:t>
      </w:r>
      <w:r w:rsidR="000359B6" w:rsidRPr="00381EF0">
        <w:t xml:space="preserve">s authorities have designated special locations for non-governmental public events. Currently, almost all regional capitals, together with some districts, have such designated areas, based on the decisions of local executive bodies. </w:t>
      </w:r>
    </w:p>
    <w:p w14:paraId="4B9AA410" w14:textId="77777777" w:rsidR="000359B6" w:rsidRPr="00381EF0" w:rsidRDefault="0036258F" w:rsidP="00DA46F3">
      <w:pPr>
        <w:pStyle w:val="SingleTxtG"/>
      </w:pPr>
      <w:r>
        <w:t>4.6</w:t>
      </w:r>
      <w:r w:rsidR="000359B6" w:rsidRPr="00381EF0">
        <w:tab/>
        <w:t xml:space="preserve">The State party therefore considers that its domestic laws and regulations are in accordance with the requirements of applicable international law and the practices of other countries, and that its domestic authorities and courts complied with the requirements of articles </w:t>
      </w:r>
      <w:r w:rsidR="00DA46F3">
        <w:t xml:space="preserve">19 and </w:t>
      </w:r>
      <w:r w:rsidR="000359B6" w:rsidRPr="00381EF0">
        <w:t xml:space="preserve">21 of the Covenant in </w:t>
      </w:r>
      <w:r w:rsidR="00DA46F3">
        <w:t xml:space="preserve">subjecting the author to administrative liability. </w:t>
      </w:r>
    </w:p>
    <w:p w14:paraId="4B9AA411" w14:textId="77777777" w:rsidR="00DA46F3" w:rsidRDefault="000359B6" w:rsidP="000359B6">
      <w:pPr>
        <w:pStyle w:val="SingleTxtG"/>
      </w:pPr>
      <w:r w:rsidRPr="00381EF0">
        <w:t>4</w:t>
      </w:r>
      <w:r w:rsidR="0036258F">
        <w:t>.7</w:t>
      </w:r>
      <w:r w:rsidRPr="00381EF0">
        <w:tab/>
        <w:t>The State party further submits that the author also failed to exhaust dome</w:t>
      </w:r>
      <w:r w:rsidR="00DA46F3">
        <w:t xml:space="preserve">stic remedies. It recalls that </w:t>
      </w:r>
      <w:r w:rsidRPr="00381EF0">
        <w:t>the author</w:t>
      </w:r>
      <w:r>
        <w:t>’</w:t>
      </w:r>
      <w:r w:rsidRPr="00381EF0">
        <w:t>s request for a supervisory review</w:t>
      </w:r>
      <w:r w:rsidR="00DA46F3">
        <w:t xml:space="preserve"> of the administrative proceedings on the basis of which he was subjected to administrative liability for having participated in an unauthorised rally </w:t>
      </w:r>
      <w:r w:rsidR="0036258F">
        <w:t xml:space="preserve">on 28 April 2012 has been rejected by the Deputy Prosecutor General. </w:t>
      </w:r>
      <w:r w:rsidR="00DA46F3" w:rsidRPr="002F61C4">
        <w:t xml:space="preserve">The State party </w:t>
      </w:r>
      <w:r w:rsidR="0036258F">
        <w:t xml:space="preserve">further </w:t>
      </w:r>
      <w:r w:rsidR="00DA46F3" w:rsidRPr="002F61C4">
        <w:t xml:space="preserve">submits that </w:t>
      </w:r>
      <w:r w:rsidR="003F1906">
        <w:t xml:space="preserve">chapter </w:t>
      </w:r>
      <w:r w:rsidR="00DA46F3" w:rsidRPr="002F61C4">
        <w:t xml:space="preserve">40 of the </w:t>
      </w:r>
      <w:r w:rsidR="0036258F" w:rsidRPr="00F65FA0">
        <w:t>Code of Administrative Offences</w:t>
      </w:r>
      <w:r w:rsidR="0036258F" w:rsidRPr="002F61C4">
        <w:t xml:space="preserve"> </w:t>
      </w:r>
      <w:r w:rsidR="00DA46F3" w:rsidRPr="002F61C4">
        <w:t xml:space="preserve">provides for an exceptional procedure under which the author could have requested the Prosecutor General to initiate supervisory review proceedings </w:t>
      </w:r>
      <w:r w:rsidR="007D136E">
        <w:t xml:space="preserve">in </w:t>
      </w:r>
      <w:r w:rsidR="00DA46F3" w:rsidRPr="002F61C4">
        <w:t>h</w:t>
      </w:r>
      <w:r w:rsidR="0036258F">
        <w:t xml:space="preserve">is </w:t>
      </w:r>
      <w:r w:rsidR="00DA46F3" w:rsidRPr="002F61C4">
        <w:t>administrative case before the Supreme Court.</w:t>
      </w:r>
      <w:r w:rsidR="0036258F">
        <w:rPr>
          <w:rStyle w:val="FootnoteReference"/>
        </w:rPr>
        <w:footnoteReference w:id="11"/>
      </w:r>
      <w:r w:rsidR="00DA46F3" w:rsidRPr="002F61C4">
        <w:t xml:space="preserve"> </w:t>
      </w:r>
      <w:r w:rsidR="0036258F" w:rsidRPr="00381EF0">
        <w:t xml:space="preserve">Since the author has failed to file such a request, </w:t>
      </w:r>
      <w:r w:rsidR="0036258F">
        <w:t xml:space="preserve">his </w:t>
      </w:r>
      <w:r w:rsidR="0036258F" w:rsidRPr="00381EF0">
        <w:t>communication before the Committee should be declared inadmissible under article 5 (2) (b) of the Optional Protocol.</w:t>
      </w:r>
    </w:p>
    <w:p w14:paraId="4B9AA412" w14:textId="77777777" w:rsidR="00A0556C" w:rsidRDefault="007600E5" w:rsidP="007600E5">
      <w:pPr>
        <w:pStyle w:val="H23G"/>
      </w:pPr>
      <w:r>
        <w:tab/>
      </w:r>
      <w:r>
        <w:tab/>
      </w:r>
      <w:r w:rsidR="00A0556C" w:rsidRPr="00A0556C">
        <w:t>Author’s comments on the State party’s observations</w:t>
      </w:r>
    </w:p>
    <w:p w14:paraId="4B9AA413" w14:textId="77777777" w:rsidR="004835E1" w:rsidRDefault="00E450AE" w:rsidP="006E4E32">
      <w:pPr>
        <w:pStyle w:val="SingleTxtG"/>
      </w:pPr>
      <w:r>
        <w:t>5.1</w:t>
      </w:r>
      <w:r w:rsidR="004835E1">
        <w:tab/>
        <w:t xml:space="preserve">On 11 November 2014, </w:t>
      </w:r>
      <w:r>
        <w:t xml:space="preserve">the author provided comments on the State party’s observations. </w:t>
      </w:r>
      <w:r w:rsidR="000D0621">
        <w:t xml:space="preserve">He recalls the State party argument that </w:t>
      </w:r>
      <w:r w:rsidR="0056279A">
        <w:t xml:space="preserve">he </w:t>
      </w:r>
      <w:r w:rsidR="008E49A8">
        <w:t>has been</w:t>
      </w:r>
      <w:r w:rsidR="000D0621">
        <w:t xml:space="preserve"> twice subjected to administrative liability </w:t>
      </w:r>
      <w:r w:rsidR="00EE0533">
        <w:t xml:space="preserve">in accordance with the law </w:t>
      </w:r>
      <w:r w:rsidR="000D0621">
        <w:t xml:space="preserve">for having participated in </w:t>
      </w:r>
      <w:r w:rsidR="0056279A">
        <w:t xml:space="preserve">two </w:t>
      </w:r>
      <w:r w:rsidR="000D0621">
        <w:t>unauthorized rallies.</w:t>
      </w:r>
      <w:r w:rsidR="008E49A8">
        <w:t xml:space="preserve"> The author submits in this regard that, in fact, the State party has violated his right to peaceful assembly by subjecting him to administrative liability for the mere participation in two peaceful rallies. The author adds that the </w:t>
      </w:r>
      <w:r w:rsidR="008E49A8" w:rsidRPr="00281284">
        <w:t>Specialized Inter-District Administrative Court of Almaty</w:t>
      </w:r>
      <w:r w:rsidR="008E49A8" w:rsidRPr="008E49A8">
        <w:t xml:space="preserve"> </w:t>
      </w:r>
      <w:r w:rsidR="008E49A8">
        <w:t xml:space="preserve">did not explain why the restriction of his right of peaceful assembly was </w:t>
      </w:r>
      <w:r w:rsidR="008E49A8" w:rsidRPr="00AE7E54">
        <w:t xml:space="preserve">“necessary” for </w:t>
      </w:r>
      <w:r w:rsidR="008E49A8">
        <w:t xml:space="preserve">the protection </w:t>
      </w:r>
      <w:r w:rsidR="008E49A8" w:rsidRPr="00AE7E54">
        <w:t xml:space="preserve">of </w:t>
      </w:r>
      <w:r w:rsidR="008E49A8">
        <w:t xml:space="preserve">one of the legitimate </w:t>
      </w:r>
      <w:r w:rsidR="008E49A8" w:rsidRPr="00AE7E54">
        <w:t>purposes</w:t>
      </w:r>
      <w:r w:rsidR="008E49A8">
        <w:t>,</w:t>
      </w:r>
      <w:r w:rsidR="008E49A8" w:rsidRPr="008E49A8">
        <w:t xml:space="preserve"> </w:t>
      </w:r>
      <w:r w:rsidR="008E49A8">
        <w:t>such as the protection of national security or public order, public health, morals or rights and freedoms of others. T</w:t>
      </w:r>
      <w:r w:rsidR="0056279A">
        <w:t xml:space="preserve">herefore, the only justification provided by the </w:t>
      </w:r>
      <w:r w:rsidR="0056279A" w:rsidRPr="00281284">
        <w:t>Specialized Inter-District Administrative Court of Almaty</w:t>
      </w:r>
      <w:r w:rsidR="0056279A" w:rsidRPr="008E49A8">
        <w:t xml:space="preserve"> </w:t>
      </w:r>
      <w:r w:rsidR="0056279A">
        <w:t xml:space="preserve">for sanctioning the author </w:t>
      </w:r>
      <w:r w:rsidR="0056279A" w:rsidRPr="00281284">
        <w:t>with 15 days of administrative detention</w:t>
      </w:r>
      <w:r w:rsidR="0056279A">
        <w:t xml:space="preserve"> was that he had participated in an unauthorized </w:t>
      </w:r>
      <w:r w:rsidR="007270CD">
        <w:t>public event</w:t>
      </w:r>
      <w:r w:rsidR="0056279A">
        <w:t xml:space="preserve">. </w:t>
      </w:r>
    </w:p>
    <w:p w14:paraId="4B9AA414" w14:textId="77777777" w:rsidR="0056279A" w:rsidRDefault="0056279A" w:rsidP="006E4E32">
      <w:pPr>
        <w:pStyle w:val="SingleTxtG"/>
      </w:pPr>
      <w:r>
        <w:t>5.2</w:t>
      </w:r>
      <w:r>
        <w:tab/>
        <w:t xml:space="preserve">The author also submits that, contrary to what was claimed by the State party in its observations, provisions of article 32 of the Constitution and of articles 19 and 21 of the Covenant are not being complied with in the Republic of Kazakhstan in practice. </w:t>
      </w:r>
      <w:r w:rsidR="008D330E">
        <w:t>The author also argues that, unlike in the Republic of Kazakhstan where one needs</w:t>
      </w:r>
      <w:r w:rsidR="00421173">
        <w:t xml:space="preserve"> an </w:t>
      </w:r>
      <w:r w:rsidR="008D330E">
        <w:t xml:space="preserve">authorization from the authorities </w:t>
      </w:r>
      <w:r w:rsidR="00421173">
        <w:t xml:space="preserve">prior </w:t>
      </w:r>
      <w:r w:rsidR="008D330E">
        <w:t>to organiz</w:t>
      </w:r>
      <w:r w:rsidR="00421173">
        <w:t xml:space="preserve">ing </w:t>
      </w:r>
      <w:r w:rsidR="008D330E">
        <w:t>a peaceful public event, most of peaceful assemblies in other counties</w:t>
      </w:r>
      <w:r w:rsidR="007F35CE">
        <w:t>, including the United States of America,</w:t>
      </w:r>
      <w:r w:rsidR="008D330E">
        <w:t xml:space="preserve"> are conducted pursuant to a notification procedure. </w:t>
      </w:r>
    </w:p>
    <w:p w14:paraId="4B9AA415" w14:textId="77777777" w:rsidR="00421173" w:rsidRDefault="00421173" w:rsidP="006E4E32">
      <w:pPr>
        <w:pStyle w:val="SingleTxtG"/>
      </w:pPr>
      <w:r>
        <w:t>5.3</w:t>
      </w:r>
      <w:r>
        <w:tab/>
      </w:r>
      <w:r w:rsidRPr="002F61C4">
        <w:t xml:space="preserve">The author </w:t>
      </w:r>
      <w:r>
        <w:t xml:space="preserve">also </w:t>
      </w:r>
      <w:r w:rsidRPr="002F61C4">
        <w:t>claims to have exhausted all available domestic remedies, including submitting a request to the Prosecutor General</w:t>
      </w:r>
      <w:r>
        <w:t>’</w:t>
      </w:r>
      <w:r w:rsidRPr="002F61C4">
        <w:t xml:space="preserve">s Office to initiate a supervisory review before the Supreme Court. </w:t>
      </w:r>
      <w:r w:rsidR="00C94F3B">
        <w:t>T</w:t>
      </w:r>
      <w:r>
        <w:t>he Prosecutor General’s Office could have initiated a supervisory review in his administrative case but</w:t>
      </w:r>
      <w:r w:rsidR="00C94F3B">
        <w:t xml:space="preserve"> it</w:t>
      </w:r>
      <w:r>
        <w:t xml:space="preserve"> has not done so</w:t>
      </w:r>
      <w:r w:rsidR="00C94F3B">
        <w:t>. Therefore, filing by the author of another request to initiate a supervisory review to the Prosecutor General would not have resulted in a different outcome</w:t>
      </w:r>
      <w:r>
        <w:t xml:space="preserve">. </w:t>
      </w:r>
    </w:p>
    <w:p w14:paraId="4B9AA416" w14:textId="77777777" w:rsidR="00C94F3B" w:rsidRDefault="00C94F3B" w:rsidP="00C94F3B">
      <w:pPr>
        <w:pStyle w:val="SingleTxtG"/>
      </w:pPr>
      <w:r>
        <w:t>5.4</w:t>
      </w:r>
      <w:r>
        <w:tab/>
        <w:t xml:space="preserve">The author requests the State party’s authorities to make a public apology for the violation of his rights and to pay him compensation for the legal and medical costs resulting from their unlawful actions, as well as </w:t>
      </w:r>
      <w:r w:rsidR="00B71F75">
        <w:t xml:space="preserve">for </w:t>
      </w:r>
      <w:r>
        <w:t>moral damages</w:t>
      </w:r>
      <w:r w:rsidR="00B71F75">
        <w:t>. He adds that his health has significantly deteriorated as a result of 30 days of administrative detention in sub-standard conditions, two hunger strikes initiated by hi</w:t>
      </w:r>
      <w:r w:rsidR="00725C3B">
        <w:t>m</w:t>
      </w:r>
      <w:r w:rsidR="00B71F75">
        <w:t xml:space="preserve"> as a protest against unlawful detention and </w:t>
      </w:r>
      <w:r w:rsidR="00B71F75">
        <w:lastRenderedPageBreak/>
        <w:t>three years of stress and depression</w:t>
      </w:r>
      <w:r w:rsidR="003C4F4D">
        <w:t xml:space="preserve"> that followed</w:t>
      </w:r>
      <w:r w:rsidR="00B71F75">
        <w:t xml:space="preserve">. </w:t>
      </w:r>
      <w:r w:rsidR="003C4F4D">
        <w:t>The author also requests the State party to repeal the “draconian” 1995</w:t>
      </w:r>
      <w:r w:rsidR="00B71F75">
        <w:t xml:space="preserve"> </w:t>
      </w:r>
      <w:r w:rsidR="003C4F4D" w:rsidRPr="00BF04D2">
        <w:t>Law on the Procedure for the Organization and Conduct of Peaceful Assemblies, Meetings, Processions, Pickets and Demonstrations</w:t>
      </w:r>
      <w:r w:rsidR="003C4F4D">
        <w:t xml:space="preserve"> and to adopt a new progressive law instead. </w:t>
      </w:r>
    </w:p>
    <w:p w14:paraId="4B9AA417" w14:textId="77777777" w:rsidR="00EB3A99" w:rsidRPr="002A3A75" w:rsidRDefault="007600E5" w:rsidP="007600E5">
      <w:pPr>
        <w:pStyle w:val="H23G"/>
      </w:pPr>
      <w:r>
        <w:tab/>
      </w:r>
      <w:r>
        <w:tab/>
      </w:r>
      <w:r w:rsidR="00EB3A99" w:rsidRPr="002A3A75">
        <w:t>State party’</w:t>
      </w:r>
      <w:r w:rsidR="002A3A75" w:rsidRPr="002A3A75">
        <w:t xml:space="preserve">s additional observations </w:t>
      </w:r>
    </w:p>
    <w:p w14:paraId="4B9AA418" w14:textId="77777777" w:rsidR="009362A0" w:rsidRDefault="002A3A75" w:rsidP="006E4E32">
      <w:pPr>
        <w:pStyle w:val="SingleTxtG"/>
      </w:pPr>
      <w:r>
        <w:t>6.1</w:t>
      </w:r>
      <w:r>
        <w:tab/>
      </w:r>
      <w:r w:rsidRPr="00381EF0">
        <w:t xml:space="preserve">In a note </w:t>
      </w:r>
      <w:proofErr w:type="spellStart"/>
      <w:r w:rsidRPr="00381EF0">
        <w:t>verbale</w:t>
      </w:r>
      <w:proofErr w:type="spellEnd"/>
      <w:r w:rsidRPr="00381EF0">
        <w:t xml:space="preserve"> dated 2</w:t>
      </w:r>
      <w:r>
        <w:t>6 February 2015</w:t>
      </w:r>
      <w:r w:rsidRPr="00381EF0">
        <w:t xml:space="preserve">, the State party </w:t>
      </w:r>
      <w:r>
        <w:t xml:space="preserve">reiterates its earlier position that </w:t>
      </w:r>
      <w:r w:rsidRPr="00381EF0">
        <w:t>the present co</w:t>
      </w:r>
      <w:r>
        <w:t xml:space="preserve">mmunication </w:t>
      </w:r>
      <w:r w:rsidRPr="00381EF0">
        <w:t>should be declared inadmissible by the Committee as being manifestly unfounded.</w:t>
      </w:r>
      <w:r w:rsidR="009362A0">
        <w:t xml:space="preserve"> </w:t>
      </w:r>
    </w:p>
    <w:p w14:paraId="4B9AA419" w14:textId="77777777" w:rsidR="009230AD" w:rsidRDefault="009362A0" w:rsidP="009230AD">
      <w:pPr>
        <w:pStyle w:val="SingleTxtG"/>
      </w:pPr>
      <w:r>
        <w:t>6.2</w:t>
      </w:r>
      <w:r>
        <w:tab/>
        <w:t xml:space="preserve">The State party submits that articles 19 and 21 of the Covenant provide for certain restrictions in the exercise of the rights to freedom of expression and </w:t>
      </w:r>
      <w:r w:rsidR="00725C3B">
        <w:t xml:space="preserve">peaceful </w:t>
      </w:r>
      <w:r>
        <w:t xml:space="preserve">assembly and that these provisions of international law have been </w:t>
      </w:r>
      <w:r w:rsidR="000922FA">
        <w:t xml:space="preserve">reflected in national legislation of the Republic of Kazakhstan. It refers in particular to articles 20 and 32 of the Constitution. </w:t>
      </w:r>
      <w:r w:rsidR="00BB713E">
        <w:t xml:space="preserve">The State party </w:t>
      </w:r>
      <w:r w:rsidR="00425587">
        <w:t xml:space="preserve">recalls that the exercise of </w:t>
      </w:r>
      <w:r w:rsidR="00BB713E">
        <w:t xml:space="preserve">the rights to freedom of expression and </w:t>
      </w:r>
      <w:r w:rsidR="00725C3B">
        <w:t>peaceful</w:t>
      </w:r>
      <w:r w:rsidR="00BB713E">
        <w:t xml:space="preserve"> assembly </w:t>
      </w:r>
      <w:r w:rsidR="00425587">
        <w:t>carries with it special duties and responsibilities</w:t>
      </w:r>
      <w:r w:rsidR="002A1C89" w:rsidRPr="002A1C89">
        <w:t xml:space="preserve"> </w:t>
      </w:r>
      <w:r w:rsidR="002A1C89">
        <w:t>for rights-holders</w:t>
      </w:r>
      <w:r w:rsidR="00425587">
        <w:t xml:space="preserve">. </w:t>
      </w:r>
      <w:r w:rsidR="0065003B">
        <w:t xml:space="preserve">This is the reason why the national legislation of the Republic of Kazakhstan </w:t>
      </w:r>
      <w:r w:rsidR="007C6506">
        <w:t>provides</w:t>
      </w:r>
      <w:r w:rsidR="0065003B">
        <w:t xml:space="preserve"> for a number of substantive </w:t>
      </w:r>
      <w:r w:rsidR="007C6506">
        <w:t xml:space="preserve">requirements, as far as the procedure for the </w:t>
      </w:r>
      <w:r w:rsidR="0065003B">
        <w:t xml:space="preserve">conduct of public events of </w:t>
      </w:r>
      <w:r w:rsidR="0065003B" w:rsidRPr="00381EF0">
        <w:t xml:space="preserve">a </w:t>
      </w:r>
      <w:r w:rsidR="0065003B">
        <w:t>“</w:t>
      </w:r>
      <w:r w:rsidR="0065003B" w:rsidRPr="00381EF0">
        <w:t>social and political nature</w:t>
      </w:r>
      <w:r w:rsidR="0065003B">
        <w:t>”</w:t>
      </w:r>
      <w:r w:rsidR="0065003B" w:rsidRPr="00381EF0">
        <w:t xml:space="preserve"> </w:t>
      </w:r>
      <w:r w:rsidR="0065003B">
        <w:t xml:space="preserve">is </w:t>
      </w:r>
      <w:r w:rsidR="007C6506">
        <w:t xml:space="preserve">concerned. </w:t>
      </w:r>
      <w:r w:rsidR="003827BF">
        <w:t xml:space="preserve">It does not mean, however, that </w:t>
      </w:r>
      <w:r w:rsidR="003827BF" w:rsidRPr="00381EF0">
        <w:t xml:space="preserve">the holding of peaceful assemblies, meetings, processions and demonstrations is prohibited on </w:t>
      </w:r>
      <w:r w:rsidR="003827BF">
        <w:t xml:space="preserve">the </w:t>
      </w:r>
      <w:r w:rsidR="003827BF" w:rsidRPr="00381EF0">
        <w:t>territory</w:t>
      </w:r>
      <w:r w:rsidR="003827BF">
        <w:t xml:space="preserve"> of the Republic of Kazakhstan</w:t>
      </w:r>
      <w:r w:rsidR="003827BF" w:rsidRPr="00381EF0">
        <w:t>.</w:t>
      </w:r>
      <w:r w:rsidR="003827BF">
        <w:t xml:space="preserve"> Once the requirements established by the national legislation have been complied with, the</w:t>
      </w:r>
      <w:r w:rsidR="00FE2454">
        <w:t xml:space="preserve">re are no impediments for the </w:t>
      </w:r>
      <w:r w:rsidR="003827BF">
        <w:t>conduct of public events</w:t>
      </w:r>
      <w:r w:rsidR="00FE2454">
        <w:t>.</w:t>
      </w:r>
      <w:r w:rsidR="009230AD">
        <w:t xml:space="preserve"> </w:t>
      </w:r>
      <w:r w:rsidR="00A45A96">
        <w:t xml:space="preserve">The State party argues that the right to </w:t>
      </w:r>
      <w:r w:rsidR="00725C3B">
        <w:t>peaceful</w:t>
      </w:r>
      <w:r w:rsidR="00A45A96">
        <w:t xml:space="preserve"> assembly is restricted by law in nearly all developed democratic countries, which establish specific requirements for the exercise thereof.</w:t>
      </w:r>
      <w:r w:rsidR="002E6588">
        <w:t xml:space="preserve"> It also recalls that the OSCE / ODIHR Guidelines on Freedom of Peaceful Assembly</w:t>
      </w:r>
      <w:r w:rsidR="002E6588" w:rsidRPr="002E6588">
        <w:t xml:space="preserve"> </w:t>
      </w:r>
      <w:r w:rsidR="002E6588">
        <w:t>also recognise the necessity of establishing certain restrictions and limitations on the exercise of the right to freedom of assembly (see, para. 4.4).</w:t>
      </w:r>
    </w:p>
    <w:p w14:paraId="4B9AA41A" w14:textId="77777777" w:rsidR="004835E1" w:rsidRDefault="009230AD" w:rsidP="009230AD">
      <w:pPr>
        <w:pStyle w:val="SingleTxtG"/>
      </w:pPr>
      <w:r>
        <w:t>6.3</w:t>
      </w:r>
      <w:r>
        <w:tab/>
        <w:t>The State party argues that the author has repeatedly disregarded the requirements established in the national legislation of the Republic of Kazakhstan by actively participating in the unauthorized rallies on 24 March 2012 and 28 April 2012. Therefore, contrary to what is being claimed by the author</w:t>
      </w:r>
      <w:r w:rsidR="005B4184">
        <w:t xml:space="preserve"> before the Committee</w:t>
      </w:r>
      <w:r>
        <w:t xml:space="preserve">, he was subjected to administrative </w:t>
      </w:r>
      <w:r w:rsidR="001D3225">
        <w:t>liability</w:t>
      </w:r>
      <w:r>
        <w:t xml:space="preserve"> </w:t>
      </w:r>
      <w:r w:rsidR="00666CE5">
        <w:t xml:space="preserve">not for having exercised his rights to freedom of expression and </w:t>
      </w:r>
      <w:r w:rsidR="00725C3B">
        <w:t>peaceful</w:t>
      </w:r>
      <w:r w:rsidR="00666CE5">
        <w:t xml:space="preserve"> assembly but rather </w:t>
      </w:r>
      <w:r>
        <w:t xml:space="preserve">for having </w:t>
      </w:r>
      <w:r w:rsidR="00666CE5">
        <w:t xml:space="preserve">violated </w:t>
      </w:r>
      <w:r>
        <w:t xml:space="preserve">the </w:t>
      </w:r>
      <w:r w:rsidR="00666CE5">
        <w:t xml:space="preserve">requirements established in the national legislation </w:t>
      </w:r>
      <w:r>
        <w:t xml:space="preserve">for the </w:t>
      </w:r>
      <w:r w:rsidR="00666CE5">
        <w:t xml:space="preserve">exercise of </w:t>
      </w:r>
      <w:r w:rsidR="005B4184">
        <w:t>these rights.</w:t>
      </w:r>
    </w:p>
    <w:p w14:paraId="4B9AA41B" w14:textId="77777777" w:rsidR="004835E1" w:rsidRDefault="002636E6" w:rsidP="006E4E32">
      <w:pPr>
        <w:pStyle w:val="SingleTxtG"/>
      </w:pPr>
      <w:r>
        <w:t>6.4</w:t>
      </w:r>
      <w:r>
        <w:tab/>
        <w:t>The State party also reiterates its position that the author’s</w:t>
      </w:r>
      <w:r w:rsidRPr="002636E6">
        <w:t xml:space="preserve"> </w:t>
      </w:r>
      <w:r>
        <w:t xml:space="preserve">communication </w:t>
      </w:r>
      <w:r w:rsidRPr="00381EF0">
        <w:t>should be declared inadmissible under article 5 (2) (b) of the Optional Protocol</w:t>
      </w:r>
      <w:r>
        <w:t xml:space="preserve">, since he has failed to file a request to initiate supervisory review proceeding in his administrative case directly with the Prosecutor General, attaching a copy of the reply received by him from the Deputy Prosecutor General.  </w:t>
      </w:r>
    </w:p>
    <w:p w14:paraId="4B9AA41C" w14:textId="77777777" w:rsidR="006C1E59" w:rsidRPr="002A3A75" w:rsidRDefault="007600E5" w:rsidP="007600E5">
      <w:pPr>
        <w:pStyle w:val="H23G"/>
      </w:pPr>
      <w:r>
        <w:tab/>
      </w:r>
      <w:r>
        <w:tab/>
      </w:r>
      <w:r w:rsidR="006C1E59">
        <w:t xml:space="preserve">Author’s comments on the </w:t>
      </w:r>
      <w:r w:rsidR="006C1E59" w:rsidRPr="002A3A75">
        <w:t xml:space="preserve">State party’s additional observations </w:t>
      </w:r>
    </w:p>
    <w:p w14:paraId="4B9AA41D" w14:textId="77777777" w:rsidR="00050079" w:rsidRDefault="006C1E59" w:rsidP="006E4E32">
      <w:pPr>
        <w:pStyle w:val="SingleTxtG"/>
      </w:pPr>
      <w:r>
        <w:t>7.1</w:t>
      </w:r>
      <w:r>
        <w:tab/>
      </w:r>
      <w:r w:rsidR="003F6954">
        <w:t>On 21 April 2015, the author provided comments on the State party’s additional observati</w:t>
      </w:r>
      <w:r w:rsidR="0017319B">
        <w:t>ons</w:t>
      </w:r>
      <w:r w:rsidR="00066C06">
        <w:t xml:space="preserve">. He draws the Committee’s attention to the fact that the State party has not explained in its observations why the author and other participants of the peaceful rallies held on 24 March 2012 and 28 April 2012 have not been given the opportunity to </w:t>
      </w:r>
      <w:r w:rsidR="00CB40A6">
        <w:t xml:space="preserve">show their solidarity with oilmen in Zhanaozen and to express their disagreement with how the State party’s authorities reacted to the tragic events in Zhanaozen </w:t>
      </w:r>
      <w:r w:rsidR="00066C06">
        <w:t xml:space="preserve">if, by their actions, </w:t>
      </w:r>
      <w:r w:rsidR="00087CEC">
        <w:t xml:space="preserve">persons participating in these peaceful rallies </w:t>
      </w:r>
      <w:r w:rsidR="00066C06">
        <w:t xml:space="preserve">did not pose any threat </w:t>
      </w:r>
      <w:r w:rsidR="00637A7E">
        <w:t>to national security, public order, public health or morals.</w:t>
      </w:r>
      <w:r w:rsidR="00BE2C83">
        <w:t xml:space="preserve"> </w:t>
      </w:r>
    </w:p>
    <w:p w14:paraId="4B9AA41E" w14:textId="77777777" w:rsidR="00547184" w:rsidRDefault="00050079" w:rsidP="006E4E32">
      <w:pPr>
        <w:pStyle w:val="SingleTxtG"/>
        <w:rPr>
          <w:rFonts w:ascii="Times" w:hAnsi="Times"/>
        </w:rPr>
      </w:pPr>
      <w:r>
        <w:t>7.2</w:t>
      </w:r>
      <w:r>
        <w:tab/>
      </w:r>
      <w:r w:rsidR="00BE2C83">
        <w:t xml:space="preserve">The author also argues </w:t>
      </w:r>
      <w:r>
        <w:t>in great detail</w:t>
      </w:r>
      <w:r w:rsidR="00BE2C83">
        <w:t xml:space="preserve"> that, in the context of the present communication, the State party’s authorities have violated the following six guiding principles contained in the OSCE / ODIHR Guidelines on Freedom of Peaceful Assembly, which were adopted by the Republic of Kazakhstan along with the other participating States of the OSCE: </w:t>
      </w:r>
      <w:r w:rsidR="00650ABE">
        <w:t xml:space="preserve">(1) the presumption </w:t>
      </w:r>
      <w:r w:rsidR="00CB40A6">
        <w:t>in favour of holding assemblie</w:t>
      </w:r>
      <w:r>
        <w:t>s,</w:t>
      </w:r>
      <w:r w:rsidR="00CB40A6">
        <w:t xml:space="preserve"> (2) the state’s positive obligation to facilitat</w:t>
      </w:r>
      <w:r>
        <w:t>e and protect peaceful assembly, (3) legality,</w:t>
      </w:r>
      <w:r w:rsidR="00CB40A6">
        <w:t xml:space="preserve"> (4)</w:t>
      </w:r>
      <w:r>
        <w:t xml:space="preserve"> proportionality, (5) good administration and (6) non-discrimination. </w:t>
      </w:r>
      <w:r w:rsidR="00EE1E5D">
        <w:t xml:space="preserve">The author </w:t>
      </w:r>
      <w:r w:rsidR="0076531A">
        <w:t xml:space="preserve">submits, in particular, that the State party’s authorities have </w:t>
      </w:r>
      <w:r w:rsidR="007E5D9E">
        <w:t xml:space="preserve">taken “preventative measures” to dissuade him from participating in the </w:t>
      </w:r>
      <w:r w:rsidR="007E5D9E">
        <w:rPr>
          <w:rFonts w:ascii="Times" w:hAnsi="Times"/>
        </w:rPr>
        <w:t xml:space="preserve">“rally of dissent” </w:t>
      </w:r>
      <w:r w:rsidR="007E5D9E">
        <w:rPr>
          <w:rFonts w:ascii="Times" w:hAnsi="Times"/>
        </w:rPr>
        <w:lastRenderedPageBreak/>
        <w:t xml:space="preserve">on 28 April 2012 under the </w:t>
      </w:r>
      <w:r w:rsidR="00EE1E5D">
        <w:rPr>
          <w:rFonts w:ascii="Times" w:hAnsi="Times"/>
        </w:rPr>
        <w:t>threat</w:t>
      </w:r>
      <w:r w:rsidR="007E5D9E">
        <w:rPr>
          <w:rFonts w:ascii="Times" w:hAnsi="Times"/>
        </w:rPr>
        <w:t xml:space="preserve"> of puni</w:t>
      </w:r>
      <w:r w:rsidR="00EE1E5D">
        <w:rPr>
          <w:rFonts w:ascii="Times" w:hAnsi="Times"/>
        </w:rPr>
        <w:t>tive actions (see, para. 2.2)</w:t>
      </w:r>
      <w:r w:rsidR="00385FD7">
        <w:rPr>
          <w:rFonts w:ascii="Times" w:hAnsi="Times"/>
        </w:rPr>
        <w:t xml:space="preserve">, that repeatedly subjecting him to administrative liability for the mere participation </w:t>
      </w:r>
      <w:r w:rsidR="00725C3B">
        <w:rPr>
          <w:rFonts w:ascii="Times" w:hAnsi="Times"/>
        </w:rPr>
        <w:t xml:space="preserve">in </w:t>
      </w:r>
      <w:r w:rsidR="00385FD7">
        <w:rPr>
          <w:rFonts w:ascii="Times" w:hAnsi="Times"/>
        </w:rPr>
        <w:t xml:space="preserve">peaceful assemblies was disproportionate and not “necessary” within the meaning of articles 19 (3) and 21 of the Covenant. </w:t>
      </w:r>
    </w:p>
    <w:p w14:paraId="4B9AA41F" w14:textId="77777777" w:rsidR="006C1E59" w:rsidRDefault="00547184" w:rsidP="006E4E32">
      <w:pPr>
        <w:pStyle w:val="SingleTxtG"/>
      </w:pPr>
      <w:r>
        <w:rPr>
          <w:rFonts w:ascii="Times" w:hAnsi="Times"/>
        </w:rPr>
        <w:t>7.3</w:t>
      </w:r>
      <w:r>
        <w:rPr>
          <w:rFonts w:ascii="Times" w:hAnsi="Times"/>
        </w:rPr>
        <w:tab/>
        <w:t xml:space="preserve">The author also </w:t>
      </w:r>
      <w:r w:rsidRPr="00547184">
        <w:rPr>
          <w:rFonts w:eastAsia="Times New Roman"/>
          <w:lang w:eastAsia="en-US"/>
        </w:rPr>
        <w:t>refer</w:t>
      </w:r>
      <w:r>
        <w:rPr>
          <w:rFonts w:eastAsia="Times New Roman"/>
          <w:lang w:eastAsia="en-US"/>
        </w:rPr>
        <w:t xml:space="preserve">s </w:t>
      </w:r>
      <w:r w:rsidRPr="00547184">
        <w:rPr>
          <w:rFonts w:eastAsia="Times New Roman"/>
          <w:lang w:eastAsia="en-US"/>
        </w:rPr>
        <w:t xml:space="preserve">to the decision </w:t>
      </w:r>
      <w:r>
        <w:rPr>
          <w:rFonts w:eastAsia="Times New Roman"/>
          <w:lang w:eastAsia="en-US"/>
        </w:rPr>
        <w:t xml:space="preserve">No. 167 </w:t>
      </w:r>
      <w:r w:rsidRPr="00547184">
        <w:rPr>
          <w:rFonts w:eastAsia="Times New Roman"/>
          <w:lang w:eastAsia="en-US"/>
        </w:rPr>
        <w:t xml:space="preserve">adopted by the </w:t>
      </w:r>
      <w:proofErr w:type="spellStart"/>
      <w:r w:rsidRPr="00547184">
        <w:rPr>
          <w:rFonts w:eastAsia="Times New Roman"/>
          <w:lang w:eastAsia="en-US"/>
        </w:rPr>
        <w:t>Maslikhat</w:t>
      </w:r>
      <w:proofErr w:type="spellEnd"/>
      <w:r w:rsidRPr="00547184">
        <w:rPr>
          <w:rFonts w:eastAsia="Times New Roman"/>
          <w:lang w:eastAsia="en-US"/>
        </w:rPr>
        <w:t xml:space="preserve"> of Almaty</w:t>
      </w:r>
      <w:r w:rsidRPr="00547184">
        <w:rPr>
          <w:rFonts w:eastAsia="Times New Roman"/>
          <w:sz w:val="18"/>
          <w:vertAlign w:val="superscript"/>
          <w:lang w:eastAsia="en-US"/>
        </w:rPr>
        <w:footnoteReference w:id="12"/>
      </w:r>
      <w:r w:rsidR="00B37B37">
        <w:rPr>
          <w:rFonts w:eastAsia="Times New Roman"/>
          <w:lang w:eastAsia="en-US"/>
        </w:rPr>
        <w:t xml:space="preserve"> on</w:t>
      </w:r>
      <w:r w:rsidRPr="00547184">
        <w:rPr>
          <w:rFonts w:eastAsia="Times New Roman"/>
          <w:lang w:eastAsia="en-US"/>
        </w:rPr>
        <w:t xml:space="preserve"> 29 July 2005, </w:t>
      </w:r>
      <w:r w:rsidR="00B37B37">
        <w:rPr>
          <w:rFonts w:eastAsia="Times New Roman"/>
          <w:lang w:eastAsia="en-US"/>
        </w:rPr>
        <w:t xml:space="preserve">which </w:t>
      </w:r>
      <w:r w:rsidRPr="00547184">
        <w:rPr>
          <w:rFonts w:eastAsia="Times New Roman"/>
          <w:lang w:eastAsia="en-US"/>
        </w:rPr>
        <w:t>authorize</w:t>
      </w:r>
      <w:r w:rsidR="00B37B37">
        <w:rPr>
          <w:rFonts w:eastAsia="Times New Roman"/>
          <w:lang w:eastAsia="en-US"/>
        </w:rPr>
        <w:t>s</w:t>
      </w:r>
      <w:r w:rsidRPr="00547184">
        <w:rPr>
          <w:rFonts w:eastAsia="Times New Roman"/>
          <w:lang w:eastAsia="en-US"/>
        </w:rPr>
        <w:t xml:space="preserve"> the organization of all non-governmental public events of a “social and political nature” on the square behind the </w:t>
      </w:r>
      <w:proofErr w:type="spellStart"/>
      <w:r w:rsidRPr="00547184">
        <w:rPr>
          <w:rFonts w:eastAsia="Times New Roman"/>
          <w:lang w:eastAsia="en-US"/>
        </w:rPr>
        <w:t>Sary</w:t>
      </w:r>
      <w:proofErr w:type="spellEnd"/>
      <w:r w:rsidRPr="00547184">
        <w:rPr>
          <w:rFonts w:eastAsia="Times New Roman"/>
          <w:lang w:eastAsia="en-US"/>
        </w:rPr>
        <w:t xml:space="preserve"> </w:t>
      </w:r>
      <w:proofErr w:type="spellStart"/>
      <w:r w:rsidRPr="00547184">
        <w:rPr>
          <w:rFonts w:eastAsia="Times New Roman"/>
          <w:lang w:eastAsia="en-US"/>
        </w:rPr>
        <w:t>Arka</w:t>
      </w:r>
      <w:proofErr w:type="spellEnd"/>
      <w:r w:rsidRPr="00547184">
        <w:rPr>
          <w:rFonts w:eastAsia="Times New Roman"/>
          <w:lang w:eastAsia="en-US"/>
        </w:rPr>
        <w:t xml:space="preserve"> cinema. Pursuant to the same decision of the </w:t>
      </w:r>
      <w:proofErr w:type="spellStart"/>
      <w:r w:rsidRPr="00547184">
        <w:rPr>
          <w:rFonts w:eastAsia="Times New Roman"/>
          <w:lang w:eastAsia="en-US"/>
        </w:rPr>
        <w:t>Maslikhat</w:t>
      </w:r>
      <w:proofErr w:type="spellEnd"/>
      <w:r w:rsidRPr="00547184">
        <w:rPr>
          <w:rFonts w:eastAsia="Times New Roman"/>
          <w:lang w:eastAsia="en-US"/>
        </w:rPr>
        <w:t xml:space="preserve"> of Almaty, official events at local and national levels organized by the relevant State bodies, as well as other events with the participation of high-level State and city officials, are to be held on Republic Square. Other squares and gardens are to be used for holding official, cultural and entertainment activities, in accordance with their architectural and functional purposes.</w:t>
      </w:r>
      <w:r w:rsidR="00385FD7">
        <w:rPr>
          <w:rFonts w:ascii="Times" w:hAnsi="Times"/>
        </w:rPr>
        <w:t xml:space="preserve"> </w:t>
      </w:r>
      <w:r w:rsidR="00B37B37" w:rsidRPr="00381EF0">
        <w:t xml:space="preserve">The author </w:t>
      </w:r>
      <w:r w:rsidR="00B37B37">
        <w:t>argues</w:t>
      </w:r>
      <w:r w:rsidR="00B36533">
        <w:t xml:space="preserve"> </w:t>
      </w:r>
      <w:r w:rsidR="00B37B37" w:rsidRPr="00381EF0">
        <w:t xml:space="preserve">that the decision of the </w:t>
      </w:r>
      <w:proofErr w:type="spellStart"/>
      <w:r w:rsidR="00B37B37" w:rsidRPr="00381EF0">
        <w:t>Maslikhat</w:t>
      </w:r>
      <w:proofErr w:type="spellEnd"/>
      <w:r w:rsidR="00B37B37" w:rsidRPr="00381EF0">
        <w:t xml:space="preserve"> of Almaty effectively divided all public events held in Almaty into State-run and non-governmental events and, according to their content, further into events of a </w:t>
      </w:r>
      <w:r w:rsidR="00B37B37">
        <w:t>“</w:t>
      </w:r>
      <w:r w:rsidR="00B37B37" w:rsidRPr="00381EF0">
        <w:t>social and political</w:t>
      </w:r>
      <w:r w:rsidR="00B37B37">
        <w:t>”</w:t>
      </w:r>
      <w:r w:rsidR="00B37B37" w:rsidRPr="00381EF0">
        <w:t xml:space="preserve"> or other nature. Consequently, pursuant to the decision of the </w:t>
      </w:r>
      <w:proofErr w:type="spellStart"/>
      <w:r w:rsidR="00B37B37" w:rsidRPr="00381EF0">
        <w:t>Maslikhat</w:t>
      </w:r>
      <w:proofErr w:type="spellEnd"/>
      <w:r w:rsidR="00B37B37" w:rsidRPr="00381EF0">
        <w:t xml:space="preserve"> of Almaty, all events organized and run by the State, as well as events of a non-political nature (for example, sport events, competitions, concerts, business events and fairs), could be held on any suitable square, garden, park or street. All events of a </w:t>
      </w:r>
      <w:r w:rsidR="00B37B37">
        <w:t>“</w:t>
      </w:r>
      <w:r w:rsidR="00B37B37" w:rsidRPr="00381EF0">
        <w:t>social and political</w:t>
      </w:r>
      <w:r w:rsidR="00B37B37">
        <w:t>”</w:t>
      </w:r>
      <w:r w:rsidR="00B37B37" w:rsidRPr="00381EF0">
        <w:t xml:space="preserve"> nature, however, are to be held solely on the square behind the </w:t>
      </w:r>
      <w:proofErr w:type="spellStart"/>
      <w:r w:rsidR="00B37B37" w:rsidRPr="00381EF0">
        <w:t>Sary</w:t>
      </w:r>
      <w:proofErr w:type="spellEnd"/>
      <w:r w:rsidR="00B37B37" w:rsidRPr="00381EF0">
        <w:t xml:space="preserve"> </w:t>
      </w:r>
      <w:proofErr w:type="spellStart"/>
      <w:r w:rsidR="00B37B37" w:rsidRPr="00381EF0">
        <w:t>Arka</w:t>
      </w:r>
      <w:proofErr w:type="spellEnd"/>
      <w:r w:rsidR="00B37B37" w:rsidRPr="00381EF0">
        <w:t xml:space="preserve"> cinema. Therefore, the authorization by the State party</w:t>
      </w:r>
      <w:r w:rsidR="00B37B37">
        <w:t>’</w:t>
      </w:r>
      <w:r w:rsidR="00B37B37" w:rsidRPr="00381EF0">
        <w:t xml:space="preserve">s authorities to organize public events of a </w:t>
      </w:r>
      <w:r w:rsidR="00B37B37">
        <w:t>“</w:t>
      </w:r>
      <w:r w:rsidR="00B37B37" w:rsidRPr="00381EF0">
        <w:t>social and political nature</w:t>
      </w:r>
      <w:r w:rsidR="00B37B37">
        <w:t>”</w:t>
      </w:r>
      <w:r w:rsidR="00B37B37" w:rsidRPr="00381EF0">
        <w:t xml:space="preserve"> only in one specially designated place, while authorizing State-run and non-political public events in other locations, is politically motivated and discriminatory</w:t>
      </w:r>
      <w:r w:rsidR="00725C3B">
        <w:t>.</w:t>
      </w:r>
      <w:r w:rsidR="00385FD7">
        <w:rPr>
          <w:rFonts w:ascii="Times" w:hAnsi="Times"/>
        </w:rPr>
        <w:t xml:space="preserve"> </w:t>
      </w:r>
      <w:r w:rsidR="00EB6EEC">
        <w:rPr>
          <w:rFonts w:ascii="Times" w:hAnsi="Times"/>
        </w:rPr>
        <w:t xml:space="preserve"> </w:t>
      </w:r>
      <w:r w:rsidR="007E5D9E">
        <w:t xml:space="preserve"> </w:t>
      </w:r>
    </w:p>
    <w:p w14:paraId="4B9AA420" w14:textId="77777777" w:rsidR="00AA6AFF" w:rsidRDefault="002325C9" w:rsidP="00AA6AFF">
      <w:pPr>
        <w:pStyle w:val="SingleTxtG"/>
      </w:pPr>
      <w:r>
        <w:t>7.4</w:t>
      </w:r>
      <w:r>
        <w:tab/>
        <w:t xml:space="preserve">As to the State party’s argument that he has failed to exhaust domestic remedies (see, paras. 4.7 and 6.4), the author submits that a recourse to the Prosecutor’s Office is not an effective remedy that needs to be exhausted for the purposes of article </w:t>
      </w:r>
      <w:r w:rsidR="008F1737" w:rsidRPr="00381EF0">
        <w:t>5 (2) (b) of the</w:t>
      </w:r>
      <w:r w:rsidR="008F1737">
        <w:t xml:space="preserve"> </w:t>
      </w:r>
      <w:r w:rsidR="008F1737" w:rsidRPr="00381EF0">
        <w:t>Optional Protocol</w:t>
      </w:r>
      <w:r w:rsidR="008F1737">
        <w:t xml:space="preserve">. Nevertheless, he filed requests with the Prosecutor’s Office of Almaty and the General Prosecutor’s Office to initiate </w:t>
      </w:r>
      <w:r w:rsidR="008F1737" w:rsidRPr="002F61C4">
        <w:t>supervisory review proceedings in h</w:t>
      </w:r>
      <w:r w:rsidR="008F1737">
        <w:t xml:space="preserve">is </w:t>
      </w:r>
      <w:r w:rsidR="008F1737" w:rsidRPr="002F61C4">
        <w:t>administrative case</w:t>
      </w:r>
      <w:r w:rsidR="008F1737">
        <w:t xml:space="preserve"> but those requests </w:t>
      </w:r>
      <w:r w:rsidR="00A31309">
        <w:t>had</w:t>
      </w:r>
      <w:r w:rsidR="008F1737">
        <w:t xml:space="preserve"> been rejected. </w:t>
      </w:r>
      <w:r w:rsidR="00841DC2">
        <w:t xml:space="preserve">Therefore, </w:t>
      </w:r>
      <w:r w:rsidR="006D6D2E" w:rsidRPr="0082438F">
        <w:t>all available and effective domestic remedies</w:t>
      </w:r>
      <w:r w:rsidR="006D6D2E">
        <w:t xml:space="preserve"> have been exhausted</w:t>
      </w:r>
      <w:r w:rsidR="006D6D2E" w:rsidRPr="0082438F">
        <w:t>.</w:t>
      </w:r>
    </w:p>
    <w:p w14:paraId="4B9AA421" w14:textId="77777777" w:rsidR="00D61A84" w:rsidRDefault="007600E5" w:rsidP="007600E5">
      <w:pPr>
        <w:pStyle w:val="H23G"/>
      </w:pPr>
      <w:r>
        <w:tab/>
      </w:r>
      <w:r>
        <w:tab/>
      </w:r>
      <w:r w:rsidR="00A1342E" w:rsidRPr="002D5480">
        <w:tab/>
        <w:t>Further submissions from the State party and the author</w:t>
      </w:r>
      <w:r w:rsidR="00891856" w:rsidRPr="002D5480">
        <w:t xml:space="preserve"> </w:t>
      </w:r>
    </w:p>
    <w:p w14:paraId="4B9AA422" w14:textId="77777777" w:rsidR="008E27E5" w:rsidRDefault="007600E5" w:rsidP="007600E5">
      <w:pPr>
        <w:pStyle w:val="SingleTxtG"/>
        <w:rPr>
          <w:b/>
        </w:rPr>
      </w:pPr>
      <w:r>
        <w:tab/>
      </w:r>
      <w:r w:rsidR="002D5480">
        <w:t>8</w:t>
      </w:r>
      <w:r w:rsidR="00A1342E" w:rsidRPr="00A1342E">
        <w:t>.</w:t>
      </w:r>
      <w:r w:rsidR="002D5480">
        <w:tab/>
      </w:r>
      <w:r w:rsidR="00A1342E" w:rsidRPr="00A1342E">
        <w:t xml:space="preserve">In a note </w:t>
      </w:r>
      <w:proofErr w:type="spellStart"/>
      <w:r w:rsidR="00A1342E" w:rsidRPr="00A1342E">
        <w:t>verbale</w:t>
      </w:r>
      <w:proofErr w:type="spellEnd"/>
      <w:r w:rsidR="00A1342E" w:rsidRPr="00A1342E">
        <w:t xml:space="preserve"> dated </w:t>
      </w:r>
      <w:r w:rsidR="00A1342E">
        <w:t xml:space="preserve">2 July </w:t>
      </w:r>
      <w:r w:rsidR="00A1342E" w:rsidRPr="00A1342E">
        <w:t xml:space="preserve">2015, the State party reiterates its earlier position that the present communication should be declared inadmissible by the Committee </w:t>
      </w:r>
      <w:r w:rsidR="00A1342E">
        <w:t>and that there were no violations of the author’s rights guaranteed under the Covenant.</w:t>
      </w:r>
    </w:p>
    <w:p w14:paraId="4B9AA423" w14:textId="77777777" w:rsidR="006F2993" w:rsidRDefault="007600E5" w:rsidP="007600E5">
      <w:pPr>
        <w:pStyle w:val="SingleTxtG"/>
        <w:rPr>
          <w:b/>
        </w:rPr>
      </w:pPr>
      <w:r>
        <w:tab/>
      </w:r>
      <w:r w:rsidR="00B71438">
        <w:t>9.</w:t>
      </w:r>
      <w:r w:rsidR="00B71438">
        <w:tab/>
        <w:t xml:space="preserve">On 14 September 2015, </w:t>
      </w:r>
      <w:r w:rsidR="00B71438" w:rsidRPr="00B71438">
        <w:t xml:space="preserve">the author provided comments on the State party’s further </w:t>
      </w:r>
      <w:r w:rsidR="00B71438">
        <w:t>submission of 2 July 2015</w:t>
      </w:r>
      <w:r w:rsidR="00B71438" w:rsidRPr="00B71438">
        <w:t xml:space="preserve">, reiterating </w:t>
      </w:r>
      <w:r w:rsidR="00B71438">
        <w:t>his</w:t>
      </w:r>
      <w:r w:rsidR="00B71438" w:rsidRPr="00B71438">
        <w:t xml:space="preserve"> initial claims</w:t>
      </w:r>
      <w:r w:rsidR="003F7CF6">
        <w:t xml:space="preserve"> that the State </w:t>
      </w:r>
      <w:r w:rsidR="003F7CF6" w:rsidRPr="003F7CF6">
        <w:t>party has violated his rights under articles 19 (2) and 21 of the Covenant</w:t>
      </w:r>
      <w:r w:rsidR="00B71438" w:rsidRPr="003F7CF6">
        <w:t>.</w:t>
      </w:r>
      <w:r w:rsidR="00B71438">
        <w:t xml:space="preserve"> The author also draws the Committee’s attention to the report of the Special Rapporteur on the rights to freedom of peaceful assembly and of association, </w:t>
      </w:r>
      <w:proofErr w:type="spellStart"/>
      <w:r w:rsidR="00B71438">
        <w:t>Maina</w:t>
      </w:r>
      <w:proofErr w:type="spellEnd"/>
      <w:r w:rsidR="00B71438">
        <w:t xml:space="preserve"> </w:t>
      </w:r>
      <w:proofErr w:type="spellStart"/>
      <w:r w:rsidR="00B71438">
        <w:t>Kiai</w:t>
      </w:r>
      <w:proofErr w:type="spellEnd"/>
      <w:r w:rsidR="00B71438">
        <w:t>, on his mission to Kazakhstan (19-27 January 2015).</w:t>
      </w:r>
      <w:r w:rsidR="00B71438">
        <w:rPr>
          <w:rStyle w:val="FootnoteReference"/>
        </w:rPr>
        <w:footnoteReference w:id="13"/>
      </w:r>
      <w:r w:rsidR="00987455">
        <w:t xml:space="preserve"> He also puts forward a number of provisions that should be included into the new law on peaceful assemblies. </w:t>
      </w:r>
      <w:r w:rsidR="003F7CF6">
        <w:t xml:space="preserve">The author also submits that the State party has so far failed to implement the Committee’s Views in communication No. 2137/2012, </w:t>
      </w:r>
      <w:proofErr w:type="spellStart"/>
      <w:r w:rsidR="003F7CF6" w:rsidRPr="003F7CF6">
        <w:rPr>
          <w:i/>
        </w:rPr>
        <w:t>Toregozhina</w:t>
      </w:r>
      <w:proofErr w:type="spellEnd"/>
      <w:r w:rsidR="003F7CF6" w:rsidRPr="003F7CF6">
        <w:rPr>
          <w:i/>
        </w:rPr>
        <w:t xml:space="preserve"> v. Kazakhstan</w:t>
      </w:r>
      <w:r w:rsidR="003F7CF6" w:rsidRPr="003F7CF6">
        <w:t>,</w:t>
      </w:r>
      <w:r w:rsidR="003F7CF6">
        <w:rPr>
          <w:rStyle w:val="FootnoteReference"/>
        </w:rPr>
        <w:footnoteReference w:id="14"/>
      </w:r>
      <w:r w:rsidR="003F7CF6" w:rsidRPr="003F7CF6">
        <w:t xml:space="preserve"> which is similar in substance to the present communication.</w:t>
      </w:r>
      <w:r w:rsidR="003F7CF6">
        <w:t xml:space="preserve"> He adds that in the aforementioned </w:t>
      </w:r>
      <w:r w:rsidR="003F7CF6" w:rsidRPr="00EC5BB6">
        <w:t xml:space="preserve">communication the Committee has specifically </w:t>
      </w:r>
      <w:r w:rsidR="00EC5BB6" w:rsidRPr="00EC5BB6">
        <w:t>stated that State party was under an obligation to prevent similar violations in the future. To this end, the State party should review its legislation, in particular</w:t>
      </w:r>
      <w:r w:rsidR="00EC5BB6" w:rsidRPr="00EC5BB6">
        <w:rPr>
          <w:rFonts w:eastAsia="Verdana"/>
        </w:rPr>
        <w:t xml:space="preserve"> </w:t>
      </w:r>
      <w:r w:rsidR="00EC5BB6" w:rsidRPr="00EC5BB6">
        <w:t>the Law on the Order of Organization and Conduct of Peaceful Assemblies, Meetings, Processions, Pickets and Demonstrations in the Republic of Kazakhstan, as it has been applied in that communication, with a view to ensuring that the rights under articles 19 and 21 of the Covenant may be fully enjoyed in the State party.</w:t>
      </w:r>
      <w:r w:rsidR="00EC5BB6">
        <w:rPr>
          <w:rStyle w:val="FootnoteReference"/>
        </w:rPr>
        <w:footnoteReference w:id="15"/>
      </w:r>
    </w:p>
    <w:p w14:paraId="4B9AA424" w14:textId="77777777" w:rsidR="00B5352E" w:rsidRDefault="007600E5" w:rsidP="007600E5">
      <w:pPr>
        <w:pStyle w:val="SingleTxtG"/>
        <w:rPr>
          <w:b/>
        </w:rPr>
      </w:pPr>
      <w:r>
        <w:tab/>
      </w:r>
      <w:r w:rsidR="00F2687A" w:rsidRPr="006F2993">
        <w:t>10.</w:t>
      </w:r>
      <w:r w:rsidR="00F2687A" w:rsidRPr="006F2993">
        <w:tab/>
        <w:t xml:space="preserve">In a note </w:t>
      </w:r>
      <w:proofErr w:type="spellStart"/>
      <w:r w:rsidR="00F2687A" w:rsidRPr="006F2993">
        <w:t>verbale</w:t>
      </w:r>
      <w:proofErr w:type="spellEnd"/>
      <w:r w:rsidR="00F2687A" w:rsidRPr="006F2993">
        <w:t xml:space="preserve"> dated 5 November 2015, the State party</w:t>
      </w:r>
      <w:r w:rsidR="006F2993" w:rsidRPr="006F2993">
        <w:t xml:space="preserve"> reiterated its </w:t>
      </w:r>
      <w:r w:rsidR="00AA6AFF">
        <w:t xml:space="preserve">initial </w:t>
      </w:r>
      <w:r w:rsidR="006F2993" w:rsidRPr="006F2993">
        <w:t>observations</w:t>
      </w:r>
      <w:r w:rsidR="002D5480">
        <w:t xml:space="preserve"> of </w:t>
      </w:r>
      <w:r w:rsidR="002D5480" w:rsidRPr="002D5480">
        <w:t xml:space="preserve">20 October 2014 and </w:t>
      </w:r>
      <w:r w:rsidR="00AA6AFF">
        <w:t xml:space="preserve">additional observations of </w:t>
      </w:r>
      <w:r w:rsidR="002D5480" w:rsidRPr="002D5480">
        <w:t>26 February 2015</w:t>
      </w:r>
      <w:r w:rsidR="002D5480">
        <w:t xml:space="preserve">, arguing </w:t>
      </w:r>
      <w:r w:rsidR="002D5480">
        <w:lastRenderedPageBreak/>
        <w:t>that</w:t>
      </w:r>
      <w:r w:rsidR="002D5480" w:rsidRPr="002D5480">
        <w:t xml:space="preserve"> the present communication should be declared inadmissible by the Committee as being manifestly unfounded</w:t>
      </w:r>
      <w:r w:rsidR="006F2993" w:rsidRPr="002D5480">
        <w:t>.</w:t>
      </w:r>
    </w:p>
    <w:p w14:paraId="4B9AA425" w14:textId="77777777" w:rsidR="00F006D8" w:rsidRDefault="007600E5" w:rsidP="007600E5">
      <w:pPr>
        <w:pStyle w:val="SingleTxtG"/>
      </w:pPr>
      <w:r>
        <w:tab/>
      </w:r>
      <w:r w:rsidR="007F421C" w:rsidRPr="007D136E">
        <w:t>11.</w:t>
      </w:r>
      <w:r w:rsidR="007F421C" w:rsidRPr="007D136E">
        <w:tab/>
      </w:r>
      <w:r w:rsidR="001D3225">
        <w:t xml:space="preserve">On 18 November </w:t>
      </w:r>
      <w:r w:rsidR="00B5352E" w:rsidRPr="007D136E">
        <w:t xml:space="preserve">2015, the author provided comments on the State party’s further submission of 5 November 2015, recalling that in the Republic of Kazakhstan </w:t>
      </w:r>
      <w:r w:rsidR="0038242F" w:rsidRPr="007D136E">
        <w:t xml:space="preserve">one needs an authorization from the authorities prior to organizing a peaceful public event and that in Almaty such authorisations are being issued for only one location, on the square behind the </w:t>
      </w:r>
      <w:proofErr w:type="spellStart"/>
      <w:r w:rsidR="0038242F" w:rsidRPr="007D136E">
        <w:t>Sary</w:t>
      </w:r>
      <w:proofErr w:type="spellEnd"/>
      <w:r w:rsidR="0038242F" w:rsidRPr="007D136E">
        <w:t xml:space="preserve"> </w:t>
      </w:r>
      <w:proofErr w:type="spellStart"/>
      <w:r w:rsidR="0038242F" w:rsidRPr="007D136E">
        <w:t>Arka</w:t>
      </w:r>
      <w:proofErr w:type="spellEnd"/>
      <w:r w:rsidR="0038242F" w:rsidRPr="007D136E">
        <w:t xml:space="preserve"> cinema (see, para. 7.3).</w:t>
      </w:r>
      <w:r w:rsidR="003F1906" w:rsidRPr="007D136E">
        <w:t xml:space="preserve"> He also argues that nothing prevents the General Prosecutor’s Office </w:t>
      </w:r>
      <w:r w:rsidR="007D136E" w:rsidRPr="007D136E">
        <w:t xml:space="preserve">from initiating a supervisory review in his administrative case before the Supreme Court </w:t>
      </w:r>
      <w:r w:rsidR="007D136E">
        <w:t xml:space="preserve">pursuant to chapter 40 of the </w:t>
      </w:r>
      <w:r w:rsidR="007D136E" w:rsidRPr="007D136E">
        <w:t>Code of Administrative Offences</w:t>
      </w:r>
      <w:r w:rsidR="007D136E">
        <w:t>.</w:t>
      </w:r>
      <w:r w:rsidR="0023478A">
        <w:rPr>
          <w:rStyle w:val="FootnoteReference"/>
        </w:rPr>
        <w:footnoteReference w:id="16"/>
      </w:r>
      <w:r w:rsidR="0023478A">
        <w:t xml:space="preserve"> The author </w:t>
      </w:r>
      <w:r w:rsidR="00BA660F">
        <w:t xml:space="preserve">further recalls that he already filed a request to the Prosecutor General to initiate a supervisory review in his administrative case, which was </w:t>
      </w:r>
      <w:r w:rsidR="00725C3B">
        <w:t>rejected</w:t>
      </w:r>
      <w:r w:rsidR="00BA660F">
        <w:t xml:space="preserve"> by the Deputy Prosecutor General. Therefore</w:t>
      </w:r>
      <w:r w:rsidR="00BA660F" w:rsidRPr="00BA660F">
        <w:t>, filing by him of another request to initiate a supervisory review to the Prosecutor General would not have resulted in a different outcome.</w:t>
      </w:r>
      <w:r w:rsidR="00BA660F">
        <w:t xml:space="preserve"> </w:t>
      </w:r>
    </w:p>
    <w:p w14:paraId="4B9AA426" w14:textId="77777777" w:rsidR="00D95DA1" w:rsidRPr="00D95DA1" w:rsidRDefault="00D95DA1" w:rsidP="00D95DA1">
      <w:pPr>
        <w:keepNext/>
        <w:keepLines/>
        <w:tabs>
          <w:tab w:val="right" w:pos="851"/>
        </w:tabs>
        <w:suppressAutoHyphens w:val="0"/>
        <w:spacing w:before="240" w:after="120" w:line="240" w:lineRule="exact"/>
        <w:ind w:left="1134" w:right="1134" w:hanging="1134"/>
        <w:rPr>
          <w:rFonts w:eastAsia="SimSun"/>
          <w:b/>
          <w:lang w:eastAsia="zh-CN"/>
        </w:rPr>
      </w:pPr>
      <w:r w:rsidRPr="00D95DA1">
        <w:rPr>
          <w:rFonts w:eastAsia="SimSun"/>
          <w:b/>
          <w:lang w:eastAsia="zh-CN"/>
        </w:rPr>
        <w:tab/>
      </w:r>
      <w:r w:rsidRPr="00D95DA1">
        <w:rPr>
          <w:rFonts w:eastAsia="SimSun"/>
          <w:b/>
          <w:lang w:eastAsia="zh-CN"/>
        </w:rPr>
        <w:tab/>
        <w:t>Issues and proceedings before the Committee</w:t>
      </w:r>
    </w:p>
    <w:p w14:paraId="4B9AA427" w14:textId="77777777" w:rsidR="00D95DA1" w:rsidRPr="00D95DA1" w:rsidRDefault="00D95DA1" w:rsidP="00D95DA1">
      <w:pPr>
        <w:keepNext/>
        <w:keepLines/>
        <w:tabs>
          <w:tab w:val="right" w:pos="851"/>
        </w:tabs>
        <w:suppressAutoHyphens w:val="0"/>
        <w:spacing w:before="240" w:after="120" w:line="240" w:lineRule="exact"/>
        <w:ind w:left="1134" w:right="1134" w:hanging="1134"/>
        <w:rPr>
          <w:rFonts w:eastAsia="SimSun"/>
          <w:i/>
          <w:lang w:eastAsia="zh-CN"/>
        </w:rPr>
      </w:pPr>
      <w:r w:rsidRPr="00D95DA1">
        <w:rPr>
          <w:rFonts w:eastAsia="SimSun"/>
          <w:i/>
          <w:lang w:eastAsia="zh-CN"/>
        </w:rPr>
        <w:tab/>
      </w:r>
      <w:r w:rsidRPr="00D95DA1">
        <w:rPr>
          <w:rFonts w:eastAsia="SimSun"/>
          <w:i/>
          <w:lang w:eastAsia="zh-CN"/>
        </w:rPr>
        <w:tab/>
        <w:t>Consideration of admissibility</w:t>
      </w:r>
    </w:p>
    <w:p w14:paraId="4B9AA428" w14:textId="77777777" w:rsidR="00D95DA1" w:rsidRPr="00D95DA1" w:rsidRDefault="00182A0D" w:rsidP="00D95DA1">
      <w:pPr>
        <w:suppressAutoHyphens w:val="0"/>
        <w:spacing w:after="120"/>
        <w:ind w:left="1134" w:right="1134"/>
        <w:jc w:val="both"/>
        <w:rPr>
          <w:rFonts w:eastAsia="SimSun"/>
          <w:lang w:eastAsia="zh-CN"/>
        </w:rPr>
      </w:pPr>
      <w:r>
        <w:rPr>
          <w:rFonts w:eastAsia="SimSun"/>
          <w:lang w:eastAsia="zh-CN"/>
        </w:rPr>
        <w:t>12</w:t>
      </w:r>
      <w:r w:rsidR="00D95DA1" w:rsidRPr="00D95DA1">
        <w:rPr>
          <w:rFonts w:eastAsia="SimSun"/>
          <w:lang w:eastAsia="zh-CN"/>
        </w:rPr>
        <w:t>.1</w:t>
      </w:r>
      <w:r w:rsidR="00D95DA1" w:rsidRPr="00D95DA1">
        <w:rPr>
          <w:rFonts w:eastAsia="SimSun"/>
          <w:lang w:eastAsia="zh-CN"/>
        </w:rPr>
        <w:tab/>
        <w:t xml:space="preserve">Before considering any claim contained in a communication, the Committee must decide, in accordance </w:t>
      </w:r>
      <w:r w:rsidR="00EC6286">
        <w:rPr>
          <w:rFonts w:eastAsia="SimSun"/>
          <w:lang w:eastAsia="zh-CN"/>
        </w:rPr>
        <w:t>with rule 97</w:t>
      </w:r>
      <w:r w:rsidR="00D95DA1" w:rsidRPr="00D07609">
        <w:rPr>
          <w:rFonts w:eastAsia="SimSun"/>
          <w:lang w:eastAsia="zh-CN"/>
        </w:rPr>
        <w:t xml:space="preserve"> of its rules of procedure, whether the communication is admissible under the Optional Protocol.</w:t>
      </w:r>
    </w:p>
    <w:p w14:paraId="4B9AA429" w14:textId="77777777" w:rsidR="00D95DA1" w:rsidRDefault="00182A0D" w:rsidP="00D95DA1">
      <w:pPr>
        <w:suppressAutoHyphens w:val="0"/>
        <w:spacing w:after="120"/>
        <w:ind w:left="1134" w:right="1134"/>
        <w:jc w:val="both"/>
        <w:rPr>
          <w:rFonts w:eastAsia="SimSun"/>
          <w:lang w:eastAsia="zh-CN"/>
        </w:rPr>
      </w:pPr>
      <w:r>
        <w:rPr>
          <w:rFonts w:eastAsia="SimSun"/>
          <w:lang w:eastAsia="zh-CN"/>
        </w:rPr>
        <w:t>12</w:t>
      </w:r>
      <w:r w:rsidR="00D95DA1" w:rsidRPr="00D95DA1">
        <w:rPr>
          <w:rFonts w:eastAsia="SimSun"/>
          <w:lang w:eastAsia="zh-CN"/>
        </w:rPr>
        <w:t>.2</w:t>
      </w:r>
      <w:r w:rsidR="00D95DA1" w:rsidRPr="00D95DA1">
        <w:rPr>
          <w:rFonts w:eastAsia="SimSun"/>
          <w:lang w:eastAsia="zh-CN"/>
        </w:rPr>
        <w:tab/>
        <w:t>The Committee has ascertained, as required under article 5</w:t>
      </w:r>
      <w:r w:rsidR="00D07609">
        <w:rPr>
          <w:rFonts w:eastAsia="SimSun"/>
          <w:lang w:eastAsia="zh-CN"/>
        </w:rPr>
        <w:t xml:space="preserve"> </w:t>
      </w:r>
      <w:r w:rsidR="00D95DA1" w:rsidRPr="00D95DA1">
        <w:rPr>
          <w:rFonts w:eastAsia="SimSun"/>
          <w:lang w:eastAsia="zh-CN"/>
        </w:rPr>
        <w:t>(2)</w:t>
      </w:r>
      <w:r w:rsidR="00D07609">
        <w:rPr>
          <w:rFonts w:eastAsia="SimSun"/>
          <w:lang w:eastAsia="zh-CN"/>
        </w:rPr>
        <w:t xml:space="preserve"> </w:t>
      </w:r>
      <w:r w:rsidR="00D95DA1" w:rsidRPr="00D95DA1">
        <w:rPr>
          <w:rFonts w:eastAsia="SimSun"/>
          <w:lang w:eastAsia="zh-CN"/>
        </w:rPr>
        <w:t>(a) of the Optional Protocol, that the same matter is not being examined under another procedure of international investigation or settlement.</w:t>
      </w:r>
    </w:p>
    <w:p w14:paraId="4B9AA42A" w14:textId="77777777" w:rsidR="00FA6F00" w:rsidRDefault="00182A0D" w:rsidP="00AA5690">
      <w:pPr>
        <w:pStyle w:val="SingleTxtG"/>
      </w:pPr>
      <w:r>
        <w:t>12</w:t>
      </w:r>
      <w:r w:rsidR="00EC6286">
        <w:t>.3</w:t>
      </w:r>
      <w:r w:rsidR="00EC6286">
        <w:tab/>
      </w:r>
      <w:r w:rsidR="00FA6F00" w:rsidRPr="006B0676">
        <w:t xml:space="preserve">The Committee notes the State party’s </w:t>
      </w:r>
      <w:r w:rsidR="005C37E0">
        <w:t>argument</w:t>
      </w:r>
      <w:r w:rsidR="00FA6F00" w:rsidRPr="006B0676">
        <w:t xml:space="preserve"> that </w:t>
      </w:r>
      <w:r w:rsidR="00FA6F00">
        <w:t>the author</w:t>
      </w:r>
      <w:r w:rsidR="00FA6F00" w:rsidRPr="006B0676">
        <w:t xml:space="preserve"> </w:t>
      </w:r>
      <w:r w:rsidR="005C37E0">
        <w:t xml:space="preserve">has </w:t>
      </w:r>
      <w:r w:rsidR="00FA6F00" w:rsidRPr="006B0676">
        <w:t xml:space="preserve">failed to exhaust all domestic remedies available to </w:t>
      </w:r>
      <w:r w:rsidR="00FA6F00">
        <w:t>h</w:t>
      </w:r>
      <w:r>
        <w:t>im</w:t>
      </w:r>
      <w:r w:rsidR="00FA6F00">
        <w:t xml:space="preserve">, </w:t>
      </w:r>
      <w:r w:rsidR="00FA6F00" w:rsidRPr="006B0676">
        <w:rPr>
          <w:color w:val="000000"/>
        </w:rPr>
        <w:t xml:space="preserve">by not </w:t>
      </w:r>
      <w:r w:rsidR="00A430D1">
        <w:rPr>
          <w:color w:val="000000"/>
        </w:rPr>
        <w:t xml:space="preserve">submitting </w:t>
      </w:r>
      <w:r w:rsidR="00FA6F00" w:rsidRPr="006B0676">
        <w:rPr>
          <w:color w:val="000000"/>
        </w:rPr>
        <w:t xml:space="preserve">a </w:t>
      </w:r>
      <w:r w:rsidR="00A430D1">
        <w:rPr>
          <w:color w:val="000000"/>
        </w:rPr>
        <w:t xml:space="preserve">request </w:t>
      </w:r>
      <w:r w:rsidR="00FA6F00" w:rsidRPr="006B0676">
        <w:rPr>
          <w:color w:val="000000"/>
        </w:rPr>
        <w:t>to the Prosecutor General</w:t>
      </w:r>
      <w:r w:rsidR="00A430D1">
        <w:rPr>
          <w:color w:val="000000"/>
        </w:rPr>
        <w:t xml:space="preserve"> to </w:t>
      </w:r>
      <w:r w:rsidR="006E7FCB">
        <w:rPr>
          <w:color w:val="000000"/>
        </w:rPr>
        <w:t xml:space="preserve">initiate </w:t>
      </w:r>
      <w:r w:rsidR="00A430D1">
        <w:rPr>
          <w:color w:val="000000"/>
        </w:rPr>
        <w:t xml:space="preserve">a </w:t>
      </w:r>
      <w:r w:rsidR="00B97CBC">
        <w:rPr>
          <w:color w:val="000000"/>
        </w:rPr>
        <w:t xml:space="preserve">supervisory review </w:t>
      </w:r>
      <w:r w:rsidR="00873CA0">
        <w:rPr>
          <w:color w:val="000000"/>
        </w:rPr>
        <w:t xml:space="preserve">in </w:t>
      </w:r>
      <w:r w:rsidR="006E7FCB">
        <w:rPr>
          <w:color w:val="000000"/>
        </w:rPr>
        <w:t xml:space="preserve">his administrative case </w:t>
      </w:r>
      <w:r w:rsidR="00B97CBC">
        <w:rPr>
          <w:color w:val="000000"/>
        </w:rPr>
        <w:t>before the Supreme Court</w:t>
      </w:r>
      <w:r w:rsidR="00FA6F00" w:rsidRPr="006B0676">
        <w:t xml:space="preserve">. </w:t>
      </w:r>
      <w:r w:rsidR="005C37E0" w:rsidRPr="008E6FE0">
        <w:t>The Committee recalls its jurisprudence</w:t>
      </w:r>
      <w:r w:rsidR="005C37E0">
        <w:t>,</w:t>
      </w:r>
      <w:r w:rsidR="005C37E0" w:rsidRPr="008E6FE0">
        <w:t xml:space="preserve"> according to which a petition </w:t>
      </w:r>
      <w:r w:rsidR="00724B41" w:rsidRPr="00CC23F7">
        <w:rPr>
          <w:rFonts w:eastAsiaTheme="minorEastAsia"/>
          <w:lang w:val="en-US" w:bidi="he-IL"/>
        </w:rPr>
        <w:t xml:space="preserve">for supervisory review to a prosecutor’s office, dependent on the discretionary power of the prosecutor, requesting a review of court decisions that have taken effect does not constitute a remedy </w:t>
      </w:r>
      <w:r w:rsidR="00724B41" w:rsidRPr="00F034D6">
        <w:rPr>
          <w:rFonts w:eastAsiaTheme="minorEastAsia"/>
          <w:lang w:val="en-US" w:bidi="he-IL"/>
        </w:rPr>
        <w:t>that has to be exhausted for the purposes of article 5 (2) (b) of the Optional Protocol.</w:t>
      </w:r>
      <w:r w:rsidR="00724B41" w:rsidRPr="00F034D6">
        <w:rPr>
          <w:rFonts w:eastAsiaTheme="minorEastAsia"/>
          <w:vertAlign w:val="superscript"/>
          <w:lang w:val="en-US" w:bidi="he-IL"/>
        </w:rPr>
        <w:footnoteReference w:id="17"/>
      </w:r>
      <w:r w:rsidR="00FA6F00" w:rsidRPr="00873CA0">
        <w:t xml:space="preserve"> </w:t>
      </w:r>
      <w:r w:rsidR="0066233A" w:rsidRPr="00873CA0">
        <w:t>The Committee also notes that</w:t>
      </w:r>
      <w:r w:rsidR="00873CA0" w:rsidRPr="00873CA0">
        <w:t xml:space="preserve"> </w:t>
      </w:r>
      <w:r w:rsidR="0066233A" w:rsidRPr="00873CA0">
        <w:t xml:space="preserve">the author submitted </w:t>
      </w:r>
      <w:r w:rsidR="00873CA0" w:rsidRPr="00873CA0">
        <w:t xml:space="preserve">to the General Prosecutor’s Office </w:t>
      </w:r>
      <w:r w:rsidR="0066233A" w:rsidRPr="00873CA0">
        <w:t xml:space="preserve">a request </w:t>
      </w:r>
      <w:r w:rsidR="00873CA0" w:rsidRPr="00873CA0">
        <w:t xml:space="preserve">to initiate a supervisory review in his administrative case before the </w:t>
      </w:r>
      <w:r w:rsidR="0066233A" w:rsidRPr="00873CA0">
        <w:t xml:space="preserve">Supreme Court </w:t>
      </w:r>
      <w:r w:rsidR="00873CA0" w:rsidRPr="00873CA0">
        <w:t xml:space="preserve">and that his </w:t>
      </w:r>
      <w:r w:rsidR="0066233A" w:rsidRPr="00873CA0">
        <w:t xml:space="preserve">request was rejected as unfounded by the Deputy Prosecutor General. </w:t>
      </w:r>
      <w:r w:rsidR="0066233A" w:rsidRPr="008E6FE0">
        <w:t>Accordingly</w:t>
      </w:r>
      <w:r w:rsidR="0066233A">
        <w:t>,</w:t>
      </w:r>
      <w:r w:rsidR="0066233A" w:rsidRPr="008E6FE0">
        <w:t xml:space="preserve"> </w:t>
      </w:r>
      <w:r w:rsidR="00E07D50">
        <w:t xml:space="preserve">in these circumstances, </w:t>
      </w:r>
      <w:r w:rsidR="0066233A" w:rsidRPr="008E6FE0">
        <w:t>the Committee finds that it is not precluded by article 5 (2) (b) of the Optional Protocol from examining the present communication.</w:t>
      </w:r>
      <w:r w:rsidR="00FA6F00" w:rsidRPr="006B0676">
        <w:t xml:space="preserve"> </w:t>
      </w:r>
    </w:p>
    <w:p w14:paraId="4B9AA42B" w14:textId="77777777" w:rsidR="00EC6286" w:rsidRDefault="00A35FAF" w:rsidP="00FA6F00">
      <w:pPr>
        <w:suppressAutoHyphens w:val="0"/>
        <w:spacing w:after="120"/>
        <w:ind w:left="1134" w:right="1134"/>
        <w:jc w:val="both"/>
      </w:pPr>
      <w:r>
        <w:t>12</w:t>
      </w:r>
      <w:r w:rsidR="00FA6F00" w:rsidRPr="006B0676">
        <w:t>.</w:t>
      </w:r>
      <w:r>
        <w:t>4</w:t>
      </w:r>
      <w:r w:rsidR="00FA6F00" w:rsidRPr="006B0676">
        <w:tab/>
      </w:r>
      <w:r w:rsidR="00C71BE4">
        <w:t xml:space="preserve">The Committee considers that </w:t>
      </w:r>
      <w:r w:rsidR="00FA6F00">
        <w:t>the author has</w:t>
      </w:r>
      <w:r w:rsidR="00FA6F00" w:rsidRPr="006B0676">
        <w:t xml:space="preserve"> sufficiently substantiated, for the purposes of admissibility, </w:t>
      </w:r>
      <w:r>
        <w:t xml:space="preserve">his </w:t>
      </w:r>
      <w:r w:rsidR="00FA6F00" w:rsidRPr="006B0676">
        <w:t>claim</w:t>
      </w:r>
      <w:r w:rsidR="00C71BE4">
        <w:t>s</w:t>
      </w:r>
      <w:r w:rsidR="00FA6F00" w:rsidRPr="006B0676">
        <w:t xml:space="preserve"> under</w:t>
      </w:r>
      <w:r w:rsidR="00FA6F00">
        <w:t xml:space="preserve"> article</w:t>
      </w:r>
      <w:r>
        <w:t>s 19 (2) and</w:t>
      </w:r>
      <w:r w:rsidR="00FA6F00">
        <w:t xml:space="preserve"> 21 of</w:t>
      </w:r>
      <w:r w:rsidR="00FA6F00" w:rsidRPr="006B0676">
        <w:t xml:space="preserve"> the Covenant</w:t>
      </w:r>
      <w:r w:rsidR="00C71BE4">
        <w:t xml:space="preserve">. Accordingly, it declares this communication </w:t>
      </w:r>
      <w:r w:rsidR="00FA6F00" w:rsidRPr="006B0676">
        <w:t xml:space="preserve">admissible and proceeds with </w:t>
      </w:r>
      <w:r w:rsidR="00802C74">
        <w:t xml:space="preserve">its </w:t>
      </w:r>
      <w:r w:rsidR="00FA6F00" w:rsidRPr="006B0676">
        <w:t>consideration on the merits.</w:t>
      </w:r>
    </w:p>
    <w:p w14:paraId="4B9AA42C" w14:textId="77777777" w:rsidR="00D95DA1" w:rsidRPr="00D95DA1" w:rsidRDefault="00D95DA1" w:rsidP="00D95DA1">
      <w:pPr>
        <w:keepNext/>
        <w:keepLines/>
        <w:tabs>
          <w:tab w:val="right" w:pos="851"/>
        </w:tabs>
        <w:suppressAutoHyphens w:val="0"/>
        <w:spacing w:before="240" w:after="120" w:line="240" w:lineRule="exact"/>
        <w:ind w:left="1134" w:right="1134" w:hanging="1134"/>
        <w:rPr>
          <w:rFonts w:eastAsia="SimSun"/>
          <w:i/>
          <w:lang w:eastAsia="zh-CN"/>
        </w:rPr>
      </w:pPr>
      <w:r w:rsidRPr="00D95DA1">
        <w:rPr>
          <w:rFonts w:eastAsia="SimSun"/>
          <w:i/>
          <w:lang w:eastAsia="zh-CN"/>
        </w:rPr>
        <w:tab/>
      </w:r>
      <w:r w:rsidRPr="00D95DA1">
        <w:rPr>
          <w:rFonts w:eastAsia="SimSun"/>
          <w:i/>
          <w:lang w:eastAsia="zh-CN"/>
        </w:rPr>
        <w:tab/>
      </w:r>
      <w:r w:rsidRPr="007545D7">
        <w:rPr>
          <w:rFonts w:eastAsia="SimSun"/>
          <w:i/>
          <w:lang w:eastAsia="zh-CN"/>
        </w:rPr>
        <w:t>Consideration of the merits</w:t>
      </w:r>
    </w:p>
    <w:p w14:paraId="4B9AA42D" w14:textId="77777777" w:rsidR="0083089D" w:rsidRPr="0083089D" w:rsidRDefault="007545D7" w:rsidP="0083089D">
      <w:pPr>
        <w:spacing w:after="120"/>
        <w:ind w:left="1134" w:right="1134"/>
        <w:jc w:val="both"/>
      </w:pPr>
      <w:r w:rsidRPr="007545D7">
        <w:t>13</w:t>
      </w:r>
      <w:r w:rsidR="0083089D" w:rsidRPr="0083089D">
        <w:t>.1</w:t>
      </w:r>
      <w:r w:rsidR="0083089D" w:rsidRPr="0083089D">
        <w:tab/>
        <w:t>The Committee has considered the present communication in light of all the information submitted by the parties, in accordance with article 5 (1) of the Optional Protocol.</w:t>
      </w:r>
    </w:p>
    <w:p w14:paraId="4B9AA42E" w14:textId="77777777" w:rsidR="0083089D" w:rsidRPr="0083089D" w:rsidRDefault="007545D7" w:rsidP="0083089D">
      <w:pPr>
        <w:spacing w:after="120"/>
        <w:ind w:left="1134" w:right="1134"/>
        <w:jc w:val="both"/>
      </w:pPr>
      <w:r w:rsidRPr="007545D7">
        <w:lastRenderedPageBreak/>
        <w:t>13</w:t>
      </w:r>
      <w:r w:rsidR="0083089D" w:rsidRPr="0083089D">
        <w:t>.2</w:t>
      </w:r>
      <w:r w:rsidR="0083089D" w:rsidRPr="0083089D">
        <w:tab/>
        <w:t xml:space="preserve">The Committee notes the author’s claim that, by </w:t>
      </w:r>
      <w:r w:rsidRPr="007545D7">
        <w:t xml:space="preserve">subjecting him to administrative liability </w:t>
      </w:r>
      <w:r w:rsidR="0083089D" w:rsidRPr="0083089D">
        <w:t xml:space="preserve">for </w:t>
      </w:r>
      <w:r w:rsidRPr="007545D7">
        <w:t xml:space="preserve">the mere </w:t>
      </w:r>
      <w:r w:rsidR="0083089D" w:rsidRPr="0083089D">
        <w:t>participati</w:t>
      </w:r>
      <w:r w:rsidRPr="007545D7">
        <w:t>on</w:t>
      </w:r>
      <w:r w:rsidR="0083089D" w:rsidRPr="0083089D">
        <w:t xml:space="preserve"> in peaceful </w:t>
      </w:r>
      <w:r w:rsidRPr="007545D7">
        <w:t>rallies,</w:t>
      </w:r>
      <w:r w:rsidR="0083089D" w:rsidRPr="0083089D">
        <w:t xml:space="preserve"> the State party </w:t>
      </w:r>
      <w:r w:rsidRPr="007545D7">
        <w:t xml:space="preserve">has </w:t>
      </w:r>
      <w:r w:rsidR="0083089D" w:rsidRPr="0083089D">
        <w:t>violated his</w:t>
      </w:r>
      <w:r w:rsidRPr="007545D7">
        <w:t xml:space="preserve"> right</w:t>
      </w:r>
      <w:r w:rsidR="0083089D" w:rsidRPr="0083089D">
        <w:t xml:space="preserve"> </w:t>
      </w:r>
      <w:r w:rsidR="00BA4B5D">
        <w:t>of</w:t>
      </w:r>
      <w:r w:rsidR="0083089D" w:rsidRPr="0083089D">
        <w:t xml:space="preserve"> </w:t>
      </w:r>
      <w:r w:rsidRPr="007545D7">
        <w:t xml:space="preserve">peaceful </w:t>
      </w:r>
      <w:r w:rsidR="0083089D" w:rsidRPr="0083089D">
        <w:t xml:space="preserve">assembly. The author </w:t>
      </w:r>
      <w:r w:rsidRPr="007545D7">
        <w:t>recalls in this regard</w:t>
      </w:r>
      <w:r w:rsidR="0083089D" w:rsidRPr="0083089D">
        <w:t xml:space="preserve"> that he was </w:t>
      </w:r>
      <w:r w:rsidRPr="007545D7">
        <w:t xml:space="preserve">twice detained by police officers immediately </w:t>
      </w:r>
      <w:r w:rsidR="000037CD">
        <w:t xml:space="preserve">after </w:t>
      </w:r>
      <w:r w:rsidRPr="007545D7">
        <w:t xml:space="preserve">the </w:t>
      </w:r>
      <w:r w:rsidR="0083089D" w:rsidRPr="0083089D">
        <w:t xml:space="preserve">peaceful </w:t>
      </w:r>
      <w:r w:rsidRPr="007545D7">
        <w:t>rallies</w:t>
      </w:r>
      <w:r w:rsidR="0083089D" w:rsidRPr="0083089D">
        <w:t xml:space="preserve">. The State party argues that in fact the author was </w:t>
      </w:r>
      <w:r w:rsidRPr="007545D7">
        <w:t xml:space="preserve">detained and subjected to administrative liability </w:t>
      </w:r>
      <w:r w:rsidR="0083089D" w:rsidRPr="0083089D">
        <w:t xml:space="preserve">for </w:t>
      </w:r>
      <w:r w:rsidRPr="007545D7">
        <w:t xml:space="preserve">having participated </w:t>
      </w:r>
      <w:r w:rsidR="0083089D" w:rsidRPr="0083089D">
        <w:t xml:space="preserve">in </w:t>
      </w:r>
      <w:r w:rsidRPr="007545D7">
        <w:t>the unauthoris</w:t>
      </w:r>
      <w:r w:rsidR="0083089D" w:rsidRPr="0083089D">
        <w:t>ed public event</w:t>
      </w:r>
      <w:r>
        <w:t>s</w:t>
      </w:r>
      <w:r w:rsidR="0083089D" w:rsidRPr="0083089D">
        <w:t>. The Committee recalls that the right of peaceful assembly, as guaranteed under article 21 of the Covenant, is a fundamental human right that is essential for the public expression of an individual’s views and opinions and indispensable in a democratic society.</w:t>
      </w:r>
      <w:r w:rsidR="0083089D" w:rsidRPr="0083089D">
        <w:rPr>
          <w:sz w:val="18"/>
          <w:vertAlign w:val="superscript"/>
        </w:rPr>
        <w:footnoteReference w:id="18"/>
      </w:r>
      <w:r w:rsidR="0083089D" w:rsidRPr="0083089D">
        <w:t xml:space="preserve"> Given the typically expressive nature of assemblies, participants must as far as possible be enabled to conduct assemblies within “sight and sound” of the target audience</w:t>
      </w:r>
      <w:r w:rsidR="0083089D" w:rsidRPr="0083089D">
        <w:rPr>
          <w:vertAlign w:val="superscript"/>
        </w:rPr>
        <w:footnoteReference w:id="19"/>
      </w:r>
      <w:r w:rsidR="0083089D" w:rsidRPr="0083089D">
        <w:t xml:space="preserve"> and no restriction on that right is permissible unless it is: (a) imposed in conformity with the law; and (b) necessary in a democratic society in the interests of national security or public safety, public order (</w:t>
      </w:r>
      <w:proofErr w:type="spellStart"/>
      <w:r w:rsidR="0083089D" w:rsidRPr="0083089D">
        <w:rPr>
          <w:i/>
          <w:iCs/>
        </w:rPr>
        <w:t>ordre</w:t>
      </w:r>
      <w:proofErr w:type="spellEnd"/>
      <w:r w:rsidR="0083089D" w:rsidRPr="0083089D">
        <w:rPr>
          <w:i/>
          <w:iCs/>
        </w:rPr>
        <w:t xml:space="preserve"> public</w:t>
      </w:r>
      <w:r w:rsidR="0083089D" w:rsidRPr="0083089D">
        <w:t>), the protection of public health or morals or the protection of the rights and freedoms of others. While the right of peaceful assembly may in certain cases be limited, the onus is on the authorities to justify any restrictions.</w:t>
      </w:r>
      <w:r w:rsidR="0083089D" w:rsidRPr="0083089D">
        <w:rPr>
          <w:rFonts w:eastAsia="SimSun"/>
          <w:vertAlign w:val="superscript"/>
        </w:rPr>
        <w:footnoteReference w:id="20"/>
      </w:r>
      <w:r w:rsidR="0083089D" w:rsidRPr="0083089D">
        <w:t xml:space="preserve">  Authorities must be able to show that any restrictions meet the requirement of legality, and are also both necessary for and proportionate to at least one of the permissible grounds for restrictions enumerated in article 21. Where this onus is not met, article 21 is violated.</w:t>
      </w:r>
      <w:r w:rsidR="0083089D" w:rsidRPr="0083089D">
        <w:rPr>
          <w:rFonts w:eastAsia="SimSun"/>
          <w:vertAlign w:val="superscript"/>
        </w:rPr>
        <w:footnoteReference w:id="21"/>
      </w:r>
      <w:r w:rsidR="0083089D" w:rsidRPr="0083089D">
        <w:t xml:space="preserve"> The imposition of any restrictions should be guided by the objective of facilitating the right, rather than seeking unnecessary and disproportionate limitations to it.</w:t>
      </w:r>
      <w:r w:rsidR="0083089D" w:rsidRPr="0083089D">
        <w:rPr>
          <w:rFonts w:eastAsia="SimSun"/>
          <w:vertAlign w:val="superscript"/>
        </w:rPr>
        <w:footnoteReference w:id="22"/>
      </w:r>
      <w:r w:rsidR="0083089D" w:rsidRPr="0083089D">
        <w:t xml:space="preserve"> Restrictions must not be discriminatory, impair the essence of the right, or be aimed at discouraging participation in assemblies or causing a chilling effect.</w:t>
      </w:r>
      <w:r w:rsidR="0083089D" w:rsidRPr="007545D7">
        <w:rPr>
          <w:sz w:val="18"/>
          <w:vertAlign w:val="superscript"/>
        </w:rPr>
        <w:footnoteReference w:id="23"/>
      </w:r>
    </w:p>
    <w:p w14:paraId="4B9AA42F" w14:textId="77777777" w:rsidR="0083089D" w:rsidRPr="0083089D" w:rsidRDefault="0083089D" w:rsidP="0083089D">
      <w:pPr>
        <w:spacing w:after="120"/>
        <w:ind w:left="1134" w:right="1134"/>
        <w:jc w:val="both"/>
        <w:rPr>
          <w:rFonts w:eastAsia="SimSun"/>
          <w:lang w:eastAsia="zh-CN"/>
        </w:rPr>
      </w:pPr>
      <w:r w:rsidRPr="0083089D">
        <w:t>1</w:t>
      </w:r>
      <w:r w:rsidR="007270CD">
        <w:t>3</w:t>
      </w:r>
      <w:r w:rsidRPr="0083089D">
        <w:t>.3</w:t>
      </w:r>
      <w:r w:rsidRPr="0083089D">
        <w:tab/>
      </w:r>
      <w:r w:rsidRPr="0083089D">
        <w:rPr>
          <w:rFonts w:eastAsiaTheme="minorEastAsia"/>
        </w:rPr>
        <w:t xml:space="preserve">The </w:t>
      </w:r>
      <w:r w:rsidR="007270CD">
        <w:rPr>
          <w:rFonts w:eastAsiaTheme="minorEastAsia"/>
        </w:rPr>
        <w:t>Committee observes that authoris</w:t>
      </w:r>
      <w:r w:rsidRPr="0083089D">
        <w:rPr>
          <w:rFonts w:eastAsiaTheme="minorEastAsia"/>
        </w:rPr>
        <w:t>ation regimes, where those wishing to assemble have to apply for permission (or a permit) from the authorities to do so, undercut the idea that peaceful assembly is a basic right.</w:t>
      </w:r>
      <w:r w:rsidRPr="0083089D">
        <w:rPr>
          <w:rFonts w:eastAsiaTheme="minorEastAsia"/>
          <w:vertAlign w:val="superscript"/>
        </w:rPr>
        <w:footnoteReference w:id="24"/>
      </w:r>
      <w:r w:rsidRPr="0083089D">
        <w:rPr>
          <w:rFonts w:eastAsiaTheme="minorEastAsia"/>
        </w:rPr>
        <w:t xml:space="preserve"> Where such requirements exist, they must in practice function as a system of notification, with authorization being granted as a matter of course, in the absence of compelling reasons to do otherwise. Such systems should </w:t>
      </w:r>
      <w:r w:rsidR="007270CD">
        <w:rPr>
          <w:rFonts w:eastAsiaTheme="minorEastAsia"/>
        </w:rPr>
        <w:t>also not be overly bureaucratic.</w:t>
      </w:r>
      <w:r w:rsidRPr="0083089D">
        <w:rPr>
          <w:rFonts w:eastAsiaTheme="minorEastAsia"/>
          <w:vertAlign w:val="superscript"/>
        </w:rPr>
        <w:footnoteReference w:id="25"/>
      </w:r>
      <w:r w:rsidRPr="0083089D">
        <w:t xml:space="preserve"> </w:t>
      </w:r>
      <w:r w:rsidRPr="0083089D">
        <w:rPr>
          <w:rFonts w:eastAsiaTheme="minorEastAsia"/>
        </w:rPr>
        <w:t xml:space="preserve">Notification regimes, for their part, must not </w:t>
      </w:r>
      <w:r w:rsidR="007270CD">
        <w:rPr>
          <w:rFonts w:eastAsiaTheme="minorEastAsia"/>
        </w:rPr>
        <w:t>in practice function as authoris</w:t>
      </w:r>
      <w:r w:rsidRPr="0083089D">
        <w:rPr>
          <w:rFonts w:eastAsiaTheme="minorEastAsia"/>
        </w:rPr>
        <w:t>ation systems.</w:t>
      </w:r>
      <w:r w:rsidRPr="0083089D">
        <w:rPr>
          <w:rFonts w:eastAsiaTheme="minorEastAsia"/>
          <w:vertAlign w:val="superscript"/>
        </w:rPr>
        <w:footnoteReference w:id="26"/>
      </w:r>
      <w:r w:rsidRPr="0083089D">
        <w:rPr>
          <w:rFonts w:eastAsia="SimSun"/>
          <w:lang w:eastAsia="zh-CN"/>
        </w:rPr>
        <w:t xml:space="preserve"> </w:t>
      </w:r>
    </w:p>
    <w:p w14:paraId="4B9AA430" w14:textId="77777777" w:rsidR="0083089D" w:rsidRPr="0083089D" w:rsidRDefault="0083089D" w:rsidP="00FB1FAE">
      <w:pPr>
        <w:spacing w:after="120"/>
        <w:ind w:left="1134" w:right="1134"/>
        <w:jc w:val="both"/>
      </w:pPr>
      <w:r w:rsidRPr="0083089D">
        <w:t>1</w:t>
      </w:r>
      <w:r w:rsidR="007270CD">
        <w:t>3</w:t>
      </w:r>
      <w:r w:rsidRPr="0083089D">
        <w:t>.4</w:t>
      </w:r>
      <w:r w:rsidRPr="0083089D">
        <w:tab/>
        <w:t xml:space="preserve">The Committee notes the author’s claim that the State party’s authorities or courts have not </w:t>
      </w:r>
      <w:r w:rsidR="00FB1FAE">
        <w:t xml:space="preserve">provided any </w:t>
      </w:r>
      <w:r w:rsidRPr="0083089D">
        <w:t>justifi</w:t>
      </w:r>
      <w:r w:rsidR="00FB1FAE">
        <w:t xml:space="preserve">cation as to why it was necessary to </w:t>
      </w:r>
      <w:r w:rsidR="007270CD">
        <w:t xml:space="preserve">subject him to administrative liability </w:t>
      </w:r>
      <w:r w:rsidRPr="0083089D">
        <w:t xml:space="preserve">for </w:t>
      </w:r>
      <w:r w:rsidR="00FB1FAE">
        <w:t xml:space="preserve">the mere </w:t>
      </w:r>
      <w:r w:rsidRPr="0083089D">
        <w:t>participat</w:t>
      </w:r>
      <w:r w:rsidR="00FB1FAE">
        <w:t>ion in</w:t>
      </w:r>
      <w:r w:rsidRPr="0083089D">
        <w:t xml:space="preserve"> </w:t>
      </w:r>
      <w:r w:rsidR="00FB1FAE">
        <w:t>peaceful, albeit unauthoris</w:t>
      </w:r>
      <w:r w:rsidRPr="0083089D">
        <w:t xml:space="preserve">ed </w:t>
      </w:r>
      <w:r w:rsidR="00FB1FAE">
        <w:t>public events</w:t>
      </w:r>
      <w:r w:rsidRPr="0083089D">
        <w:t xml:space="preserve">. The Committee also notes the State party’s submission that the restriction was imposed on the author in conformity with the </w:t>
      </w:r>
      <w:r w:rsidR="00FB1FAE">
        <w:t xml:space="preserve">Code of </w:t>
      </w:r>
      <w:r w:rsidRPr="0083089D">
        <w:t xml:space="preserve">Administrative Offences and the provisions of the Law on </w:t>
      </w:r>
      <w:r w:rsidR="00FB1FAE">
        <w:t>the Procedure for the O</w:t>
      </w:r>
      <w:r w:rsidRPr="0083089D">
        <w:t>rganiz</w:t>
      </w:r>
      <w:r w:rsidR="00FB1FAE">
        <w:t>ation and Conduct of P</w:t>
      </w:r>
      <w:r w:rsidRPr="0083089D">
        <w:t xml:space="preserve">eaceful </w:t>
      </w:r>
      <w:r w:rsidR="00FB1FAE">
        <w:t>A</w:t>
      </w:r>
      <w:r w:rsidRPr="0083089D">
        <w:t xml:space="preserve">ssemblies, </w:t>
      </w:r>
      <w:r w:rsidR="004E7DA4">
        <w:t>M</w:t>
      </w:r>
      <w:r w:rsidRPr="0083089D">
        <w:t xml:space="preserve">eetings, </w:t>
      </w:r>
      <w:r w:rsidR="004E7DA4">
        <w:t>Processions, P</w:t>
      </w:r>
      <w:r w:rsidRPr="0083089D">
        <w:t xml:space="preserve">ickets and </w:t>
      </w:r>
      <w:r w:rsidR="004E7DA4">
        <w:t>D</w:t>
      </w:r>
      <w:r w:rsidRPr="0083089D">
        <w:t xml:space="preserve">emonstrations. The Committee also notes the State party’s argument that the requirement to </w:t>
      </w:r>
      <w:r w:rsidR="00C7415B" w:rsidRPr="00BF04D2">
        <w:t xml:space="preserve">submit an application to the local executive body requesting </w:t>
      </w:r>
      <w:r w:rsidR="00C7415B" w:rsidRPr="00BF04D2">
        <w:lastRenderedPageBreak/>
        <w:t xml:space="preserve">authorization to hold </w:t>
      </w:r>
      <w:r w:rsidR="00C7415B">
        <w:t xml:space="preserve">a peaceful </w:t>
      </w:r>
      <w:r w:rsidR="00C7415B" w:rsidRPr="00BF04D2">
        <w:t xml:space="preserve">assembly </w:t>
      </w:r>
      <w:r w:rsidRPr="0083089D">
        <w:t xml:space="preserve">is aimed at protecting public order, as well as the rights and freedoms of other citizens. The Committee further notes, however, the author’s claim that, although the restriction may have been lawful under national law, his </w:t>
      </w:r>
      <w:r w:rsidR="00C7415B">
        <w:t xml:space="preserve">detention </w:t>
      </w:r>
      <w:r w:rsidRPr="0083089D">
        <w:t xml:space="preserve">and </w:t>
      </w:r>
      <w:r w:rsidR="00C7415B">
        <w:t xml:space="preserve">subjecting him to administrative liability </w:t>
      </w:r>
      <w:r w:rsidRPr="0083089D">
        <w:t xml:space="preserve">were unnecessary in a democratic society for the pursuance of the legitimate aims invoked by the State party. The author further argues that the </w:t>
      </w:r>
      <w:r w:rsidR="00C7415B">
        <w:t>peaceful rallies</w:t>
      </w:r>
      <w:r w:rsidRPr="0083089D">
        <w:t>, in response to important issue</w:t>
      </w:r>
      <w:r w:rsidR="00C7415B">
        <w:t>s</w:t>
      </w:r>
      <w:r w:rsidRPr="0083089D">
        <w:t xml:space="preserve"> –</w:t>
      </w:r>
      <w:r w:rsidR="00C7415B">
        <w:t xml:space="preserve"> </w:t>
      </w:r>
      <w:r w:rsidRPr="0083089D">
        <w:t xml:space="preserve">commemoration of the </w:t>
      </w:r>
      <w:r w:rsidR="00C7415B">
        <w:t>shooting of protesters in Zhanaozen and</w:t>
      </w:r>
      <w:r w:rsidR="00C7415B" w:rsidRPr="00C7415B">
        <w:t xml:space="preserve"> </w:t>
      </w:r>
      <w:r w:rsidR="00C7415B">
        <w:t xml:space="preserve">expression of disagreement with how the State party’s authorities reacted to the tragic events in Zhanaozen </w:t>
      </w:r>
      <w:r w:rsidRPr="0083089D">
        <w:t>–</w:t>
      </w:r>
      <w:r w:rsidR="00C7415B">
        <w:t xml:space="preserve"> were</w:t>
      </w:r>
      <w:r w:rsidRPr="0083089D">
        <w:t xml:space="preserve"> peaceful and did not harm or endanger anyone or anything.</w:t>
      </w:r>
    </w:p>
    <w:p w14:paraId="4B9AA431" w14:textId="77777777" w:rsidR="0083089D" w:rsidRPr="0083089D" w:rsidRDefault="00C7415B" w:rsidP="0083089D">
      <w:pPr>
        <w:spacing w:after="120"/>
        <w:ind w:left="1134" w:right="1134"/>
        <w:jc w:val="both"/>
      </w:pPr>
      <w:r>
        <w:t>13</w:t>
      </w:r>
      <w:r w:rsidR="0083089D" w:rsidRPr="0083089D">
        <w:t>.5</w:t>
      </w:r>
      <w:r w:rsidR="0083089D" w:rsidRPr="0083089D">
        <w:tab/>
        <w:t xml:space="preserve">The Committee notes that the State party relied on the provisions of the </w:t>
      </w:r>
      <w:r w:rsidR="00EB7785" w:rsidRPr="0083089D">
        <w:t xml:space="preserve">Law on </w:t>
      </w:r>
      <w:r w:rsidR="00EB7785">
        <w:t>the Procedure for the O</w:t>
      </w:r>
      <w:r w:rsidR="00EB7785" w:rsidRPr="0083089D">
        <w:t>rganiz</w:t>
      </w:r>
      <w:r w:rsidR="00EB7785">
        <w:t>ation and Conduct of P</w:t>
      </w:r>
      <w:r w:rsidR="00EB7785" w:rsidRPr="0083089D">
        <w:t xml:space="preserve">eaceful </w:t>
      </w:r>
      <w:r w:rsidR="00EB7785">
        <w:t>A</w:t>
      </w:r>
      <w:r w:rsidR="00EB7785" w:rsidRPr="0083089D">
        <w:t xml:space="preserve">ssemblies, </w:t>
      </w:r>
      <w:r w:rsidR="00EB7785">
        <w:t>M</w:t>
      </w:r>
      <w:r w:rsidR="00EB7785" w:rsidRPr="0083089D">
        <w:t xml:space="preserve">eetings, </w:t>
      </w:r>
      <w:r w:rsidR="00EB7785">
        <w:t>Processions, P</w:t>
      </w:r>
      <w:r w:rsidR="00EB7785" w:rsidRPr="0083089D">
        <w:t xml:space="preserve">ickets and </w:t>
      </w:r>
      <w:r w:rsidR="00EB7785">
        <w:t>D</w:t>
      </w:r>
      <w:r w:rsidR="00EB7785" w:rsidRPr="0083089D">
        <w:t>emonstrations</w:t>
      </w:r>
      <w:r w:rsidR="0083089D" w:rsidRPr="0083089D">
        <w:t xml:space="preserve">, which requires </w:t>
      </w:r>
      <w:r w:rsidR="00BD3C80">
        <w:t xml:space="preserve">that </w:t>
      </w:r>
      <w:r w:rsidR="0083089D" w:rsidRPr="0083089D">
        <w:t>a</w:t>
      </w:r>
      <w:r w:rsidR="00BD3C80">
        <w:t xml:space="preserve">n application is </w:t>
      </w:r>
      <w:r w:rsidR="0083089D" w:rsidRPr="0083089D">
        <w:t xml:space="preserve">made </w:t>
      </w:r>
      <w:r w:rsidR="00BD3C80">
        <w:t xml:space="preserve">at least </w:t>
      </w:r>
      <w:r w:rsidR="0083089D" w:rsidRPr="0083089D">
        <w:t xml:space="preserve">10 days prior to the </w:t>
      </w:r>
      <w:r w:rsidR="00BD3C80">
        <w:t xml:space="preserve">intended </w:t>
      </w:r>
      <w:r w:rsidR="0083089D" w:rsidRPr="0083089D">
        <w:t xml:space="preserve">event and </w:t>
      </w:r>
      <w:r w:rsidR="00BD3C80">
        <w:t xml:space="preserve">that </w:t>
      </w:r>
      <w:r w:rsidR="0083089D" w:rsidRPr="0083089D">
        <w:t xml:space="preserve">the </w:t>
      </w:r>
      <w:r w:rsidR="00BD3C80">
        <w:t xml:space="preserve">authorisation </w:t>
      </w:r>
      <w:r w:rsidR="0083089D" w:rsidRPr="0083089D">
        <w:t>of the local executive authorities</w:t>
      </w:r>
      <w:r w:rsidR="00BD3C80">
        <w:t xml:space="preserve"> is received</w:t>
      </w:r>
      <w:r w:rsidR="0083089D" w:rsidRPr="0083089D">
        <w:t>, th</w:t>
      </w:r>
      <w:r w:rsidR="00BD3C80">
        <w:t xml:space="preserve">us </w:t>
      </w:r>
      <w:r w:rsidR="0083089D" w:rsidRPr="0083089D">
        <w:t xml:space="preserve">constituting restrictions to the right of peaceful assembly. The Committee recalls that </w:t>
      </w:r>
      <w:r w:rsidR="00BA4B5D">
        <w:t>the right of peaceful</w:t>
      </w:r>
      <w:r w:rsidR="0083089D" w:rsidRPr="0083089D">
        <w:t xml:space="preserve"> assembly is a right, not a privilege. Restrictions on this right, even if authorized by law, must also meet the criteria under the second sentence of article 21 of the Covenant, in order to comply with the Covenant. In this connection, the Committee observes that</w:t>
      </w:r>
      <w:r w:rsidR="0083089D" w:rsidRPr="0083089D">
        <w:rPr>
          <w:b/>
        </w:rPr>
        <w:t xml:space="preserve"> </w:t>
      </w:r>
      <w:r w:rsidR="0083089D" w:rsidRPr="0083089D">
        <w:rPr>
          <w:color w:val="000000"/>
        </w:rPr>
        <w:t>restrictions imposed for the protection of “the rights and freedoms of others” may relate to the protection of Covenant or other human rights of people not participating in the assembly. At the same time, assemblies are a legitimate use of public and other spaces, and since they may entail by their very nature a certain level of disruption to ordinary life, such disruptions have to be accommodated, unless they impose a disproportionate burden, in which case the authorities must be able to provide detailed justification for any restrictions.</w:t>
      </w:r>
      <w:r w:rsidR="0083089D" w:rsidRPr="0083089D">
        <w:rPr>
          <w:vertAlign w:val="superscript"/>
        </w:rPr>
        <w:footnoteReference w:id="27"/>
      </w:r>
      <w:r w:rsidR="0083089D" w:rsidRPr="0083089D">
        <w:rPr>
          <w:color w:val="000000"/>
        </w:rPr>
        <w:t xml:space="preserve"> The Committee also observes that “public order” refers to the sum of the rules that ensure the proper functioning of society, or the set of fundamental principles</w:t>
      </w:r>
      <w:r w:rsidR="0083089D" w:rsidRPr="0083089D">
        <w:rPr>
          <w:color w:val="000000"/>
          <w:spacing w:val="14"/>
          <w:w w:val="105"/>
        </w:rPr>
        <w:t xml:space="preserve"> </w:t>
      </w:r>
      <w:r w:rsidR="0083089D" w:rsidRPr="0083089D">
        <w:rPr>
          <w:color w:val="000000"/>
          <w:spacing w:val="-3"/>
          <w:w w:val="105"/>
        </w:rPr>
        <w:t>o</w:t>
      </w:r>
      <w:r w:rsidR="0083089D" w:rsidRPr="0083089D">
        <w:rPr>
          <w:color w:val="000000"/>
          <w:w w:val="105"/>
        </w:rPr>
        <w:t>n</w:t>
      </w:r>
      <w:r w:rsidR="0083089D" w:rsidRPr="0083089D">
        <w:rPr>
          <w:color w:val="000000"/>
          <w:spacing w:val="13"/>
          <w:w w:val="105"/>
        </w:rPr>
        <w:t xml:space="preserve"> </w:t>
      </w:r>
      <w:r w:rsidR="0083089D" w:rsidRPr="0083089D">
        <w:rPr>
          <w:color w:val="000000"/>
          <w:spacing w:val="-3"/>
          <w:w w:val="105"/>
        </w:rPr>
        <w:t>whic</w:t>
      </w:r>
      <w:r w:rsidR="0083089D" w:rsidRPr="0083089D">
        <w:rPr>
          <w:color w:val="000000"/>
          <w:w w:val="105"/>
        </w:rPr>
        <w:t>h</w:t>
      </w:r>
      <w:r w:rsidR="0083089D" w:rsidRPr="0083089D">
        <w:rPr>
          <w:color w:val="000000"/>
          <w:spacing w:val="13"/>
          <w:w w:val="105"/>
        </w:rPr>
        <w:t xml:space="preserve"> </w:t>
      </w:r>
      <w:r w:rsidR="0083089D" w:rsidRPr="0083089D">
        <w:rPr>
          <w:color w:val="000000"/>
          <w:spacing w:val="-3"/>
          <w:w w:val="105"/>
        </w:rPr>
        <w:t>societ</w:t>
      </w:r>
      <w:r w:rsidR="0083089D" w:rsidRPr="0083089D">
        <w:rPr>
          <w:color w:val="000000"/>
          <w:w w:val="105"/>
        </w:rPr>
        <w:t>y</w:t>
      </w:r>
      <w:r w:rsidR="0083089D" w:rsidRPr="0083089D">
        <w:rPr>
          <w:color w:val="000000"/>
          <w:spacing w:val="14"/>
          <w:w w:val="105"/>
        </w:rPr>
        <w:t xml:space="preserve"> </w:t>
      </w:r>
      <w:r w:rsidR="0083089D" w:rsidRPr="0083089D">
        <w:rPr>
          <w:color w:val="000000"/>
          <w:spacing w:val="-3"/>
          <w:w w:val="105"/>
        </w:rPr>
        <w:t>i</w:t>
      </w:r>
      <w:r w:rsidR="0083089D" w:rsidRPr="0083089D">
        <w:rPr>
          <w:color w:val="000000"/>
          <w:w w:val="105"/>
        </w:rPr>
        <w:t>s</w:t>
      </w:r>
      <w:r w:rsidR="0083089D" w:rsidRPr="0083089D">
        <w:rPr>
          <w:color w:val="000000"/>
          <w:spacing w:val="13"/>
          <w:w w:val="105"/>
        </w:rPr>
        <w:t xml:space="preserve"> </w:t>
      </w:r>
      <w:r w:rsidR="0083089D" w:rsidRPr="0083089D">
        <w:rPr>
          <w:color w:val="000000"/>
          <w:spacing w:val="-3"/>
          <w:w w:val="105"/>
        </w:rPr>
        <w:t>founded, which</w:t>
      </w:r>
      <w:r w:rsidR="0083089D" w:rsidRPr="0083089D">
        <w:rPr>
          <w:color w:val="000000"/>
        </w:rPr>
        <w:t xml:space="preserve"> also </w:t>
      </w:r>
      <w:r w:rsidR="0083089D" w:rsidRPr="0083089D">
        <w:rPr>
          <w:color w:val="000000"/>
          <w:spacing w:val="-3"/>
          <w:w w:val="105"/>
        </w:rPr>
        <w:t>entails respec</w:t>
      </w:r>
      <w:r w:rsidR="0083089D" w:rsidRPr="0083089D">
        <w:rPr>
          <w:color w:val="000000"/>
          <w:w w:val="105"/>
        </w:rPr>
        <w:t>t</w:t>
      </w:r>
      <w:r w:rsidR="0083089D" w:rsidRPr="0083089D">
        <w:rPr>
          <w:color w:val="000000"/>
          <w:spacing w:val="18"/>
          <w:w w:val="105"/>
        </w:rPr>
        <w:t xml:space="preserve"> </w:t>
      </w:r>
      <w:r w:rsidR="0083089D" w:rsidRPr="0083089D">
        <w:rPr>
          <w:color w:val="000000"/>
          <w:spacing w:val="-4"/>
          <w:w w:val="105"/>
        </w:rPr>
        <w:t>fo</w:t>
      </w:r>
      <w:r w:rsidR="0083089D" w:rsidRPr="0083089D">
        <w:rPr>
          <w:color w:val="000000"/>
          <w:w w:val="105"/>
        </w:rPr>
        <w:t>r</w:t>
      </w:r>
      <w:r w:rsidR="0083089D" w:rsidRPr="0083089D">
        <w:rPr>
          <w:color w:val="000000"/>
          <w:spacing w:val="18"/>
          <w:w w:val="105"/>
        </w:rPr>
        <w:t xml:space="preserve"> </w:t>
      </w:r>
      <w:r w:rsidR="0083089D" w:rsidRPr="0083089D">
        <w:rPr>
          <w:color w:val="000000"/>
          <w:spacing w:val="-3"/>
          <w:w w:val="105"/>
        </w:rPr>
        <w:t>huma</w:t>
      </w:r>
      <w:r w:rsidR="0083089D" w:rsidRPr="0083089D">
        <w:rPr>
          <w:color w:val="000000"/>
          <w:w w:val="105"/>
        </w:rPr>
        <w:t>n</w:t>
      </w:r>
      <w:r w:rsidR="0083089D" w:rsidRPr="0083089D">
        <w:rPr>
          <w:color w:val="000000"/>
          <w:spacing w:val="19"/>
          <w:w w:val="105"/>
        </w:rPr>
        <w:t xml:space="preserve"> </w:t>
      </w:r>
      <w:r w:rsidR="0083089D" w:rsidRPr="0083089D">
        <w:rPr>
          <w:color w:val="000000"/>
          <w:spacing w:val="-3"/>
          <w:w w:val="105"/>
        </w:rPr>
        <w:t>rights, including the right of peaceful assembly.</w:t>
      </w:r>
      <w:r w:rsidR="0083089D" w:rsidRPr="0083089D">
        <w:rPr>
          <w:vertAlign w:val="superscript"/>
        </w:rPr>
        <w:footnoteReference w:id="28"/>
      </w:r>
      <w:r w:rsidR="0083089D" w:rsidRPr="0083089D">
        <w:rPr>
          <w:color w:val="000000"/>
          <w:spacing w:val="-3"/>
          <w:w w:val="105"/>
        </w:rPr>
        <w:t xml:space="preserve"> States parties should not rely on a vague definition of </w:t>
      </w:r>
      <w:r w:rsidR="0083089D" w:rsidRPr="0083089D">
        <w:rPr>
          <w:color w:val="000000"/>
        </w:rPr>
        <w:t xml:space="preserve">“public order” </w:t>
      </w:r>
      <w:r w:rsidR="0083089D" w:rsidRPr="0083089D">
        <w:rPr>
          <w:color w:val="000000"/>
          <w:spacing w:val="-3"/>
          <w:w w:val="105"/>
        </w:rPr>
        <w:t>to justify over-broad restrictions on the right of peaceful assembly.</w:t>
      </w:r>
      <w:r w:rsidR="0083089D" w:rsidRPr="0083089D">
        <w:rPr>
          <w:vertAlign w:val="superscript"/>
        </w:rPr>
        <w:footnoteReference w:id="29"/>
      </w:r>
      <w:r w:rsidR="0083089D" w:rsidRPr="0083089D">
        <w:rPr>
          <w:color w:val="000000"/>
          <w:spacing w:val="-3"/>
          <w:w w:val="105"/>
        </w:rPr>
        <w:t xml:space="preserve"> </w:t>
      </w:r>
      <w:r w:rsidR="0083089D" w:rsidRPr="0083089D">
        <w:rPr>
          <w:color w:val="000000"/>
        </w:rPr>
        <w:t>Peaceful assemblies can in some cases be inherently or deliberately disruptive and require a significant degree of toleration. “Public order” and “law and order” are not synonyms, and the prohibition of “public disorder” in domestic law should not be used unduly to restrict peaceful assemblies.</w:t>
      </w:r>
      <w:r w:rsidR="0083089D" w:rsidRPr="007545D7">
        <w:rPr>
          <w:color w:val="000000"/>
          <w:sz w:val="18"/>
          <w:vertAlign w:val="superscript"/>
        </w:rPr>
        <w:footnoteReference w:id="30"/>
      </w:r>
      <w:r w:rsidR="0083089D" w:rsidRPr="0083089D">
        <w:rPr>
          <w:color w:val="000000"/>
        </w:rPr>
        <w:t xml:space="preserve"> </w:t>
      </w:r>
      <w:r w:rsidR="0083089D" w:rsidRPr="0083089D">
        <w:t>However, the Committee notes that the State party has not provided any specifics as to the nature of the disturbance occasioned by the assembl</w:t>
      </w:r>
      <w:r w:rsidR="00BD3C80">
        <w:t xml:space="preserve">ies </w:t>
      </w:r>
      <w:r w:rsidR="0083089D" w:rsidRPr="0083089D">
        <w:t xml:space="preserve">in question, nor any information as to how it crossed the threshold of permissible disruption to be tolerated. </w:t>
      </w:r>
    </w:p>
    <w:p w14:paraId="4B9AA432" w14:textId="77777777" w:rsidR="0083089D" w:rsidRPr="0083089D" w:rsidRDefault="0083089D" w:rsidP="0083089D">
      <w:pPr>
        <w:spacing w:after="120"/>
        <w:ind w:left="1134" w:right="1134"/>
        <w:jc w:val="both"/>
        <w:rPr>
          <w:color w:val="000000"/>
          <w:spacing w:val="-3"/>
          <w:w w:val="105"/>
        </w:rPr>
      </w:pPr>
      <w:r w:rsidRPr="0083089D">
        <w:t>1</w:t>
      </w:r>
      <w:r w:rsidR="00BD3C80">
        <w:t>3</w:t>
      </w:r>
      <w:r w:rsidRPr="0083089D">
        <w:t>.6</w:t>
      </w:r>
      <w:r w:rsidR="00BD3C80">
        <w:tab/>
      </w:r>
      <w:r w:rsidRPr="0083089D">
        <w:t xml:space="preserve">The Committee recalls that </w:t>
      </w:r>
      <w:r w:rsidR="00BD3C80">
        <w:t>a</w:t>
      </w:r>
      <w:r w:rsidRPr="0083089D">
        <w:t xml:space="preserve">rticle 21 </w:t>
      </w:r>
      <w:r w:rsidR="00BD3C80">
        <w:t xml:space="preserve">of the Covenant </w:t>
      </w:r>
      <w:r w:rsidRPr="0083089D">
        <w:t>provides that any restrictions must be “</w:t>
      </w:r>
      <w:r w:rsidRPr="0083089D">
        <w:rPr>
          <w:iCs/>
          <w:color w:val="000000"/>
        </w:rPr>
        <w:t>necessary</w:t>
      </w:r>
      <w:r w:rsidRPr="0083089D">
        <w:rPr>
          <w:color w:val="000000"/>
        </w:rPr>
        <w:t xml:space="preserve"> in a democratic society”. </w:t>
      </w:r>
      <w:r w:rsidRPr="0083089D">
        <w:t xml:space="preserve">Restrictions must therefore be </w:t>
      </w:r>
      <w:r w:rsidRPr="0083089D">
        <w:rPr>
          <w:i/>
        </w:rPr>
        <w:t xml:space="preserve">necessary </w:t>
      </w:r>
      <w:r w:rsidRPr="0083089D">
        <w:t xml:space="preserve">and </w:t>
      </w:r>
      <w:r w:rsidRPr="00A674F0">
        <w:rPr>
          <w:i/>
          <w:iCs/>
        </w:rPr>
        <w:t>proportionate</w:t>
      </w:r>
      <w:r w:rsidRPr="0083089D">
        <w:t xml:space="preserve"> in the context of a society based on democracy, the rule of law, political pluralism and human rights, as opposed to being merely reasonable or expedient.</w:t>
      </w:r>
      <w:r w:rsidRPr="0083089D">
        <w:rPr>
          <w:rFonts w:eastAsia="SimSun"/>
          <w:vertAlign w:val="superscript"/>
        </w:rPr>
        <w:footnoteReference w:id="31"/>
      </w:r>
      <w:r w:rsidRPr="0083089D">
        <w:t xml:space="preserve"> </w:t>
      </w:r>
      <w:r w:rsidRPr="0083089D">
        <w:rPr>
          <w:color w:val="000000"/>
        </w:rPr>
        <w:t xml:space="preserve">Such restrictions must be appropriate </w:t>
      </w:r>
      <w:r w:rsidRPr="0083089D">
        <w:t>responses to a pressing social need, related to one of the permissible grounds in article 21. They must also be the least intrusive among the measures that might serve the relevant protective function.</w:t>
      </w:r>
      <w:r w:rsidRPr="007545D7">
        <w:rPr>
          <w:sz w:val="18"/>
          <w:vertAlign w:val="superscript"/>
        </w:rPr>
        <w:footnoteReference w:id="32"/>
      </w:r>
      <w:r w:rsidRPr="0083089D">
        <w:t xml:space="preserve"> Moreover, they have to be </w:t>
      </w:r>
      <w:r w:rsidRPr="0083089D">
        <w:rPr>
          <w:iCs/>
        </w:rPr>
        <w:t>proportionate</w:t>
      </w:r>
      <w:r w:rsidRPr="0083089D">
        <w:t>, which requires a value assessment, weighing the nature and detrimental impact of the interference on the exercise of the right against the resultant benefit to one of the grounds for interfering.</w:t>
      </w:r>
      <w:r w:rsidRPr="0083089D">
        <w:rPr>
          <w:rFonts w:eastAsia="SimSun"/>
          <w:vertAlign w:val="superscript"/>
        </w:rPr>
        <w:footnoteReference w:id="33"/>
      </w:r>
      <w:r w:rsidRPr="0083089D">
        <w:t xml:space="preserve"> If the detriment outweighs the benefit, the restriction is disproportionate and thus not permissible. The Committee further observes that the State party has not demonstrated that </w:t>
      </w:r>
      <w:r w:rsidR="00BD3C80">
        <w:t xml:space="preserve">the </w:t>
      </w:r>
      <w:r w:rsidR="00AB55AB">
        <w:t xml:space="preserve">author’s repeated </w:t>
      </w:r>
      <w:r w:rsidR="00BD3C80">
        <w:t xml:space="preserve">sanctioning </w:t>
      </w:r>
      <w:r w:rsidR="00AB55AB">
        <w:t xml:space="preserve">with 15 days of </w:t>
      </w:r>
      <w:r w:rsidRPr="0083089D">
        <w:t xml:space="preserve">administrative </w:t>
      </w:r>
      <w:r w:rsidR="00AB55AB">
        <w:t xml:space="preserve">detention </w:t>
      </w:r>
      <w:r w:rsidRPr="0083089D">
        <w:t xml:space="preserve">for participating in peaceful </w:t>
      </w:r>
      <w:r w:rsidR="00AB55AB">
        <w:t xml:space="preserve">rallies </w:t>
      </w:r>
      <w:r w:rsidRPr="0083089D">
        <w:t xml:space="preserve">was necessary in a democratic society to pursue a legitimate aim or was proportionate to such an aim in accordance with the strict requirements under the second sentence of article 21 of the Covenant. The Committee also recalls that any </w:t>
      </w:r>
      <w:r w:rsidRPr="0083089D">
        <w:lastRenderedPageBreak/>
        <w:t>restrictions on participation in peaceful assemblies should be based on a differentiated or individualized assessment of the conduct of the participants and the assembly concerned. Blanket restrictions on peaceful assemblies are presumptively disproportionate.</w:t>
      </w:r>
      <w:r w:rsidRPr="007545D7">
        <w:rPr>
          <w:sz w:val="18"/>
          <w:vertAlign w:val="superscript"/>
        </w:rPr>
        <w:footnoteReference w:id="34"/>
      </w:r>
      <w:r w:rsidR="00AB55AB">
        <w:t xml:space="preserve"> </w:t>
      </w:r>
      <w:r w:rsidRPr="0083089D">
        <w:t>For these reasons, the Committee concludes that the State party failed to justify the restriction of the author’s right</w:t>
      </w:r>
      <w:r w:rsidR="0030433C">
        <w:t xml:space="preserve"> to peaceful assembly and thus</w:t>
      </w:r>
      <w:r w:rsidRPr="0083089D">
        <w:t xml:space="preserve"> violated article 21 of the Covenant.</w:t>
      </w:r>
    </w:p>
    <w:p w14:paraId="4B9AA433" w14:textId="77777777" w:rsidR="0083089D" w:rsidRPr="0083089D" w:rsidRDefault="00AB55AB" w:rsidP="0083089D">
      <w:pPr>
        <w:spacing w:after="120"/>
        <w:ind w:left="1134" w:right="1134"/>
        <w:jc w:val="both"/>
        <w:rPr>
          <w:color w:val="000000"/>
          <w:spacing w:val="-3"/>
          <w:w w:val="105"/>
        </w:rPr>
      </w:pPr>
      <w:r>
        <w:rPr>
          <w:color w:val="000000"/>
          <w:spacing w:val="-3"/>
          <w:w w:val="105"/>
        </w:rPr>
        <w:t>13</w:t>
      </w:r>
      <w:r w:rsidR="0083089D" w:rsidRPr="0083089D">
        <w:rPr>
          <w:color w:val="000000"/>
          <w:spacing w:val="-3"/>
          <w:w w:val="105"/>
        </w:rPr>
        <w:t>.7</w:t>
      </w:r>
      <w:r>
        <w:rPr>
          <w:color w:val="000000"/>
          <w:spacing w:val="-3"/>
          <w:w w:val="105"/>
        </w:rPr>
        <w:tab/>
      </w:r>
      <w:r w:rsidR="0083089D" w:rsidRPr="0083089D">
        <w:t>The Committee also notes the author’s claim that his right to freedom of expression under articles 19 of the Covenant was violated. The Committee must therefore decide whether the limitations imposed on the author are allowed under one of the permissible restrictions laid out in article 19 (3) of the Covenant.</w:t>
      </w:r>
    </w:p>
    <w:p w14:paraId="4B9AA434" w14:textId="77777777" w:rsidR="0083089D" w:rsidRPr="0083089D" w:rsidRDefault="00843375" w:rsidP="0083089D">
      <w:pPr>
        <w:spacing w:after="120"/>
        <w:ind w:left="1134" w:right="1134"/>
        <w:jc w:val="both"/>
      </w:pPr>
      <w:r>
        <w:t>13</w:t>
      </w:r>
      <w:r w:rsidR="0083089D" w:rsidRPr="0083089D">
        <w:t>.8</w:t>
      </w:r>
      <w:r w:rsidR="0083089D" w:rsidRPr="0083089D">
        <w:tab/>
        <w:t xml:space="preserve">The Committee notes that sanctioning the author for expressing his views through participation in public </w:t>
      </w:r>
      <w:r>
        <w:t xml:space="preserve">events </w:t>
      </w:r>
      <w:r w:rsidR="0083089D" w:rsidRPr="0083089D">
        <w:t>interfered with his right to impart information and ideas of any kind, as protected under article 19 (2) of the Covenant. The Committee recalls that article 19 (3) of the Covenant allows certain restrictions, but these shall only be such as are provided by law and are necessary for respect of the rights or reputations of others and for the protection of national security or of public order (</w:t>
      </w:r>
      <w:proofErr w:type="spellStart"/>
      <w:r w:rsidR="0083089D" w:rsidRPr="0083089D">
        <w:rPr>
          <w:i/>
        </w:rPr>
        <w:t>ordre</w:t>
      </w:r>
      <w:proofErr w:type="spellEnd"/>
      <w:r w:rsidR="0083089D" w:rsidRPr="0083089D">
        <w:rPr>
          <w:i/>
        </w:rPr>
        <w:t xml:space="preserve"> public</w:t>
      </w:r>
      <w:r w:rsidR="0083089D" w:rsidRPr="0083089D">
        <w:t xml:space="preserve">) or of public health or morals. The Committee refers to its general comment No. 34 (2011) on the freedoms of opinion and expression, in which it stated that those freedoms </w:t>
      </w:r>
      <w:r w:rsidR="00321D6A">
        <w:t>are</w:t>
      </w:r>
      <w:r w:rsidR="0083089D" w:rsidRPr="0083089D">
        <w:t xml:space="preserve"> indispensable conditions for the full development of the person and </w:t>
      </w:r>
      <w:r w:rsidR="00321D6A">
        <w:t>are</w:t>
      </w:r>
      <w:r w:rsidR="0083089D" w:rsidRPr="0083089D">
        <w:t xml:space="preserve"> essential for any society. These freedoms constitute the foundation stone for every free and democratic society. Any restriction on the exercise of those freedoms must conform to the strict tests of necessity and proportionality. Restrictions must be applied only for those purposes for which they were prescribed and must be directly related to the specific need on which they were predicated. The Committee recalls that it is for the State party to demonstrate that the restrictions on the author’s rights under article 19 were necessary and proportionate.</w:t>
      </w:r>
      <w:r w:rsidR="0083089D" w:rsidRPr="0083089D">
        <w:rPr>
          <w:vertAlign w:val="superscript"/>
        </w:rPr>
        <w:footnoteReference w:id="35"/>
      </w:r>
      <w:r w:rsidR="0083089D" w:rsidRPr="0083089D">
        <w:t xml:space="preserve"> </w:t>
      </w:r>
    </w:p>
    <w:p w14:paraId="4B9AA435" w14:textId="77777777" w:rsidR="0083089D" w:rsidRPr="0083089D" w:rsidRDefault="00843375" w:rsidP="00011BDF">
      <w:pPr>
        <w:spacing w:after="120"/>
        <w:ind w:left="1134" w:right="1134"/>
        <w:jc w:val="both"/>
      </w:pPr>
      <w:r>
        <w:t>13</w:t>
      </w:r>
      <w:r w:rsidR="0083089D" w:rsidRPr="0083089D">
        <w:t>.9</w:t>
      </w:r>
      <w:r w:rsidR="0083089D" w:rsidRPr="0083089D">
        <w:tab/>
        <w:t>Regarding the restriction on the author’s freedom of expression, the Committee recalls that political speech enjoys a heightened level of accommodation and protection as a form of expression.</w:t>
      </w:r>
      <w:r w:rsidR="0083089D" w:rsidRPr="0083089D">
        <w:rPr>
          <w:sz w:val="18"/>
          <w:vertAlign w:val="superscript"/>
        </w:rPr>
        <w:footnoteReference w:id="36"/>
      </w:r>
      <w:r w:rsidR="0083089D" w:rsidRPr="0083089D">
        <w:t xml:space="preserve"> The Committee notes the author’s claim that the </w:t>
      </w:r>
      <w:r>
        <w:t xml:space="preserve">peaceful rallies were </w:t>
      </w:r>
      <w:r w:rsidR="0083089D" w:rsidRPr="0083089D">
        <w:t xml:space="preserve">held to </w:t>
      </w:r>
      <w:r w:rsidR="00011BDF" w:rsidRPr="0083089D">
        <w:t>commemorat</w:t>
      </w:r>
      <w:r w:rsidR="00011BDF">
        <w:t xml:space="preserve">e </w:t>
      </w:r>
      <w:r w:rsidR="00011BDF" w:rsidRPr="0083089D">
        <w:t xml:space="preserve">the </w:t>
      </w:r>
      <w:r w:rsidR="00011BDF">
        <w:t>shooting of protesters in Zhanaozen and</w:t>
      </w:r>
      <w:r w:rsidR="00011BDF" w:rsidRPr="00C7415B">
        <w:t xml:space="preserve"> </w:t>
      </w:r>
      <w:r w:rsidR="00011BDF">
        <w:t xml:space="preserve">to express the participants’ disagreement with how the State party’s authorities reacted to the tragic events in Zhanaozen. </w:t>
      </w:r>
      <w:r w:rsidR="0083089D" w:rsidRPr="0083089D">
        <w:t>In the absence of any pertinent information from the State party explaining how the restriction was in line with the provisions of article 19 (3) of the Covenant, the Committee concludes that the author’s rights under article 19 (2) of the Covenant have been violated.</w:t>
      </w:r>
    </w:p>
    <w:p w14:paraId="4B9AA436" w14:textId="77777777" w:rsidR="0083089D" w:rsidRPr="0083089D" w:rsidRDefault="0083089D" w:rsidP="0083089D">
      <w:pPr>
        <w:spacing w:after="120"/>
        <w:ind w:left="1134" w:right="1134"/>
        <w:jc w:val="both"/>
        <w:rPr>
          <w:highlight w:val="green"/>
        </w:rPr>
      </w:pPr>
      <w:r w:rsidRPr="0083089D">
        <w:t>1</w:t>
      </w:r>
      <w:r w:rsidR="00011BDF">
        <w:t>4</w:t>
      </w:r>
      <w:r w:rsidRPr="0083089D">
        <w:t>.</w:t>
      </w:r>
      <w:r w:rsidRPr="0083089D">
        <w:tab/>
        <w:t xml:space="preserve">The Committee, acting under article 5 (4) of the Optional Protocol, is of the view that the facts before it disclose a violation by the State party of </w:t>
      </w:r>
      <w:r w:rsidR="00DA3339">
        <w:t xml:space="preserve">the author’s rights under </w:t>
      </w:r>
      <w:r w:rsidRPr="0083089D">
        <w:t>articles 19 (2) and 21 of the Covenant.</w:t>
      </w:r>
    </w:p>
    <w:p w14:paraId="4B9AA437" w14:textId="5CB21CE2" w:rsidR="0083089D" w:rsidRPr="0083089D" w:rsidRDefault="00011BDF" w:rsidP="0083089D">
      <w:pPr>
        <w:spacing w:after="120"/>
        <w:ind w:left="1134" w:right="1134"/>
        <w:jc w:val="both"/>
      </w:pPr>
      <w:r>
        <w:t>15</w:t>
      </w:r>
      <w:r w:rsidR="0083089D" w:rsidRPr="0083089D">
        <w:t>.</w:t>
      </w:r>
      <w:r w:rsidR="0083089D" w:rsidRPr="0083089D">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w:t>
      </w:r>
      <w:r w:rsidR="0083089D" w:rsidRPr="0083089D">
        <w:rPr>
          <w:iCs/>
        </w:rPr>
        <w:t>inter alia,</w:t>
      </w:r>
      <w:r w:rsidR="0083089D" w:rsidRPr="0083089D">
        <w:t xml:space="preserve"> to take appropriate steps to provide the author with adequate compensation and reimbursement of any legal costs incurred by him. The State party is also under an obligation to take all steps necessary to prevent similar violations from occurring in the future. In this connection, the Committee reiterates that, pursuant to its obligations under article 2 (2) of the Covenant, the State party should review its legislation with a view to ensuring that the rights under article 19 (2) and 21 of the Covenant, including organizing and conducting peaceful assemblies, meetings, processions, pickets and demonstrations, may be fully enjoyed in the State party. </w:t>
      </w:r>
    </w:p>
    <w:p w14:paraId="4B9AA438" w14:textId="77777777" w:rsidR="0083089D" w:rsidRPr="0083089D" w:rsidRDefault="00DE20F5" w:rsidP="0083089D">
      <w:pPr>
        <w:spacing w:after="120"/>
        <w:ind w:left="1134" w:right="1134"/>
        <w:jc w:val="both"/>
        <w:rPr>
          <w:u w:val="single"/>
        </w:rPr>
      </w:pPr>
      <w:r>
        <w:t>16</w:t>
      </w:r>
      <w:r w:rsidR="0083089D" w:rsidRPr="0083089D">
        <w:t>.</w:t>
      </w:r>
      <w:r w:rsidR="0083089D" w:rsidRPr="0083089D">
        <w:tab/>
        <w:t xml:space="preserve">Bearing in mind that, by becoming a party to the Optional Protocol, the State party has recognized the competence of the Committee to determine whether there has been a </w:t>
      </w:r>
      <w:r w:rsidR="0083089D" w:rsidRPr="0083089D">
        <w:lastRenderedPageBreak/>
        <w:t>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p>
    <w:p w14:paraId="4B9AA439" w14:textId="77777777" w:rsidR="006A31AE" w:rsidRPr="007545D7" w:rsidRDefault="0083089D" w:rsidP="007600E5">
      <w:pPr>
        <w:spacing w:before="240"/>
        <w:ind w:left="1134" w:right="1134"/>
        <w:jc w:val="center"/>
        <w:rPr>
          <w:u w:val="single"/>
        </w:rPr>
      </w:pPr>
      <w:r w:rsidRPr="0083089D">
        <w:tab/>
      </w:r>
      <w:r w:rsidRPr="0083089D">
        <w:rPr>
          <w:u w:val="single"/>
        </w:rPr>
        <w:tab/>
      </w:r>
      <w:r w:rsidRPr="0083089D">
        <w:rPr>
          <w:u w:val="single"/>
        </w:rPr>
        <w:tab/>
      </w:r>
      <w:r w:rsidRPr="0083089D">
        <w:rPr>
          <w:u w:val="single"/>
        </w:rPr>
        <w:tab/>
      </w:r>
    </w:p>
    <w:sectPr w:rsidR="006A31AE" w:rsidRPr="007545D7" w:rsidSect="00F603F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3567F" w14:textId="77777777" w:rsidR="000E59A2" w:rsidRPr="00B903E5" w:rsidRDefault="000E59A2" w:rsidP="00B903E5">
      <w:pPr>
        <w:pStyle w:val="Footer"/>
      </w:pPr>
    </w:p>
  </w:endnote>
  <w:endnote w:type="continuationSeparator" w:id="0">
    <w:p w14:paraId="6A571331" w14:textId="77777777" w:rsidR="000E59A2" w:rsidRPr="00B903E5" w:rsidRDefault="000E59A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훁逶冀٣怀"/>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A442" w14:textId="468D277B" w:rsidR="00530423" w:rsidRPr="006A31AE" w:rsidRDefault="00530423"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BB6685">
      <w:rPr>
        <w:b/>
        <w:noProof/>
        <w:sz w:val="18"/>
      </w:rPr>
      <w:t>12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A443" w14:textId="633EF0DD" w:rsidR="00530423" w:rsidRPr="006A31AE" w:rsidRDefault="00530423"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BB6685">
      <w:rPr>
        <w:b/>
        <w:noProof/>
        <w:sz w:val="18"/>
      </w:rPr>
      <w:t>11</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A444" w14:textId="77777777" w:rsidR="00173810" w:rsidRDefault="00173810" w:rsidP="00173810">
    <w:pPr>
      <w:pStyle w:val="Footer"/>
    </w:pPr>
    <w:r w:rsidRPr="0027112F">
      <w:rPr>
        <w:noProof/>
        <w:lang w:eastAsia="en-GB"/>
      </w:rPr>
      <w:drawing>
        <wp:anchor distT="0" distB="0" distL="114300" distR="114300" simplePos="0" relativeHeight="251659264" behindDoc="0" locked="1" layoutInCell="1" allowOverlap="1" wp14:anchorId="4B9AA446" wp14:editId="4B9AA44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9AA445" w14:textId="41EF810E" w:rsidR="00173810" w:rsidRPr="00173810" w:rsidRDefault="00173810" w:rsidP="00173810">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E3FB2" w14:textId="77777777" w:rsidR="000E59A2" w:rsidRPr="00B903E5" w:rsidRDefault="000E59A2" w:rsidP="00B903E5">
      <w:pPr>
        <w:tabs>
          <w:tab w:val="right" w:pos="2155"/>
        </w:tabs>
        <w:spacing w:after="80" w:line="240" w:lineRule="auto"/>
        <w:ind w:left="680"/>
      </w:pPr>
      <w:r>
        <w:rPr>
          <w:u w:val="single"/>
        </w:rPr>
        <w:tab/>
      </w:r>
    </w:p>
  </w:footnote>
  <w:footnote w:type="continuationSeparator" w:id="0">
    <w:p w14:paraId="0B85E1F4" w14:textId="77777777" w:rsidR="000E59A2" w:rsidRPr="00B903E5" w:rsidRDefault="000E59A2" w:rsidP="00B903E5">
      <w:pPr>
        <w:tabs>
          <w:tab w:val="right" w:pos="2155"/>
        </w:tabs>
        <w:spacing w:after="80" w:line="240" w:lineRule="auto"/>
        <w:ind w:left="680"/>
      </w:pPr>
      <w:r>
        <w:rPr>
          <w:u w:val="single"/>
        </w:rPr>
        <w:tab/>
      </w:r>
    </w:p>
  </w:footnote>
  <w:footnote w:id="1">
    <w:p w14:paraId="1DFA5F9B" w14:textId="519D3C70" w:rsidR="0083505C" w:rsidRPr="0083505C" w:rsidRDefault="0083505C">
      <w:pPr>
        <w:pStyle w:val="FootnoteText"/>
      </w:pPr>
      <w:r>
        <w:rPr>
          <w:rStyle w:val="FootnoteReference"/>
        </w:rPr>
        <w:tab/>
      </w:r>
      <w:r w:rsidRPr="00BE33D4">
        <w:rPr>
          <w:rStyle w:val="FootnoteReference"/>
          <w:sz w:val="20"/>
          <w:vertAlign w:val="baseline"/>
        </w:rPr>
        <w:t>*</w:t>
      </w:r>
      <w:r>
        <w:rPr>
          <w:rStyle w:val="FootnoteReference"/>
          <w:sz w:val="20"/>
          <w:vertAlign w:val="baseline"/>
        </w:rPr>
        <w:tab/>
      </w:r>
      <w:r w:rsidRPr="00B2629C">
        <w:t xml:space="preserve">Adopted by the Committee at its </w:t>
      </w:r>
      <w:r>
        <w:t>131</w:t>
      </w:r>
      <w:r w:rsidRPr="00160637">
        <w:rPr>
          <w:vertAlign w:val="superscript"/>
        </w:rPr>
        <w:t>st</w:t>
      </w:r>
      <w:r>
        <w:t xml:space="preserve"> </w:t>
      </w:r>
      <w:r w:rsidRPr="00B2629C">
        <w:t>session (</w:t>
      </w:r>
      <w:r w:rsidR="00F60DF1">
        <w:t>1-26 March</w:t>
      </w:r>
      <w:r w:rsidRPr="004B436A">
        <w:t xml:space="preserve"> 2021</w:t>
      </w:r>
      <w:r w:rsidRPr="00B2629C">
        <w:t>)</w:t>
      </w:r>
      <w:r>
        <w:t>.</w:t>
      </w:r>
    </w:p>
  </w:footnote>
  <w:footnote w:id="2">
    <w:p w14:paraId="51071256" w14:textId="2A48A0BD" w:rsidR="0083505C" w:rsidRPr="0083505C" w:rsidRDefault="0083505C">
      <w:pPr>
        <w:pStyle w:val="FootnoteText"/>
      </w:pPr>
      <w:r>
        <w:rPr>
          <w:rStyle w:val="FootnoteReference"/>
        </w:rPr>
        <w:tab/>
      </w:r>
      <w:r w:rsidRPr="00BE33D4">
        <w:rPr>
          <w:rStyle w:val="FootnoteReference"/>
          <w:sz w:val="20"/>
          <w:vertAlign w:val="baseline"/>
        </w:rPr>
        <w:t>**</w:t>
      </w:r>
      <w:r>
        <w:rPr>
          <w:rStyle w:val="FootnoteReference"/>
          <w:sz w:val="20"/>
          <w:vertAlign w:val="baseline"/>
        </w:rPr>
        <w:tab/>
      </w:r>
      <w:r w:rsidR="00C955F7" w:rsidRPr="00B2629C">
        <w:t>The following members of the Committee participated in the ex</w:t>
      </w:r>
      <w:r w:rsidR="00C955F7">
        <w:t xml:space="preserve">amination of the communication: Tania Abdo </w:t>
      </w:r>
      <w:proofErr w:type="spellStart"/>
      <w:r w:rsidR="00C955F7">
        <w:t>Rocholl</w:t>
      </w:r>
      <w:proofErr w:type="spellEnd"/>
      <w:r w:rsidR="00C955F7">
        <w:t xml:space="preserve">, </w:t>
      </w:r>
      <w:r w:rsidR="00C955F7" w:rsidRPr="00A06D1D">
        <w:t>Wafaa Ashraf Moharram</w:t>
      </w:r>
      <w:r w:rsidR="00C955F7">
        <w:t xml:space="preserve"> </w:t>
      </w:r>
      <w:proofErr w:type="spellStart"/>
      <w:r w:rsidR="00C955F7">
        <w:t>Bassim</w:t>
      </w:r>
      <w:proofErr w:type="spellEnd"/>
      <w:r w:rsidR="00C955F7">
        <w:t xml:space="preserve">, </w:t>
      </w:r>
      <w:proofErr w:type="spellStart"/>
      <w:r w:rsidR="00C955F7" w:rsidRPr="00B2629C">
        <w:t>Yadh</w:t>
      </w:r>
      <w:proofErr w:type="spellEnd"/>
      <w:r w:rsidR="00C955F7" w:rsidRPr="00B2629C">
        <w:t xml:space="preserve"> Ben </w:t>
      </w:r>
      <w:proofErr w:type="spellStart"/>
      <w:r w:rsidR="00C955F7" w:rsidRPr="00B2629C">
        <w:t>Achour</w:t>
      </w:r>
      <w:proofErr w:type="spellEnd"/>
      <w:r w:rsidR="00C955F7" w:rsidRPr="00B2629C">
        <w:t xml:space="preserve">, </w:t>
      </w:r>
      <w:proofErr w:type="spellStart"/>
      <w:r w:rsidR="00C955F7">
        <w:t>Arif</w:t>
      </w:r>
      <w:proofErr w:type="spellEnd"/>
      <w:r w:rsidR="00C955F7">
        <w:t xml:space="preserve"> </w:t>
      </w:r>
      <w:proofErr w:type="spellStart"/>
      <w:r w:rsidR="00C955F7">
        <w:t>Bulkan</w:t>
      </w:r>
      <w:proofErr w:type="spellEnd"/>
      <w:r w:rsidR="00C955F7">
        <w:t xml:space="preserve">, </w:t>
      </w:r>
      <w:proofErr w:type="spellStart"/>
      <w:r w:rsidR="00C955F7">
        <w:t>Mahjoub</w:t>
      </w:r>
      <w:proofErr w:type="spellEnd"/>
      <w:r w:rsidR="00C955F7">
        <w:t xml:space="preserve"> El </w:t>
      </w:r>
      <w:proofErr w:type="spellStart"/>
      <w:r w:rsidR="00C955F7">
        <w:t>Haiba</w:t>
      </w:r>
      <w:proofErr w:type="spellEnd"/>
      <w:r w:rsidR="00C955F7">
        <w:t xml:space="preserve">, Shuichi </w:t>
      </w:r>
      <w:proofErr w:type="spellStart"/>
      <w:r w:rsidR="00C955F7" w:rsidRPr="00B2629C">
        <w:t>Furuya</w:t>
      </w:r>
      <w:proofErr w:type="spellEnd"/>
      <w:r w:rsidR="00C955F7" w:rsidRPr="00B2629C">
        <w:t xml:space="preserve">, </w:t>
      </w:r>
      <w:r w:rsidR="00C955F7">
        <w:t xml:space="preserve">Marcia V.J </w:t>
      </w:r>
      <w:proofErr w:type="spellStart"/>
      <w:r w:rsidR="00C955F7">
        <w:t>Kran</w:t>
      </w:r>
      <w:proofErr w:type="spellEnd"/>
      <w:r w:rsidR="00C955F7">
        <w:t xml:space="preserve">, </w:t>
      </w:r>
      <w:proofErr w:type="spellStart"/>
      <w:r w:rsidR="00C955F7">
        <w:t>Kobauyah</w:t>
      </w:r>
      <w:proofErr w:type="spellEnd"/>
      <w:r w:rsidR="00C955F7">
        <w:t xml:space="preserve"> </w:t>
      </w:r>
      <w:proofErr w:type="spellStart"/>
      <w:r w:rsidR="00C955F7">
        <w:t>Kpatcha</w:t>
      </w:r>
      <w:proofErr w:type="spellEnd"/>
      <w:r w:rsidR="00C955F7">
        <w:t xml:space="preserve"> </w:t>
      </w:r>
      <w:proofErr w:type="spellStart"/>
      <w:r w:rsidR="00C955F7">
        <w:t>Tchamdja</w:t>
      </w:r>
      <w:proofErr w:type="spellEnd"/>
      <w:r w:rsidR="00C955F7">
        <w:t xml:space="preserve">, </w:t>
      </w:r>
      <w:r w:rsidR="00C955F7" w:rsidRPr="00A06D1D">
        <w:t xml:space="preserve">Carlos </w:t>
      </w:r>
      <w:r w:rsidR="00C955F7">
        <w:t>Gómez</w:t>
      </w:r>
      <w:r w:rsidR="00C955F7" w:rsidRPr="00B2629C">
        <w:t xml:space="preserve"> </w:t>
      </w:r>
      <w:r w:rsidR="00C955F7">
        <w:t xml:space="preserve">Martínez, </w:t>
      </w:r>
      <w:r w:rsidR="00C955F7" w:rsidRPr="00B2629C">
        <w:t xml:space="preserve">Duncan </w:t>
      </w:r>
      <w:proofErr w:type="spellStart"/>
      <w:r w:rsidR="00C955F7" w:rsidRPr="00B2629C">
        <w:t>Laki</w:t>
      </w:r>
      <w:proofErr w:type="spellEnd"/>
      <w:r w:rsidR="00C955F7" w:rsidRPr="00B2629C">
        <w:t xml:space="preserve"> </w:t>
      </w:r>
      <w:proofErr w:type="spellStart"/>
      <w:r w:rsidR="00C955F7" w:rsidRPr="00B2629C">
        <w:t>Muhumuza</w:t>
      </w:r>
      <w:proofErr w:type="spellEnd"/>
      <w:r w:rsidR="00C955F7" w:rsidRPr="00B2629C">
        <w:t xml:space="preserve">, Photini </w:t>
      </w:r>
      <w:proofErr w:type="spellStart"/>
      <w:r w:rsidR="00C955F7" w:rsidRPr="00B2629C">
        <w:t>Pazartzis</w:t>
      </w:r>
      <w:proofErr w:type="spellEnd"/>
      <w:r w:rsidR="00C955F7" w:rsidRPr="00B2629C">
        <w:t xml:space="preserve">, </w:t>
      </w:r>
      <w:proofErr w:type="spellStart"/>
      <w:r w:rsidR="00C955F7">
        <w:t>Hernán</w:t>
      </w:r>
      <w:proofErr w:type="spellEnd"/>
      <w:r w:rsidR="00C955F7">
        <w:t xml:space="preserve"> Quezada, </w:t>
      </w:r>
      <w:proofErr w:type="spellStart"/>
      <w:r w:rsidR="00C955F7" w:rsidRPr="00B2629C">
        <w:t>Vasilka</w:t>
      </w:r>
      <w:proofErr w:type="spellEnd"/>
      <w:r w:rsidR="00C955F7" w:rsidRPr="00B2629C">
        <w:t xml:space="preserve"> </w:t>
      </w:r>
      <w:proofErr w:type="spellStart"/>
      <w:r w:rsidR="00C955F7">
        <w:t>Sancin</w:t>
      </w:r>
      <w:proofErr w:type="spellEnd"/>
      <w:r w:rsidR="00C955F7">
        <w:t xml:space="preserve">, José Manuel Santos </w:t>
      </w:r>
      <w:proofErr w:type="spellStart"/>
      <w:r w:rsidR="00C955F7">
        <w:t>Pais</w:t>
      </w:r>
      <w:proofErr w:type="spellEnd"/>
      <w:r w:rsidR="00C955F7">
        <w:t xml:space="preserve">, </w:t>
      </w:r>
      <w:proofErr w:type="spellStart"/>
      <w:r w:rsidR="00C955F7">
        <w:t>Changrok</w:t>
      </w:r>
      <w:proofErr w:type="spellEnd"/>
      <w:r w:rsidR="00C955F7">
        <w:t xml:space="preserve"> Soh, Hélène </w:t>
      </w:r>
      <w:proofErr w:type="spellStart"/>
      <w:r w:rsidR="00C955F7">
        <w:t>Tigroudja</w:t>
      </w:r>
      <w:proofErr w:type="spellEnd"/>
      <w:r w:rsidR="00C955F7">
        <w:t xml:space="preserve">, </w:t>
      </w:r>
      <w:proofErr w:type="spellStart"/>
      <w:r w:rsidR="00C955F7">
        <w:t>Imeru</w:t>
      </w:r>
      <w:proofErr w:type="spellEnd"/>
      <w:r w:rsidR="00C955F7">
        <w:t xml:space="preserve"> </w:t>
      </w:r>
      <w:proofErr w:type="spellStart"/>
      <w:r w:rsidR="00C955F7">
        <w:t>Tamerat</w:t>
      </w:r>
      <w:proofErr w:type="spellEnd"/>
      <w:r w:rsidR="00C955F7">
        <w:t xml:space="preserve"> </w:t>
      </w:r>
      <w:proofErr w:type="spellStart"/>
      <w:r w:rsidR="00C955F7">
        <w:t>Yigezu</w:t>
      </w:r>
      <w:proofErr w:type="spellEnd"/>
      <w:r w:rsidR="00C955F7">
        <w:t xml:space="preserve">, and Gentian </w:t>
      </w:r>
      <w:proofErr w:type="spellStart"/>
      <w:r w:rsidR="00C955F7">
        <w:t>Zyberi</w:t>
      </w:r>
      <w:proofErr w:type="spellEnd"/>
      <w:r>
        <w:t>.</w:t>
      </w:r>
    </w:p>
  </w:footnote>
  <w:footnote w:id="3">
    <w:p w14:paraId="4B9AA44D" w14:textId="77777777" w:rsidR="00B9295B" w:rsidRPr="00BF04D2" w:rsidRDefault="00B9295B" w:rsidP="00B9295B">
      <w:pPr>
        <w:pStyle w:val="FootnoteText"/>
      </w:pPr>
      <w:r w:rsidRPr="00BF04D2">
        <w:tab/>
      </w:r>
      <w:r w:rsidRPr="00BF04D2">
        <w:rPr>
          <w:rStyle w:val="FootnoteReference"/>
        </w:rPr>
        <w:footnoteRef/>
      </w:r>
      <w:r w:rsidRPr="00BF04D2">
        <w:tab/>
      </w:r>
      <w:r w:rsidR="00A0332C" w:rsidRPr="00BF04D2">
        <w:t>Pursuant to the Law on the Procedure for the Organization and Conduct of Peaceful Assemblies, Meetings, Processions, Pickets and Demonstrations, anyone organizing a peaceful assembly should submit an application to the local executive body requesting authorization to hold such an assembly at least 10 days prior to the intended event. Once the written authorization is received by the organizers, the event is considered “authorized”. All peaceful assemblies held without written authorization are considered “unauthorized”, and their organizers and participants are administratively responsible.</w:t>
      </w:r>
      <w:r w:rsidRPr="00BF04D2">
        <w:t xml:space="preserve"> </w:t>
      </w:r>
    </w:p>
  </w:footnote>
  <w:footnote w:id="4">
    <w:p w14:paraId="4B9AA450" w14:textId="77777777" w:rsidR="00680FFE" w:rsidRPr="00680FFE" w:rsidRDefault="00680FFE">
      <w:pPr>
        <w:pStyle w:val="FootnoteText"/>
      </w:pPr>
      <w:r>
        <w:tab/>
      </w:r>
      <w:r>
        <w:rPr>
          <w:rStyle w:val="FootnoteReference"/>
        </w:rPr>
        <w:footnoteRef/>
      </w:r>
      <w:r w:rsidR="00D17876">
        <w:tab/>
      </w:r>
      <w:r>
        <w:t xml:space="preserve">On </w:t>
      </w:r>
      <w:r w:rsidRPr="001F6DFF">
        <w:t>1 February 2012</w:t>
      </w:r>
      <w:r>
        <w:t xml:space="preserve">, the </w:t>
      </w:r>
      <w:r w:rsidRPr="00281284">
        <w:t>Specialized Inter-District Administrative Court of Almaty</w:t>
      </w:r>
      <w:r>
        <w:t xml:space="preserve"> has </w:t>
      </w:r>
      <w:r w:rsidRPr="00281284">
        <w:t xml:space="preserve">found </w:t>
      </w:r>
      <w:r>
        <w:t xml:space="preserve">the author </w:t>
      </w:r>
      <w:r w:rsidRPr="00281284">
        <w:t xml:space="preserve">guilty of </w:t>
      </w:r>
      <w:r>
        <w:t xml:space="preserve">having committed an </w:t>
      </w:r>
      <w:r w:rsidRPr="00281284">
        <w:t xml:space="preserve">administrative </w:t>
      </w:r>
      <w:r w:rsidRPr="004E4353">
        <w:t>offence under article 373 (1) of the Code of Administrative Offences and sanctioned him</w:t>
      </w:r>
      <w:r>
        <w:t xml:space="preserve"> </w:t>
      </w:r>
      <w:r w:rsidRPr="004E4353">
        <w:t>to a fine in the amount of 20 monthly notional units</w:t>
      </w:r>
      <w:r>
        <w:t>.</w:t>
      </w:r>
    </w:p>
  </w:footnote>
  <w:footnote w:id="5">
    <w:p w14:paraId="4B9AA452" w14:textId="77777777" w:rsidR="009E67F3" w:rsidRPr="009E67F3" w:rsidRDefault="009E67F3">
      <w:pPr>
        <w:pStyle w:val="FootnoteText"/>
      </w:pPr>
      <w:r>
        <w:tab/>
      </w:r>
      <w:r>
        <w:rPr>
          <w:rStyle w:val="FootnoteReference"/>
        </w:rPr>
        <w:footnoteRef/>
      </w:r>
      <w:r>
        <w:tab/>
        <w:t xml:space="preserve">The rally participants were demanding to stop the trial against the protesters in Zhanaozen and </w:t>
      </w:r>
      <w:proofErr w:type="spellStart"/>
      <w:r>
        <w:t>Shetpe</w:t>
      </w:r>
      <w:proofErr w:type="spellEnd"/>
      <w:r>
        <w:t xml:space="preserve">. </w:t>
      </w:r>
    </w:p>
  </w:footnote>
  <w:footnote w:id="6">
    <w:p w14:paraId="4B9AA453" w14:textId="77777777" w:rsidR="006C688B" w:rsidRPr="00A92F50" w:rsidRDefault="006C688B" w:rsidP="006C688B">
      <w:pPr>
        <w:pStyle w:val="FootnoteText"/>
      </w:pPr>
      <w:r>
        <w:tab/>
      </w:r>
      <w:r>
        <w:rPr>
          <w:rStyle w:val="FootnoteReference"/>
        </w:rPr>
        <w:footnoteRef/>
      </w:r>
      <w:r>
        <w:t xml:space="preserve"> </w:t>
      </w:r>
      <w:r>
        <w:tab/>
      </w:r>
      <w:r w:rsidRPr="000F471C">
        <w:rPr>
          <w:szCs w:val="18"/>
        </w:rPr>
        <w:t>Equivalent of a mayor’s office</w:t>
      </w:r>
      <w:r>
        <w:rPr>
          <w:szCs w:val="18"/>
        </w:rPr>
        <w:t xml:space="preserve"> (municipal, district or provincial government)</w:t>
      </w:r>
      <w:r w:rsidRPr="000F471C">
        <w:rPr>
          <w:szCs w:val="18"/>
        </w:rPr>
        <w:t>.</w:t>
      </w:r>
    </w:p>
  </w:footnote>
  <w:footnote w:id="7">
    <w:p w14:paraId="4B9AA454" w14:textId="77777777" w:rsidR="00DC6C4F" w:rsidRPr="00DC6C4F" w:rsidRDefault="00DC6C4F">
      <w:pPr>
        <w:pStyle w:val="FootnoteText"/>
      </w:pPr>
      <w:r>
        <w:tab/>
      </w:r>
      <w:r>
        <w:rPr>
          <w:rStyle w:val="FootnoteReference"/>
        </w:rPr>
        <w:footnoteRef/>
      </w:r>
      <w:r>
        <w:tab/>
        <w:t xml:space="preserve">According to the information available on file, the application was submitted to the </w:t>
      </w:r>
      <w:proofErr w:type="spellStart"/>
      <w:r>
        <w:t>Akimat</w:t>
      </w:r>
      <w:proofErr w:type="spellEnd"/>
      <w:r>
        <w:t xml:space="preserve"> of Almaty on 10 April 2012. It was rejected by the </w:t>
      </w:r>
      <w:proofErr w:type="spellStart"/>
      <w:r>
        <w:t>Akimat</w:t>
      </w:r>
      <w:proofErr w:type="spellEnd"/>
      <w:r>
        <w:t xml:space="preserve"> of Almaty on 20 April 2012. </w:t>
      </w:r>
    </w:p>
  </w:footnote>
  <w:footnote w:id="8">
    <w:p w14:paraId="4B9AA455" w14:textId="77777777" w:rsidR="009F207F" w:rsidRPr="009F207F" w:rsidRDefault="00A674F0">
      <w:pPr>
        <w:pStyle w:val="FootnoteText"/>
      </w:pPr>
      <w:r>
        <w:t xml:space="preserve"> </w:t>
      </w:r>
      <w:r>
        <w:tab/>
      </w:r>
      <w:r w:rsidR="009F207F">
        <w:rPr>
          <w:rStyle w:val="FootnoteReference"/>
        </w:rPr>
        <w:footnoteRef/>
      </w:r>
      <w:r w:rsidR="007600E5">
        <w:tab/>
      </w:r>
      <w:r w:rsidR="009F207F">
        <w:t xml:space="preserve">Article could be accessed on the following link:  </w:t>
      </w:r>
      <w:r w:rsidR="009F207F" w:rsidRPr="009F207F">
        <w:t>https://time.kz/news/</w:t>
      </w:r>
      <w:r w:rsidR="007600E5">
        <w:t>archive/2012/04/25/mitingovat--</w:t>
      </w:r>
      <w:r w:rsidR="009F207F" w:rsidRPr="009F207F">
        <w:t>ne-</w:t>
      </w:r>
      <w:proofErr w:type="spellStart"/>
      <w:r w:rsidR="009F207F" w:rsidRPr="009F207F">
        <w:t>risovat</w:t>
      </w:r>
      <w:proofErr w:type="spellEnd"/>
      <w:r w:rsidR="009F207F">
        <w:t>.</w:t>
      </w:r>
    </w:p>
  </w:footnote>
  <w:footnote w:id="9">
    <w:p w14:paraId="4B9AA456" w14:textId="77777777" w:rsidR="00171DE8" w:rsidRPr="00171DE8" w:rsidRDefault="00A674F0" w:rsidP="007600E5">
      <w:pPr>
        <w:pStyle w:val="FootnoteText"/>
      </w:pPr>
      <w:r>
        <w:tab/>
      </w:r>
      <w:r w:rsidR="00171DE8">
        <w:rPr>
          <w:rStyle w:val="FootnoteReference"/>
        </w:rPr>
        <w:footnoteRef/>
      </w:r>
      <w:r w:rsidR="007600E5">
        <w:tab/>
      </w:r>
      <w:r w:rsidR="00171DE8">
        <w:t>According to the administrative report of 28 April 2012, the author actively participated in the rally and “acted</w:t>
      </w:r>
      <w:r w:rsidR="00171DE8" w:rsidRPr="00171DE8">
        <w:t xml:space="preserve"> </w:t>
      </w:r>
      <w:r w:rsidR="00171DE8">
        <w:t>as its</w:t>
      </w:r>
      <w:r w:rsidR="00171DE8" w:rsidRPr="00171DE8">
        <w:t xml:space="preserve"> organi</w:t>
      </w:r>
      <w:r w:rsidR="00171DE8">
        <w:t>s</w:t>
      </w:r>
      <w:r w:rsidR="00171DE8" w:rsidRPr="00171DE8">
        <w:t>er</w:t>
      </w:r>
      <w:r w:rsidR="00171DE8">
        <w:t xml:space="preserve">”. </w:t>
      </w:r>
    </w:p>
  </w:footnote>
  <w:footnote w:id="10">
    <w:p w14:paraId="4B9AA459" w14:textId="77777777" w:rsidR="002F7242" w:rsidRPr="002F7242" w:rsidRDefault="002F7242" w:rsidP="007600E5">
      <w:pPr>
        <w:pStyle w:val="FootnoteText"/>
      </w:pPr>
      <w:r>
        <w:tab/>
      </w:r>
      <w:r>
        <w:rPr>
          <w:rStyle w:val="FootnoteReference"/>
        </w:rPr>
        <w:footnoteRef/>
      </w:r>
      <w:r w:rsidR="007600E5">
        <w:tab/>
      </w:r>
      <w:r>
        <w:t xml:space="preserve">The Guidelines could be accessed on the following link: </w:t>
      </w:r>
      <w:r w:rsidRPr="002F7242">
        <w:t>https://www.osce.org/files/f/documents/4/0/73405.pdf</w:t>
      </w:r>
      <w:r>
        <w:t>.</w:t>
      </w:r>
    </w:p>
  </w:footnote>
  <w:footnote w:id="11">
    <w:p w14:paraId="4B9AA45A" w14:textId="77777777" w:rsidR="0036258F" w:rsidRPr="0036258F" w:rsidRDefault="0036258F">
      <w:pPr>
        <w:pStyle w:val="FootnoteText"/>
      </w:pPr>
      <w:r>
        <w:tab/>
      </w:r>
      <w:r>
        <w:rPr>
          <w:rStyle w:val="FootnoteReference"/>
        </w:rPr>
        <w:footnoteRef/>
      </w:r>
      <w:r>
        <w:tab/>
        <w:t xml:space="preserve">The State party also refers to article 676 of </w:t>
      </w:r>
      <w:r w:rsidRPr="002F61C4">
        <w:t xml:space="preserve">the </w:t>
      </w:r>
      <w:r w:rsidRPr="00F65FA0">
        <w:t>Code of Administrative Offences</w:t>
      </w:r>
      <w:r>
        <w:t>.</w:t>
      </w:r>
    </w:p>
  </w:footnote>
  <w:footnote w:id="12">
    <w:p w14:paraId="4B9AA45B" w14:textId="77777777" w:rsidR="00547184" w:rsidRPr="00BF04D2" w:rsidRDefault="00547184" w:rsidP="00547184">
      <w:pPr>
        <w:pStyle w:val="FootnoteText"/>
      </w:pPr>
      <w:r w:rsidRPr="00BF04D2">
        <w:tab/>
      </w:r>
      <w:r w:rsidRPr="00BF04D2">
        <w:rPr>
          <w:rStyle w:val="FootnoteReference"/>
        </w:rPr>
        <w:footnoteRef/>
      </w:r>
      <w:r w:rsidRPr="00BF04D2">
        <w:tab/>
      </w:r>
      <w:r>
        <w:t>The e</w:t>
      </w:r>
      <w:r w:rsidRPr="00BF04D2">
        <w:t xml:space="preserve">quivalent of </w:t>
      </w:r>
      <w:r>
        <w:t>a</w:t>
      </w:r>
      <w:r w:rsidRPr="00BF04D2">
        <w:t xml:space="preserve"> city council, </w:t>
      </w:r>
      <w:r>
        <w:t>namely</w:t>
      </w:r>
      <w:r w:rsidRPr="00BF04D2">
        <w:t xml:space="preserve"> </w:t>
      </w:r>
      <w:r w:rsidRPr="00BF04D2">
        <w:rPr>
          <w:szCs w:val="18"/>
        </w:rPr>
        <w:t xml:space="preserve">an elected, local representative body (a local government) in </w:t>
      </w:r>
      <w:r>
        <w:rPr>
          <w:szCs w:val="18"/>
        </w:rPr>
        <w:t xml:space="preserve">the </w:t>
      </w:r>
      <w:r w:rsidRPr="00BF04D2">
        <w:rPr>
          <w:szCs w:val="18"/>
        </w:rPr>
        <w:t>regions and districts of Kazakhstan.</w:t>
      </w:r>
    </w:p>
  </w:footnote>
  <w:footnote w:id="13">
    <w:p w14:paraId="4B9AA45C" w14:textId="77777777" w:rsidR="00B71438" w:rsidRPr="00B71438" w:rsidRDefault="00B71438">
      <w:pPr>
        <w:pStyle w:val="FootnoteText"/>
      </w:pPr>
      <w:r>
        <w:tab/>
      </w:r>
      <w:r>
        <w:rPr>
          <w:rStyle w:val="FootnoteReference"/>
        </w:rPr>
        <w:footnoteRef/>
      </w:r>
      <w:r>
        <w:tab/>
        <w:t xml:space="preserve">A/HRC/29/25/Add.2. Reference is made to paras. 52, </w:t>
      </w:r>
      <w:r w:rsidR="002A3E99">
        <w:t xml:space="preserve">59, 60, 62 – 66. </w:t>
      </w:r>
    </w:p>
  </w:footnote>
  <w:footnote w:id="14">
    <w:p w14:paraId="4B9AA45D" w14:textId="77777777" w:rsidR="003F7CF6" w:rsidRPr="003F7CF6" w:rsidRDefault="003F7CF6">
      <w:pPr>
        <w:pStyle w:val="FootnoteText"/>
      </w:pPr>
      <w:r>
        <w:tab/>
      </w:r>
      <w:r>
        <w:rPr>
          <w:rStyle w:val="FootnoteReference"/>
        </w:rPr>
        <w:footnoteRef/>
      </w:r>
      <w:r>
        <w:tab/>
      </w:r>
      <w:r w:rsidR="00F51EB1">
        <w:t xml:space="preserve">See, </w:t>
      </w:r>
      <w:proofErr w:type="spellStart"/>
      <w:r w:rsidRPr="00F51EB1">
        <w:rPr>
          <w:i/>
        </w:rPr>
        <w:t>Toregozhina</w:t>
      </w:r>
      <w:proofErr w:type="spellEnd"/>
      <w:r w:rsidRPr="00F51EB1">
        <w:rPr>
          <w:i/>
        </w:rPr>
        <w:t xml:space="preserve"> v. Kazakhstan </w:t>
      </w:r>
      <w:r>
        <w:t>(CCPR/C/112/D/2137/2012).</w:t>
      </w:r>
    </w:p>
  </w:footnote>
  <w:footnote w:id="15">
    <w:p w14:paraId="4B9AA45E" w14:textId="77777777" w:rsidR="00EC5BB6" w:rsidRPr="00EC5BB6" w:rsidRDefault="00EC5BB6">
      <w:pPr>
        <w:pStyle w:val="FootnoteText"/>
      </w:pPr>
      <w:r>
        <w:tab/>
      </w:r>
      <w:r>
        <w:rPr>
          <w:rStyle w:val="FootnoteReference"/>
        </w:rPr>
        <w:footnoteRef/>
      </w:r>
      <w:r>
        <w:tab/>
        <w:t xml:space="preserve">Ibid, at para. 9.  </w:t>
      </w:r>
    </w:p>
  </w:footnote>
  <w:footnote w:id="16">
    <w:p w14:paraId="4B9AA45F" w14:textId="77777777" w:rsidR="0023478A" w:rsidRPr="0023478A" w:rsidRDefault="0023478A">
      <w:pPr>
        <w:pStyle w:val="FootnoteText"/>
      </w:pPr>
      <w:r>
        <w:tab/>
      </w:r>
      <w:r>
        <w:rPr>
          <w:rStyle w:val="FootnoteReference"/>
        </w:rPr>
        <w:footnoteRef/>
      </w:r>
      <w:r>
        <w:tab/>
        <w:t xml:space="preserve">The author refers to the precedent in the case of Ms. A.F., where the General Prosecutor’s Office </w:t>
      </w:r>
      <w:r w:rsidRPr="007D136E">
        <w:t>initiat</w:t>
      </w:r>
      <w:r>
        <w:t>ed</w:t>
      </w:r>
      <w:r w:rsidRPr="007D136E">
        <w:t xml:space="preserve"> a supervisory review before the Supreme Court</w:t>
      </w:r>
      <w:r>
        <w:t xml:space="preserve"> on the basis of which the Supreme Court has quashed decisions of the lower courts. He notes, however, that the Supreme Court has not addressed in its decision the issues of </w:t>
      </w:r>
      <w:r w:rsidR="006251F4">
        <w:t xml:space="preserve">Ms. A.F.’s </w:t>
      </w:r>
      <w:r>
        <w:t>rehabilitation</w:t>
      </w:r>
      <w:r w:rsidRPr="0023478A">
        <w:t xml:space="preserve">, effective </w:t>
      </w:r>
      <w:r w:rsidR="00417F39">
        <w:t xml:space="preserve">remedy </w:t>
      </w:r>
      <w:r>
        <w:t>and</w:t>
      </w:r>
      <w:r w:rsidR="00417F39">
        <w:t xml:space="preserve"> bringing </w:t>
      </w:r>
      <w:r w:rsidR="006251F4">
        <w:t>those responsible to justice.</w:t>
      </w:r>
      <w:r>
        <w:t xml:space="preserve"> </w:t>
      </w:r>
    </w:p>
  </w:footnote>
  <w:footnote w:id="17">
    <w:p w14:paraId="4B9AA460" w14:textId="77777777" w:rsidR="00724B41" w:rsidRPr="007600E5" w:rsidRDefault="00724B41" w:rsidP="00724B41">
      <w:pPr>
        <w:pStyle w:val="FootnoteText"/>
        <w:rPr>
          <w:lang w:val="es-ES"/>
        </w:rPr>
      </w:pPr>
      <w:r w:rsidRPr="006253D2">
        <w:tab/>
      </w:r>
      <w:r w:rsidRPr="006253D2">
        <w:rPr>
          <w:rStyle w:val="FootnoteReference"/>
        </w:rPr>
        <w:footnoteRef/>
      </w:r>
      <w:r w:rsidRPr="006253D2">
        <w:tab/>
      </w:r>
      <w:r>
        <w:t xml:space="preserve">See, for example, </w:t>
      </w:r>
      <w:r w:rsidRPr="006253D2">
        <w:rPr>
          <w:i/>
        </w:rPr>
        <w:t>Alekseev v. Russian Federation</w:t>
      </w:r>
      <w:r w:rsidRPr="006253D2">
        <w:t xml:space="preserve"> (CCPR/C/109/D/1873/2009), para. </w:t>
      </w:r>
      <w:r w:rsidRPr="00D45D12">
        <w:rPr>
          <w:lang w:val="es-ES"/>
        </w:rPr>
        <w:t xml:space="preserve">8.4; </w:t>
      </w:r>
      <w:proofErr w:type="spellStart"/>
      <w:r w:rsidRPr="00D45D12">
        <w:rPr>
          <w:i/>
          <w:lang w:val="es-ES"/>
        </w:rPr>
        <w:t>Lozenko</w:t>
      </w:r>
      <w:proofErr w:type="spellEnd"/>
      <w:r w:rsidRPr="00D45D12">
        <w:rPr>
          <w:i/>
          <w:lang w:val="es-ES"/>
        </w:rPr>
        <w:t xml:space="preserve"> v. </w:t>
      </w:r>
      <w:proofErr w:type="spellStart"/>
      <w:r w:rsidRPr="00D45D12">
        <w:rPr>
          <w:i/>
          <w:lang w:val="es-ES"/>
        </w:rPr>
        <w:t>Belarus</w:t>
      </w:r>
      <w:proofErr w:type="spellEnd"/>
      <w:r w:rsidRPr="00D45D12">
        <w:rPr>
          <w:lang w:val="es-ES"/>
        </w:rPr>
        <w:t xml:space="preserve"> (CCPR/C/112/D/1929/2010), para. 6.3; </w:t>
      </w:r>
      <w:proofErr w:type="spellStart"/>
      <w:r w:rsidRPr="00D45D12">
        <w:rPr>
          <w:i/>
          <w:lang w:val="es-ES"/>
        </w:rPr>
        <w:t>Sudalenko</w:t>
      </w:r>
      <w:proofErr w:type="spellEnd"/>
      <w:r w:rsidRPr="00D45D12">
        <w:rPr>
          <w:i/>
          <w:lang w:val="es-ES"/>
        </w:rPr>
        <w:t xml:space="preserve"> v. </w:t>
      </w:r>
      <w:proofErr w:type="spellStart"/>
      <w:r w:rsidRPr="00D45D12">
        <w:rPr>
          <w:i/>
          <w:lang w:val="es-ES"/>
        </w:rPr>
        <w:t>Belarus</w:t>
      </w:r>
      <w:proofErr w:type="spellEnd"/>
      <w:r w:rsidRPr="00D45D12">
        <w:rPr>
          <w:iCs/>
          <w:lang w:val="es-ES"/>
        </w:rPr>
        <w:t xml:space="preserve"> </w:t>
      </w:r>
      <w:r w:rsidRPr="00D45D12">
        <w:rPr>
          <w:lang w:val="es-ES"/>
        </w:rPr>
        <w:t xml:space="preserve">(CCPR/C/115/D/2016/2010), para. </w:t>
      </w:r>
      <w:r w:rsidRPr="007600E5">
        <w:rPr>
          <w:lang w:val="es-ES"/>
        </w:rPr>
        <w:t xml:space="preserve">7.3; </w:t>
      </w:r>
      <w:proofErr w:type="spellStart"/>
      <w:r w:rsidRPr="007600E5">
        <w:rPr>
          <w:i/>
          <w:lang w:val="es-ES"/>
        </w:rPr>
        <w:t>Poplavny</w:t>
      </w:r>
      <w:proofErr w:type="spellEnd"/>
      <w:r w:rsidRPr="007600E5">
        <w:rPr>
          <w:i/>
          <w:lang w:val="es-ES"/>
        </w:rPr>
        <w:t xml:space="preserve"> and </w:t>
      </w:r>
      <w:proofErr w:type="spellStart"/>
      <w:r w:rsidRPr="007600E5">
        <w:rPr>
          <w:i/>
          <w:lang w:val="es-ES"/>
        </w:rPr>
        <w:t>Sudalenko</w:t>
      </w:r>
      <w:proofErr w:type="spellEnd"/>
      <w:r w:rsidRPr="007600E5">
        <w:rPr>
          <w:i/>
          <w:lang w:val="es-ES"/>
        </w:rPr>
        <w:t xml:space="preserve"> v. </w:t>
      </w:r>
      <w:proofErr w:type="spellStart"/>
      <w:r w:rsidRPr="007600E5">
        <w:rPr>
          <w:i/>
          <w:lang w:val="es-ES"/>
        </w:rPr>
        <w:t>Belarus</w:t>
      </w:r>
      <w:proofErr w:type="spellEnd"/>
      <w:r w:rsidRPr="007600E5">
        <w:rPr>
          <w:lang w:val="es-ES"/>
        </w:rPr>
        <w:t xml:space="preserve"> (CCPR/C/118/D/2139/2012), para. 7.3; </w:t>
      </w:r>
      <w:proofErr w:type="spellStart"/>
      <w:r w:rsidR="009C587A" w:rsidRPr="007600E5">
        <w:rPr>
          <w:i/>
          <w:lang w:val="es-ES"/>
        </w:rPr>
        <w:t>Sametbai</w:t>
      </w:r>
      <w:proofErr w:type="spellEnd"/>
      <w:r w:rsidR="009C587A" w:rsidRPr="007600E5">
        <w:rPr>
          <w:i/>
          <w:lang w:val="es-ES"/>
        </w:rPr>
        <w:t xml:space="preserve"> v. </w:t>
      </w:r>
      <w:proofErr w:type="spellStart"/>
      <w:r w:rsidR="009C587A" w:rsidRPr="007600E5">
        <w:rPr>
          <w:i/>
          <w:lang w:val="es-ES"/>
        </w:rPr>
        <w:t>Kazakhstan</w:t>
      </w:r>
      <w:proofErr w:type="spellEnd"/>
      <w:r w:rsidR="009C587A" w:rsidRPr="007600E5">
        <w:rPr>
          <w:lang w:val="es-ES"/>
        </w:rPr>
        <w:t xml:space="preserve"> (CCPR/C/130/D/2418/2014), para. 11.3; </w:t>
      </w:r>
      <w:proofErr w:type="spellStart"/>
      <w:r w:rsidR="007D5A9F" w:rsidRPr="007600E5">
        <w:rPr>
          <w:i/>
          <w:lang w:val="es-ES"/>
        </w:rPr>
        <w:t>Kurtinbaeva</w:t>
      </w:r>
      <w:proofErr w:type="spellEnd"/>
      <w:r w:rsidR="007D5A9F" w:rsidRPr="007600E5">
        <w:rPr>
          <w:i/>
          <w:lang w:val="es-ES"/>
        </w:rPr>
        <w:t xml:space="preserve"> v. </w:t>
      </w:r>
      <w:proofErr w:type="spellStart"/>
      <w:r w:rsidR="007D5A9F" w:rsidRPr="007600E5">
        <w:rPr>
          <w:i/>
          <w:lang w:val="es-ES"/>
        </w:rPr>
        <w:t>Kazakhstan</w:t>
      </w:r>
      <w:proofErr w:type="spellEnd"/>
      <w:r w:rsidR="007D5A9F" w:rsidRPr="007600E5">
        <w:rPr>
          <w:i/>
          <w:lang w:val="es-ES"/>
        </w:rPr>
        <w:t xml:space="preserve"> </w:t>
      </w:r>
      <w:r w:rsidR="007D5A9F" w:rsidRPr="007600E5">
        <w:rPr>
          <w:lang w:val="es-ES"/>
        </w:rPr>
        <w:t>(CCPR/C/130/D/2540/2015), para. 8.3;</w:t>
      </w:r>
      <w:r w:rsidR="007D5A9F" w:rsidRPr="007600E5">
        <w:rPr>
          <w:i/>
          <w:lang w:val="es-ES"/>
        </w:rPr>
        <w:t xml:space="preserve"> </w:t>
      </w:r>
      <w:proofErr w:type="spellStart"/>
      <w:r w:rsidRPr="007600E5">
        <w:rPr>
          <w:i/>
          <w:lang w:val="es-ES"/>
        </w:rPr>
        <w:t>Nurlanuly</w:t>
      </w:r>
      <w:proofErr w:type="spellEnd"/>
      <w:r w:rsidRPr="007600E5">
        <w:rPr>
          <w:i/>
          <w:lang w:val="es-ES"/>
        </w:rPr>
        <w:t xml:space="preserve"> v. </w:t>
      </w:r>
      <w:proofErr w:type="spellStart"/>
      <w:r w:rsidRPr="007600E5">
        <w:rPr>
          <w:i/>
          <w:lang w:val="es-ES"/>
        </w:rPr>
        <w:t>Kazakhstan</w:t>
      </w:r>
      <w:proofErr w:type="spellEnd"/>
      <w:r w:rsidRPr="007600E5">
        <w:rPr>
          <w:lang w:val="es-ES"/>
        </w:rPr>
        <w:t xml:space="preserve"> (CCPR/C/130/D/2546/2015), para. 8.3; </w:t>
      </w:r>
      <w:r w:rsidR="009C587A" w:rsidRPr="007600E5">
        <w:rPr>
          <w:lang w:val="es-ES"/>
        </w:rPr>
        <w:t xml:space="preserve">and </w:t>
      </w:r>
      <w:proofErr w:type="spellStart"/>
      <w:r w:rsidR="0016469E" w:rsidRPr="007600E5">
        <w:rPr>
          <w:i/>
          <w:lang w:val="es-ES"/>
        </w:rPr>
        <w:t>Kulumbetov</w:t>
      </w:r>
      <w:proofErr w:type="spellEnd"/>
      <w:r w:rsidR="0016469E" w:rsidRPr="007600E5">
        <w:rPr>
          <w:i/>
          <w:lang w:val="es-ES"/>
        </w:rPr>
        <w:t xml:space="preserve"> v. </w:t>
      </w:r>
      <w:proofErr w:type="spellStart"/>
      <w:r w:rsidR="0016469E" w:rsidRPr="007600E5">
        <w:rPr>
          <w:i/>
          <w:lang w:val="es-ES"/>
        </w:rPr>
        <w:t>Kazakhstan</w:t>
      </w:r>
      <w:proofErr w:type="spellEnd"/>
      <w:r w:rsidR="0016469E" w:rsidRPr="007600E5">
        <w:rPr>
          <w:lang w:val="es-ES"/>
        </w:rPr>
        <w:t xml:space="preserve"> (CCPR/C/130/D/2547/2015), para. </w:t>
      </w:r>
      <w:r w:rsidR="00655DFB" w:rsidRPr="007600E5">
        <w:rPr>
          <w:lang w:val="es-ES"/>
        </w:rPr>
        <w:t>7.3</w:t>
      </w:r>
      <w:r w:rsidRPr="007600E5">
        <w:rPr>
          <w:lang w:val="es-ES"/>
        </w:rPr>
        <w:t>.</w:t>
      </w:r>
    </w:p>
  </w:footnote>
  <w:footnote w:id="18">
    <w:p w14:paraId="4B9AA461" w14:textId="77777777" w:rsidR="0083089D" w:rsidRPr="00217670" w:rsidRDefault="0083089D" w:rsidP="0083089D">
      <w:pPr>
        <w:pStyle w:val="FootnoteText"/>
        <w:ind w:right="1152"/>
        <w:rPr>
          <w:lang w:val="es-ES"/>
        </w:rPr>
      </w:pPr>
      <w:r w:rsidRPr="007600E5">
        <w:rPr>
          <w:lang w:val="es-ES"/>
        </w:rPr>
        <w:tab/>
      </w:r>
      <w:r w:rsidRPr="0072412E">
        <w:rPr>
          <w:rStyle w:val="FootnoteReference"/>
        </w:rPr>
        <w:footnoteRef/>
      </w:r>
      <w:r w:rsidRPr="007600E5">
        <w:rPr>
          <w:lang w:val="es-ES"/>
        </w:rPr>
        <w:tab/>
        <w:t xml:space="preserve">General </w:t>
      </w:r>
      <w:proofErr w:type="spellStart"/>
      <w:r w:rsidRPr="007600E5">
        <w:rPr>
          <w:lang w:val="es-ES"/>
        </w:rPr>
        <w:t>Comment</w:t>
      </w:r>
      <w:proofErr w:type="spellEnd"/>
      <w:r w:rsidRPr="007600E5">
        <w:rPr>
          <w:lang w:val="es-ES"/>
        </w:rPr>
        <w:t xml:space="preserve"> No. 37</w:t>
      </w:r>
      <w:r w:rsidR="007270CD" w:rsidRPr="007600E5">
        <w:rPr>
          <w:lang w:val="es-ES"/>
        </w:rPr>
        <w:t xml:space="preserve"> </w:t>
      </w:r>
      <w:r w:rsidRPr="007600E5">
        <w:rPr>
          <w:lang w:val="es-ES"/>
        </w:rPr>
        <w:t>(2020), para.1.</w:t>
      </w:r>
    </w:p>
  </w:footnote>
  <w:footnote w:id="19">
    <w:p w14:paraId="4B9AA462" w14:textId="77777777" w:rsidR="0083089D" w:rsidRPr="00217670" w:rsidRDefault="0083089D" w:rsidP="0083089D">
      <w:pPr>
        <w:pStyle w:val="FootnoteText"/>
        <w:rPr>
          <w:szCs w:val="18"/>
          <w:lang w:val="es-ES"/>
        </w:rPr>
      </w:pPr>
      <w:r w:rsidRPr="00217670">
        <w:rPr>
          <w:szCs w:val="18"/>
          <w:lang w:val="es-ES"/>
        </w:rPr>
        <w:tab/>
      </w:r>
      <w:r w:rsidRPr="00037AFF">
        <w:rPr>
          <w:rStyle w:val="FootnoteReference"/>
          <w:szCs w:val="18"/>
        </w:rPr>
        <w:footnoteRef/>
      </w:r>
      <w:r w:rsidRPr="00217670">
        <w:rPr>
          <w:szCs w:val="18"/>
          <w:lang w:val="es-ES"/>
        </w:rPr>
        <w:tab/>
      </w:r>
      <w:proofErr w:type="spellStart"/>
      <w:r w:rsidR="00565E03">
        <w:rPr>
          <w:szCs w:val="18"/>
          <w:lang w:val="es-ES"/>
        </w:rPr>
        <w:t>S</w:t>
      </w:r>
      <w:r>
        <w:rPr>
          <w:szCs w:val="18"/>
          <w:lang w:val="es-ES"/>
        </w:rPr>
        <w:t>ee</w:t>
      </w:r>
      <w:proofErr w:type="spellEnd"/>
      <w:r w:rsidR="00565E03">
        <w:rPr>
          <w:szCs w:val="18"/>
          <w:lang w:val="es-ES"/>
        </w:rPr>
        <w:t>,</w:t>
      </w:r>
      <w:r>
        <w:rPr>
          <w:szCs w:val="18"/>
          <w:lang w:val="es-ES"/>
        </w:rPr>
        <w:t xml:space="preserve"> </w:t>
      </w:r>
      <w:proofErr w:type="spellStart"/>
      <w:r w:rsidRPr="00217670">
        <w:rPr>
          <w:i/>
          <w:iCs/>
          <w:szCs w:val="18"/>
          <w:lang w:val="es-ES"/>
        </w:rPr>
        <w:t>Strizhak</w:t>
      </w:r>
      <w:proofErr w:type="spellEnd"/>
      <w:r w:rsidRPr="00217670">
        <w:rPr>
          <w:i/>
          <w:iCs/>
          <w:szCs w:val="18"/>
          <w:lang w:val="es-ES"/>
        </w:rPr>
        <w:t xml:space="preserve"> v. </w:t>
      </w:r>
      <w:proofErr w:type="spellStart"/>
      <w:r w:rsidRPr="00217670">
        <w:rPr>
          <w:i/>
          <w:iCs/>
          <w:szCs w:val="18"/>
          <w:lang w:val="es-ES"/>
        </w:rPr>
        <w:t>Belarus</w:t>
      </w:r>
      <w:proofErr w:type="spellEnd"/>
      <w:r w:rsidRPr="00217670">
        <w:rPr>
          <w:iCs/>
          <w:szCs w:val="18"/>
          <w:lang w:val="es-ES"/>
        </w:rPr>
        <w:t xml:space="preserve"> (CCPR/C/124/D/2260/2013), para. 6.5</w:t>
      </w:r>
      <w:r w:rsidR="00565E03">
        <w:rPr>
          <w:iCs/>
          <w:szCs w:val="18"/>
          <w:lang w:val="es-ES"/>
        </w:rPr>
        <w:t>;</w:t>
      </w:r>
      <w:r w:rsidR="007D5A9F" w:rsidRPr="007600E5">
        <w:rPr>
          <w:i/>
          <w:lang w:val="es-ES"/>
        </w:rPr>
        <w:t xml:space="preserve"> </w:t>
      </w:r>
      <w:proofErr w:type="spellStart"/>
      <w:r w:rsidR="008F652F" w:rsidRPr="007600E5">
        <w:rPr>
          <w:i/>
          <w:lang w:val="es-ES"/>
        </w:rPr>
        <w:t>Sametbai</w:t>
      </w:r>
      <w:proofErr w:type="spellEnd"/>
      <w:r w:rsidR="008F652F" w:rsidRPr="007600E5">
        <w:rPr>
          <w:i/>
          <w:lang w:val="es-ES"/>
        </w:rPr>
        <w:t xml:space="preserve"> v. </w:t>
      </w:r>
      <w:proofErr w:type="spellStart"/>
      <w:r w:rsidR="008F652F" w:rsidRPr="007600E5">
        <w:rPr>
          <w:i/>
          <w:lang w:val="es-ES"/>
        </w:rPr>
        <w:t>Kazakhstan</w:t>
      </w:r>
      <w:proofErr w:type="spellEnd"/>
      <w:r w:rsidR="008F652F" w:rsidRPr="007600E5">
        <w:rPr>
          <w:lang w:val="es-ES"/>
        </w:rPr>
        <w:t xml:space="preserve"> (CCPR/C/130/D/2418/2014), para. 12.2; </w:t>
      </w:r>
      <w:proofErr w:type="spellStart"/>
      <w:r w:rsidR="007D5A9F" w:rsidRPr="007600E5">
        <w:rPr>
          <w:i/>
          <w:lang w:val="es-ES"/>
        </w:rPr>
        <w:t>Kurtinbaeva</w:t>
      </w:r>
      <w:proofErr w:type="spellEnd"/>
      <w:r w:rsidR="007D5A9F" w:rsidRPr="007600E5">
        <w:rPr>
          <w:i/>
          <w:lang w:val="es-ES"/>
        </w:rPr>
        <w:t xml:space="preserve"> v. </w:t>
      </w:r>
      <w:proofErr w:type="spellStart"/>
      <w:r w:rsidR="007D5A9F" w:rsidRPr="007600E5">
        <w:rPr>
          <w:i/>
          <w:lang w:val="es-ES"/>
        </w:rPr>
        <w:t>Kazakhstan</w:t>
      </w:r>
      <w:proofErr w:type="spellEnd"/>
      <w:r w:rsidR="007D5A9F" w:rsidRPr="007600E5">
        <w:rPr>
          <w:i/>
          <w:lang w:val="es-ES"/>
        </w:rPr>
        <w:t xml:space="preserve"> </w:t>
      </w:r>
      <w:r w:rsidR="007D5A9F" w:rsidRPr="007600E5">
        <w:rPr>
          <w:lang w:val="es-ES"/>
        </w:rPr>
        <w:t>(CCPR/C/130/D/2540/2015), para. 9.2;</w:t>
      </w:r>
      <w:r w:rsidR="00565E03">
        <w:rPr>
          <w:iCs/>
          <w:szCs w:val="18"/>
          <w:lang w:val="es-ES"/>
        </w:rPr>
        <w:t xml:space="preserve"> </w:t>
      </w:r>
      <w:proofErr w:type="spellStart"/>
      <w:r w:rsidR="00565E03" w:rsidRPr="007600E5">
        <w:rPr>
          <w:i/>
          <w:lang w:val="es-ES"/>
        </w:rPr>
        <w:t>Nurlanuly</w:t>
      </w:r>
      <w:proofErr w:type="spellEnd"/>
      <w:r w:rsidR="00565E03" w:rsidRPr="007600E5">
        <w:rPr>
          <w:i/>
          <w:lang w:val="es-ES"/>
        </w:rPr>
        <w:t xml:space="preserve"> v. </w:t>
      </w:r>
      <w:proofErr w:type="spellStart"/>
      <w:r w:rsidR="00565E03" w:rsidRPr="007600E5">
        <w:rPr>
          <w:i/>
          <w:lang w:val="es-ES"/>
        </w:rPr>
        <w:t>Kazakhstan</w:t>
      </w:r>
      <w:proofErr w:type="spellEnd"/>
      <w:r w:rsidR="00565E03" w:rsidRPr="007600E5">
        <w:rPr>
          <w:lang w:val="es-ES"/>
        </w:rPr>
        <w:t xml:space="preserve"> (CCPR/C/130/D/2546/2015), para. 9.2; </w:t>
      </w:r>
      <w:r w:rsidR="008F652F" w:rsidRPr="007600E5">
        <w:rPr>
          <w:lang w:val="es-ES"/>
        </w:rPr>
        <w:t xml:space="preserve">and </w:t>
      </w:r>
      <w:proofErr w:type="spellStart"/>
      <w:r w:rsidR="00655DFB" w:rsidRPr="007600E5">
        <w:rPr>
          <w:i/>
          <w:lang w:val="es-ES"/>
        </w:rPr>
        <w:t>Kulumbetov</w:t>
      </w:r>
      <w:proofErr w:type="spellEnd"/>
      <w:r w:rsidR="00655DFB" w:rsidRPr="007600E5">
        <w:rPr>
          <w:i/>
          <w:lang w:val="es-ES"/>
        </w:rPr>
        <w:t xml:space="preserve"> v. </w:t>
      </w:r>
      <w:proofErr w:type="spellStart"/>
      <w:r w:rsidR="00655DFB" w:rsidRPr="007600E5">
        <w:rPr>
          <w:i/>
          <w:lang w:val="es-ES"/>
        </w:rPr>
        <w:t>Kazakhstan</w:t>
      </w:r>
      <w:proofErr w:type="spellEnd"/>
      <w:r w:rsidR="00655DFB" w:rsidRPr="007600E5">
        <w:rPr>
          <w:lang w:val="es-ES"/>
        </w:rPr>
        <w:t xml:space="preserve"> (CCPR/C/130/D/2547/2015), para. 8.2</w:t>
      </w:r>
      <w:r>
        <w:rPr>
          <w:szCs w:val="18"/>
          <w:lang w:val="es-ES"/>
        </w:rPr>
        <w:t>.</w:t>
      </w:r>
      <w:r w:rsidR="00BA4B5D" w:rsidRPr="007600E5">
        <w:rPr>
          <w:lang w:val="es-ES"/>
        </w:rPr>
        <w:t xml:space="preserve"> </w:t>
      </w:r>
    </w:p>
  </w:footnote>
  <w:footnote w:id="20">
    <w:p w14:paraId="4B9AA463" w14:textId="77777777" w:rsidR="0083089D" w:rsidRPr="00173810" w:rsidRDefault="0083089D" w:rsidP="0083089D">
      <w:pPr>
        <w:pStyle w:val="FootnoteText"/>
      </w:pPr>
      <w:r w:rsidRPr="00217670">
        <w:rPr>
          <w:lang w:val="es-ES"/>
        </w:rPr>
        <w:tab/>
      </w:r>
      <w:r w:rsidRPr="00037AFF">
        <w:rPr>
          <w:rStyle w:val="FootnoteReference"/>
          <w:szCs w:val="18"/>
        </w:rPr>
        <w:footnoteRef/>
      </w:r>
      <w:r w:rsidRPr="00217670">
        <w:rPr>
          <w:lang w:val="es-ES"/>
        </w:rPr>
        <w:tab/>
      </w:r>
      <w:proofErr w:type="spellStart"/>
      <w:r w:rsidRPr="00217670">
        <w:rPr>
          <w:i/>
          <w:lang w:val="es-ES"/>
        </w:rPr>
        <w:t>Gryb</w:t>
      </w:r>
      <w:proofErr w:type="spellEnd"/>
      <w:r w:rsidRPr="00217670">
        <w:rPr>
          <w:i/>
          <w:lang w:val="es-ES"/>
        </w:rPr>
        <w:t xml:space="preserve"> v. </w:t>
      </w:r>
      <w:proofErr w:type="spellStart"/>
      <w:r w:rsidRPr="00217670">
        <w:rPr>
          <w:i/>
          <w:lang w:val="es-ES"/>
        </w:rPr>
        <w:t>Belarus</w:t>
      </w:r>
      <w:proofErr w:type="spellEnd"/>
      <w:r w:rsidRPr="00217670">
        <w:rPr>
          <w:i/>
          <w:lang w:val="es-ES"/>
        </w:rPr>
        <w:t xml:space="preserve"> </w:t>
      </w:r>
      <w:r w:rsidRPr="00217670">
        <w:rPr>
          <w:iCs/>
          <w:lang w:val="es-ES"/>
        </w:rPr>
        <w:t>(</w:t>
      </w:r>
      <w:r w:rsidRPr="00217670">
        <w:rPr>
          <w:lang w:val="es-ES"/>
        </w:rPr>
        <w:t xml:space="preserve">CCPR/C/108/D/1316/2004), para. </w:t>
      </w:r>
      <w:r w:rsidRPr="007600E5">
        <w:rPr>
          <w:lang w:val="es-ES"/>
        </w:rPr>
        <w:t>13.4</w:t>
      </w:r>
      <w:r w:rsidR="00CE496F" w:rsidRPr="007600E5">
        <w:rPr>
          <w:lang w:val="es-ES"/>
        </w:rPr>
        <w:t xml:space="preserve">; </w:t>
      </w:r>
      <w:proofErr w:type="spellStart"/>
      <w:r w:rsidR="00CE496F" w:rsidRPr="007600E5">
        <w:rPr>
          <w:i/>
          <w:lang w:val="es-ES"/>
        </w:rPr>
        <w:t>Sametbai</w:t>
      </w:r>
      <w:proofErr w:type="spellEnd"/>
      <w:r w:rsidR="00CE496F" w:rsidRPr="007600E5">
        <w:rPr>
          <w:i/>
          <w:lang w:val="es-ES"/>
        </w:rPr>
        <w:t xml:space="preserve"> v. </w:t>
      </w:r>
      <w:proofErr w:type="spellStart"/>
      <w:r w:rsidR="00CE496F" w:rsidRPr="007600E5">
        <w:rPr>
          <w:i/>
          <w:lang w:val="es-ES"/>
        </w:rPr>
        <w:t>Kazakhstan</w:t>
      </w:r>
      <w:proofErr w:type="spellEnd"/>
      <w:r w:rsidR="00CE496F" w:rsidRPr="007600E5">
        <w:rPr>
          <w:lang w:val="es-ES"/>
        </w:rPr>
        <w:t xml:space="preserve"> (CCPR/C/130/D/2418/2014), para. 12.2; </w:t>
      </w:r>
      <w:proofErr w:type="spellStart"/>
      <w:r w:rsidR="00CE496F" w:rsidRPr="007600E5">
        <w:rPr>
          <w:i/>
          <w:lang w:val="es-ES"/>
        </w:rPr>
        <w:t>Kurtinbaeva</w:t>
      </w:r>
      <w:proofErr w:type="spellEnd"/>
      <w:r w:rsidR="00CE496F" w:rsidRPr="007600E5">
        <w:rPr>
          <w:i/>
          <w:lang w:val="es-ES"/>
        </w:rPr>
        <w:t xml:space="preserve"> v. </w:t>
      </w:r>
      <w:proofErr w:type="spellStart"/>
      <w:r w:rsidR="00CE496F" w:rsidRPr="007600E5">
        <w:rPr>
          <w:i/>
          <w:lang w:val="es-ES"/>
        </w:rPr>
        <w:t>Kazakhstan</w:t>
      </w:r>
      <w:proofErr w:type="spellEnd"/>
      <w:r w:rsidR="00CE496F" w:rsidRPr="007600E5">
        <w:rPr>
          <w:i/>
          <w:lang w:val="es-ES"/>
        </w:rPr>
        <w:t xml:space="preserve"> </w:t>
      </w:r>
      <w:r w:rsidR="00CE496F" w:rsidRPr="007600E5">
        <w:rPr>
          <w:lang w:val="es-ES"/>
        </w:rPr>
        <w:t>(CCPR/C/130/D/2540/2015), para. 9.2;</w:t>
      </w:r>
      <w:r w:rsidR="00CE496F">
        <w:rPr>
          <w:iCs/>
          <w:szCs w:val="18"/>
          <w:lang w:val="es-ES"/>
        </w:rPr>
        <w:t xml:space="preserve"> </w:t>
      </w:r>
      <w:proofErr w:type="spellStart"/>
      <w:r w:rsidR="00CE496F" w:rsidRPr="007600E5">
        <w:rPr>
          <w:i/>
          <w:lang w:val="es-ES"/>
        </w:rPr>
        <w:t>Nurlanuly</w:t>
      </w:r>
      <w:proofErr w:type="spellEnd"/>
      <w:r w:rsidR="00CE496F" w:rsidRPr="007600E5">
        <w:rPr>
          <w:i/>
          <w:lang w:val="es-ES"/>
        </w:rPr>
        <w:t xml:space="preserve"> v. </w:t>
      </w:r>
      <w:proofErr w:type="spellStart"/>
      <w:r w:rsidR="00CE496F" w:rsidRPr="007600E5">
        <w:rPr>
          <w:i/>
          <w:lang w:val="es-ES"/>
        </w:rPr>
        <w:t>Kazakhstan</w:t>
      </w:r>
      <w:proofErr w:type="spellEnd"/>
      <w:r w:rsidR="00CE496F" w:rsidRPr="007600E5">
        <w:rPr>
          <w:lang w:val="es-ES"/>
        </w:rPr>
        <w:t xml:space="preserve"> (CCPR/C/130/D/2546/2015), para. </w:t>
      </w:r>
      <w:r w:rsidR="00CE496F" w:rsidRPr="00173810">
        <w:t xml:space="preserve">9.2; and </w:t>
      </w:r>
      <w:proofErr w:type="spellStart"/>
      <w:r w:rsidR="00CE496F" w:rsidRPr="00173810">
        <w:rPr>
          <w:i/>
        </w:rPr>
        <w:t>Kulumbetov</w:t>
      </w:r>
      <w:proofErr w:type="spellEnd"/>
      <w:r w:rsidR="00CE496F" w:rsidRPr="00173810">
        <w:rPr>
          <w:i/>
        </w:rPr>
        <w:t xml:space="preserve"> v. Kazakhstan</w:t>
      </w:r>
      <w:r w:rsidR="00CE496F" w:rsidRPr="00173810">
        <w:t xml:space="preserve"> (CCPR/C/130/D/2547/2015), para. 8.2</w:t>
      </w:r>
      <w:r w:rsidRPr="00173810">
        <w:t xml:space="preserve">. </w:t>
      </w:r>
    </w:p>
  </w:footnote>
  <w:footnote w:id="21">
    <w:p w14:paraId="4B9AA464" w14:textId="77777777" w:rsidR="0083089D" w:rsidRPr="00037AFF" w:rsidRDefault="0083089D" w:rsidP="0083089D">
      <w:pPr>
        <w:pStyle w:val="FootnoteText"/>
        <w:rPr>
          <w:szCs w:val="18"/>
        </w:rPr>
      </w:pPr>
      <w:r w:rsidRPr="00173810">
        <w:rPr>
          <w:szCs w:val="18"/>
        </w:rPr>
        <w:tab/>
      </w:r>
      <w:r w:rsidRPr="00037AFF">
        <w:rPr>
          <w:rStyle w:val="FootnoteReference"/>
          <w:szCs w:val="18"/>
        </w:rPr>
        <w:footnoteRef/>
      </w:r>
      <w:r w:rsidRPr="00173810">
        <w:rPr>
          <w:szCs w:val="18"/>
        </w:rPr>
        <w:tab/>
      </w:r>
      <w:proofErr w:type="spellStart"/>
      <w:r w:rsidRPr="00173810">
        <w:rPr>
          <w:i/>
          <w:szCs w:val="18"/>
        </w:rPr>
        <w:t>Chebotareva</w:t>
      </w:r>
      <w:proofErr w:type="spellEnd"/>
      <w:r w:rsidRPr="00173810">
        <w:rPr>
          <w:i/>
          <w:szCs w:val="18"/>
        </w:rPr>
        <w:t xml:space="preserve"> v. Russian Federation</w:t>
      </w:r>
      <w:r w:rsidRPr="00173810">
        <w:rPr>
          <w:szCs w:val="18"/>
        </w:rPr>
        <w:t xml:space="preserve"> (CCPR/C/104/D/1866/2009), para. 9.3</w:t>
      </w:r>
      <w:r w:rsidR="00CD43B7" w:rsidRPr="00173810">
        <w:t xml:space="preserve">; </w:t>
      </w:r>
      <w:proofErr w:type="spellStart"/>
      <w:r w:rsidR="00CD43B7" w:rsidRPr="00173810">
        <w:rPr>
          <w:i/>
        </w:rPr>
        <w:t>Sametbai</w:t>
      </w:r>
      <w:proofErr w:type="spellEnd"/>
      <w:r w:rsidR="00CD43B7" w:rsidRPr="00173810">
        <w:rPr>
          <w:i/>
        </w:rPr>
        <w:t xml:space="preserve"> v. Kazakhstan</w:t>
      </w:r>
      <w:r w:rsidR="00CD43B7" w:rsidRPr="00173810">
        <w:t xml:space="preserve"> (CCPR/C/130/D/2418/2014), para. 12.2; </w:t>
      </w:r>
      <w:proofErr w:type="spellStart"/>
      <w:r w:rsidR="00CD43B7" w:rsidRPr="00173810">
        <w:rPr>
          <w:i/>
        </w:rPr>
        <w:t>Kurtinbaeva</w:t>
      </w:r>
      <w:proofErr w:type="spellEnd"/>
      <w:r w:rsidR="00CD43B7" w:rsidRPr="00173810">
        <w:rPr>
          <w:i/>
        </w:rPr>
        <w:t xml:space="preserve"> v. Kazakhstan </w:t>
      </w:r>
      <w:r w:rsidR="00CD43B7" w:rsidRPr="00173810">
        <w:t>(CCPR/C/130/D/2540/2015), para. 9.2;</w:t>
      </w:r>
      <w:r w:rsidR="00CD43B7" w:rsidRPr="00173810">
        <w:rPr>
          <w:iCs/>
          <w:szCs w:val="18"/>
        </w:rPr>
        <w:t xml:space="preserve"> </w:t>
      </w:r>
      <w:proofErr w:type="spellStart"/>
      <w:r w:rsidR="00CD43B7" w:rsidRPr="00173810">
        <w:rPr>
          <w:i/>
        </w:rPr>
        <w:t>Nurlanuly</w:t>
      </w:r>
      <w:proofErr w:type="spellEnd"/>
      <w:r w:rsidR="00CD43B7" w:rsidRPr="00173810">
        <w:rPr>
          <w:i/>
        </w:rPr>
        <w:t xml:space="preserve"> v. Kazakhstan</w:t>
      </w:r>
      <w:r w:rsidR="00CD43B7" w:rsidRPr="00173810">
        <w:t xml:space="preserve"> (CCPR/C/130/D/2546/2015), para. </w:t>
      </w:r>
      <w:r w:rsidR="00CD43B7" w:rsidRPr="001B06A6">
        <w:t xml:space="preserve">9.2; and </w:t>
      </w:r>
      <w:proofErr w:type="spellStart"/>
      <w:r w:rsidR="00CD43B7" w:rsidRPr="001B06A6">
        <w:rPr>
          <w:i/>
        </w:rPr>
        <w:t>Kulumbetov</w:t>
      </w:r>
      <w:proofErr w:type="spellEnd"/>
      <w:r w:rsidR="00CD43B7" w:rsidRPr="001B06A6">
        <w:rPr>
          <w:i/>
        </w:rPr>
        <w:t xml:space="preserve"> v. Kazakhstan</w:t>
      </w:r>
      <w:r w:rsidR="00CD43B7" w:rsidRPr="001B06A6">
        <w:t xml:space="preserve"> (CCPR/C/130/D/2547/2015), para. </w:t>
      </w:r>
      <w:r w:rsidR="00CD43B7">
        <w:t>8.2</w:t>
      </w:r>
      <w:r w:rsidRPr="00037AFF">
        <w:rPr>
          <w:szCs w:val="18"/>
        </w:rPr>
        <w:t>.</w:t>
      </w:r>
      <w:r w:rsidR="00BA4B5D">
        <w:rPr>
          <w:szCs w:val="18"/>
        </w:rPr>
        <w:t xml:space="preserve"> </w:t>
      </w:r>
    </w:p>
  </w:footnote>
  <w:footnote w:id="22">
    <w:p w14:paraId="4B9AA465" w14:textId="77777777" w:rsidR="0083089D" w:rsidRPr="00217670" w:rsidRDefault="0083089D" w:rsidP="0083089D">
      <w:pPr>
        <w:pStyle w:val="FootnoteText"/>
        <w:rPr>
          <w:szCs w:val="18"/>
          <w:lang w:val="es-ES"/>
        </w:rPr>
      </w:pPr>
      <w:r w:rsidRPr="00037AFF">
        <w:rPr>
          <w:szCs w:val="18"/>
        </w:rPr>
        <w:tab/>
      </w:r>
      <w:r w:rsidRPr="00037AFF">
        <w:rPr>
          <w:rStyle w:val="FootnoteReference"/>
          <w:szCs w:val="18"/>
        </w:rPr>
        <w:footnoteRef/>
      </w:r>
      <w:r w:rsidRPr="00037AFF">
        <w:rPr>
          <w:szCs w:val="18"/>
        </w:rPr>
        <w:tab/>
      </w:r>
      <w:proofErr w:type="spellStart"/>
      <w:r w:rsidRPr="00037AFF">
        <w:rPr>
          <w:i/>
          <w:szCs w:val="18"/>
        </w:rPr>
        <w:t>Turchenyak</w:t>
      </w:r>
      <w:proofErr w:type="spellEnd"/>
      <w:r w:rsidRPr="00037AFF">
        <w:rPr>
          <w:i/>
          <w:szCs w:val="18"/>
        </w:rPr>
        <w:t xml:space="preserve"> and others v. Belarus</w:t>
      </w:r>
      <w:r w:rsidRPr="00037AFF">
        <w:rPr>
          <w:szCs w:val="18"/>
        </w:rPr>
        <w:t xml:space="preserve"> (CCPR/C/108/D/1948/2010 and Corr.1), para. </w:t>
      </w:r>
      <w:r w:rsidRPr="007600E5">
        <w:rPr>
          <w:szCs w:val="18"/>
        </w:rPr>
        <w:t>7.4</w:t>
      </w:r>
      <w:r w:rsidR="00CD43B7">
        <w:t xml:space="preserve">; </w:t>
      </w:r>
      <w:proofErr w:type="spellStart"/>
      <w:r w:rsidR="00CD43B7" w:rsidRPr="00AF1E60">
        <w:rPr>
          <w:i/>
        </w:rPr>
        <w:t>Sametbai</w:t>
      </w:r>
      <w:proofErr w:type="spellEnd"/>
      <w:r w:rsidR="00CD43B7" w:rsidRPr="00AF1E60">
        <w:rPr>
          <w:i/>
        </w:rPr>
        <w:t xml:space="preserve"> v. Kazakhstan</w:t>
      </w:r>
      <w:r w:rsidR="00CD43B7">
        <w:t xml:space="preserve"> (CCPR/C/</w:t>
      </w:r>
      <w:r w:rsidR="00CD43B7" w:rsidRPr="00CF45E2">
        <w:t>1</w:t>
      </w:r>
      <w:r w:rsidR="00CD43B7">
        <w:t>30</w:t>
      </w:r>
      <w:r w:rsidR="00CD43B7" w:rsidRPr="00CF45E2">
        <w:t>/D/2418/2014</w:t>
      </w:r>
      <w:r w:rsidR="00CD43B7">
        <w:t xml:space="preserve">), para. 12.2; </w:t>
      </w:r>
      <w:proofErr w:type="spellStart"/>
      <w:r w:rsidR="00CD43B7" w:rsidRPr="007D5A9F">
        <w:rPr>
          <w:i/>
        </w:rPr>
        <w:t>Kurtinbaeva</w:t>
      </w:r>
      <w:proofErr w:type="spellEnd"/>
      <w:r w:rsidR="00CD43B7" w:rsidRPr="00AF1E60">
        <w:rPr>
          <w:i/>
        </w:rPr>
        <w:t xml:space="preserve"> </w:t>
      </w:r>
      <w:r w:rsidR="00CD43B7">
        <w:rPr>
          <w:i/>
        </w:rPr>
        <w:t xml:space="preserve">v. Kazakhstan </w:t>
      </w:r>
      <w:r w:rsidR="00CD43B7">
        <w:t>(CCPR/C/130/D/2540/2015), para. 9.2;</w:t>
      </w:r>
      <w:r w:rsidR="00CD43B7" w:rsidRPr="007600E5">
        <w:rPr>
          <w:iCs/>
          <w:szCs w:val="18"/>
        </w:rPr>
        <w:t xml:space="preserve"> </w:t>
      </w:r>
      <w:proofErr w:type="spellStart"/>
      <w:r w:rsidR="00CD43B7" w:rsidRPr="00AF1E60">
        <w:rPr>
          <w:i/>
        </w:rPr>
        <w:t>Nurlanuly</w:t>
      </w:r>
      <w:proofErr w:type="spellEnd"/>
      <w:r w:rsidR="00CD43B7" w:rsidRPr="00AF1E60">
        <w:rPr>
          <w:i/>
        </w:rPr>
        <w:t xml:space="preserve"> v. Kazakhstan</w:t>
      </w:r>
      <w:r w:rsidR="00CD43B7">
        <w:t xml:space="preserve"> (CCPR/C/130/D/2546/2015), para. 9.2; and </w:t>
      </w:r>
      <w:proofErr w:type="spellStart"/>
      <w:r w:rsidR="00CD43B7" w:rsidRPr="00655DFB">
        <w:rPr>
          <w:i/>
        </w:rPr>
        <w:t>Kulumbetov</w:t>
      </w:r>
      <w:proofErr w:type="spellEnd"/>
      <w:r w:rsidR="00CD43B7" w:rsidRPr="00655DFB">
        <w:rPr>
          <w:i/>
        </w:rPr>
        <w:t xml:space="preserve"> v. Kazakhstan</w:t>
      </w:r>
      <w:r w:rsidR="00CD43B7">
        <w:t xml:space="preserve"> (CCPR/C/130/D/2547/2015), para. </w:t>
      </w:r>
      <w:r w:rsidR="00CD43B7" w:rsidRPr="007600E5">
        <w:rPr>
          <w:lang w:val="es-ES"/>
        </w:rPr>
        <w:t>8.2</w:t>
      </w:r>
      <w:r w:rsidRPr="00217670">
        <w:rPr>
          <w:szCs w:val="18"/>
          <w:lang w:val="es-ES"/>
        </w:rPr>
        <w:t>.</w:t>
      </w:r>
      <w:r w:rsidR="00BA4B5D">
        <w:rPr>
          <w:szCs w:val="18"/>
          <w:lang w:val="es-ES"/>
        </w:rPr>
        <w:t xml:space="preserve"> </w:t>
      </w:r>
    </w:p>
  </w:footnote>
  <w:footnote w:id="23">
    <w:p w14:paraId="4B9AA466" w14:textId="77777777" w:rsidR="0083089D" w:rsidRPr="00217670" w:rsidRDefault="0083089D" w:rsidP="0083089D">
      <w:pPr>
        <w:pStyle w:val="FootnoteText"/>
        <w:rPr>
          <w:lang w:val="es-ES"/>
        </w:rPr>
      </w:pPr>
      <w:r w:rsidRPr="00217670">
        <w:rPr>
          <w:lang w:val="es-ES"/>
        </w:rPr>
        <w:tab/>
      </w:r>
      <w:r>
        <w:rPr>
          <w:rStyle w:val="FootnoteReference"/>
        </w:rPr>
        <w:footnoteRef/>
      </w:r>
      <w:r w:rsidRPr="00217670">
        <w:rPr>
          <w:lang w:val="es-ES"/>
        </w:rPr>
        <w:t xml:space="preserve"> </w:t>
      </w:r>
      <w:r w:rsidRPr="00217670">
        <w:rPr>
          <w:lang w:val="es-ES"/>
        </w:rPr>
        <w:tab/>
        <w:t xml:space="preserve">General </w:t>
      </w:r>
      <w:proofErr w:type="spellStart"/>
      <w:r w:rsidRPr="00217670">
        <w:rPr>
          <w:lang w:val="es-ES"/>
        </w:rPr>
        <w:t>Comment</w:t>
      </w:r>
      <w:proofErr w:type="spellEnd"/>
      <w:r w:rsidRPr="00217670">
        <w:rPr>
          <w:lang w:val="es-ES"/>
        </w:rPr>
        <w:t xml:space="preserve"> No. 37</w:t>
      </w:r>
      <w:r w:rsidR="007545D7">
        <w:rPr>
          <w:lang w:val="es-ES"/>
        </w:rPr>
        <w:t xml:space="preserve"> </w:t>
      </w:r>
      <w:r w:rsidRPr="00217670">
        <w:rPr>
          <w:lang w:val="es-ES"/>
        </w:rPr>
        <w:t>(2020), para. 36.</w:t>
      </w:r>
    </w:p>
  </w:footnote>
  <w:footnote w:id="24">
    <w:p w14:paraId="4B9AA467" w14:textId="77777777" w:rsidR="0083089D" w:rsidRPr="00217670" w:rsidRDefault="0083089D" w:rsidP="0083089D">
      <w:pPr>
        <w:pStyle w:val="FootnoteText"/>
        <w:rPr>
          <w:szCs w:val="18"/>
          <w:lang w:val="es-ES"/>
        </w:rPr>
      </w:pPr>
      <w:r w:rsidRPr="00217670">
        <w:rPr>
          <w:szCs w:val="18"/>
          <w:lang w:val="es-ES"/>
        </w:rPr>
        <w:tab/>
      </w:r>
      <w:r w:rsidRPr="00531C92">
        <w:rPr>
          <w:rStyle w:val="FootnoteReference"/>
          <w:szCs w:val="18"/>
        </w:rPr>
        <w:footnoteRef/>
      </w:r>
      <w:r w:rsidRPr="00217670">
        <w:rPr>
          <w:szCs w:val="18"/>
          <w:lang w:val="es-ES"/>
        </w:rPr>
        <w:tab/>
        <w:t xml:space="preserve">CCPR/C/MAR/CO/6, para. 45; CCPR/C/GMB/CO/2, para. </w:t>
      </w:r>
      <w:r w:rsidRPr="00531C92">
        <w:rPr>
          <w:szCs w:val="18"/>
        </w:rPr>
        <w:t xml:space="preserve">41; </w:t>
      </w:r>
      <w:r>
        <w:rPr>
          <w:szCs w:val="18"/>
        </w:rPr>
        <w:t xml:space="preserve">and </w:t>
      </w:r>
      <w:r w:rsidRPr="00531C92">
        <w:rPr>
          <w:szCs w:val="18"/>
        </w:rPr>
        <w:t xml:space="preserve">ACHPR, </w:t>
      </w:r>
      <w:r w:rsidRPr="0007589E">
        <w:rPr>
          <w:i/>
          <w:szCs w:val="18"/>
        </w:rPr>
        <w:t>Guidelines on Freedom of Association and Assembly in Africa</w:t>
      </w:r>
      <w:r w:rsidRPr="00531C92">
        <w:rPr>
          <w:szCs w:val="18"/>
        </w:rPr>
        <w:t xml:space="preserve">, para. </w:t>
      </w:r>
      <w:r w:rsidRPr="00217670">
        <w:rPr>
          <w:szCs w:val="18"/>
          <w:lang w:val="es-ES"/>
        </w:rPr>
        <w:t>71.</w:t>
      </w:r>
    </w:p>
  </w:footnote>
  <w:footnote w:id="25">
    <w:p w14:paraId="4B9AA468" w14:textId="77777777" w:rsidR="0083089D" w:rsidRPr="00217670" w:rsidRDefault="0083089D" w:rsidP="0083089D">
      <w:pPr>
        <w:pStyle w:val="FootnoteText"/>
        <w:rPr>
          <w:lang w:val="es-ES"/>
        </w:rPr>
      </w:pPr>
      <w:r w:rsidRPr="00217670">
        <w:rPr>
          <w:lang w:val="es-ES"/>
        </w:rPr>
        <w:tab/>
      </w:r>
      <w:r w:rsidRPr="00531C92">
        <w:rPr>
          <w:rStyle w:val="FootnoteReference"/>
          <w:szCs w:val="18"/>
        </w:rPr>
        <w:footnoteRef/>
      </w:r>
      <w:r w:rsidRPr="00217670">
        <w:rPr>
          <w:lang w:val="es-ES"/>
        </w:rPr>
        <w:tab/>
      </w:r>
      <w:proofErr w:type="spellStart"/>
      <w:r w:rsidRPr="00011BDF">
        <w:rPr>
          <w:i/>
          <w:lang w:val="es-ES"/>
        </w:rPr>
        <w:t>Poliakov</w:t>
      </w:r>
      <w:proofErr w:type="spellEnd"/>
      <w:r w:rsidRPr="00011BDF">
        <w:rPr>
          <w:i/>
          <w:lang w:val="es-ES"/>
        </w:rPr>
        <w:t xml:space="preserve"> v. </w:t>
      </w:r>
      <w:proofErr w:type="spellStart"/>
      <w:r w:rsidRPr="00011BDF">
        <w:rPr>
          <w:i/>
          <w:lang w:val="es-ES"/>
        </w:rPr>
        <w:t>Belarus</w:t>
      </w:r>
      <w:proofErr w:type="spellEnd"/>
      <w:r w:rsidRPr="00217670">
        <w:rPr>
          <w:lang w:val="es-ES"/>
        </w:rPr>
        <w:t>, para. 8.3.</w:t>
      </w:r>
    </w:p>
  </w:footnote>
  <w:footnote w:id="26">
    <w:p w14:paraId="4B9AA469" w14:textId="77777777" w:rsidR="0083089D" w:rsidRPr="00217670" w:rsidRDefault="0083089D" w:rsidP="0083089D">
      <w:pPr>
        <w:pStyle w:val="FootnoteText"/>
        <w:rPr>
          <w:lang w:val="es-ES"/>
        </w:rPr>
      </w:pPr>
      <w:r w:rsidRPr="00217670">
        <w:rPr>
          <w:lang w:val="es-ES"/>
        </w:rPr>
        <w:tab/>
      </w:r>
      <w:r w:rsidRPr="00531C92">
        <w:rPr>
          <w:rStyle w:val="FootnoteReference"/>
          <w:szCs w:val="18"/>
        </w:rPr>
        <w:footnoteRef/>
      </w:r>
      <w:r w:rsidRPr="00217670">
        <w:rPr>
          <w:lang w:val="es-ES"/>
        </w:rPr>
        <w:tab/>
      </w:r>
      <w:r w:rsidRPr="004C6930">
        <w:rPr>
          <w:lang w:val="es-ES"/>
        </w:rPr>
        <w:t xml:space="preserve">General </w:t>
      </w:r>
      <w:proofErr w:type="spellStart"/>
      <w:r w:rsidRPr="004C6930">
        <w:rPr>
          <w:lang w:val="es-ES"/>
        </w:rPr>
        <w:t>Comment</w:t>
      </w:r>
      <w:proofErr w:type="spellEnd"/>
      <w:r w:rsidRPr="004C6930">
        <w:rPr>
          <w:lang w:val="es-ES"/>
        </w:rPr>
        <w:t xml:space="preserve"> No. 37</w:t>
      </w:r>
      <w:r w:rsidR="00BD3C80">
        <w:rPr>
          <w:lang w:val="es-ES"/>
        </w:rPr>
        <w:t xml:space="preserve"> </w:t>
      </w:r>
      <w:r w:rsidRPr="004C6930">
        <w:rPr>
          <w:lang w:val="es-ES"/>
        </w:rPr>
        <w:t>(20</w:t>
      </w:r>
      <w:r>
        <w:rPr>
          <w:lang w:val="es-ES"/>
        </w:rPr>
        <w:t xml:space="preserve">20), para. 73, </w:t>
      </w:r>
      <w:r w:rsidRPr="00217670">
        <w:rPr>
          <w:lang w:val="es-ES"/>
        </w:rPr>
        <w:t>CCPR/C/JOR/CO/5, para. 32.</w:t>
      </w:r>
    </w:p>
  </w:footnote>
  <w:footnote w:id="27">
    <w:p w14:paraId="4B9AA46A" w14:textId="77777777" w:rsidR="0083089D" w:rsidRPr="00217670" w:rsidRDefault="0083089D" w:rsidP="0083089D">
      <w:pPr>
        <w:pStyle w:val="FootnoteText"/>
        <w:rPr>
          <w:lang w:val="es-ES"/>
        </w:rPr>
      </w:pPr>
      <w:r w:rsidRPr="00217670">
        <w:rPr>
          <w:lang w:val="es-ES"/>
        </w:rPr>
        <w:tab/>
      </w:r>
      <w:r w:rsidRPr="00037AFF">
        <w:rPr>
          <w:rStyle w:val="FootnoteReference"/>
          <w:szCs w:val="18"/>
        </w:rPr>
        <w:footnoteRef/>
      </w:r>
      <w:r w:rsidRPr="00217670">
        <w:rPr>
          <w:lang w:val="es-ES"/>
        </w:rPr>
        <w:tab/>
      </w:r>
      <w:proofErr w:type="spellStart"/>
      <w:r w:rsidRPr="00011BDF">
        <w:rPr>
          <w:i/>
          <w:lang w:val="es-ES"/>
        </w:rPr>
        <w:t>Stambrovsky</w:t>
      </w:r>
      <w:proofErr w:type="spellEnd"/>
      <w:r w:rsidRPr="00011BDF">
        <w:rPr>
          <w:i/>
          <w:lang w:val="es-ES"/>
        </w:rPr>
        <w:t xml:space="preserve"> v. </w:t>
      </w:r>
      <w:proofErr w:type="spellStart"/>
      <w:r w:rsidRPr="00011BDF">
        <w:rPr>
          <w:i/>
          <w:lang w:val="es-ES"/>
        </w:rPr>
        <w:t>Be</w:t>
      </w:r>
      <w:r w:rsidRPr="00217670">
        <w:rPr>
          <w:i/>
          <w:lang w:val="es-ES"/>
        </w:rPr>
        <w:t>larus</w:t>
      </w:r>
      <w:proofErr w:type="spellEnd"/>
      <w:r w:rsidRPr="00217670">
        <w:rPr>
          <w:lang w:val="es-ES"/>
        </w:rPr>
        <w:t xml:space="preserve"> (CCPR/C/112/D/1987/2010), para. 7.6; </w:t>
      </w:r>
      <w:proofErr w:type="spellStart"/>
      <w:r w:rsidRPr="00217670">
        <w:rPr>
          <w:i/>
          <w:lang w:val="es-ES"/>
        </w:rPr>
        <w:t>Pugach</w:t>
      </w:r>
      <w:proofErr w:type="spellEnd"/>
      <w:r w:rsidRPr="00217670">
        <w:rPr>
          <w:i/>
          <w:lang w:val="es-ES"/>
        </w:rPr>
        <w:t xml:space="preserve"> v. </w:t>
      </w:r>
      <w:proofErr w:type="spellStart"/>
      <w:r w:rsidRPr="00217670">
        <w:rPr>
          <w:i/>
          <w:lang w:val="es-ES"/>
        </w:rPr>
        <w:t>Belarus</w:t>
      </w:r>
      <w:proofErr w:type="spellEnd"/>
      <w:r w:rsidRPr="00217670">
        <w:rPr>
          <w:lang w:val="es-ES"/>
        </w:rPr>
        <w:t xml:space="preserve"> (CCPR/C/114/D/1984/2010), para. 7.8.</w:t>
      </w:r>
    </w:p>
  </w:footnote>
  <w:footnote w:id="28">
    <w:p w14:paraId="4B9AA46B" w14:textId="77777777" w:rsidR="0083089D" w:rsidRPr="00217670" w:rsidRDefault="0083089D" w:rsidP="0083089D">
      <w:pPr>
        <w:pStyle w:val="FootnoteText"/>
        <w:rPr>
          <w:szCs w:val="18"/>
          <w:lang w:val="es-ES"/>
        </w:rPr>
      </w:pPr>
      <w:r w:rsidRPr="00217670">
        <w:rPr>
          <w:szCs w:val="18"/>
          <w:lang w:val="es-ES"/>
        </w:rPr>
        <w:tab/>
      </w:r>
      <w:r w:rsidRPr="00037AFF">
        <w:rPr>
          <w:rStyle w:val="FootnoteReference"/>
          <w:szCs w:val="18"/>
        </w:rPr>
        <w:footnoteRef/>
      </w:r>
      <w:r w:rsidRPr="00217670">
        <w:rPr>
          <w:szCs w:val="18"/>
          <w:lang w:val="es-ES"/>
        </w:rPr>
        <w:tab/>
      </w:r>
      <w:r w:rsidRPr="00B50620">
        <w:rPr>
          <w:szCs w:val="18"/>
          <w:lang w:val="es-ES"/>
        </w:rPr>
        <w:t xml:space="preserve">Siracusa </w:t>
      </w:r>
      <w:proofErr w:type="spellStart"/>
      <w:r w:rsidRPr="00B50620">
        <w:rPr>
          <w:szCs w:val="18"/>
          <w:lang w:val="es-ES"/>
        </w:rPr>
        <w:t>Principles</w:t>
      </w:r>
      <w:proofErr w:type="spellEnd"/>
      <w:r w:rsidRPr="00B50620">
        <w:rPr>
          <w:szCs w:val="18"/>
          <w:lang w:val="es-ES"/>
        </w:rPr>
        <w:t>., para. 22.</w:t>
      </w:r>
    </w:p>
  </w:footnote>
  <w:footnote w:id="29">
    <w:p w14:paraId="4B9AA46C" w14:textId="77777777" w:rsidR="0083089D" w:rsidRPr="00217670" w:rsidRDefault="0083089D" w:rsidP="0083089D">
      <w:pPr>
        <w:pStyle w:val="FootnoteText"/>
        <w:rPr>
          <w:szCs w:val="18"/>
          <w:lang w:val="es-ES"/>
        </w:rPr>
      </w:pPr>
      <w:r w:rsidRPr="00217670">
        <w:rPr>
          <w:szCs w:val="18"/>
          <w:lang w:val="es-ES"/>
        </w:rPr>
        <w:tab/>
      </w:r>
      <w:r w:rsidRPr="00037AFF">
        <w:rPr>
          <w:rStyle w:val="FootnoteReference"/>
          <w:szCs w:val="18"/>
        </w:rPr>
        <w:footnoteRef/>
      </w:r>
      <w:r w:rsidRPr="00217670">
        <w:rPr>
          <w:szCs w:val="18"/>
          <w:lang w:val="es-ES"/>
        </w:rPr>
        <w:tab/>
        <w:t>CCPR/C/KAZ/CO/1, para. 26; CCPR/C/DZA/CO/4, para. 45.</w:t>
      </w:r>
    </w:p>
  </w:footnote>
  <w:footnote w:id="30">
    <w:p w14:paraId="4B9AA46D" w14:textId="77777777" w:rsidR="0083089D" w:rsidRPr="00217670" w:rsidRDefault="0083089D" w:rsidP="0083089D">
      <w:pPr>
        <w:pStyle w:val="FootnoteText"/>
        <w:rPr>
          <w:lang w:val="es-ES"/>
        </w:rPr>
      </w:pPr>
      <w:r w:rsidRPr="00217670">
        <w:rPr>
          <w:lang w:val="es-ES"/>
        </w:rPr>
        <w:tab/>
      </w:r>
      <w:r>
        <w:rPr>
          <w:rStyle w:val="FootnoteReference"/>
        </w:rPr>
        <w:footnoteRef/>
      </w:r>
      <w:r w:rsidRPr="00217670">
        <w:rPr>
          <w:lang w:val="es-ES"/>
        </w:rPr>
        <w:tab/>
        <w:t xml:space="preserve">General </w:t>
      </w:r>
      <w:proofErr w:type="spellStart"/>
      <w:r w:rsidRPr="00217670">
        <w:rPr>
          <w:lang w:val="es-ES"/>
        </w:rPr>
        <w:t>Comment</w:t>
      </w:r>
      <w:proofErr w:type="spellEnd"/>
      <w:r w:rsidRPr="00217670">
        <w:rPr>
          <w:lang w:val="es-ES"/>
        </w:rPr>
        <w:t xml:space="preserve"> No. 37 (2020), para. 44.</w:t>
      </w:r>
    </w:p>
  </w:footnote>
  <w:footnote w:id="31">
    <w:p w14:paraId="4B9AA46E" w14:textId="77777777" w:rsidR="0083089D" w:rsidRPr="00217670" w:rsidRDefault="0083089D" w:rsidP="0083089D">
      <w:pPr>
        <w:pStyle w:val="FootnoteText"/>
        <w:rPr>
          <w:lang w:val="es-ES"/>
        </w:rPr>
      </w:pPr>
      <w:r w:rsidRPr="00217670">
        <w:rPr>
          <w:lang w:val="es-ES"/>
        </w:rPr>
        <w:tab/>
      </w:r>
      <w:r w:rsidRPr="00037AFF">
        <w:rPr>
          <w:rStyle w:val="FootnoteReference"/>
          <w:szCs w:val="18"/>
        </w:rPr>
        <w:footnoteRef/>
      </w:r>
      <w:r w:rsidRPr="00217670">
        <w:rPr>
          <w:lang w:val="es-ES"/>
        </w:rPr>
        <w:tab/>
      </w:r>
      <w:proofErr w:type="spellStart"/>
      <w:r>
        <w:rPr>
          <w:lang w:val="es-ES"/>
        </w:rPr>
        <w:t>Ibid</w:t>
      </w:r>
      <w:proofErr w:type="spellEnd"/>
      <w:r w:rsidRPr="00217670">
        <w:rPr>
          <w:lang w:val="es-ES"/>
        </w:rPr>
        <w:t>, para. 40.</w:t>
      </w:r>
    </w:p>
  </w:footnote>
  <w:footnote w:id="32">
    <w:p w14:paraId="4B9AA46F" w14:textId="77777777" w:rsidR="0083089D" w:rsidRPr="007600E5" w:rsidRDefault="0083089D" w:rsidP="0083089D">
      <w:pPr>
        <w:pStyle w:val="FootnoteText"/>
        <w:rPr>
          <w:lang w:val="es-ES"/>
        </w:rPr>
      </w:pPr>
      <w:r w:rsidRPr="00217670">
        <w:rPr>
          <w:lang w:val="es-ES"/>
        </w:rPr>
        <w:tab/>
      </w:r>
      <w:r w:rsidRPr="00037AFF">
        <w:rPr>
          <w:rStyle w:val="FootnoteReference"/>
        </w:rPr>
        <w:footnoteRef/>
      </w:r>
      <w:r w:rsidRPr="00217670">
        <w:rPr>
          <w:lang w:val="es-ES"/>
        </w:rPr>
        <w:tab/>
      </w:r>
      <w:proofErr w:type="spellStart"/>
      <w:r w:rsidRPr="00217670">
        <w:rPr>
          <w:i/>
          <w:szCs w:val="18"/>
          <w:lang w:val="es-ES"/>
        </w:rPr>
        <w:t>Toregozhina</w:t>
      </w:r>
      <w:proofErr w:type="spellEnd"/>
      <w:r w:rsidRPr="00217670">
        <w:rPr>
          <w:i/>
          <w:szCs w:val="18"/>
          <w:lang w:val="es-ES"/>
        </w:rPr>
        <w:t xml:space="preserve"> v. </w:t>
      </w:r>
      <w:proofErr w:type="spellStart"/>
      <w:r w:rsidRPr="00217670">
        <w:rPr>
          <w:i/>
          <w:szCs w:val="18"/>
          <w:lang w:val="es-ES"/>
        </w:rPr>
        <w:t>Kazakhstan</w:t>
      </w:r>
      <w:proofErr w:type="spellEnd"/>
      <w:r w:rsidRPr="00217670">
        <w:rPr>
          <w:szCs w:val="18"/>
          <w:lang w:val="es-ES"/>
        </w:rPr>
        <w:t xml:space="preserve"> (CCPR/C/112/D/2137/2012), para. </w:t>
      </w:r>
      <w:r w:rsidRPr="007600E5">
        <w:rPr>
          <w:szCs w:val="18"/>
          <w:lang w:val="es-ES"/>
        </w:rPr>
        <w:t>7.4.</w:t>
      </w:r>
    </w:p>
  </w:footnote>
  <w:footnote w:id="33">
    <w:p w14:paraId="4B9AA470" w14:textId="77777777" w:rsidR="0083089D" w:rsidRPr="007600E5" w:rsidRDefault="0083089D" w:rsidP="0083089D">
      <w:pPr>
        <w:pStyle w:val="FootnoteText"/>
        <w:jc w:val="both"/>
        <w:rPr>
          <w:szCs w:val="18"/>
          <w:lang w:val="es-ES"/>
        </w:rPr>
      </w:pPr>
      <w:r w:rsidRPr="007600E5">
        <w:rPr>
          <w:szCs w:val="18"/>
          <w:lang w:val="es-ES"/>
        </w:rPr>
        <w:tab/>
      </w:r>
      <w:r w:rsidRPr="00037AFF">
        <w:rPr>
          <w:rStyle w:val="FootnoteReference"/>
          <w:szCs w:val="18"/>
        </w:rPr>
        <w:footnoteRef/>
      </w:r>
      <w:r w:rsidRPr="007600E5">
        <w:rPr>
          <w:szCs w:val="18"/>
          <w:lang w:val="es-ES"/>
        </w:rPr>
        <w:tab/>
      </w:r>
      <w:r w:rsidRPr="007600E5">
        <w:rPr>
          <w:lang w:val="es-ES"/>
        </w:rPr>
        <w:t xml:space="preserve">General </w:t>
      </w:r>
      <w:proofErr w:type="spellStart"/>
      <w:r w:rsidRPr="007600E5">
        <w:rPr>
          <w:lang w:val="es-ES"/>
        </w:rPr>
        <w:t>Comment</w:t>
      </w:r>
      <w:proofErr w:type="spellEnd"/>
      <w:r w:rsidRPr="007600E5">
        <w:rPr>
          <w:lang w:val="es-ES"/>
        </w:rPr>
        <w:t xml:space="preserve"> No. 37 (2020), para. 40.</w:t>
      </w:r>
    </w:p>
  </w:footnote>
  <w:footnote w:id="34">
    <w:p w14:paraId="4B9AA471" w14:textId="77777777" w:rsidR="0083089D" w:rsidRPr="007600E5" w:rsidRDefault="0083089D" w:rsidP="0083089D">
      <w:pPr>
        <w:pStyle w:val="FootnoteText"/>
        <w:rPr>
          <w:lang w:val="es-ES"/>
        </w:rPr>
      </w:pPr>
      <w:r w:rsidRPr="007600E5">
        <w:rPr>
          <w:lang w:val="es-ES"/>
        </w:rPr>
        <w:tab/>
      </w:r>
      <w:r>
        <w:rPr>
          <w:rStyle w:val="FootnoteReference"/>
        </w:rPr>
        <w:footnoteRef/>
      </w:r>
      <w:r w:rsidRPr="007600E5">
        <w:rPr>
          <w:lang w:val="es-ES"/>
        </w:rPr>
        <w:t xml:space="preserve"> </w:t>
      </w:r>
      <w:r w:rsidRPr="007600E5">
        <w:rPr>
          <w:lang w:val="es-ES"/>
        </w:rPr>
        <w:tab/>
      </w:r>
      <w:proofErr w:type="spellStart"/>
      <w:r w:rsidRPr="007600E5">
        <w:rPr>
          <w:lang w:val="es-ES"/>
        </w:rPr>
        <w:t>Ibid</w:t>
      </w:r>
      <w:proofErr w:type="spellEnd"/>
      <w:r w:rsidRPr="007600E5">
        <w:rPr>
          <w:lang w:val="es-ES"/>
        </w:rPr>
        <w:t>, para. 38.</w:t>
      </w:r>
    </w:p>
  </w:footnote>
  <w:footnote w:id="35">
    <w:p w14:paraId="4B9AA472" w14:textId="77777777" w:rsidR="0083089D" w:rsidRPr="00B13C2B" w:rsidRDefault="0083089D" w:rsidP="0083089D">
      <w:pPr>
        <w:pStyle w:val="FootnoteText"/>
      </w:pPr>
      <w:r w:rsidRPr="007600E5">
        <w:rPr>
          <w:lang w:val="es-ES"/>
        </w:rPr>
        <w:tab/>
      </w:r>
      <w:r w:rsidRPr="00B13C2B">
        <w:rPr>
          <w:rStyle w:val="FootnoteReference"/>
        </w:rPr>
        <w:footnoteRef/>
      </w:r>
      <w:r w:rsidRPr="007600E5">
        <w:rPr>
          <w:lang w:val="es-ES"/>
        </w:rPr>
        <w:tab/>
      </w:r>
      <w:proofErr w:type="spellStart"/>
      <w:r w:rsidRPr="007600E5">
        <w:rPr>
          <w:lang w:val="es-ES"/>
        </w:rPr>
        <w:t>See</w:t>
      </w:r>
      <w:proofErr w:type="spellEnd"/>
      <w:r w:rsidRPr="007600E5">
        <w:rPr>
          <w:lang w:val="es-ES"/>
        </w:rPr>
        <w:t xml:space="preserve">, </w:t>
      </w:r>
      <w:proofErr w:type="spellStart"/>
      <w:r w:rsidRPr="007600E5">
        <w:rPr>
          <w:lang w:val="es-ES"/>
        </w:rPr>
        <w:t>for</w:t>
      </w:r>
      <w:proofErr w:type="spellEnd"/>
      <w:r w:rsidRPr="007600E5">
        <w:rPr>
          <w:lang w:val="es-ES"/>
        </w:rPr>
        <w:t xml:space="preserve"> </w:t>
      </w:r>
      <w:proofErr w:type="spellStart"/>
      <w:r w:rsidRPr="007600E5">
        <w:rPr>
          <w:lang w:val="es-ES"/>
        </w:rPr>
        <w:t>example</w:t>
      </w:r>
      <w:proofErr w:type="spellEnd"/>
      <w:r w:rsidRPr="007600E5">
        <w:rPr>
          <w:lang w:val="es-ES"/>
        </w:rPr>
        <w:t xml:space="preserve">, </w:t>
      </w:r>
      <w:proofErr w:type="spellStart"/>
      <w:r w:rsidRPr="007600E5">
        <w:rPr>
          <w:i/>
          <w:lang w:val="es-ES"/>
        </w:rPr>
        <w:t>Pivonos</w:t>
      </w:r>
      <w:proofErr w:type="spellEnd"/>
      <w:r w:rsidRPr="007600E5">
        <w:rPr>
          <w:i/>
          <w:lang w:val="es-ES"/>
        </w:rPr>
        <w:t xml:space="preserve"> v. </w:t>
      </w:r>
      <w:proofErr w:type="spellStart"/>
      <w:r w:rsidRPr="007600E5">
        <w:rPr>
          <w:i/>
          <w:lang w:val="es-ES"/>
        </w:rPr>
        <w:t>Belarus</w:t>
      </w:r>
      <w:proofErr w:type="spellEnd"/>
      <w:r w:rsidRPr="007600E5">
        <w:rPr>
          <w:lang w:val="es-ES"/>
        </w:rPr>
        <w:t xml:space="preserve"> (CCPR/C/106/D/1830/2008), para. 9.3; and </w:t>
      </w:r>
      <w:proofErr w:type="spellStart"/>
      <w:r w:rsidRPr="007600E5">
        <w:rPr>
          <w:i/>
          <w:lang w:val="es-ES"/>
        </w:rPr>
        <w:t>Olechkevitch</w:t>
      </w:r>
      <w:proofErr w:type="spellEnd"/>
      <w:r w:rsidRPr="007600E5">
        <w:rPr>
          <w:i/>
          <w:lang w:val="es-ES"/>
        </w:rPr>
        <w:t xml:space="preserve"> v. </w:t>
      </w:r>
      <w:proofErr w:type="spellStart"/>
      <w:r w:rsidRPr="007600E5">
        <w:rPr>
          <w:i/>
          <w:lang w:val="es-ES"/>
        </w:rPr>
        <w:t>Belarus</w:t>
      </w:r>
      <w:proofErr w:type="spellEnd"/>
      <w:r w:rsidRPr="007600E5">
        <w:rPr>
          <w:lang w:val="es-ES"/>
        </w:rPr>
        <w:t xml:space="preserve"> (CCPR/C/107/D/1785/2008), para.  8.5</w:t>
      </w:r>
      <w:r w:rsidR="007E4046" w:rsidRPr="007600E5">
        <w:rPr>
          <w:lang w:val="es-ES"/>
        </w:rPr>
        <w:t xml:space="preserve">; </w:t>
      </w:r>
      <w:proofErr w:type="spellStart"/>
      <w:r w:rsidR="007E4046" w:rsidRPr="007600E5">
        <w:rPr>
          <w:i/>
          <w:lang w:val="es-ES"/>
        </w:rPr>
        <w:t>Sametbai</w:t>
      </w:r>
      <w:proofErr w:type="spellEnd"/>
      <w:r w:rsidR="007E4046" w:rsidRPr="007600E5">
        <w:rPr>
          <w:i/>
          <w:lang w:val="es-ES"/>
        </w:rPr>
        <w:t xml:space="preserve"> v. </w:t>
      </w:r>
      <w:proofErr w:type="spellStart"/>
      <w:r w:rsidR="007E4046" w:rsidRPr="007600E5">
        <w:rPr>
          <w:i/>
          <w:lang w:val="es-ES"/>
        </w:rPr>
        <w:t>Kazakhstan</w:t>
      </w:r>
      <w:proofErr w:type="spellEnd"/>
      <w:r w:rsidR="007E4046" w:rsidRPr="007600E5">
        <w:rPr>
          <w:lang w:val="es-ES"/>
        </w:rPr>
        <w:t xml:space="preserve"> (CCPR/C/130/D/2418/2014), para. 12.8; </w:t>
      </w:r>
      <w:proofErr w:type="spellStart"/>
      <w:r w:rsidR="007E4046" w:rsidRPr="007600E5">
        <w:rPr>
          <w:i/>
          <w:lang w:val="es-ES"/>
        </w:rPr>
        <w:t>Kurtinbaeva</w:t>
      </w:r>
      <w:proofErr w:type="spellEnd"/>
      <w:r w:rsidR="007E4046" w:rsidRPr="007600E5">
        <w:rPr>
          <w:i/>
          <w:lang w:val="es-ES"/>
        </w:rPr>
        <w:t xml:space="preserve"> v. </w:t>
      </w:r>
      <w:proofErr w:type="spellStart"/>
      <w:r w:rsidR="007E4046" w:rsidRPr="007600E5">
        <w:rPr>
          <w:i/>
          <w:lang w:val="es-ES"/>
        </w:rPr>
        <w:t>Kazakhstan</w:t>
      </w:r>
      <w:proofErr w:type="spellEnd"/>
      <w:r w:rsidR="007E4046" w:rsidRPr="007600E5">
        <w:rPr>
          <w:i/>
          <w:lang w:val="es-ES"/>
        </w:rPr>
        <w:t xml:space="preserve"> </w:t>
      </w:r>
      <w:r w:rsidR="007E4046" w:rsidRPr="007600E5">
        <w:rPr>
          <w:lang w:val="es-ES"/>
        </w:rPr>
        <w:t>(CCPR/C/130/D/2540/2015), para. 9.</w:t>
      </w:r>
      <w:r w:rsidR="000B105E" w:rsidRPr="007600E5">
        <w:rPr>
          <w:lang w:val="es-ES"/>
        </w:rPr>
        <w:t>9</w:t>
      </w:r>
      <w:r w:rsidR="007E4046" w:rsidRPr="007600E5">
        <w:rPr>
          <w:lang w:val="es-ES"/>
        </w:rPr>
        <w:t>;</w:t>
      </w:r>
      <w:r w:rsidR="007E4046">
        <w:rPr>
          <w:iCs/>
          <w:szCs w:val="18"/>
          <w:lang w:val="es-ES"/>
        </w:rPr>
        <w:t xml:space="preserve"> </w:t>
      </w:r>
      <w:proofErr w:type="spellStart"/>
      <w:r w:rsidR="007E4046" w:rsidRPr="007600E5">
        <w:rPr>
          <w:i/>
          <w:lang w:val="es-ES"/>
        </w:rPr>
        <w:t>Nurlanuly</w:t>
      </w:r>
      <w:proofErr w:type="spellEnd"/>
      <w:r w:rsidR="007E4046" w:rsidRPr="007600E5">
        <w:rPr>
          <w:i/>
          <w:lang w:val="es-ES"/>
        </w:rPr>
        <w:t xml:space="preserve"> v. </w:t>
      </w:r>
      <w:proofErr w:type="spellStart"/>
      <w:r w:rsidR="007E4046" w:rsidRPr="007600E5">
        <w:rPr>
          <w:i/>
          <w:lang w:val="es-ES"/>
        </w:rPr>
        <w:t>Kazakhstan</w:t>
      </w:r>
      <w:proofErr w:type="spellEnd"/>
      <w:r w:rsidR="007E4046" w:rsidRPr="007600E5">
        <w:rPr>
          <w:lang w:val="es-ES"/>
        </w:rPr>
        <w:t xml:space="preserve"> (CCPR/C/130/D/2546/2015), para. </w:t>
      </w:r>
      <w:r w:rsidR="007E4046">
        <w:t>9</w:t>
      </w:r>
      <w:r w:rsidR="0015315F">
        <w:t>.9</w:t>
      </w:r>
      <w:r w:rsidR="007E4046">
        <w:t xml:space="preserve">; and </w:t>
      </w:r>
      <w:proofErr w:type="spellStart"/>
      <w:r w:rsidR="007E4046" w:rsidRPr="00655DFB">
        <w:rPr>
          <w:i/>
        </w:rPr>
        <w:t>Kulumbetov</w:t>
      </w:r>
      <w:proofErr w:type="spellEnd"/>
      <w:r w:rsidR="007E4046" w:rsidRPr="00655DFB">
        <w:rPr>
          <w:i/>
        </w:rPr>
        <w:t xml:space="preserve"> v. Kazakhstan</w:t>
      </w:r>
      <w:r w:rsidR="007E4046">
        <w:t xml:space="preserve"> (CCPR/C/130/D/2547/2015), para. 8.</w:t>
      </w:r>
      <w:r w:rsidR="0015315F">
        <w:t>9</w:t>
      </w:r>
      <w:r w:rsidRPr="00B13C2B">
        <w:t xml:space="preserve">. </w:t>
      </w:r>
    </w:p>
  </w:footnote>
  <w:footnote w:id="36">
    <w:p w14:paraId="4B9AA473" w14:textId="77777777" w:rsidR="0083089D" w:rsidRDefault="0083089D" w:rsidP="0083089D">
      <w:pPr>
        <w:pStyle w:val="FootnoteText"/>
      </w:pPr>
      <w:r>
        <w:tab/>
      </w:r>
      <w:r>
        <w:rPr>
          <w:rStyle w:val="FootnoteReference"/>
        </w:rPr>
        <w:footnoteRef/>
      </w:r>
      <w:r>
        <w:t xml:space="preserve"> </w:t>
      </w:r>
      <w:r>
        <w:tab/>
      </w:r>
      <w:r w:rsidRPr="00531C92">
        <w:t xml:space="preserve">General </w:t>
      </w:r>
      <w:r w:rsidRPr="00CC4945">
        <w:t>comment</w:t>
      </w:r>
      <w:r w:rsidRPr="00531C92">
        <w:t xml:space="preserve"> No. 34 (2011)</w:t>
      </w:r>
      <w:r w:rsidR="00011BDF">
        <w:t>,</w:t>
      </w:r>
      <w:r w:rsidRPr="00531C92">
        <w:t xml:space="preserve"> paras. 34, 37–38</w:t>
      </w:r>
      <w:r>
        <w:t xml:space="preserve"> and 42-43.</w:t>
      </w:r>
      <w:r w:rsidRPr="00531C9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A440" w14:textId="15DA1A96" w:rsidR="00530423" w:rsidRPr="001C7C93" w:rsidRDefault="00530423" w:rsidP="006A31AE">
    <w:pPr>
      <w:pStyle w:val="Header"/>
      <w:rPr>
        <w:color w:val="FF0000"/>
      </w:rPr>
    </w:pPr>
    <w:r w:rsidRPr="006A31AE">
      <w:t>CCPR</w:t>
    </w:r>
    <w:r>
      <w:t>/C/1</w:t>
    </w:r>
    <w:r w:rsidR="00782A9C">
      <w:t>31</w:t>
    </w:r>
    <w:r w:rsidRPr="001C7C93">
      <w:t>/</w:t>
    </w:r>
    <w:r>
      <w:t>D/2</w:t>
    </w:r>
    <w:r w:rsidR="004979DF">
      <w:t>452/2014</w:t>
    </w:r>
    <w:r w:rsidR="00F60DF1">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A441" w14:textId="44EF298E" w:rsidR="00530423" w:rsidRPr="00CD426C" w:rsidRDefault="00530423" w:rsidP="00CD426C">
    <w:pPr>
      <w:pStyle w:val="Header"/>
      <w:jc w:val="right"/>
    </w:pPr>
    <w:r w:rsidRPr="006A31AE">
      <w:t>CCPR</w:t>
    </w:r>
    <w:r w:rsidR="006312E1">
      <w:t>/C</w:t>
    </w:r>
    <w:r w:rsidR="00D01190">
      <w:t>/</w:t>
    </w:r>
    <w:r>
      <w:t>1</w:t>
    </w:r>
    <w:r w:rsidR="00782A9C">
      <w:t>31</w:t>
    </w:r>
    <w:r w:rsidRPr="001C7C93">
      <w:t>/</w:t>
    </w:r>
    <w:r>
      <w:t>D/2</w:t>
    </w:r>
    <w:r w:rsidR="004979DF">
      <w:t>452/2014</w:t>
    </w:r>
    <w:r w:rsidR="00F60DF1">
      <w:t xml:space="preserve"> (Advance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en-GB" w:vendorID="64" w:dllVersion="0" w:nlCheck="1" w:checkStyle="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0AFF"/>
    <w:rsid w:val="00002BB0"/>
    <w:rsid w:val="000037CD"/>
    <w:rsid w:val="000071EC"/>
    <w:rsid w:val="00011BDF"/>
    <w:rsid w:val="000124E0"/>
    <w:rsid w:val="0001297A"/>
    <w:rsid w:val="0001492F"/>
    <w:rsid w:val="000154BB"/>
    <w:rsid w:val="00016A73"/>
    <w:rsid w:val="00023807"/>
    <w:rsid w:val="00027427"/>
    <w:rsid w:val="000275C9"/>
    <w:rsid w:val="00027995"/>
    <w:rsid w:val="00031B48"/>
    <w:rsid w:val="00033C8F"/>
    <w:rsid w:val="00034A43"/>
    <w:rsid w:val="000359B6"/>
    <w:rsid w:val="00037CFE"/>
    <w:rsid w:val="00040E82"/>
    <w:rsid w:val="00043B53"/>
    <w:rsid w:val="00044D19"/>
    <w:rsid w:val="00046E92"/>
    <w:rsid w:val="00050079"/>
    <w:rsid w:val="00053696"/>
    <w:rsid w:val="000538AF"/>
    <w:rsid w:val="00054766"/>
    <w:rsid w:val="00056FD8"/>
    <w:rsid w:val="0005745C"/>
    <w:rsid w:val="00064381"/>
    <w:rsid w:val="0006523D"/>
    <w:rsid w:val="00065FB0"/>
    <w:rsid w:val="00066C06"/>
    <w:rsid w:val="000671AF"/>
    <w:rsid w:val="00070335"/>
    <w:rsid w:val="000813E1"/>
    <w:rsid w:val="0008212E"/>
    <w:rsid w:val="00083D4C"/>
    <w:rsid w:val="00086DFE"/>
    <w:rsid w:val="00087CEC"/>
    <w:rsid w:val="00090414"/>
    <w:rsid w:val="000922FA"/>
    <w:rsid w:val="000A1CA9"/>
    <w:rsid w:val="000A40FB"/>
    <w:rsid w:val="000A6CE1"/>
    <w:rsid w:val="000B105E"/>
    <w:rsid w:val="000B2ACC"/>
    <w:rsid w:val="000C7386"/>
    <w:rsid w:val="000D0621"/>
    <w:rsid w:val="000D2B96"/>
    <w:rsid w:val="000D378B"/>
    <w:rsid w:val="000D3E8C"/>
    <w:rsid w:val="000D639B"/>
    <w:rsid w:val="000E00F0"/>
    <w:rsid w:val="000E59A2"/>
    <w:rsid w:val="000E6046"/>
    <w:rsid w:val="000E685C"/>
    <w:rsid w:val="000E70BC"/>
    <w:rsid w:val="000E79F7"/>
    <w:rsid w:val="000F0CD7"/>
    <w:rsid w:val="000F4B27"/>
    <w:rsid w:val="000F793A"/>
    <w:rsid w:val="000F7E38"/>
    <w:rsid w:val="00100010"/>
    <w:rsid w:val="00103FE7"/>
    <w:rsid w:val="00104A5B"/>
    <w:rsid w:val="00110644"/>
    <w:rsid w:val="00115736"/>
    <w:rsid w:val="001160DA"/>
    <w:rsid w:val="001211F9"/>
    <w:rsid w:val="00123228"/>
    <w:rsid w:val="00123453"/>
    <w:rsid w:val="00123717"/>
    <w:rsid w:val="00127123"/>
    <w:rsid w:val="001300AE"/>
    <w:rsid w:val="00131D7A"/>
    <w:rsid w:val="00137CE2"/>
    <w:rsid w:val="00142265"/>
    <w:rsid w:val="001424BA"/>
    <w:rsid w:val="00142B78"/>
    <w:rsid w:val="00150352"/>
    <w:rsid w:val="0015315F"/>
    <w:rsid w:val="0015582D"/>
    <w:rsid w:val="00160B5F"/>
    <w:rsid w:val="001611E6"/>
    <w:rsid w:val="00161AB0"/>
    <w:rsid w:val="00161CB6"/>
    <w:rsid w:val="00162B19"/>
    <w:rsid w:val="00163AB6"/>
    <w:rsid w:val="0016469E"/>
    <w:rsid w:val="001649ED"/>
    <w:rsid w:val="00165C15"/>
    <w:rsid w:val="00171DE8"/>
    <w:rsid w:val="00172982"/>
    <w:rsid w:val="0017319B"/>
    <w:rsid w:val="00173810"/>
    <w:rsid w:val="00173BD7"/>
    <w:rsid w:val="00173C9F"/>
    <w:rsid w:val="00175A22"/>
    <w:rsid w:val="00176A49"/>
    <w:rsid w:val="00180493"/>
    <w:rsid w:val="00180B42"/>
    <w:rsid w:val="001811D5"/>
    <w:rsid w:val="00182A0D"/>
    <w:rsid w:val="00182F48"/>
    <w:rsid w:val="001872C9"/>
    <w:rsid w:val="00187E54"/>
    <w:rsid w:val="00197D77"/>
    <w:rsid w:val="001A369C"/>
    <w:rsid w:val="001A5B2B"/>
    <w:rsid w:val="001A5BAE"/>
    <w:rsid w:val="001A7727"/>
    <w:rsid w:val="001B06A6"/>
    <w:rsid w:val="001B0899"/>
    <w:rsid w:val="001B304F"/>
    <w:rsid w:val="001C0DC6"/>
    <w:rsid w:val="001C3981"/>
    <w:rsid w:val="001C6EE2"/>
    <w:rsid w:val="001C7C93"/>
    <w:rsid w:val="001D049A"/>
    <w:rsid w:val="001D13A0"/>
    <w:rsid w:val="001D3225"/>
    <w:rsid w:val="001D5923"/>
    <w:rsid w:val="001D6992"/>
    <w:rsid w:val="001E0641"/>
    <w:rsid w:val="001E25AA"/>
    <w:rsid w:val="001E4086"/>
    <w:rsid w:val="001F17A5"/>
    <w:rsid w:val="001F4764"/>
    <w:rsid w:val="001F5EF9"/>
    <w:rsid w:val="001F6DFF"/>
    <w:rsid w:val="002042D6"/>
    <w:rsid w:val="00206281"/>
    <w:rsid w:val="00213D68"/>
    <w:rsid w:val="00215904"/>
    <w:rsid w:val="00215E33"/>
    <w:rsid w:val="0021699B"/>
    <w:rsid w:val="00221FEB"/>
    <w:rsid w:val="002247C5"/>
    <w:rsid w:val="002325C9"/>
    <w:rsid w:val="00233231"/>
    <w:rsid w:val="0023478A"/>
    <w:rsid w:val="002400A5"/>
    <w:rsid w:val="0024019E"/>
    <w:rsid w:val="002412BB"/>
    <w:rsid w:val="0024394A"/>
    <w:rsid w:val="00244A47"/>
    <w:rsid w:val="002467F5"/>
    <w:rsid w:val="002476FB"/>
    <w:rsid w:val="002477A1"/>
    <w:rsid w:val="00247E2C"/>
    <w:rsid w:val="00251959"/>
    <w:rsid w:val="00253575"/>
    <w:rsid w:val="0025471B"/>
    <w:rsid w:val="00255A27"/>
    <w:rsid w:val="00256255"/>
    <w:rsid w:val="0025676F"/>
    <w:rsid w:val="00256C26"/>
    <w:rsid w:val="002613D0"/>
    <w:rsid w:val="00262DC2"/>
    <w:rsid w:val="002636E6"/>
    <w:rsid w:val="00265180"/>
    <w:rsid w:val="00265C91"/>
    <w:rsid w:val="002671BF"/>
    <w:rsid w:val="00267444"/>
    <w:rsid w:val="00276250"/>
    <w:rsid w:val="0027652D"/>
    <w:rsid w:val="00276E3A"/>
    <w:rsid w:val="00281284"/>
    <w:rsid w:val="0028337B"/>
    <w:rsid w:val="00287032"/>
    <w:rsid w:val="002928E9"/>
    <w:rsid w:val="00295764"/>
    <w:rsid w:val="00296C04"/>
    <w:rsid w:val="002A04E4"/>
    <w:rsid w:val="002A1C89"/>
    <w:rsid w:val="002A3A75"/>
    <w:rsid w:val="002A3E99"/>
    <w:rsid w:val="002A7AA7"/>
    <w:rsid w:val="002B0252"/>
    <w:rsid w:val="002B3ADD"/>
    <w:rsid w:val="002B4D86"/>
    <w:rsid w:val="002C11DF"/>
    <w:rsid w:val="002C12C8"/>
    <w:rsid w:val="002C2D37"/>
    <w:rsid w:val="002C59AF"/>
    <w:rsid w:val="002C6A86"/>
    <w:rsid w:val="002D28AB"/>
    <w:rsid w:val="002D418E"/>
    <w:rsid w:val="002D5480"/>
    <w:rsid w:val="002D5FD2"/>
    <w:rsid w:val="002D6C53"/>
    <w:rsid w:val="002D74C0"/>
    <w:rsid w:val="002D7D93"/>
    <w:rsid w:val="002E4610"/>
    <w:rsid w:val="002E5A81"/>
    <w:rsid w:val="002E6343"/>
    <w:rsid w:val="002E6588"/>
    <w:rsid w:val="002E68CC"/>
    <w:rsid w:val="002E6C6A"/>
    <w:rsid w:val="002F1EF5"/>
    <w:rsid w:val="002F5595"/>
    <w:rsid w:val="002F5A8B"/>
    <w:rsid w:val="002F7242"/>
    <w:rsid w:val="00300F8A"/>
    <w:rsid w:val="00301959"/>
    <w:rsid w:val="0030331B"/>
    <w:rsid w:val="0030433C"/>
    <w:rsid w:val="003104D1"/>
    <w:rsid w:val="00310E2D"/>
    <w:rsid w:val="00311C3E"/>
    <w:rsid w:val="003125C4"/>
    <w:rsid w:val="00313224"/>
    <w:rsid w:val="00315A29"/>
    <w:rsid w:val="00321D6A"/>
    <w:rsid w:val="00324C57"/>
    <w:rsid w:val="00325BC9"/>
    <w:rsid w:val="003340CF"/>
    <w:rsid w:val="003348F0"/>
    <w:rsid w:val="00334F6A"/>
    <w:rsid w:val="00340173"/>
    <w:rsid w:val="00342AC8"/>
    <w:rsid w:val="00345892"/>
    <w:rsid w:val="003463DE"/>
    <w:rsid w:val="0034668E"/>
    <w:rsid w:val="00351412"/>
    <w:rsid w:val="00356C09"/>
    <w:rsid w:val="0035714C"/>
    <w:rsid w:val="0036258F"/>
    <w:rsid w:val="00363D5D"/>
    <w:rsid w:val="00364DE3"/>
    <w:rsid w:val="003658FD"/>
    <w:rsid w:val="003668D8"/>
    <w:rsid w:val="00367C79"/>
    <w:rsid w:val="00371647"/>
    <w:rsid w:val="0037523B"/>
    <w:rsid w:val="003810B0"/>
    <w:rsid w:val="0038242F"/>
    <w:rsid w:val="003827BF"/>
    <w:rsid w:val="00382E71"/>
    <w:rsid w:val="0038471B"/>
    <w:rsid w:val="00385FD7"/>
    <w:rsid w:val="003869D5"/>
    <w:rsid w:val="003912C1"/>
    <w:rsid w:val="0039167A"/>
    <w:rsid w:val="00395056"/>
    <w:rsid w:val="003956F4"/>
    <w:rsid w:val="003967E4"/>
    <w:rsid w:val="00396B10"/>
    <w:rsid w:val="003A193E"/>
    <w:rsid w:val="003A2D41"/>
    <w:rsid w:val="003A3704"/>
    <w:rsid w:val="003A422F"/>
    <w:rsid w:val="003B02FE"/>
    <w:rsid w:val="003B062C"/>
    <w:rsid w:val="003B06EB"/>
    <w:rsid w:val="003B42AA"/>
    <w:rsid w:val="003B4550"/>
    <w:rsid w:val="003B6110"/>
    <w:rsid w:val="003C043A"/>
    <w:rsid w:val="003C4F4D"/>
    <w:rsid w:val="003D24A4"/>
    <w:rsid w:val="003D24FD"/>
    <w:rsid w:val="003D403D"/>
    <w:rsid w:val="003D441D"/>
    <w:rsid w:val="003E3AE6"/>
    <w:rsid w:val="003E5033"/>
    <w:rsid w:val="003E53AB"/>
    <w:rsid w:val="003E59A2"/>
    <w:rsid w:val="003E7B44"/>
    <w:rsid w:val="003F1906"/>
    <w:rsid w:val="003F6954"/>
    <w:rsid w:val="003F6D61"/>
    <w:rsid w:val="003F7CE6"/>
    <w:rsid w:val="003F7CF6"/>
    <w:rsid w:val="00401400"/>
    <w:rsid w:val="0040185C"/>
    <w:rsid w:val="00404650"/>
    <w:rsid w:val="0040481F"/>
    <w:rsid w:val="00405501"/>
    <w:rsid w:val="00412249"/>
    <w:rsid w:val="004167CF"/>
    <w:rsid w:val="004170CB"/>
    <w:rsid w:val="00417F39"/>
    <w:rsid w:val="00421173"/>
    <w:rsid w:val="00425587"/>
    <w:rsid w:val="00432A83"/>
    <w:rsid w:val="00434B0C"/>
    <w:rsid w:val="004409D4"/>
    <w:rsid w:val="00455D0D"/>
    <w:rsid w:val="00460007"/>
    <w:rsid w:val="00461253"/>
    <w:rsid w:val="00461D46"/>
    <w:rsid w:val="004640B2"/>
    <w:rsid w:val="00465E90"/>
    <w:rsid w:val="004731FF"/>
    <w:rsid w:val="00480A61"/>
    <w:rsid w:val="004835E1"/>
    <w:rsid w:val="004846CF"/>
    <w:rsid w:val="004862A8"/>
    <w:rsid w:val="00487C03"/>
    <w:rsid w:val="0049313F"/>
    <w:rsid w:val="00494DA6"/>
    <w:rsid w:val="00496231"/>
    <w:rsid w:val="00497535"/>
    <w:rsid w:val="004979DF"/>
    <w:rsid w:val="004A0799"/>
    <w:rsid w:val="004A13D5"/>
    <w:rsid w:val="004A1DD8"/>
    <w:rsid w:val="004A3ECA"/>
    <w:rsid w:val="004B160A"/>
    <w:rsid w:val="004B6334"/>
    <w:rsid w:val="004B6D99"/>
    <w:rsid w:val="004C1B6F"/>
    <w:rsid w:val="004C3114"/>
    <w:rsid w:val="004D2B1E"/>
    <w:rsid w:val="004D2F00"/>
    <w:rsid w:val="004D5B18"/>
    <w:rsid w:val="004D74B1"/>
    <w:rsid w:val="004E01D9"/>
    <w:rsid w:val="004E079E"/>
    <w:rsid w:val="004E360A"/>
    <w:rsid w:val="004E4353"/>
    <w:rsid w:val="004E469C"/>
    <w:rsid w:val="004E5CC2"/>
    <w:rsid w:val="004E7375"/>
    <w:rsid w:val="004E7DA4"/>
    <w:rsid w:val="004F1A64"/>
    <w:rsid w:val="004F55AE"/>
    <w:rsid w:val="005042C2"/>
    <w:rsid w:val="0050741B"/>
    <w:rsid w:val="005074AB"/>
    <w:rsid w:val="00507952"/>
    <w:rsid w:val="00514FD8"/>
    <w:rsid w:val="00522C8B"/>
    <w:rsid w:val="00523072"/>
    <w:rsid w:val="00525607"/>
    <w:rsid w:val="005258BF"/>
    <w:rsid w:val="00527845"/>
    <w:rsid w:val="00530423"/>
    <w:rsid w:val="00531B3C"/>
    <w:rsid w:val="005342D9"/>
    <w:rsid w:val="00535FBC"/>
    <w:rsid w:val="0054060D"/>
    <w:rsid w:val="005424C0"/>
    <w:rsid w:val="00545CC7"/>
    <w:rsid w:val="00545D63"/>
    <w:rsid w:val="00547184"/>
    <w:rsid w:val="00547CD2"/>
    <w:rsid w:val="00551851"/>
    <w:rsid w:val="00552D99"/>
    <w:rsid w:val="00552F68"/>
    <w:rsid w:val="005553FD"/>
    <w:rsid w:val="00555CA4"/>
    <w:rsid w:val="00557718"/>
    <w:rsid w:val="0056279A"/>
    <w:rsid w:val="00565128"/>
    <w:rsid w:val="00565E03"/>
    <w:rsid w:val="00565E25"/>
    <w:rsid w:val="00566A7E"/>
    <w:rsid w:val="00570919"/>
    <w:rsid w:val="00572181"/>
    <w:rsid w:val="00575898"/>
    <w:rsid w:val="00575E97"/>
    <w:rsid w:val="00577E46"/>
    <w:rsid w:val="005802CB"/>
    <w:rsid w:val="00581814"/>
    <w:rsid w:val="005831E8"/>
    <w:rsid w:val="00583523"/>
    <w:rsid w:val="005850D9"/>
    <w:rsid w:val="0058781F"/>
    <w:rsid w:val="0058795A"/>
    <w:rsid w:val="005904F0"/>
    <w:rsid w:val="00591983"/>
    <w:rsid w:val="005920F2"/>
    <w:rsid w:val="00594088"/>
    <w:rsid w:val="005A07AE"/>
    <w:rsid w:val="005A0A23"/>
    <w:rsid w:val="005A0C66"/>
    <w:rsid w:val="005A2E84"/>
    <w:rsid w:val="005A5816"/>
    <w:rsid w:val="005A6BCB"/>
    <w:rsid w:val="005A77E5"/>
    <w:rsid w:val="005B02AC"/>
    <w:rsid w:val="005B0BC0"/>
    <w:rsid w:val="005B4184"/>
    <w:rsid w:val="005B53E5"/>
    <w:rsid w:val="005C248C"/>
    <w:rsid w:val="005C269E"/>
    <w:rsid w:val="005C37E0"/>
    <w:rsid w:val="005C59D0"/>
    <w:rsid w:val="005C64B9"/>
    <w:rsid w:val="005D1364"/>
    <w:rsid w:val="005D3832"/>
    <w:rsid w:val="005E1356"/>
    <w:rsid w:val="005F219C"/>
    <w:rsid w:val="005F3B25"/>
    <w:rsid w:val="005F5415"/>
    <w:rsid w:val="005F5C5D"/>
    <w:rsid w:val="005F6C6F"/>
    <w:rsid w:val="006000E5"/>
    <w:rsid w:val="00600184"/>
    <w:rsid w:val="00600632"/>
    <w:rsid w:val="0060330F"/>
    <w:rsid w:val="00603323"/>
    <w:rsid w:val="00604A95"/>
    <w:rsid w:val="00604E90"/>
    <w:rsid w:val="00612779"/>
    <w:rsid w:val="006131E8"/>
    <w:rsid w:val="006251F4"/>
    <w:rsid w:val="006312E1"/>
    <w:rsid w:val="006325A5"/>
    <w:rsid w:val="0063473B"/>
    <w:rsid w:val="006366E6"/>
    <w:rsid w:val="00637A7E"/>
    <w:rsid w:val="00637B99"/>
    <w:rsid w:val="00641F40"/>
    <w:rsid w:val="006432E7"/>
    <w:rsid w:val="0064464D"/>
    <w:rsid w:val="0064559A"/>
    <w:rsid w:val="0065003B"/>
    <w:rsid w:val="00650ABE"/>
    <w:rsid w:val="006523A1"/>
    <w:rsid w:val="00652890"/>
    <w:rsid w:val="00652F1E"/>
    <w:rsid w:val="00655044"/>
    <w:rsid w:val="00655DFB"/>
    <w:rsid w:val="0066233A"/>
    <w:rsid w:val="006631D9"/>
    <w:rsid w:val="0066491A"/>
    <w:rsid w:val="00664BD9"/>
    <w:rsid w:val="00665454"/>
    <w:rsid w:val="00666CE5"/>
    <w:rsid w:val="00671529"/>
    <w:rsid w:val="00671B91"/>
    <w:rsid w:val="00672063"/>
    <w:rsid w:val="00676705"/>
    <w:rsid w:val="00680FFE"/>
    <w:rsid w:val="00681677"/>
    <w:rsid w:val="00681F1C"/>
    <w:rsid w:val="00683D88"/>
    <w:rsid w:val="006850E5"/>
    <w:rsid w:val="0068529D"/>
    <w:rsid w:val="00690CC8"/>
    <w:rsid w:val="006A25CB"/>
    <w:rsid w:val="006A31AE"/>
    <w:rsid w:val="006A3D5F"/>
    <w:rsid w:val="006A7FA1"/>
    <w:rsid w:val="006B170D"/>
    <w:rsid w:val="006B242D"/>
    <w:rsid w:val="006B4F5A"/>
    <w:rsid w:val="006B5A4A"/>
    <w:rsid w:val="006C14E9"/>
    <w:rsid w:val="006C1E59"/>
    <w:rsid w:val="006C688B"/>
    <w:rsid w:val="006C7E8C"/>
    <w:rsid w:val="006C7FD8"/>
    <w:rsid w:val="006D3FF6"/>
    <w:rsid w:val="006D58B8"/>
    <w:rsid w:val="006D6ABA"/>
    <w:rsid w:val="006D6D2E"/>
    <w:rsid w:val="006E16E6"/>
    <w:rsid w:val="006E4E32"/>
    <w:rsid w:val="006E7FCB"/>
    <w:rsid w:val="006F153F"/>
    <w:rsid w:val="006F1AA2"/>
    <w:rsid w:val="006F25DA"/>
    <w:rsid w:val="006F2993"/>
    <w:rsid w:val="00705395"/>
    <w:rsid w:val="007056D0"/>
    <w:rsid w:val="00706729"/>
    <w:rsid w:val="0071515E"/>
    <w:rsid w:val="007151C6"/>
    <w:rsid w:val="0071791D"/>
    <w:rsid w:val="007211E3"/>
    <w:rsid w:val="007217CB"/>
    <w:rsid w:val="00721C13"/>
    <w:rsid w:val="00722BE6"/>
    <w:rsid w:val="00724B41"/>
    <w:rsid w:val="007250C1"/>
    <w:rsid w:val="00725C3B"/>
    <w:rsid w:val="007268F9"/>
    <w:rsid w:val="007270CD"/>
    <w:rsid w:val="007328BE"/>
    <w:rsid w:val="00735B0E"/>
    <w:rsid w:val="00740CC1"/>
    <w:rsid w:val="007432E8"/>
    <w:rsid w:val="00750886"/>
    <w:rsid w:val="007545D7"/>
    <w:rsid w:val="00755EBD"/>
    <w:rsid w:val="007561C3"/>
    <w:rsid w:val="007600E5"/>
    <w:rsid w:val="007616E0"/>
    <w:rsid w:val="0076531A"/>
    <w:rsid w:val="00765B1D"/>
    <w:rsid w:val="007763BF"/>
    <w:rsid w:val="00777F15"/>
    <w:rsid w:val="0078205A"/>
    <w:rsid w:val="00782A9C"/>
    <w:rsid w:val="0078614D"/>
    <w:rsid w:val="00787600"/>
    <w:rsid w:val="00790AF5"/>
    <w:rsid w:val="0079352F"/>
    <w:rsid w:val="007A2ACC"/>
    <w:rsid w:val="007A2B6E"/>
    <w:rsid w:val="007A37DB"/>
    <w:rsid w:val="007A44E3"/>
    <w:rsid w:val="007A53FF"/>
    <w:rsid w:val="007B1B08"/>
    <w:rsid w:val="007B30BA"/>
    <w:rsid w:val="007B75BA"/>
    <w:rsid w:val="007C1B97"/>
    <w:rsid w:val="007C52B0"/>
    <w:rsid w:val="007C6506"/>
    <w:rsid w:val="007C7C02"/>
    <w:rsid w:val="007D0C57"/>
    <w:rsid w:val="007D136E"/>
    <w:rsid w:val="007D4530"/>
    <w:rsid w:val="007D4DA1"/>
    <w:rsid w:val="007D554C"/>
    <w:rsid w:val="007D5A9F"/>
    <w:rsid w:val="007E4046"/>
    <w:rsid w:val="007E550F"/>
    <w:rsid w:val="007E5D00"/>
    <w:rsid w:val="007E5D9E"/>
    <w:rsid w:val="007F0636"/>
    <w:rsid w:val="007F35CE"/>
    <w:rsid w:val="007F421C"/>
    <w:rsid w:val="007F7802"/>
    <w:rsid w:val="007F7F31"/>
    <w:rsid w:val="00802303"/>
    <w:rsid w:val="00802C74"/>
    <w:rsid w:val="008032BD"/>
    <w:rsid w:val="008044DB"/>
    <w:rsid w:val="00804A60"/>
    <w:rsid w:val="008053B9"/>
    <w:rsid w:val="00806356"/>
    <w:rsid w:val="008113B5"/>
    <w:rsid w:val="00817E57"/>
    <w:rsid w:val="00817E90"/>
    <w:rsid w:val="00821CB8"/>
    <w:rsid w:val="00821D6B"/>
    <w:rsid w:val="0082438F"/>
    <w:rsid w:val="0083089D"/>
    <w:rsid w:val="00833B0E"/>
    <w:rsid w:val="00833CFF"/>
    <w:rsid w:val="0083505C"/>
    <w:rsid w:val="00836B71"/>
    <w:rsid w:val="00840104"/>
    <w:rsid w:val="00840968"/>
    <w:rsid w:val="00841DC2"/>
    <w:rsid w:val="00843375"/>
    <w:rsid w:val="008507AC"/>
    <w:rsid w:val="008575B2"/>
    <w:rsid w:val="0086027B"/>
    <w:rsid w:val="00861FB8"/>
    <w:rsid w:val="008629B7"/>
    <w:rsid w:val="008638D8"/>
    <w:rsid w:val="00867FC2"/>
    <w:rsid w:val="008719E6"/>
    <w:rsid w:val="008721F1"/>
    <w:rsid w:val="00873CA0"/>
    <w:rsid w:val="00875CE7"/>
    <w:rsid w:val="0088117F"/>
    <w:rsid w:val="00882DD6"/>
    <w:rsid w:val="00884CA5"/>
    <w:rsid w:val="00891856"/>
    <w:rsid w:val="008920F6"/>
    <w:rsid w:val="0089519A"/>
    <w:rsid w:val="008A1540"/>
    <w:rsid w:val="008A1720"/>
    <w:rsid w:val="008A1A7C"/>
    <w:rsid w:val="008A2941"/>
    <w:rsid w:val="008A60F5"/>
    <w:rsid w:val="008A7D4B"/>
    <w:rsid w:val="008B75D1"/>
    <w:rsid w:val="008C0022"/>
    <w:rsid w:val="008C1E61"/>
    <w:rsid w:val="008C31D4"/>
    <w:rsid w:val="008C34B2"/>
    <w:rsid w:val="008C535C"/>
    <w:rsid w:val="008C57A1"/>
    <w:rsid w:val="008C6C8A"/>
    <w:rsid w:val="008D0D17"/>
    <w:rsid w:val="008D1EBF"/>
    <w:rsid w:val="008D2966"/>
    <w:rsid w:val="008D330E"/>
    <w:rsid w:val="008D3450"/>
    <w:rsid w:val="008D7391"/>
    <w:rsid w:val="008E0D5A"/>
    <w:rsid w:val="008E27E5"/>
    <w:rsid w:val="008E49A8"/>
    <w:rsid w:val="008E72E8"/>
    <w:rsid w:val="008F0A54"/>
    <w:rsid w:val="008F1737"/>
    <w:rsid w:val="008F1D6F"/>
    <w:rsid w:val="008F390F"/>
    <w:rsid w:val="008F39E8"/>
    <w:rsid w:val="008F652F"/>
    <w:rsid w:val="009008BA"/>
    <w:rsid w:val="00903ACE"/>
    <w:rsid w:val="009060A1"/>
    <w:rsid w:val="00911A10"/>
    <w:rsid w:val="00913165"/>
    <w:rsid w:val="00915FEB"/>
    <w:rsid w:val="00921771"/>
    <w:rsid w:val="009219BD"/>
    <w:rsid w:val="009230AD"/>
    <w:rsid w:val="00923185"/>
    <w:rsid w:val="00924A4B"/>
    <w:rsid w:val="00925316"/>
    <w:rsid w:val="00931774"/>
    <w:rsid w:val="009334DC"/>
    <w:rsid w:val="00934118"/>
    <w:rsid w:val="009354C0"/>
    <w:rsid w:val="009362A0"/>
    <w:rsid w:val="009411B4"/>
    <w:rsid w:val="00942BFD"/>
    <w:rsid w:val="00943142"/>
    <w:rsid w:val="009443EA"/>
    <w:rsid w:val="009445EA"/>
    <w:rsid w:val="00957162"/>
    <w:rsid w:val="009706AA"/>
    <w:rsid w:val="00970F5E"/>
    <w:rsid w:val="0097198F"/>
    <w:rsid w:val="0097215C"/>
    <w:rsid w:val="009724C7"/>
    <w:rsid w:val="00974C61"/>
    <w:rsid w:val="009810CD"/>
    <w:rsid w:val="00982354"/>
    <w:rsid w:val="0098689D"/>
    <w:rsid w:val="00986B9C"/>
    <w:rsid w:val="00987455"/>
    <w:rsid w:val="00987575"/>
    <w:rsid w:val="00991349"/>
    <w:rsid w:val="00991FD4"/>
    <w:rsid w:val="009957EB"/>
    <w:rsid w:val="009966DA"/>
    <w:rsid w:val="009A1175"/>
    <w:rsid w:val="009A4430"/>
    <w:rsid w:val="009A683B"/>
    <w:rsid w:val="009B0501"/>
    <w:rsid w:val="009B153E"/>
    <w:rsid w:val="009B2CB0"/>
    <w:rsid w:val="009B55CA"/>
    <w:rsid w:val="009B7396"/>
    <w:rsid w:val="009B75D8"/>
    <w:rsid w:val="009C2619"/>
    <w:rsid w:val="009C587A"/>
    <w:rsid w:val="009D0139"/>
    <w:rsid w:val="009D08CC"/>
    <w:rsid w:val="009D28E5"/>
    <w:rsid w:val="009D5A4B"/>
    <w:rsid w:val="009E02C5"/>
    <w:rsid w:val="009E0DA0"/>
    <w:rsid w:val="009E1068"/>
    <w:rsid w:val="009E48C5"/>
    <w:rsid w:val="009E67F3"/>
    <w:rsid w:val="009F0FA9"/>
    <w:rsid w:val="009F183F"/>
    <w:rsid w:val="009F207F"/>
    <w:rsid w:val="009F237E"/>
    <w:rsid w:val="009F57BC"/>
    <w:rsid w:val="009F5CDC"/>
    <w:rsid w:val="00A02F83"/>
    <w:rsid w:val="00A03058"/>
    <w:rsid w:val="00A0332C"/>
    <w:rsid w:val="00A0556C"/>
    <w:rsid w:val="00A0763B"/>
    <w:rsid w:val="00A1342E"/>
    <w:rsid w:val="00A17182"/>
    <w:rsid w:val="00A20479"/>
    <w:rsid w:val="00A23459"/>
    <w:rsid w:val="00A23779"/>
    <w:rsid w:val="00A2636B"/>
    <w:rsid w:val="00A31309"/>
    <w:rsid w:val="00A319A5"/>
    <w:rsid w:val="00A35FAF"/>
    <w:rsid w:val="00A37D7A"/>
    <w:rsid w:val="00A430D1"/>
    <w:rsid w:val="00A45A96"/>
    <w:rsid w:val="00A51019"/>
    <w:rsid w:val="00A532A4"/>
    <w:rsid w:val="00A544B7"/>
    <w:rsid w:val="00A5546A"/>
    <w:rsid w:val="00A56A71"/>
    <w:rsid w:val="00A572A7"/>
    <w:rsid w:val="00A60CBD"/>
    <w:rsid w:val="00A61809"/>
    <w:rsid w:val="00A62295"/>
    <w:rsid w:val="00A63272"/>
    <w:rsid w:val="00A674F0"/>
    <w:rsid w:val="00A70CC9"/>
    <w:rsid w:val="00A73577"/>
    <w:rsid w:val="00A775CF"/>
    <w:rsid w:val="00A80725"/>
    <w:rsid w:val="00A83492"/>
    <w:rsid w:val="00A834A1"/>
    <w:rsid w:val="00A834F2"/>
    <w:rsid w:val="00A8419F"/>
    <w:rsid w:val="00A85A83"/>
    <w:rsid w:val="00A90A19"/>
    <w:rsid w:val="00A9148B"/>
    <w:rsid w:val="00A92F50"/>
    <w:rsid w:val="00A96BB2"/>
    <w:rsid w:val="00AA5690"/>
    <w:rsid w:val="00AA6AFF"/>
    <w:rsid w:val="00AB0C7C"/>
    <w:rsid w:val="00AB0FAF"/>
    <w:rsid w:val="00AB174B"/>
    <w:rsid w:val="00AB2B99"/>
    <w:rsid w:val="00AB3421"/>
    <w:rsid w:val="00AB3808"/>
    <w:rsid w:val="00AB55AB"/>
    <w:rsid w:val="00AB5800"/>
    <w:rsid w:val="00AB5B89"/>
    <w:rsid w:val="00AB6E0D"/>
    <w:rsid w:val="00AC1FBF"/>
    <w:rsid w:val="00AC3CE8"/>
    <w:rsid w:val="00AC5D70"/>
    <w:rsid w:val="00AD04CE"/>
    <w:rsid w:val="00AD2E7C"/>
    <w:rsid w:val="00AD3E8A"/>
    <w:rsid w:val="00AD5FE2"/>
    <w:rsid w:val="00AD7C9B"/>
    <w:rsid w:val="00AE2C4B"/>
    <w:rsid w:val="00AE7E54"/>
    <w:rsid w:val="00AF0026"/>
    <w:rsid w:val="00AF1089"/>
    <w:rsid w:val="00AF1E60"/>
    <w:rsid w:val="00AF2059"/>
    <w:rsid w:val="00B014DE"/>
    <w:rsid w:val="00B02010"/>
    <w:rsid w:val="00B02CC0"/>
    <w:rsid w:val="00B0570C"/>
    <w:rsid w:val="00B06045"/>
    <w:rsid w:val="00B06DEB"/>
    <w:rsid w:val="00B11FF2"/>
    <w:rsid w:val="00B13AA8"/>
    <w:rsid w:val="00B20000"/>
    <w:rsid w:val="00B21EF6"/>
    <w:rsid w:val="00B221CB"/>
    <w:rsid w:val="00B23C52"/>
    <w:rsid w:val="00B2653F"/>
    <w:rsid w:val="00B30306"/>
    <w:rsid w:val="00B31A61"/>
    <w:rsid w:val="00B36533"/>
    <w:rsid w:val="00B37B37"/>
    <w:rsid w:val="00B42172"/>
    <w:rsid w:val="00B44A2E"/>
    <w:rsid w:val="00B4521F"/>
    <w:rsid w:val="00B50ECE"/>
    <w:rsid w:val="00B51354"/>
    <w:rsid w:val="00B52545"/>
    <w:rsid w:val="00B5352E"/>
    <w:rsid w:val="00B557ED"/>
    <w:rsid w:val="00B55B54"/>
    <w:rsid w:val="00B64099"/>
    <w:rsid w:val="00B71438"/>
    <w:rsid w:val="00B71F75"/>
    <w:rsid w:val="00B72269"/>
    <w:rsid w:val="00B83856"/>
    <w:rsid w:val="00B903E5"/>
    <w:rsid w:val="00B909A3"/>
    <w:rsid w:val="00B9295B"/>
    <w:rsid w:val="00B92EB4"/>
    <w:rsid w:val="00B9621B"/>
    <w:rsid w:val="00B97CBC"/>
    <w:rsid w:val="00BA30A4"/>
    <w:rsid w:val="00BA4B5D"/>
    <w:rsid w:val="00BA5422"/>
    <w:rsid w:val="00BA660F"/>
    <w:rsid w:val="00BB07F7"/>
    <w:rsid w:val="00BB5F7B"/>
    <w:rsid w:val="00BB6685"/>
    <w:rsid w:val="00BB713E"/>
    <w:rsid w:val="00BB77EF"/>
    <w:rsid w:val="00BC09B5"/>
    <w:rsid w:val="00BC7505"/>
    <w:rsid w:val="00BC7F92"/>
    <w:rsid w:val="00BD0857"/>
    <w:rsid w:val="00BD216F"/>
    <w:rsid w:val="00BD3C80"/>
    <w:rsid w:val="00BD44C3"/>
    <w:rsid w:val="00BD4A22"/>
    <w:rsid w:val="00BD53FC"/>
    <w:rsid w:val="00BE1A72"/>
    <w:rsid w:val="00BE232B"/>
    <w:rsid w:val="00BE2C83"/>
    <w:rsid w:val="00BE33D4"/>
    <w:rsid w:val="00BE5D3D"/>
    <w:rsid w:val="00BF1733"/>
    <w:rsid w:val="00BF3E4A"/>
    <w:rsid w:val="00BF4011"/>
    <w:rsid w:val="00BF448A"/>
    <w:rsid w:val="00BF536B"/>
    <w:rsid w:val="00C031FF"/>
    <w:rsid w:val="00C076A0"/>
    <w:rsid w:val="00C1004F"/>
    <w:rsid w:val="00C11E98"/>
    <w:rsid w:val="00C120DE"/>
    <w:rsid w:val="00C12574"/>
    <w:rsid w:val="00C13597"/>
    <w:rsid w:val="00C14DF5"/>
    <w:rsid w:val="00C16163"/>
    <w:rsid w:val="00C16BE1"/>
    <w:rsid w:val="00C1735B"/>
    <w:rsid w:val="00C20532"/>
    <w:rsid w:val="00C20BBC"/>
    <w:rsid w:val="00C23562"/>
    <w:rsid w:val="00C23B4C"/>
    <w:rsid w:val="00C254E4"/>
    <w:rsid w:val="00C2732B"/>
    <w:rsid w:val="00C30396"/>
    <w:rsid w:val="00C35316"/>
    <w:rsid w:val="00C35A27"/>
    <w:rsid w:val="00C42019"/>
    <w:rsid w:val="00C42925"/>
    <w:rsid w:val="00C45A71"/>
    <w:rsid w:val="00C47E46"/>
    <w:rsid w:val="00C52C10"/>
    <w:rsid w:val="00C53D74"/>
    <w:rsid w:val="00C5547F"/>
    <w:rsid w:val="00C559C2"/>
    <w:rsid w:val="00C5664A"/>
    <w:rsid w:val="00C56C6A"/>
    <w:rsid w:val="00C60F54"/>
    <w:rsid w:val="00C610D3"/>
    <w:rsid w:val="00C62C7C"/>
    <w:rsid w:val="00C717F2"/>
    <w:rsid w:val="00C71BE4"/>
    <w:rsid w:val="00C7415B"/>
    <w:rsid w:val="00C75B77"/>
    <w:rsid w:val="00C83DD1"/>
    <w:rsid w:val="00C94F3B"/>
    <w:rsid w:val="00C955F7"/>
    <w:rsid w:val="00C95FB0"/>
    <w:rsid w:val="00CA6397"/>
    <w:rsid w:val="00CB039A"/>
    <w:rsid w:val="00CB0F4E"/>
    <w:rsid w:val="00CB12A0"/>
    <w:rsid w:val="00CB30CC"/>
    <w:rsid w:val="00CB40A6"/>
    <w:rsid w:val="00CC4BF3"/>
    <w:rsid w:val="00CC5343"/>
    <w:rsid w:val="00CC6178"/>
    <w:rsid w:val="00CC6695"/>
    <w:rsid w:val="00CC7B11"/>
    <w:rsid w:val="00CD0F5A"/>
    <w:rsid w:val="00CD277E"/>
    <w:rsid w:val="00CD2A59"/>
    <w:rsid w:val="00CD426C"/>
    <w:rsid w:val="00CD43B7"/>
    <w:rsid w:val="00CD524B"/>
    <w:rsid w:val="00CE21F0"/>
    <w:rsid w:val="00CE2706"/>
    <w:rsid w:val="00CE3E77"/>
    <w:rsid w:val="00CE44BA"/>
    <w:rsid w:val="00CE496F"/>
    <w:rsid w:val="00CF0640"/>
    <w:rsid w:val="00CF09E3"/>
    <w:rsid w:val="00CF1967"/>
    <w:rsid w:val="00CF209F"/>
    <w:rsid w:val="00CF3403"/>
    <w:rsid w:val="00CF48C8"/>
    <w:rsid w:val="00CF708B"/>
    <w:rsid w:val="00D01190"/>
    <w:rsid w:val="00D0542E"/>
    <w:rsid w:val="00D07609"/>
    <w:rsid w:val="00D142EC"/>
    <w:rsid w:val="00D15616"/>
    <w:rsid w:val="00D17876"/>
    <w:rsid w:val="00D214C2"/>
    <w:rsid w:val="00D253C7"/>
    <w:rsid w:val="00D300A0"/>
    <w:rsid w:val="00D326E1"/>
    <w:rsid w:val="00D40905"/>
    <w:rsid w:val="00D41233"/>
    <w:rsid w:val="00D412EA"/>
    <w:rsid w:val="00D42EDA"/>
    <w:rsid w:val="00D43E5C"/>
    <w:rsid w:val="00D44576"/>
    <w:rsid w:val="00D533EB"/>
    <w:rsid w:val="00D53D2D"/>
    <w:rsid w:val="00D54F9C"/>
    <w:rsid w:val="00D55E23"/>
    <w:rsid w:val="00D61A84"/>
    <w:rsid w:val="00D67050"/>
    <w:rsid w:val="00D675D3"/>
    <w:rsid w:val="00D72230"/>
    <w:rsid w:val="00D73480"/>
    <w:rsid w:val="00D7603E"/>
    <w:rsid w:val="00D77EF6"/>
    <w:rsid w:val="00D82480"/>
    <w:rsid w:val="00D82533"/>
    <w:rsid w:val="00D86904"/>
    <w:rsid w:val="00D904AD"/>
    <w:rsid w:val="00D91078"/>
    <w:rsid w:val="00D931EF"/>
    <w:rsid w:val="00D95DA1"/>
    <w:rsid w:val="00D97647"/>
    <w:rsid w:val="00DA0393"/>
    <w:rsid w:val="00DA1A83"/>
    <w:rsid w:val="00DA3339"/>
    <w:rsid w:val="00DA3E9E"/>
    <w:rsid w:val="00DA44EB"/>
    <w:rsid w:val="00DA46F3"/>
    <w:rsid w:val="00DA72A8"/>
    <w:rsid w:val="00DB05DC"/>
    <w:rsid w:val="00DB70FA"/>
    <w:rsid w:val="00DC6C4F"/>
    <w:rsid w:val="00DC7B8B"/>
    <w:rsid w:val="00DD4D8B"/>
    <w:rsid w:val="00DD6AC6"/>
    <w:rsid w:val="00DD70B6"/>
    <w:rsid w:val="00DE20F5"/>
    <w:rsid w:val="00DE2390"/>
    <w:rsid w:val="00DE2D6A"/>
    <w:rsid w:val="00DE47F0"/>
    <w:rsid w:val="00DE5A1F"/>
    <w:rsid w:val="00DE6E93"/>
    <w:rsid w:val="00DE734B"/>
    <w:rsid w:val="00DE7C2D"/>
    <w:rsid w:val="00DF267C"/>
    <w:rsid w:val="00DF2DBD"/>
    <w:rsid w:val="00DF5055"/>
    <w:rsid w:val="00DF7C7F"/>
    <w:rsid w:val="00E02B24"/>
    <w:rsid w:val="00E02C2B"/>
    <w:rsid w:val="00E07D50"/>
    <w:rsid w:val="00E17B32"/>
    <w:rsid w:val="00E17BDC"/>
    <w:rsid w:val="00E20830"/>
    <w:rsid w:val="00E20EFA"/>
    <w:rsid w:val="00E21783"/>
    <w:rsid w:val="00E22AE3"/>
    <w:rsid w:val="00E25068"/>
    <w:rsid w:val="00E256E5"/>
    <w:rsid w:val="00E268F6"/>
    <w:rsid w:val="00E269B7"/>
    <w:rsid w:val="00E26B15"/>
    <w:rsid w:val="00E276E5"/>
    <w:rsid w:val="00E372A6"/>
    <w:rsid w:val="00E37E30"/>
    <w:rsid w:val="00E40066"/>
    <w:rsid w:val="00E43038"/>
    <w:rsid w:val="00E450AE"/>
    <w:rsid w:val="00E461FD"/>
    <w:rsid w:val="00E51AC3"/>
    <w:rsid w:val="00E60283"/>
    <w:rsid w:val="00E619C1"/>
    <w:rsid w:val="00E63DE4"/>
    <w:rsid w:val="00E668CA"/>
    <w:rsid w:val="00E708CD"/>
    <w:rsid w:val="00E72F29"/>
    <w:rsid w:val="00E7538E"/>
    <w:rsid w:val="00E75E81"/>
    <w:rsid w:val="00E80FA1"/>
    <w:rsid w:val="00E87CBE"/>
    <w:rsid w:val="00E948D0"/>
    <w:rsid w:val="00E94969"/>
    <w:rsid w:val="00E94EFF"/>
    <w:rsid w:val="00E9523D"/>
    <w:rsid w:val="00E95B27"/>
    <w:rsid w:val="00E95DC9"/>
    <w:rsid w:val="00E962E2"/>
    <w:rsid w:val="00EA13EB"/>
    <w:rsid w:val="00EA3F1C"/>
    <w:rsid w:val="00EB145C"/>
    <w:rsid w:val="00EB3A99"/>
    <w:rsid w:val="00EB4FD1"/>
    <w:rsid w:val="00EB6EEC"/>
    <w:rsid w:val="00EB7785"/>
    <w:rsid w:val="00EC13DF"/>
    <w:rsid w:val="00EC3D7A"/>
    <w:rsid w:val="00EC4CD7"/>
    <w:rsid w:val="00EC53C0"/>
    <w:rsid w:val="00EC5BB6"/>
    <w:rsid w:val="00EC6286"/>
    <w:rsid w:val="00ED243F"/>
    <w:rsid w:val="00ED2B20"/>
    <w:rsid w:val="00ED4813"/>
    <w:rsid w:val="00ED6C48"/>
    <w:rsid w:val="00EE0533"/>
    <w:rsid w:val="00EE1E5D"/>
    <w:rsid w:val="00EE23D0"/>
    <w:rsid w:val="00EE3749"/>
    <w:rsid w:val="00EE610F"/>
    <w:rsid w:val="00EE68FD"/>
    <w:rsid w:val="00EE6B9D"/>
    <w:rsid w:val="00EE7AD5"/>
    <w:rsid w:val="00EE7E5C"/>
    <w:rsid w:val="00F006D8"/>
    <w:rsid w:val="00F143F1"/>
    <w:rsid w:val="00F1772B"/>
    <w:rsid w:val="00F23BF6"/>
    <w:rsid w:val="00F2687A"/>
    <w:rsid w:val="00F314AA"/>
    <w:rsid w:val="00F33629"/>
    <w:rsid w:val="00F373C9"/>
    <w:rsid w:val="00F41F0F"/>
    <w:rsid w:val="00F506AA"/>
    <w:rsid w:val="00F51EB1"/>
    <w:rsid w:val="00F57A55"/>
    <w:rsid w:val="00F603F4"/>
    <w:rsid w:val="00F60DF1"/>
    <w:rsid w:val="00F61039"/>
    <w:rsid w:val="00F611EB"/>
    <w:rsid w:val="00F6325B"/>
    <w:rsid w:val="00F639EE"/>
    <w:rsid w:val="00F650AA"/>
    <w:rsid w:val="00F657AA"/>
    <w:rsid w:val="00F65F5D"/>
    <w:rsid w:val="00F65FA0"/>
    <w:rsid w:val="00F66306"/>
    <w:rsid w:val="00F66DA0"/>
    <w:rsid w:val="00F70D33"/>
    <w:rsid w:val="00F7648E"/>
    <w:rsid w:val="00F7713A"/>
    <w:rsid w:val="00F8318A"/>
    <w:rsid w:val="00F84ABA"/>
    <w:rsid w:val="00F86A3A"/>
    <w:rsid w:val="00F87FD3"/>
    <w:rsid w:val="00F90F04"/>
    <w:rsid w:val="00F91DA2"/>
    <w:rsid w:val="00FA1378"/>
    <w:rsid w:val="00FA2CEF"/>
    <w:rsid w:val="00FA2DA4"/>
    <w:rsid w:val="00FA5A8B"/>
    <w:rsid w:val="00FA6BF8"/>
    <w:rsid w:val="00FA6F00"/>
    <w:rsid w:val="00FB1DFE"/>
    <w:rsid w:val="00FB1FAE"/>
    <w:rsid w:val="00FB788C"/>
    <w:rsid w:val="00FB79F9"/>
    <w:rsid w:val="00FC6605"/>
    <w:rsid w:val="00FD2160"/>
    <w:rsid w:val="00FD2999"/>
    <w:rsid w:val="00FE0578"/>
    <w:rsid w:val="00FE2454"/>
    <w:rsid w:val="00FF0693"/>
    <w:rsid w:val="00FF0C16"/>
    <w:rsid w:val="00FF141B"/>
    <w:rsid w:val="00FF32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AA3CA"/>
  <w15:docId w15:val="{CBBCD44B-4F9A-47C0-AAFC-C4B318F4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link w:val="Appelnotedebasd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4D2B1E"/>
    <w:rPr>
      <w:rFonts w:ascii="Times New Roman" w:hAnsi="Times New Roman" w:cs="Times New Roman"/>
      <w:sz w:val="20"/>
      <w:szCs w:val="20"/>
    </w:rPr>
  </w:style>
  <w:style w:type="paragraph" w:customStyle="1" w:styleId="Default">
    <w:name w:val="Default"/>
    <w:rsid w:val="004D2B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6A7E"/>
    <w:rPr>
      <w:color w:val="0000FF" w:themeColor="hyperlink"/>
      <w:u w:val="single"/>
    </w:rPr>
  </w:style>
  <w:style w:type="character" w:styleId="CommentReference">
    <w:name w:val="annotation reference"/>
    <w:basedOn w:val="DefaultParagraphFont"/>
    <w:uiPriority w:val="99"/>
    <w:semiHidden/>
    <w:unhideWhenUsed/>
    <w:rsid w:val="00460007"/>
    <w:rPr>
      <w:sz w:val="16"/>
      <w:szCs w:val="16"/>
    </w:rPr>
  </w:style>
  <w:style w:type="paragraph" w:styleId="CommentText">
    <w:name w:val="annotation text"/>
    <w:basedOn w:val="Normal"/>
    <w:link w:val="CommentTextChar"/>
    <w:uiPriority w:val="99"/>
    <w:semiHidden/>
    <w:unhideWhenUsed/>
    <w:rsid w:val="00460007"/>
    <w:pPr>
      <w:spacing w:line="240" w:lineRule="auto"/>
    </w:pPr>
  </w:style>
  <w:style w:type="character" w:customStyle="1" w:styleId="CommentTextChar">
    <w:name w:val="Comment Text Char"/>
    <w:basedOn w:val="DefaultParagraphFont"/>
    <w:link w:val="CommentText"/>
    <w:uiPriority w:val="99"/>
    <w:semiHidden/>
    <w:rsid w:val="0046000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60007"/>
    <w:rPr>
      <w:b/>
      <w:bCs/>
    </w:rPr>
  </w:style>
  <w:style w:type="character" w:customStyle="1" w:styleId="CommentSubjectChar">
    <w:name w:val="Comment Subject Char"/>
    <w:basedOn w:val="CommentTextChar"/>
    <w:link w:val="CommentSubject"/>
    <w:uiPriority w:val="99"/>
    <w:semiHidden/>
    <w:rsid w:val="00460007"/>
    <w:rPr>
      <w:rFonts w:ascii="Times New Roman" w:eastAsia="Times New Roman" w:hAnsi="Times New Roman" w:cs="Times New Roman"/>
      <w:b/>
      <w:bCs/>
      <w:sz w:val="20"/>
      <w:szCs w:val="20"/>
      <w:lang w:eastAsia="en-US"/>
    </w:rPr>
  </w:style>
  <w:style w:type="paragraph" w:styleId="Revision">
    <w:name w:val="Revision"/>
    <w:hidden/>
    <w:uiPriority w:val="99"/>
    <w:semiHidden/>
    <w:rsid w:val="00DE7C2D"/>
    <w:pPr>
      <w:spacing w:after="0" w:line="240" w:lineRule="auto"/>
    </w:pPr>
    <w:rPr>
      <w:rFonts w:ascii="Times New Roman" w:eastAsia="Times New Roman" w:hAnsi="Times New Roman" w:cs="Times New Roman"/>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83089D"/>
    <w:pPr>
      <w:suppressAutoHyphens w:val="0"/>
      <w:spacing w:before="120" w:after="120" w:line="240" w:lineRule="auto"/>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BDE4B-FDA3-4096-BE73-707847690997}">
  <ds:schemaRefs>
    <ds:schemaRef ds:uri="http://schemas.openxmlformats.org/officeDocument/2006/bibliography"/>
  </ds:schemaRefs>
</ds:datastoreItem>
</file>

<file path=customXml/itemProps2.xml><?xml version="1.0" encoding="utf-8"?>
<ds:datastoreItem xmlns:ds="http://schemas.openxmlformats.org/officeDocument/2006/customXml" ds:itemID="{BDF6B080-11B2-4E54-B854-9CEB8A4EF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0564F-E1A4-453C-AE82-9686C847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168F54-51DB-46C3-9FA4-19EEC371B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6339</Words>
  <Characters>36133</Characters>
  <Application>Microsoft Office Word</Application>
  <DocSecurity>0</DocSecurity>
  <Lines>301</Lines>
  <Paragraphs>84</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CCPR/C/131/DR/2452/2014/Rev.1</vt:lpstr>
      <vt:lpstr>1606987</vt:lpstr>
      <vt:lpstr>1606987</vt:lpstr>
    </vt:vector>
  </TitlesOfParts>
  <Company>DCM</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CCPR/C/131/DR/2452/2014/Rev.1</dc:title>
  <dc:subject>2102491</dc:subject>
  <dc:creator>Giltsoff</dc:creator>
  <cp:keywords/>
  <dc:description/>
  <cp:lastModifiedBy>Daniella Ferreira</cp:lastModifiedBy>
  <cp:revision>2</cp:revision>
  <cp:lastPrinted>2021-04-22T06:45:00Z</cp:lastPrinted>
  <dcterms:created xsi:type="dcterms:W3CDTF">2021-04-29T09:29:00Z</dcterms:created>
  <dcterms:modified xsi:type="dcterms:W3CDTF">2021-04-29T09:29:00Z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