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690686" w14:paraId="61A1A4C1" w14:textId="77777777" w:rsidTr="00B6553F">
        <w:trPr>
          <w:cantSplit/>
          <w:trHeight w:hRule="exact" w:val="851"/>
        </w:trPr>
        <w:tc>
          <w:tcPr>
            <w:tcW w:w="1276" w:type="dxa"/>
            <w:tcBorders>
              <w:bottom w:val="single" w:sz="4" w:space="0" w:color="auto"/>
            </w:tcBorders>
            <w:vAlign w:val="bottom"/>
          </w:tcPr>
          <w:p w14:paraId="32059F52" w14:textId="21E7EC61" w:rsidR="000128E3" w:rsidRPr="00767334" w:rsidRDefault="000128E3" w:rsidP="00B6553F">
            <w:pPr>
              <w:spacing w:after="80"/>
            </w:pPr>
          </w:p>
        </w:tc>
        <w:tc>
          <w:tcPr>
            <w:tcW w:w="2268" w:type="dxa"/>
            <w:tcBorders>
              <w:bottom w:val="single" w:sz="4" w:space="0" w:color="auto"/>
            </w:tcBorders>
            <w:vAlign w:val="bottom"/>
          </w:tcPr>
          <w:p w14:paraId="1CBDD060" w14:textId="77777777" w:rsidR="000128E3" w:rsidRPr="00690686" w:rsidRDefault="000128E3" w:rsidP="00B6553F">
            <w:pPr>
              <w:spacing w:after="80" w:line="300" w:lineRule="exact"/>
              <w:rPr>
                <w:b/>
              </w:rPr>
            </w:pPr>
            <w:r w:rsidRPr="00690686">
              <w:rPr>
                <w:sz w:val="28"/>
                <w:szCs w:val="28"/>
              </w:rPr>
              <w:t>United Nations</w:t>
            </w:r>
          </w:p>
        </w:tc>
        <w:tc>
          <w:tcPr>
            <w:tcW w:w="6095" w:type="dxa"/>
            <w:gridSpan w:val="2"/>
            <w:tcBorders>
              <w:bottom w:val="single" w:sz="4" w:space="0" w:color="auto"/>
            </w:tcBorders>
            <w:vAlign w:val="bottom"/>
          </w:tcPr>
          <w:p w14:paraId="38EFC692" w14:textId="1E1E1779" w:rsidR="000128E3" w:rsidRPr="00690686" w:rsidRDefault="000128E3" w:rsidP="00E71940">
            <w:pPr>
              <w:jc w:val="right"/>
              <w:rPr>
                <w:sz w:val="20"/>
                <w:szCs w:val="20"/>
              </w:rPr>
            </w:pPr>
            <w:r w:rsidRPr="00690686">
              <w:rPr>
                <w:sz w:val="40"/>
                <w:szCs w:val="40"/>
              </w:rPr>
              <w:t>CCPR</w:t>
            </w:r>
            <w:r w:rsidR="00431FE1" w:rsidRPr="00690686">
              <w:rPr>
                <w:sz w:val="20"/>
                <w:szCs w:val="20"/>
              </w:rPr>
              <w:t>/C</w:t>
            </w:r>
            <w:r w:rsidR="00212027" w:rsidRPr="00690686">
              <w:rPr>
                <w:sz w:val="20"/>
                <w:szCs w:val="20"/>
              </w:rPr>
              <w:t>/</w:t>
            </w:r>
            <w:r w:rsidR="00500313" w:rsidRPr="00690686">
              <w:rPr>
                <w:sz w:val="20"/>
                <w:szCs w:val="20"/>
              </w:rPr>
              <w:t>130</w:t>
            </w:r>
            <w:r w:rsidRPr="00690686">
              <w:rPr>
                <w:sz w:val="20"/>
                <w:szCs w:val="20"/>
              </w:rPr>
              <w:t>/D</w:t>
            </w:r>
            <w:r w:rsidR="00500313" w:rsidRPr="00690686">
              <w:rPr>
                <w:sz w:val="20"/>
                <w:szCs w:val="20"/>
              </w:rPr>
              <w:t>/3052</w:t>
            </w:r>
            <w:r w:rsidRPr="00690686">
              <w:rPr>
                <w:sz w:val="20"/>
                <w:szCs w:val="20"/>
              </w:rPr>
              <w:t>/201</w:t>
            </w:r>
            <w:r w:rsidR="00500313" w:rsidRPr="00690686">
              <w:rPr>
                <w:sz w:val="20"/>
                <w:szCs w:val="20"/>
              </w:rPr>
              <w:t>7</w:t>
            </w:r>
          </w:p>
        </w:tc>
      </w:tr>
      <w:tr w:rsidR="000128E3" w:rsidRPr="00690686" w14:paraId="7477730B" w14:textId="77777777" w:rsidTr="00B6553F">
        <w:trPr>
          <w:cantSplit/>
          <w:trHeight w:hRule="exact" w:val="2835"/>
        </w:trPr>
        <w:tc>
          <w:tcPr>
            <w:tcW w:w="1276" w:type="dxa"/>
            <w:tcBorders>
              <w:top w:val="single" w:sz="4" w:space="0" w:color="auto"/>
              <w:bottom w:val="single" w:sz="12" w:space="0" w:color="auto"/>
            </w:tcBorders>
          </w:tcPr>
          <w:p w14:paraId="113A7887" w14:textId="77777777" w:rsidR="000128E3" w:rsidRPr="00690686" w:rsidRDefault="00F145AF" w:rsidP="00B6553F">
            <w:pPr>
              <w:spacing w:before="120"/>
            </w:pPr>
            <w:r w:rsidRPr="00690686">
              <w:rPr>
                <w:noProof/>
                <w:lang w:eastAsia="en-GB" w:bidi="ar-SA"/>
              </w:rPr>
              <w:drawing>
                <wp:inline distT="0" distB="0" distL="0" distR="0" wp14:anchorId="40A95906" wp14:editId="3BC924E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774226" w14:textId="77777777" w:rsidR="00C7385F" w:rsidRDefault="000128E3" w:rsidP="00267F5F">
            <w:pPr>
              <w:spacing w:before="120" w:line="380" w:lineRule="exact"/>
              <w:rPr>
                <w:b/>
                <w:sz w:val="34"/>
                <w:szCs w:val="40"/>
              </w:rPr>
            </w:pPr>
            <w:r w:rsidRPr="00690686">
              <w:rPr>
                <w:b/>
                <w:sz w:val="34"/>
                <w:szCs w:val="40"/>
              </w:rPr>
              <w:t>International Covenant on</w:t>
            </w:r>
            <w:r w:rsidRPr="00690686">
              <w:rPr>
                <w:b/>
                <w:sz w:val="34"/>
                <w:szCs w:val="40"/>
              </w:rPr>
              <w:br/>
              <w:t>Civil and Political Rights</w:t>
            </w:r>
          </w:p>
          <w:p w14:paraId="4ED3ADD4" w14:textId="77777777" w:rsidR="008A69DF" w:rsidRDefault="008A69DF" w:rsidP="00267F5F">
            <w:pPr>
              <w:spacing w:before="120" w:line="380" w:lineRule="exact"/>
              <w:rPr>
                <w:b/>
                <w:sz w:val="34"/>
                <w:szCs w:val="40"/>
              </w:rPr>
            </w:pPr>
          </w:p>
          <w:p w14:paraId="5EEE65C3" w14:textId="77777777" w:rsidR="008A69DF" w:rsidRDefault="008A69DF" w:rsidP="008A69DF">
            <w:pPr>
              <w:spacing w:before="120" w:line="380" w:lineRule="exact"/>
              <w:rPr>
                <w:b/>
                <w:sz w:val="34"/>
                <w:szCs w:val="34"/>
                <w:lang w:bidi="ar-SA"/>
              </w:rPr>
            </w:pPr>
            <w:r>
              <w:rPr>
                <w:sz w:val="34"/>
                <w:szCs w:val="40"/>
              </w:rPr>
              <w:t>Advance unedited version</w:t>
            </w:r>
          </w:p>
          <w:p w14:paraId="0B2E828D" w14:textId="2B0ADEBC" w:rsidR="008A69DF" w:rsidRPr="00690686" w:rsidRDefault="008A69DF" w:rsidP="00267F5F">
            <w:pPr>
              <w:spacing w:before="120" w:line="380" w:lineRule="exact"/>
              <w:rPr>
                <w:b/>
                <w:sz w:val="34"/>
                <w:szCs w:val="40"/>
              </w:rPr>
            </w:pPr>
          </w:p>
        </w:tc>
        <w:tc>
          <w:tcPr>
            <w:tcW w:w="2835" w:type="dxa"/>
            <w:tcBorders>
              <w:top w:val="single" w:sz="4" w:space="0" w:color="auto"/>
              <w:bottom w:val="single" w:sz="12" w:space="0" w:color="auto"/>
            </w:tcBorders>
          </w:tcPr>
          <w:p w14:paraId="553EFD3E" w14:textId="3FFA4D27" w:rsidR="00F5619B" w:rsidRPr="00690686" w:rsidRDefault="00F5619B" w:rsidP="00F5619B">
            <w:pPr>
              <w:spacing w:before="240" w:line="240" w:lineRule="exact"/>
              <w:rPr>
                <w:sz w:val="20"/>
                <w:szCs w:val="20"/>
              </w:rPr>
            </w:pPr>
            <w:r w:rsidRPr="00690686">
              <w:rPr>
                <w:sz w:val="20"/>
                <w:szCs w:val="20"/>
              </w:rPr>
              <w:t xml:space="preserve">Distr.: </w:t>
            </w:r>
            <w:r w:rsidR="00E71940">
              <w:rPr>
                <w:sz w:val="20"/>
                <w:szCs w:val="20"/>
              </w:rPr>
              <w:t>General</w:t>
            </w:r>
          </w:p>
          <w:p w14:paraId="6C8626C3" w14:textId="77F4D71F" w:rsidR="00F5619B" w:rsidRPr="00690686" w:rsidRDefault="00E71940" w:rsidP="0089360F">
            <w:pPr>
              <w:spacing w:line="240" w:lineRule="exact"/>
              <w:rPr>
                <w:sz w:val="20"/>
                <w:szCs w:val="20"/>
              </w:rPr>
            </w:pPr>
            <w:r>
              <w:rPr>
                <w:sz w:val="20"/>
                <w:szCs w:val="20"/>
              </w:rPr>
              <w:t>7 April 2021</w:t>
            </w:r>
          </w:p>
          <w:p w14:paraId="7189EE9D" w14:textId="77777777" w:rsidR="00F5619B" w:rsidRPr="00690686" w:rsidRDefault="00F5619B" w:rsidP="00F5619B">
            <w:pPr>
              <w:spacing w:line="240" w:lineRule="exact"/>
              <w:rPr>
                <w:sz w:val="20"/>
                <w:szCs w:val="20"/>
              </w:rPr>
            </w:pPr>
          </w:p>
          <w:p w14:paraId="5393ECE7" w14:textId="77777777" w:rsidR="00F5619B" w:rsidRPr="00690686" w:rsidRDefault="00F5619B" w:rsidP="00F5619B">
            <w:pPr>
              <w:spacing w:line="240" w:lineRule="exact"/>
              <w:rPr>
                <w:sz w:val="20"/>
                <w:szCs w:val="20"/>
              </w:rPr>
            </w:pPr>
            <w:r w:rsidRPr="00690686">
              <w:rPr>
                <w:sz w:val="20"/>
                <w:szCs w:val="20"/>
              </w:rPr>
              <w:t>Original: English</w:t>
            </w:r>
          </w:p>
          <w:p w14:paraId="18725018" w14:textId="6B5D8718" w:rsidR="000128E3" w:rsidRPr="00690686" w:rsidRDefault="000128E3" w:rsidP="00F5619B">
            <w:pPr>
              <w:spacing w:line="240" w:lineRule="exact"/>
              <w:rPr>
                <w:sz w:val="20"/>
                <w:szCs w:val="20"/>
              </w:rPr>
            </w:pPr>
          </w:p>
        </w:tc>
      </w:tr>
    </w:tbl>
    <w:p w14:paraId="25857465" w14:textId="77777777" w:rsidR="008C017D" w:rsidRPr="00690686" w:rsidRDefault="008C017D" w:rsidP="008C017D">
      <w:pPr>
        <w:spacing w:line="20" w:lineRule="exact"/>
        <w:rPr>
          <w:b/>
          <w:sz w:val="2"/>
        </w:rPr>
      </w:pPr>
    </w:p>
    <w:p w14:paraId="45AC9DBB" w14:textId="77777777" w:rsidR="00F5619B" w:rsidRPr="00690686" w:rsidRDefault="00F5619B" w:rsidP="00F5619B">
      <w:pPr>
        <w:spacing w:before="120"/>
        <w:rPr>
          <w:b/>
          <w:bCs/>
        </w:rPr>
      </w:pPr>
      <w:r w:rsidRPr="00690686">
        <w:rPr>
          <w:b/>
          <w:bCs/>
        </w:rPr>
        <w:t>Human Rights Committee</w:t>
      </w:r>
    </w:p>
    <w:p w14:paraId="0E41740A" w14:textId="0BC49823" w:rsidR="008A5196" w:rsidRPr="008A69DF" w:rsidRDefault="00FC70CA" w:rsidP="008A69DF">
      <w:pPr>
        <w:pStyle w:val="HChG"/>
      </w:pPr>
      <w:r w:rsidRPr="00690686">
        <w:rPr>
          <w:sz w:val="20"/>
        </w:rPr>
        <w:tab/>
      </w:r>
      <w:r w:rsidRPr="00690686">
        <w:rPr>
          <w:sz w:val="20"/>
        </w:rPr>
        <w:tab/>
      </w:r>
      <w:r w:rsidR="00E71940" w:rsidRPr="008A69DF">
        <w:t>Decision adopted by the Committee under the Optional Protocol, concerning c</w:t>
      </w:r>
      <w:r w:rsidR="008A5196" w:rsidRPr="008A69DF">
        <w:t xml:space="preserve">ommunication No. </w:t>
      </w:r>
      <w:r w:rsidR="00500313" w:rsidRPr="008A69DF">
        <w:t>3052</w:t>
      </w:r>
      <w:r w:rsidR="00CB6C91" w:rsidRPr="008A69DF">
        <w:t>/201</w:t>
      </w:r>
      <w:r w:rsidR="00500313" w:rsidRPr="008A69DF">
        <w:t>7</w:t>
      </w:r>
      <w:r w:rsidR="008A69DF" w:rsidRPr="008A69DF">
        <w:rPr>
          <w:rStyle w:val="FootnoteReference"/>
          <w:sz w:val="28"/>
          <w:vertAlign w:val="baseline"/>
        </w:rPr>
        <w:footnoteReference w:customMarkFollows="1" w:id="2"/>
        <w:t>*</w:t>
      </w:r>
      <w:r w:rsidR="008A69DF" w:rsidRPr="008A69DF">
        <w:rPr>
          <w:vertAlign w:val="superscript"/>
        </w:rPr>
        <w:t>,</w:t>
      </w:r>
      <w:r w:rsidR="008A69DF" w:rsidRPr="008A69DF">
        <w:rPr>
          <w:rStyle w:val="FootnoteReference"/>
          <w:sz w:val="28"/>
          <w:vertAlign w:val="baseline"/>
        </w:rPr>
        <w:footnoteReference w:customMarkFollows="1" w:id="3"/>
        <w:t>**</w:t>
      </w:r>
    </w:p>
    <w:p w14:paraId="1B019CC7" w14:textId="409C6950" w:rsidR="000128E3" w:rsidRPr="00690686" w:rsidRDefault="00683EF7" w:rsidP="00985865">
      <w:pPr>
        <w:pStyle w:val="SingleTxtG"/>
        <w:ind w:left="4536" w:hanging="3402"/>
        <w:jc w:val="left"/>
      </w:pPr>
      <w:r w:rsidRPr="00690686">
        <w:rPr>
          <w:i/>
        </w:rPr>
        <w:t>Communication s</w:t>
      </w:r>
      <w:r w:rsidR="000128E3" w:rsidRPr="00690686">
        <w:rPr>
          <w:i/>
        </w:rPr>
        <w:t>ubmitted by</w:t>
      </w:r>
      <w:r w:rsidR="000128E3" w:rsidRPr="00690686">
        <w:t>:</w:t>
      </w:r>
      <w:r w:rsidR="000128E3" w:rsidRPr="00690686">
        <w:tab/>
      </w:r>
      <w:r w:rsidR="00500313" w:rsidRPr="00690686">
        <w:t>Ms</w:t>
      </w:r>
      <w:r w:rsidR="00B40E96" w:rsidRPr="00690686">
        <w:t xml:space="preserve">. </w:t>
      </w:r>
      <w:r w:rsidR="009B026D" w:rsidRPr="00690686">
        <w:t>A</w:t>
      </w:r>
      <w:r w:rsidR="00E71940">
        <w:t>.</w:t>
      </w:r>
      <w:r w:rsidR="009B026D" w:rsidRPr="00690686">
        <w:t xml:space="preserve"> G</w:t>
      </w:r>
      <w:r w:rsidR="00E71940">
        <w:t>.</w:t>
      </w:r>
      <w:r w:rsidR="00B40E96" w:rsidRPr="00690686">
        <w:t>, represented</w:t>
      </w:r>
      <w:r w:rsidR="004B4461" w:rsidRPr="00690686">
        <w:t xml:space="preserve"> </w:t>
      </w:r>
      <w:r w:rsidR="00B40E96" w:rsidRPr="00690686">
        <w:t xml:space="preserve">by </w:t>
      </w:r>
      <w:r w:rsidR="00200A6F" w:rsidRPr="00690686">
        <w:t xml:space="preserve">Mr. </w:t>
      </w:r>
      <w:r w:rsidR="00500313" w:rsidRPr="00690686">
        <w:t xml:space="preserve">J. Bravo </w:t>
      </w:r>
      <w:proofErr w:type="spellStart"/>
      <w:r w:rsidR="00500313" w:rsidRPr="00690686">
        <w:t>Mougán</w:t>
      </w:r>
      <w:proofErr w:type="spellEnd"/>
    </w:p>
    <w:p w14:paraId="27E83C1D" w14:textId="14D4B1A2" w:rsidR="000128E3" w:rsidRPr="00690686" w:rsidRDefault="000128E3" w:rsidP="007113A4">
      <w:pPr>
        <w:pStyle w:val="SingleTxtG"/>
        <w:ind w:left="4536" w:hanging="3402"/>
        <w:jc w:val="left"/>
      </w:pPr>
      <w:r w:rsidRPr="00690686">
        <w:rPr>
          <w:i/>
        </w:rPr>
        <w:t>Alleged victim</w:t>
      </w:r>
      <w:r w:rsidRPr="00690686">
        <w:t>:</w:t>
      </w:r>
      <w:r w:rsidRPr="00690686">
        <w:tab/>
      </w:r>
      <w:r w:rsidR="00500313" w:rsidRPr="00690686">
        <w:t>The Author</w:t>
      </w:r>
    </w:p>
    <w:p w14:paraId="1356E008" w14:textId="79B358E1" w:rsidR="000128E3" w:rsidRPr="00690686" w:rsidRDefault="000128E3" w:rsidP="007113A4">
      <w:pPr>
        <w:pStyle w:val="SingleTxtG"/>
        <w:ind w:left="4536" w:hanging="3402"/>
        <w:jc w:val="left"/>
      </w:pPr>
      <w:r w:rsidRPr="00690686">
        <w:rPr>
          <w:i/>
        </w:rPr>
        <w:t>State party</w:t>
      </w:r>
      <w:r w:rsidRPr="00690686">
        <w:t>:</w:t>
      </w:r>
      <w:r w:rsidRPr="00690686">
        <w:tab/>
      </w:r>
      <w:r w:rsidR="00500313" w:rsidRPr="00690686">
        <w:t>Netherlands</w:t>
      </w:r>
    </w:p>
    <w:p w14:paraId="06DD4EED" w14:textId="0E5CF136" w:rsidR="000128E3" w:rsidRPr="00690686" w:rsidRDefault="000128E3" w:rsidP="007113A4">
      <w:pPr>
        <w:pStyle w:val="SingleTxtG"/>
        <w:ind w:left="4536" w:hanging="3402"/>
        <w:jc w:val="left"/>
      </w:pPr>
      <w:r w:rsidRPr="00690686">
        <w:rPr>
          <w:i/>
        </w:rPr>
        <w:t>Date</w:t>
      </w:r>
      <w:r w:rsidR="00602B75" w:rsidRPr="00690686">
        <w:rPr>
          <w:i/>
        </w:rPr>
        <w:t>s</w:t>
      </w:r>
      <w:r w:rsidRPr="00690686">
        <w:rPr>
          <w:i/>
        </w:rPr>
        <w:t xml:space="preserve"> of communication</w:t>
      </w:r>
      <w:r w:rsidRPr="00690686">
        <w:t>:</w:t>
      </w:r>
      <w:r w:rsidRPr="00690686">
        <w:tab/>
      </w:r>
      <w:r w:rsidR="00500313" w:rsidRPr="00690686">
        <w:t>31</w:t>
      </w:r>
      <w:r w:rsidR="0066426E" w:rsidRPr="00690686">
        <w:t xml:space="preserve"> </w:t>
      </w:r>
      <w:r w:rsidR="00500313" w:rsidRPr="00690686">
        <w:t>October</w:t>
      </w:r>
      <w:r w:rsidR="004B4461" w:rsidRPr="00690686">
        <w:t xml:space="preserve"> </w:t>
      </w:r>
      <w:r w:rsidR="00B22683" w:rsidRPr="00690686">
        <w:t>201</w:t>
      </w:r>
      <w:r w:rsidR="00500313" w:rsidRPr="00690686">
        <w:t>7</w:t>
      </w:r>
      <w:r w:rsidRPr="00690686">
        <w:t xml:space="preserve"> (initial submission)</w:t>
      </w:r>
    </w:p>
    <w:p w14:paraId="736A53AC" w14:textId="6B66B2D9" w:rsidR="005F00F7" w:rsidRPr="00690686" w:rsidRDefault="000128E3" w:rsidP="007113A4">
      <w:pPr>
        <w:pStyle w:val="SingleTxtG"/>
        <w:ind w:left="4536" w:hanging="3402"/>
        <w:jc w:val="left"/>
        <w:rPr>
          <w:lang w:val="x-none"/>
        </w:rPr>
      </w:pPr>
      <w:r w:rsidRPr="00690686">
        <w:rPr>
          <w:i/>
        </w:rPr>
        <w:t>Document references</w:t>
      </w:r>
      <w:r w:rsidRPr="00690686">
        <w:t>:</w:t>
      </w:r>
      <w:r w:rsidRPr="00690686">
        <w:tab/>
      </w:r>
      <w:r w:rsidR="005F00F7" w:rsidRPr="00690686">
        <w:rPr>
          <w:lang w:val="en-US"/>
        </w:rPr>
        <w:t xml:space="preserve">Decision </w:t>
      </w:r>
      <w:r w:rsidR="005F00F7" w:rsidRPr="00690686">
        <w:t>taken</w:t>
      </w:r>
      <w:r w:rsidR="004312DC">
        <w:rPr>
          <w:lang w:val="en-US"/>
        </w:rPr>
        <w:t xml:space="preserve"> pursuant to rule</w:t>
      </w:r>
      <w:r w:rsidR="005F00F7" w:rsidRPr="00690686">
        <w:rPr>
          <w:lang w:val="en-US"/>
        </w:rPr>
        <w:t xml:space="preserve"> </w:t>
      </w:r>
      <w:r w:rsidR="0036535F">
        <w:rPr>
          <w:lang w:val="en-US"/>
        </w:rPr>
        <w:t>92</w:t>
      </w:r>
      <w:r w:rsidR="0036535F" w:rsidRPr="00690686">
        <w:rPr>
          <w:lang w:val="en-US"/>
        </w:rPr>
        <w:t xml:space="preserve"> </w:t>
      </w:r>
      <w:r w:rsidR="005F00F7" w:rsidRPr="00690686">
        <w:rPr>
          <w:lang w:val="en-US"/>
        </w:rPr>
        <w:t>of the Committee’s rules of procedure</w:t>
      </w:r>
      <w:r w:rsidR="005F00F7" w:rsidRPr="00690686">
        <w:rPr>
          <w:lang w:val="x-none"/>
        </w:rPr>
        <w:t xml:space="preserve">, transmitted to the State party on </w:t>
      </w:r>
      <w:r w:rsidR="005F00F7" w:rsidRPr="00690686">
        <w:t xml:space="preserve">23 November 2017 </w:t>
      </w:r>
      <w:r w:rsidR="005F00F7" w:rsidRPr="00690686">
        <w:rPr>
          <w:lang w:val="x-none"/>
        </w:rPr>
        <w:t>(not issued in document form)</w:t>
      </w:r>
    </w:p>
    <w:p w14:paraId="1F00515B" w14:textId="2EB419EF" w:rsidR="000128E3" w:rsidRPr="00690686" w:rsidRDefault="000128E3" w:rsidP="007113A4">
      <w:pPr>
        <w:pStyle w:val="SingleTxtG"/>
        <w:ind w:left="4536" w:hanging="3402"/>
        <w:jc w:val="left"/>
        <w:rPr>
          <w:i/>
        </w:rPr>
      </w:pPr>
      <w:r w:rsidRPr="00690686">
        <w:rPr>
          <w:i/>
        </w:rPr>
        <w:t xml:space="preserve">Date of adoption of </w:t>
      </w:r>
      <w:r w:rsidR="00E71940">
        <w:rPr>
          <w:i/>
        </w:rPr>
        <w:t>decision</w:t>
      </w:r>
      <w:r w:rsidRPr="00690686">
        <w:rPr>
          <w:i/>
        </w:rPr>
        <w:t>:</w:t>
      </w:r>
      <w:r w:rsidRPr="00690686">
        <w:tab/>
      </w:r>
      <w:r w:rsidR="00E71940">
        <w:t>6 November</w:t>
      </w:r>
      <w:r w:rsidR="008F34D7" w:rsidRPr="00690686">
        <w:t xml:space="preserve"> </w:t>
      </w:r>
      <w:r w:rsidRPr="00690686">
        <w:t>20</w:t>
      </w:r>
      <w:r w:rsidR="00F65C0A" w:rsidRPr="00690686">
        <w:t>20</w:t>
      </w:r>
    </w:p>
    <w:p w14:paraId="0E860FD7" w14:textId="1D63D5C1" w:rsidR="00CF7D0C" w:rsidRPr="00690686" w:rsidRDefault="000128E3" w:rsidP="007113A4">
      <w:pPr>
        <w:pStyle w:val="SingleTxtG"/>
        <w:ind w:left="4536" w:hanging="3402"/>
        <w:jc w:val="left"/>
      </w:pPr>
      <w:r w:rsidRPr="00690686">
        <w:rPr>
          <w:i/>
          <w:iCs/>
        </w:rPr>
        <w:t>Subject matter</w:t>
      </w:r>
      <w:r w:rsidRPr="00690686">
        <w:rPr>
          <w:iCs/>
        </w:rPr>
        <w:t>:</w:t>
      </w:r>
      <w:r w:rsidRPr="00690686">
        <w:tab/>
      </w:r>
      <w:r w:rsidR="00A6617B" w:rsidRPr="00690686">
        <w:t>Forced labour</w:t>
      </w:r>
    </w:p>
    <w:p w14:paraId="632EFAA4" w14:textId="1B6873DE" w:rsidR="000128E3" w:rsidRPr="00690686" w:rsidRDefault="000128E3" w:rsidP="007113A4">
      <w:pPr>
        <w:pStyle w:val="SingleTxtG"/>
        <w:ind w:left="4536" w:hanging="3402"/>
        <w:jc w:val="left"/>
      </w:pPr>
      <w:r w:rsidRPr="00690686">
        <w:rPr>
          <w:i/>
          <w:iCs/>
        </w:rPr>
        <w:t>Procedural issue</w:t>
      </w:r>
      <w:r w:rsidRPr="00690686">
        <w:rPr>
          <w:iCs/>
        </w:rPr>
        <w:t>:</w:t>
      </w:r>
      <w:r w:rsidRPr="00690686">
        <w:rPr>
          <w:i/>
          <w:iCs/>
        </w:rPr>
        <w:t xml:space="preserve"> </w:t>
      </w:r>
      <w:r w:rsidRPr="00690686">
        <w:rPr>
          <w:i/>
          <w:iCs/>
        </w:rPr>
        <w:tab/>
      </w:r>
      <w:r w:rsidR="00C814D7" w:rsidRPr="004B02A2">
        <w:t>Insufficient substantiation of claims</w:t>
      </w:r>
    </w:p>
    <w:p w14:paraId="1C524AF5" w14:textId="6324456D" w:rsidR="000128E3" w:rsidRPr="00690686" w:rsidRDefault="000128E3" w:rsidP="007113A4">
      <w:pPr>
        <w:pStyle w:val="SingleTxtG"/>
        <w:ind w:left="4536" w:hanging="3402"/>
        <w:jc w:val="left"/>
      </w:pPr>
      <w:r w:rsidRPr="00690686">
        <w:rPr>
          <w:i/>
          <w:iCs/>
        </w:rPr>
        <w:t>Substantive issues</w:t>
      </w:r>
      <w:r w:rsidRPr="00690686">
        <w:rPr>
          <w:iCs/>
        </w:rPr>
        <w:t>:</w:t>
      </w:r>
      <w:r w:rsidRPr="00690686">
        <w:rPr>
          <w:i/>
          <w:iCs/>
        </w:rPr>
        <w:t xml:space="preserve"> </w:t>
      </w:r>
      <w:r w:rsidRPr="00690686">
        <w:rPr>
          <w:i/>
          <w:iCs/>
        </w:rPr>
        <w:tab/>
      </w:r>
      <w:r w:rsidR="00CF7D0C" w:rsidRPr="00690686">
        <w:rPr>
          <w:iCs/>
        </w:rPr>
        <w:t>Right to an effective remedy; protection against forced labour and servitude</w:t>
      </w:r>
    </w:p>
    <w:p w14:paraId="2D78DBBC" w14:textId="231AD39D" w:rsidR="00500313" w:rsidRPr="00690686" w:rsidRDefault="000128E3" w:rsidP="003C4DEF">
      <w:pPr>
        <w:pStyle w:val="SingleTxtG"/>
        <w:ind w:left="4536" w:hanging="3402"/>
        <w:jc w:val="left"/>
      </w:pPr>
      <w:r w:rsidRPr="00690686">
        <w:rPr>
          <w:i/>
          <w:iCs/>
        </w:rPr>
        <w:t>Articles of the Covenant</w:t>
      </w:r>
      <w:r w:rsidRPr="00690686">
        <w:rPr>
          <w:iCs/>
        </w:rPr>
        <w:t>:</w:t>
      </w:r>
      <w:r w:rsidRPr="00690686">
        <w:t xml:space="preserve"> </w:t>
      </w:r>
      <w:r w:rsidRPr="00690686">
        <w:tab/>
      </w:r>
      <w:r w:rsidR="00500313" w:rsidRPr="00690686">
        <w:t>8</w:t>
      </w:r>
      <w:r w:rsidR="003B6DEA" w:rsidRPr="00690686">
        <w:t>, read</w:t>
      </w:r>
      <w:r w:rsidR="00500313" w:rsidRPr="00690686">
        <w:t xml:space="preserve"> in conjunction with 2(3)</w:t>
      </w:r>
      <w:r w:rsidR="00AC170B" w:rsidRPr="00690686">
        <w:t xml:space="preserve"> </w:t>
      </w:r>
    </w:p>
    <w:p w14:paraId="096B0A0D" w14:textId="568E55A7" w:rsidR="00A70C6F" w:rsidRPr="00690686" w:rsidRDefault="000128E3" w:rsidP="003C4DEF">
      <w:pPr>
        <w:pStyle w:val="SingleTxtG"/>
        <w:ind w:left="4536" w:hanging="3402"/>
        <w:jc w:val="left"/>
        <w:rPr>
          <w:iCs/>
        </w:rPr>
      </w:pPr>
      <w:r w:rsidRPr="00690686">
        <w:rPr>
          <w:i/>
          <w:iCs/>
        </w:rPr>
        <w:t>Article of the Optional Protocol</w:t>
      </w:r>
      <w:r w:rsidRPr="00690686">
        <w:rPr>
          <w:iCs/>
        </w:rPr>
        <w:t>:</w:t>
      </w:r>
      <w:r w:rsidRPr="00690686">
        <w:rPr>
          <w:i/>
          <w:iCs/>
        </w:rPr>
        <w:tab/>
      </w:r>
      <w:r w:rsidR="005828EC" w:rsidRPr="00690686">
        <w:rPr>
          <w:iCs/>
        </w:rPr>
        <w:t>2</w:t>
      </w:r>
    </w:p>
    <w:p w14:paraId="6A6D4FEA" w14:textId="77777777" w:rsidR="00024F18" w:rsidRPr="00690686" w:rsidRDefault="00024F18">
      <w:pPr>
        <w:rPr>
          <w:i/>
          <w:iCs/>
          <w:sz w:val="20"/>
          <w:szCs w:val="20"/>
          <w:lang w:bidi="ar-SA"/>
        </w:rPr>
      </w:pPr>
      <w:r w:rsidRPr="00690686">
        <w:rPr>
          <w:i/>
          <w:iCs/>
        </w:rPr>
        <w:br w:type="page"/>
      </w:r>
    </w:p>
    <w:p w14:paraId="383DF254" w14:textId="483BDB7A" w:rsidR="002965FC" w:rsidRPr="00690686" w:rsidRDefault="00AD34B8" w:rsidP="00AD34B8">
      <w:pPr>
        <w:pStyle w:val="SingleTxtG"/>
      </w:pPr>
      <w:r w:rsidRPr="00690686">
        <w:lastRenderedPageBreak/>
        <w:t>1.1</w:t>
      </w:r>
      <w:r w:rsidRPr="00690686">
        <w:tab/>
      </w:r>
      <w:r w:rsidR="007503F0" w:rsidRPr="00690686">
        <w:t xml:space="preserve">The author of the communication is </w:t>
      </w:r>
      <w:r w:rsidR="00500313" w:rsidRPr="00690686">
        <w:t>Ms</w:t>
      </w:r>
      <w:r w:rsidR="00353D8F" w:rsidRPr="00690686">
        <w:t xml:space="preserve">. </w:t>
      </w:r>
      <w:r w:rsidR="009B026D" w:rsidRPr="00690686">
        <w:t>A</w:t>
      </w:r>
      <w:r w:rsidR="00E71940">
        <w:t>.</w:t>
      </w:r>
      <w:r w:rsidR="00500313" w:rsidRPr="00690686">
        <w:t>G</w:t>
      </w:r>
      <w:r w:rsidR="00E71940">
        <w:t>.</w:t>
      </w:r>
      <w:r w:rsidR="00A16B41" w:rsidRPr="00690686">
        <w:rPr>
          <w:bCs/>
        </w:rPr>
        <w:t xml:space="preserve">, a </w:t>
      </w:r>
      <w:r w:rsidR="00CB00AD" w:rsidRPr="00690686">
        <w:rPr>
          <w:bCs/>
        </w:rPr>
        <w:t xml:space="preserve">citizen of </w:t>
      </w:r>
      <w:r w:rsidR="00500313" w:rsidRPr="00690686">
        <w:rPr>
          <w:bCs/>
        </w:rPr>
        <w:t>Morocco, born in 196</w:t>
      </w:r>
      <w:r w:rsidR="009429D7">
        <w:rPr>
          <w:bCs/>
        </w:rPr>
        <w:t>2.</w:t>
      </w:r>
      <w:r w:rsidR="007503F0" w:rsidRPr="00690686">
        <w:t xml:space="preserve"> </w:t>
      </w:r>
      <w:r w:rsidR="00500313" w:rsidRPr="00690686">
        <w:t>She</w:t>
      </w:r>
      <w:r w:rsidR="00A16B41" w:rsidRPr="00690686">
        <w:t xml:space="preserve"> claims to be a victim of </w:t>
      </w:r>
      <w:r w:rsidR="008D290A" w:rsidRPr="00690686">
        <w:t xml:space="preserve">a </w:t>
      </w:r>
      <w:r w:rsidR="00A16B41" w:rsidRPr="00690686">
        <w:t>violation</w:t>
      </w:r>
      <w:r w:rsidR="001E4678">
        <w:t xml:space="preserve"> </w:t>
      </w:r>
      <w:r w:rsidR="00A16B41" w:rsidRPr="00690686">
        <w:t xml:space="preserve">by </w:t>
      </w:r>
      <w:r w:rsidR="00500313" w:rsidRPr="00690686">
        <w:t>the Netherlands</w:t>
      </w:r>
      <w:r w:rsidR="008D290A" w:rsidRPr="00690686">
        <w:t xml:space="preserve"> </w:t>
      </w:r>
      <w:r w:rsidR="00A16B41" w:rsidRPr="00690686">
        <w:t xml:space="preserve">of </w:t>
      </w:r>
      <w:r w:rsidR="00500313" w:rsidRPr="00690686">
        <w:t>her</w:t>
      </w:r>
      <w:r w:rsidR="008D290A" w:rsidRPr="00690686">
        <w:t xml:space="preserve"> rights under </w:t>
      </w:r>
      <w:r w:rsidR="00500313" w:rsidRPr="00690686">
        <w:t>article</w:t>
      </w:r>
      <w:r w:rsidR="00A16B41" w:rsidRPr="00690686">
        <w:t xml:space="preserve"> </w:t>
      </w:r>
      <w:r w:rsidR="00500313" w:rsidRPr="00690686">
        <w:t>2 (3)</w:t>
      </w:r>
      <w:r w:rsidR="006501C6" w:rsidRPr="00690686">
        <w:t xml:space="preserve">, read in conjunction with </w:t>
      </w:r>
      <w:r w:rsidR="00500313" w:rsidRPr="00690686">
        <w:t>article 8</w:t>
      </w:r>
      <w:r w:rsidR="008D290A" w:rsidRPr="00690686">
        <w:t>,</w:t>
      </w:r>
      <w:r w:rsidR="00AC170B" w:rsidRPr="00690686">
        <w:t xml:space="preserve"> </w:t>
      </w:r>
      <w:r w:rsidR="007503F0" w:rsidRPr="00690686">
        <w:t xml:space="preserve">of the </w:t>
      </w:r>
      <w:r w:rsidR="00F65C0A" w:rsidRPr="00690686">
        <w:t xml:space="preserve">International </w:t>
      </w:r>
      <w:r w:rsidR="007503F0" w:rsidRPr="00690686">
        <w:t>Covenant</w:t>
      </w:r>
      <w:r w:rsidR="00F65C0A" w:rsidRPr="00690686">
        <w:t xml:space="preserve"> on Civil and Political Rights</w:t>
      </w:r>
      <w:r w:rsidR="008D290A" w:rsidRPr="00690686">
        <w:t xml:space="preserve"> (“the Covenant”)</w:t>
      </w:r>
      <w:r w:rsidR="007503F0" w:rsidRPr="00690686">
        <w:t>. The author is represented</w:t>
      </w:r>
      <w:r w:rsidR="00FA5CB4" w:rsidRPr="00690686">
        <w:t xml:space="preserve"> by counsel</w:t>
      </w:r>
      <w:r w:rsidR="007503F0" w:rsidRPr="00690686">
        <w:t>.</w:t>
      </w:r>
    </w:p>
    <w:p w14:paraId="1EC57A1B" w14:textId="28984864" w:rsidR="004B67D8" w:rsidRPr="00690686" w:rsidRDefault="00AD34B8" w:rsidP="00AD34B8">
      <w:pPr>
        <w:pStyle w:val="SingleTxtG"/>
      </w:pPr>
      <w:r w:rsidRPr="00690686">
        <w:t>1.2</w:t>
      </w:r>
      <w:r w:rsidRPr="00690686">
        <w:tab/>
      </w:r>
      <w:r w:rsidR="002965FC" w:rsidRPr="00690686">
        <w:t>On 23 November 2017</w:t>
      </w:r>
      <w:r w:rsidR="004B67D8" w:rsidRPr="00690686">
        <w:t>, the Committee, through its Special Rapporteur on New Communications</w:t>
      </w:r>
      <w:r w:rsidR="0036535F">
        <w:t xml:space="preserve"> and Interim Measures</w:t>
      </w:r>
      <w:r w:rsidR="009429D7">
        <w:t>,</w:t>
      </w:r>
      <w:r w:rsidR="004B67D8" w:rsidRPr="00690686">
        <w:t xml:space="preserve"> decided not to issue a request for interim measures under rule 94 of the Committee’s rules of procedure.</w:t>
      </w:r>
    </w:p>
    <w:p w14:paraId="0474C17C" w14:textId="36DED613" w:rsidR="000128E3" w:rsidRPr="00690686" w:rsidRDefault="000128E3" w:rsidP="009F34DF">
      <w:pPr>
        <w:pStyle w:val="H23G"/>
        <w:outlineLvl w:val="0"/>
      </w:pPr>
      <w:r w:rsidRPr="00690686">
        <w:tab/>
      </w:r>
      <w:r w:rsidRPr="00690686">
        <w:tab/>
        <w:t>The facts as submitted by the author</w:t>
      </w:r>
    </w:p>
    <w:p w14:paraId="790AF1E6" w14:textId="0B44F71F" w:rsidR="009B026D" w:rsidRPr="00690686" w:rsidRDefault="00666581" w:rsidP="00666581">
      <w:pPr>
        <w:pStyle w:val="SingleTxtG"/>
      </w:pPr>
      <w:r w:rsidRPr="00690686">
        <w:t>2.1</w:t>
      </w:r>
      <w:r w:rsidRPr="00690686">
        <w:tab/>
      </w:r>
      <w:r w:rsidR="009B026D" w:rsidRPr="00690686">
        <w:t xml:space="preserve">The author was born </w:t>
      </w:r>
      <w:r w:rsidR="0036535F">
        <w:t>o</w:t>
      </w:r>
      <w:r w:rsidR="009B026D" w:rsidRPr="00690686">
        <w:t xml:space="preserve">n 27 April 1962 in Morocco and </w:t>
      </w:r>
      <w:r w:rsidR="0036535F">
        <w:t xml:space="preserve">currently </w:t>
      </w:r>
      <w:r w:rsidR="009B026D" w:rsidRPr="00690686">
        <w:t xml:space="preserve">lives in Amsterdam. The author grew up in Morocco in a very poor family. She received no education and worked as a servant, first in Saudi Arabia, </w:t>
      </w:r>
      <w:r w:rsidR="00977660" w:rsidRPr="00690686">
        <w:t xml:space="preserve">and </w:t>
      </w:r>
      <w:r w:rsidR="009429D7">
        <w:t>later in</w:t>
      </w:r>
      <w:r w:rsidR="009B026D" w:rsidRPr="00690686">
        <w:t xml:space="preserve"> Morocco </w:t>
      </w:r>
      <w:r w:rsidR="0036535F">
        <w:t xml:space="preserve">when she worked </w:t>
      </w:r>
      <w:r w:rsidR="009B026D" w:rsidRPr="00690686">
        <w:t>for a woman named Naima, a Dutch-Moroccan national. In 2002, Naima asked the author to come and work for her in the Netherlands. After the author agreed, Naima tried to smuggle her illegally in her car, but was caught at the border. In 2003, Naima again hid the author in her car and this time managed to bring her illegally to the Netherlands.</w:t>
      </w:r>
      <w:r w:rsidRPr="00690686">
        <w:t xml:space="preserve"> When the author entered to the Netherlands, she had her </w:t>
      </w:r>
      <w:r w:rsidR="00CF7D0C" w:rsidRPr="00690686">
        <w:t>passport</w:t>
      </w:r>
      <w:r w:rsidRPr="00690686">
        <w:t xml:space="preserve"> but no valid visa. </w:t>
      </w:r>
    </w:p>
    <w:p w14:paraId="33EEEFBE" w14:textId="0B9DD356" w:rsidR="009B026D" w:rsidRPr="00690686" w:rsidRDefault="009B026D" w:rsidP="009B026D">
      <w:pPr>
        <w:pStyle w:val="SingleTxtG"/>
      </w:pPr>
      <w:r w:rsidRPr="00690686">
        <w:t>2.2</w:t>
      </w:r>
      <w:r w:rsidRPr="00690686">
        <w:tab/>
      </w:r>
      <w:r w:rsidR="0036535F">
        <w:t>In</w:t>
      </w:r>
      <w:r w:rsidRPr="00690686">
        <w:t xml:space="preserve"> the Netherlands, </w:t>
      </w:r>
      <w:r w:rsidR="0036535F">
        <w:t xml:space="preserve">the author </w:t>
      </w:r>
      <w:r w:rsidR="00300447">
        <w:t xml:space="preserve">lived with her employer, </w:t>
      </w:r>
      <w:r w:rsidRPr="00690686">
        <w:t xml:space="preserve">Naima. The author worked for eight years in the household taking care of Naima's children. Apart from board and lodging, the author received no </w:t>
      </w:r>
      <w:r w:rsidR="00300447">
        <w:t>salary for her work</w:t>
      </w:r>
      <w:r w:rsidRPr="00690686">
        <w:t>. The author had to be available for Naima 24 hours a day and 7 days a week</w:t>
      </w:r>
      <w:r w:rsidR="00300447">
        <w:t>. She</w:t>
      </w:r>
      <w:r w:rsidRPr="00690686">
        <w:t xml:space="preserve"> did not have fixed working hours</w:t>
      </w:r>
      <w:r w:rsidR="00666581" w:rsidRPr="00690686">
        <w:t xml:space="preserve"> and was treated badly</w:t>
      </w:r>
      <w:r w:rsidRPr="00690686">
        <w:t xml:space="preserve">. </w:t>
      </w:r>
      <w:r w:rsidR="00666581" w:rsidRPr="00690686">
        <w:t xml:space="preserve">For </w:t>
      </w:r>
      <w:r w:rsidRPr="00690686">
        <w:t>example, Naima would sometimes send the author outside in the middle of the night without a coat, or she would verbally humiliate her.</w:t>
      </w:r>
      <w:r w:rsidR="00666581" w:rsidRPr="00690686">
        <w:t xml:space="preserve"> </w:t>
      </w:r>
    </w:p>
    <w:p w14:paraId="70700C89" w14:textId="5E524546" w:rsidR="009B026D" w:rsidRPr="00690686" w:rsidRDefault="009B026D" w:rsidP="009B026D">
      <w:pPr>
        <w:pStyle w:val="SingleTxtG"/>
      </w:pPr>
      <w:r w:rsidRPr="00690686">
        <w:t>2.3</w:t>
      </w:r>
      <w:r w:rsidRPr="00690686">
        <w:tab/>
        <w:t xml:space="preserve">Naima had promised that she would </w:t>
      </w:r>
      <w:r w:rsidR="00300447">
        <w:t>seek and obtain</w:t>
      </w:r>
      <w:r w:rsidR="00300447" w:rsidRPr="00690686">
        <w:t xml:space="preserve"> </w:t>
      </w:r>
      <w:r w:rsidRPr="00690686">
        <w:t xml:space="preserve">a residence permit for the author, but this never happened. Instead, Naima threatened the author </w:t>
      </w:r>
      <w:r w:rsidR="00300447">
        <w:t xml:space="preserve">she </w:t>
      </w:r>
      <w:r w:rsidRPr="00690686">
        <w:t xml:space="preserve">would be arrested by the police if she were to leave. The author was </w:t>
      </w:r>
      <w:r w:rsidR="007D00FF" w:rsidRPr="00690686">
        <w:t>never paid, except for a couple of time</w:t>
      </w:r>
      <w:r w:rsidR="00300447">
        <w:t>s</w:t>
      </w:r>
      <w:r w:rsidR="007D00FF" w:rsidRPr="00690686">
        <w:t xml:space="preserve"> when she was given around</w:t>
      </w:r>
      <w:r w:rsidRPr="00690686">
        <w:t xml:space="preserve"> 50 </w:t>
      </w:r>
      <w:r w:rsidR="007D00FF" w:rsidRPr="00690686">
        <w:t>Euros</w:t>
      </w:r>
      <w:r w:rsidRPr="00690686">
        <w:t xml:space="preserve">. </w:t>
      </w:r>
      <w:r w:rsidR="00300447">
        <w:t>Furthermore</w:t>
      </w:r>
      <w:r w:rsidRPr="00690686">
        <w:t>, the author did not receive the ne</w:t>
      </w:r>
      <w:r w:rsidR="00363066" w:rsidRPr="00690686">
        <w:t xml:space="preserve">cessary medical care she needed </w:t>
      </w:r>
      <w:r w:rsidR="00300447">
        <w:t xml:space="preserve">for her diabetes, </w:t>
      </w:r>
      <w:r w:rsidR="00363066" w:rsidRPr="00690686">
        <w:t>and</w:t>
      </w:r>
      <w:r w:rsidRPr="00690686">
        <w:t xml:space="preserve"> Naima did not </w:t>
      </w:r>
      <w:r w:rsidR="00C57F76">
        <w:t>arrange</w:t>
      </w:r>
      <w:r w:rsidRPr="00690686">
        <w:t xml:space="preserve"> health insurance for her</w:t>
      </w:r>
      <w:r w:rsidR="00363066" w:rsidRPr="00690686">
        <w:t xml:space="preserve"> </w:t>
      </w:r>
      <w:r w:rsidR="00300447">
        <w:t xml:space="preserve">despite knowing </w:t>
      </w:r>
      <w:r w:rsidR="00D21C43">
        <w:t xml:space="preserve">of </w:t>
      </w:r>
      <w:r w:rsidR="00300447">
        <w:t>her medical condition.</w:t>
      </w:r>
      <w:r w:rsidRPr="00690686">
        <w:t xml:space="preserve"> In 2010, after having worked for Naima for about eight years, the author left the house when Naima was at work, </w:t>
      </w:r>
      <w:r w:rsidR="00300447">
        <w:t>and</w:t>
      </w:r>
      <w:r w:rsidRPr="00690686">
        <w:t xml:space="preserve"> went into hiding with another family, where she also worked in the household.</w:t>
      </w:r>
      <w:r w:rsidRPr="00690686">
        <w:rPr>
          <w:vertAlign w:val="superscript"/>
        </w:rPr>
        <w:footnoteReference w:id="4"/>
      </w:r>
    </w:p>
    <w:p w14:paraId="159DCCAC" w14:textId="202E2BED" w:rsidR="009B026D" w:rsidRPr="00690686" w:rsidRDefault="009B026D" w:rsidP="009B026D">
      <w:pPr>
        <w:pStyle w:val="SingleTxtG"/>
      </w:pPr>
      <w:r w:rsidRPr="00690686">
        <w:t>2.4</w:t>
      </w:r>
      <w:r w:rsidRPr="00690686">
        <w:tab/>
        <w:t>On 8 December 2015, the author reported to the police the crime of human trafficking</w:t>
      </w:r>
      <w:r w:rsidR="00300447">
        <w:t xml:space="preserve"> against Naima</w:t>
      </w:r>
      <w:r w:rsidRPr="00690686">
        <w:t>, subject to article 273f</w:t>
      </w:r>
      <w:r w:rsidR="00412EA9" w:rsidRPr="00690686">
        <w:rPr>
          <w:rStyle w:val="FootnoteReference"/>
        </w:rPr>
        <w:footnoteReference w:id="5"/>
      </w:r>
      <w:r w:rsidRPr="00690686">
        <w:t xml:space="preserve"> of the Dutch</w:t>
      </w:r>
      <w:r w:rsidR="00D517D3">
        <w:t xml:space="preserve"> </w:t>
      </w:r>
      <w:r w:rsidRPr="00690686">
        <w:t xml:space="preserve">Criminal </w:t>
      </w:r>
      <w:r w:rsidR="00D517D3">
        <w:t>Code (DCC).</w:t>
      </w:r>
      <w:r w:rsidR="006907CC">
        <w:t xml:space="preserve"> </w:t>
      </w:r>
      <w:r w:rsidRPr="00690686">
        <w:t xml:space="preserve">In a letter dated 11 November 2016, the Public Prosecutor decided to dismiss the case, because the official report of the crime did not show any signs of employment exploitation that warranted a criminal investigation – the author had a valid passport, her illegal status did not prevent the author from doing things that she wanted to do, </w:t>
      </w:r>
      <w:r w:rsidR="00F67DAE" w:rsidRPr="00690686">
        <w:t xml:space="preserve">and </w:t>
      </w:r>
      <w:r w:rsidRPr="00690686">
        <w:t xml:space="preserve">she managed to survive during the past 5 years after leaving Naima. Furthermore, in the opinion of the Public Prosecutor, the tasks the author had to carry out were not heavy, dirty or too long, and the author received board and lodging, medical care and a telephone. </w:t>
      </w:r>
      <w:r w:rsidR="00F67DAE" w:rsidRPr="00690686">
        <w:t>Therefore, according to the Public Prosecutor, she was not forced to work or perform services, nor was she in any other way exploited as defined by articl</w:t>
      </w:r>
      <w:r w:rsidR="00412EA9" w:rsidRPr="00690686">
        <w:t>e</w:t>
      </w:r>
      <w:r w:rsidR="00F67DAE" w:rsidRPr="00690686">
        <w:t xml:space="preserve"> 273f of the DCC. </w:t>
      </w:r>
      <w:r w:rsidRPr="00690686">
        <w:t>The Public Prosecutor also took into account that the author did not report the crime until 5 years after it happened,</w:t>
      </w:r>
      <w:r w:rsidR="00F67DAE" w:rsidRPr="00690686">
        <w:t xml:space="preserve"> when</w:t>
      </w:r>
      <w:r w:rsidRPr="00690686">
        <w:t xml:space="preserve"> she wanted to stay in the Netherlands and her further residence in the Netherlands depended on her reporting the crime.</w:t>
      </w:r>
    </w:p>
    <w:p w14:paraId="61C1A159" w14:textId="674D2AD0" w:rsidR="009B026D" w:rsidRPr="00690686" w:rsidRDefault="009B026D" w:rsidP="009B026D">
      <w:pPr>
        <w:pStyle w:val="SingleTxtG"/>
      </w:pPr>
      <w:r w:rsidRPr="00690686">
        <w:t>2.5</w:t>
      </w:r>
      <w:r w:rsidRPr="00690686">
        <w:tab/>
        <w:t>On 2 March 2017, the author lodged a complaint with the Court of Appeals for non-prosecution of an offence. In her complaint</w:t>
      </w:r>
      <w:r w:rsidR="00300447">
        <w:t>,</w:t>
      </w:r>
      <w:r w:rsidRPr="00690686">
        <w:t xml:space="preserve"> the author, referring to law and jurisdiction, pointed out that her situation contained all the elements of exploitation and that the Public </w:t>
      </w:r>
      <w:r w:rsidRPr="00690686">
        <w:lastRenderedPageBreak/>
        <w:t>Prosecutor provided insufficient grounds for the conclusion of lack of exploitation as defined in Article 273f of DCC.</w:t>
      </w:r>
    </w:p>
    <w:p w14:paraId="5C57BC61" w14:textId="5E5568F1" w:rsidR="009B026D" w:rsidRPr="00690686" w:rsidRDefault="009B026D" w:rsidP="009B026D">
      <w:pPr>
        <w:pStyle w:val="SingleTxtG"/>
      </w:pPr>
      <w:r w:rsidRPr="00690686">
        <w:t>2.6</w:t>
      </w:r>
      <w:r w:rsidRPr="00690686">
        <w:tab/>
        <w:t>At the request of the Court of Appeals, the complaint was addressed by the Advocate General, who</w:t>
      </w:r>
      <w:r w:rsidR="001E678B" w:rsidRPr="00690686">
        <w:t>,</w:t>
      </w:r>
      <w:r w:rsidRPr="00690686">
        <w:t xml:space="preserve"> in </w:t>
      </w:r>
      <w:r w:rsidR="00412EA9" w:rsidRPr="00690686">
        <w:t>a</w:t>
      </w:r>
      <w:r w:rsidRPr="00690686">
        <w:t xml:space="preserve"> letter dated 24 April 2017, recognized that the author worked over </w:t>
      </w:r>
      <w:r w:rsidR="00AC19A5">
        <w:t xml:space="preserve">a </w:t>
      </w:r>
      <w:r w:rsidRPr="00690686">
        <w:t xml:space="preserve">long period of time, </w:t>
      </w:r>
      <w:r w:rsidR="00AC19A5">
        <w:t>for</w:t>
      </w:r>
      <w:r w:rsidRPr="00690686">
        <w:t xml:space="preserve"> long hours and was not remunerated in a proper manner</w:t>
      </w:r>
      <w:r w:rsidR="00300447">
        <w:t>. However,</w:t>
      </w:r>
      <w:r w:rsidR="001E678B" w:rsidRPr="00690686">
        <w:t xml:space="preserve"> the Advocate General concluded that</w:t>
      </w:r>
      <w:r w:rsidRPr="00690686">
        <w:t xml:space="preserve"> this did not suffice to consider that the working conditions constituted exploitation as defined in Article 273f of DCC</w:t>
      </w:r>
      <w:r w:rsidR="001E678B" w:rsidRPr="00690686">
        <w:t>, as</w:t>
      </w:r>
      <w:r w:rsidR="00412EA9" w:rsidRPr="00690686">
        <w:t xml:space="preserve"> the</w:t>
      </w:r>
      <w:r w:rsidRPr="00690686">
        <w:t xml:space="preserve"> author</w:t>
      </w:r>
      <w:r w:rsidR="001E678B" w:rsidRPr="00690686">
        <w:t>’s work</w:t>
      </w:r>
      <w:r w:rsidRPr="00690686">
        <w:t xml:space="preserve"> </w:t>
      </w:r>
      <w:r w:rsidR="001E678B" w:rsidRPr="00690686">
        <w:t>consisted in</w:t>
      </w:r>
      <w:r w:rsidRPr="00690686">
        <w:t xml:space="preserve"> "normal activities performed by lots of Dutch women working part or fulltime." The Advocate General also stated that the author had possession over her passport, had the freedom to leave the house and did not have to work under unhealthy conditions.</w:t>
      </w:r>
    </w:p>
    <w:p w14:paraId="68B90DCA" w14:textId="0DA7DA11" w:rsidR="00AC766E" w:rsidRPr="00690686" w:rsidRDefault="009B026D" w:rsidP="001C234D">
      <w:pPr>
        <w:pStyle w:val="SingleTxtG"/>
      </w:pPr>
      <w:r w:rsidRPr="00690686">
        <w:t>2.7</w:t>
      </w:r>
      <w:r w:rsidRPr="00690686">
        <w:tab/>
        <w:t xml:space="preserve">On 27 June 2017, the author </w:t>
      </w:r>
      <w:r w:rsidR="00AC766E" w:rsidRPr="00690686">
        <w:t xml:space="preserve">again </w:t>
      </w:r>
      <w:r w:rsidRPr="00690686">
        <w:t>appealed to the Court of Appeals</w:t>
      </w:r>
      <w:r w:rsidR="00AC766E" w:rsidRPr="00690686">
        <w:t xml:space="preserve">, submitting that the Advocate General wrongfully </w:t>
      </w:r>
      <w:r w:rsidR="00300447">
        <w:t>concluded</w:t>
      </w:r>
      <w:r w:rsidR="00AC766E" w:rsidRPr="00690686">
        <w:t xml:space="preserve"> that her situation does not constitute exploitation, servitude or forced labour</w:t>
      </w:r>
      <w:r w:rsidRPr="00690686">
        <w:t xml:space="preserve">. </w:t>
      </w:r>
      <w:r w:rsidR="00AC766E" w:rsidRPr="00690686">
        <w:t>She added that, although the Dutch authorities conducted an investigation, the latter was inadequate</w:t>
      </w:r>
      <w:r w:rsidR="00AC19A5">
        <w:t xml:space="preserve">. </w:t>
      </w:r>
      <w:r w:rsidR="00AC766E" w:rsidRPr="00690686">
        <w:t xml:space="preserve">She concluded that the Government did not meet its positive obligation to respect and ensure her right as a victim and did not take the necessary steps to adopt necessary measures to protect her rights. </w:t>
      </w:r>
      <w:r w:rsidRPr="00690686">
        <w:t>By its decision o</w:t>
      </w:r>
      <w:r w:rsidR="00AC766E" w:rsidRPr="00690686">
        <w:t>f</w:t>
      </w:r>
      <w:r w:rsidRPr="00690686">
        <w:t xml:space="preserve"> 12 July 2017, the Court of Appeals confirmed the dec</w:t>
      </w:r>
      <w:r w:rsidR="001C234D" w:rsidRPr="00690686">
        <w:t>ision of the Public Prosecutor.</w:t>
      </w:r>
    </w:p>
    <w:p w14:paraId="5B1F055A" w14:textId="245772D7" w:rsidR="00B6638C" w:rsidRPr="00690686" w:rsidRDefault="009F094D" w:rsidP="009F34DF">
      <w:pPr>
        <w:pStyle w:val="H23G"/>
        <w:outlineLvl w:val="0"/>
      </w:pPr>
      <w:r w:rsidRPr="00690686">
        <w:tab/>
      </w:r>
      <w:r w:rsidRPr="00690686">
        <w:tab/>
      </w:r>
      <w:r w:rsidR="00B6638C" w:rsidRPr="00690686">
        <w:t>The complaint</w:t>
      </w:r>
    </w:p>
    <w:p w14:paraId="05A98895" w14:textId="5DA21159" w:rsidR="001C234D" w:rsidRPr="00690686" w:rsidRDefault="001C234D" w:rsidP="0089360F">
      <w:pPr>
        <w:pStyle w:val="SingleTxtG"/>
      </w:pPr>
      <w:r w:rsidRPr="00690686">
        <w:t>3.1</w:t>
      </w:r>
      <w:r w:rsidRPr="00690686">
        <w:tab/>
        <w:t xml:space="preserve">The author claims that the Netherlands violated </w:t>
      </w:r>
      <w:r w:rsidR="00BF5E8F">
        <w:t xml:space="preserve">her rights under </w:t>
      </w:r>
      <w:r w:rsidRPr="00690686">
        <w:t>article 8 of the Covenant because her situation constitutes exploitation, servitude and/or forced labour, and that the legal and administrative procedures applied were inconsistent with the gua</w:t>
      </w:r>
      <w:r w:rsidR="002D658E" w:rsidRPr="00690686">
        <w:t>rantees set forth in article 2(</w:t>
      </w:r>
      <w:r w:rsidRPr="00690686">
        <w:t>3</w:t>
      </w:r>
      <w:r w:rsidR="002D658E" w:rsidRPr="00690686">
        <w:t>)</w:t>
      </w:r>
      <w:r w:rsidRPr="00690686">
        <w:t xml:space="preserve"> of the Covenant. </w:t>
      </w:r>
    </w:p>
    <w:p w14:paraId="2C7E2BC5" w14:textId="34DB9F76" w:rsidR="001C234D" w:rsidRPr="00690686" w:rsidRDefault="001C234D" w:rsidP="0089360F">
      <w:pPr>
        <w:pStyle w:val="SingleTxtG"/>
      </w:pPr>
      <w:r w:rsidRPr="00690686">
        <w:t>3</w:t>
      </w:r>
      <w:r w:rsidRPr="00267B33">
        <w:t>.2</w:t>
      </w:r>
      <w:r w:rsidRPr="00267B33">
        <w:tab/>
        <w:t xml:space="preserve">The author states that her situation </w:t>
      </w:r>
      <w:r w:rsidR="002D658E" w:rsidRPr="00267B33">
        <w:t>falls</w:t>
      </w:r>
      <w:r w:rsidRPr="00267B33">
        <w:t xml:space="preserve"> </w:t>
      </w:r>
      <w:r w:rsidR="00BF5E8F" w:rsidRPr="00267B33">
        <w:t xml:space="preserve">within </w:t>
      </w:r>
      <w:r w:rsidRPr="00267B33">
        <w:t xml:space="preserve">the scope of article 8 of the Covenant, as </w:t>
      </w:r>
      <w:r w:rsidR="001E4678" w:rsidRPr="00267B33">
        <w:t>h</w:t>
      </w:r>
      <w:r w:rsidRPr="00267B33">
        <w:t xml:space="preserve">uman trafficking usually refers to the process through which </w:t>
      </w:r>
      <w:r w:rsidR="002D658E" w:rsidRPr="00267B33">
        <w:t>individuals</w:t>
      </w:r>
      <w:r w:rsidRPr="00267B33">
        <w:t xml:space="preserve"> are placed or maintained in an exploitative situation for economic</w:t>
      </w:r>
      <w:r w:rsidRPr="00690686">
        <w:t xml:space="preserve"> gain</w:t>
      </w:r>
      <w:r w:rsidRPr="00690686">
        <w:rPr>
          <w:rStyle w:val="FootnoteReference"/>
        </w:rPr>
        <w:footnoteReference w:id="6"/>
      </w:r>
      <w:r w:rsidRPr="00690686">
        <w:t xml:space="preserve">. </w:t>
      </w:r>
      <w:r w:rsidR="00166CA8" w:rsidRPr="00690686">
        <w:t xml:space="preserve">The author also points </w:t>
      </w:r>
      <w:r w:rsidR="00774A41" w:rsidRPr="00690686">
        <w:t>out that the Netherlands has ratified</w:t>
      </w:r>
      <w:r w:rsidR="00166CA8" w:rsidRPr="00690686">
        <w:t xml:space="preserve"> the Protocol to Prevent, Suppress and Punish Trafficking in Persons, especially Women and Children (The Palermo Protocol) on 27 July 2005</w:t>
      </w:r>
      <w:r w:rsidR="00774A41" w:rsidRPr="00690686">
        <w:rPr>
          <w:rStyle w:val="FootnoteReference"/>
        </w:rPr>
        <w:footnoteReference w:id="7"/>
      </w:r>
      <w:r w:rsidR="00166CA8" w:rsidRPr="00690686">
        <w:t xml:space="preserve">. </w:t>
      </w:r>
      <w:r w:rsidR="00774A41" w:rsidRPr="00690686">
        <w:t>She refers to the jurisprudence of the European Court of Human Rights</w:t>
      </w:r>
      <w:r w:rsidR="00774A41" w:rsidRPr="00690686">
        <w:rPr>
          <w:rStyle w:val="FootnoteReference"/>
        </w:rPr>
        <w:footnoteReference w:id="8"/>
      </w:r>
      <w:r w:rsidR="00774A41" w:rsidRPr="00690686">
        <w:t xml:space="preserve"> and </w:t>
      </w:r>
      <w:r w:rsidR="002D658E" w:rsidRPr="00690686">
        <w:t>submits</w:t>
      </w:r>
      <w:r w:rsidR="00774A41" w:rsidRPr="00690686">
        <w:t xml:space="preserve"> that </w:t>
      </w:r>
      <w:r w:rsidR="00C217B4">
        <w:t xml:space="preserve">she was a victim of </w:t>
      </w:r>
      <w:r w:rsidR="00774A41" w:rsidRPr="00690686">
        <w:t xml:space="preserve">exploitation, servitude </w:t>
      </w:r>
      <w:r w:rsidR="002D658E" w:rsidRPr="00690686">
        <w:t>and/</w:t>
      </w:r>
      <w:r w:rsidR="00774A41" w:rsidRPr="00690686">
        <w:t xml:space="preserve">or forced labour. She stresses that all four elements of articles 273f </w:t>
      </w:r>
      <w:r w:rsidR="00D517D3">
        <w:t>D</w:t>
      </w:r>
      <w:r w:rsidR="00774A41" w:rsidRPr="00690686">
        <w:t xml:space="preserve">CC are met: </w:t>
      </w:r>
      <w:r w:rsidR="009A37BB" w:rsidRPr="00690686">
        <w:t xml:space="preserve">(1) </w:t>
      </w:r>
      <w:r w:rsidR="00A43076" w:rsidRPr="00690686">
        <w:t xml:space="preserve">the act, </w:t>
      </w:r>
      <w:r w:rsidR="002D658E" w:rsidRPr="00690686">
        <w:t>as she was taken by car and entered i</w:t>
      </w:r>
      <w:r w:rsidR="009A37BB" w:rsidRPr="00690686">
        <w:t>llegally to the Netherlands</w:t>
      </w:r>
      <w:r w:rsidR="00A43076" w:rsidRPr="00690686">
        <w:t xml:space="preserve">; (2) </w:t>
      </w:r>
      <w:r w:rsidR="00774A41" w:rsidRPr="00690686">
        <w:t>the means,</w:t>
      </w:r>
      <w:r w:rsidR="009429D7">
        <w:t xml:space="preserve"> as she</w:t>
      </w:r>
      <w:r w:rsidR="00A43076" w:rsidRPr="00690686">
        <w:t xml:space="preserve"> </w:t>
      </w:r>
      <w:r w:rsidR="00A55C2B">
        <w:t xml:space="preserve">had no legal status in the Netherlands, no command of the language and no knowledge of the country, she was thus subjected to threats, </w:t>
      </w:r>
      <w:r w:rsidR="00A43076" w:rsidRPr="00690686">
        <w:t>faced hostile acts</w:t>
      </w:r>
      <w:r w:rsidR="00A55C2B">
        <w:t>, including acts of violence,</w:t>
      </w:r>
      <w:r w:rsidR="009429D7">
        <w:t xml:space="preserve"> </w:t>
      </w:r>
      <w:r w:rsidR="00A55C2B">
        <w:t xml:space="preserve">victim of </w:t>
      </w:r>
      <w:r w:rsidR="00A43076" w:rsidRPr="00690686">
        <w:t>abuse of power</w:t>
      </w:r>
      <w:r w:rsidR="00A55C2B">
        <w:t xml:space="preserve"> and </w:t>
      </w:r>
      <w:r w:rsidR="002D658E" w:rsidRPr="00690686">
        <w:t xml:space="preserve">received no </w:t>
      </w:r>
      <w:r w:rsidR="00A55C2B">
        <w:t>salary</w:t>
      </w:r>
      <w:r w:rsidR="00A43076" w:rsidRPr="00690686">
        <w:t>; (3)</w:t>
      </w:r>
      <w:r w:rsidR="00774A41" w:rsidRPr="00690686">
        <w:t xml:space="preserve"> the</w:t>
      </w:r>
      <w:r w:rsidR="00A43076" w:rsidRPr="00690686">
        <w:t xml:space="preserve"> intent, as </w:t>
      </w:r>
      <w:r w:rsidR="002D658E" w:rsidRPr="00690686">
        <w:t>her employer</w:t>
      </w:r>
      <w:r w:rsidR="00A43076" w:rsidRPr="00690686">
        <w:t xml:space="preserve"> was fully aware of the </w:t>
      </w:r>
      <w:r w:rsidR="00A55C2B">
        <w:t>vulnerable situation</w:t>
      </w:r>
      <w:r w:rsidR="00A55C2B" w:rsidRPr="00690686">
        <w:t xml:space="preserve"> </w:t>
      </w:r>
      <w:r w:rsidR="00A43076" w:rsidRPr="00690686">
        <w:t xml:space="preserve">of the author and of </w:t>
      </w:r>
      <w:r w:rsidR="00A55C2B">
        <w:t>the fact that she fully depended on her</w:t>
      </w:r>
      <w:r w:rsidR="00A43076" w:rsidRPr="00690686">
        <w:t>;</w:t>
      </w:r>
      <w:r w:rsidR="00774A41" w:rsidRPr="00690686">
        <w:t xml:space="preserve"> </w:t>
      </w:r>
      <w:r w:rsidR="00A43076" w:rsidRPr="00690686">
        <w:t>(4) the objective, which include</w:t>
      </w:r>
      <w:r w:rsidR="002D658E" w:rsidRPr="00690686">
        <w:t>s</w:t>
      </w:r>
      <w:r w:rsidR="00A43076" w:rsidRPr="00690686">
        <w:t xml:space="preserve"> the n</w:t>
      </w:r>
      <w:r w:rsidR="002D658E" w:rsidRPr="00690686">
        <w:t xml:space="preserve">ature and duration of her work </w:t>
      </w:r>
      <w:r w:rsidR="00A43076" w:rsidRPr="00690686">
        <w:t xml:space="preserve">and the economic advantage of her employer. </w:t>
      </w:r>
    </w:p>
    <w:p w14:paraId="3F06A569" w14:textId="7DB0B540" w:rsidR="00A43076" w:rsidRPr="00690686" w:rsidRDefault="00A43076" w:rsidP="001C234D">
      <w:pPr>
        <w:spacing w:after="120" w:line="240" w:lineRule="atLeast"/>
        <w:ind w:left="1134" w:right="1134"/>
        <w:jc w:val="both"/>
        <w:rPr>
          <w:sz w:val="20"/>
          <w:szCs w:val="20"/>
          <w:lang w:bidi="ar-SA"/>
        </w:rPr>
      </w:pPr>
      <w:r w:rsidRPr="00690686">
        <w:rPr>
          <w:sz w:val="20"/>
          <w:szCs w:val="20"/>
          <w:lang w:bidi="ar-SA"/>
        </w:rPr>
        <w:t>3.3</w:t>
      </w:r>
      <w:r w:rsidRPr="00690686">
        <w:rPr>
          <w:sz w:val="20"/>
          <w:szCs w:val="20"/>
          <w:lang w:bidi="ar-SA"/>
        </w:rPr>
        <w:tab/>
        <w:t>Thus, the author states that the Public Prosecutor failed to make a valid assessment of her case in light of all circumstances. She refers to domestic jurisprudence</w:t>
      </w:r>
      <w:r w:rsidR="00D23DEB" w:rsidRPr="00690686">
        <w:rPr>
          <w:rStyle w:val="FootnoteReference"/>
          <w:szCs w:val="20"/>
          <w:lang w:bidi="ar-SA"/>
        </w:rPr>
        <w:footnoteReference w:id="9"/>
      </w:r>
      <w:r w:rsidRPr="00690686">
        <w:rPr>
          <w:sz w:val="20"/>
          <w:szCs w:val="20"/>
          <w:lang w:bidi="ar-SA"/>
        </w:rPr>
        <w:t>, to a</w:t>
      </w:r>
      <w:r w:rsidR="00A471D0" w:rsidRPr="00690686">
        <w:rPr>
          <w:sz w:val="20"/>
          <w:szCs w:val="20"/>
          <w:lang w:bidi="ar-SA"/>
        </w:rPr>
        <w:t xml:space="preserve"> report on </w:t>
      </w:r>
      <w:r w:rsidR="00A471D0" w:rsidRPr="00690686">
        <w:rPr>
          <w:sz w:val="20"/>
          <w:szCs w:val="20"/>
          <w:lang w:bidi="ar-SA"/>
        </w:rPr>
        <w:lastRenderedPageBreak/>
        <w:t xml:space="preserve">her situation </w:t>
      </w:r>
      <w:r w:rsidR="005924A4" w:rsidRPr="00690686">
        <w:rPr>
          <w:sz w:val="20"/>
          <w:szCs w:val="20"/>
          <w:lang w:bidi="ar-SA"/>
        </w:rPr>
        <w:t>by</w:t>
      </w:r>
      <w:r w:rsidR="00C94D6D" w:rsidRPr="00690686">
        <w:rPr>
          <w:sz w:val="20"/>
          <w:szCs w:val="20"/>
          <w:lang w:bidi="ar-SA"/>
        </w:rPr>
        <w:t xml:space="preserve"> a local organisation </w:t>
      </w:r>
      <w:r w:rsidR="005924A4" w:rsidRPr="00690686">
        <w:rPr>
          <w:sz w:val="20"/>
          <w:szCs w:val="20"/>
          <w:lang w:bidi="ar-SA"/>
        </w:rPr>
        <w:t xml:space="preserve">named </w:t>
      </w:r>
      <w:proofErr w:type="spellStart"/>
      <w:r w:rsidR="005924A4" w:rsidRPr="00690686">
        <w:rPr>
          <w:sz w:val="20"/>
          <w:szCs w:val="20"/>
          <w:lang w:bidi="ar-SA"/>
        </w:rPr>
        <w:t>FairW</w:t>
      </w:r>
      <w:r w:rsidRPr="00690686">
        <w:rPr>
          <w:sz w:val="20"/>
          <w:szCs w:val="20"/>
          <w:lang w:bidi="ar-SA"/>
        </w:rPr>
        <w:t>ork</w:t>
      </w:r>
      <w:proofErr w:type="spellEnd"/>
      <w:r w:rsidR="00EF10EC" w:rsidRPr="00690686">
        <w:rPr>
          <w:rStyle w:val="FootnoteReference"/>
          <w:szCs w:val="20"/>
          <w:lang w:bidi="ar-SA"/>
        </w:rPr>
        <w:footnoteReference w:id="10"/>
      </w:r>
      <w:r w:rsidRPr="00690686">
        <w:rPr>
          <w:sz w:val="20"/>
          <w:szCs w:val="20"/>
          <w:lang w:bidi="ar-SA"/>
        </w:rPr>
        <w:t xml:space="preserve"> and to the International Labour Organisation</w:t>
      </w:r>
      <w:r w:rsidR="00C94D6D" w:rsidRPr="00690686">
        <w:rPr>
          <w:sz w:val="20"/>
          <w:szCs w:val="20"/>
          <w:lang w:bidi="ar-SA"/>
        </w:rPr>
        <w:t xml:space="preserve"> (ILO)</w:t>
      </w:r>
      <w:r w:rsidR="00EF10EC" w:rsidRPr="00690686">
        <w:rPr>
          <w:rStyle w:val="FootnoteReference"/>
          <w:szCs w:val="20"/>
          <w:lang w:bidi="ar-SA"/>
        </w:rPr>
        <w:footnoteReference w:id="11"/>
      </w:r>
      <w:r w:rsidRPr="00690686">
        <w:rPr>
          <w:sz w:val="20"/>
          <w:szCs w:val="20"/>
          <w:lang w:bidi="ar-SA"/>
        </w:rPr>
        <w:t xml:space="preserve"> to argue that her situation meets the indicators of exploitation constituting servitude </w:t>
      </w:r>
      <w:r w:rsidR="00EF10EC" w:rsidRPr="00690686">
        <w:rPr>
          <w:sz w:val="20"/>
          <w:szCs w:val="20"/>
          <w:lang w:bidi="ar-SA"/>
        </w:rPr>
        <w:t>and/or forced labour, notably the abuse of vulnerability, deception, restriction of mov</w:t>
      </w:r>
      <w:r w:rsidR="00C3299D" w:rsidRPr="00690686">
        <w:rPr>
          <w:sz w:val="20"/>
          <w:szCs w:val="20"/>
          <w:lang w:bidi="ar-SA"/>
        </w:rPr>
        <w:t>ement, isolation, physical neglect</w:t>
      </w:r>
      <w:r w:rsidR="00EF10EC" w:rsidRPr="00690686">
        <w:rPr>
          <w:sz w:val="20"/>
          <w:szCs w:val="20"/>
          <w:lang w:bidi="ar-SA"/>
        </w:rPr>
        <w:t xml:space="preserve">, intimidation and threat, withholding of wages, debt bondage, abusive working and living conditions, and excessive overtime. </w:t>
      </w:r>
    </w:p>
    <w:p w14:paraId="6FD563C4" w14:textId="404872B3" w:rsidR="00A471D0" w:rsidRPr="00690686" w:rsidRDefault="00EF10EC" w:rsidP="00A471D0">
      <w:pPr>
        <w:spacing w:after="120" w:line="240" w:lineRule="atLeast"/>
        <w:ind w:left="1134" w:right="1134"/>
        <w:jc w:val="both"/>
        <w:rPr>
          <w:sz w:val="20"/>
          <w:szCs w:val="20"/>
          <w:lang w:bidi="ar-SA"/>
        </w:rPr>
      </w:pPr>
      <w:r w:rsidRPr="00690686">
        <w:rPr>
          <w:sz w:val="20"/>
          <w:szCs w:val="20"/>
          <w:lang w:bidi="ar-SA"/>
        </w:rPr>
        <w:t>3.4</w:t>
      </w:r>
      <w:r w:rsidRPr="00690686">
        <w:rPr>
          <w:sz w:val="20"/>
          <w:szCs w:val="20"/>
          <w:lang w:bidi="ar-SA"/>
        </w:rPr>
        <w:tab/>
      </w:r>
      <w:r w:rsidR="00C3299D" w:rsidRPr="00690686">
        <w:rPr>
          <w:sz w:val="20"/>
          <w:szCs w:val="20"/>
          <w:lang w:bidi="ar-SA"/>
        </w:rPr>
        <w:t>Even though</w:t>
      </w:r>
      <w:r w:rsidRPr="00690686">
        <w:rPr>
          <w:sz w:val="20"/>
          <w:szCs w:val="20"/>
          <w:lang w:bidi="ar-SA"/>
        </w:rPr>
        <w:t xml:space="preserve"> the authorities open</w:t>
      </w:r>
      <w:r w:rsidR="00C3299D" w:rsidRPr="00690686">
        <w:rPr>
          <w:sz w:val="20"/>
          <w:szCs w:val="20"/>
          <w:lang w:bidi="ar-SA"/>
        </w:rPr>
        <w:t>ed</w:t>
      </w:r>
      <w:r w:rsidRPr="00690686">
        <w:rPr>
          <w:sz w:val="20"/>
          <w:szCs w:val="20"/>
          <w:lang w:bidi="ar-SA"/>
        </w:rPr>
        <w:t xml:space="preserve"> an investigation, the author states that it was inadequate, as the Public Prosecutor provided insufficient grounds for concluding that her case did not constitute exploitation as defined in article 2</w:t>
      </w:r>
      <w:r w:rsidR="00EC218D">
        <w:rPr>
          <w:sz w:val="20"/>
          <w:szCs w:val="20"/>
          <w:lang w:bidi="ar-SA"/>
        </w:rPr>
        <w:t>73</w:t>
      </w:r>
      <w:r w:rsidRPr="00690686">
        <w:rPr>
          <w:sz w:val="20"/>
          <w:szCs w:val="20"/>
          <w:lang w:bidi="ar-SA"/>
        </w:rPr>
        <w:t xml:space="preserve">f para 1 DCC and article 8 of the Covenant. </w:t>
      </w:r>
      <w:r w:rsidR="009F5267" w:rsidRPr="00690686">
        <w:rPr>
          <w:sz w:val="20"/>
          <w:szCs w:val="20"/>
          <w:lang w:bidi="ar-SA"/>
        </w:rPr>
        <w:t xml:space="preserve">She argues that article 2(3) of the Covenant entails a procedural duty on the part of the States, obliging States to </w:t>
      </w:r>
      <w:r w:rsidR="00A55C2B">
        <w:rPr>
          <w:sz w:val="20"/>
          <w:szCs w:val="20"/>
          <w:lang w:bidi="ar-SA"/>
        </w:rPr>
        <w:t>criminalize</w:t>
      </w:r>
      <w:r w:rsidR="00A55C2B" w:rsidRPr="00690686">
        <w:rPr>
          <w:sz w:val="20"/>
          <w:szCs w:val="20"/>
          <w:lang w:bidi="ar-SA"/>
        </w:rPr>
        <w:t xml:space="preserve"> </w:t>
      </w:r>
      <w:r w:rsidR="009F5267" w:rsidRPr="00690686">
        <w:rPr>
          <w:sz w:val="20"/>
          <w:szCs w:val="20"/>
          <w:lang w:bidi="ar-SA"/>
        </w:rPr>
        <w:t xml:space="preserve">and prosecute effectively any </w:t>
      </w:r>
      <w:r w:rsidR="00A55C2B">
        <w:rPr>
          <w:sz w:val="20"/>
          <w:szCs w:val="20"/>
          <w:lang w:bidi="ar-SA"/>
        </w:rPr>
        <w:t xml:space="preserve">person who maintains another one </w:t>
      </w:r>
      <w:r w:rsidR="009F5267" w:rsidRPr="00690686">
        <w:rPr>
          <w:sz w:val="20"/>
          <w:szCs w:val="20"/>
          <w:lang w:bidi="ar-SA"/>
        </w:rPr>
        <w:t>in a situation of slavery, servitude or forced or compulsory labour and requiring States to put in place a legislative and administrative framework to prohibit and punish such acts. Referring to the Palermo protocol</w:t>
      </w:r>
      <w:r w:rsidR="009F5267" w:rsidRPr="00690686">
        <w:rPr>
          <w:rStyle w:val="FootnoteReference"/>
          <w:szCs w:val="20"/>
          <w:lang w:bidi="ar-SA"/>
        </w:rPr>
        <w:footnoteReference w:id="12"/>
      </w:r>
      <w:r w:rsidR="009F5267" w:rsidRPr="00690686">
        <w:rPr>
          <w:sz w:val="20"/>
          <w:szCs w:val="20"/>
          <w:lang w:bidi="ar-SA"/>
        </w:rPr>
        <w:t xml:space="preserve"> and the European Court of Human Rights’ jurisprudence</w:t>
      </w:r>
      <w:r w:rsidR="00CB1340" w:rsidRPr="00690686">
        <w:rPr>
          <w:rStyle w:val="FootnoteReference"/>
          <w:szCs w:val="20"/>
          <w:lang w:bidi="ar-SA"/>
        </w:rPr>
        <w:footnoteReference w:id="13"/>
      </w:r>
      <w:r w:rsidR="009F5267" w:rsidRPr="00690686">
        <w:rPr>
          <w:sz w:val="20"/>
          <w:szCs w:val="20"/>
          <w:lang w:bidi="ar-SA"/>
        </w:rPr>
        <w:t xml:space="preserve">, she argues that the State party did not meet its positive obligation to investigate the </w:t>
      </w:r>
      <w:r w:rsidR="009F5267" w:rsidRPr="00267B33">
        <w:rPr>
          <w:sz w:val="20"/>
          <w:szCs w:val="20"/>
          <w:lang w:bidi="ar-SA"/>
        </w:rPr>
        <w:t>labour exploitation</w:t>
      </w:r>
      <w:r w:rsidR="009F5267" w:rsidRPr="00690686">
        <w:rPr>
          <w:sz w:val="20"/>
          <w:szCs w:val="20"/>
          <w:lang w:bidi="ar-SA"/>
        </w:rPr>
        <w:t xml:space="preserve"> and that her case was wrongfully dismissed. </w:t>
      </w:r>
    </w:p>
    <w:p w14:paraId="78440DC8" w14:textId="7A772A92" w:rsidR="001C234D" w:rsidRPr="00690686" w:rsidRDefault="00A471D0" w:rsidP="00A471D0">
      <w:pPr>
        <w:spacing w:after="120" w:line="240" w:lineRule="atLeast"/>
        <w:ind w:left="1134" w:right="1134"/>
        <w:jc w:val="both"/>
        <w:rPr>
          <w:sz w:val="20"/>
          <w:szCs w:val="20"/>
          <w:lang w:bidi="ar-SA"/>
        </w:rPr>
      </w:pPr>
      <w:r w:rsidRPr="00690686">
        <w:rPr>
          <w:sz w:val="20"/>
          <w:szCs w:val="20"/>
          <w:lang w:bidi="ar-SA"/>
        </w:rPr>
        <w:t>3.5</w:t>
      </w:r>
      <w:r w:rsidRPr="00690686">
        <w:rPr>
          <w:sz w:val="20"/>
          <w:szCs w:val="20"/>
          <w:lang w:bidi="ar-SA"/>
        </w:rPr>
        <w:tab/>
      </w:r>
      <w:r w:rsidR="001C234D" w:rsidRPr="00690686">
        <w:rPr>
          <w:sz w:val="20"/>
          <w:szCs w:val="20"/>
          <w:lang w:bidi="ar-SA"/>
        </w:rPr>
        <w:t>After she reported her case to the police, the author was provided with accommodation and medical assistance. However, since her case was closed</w:t>
      </w:r>
      <w:r w:rsidR="00C3299D" w:rsidRPr="00690686">
        <w:rPr>
          <w:sz w:val="20"/>
          <w:szCs w:val="20"/>
          <w:lang w:bidi="ar-SA"/>
        </w:rPr>
        <w:t xml:space="preserve"> in 2016</w:t>
      </w:r>
      <w:r w:rsidR="001C234D" w:rsidRPr="00690686">
        <w:rPr>
          <w:sz w:val="20"/>
          <w:szCs w:val="20"/>
          <w:lang w:bidi="ar-SA"/>
        </w:rPr>
        <w:t xml:space="preserve">, all protection and care has been terminated. The author </w:t>
      </w:r>
      <w:r w:rsidR="00AC19A5">
        <w:rPr>
          <w:sz w:val="20"/>
          <w:szCs w:val="20"/>
          <w:lang w:bidi="ar-SA"/>
        </w:rPr>
        <w:t>maintains</w:t>
      </w:r>
      <w:r w:rsidR="00AC19A5" w:rsidRPr="00690686">
        <w:rPr>
          <w:sz w:val="20"/>
          <w:szCs w:val="20"/>
          <w:lang w:bidi="ar-SA"/>
        </w:rPr>
        <w:t xml:space="preserve"> </w:t>
      </w:r>
      <w:r w:rsidR="001C234D" w:rsidRPr="00690686">
        <w:rPr>
          <w:sz w:val="20"/>
          <w:szCs w:val="20"/>
          <w:lang w:bidi="ar-SA"/>
        </w:rPr>
        <w:t xml:space="preserve">that </w:t>
      </w:r>
      <w:r w:rsidR="00AC19A5">
        <w:rPr>
          <w:sz w:val="20"/>
          <w:szCs w:val="20"/>
          <w:lang w:bidi="ar-SA"/>
        </w:rPr>
        <w:t>T</w:t>
      </w:r>
      <w:r w:rsidR="001C234D" w:rsidRPr="00690686">
        <w:rPr>
          <w:sz w:val="20"/>
          <w:szCs w:val="20"/>
          <w:lang w:bidi="ar-SA"/>
        </w:rPr>
        <w:t>he Netherlands remain responsible for providing her with protection and support after the criminal proceedings</w:t>
      </w:r>
      <w:r w:rsidRPr="00690686">
        <w:rPr>
          <w:sz w:val="20"/>
          <w:szCs w:val="20"/>
          <w:lang w:bidi="ar-SA"/>
        </w:rPr>
        <w:t xml:space="preserve">, which is why she had requested interim </w:t>
      </w:r>
      <w:r w:rsidR="00A55C2B" w:rsidRPr="00690686">
        <w:rPr>
          <w:sz w:val="20"/>
          <w:szCs w:val="20"/>
          <w:lang w:bidi="ar-SA"/>
        </w:rPr>
        <w:t>measures</w:t>
      </w:r>
      <w:r w:rsidR="00A55C2B">
        <w:rPr>
          <w:sz w:val="20"/>
          <w:szCs w:val="20"/>
          <w:lang w:bidi="ar-SA"/>
        </w:rPr>
        <w:t>.</w:t>
      </w:r>
      <w:r w:rsidRPr="00690686">
        <w:rPr>
          <w:rStyle w:val="FootnoteReference"/>
          <w:szCs w:val="20"/>
          <w:lang w:bidi="ar-SA"/>
        </w:rPr>
        <w:footnoteReference w:id="14"/>
      </w:r>
      <w:r w:rsidR="001C234D" w:rsidRPr="00690686">
        <w:rPr>
          <w:sz w:val="20"/>
          <w:szCs w:val="20"/>
          <w:lang w:bidi="ar-SA"/>
        </w:rPr>
        <w:t xml:space="preserve"> </w:t>
      </w:r>
    </w:p>
    <w:p w14:paraId="1B97EF66" w14:textId="77777777" w:rsidR="000128E3" w:rsidRPr="00690686" w:rsidRDefault="000128E3" w:rsidP="009F34DF">
      <w:pPr>
        <w:pStyle w:val="H23G"/>
        <w:outlineLvl w:val="0"/>
      </w:pPr>
      <w:r w:rsidRPr="00690686">
        <w:tab/>
      </w:r>
      <w:r w:rsidRPr="00690686">
        <w:tab/>
        <w:t>State party’s observations</w:t>
      </w:r>
      <w:r w:rsidR="00E17CD1" w:rsidRPr="00690686">
        <w:t xml:space="preserve"> </w:t>
      </w:r>
      <w:r w:rsidR="004C69F9" w:rsidRPr="00690686">
        <w:t xml:space="preserve">on </w:t>
      </w:r>
      <w:r w:rsidR="00831E26" w:rsidRPr="00690686">
        <w:t>the</w:t>
      </w:r>
      <w:r w:rsidR="00483412" w:rsidRPr="00690686">
        <w:t xml:space="preserve"> </w:t>
      </w:r>
      <w:r w:rsidR="006825B2" w:rsidRPr="00690686">
        <w:t>merits</w:t>
      </w:r>
    </w:p>
    <w:p w14:paraId="30A1E380" w14:textId="56485537" w:rsidR="00E032CB" w:rsidRPr="00690686" w:rsidRDefault="00E032CB" w:rsidP="00E032CB">
      <w:pPr>
        <w:pStyle w:val="SingleTxtG"/>
        <w:rPr>
          <w:lang w:eastAsia="zh-CN"/>
        </w:rPr>
      </w:pPr>
      <w:r w:rsidRPr="00690686">
        <w:t>4.1</w:t>
      </w:r>
      <w:r w:rsidRPr="00690686">
        <w:tab/>
        <w:t xml:space="preserve">On 23 May 2018, the State party submitted its observations on </w:t>
      </w:r>
      <w:r w:rsidR="00C3299D" w:rsidRPr="00690686">
        <w:t>the admissibility and merits. The State party</w:t>
      </w:r>
      <w:r w:rsidRPr="00690686">
        <w:t xml:space="preserve"> </w:t>
      </w:r>
      <w:r w:rsidR="000E7D51" w:rsidRPr="00690686">
        <w:t>considers</w:t>
      </w:r>
      <w:r w:rsidRPr="00690686">
        <w:t xml:space="preserve"> that the communication</w:t>
      </w:r>
      <w:r w:rsidR="000E7D51" w:rsidRPr="00690686">
        <w:t xml:space="preserve"> is unfounded and</w:t>
      </w:r>
      <w:r w:rsidRPr="00690686">
        <w:t xml:space="preserve"> should be declared inadmissible</w:t>
      </w:r>
      <w:r w:rsidR="000E7D51" w:rsidRPr="00690686">
        <w:t>.</w:t>
      </w:r>
      <w:r w:rsidRPr="00690686">
        <w:t xml:space="preserve"> </w:t>
      </w:r>
    </w:p>
    <w:p w14:paraId="5F18DDA5" w14:textId="5C091867" w:rsidR="00E032CB" w:rsidRPr="00690686" w:rsidRDefault="000B258C" w:rsidP="00E032CB">
      <w:pPr>
        <w:pStyle w:val="SingleTxtG"/>
      </w:pPr>
      <w:r w:rsidRPr="00690686">
        <w:t>4.</w:t>
      </w:r>
      <w:r w:rsidR="00580CFA" w:rsidRPr="00690686">
        <w:t>2</w:t>
      </w:r>
      <w:r w:rsidR="000E7D51" w:rsidRPr="00690686">
        <w:tab/>
        <w:t>The State party</w:t>
      </w:r>
      <w:r w:rsidR="00E032CB" w:rsidRPr="00690686">
        <w:t xml:space="preserve"> recalls the main facts described in the communication, stating that on 14 September 2015</w:t>
      </w:r>
      <w:r w:rsidR="00C3299D" w:rsidRPr="00690686">
        <w:t>,</w:t>
      </w:r>
      <w:r w:rsidR="00E032CB" w:rsidRPr="00690686">
        <w:t xml:space="preserve"> an Amsterdam unit of the police force held an intake interview with the author to establish whether she may have been a victim of human trafficking, an offence which is punishable under article 273f of the </w:t>
      </w:r>
      <w:r w:rsidR="007119C7" w:rsidRPr="00690686">
        <w:t xml:space="preserve">Dutch </w:t>
      </w:r>
      <w:r w:rsidR="00D517D3">
        <w:t xml:space="preserve">Criminal </w:t>
      </w:r>
      <w:r w:rsidR="007119C7" w:rsidRPr="00690686">
        <w:t>Code (DCC)</w:t>
      </w:r>
      <w:r w:rsidR="00E032CB" w:rsidRPr="00690686">
        <w:t xml:space="preserve">. Because there were indications of possible human trafficking for the purpose of labour exploitation, the author was offered temporary residence on humanitarian grounds in accordance with part B8 of the Aliens Act Implementation Guidelines </w:t>
      </w:r>
      <w:r w:rsidRPr="00690686">
        <w:t>(the B8 procedure)</w:t>
      </w:r>
      <w:r w:rsidR="00E032CB" w:rsidRPr="00690686">
        <w:t xml:space="preserve">. </w:t>
      </w:r>
      <w:r w:rsidR="00E52861" w:rsidRPr="00690686">
        <w:t>On this basis, t</w:t>
      </w:r>
      <w:r w:rsidR="00E032CB" w:rsidRPr="00690686">
        <w:t>he author was given three month</w:t>
      </w:r>
      <w:r w:rsidR="00E52861" w:rsidRPr="00690686">
        <w:t xml:space="preserve">s to lodge a criminal complaint and granted lawful residence in the Netherlands </w:t>
      </w:r>
      <w:r w:rsidR="003001D8" w:rsidRPr="00690686">
        <w:t>during this period.</w:t>
      </w:r>
    </w:p>
    <w:p w14:paraId="33976703" w14:textId="371A7A6C" w:rsidR="003001D8" w:rsidRPr="00690686" w:rsidRDefault="007119C7" w:rsidP="000B258C">
      <w:pPr>
        <w:pStyle w:val="SingleTxtG"/>
      </w:pPr>
      <w:r w:rsidRPr="00690686">
        <w:t>4.</w:t>
      </w:r>
      <w:r w:rsidR="00580CFA" w:rsidRPr="00690686">
        <w:t>3</w:t>
      </w:r>
      <w:r w:rsidRPr="00690686">
        <w:tab/>
        <w:t>The State Party explains</w:t>
      </w:r>
      <w:r w:rsidR="00E032CB" w:rsidRPr="00690686">
        <w:t xml:space="preserve"> that on 8 December 2015 the author lodged a criminal complaint </w:t>
      </w:r>
      <w:r w:rsidRPr="00690686">
        <w:t>for</w:t>
      </w:r>
      <w:r w:rsidR="00E032CB" w:rsidRPr="00690686">
        <w:t xml:space="preserve"> human trafficking. </w:t>
      </w:r>
      <w:r w:rsidRPr="00690686">
        <w:t>In her complaint, the author stated</w:t>
      </w:r>
      <w:r w:rsidR="00E032CB" w:rsidRPr="00690686">
        <w:t xml:space="preserve"> that sh</w:t>
      </w:r>
      <w:r w:rsidRPr="00690686">
        <w:t>e was able to escape from this situation in 2010</w:t>
      </w:r>
      <w:r w:rsidR="00E032CB" w:rsidRPr="00690686">
        <w:t xml:space="preserve">. After her </w:t>
      </w:r>
      <w:r w:rsidR="00C3299D" w:rsidRPr="00690686">
        <w:t>escape,</w:t>
      </w:r>
      <w:r w:rsidR="00E032CB" w:rsidRPr="00690686">
        <w:t xml:space="preserve"> she stayed in various places in the Netherlands. She did not report</w:t>
      </w:r>
      <w:r w:rsidRPr="00690686">
        <w:t xml:space="preserve"> her situation</w:t>
      </w:r>
      <w:r w:rsidR="00E032CB" w:rsidRPr="00690686">
        <w:t xml:space="preserve"> to the Dutch authorities until 2015.</w:t>
      </w:r>
      <w:r w:rsidRPr="00690686">
        <w:t xml:space="preserve"> </w:t>
      </w:r>
      <w:r w:rsidR="003001D8" w:rsidRPr="00690686">
        <w:t xml:space="preserve">The authorities decided </w:t>
      </w:r>
      <w:r w:rsidR="003001D8" w:rsidRPr="00690686">
        <w:rPr>
          <w:i/>
        </w:rPr>
        <w:t>ex officio</w:t>
      </w:r>
      <w:r w:rsidR="003001D8" w:rsidRPr="00690686">
        <w:t xml:space="preserve"> to treat the criminal complaint and granted her a residence permit subject </w:t>
      </w:r>
      <w:r w:rsidR="00C3299D" w:rsidRPr="00690686">
        <w:t>to</w:t>
      </w:r>
      <w:r w:rsidR="003001D8" w:rsidRPr="00690686">
        <w:t xml:space="preserve"> the restriction “temporary humanitarian grounds</w:t>
      </w:r>
      <w:r w:rsidR="00C3299D" w:rsidRPr="00690686">
        <w:t>”</w:t>
      </w:r>
      <w:r w:rsidR="003001D8" w:rsidRPr="00690686">
        <w:t xml:space="preserve">, for a period of a year, </w:t>
      </w:r>
      <w:r w:rsidR="00C3299D" w:rsidRPr="00690686">
        <w:t>starting</w:t>
      </w:r>
      <w:r w:rsidR="003001D8" w:rsidRPr="00690686">
        <w:t xml:space="preserve"> on 8 December 2015, under the scheme for victims and </w:t>
      </w:r>
      <w:r w:rsidR="00C3299D" w:rsidRPr="00690686">
        <w:t>witnesses</w:t>
      </w:r>
      <w:r w:rsidR="003001D8" w:rsidRPr="00690686">
        <w:t xml:space="preserve"> who file criminal complaints of human trafficking, as referred to in </w:t>
      </w:r>
      <w:r w:rsidR="00C3299D" w:rsidRPr="00690686">
        <w:t>article</w:t>
      </w:r>
      <w:r w:rsidR="003001D8" w:rsidRPr="00690686">
        <w:t xml:space="preserve"> 3.45 (1)(a) of the Aliens Decree and part B8/3 of the Aliens Act Implementation Guidelines. </w:t>
      </w:r>
    </w:p>
    <w:p w14:paraId="10EC8C9D" w14:textId="4FA8A735" w:rsidR="00E032CB" w:rsidRPr="00690686" w:rsidRDefault="00580CFA" w:rsidP="0089360F">
      <w:pPr>
        <w:pStyle w:val="SingleTxtG"/>
        <w:rPr>
          <w:lang w:eastAsia="de-DE"/>
        </w:rPr>
      </w:pPr>
      <w:r w:rsidRPr="00690686">
        <w:t>4.4</w:t>
      </w:r>
      <w:r w:rsidR="003001D8" w:rsidRPr="00690686">
        <w:tab/>
      </w:r>
      <w:r w:rsidR="007119C7" w:rsidRPr="00690686">
        <w:t>On 11 November 2016</w:t>
      </w:r>
      <w:r w:rsidR="00D730E3">
        <w:t>,</w:t>
      </w:r>
      <w:r w:rsidR="007119C7" w:rsidRPr="00690686">
        <w:t xml:space="preserve"> the Public P</w:t>
      </w:r>
      <w:r w:rsidR="00E032CB" w:rsidRPr="00690686">
        <w:t>rosecutor decided not to institute criminal proceedings in response to the au</w:t>
      </w:r>
      <w:r w:rsidR="007119C7" w:rsidRPr="00690686">
        <w:t>thor’s criminal complaint. The Public P</w:t>
      </w:r>
      <w:r w:rsidR="00E032CB" w:rsidRPr="00690686">
        <w:t xml:space="preserve">rosecutor was not convinced that the author’s case had involved forced labour as referred to by article 273f of the Criminal Code, which was upheld by the Hague Court of Appeal in its ruling of 12 July 2017. On the basis of the available evidence, the Court of Appeal concluded that there had </w:t>
      </w:r>
      <w:r w:rsidR="00E032CB" w:rsidRPr="00690686">
        <w:lastRenderedPageBreak/>
        <w:t>been no forced labour or rendering of services within the meaning of article 273f of the Criminal Code.</w:t>
      </w:r>
      <w:r w:rsidR="000B258C" w:rsidRPr="00690686">
        <w:t xml:space="preserve"> </w:t>
      </w:r>
      <w:r w:rsidR="00E032CB" w:rsidRPr="00690686">
        <w:t xml:space="preserve">The State party notes that all appeals by the author against the refusals of the </w:t>
      </w:r>
      <w:r w:rsidR="000B258C" w:rsidRPr="00690686">
        <w:t>Public P</w:t>
      </w:r>
      <w:r w:rsidR="00E032CB" w:rsidRPr="00690686">
        <w:t>rosecutor’s office to open a criminal case have been considered and upheld by the respective courts</w:t>
      </w:r>
      <w:r w:rsidR="000B258C" w:rsidRPr="00690686">
        <w:t xml:space="preserve"> and considers that the author has had</w:t>
      </w:r>
      <w:r w:rsidR="00E032CB" w:rsidRPr="00690686">
        <w:rPr>
          <w:b/>
          <w:bCs/>
        </w:rPr>
        <w:t xml:space="preserve"> </w:t>
      </w:r>
      <w:r w:rsidR="00E032CB" w:rsidRPr="00690686">
        <w:rPr>
          <w:bCs/>
        </w:rPr>
        <w:t>access to effective domestic legal remedies.</w:t>
      </w:r>
      <w:r w:rsidR="005049DC" w:rsidRPr="00690686">
        <w:rPr>
          <w:bCs/>
        </w:rPr>
        <w:t xml:space="preserve"> </w:t>
      </w:r>
      <w:r w:rsidR="005049DC" w:rsidRPr="00690686">
        <w:rPr>
          <w:lang w:eastAsia="de-DE"/>
        </w:rPr>
        <w:t xml:space="preserve">With respect to the </w:t>
      </w:r>
      <w:r w:rsidR="005049DC" w:rsidRPr="00690686">
        <w:rPr>
          <w:iCs/>
          <w:lang w:eastAsia="de-DE"/>
        </w:rPr>
        <w:t>economic benefit gained by the employer</w:t>
      </w:r>
      <w:r w:rsidR="005049DC" w:rsidRPr="00690686">
        <w:rPr>
          <w:i/>
          <w:iCs/>
          <w:lang w:eastAsia="de-DE"/>
        </w:rPr>
        <w:t xml:space="preserve">, </w:t>
      </w:r>
      <w:r w:rsidR="005049DC" w:rsidRPr="00690686">
        <w:rPr>
          <w:lang w:eastAsia="de-DE"/>
        </w:rPr>
        <w:t>it was acknowledged in the domestic proceedings that the employer enjoyed a substantial financial benefit from the author’s work. During those proceedings</w:t>
      </w:r>
      <w:r w:rsidR="00D730E3">
        <w:rPr>
          <w:lang w:eastAsia="de-DE"/>
        </w:rPr>
        <w:t>,</w:t>
      </w:r>
      <w:r w:rsidR="005049DC" w:rsidRPr="00690686">
        <w:rPr>
          <w:lang w:eastAsia="de-DE"/>
        </w:rPr>
        <w:t xml:space="preserve"> the author was made aware of the possibility of recovering any unpaid wages through civil proceedings against the employer.</w:t>
      </w:r>
    </w:p>
    <w:p w14:paraId="562B8906" w14:textId="1DBABED0" w:rsidR="00E032CB" w:rsidRPr="00690686" w:rsidRDefault="00E032CB" w:rsidP="00E032CB">
      <w:pPr>
        <w:pStyle w:val="SingleTxtG"/>
      </w:pPr>
      <w:r w:rsidRPr="00690686">
        <w:t>4.</w:t>
      </w:r>
      <w:r w:rsidR="00580CFA" w:rsidRPr="00690686">
        <w:t>5</w:t>
      </w:r>
      <w:r w:rsidRPr="00690686">
        <w:tab/>
        <w:t>On 14 September 2016</w:t>
      </w:r>
      <w:r w:rsidR="00D730E3">
        <w:t>,</w:t>
      </w:r>
      <w:r w:rsidRPr="00690686">
        <w:t xml:space="preserve"> the author applied for renewal of her residence permit. On 23 November 2016</w:t>
      </w:r>
      <w:r w:rsidR="00D730E3">
        <w:t>,</w:t>
      </w:r>
      <w:r w:rsidRPr="00690686">
        <w:t xml:space="preserve"> the author was informed that the Minister for Migration intended to revoke her residence permit with retroactive effect from 11 November 2016 and to deny her application for a renewal of that residence permit, on the grounds that the </w:t>
      </w:r>
      <w:r w:rsidR="00767334" w:rsidRPr="00690686">
        <w:t>P</w:t>
      </w:r>
      <w:r w:rsidRPr="00690686">
        <w:t xml:space="preserve">ublic </w:t>
      </w:r>
      <w:r w:rsidR="00767334" w:rsidRPr="00690686">
        <w:t>P</w:t>
      </w:r>
      <w:r w:rsidRPr="00690686">
        <w:t>rosecutor had decided not to institute criminal proceedings in response to the author’s criminal complaint concerning human trafficking.</w:t>
      </w:r>
    </w:p>
    <w:p w14:paraId="730BD1AD" w14:textId="3B5FB9A0" w:rsidR="00E032CB" w:rsidRPr="00690686" w:rsidRDefault="00580CFA" w:rsidP="00580CFA">
      <w:pPr>
        <w:pStyle w:val="SingleTxtG"/>
      </w:pPr>
      <w:r w:rsidRPr="00690686">
        <w:t>4.6</w:t>
      </w:r>
      <w:r w:rsidR="00E032CB" w:rsidRPr="00690686">
        <w:tab/>
        <w:t>On 17 January 2017</w:t>
      </w:r>
      <w:r w:rsidR="00D730E3">
        <w:t>,</w:t>
      </w:r>
      <w:r w:rsidR="00E032CB" w:rsidRPr="00690686">
        <w:t xml:space="preserve"> the author submitted her response to this notification of intent</w:t>
      </w:r>
      <w:r w:rsidR="00767334" w:rsidRPr="00690686">
        <w:t xml:space="preserve"> as well as</w:t>
      </w:r>
      <w:r w:rsidR="00E032CB" w:rsidRPr="00690686">
        <w:t xml:space="preserve"> </w:t>
      </w:r>
      <w:r w:rsidR="00767334" w:rsidRPr="00690686">
        <w:t>an application for her</w:t>
      </w:r>
      <w:r w:rsidR="00E032CB" w:rsidRPr="00690686">
        <w:t xml:space="preserve"> residence permit to be amended </w:t>
      </w:r>
      <w:r w:rsidR="00767334" w:rsidRPr="00690686">
        <w:t xml:space="preserve">as </w:t>
      </w:r>
      <w:r w:rsidR="00E032CB" w:rsidRPr="00690686">
        <w:t>‘non-temporary humanitarian grounds’ within the meaning of article 3.51</w:t>
      </w:r>
      <w:r w:rsidR="00767334" w:rsidRPr="00690686">
        <w:t xml:space="preserve"> (1)</w:t>
      </w:r>
      <w:r w:rsidR="00E032CB" w:rsidRPr="00690686">
        <w:t xml:space="preserve"> (k) of the Aliens Decree.</w:t>
      </w:r>
      <w:r w:rsidR="00767334" w:rsidRPr="00690686">
        <w:t xml:space="preserve"> On 24 February 2017, the residence permit of the author was revoked with retroactive effec</w:t>
      </w:r>
      <w:r w:rsidR="007738AB" w:rsidRPr="00690686">
        <w:t>t from 11 November 2016, and the</w:t>
      </w:r>
      <w:r w:rsidR="00767334" w:rsidRPr="00690686">
        <w:t xml:space="preserve"> </w:t>
      </w:r>
      <w:r w:rsidR="00E032CB" w:rsidRPr="00690686">
        <w:t xml:space="preserve">application for renewal </w:t>
      </w:r>
      <w:r w:rsidR="007738AB" w:rsidRPr="00690686">
        <w:t xml:space="preserve">and </w:t>
      </w:r>
      <w:r w:rsidR="00C3299D" w:rsidRPr="00690686">
        <w:t>amendment</w:t>
      </w:r>
      <w:r w:rsidR="00E032CB" w:rsidRPr="00690686">
        <w:t xml:space="preserve"> were denied. On 16 March </w:t>
      </w:r>
      <w:r w:rsidR="00C3299D" w:rsidRPr="00690686">
        <w:t>2017,</w:t>
      </w:r>
      <w:r w:rsidR="00E032CB" w:rsidRPr="00690686">
        <w:t xml:space="preserve"> the author lodged a notice of objection to the decision of 24 February 2017 which was declared unfounded by </w:t>
      </w:r>
      <w:r w:rsidR="00240D05">
        <w:t xml:space="preserve">a </w:t>
      </w:r>
      <w:r w:rsidR="00E032CB" w:rsidRPr="00690686">
        <w:t>decision of 9 October 2017.</w:t>
      </w:r>
      <w:r w:rsidR="007B1D3F" w:rsidRPr="00690686">
        <w:t xml:space="preserve"> On 26 October 2017, the author appealed </w:t>
      </w:r>
      <w:r w:rsidRPr="00690686">
        <w:t xml:space="preserve">the decision </w:t>
      </w:r>
      <w:r w:rsidR="007B1D3F" w:rsidRPr="00690686">
        <w:t>to the District Court</w:t>
      </w:r>
      <w:r w:rsidRPr="00690686">
        <w:t xml:space="preserve">, which considered her application at a hearing. On 28 February 2018, the District Court declared the application for judicial review unfounded. On 28 March 2018, the author lodged an appeal with the </w:t>
      </w:r>
      <w:r w:rsidR="00E032CB" w:rsidRPr="00690686">
        <w:t>Administrative Jurisdiction Division</w:t>
      </w:r>
      <w:r w:rsidRPr="00690686">
        <w:t xml:space="preserve">, which </w:t>
      </w:r>
      <w:r w:rsidR="00C3299D" w:rsidRPr="00690686">
        <w:t>is</w:t>
      </w:r>
      <w:r w:rsidRPr="00690686">
        <w:t xml:space="preserve"> still pending. </w:t>
      </w:r>
    </w:p>
    <w:p w14:paraId="202F378F" w14:textId="48A9178D" w:rsidR="00580CFA" w:rsidRPr="00690686" w:rsidRDefault="00580CFA" w:rsidP="00580CFA">
      <w:pPr>
        <w:pStyle w:val="SingleTxtG"/>
      </w:pPr>
      <w:r w:rsidRPr="00690686">
        <w:t>4.7</w:t>
      </w:r>
      <w:r w:rsidRPr="00690686">
        <w:tab/>
        <w:t xml:space="preserve">The State Party recalls the admissibility criteria set out in articles 1, 2, 3 and 5 </w:t>
      </w:r>
      <w:r w:rsidRPr="00690686">
        <w:tab/>
        <w:t xml:space="preserve">of the Optional Protocol and </w:t>
      </w:r>
      <w:r w:rsidR="00A21564" w:rsidRPr="00690686">
        <w:t>adds</w:t>
      </w:r>
      <w:r w:rsidRPr="00690686">
        <w:t xml:space="preserve"> that if the Committee is competent to consider possible violations of the rights guaranteed by the Covenant</w:t>
      </w:r>
      <w:r w:rsidR="00A21564" w:rsidRPr="00690686">
        <w:t>,</w:t>
      </w:r>
      <w:r w:rsidRPr="00690686">
        <w:t xml:space="preserve"> </w:t>
      </w:r>
      <w:r w:rsidR="00A21564" w:rsidRPr="00690686">
        <w:t>it</w:t>
      </w:r>
      <w:r w:rsidRPr="00690686">
        <w:t xml:space="preserve"> does not, however, operate as an appellate court or a fourth instance. The State Party also considers that according to the Committee’s established case law, assessing facts and evidence is a matter for domestic courts, not for the Committee</w:t>
      </w:r>
      <w:r w:rsidR="00240D05">
        <w:t>.</w:t>
      </w:r>
      <w:r w:rsidRPr="00690686">
        <w:rPr>
          <w:rStyle w:val="FootnoteReference"/>
          <w:rFonts w:eastAsiaTheme="minorEastAsia"/>
        </w:rPr>
        <w:footnoteReference w:id="15"/>
      </w:r>
      <w:r w:rsidRPr="00690686">
        <w:t xml:space="preserve"> The national authorities are better placed to establish and consider the specific circumstances of a case than the Committee and it is not for the Committee to re-evaluate the facts that have been considered by the domestic courts. </w:t>
      </w:r>
    </w:p>
    <w:p w14:paraId="3A348AA5" w14:textId="2DEB3478" w:rsidR="00E032CB" w:rsidRPr="00690686" w:rsidRDefault="00580CFA" w:rsidP="00580CFA">
      <w:pPr>
        <w:pStyle w:val="SingleTxtG"/>
      </w:pPr>
      <w:r w:rsidRPr="00690686">
        <w:t>4.8</w:t>
      </w:r>
      <w:r w:rsidR="00E032CB" w:rsidRPr="00690686">
        <w:tab/>
        <w:t>If the Committee were nevertheless to decide that the author’s communicatio</w:t>
      </w:r>
      <w:r w:rsidRPr="00690686">
        <w:t>n is admissible, the State party considers that the c</w:t>
      </w:r>
      <w:r w:rsidR="006A52E8" w:rsidRPr="00690686">
        <w:t>ommunication is unfounded</w:t>
      </w:r>
      <w:r w:rsidRPr="00690686">
        <w:t>. The State party notes that the author argues that she was a victim of servitude or forced labour in violation of article 8 of the Covenant</w:t>
      </w:r>
      <w:r w:rsidR="00457F30">
        <w:t>. In that regard, it</w:t>
      </w:r>
      <w:r w:rsidRPr="00690686">
        <w:t xml:space="preserve"> recall</w:t>
      </w:r>
      <w:r w:rsidR="00457F30">
        <w:t>s</w:t>
      </w:r>
      <w:r w:rsidRPr="00690686">
        <w:t xml:space="preserve"> that </w:t>
      </w:r>
      <w:r w:rsidR="00457F30">
        <w:t xml:space="preserve">that human trafficking was </w:t>
      </w:r>
      <w:r w:rsidR="00457F30" w:rsidRPr="00690686">
        <w:t>made a criminal offense in article of 2</w:t>
      </w:r>
      <w:r w:rsidR="00EC218D">
        <w:t>73</w:t>
      </w:r>
      <w:r w:rsidR="00457F30" w:rsidRPr="00690686">
        <w:t>f of the DCC, in compliance with the Palermo Protocol, and the case law of the ECtHR</w:t>
      </w:r>
      <w:r w:rsidR="00240D05">
        <w:t>,</w:t>
      </w:r>
      <w:r w:rsidR="00457F30" w:rsidRPr="00690686">
        <w:t xml:space="preserve"> </w:t>
      </w:r>
      <w:r w:rsidR="00457F30">
        <w:t xml:space="preserve">and that </w:t>
      </w:r>
      <w:r w:rsidRPr="00690686">
        <w:t>the domestic procedure for lodging a criminal complaint and for prosecuting a case of human trafficking has been designed with due care</w:t>
      </w:r>
      <w:r w:rsidR="00457F30">
        <w:t>.</w:t>
      </w:r>
      <w:r w:rsidRPr="00690686">
        <w:t xml:space="preserve"> </w:t>
      </w:r>
      <w:r w:rsidR="00E032CB" w:rsidRPr="00690686">
        <w:t>In doing so</w:t>
      </w:r>
      <w:r w:rsidR="00457F30">
        <w:t>,</w:t>
      </w:r>
      <w:r w:rsidR="00E032CB" w:rsidRPr="00690686">
        <w:t xml:space="preserve"> the </w:t>
      </w:r>
      <w:r w:rsidR="00733D9E" w:rsidRPr="00690686">
        <w:t>State Party considers that it</w:t>
      </w:r>
      <w:r w:rsidR="00E032CB" w:rsidRPr="00690686">
        <w:t xml:space="preserve"> has fulfilled its positive obligations to combat labour exploitation of vulnerable </w:t>
      </w:r>
      <w:r w:rsidR="00733D9E" w:rsidRPr="00690686">
        <w:t>individuals by private parties.</w:t>
      </w:r>
    </w:p>
    <w:p w14:paraId="55987101" w14:textId="31341A39" w:rsidR="00E032CB" w:rsidRPr="00690686" w:rsidRDefault="00733D9E" w:rsidP="00DE2CF4">
      <w:pPr>
        <w:pStyle w:val="SingleTxtG"/>
      </w:pPr>
      <w:r w:rsidRPr="00690686">
        <w:t>4.9</w:t>
      </w:r>
      <w:r w:rsidR="00E032CB" w:rsidRPr="00690686">
        <w:tab/>
        <w:t xml:space="preserve">The State Party </w:t>
      </w:r>
      <w:r w:rsidRPr="00690686">
        <w:t xml:space="preserve">recalls that </w:t>
      </w:r>
      <w:r w:rsidR="00DE2CF4" w:rsidRPr="00690686">
        <w:t xml:space="preserve">the situation of the author was assessed by </w:t>
      </w:r>
      <w:r w:rsidR="00CE60D8" w:rsidRPr="00690686">
        <w:t>a specialised</w:t>
      </w:r>
      <w:r w:rsidRPr="00690686">
        <w:t xml:space="preserve"> Public P</w:t>
      </w:r>
      <w:r w:rsidR="00E032CB" w:rsidRPr="00690686">
        <w:t xml:space="preserve">rosecutor within the meaning of article 273f of the </w:t>
      </w:r>
      <w:r w:rsidR="00DE2CF4" w:rsidRPr="00690686">
        <w:t xml:space="preserve">DCC and that it concluded that the circumstances of the case did not suffice to give rise to a reasonable suspicion of exploitation </w:t>
      </w:r>
      <w:r w:rsidR="00E032CB" w:rsidRPr="00690686">
        <w:t>within the meaning of article 2</w:t>
      </w:r>
      <w:r w:rsidR="00EC218D">
        <w:t>73</w:t>
      </w:r>
      <w:r w:rsidR="00E032CB" w:rsidRPr="00690686">
        <w:t>f</w:t>
      </w:r>
      <w:r w:rsidR="00DE2CF4" w:rsidRPr="00690686">
        <w:t xml:space="preserve"> </w:t>
      </w:r>
      <w:r w:rsidR="00985C4F">
        <w:t xml:space="preserve">of the </w:t>
      </w:r>
      <w:r w:rsidR="00DE2CF4" w:rsidRPr="00690686">
        <w:t>DCC.</w:t>
      </w:r>
      <w:r w:rsidR="00E032CB" w:rsidRPr="00690686">
        <w:t xml:space="preserve"> </w:t>
      </w:r>
      <w:r w:rsidR="00DE2CF4" w:rsidRPr="00690686">
        <w:t xml:space="preserve">According to the State Party, the </w:t>
      </w:r>
      <w:r w:rsidR="00CE60D8" w:rsidRPr="00690686">
        <w:t>assessment</w:t>
      </w:r>
      <w:r w:rsidR="00DE2CF4" w:rsidRPr="00690686">
        <w:t xml:space="preserve"> of the Public Prosecutor and the Court of Appeal </w:t>
      </w:r>
      <w:r w:rsidR="00E032CB" w:rsidRPr="00690686">
        <w:t xml:space="preserve">was not unreasonable and </w:t>
      </w:r>
      <w:proofErr w:type="gramStart"/>
      <w:r w:rsidR="008C7E45">
        <w:t xml:space="preserve">was </w:t>
      </w:r>
      <w:r w:rsidR="00985C4F">
        <w:t xml:space="preserve"> </w:t>
      </w:r>
      <w:r w:rsidR="00E032CB" w:rsidRPr="00690686">
        <w:t>compatible</w:t>
      </w:r>
      <w:proofErr w:type="gramEnd"/>
      <w:r w:rsidR="00E032CB" w:rsidRPr="00690686">
        <w:t xml:space="preserve"> with article 8 of the Covenant. </w:t>
      </w:r>
      <w:r w:rsidR="00DE2CF4" w:rsidRPr="00690686">
        <w:t>Furthermore, contrarily</w:t>
      </w:r>
      <w:r w:rsidR="00E032CB" w:rsidRPr="00690686">
        <w:t xml:space="preserve"> to what the author claims in her communication to the Committee, during her police interview of 8 December 2015</w:t>
      </w:r>
      <w:r w:rsidR="00DE2CF4" w:rsidRPr="00690686">
        <w:t>,</w:t>
      </w:r>
      <w:r w:rsidR="00E032CB" w:rsidRPr="00690686">
        <w:t xml:space="preserve"> </w:t>
      </w:r>
      <w:r w:rsidR="00DE2CF4" w:rsidRPr="00690686">
        <w:t xml:space="preserve">she denied </w:t>
      </w:r>
      <w:r w:rsidR="00E032CB" w:rsidRPr="00690686">
        <w:t>that there had been any violence or threats.</w:t>
      </w:r>
    </w:p>
    <w:p w14:paraId="4C69F6AE" w14:textId="3B3A3B41" w:rsidR="007A072A" w:rsidRPr="00690686" w:rsidRDefault="00DE2CF4" w:rsidP="007A072A">
      <w:pPr>
        <w:pStyle w:val="SingleTxtG"/>
      </w:pPr>
      <w:r w:rsidRPr="00690686">
        <w:t>4.10</w:t>
      </w:r>
      <w:r w:rsidR="00E032CB" w:rsidRPr="00690686">
        <w:tab/>
      </w:r>
      <w:r w:rsidRPr="00690686">
        <w:t>With regard</w:t>
      </w:r>
      <w:r w:rsidR="00985C4F">
        <w:t xml:space="preserve"> to</w:t>
      </w:r>
      <w:r w:rsidRPr="00690686">
        <w:t xml:space="preserve"> the case law invoked by the author, the </w:t>
      </w:r>
      <w:r w:rsidR="00E032CB" w:rsidRPr="00690686">
        <w:t xml:space="preserve">State Party </w:t>
      </w:r>
      <w:r w:rsidRPr="00690686">
        <w:t xml:space="preserve">considers that it cannot be compared to her situation. In </w:t>
      </w:r>
      <w:proofErr w:type="spellStart"/>
      <w:r w:rsidR="00E032CB" w:rsidRPr="00690686">
        <w:rPr>
          <w:i/>
          <w:iCs/>
        </w:rPr>
        <w:t>Siliadin</w:t>
      </w:r>
      <w:proofErr w:type="spellEnd"/>
      <w:r w:rsidR="00E032CB" w:rsidRPr="00690686">
        <w:rPr>
          <w:i/>
          <w:iCs/>
        </w:rPr>
        <w:t xml:space="preserve"> v. France</w:t>
      </w:r>
      <w:r w:rsidR="00E032CB" w:rsidRPr="00267B33">
        <w:rPr>
          <w:rStyle w:val="FootnoteReference"/>
          <w:rFonts w:eastAsiaTheme="minorEastAsia"/>
          <w:iCs/>
        </w:rPr>
        <w:footnoteReference w:id="16"/>
      </w:r>
      <w:r w:rsidRPr="00690686">
        <w:rPr>
          <w:i/>
          <w:iCs/>
        </w:rPr>
        <w:t>,</w:t>
      </w:r>
      <w:r w:rsidR="00E032CB" w:rsidRPr="00690686">
        <w:t xml:space="preserve"> the case </w:t>
      </w:r>
      <w:r w:rsidRPr="00690686">
        <w:t xml:space="preserve">concerns </w:t>
      </w:r>
      <w:r w:rsidR="00E032CB" w:rsidRPr="00690686">
        <w:t xml:space="preserve">a minor who </w:t>
      </w:r>
      <w:r w:rsidR="00E032CB" w:rsidRPr="00690686">
        <w:lastRenderedPageBreak/>
        <w:t>was brought into France without legal resident status, worked seven days a week without pay for several years, without any time off or freedom of movement, and had her passport taken from her.</w:t>
      </w:r>
      <w:r w:rsidRPr="00690686">
        <w:t xml:space="preserve"> In the </w:t>
      </w:r>
      <w:r w:rsidR="00E032CB" w:rsidRPr="00690686">
        <w:rPr>
          <w:i/>
          <w:iCs/>
        </w:rPr>
        <w:t xml:space="preserve">Mehak </w:t>
      </w:r>
      <w:r w:rsidR="00E032CB" w:rsidRPr="00690686">
        <w:rPr>
          <w:i/>
        </w:rPr>
        <w:t>case</w:t>
      </w:r>
      <w:r w:rsidR="00E032CB" w:rsidRPr="00690686">
        <w:rPr>
          <w:rStyle w:val="FootnoteReference"/>
          <w:rFonts w:eastAsiaTheme="minorEastAsia"/>
        </w:rPr>
        <w:footnoteReference w:id="17"/>
      </w:r>
      <w:r w:rsidRPr="00690686">
        <w:rPr>
          <w:i/>
        </w:rPr>
        <w:t>,</w:t>
      </w:r>
      <w:r w:rsidR="00E032CB" w:rsidRPr="00690686">
        <w:t xml:space="preserve"> </w:t>
      </w:r>
      <w:r w:rsidRPr="00690686">
        <w:t>t</w:t>
      </w:r>
      <w:r w:rsidR="00E032CB" w:rsidRPr="00690686">
        <w:t xml:space="preserve">he </w:t>
      </w:r>
      <w:r w:rsidRPr="00690686">
        <w:t>D</w:t>
      </w:r>
      <w:r w:rsidR="00E032CB" w:rsidRPr="00690686">
        <w:t xml:space="preserve">istrict </w:t>
      </w:r>
      <w:r w:rsidRPr="00690686">
        <w:t>C</w:t>
      </w:r>
      <w:r w:rsidR="00E032CB" w:rsidRPr="00690686">
        <w:t>ourt</w:t>
      </w:r>
      <w:r w:rsidRPr="00690686">
        <w:t xml:space="preserve"> indeed</w:t>
      </w:r>
      <w:r w:rsidR="00E032CB" w:rsidRPr="00690686">
        <w:t xml:space="preserve"> ruled that the </w:t>
      </w:r>
      <w:r w:rsidRPr="00690686">
        <w:t>si</w:t>
      </w:r>
      <w:r w:rsidR="00E032CB" w:rsidRPr="00690686">
        <w:t xml:space="preserve">tuation of the persons concerned was hopeless and the circumstances were degrading. </w:t>
      </w:r>
      <w:r w:rsidR="00A971D3">
        <w:t>T</w:t>
      </w:r>
      <w:r w:rsidRPr="00690686">
        <w:t>he</w:t>
      </w:r>
      <w:r w:rsidR="00E032CB" w:rsidRPr="00690686">
        <w:t xml:space="preserve"> persons concerned had no access to their passports without permission, had very little or no contact with the outside world, and physical violence was involved.</w:t>
      </w:r>
      <w:r w:rsidR="007A072A" w:rsidRPr="00690686">
        <w:t xml:space="preserve"> In </w:t>
      </w:r>
      <w:proofErr w:type="spellStart"/>
      <w:r w:rsidR="007A072A" w:rsidRPr="00690686">
        <w:rPr>
          <w:i/>
          <w:iCs/>
        </w:rPr>
        <w:t>Siliadin</w:t>
      </w:r>
      <w:proofErr w:type="spellEnd"/>
      <w:r w:rsidR="007A072A" w:rsidRPr="00690686">
        <w:rPr>
          <w:i/>
          <w:iCs/>
        </w:rPr>
        <w:t xml:space="preserve"> v. France </w:t>
      </w:r>
      <w:r w:rsidR="007A072A" w:rsidRPr="00690686">
        <w:t xml:space="preserve">and </w:t>
      </w:r>
      <w:r w:rsidR="007A072A" w:rsidRPr="00690686">
        <w:rPr>
          <w:i/>
          <w:iCs/>
        </w:rPr>
        <w:t>C.N. v. the United Kingdom</w:t>
      </w:r>
      <w:r w:rsidR="007A072A" w:rsidRPr="00267B33">
        <w:rPr>
          <w:rStyle w:val="FootnoteReference"/>
          <w:rFonts w:eastAsiaTheme="minorEastAsia"/>
          <w:iCs/>
        </w:rPr>
        <w:footnoteReference w:id="18"/>
      </w:r>
      <w:r w:rsidR="007A072A" w:rsidRPr="00690686">
        <w:t xml:space="preserve"> the ECtHR found a violation because the law did not provide for effective </w:t>
      </w:r>
      <w:r w:rsidR="000D7423">
        <w:t>criminalization</w:t>
      </w:r>
      <w:r w:rsidR="000D7423" w:rsidRPr="00690686">
        <w:t xml:space="preserve"> </w:t>
      </w:r>
      <w:r w:rsidR="007A072A" w:rsidRPr="00690686">
        <w:t>of servitude and forced labour. Contrary to the statutory regimes referred to in those cases, Dutch law does explicitly criminalise servitude and forced labour.</w:t>
      </w:r>
    </w:p>
    <w:p w14:paraId="4AD6D5B1" w14:textId="67100756" w:rsidR="00D86EE9" w:rsidRPr="00690686" w:rsidRDefault="00713B57" w:rsidP="00D86EE9">
      <w:pPr>
        <w:pStyle w:val="SingleTxtG"/>
      </w:pPr>
      <w:r w:rsidRPr="00690686">
        <w:t>4.11</w:t>
      </w:r>
      <w:r w:rsidR="00E032CB" w:rsidRPr="00690686">
        <w:tab/>
      </w:r>
      <w:r w:rsidR="000D7423">
        <w:t>Regarding</w:t>
      </w:r>
      <w:r w:rsidR="00240D05">
        <w:t xml:space="preserve"> the</w:t>
      </w:r>
      <w:r w:rsidR="00D86EE9" w:rsidRPr="00690686">
        <w:t xml:space="preserve"> </w:t>
      </w:r>
      <w:proofErr w:type="spellStart"/>
      <w:r w:rsidR="00D86EE9" w:rsidRPr="00690686">
        <w:t>FairWork</w:t>
      </w:r>
      <w:r w:rsidR="00CE60D8" w:rsidRPr="00690686">
        <w:t>’s</w:t>
      </w:r>
      <w:proofErr w:type="spellEnd"/>
      <w:r w:rsidR="00D86EE9" w:rsidRPr="00690686">
        <w:t xml:space="preserve"> report </w:t>
      </w:r>
      <w:r w:rsidR="000D7423">
        <w:t>of</w:t>
      </w:r>
      <w:r w:rsidR="00D86EE9" w:rsidRPr="00690686">
        <w:t xml:space="preserve"> 28 February 2017 on the situation of the author, th</w:t>
      </w:r>
      <w:r w:rsidR="00CE60D8" w:rsidRPr="00690686">
        <w:t>e</w:t>
      </w:r>
      <w:r w:rsidR="00E032CB" w:rsidRPr="00690686">
        <w:t xml:space="preserve"> State Party </w:t>
      </w:r>
      <w:r w:rsidR="00D86EE9" w:rsidRPr="00690686">
        <w:t>notes that, contrar</w:t>
      </w:r>
      <w:r w:rsidR="000D7423">
        <w:t>y</w:t>
      </w:r>
      <w:r w:rsidR="00E032CB" w:rsidRPr="00690686">
        <w:t xml:space="preserve"> to what the author claims in her communication, </w:t>
      </w:r>
      <w:r w:rsidR="00D86EE9" w:rsidRPr="00690686">
        <w:t>it</w:t>
      </w:r>
      <w:r w:rsidR="00E032CB" w:rsidRPr="00690686">
        <w:t xml:space="preserve"> does not conclude that</w:t>
      </w:r>
      <w:r w:rsidR="00D86EE9" w:rsidRPr="00690686">
        <w:t xml:space="preserve"> she</w:t>
      </w:r>
      <w:r w:rsidR="00E032CB" w:rsidRPr="00690686">
        <w:t xml:space="preserve"> was actually a victim of exploitation. The fact that, at an early stage, it </w:t>
      </w:r>
      <w:r w:rsidR="00D86EE9" w:rsidRPr="00690686">
        <w:t>was</w:t>
      </w:r>
      <w:r w:rsidR="00E032CB" w:rsidRPr="00690686">
        <w:t xml:space="preserve"> presumed that there are indications of possible exploitation does not mean that the elements of the offence of trafficking in human beings/exploitation have been fulfilled</w:t>
      </w:r>
      <w:r w:rsidR="00D86EE9" w:rsidRPr="00690686">
        <w:t xml:space="preserve"> and is independent from</w:t>
      </w:r>
      <w:r w:rsidR="00E032CB" w:rsidRPr="00690686">
        <w:t xml:space="preserve"> the authorities’ duty to investigate.</w:t>
      </w:r>
      <w:r w:rsidR="00D86EE9" w:rsidRPr="00690686">
        <w:t xml:space="preserve"> </w:t>
      </w:r>
    </w:p>
    <w:p w14:paraId="31DDD4A4" w14:textId="12098627" w:rsidR="00E032CB" w:rsidRPr="00690686" w:rsidRDefault="00CE60D8" w:rsidP="00D86EE9">
      <w:pPr>
        <w:pStyle w:val="SingleTxtG"/>
      </w:pPr>
      <w:r w:rsidRPr="00690686">
        <w:t>4.12</w:t>
      </w:r>
      <w:r w:rsidRPr="00690686">
        <w:tab/>
        <w:t xml:space="preserve">The </w:t>
      </w:r>
      <w:r w:rsidR="00D86EE9" w:rsidRPr="00690686">
        <w:t>State Party</w:t>
      </w:r>
      <w:r w:rsidRPr="00690686">
        <w:t xml:space="preserve"> also</w:t>
      </w:r>
      <w:r w:rsidR="00D86EE9" w:rsidRPr="00690686">
        <w:t xml:space="preserve"> considers that it has </w:t>
      </w:r>
      <w:r w:rsidR="00E032CB" w:rsidRPr="00690686">
        <w:t>fulfil</w:t>
      </w:r>
      <w:r w:rsidR="00D86EE9" w:rsidRPr="00690686">
        <w:t>led</w:t>
      </w:r>
      <w:r w:rsidR="00E032CB" w:rsidRPr="00690686">
        <w:t xml:space="preserve"> its duty of investigation arising from article 2</w:t>
      </w:r>
      <w:r w:rsidRPr="00690686">
        <w:t>(</w:t>
      </w:r>
      <w:r w:rsidR="00E032CB" w:rsidRPr="00690686">
        <w:t>3</w:t>
      </w:r>
      <w:r w:rsidRPr="00690686">
        <w:t>)</w:t>
      </w:r>
      <w:r w:rsidR="00E032CB" w:rsidRPr="00690686">
        <w:t xml:space="preserve"> </w:t>
      </w:r>
      <w:r w:rsidRPr="00690686">
        <w:t xml:space="preserve">read </w:t>
      </w:r>
      <w:r w:rsidR="00E032CB" w:rsidRPr="00690686">
        <w:t>in conjunction with article 8 of the Covenant.</w:t>
      </w:r>
      <w:r w:rsidR="00D86EE9" w:rsidRPr="00690686">
        <w:t xml:space="preserve"> The State Party recalls that article 2(3) of the Covenant means</w:t>
      </w:r>
      <w:r w:rsidR="00E032CB" w:rsidRPr="00690686">
        <w:t xml:space="preserve"> that remedies must be provided to test claims under the Covenant domestically for claims that are sufficiently well-founded to be arguable under the Covenant</w:t>
      </w:r>
      <w:r w:rsidR="00E032CB" w:rsidRPr="00690686">
        <w:rPr>
          <w:rStyle w:val="FootnoteReference"/>
          <w:rFonts w:eastAsiaTheme="minorEastAsia"/>
        </w:rPr>
        <w:footnoteReference w:id="19"/>
      </w:r>
      <w:r w:rsidR="00E032CB" w:rsidRPr="00690686">
        <w:t>. Further</w:t>
      </w:r>
      <w:r w:rsidR="000D7423">
        <w:t>more</w:t>
      </w:r>
      <w:r w:rsidR="00E032CB" w:rsidRPr="00690686">
        <w:t>, in order to properly provide for a right to a remedy</w:t>
      </w:r>
      <w:r w:rsidRPr="00690686">
        <w:t>,</w:t>
      </w:r>
      <w:r w:rsidR="00E032CB" w:rsidRPr="00690686">
        <w:t xml:space="preserve"> a State must also take positive steps in response to credible allegations of violations of the Covenant.</w:t>
      </w:r>
    </w:p>
    <w:p w14:paraId="1D674842" w14:textId="449A25CB" w:rsidR="00E032CB" w:rsidRPr="00690686" w:rsidRDefault="00D86EE9" w:rsidP="00D86EE9">
      <w:pPr>
        <w:pStyle w:val="SingleTxtG"/>
      </w:pPr>
      <w:r w:rsidRPr="00690686">
        <w:t>4.13</w:t>
      </w:r>
      <w:r w:rsidR="00E032CB" w:rsidRPr="00690686">
        <w:tab/>
        <w:t xml:space="preserve">The State Party refers to </w:t>
      </w:r>
      <w:r w:rsidR="00E032CB" w:rsidRPr="00690686">
        <w:rPr>
          <w:i/>
          <w:iCs/>
        </w:rPr>
        <w:t>Horvath v. Australia</w:t>
      </w:r>
      <w:r w:rsidR="00E032CB" w:rsidRPr="00267B33">
        <w:rPr>
          <w:rStyle w:val="FootnoteReference"/>
          <w:rFonts w:eastAsiaTheme="minorEastAsia"/>
          <w:iCs/>
        </w:rPr>
        <w:footnoteReference w:id="20"/>
      </w:r>
      <w:r w:rsidR="00E032CB" w:rsidRPr="00267B33">
        <w:rPr>
          <w:iCs/>
        </w:rPr>
        <w:t xml:space="preserve"> </w:t>
      </w:r>
      <w:r w:rsidRPr="00690686">
        <w:rPr>
          <w:iCs/>
        </w:rPr>
        <w:t xml:space="preserve">and acknowledges that it has positive obligations to protect victims </w:t>
      </w:r>
      <w:r w:rsidR="00E032CB" w:rsidRPr="00690686">
        <w:t xml:space="preserve">against those who exploit them. This means </w:t>
      </w:r>
      <w:r w:rsidR="00E032CB" w:rsidRPr="00690686">
        <w:rPr>
          <w:i/>
          <w:iCs/>
        </w:rPr>
        <w:t xml:space="preserve">inter alia </w:t>
      </w:r>
      <w:r w:rsidR="00E032CB" w:rsidRPr="00690686">
        <w:t>that once the authorities become aware of indications of exploitation, an investigation must be instituted. The Government believes that the statutory provisions and procedures in the Netherlands for preventing, suppressing and punishing human trafficking are sufficient.</w:t>
      </w:r>
    </w:p>
    <w:p w14:paraId="1E4BDBA1" w14:textId="4FAC796F" w:rsidR="00E032CB" w:rsidRPr="00690686" w:rsidRDefault="001F7E1B" w:rsidP="00E032CB">
      <w:pPr>
        <w:pStyle w:val="SingleTxtG"/>
      </w:pPr>
      <w:r w:rsidRPr="00690686">
        <w:t>4.14</w:t>
      </w:r>
      <w:r w:rsidR="00DF6805" w:rsidRPr="00690686">
        <w:tab/>
      </w:r>
      <w:r w:rsidR="00E032CB" w:rsidRPr="00690686">
        <w:t xml:space="preserve">The State Party notes that the author has not presented any argument to demonstrate that the investigation was not conducted with due care. Therefore, the communication </w:t>
      </w:r>
      <w:r w:rsidR="002F29D8" w:rsidRPr="00690686">
        <w:t>is unfounded</w:t>
      </w:r>
      <w:r w:rsidR="00E032CB" w:rsidRPr="00690686">
        <w:t xml:space="preserve">. The fact that the outcome was not the one sought by the author – </w:t>
      </w:r>
      <w:r w:rsidR="00E032CB" w:rsidRPr="00690686">
        <w:rPr>
          <w:i/>
        </w:rPr>
        <w:t>i.e</w:t>
      </w:r>
      <w:r w:rsidR="00E032CB" w:rsidRPr="00690686">
        <w:t>. criminal prosecution and the granting of a residence permit to the author – does not mean that article 2</w:t>
      </w:r>
      <w:r w:rsidR="00D86EE9" w:rsidRPr="00690686">
        <w:t xml:space="preserve"> (3)</w:t>
      </w:r>
      <w:r w:rsidR="00E032CB" w:rsidRPr="00690686">
        <w:t xml:space="preserve"> of the Covenant has been violated. Article 2</w:t>
      </w:r>
      <w:r w:rsidR="002F29D8" w:rsidRPr="00690686">
        <w:t xml:space="preserve"> </w:t>
      </w:r>
      <w:r w:rsidRPr="00690686">
        <w:t xml:space="preserve">(3), </w:t>
      </w:r>
      <w:r w:rsidR="002F29D8" w:rsidRPr="00690686">
        <w:t xml:space="preserve">read </w:t>
      </w:r>
      <w:r w:rsidRPr="00690686">
        <w:t>in con</w:t>
      </w:r>
      <w:r w:rsidR="00E032CB" w:rsidRPr="00690686">
        <w:t>junction with article 8 of the Covenant does not go so far as to confer an entitlement to criminal prosecution.</w:t>
      </w:r>
    </w:p>
    <w:p w14:paraId="5A8534A6" w14:textId="17281EE2" w:rsidR="00E032CB" w:rsidRPr="00690686" w:rsidRDefault="007A072A" w:rsidP="007A072A">
      <w:pPr>
        <w:pStyle w:val="SingleTxtG"/>
      </w:pPr>
      <w:r w:rsidRPr="00690686">
        <w:t>4.15</w:t>
      </w:r>
      <w:r w:rsidR="002F29D8" w:rsidRPr="00690686">
        <w:tab/>
      </w:r>
      <w:r w:rsidR="00E032CB" w:rsidRPr="00690686">
        <w:t xml:space="preserve">The State Party </w:t>
      </w:r>
      <w:r w:rsidRPr="00690686">
        <w:t>adds</w:t>
      </w:r>
      <w:r w:rsidR="00E032CB" w:rsidRPr="00690686">
        <w:t xml:space="preserve"> that the author </w:t>
      </w:r>
      <w:r w:rsidRPr="00690686">
        <w:t xml:space="preserve">has </w:t>
      </w:r>
      <w:r w:rsidR="00E032CB" w:rsidRPr="00690686">
        <w:t>had access to an effective remedy and the duty of investigation with respect to an alleged case of labour exploitation was fulfilled.</w:t>
      </w:r>
      <w:r w:rsidRPr="00690686">
        <w:t xml:space="preserve"> Likewise, she was offered a reflection period of three months following the intake interview, given the opportunity to provide a detailed account of her situation to trained police officers, with the presence of an interpreter. The Public Prosecutor, in its conclusion, </w:t>
      </w:r>
      <w:r w:rsidR="00E032CB" w:rsidRPr="00690686">
        <w:t>informed the auth</w:t>
      </w:r>
      <w:r w:rsidRPr="00690686">
        <w:t>or of its</w:t>
      </w:r>
      <w:r w:rsidR="00E032CB" w:rsidRPr="00690686">
        <w:t xml:space="preserve"> decision and the reasons for it. The State Party considers that the indications of human trafficking that existed with respect to the author were </w:t>
      </w:r>
      <w:r w:rsidR="000D7423">
        <w:t>examined with serious care</w:t>
      </w:r>
      <w:r w:rsidR="00E032CB" w:rsidRPr="00690686">
        <w:t xml:space="preserve"> and considered on their merits. The author has had the opportunity to challenge the </w:t>
      </w:r>
      <w:r w:rsidRPr="00690686">
        <w:t>Public P</w:t>
      </w:r>
      <w:r w:rsidR="00E032CB" w:rsidRPr="00690686">
        <w:t xml:space="preserve">rosecutor’s decision not to institute criminal proceedings. On the merits, the </w:t>
      </w:r>
      <w:r w:rsidRPr="00690686">
        <w:t>P</w:t>
      </w:r>
      <w:r w:rsidR="00E032CB" w:rsidRPr="00690686">
        <w:t xml:space="preserve">ublic </w:t>
      </w:r>
      <w:r w:rsidRPr="00690686">
        <w:t>P</w:t>
      </w:r>
      <w:r w:rsidR="00E032CB" w:rsidRPr="00690686">
        <w:t>rosecutor and the Court of Appeal concluded that there was no evidence that the author had been exploited in the sense referred to by article 273f of the Criminal Code.</w:t>
      </w:r>
    </w:p>
    <w:p w14:paraId="4341A915" w14:textId="44BF08EA" w:rsidR="00E032CB" w:rsidRPr="00690686" w:rsidRDefault="007A072A" w:rsidP="00E032CB">
      <w:pPr>
        <w:pStyle w:val="SingleTxtG"/>
      </w:pPr>
      <w:r w:rsidRPr="00690686">
        <w:lastRenderedPageBreak/>
        <w:t>4.16</w:t>
      </w:r>
      <w:r w:rsidR="00E032CB" w:rsidRPr="00690686">
        <w:tab/>
        <w:t>The State Par</w:t>
      </w:r>
      <w:r w:rsidRPr="00690686">
        <w:t>ty adds</w:t>
      </w:r>
      <w:r w:rsidR="00E032CB" w:rsidRPr="00690686">
        <w:t xml:space="preserve"> that the author did not contact the authorities </w:t>
      </w:r>
      <w:r w:rsidR="002F29D8" w:rsidRPr="00690686">
        <w:t>about</w:t>
      </w:r>
      <w:r w:rsidR="00E032CB" w:rsidRPr="00690686">
        <w:t xml:space="preserve"> her allegations of exploitation until five years after leaving her employer. The passage of such a period of time made it unlikely tha</w:t>
      </w:r>
      <w:r w:rsidRPr="00690686">
        <w:t>t further investigation in</w:t>
      </w:r>
      <w:r w:rsidR="002F29D8" w:rsidRPr="00690686">
        <w:t xml:space="preserve"> the years 2015/</w:t>
      </w:r>
      <w:r w:rsidRPr="00690686">
        <w:t>2016</w:t>
      </w:r>
      <w:r w:rsidR="00E032CB" w:rsidRPr="00690686">
        <w:t xml:space="preserve"> would generate sufficient lines of inquiry about alleged labour </w:t>
      </w:r>
      <w:r w:rsidRPr="00690686">
        <w:t xml:space="preserve">exploitation in the period </w:t>
      </w:r>
      <w:r w:rsidR="002F29D8" w:rsidRPr="00690686">
        <w:t xml:space="preserve">from </w:t>
      </w:r>
      <w:r w:rsidRPr="00690686">
        <w:t xml:space="preserve">2003 to </w:t>
      </w:r>
      <w:r w:rsidR="00E032CB" w:rsidRPr="00690686">
        <w:t>2010.</w:t>
      </w:r>
    </w:p>
    <w:p w14:paraId="64C82068" w14:textId="6A124973" w:rsidR="00E032CB" w:rsidRPr="00690686" w:rsidRDefault="007A072A" w:rsidP="007A072A">
      <w:pPr>
        <w:pStyle w:val="SingleTxtG"/>
      </w:pPr>
      <w:r w:rsidRPr="00690686">
        <w:t>4.17</w:t>
      </w:r>
      <w:r w:rsidRPr="00690686">
        <w:tab/>
      </w:r>
      <w:r w:rsidR="00E032CB" w:rsidRPr="00690686">
        <w:t>The State Party considers that the author has not sufficiently substantiated her claim that the State party did not provide her with adequate protection in the present case. The investigation conducted by the national authorities in the author’s case was sufficient for the purposes of article 2</w:t>
      </w:r>
      <w:r w:rsidRPr="00690686">
        <w:t xml:space="preserve"> (3)</w:t>
      </w:r>
      <w:r w:rsidR="00E032CB" w:rsidRPr="00690686">
        <w:t xml:space="preserve"> in conjunction with article 8 of the Covenant.</w:t>
      </w:r>
      <w:r w:rsidRPr="00690686">
        <w:t xml:space="preserve"> </w:t>
      </w:r>
      <w:r w:rsidR="00E032CB" w:rsidRPr="00690686">
        <w:t>In conclusion, the State Party considers that the communication is inadmissible since it is not the Committee’s role to act as an appellate court.</w:t>
      </w:r>
      <w:r w:rsidRPr="00690686">
        <w:t xml:space="preserve"> </w:t>
      </w:r>
      <w:r w:rsidR="00E032CB" w:rsidRPr="00690686">
        <w:t>Should the Committee not endorse that view, the State Party is of the opinion that there has been no violation of article 2</w:t>
      </w:r>
      <w:r w:rsidRPr="00690686">
        <w:t>(</w:t>
      </w:r>
      <w:r w:rsidR="00E032CB" w:rsidRPr="00690686">
        <w:t>3</w:t>
      </w:r>
      <w:r w:rsidRPr="00690686">
        <w:t>)</w:t>
      </w:r>
      <w:r w:rsidR="00E032CB" w:rsidRPr="00690686">
        <w:t xml:space="preserve"> in conjunction with article 8 of the Covenant and that the communication as a whole is unfounded.</w:t>
      </w:r>
    </w:p>
    <w:p w14:paraId="44994D3F" w14:textId="77777777" w:rsidR="00CC7F1B" w:rsidRPr="00690686" w:rsidRDefault="00CC7F1B" w:rsidP="00CC7F1B">
      <w:pPr>
        <w:pStyle w:val="H23G"/>
      </w:pPr>
      <w:r w:rsidRPr="00690686">
        <w:tab/>
      </w:r>
      <w:r w:rsidRPr="00690686">
        <w:tab/>
        <w:t>Author’s comments on the State party’s observations on the merits</w:t>
      </w:r>
    </w:p>
    <w:p w14:paraId="483551AA" w14:textId="1002577C" w:rsidR="0007521B" w:rsidRPr="00690686" w:rsidRDefault="00A3214F" w:rsidP="00CC7F1B">
      <w:pPr>
        <w:pStyle w:val="SingleTxtG"/>
      </w:pPr>
      <w:r w:rsidRPr="00690686">
        <w:t>5</w:t>
      </w:r>
      <w:r w:rsidR="00CC7F1B" w:rsidRPr="00690686">
        <w:t>.1</w:t>
      </w:r>
      <w:r w:rsidR="00CC7F1B" w:rsidRPr="00690686">
        <w:tab/>
        <w:t xml:space="preserve">On </w:t>
      </w:r>
      <w:r w:rsidR="00E032CB" w:rsidRPr="00690686">
        <w:t>27 August 2018, the author submitted her</w:t>
      </w:r>
      <w:r w:rsidR="00CC7F1B" w:rsidRPr="00690686">
        <w:t xml:space="preserve"> comments </w:t>
      </w:r>
      <w:r w:rsidR="00240D05">
        <w:t>on</w:t>
      </w:r>
      <w:r w:rsidR="00CC7F1B" w:rsidRPr="00690686">
        <w:t xml:space="preserve"> the State p</w:t>
      </w:r>
      <w:r w:rsidR="0007521B" w:rsidRPr="00690686">
        <w:t>arty</w:t>
      </w:r>
      <w:r w:rsidR="00240D05">
        <w:t>’s</w:t>
      </w:r>
      <w:r w:rsidR="0007521B" w:rsidRPr="00690686">
        <w:t xml:space="preserve"> observations. </w:t>
      </w:r>
      <w:r w:rsidR="000F0FD4" w:rsidRPr="00690686">
        <w:t>The authors submits that the is</w:t>
      </w:r>
      <w:r w:rsidR="002F29D8" w:rsidRPr="00690686">
        <w:t>sue at stake is that the State p</w:t>
      </w:r>
      <w:r w:rsidR="000F0FD4" w:rsidRPr="00690686">
        <w:t>arty, in its decision by the Public Prosecutor to dismiss the case</w:t>
      </w:r>
      <w:r w:rsidR="0025119F">
        <w:t>,</w:t>
      </w:r>
      <w:r w:rsidR="000F0FD4" w:rsidRPr="00690686">
        <w:t xml:space="preserve"> did not </w:t>
      </w:r>
      <w:r w:rsidR="000D7AA1">
        <w:t>conduct</w:t>
      </w:r>
      <w:r w:rsidR="000F0FD4" w:rsidRPr="00690686">
        <w:t xml:space="preserve"> an examination of evidence, criminal liability of an individual or a review of the question of innocence or guilt. </w:t>
      </w:r>
    </w:p>
    <w:p w14:paraId="704E180B" w14:textId="55339848" w:rsidR="000F0FD4" w:rsidRPr="00690686" w:rsidRDefault="000F0FD4" w:rsidP="00CC7F1B">
      <w:pPr>
        <w:pStyle w:val="SingleTxtG"/>
      </w:pPr>
      <w:r w:rsidRPr="00690686">
        <w:t>5.2</w:t>
      </w:r>
      <w:r w:rsidRPr="00690686">
        <w:tab/>
        <w:t>The author recalls that she did not state that the State Party did not carry out proper investigations but that it made an error in assessing whether the credible facts and circumstances amount</w:t>
      </w:r>
      <w:r w:rsidR="000D7423">
        <w:t>ed</w:t>
      </w:r>
      <w:r w:rsidRPr="00690686">
        <w:t xml:space="preserve"> to a violation of article 8 of the Covenant and as a consequence, did not provide an effective remedy within the meaning of article 2(3) of the Covenant. As such, the authors stresses that she does not request the Committee to give a decision on evidence, criminal liability or the question of innocence or guilt, but to request the State Party to reopen the case in order for the State Party to resume investigations on her case. </w:t>
      </w:r>
    </w:p>
    <w:p w14:paraId="34121E37" w14:textId="45BAF33A" w:rsidR="00772146" w:rsidRPr="00690686" w:rsidRDefault="000F0FD4" w:rsidP="00772146">
      <w:pPr>
        <w:pStyle w:val="SingleTxtG"/>
      </w:pPr>
      <w:r w:rsidRPr="00690686">
        <w:t>5.3</w:t>
      </w:r>
      <w:r w:rsidRPr="00690686">
        <w:tab/>
      </w:r>
      <w:r w:rsidR="003C16E6" w:rsidRPr="00690686">
        <w:t xml:space="preserve">The author refers to the ECtHR case </w:t>
      </w:r>
      <w:r w:rsidR="003C16E6" w:rsidRPr="00690686">
        <w:rPr>
          <w:i/>
        </w:rPr>
        <w:t>S.M. v. Croatia</w:t>
      </w:r>
      <w:r w:rsidR="00772146" w:rsidRPr="00267B33">
        <w:rPr>
          <w:rStyle w:val="FootnoteReference"/>
        </w:rPr>
        <w:footnoteReference w:id="21"/>
      </w:r>
      <w:r w:rsidR="003C16E6" w:rsidRPr="006907CC">
        <w:t xml:space="preserve"> </w:t>
      </w:r>
      <w:r w:rsidR="003C16E6" w:rsidRPr="00690686">
        <w:t>and argues that in that case, the Court concluded that although there was an adequate legal framework in the member</w:t>
      </w:r>
      <w:r w:rsidR="002F29D8" w:rsidRPr="00690686">
        <w:t xml:space="preserve"> </w:t>
      </w:r>
      <w:r w:rsidR="003C16E6" w:rsidRPr="00690686">
        <w:t xml:space="preserve">state criminalising trafficking in human beings, forced prostitution and exploitation, there had been shortcomings in the authorities’ investigation. </w:t>
      </w:r>
      <w:r w:rsidR="002F29D8" w:rsidRPr="00690686">
        <w:t>Therefore,</w:t>
      </w:r>
      <w:r w:rsidR="003C16E6" w:rsidRPr="00690686">
        <w:t xml:space="preserve"> the Court was not satisfied that the prosecuting authorities and the courts had submitted the applicant’s case to the careful scrutiny required by Article 4 of the Convention. </w:t>
      </w:r>
    </w:p>
    <w:p w14:paraId="151653DC" w14:textId="44E2E612" w:rsidR="00772146" w:rsidRPr="00690686" w:rsidRDefault="00772146" w:rsidP="00772146">
      <w:pPr>
        <w:pStyle w:val="SingleTxtG"/>
      </w:pPr>
      <w:r w:rsidRPr="00690686">
        <w:t>5.4</w:t>
      </w:r>
      <w:r w:rsidRPr="00690686">
        <w:tab/>
        <w:t xml:space="preserve">The </w:t>
      </w:r>
      <w:r w:rsidR="002F29D8" w:rsidRPr="00690686">
        <w:t xml:space="preserve">author notes that the </w:t>
      </w:r>
      <w:r w:rsidRPr="00690686">
        <w:t xml:space="preserve">‘fourth instance doctrine’ </w:t>
      </w:r>
      <w:r w:rsidR="002F29D8" w:rsidRPr="00690686">
        <w:t>presupposes</w:t>
      </w:r>
      <w:r w:rsidRPr="00690686">
        <w:t xml:space="preserve"> that the Committee cannot review findings of fact or law by a domestic court acting within their competence, unless it considers that a possible violation of the </w:t>
      </w:r>
      <w:r w:rsidR="002F29D8" w:rsidRPr="00690686">
        <w:t>Covenant</w:t>
      </w:r>
      <w:r w:rsidRPr="00690686">
        <w:t xml:space="preserve"> is involved. As the present communication portrays a claim that the domestic legal decision constitutes a disregard of the right to an effective remedy and therefore violates another right guaranteed by the Covenant the applicant </w:t>
      </w:r>
      <w:r w:rsidR="000D7AA1">
        <w:t>is of</w:t>
      </w:r>
      <w:r w:rsidRPr="00690686">
        <w:t xml:space="preserve"> the opinion that the Committee is competent to declare her communication admissible and rule on its merits. </w:t>
      </w:r>
    </w:p>
    <w:p w14:paraId="48A6DDF6" w14:textId="345265B9" w:rsidR="00772146" w:rsidRPr="00690686" w:rsidRDefault="00772146" w:rsidP="00772146">
      <w:pPr>
        <w:pStyle w:val="SingleTxtG"/>
      </w:pPr>
      <w:r w:rsidRPr="00690686">
        <w:t>5.5</w:t>
      </w:r>
      <w:r w:rsidRPr="00690686">
        <w:tab/>
        <w:t xml:space="preserve">The author adds that in the present case, the exhaustion of domestic remedies is not in dispute and that the communication meets the condition of article 5 </w:t>
      </w:r>
      <w:r w:rsidR="002F29D8" w:rsidRPr="00690686">
        <w:t>(</w:t>
      </w:r>
      <w:r w:rsidRPr="00690686">
        <w:t xml:space="preserve">b) of the Optional Protocol. The author considers that her communication is admissible and requests the Committee to consider it on its merits. </w:t>
      </w:r>
    </w:p>
    <w:p w14:paraId="0968970E" w14:textId="4FA118F4" w:rsidR="00772146" w:rsidRPr="00690686" w:rsidRDefault="00772146" w:rsidP="008A7DA8">
      <w:pPr>
        <w:pStyle w:val="SingleTxtG"/>
      </w:pPr>
      <w:r w:rsidRPr="00690686">
        <w:t>5.6</w:t>
      </w:r>
      <w:r w:rsidRPr="00690686">
        <w:tab/>
        <w:t>With regard</w:t>
      </w:r>
      <w:r w:rsidR="000D7AA1">
        <w:t xml:space="preserve"> to</w:t>
      </w:r>
      <w:r w:rsidRPr="00690686">
        <w:t xml:space="preserve"> its </w:t>
      </w:r>
      <w:r w:rsidR="002F29D8" w:rsidRPr="00690686">
        <w:t>assessment</w:t>
      </w:r>
      <w:r w:rsidRPr="00690686">
        <w:t xml:space="preserve"> on the </w:t>
      </w:r>
      <w:r w:rsidR="002F29D8" w:rsidRPr="00690686">
        <w:t>merit</w:t>
      </w:r>
      <w:r w:rsidRPr="00690686">
        <w:t xml:space="preserve">, the author argues that the State Party did not </w:t>
      </w:r>
      <w:r w:rsidR="000D7423">
        <w:t xml:space="preserve">sufficiently </w:t>
      </w:r>
      <w:r w:rsidRPr="00690686">
        <w:t xml:space="preserve">consider the nature and duration of the labour </w:t>
      </w:r>
      <w:r w:rsidR="000D7423">
        <w:t>she performed</w:t>
      </w:r>
      <w:r w:rsidRPr="00690686">
        <w:t xml:space="preserve">. She </w:t>
      </w:r>
      <w:r w:rsidR="00DF08D0" w:rsidRPr="00690686">
        <w:t xml:space="preserve">refers to </w:t>
      </w:r>
      <w:r w:rsidR="00DF08D0" w:rsidRPr="00690686">
        <w:rPr>
          <w:i/>
        </w:rPr>
        <w:t>Faure v. Australia</w:t>
      </w:r>
      <w:r w:rsidR="00DF08D0" w:rsidRPr="00690686">
        <w:t xml:space="preserve"> in which the Committee observed that the Covenant does not spell out in further detail the meaning of the terms “forced or </w:t>
      </w:r>
      <w:r w:rsidR="002F29D8" w:rsidRPr="00690686">
        <w:t>compulsory</w:t>
      </w:r>
      <w:r w:rsidR="00DF08D0" w:rsidRPr="00690686">
        <w:t xml:space="preserve"> labour</w:t>
      </w:r>
      <w:r w:rsidR="00DF08D0" w:rsidRPr="00690686">
        <w:rPr>
          <w:rStyle w:val="FootnoteReference"/>
          <w:sz w:val="20"/>
        </w:rPr>
        <w:footnoteReference w:id="22"/>
      </w:r>
      <w:r w:rsidR="00DF08D0" w:rsidRPr="00690686">
        <w:t>”. She reiterates the factors formulated by the ILO and submits that the question as to whether a case involve</w:t>
      </w:r>
      <w:r w:rsidR="000D7423">
        <w:t>s</w:t>
      </w:r>
      <w:r w:rsidR="00DF08D0" w:rsidRPr="00690686">
        <w:t xml:space="preserve"> servitude or forced </w:t>
      </w:r>
      <w:r w:rsidR="002F29D8" w:rsidRPr="00690686">
        <w:t>labour</w:t>
      </w:r>
      <w:r w:rsidR="00DF08D0" w:rsidRPr="00690686">
        <w:t xml:space="preserve"> as defined by article 8 of the Covenant should be assessed on the concrete circumstances of the case. </w:t>
      </w:r>
      <w:r w:rsidR="004C6218" w:rsidRPr="00690686">
        <w:t xml:space="preserve">The author also refers to </w:t>
      </w:r>
      <w:r w:rsidR="004C6218" w:rsidRPr="00690686">
        <w:rPr>
          <w:i/>
        </w:rPr>
        <w:t>C.N. vs The United Kingdom</w:t>
      </w:r>
      <w:r w:rsidR="002F29D8" w:rsidRPr="00267B33">
        <w:rPr>
          <w:rStyle w:val="FootnoteReference"/>
        </w:rPr>
        <w:footnoteReference w:id="23"/>
      </w:r>
      <w:r w:rsidR="004C6218" w:rsidRPr="00B733EA">
        <w:t xml:space="preserve"> </w:t>
      </w:r>
      <w:r w:rsidR="004C6218" w:rsidRPr="00690686">
        <w:t xml:space="preserve">where the ECtHR ruled that </w:t>
      </w:r>
      <w:r w:rsidR="004C6218" w:rsidRPr="000D7AA1">
        <w:t>“</w:t>
      </w:r>
      <w:r w:rsidR="004C6218" w:rsidRPr="00267B33">
        <w:t xml:space="preserve">domestic servitude is a specific offence […] which involves a </w:t>
      </w:r>
      <w:r w:rsidR="004C6218" w:rsidRPr="00267B33">
        <w:lastRenderedPageBreak/>
        <w:t>complex set of dynamics, involving both overt and more subtle forms of coercion, to force compliance. A thorough investigation into complaints of such conduct therefore requires an understanding of the many subtle ways an individual can fall under the control of another</w:t>
      </w:r>
      <w:r w:rsidR="004C6218" w:rsidRPr="000D7AA1">
        <w:t>.”</w:t>
      </w:r>
      <w:r w:rsidR="00441E59" w:rsidRPr="00690686">
        <w:t xml:space="preserve"> In light of the afore-mentioned, the author submits that, </w:t>
      </w:r>
      <w:r w:rsidRPr="00690686">
        <w:t>even if household work and taking care of children does not by nature constitut</w:t>
      </w:r>
      <w:r w:rsidR="008A7DA8" w:rsidRPr="00690686">
        <w:t>e labour exploitation, it</w:t>
      </w:r>
      <w:r w:rsidR="002F29D8" w:rsidRPr="00690686">
        <w:t xml:space="preserve"> may be regarded as servitude or forced labour within</w:t>
      </w:r>
      <w:r w:rsidRPr="00690686">
        <w:t xml:space="preserve"> the meaning of article 8 of the Covenant if assessed within all the </w:t>
      </w:r>
      <w:r w:rsidR="002F29D8" w:rsidRPr="00690686">
        <w:t>circumstances</w:t>
      </w:r>
      <w:r w:rsidRPr="00690686">
        <w:t xml:space="preserve"> of the case.</w:t>
      </w:r>
    </w:p>
    <w:p w14:paraId="29100CA1" w14:textId="048A3B30" w:rsidR="00772146" w:rsidRPr="00690686" w:rsidRDefault="004233C7" w:rsidP="004233C7">
      <w:pPr>
        <w:pStyle w:val="SingleTxtG"/>
      </w:pPr>
      <w:r w:rsidRPr="00690686">
        <w:t>5.7</w:t>
      </w:r>
      <w:r w:rsidRPr="00690686">
        <w:tab/>
        <w:t xml:space="preserve">The author submits that the State Party also failed </w:t>
      </w:r>
      <w:r w:rsidR="00772146" w:rsidRPr="00690686">
        <w:t xml:space="preserve">to recognize the severe circumstances under which </w:t>
      </w:r>
      <w:r w:rsidRPr="00690686">
        <w:t xml:space="preserve">she had to </w:t>
      </w:r>
      <w:r w:rsidR="002F29D8" w:rsidRPr="00690686">
        <w:t>perform</w:t>
      </w:r>
      <w:r w:rsidRPr="00690686">
        <w:t xml:space="preserve"> her work</w:t>
      </w:r>
      <w:r w:rsidR="008C138A" w:rsidRPr="00690686">
        <w:t>, including means of coercion,</w:t>
      </w:r>
      <w:r w:rsidRPr="00690686">
        <w:t xml:space="preserve"> as she was verbally humiliated, </w:t>
      </w:r>
      <w:r w:rsidR="00C217B4">
        <w:t>threatened to be subject to physical violence</w:t>
      </w:r>
      <w:r w:rsidRPr="00690686">
        <w:t xml:space="preserve"> or </w:t>
      </w:r>
      <w:r w:rsidR="002F29D8" w:rsidRPr="00690686">
        <w:t xml:space="preserve">threatened </w:t>
      </w:r>
      <w:r w:rsidR="008C138A" w:rsidRPr="00690686">
        <w:t xml:space="preserve">to be </w:t>
      </w:r>
      <w:r w:rsidRPr="00690686">
        <w:t>report</w:t>
      </w:r>
      <w:r w:rsidR="008C138A" w:rsidRPr="00690686">
        <w:t>ed</w:t>
      </w:r>
      <w:r w:rsidRPr="00690686">
        <w:t xml:space="preserve"> to the Dutch police</w:t>
      </w:r>
      <w:r w:rsidR="008C138A" w:rsidRPr="00690686">
        <w:t xml:space="preserve"> who would then report her to the Moroccan police, who would beat her. </w:t>
      </w:r>
      <w:r w:rsidR="00F160FB" w:rsidRPr="00690686">
        <w:t xml:space="preserve">Therefore, she was afraid when walking on the streets and wanted to go back to her employer’s house as soon as possible, which is also the reason why she waited so many years to file a complaint. </w:t>
      </w:r>
      <w:r w:rsidR="008C138A" w:rsidRPr="00690686">
        <w:t>She also</w:t>
      </w:r>
      <w:r w:rsidRPr="00690686">
        <w:t xml:space="preserve"> lacked necessary </w:t>
      </w:r>
      <w:r w:rsidR="00BD08C4">
        <w:t xml:space="preserve">and appropriate </w:t>
      </w:r>
      <w:r w:rsidRPr="00690686">
        <w:t>medical assistance</w:t>
      </w:r>
      <w:r w:rsidR="008C138A" w:rsidRPr="00690686">
        <w:t xml:space="preserve"> for her </w:t>
      </w:r>
      <w:r w:rsidR="002F29D8" w:rsidRPr="00690686">
        <w:t>diabetes</w:t>
      </w:r>
      <w:r w:rsidR="008C138A" w:rsidRPr="00690686">
        <w:t xml:space="preserve"> and</w:t>
      </w:r>
      <w:r w:rsidR="002F29D8" w:rsidRPr="00690686">
        <w:t xml:space="preserve"> </w:t>
      </w:r>
      <w:r w:rsidR="00BD08C4">
        <w:t xml:space="preserve">other </w:t>
      </w:r>
      <w:r w:rsidR="002F29D8" w:rsidRPr="00690686">
        <w:t>situations</w:t>
      </w:r>
      <w:r w:rsidR="00BD08C4">
        <w:t xml:space="preserve"> where she needed medical care</w:t>
      </w:r>
      <w:r w:rsidR="008C138A" w:rsidRPr="00690686">
        <w:t xml:space="preserve">: </w:t>
      </w:r>
      <w:r w:rsidR="002F29D8" w:rsidRPr="00690686">
        <w:t xml:space="preserve">she </w:t>
      </w:r>
      <w:r w:rsidR="008C138A" w:rsidRPr="00690686">
        <w:t>o</w:t>
      </w:r>
      <w:r w:rsidRPr="00690686">
        <w:rPr>
          <w:color w:val="000000"/>
          <w:lang w:eastAsia="en-GB"/>
        </w:rPr>
        <w:t>nce injured her foot and her employer refused to allow her to get treatment, until it became infected and a friend of her employer took her to the hospital. Anoth</w:t>
      </w:r>
      <w:r w:rsidR="002F29D8" w:rsidRPr="00690686">
        <w:rPr>
          <w:color w:val="000000"/>
          <w:lang w:eastAsia="en-GB"/>
        </w:rPr>
        <w:t>er time, when she had a toothache</w:t>
      </w:r>
      <w:r w:rsidRPr="00690686">
        <w:rPr>
          <w:color w:val="000000"/>
          <w:lang w:eastAsia="en-GB"/>
        </w:rPr>
        <w:t>, her employer called</w:t>
      </w:r>
      <w:r w:rsidR="00772146" w:rsidRPr="00690686">
        <w:t xml:space="preserve"> a clandestine dentist to come to the house, who pulled out her teeth without an anaesthetic. </w:t>
      </w:r>
    </w:p>
    <w:p w14:paraId="54F46C7F" w14:textId="22D96002" w:rsidR="00772146" w:rsidRPr="00690686" w:rsidRDefault="008C138A" w:rsidP="00BF6D15">
      <w:pPr>
        <w:pStyle w:val="SingleTxtG"/>
      </w:pPr>
      <w:r w:rsidRPr="00690686">
        <w:t>5.8</w:t>
      </w:r>
      <w:r w:rsidRPr="00690686">
        <w:tab/>
        <w:t xml:space="preserve">The author submits that, contrarily to the </w:t>
      </w:r>
      <w:r w:rsidR="002F29D8" w:rsidRPr="00690686">
        <w:t>assessment</w:t>
      </w:r>
      <w:r w:rsidRPr="00690686">
        <w:t xml:space="preserve"> o</w:t>
      </w:r>
      <w:r w:rsidR="00FA6007" w:rsidRPr="00690686">
        <w:t xml:space="preserve">f the State Party and according to the </w:t>
      </w:r>
      <w:r w:rsidR="00EF02D0" w:rsidRPr="00690686">
        <w:t>Explanatory Memorandum of</w:t>
      </w:r>
      <w:r w:rsidR="00772146" w:rsidRPr="00690686">
        <w:t xml:space="preserve"> art</w:t>
      </w:r>
      <w:r w:rsidR="002F29D8" w:rsidRPr="00690686">
        <w:t xml:space="preserve">icle 273f of the Criminal Code, </w:t>
      </w:r>
      <w:r w:rsidR="00772146" w:rsidRPr="00690686">
        <w:t>it is not relevant whether the victim of the human trafficking has consented, if use was made o</w:t>
      </w:r>
      <w:r w:rsidR="00FA6007" w:rsidRPr="00690686">
        <w:t>f one of the means of coercion,</w:t>
      </w:r>
      <w:r w:rsidR="00FA6007" w:rsidRPr="00690686">
        <w:rPr>
          <w:i/>
        </w:rPr>
        <w:t xml:space="preserve"> i.e</w:t>
      </w:r>
      <w:r w:rsidR="00FA6007" w:rsidRPr="00690686">
        <w:t>. following her employer to the Netherlands.</w:t>
      </w:r>
      <w:r w:rsidR="00BF6D15" w:rsidRPr="00690686">
        <w:t xml:space="preserve"> She states that she was manipulated by her employer who promised her a bright future in the Netherlands.</w:t>
      </w:r>
      <w:r w:rsidR="00FA6007" w:rsidRPr="00690686">
        <w:t xml:space="preserve"> </w:t>
      </w:r>
      <w:r w:rsidR="00BF6D15" w:rsidRPr="00690686">
        <w:t>The author submits that she had wanted to leave several times but was too afraid to do so. The author adds that she was victim of a “dominance resulting from abuse of actual circumstances</w:t>
      </w:r>
      <w:r w:rsidR="00BF6D15" w:rsidRPr="00690686">
        <w:rPr>
          <w:rStyle w:val="FootnoteReference"/>
        </w:rPr>
        <w:footnoteReference w:id="24"/>
      </w:r>
      <w:r w:rsidR="00BF6D15" w:rsidRPr="00690686">
        <w:t>”, which</w:t>
      </w:r>
      <w:r w:rsidR="00F160FB" w:rsidRPr="00690686">
        <w:t>, according to the Supreme Court</w:t>
      </w:r>
      <w:r w:rsidR="00EF02D0" w:rsidRPr="00690686">
        <w:t xml:space="preserve"> of the Netherlands</w:t>
      </w:r>
      <w:r w:rsidR="00BF6D15" w:rsidRPr="00690686">
        <w:t xml:space="preserve">, is the abuse of a position of dominance resulting from relationships, which is more likely to exist if a person is not legally residing in the Netherlands. </w:t>
      </w:r>
      <w:r w:rsidR="00F160FB" w:rsidRPr="00690686">
        <w:t>She was also vulnerable, coming from a poor background, lacking command of the Dutch language and</w:t>
      </w:r>
      <w:r w:rsidR="00EF02D0" w:rsidRPr="00690686">
        <w:t xml:space="preserve"> general</w:t>
      </w:r>
      <w:r w:rsidR="00F160FB" w:rsidRPr="00690686">
        <w:t xml:space="preserve"> knowledge of the country,</w:t>
      </w:r>
      <w:r w:rsidR="00EF02D0" w:rsidRPr="00690686">
        <w:t xml:space="preserve"> thus</w:t>
      </w:r>
      <w:r w:rsidR="00F160FB" w:rsidRPr="00690686">
        <w:t xml:space="preserve"> being fully dependant on her employer.  </w:t>
      </w:r>
    </w:p>
    <w:p w14:paraId="7AE963C3" w14:textId="77BF24B6" w:rsidR="00772146" w:rsidRPr="00690686" w:rsidRDefault="00F160FB" w:rsidP="00F160FB">
      <w:pPr>
        <w:pStyle w:val="SingleTxtG"/>
      </w:pPr>
      <w:r w:rsidRPr="00690686">
        <w:t>5.9</w:t>
      </w:r>
      <w:r w:rsidRPr="00690686">
        <w:tab/>
        <w:t xml:space="preserve">The author </w:t>
      </w:r>
      <w:r w:rsidR="00EF02D0" w:rsidRPr="00690686">
        <w:t>states</w:t>
      </w:r>
      <w:r w:rsidRPr="00690686">
        <w:t xml:space="preserve"> that even the State Party acknowledged that her employer enjoyed a substantial financial benefit from her work. She adds that, even if she had access to her own passport, her employer had free access to it and would take it </w:t>
      </w:r>
      <w:r w:rsidR="00EF02D0" w:rsidRPr="00690686">
        <w:t>occasionally and</w:t>
      </w:r>
      <w:r w:rsidRPr="00690686">
        <w:t xml:space="preserve"> without her knowledge to extend its validity at the Moroccan embassy. </w:t>
      </w:r>
    </w:p>
    <w:p w14:paraId="5BB12399" w14:textId="4130BA5E" w:rsidR="00641D81" w:rsidRPr="00690686" w:rsidRDefault="00641D81" w:rsidP="00641D81">
      <w:pPr>
        <w:pStyle w:val="SingleTxtG"/>
      </w:pPr>
      <w:r w:rsidRPr="00690686">
        <w:t>5.10</w:t>
      </w:r>
      <w:r w:rsidRPr="00690686">
        <w:tab/>
        <w:t xml:space="preserve">As to the suggestion of the State Party that the passage of a long period of time made it unlikely to inquire about alleged labour exploitation, the author stresses that the question of evidence is not relevant in the present communication, since her case was not dismissed due to lack of evidence </w:t>
      </w:r>
      <w:r w:rsidR="00772146" w:rsidRPr="00690686">
        <w:t xml:space="preserve">but due to insufficient indications of </w:t>
      </w:r>
      <w:r w:rsidR="00EF02D0" w:rsidRPr="00690686">
        <w:t>labour</w:t>
      </w:r>
      <w:r w:rsidR="00772146" w:rsidRPr="00690686">
        <w:t xml:space="preserve"> exploitation to warrant a criminal investigation. </w:t>
      </w:r>
      <w:r w:rsidRPr="00690686">
        <w:t xml:space="preserve">Likewise, she gave the full name and address of her former employer, therefore, the State Party could have conducted further investigation and prosecution towards her former employer. </w:t>
      </w:r>
    </w:p>
    <w:p w14:paraId="2A977BD5" w14:textId="72472F5D" w:rsidR="00772146" w:rsidRPr="00690686" w:rsidRDefault="00641D81" w:rsidP="00641D81">
      <w:pPr>
        <w:pStyle w:val="SingleTxtG"/>
      </w:pPr>
      <w:r w:rsidRPr="00690686">
        <w:t>5.11</w:t>
      </w:r>
      <w:r w:rsidRPr="00690686">
        <w:tab/>
        <w:t xml:space="preserve">In light of the above, the author concludes that </w:t>
      </w:r>
      <w:r w:rsidR="00EF02D0" w:rsidRPr="00690686">
        <w:t xml:space="preserve">the </w:t>
      </w:r>
      <w:r w:rsidRPr="00690686">
        <w:t>State Party’s</w:t>
      </w:r>
      <w:r w:rsidR="00772146" w:rsidRPr="00690686">
        <w:t xml:space="preserve"> decision </w:t>
      </w:r>
      <w:r w:rsidRPr="00690686">
        <w:t xml:space="preserve">to </w:t>
      </w:r>
      <w:r w:rsidR="00772146" w:rsidRPr="00690686">
        <w:t xml:space="preserve">dismiss the case provided insufficient grounds </w:t>
      </w:r>
      <w:r w:rsidRPr="00690686">
        <w:t>as to</w:t>
      </w:r>
      <w:r w:rsidR="00772146" w:rsidRPr="00690686">
        <w:t xml:space="preserve"> why </w:t>
      </w:r>
      <w:r w:rsidRPr="00690686">
        <w:t>it wa</w:t>
      </w:r>
      <w:r w:rsidR="00772146" w:rsidRPr="00690686">
        <w:t>s not a cas</w:t>
      </w:r>
      <w:r w:rsidRPr="00690686">
        <w:t>e of servitude or f</w:t>
      </w:r>
      <w:r w:rsidR="00772146" w:rsidRPr="00690686">
        <w:t>orce</w:t>
      </w:r>
      <w:r w:rsidR="00305DE5">
        <w:t>d</w:t>
      </w:r>
      <w:r w:rsidR="00772146" w:rsidRPr="00690686">
        <w:t xml:space="preserve"> labour as defined in article 8 of the Covenant. </w:t>
      </w:r>
      <w:r w:rsidRPr="00690686">
        <w:t xml:space="preserve">Likewise, </w:t>
      </w:r>
      <w:r w:rsidR="000D7AA1">
        <w:t>a</w:t>
      </w:r>
      <w:r w:rsidRPr="00690686">
        <w:t>rticle 2(</w:t>
      </w:r>
      <w:r w:rsidR="00772146" w:rsidRPr="00690686">
        <w:t>3</w:t>
      </w:r>
      <w:r w:rsidRPr="00690686">
        <w:t>)</w:t>
      </w:r>
      <w:r w:rsidR="00772146" w:rsidRPr="00690686">
        <w:t xml:space="preserve"> of the Covenant imposes o</w:t>
      </w:r>
      <w:r w:rsidRPr="00690686">
        <w:t>n</w:t>
      </w:r>
      <w:r w:rsidR="00772146" w:rsidRPr="00690686">
        <w:t xml:space="preserve"> States an obligation to investigate allegations of violations promptly, thoroughly and </w:t>
      </w:r>
      <w:r w:rsidRPr="00690686">
        <w:t xml:space="preserve">effectively, and the State Party failed to </w:t>
      </w:r>
      <w:r w:rsidR="00EF02D0" w:rsidRPr="00690686">
        <w:t>fulfil</w:t>
      </w:r>
      <w:r w:rsidR="00772146" w:rsidRPr="00690686">
        <w:t xml:space="preserve"> its positive obligations to combat labour exploitation, to respect</w:t>
      </w:r>
      <w:r w:rsidR="00EF02D0" w:rsidRPr="00690686">
        <w:t xml:space="preserve"> and</w:t>
      </w:r>
      <w:r w:rsidR="00772146" w:rsidRPr="00690686">
        <w:t xml:space="preserve"> ensure the right of </w:t>
      </w:r>
      <w:r w:rsidR="00EF02D0" w:rsidRPr="00690686">
        <w:t>the author</w:t>
      </w:r>
      <w:r w:rsidR="00772146" w:rsidRPr="00690686">
        <w:t xml:space="preserve"> as a vi</w:t>
      </w:r>
      <w:r w:rsidR="00EF02D0" w:rsidRPr="00690686">
        <w:t>ctim. Consequently, the State party</w:t>
      </w:r>
      <w:r w:rsidR="00772146" w:rsidRPr="00690686">
        <w:t xml:space="preserve"> violated the right to an effective rem</w:t>
      </w:r>
      <w:r w:rsidR="00EF02D0" w:rsidRPr="00690686">
        <w:t>edy in the meaning of article 2(</w:t>
      </w:r>
      <w:r w:rsidR="00772146" w:rsidRPr="00690686">
        <w:t>3</w:t>
      </w:r>
      <w:r w:rsidR="00EF02D0" w:rsidRPr="00690686">
        <w:t>)</w:t>
      </w:r>
      <w:r w:rsidR="00772146" w:rsidRPr="00690686">
        <w:t xml:space="preserve"> of the Covenant. </w:t>
      </w:r>
    </w:p>
    <w:p w14:paraId="262F097F" w14:textId="6ACF6E4D" w:rsidR="007C6EF7" w:rsidRPr="00690686" w:rsidRDefault="0089360F" w:rsidP="0089360F">
      <w:pPr>
        <w:pStyle w:val="H23G"/>
      </w:pPr>
      <w:r>
        <w:tab/>
      </w:r>
      <w:r>
        <w:tab/>
      </w:r>
      <w:r w:rsidR="00666B37" w:rsidRPr="00690686">
        <w:t>State Party’s additional observations</w:t>
      </w:r>
    </w:p>
    <w:p w14:paraId="0F3C2D84" w14:textId="2FF1041D" w:rsidR="007C6EF7" w:rsidRPr="00690686" w:rsidRDefault="00A471D0" w:rsidP="006A52E8">
      <w:pPr>
        <w:pStyle w:val="SingleTxtG"/>
      </w:pPr>
      <w:r w:rsidRPr="00690686">
        <w:t>6</w:t>
      </w:r>
      <w:r w:rsidR="00E50AB0">
        <w:t>.1</w:t>
      </w:r>
      <w:r w:rsidR="007C6EF7" w:rsidRPr="00690686">
        <w:tab/>
        <w:t>On 4 December 20</w:t>
      </w:r>
      <w:r w:rsidRPr="00690686">
        <w:t>18</w:t>
      </w:r>
      <w:r w:rsidR="00594F7F" w:rsidRPr="00690686">
        <w:t>,</w:t>
      </w:r>
      <w:r w:rsidRPr="00690686">
        <w:t xml:space="preserve"> the</w:t>
      </w:r>
      <w:r w:rsidR="00594F7F" w:rsidRPr="00690686">
        <w:t xml:space="preserve"> State p</w:t>
      </w:r>
      <w:r w:rsidRPr="00690686">
        <w:t>arty submitted</w:t>
      </w:r>
      <w:r w:rsidR="007C6EF7" w:rsidRPr="00690686">
        <w:t xml:space="preserve"> further observations</w:t>
      </w:r>
      <w:r w:rsidR="006A52E8" w:rsidRPr="00690686">
        <w:t xml:space="preserve"> and reiterated that the communication should be declared inadmissible or unfounded. Regarding the </w:t>
      </w:r>
      <w:r w:rsidR="006A52E8" w:rsidRPr="00690686">
        <w:lastRenderedPageBreak/>
        <w:t xml:space="preserve">admissibility of the communication, the State Party points out that the author focuses on whether the facts of this case </w:t>
      </w:r>
      <w:r w:rsidR="000D7AA1">
        <w:t>warrants</w:t>
      </w:r>
      <w:r w:rsidR="006A52E8" w:rsidRPr="00690686">
        <w:t xml:space="preserve"> the conclusion that the author was a victim of servitude or forced labour and not on the question of whether the investigations were carried out properly. The State Party reiterates that it is not the Committee’s task to re-evaluate the facts. </w:t>
      </w:r>
    </w:p>
    <w:p w14:paraId="0BEE0521" w14:textId="4C3793CB" w:rsidR="007C6EF7" w:rsidRPr="00690686" w:rsidRDefault="006A52E8" w:rsidP="007C6EF7">
      <w:pPr>
        <w:pStyle w:val="SingleTxtG"/>
      </w:pPr>
      <w:r w:rsidRPr="00690686">
        <w:t>6.2</w:t>
      </w:r>
      <w:r w:rsidRPr="00690686">
        <w:tab/>
      </w:r>
      <w:r w:rsidR="007C6EF7" w:rsidRPr="00690686">
        <w:t xml:space="preserve">The State Party </w:t>
      </w:r>
      <w:r w:rsidRPr="00690686">
        <w:t>submits</w:t>
      </w:r>
      <w:r w:rsidR="007C6EF7" w:rsidRPr="00690686">
        <w:t xml:space="preserve"> that the author refers to a judgment in which the Europe</w:t>
      </w:r>
      <w:r w:rsidRPr="00690686">
        <w:t>an Court of Human Rights</w:t>
      </w:r>
      <w:r w:rsidR="007C6EF7" w:rsidRPr="00690686">
        <w:t xml:space="preserve"> concluded that there had been shortcomings in the authorities’ investigation</w:t>
      </w:r>
      <w:r w:rsidR="000D7AA1">
        <w:t>.</w:t>
      </w:r>
      <w:r w:rsidR="007C6EF7" w:rsidRPr="00690686">
        <w:rPr>
          <w:rStyle w:val="FootnoteReference"/>
          <w:rFonts w:eastAsiaTheme="minorEastAsia"/>
        </w:rPr>
        <w:footnoteReference w:id="25"/>
      </w:r>
      <w:r w:rsidR="007C6EF7" w:rsidRPr="00690686">
        <w:t xml:space="preserve"> In the </w:t>
      </w:r>
      <w:r w:rsidRPr="00690686">
        <w:t>State Party’s</w:t>
      </w:r>
      <w:r w:rsidR="007C6EF7" w:rsidRPr="00690686">
        <w:t xml:space="preserve"> view, this judgment shows that the ECtHR did not evaluate the facts, but merely determined whether the investigations had met the procedural requirements under article 4 of the Europ</w:t>
      </w:r>
      <w:r w:rsidR="00594F7F" w:rsidRPr="00690686">
        <w:t>ean Convention on Human Rights.</w:t>
      </w:r>
    </w:p>
    <w:p w14:paraId="0C7DFDFD" w14:textId="0B2DA2A0" w:rsidR="001D5166" w:rsidRPr="00690686" w:rsidRDefault="001B0DF4" w:rsidP="001D5166">
      <w:pPr>
        <w:pStyle w:val="SingleTxtG"/>
        <w:rPr>
          <w:lang w:val="en-US"/>
        </w:rPr>
      </w:pPr>
      <w:r w:rsidRPr="00690686">
        <w:t>6.3</w:t>
      </w:r>
      <w:r w:rsidR="007C6EF7" w:rsidRPr="00690686">
        <w:tab/>
        <w:t>Regarding the merits of the communication, should the Committee find the commu</w:t>
      </w:r>
      <w:r w:rsidR="00594F7F" w:rsidRPr="00690686">
        <w:t>nication admissible, the State p</w:t>
      </w:r>
      <w:r w:rsidR="007C6EF7" w:rsidRPr="00690686">
        <w:t>arty once again emphasise</w:t>
      </w:r>
      <w:r w:rsidR="00594F7F" w:rsidRPr="00690686">
        <w:t>s</w:t>
      </w:r>
      <w:r w:rsidR="007C6EF7" w:rsidRPr="00690686">
        <w:t xml:space="preserve"> that the fa</w:t>
      </w:r>
      <w:r w:rsidR="00027F17" w:rsidRPr="00690686">
        <w:t>cts have been evaluated by the Public P</w:t>
      </w:r>
      <w:r w:rsidR="007C6EF7" w:rsidRPr="00690686">
        <w:t xml:space="preserve">rosecutor and an independent court, </w:t>
      </w:r>
      <w:r w:rsidR="00027F17" w:rsidRPr="00690686">
        <w:t>which</w:t>
      </w:r>
      <w:r w:rsidR="007C6EF7" w:rsidRPr="00690686">
        <w:t xml:space="preserve"> considered whether the facts warranted criminal prosecution. Statements in the author's </w:t>
      </w:r>
      <w:r w:rsidR="00A21A9D" w:rsidRPr="00690686">
        <w:t>comments</w:t>
      </w:r>
      <w:r w:rsidR="007C6EF7" w:rsidRPr="00690686">
        <w:t xml:space="preserve"> concerning the question whether the </w:t>
      </w:r>
      <w:r w:rsidR="00594F7F" w:rsidRPr="00690686">
        <w:t>State p</w:t>
      </w:r>
      <w:r w:rsidR="00A21A9D" w:rsidRPr="00690686">
        <w:t>arty</w:t>
      </w:r>
      <w:r w:rsidR="007C6EF7" w:rsidRPr="00690686">
        <w:t xml:space="preserve"> recognised the gravity of the circumstances and the nature and duration of the work require an assessment of the facts and of the extent to which they fulfil the elements of the definition of a criminal offence and therefore fall outside the scope of the communication.</w:t>
      </w:r>
      <w:r w:rsidR="00594F7F" w:rsidRPr="00690686">
        <w:t xml:space="preserve"> The State p</w:t>
      </w:r>
      <w:r w:rsidRPr="00690686">
        <w:t>arty reiterates that its duty of investigation was fulfilled and emphasises that it doesn’t have an obligation to achieve a particular result.</w:t>
      </w:r>
      <w:r w:rsidR="007C6EF7" w:rsidRPr="00690686">
        <w:rPr>
          <w:lang w:val="en-US"/>
        </w:rPr>
        <w:t xml:space="preserve"> </w:t>
      </w:r>
    </w:p>
    <w:p w14:paraId="49318961" w14:textId="6BD02923" w:rsidR="005B48A2" w:rsidRPr="00690686" w:rsidRDefault="005B48A2" w:rsidP="005B48A2">
      <w:pPr>
        <w:pStyle w:val="H23G"/>
      </w:pPr>
      <w:r w:rsidRPr="00690686">
        <w:rPr>
          <w:lang w:val="en-US"/>
        </w:rPr>
        <w:tab/>
      </w:r>
      <w:r w:rsidRPr="00690686">
        <w:rPr>
          <w:lang w:val="en-US"/>
        </w:rPr>
        <w:tab/>
      </w:r>
      <w:r w:rsidRPr="00690686">
        <w:t>Additional comments from the author</w:t>
      </w:r>
    </w:p>
    <w:p w14:paraId="7253F68E" w14:textId="14948CA0" w:rsidR="001D5166" w:rsidRPr="00690686" w:rsidRDefault="001D5166" w:rsidP="001D5166">
      <w:pPr>
        <w:pStyle w:val="SingleTxtG"/>
      </w:pPr>
      <w:r w:rsidRPr="00690686">
        <w:t>7.1</w:t>
      </w:r>
      <w:r w:rsidRPr="00690686">
        <w:tab/>
        <w:t xml:space="preserve">On 28 March 2019, the author submitted </w:t>
      </w:r>
      <w:r w:rsidR="00305DE5">
        <w:t>her</w:t>
      </w:r>
      <w:r w:rsidRPr="00690686">
        <w:t xml:space="preserve"> comments to the observations shared by the </w:t>
      </w:r>
      <w:r w:rsidR="007A5657" w:rsidRPr="00690686">
        <w:t>State p</w:t>
      </w:r>
      <w:r w:rsidRPr="00690686">
        <w:t>arty on 4 December 2018 and reiterated her previous statements. The author considers that the Committee is competent to consider whether these facts amount to a violation of the rights guaranteed by the Covenant and to assess the question whether the State Party met its positive obligation to respect, ensure and effect the author’s rights as a victim. The positive obligation of the State Party to ascertain whether the applicant has been a victim of exploitation stems from the European Court of Human Rights’ case law</w:t>
      </w:r>
      <w:r w:rsidRPr="00690686">
        <w:rPr>
          <w:rStyle w:val="FootnoteReference"/>
        </w:rPr>
        <w:footnoteReference w:id="26"/>
      </w:r>
      <w:r w:rsidRPr="00690686">
        <w:t xml:space="preserve"> and require</w:t>
      </w:r>
      <w:r w:rsidR="007A5657" w:rsidRPr="00690686">
        <w:t>s</w:t>
      </w:r>
      <w:r w:rsidRPr="00690686">
        <w:t xml:space="preserve"> not only a careful scrutiny of such a case, but also penalization and effective prosecution of any act aimed at maintaining a person in a situation of slavery, servitude or forced or compulsory labour. </w:t>
      </w:r>
    </w:p>
    <w:p w14:paraId="130B8777" w14:textId="626114F3" w:rsidR="001D5166" w:rsidRPr="00690686" w:rsidRDefault="003A3BB4" w:rsidP="003A3BB4">
      <w:pPr>
        <w:pStyle w:val="SingleTxtG"/>
      </w:pPr>
      <w:r w:rsidRPr="00690686">
        <w:t>7.2</w:t>
      </w:r>
      <w:r w:rsidRPr="00690686">
        <w:tab/>
        <w:t xml:space="preserve">The author included a report by the </w:t>
      </w:r>
      <w:r w:rsidR="007A5657" w:rsidRPr="00690686">
        <w:t>local organisation</w:t>
      </w:r>
      <w:r w:rsidRPr="00690686">
        <w:t xml:space="preserve"> </w:t>
      </w:r>
      <w:proofErr w:type="spellStart"/>
      <w:r w:rsidRPr="00690686">
        <w:t>FairWork</w:t>
      </w:r>
      <w:proofErr w:type="spellEnd"/>
      <w:r w:rsidRPr="00690686">
        <w:t xml:space="preserve"> in her observations, which she presents as a third-party intervention. In its report, </w:t>
      </w:r>
      <w:proofErr w:type="spellStart"/>
      <w:r w:rsidRPr="00690686">
        <w:t>FairWork</w:t>
      </w:r>
      <w:proofErr w:type="spellEnd"/>
      <w:r w:rsidRPr="00690686">
        <w:t xml:space="preserve"> assesses whether the author</w:t>
      </w:r>
      <w:r w:rsidR="001D5166" w:rsidRPr="00690686">
        <w:t xml:space="preserve"> </w:t>
      </w:r>
      <w:r w:rsidRPr="00690686">
        <w:t>wa</w:t>
      </w:r>
      <w:r w:rsidR="001D5166" w:rsidRPr="00690686">
        <w:t xml:space="preserve">s </w:t>
      </w:r>
      <w:r w:rsidRPr="00690686">
        <w:t xml:space="preserve">a victim of </w:t>
      </w:r>
      <w:r w:rsidR="007A5657" w:rsidRPr="00690686">
        <w:t>labour</w:t>
      </w:r>
      <w:r w:rsidR="001D5166" w:rsidRPr="00690686">
        <w:t xml:space="preserve"> exploitation in the domestic sphere under international and national law. </w:t>
      </w:r>
      <w:r w:rsidRPr="00690686">
        <w:t>The report states that, according to article 4 EC</w:t>
      </w:r>
      <w:r w:rsidR="007A5657" w:rsidRPr="00690686">
        <w:t>t</w:t>
      </w:r>
      <w:r w:rsidRPr="00690686">
        <w:t>HR, the</w:t>
      </w:r>
      <w:r w:rsidR="007A5657" w:rsidRPr="00690686">
        <w:t xml:space="preserve"> State p</w:t>
      </w:r>
      <w:r w:rsidRPr="00690686">
        <w:t xml:space="preserve">arty has a positive obligation to conduct effective investigations into alleged cases of servitude and forced </w:t>
      </w:r>
      <w:r w:rsidR="007A5657" w:rsidRPr="00690686">
        <w:t>labour</w:t>
      </w:r>
      <w:r w:rsidRPr="00690686">
        <w:t xml:space="preserve"> and effective investigation must take into account the circumstances of the specific case.</w:t>
      </w:r>
      <w:r w:rsidR="001D5166" w:rsidRPr="00690686">
        <w:t xml:space="preserve"> </w:t>
      </w:r>
      <w:proofErr w:type="spellStart"/>
      <w:r w:rsidRPr="00690686">
        <w:t>FairWork</w:t>
      </w:r>
      <w:proofErr w:type="spellEnd"/>
      <w:r w:rsidRPr="00690686">
        <w:t xml:space="preserve"> states that this</w:t>
      </w:r>
      <w:r w:rsidR="001D5166" w:rsidRPr="00690686">
        <w:t xml:space="preserve"> procedural obligation may have been violated by the clo</w:t>
      </w:r>
      <w:r w:rsidRPr="00690686">
        <w:t>sure of the complainant's case as t</w:t>
      </w:r>
      <w:r w:rsidR="001D5166" w:rsidRPr="00690686">
        <w:t xml:space="preserve">here may not have been enough knowledge and understanding </w:t>
      </w:r>
      <w:r w:rsidR="007A5657" w:rsidRPr="00690686">
        <w:t xml:space="preserve">by the Dutch authorities </w:t>
      </w:r>
      <w:r w:rsidR="001D5166" w:rsidRPr="00690686">
        <w:t>of the forms of subtle coercion that may play a role in situations of servitude when investigating the complainant's case</w:t>
      </w:r>
      <w:r w:rsidR="001D5166" w:rsidRPr="00690686">
        <w:rPr>
          <w:vertAlign w:val="superscript"/>
        </w:rPr>
        <w:footnoteReference w:id="27"/>
      </w:r>
      <w:r w:rsidRPr="00690686">
        <w:t>. The report states</w:t>
      </w:r>
      <w:r w:rsidR="001D5166" w:rsidRPr="00690686">
        <w:t xml:space="preserve"> that there are important indications based on international and national law that the complainant may </w:t>
      </w:r>
      <w:r w:rsidRPr="00690686">
        <w:t xml:space="preserve">have </w:t>
      </w:r>
      <w:r w:rsidR="001D5166" w:rsidRPr="00690686">
        <w:t>be</w:t>
      </w:r>
      <w:r w:rsidRPr="00690686">
        <w:t>en</w:t>
      </w:r>
      <w:r w:rsidR="001D5166" w:rsidRPr="00690686">
        <w:t xml:space="preserve"> a victim of domestic labo</w:t>
      </w:r>
      <w:r w:rsidR="00305DE5">
        <w:t>u</w:t>
      </w:r>
      <w:r w:rsidR="001D5166" w:rsidRPr="00690686">
        <w:t>r exploitation and advises to investigate the complainant's case more thoroughly.</w:t>
      </w:r>
    </w:p>
    <w:p w14:paraId="20017F65" w14:textId="02A2180F" w:rsidR="00147EEF" w:rsidRPr="00690686" w:rsidRDefault="0089360F" w:rsidP="0089360F">
      <w:pPr>
        <w:pStyle w:val="H23G"/>
      </w:pPr>
      <w:r>
        <w:tab/>
      </w:r>
      <w:r>
        <w:tab/>
      </w:r>
      <w:r w:rsidR="00147EEF" w:rsidRPr="00690686">
        <w:t>State Party’s further observations</w:t>
      </w:r>
    </w:p>
    <w:p w14:paraId="176D125D" w14:textId="70C4795D" w:rsidR="007C6EF7" w:rsidRPr="00690686" w:rsidRDefault="00E27776" w:rsidP="003B63CA">
      <w:pPr>
        <w:pStyle w:val="SingleTxtG"/>
        <w:rPr>
          <w:lang w:val="en-US"/>
        </w:rPr>
      </w:pPr>
      <w:r w:rsidRPr="00690686">
        <w:t>8</w:t>
      </w:r>
      <w:r w:rsidR="00E50AB0">
        <w:t>.1</w:t>
      </w:r>
      <w:r w:rsidR="007C6EF7" w:rsidRPr="00690686">
        <w:tab/>
        <w:t>On 28 May 2019</w:t>
      </w:r>
      <w:r w:rsidR="007A5657" w:rsidRPr="00690686">
        <w:t>,</w:t>
      </w:r>
      <w:r w:rsidR="007C6EF7" w:rsidRPr="00690686">
        <w:t xml:space="preserve"> the State Party submitted its further observations to the comments provided by the author on 28 March 2019</w:t>
      </w:r>
      <w:r w:rsidR="00147EEF" w:rsidRPr="00690686">
        <w:t xml:space="preserve">, which included </w:t>
      </w:r>
      <w:r w:rsidR="00FE4850">
        <w:t>the</w:t>
      </w:r>
      <w:r w:rsidR="00147EEF" w:rsidRPr="00690686">
        <w:t xml:space="preserve"> report by </w:t>
      </w:r>
      <w:proofErr w:type="spellStart"/>
      <w:r w:rsidR="00147EEF" w:rsidRPr="00690686">
        <w:t>FairWork</w:t>
      </w:r>
      <w:proofErr w:type="spellEnd"/>
      <w:r w:rsidR="00147EEF" w:rsidRPr="00690686">
        <w:t xml:space="preserve">. </w:t>
      </w:r>
      <w:r w:rsidR="007A5657" w:rsidRPr="00690686">
        <w:t xml:space="preserve">The State party </w:t>
      </w:r>
      <w:r w:rsidR="00F167D9" w:rsidRPr="00690686">
        <w:t xml:space="preserve">reiterates its position and considers that </w:t>
      </w:r>
      <w:r w:rsidR="007C6EF7" w:rsidRPr="00690686">
        <w:t>t</w:t>
      </w:r>
      <w:r w:rsidR="00F167D9" w:rsidRPr="00690686">
        <w:rPr>
          <w:lang w:val="en-US"/>
        </w:rPr>
        <w:t xml:space="preserve">he author’s </w:t>
      </w:r>
      <w:r w:rsidR="00305DE5">
        <w:rPr>
          <w:lang w:val="en-US"/>
        </w:rPr>
        <w:t>does not</w:t>
      </w:r>
      <w:r w:rsidR="00F167D9" w:rsidRPr="00690686">
        <w:rPr>
          <w:lang w:val="en-US"/>
        </w:rPr>
        <w:t xml:space="preserve"> raise any additional </w:t>
      </w:r>
      <w:r w:rsidR="00F167D9" w:rsidRPr="00690686">
        <w:rPr>
          <w:lang w:val="en-US"/>
        </w:rPr>
        <w:lastRenderedPageBreak/>
        <w:t>points.</w:t>
      </w:r>
      <w:r w:rsidR="00C608F8">
        <w:rPr>
          <w:lang w:val="en-US"/>
        </w:rPr>
        <w:t xml:space="preserve"> It also raises objection to consider </w:t>
      </w:r>
      <w:proofErr w:type="spellStart"/>
      <w:r w:rsidR="00C608F8">
        <w:rPr>
          <w:lang w:val="en-US"/>
        </w:rPr>
        <w:t>FairWork</w:t>
      </w:r>
      <w:r w:rsidR="00B7463E">
        <w:rPr>
          <w:lang w:val="en-US"/>
        </w:rPr>
        <w:t>’s</w:t>
      </w:r>
      <w:proofErr w:type="spellEnd"/>
      <w:r w:rsidR="00C608F8">
        <w:rPr>
          <w:lang w:val="en-US"/>
        </w:rPr>
        <w:t xml:space="preserve"> submission as a </w:t>
      </w:r>
      <w:r w:rsidR="00FA4C88">
        <w:rPr>
          <w:lang w:val="en-US"/>
        </w:rPr>
        <w:t>t</w:t>
      </w:r>
      <w:r w:rsidR="00C608F8">
        <w:rPr>
          <w:lang w:val="en-US"/>
        </w:rPr>
        <w:t>hird party submission within the meaning of Rule 96 of the Committee’s Rules of procedure.</w:t>
      </w:r>
      <w:r w:rsidR="00F167D9" w:rsidRPr="00690686">
        <w:rPr>
          <w:lang w:val="en-US"/>
        </w:rPr>
        <w:t xml:space="preserve"> </w:t>
      </w:r>
    </w:p>
    <w:p w14:paraId="610632A5" w14:textId="35E7F47E" w:rsidR="007C6EF7" w:rsidRPr="00690686" w:rsidRDefault="00E27776" w:rsidP="002A56D6">
      <w:pPr>
        <w:pStyle w:val="SingleTxtG"/>
      </w:pPr>
      <w:r w:rsidRPr="00690686">
        <w:rPr>
          <w:lang w:val="en-US"/>
        </w:rPr>
        <w:t>8</w:t>
      </w:r>
      <w:r w:rsidR="003B63CA" w:rsidRPr="00690686">
        <w:rPr>
          <w:lang w:val="en-US"/>
        </w:rPr>
        <w:t>.</w:t>
      </w:r>
      <w:r w:rsidR="003B63CA" w:rsidRPr="00690686">
        <w:t>2</w:t>
      </w:r>
      <w:r w:rsidR="007C6EF7" w:rsidRPr="00690686">
        <w:tab/>
        <w:t xml:space="preserve">The State Party </w:t>
      </w:r>
      <w:r w:rsidR="003B63CA" w:rsidRPr="00690686">
        <w:t xml:space="preserve">notes that in its submission, </w:t>
      </w:r>
      <w:proofErr w:type="spellStart"/>
      <w:r w:rsidR="007C6EF7" w:rsidRPr="00690686">
        <w:t>FairWork</w:t>
      </w:r>
      <w:proofErr w:type="spellEnd"/>
      <w:r w:rsidR="003B63CA" w:rsidRPr="00690686">
        <w:t xml:space="preserve"> mostly assesses the question of whether the author was the victim of </w:t>
      </w:r>
      <w:r w:rsidR="00FF2878" w:rsidRPr="00690686">
        <w:t>labour</w:t>
      </w:r>
      <w:r w:rsidR="003B63CA" w:rsidRPr="00690686">
        <w:t xml:space="preserve"> exploitation in the domestic sphere under international or national law. I</w:t>
      </w:r>
      <w:r w:rsidR="007C6EF7" w:rsidRPr="00690686">
        <w:t xml:space="preserve">n the </w:t>
      </w:r>
      <w:r w:rsidR="00FF2878" w:rsidRPr="00690686">
        <w:t>State p</w:t>
      </w:r>
      <w:r w:rsidR="003B63CA" w:rsidRPr="00690686">
        <w:t>arty’</w:t>
      </w:r>
      <w:r w:rsidR="007C6EF7" w:rsidRPr="00690686">
        <w:t>s view, this question has no connection with the central question in the proceedings before the Committee.</w:t>
      </w:r>
      <w:r w:rsidRPr="00690686">
        <w:t xml:space="preserve"> The question before the Committee is whether the State Party failed to </w:t>
      </w:r>
      <w:r w:rsidR="00FF2878" w:rsidRPr="00690686">
        <w:t>thoroughly</w:t>
      </w:r>
      <w:r w:rsidRPr="00690686">
        <w:t xml:space="preserve"> and effectively investigate the circumstances in the case of the author and as a consequence violated her right to an effective remedy, within the meaning of article 2(3). </w:t>
      </w:r>
    </w:p>
    <w:p w14:paraId="334B7C7C" w14:textId="1B194A38" w:rsidR="007C6EF7" w:rsidRPr="00690686" w:rsidRDefault="002A56D6" w:rsidP="007C6EF7">
      <w:pPr>
        <w:pStyle w:val="SingleTxtG"/>
        <w:rPr>
          <w:lang w:val="en-US"/>
        </w:rPr>
      </w:pPr>
      <w:r w:rsidRPr="00690686">
        <w:t>8.3</w:t>
      </w:r>
      <w:r w:rsidR="007C6EF7" w:rsidRPr="00690686">
        <w:tab/>
        <w:t xml:space="preserve">The State Party </w:t>
      </w:r>
      <w:r w:rsidRPr="00690686">
        <w:t>stresses that</w:t>
      </w:r>
      <w:r w:rsidR="007C6EF7" w:rsidRPr="00690686">
        <w:t xml:space="preserve"> several facts were misrepresented or </w:t>
      </w:r>
      <w:r w:rsidR="00FF2878" w:rsidRPr="00690686">
        <w:t>misinterpreted in the report</w:t>
      </w:r>
      <w:r w:rsidR="007C6EF7" w:rsidRPr="00690686">
        <w:t xml:space="preserve"> by </w:t>
      </w:r>
      <w:proofErr w:type="spellStart"/>
      <w:r w:rsidR="007C6EF7" w:rsidRPr="00690686">
        <w:t>FairWork</w:t>
      </w:r>
      <w:proofErr w:type="spellEnd"/>
      <w:r w:rsidR="00AF3382" w:rsidRPr="00690686">
        <w:t xml:space="preserve">. For instance, </w:t>
      </w:r>
      <w:proofErr w:type="spellStart"/>
      <w:r w:rsidR="00AF3382" w:rsidRPr="00690686">
        <w:t>FairWork</w:t>
      </w:r>
      <w:proofErr w:type="spellEnd"/>
      <w:r w:rsidR="00AF3382" w:rsidRPr="00690686">
        <w:t xml:space="preserve"> argues that the author did not have access to her passport, which would point to </w:t>
      </w:r>
      <w:r w:rsidR="00DB65EF">
        <w:t xml:space="preserve">a </w:t>
      </w:r>
      <w:r w:rsidR="00AF3382" w:rsidRPr="00690686">
        <w:t xml:space="preserve">situation of servitude or </w:t>
      </w:r>
      <w:r w:rsidR="00FF2878" w:rsidRPr="00690686">
        <w:t>forced</w:t>
      </w:r>
      <w:r w:rsidR="00AF3382" w:rsidRPr="00690686">
        <w:t xml:space="preserve"> </w:t>
      </w:r>
      <w:r w:rsidR="00FF2878" w:rsidRPr="00690686">
        <w:t>labour</w:t>
      </w:r>
      <w:r w:rsidR="00AF3382" w:rsidRPr="00690686">
        <w:t xml:space="preserve">. This is in contradiction with the facts of the case since the author did have free access to her passport and was therefore not restricted in her freedom of movements. </w:t>
      </w:r>
      <w:proofErr w:type="spellStart"/>
      <w:r w:rsidR="007C6EF7" w:rsidRPr="00690686">
        <w:t>FairWork</w:t>
      </w:r>
      <w:proofErr w:type="spellEnd"/>
      <w:r w:rsidR="007C6EF7" w:rsidRPr="00690686">
        <w:t xml:space="preserve"> </w:t>
      </w:r>
      <w:r w:rsidR="00AF3382" w:rsidRPr="00690686">
        <w:t xml:space="preserve">also </w:t>
      </w:r>
      <w:r w:rsidR="007C6EF7" w:rsidRPr="00690686">
        <w:t xml:space="preserve">briefly mentions the obligation of the Contracting Parties to investigate alleged violations </w:t>
      </w:r>
      <w:proofErr w:type="gramStart"/>
      <w:r w:rsidR="007C6EF7" w:rsidRPr="00690686">
        <w:t>of  article</w:t>
      </w:r>
      <w:proofErr w:type="gramEnd"/>
      <w:r w:rsidR="007C6EF7" w:rsidRPr="00690686">
        <w:t xml:space="preserve"> 4 </w:t>
      </w:r>
      <w:r w:rsidR="00DB65EF">
        <w:t xml:space="preserve">of the </w:t>
      </w:r>
      <w:r w:rsidR="007C6EF7" w:rsidRPr="00690686">
        <w:t>ECHR, but it fails to comment on the investigation that the Public Prosecution</w:t>
      </w:r>
      <w:r w:rsidR="007C6EF7" w:rsidRPr="00690686">
        <w:rPr>
          <w:lang w:val="en-US"/>
        </w:rPr>
        <w:t xml:space="preserve"> Service did indeed carry out, </w:t>
      </w:r>
      <w:r w:rsidR="00AF3382" w:rsidRPr="00690686">
        <w:rPr>
          <w:lang w:val="en-US"/>
        </w:rPr>
        <w:t>concluding</w:t>
      </w:r>
      <w:r w:rsidR="007C6EF7" w:rsidRPr="00690686">
        <w:rPr>
          <w:lang w:val="en-US"/>
        </w:rPr>
        <w:t xml:space="preserve"> that the authorities may have lacked special insight into the many subtle forms of compulsion. The State Party considers </w:t>
      </w:r>
      <w:r w:rsidR="00AF3382" w:rsidRPr="00690686">
        <w:rPr>
          <w:lang w:val="en-US"/>
        </w:rPr>
        <w:t>this conclusion as speculative and</w:t>
      </w:r>
      <w:r w:rsidR="007C6EF7" w:rsidRPr="00690686">
        <w:rPr>
          <w:lang w:val="en-US"/>
        </w:rPr>
        <w:t xml:space="preserve"> factually in</w:t>
      </w:r>
      <w:r w:rsidR="00AF3382" w:rsidRPr="00690686">
        <w:rPr>
          <w:lang w:val="en-US"/>
        </w:rPr>
        <w:t>correct</w:t>
      </w:r>
      <w:r w:rsidR="007C6EF7" w:rsidRPr="00690686">
        <w:rPr>
          <w:lang w:val="en-US"/>
        </w:rPr>
        <w:t xml:space="preserve"> as </w:t>
      </w:r>
      <w:r w:rsidR="00AF3382" w:rsidRPr="00690686">
        <w:rPr>
          <w:lang w:val="en-US"/>
        </w:rPr>
        <w:t>the</w:t>
      </w:r>
      <w:r w:rsidR="007C6EF7" w:rsidRPr="00690686">
        <w:rPr>
          <w:lang w:val="en-US"/>
        </w:rPr>
        <w:t xml:space="preserve"> author’s case was dealt with at </w:t>
      </w:r>
      <w:r w:rsidR="00FF2878" w:rsidRPr="00690686">
        <w:rPr>
          <w:lang w:val="en-US"/>
        </w:rPr>
        <w:t>national level by a specialized</w:t>
      </w:r>
      <w:r w:rsidR="00AF3382" w:rsidRPr="00690686">
        <w:rPr>
          <w:lang w:val="en-US"/>
        </w:rPr>
        <w:t xml:space="preserve"> P</w:t>
      </w:r>
      <w:r w:rsidR="007C6EF7" w:rsidRPr="00690686">
        <w:rPr>
          <w:lang w:val="en-US"/>
        </w:rPr>
        <w:t xml:space="preserve">ublic </w:t>
      </w:r>
      <w:r w:rsidR="00AF3382" w:rsidRPr="00690686">
        <w:rPr>
          <w:lang w:val="en-US"/>
        </w:rPr>
        <w:t>P</w:t>
      </w:r>
      <w:r w:rsidR="007C6EF7" w:rsidRPr="00690686">
        <w:rPr>
          <w:lang w:val="en-US"/>
        </w:rPr>
        <w:t>rosecutor,</w:t>
      </w:r>
      <w:r w:rsidR="00AF3382" w:rsidRPr="00690686">
        <w:rPr>
          <w:lang w:val="en-US"/>
        </w:rPr>
        <w:t xml:space="preserve"> appointed manager of the human trafficking portfolio at the National Public Prosecutor’s Office for Financial, Economic and Environmental Offences, </w:t>
      </w:r>
      <w:r w:rsidR="007C6EF7" w:rsidRPr="00690686">
        <w:rPr>
          <w:lang w:val="en-US"/>
        </w:rPr>
        <w:t xml:space="preserve">who assessed on the basis of the author’s statements whether </w:t>
      </w:r>
      <w:r w:rsidR="007C6EF7" w:rsidRPr="00690686">
        <w:t>labour</w:t>
      </w:r>
      <w:r w:rsidR="007C6EF7" w:rsidRPr="00690686">
        <w:rPr>
          <w:lang w:val="en-US"/>
        </w:rPr>
        <w:t xml:space="preserve"> exploitation within the meaning of article 2</w:t>
      </w:r>
      <w:r w:rsidR="00EC218D">
        <w:rPr>
          <w:lang w:val="en-US"/>
        </w:rPr>
        <w:t>73</w:t>
      </w:r>
      <w:r w:rsidR="007C6EF7" w:rsidRPr="00690686">
        <w:rPr>
          <w:lang w:val="en-US"/>
        </w:rPr>
        <w:t xml:space="preserve">f of the </w:t>
      </w:r>
      <w:r w:rsidR="00AF3382" w:rsidRPr="00690686">
        <w:rPr>
          <w:lang w:val="en-US"/>
        </w:rPr>
        <w:t>DCC</w:t>
      </w:r>
      <w:r w:rsidR="007C6EF7" w:rsidRPr="00690686">
        <w:rPr>
          <w:lang w:val="en-US"/>
        </w:rPr>
        <w:t xml:space="preserve"> had occurred. Every office of the Public Prosecution Service has a human trafficking portfolio manager, who advises other public prosecutors</w:t>
      </w:r>
      <w:r w:rsidR="007C6EF7" w:rsidRPr="00690686">
        <w:rPr>
          <w:rFonts w:ascii="Verdana" w:hAnsi="Verdana" w:cs="Verdana"/>
          <w:sz w:val="18"/>
          <w:szCs w:val="18"/>
        </w:rPr>
        <w:t xml:space="preserve"> </w:t>
      </w:r>
      <w:r w:rsidR="007C6EF7" w:rsidRPr="00690686">
        <w:rPr>
          <w:lang w:val="en-US"/>
        </w:rPr>
        <w:t xml:space="preserve">heading investigations into human trafficking, liaises with bodies reporting evidence of human trafficking, and acts as contact for the Immigration and </w:t>
      </w:r>
      <w:r w:rsidR="00FF2878" w:rsidRPr="00690686">
        <w:rPr>
          <w:lang w:val="en-US"/>
        </w:rPr>
        <w:t>Naturalization</w:t>
      </w:r>
      <w:r w:rsidR="007C6EF7" w:rsidRPr="00690686">
        <w:rPr>
          <w:lang w:val="en-US"/>
        </w:rPr>
        <w:t xml:space="preserve"> Service in cases where the residence status of victims or potential victims is a key issue. </w:t>
      </w:r>
    </w:p>
    <w:p w14:paraId="4C135A7F" w14:textId="5280FC98" w:rsidR="007C6EF7" w:rsidRPr="00690686" w:rsidRDefault="00F62DA6" w:rsidP="00F62DA6">
      <w:pPr>
        <w:pStyle w:val="SingleTxtG"/>
      </w:pPr>
      <w:r w:rsidRPr="00690686">
        <w:rPr>
          <w:lang w:val="en-US"/>
        </w:rPr>
        <w:t>8</w:t>
      </w:r>
      <w:r w:rsidRPr="00690686">
        <w:t>.4</w:t>
      </w:r>
      <w:r w:rsidRPr="00690686">
        <w:tab/>
      </w:r>
      <w:r w:rsidR="007C6EF7" w:rsidRPr="00690686">
        <w:t xml:space="preserve">The State Party agrees with </w:t>
      </w:r>
      <w:proofErr w:type="spellStart"/>
      <w:r w:rsidR="007C6EF7" w:rsidRPr="00690686">
        <w:t>FairWork</w:t>
      </w:r>
      <w:proofErr w:type="spellEnd"/>
      <w:r w:rsidR="007C6EF7" w:rsidRPr="00690686">
        <w:t xml:space="preserve"> that there were indications in the present case that the author may have been the victim of forced labour. After all, it was these indications that led to an investigation </w:t>
      </w:r>
      <w:r w:rsidR="00FF2878" w:rsidRPr="00690686">
        <w:t>regarding</w:t>
      </w:r>
      <w:r w:rsidR="007C6EF7" w:rsidRPr="00690686">
        <w:t xml:space="preserve"> the author’s case and to </w:t>
      </w:r>
      <w:r w:rsidR="00FF2878" w:rsidRPr="00690686">
        <w:t>the granting of</w:t>
      </w:r>
      <w:r w:rsidR="007C6EF7" w:rsidRPr="00690686">
        <w:t xml:space="preserve"> a temporary residence permit after she had lodged a criminal complaint. However, as </w:t>
      </w:r>
      <w:proofErr w:type="spellStart"/>
      <w:r w:rsidR="007C6EF7" w:rsidRPr="00690686">
        <w:t>FairWork</w:t>
      </w:r>
      <w:proofErr w:type="spellEnd"/>
      <w:r w:rsidR="007C6EF7" w:rsidRPr="00690686">
        <w:t xml:space="preserve"> acknowledges, the existence of one or more </w:t>
      </w:r>
      <w:r w:rsidR="007C6EF7" w:rsidRPr="00690686">
        <w:rPr>
          <w:iCs/>
        </w:rPr>
        <w:t>indications</w:t>
      </w:r>
      <w:r w:rsidR="007C6EF7" w:rsidRPr="00690686">
        <w:rPr>
          <w:i/>
          <w:iCs/>
        </w:rPr>
        <w:t xml:space="preserve"> </w:t>
      </w:r>
      <w:r w:rsidR="007C6EF7" w:rsidRPr="00690686">
        <w:t xml:space="preserve">does not necessarily mean that human trafficking or forced labour actually </w:t>
      </w:r>
      <w:r w:rsidR="007C6EF7" w:rsidRPr="00690686">
        <w:rPr>
          <w:iCs/>
        </w:rPr>
        <w:t>happened</w:t>
      </w:r>
      <w:r w:rsidR="007C6EF7" w:rsidRPr="00690686">
        <w:rPr>
          <w:i/>
          <w:iCs/>
        </w:rPr>
        <w:t xml:space="preserve"> </w:t>
      </w:r>
      <w:r w:rsidR="007C6EF7" w:rsidRPr="00690686">
        <w:t xml:space="preserve">or can actually be </w:t>
      </w:r>
      <w:r w:rsidR="007C6EF7" w:rsidRPr="00690686">
        <w:rPr>
          <w:iCs/>
        </w:rPr>
        <w:t>proved</w:t>
      </w:r>
      <w:r w:rsidR="007C6EF7" w:rsidRPr="00690686">
        <w:t>. If the investigation shows that human trafficking or forced labour cannot be proved, the Public Prosecution Service can decide not to prosecute</w:t>
      </w:r>
      <w:r w:rsidRPr="00690686">
        <w:t xml:space="preserve">, which is </w:t>
      </w:r>
      <w:r w:rsidR="007C6EF7" w:rsidRPr="00690686">
        <w:t>what happened in the present case. The fact that a decision is made not to prosecute does not mean that the authorities failed to thoroughly and effectively investigate the circumstances of the case.</w:t>
      </w:r>
    </w:p>
    <w:p w14:paraId="7C9426CA" w14:textId="1352B2B3" w:rsidR="00AF367B" w:rsidRPr="00690686" w:rsidRDefault="0089360F" w:rsidP="0089360F">
      <w:pPr>
        <w:pStyle w:val="H23G"/>
        <w:rPr>
          <w:lang w:val="en-US"/>
        </w:rPr>
      </w:pPr>
      <w:r>
        <w:rPr>
          <w:lang w:val="en-US"/>
        </w:rPr>
        <w:tab/>
      </w:r>
      <w:r>
        <w:rPr>
          <w:lang w:val="en-US"/>
        </w:rPr>
        <w:tab/>
      </w:r>
      <w:r w:rsidR="00F620F1" w:rsidRPr="00690686">
        <w:rPr>
          <w:lang w:val="en-US"/>
        </w:rPr>
        <w:t xml:space="preserve">Author’s </w:t>
      </w:r>
      <w:r w:rsidR="001D35B5" w:rsidRPr="00690686">
        <w:rPr>
          <w:lang w:val="en-US"/>
        </w:rPr>
        <w:t>further</w:t>
      </w:r>
      <w:r w:rsidR="00F620F1" w:rsidRPr="00690686">
        <w:rPr>
          <w:lang w:val="en-US"/>
        </w:rPr>
        <w:t xml:space="preserve"> comments</w:t>
      </w:r>
    </w:p>
    <w:p w14:paraId="30B7D83C" w14:textId="5BF10952" w:rsidR="00AF367B" w:rsidRPr="00690686" w:rsidRDefault="00E50AB0" w:rsidP="00F620F1">
      <w:pPr>
        <w:pStyle w:val="SingleTxtG"/>
        <w:rPr>
          <w:lang w:val="en-US"/>
        </w:rPr>
      </w:pPr>
      <w:r>
        <w:rPr>
          <w:lang w:val="en-US"/>
        </w:rPr>
        <w:t>9.</w:t>
      </w:r>
      <w:r w:rsidR="00F620F1" w:rsidRPr="00690686">
        <w:rPr>
          <w:lang w:val="en-US"/>
        </w:rPr>
        <w:tab/>
        <w:t xml:space="preserve">On 18 March 2020, the author submitted </w:t>
      </w:r>
      <w:r w:rsidR="00CA5CC1" w:rsidRPr="00690686">
        <w:rPr>
          <w:lang w:val="en-US"/>
        </w:rPr>
        <w:t>further</w:t>
      </w:r>
      <w:r w:rsidR="00F620F1" w:rsidRPr="00690686">
        <w:rPr>
          <w:lang w:val="en-US"/>
        </w:rPr>
        <w:t xml:space="preserve"> comments on the State Party’s further observations. She clarified that, </w:t>
      </w:r>
      <w:proofErr w:type="spellStart"/>
      <w:r w:rsidR="00F620F1" w:rsidRPr="00690686">
        <w:rPr>
          <w:lang w:val="en-US"/>
        </w:rPr>
        <w:t>Fa</w:t>
      </w:r>
      <w:r w:rsidR="00CA5CC1" w:rsidRPr="00690686">
        <w:rPr>
          <w:lang w:val="en-US"/>
        </w:rPr>
        <w:t>ir</w:t>
      </w:r>
      <w:r w:rsidR="00F620F1" w:rsidRPr="00690686">
        <w:rPr>
          <w:lang w:val="en-US"/>
        </w:rPr>
        <w:t>Work’s</w:t>
      </w:r>
      <w:proofErr w:type="spellEnd"/>
      <w:r w:rsidR="00F620F1" w:rsidRPr="00690686">
        <w:rPr>
          <w:lang w:val="en-US"/>
        </w:rPr>
        <w:t xml:space="preserve"> report should be considered as part of its submission, pursuant to article 5 (1) of the Optional Protocol, and not as a third-party intervention. </w:t>
      </w:r>
    </w:p>
    <w:p w14:paraId="408AB030" w14:textId="77777777" w:rsidR="000128E3" w:rsidRPr="00690686" w:rsidRDefault="007A26E3" w:rsidP="009F34DF">
      <w:pPr>
        <w:pStyle w:val="H23G"/>
        <w:spacing w:afterLines="120" w:after="288"/>
        <w:outlineLvl w:val="0"/>
      </w:pPr>
      <w:r w:rsidRPr="00690686">
        <w:tab/>
      </w:r>
      <w:r w:rsidRPr="00690686">
        <w:tab/>
      </w:r>
      <w:r w:rsidR="000128E3" w:rsidRPr="00690686">
        <w:t>Issues and proceedings before the Committee</w:t>
      </w:r>
    </w:p>
    <w:p w14:paraId="2395FB94" w14:textId="77777777" w:rsidR="008B3D95" w:rsidRPr="00690686" w:rsidRDefault="00DE5C04" w:rsidP="009F34DF">
      <w:pPr>
        <w:pStyle w:val="H4G"/>
        <w:outlineLvl w:val="0"/>
        <w:rPr>
          <w:i w:val="0"/>
        </w:rPr>
      </w:pPr>
      <w:r w:rsidRPr="00690686">
        <w:tab/>
      </w:r>
      <w:r w:rsidR="008B3D95" w:rsidRPr="00690686">
        <w:tab/>
        <w:t>Considerations of admissibility</w:t>
      </w:r>
    </w:p>
    <w:p w14:paraId="4BE123F2" w14:textId="0E79B661" w:rsidR="008B3D95" w:rsidRPr="00690686" w:rsidRDefault="005F00F7" w:rsidP="008B3D95">
      <w:pPr>
        <w:pStyle w:val="SingleTxtG"/>
      </w:pPr>
      <w:r w:rsidRPr="00690686">
        <w:t>10</w:t>
      </w:r>
      <w:r w:rsidR="00F3294F" w:rsidRPr="00690686">
        <w:t>.</w:t>
      </w:r>
      <w:r w:rsidR="008B3D95" w:rsidRPr="00690686">
        <w:t>1</w:t>
      </w:r>
      <w:r w:rsidR="008B3D95" w:rsidRPr="00690686">
        <w:tab/>
        <w:t>Before considering any claim contained in a communication, the Committee must decide, in accordance with rule 9</w:t>
      </w:r>
      <w:r w:rsidR="003649C6" w:rsidRPr="00690686">
        <w:t>7</w:t>
      </w:r>
      <w:r w:rsidR="008B3D95" w:rsidRPr="00690686">
        <w:t xml:space="preserve"> of its rules of procedure, whether the communication is admissible under the Optional Protocol.</w:t>
      </w:r>
    </w:p>
    <w:p w14:paraId="368E16E7" w14:textId="77777777" w:rsidR="005B48A2" w:rsidRPr="00690686" w:rsidRDefault="005F00F7" w:rsidP="005B48A2">
      <w:pPr>
        <w:pStyle w:val="SingleTxtG"/>
      </w:pPr>
      <w:r w:rsidRPr="00690686">
        <w:t>10</w:t>
      </w:r>
      <w:r w:rsidR="008B3D95" w:rsidRPr="00690686">
        <w:t>.2</w:t>
      </w:r>
      <w:r w:rsidR="008B3D95" w:rsidRPr="00690686">
        <w:tab/>
        <w:t>The Committee has ascertained, as required under article 5</w:t>
      </w:r>
      <w:r w:rsidR="005A35BA" w:rsidRPr="00690686">
        <w:t xml:space="preserve"> </w:t>
      </w:r>
      <w:r w:rsidR="008B3D95" w:rsidRPr="00690686">
        <w:t>(2)</w:t>
      </w:r>
      <w:r w:rsidR="005A35BA" w:rsidRPr="00690686">
        <w:t xml:space="preserve"> </w:t>
      </w:r>
      <w:r w:rsidR="008B3D95" w:rsidRPr="00690686">
        <w:t>(a) of the Optional Protocol, that the same matter is not being examined under another procedure of international investigation or settlement.</w:t>
      </w:r>
    </w:p>
    <w:p w14:paraId="3E773E60" w14:textId="642316D7" w:rsidR="00665CE5" w:rsidRPr="00690686" w:rsidRDefault="005B48A2" w:rsidP="005B48A2">
      <w:pPr>
        <w:pStyle w:val="SingleTxtG"/>
      </w:pPr>
      <w:r w:rsidRPr="00690686">
        <w:t>10.3</w:t>
      </w:r>
      <w:r w:rsidR="00665CE5" w:rsidRPr="00690686">
        <w:tab/>
        <w:t xml:space="preserve">The Committee notes the author’s claim that she has exhausted all available legal domestic remedies. In the absence of any objection by the State party in that connection, the </w:t>
      </w:r>
      <w:r w:rsidR="00665CE5" w:rsidRPr="00690686">
        <w:lastRenderedPageBreak/>
        <w:t>Committee considers</w:t>
      </w:r>
      <w:r w:rsidR="00A971D3">
        <w:t xml:space="preserve"> </w:t>
      </w:r>
      <w:r w:rsidR="00A971D3" w:rsidRPr="00B10BFF">
        <w:t>that the requirements of article 5 (2) (b) of the Optional Protocol have been met</w:t>
      </w:r>
      <w:r w:rsidR="00A971D3">
        <w:t>.</w:t>
      </w:r>
    </w:p>
    <w:p w14:paraId="0DDD4D50" w14:textId="34410596" w:rsidR="00CE60D8" w:rsidRPr="00690686" w:rsidRDefault="005B48A2" w:rsidP="009B49A1">
      <w:pPr>
        <w:pStyle w:val="SingleTxtG"/>
      </w:pPr>
      <w:r w:rsidRPr="00690686">
        <w:t>10.4</w:t>
      </w:r>
      <w:r w:rsidR="00665CE5" w:rsidRPr="00690686">
        <w:tab/>
        <w:t xml:space="preserve">The Committee </w:t>
      </w:r>
      <w:r w:rsidRPr="00690686">
        <w:t>takes note of</w:t>
      </w:r>
      <w:r w:rsidR="00665CE5" w:rsidRPr="00690686">
        <w:t xml:space="preserve"> the State pa</w:t>
      </w:r>
      <w:r w:rsidRPr="00690686">
        <w:t>rty’s arguments that the communication is inadmissible due to insufficient substantiation</w:t>
      </w:r>
      <w:r w:rsidR="00665CE5" w:rsidRPr="00690686">
        <w:t>. It also notes the State part</w:t>
      </w:r>
      <w:r w:rsidR="00A21564" w:rsidRPr="00690686">
        <w:t>y’s argument according to which</w:t>
      </w:r>
      <w:r w:rsidR="00665CE5" w:rsidRPr="00690686">
        <w:t xml:space="preserve"> it is for the domestic courts to review facts and evidence and</w:t>
      </w:r>
      <w:r w:rsidRPr="00690686">
        <w:t xml:space="preserve"> </w:t>
      </w:r>
      <w:r w:rsidR="00A21564" w:rsidRPr="00690686">
        <w:t xml:space="preserve">that the Committee should not act as an appellate Court or a fourth instance. </w:t>
      </w:r>
      <w:r w:rsidR="00DB65EF">
        <w:t>W</w:t>
      </w:r>
      <w:r w:rsidR="00DB65EF" w:rsidRPr="00690686">
        <w:t xml:space="preserve">ith regard to the author’s claim under article 8 of the Covenant, </w:t>
      </w:r>
      <w:r w:rsidR="00DB65EF">
        <w:t>t</w:t>
      </w:r>
      <w:r w:rsidR="00A21564" w:rsidRPr="00690686">
        <w:t>he Committee also notes the State party</w:t>
      </w:r>
      <w:r w:rsidR="00DB65EF">
        <w:t>’s submission according to which</w:t>
      </w:r>
      <w:r w:rsidR="009D4BD8" w:rsidRPr="00690686">
        <w:t xml:space="preserve"> the author’s complaint </w:t>
      </w:r>
      <w:r w:rsidR="00DB65EF">
        <w:t xml:space="preserve">was </w:t>
      </w:r>
      <w:r w:rsidR="009D4BD8" w:rsidRPr="00690686">
        <w:t>carefully</w:t>
      </w:r>
      <w:r w:rsidR="00DB65EF">
        <w:t xml:space="preserve"> examined by </w:t>
      </w:r>
      <w:r w:rsidR="009D4BD8" w:rsidRPr="00690686">
        <w:t xml:space="preserve">a specialised Public Prosecutor and appointed </w:t>
      </w:r>
      <w:r w:rsidR="009D4BD8" w:rsidRPr="00690686">
        <w:rPr>
          <w:lang w:val="en-US"/>
        </w:rPr>
        <w:t>manager of the human trafficking portfolio at the National Public Prosecutor’s Office for Financial, Economic and Environmental Offences</w:t>
      </w:r>
      <w:r w:rsidR="00DB65EF">
        <w:rPr>
          <w:lang w:val="en-US"/>
        </w:rPr>
        <w:t xml:space="preserve">. The author’s claims were assessed </w:t>
      </w:r>
      <w:r w:rsidR="009D4BD8" w:rsidRPr="00690686">
        <w:rPr>
          <w:lang w:val="en-US"/>
        </w:rPr>
        <w:t>within the mea</w:t>
      </w:r>
      <w:r w:rsidR="00E50AB0">
        <w:rPr>
          <w:lang w:val="en-US"/>
        </w:rPr>
        <w:t xml:space="preserve">ning of article 273f DCC, and </w:t>
      </w:r>
      <w:r w:rsidR="009D4BD8" w:rsidRPr="00690686">
        <w:rPr>
          <w:lang w:val="en-US"/>
        </w:rPr>
        <w:t xml:space="preserve">she was granted a </w:t>
      </w:r>
      <w:proofErr w:type="gramStart"/>
      <w:r w:rsidR="009D4BD8" w:rsidRPr="00690686">
        <w:rPr>
          <w:lang w:val="en-US"/>
        </w:rPr>
        <w:t>one year</w:t>
      </w:r>
      <w:proofErr w:type="gramEnd"/>
      <w:r w:rsidR="009D4BD8" w:rsidRPr="00690686">
        <w:rPr>
          <w:lang w:val="en-US"/>
        </w:rPr>
        <w:t xml:space="preserve"> residence permit for the time of the procedure. </w:t>
      </w:r>
      <w:r w:rsidR="009B49A1" w:rsidRPr="00690686">
        <w:rPr>
          <w:lang w:val="en-US"/>
        </w:rPr>
        <w:t xml:space="preserve">Finally, the Committee notes the State party’s argument that </w:t>
      </w:r>
      <w:r w:rsidR="00CE60D8" w:rsidRPr="00690686">
        <w:t>Dutch law does explicitly criminalise servitude and forced labour.</w:t>
      </w:r>
    </w:p>
    <w:p w14:paraId="22939C3B" w14:textId="61A56EB0" w:rsidR="00C5238F" w:rsidRDefault="009B49A1" w:rsidP="00DF705F">
      <w:pPr>
        <w:pStyle w:val="SingleTxtG"/>
      </w:pPr>
      <w:r w:rsidRPr="00690686">
        <w:t>10.5</w:t>
      </w:r>
      <w:r w:rsidRPr="00690686">
        <w:tab/>
        <w:t xml:space="preserve">The Committee notes the author’s claim that the investigation </w:t>
      </w:r>
      <w:r w:rsidR="005E7D89" w:rsidRPr="00690686">
        <w:t xml:space="preserve">of her </w:t>
      </w:r>
      <w:r w:rsidR="00DF705F" w:rsidRPr="00690686">
        <w:t>situation</w:t>
      </w:r>
      <w:r w:rsidR="005E7D89" w:rsidRPr="00690686">
        <w:t xml:space="preserve"> of forced labour and servitude was ineffective and violated her rights under article 8 read in </w:t>
      </w:r>
      <w:r w:rsidR="00DF705F" w:rsidRPr="00690686">
        <w:t>conjunction</w:t>
      </w:r>
      <w:r w:rsidR="005E7D89" w:rsidRPr="00690686">
        <w:t xml:space="preserve"> with article 2(3)</w:t>
      </w:r>
      <w:r w:rsidR="001E4678">
        <w:t>,</w:t>
      </w:r>
      <w:r w:rsidR="005E7D89" w:rsidRPr="00690686">
        <w:t xml:space="preserve"> as the Public Prosecutor provided insufficient grounds for concluding that her case did not constitute exploitation as defined in article 2</w:t>
      </w:r>
      <w:r w:rsidR="00D517D3">
        <w:t>73</w:t>
      </w:r>
      <w:r w:rsidR="005E7D89" w:rsidRPr="00690686">
        <w:t>f para 1 DCC and article 8 of the Covenant. The Committee</w:t>
      </w:r>
      <w:r w:rsidR="00373CFC">
        <w:t xml:space="preserve"> on the other hand </w:t>
      </w:r>
      <w:r w:rsidR="005E7D89" w:rsidRPr="00690686">
        <w:t>notes that</w:t>
      </w:r>
      <w:r w:rsidR="00DF705F" w:rsidRPr="00690686">
        <w:t xml:space="preserve"> she was interviewed by the police who gave her three month</w:t>
      </w:r>
      <w:r w:rsidR="00FA4C88">
        <w:t>s</w:t>
      </w:r>
      <w:r w:rsidR="00DF705F" w:rsidRPr="00690686">
        <w:t xml:space="preserve"> to file a criminal complaint. The Committee notes that, at an early stage, the State party recognized that the victim may have been subject to forced labour or servitude but </w:t>
      </w:r>
      <w:r w:rsidR="001E4678">
        <w:t xml:space="preserve">in the </w:t>
      </w:r>
      <w:proofErr w:type="gramStart"/>
      <w:r w:rsidR="001E4678">
        <w:t xml:space="preserve">end </w:t>
      </w:r>
      <w:r w:rsidR="00DF705F" w:rsidRPr="00690686">
        <w:t xml:space="preserve"> the</w:t>
      </w:r>
      <w:proofErr w:type="gramEnd"/>
      <w:r w:rsidR="00DF705F" w:rsidRPr="00690686">
        <w:t xml:space="preserve"> Public Prosecutor considered that her case did not fall </w:t>
      </w:r>
      <w:r w:rsidR="00DB65EF">
        <w:t xml:space="preserve">within </w:t>
      </w:r>
      <w:r w:rsidR="00DF705F" w:rsidRPr="00690686">
        <w:t xml:space="preserve"> the scope of article 2</w:t>
      </w:r>
      <w:r w:rsidR="00D517D3">
        <w:t>73</w:t>
      </w:r>
      <w:r w:rsidR="00DF705F" w:rsidRPr="00690686">
        <w:t>f (1) DCC and decided not to institute criminal proceedings.</w:t>
      </w:r>
      <w:r w:rsidR="005E7D89" w:rsidRPr="00690686">
        <w:t xml:space="preserve"> The Committee also notes the author’s claims that the investigation</w:t>
      </w:r>
      <w:r w:rsidR="00BD79AA" w:rsidRPr="00690686">
        <w:t xml:space="preserve"> was</w:t>
      </w:r>
      <w:r w:rsidR="005E7D89" w:rsidRPr="00690686">
        <w:t xml:space="preserve"> ineffective as the facts of her complaints were not </w:t>
      </w:r>
      <w:r w:rsidR="00DD010D">
        <w:t>adequately examined and assessed</w:t>
      </w:r>
      <w:r w:rsidR="005E7D89" w:rsidRPr="00690686">
        <w:t xml:space="preserve">. </w:t>
      </w:r>
      <w:r w:rsidR="00690686" w:rsidRPr="00690686">
        <w:t>The Committee recalls that it has repeatedly held that it is not a</w:t>
      </w:r>
      <w:r w:rsidR="000259F0">
        <w:t>n</w:t>
      </w:r>
      <w:r w:rsidR="00690686" w:rsidRPr="00690686">
        <w:t xml:space="preserve"> </w:t>
      </w:r>
      <w:r w:rsidR="00454F5F">
        <w:t>apex court of final</w:t>
      </w:r>
      <w:r w:rsidR="00454F5F" w:rsidRPr="00690686">
        <w:t xml:space="preserve"> </w:t>
      </w:r>
      <w:r w:rsidR="00690686" w:rsidRPr="00690686">
        <w:t xml:space="preserve">instance competent to re-evaluate findings of fact or the application of domestic legislation, unless it can be ascertained that the proceedings before the domestic courts were </w:t>
      </w:r>
      <w:r w:rsidR="00947327">
        <w:t xml:space="preserve">clearly </w:t>
      </w:r>
      <w:r w:rsidR="00690686" w:rsidRPr="00690686">
        <w:t xml:space="preserve">arbitrary or amounted to a </w:t>
      </w:r>
      <w:r w:rsidR="00947327">
        <w:t xml:space="preserve">manifest error or </w:t>
      </w:r>
      <w:r w:rsidR="00690686" w:rsidRPr="00690686">
        <w:t>denial of justice.</w:t>
      </w:r>
      <w:r w:rsidR="00690686" w:rsidRPr="00690686">
        <w:rPr>
          <w:rStyle w:val="FootnoteReference"/>
        </w:rPr>
        <w:footnoteReference w:id="28"/>
      </w:r>
      <w:r w:rsidR="005E7D89" w:rsidRPr="00690686">
        <w:t xml:space="preserve"> </w:t>
      </w:r>
    </w:p>
    <w:p w14:paraId="505439D0" w14:textId="7F06BE5B" w:rsidR="005E7D89" w:rsidRPr="00690686" w:rsidRDefault="00A971D3" w:rsidP="00947327">
      <w:pPr>
        <w:pStyle w:val="CommentText"/>
        <w:ind w:left="1134" w:right="1134"/>
        <w:jc w:val="both"/>
      </w:pPr>
      <w:r>
        <w:t>10.6</w:t>
      </w:r>
      <w:r>
        <w:tab/>
      </w:r>
      <w:r w:rsidR="005E7D89" w:rsidRPr="00690686">
        <w:t xml:space="preserve">In the present case, the Committee observes that the information before it does not allow it to conclude that the </w:t>
      </w:r>
      <w:r w:rsidR="00373CFC">
        <w:t xml:space="preserve">criminal </w:t>
      </w:r>
      <w:r w:rsidR="005E7D89" w:rsidRPr="00690686">
        <w:t xml:space="preserve">investigation was </w:t>
      </w:r>
      <w:proofErr w:type="gramStart"/>
      <w:r w:rsidR="00343808">
        <w:t>ineffective</w:t>
      </w:r>
      <w:r w:rsidR="00097C63">
        <w:t xml:space="preserve"> </w:t>
      </w:r>
      <w:r w:rsidR="00343808">
        <w:t xml:space="preserve"> </w:t>
      </w:r>
      <w:r w:rsidR="00097C63">
        <w:t>or</w:t>
      </w:r>
      <w:proofErr w:type="gramEnd"/>
      <w:r w:rsidR="00097C63">
        <w:t xml:space="preserve"> that the judicial proceedings following the decision by the Public Prosecutor not to institute criminal proceedings </w:t>
      </w:r>
      <w:r w:rsidR="00097C63" w:rsidRPr="00690686">
        <w:t xml:space="preserve">lacked </w:t>
      </w:r>
      <w:r w:rsidR="00097C63">
        <w:t xml:space="preserve">adequate and sufficient reasoning, </w:t>
      </w:r>
      <w:r w:rsidR="00097C63" w:rsidRPr="00690686">
        <w:t>transparenc</w:t>
      </w:r>
      <w:r w:rsidR="00533604">
        <w:t>y, independence or impartiality or</w:t>
      </w:r>
      <w:r w:rsidR="00097C63">
        <w:t xml:space="preserve"> t</w:t>
      </w:r>
      <w:r w:rsidR="00C96311">
        <w:t xml:space="preserve">hat </w:t>
      </w:r>
      <w:r w:rsidR="00947327">
        <w:t>it was clearly arbitrary or amounted to a manifest error or denial of justice</w:t>
      </w:r>
      <w:r w:rsidR="005E7D89" w:rsidRPr="00690686">
        <w:t xml:space="preserve">. </w:t>
      </w:r>
      <w:r w:rsidR="005E7D89" w:rsidRPr="00690686">
        <w:rPr>
          <w:bCs/>
          <w:iCs/>
          <w:lang w:val="en-US"/>
        </w:rPr>
        <w:t>T</w:t>
      </w:r>
      <w:r w:rsidR="005E7D89" w:rsidRPr="00690686">
        <w:t>he Committee considers that the author has not provided sufficient information to substantiate her claims under article 8, read in conjunction with article 2 (3) of the Covenant, and finds these claims inadmissible under article 2 of the Optional Protocol.</w:t>
      </w:r>
    </w:p>
    <w:p w14:paraId="1AB06715" w14:textId="330B7A09" w:rsidR="00665CE5" w:rsidRPr="00690686" w:rsidRDefault="00690686" w:rsidP="00665CE5">
      <w:pPr>
        <w:pStyle w:val="SingleTxtG"/>
        <w:rPr>
          <w:lang w:val="en-US" w:eastAsia="zh-CN"/>
        </w:rPr>
      </w:pPr>
      <w:r w:rsidRPr="00690686">
        <w:rPr>
          <w:lang w:val="en-US"/>
        </w:rPr>
        <w:t>11</w:t>
      </w:r>
      <w:r w:rsidR="00665CE5" w:rsidRPr="00690686">
        <w:rPr>
          <w:lang w:val="en-US"/>
        </w:rPr>
        <w:t>.</w:t>
      </w:r>
      <w:r w:rsidR="00665CE5" w:rsidRPr="00690686">
        <w:rPr>
          <w:lang w:val="en-US"/>
        </w:rPr>
        <w:tab/>
        <w:t xml:space="preserve">The Committee </w:t>
      </w:r>
      <w:r w:rsidR="00665CE5" w:rsidRPr="00690686">
        <w:t>therefore</w:t>
      </w:r>
      <w:r w:rsidR="00665CE5" w:rsidRPr="00690686">
        <w:rPr>
          <w:lang w:val="en-US"/>
        </w:rPr>
        <w:t xml:space="preserve"> decides:</w:t>
      </w:r>
    </w:p>
    <w:p w14:paraId="7C6F6359" w14:textId="47B31972" w:rsidR="00665CE5" w:rsidRPr="00690686" w:rsidRDefault="00665CE5" w:rsidP="00665CE5">
      <w:pPr>
        <w:pStyle w:val="SingleTxtG"/>
      </w:pPr>
      <w:r w:rsidRPr="00690686">
        <w:rPr>
          <w:lang w:val="en-US"/>
        </w:rPr>
        <w:tab/>
      </w:r>
      <w:r w:rsidRPr="00690686">
        <w:rPr>
          <w:lang w:val="en-US"/>
        </w:rPr>
        <w:tab/>
        <w:t>(a)</w:t>
      </w:r>
      <w:r w:rsidRPr="00690686">
        <w:rPr>
          <w:lang w:val="en-US"/>
        </w:rPr>
        <w:tab/>
        <w:t xml:space="preserve">That the communication is inadmissible under </w:t>
      </w:r>
      <w:r w:rsidR="00DF705F" w:rsidRPr="00690686">
        <w:rPr>
          <w:lang w:val="en-US"/>
        </w:rPr>
        <w:t>article</w:t>
      </w:r>
      <w:r w:rsidRPr="00690686">
        <w:rPr>
          <w:lang w:val="en-US"/>
        </w:rPr>
        <w:t xml:space="preserve"> </w:t>
      </w:r>
      <w:r w:rsidR="00DF705F" w:rsidRPr="00690686">
        <w:rPr>
          <w:lang w:val="en-US"/>
        </w:rPr>
        <w:t>2</w:t>
      </w:r>
      <w:r w:rsidRPr="00690686">
        <w:rPr>
          <w:lang w:val="en-US"/>
        </w:rPr>
        <w:t xml:space="preserve"> of the Optional Protocol;</w:t>
      </w:r>
    </w:p>
    <w:p w14:paraId="4D844BE2" w14:textId="6139CBEF" w:rsidR="001D35B5" w:rsidRPr="00665CE5" w:rsidRDefault="00665CE5" w:rsidP="005B48A2">
      <w:pPr>
        <w:pStyle w:val="SingleTxtG"/>
        <w:rPr>
          <w:lang w:val="en-US"/>
        </w:rPr>
      </w:pPr>
      <w:r w:rsidRPr="00690686">
        <w:rPr>
          <w:lang w:val="en-US"/>
        </w:rPr>
        <w:tab/>
      </w:r>
      <w:r w:rsidRPr="00690686">
        <w:rPr>
          <w:lang w:val="en-US"/>
        </w:rPr>
        <w:tab/>
        <w:t>(b)</w:t>
      </w:r>
      <w:r w:rsidRPr="00690686">
        <w:rPr>
          <w:lang w:val="en-US"/>
        </w:rPr>
        <w:tab/>
        <w:t xml:space="preserve">That the present </w:t>
      </w:r>
      <w:r w:rsidRPr="00690686">
        <w:t>decision</w:t>
      </w:r>
      <w:r w:rsidRPr="00690686">
        <w:rPr>
          <w:lang w:val="en-US"/>
        </w:rPr>
        <w:t xml:space="preserve"> will be communicated to the State party and to the authors.</w:t>
      </w:r>
    </w:p>
    <w:p w14:paraId="357766A3" w14:textId="77777777" w:rsidR="005A4888" w:rsidRPr="00767334" w:rsidRDefault="00C15938" w:rsidP="009D4B30">
      <w:pPr>
        <w:pStyle w:val="SingleTxtG"/>
        <w:spacing w:before="240" w:after="0"/>
        <w:jc w:val="center"/>
        <w:rPr>
          <w:color w:val="000000"/>
          <w:u w:val="single"/>
          <w:lang w:eastAsia="en-GB"/>
        </w:rPr>
      </w:pPr>
      <w:r w:rsidRPr="00767334">
        <w:rPr>
          <w:u w:val="single"/>
        </w:rPr>
        <w:tab/>
      </w:r>
      <w:r w:rsidRPr="00767334">
        <w:rPr>
          <w:u w:val="single"/>
        </w:rPr>
        <w:tab/>
      </w:r>
      <w:r w:rsidRPr="00767334">
        <w:rPr>
          <w:u w:val="single"/>
        </w:rPr>
        <w:tab/>
      </w:r>
      <w:r w:rsidR="00574599" w:rsidRPr="00767334">
        <w:rPr>
          <w:u w:val="single"/>
        </w:rPr>
        <w:tab/>
      </w:r>
    </w:p>
    <w:sectPr w:rsidR="005A4888" w:rsidRPr="00767334" w:rsidSect="00024F1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B067" w14:textId="77777777" w:rsidR="00011916" w:rsidRDefault="00011916"/>
  </w:endnote>
  <w:endnote w:type="continuationSeparator" w:id="0">
    <w:p w14:paraId="0376A6A9" w14:textId="77777777" w:rsidR="00011916" w:rsidRDefault="00011916"/>
  </w:endnote>
  <w:endnote w:type="continuationNotice" w:id="1">
    <w:p w14:paraId="46A18BCE" w14:textId="77777777" w:rsidR="00011916" w:rsidRDefault="0001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6D52" w14:textId="7C4D0BAF" w:rsidR="009A10B4" w:rsidRPr="00781C83" w:rsidRDefault="009A10B4"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A69DF">
      <w:rPr>
        <w:b/>
        <w:noProof/>
        <w:sz w:val="18"/>
      </w:rPr>
      <w:t>12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F286" w14:textId="73EE8AE0" w:rsidR="009A10B4" w:rsidRPr="00B46A2D" w:rsidRDefault="009A10B4" w:rsidP="00781C83">
    <w:pPr>
      <w:pStyle w:val="Footer"/>
      <w:tabs>
        <w:tab w:val="right" w:pos="9638"/>
      </w:tabs>
      <w:rPr>
        <w:b/>
        <w:bCs/>
        <w:sz w:val="18"/>
      </w:rPr>
    </w:pPr>
    <w:r>
      <w:rPr>
        <w:b/>
        <w:sz w:val="18"/>
      </w:rPr>
      <w:tab/>
    </w:r>
    <w:r w:rsidRPr="00B46A2D">
      <w:rPr>
        <w:b/>
        <w:bCs/>
        <w:sz w:val="18"/>
      </w:rPr>
      <w:fldChar w:fldCharType="begin"/>
    </w:r>
    <w:r w:rsidRPr="00B46A2D">
      <w:rPr>
        <w:b/>
        <w:bCs/>
        <w:sz w:val="18"/>
      </w:rPr>
      <w:instrText xml:space="preserve"> PAGE  \* MERGEFORMAT </w:instrText>
    </w:r>
    <w:r w:rsidRPr="00B46A2D">
      <w:rPr>
        <w:b/>
        <w:bCs/>
        <w:sz w:val="18"/>
      </w:rPr>
      <w:fldChar w:fldCharType="separate"/>
    </w:r>
    <w:r w:rsidR="008A69DF">
      <w:rPr>
        <w:b/>
        <w:bCs/>
        <w:noProof/>
        <w:sz w:val="18"/>
      </w:rPr>
      <w:t>11</w:t>
    </w:r>
    <w:r w:rsidRPr="00B46A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2609" w14:textId="1F352ECF" w:rsidR="00BB5419" w:rsidRDefault="00BB5419" w:rsidP="00BB5419">
    <w:pPr>
      <w:pStyle w:val="Footer"/>
    </w:pPr>
    <w:r>
      <w:rPr>
        <w:noProof/>
        <w:lang w:eastAsia="en-GB"/>
      </w:rPr>
      <w:drawing>
        <wp:anchor distT="0" distB="0" distL="114300" distR="114300" simplePos="0" relativeHeight="251659264" behindDoc="1" locked="1" layoutInCell="1" allowOverlap="1" wp14:anchorId="031F3F92" wp14:editId="60D67AE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9EC3D7" w14:textId="07E0B115" w:rsidR="00BB5419" w:rsidRPr="00BB5419" w:rsidRDefault="00BB5419" w:rsidP="00BB5419">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2D303B3E" wp14:editId="64B6DF03">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C20D3" w14:textId="77777777" w:rsidR="00011916" w:rsidRPr="000B175B" w:rsidRDefault="00011916" w:rsidP="000B175B">
      <w:pPr>
        <w:tabs>
          <w:tab w:val="right" w:pos="2155"/>
        </w:tabs>
        <w:spacing w:after="80"/>
        <w:ind w:left="680"/>
        <w:rPr>
          <w:u w:val="single"/>
        </w:rPr>
      </w:pPr>
      <w:r>
        <w:rPr>
          <w:u w:val="single"/>
        </w:rPr>
        <w:tab/>
      </w:r>
    </w:p>
  </w:footnote>
  <w:footnote w:type="continuationSeparator" w:id="0">
    <w:p w14:paraId="4ECE58B5" w14:textId="77777777" w:rsidR="00011916" w:rsidRPr="00FC68B7" w:rsidRDefault="00011916" w:rsidP="00FC68B7">
      <w:pPr>
        <w:tabs>
          <w:tab w:val="left" w:pos="2155"/>
        </w:tabs>
        <w:spacing w:after="80"/>
        <w:ind w:left="680"/>
        <w:rPr>
          <w:u w:val="single"/>
        </w:rPr>
      </w:pPr>
      <w:r>
        <w:rPr>
          <w:u w:val="single"/>
        </w:rPr>
        <w:tab/>
      </w:r>
    </w:p>
  </w:footnote>
  <w:footnote w:type="continuationNotice" w:id="1">
    <w:p w14:paraId="49F87F18" w14:textId="77777777" w:rsidR="00011916" w:rsidRDefault="00011916"/>
  </w:footnote>
  <w:footnote w:id="2">
    <w:p w14:paraId="360478F2" w14:textId="3519969C" w:rsidR="008A69DF" w:rsidRPr="008A69DF" w:rsidRDefault="008A69DF">
      <w:pPr>
        <w:pStyle w:val="FootnoteText"/>
      </w:pPr>
      <w:r>
        <w:rPr>
          <w:rStyle w:val="FootnoteReference"/>
        </w:rPr>
        <w:tab/>
      </w:r>
      <w:r w:rsidRPr="008A69DF">
        <w:rPr>
          <w:rStyle w:val="FootnoteReference"/>
          <w:sz w:val="20"/>
          <w:vertAlign w:val="baseline"/>
        </w:rPr>
        <w:t>*</w:t>
      </w:r>
      <w:r>
        <w:rPr>
          <w:rStyle w:val="FootnoteReference"/>
          <w:sz w:val="20"/>
          <w:vertAlign w:val="baseline"/>
        </w:rPr>
        <w:tab/>
      </w:r>
      <w:r w:rsidRPr="008A69DF">
        <w:rPr>
          <w:sz w:val="20"/>
        </w:rPr>
        <w:t xml:space="preserve">Adopted by the Committee at its 130 </w:t>
      </w:r>
      <w:proofErr w:type="spellStart"/>
      <w:r w:rsidRPr="008A69DF">
        <w:rPr>
          <w:sz w:val="20"/>
        </w:rPr>
        <w:t>th</w:t>
      </w:r>
      <w:proofErr w:type="spellEnd"/>
      <w:r w:rsidRPr="008A69DF">
        <w:rPr>
          <w:sz w:val="20"/>
        </w:rPr>
        <w:t xml:space="preserve"> session (12 October–6 November 2020).</w:t>
      </w:r>
    </w:p>
  </w:footnote>
  <w:footnote w:id="3">
    <w:p w14:paraId="100D38E1" w14:textId="1D051B96" w:rsidR="008A69DF" w:rsidRPr="008A69DF" w:rsidRDefault="008A69DF">
      <w:pPr>
        <w:pStyle w:val="FootnoteText"/>
      </w:pPr>
      <w:r>
        <w:rPr>
          <w:rStyle w:val="FootnoteReference"/>
        </w:rPr>
        <w:tab/>
      </w:r>
      <w:r w:rsidRPr="008A69DF">
        <w:rPr>
          <w:rStyle w:val="FootnoteReference"/>
          <w:sz w:val="20"/>
          <w:vertAlign w:val="baseline"/>
        </w:rPr>
        <w:t>**</w:t>
      </w:r>
      <w:r>
        <w:rPr>
          <w:rStyle w:val="FootnoteReference"/>
          <w:sz w:val="20"/>
          <w:vertAlign w:val="baseline"/>
        </w:rPr>
        <w:tab/>
      </w:r>
      <w:r w:rsidRPr="00DA33D1">
        <w:t>The following members of the Committee participated in the examination of the communica</w:t>
      </w:r>
      <w:r>
        <w:t xml:space="preserve">tion: </w:t>
      </w:r>
      <w:r>
        <w:rPr>
          <w:bCs/>
        </w:rPr>
        <w:t xml:space="preserve">Tania Abdo </w:t>
      </w:r>
      <w:proofErr w:type="spellStart"/>
      <w:r>
        <w:rPr>
          <w:bCs/>
        </w:rPr>
        <w:t>Rocholl</w:t>
      </w:r>
      <w:proofErr w:type="spellEnd"/>
      <w:r w:rsidRPr="0087337A">
        <w:t xml:space="preserve"> </w:t>
      </w:r>
      <w:proofErr w:type="spellStart"/>
      <w:r w:rsidRPr="0087337A">
        <w:t>Yadh</w:t>
      </w:r>
      <w:proofErr w:type="spellEnd"/>
      <w:r w:rsidRPr="0087337A">
        <w:t xml:space="preserve"> Ben </w:t>
      </w:r>
      <w:proofErr w:type="spellStart"/>
      <w:r w:rsidRPr="0087337A">
        <w:t>Achour</w:t>
      </w:r>
      <w:proofErr w:type="spellEnd"/>
      <w:r w:rsidRPr="00DA33D1">
        <w:t xml:space="preserve">, </w:t>
      </w:r>
      <w:proofErr w:type="spellStart"/>
      <w:r w:rsidRPr="00DA33D1">
        <w:t>Arif</w:t>
      </w:r>
      <w:proofErr w:type="spellEnd"/>
      <w:r w:rsidRPr="00DA33D1">
        <w:t xml:space="preserve"> </w:t>
      </w:r>
      <w:proofErr w:type="spellStart"/>
      <w:r w:rsidRPr="00DA33D1">
        <w:t>Bulkan</w:t>
      </w:r>
      <w:proofErr w:type="spellEnd"/>
      <w:r w:rsidRPr="00DA33D1">
        <w:t xml:space="preserve">, Ahmed Amin </w:t>
      </w:r>
      <w:proofErr w:type="spellStart"/>
      <w:r w:rsidRPr="00DA33D1">
        <w:t>Fathalla</w:t>
      </w:r>
      <w:proofErr w:type="spellEnd"/>
      <w:r w:rsidRPr="00DA33D1">
        <w:t>,</w:t>
      </w:r>
      <w:r>
        <w:t xml:space="preserve"> </w:t>
      </w:r>
      <w:proofErr w:type="spellStart"/>
      <w:r>
        <w:t>Schuichi</w:t>
      </w:r>
      <w:proofErr w:type="spellEnd"/>
      <w:r>
        <w:t xml:space="preserve"> </w:t>
      </w:r>
      <w:proofErr w:type="spellStart"/>
      <w:r>
        <w:t>Furuya</w:t>
      </w:r>
      <w:proofErr w:type="spellEnd"/>
      <w:r>
        <w:t xml:space="preserve">, Christoph </w:t>
      </w:r>
      <w:proofErr w:type="spellStart"/>
      <w:r>
        <w:t>Heyns</w:t>
      </w:r>
      <w:proofErr w:type="spellEnd"/>
      <w:r>
        <w:t xml:space="preserve">, </w:t>
      </w:r>
      <w:r w:rsidRPr="00E97AE9">
        <w:t>David</w:t>
      </w:r>
      <w:r>
        <w:t xml:space="preserve"> Moore,</w:t>
      </w:r>
      <w:r>
        <w:rPr>
          <w:bCs/>
        </w:rPr>
        <w:t xml:space="preserve"> </w:t>
      </w:r>
      <w:proofErr w:type="spellStart"/>
      <w:r>
        <w:rPr>
          <w:bCs/>
        </w:rPr>
        <w:t>Bamariam</w:t>
      </w:r>
      <w:proofErr w:type="spellEnd"/>
      <w:r>
        <w:rPr>
          <w:bCs/>
        </w:rPr>
        <w:t xml:space="preserve"> </w:t>
      </w:r>
      <w:proofErr w:type="spellStart"/>
      <w:r>
        <w:rPr>
          <w:bCs/>
        </w:rPr>
        <w:t>Koita</w:t>
      </w:r>
      <w:proofErr w:type="spellEnd"/>
      <w:r>
        <w:rPr>
          <w:bCs/>
        </w:rPr>
        <w:t>,</w:t>
      </w:r>
      <w:r w:rsidRPr="003822C7">
        <w:t xml:space="preserve"> </w:t>
      </w:r>
      <w:r>
        <w:t xml:space="preserve">Marcia V.J. </w:t>
      </w:r>
      <w:proofErr w:type="spellStart"/>
      <w:r>
        <w:t>Kran</w:t>
      </w:r>
      <w:proofErr w:type="spellEnd"/>
      <w:r>
        <w:t xml:space="preserve">, </w:t>
      </w:r>
      <w:r w:rsidRPr="003822C7">
        <w:t xml:space="preserve">Duncan </w:t>
      </w:r>
      <w:proofErr w:type="spellStart"/>
      <w:r w:rsidRPr="003822C7">
        <w:t>Laki</w:t>
      </w:r>
      <w:proofErr w:type="spellEnd"/>
      <w:r w:rsidRPr="003822C7">
        <w:t xml:space="preserve"> </w:t>
      </w:r>
      <w:proofErr w:type="spellStart"/>
      <w:r w:rsidRPr="003822C7">
        <w:t>Muhumuza</w:t>
      </w:r>
      <w:proofErr w:type="spellEnd"/>
      <w:r w:rsidRPr="00DA33D1">
        <w:t>,</w:t>
      </w:r>
      <w:r w:rsidRPr="00FB6672">
        <w:t xml:space="preserve"> </w:t>
      </w:r>
      <w:r w:rsidRPr="00DA33D1">
        <w:t xml:space="preserve">Photini </w:t>
      </w:r>
      <w:proofErr w:type="spellStart"/>
      <w:r w:rsidRPr="00DA33D1">
        <w:t>Pazartzis</w:t>
      </w:r>
      <w:proofErr w:type="spellEnd"/>
      <w:r>
        <w:t>,</w:t>
      </w:r>
      <w:r w:rsidRPr="00DA33D1">
        <w:t xml:space="preserve"> </w:t>
      </w:r>
      <w:proofErr w:type="spellStart"/>
      <w:r w:rsidRPr="00DA33D1">
        <w:t>Hernán</w:t>
      </w:r>
      <w:proofErr w:type="spellEnd"/>
      <w:r w:rsidRPr="00DA33D1">
        <w:t xml:space="preserve"> Qu</w:t>
      </w:r>
      <w:r>
        <w:t xml:space="preserve">ezada Cabrera, </w:t>
      </w:r>
      <w:proofErr w:type="spellStart"/>
      <w:r>
        <w:t>Vasilka</w:t>
      </w:r>
      <w:proofErr w:type="spellEnd"/>
      <w:r>
        <w:t xml:space="preserve"> </w:t>
      </w:r>
      <w:proofErr w:type="spellStart"/>
      <w:r>
        <w:t>Sancin</w:t>
      </w:r>
      <w:proofErr w:type="spellEnd"/>
      <w:r>
        <w:t xml:space="preserve">, </w:t>
      </w:r>
      <w:r w:rsidRPr="00DA33D1">
        <w:t xml:space="preserve">José Manuel Santos </w:t>
      </w:r>
      <w:proofErr w:type="spellStart"/>
      <w:r w:rsidRPr="00DA33D1">
        <w:t>Pais</w:t>
      </w:r>
      <w:proofErr w:type="spellEnd"/>
      <w:r w:rsidRPr="00DA33D1">
        <w:t xml:space="preserve">, Yuval </w:t>
      </w:r>
      <w:proofErr w:type="spellStart"/>
      <w:r w:rsidRPr="00DA33D1">
        <w:t>Shany</w:t>
      </w:r>
      <w:proofErr w:type="spellEnd"/>
      <w:r w:rsidRPr="00DA33D1">
        <w:t xml:space="preserve">, Hélène </w:t>
      </w:r>
      <w:proofErr w:type="spellStart"/>
      <w:r w:rsidRPr="00DA33D1">
        <w:t>Tigroudja</w:t>
      </w:r>
      <w:proofErr w:type="spellEnd"/>
      <w:r w:rsidRPr="00DA33D1">
        <w:t>, Andrea</w:t>
      </w:r>
      <w:r>
        <w:t xml:space="preserve">s Zimmermann and Gentian </w:t>
      </w:r>
      <w:proofErr w:type="spellStart"/>
      <w:r>
        <w:t>Zyberi</w:t>
      </w:r>
      <w:proofErr w:type="spellEnd"/>
      <w:r>
        <w:t>.</w:t>
      </w:r>
    </w:p>
  </w:footnote>
  <w:footnote w:id="4">
    <w:p w14:paraId="132EF83A" w14:textId="33C0E7A4" w:rsidR="009A10B4" w:rsidRPr="003D0205" w:rsidRDefault="009A10B4" w:rsidP="0008518B">
      <w:pPr>
        <w:pStyle w:val="FootnoteText"/>
        <w:jc w:val="both"/>
        <w:rPr>
          <w:lang w:val="en-US"/>
        </w:rPr>
      </w:pPr>
      <w:r>
        <w:tab/>
      </w:r>
      <w:r>
        <w:rPr>
          <w:rStyle w:val="FootnoteReference"/>
        </w:rPr>
        <w:footnoteRef/>
      </w:r>
      <w:r>
        <w:tab/>
        <w:t xml:space="preserve">The author does not give further information on this. </w:t>
      </w:r>
    </w:p>
  </w:footnote>
  <w:footnote w:id="5">
    <w:p w14:paraId="41D750C2" w14:textId="7DB088FE" w:rsidR="00412EA9" w:rsidRPr="00412EA9" w:rsidRDefault="00412EA9" w:rsidP="00412EA9">
      <w:pPr>
        <w:tabs>
          <w:tab w:val="right" w:pos="1021"/>
        </w:tabs>
        <w:autoSpaceDE w:val="0"/>
        <w:autoSpaceDN w:val="0"/>
        <w:adjustRightInd w:val="0"/>
        <w:ind w:left="1134" w:right="1134" w:hanging="1134"/>
        <w:jc w:val="both"/>
        <w:rPr>
          <w:rFonts w:eastAsia="SimSun"/>
          <w:sz w:val="18"/>
          <w:szCs w:val="20"/>
          <w:lang w:eastAsia="zh-CN" w:bidi="ar-SA"/>
        </w:rPr>
      </w:pPr>
      <w:r>
        <w:tab/>
      </w:r>
      <w:r>
        <w:rPr>
          <w:rStyle w:val="FootnoteReference"/>
        </w:rPr>
        <w:footnoteRef/>
      </w:r>
      <w:r>
        <w:tab/>
      </w:r>
      <w:r w:rsidRPr="00412EA9">
        <w:rPr>
          <w:rFonts w:eastAsia="SimSun"/>
          <w:sz w:val="18"/>
          <w:szCs w:val="20"/>
          <w:lang w:eastAsia="zh-CN" w:bidi="ar-SA"/>
        </w:rPr>
        <w:t xml:space="preserve">Article 273f(1) reads as follows: </w:t>
      </w:r>
      <w:r>
        <w:rPr>
          <w:rFonts w:eastAsia="SimSun"/>
          <w:sz w:val="18"/>
          <w:szCs w:val="20"/>
          <w:lang w:eastAsia="zh-CN" w:bidi="ar-SA"/>
        </w:rPr>
        <w:t>“A</w:t>
      </w:r>
      <w:r w:rsidRPr="00412EA9">
        <w:rPr>
          <w:rFonts w:eastAsia="SimSun"/>
          <w:sz w:val="18"/>
          <w:szCs w:val="20"/>
          <w:lang w:eastAsia="zh-CN" w:bidi="ar-SA"/>
        </w:rPr>
        <w:t>nyone who with the intention of exploiting a person or removing a person’s organs, recruits, transports, transfers, accommodates or shelters that person – including exchanging or transferring control over that person – by means of duress, violence or another hostile act, or the threat of violence or another hostile act, or by means of extortion, fraud, deception or the abuse of power arising from specific circumstances, or by means of the abuse of a position of vulnerability, or by giving or receiving payments or advantages in order to obtain the consent of a person having control over that person</w:t>
      </w:r>
      <w:r>
        <w:rPr>
          <w:rFonts w:eastAsia="SimSun"/>
          <w:sz w:val="18"/>
          <w:szCs w:val="20"/>
          <w:lang w:eastAsia="zh-CN" w:bidi="ar-SA"/>
        </w:rPr>
        <w:t>.”</w:t>
      </w:r>
    </w:p>
  </w:footnote>
  <w:footnote w:id="6">
    <w:p w14:paraId="60F211A1" w14:textId="4F5B6701" w:rsidR="009A10B4" w:rsidRPr="00774A41" w:rsidRDefault="009A10B4" w:rsidP="0008518B">
      <w:pPr>
        <w:pStyle w:val="FootnoteText"/>
        <w:jc w:val="both"/>
        <w:rPr>
          <w:szCs w:val="18"/>
          <w:lang w:val="en-US"/>
        </w:rPr>
      </w:pPr>
      <w:r>
        <w:tab/>
      </w:r>
      <w:r>
        <w:rPr>
          <w:rStyle w:val="FootnoteReference"/>
        </w:rPr>
        <w:footnoteRef/>
      </w:r>
      <w:r>
        <w:tab/>
      </w:r>
      <w:r w:rsidRPr="00774A41">
        <w:rPr>
          <w:szCs w:val="18"/>
        </w:rPr>
        <w:t xml:space="preserve">The author refers to United Nations Human Rights office of the High </w:t>
      </w:r>
      <w:r w:rsidR="002D658E" w:rsidRPr="00774A41">
        <w:rPr>
          <w:szCs w:val="18"/>
        </w:rPr>
        <w:t>Commissioner</w:t>
      </w:r>
      <w:r w:rsidRPr="00774A41">
        <w:rPr>
          <w:szCs w:val="18"/>
        </w:rPr>
        <w:t xml:space="preserve"> for Human Rights, Human Rights and Trafficking, Factsheet No. 36, 2016, </w:t>
      </w:r>
      <w:hyperlink r:id="rId1" w:history="1">
        <w:r w:rsidR="002D658E" w:rsidRPr="00A31A4C">
          <w:rPr>
            <w:rStyle w:val="Hyperlink"/>
            <w:szCs w:val="18"/>
          </w:rPr>
          <w:t>https://www.ohchr.org/Documents/</w:t>
        </w:r>
        <w:r w:rsidR="002D658E" w:rsidRPr="00A31A4C">
          <w:rPr>
            <w:rStyle w:val="Hyperlink"/>
            <w:szCs w:val="18"/>
          </w:rPr>
          <w:br/>
          <w:t>Publications/FS36_en.pdf</w:t>
        </w:r>
      </w:hyperlink>
      <w:r w:rsidR="002D658E">
        <w:rPr>
          <w:rStyle w:val="Hyperlink"/>
          <w:szCs w:val="18"/>
        </w:rPr>
        <w:t>.</w:t>
      </w:r>
    </w:p>
  </w:footnote>
  <w:footnote w:id="7">
    <w:p w14:paraId="18FD9B45" w14:textId="320B289D" w:rsidR="009A10B4" w:rsidRPr="00774A41" w:rsidRDefault="009A10B4" w:rsidP="0008518B">
      <w:pPr>
        <w:pStyle w:val="FootnoteText"/>
        <w:jc w:val="both"/>
        <w:rPr>
          <w:szCs w:val="18"/>
        </w:rPr>
      </w:pPr>
      <w:r w:rsidRPr="00774A41">
        <w:rPr>
          <w:szCs w:val="18"/>
        </w:rPr>
        <w:tab/>
      </w:r>
      <w:r w:rsidRPr="00774A41">
        <w:rPr>
          <w:rStyle w:val="FootnoteReference"/>
          <w:szCs w:val="18"/>
        </w:rPr>
        <w:footnoteRef/>
      </w:r>
      <w:r w:rsidRPr="00774A41">
        <w:rPr>
          <w:szCs w:val="18"/>
        </w:rPr>
        <w:tab/>
      </w:r>
      <w:r w:rsidR="002D658E">
        <w:rPr>
          <w:szCs w:val="18"/>
        </w:rPr>
        <w:t>The author refers particularly to a</w:t>
      </w:r>
      <w:r w:rsidRPr="00774A41">
        <w:rPr>
          <w:szCs w:val="18"/>
        </w:rPr>
        <w:t>rt. 3(a)</w:t>
      </w:r>
      <w:r>
        <w:rPr>
          <w:szCs w:val="18"/>
        </w:rPr>
        <w:t xml:space="preserve"> of the Palermo Protocol</w:t>
      </w:r>
      <w:r w:rsidR="002D658E">
        <w:rPr>
          <w:szCs w:val="18"/>
        </w:rPr>
        <w:t>, which</w:t>
      </w:r>
      <w:r>
        <w:rPr>
          <w:szCs w:val="18"/>
        </w:rPr>
        <w:t xml:space="preserve"> states that: </w:t>
      </w:r>
      <w:r w:rsidRPr="00AC19A5">
        <w:rPr>
          <w:szCs w:val="18"/>
        </w:rPr>
        <w:t>“</w:t>
      </w:r>
      <w:r w:rsidRPr="00267B33">
        <w:rPr>
          <w:szCs w:val="18"/>
        </w:rPr>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00AC19A5" w:rsidRPr="00AC19A5">
        <w:rPr>
          <w:szCs w:val="18"/>
        </w:rPr>
        <w:t>.</w:t>
      </w:r>
      <w:r w:rsidRPr="00AC19A5">
        <w:rPr>
          <w:szCs w:val="18"/>
        </w:rPr>
        <w:t>”</w:t>
      </w:r>
    </w:p>
  </w:footnote>
  <w:footnote w:id="8">
    <w:p w14:paraId="7C7F23CD" w14:textId="7C3A77B7" w:rsidR="009A10B4" w:rsidRPr="00774A41" w:rsidRDefault="009A10B4" w:rsidP="0008518B">
      <w:pPr>
        <w:pStyle w:val="FootnoteText"/>
        <w:jc w:val="both"/>
      </w:pPr>
      <w:r>
        <w:tab/>
      </w:r>
      <w:r>
        <w:rPr>
          <w:rStyle w:val="FootnoteReference"/>
        </w:rPr>
        <w:footnoteRef/>
      </w:r>
      <w:r>
        <w:tab/>
      </w:r>
      <w:proofErr w:type="spellStart"/>
      <w:r w:rsidRPr="00774A41">
        <w:rPr>
          <w:i/>
        </w:rPr>
        <w:t>Rantsev</w:t>
      </w:r>
      <w:proofErr w:type="spellEnd"/>
      <w:r w:rsidRPr="00774A41">
        <w:rPr>
          <w:i/>
        </w:rPr>
        <w:t xml:space="preserve"> v. Cyprus and Russia</w:t>
      </w:r>
      <w:r w:rsidRPr="00774A41">
        <w:t xml:space="preserve">, ECHR, 7 January 2010, application no. </w:t>
      </w:r>
      <w:r>
        <w:t>25965/04, par. 282</w:t>
      </w:r>
      <w:r w:rsidRPr="00774A41">
        <w:rPr>
          <w:i/>
        </w:rPr>
        <w:t xml:space="preserve">; </w:t>
      </w:r>
      <w:proofErr w:type="spellStart"/>
      <w:r w:rsidRPr="00774A41">
        <w:rPr>
          <w:i/>
        </w:rPr>
        <w:t>Siliadin</w:t>
      </w:r>
      <w:proofErr w:type="spellEnd"/>
      <w:r w:rsidRPr="00774A41">
        <w:rPr>
          <w:i/>
        </w:rPr>
        <w:t xml:space="preserve"> v. France</w:t>
      </w:r>
      <w:r>
        <w:t>, ECHR, 26 October 2005, application no. 73316/01, par. 126-127; C</w:t>
      </w:r>
      <w:r w:rsidRPr="00774A41">
        <w:rPr>
          <w:i/>
        </w:rPr>
        <w:t>.N. v. The United Kingdom</w:t>
      </w:r>
      <w:r>
        <w:t xml:space="preserve">, ECHR, 13 November 2012, application no. 4239/08, par. 80.  </w:t>
      </w:r>
    </w:p>
  </w:footnote>
  <w:footnote w:id="9">
    <w:p w14:paraId="586BD6DC" w14:textId="7121DB9C" w:rsidR="009A10B4" w:rsidRPr="00EF10EC" w:rsidRDefault="009A10B4" w:rsidP="0008518B">
      <w:pPr>
        <w:pStyle w:val="FootnoteText"/>
        <w:jc w:val="both"/>
      </w:pPr>
      <w:r>
        <w:tab/>
      </w:r>
      <w:r>
        <w:rPr>
          <w:rStyle w:val="FootnoteReference"/>
        </w:rPr>
        <w:footnoteRef/>
      </w:r>
      <w:r w:rsidRPr="00EF10EC">
        <w:tab/>
        <w:t>The Mehak case, RB, The Hague, 7 December 2007, ECLI:</w:t>
      </w:r>
      <w:r w:rsidR="00E50AB0">
        <w:t xml:space="preserve"> </w:t>
      </w:r>
      <w:proofErr w:type="gramStart"/>
      <w:r w:rsidRPr="00EF10EC">
        <w:t>NL :RBSGR</w:t>
      </w:r>
      <w:proofErr w:type="gramEnd"/>
      <w:r w:rsidRPr="00EF10EC">
        <w:t xml:space="preserve"> :2007 :BC1195. </w:t>
      </w:r>
      <w:r>
        <w:t xml:space="preserve">In this case, the court ruled that the fact that the victims were grateful to their employers did not </w:t>
      </w:r>
      <w:proofErr w:type="spellStart"/>
      <w:r>
        <w:t>dectract</w:t>
      </w:r>
      <w:proofErr w:type="spellEnd"/>
      <w:r>
        <w:t xml:space="preserve"> from the impossibility of escaping as they were fully dependent on the employers. </w:t>
      </w:r>
    </w:p>
  </w:footnote>
  <w:footnote w:id="10">
    <w:p w14:paraId="3799D876" w14:textId="5F66420B" w:rsidR="009A10B4" w:rsidRPr="00666B37" w:rsidRDefault="009A10B4" w:rsidP="0008518B">
      <w:pPr>
        <w:pStyle w:val="FootnoteText"/>
        <w:jc w:val="both"/>
      </w:pPr>
      <w:r>
        <w:tab/>
      </w:r>
      <w:r>
        <w:rPr>
          <w:rStyle w:val="FootnoteReference"/>
        </w:rPr>
        <w:footnoteRef/>
      </w:r>
      <w:r w:rsidRPr="00666B37">
        <w:tab/>
      </w:r>
      <w:r w:rsidR="005924A4">
        <w:t xml:space="preserve">The author provides a report by the </w:t>
      </w:r>
      <w:r w:rsidR="005924A4" w:rsidRPr="005924A4">
        <w:t xml:space="preserve">organisation </w:t>
      </w:r>
      <w:proofErr w:type="spellStart"/>
      <w:r w:rsidRPr="005924A4">
        <w:t>Fairwork</w:t>
      </w:r>
      <w:proofErr w:type="spellEnd"/>
      <w:r w:rsidR="005924A4" w:rsidRPr="005924A4">
        <w:t>,</w:t>
      </w:r>
      <w:r w:rsidR="005924A4">
        <w:t xml:space="preserve"> dating 28 February 2017.</w:t>
      </w:r>
    </w:p>
  </w:footnote>
  <w:footnote w:id="11">
    <w:p w14:paraId="7194BC26" w14:textId="07426B09" w:rsidR="009A10B4" w:rsidRPr="00EF10EC" w:rsidRDefault="009A10B4" w:rsidP="0008518B">
      <w:pPr>
        <w:pStyle w:val="FootnoteText"/>
        <w:jc w:val="both"/>
      </w:pPr>
      <w:r>
        <w:tab/>
      </w:r>
      <w:r>
        <w:rPr>
          <w:rStyle w:val="FootnoteReference"/>
        </w:rPr>
        <w:footnoteRef/>
      </w:r>
      <w:r w:rsidRPr="00EF10EC">
        <w:tab/>
        <w:t>ILO indicators of forced labour, special action pro</w:t>
      </w:r>
      <w:r>
        <w:t xml:space="preserve">gramme to combat forced labour, </w:t>
      </w:r>
      <w:hyperlink r:id="rId2" w:history="1">
        <w:r w:rsidR="00C3299D" w:rsidRPr="00A31A4C">
          <w:rPr>
            <w:rStyle w:val="Hyperlink"/>
          </w:rPr>
          <w:t>https://www.ilo.org/wcmsp5/groups/public/---</w:t>
        </w:r>
        <w:proofErr w:type="spellStart"/>
        <w:r w:rsidR="00C3299D" w:rsidRPr="00A31A4C">
          <w:rPr>
            <w:rStyle w:val="Hyperlink"/>
          </w:rPr>
          <w:t>ed_norm</w:t>
        </w:r>
        <w:proofErr w:type="spellEnd"/>
        <w:r w:rsidR="00C3299D" w:rsidRPr="00A31A4C">
          <w:rPr>
            <w:rStyle w:val="Hyperlink"/>
          </w:rPr>
          <w:t>/---declaration/documents/publication/</w:t>
        </w:r>
        <w:proofErr w:type="spellStart"/>
        <w:r w:rsidR="00C3299D" w:rsidRPr="00A31A4C">
          <w:rPr>
            <w:rStyle w:val="Hyperlink"/>
          </w:rPr>
          <w:t>wcms</w:t>
        </w:r>
        <w:proofErr w:type="spellEnd"/>
        <w:r w:rsidR="00C3299D" w:rsidRPr="00A31A4C">
          <w:rPr>
            <w:rStyle w:val="Hyperlink"/>
          </w:rPr>
          <w:t>_</w:t>
        </w:r>
        <w:r w:rsidR="00C3299D" w:rsidRPr="00A31A4C">
          <w:rPr>
            <w:rStyle w:val="Hyperlink"/>
          </w:rPr>
          <w:br/>
          <w:t>203832.pdf</w:t>
        </w:r>
      </w:hyperlink>
      <w:r w:rsidR="00E50AB0">
        <w:t>.</w:t>
      </w:r>
    </w:p>
  </w:footnote>
  <w:footnote w:id="12">
    <w:p w14:paraId="6780EF73" w14:textId="3AF2E1F0" w:rsidR="009A10B4" w:rsidRPr="009F5267" w:rsidRDefault="009A10B4" w:rsidP="0008518B">
      <w:pPr>
        <w:pStyle w:val="FootnoteText"/>
        <w:jc w:val="both"/>
      </w:pPr>
      <w:r>
        <w:tab/>
      </w:r>
      <w:r>
        <w:rPr>
          <w:rStyle w:val="FootnoteReference"/>
        </w:rPr>
        <w:footnoteRef/>
      </w:r>
      <w:r>
        <w:tab/>
      </w:r>
      <w:r w:rsidRPr="009F5267">
        <w:t xml:space="preserve">Palermo Protocol, preamble and article 5. </w:t>
      </w:r>
    </w:p>
  </w:footnote>
  <w:footnote w:id="13">
    <w:p w14:paraId="550DC181" w14:textId="56228082" w:rsidR="009A10B4" w:rsidRPr="00573760" w:rsidRDefault="009A10B4" w:rsidP="0008518B">
      <w:pPr>
        <w:pStyle w:val="FootnoteText"/>
        <w:jc w:val="both"/>
      </w:pPr>
      <w:r>
        <w:tab/>
      </w:r>
      <w:r>
        <w:rPr>
          <w:rStyle w:val="FootnoteReference"/>
        </w:rPr>
        <w:footnoteRef/>
      </w:r>
      <w:r w:rsidRPr="00573760">
        <w:tab/>
      </w:r>
      <w:r w:rsidRPr="00573760">
        <w:rPr>
          <w:i/>
        </w:rPr>
        <w:t xml:space="preserve">C.N. v. The United </w:t>
      </w:r>
      <w:proofErr w:type="spellStart"/>
      <w:r w:rsidRPr="00573760">
        <w:rPr>
          <w:i/>
        </w:rPr>
        <w:t>Kindgom</w:t>
      </w:r>
      <w:proofErr w:type="spellEnd"/>
      <w:r w:rsidRPr="00573760">
        <w:t xml:space="preserve">, op. </w:t>
      </w:r>
      <w:proofErr w:type="spellStart"/>
      <w:r>
        <w:t>cit</w:t>
      </w:r>
      <w:proofErr w:type="spellEnd"/>
      <w:r>
        <w:t xml:space="preserve">, par. 76; </w:t>
      </w:r>
      <w:proofErr w:type="spellStart"/>
      <w:r w:rsidRPr="00573760">
        <w:rPr>
          <w:i/>
        </w:rPr>
        <w:t>Rantsev</w:t>
      </w:r>
      <w:proofErr w:type="spellEnd"/>
      <w:r w:rsidRPr="00573760">
        <w:rPr>
          <w:i/>
        </w:rPr>
        <w:t xml:space="preserve"> v. Cyprus and Russia</w:t>
      </w:r>
      <w:r>
        <w:t xml:space="preserve">, </w:t>
      </w:r>
      <w:proofErr w:type="spellStart"/>
      <w:r>
        <w:t>op.cit</w:t>
      </w:r>
      <w:proofErr w:type="spellEnd"/>
      <w:r>
        <w:t xml:space="preserve">, par 285. </w:t>
      </w:r>
    </w:p>
  </w:footnote>
  <w:footnote w:id="14">
    <w:p w14:paraId="2BCAD1F8" w14:textId="252697E1" w:rsidR="00A471D0" w:rsidRPr="00A471D0" w:rsidRDefault="00A471D0" w:rsidP="0008518B">
      <w:pPr>
        <w:pStyle w:val="FootnoteText"/>
        <w:jc w:val="both"/>
      </w:pPr>
      <w:r>
        <w:tab/>
      </w:r>
      <w:r>
        <w:rPr>
          <w:rStyle w:val="FootnoteReference"/>
        </w:rPr>
        <w:footnoteRef/>
      </w:r>
      <w:r>
        <w:tab/>
      </w:r>
      <w:r w:rsidRPr="00A471D0">
        <w:t>See paragraph 1.2</w:t>
      </w:r>
      <w:r w:rsidR="00A55C2B">
        <w:t xml:space="preserve"> – interim measures denied</w:t>
      </w:r>
      <w:r w:rsidRPr="00A471D0">
        <w:t xml:space="preserve">. </w:t>
      </w:r>
    </w:p>
  </w:footnote>
  <w:footnote w:id="15">
    <w:p w14:paraId="58BB426E" w14:textId="664B6D00" w:rsidR="009A10B4" w:rsidRPr="009A10B4" w:rsidRDefault="009A10B4" w:rsidP="0008518B">
      <w:pPr>
        <w:pStyle w:val="FootnoteText"/>
        <w:jc w:val="both"/>
      </w:pPr>
      <w:r>
        <w:rPr>
          <w:lang w:val="en-US"/>
        </w:rPr>
        <w:tab/>
      </w:r>
      <w:r>
        <w:rPr>
          <w:rStyle w:val="FootnoteReference"/>
        </w:rPr>
        <w:footnoteRef/>
      </w:r>
      <w:r>
        <w:rPr>
          <w:lang w:val="en-US"/>
        </w:rPr>
        <w:tab/>
      </w:r>
      <w:r w:rsidRPr="009A10B4">
        <w:t>Human Rights Committee 24 July 2006, Michael O’Neill and John Quinn v. Ireland (1314/2004), para 8.4.</w:t>
      </w:r>
    </w:p>
  </w:footnote>
  <w:footnote w:id="16">
    <w:p w14:paraId="7299600B" w14:textId="57C7BC34" w:rsidR="009A10B4" w:rsidRPr="009A10B4" w:rsidRDefault="009A10B4" w:rsidP="0008518B">
      <w:pPr>
        <w:pStyle w:val="FootnoteText"/>
        <w:jc w:val="both"/>
      </w:pPr>
      <w:r>
        <w:rPr>
          <w:szCs w:val="18"/>
          <w:lang w:val="en-US"/>
        </w:rPr>
        <w:tab/>
      </w:r>
      <w:r w:rsidRPr="00D86EE9">
        <w:rPr>
          <w:rStyle w:val="FootnoteReference"/>
          <w:szCs w:val="18"/>
        </w:rPr>
        <w:footnoteRef/>
      </w:r>
      <w:r>
        <w:rPr>
          <w:szCs w:val="18"/>
          <w:lang w:val="en-US"/>
        </w:rPr>
        <w:tab/>
      </w:r>
      <w:r w:rsidRPr="009A10B4">
        <w:t xml:space="preserve">ECtHR 26 </w:t>
      </w:r>
      <w:proofErr w:type="spellStart"/>
      <w:r w:rsidRPr="009A10B4">
        <w:t>juli</w:t>
      </w:r>
      <w:proofErr w:type="spellEnd"/>
      <w:r w:rsidRPr="009A10B4">
        <w:t xml:space="preserve"> 2005, </w:t>
      </w:r>
      <w:proofErr w:type="spellStart"/>
      <w:r w:rsidRPr="005B3BC9">
        <w:rPr>
          <w:i/>
        </w:rPr>
        <w:t>Siliadin</w:t>
      </w:r>
      <w:proofErr w:type="spellEnd"/>
      <w:r w:rsidRPr="005B3BC9">
        <w:rPr>
          <w:i/>
        </w:rPr>
        <w:t xml:space="preserve"> v. France</w:t>
      </w:r>
      <w:r w:rsidRPr="009A10B4">
        <w:t xml:space="preserve"> (73316/01).</w:t>
      </w:r>
    </w:p>
  </w:footnote>
  <w:footnote w:id="17">
    <w:p w14:paraId="01068C32" w14:textId="009A1B30" w:rsidR="009A10B4" w:rsidRPr="009A10B4" w:rsidRDefault="009A10B4" w:rsidP="0008518B">
      <w:pPr>
        <w:pStyle w:val="FootnoteText"/>
        <w:jc w:val="both"/>
      </w:pPr>
      <w:r>
        <w:tab/>
      </w:r>
      <w:r w:rsidRPr="005B3BC9">
        <w:rPr>
          <w:vertAlign w:val="superscript"/>
        </w:rPr>
        <w:footnoteRef/>
      </w:r>
      <w:r>
        <w:tab/>
      </w:r>
      <w:r w:rsidRPr="009A10B4">
        <w:t>The Hague District Court 7 December 2007, ECLI:NL:</w:t>
      </w:r>
      <w:r w:rsidR="00E50AB0">
        <w:t xml:space="preserve"> </w:t>
      </w:r>
      <w:r w:rsidRPr="009A10B4">
        <w:t>RBSGR:</w:t>
      </w:r>
      <w:proofErr w:type="gramStart"/>
      <w:r w:rsidRPr="009A10B4">
        <w:t>2007:BC</w:t>
      </w:r>
      <w:proofErr w:type="gramEnd"/>
      <w:r w:rsidRPr="009A10B4">
        <w:t>1195.</w:t>
      </w:r>
    </w:p>
  </w:footnote>
  <w:footnote w:id="18">
    <w:p w14:paraId="2961214F" w14:textId="2396AE75" w:rsidR="009A10B4" w:rsidRPr="009A10B4" w:rsidRDefault="009A10B4" w:rsidP="0008518B">
      <w:pPr>
        <w:pStyle w:val="FootnoteText"/>
        <w:jc w:val="both"/>
      </w:pPr>
      <w:r>
        <w:tab/>
      </w:r>
      <w:r w:rsidRPr="005B3BC9">
        <w:rPr>
          <w:vertAlign w:val="superscript"/>
        </w:rPr>
        <w:footnoteRef/>
      </w:r>
      <w:r>
        <w:tab/>
      </w:r>
      <w:r w:rsidRPr="009A10B4">
        <w:t xml:space="preserve">EHRM 26 July 2005, </w:t>
      </w:r>
      <w:proofErr w:type="spellStart"/>
      <w:r w:rsidRPr="005B3BC9">
        <w:rPr>
          <w:i/>
        </w:rPr>
        <w:t>Siliadin</w:t>
      </w:r>
      <w:proofErr w:type="spellEnd"/>
      <w:r w:rsidRPr="005B3BC9">
        <w:rPr>
          <w:i/>
        </w:rPr>
        <w:t xml:space="preserve"> v. France</w:t>
      </w:r>
      <w:r w:rsidRPr="009A10B4">
        <w:t xml:space="preserve"> (73316/01) and 13 November 2012, </w:t>
      </w:r>
      <w:r w:rsidRPr="005B3BC9">
        <w:rPr>
          <w:i/>
        </w:rPr>
        <w:t>C.N. v. the United Kingdom</w:t>
      </w:r>
      <w:r w:rsidRPr="009A10B4">
        <w:t xml:space="preserve"> (4239/08).</w:t>
      </w:r>
    </w:p>
  </w:footnote>
  <w:footnote w:id="19">
    <w:p w14:paraId="733D19ED" w14:textId="6924C919" w:rsidR="009A10B4" w:rsidRPr="009A10B4" w:rsidRDefault="009A10B4" w:rsidP="0008518B">
      <w:pPr>
        <w:pStyle w:val="FootnoteText"/>
        <w:jc w:val="both"/>
      </w:pPr>
      <w:r>
        <w:tab/>
      </w:r>
      <w:r w:rsidRPr="005B3BC9">
        <w:rPr>
          <w:vertAlign w:val="superscript"/>
        </w:rPr>
        <w:footnoteRef/>
      </w:r>
      <w:r>
        <w:tab/>
      </w:r>
      <w:r w:rsidRPr="009A10B4">
        <w:t xml:space="preserve">Human Rights Committee, </w:t>
      </w:r>
      <w:proofErr w:type="spellStart"/>
      <w:r w:rsidRPr="009A10B4">
        <w:t>Kazantzis</w:t>
      </w:r>
      <w:proofErr w:type="spellEnd"/>
      <w:r w:rsidRPr="009A10B4">
        <w:t xml:space="preserve"> v. Cyprus (972/01), para 6.6.</w:t>
      </w:r>
    </w:p>
  </w:footnote>
  <w:footnote w:id="20">
    <w:p w14:paraId="418F1944" w14:textId="5D29D461" w:rsidR="009A10B4" w:rsidRPr="009A10B4" w:rsidRDefault="005B3BC9" w:rsidP="0008518B">
      <w:pPr>
        <w:pStyle w:val="FootnoteText"/>
        <w:jc w:val="both"/>
      </w:pPr>
      <w:r>
        <w:tab/>
      </w:r>
      <w:r w:rsidR="009A10B4" w:rsidRPr="005B3BC9">
        <w:rPr>
          <w:vertAlign w:val="superscript"/>
        </w:rPr>
        <w:footnoteRef/>
      </w:r>
      <w:r w:rsidR="009A10B4" w:rsidRPr="005B3BC9">
        <w:rPr>
          <w:vertAlign w:val="superscript"/>
        </w:rPr>
        <w:tab/>
      </w:r>
      <w:r w:rsidR="009A10B4" w:rsidRPr="009A10B4">
        <w:t xml:space="preserve">Communication no. 1885/2009, Horvath v. Australia, Views adopted on 27 March 2014, para </w:t>
      </w:r>
      <w:proofErr w:type="gramStart"/>
      <w:r w:rsidR="009A10B4" w:rsidRPr="009A10B4">
        <w:t>8.2 :</w:t>
      </w:r>
      <w:proofErr w:type="gramEnd"/>
      <w:r w:rsidR="009A10B4" w:rsidRPr="009A10B4">
        <w:t xml:space="preserve"> “</w:t>
      </w:r>
      <w:r w:rsidR="009A10B4" w:rsidRPr="005B3BC9">
        <w:rPr>
          <w:i/>
        </w:rPr>
        <w:t>article 2, paragraph 3, of the Covenant does not impose on States parties any particular form of remedy and that the Covenant does not provide a right for individuals to require that the State criminally prosecute a third party. However, article 2, paragraph 3, does impose on States parties the obligation to investigate allegations of violations promptly, thoroughly and effectively through independent and impartial bodies.</w:t>
      </w:r>
      <w:r w:rsidR="009A10B4" w:rsidRPr="009A10B4">
        <w:t xml:space="preserve">” See also Communication no. 563/1993, </w:t>
      </w:r>
      <w:r w:rsidR="009A10B4" w:rsidRPr="005B3BC9">
        <w:rPr>
          <w:i/>
        </w:rPr>
        <w:t xml:space="preserve">Bautista de </w:t>
      </w:r>
      <w:proofErr w:type="spellStart"/>
      <w:r w:rsidR="009A10B4" w:rsidRPr="005B3BC9">
        <w:rPr>
          <w:i/>
        </w:rPr>
        <w:t>Arellana</w:t>
      </w:r>
      <w:proofErr w:type="spellEnd"/>
      <w:r w:rsidR="009A10B4" w:rsidRPr="005B3BC9">
        <w:rPr>
          <w:i/>
        </w:rPr>
        <w:t xml:space="preserve"> v. Colombia,</w:t>
      </w:r>
      <w:r w:rsidR="009A10B4" w:rsidRPr="009A10B4">
        <w:t xml:space="preserve"> Views adopted on 27 October 1995, para. 8.6. See also General Comment No. 31 (2004) on the Nature of the General Legal Obligation Imposed on States Parties to the Covenant, para. 15.</w:t>
      </w:r>
    </w:p>
  </w:footnote>
  <w:footnote w:id="21">
    <w:p w14:paraId="37DA272D" w14:textId="36ABCD97" w:rsidR="00772146" w:rsidRPr="00772146" w:rsidRDefault="00772146" w:rsidP="0008518B">
      <w:pPr>
        <w:pStyle w:val="FootnoteText"/>
        <w:jc w:val="both"/>
        <w:rPr>
          <w:szCs w:val="18"/>
        </w:rPr>
      </w:pPr>
      <w:r>
        <w:tab/>
      </w:r>
      <w:r>
        <w:rPr>
          <w:rStyle w:val="FootnoteReference"/>
        </w:rPr>
        <w:footnoteRef/>
      </w:r>
      <w:r>
        <w:tab/>
      </w:r>
      <w:r w:rsidRPr="00772146">
        <w:rPr>
          <w:szCs w:val="18"/>
        </w:rPr>
        <w:t xml:space="preserve">European Court of Human Rights, S.M. v. Croatia, 19 </w:t>
      </w:r>
      <w:r>
        <w:rPr>
          <w:szCs w:val="18"/>
        </w:rPr>
        <w:t>July 2018, no. 60561/14, par 75.</w:t>
      </w:r>
    </w:p>
  </w:footnote>
  <w:footnote w:id="22">
    <w:p w14:paraId="0A850059" w14:textId="0B41889F" w:rsidR="00DF08D0" w:rsidRPr="00DF08D0" w:rsidRDefault="00DF08D0" w:rsidP="0008518B">
      <w:pPr>
        <w:pStyle w:val="FootnoteText"/>
        <w:jc w:val="both"/>
        <w:rPr>
          <w:szCs w:val="18"/>
        </w:rPr>
      </w:pPr>
      <w:r>
        <w:tab/>
      </w:r>
      <w:r>
        <w:rPr>
          <w:rStyle w:val="FootnoteReference"/>
        </w:rPr>
        <w:footnoteRef/>
      </w:r>
      <w:r>
        <w:tab/>
      </w:r>
      <w:r w:rsidRPr="00DF08D0">
        <w:rPr>
          <w:szCs w:val="18"/>
        </w:rPr>
        <w:t xml:space="preserve">Human Rights Committee, </w:t>
      </w:r>
      <w:r w:rsidRPr="00DF08D0">
        <w:rPr>
          <w:i/>
          <w:iCs/>
          <w:szCs w:val="18"/>
        </w:rPr>
        <w:t>Faure vs Australia</w:t>
      </w:r>
      <w:r w:rsidRPr="00DF08D0">
        <w:rPr>
          <w:szCs w:val="18"/>
        </w:rPr>
        <w:t xml:space="preserve">, Communication </w:t>
      </w:r>
      <w:r>
        <w:rPr>
          <w:szCs w:val="18"/>
        </w:rPr>
        <w:t>n</w:t>
      </w:r>
      <w:r w:rsidR="00EF02D0">
        <w:rPr>
          <w:szCs w:val="18"/>
        </w:rPr>
        <w:t>o. 1036/2001, 23 November 2005.</w:t>
      </w:r>
    </w:p>
  </w:footnote>
  <w:footnote w:id="23">
    <w:p w14:paraId="42190818" w14:textId="5DB97A00" w:rsidR="002F29D8" w:rsidRPr="00F95A0F" w:rsidRDefault="002F29D8">
      <w:pPr>
        <w:pStyle w:val="FootnoteText"/>
      </w:pPr>
      <w:r>
        <w:tab/>
      </w:r>
      <w:r>
        <w:rPr>
          <w:rStyle w:val="FootnoteReference"/>
        </w:rPr>
        <w:footnoteRef/>
      </w:r>
      <w:r>
        <w:tab/>
      </w:r>
      <w:r w:rsidRPr="00267B33">
        <w:rPr>
          <w:i/>
          <w:iCs/>
        </w:rPr>
        <w:t>Op. cit.</w:t>
      </w:r>
      <w:r w:rsidRPr="00F95A0F">
        <w:t xml:space="preserve"> </w:t>
      </w:r>
    </w:p>
  </w:footnote>
  <w:footnote w:id="24">
    <w:p w14:paraId="2AF05A74" w14:textId="1EF818BD" w:rsidR="00BF6D15" w:rsidRPr="00BF6D15" w:rsidRDefault="00BF6D15" w:rsidP="0008518B">
      <w:pPr>
        <w:pStyle w:val="FootnoteText"/>
        <w:jc w:val="both"/>
        <w:rPr>
          <w:szCs w:val="18"/>
        </w:rPr>
      </w:pPr>
      <w:r>
        <w:rPr>
          <w:szCs w:val="18"/>
        </w:rPr>
        <w:tab/>
      </w:r>
      <w:r w:rsidRPr="00BF6D15">
        <w:rPr>
          <w:rStyle w:val="FootnoteReference"/>
          <w:szCs w:val="18"/>
        </w:rPr>
        <w:footnoteRef/>
      </w:r>
      <w:r>
        <w:rPr>
          <w:szCs w:val="18"/>
        </w:rPr>
        <w:tab/>
      </w:r>
      <w:r w:rsidRPr="00BF6D15">
        <w:rPr>
          <w:szCs w:val="18"/>
        </w:rPr>
        <w:t xml:space="preserve">Supreme Court of The Netherlands, </w:t>
      </w:r>
      <w:r w:rsidRPr="00BF6D15">
        <w:rPr>
          <w:i/>
          <w:iCs/>
          <w:szCs w:val="18"/>
        </w:rPr>
        <w:t xml:space="preserve">Chinese </w:t>
      </w:r>
      <w:proofErr w:type="spellStart"/>
      <w:r w:rsidRPr="00BF6D15">
        <w:rPr>
          <w:szCs w:val="18"/>
        </w:rPr>
        <w:t>Horeca</w:t>
      </w:r>
      <w:proofErr w:type="spellEnd"/>
      <w:r w:rsidRPr="00BF6D15">
        <w:rPr>
          <w:szCs w:val="18"/>
        </w:rPr>
        <w:t>, 27 October 2009, ECLI</w:t>
      </w:r>
      <w:r w:rsidR="00E50AB0">
        <w:rPr>
          <w:szCs w:val="18"/>
        </w:rPr>
        <w:t>:NL:HR: 2009:BI7097, par. 2.4.2.</w:t>
      </w:r>
    </w:p>
  </w:footnote>
  <w:footnote w:id="25">
    <w:p w14:paraId="1D83891D" w14:textId="2F0609C0" w:rsidR="007C6EF7" w:rsidRPr="00F62DA6" w:rsidRDefault="00F62DA6" w:rsidP="0008518B">
      <w:pPr>
        <w:pStyle w:val="FootnoteText"/>
        <w:jc w:val="both"/>
        <w:rPr>
          <w:lang w:val="en-US"/>
        </w:rPr>
      </w:pPr>
      <w:r>
        <w:rPr>
          <w:lang w:val="en-US"/>
        </w:rPr>
        <w:tab/>
      </w:r>
      <w:r w:rsidR="007C6EF7">
        <w:rPr>
          <w:rStyle w:val="FootnoteReference"/>
        </w:rPr>
        <w:footnoteRef/>
      </w:r>
      <w:r>
        <w:rPr>
          <w:lang w:val="en-US"/>
        </w:rPr>
        <w:tab/>
      </w:r>
      <w:r w:rsidR="007C6EF7" w:rsidRPr="00F62DA6">
        <w:rPr>
          <w:szCs w:val="18"/>
          <w:lang w:val="en-US"/>
        </w:rPr>
        <w:t xml:space="preserve">ECtHR (First Section) </w:t>
      </w:r>
      <w:r w:rsidR="007C6EF7" w:rsidRPr="00F62DA6">
        <w:rPr>
          <w:i/>
          <w:iCs/>
          <w:szCs w:val="18"/>
          <w:lang w:val="en-US"/>
        </w:rPr>
        <w:t>S.M. v. Croatia</w:t>
      </w:r>
      <w:r w:rsidR="007C6EF7" w:rsidRPr="00F62DA6">
        <w:rPr>
          <w:szCs w:val="18"/>
          <w:lang w:val="en-US"/>
        </w:rPr>
        <w:t>, 19 July 2018, 60561/14.</w:t>
      </w:r>
    </w:p>
  </w:footnote>
  <w:footnote w:id="26">
    <w:p w14:paraId="71809B6A" w14:textId="41CF3D52" w:rsidR="001D5166" w:rsidRPr="001D5166" w:rsidRDefault="001D5166" w:rsidP="0008518B">
      <w:pPr>
        <w:pStyle w:val="FootnoteText"/>
        <w:jc w:val="both"/>
      </w:pPr>
      <w:r>
        <w:rPr>
          <w:lang w:val="en-US"/>
        </w:rPr>
        <w:tab/>
      </w:r>
      <w:r>
        <w:rPr>
          <w:rStyle w:val="FootnoteReference"/>
        </w:rPr>
        <w:footnoteRef/>
      </w:r>
      <w:r>
        <w:tab/>
      </w:r>
      <w:r w:rsidRPr="0065270F">
        <w:rPr>
          <w:lang w:val="en-US"/>
        </w:rPr>
        <w:t xml:space="preserve">European Court of Human Rights, </w:t>
      </w:r>
      <w:proofErr w:type="spellStart"/>
      <w:r w:rsidRPr="0065270F">
        <w:rPr>
          <w:i/>
          <w:iCs/>
          <w:lang w:val="en-US"/>
        </w:rPr>
        <w:t>Rantsev</w:t>
      </w:r>
      <w:proofErr w:type="spellEnd"/>
      <w:r w:rsidRPr="0065270F">
        <w:rPr>
          <w:i/>
          <w:iCs/>
          <w:lang w:val="en-US"/>
        </w:rPr>
        <w:t xml:space="preserve"> v. Cyprus and Russia, </w:t>
      </w:r>
      <w:r>
        <w:rPr>
          <w:lang w:val="en-US"/>
        </w:rPr>
        <w:t xml:space="preserve">7 January 2010, no. 25965/04; </w:t>
      </w:r>
      <w:r w:rsidRPr="007F3F32">
        <w:rPr>
          <w:lang w:val="en-US"/>
        </w:rPr>
        <w:t xml:space="preserve">European Court of Human Rights, </w:t>
      </w:r>
      <w:proofErr w:type="spellStart"/>
      <w:r w:rsidRPr="007F3F32">
        <w:rPr>
          <w:i/>
          <w:iCs/>
          <w:lang w:val="en-US"/>
        </w:rPr>
        <w:t>Siliadin</w:t>
      </w:r>
      <w:proofErr w:type="spellEnd"/>
      <w:r w:rsidRPr="007F3F32">
        <w:rPr>
          <w:i/>
          <w:iCs/>
          <w:lang w:val="en-US"/>
        </w:rPr>
        <w:t xml:space="preserve"> v. France, </w:t>
      </w:r>
      <w:r>
        <w:rPr>
          <w:lang w:val="en-US"/>
        </w:rPr>
        <w:t xml:space="preserve">26 October 2005, no. 73316/01; </w:t>
      </w:r>
      <w:r w:rsidRPr="007F3F32">
        <w:rPr>
          <w:lang w:val="en-US"/>
        </w:rPr>
        <w:t xml:space="preserve">European Court of Human Rights, </w:t>
      </w:r>
      <w:r w:rsidRPr="007F3F32">
        <w:rPr>
          <w:i/>
          <w:iCs/>
          <w:lang w:val="en-US"/>
        </w:rPr>
        <w:t>S.M. v. Croatia</w:t>
      </w:r>
      <w:r w:rsidRPr="007F3F32">
        <w:rPr>
          <w:lang w:val="en-US"/>
        </w:rPr>
        <w:t>, 19 July 2018, no. 60561/14</w:t>
      </w:r>
      <w:r w:rsidR="00CA7541">
        <w:rPr>
          <w:lang w:val="en-US"/>
        </w:rPr>
        <w:t>.</w:t>
      </w:r>
    </w:p>
  </w:footnote>
  <w:footnote w:id="27">
    <w:p w14:paraId="3906F76E" w14:textId="42128689" w:rsidR="001D5166" w:rsidRPr="00E11FB2" w:rsidRDefault="0008518B" w:rsidP="0008518B">
      <w:pPr>
        <w:pStyle w:val="FootnoteText"/>
        <w:jc w:val="both"/>
        <w:rPr>
          <w:lang w:val="en-US"/>
        </w:rPr>
      </w:pPr>
      <w:r>
        <w:rPr>
          <w:lang w:val="en-US"/>
        </w:rPr>
        <w:tab/>
      </w:r>
      <w:r w:rsidR="001D5166">
        <w:rPr>
          <w:rStyle w:val="FootnoteReference"/>
        </w:rPr>
        <w:footnoteRef/>
      </w:r>
      <w:r>
        <w:rPr>
          <w:lang w:val="en-US"/>
        </w:rPr>
        <w:tab/>
      </w:r>
      <w:r w:rsidR="001D5166" w:rsidRPr="00E11FB2">
        <w:rPr>
          <w:lang w:val="en-US"/>
        </w:rPr>
        <w:t>ECHR 13 November 2012, ECLI: CE: ECHR: 2012: 1113JUD00042</w:t>
      </w:r>
      <w:r w:rsidR="00E50AB0">
        <w:rPr>
          <w:lang w:val="en-US"/>
        </w:rPr>
        <w:t xml:space="preserve">3908 </w:t>
      </w:r>
      <w:proofErr w:type="gramStart"/>
      <w:r w:rsidR="00E50AB0">
        <w:rPr>
          <w:lang w:val="en-US"/>
        </w:rPr>
        <w:t>( CN</w:t>
      </w:r>
      <w:proofErr w:type="gramEnd"/>
      <w:r w:rsidR="00E50AB0">
        <w:rPr>
          <w:lang w:val="en-US"/>
        </w:rPr>
        <w:t xml:space="preserve"> t. The United Kingdom</w:t>
      </w:r>
      <w:r w:rsidR="001D5166" w:rsidRPr="00E11FB2">
        <w:rPr>
          <w:lang w:val="en-US"/>
        </w:rPr>
        <w:t>), paragraph 80; WA Schabas, The European Convention on Human Rights: A Commentary (OUP, 2015), p. 210.</w:t>
      </w:r>
    </w:p>
  </w:footnote>
  <w:footnote w:id="28">
    <w:p w14:paraId="5548A0BA" w14:textId="68A364DC" w:rsidR="00690686" w:rsidRPr="008943DE" w:rsidRDefault="00690686" w:rsidP="00690686">
      <w:pPr>
        <w:pStyle w:val="FootnoteText"/>
        <w:jc w:val="both"/>
      </w:pPr>
      <w:r>
        <w:tab/>
      </w:r>
      <w:r w:rsidRPr="00322387">
        <w:rPr>
          <w:rStyle w:val="FootnoteReference"/>
          <w:szCs w:val="18"/>
        </w:rPr>
        <w:footnoteRef/>
      </w:r>
      <w:r>
        <w:tab/>
      </w:r>
      <w:r w:rsidRPr="00690686">
        <w:t xml:space="preserve">See communications No. 541/1993, </w:t>
      </w:r>
      <w:r w:rsidRPr="00690686">
        <w:rPr>
          <w:i/>
        </w:rPr>
        <w:t>Errol Simms v. Jamaica</w:t>
      </w:r>
      <w:r w:rsidRPr="00690686">
        <w:t xml:space="preserve">, decision of 3 April 1995, paragraph 6.2; 1138/2002, </w:t>
      </w:r>
      <w:proofErr w:type="spellStart"/>
      <w:r w:rsidRPr="00690686">
        <w:rPr>
          <w:i/>
        </w:rPr>
        <w:t>Arenz</w:t>
      </w:r>
      <w:proofErr w:type="spellEnd"/>
      <w:r w:rsidRPr="00690686">
        <w:rPr>
          <w:i/>
        </w:rPr>
        <w:t xml:space="preserve"> et al. v. Germany</w:t>
      </w:r>
      <w:r w:rsidRPr="00690686">
        <w:t xml:space="preserve">, decision of 24 March 2004, paragraph 8.6; 917/2000, </w:t>
      </w:r>
      <w:proofErr w:type="spellStart"/>
      <w:r w:rsidRPr="00690686">
        <w:rPr>
          <w:i/>
        </w:rPr>
        <w:t>Arutyunyan</w:t>
      </w:r>
      <w:proofErr w:type="spellEnd"/>
      <w:r w:rsidRPr="00690686">
        <w:rPr>
          <w:i/>
        </w:rPr>
        <w:t xml:space="preserve"> v. Uzbekistan</w:t>
      </w:r>
      <w:r w:rsidRPr="00690686">
        <w:t xml:space="preserve">, Views of 29 March 2004, paragraph 5.7; 1528/2006, </w:t>
      </w:r>
      <w:r w:rsidRPr="00690686">
        <w:rPr>
          <w:i/>
        </w:rPr>
        <w:t>Fernández Murcia v. Spain</w:t>
      </w:r>
      <w:r w:rsidRPr="00690686">
        <w:t>, decision of 1 April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738A" w14:textId="26EE2051" w:rsidR="009A10B4" w:rsidRPr="00781C83" w:rsidRDefault="008A69DF" w:rsidP="000138CC">
    <w:pPr>
      <w:pStyle w:val="Header"/>
      <w:pBdr>
        <w:bottom w:val="single" w:sz="4" w:space="3" w:color="auto"/>
      </w:pBdr>
    </w:pPr>
    <w:r w:rsidRPr="008A69DF">
      <w:t>Advance unedited version</w:t>
    </w:r>
    <w:r>
      <w:t xml:space="preserve"> </w:t>
    </w:r>
    <w:r w:rsidR="009A10B4">
      <w:t>CCPR</w:t>
    </w:r>
    <w:r w:rsidR="009A10B4" w:rsidRPr="00607635">
      <w:t>/</w:t>
    </w:r>
    <w:r w:rsidR="009A10B4" w:rsidRPr="00415BA0">
      <w:t>C/1</w:t>
    </w:r>
    <w:r w:rsidR="00666B37">
      <w:t>30/D/3052</w:t>
    </w:r>
    <w:r w:rsidR="009A10B4" w:rsidRPr="00415BA0">
      <w:t>/201</w:t>
    </w:r>
    <w:r w:rsidR="00666B37">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900A" w14:textId="630E9C63" w:rsidR="009A10B4" w:rsidRPr="00781C83" w:rsidRDefault="008A69DF" w:rsidP="00D20975">
    <w:pPr>
      <w:pStyle w:val="Header"/>
      <w:pBdr>
        <w:bottom w:val="single" w:sz="4" w:space="3" w:color="auto"/>
      </w:pBdr>
      <w:jc w:val="right"/>
    </w:pPr>
    <w:r w:rsidRPr="008A69DF">
      <w:t>Advance unedited version</w:t>
    </w:r>
    <w:r>
      <w:t xml:space="preserve"> </w:t>
    </w:r>
    <w:r w:rsidR="009A10B4">
      <w:t>CCPR</w:t>
    </w:r>
    <w:r w:rsidR="009A10B4" w:rsidRPr="00607635">
      <w:t>/</w:t>
    </w:r>
    <w:r w:rsidR="009A10B4" w:rsidRPr="00415BA0">
      <w:t>C/1</w:t>
    </w:r>
    <w:r w:rsidR="00666B37">
      <w:t>30/D/3052</w:t>
    </w:r>
    <w:r w:rsidR="009A10B4" w:rsidRPr="00415BA0">
      <w:t>/201</w:t>
    </w:r>
    <w:r w:rsidR="00666B3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2F8D6FD9"/>
    <w:multiLevelType w:val="multilevel"/>
    <w:tmpl w:val="706A224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3F090062"/>
    <w:multiLevelType w:val="multilevel"/>
    <w:tmpl w:val="BDFCF20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392" w:hanging="990"/>
      </w:pPr>
      <w:rPr>
        <w:rFonts w:hint="default"/>
      </w:rPr>
    </w:lvl>
    <w:lvl w:ilvl="4">
      <w:start w:val="1"/>
      <w:numFmt w:val="decimal"/>
      <w:lvlText w:val="%1.%2.%3.%4.%5"/>
      <w:lvlJc w:val="left"/>
      <w:pPr>
        <w:ind w:left="5526" w:hanging="99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40570E50"/>
    <w:multiLevelType w:val="hybridMultilevel"/>
    <w:tmpl w:val="90EE908A"/>
    <w:lvl w:ilvl="0" w:tplc="B55C189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8"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83551"/>
    <w:multiLevelType w:val="hybridMultilevel"/>
    <w:tmpl w:val="A8A8E94A"/>
    <w:lvl w:ilvl="0" w:tplc="FB3027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9"/>
  </w:num>
  <w:num w:numId="3">
    <w:abstractNumId w:val="7"/>
  </w:num>
  <w:num w:numId="4">
    <w:abstractNumId w:val="1"/>
  </w:num>
  <w:num w:numId="5">
    <w:abstractNumId w:val="8"/>
  </w:num>
  <w:num w:numId="6">
    <w:abstractNumId w:val="11"/>
  </w:num>
  <w:num w:numId="7">
    <w:abstractNumId w:val="2"/>
  </w:num>
  <w:num w:numId="8">
    <w:abstractNumId w:val="6"/>
  </w:num>
  <w:num w:numId="9">
    <w:abstractNumId w:val="10"/>
  </w:num>
  <w:num w:numId="10">
    <w:abstractNumId w:val="3"/>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0922"/>
    <w:rsid w:val="00000EEF"/>
    <w:rsid w:val="00002773"/>
    <w:rsid w:val="000030DB"/>
    <w:rsid w:val="000042D4"/>
    <w:rsid w:val="000044E2"/>
    <w:rsid w:val="000047C6"/>
    <w:rsid w:val="000057C1"/>
    <w:rsid w:val="00005BD8"/>
    <w:rsid w:val="00006D75"/>
    <w:rsid w:val="00006F69"/>
    <w:rsid w:val="0000757A"/>
    <w:rsid w:val="00010484"/>
    <w:rsid w:val="00011916"/>
    <w:rsid w:val="000128E3"/>
    <w:rsid w:val="00012A71"/>
    <w:rsid w:val="000135C3"/>
    <w:rsid w:val="000138CC"/>
    <w:rsid w:val="00013B77"/>
    <w:rsid w:val="000178D8"/>
    <w:rsid w:val="000205BB"/>
    <w:rsid w:val="00020F51"/>
    <w:rsid w:val="0002111E"/>
    <w:rsid w:val="00021C46"/>
    <w:rsid w:val="00022268"/>
    <w:rsid w:val="000222FF"/>
    <w:rsid w:val="000227DC"/>
    <w:rsid w:val="00022CC7"/>
    <w:rsid w:val="00023962"/>
    <w:rsid w:val="00024133"/>
    <w:rsid w:val="000247C1"/>
    <w:rsid w:val="00024F18"/>
    <w:rsid w:val="00025269"/>
    <w:rsid w:val="00025370"/>
    <w:rsid w:val="00025418"/>
    <w:rsid w:val="00025856"/>
    <w:rsid w:val="000259F0"/>
    <w:rsid w:val="00025D41"/>
    <w:rsid w:val="00026933"/>
    <w:rsid w:val="00026B06"/>
    <w:rsid w:val="00027234"/>
    <w:rsid w:val="000272B3"/>
    <w:rsid w:val="00027A45"/>
    <w:rsid w:val="00027F17"/>
    <w:rsid w:val="00031D46"/>
    <w:rsid w:val="00031D9B"/>
    <w:rsid w:val="0003264B"/>
    <w:rsid w:val="00032A3A"/>
    <w:rsid w:val="0003387B"/>
    <w:rsid w:val="00033AC1"/>
    <w:rsid w:val="00033EE1"/>
    <w:rsid w:val="00034637"/>
    <w:rsid w:val="00034C24"/>
    <w:rsid w:val="00034DE4"/>
    <w:rsid w:val="00035994"/>
    <w:rsid w:val="00035F0E"/>
    <w:rsid w:val="0003684E"/>
    <w:rsid w:val="00036989"/>
    <w:rsid w:val="00036A96"/>
    <w:rsid w:val="00036D15"/>
    <w:rsid w:val="0003748E"/>
    <w:rsid w:val="00037807"/>
    <w:rsid w:val="0003789E"/>
    <w:rsid w:val="00037AD0"/>
    <w:rsid w:val="000404F2"/>
    <w:rsid w:val="0004092D"/>
    <w:rsid w:val="00040CAE"/>
    <w:rsid w:val="00041994"/>
    <w:rsid w:val="000419D2"/>
    <w:rsid w:val="00041D73"/>
    <w:rsid w:val="00042250"/>
    <w:rsid w:val="00044035"/>
    <w:rsid w:val="000444F2"/>
    <w:rsid w:val="000448FF"/>
    <w:rsid w:val="00044DAB"/>
    <w:rsid w:val="00044EE9"/>
    <w:rsid w:val="00050F6B"/>
    <w:rsid w:val="00052674"/>
    <w:rsid w:val="00053842"/>
    <w:rsid w:val="00053AFE"/>
    <w:rsid w:val="00053B87"/>
    <w:rsid w:val="00054535"/>
    <w:rsid w:val="00055096"/>
    <w:rsid w:val="000556EF"/>
    <w:rsid w:val="000564D0"/>
    <w:rsid w:val="0005688E"/>
    <w:rsid w:val="00056A8F"/>
    <w:rsid w:val="0005782B"/>
    <w:rsid w:val="00057E97"/>
    <w:rsid w:val="00057F1A"/>
    <w:rsid w:val="00060074"/>
    <w:rsid w:val="00060C3A"/>
    <w:rsid w:val="000627BE"/>
    <w:rsid w:val="00063B22"/>
    <w:rsid w:val="000643A4"/>
    <w:rsid w:val="00064419"/>
    <w:rsid w:val="00064B7C"/>
    <w:rsid w:val="00066476"/>
    <w:rsid w:val="00066DAF"/>
    <w:rsid w:val="00067250"/>
    <w:rsid w:val="0007010B"/>
    <w:rsid w:val="00070A29"/>
    <w:rsid w:val="00071DC6"/>
    <w:rsid w:val="00071FC0"/>
    <w:rsid w:val="00072306"/>
    <w:rsid w:val="000729A8"/>
    <w:rsid w:val="00072C8C"/>
    <w:rsid w:val="000733B5"/>
    <w:rsid w:val="00075179"/>
    <w:rsid w:val="0007521B"/>
    <w:rsid w:val="0007628F"/>
    <w:rsid w:val="00076926"/>
    <w:rsid w:val="000772FF"/>
    <w:rsid w:val="00077BC4"/>
    <w:rsid w:val="0008062E"/>
    <w:rsid w:val="00081815"/>
    <w:rsid w:val="00082318"/>
    <w:rsid w:val="0008278D"/>
    <w:rsid w:val="0008317C"/>
    <w:rsid w:val="00083322"/>
    <w:rsid w:val="000843D9"/>
    <w:rsid w:val="0008518B"/>
    <w:rsid w:val="0008635D"/>
    <w:rsid w:val="00090633"/>
    <w:rsid w:val="00090719"/>
    <w:rsid w:val="000908FA"/>
    <w:rsid w:val="000931C0"/>
    <w:rsid w:val="000936DF"/>
    <w:rsid w:val="00093C0B"/>
    <w:rsid w:val="00094298"/>
    <w:rsid w:val="00094C48"/>
    <w:rsid w:val="00094CF1"/>
    <w:rsid w:val="00095022"/>
    <w:rsid w:val="00095A5D"/>
    <w:rsid w:val="000970C1"/>
    <w:rsid w:val="0009731B"/>
    <w:rsid w:val="00097416"/>
    <w:rsid w:val="000974A1"/>
    <w:rsid w:val="00097C63"/>
    <w:rsid w:val="000A0A3D"/>
    <w:rsid w:val="000A0C63"/>
    <w:rsid w:val="000A16E1"/>
    <w:rsid w:val="000A2283"/>
    <w:rsid w:val="000A22AD"/>
    <w:rsid w:val="000A34F4"/>
    <w:rsid w:val="000A442E"/>
    <w:rsid w:val="000A44B4"/>
    <w:rsid w:val="000A50A8"/>
    <w:rsid w:val="000A6B47"/>
    <w:rsid w:val="000A7D92"/>
    <w:rsid w:val="000B175B"/>
    <w:rsid w:val="000B1788"/>
    <w:rsid w:val="000B1A95"/>
    <w:rsid w:val="000B1F33"/>
    <w:rsid w:val="000B258C"/>
    <w:rsid w:val="000B28ED"/>
    <w:rsid w:val="000B31F7"/>
    <w:rsid w:val="000B3A0F"/>
    <w:rsid w:val="000B3F69"/>
    <w:rsid w:val="000B4219"/>
    <w:rsid w:val="000B4A49"/>
    <w:rsid w:val="000B4EF7"/>
    <w:rsid w:val="000B6CA3"/>
    <w:rsid w:val="000B77CE"/>
    <w:rsid w:val="000B7D8E"/>
    <w:rsid w:val="000C0CFF"/>
    <w:rsid w:val="000C2128"/>
    <w:rsid w:val="000C2570"/>
    <w:rsid w:val="000C2A15"/>
    <w:rsid w:val="000C2C03"/>
    <w:rsid w:val="000C2D2E"/>
    <w:rsid w:val="000C2E06"/>
    <w:rsid w:val="000C35D3"/>
    <w:rsid w:val="000C4677"/>
    <w:rsid w:val="000C5799"/>
    <w:rsid w:val="000C61CB"/>
    <w:rsid w:val="000C6B9F"/>
    <w:rsid w:val="000C6F58"/>
    <w:rsid w:val="000C71A2"/>
    <w:rsid w:val="000C769F"/>
    <w:rsid w:val="000C7A6C"/>
    <w:rsid w:val="000C7C9A"/>
    <w:rsid w:val="000D0A22"/>
    <w:rsid w:val="000D0E46"/>
    <w:rsid w:val="000D1814"/>
    <w:rsid w:val="000D2956"/>
    <w:rsid w:val="000D2E31"/>
    <w:rsid w:val="000D4E61"/>
    <w:rsid w:val="000D6495"/>
    <w:rsid w:val="000D7119"/>
    <w:rsid w:val="000D71AC"/>
    <w:rsid w:val="000D7423"/>
    <w:rsid w:val="000D7AA1"/>
    <w:rsid w:val="000E0415"/>
    <w:rsid w:val="000E0A4F"/>
    <w:rsid w:val="000E0C6B"/>
    <w:rsid w:val="000E0E8E"/>
    <w:rsid w:val="000E10B6"/>
    <w:rsid w:val="000E133E"/>
    <w:rsid w:val="000E149A"/>
    <w:rsid w:val="000E17DB"/>
    <w:rsid w:val="000E2177"/>
    <w:rsid w:val="000E2BE1"/>
    <w:rsid w:val="000E3889"/>
    <w:rsid w:val="000E3D1D"/>
    <w:rsid w:val="000E42FA"/>
    <w:rsid w:val="000E4577"/>
    <w:rsid w:val="000E45DE"/>
    <w:rsid w:val="000E4735"/>
    <w:rsid w:val="000E536B"/>
    <w:rsid w:val="000E567F"/>
    <w:rsid w:val="000E5FA3"/>
    <w:rsid w:val="000E6135"/>
    <w:rsid w:val="000E645D"/>
    <w:rsid w:val="000E64F2"/>
    <w:rsid w:val="000E6AD2"/>
    <w:rsid w:val="000E7797"/>
    <w:rsid w:val="000E7B78"/>
    <w:rsid w:val="000E7D51"/>
    <w:rsid w:val="000F03D7"/>
    <w:rsid w:val="000F0C6A"/>
    <w:rsid w:val="000F0DAA"/>
    <w:rsid w:val="000F0FD4"/>
    <w:rsid w:val="000F11C7"/>
    <w:rsid w:val="000F14F5"/>
    <w:rsid w:val="000F1BE3"/>
    <w:rsid w:val="000F277A"/>
    <w:rsid w:val="000F2B93"/>
    <w:rsid w:val="000F2F0E"/>
    <w:rsid w:val="000F4E65"/>
    <w:rsid w:val="000F551B"/>
    <w:rsid w:val="000F570E"/>
    <w:rsid w:val="000F648B"/>
    <w:rsid w:val="000F64A9"/>
    <w:rsid w:val="000F691C"/>
    <w:rsid w:val="000F6BEA"/>
    <w:rsid w:val="000F76E4"/>
    <w:rsid w:val="000F76FA"/>
    <w:rsid w:val="000F77BB"/>
    <w:rsid w:val="000F7E69"/>
    <w:rsid w:val="001010EA"/>
    <w:rsid w:val="0010135A"/>
    <w:rsid w:val="00101383"/>
    <w:rsid w:val="001018A9"/>
    <w:rsid w:val="00102AC0"/>
    <w:rsid w:val="001037D9"/>
    <w:rsid w:val="00103A7A"/>
    <w:rsid w:val="00104C57"/>
    <w:rsid w:val="00104EB3"/>
    <w:rsid w:val="00106602"/>
    <w:rsid w:val="0010694D"/>
    <w:rsid w:val="001103AA"/>
    <w:rsid w:val="00110C53"/>
    <w:rsid w:val="0011184E"/>
    <w:rsid w:val="00111AAA"/>
    <w:rsid w:val="001135A4"/>
    <w:rsid w:val="00113D5A"/>
    <w:rsid w:val="00114AD2"/>
    <w:rsid w:val="00115B76"/>
    <w:rsid w:val="00115DDE"/>
    <w:rsid w:val="00117EA3"/>
    <w:rsid w:val="00120C74"/>
    <w:rsid w:val="00121531"/>
    <w:rsid w:val="00121F92"/>
    <w:rsid w:val="00122A54"/>
    <w:rsid w:val="00123048"/>
    <w:rsid w:val="00123C95"/>
    <w:rsid w:val="00124014"/>
    <w:rsid w:val="00124442"/>
    <w:rsid w:val="001245B3"/>
    <w:rsid w:val="00124EA1"/>
    <w:rsid w:val="00125231"/>
    <w:rsid w:val="001252BD"/>
    <w:rsid w:val="00125565"/>
    <w:rsid w:val="00125C47"/>
    <w:rsid w:val="00125DB6"/>
    <w:rsid w:val="00127A10"/>
    <w:rsid w:val="001306DD"/>
    <w:rsid w:val="0013235B"/>
    <w:rsid w:val="00132519"/>
    <w:rsid w:val="00132572"/>
    <w:rsid w:val="00132619"/>
    <w:rsid w:val="00132866"/>
    <w:rsid w:val="00132E4D"/>
    <w:rsid w:val="00133611"/>
    <w:rsid w:val="00133871"/>
    <w:rsid w:val="00133C93"/>
    <w:rsid w:val="00133E77"/>
    <w:rsid w:val="00134638"/>
    <w:rsid w:val="0013537A"/>
    <w:rsid w:val="0013670D"/>
    <w:rsid w:val="00136E26"/>
    <w:rsid w:val="00142286"/>
    <w:rsid w:val="00142631"/>
    <w:rsid w:val="00143694"/>
    <w:rsid w:val="00145CA7"/>
    <w:rsid w:val="00146792"/>
    <w:rsid w:val="00147EEF"/>
    <w:rsid w:val="0015032A"/>
    <w:rsid w:val="001518AB"/>
    <w:rsid w:val="00151CCD"/>
    <w:rsid w:val="001521C6"/>
    <w:rsid w:val="00152544"/>
    <w:rsid w:val="001530E0"/>
    <w:rsid w:val="00153530"/>
    <w:rsid w:val="00154F56"/>
    <w:rsid w:val="0015515E"/>
    <w:rsid w:val="001555C5"/>
    <w:rsid w:val="001561BD"/>
    <w:rsid w:val="001561FA"/>
    <w:rsid w:val="00156376"/>
    <w:rsid w:val="00157DFB"/>
    <w:rsid w:val="00160B02"/>
    <w:rsid w:val="00160C53"/>
    <w:rsid w:val="00160FB9"/>
    <w:rsid w:val="00161364"/>
    <w:rsid w:val="00161677"/>
    <w:rsid w:val="00161B02"/>
    <w:rsid w:val="00161BAD"/>
    <w:rsid w:val="00161C6C"/>
    <w:rsid w:val="00163612"/>
    <w:rsid w:val="001649C8"/>
    <w:rsid w:val="00164A57"/>
    <w:rsid w:val="001656C9"/>
    <w:rsid w:val="00165896"/>
    <w:rsid w:val="00165A24"/>
    <w:rsid w:val="00165F3A"/>
    <w:rsid w:val="00166116"/>
    <w:rsid w:val="00166CA8"/>
    <w:rsid w:val="001676A8"/>
    <w:rsid w:val="00167A25"/>
    <w:rsid w:val="00167D31"/>
    <w:rsid w:val="00170114"/>
    <w:rsid w:val="00171C45"/>
    <w:rsid w:val="00172340"/>
    <w:rsid w:val="0017277A"/>
    <w:rsid w:val="00172B2B"/>
    <w:rsid w:val="00172BF2"/>
    <w:rsid w:val="00172E95"/>
    <w:rsid w:val="00173A07"/>
    <w:rsid w:val="00174D56"/>
    <w:rsid w:val="0017551B"/>
    <w:rsid w:val="0017553F"/>
    <w:rsid w:val="00175A42"/>
    <w:rsid w:val="00175A57"/>
    <w:rsid w:val="0017676A"/>
    <w:rsid w:val="00176BF6"/>
    <w:rsid w:val="00176FE1"/>
    <w:rsid w:val="00177A2D"/>
    <w:rsid w:val="0018052F"/>
    <w:rsid w:val="00182A46"/>
    <w:rsid w:val="00183968"/>
    <w:rsid w:val="00184114"/>
    <w:rsid w:val="00185588"/>
    <w:rsid w:val="00186149"/>
    <w:rsid w:val="00186F6A"/>
    <w:rsid w:val="00187643"/>
    <w:rsid w:val="00187ACB"/>
    <w:rsid w:val="00190D16"/>
    <w:rsid w:val="00193B80"/>
    <w:rsid w:val="0019468C"/>
    <w:rsid w:val="001948F3"/>
    <w:rsid w:val="00194C49"/>
    <w:rsid w:val="00194E30"/>
    <w:rsid w:val="00195FA5"/>
    <w:rsid w:val="001960AA"/>
    <w:rsid w:val="00196CDF"/>
    <w:rsid w:val="001975D8"/>
    <w:rsid w:val="001A079F"/>
    <w:rsid w:val="001A09DE"/>
    <w:rsid w:val="001A149B"/>
    <w:rsid w:val="001A157C"/>
    <w:rsid w:val="001A188E"/>
    <w:rsid w:val="001A18B6"/>
    <w:rsid w:val="001A2576"/>
    <w:rsid w:val="001A2E0B"/>
    <w:rsid w:val="001A306F"/>
    <w:rsid w:val="001A30F9"/>
    <w:rsid w:val="001A351F"/>
    <w:rsid w:val="001A3835"/>
    <w:rsid w:val="001A40B1"/>
    <w:rsid w:val="001A44F4"/>
    <w:rsid w:val="001A4514"/>
    <w:rsid w:val="001A457F"/>
    <w:rsid w:val="001A5755"/>
    <w:rsid w:val="001A58D1"/>
    <w:rsid w:val="001A5E9D"/>
    <w:rsid w:val="001A62D6"/>
    <w:rsid w:val="001A660B"/>
    <w:rsid w:val="001A6686"/>
    <w:rsid w:val="001A6E68"/>
    <w:rsid w:val="001A708D"/>
    <w:rsid w:val="001A723C"/>
    <w:rsid w:val="001A7754"/>
    <w:rsid w:val="001B03E8"/>
    <w:rsid w:val="001B0DF4"/>
    <w:rsid w:val="001B1953"/>
    <w:rsid w:val="001B3350"/>
    <w:rsid w:val="001B3458"/>
    <w:rsid w:val="001B3687"/>
    <w:rsid w:val="001B368C"/>
    <w:rsid w:val="001B400C"/>
    <w:rsid w:val="001B4041"/>
    <w:rsid w:val="001B4B04"/>
    <w:rsid w:val="001B4F6A"/>
    <w:rsid w:val="001B4F72"/>
    <w:rsid w:val="001B55BE"/>
    <w:rsid w:val="001B734D"/>
    <w:rsid w:val="001B76EF"/>
    <w:rsid w:val="001B7C14"/>
    <w:rsid w:val="001B7CF6"/>
    <w:rsid w:val="001C17B8"/>
    <w:rsid w:val="001C234D"/>
    <w:rsid w:val="001C276E"/>
    <w:rsid w:val="001C326D"/>
    <w:rsid w:val="001C538B"/>
    <w:rsid w:val="001C6016"/>
    <w:rsid w:val="001C63FD"/>
    <w:rsid w:val="001C657F"/>
    <w:rsid w:val="001C6663"/>
    <w:rsid w:val="001C6B47"/>
    <w:rsid w:val="001C7895"/>
    <w:rsid w:val="001C7D5C"/>
    <w:rsid w:val="001D04B8"/>
    <w:rsid w:val="001D0C8C"/>
    <w:rsid w:val="001D1780"/>
    <w:rsid w:val="001D1CA9"/>
    <w:rsid w:val="001D2097"/>
    <w:rsid w:val="001D26DF"/>
    <w:rsid w:val="001D2754"/>
    <w:rsid w:val="001D2861"/>
    <w:rsid w:val="001D35B5"/>
    <w:rsid w:val="001D384D"/>
    <w:rsid w:val="001D3A03"/>
    <w:rsid w:val="001D43D7"/>
    <w:rsid w:val="001D4B84"/>
    <w:rsid w:val="001D5166"/>
    <w:rsid w:val="001D5307"/>
    <w:rsid w:val="001D5C81"/>
    <w:rsid w:val="001D5EDF"/>
    <w:rsid w:val="001D6172"/>
    <w:rsid w:val="001D68E1"/>
    <w:rsid w:val="001D7BC0"/>
    <w:rsid w:val="001D7CD4"/>
    <w:rsid w:val="001E06D9"/>
    <w:rsid w:val="001E08F7"/>
    <w:rsid w:val="001E0966"/>
    <w:rsid w:val="001E10EC"/>
    <w:rsid w:val="001E1235"/>
    <w:rsid w:val="001E175D"/>
    <w:rsid w:val="001E1A5C"/>
    <w:rsid w:val="001E298B"/>
    <w:rsid w:val="001E333D"/>
    <w:rsid w:val="001E33AB"/>
    <w:rsid w:val="001E357C"/>
    <w:rsid w:val="001E3A36"/>
    <w:rsid w:val="001E4678"/>
    <w:rsid w:val="001E48A9"/>
    <w:rsid w:val="001E678B"/>
    <w:rsid w:val="001E6800"/>
    <w:rsid w:val="001E68DA"/>
    <w:rsid w:val="001E7D84"/>
    <w:rsid w:val="001F070F"/>
    <w:rsid w:val="001F11C8"/>
    <w:rsid w:val="001F2774"/>
    <w:rsid w:val="001F28A1"/>
    <w:rsid w:val="001F316D"/>
    <w:rsid w:val="001F468C"/>
    <w:rsid w:val="001F6654"/>
    <w:rsid w:val="001F740A"/>
    <w:rsid w:val="001F7D6C"/>
    <w:rsid w:val="001F7E1B"/>
    <w:rsid w:val="001F7FC8"/>
    <w:rsid w:val="00200A64"/>
    <w:rsid w:val="00200A6F"/>
    <w:rsid w:val="00200CC4"/>
    <w:rsid w:val="002012C3"/>
    <w:rsid w:val="00201391"/>
    <w:rsid w:val="00201A80"/>
    <w:rsid w:val="00202DA8"/>
    <w:rsid w:val="00203F3D"/>
    <w:rsid w:val="00204B6F"/>
    <w:rsid w:val="00205439"/>
    <w:rsid w:val="00205E43"/>
    <w:rsid w:val="002067B0"/>
    <w:rsid w:val="0020739A"/>
    <w:rsid w:val="002106BB"/>
    <w:rsid w:val="00210AE2"/>
    <w:rsid w:val="00210CE0"/>
    <w:rsid w:val="00211019"/>
    <w:rsid w:val="002111FD"/>
    <w:rsid w:val="002117EE"/>
    <w:rsid w:val="00211E0B"/>
    <w:rsid w:val="00212027"/>
    <w:rsid w:val="00212C3C"/>
    <w:rsid w:val="002130C2"/>
    <w:rsid w:val="002132D2"/>
    <w:rsid w:val="00213804"/>
    <w:rsid w:val="002140C2"/>
    <w:rsid w:val="00214843"/>
    <w:rsid w:val="00214B06"/>
    <w:rsid w:val="00215A4D"/>
    <w:rsid w:val="00216A79"/>
    <w:rsid w:val="00216D98"/>
    <w:rsid w:val="00217B98"/>
    <w:rsid w:val="00217CED"/>
    <w:rsid w:val="00217DDD"/>
    <w:rsid w:val="00220520"/>
    <w:rsid w:val="002206A9"/>
    <w:rsid w:val="002211BB"/>
    <w:rsid w:val="00221F27"/>
    <w:rsid w:val="00222072"/>
    <w:rsid w:val="0022219E"/>
    <w:rsid w:val="002222A7"/>
    <w:rsid w:val="00222DFC"/>
    <w:rsid w:val="00222F87"/>
    <w:rsid w:val="00223793"/>
    <w:rsid w:val="00223DFF"/>
    <w:rsid w:val="0022501D"/>
    <w:rsid w:val="0022665C"/>
    <w:rsid w:val="00226F53"/>
    <w:rsid w:val="00227C47"/>
    <w:rsid w:val="002302B0"/>
    <w:rsid w:val="00230568"/>
    <w:rsid w:val="00230CD2"/>
    <w:rsid w:val="002310A9"/>
    <w:rsid w:val="002313C7"/>
    <w:rsid w:val="00231675"/>
    <w:rsid w:val="00231C9F"/>
    <w:rsid w:val="0023210C"/>
    <w:rsid w:val="00232832"/>
    <w:rsid w:val="00232D9D"/>
    <w:rsid w:val="002353E0"/>
    <w:rsid w:val="00235CC1"/>
    <w:rsid w:val="00236BDC"/>
    <w:rsid w:val="00236C63"/>
    <w:rsid w:val="00236D66"/>
    <w:rsid w:val="00237834"/>
    <w:rsid w:val="00237DB3"/>
    <w:rsid w:val="00240D05"/>
    <w:rsid w:val="002414CD"/>
    <w:rsid w:val="00241D96"/>
    <w:rsid w:val="00243921"/>
    <w:rsid w:val="00243ABE"/>
    <w:rsid w:val="00243DD1"/>
    <w:rsid w:val="00244127"/>
    <w:rsid w:val="0024449C"/>
    <w:rsid w:val="00244A62"/>
    <w:rsid w:val="00244EDE"/>
    <w:rsid w:val="002450F8"/>
    <w:rsid w:val="00245DF8"/>
    <w:rsid w:val="00250361"/>
    <w:rsid w:val="0025119F"/>
    <w:rsid w:val="00252170"/>
    <w:rsid w:val="002527A3"/>
    <w:rsid w:val="00252BC3"/>
    <w:rsid w:val="00253A47"/>
    <w:rsid w:val="00253E54"/>
    <w:rsid w:val="00255D2B"/>
    <w:rsid w:val="002569AF"/>
    <w:rsid w:val="0025725A"/>
    <w:rsid w:val="00261714"/>
    <w:rsid w:val="00261F5D"/>
    <w:rsid w:val="00262CBA"/>
    <w:rsid w:val="00262F2B"/>
    <w:rsid w:val="002632E7"/>
    <w:rsid w:val="002633C4"/>
    <w:rsid w:val="0026447F"/>
    <w:rsid w:val="002649FE"/>
    <w:rsid w:val="00264CD2"/>
    <w:rsid w:val="00264D32"/>
    <w:rsid w:val="00265136"/>
    <w:rsid w:val="002652CE"/>
    <w:rsid w:val="00267449"/>
    <w:rsid w:val="00267B33"/>
    <w:rsid w:val="00267BE5"/>
    <w:rsid w:val="00267CEE"/>
    <w:rsid w:val="00267F5F"/>
    <w:rsid w:val="00270A25"/>
    <w:rsid w:val="0027131E"/>
    <w:rsid w:val="0027161C"/>
    <w:rsid w:val="00271E77"/>
    <w:rsid w:val="00272652"/>
    <w:rsid w:val="00272ADF"/>
    <w:rsid w:val="002743EE"/>
    <w:rsid w:val="002744F0"/>
    <w:rsid w:val="00274A5C"/>
    <w:rsid w:val="0027570D"/>
    <w:rsid w:val="00275D6C"/>
    <w:rsid w:val="00275EFE"/>
    <w:rsid w:val="002767FA"/>
    <w:rsid w:val="002805F9"/>
    <w:rsid w:val="00280C5F"/>
    <w:rsid w:val="00280D66"/>
    <w:rsid w:val="00281129"/>
    <w:rsid w:val="002824C8"/>
    <w:rsid w:val="00282E1A"/>
    <w:rsid w:val="002834E0"/>
    <w:rsid w:val="00283AC2"/>
    <w:rsid w:val="00284FD1"/>
    <w:rsid w:val="002862BF"/>
    <w:rsid w:val="0028645E"/>
    <w:rsid w:val="00286B4D"/>
    <w:rsid w:val="0028708C"/>
    <w:rsid w:val="0028740D"/>
    <w:rsid w:val="002903BD"/>
    <w:rsid w:val="00290F51"/>
    <w:rsid w:val="002915E7"/>
    <w:rsid w:val="00291877"/>
    <w:rsid w:val="00291DD0"/>
    <w:rsid w:val="00291DEE"/>
    <w:rsid w:val="00291E75"/>
    <w:rsid w:val="00294964"/>
    <w:rsid w:val="00294BE8"/>
    <w:rsid w:val="0029502C"/>
    <w:rsid w:val="0029607D"/>
    <w:rsid w:val="002965FC"/>
    <w:rsid w:val="00296A95"/>
    <w:rsid w:val="002974A6"/>
    <w:rsid w:val="00297BAC"/>
    <w:rsid w:val="00297F4A"/>
    <w:rsid w:val="002A0192"/>
    <w:rsid w:val="002A03BE"/>
    <w:rsid w:val="002A0862"/>
    <w:rsid w:val="002A239B"/>
    <w:rsid w:val="002A2A7A"/>
    <w:rsid w:val="002A2F55"/>
    <w:rsid w:val="002A3157"/>
    <w:rsid w:val="002A4421"/>
    <w:rsid w:val="002A48BC"/>
    <w:rsid w:val="002A5021"/>
    <w:rsid w:val="002A56D6"/>
    <w:rsid w:val="002A5B45"/>
    <w:rsid w:val="002A5E37"/>
    <w:rsid w:val="002A6144"/>
    <w:rsid w:val="002A619D"/>
    <w:rsid w:val="002A7B68"/>
    <w:rsid w:val="002B0FC2"/>
    <w:rsid w:val="002B1375"/>
    <w:rsid w:val="002B1DC0"/>
    <w:rsid w:val="002B250A"/>
    <w:rsid w:val="002B2910"/>
    <w:rsid w:val="002B2CF2"/>
    <w:rsid w:val="002B3574"/>
    <w:rsid w:val="002B3DA5"/>
    <w:rsid w:val="002B3F1E"/>
    <w:rsid w:val="002B4AC8"/>
    <w:rsid w:val="002B52F2"/>
    <w:rsid w:val="002B56E0"/>
    <w:rsid w:val="002B6C74"/>
    <w:rsid w:val="002B7745"/>
    <w:rsid w:val="002B78C6"/>
    <w:rsid w:val="002B7C4F"/>
    <w:rsid w:val="002C027A"/>
    <w:rsid w:val="002C032D"/>
    <w:rsid w:val="002C051F"/>
    <w:rsid w:val="002C15A4"/>
    <w:rsid w:val="002C2B65"/>
    <w:rsid w:val="002C2EEB"/>
    <w:rsid w:val="002C3C84"/>
    <w:rsid w:val="002C4B41"/>
    <w:rsid w:val="002C4E74"/>
    <w:rsid w:val="002C5711"/>
    <w:rsid w:val="002C5BCD"/>
    <w:rsid w:val="002C70BF"/>
    <w:rsid w:val="002D04E9"/>
    <w:rsid w:val="002D06E5"/>
    <w:rsid w:val="002D09B5"/>
    <w:rsid w:val="002D0F50"/>
    <w:rsid w:val="002D1250"/>
    <w:rsid w:val="002D1C94"/>
    <w:rsid w:val="002D28BC"/>
    <w:rsid w:val="002D2D50"/>
    <w:rsid w:val="002D3090"/>
    <w:rsid w:val="002D331B"/>
    <w:rsid w:val="002D3837"/>
    <w:rsid w:val="002D38A3"/>
    <w:rsid w:val="002D3A6B"/>
    <w:rsid w:val="002D3AF5"/>
    <w:rsid w:val="002D3ECF"/>
    <w:rsid w:val="002D4146"/>
    <w:rsid w:val="002D46DB"/>
    <w:rsid w:val="002D49A0"/>
    <w:rsid w:val="002D5EC0"/>
    <w:rsid w:val="002D5ECE"/>
    <w:rsid w:val="002D6106"/>
    <w:rsid w:val="002D658E"/>
    <w:rsid w:val="002D6880"/>
    <w:rsid w:val="002D727C"/>
    <w:rsid w:val="002D7CA2"/>
    <w:rsid w:val="002E0305"/>
    <w:rsid w:val="002E0B71"/>
    <w:rsid w:val="002E1026"/>
    <w:rsid w:val="002E1323"/>
    <w:rsid w:val="002E2BDC"/>
    <w:rsid w:val="002E306B"/>
    <w:rsid w:val="002E33A1"/>
    <w:rsid w:val="002E3B32"/>
    <w:rsid w:val="002E4AD6"/>
    <w:rsid w:val="002E5E3C"/>
    <w:rsid w:val="002F039C"/>
    <w:rsid w:val="002F03BE"/>
    <w:rsid w:val="002F053D"/>
    <w:rsid w:val="002F14CA"/>
    <w:rsid w:val="002F175C"/>
    <w:rsid w:val="002F29D8"/>
    <w:rsid w:val="002F31E8"/>
    <w:rsid w:val="002F4E01"/>
    <w:rsid w:val="002F56D8"/>
    <w:rsid w:val="002F5896"/>
    <w:rsid w:val="002F5D0C"/>
    <w:rsid w:val="002F5DCB"/>
    <w:rsid w:val="002F5F0F"/>
    <w:rsid w:val="002F709A"/>
    <w:rsid w:val="002F772E"/>
    <w:rsid w:val="002F781E"/>
    <w:rsid w:val="002F7A1E"/>
    <w:rsid w:val="003001D8"/>
    <w:rsid w:val="00300447"/>
    <w:rsid w:val="00300FEE"/>
    <w:rsid w:val="00301072"/>
    <w:rsid w:val="0030138D"/>
    <w:rsid w:val="00301BD4"/>
    <w:rsid w:val="00301E0F"/>
    <w:rsid w:val="00302727"/>
    <w:rsid w:val="00302B44"/>
    <w:rsid w:val="00302D40"/>
    <w:rsid w:val="00304432"/>
    <w:rsid w:val="003047D3"/>
    <w:rsid w:val="00305DE5"/>
    <w:rsid w:val="00306124"/>
    <w:rsid w:val="00306369"/>
    <w:rsid w:val="00310A5F"/>
    <w:rsid w:val="00310E7B"/>
    <w:rsid w:val="00310F2C"/>
    <w:rsid w:val="0031167A"/>
    <w:rsid w:val="003121FB"/>
    <w:rsid w:val="00314A18"/>
    <w:rsid w:val="00314A97"/>
    <w:rsid w:val="003160A5"/>
    <w:rsid w:val="0031790F"/>
    <w:rsid w:val="003207B2"/>
    <w:rsid w:val="00320868"/>
    <w:rsid w:val="00320E07"/>
    <w:rsid w:val="00320F32"/>
    <w:rsid w:val="00321BF2"/>
    <w:rsid w:val="00321C73"/>
    <w:rsid w:val="003220F0"/>
    <w:rsid w:val="0032237E"/>
    <w:rsid w:val="003226A1"/>
    <w:rsid w:val="00322881"/>
    <w:rsid w:val="003229D8"/>
    <w:rsid w:val="00322A34"/>
    <w:rsid w:val="0032348D"/>
    <w:rsid w:val="003239CD"/>
    <w:rsid w:val="00323A2B"/>
    <w:rsid w:val="00326293"/>
    <w:rsid w:val="00326E2E"/>
    <w:rsid w:val="0032709F"/>
    <w:rsid w:val="00327403"/>
    <w:rsid w:val="00327502"/>
    <w:rsid w:val="00327641"/>
    <w:rsid w:val="00327BF8"/>
    <w:rsid w:val="00331781"/>
    <w:rsid w:val="00331A23"/>
    <w:rsid w:val="00332B1E"/>
    <w:rsid w:val="00332D5C"/>
    <w:rsid w:val="003335F5"/>
    <w:rsid w:val="00333921"/>
    <w:rsid w:val="00333D28"/>
    <w:rsid w:val="00333E0C"/>
    <w:rsid w:val="00335A11"/>
    <w:rsid w:val="00335D6C"/>
    <w:rsid w:val="00336AD3"/>
    <w:rsid w:val="00336FB0"/>
    <w:rsid w:val="00337A47"/>
    <w:rsid w:val="00337DE1"/>
    <w:rsid w:val="0034094A"/>
    <w:rsid w:val="00341A3C"/>
    <w:rsid w:val="003421A3"/>
    <w:rsid w:val="0034238D"/>
    <w:rsid w:val="00342A3F"/>
    <w:rsid w:val="00342D6C"/>
    <w:rsid w:val="00343808"/>
    <w:rsid w:val="0034486F"/>
    <w:rsid w:val="00344DC3"/>
    <w:rsid w:val="00345256"/>
    <w:rsid w:val="00345363"/>
    <w:rsid w:val="00345B8D"/>
    <w:rsid w:val="003464C6"/>
    <w:rsid w:val="003465C8"/>
    <w:rsid w:val="003467FE"/>
    <w:rsid w:val="00346980"/>
    <w:rsid w:val="00346DE7"/>
    <w:rsid w:val="0034792E"/>
    <w:rsid w:val="00347CE1"/>
    <w:rsid w:val="0035049F"/>
    <w:rsid w:val="00350592"/>
    <w:rsid w:val="00352709"/>
    <w:rsid w:val="00352D2B"/>
    <w:rsid w:val="00353D8F"/>
    <w:rsid w:val="00354AA8"/>
    <w:rsid w:val="00355BD5"/>
    <w:rsid w:val="00356CCA"/>
    <w:rsid w:val="00356EEF"/>
    <w:rsid w:val="003571A3"/>
    <w:rsid w:val="00357268"/>
    <w:rsid w:val="003601FD"/>
    <w:rsid w:val="00360E3E"/>
    <w:rsid w:val="00360EAD"/>
    <w:rsid w:val="00361F39"/>
    <w:rsid w:val="0036213E"/>
    <w:rsid w:val="00362869"/>
    <w:rsid w:val="00362F0A"/>
    <w:rsid w:val="00363066"/>
    <w:rsid w:val="003634F2"/>
    <w:rsid w:val="00364789"/>
    <w:rsid w:val="00364901"/>
    <w:rsid w:val="003649C6"/>
    <w:rsid w:val="003652A0"/>
    <w:rsid w:val="0036535F"/>
    <w:rsid w:val="00365AB4"/>
    <w:rsid w:val="003661AB"/>
    <w:rsid w:val="0036645D"/>
    <w:rsid w:val="00367567"/>
    <w:rsid w:val="00367758"/>
    <w:rsid w:val="003679E9"/>
    <w:rsid w:val="003705C9"/>
    <w:rsid w:val="00371178"/>
    <w:rsid w:val="00371232"/>
    <w:rsid w:val="003713E0"/>
    <w:rsid w:val="00371996"/>
    <w:rsid w:val="003719B4"/>
    <w:rsid w:val="0037204F"/>
    <w:rsid w:val="003721BC"/>
    <w:rsid w:val="00372E2F"/>
    <w:rsid w:val="00372E90"/>
    <w:rsid w:val="003730DD"/>
    <w:rsid w:val="00373CFC"/>
    <w:rsid w:val="00373E45"/>
    <w:rsid w:val="00374609"/>
    <w:rsid w:val="00374D5A"/>
    <w:rsid w:val="00375C3C"/>
    <w:rsid w:val="003762A0"/>
    <w:rsid w:val="0037658A"/>
    <w:rsid w:val="0037720E"/>
    <w:rsid w:val="003800DE"/>
    <w:rsid w:val="00381975"/>
    <w:rsid w:val="00381DBA"/>
    <w:rsid w:val="003821D3"/>
    <w:rsid w:val="003823FE"/>
    <w:rsid w:val="00382EE8"/>
    <w:rsid w:val="0038336C"/>
    <w:rsid w:val="003833CF"/>
    <w:rsid w:val="003837A2"/>
    <w:rsid w:val="00383F4C"/>
    <w:rsid w:val="00383F7E"/>
    <w:rsid w:val="003849C4"/>
    <w:rsid w:val="00385789"/>
    <w:rsid w:val="00385B0C"/>
    <w:rsid w:val="00386A7B"/>
    <w:rsid w:val="00386AC2"/>
    <w:rsid w:val="00386EF5"/>
    <w:rsid w:val="003871ED"/>
    <w:rsid w:val="00390A83"/>
    <w:rsid w:val="00390FA4"/>
    <w:rsid w:val="00391760"/>
    <w:rsid w:val="003917A7"/>
    <w:rsid w:val="00392121"/>
    <w:rsid w:val="00392A35"/>
    <w:rsid w:val="00393151"/>
    <w:rsid w:val="00393666"/>
    <w:rsid w:val="003942F0"/>
    <w:rsid w:val="003945BF"/>
    <w:rsid w:val="00394A4C"/>
    <w:rsid w:val="00395395"/>
    <w:rsid w:val="0039556A"/>
    <w:rsid w:val="00395966"/>
    <w:rsid w:val="00396BAE"/>
    <w:rsid w:val="00397223"/>
    <w:rsid w:val="003973D0"/>
    <w:rsid w:val="003A0984"/>
    <w:rsid w:val="003A1602"/>
    <w:rsid w:val="003A22FB"/>
    <w:rsid w:val="003A26A9"/>
    <w:rsid w:val="003A2D0A"/>
    <w:rsid w:val="003A3BB4"/>
    <w:rsid w:val="003A3C43"/>
    <w:rsid w:val="003A3E29"/>
    <w:rsid w:val="003A5380"/>
    <w:rsid w:val="003A565F"/>
    <w:rsid w:val="003A5830"/>
    <w:rsid w:val="003A5BCF"/>
    <w:rsid w:val="003A6810"/>
    <w:rsid w:val="003A6BB4"/>
    <w:rsid w:val="003A78E3"/>
    <w:rsid w:val="003B1756"/>
    <w:rsid w:val="003B3528"/>
    <w:rsid w:val="003B483A"/>
    <w:rsid w:val="003B4890"/>
    <w:rsid w:val="003B59D4"/>
    <w:rsid w:val="003B5EAA"/>
    <w:rsid w:val="003B5FF6"/>
    <w:rsid w:val="003B6175"/>
    <w:rsid w:val="003B63CA"/>
    <w:rsid w:val="003B6DEA"/>
    <w:rsid w:val="003B7910"/>
    <w:rsid w:val="003B7E57"/>
    <w:rsid w:val="003C02AB"/>
    <w:rsid w:val="003C0A63"/>
    <w:rsid w:val="003C140A"/>
    <w:rsid w:val="003C16E6"/>
    <w:rsid w:val="003C1A26"/>
    <w:rsid w:val="003C2A07"/>
    <w:rsid w:val="003C2CC4"/>
    <w:rsid w:val="003C315A"/>
    <w:rsid w:val="003C349A"/>
    <w:rsid w:val="003C4DEF"/>
    <w:rsid w:val="003C4F58"/>
    <w:rsid w:val="003C531F"/>
    <w:rsid w:val="003C558C"/>
    <w:rsid w:val="003C5A4F"/>
    <w:rsid w:val="003C5E75"/>
    <w:rsid w:val="003C693C"/>
    <w:rsid w:val="003C7345"/>
    <w:rsid w:val="003C74C5"/>
    <w:rsid w:val="003D022D"/>
    <w:rsid w:val="003D0290"/>
    <w:rsid w:val="003D1310"/>
    <w:rsid w:val="003D2644"/>
    <w:rsid w:val="003D2AA6"/>
    <w:rsid w:val="003D3750"/>
    <w:rsid w:val="003D3C63"/>
    <w:rsid w:val="003D3CF9"/>
    <w:rsid w:val="003D4143"/>
    <w:rsid w:val="003D4794"/>
    <w:rsid w:val="003D4909"/>
    <w:rsid w:val="003D4B23"/>
    <w:rsid w:val="003D4C69"/>
    <w:rsid w:val="003D51DB"/>
    <w:rsid w:val="003D5956"/>
    <w:rsid w:val="003D6EDF"/>
    <w:rsid w:val="003D7342"/>
    <w:rsid w:val="003D78BA"/>
    <w:rsid w:val="003D7D77"/>
    <w:rsid w:val="003E113C"/>
    <w:rsid w:val="003E1596"/>
    <w:rsid w:val="003E1C43"/>
    <w:rsid w:val="003E219E"/>
    <w:rsid w:val="003E3065"/>
    <w:rsid w:val="003E347A"/>
    <w:rsid w:val="003E3CF4"/>
    <w:rsid w:val="003E5507"/>
    <w:rsid w:val="003E64CC"/>
    <w:rsid w:val="003E6D09"/>
    <w:rsid w:val="003E6F7E"/>
    <w:rsid w:val="003E723E"/>
    <w:rsid w:val="003F1548"/>
    <w:rsid w:val="003F17F1"/>
    <w:rsid w:val="003F2B71"/>
    <w:rsid w:val="003F4203"/>
    <w:rsid w:val="003F6100"/>
    <w:rsid w:val="003F694E"/>
    <w:rsid w:val="003F7426"/>
    <w:rsid w:val="003F7696"/>
    <w:rsid w:val="00400797"/>
    <w:rsid w:val="00400ACF"/>
    <w:rsid w:val="00401429"/>
    <w:rsid w:val="004016C9"/>
    <w:rsid w:val="00401BF0"/>
    <w:rsid w:val="00402458"/>
    <w:rsid w:val="0040278C"/>
    <w:rsid w:val="00403387"/>
    <w:rsid w:val="00403531"/>
    <w:rsid w:val="00403BAA"/>
    <w:rsid w:val="0040413A"/>
    <w:rsid w:val="004050B4"/>
    <w:rsid w:val="004050B9"/>
    <w:rsid w:val="00405473"/>
    <w:rsid w:val="00406047"/>
    <w:rsid w:val="004103CE"/>
    <w:rsid w:val="0041050D"/>
    <w:rsid w:val="00410C89"/>
    <w:rsid w:val="00410EB5"/>
    <w:rsid w:val="00410FB0"/>
    <w:rsid w:val="004113B2"/>
    <w:rsid w:val="00411555"/>
    <w:rsid w:val="0041166C"/>
    <w:rsid w:val="00411B94"/>
    <w:rsid w:val="00412A50"/>
    <w:rsid w:val="00412EA9"/>
    <w:rsid w:val="004134E7"/>
    <w:rsid w:val="004147D4"/>
    <w:rsid w:val="00414931"/>
    <w:rsid w:val="00414B35"/>
    <w:rsid w:val="004159EA"/>
    <w:rsid w:val="00415BA0"/>
    <w:rsid w:val="0041727F"/>
    <w:rsid w:val="004175B5"/>
    <w:rsid w:val="004176D7"/>
    <w:rsid w:val="0041795A"/>
    <w:rsid w:val="0041799B"/>
    <w:rsid w:val="004179B3"/>
    <w:rsid w:val="00420855"/>
    <w:rsid w:val="004211F5"/>
    <w:rsid w:val="00421BE8"/>
    <w:rsid w:val="004223A7"/>
    <w:rsid w:val="004228D5"/>
    <w:rsid w:val="00422F31"/>
    <w:rsid w:val="0042335B"/>
    <w:rsid w:val="004233C7"/>
    <w:rsid w:val="00423921"/>
    <w:rsid w:val="00424479"/>
    <w:rsid w:val="00424AD8"/>
    <w:rsid w:val="0042621F"/>
    <w:rsid w:val="00426B9B"/>
    <w:rsid w:val="004272BF"/>
    <w:rsid w:val="00430406"/>
    <w:rsid w:val="00430B93"/>
    <w:rsid w:val="00430F99"/>
    <w:rsid w:val="004311E3"/>
    <w:rsid w:val="004312DC"/>
    <w:rsid w:val="00431FE1"/>
    <w:rsid w:val="004325CB"/>
    <w:rsid w:val="004327E0"/>
    <w:rsid w:val="004331A3"/>
    <w:rsid w:val="004346B9"/>
    <w:rsid w:val="0043559E"/>
    <w:rsid w:val="00435D83"/>
    <w:rsid w:val="00436142"/>
    <w:rsid w:val="00436B33"/>
    <w:rsid w:val="00437457"/>
    <w:rsid w:val="00440543"/>
    <w:rsid w:val="0044064D"/>
    <w:rsid w:val="00440E04"/>
    <w:rsid w:val="0044155F"/>
    <w:rsid w:val="00441E52"/>
    <w:rsid w:val="00441E59"/>
    <w:rsid w:val="00442A83"/>
    <w:rsid w:val="00442E22"/>
    <w:rsid w:val="00442F2A"/>
    <w:rsid w:val="00443039"/>
    <w:rsid w:val="00443533"/>
    <w:rsid w:val="0044393A"/>
    <w:rsid w:val="00443EE9"/>
    <w:rsid w:val="00446B75"/>
    <w:rsid w:val="00450A3B"/>
    <w:rsid w:val="004514F6"/>
    <w:rsid w:val="004536EF"/>
    <w:rsid w:val="0045495B"/>
    <w:rsid w:val="00454F5F"/>
    <w:rsid w:val="00455148"/>
    <w:rsid w:val="00455900"/>
    <w:rsid w:val="00456152"/>
    <w:rsid w:val="00456EB9"/>
    <w:rsid w:val="0045741F"/>
    <w:rsid w:val="00457C2C"/>
    <w:rsid w:val="00457E0B"/>
    <w:rsid w:val="00457F30"/>
    <w:rsid w:val="004604DB"/>
    <w:rsid w:val="00460E2A"/>
    <w:rsid w:val="00461924"/>
    <w:rsid w:val="00463253"/>
    <w:rsid w:val="00463A4F"/>
    <w:rsid w:val="00464F0A"/>
    <w:rsid w:val="0046520D"/>
    <w:rsid w:val="00466844"/>
    <w:rsid w:val="00466B4C"/>
    <w:rsid w:val="00467903"/>
    <w:rsid w:val="0046795E"/>
    <w:rsid w:val="0047073D"/>
    <w:rsid w:val="00470F0D"/>
    <w:rsid w:val="00471735"/>
    <w:rsid w:val="0047261F"/>
    <w:rsid w:val="0047299E"/>
    <w:rsid w:val="0047326D"/>
    <w:rsid w:val="004734D9"/>
    <w:rsid w:val="00473963"/>
    <w:rsid w:val="004756B9"/>
    <w:rsid w:val="00475F80"/>
    <w:rsid w:val="00476D57"/>
    <w:rsid w:val="004821F5"/>
    <w:rsid w:val="004832AC"/>
    <w:rsid w:val="00483412"/>
    <w:rsid w:val="00483833"/>
    <w:rsid w:val="004838A6"/>
    <w:rsid w:val="00483D1D"/>
    <w:rsid w:val="00483EF4"/>
    <w:rsid w:val="00484B45"/>
    <w:rsid w:val="00485487"/>
    <w:rsid w:val="0048549B"/>
    <w:rsid w:val="0048637B"/>
    <w:rsid w:val="00486877"/>
    <w:rsid w:val="00487256"/>
    <w:rsid w:val="0048737D"/>
    <w:rsid w:val="00487488"/>
    <w:rsid w:val="00487AE7"/>
    <w:rsid w:val="0049219B"/>
    <w:rsid w:val="00492B85"/>
    <w:rsid w:val="00493791"/>
    <w:rsid w:val="00493CC2"/>
    <w:rsid w:val="00494846"/>
    <w:rsid w:val="00495071"/>
    <w:rsid w:val="00495BC6"/>
    <w:rsid w:val="0049638D"/>
    <w:rsid w:val="004976F2"/>
    <w:rsid w:val="004A0269"/>
    <w:rsid w:val="004A058E"/>
    <w:rsid w:val="004A16CA"/>
    <w:rsid w:val="004A189A"/>
    <w:rsid w:val="004A2281"/>
    <w:rsid w:val="004A2442"/>
    <w:rsid w:val="004A28A7"/>
    <w:rsid w:val="004A2AB3"/>
    <w:rsid w:val="004A3F45"/>
    <w:rsid w:val="004A59DF"/>
    <w:rsid w:val="004A5B70"/>
    <w:rsid w:val="004A5C21"/>
    <w:rsid w:val="004A687C"/>
    <w:rsid w:val="004A75C6"/>
    <w:rsid w:val="004A79DF"/>
    <w:rsid w:val="004B1023"/>
    <w:rsid w:val="004B262B"/>
    <w:rsid w:val="004B2685"/>
    <w:rsid w:val="004B2720"/>
    <w:rsid w:val="004B2D4D"/>
    <w:rsid w:val="004B34EC"/>
    <w:rsid w:val="004B3D5D"/>
    <w:rsid w:val="004B402E"/>
    <w:rsid w:val="004B4461"/>
    <w:rsid w:val="004B459B"/>
    <w:rsid w:val="004B4963"/>
    <w:rsid w:val="004B5EC2"/>
    <w:rsid w:val="004B67D8"/>
    <w:rsid w:val="004B7D6C"/>
    <w:rsid w:val="004C0353"/>
    <w:rsid w:val="004C0946"/>
    <w:rsid w:val="004C198C"/>
    <w:rsid w:val="004C21B4"/>
    <w:rsid w:val="004C2A01"/>
    <w:rsid w:val="004C3075"/>
    <w:rsid w:val="004C30BF"/>
    <w:rsid w:val="004C35E9"/>
    <w:rsid w:val="004C3C57"/>
    <w:rsid w:val="004C3EE1"/>
    <w:rsid w:val="004C49B5"/>
    <w:rsid w:val="004C49D9"/>
    <w:rsid w:val="004C4A2B"/>
    <w:rsid w:val="004C547C"/>
    <w:rsid w:val="004C6218"/>
    <w:rsid w:val="004C6232"/>
    <w:rsid w:val="004C6269"/>
    <w:rsid w:val="004C69F9"/>
    <w:rsid w:val="004C71A0"/>
    <w:rsid w:val="004C78CB"/>
    <w:rsid w:val="004D0164"/>
    <w:rsid w:val="004D19BB"/>
    <w:rsid w:val="004D1CEB"/>
    <w:rsid w:val="004D2F1B"/>
    <w:rsid w:val="004D3837"/>
    <w:rsid w:val="004D401C"/>
    <w:rsid w:val="004D46EC"/>
    <w:rsid w:val="004D4AAD"/>
    <w:rsid w:val="004D5BEC"/>
    <w:rsid w:val="004D6712"/>
    <w:rsid w:val="004D71B4"/>
    <w:rsid w:val="004D729F"/>
    <w:rsid w:val="004E1541"/>
    <w:rsid w:val="004E1FF5"/>
    <w:rsid w:val="004E2AAE"/>
    <w:rsid w:val="004E37AA"/>
    <w:rsid w:val="004E3FD1"/>
    <w:rsid w:val="004E4D62"/>
    <w:rsid w:val="004E5262"/>
    <w:rsid w:val="004E617F"/>
    <w:rsid w:val="004E64A6"/>
    <w:rsid w:val="004F06D1"/>
    <w:rsid w:val="004F434D"/>
    <w:rsid w:val="004F5078"/>
    <w:rsid w:val="004F56A1"/>
    <w:rsid w:val="00500313"/>
    <w:rsid w:val="0050121C"/>
    <w:rsid w:val="0050139F"/>
    <w:rsid w:val="005015E6"/>
    <w:rsid w:val="005022F1"/>
    <w:rsid w:val="005038B2"/>
    <w:rsid w:val="00503DE2"/>
    <w:rsid w:val="0050410E"/>
    <w:rsid w:val="005049DC"/>
    <w:rsid w:val="005058FF"/>
    <w:rsid w:val="00511A20"/>
    <w:rsid w:val="00511F0E"/>
    <w:rsid w:val="00512945"/>
    <w:rsid w:val="00512CFC"/>
    <w:rsid w:val="00512D8B"/>
    <w:rsid w:val="00513196"/>
    <w:rsid w:val="00514916"/>
    <w:rsid w:val="00514BFF"/>
    <w:rsid w:val="00515693"/>
    <w:rsid w:val="00515EB4"/>
    <w:rsid w:val="005160DD"/>
    <w:rsid w:val="00516701"/>
    <w:rsid w:val="00516A5D"/>
    <w:rsid w:val="00516A6A"/>
    <w:rsid w:val="00520C9E"/>
    <w:rsid w:val="0052136D"/>
    <w:rsid w:val="005223EA"/>
    <w:rsid w:val="0052434D"/>
    <w:rsid w:val="00524C98"/>
    <w:rsid w:val="0052510A"/>
    <w:rsid w:val="00525395"/>
    <w:rsid w:val="00525A6F"/>
    <w:rsid w:val="00526E19"/>
    <w:rsid w:val="0052775E"/>
    <w:rsid w:val="00527B53"/>
    <w:rsid w:val="00527E11"/>
    <w:rsid w:val="00530F9C"/>
    <w:rsid w:val="00531AEC"/>
    <w:rsid w:val="00533604"/>
    <w:rsid w:val="00533633"/>
    <w:rsid w:val="00533CAC"/>
    <w:rsid w:val="00533EFD"/>
    <w:rsid w:val="00534179"/>
    <w:rsid w:val="00536E57"/>
    <w:rsid w:val="005409DC"/>
    <w:rsid w:val="00540D75"/>
    <w:rsid w:val="005420F2"/>
    <w:rsid w:val="005429FE"/>
    <w:rsid w:val="00542BC7"/>
    <w:rsid w:val="00543C2E"/>
    <w:rsid w:val="0054481A"/>
    <w:rsid w:val="005479E7"/>
    <w:rsid w:val="00547A47"/>
    <w:rsid w:val="00547B4A"/>
    <w:rsid w:val="00550BDA"/>
    <w:rsid w:val="00550D3B"/>
    <w:rsid w:val="005519D0"/>
    <w:rsid w:val="005520A5"/>
    <w:rsid w:val="005522DD"/>
    <w:rsid w:val="005523C1"/>
    <w:rsid w:val="00552689"/>
    <w:rsid w:val="00553373"/>
    <w:rsid w:val="00553B8B"/>
    <w:rsid w:val="00553EA9"/>
    <w:rsid w:val="005545F1"/>
    <w:rsid w:val="0055703E"/>
    <w:rsid w:val="0055757A"/>
    <w:rsid w:val="005577F5"/>
    <w:rsid w:val="00560D05"/>
    <w:rsid w:val="00561361"/>
    <w:rsid w:val="005618F9"/>
    <w:rsid w:val="00561CBB"/>
    <w:rsid w:val="005628B6"/>
    <w:rsid w:val="00562B61"/>
    <w:rsid w:val="00562F4D"/>
    <w:rsid w:val="0056392C"/>
    <w:rsid w:val="00564714"/>
    <w:rsid w:val="00565433"/>
    <w:rsid w:val="00565448"/>
    <w:rsid w:val="005655F7"/>
    <w:rsid w:val="00565779"/>
    <w:rsid w:val="00565B32"/>
    <w:rsid w:val="00565EA8"/>
    <w:rsid w:val="0056624F"/>
    <w:rsid w:val="00566A33"/>
    <w:rsid w:val="00566D63"/>
    <w:rsid w:val="00570485"/>
    <w:rsid w:val="005704D1"/>
    <w:rsid w:val="0057161F"/>
    <w:rsid w:val="00571BB4"/>
    <w:rsid w:val="00571CA9"/>
    <w:rsid w:val="005722B3"/>
    <w:rsid w:val="00573760"/>
    <w:rsid w:val="0057376F"/>
    <w:rsid w:val="00573C39"/>
    <w:rsid w:val="00573F73"/>
    <w:rsid w:val="0057407A"/>
    <w:rsid w:val="0057414A"/>
    <w:rsid w:val="00574599"/>
    <w:rsid w:val="0057494C"/>
    <w:rsid w:val="00574EB0"/>
    <w:rsid w:val="005804F3"/>
    <w:rsid w:val="00580700"/>
    <w:rsid w:val="00580CFA"/>
    <w:rsid w:val="00580F57"/>
    <w:rsid w:val="005814A2"/>
    <w:rsid w:val="00582345"/>
    <w:rsid w:val="005828EC"/>
    <w:rsid w:val="00582B67"/>
    <w:rsid w:val="005848B3"/>
    <w:rsid w:val="00584914"/>
    <w:rsid w:val="005853D7"/>
    <w:rsid w:val="00585B4E"/>
    <w:rsid w:val="00586059"/>
    <w:rsid w:val="00586ABA"/>
    <w:rsid w:val="0058726B"/>
    <w:rsid w:val="0058766E"/>
    <w:rsid w:val="005905E2"/>
    <w:rsid w:val="00590F87"/>
    <w:rsid w:val="0059125A"/>
    <w:rsid w:val="005924A3"/>
    <w:rsid w:val="005924A4"/>
    <w:rsid w:val="005928DF"/>
    <w:rsid w:val="00592C4A"/>
    <w:rsid w:val="00592C4B"/>
    <w:rsid w:val="00592D66"/>
    <w:rsid w:val="00592EFD"/>
    <w:rsid w:val="00594628"/>
    <w:rsid w:val="00594849"/>
    <w:rsid w:val="00594CF0"/>
    <w:rsid w:val="00594F7F"/>
    <w:rsid w:val="005951B5"/>
    <w:rsid w:val="00595476"/>
    <w:rsid w:val="005962E6"/>
    <w:rsid w:val="00596EFC"/>
    <w:rsid w:val="0059750D"/>
    <w:rsid w:val="00597BF3"/>
    <w:rsid w:val="00597E6E"/>
    <w:rsid w:val="005A02CA"/>
    <w:rsid w:val="005A0312"/>
    <w:rsid w:val="005A0327"/>
    <w:rsid w:val="005A03CB"/>
    <w:rsid w:val="005A0415"/>
    <w:rsid w:val="005A084E"/>
    <w:rsid w:val="005A0C1C"/>
    <w:rsid w:val="005A0DD8"/>
    <w:rsid w:val="005A104A"/>
    <w:rsid w:val="005A15B5"/>
    <w:rsid w:val="005A1B1D"/>
    <w:rsid w:val="005A2F4B"/>
    <w:rsid w:val="005A35BA"/>
    <w:rsid w:val="005A3B8B"/>
    <w:rsid w:val="005A3B99"/>
    <w:rsid w:val="005A43C2"/>
    <w:rsid w:val="005A4888"/>
    <w:rsid w:val="005A533E"/>
    <w:rsid w:val="005A5E84"/>
    <w:rsid w:val="005A72E7"/>
    <w:rsid w:val="005A7430"/>
    <w:rsid w:val="005A7C89"/>
    <w:rsid w:val="005A7E51"/>
    <w:rsid w:val="005A7F8F"/>
    <w:rsid w:val="005B180A"/>
    <w:rsid w:val="005B1FB2"/>
    <w:rsid w:val="005B2849"/>
    <w:rsid w:val="005B31F6"/>
    <w:rsid w:val="005B3937"/>
    <w:rsid w:val="005B3BC9"/>
    <w:rsid w:val="005B3C41"/>
    <w:rsid w:val="005B3DB3"/>
    <w:rsid w:val="005B48A2"/>
    <w:rsid w:val="005B5B2F"/>
    <w:rsid w:val="005B5BB4"/>
    <w:rsid w:val="005B5F27"/>
    <w:rsid w:val="005B6292"/>
    <w:rsid w:val="005B62D1"/>
    <w:rsid w:val="005B72C1"/>
    <w:rsid w:val="005C0184"/>
    <w:rsid w:val="005C0CF6"/>
    <w:rsid w:val="005C1CC7"/>
    <w:rsid w:val="005C280C"/>
    <w:rsid w:val="005C33CB"/>
    <w:rsid w:val="005C4358"/>
    <w:rsid w:val="005C449E"/>
    <w:rsid w:val="005C458B"/>
    <w:rsid w:val="005C4D93"/>
    <w:rsid w:val="005C53D3"/>
    <w:rsid w:val="005C548B"/>
    <w:rsid w:val="005C5760"/>
    <w:rsid w:val="005C674E"/>
    <w:rsid w:val="005C6C4F"/>
    <w:rsid w:val="005C6D98"/>
    <w:rsid w:val="005C7546"/>
    <w:rsid w:val="005C7BB2"/>
    <w:rsid w:val="005D0E65"/>
    <w:rsid w:val="005D13FF"/>
    <w:rsid w:val="005D1DF4"/>
    <w:rsid w:val="005D2B66"/>
    <w:rsid w:val="005D2DFC"/>
    <w:rsid w:val="005D3075"/>
    <w:rsid w:val="005D30B8"/>
    <w:rsid w:val="005D3538"/>
    <w:rsid w:val="005D3F18"/>
    <w:rsid w:val="005D3FB5"/>
    <w:rsid w:val="005D4877"/>
    <w:rsid w:val="005D4A98"/>
    <w:rsid w:val="005D542D"/>
    <w:rsid w:val="005D54B1"/>
    <w:rsid w:val="005D5721"/>
    <w:rsid w:val="005D5932"/>
    <w:rsid w:val="005D5AF5"/>
    <w:rsid w:val="005D5E52"/>
    <w:rsid w:val="005D5FE7"/>
    <w:rsid w:val="005D659B"/>
    <w:rsid w:val="005D6663"/>
    <w:rsid w:val="005D763C"/>
    <w:rsid w:val="005D7A47"/>
    <w:rsid w:val="005D7B9A"/>
    <w:rsid w:val="005D7EC1"/>
    <w:rsid w:val="005D7F41"/>
    <w:rsid w:val="005E01D5"/>
    <w:rsid w:val="005E06C2"/>
    <w:rsid w:val="005E0A77"/>
    <w:rsid w:val="005E111E"/>
    <w:rsid w:val="005E1434"/>
    <w:rsid w:val="005E2962"/>
    <w:rsid w:val="005E2D2C"/>
    <w:rsid w:val="005E2E34"/>
    <w:rsid w:val="005E35FD"/>
    <w:rsid w:val="005E3F67"/>
    <w:rsid w:val="005E40A3"/>
    <w:rsid w:val="005E40FD"/>
    <w:rsid w:val="005E461A"/>
    <w:rsid w:val="005E4BCE"/>
    <w:rsid w:val="005E4F3F"/>
    <w:rsid w:val="005E5034"/>
    <w:rsid w:val="005E5C13"/>
    <w:rsid w:val="005E62AA"/>
    <w:rsid w:val="005E67A2"/>
    <w:rsid w:val="005E783D"/>
    <w:rsid w:val="005E7981"/>
    <w:rsid w:val="005E7D89"/>
    <w:rsid w:val="005F00F7"/>
    <w:rsid w:val="005F0260"/>
    <w:rsid w:val="005F1B2D"/>
    <w:rsid w:val="005F437D"/>
    <w:rsid w:val="005F4531"/>
    <w:rsid w:val="005F494A"/>
    <w:rsid w:val="005F5024"/>
    <w:rsid w:val="005F5699"/>
    <w:rsid w:val="005F575F"/>
    <w:rsid w:val="005F57AD"/>
    <w:rsid w:val="005F5A8A"/>
    <w:rsid w:val="005F7079"/>
    <w:rsid w:val="005F7717"/>
    <w:rsid w:val="005F774C"/>
    <w:rsid w:val="005F779C"/>
    <w:rsid w:val="005F7B75"/>
    <w:rsid w:val="005F7F93"/>
    <w:rsid w:val="006001EE"/>
    <w:rsid w:val="00600DB9"/>
    <w:rsid w:val="00601CA8"/>
    <w:rsid w:val="00602B75"/>
    <w:rsid w:val="006032B5"/>
    <w:rsid w:val="00603976"/>
    <w:rsid w:val="00603DAF"/>
    <w:rsid w:val="00605042"/>
    <w:rsid w:val="00606B2B"/>
    <w:rsid w:val="0060705C"/>
    <w:rsid w:val="00607169"/>
    <w:rsid w:val="00607635"/>
    <w:rsid w:val="00610126"/>
    <w:rsid w:val="00610349"/>
    <w:rsid w:val="0061115C"/>
    <w:rsid w:val="006113B7"/>
    <w:rsid w:val="006116C2"/>
    <w:rsid w:val="00611FC4"/>
    <w:rsid w:val="006123D4"/>
    <w:rsid w:val="006135CF"/>
    <w:rsid w:val="00613633"/>
    <w:rsid w:val="00613963"/>
    <w:rsid w:val="00614512"/>
    <w:rsid w:val="0061476D"/>
    <w:rsid w:val="00614C50"/>
    <w:rsid w:val="00616894"/>
    <w:rsid w:val="00616B59"/>
    <w:rsid w:val="006176FB"/>
    <w:rsid w:val="006204E6"/>
    <w:rsid w:val="00620541"/>
    <w:rsid w:val="00621DE8"/>
    <w:rsid w:val="00622E3D"/>
    <w:rsid w:val="00623021"/>
    <w:rsid w:val="006239C9"/>
    <w:rsid w:val="00623C33"/>
    <w:rsid w:val="00623C4A"/>
    <w:rsid w:val="00624677"/>
    <w:rsid w:val="00624F12"/>
    <w:rsid w:val="006258F4"/>
    <w:rsid w:val="00625FB0"/>
    <w:rsid w:val="006262B4"/>
    <w:rsid w:val="006264A8"/>
    <w:rsid w:val="006264FB"/>
    <w:rsid w:val="00626535"/>
    <w:rsid w:val="00626D71"/>
    <w:rsid w:val="006274AD"/>
    <w:rsid w:val="006275E4"/>
    <w:rsid w:val="00627697"/>
    <w:rsid w:val="00627FB0"/>
    <w:rsid w:val="00630676"/>
    <w:rsid w:val="00631010"/>
    <w:rsid w:val="006311E7"/>
    <w:rsid w:val="00632287"/>
    <w:rsid w:val="006329D5"/>
    <w:rsid w:val="00632F1A"/>
    <w:rsid w:val="00633362"/>
    <w:rsid w:val="00633A83"/>
    <w:rsid w:val="0063405C"/>
    <w:rsid w:val="00634358"/>
    <w:rsid w:val="006343E4"/>
    <w:rsid w:val="00634CB7"/>
    <w:rsid w:val="00635006"/>
    <w:rsid w:val="006353FE"/>
    <w:rsid w:val="00636007"/>
    <w:rsid w:val="00636EFE"/>
    <w:rsid w:val="00637497"/>
    <w:rsid w:val="006405BC"/>
    <w:rsid w:val="00640B26"/>
    <w:rsid w:val="0064129E"/>
    <w:rsid w:val="00641D81"/>
    <w:rsid w:val="00641E32"/>
    <w:rsid w:val="0064226F"/>
    <w:rsid w:val="00643CD4"/>
    <w:rsid w:val="006464A6"/>
    <w:rsid w:val="006478E6"/>
    <w:rsid w:val="006501C6"/>
    <w:rsid w:val="00650515"/>
    <w:rsid w:val="00652831"/>
    <w:rsid w:val="00652D0A"/>
    <w:rsid w:val="00653A67"/>
    <w:rsid w:val="00653EFF"/>
    <w:rsid w:val="00654341"/>
    <w:rsid w:val="006546DB"/>
    <w:rsid w:val="00654777"/>
    <w:rsid w:val="00655B9D"/>
    <w:rsid w:val="006570B0"/>
    <w:rsid w:val="006572E9"/>
    <w:rsid w:val="0065732B"/>
    <w:rsid w:val="006574C4"/>
    <w:rsid w:val="00661597"/>
    <w:rsid w:val="006617E2"/>
    <w:rsid w:val="006619EB"/>
    <w:rsid w:val="00662BB6"/>
    <w:rsid w:val="00663817"/>
    <w:rsid w:val="00664204"/>
    <w:rsid w:val="00664245"/>
    <w:rsid w:val="0066426E"/>
    <w:rsid w:val="00664C49"/>
    <w:rsid w:val="00665B06"/>
    <w:rsid w:val="00665CE5"/>
    <w:rsid w:val="0066644D"/>
    <w:rsid w:val="00666581"/>
    <w:rsid w:val="00666B37"/>
    <w:rsid w:val="00666DD8"/>
    <w:rsid w:val="0066729D"/>
    <w:rsid w:val="006713FE"/>
    <w:rsid w:val="0067154D"/>
    <w:rsid w:val="00672D17"/>
    <w:rsid w:val="00673B41"/>
    <w:rsid w:val="00674026"/>
    <w:rsid w:val="006743E9"/>
    <w:rsid w:val="00674D94"/>
    <w:rsid w:val="00675072"/>
    <w:rsid w:val="006752A4"/>
    <w:rsid w:val="00675929"/>
    <w:rsid w:val="00676221"/>
    <w:rsid w:val="006769AE"/>
    <w:rsid w:val="00676CA9"/>
    <w:rsid w:val="00676F09"/>
    <w:rsid w:val="0067729C"/>
    <w:rsid w:val="00677757"/>
    <w:rsid w:val="006779F3"/>
    <w:rsid w:val="0068043D"/>
    <w:rsid w:val="00680461"/>
    <w:rsid w:val="00680D0B"/>
    <w:rsid w:val="006815E7"/>
    <w:rsid w:val="00681908"/>
    <w:rsid w:val="00682284"/>
    <w:rsid w:val="006822E2"/>
    <w:rsid w:val="006825B2"/>
    <w:rsid w:val="006838C8"/>
    <w:rsid w:val="00683EEF"/>
    <w:rsid w:val="00683EF7"/>
    <w:rsid w:val="0068441C"/>
    <w:rsid w:val="00684C21"/>
    <w:rsid w:val="006853D1"/>
    <w:rsid w:val="0068555B"/>
    <w:rsid w:val="0068599A"/>
    <w:rsid w:val="00685FA6"/>
    <w:rsid w:val="00686EE3"/>
    <w:rsid w:val="00687350"/>
    <w:rsid w:val="0068743C"/>
    <w:rsid w:val="0068788C"/>
    <w:rsid w:val="0068791B"/>
    <w:rsid w:val="00690686"/>
    <w:rsid w:val="006907CC"/>
    <w:rsid w:val="006918E9"/>
    <w:rsid w:val="00691F84"/>
    <w:rsid w:val="00692BBE"/>
    <w:rsid w:val="00692F9B"/>
    <w:rsid w:val="0069416D"/>
    <w:rsid w:val="00694245"/>
    <w:rsid w:val="006943EA"/>
    <w:rsid w:val="00694695"/>
    <w:rsid w:val="006947BE"/>
    <w:rsid w:val="00694AE6"/>
    <w:rsid w:val="00696929"/>
    <w:rsid w:val="0069763E"/>
    <w:rsid w:val="006976A6"/>
    <w:rsid w:val="006A0E69"/>
    <w:rsid w:val="006A1764"/>
    <w:rsid w:val="006A24AA"/>
    <w:rsid w:val="006A27A1"/>
    <w:rsid w:val="006A3CB2"/>
    <w:rsid w:val="006A4139"/>
    <w:rsid w:val="006A5174"/>
    <w:rsid w:val="006A52E8"/>
    <w:rsid w:val="006A53B5"/>
    <w:rsid w:val="006A6F33"/>
    <w:rsid w:val="006A703F"/>
    <w:rsid w:val="006A7737"/>
    <w:rsid w:val="006A7991"/>
    <w:rsid w:val="006B031C"/>
    <w:rsid w:val="006B04B5"/>
    <w:rsid w:val="006B0995"/>
    <w:rsid w:val="006B1A05"/>
    <w:rsid w:val="006B3157"/>
    <w:rsid w:val="006B409F"/>
    <w:rsid w:val="006B4AA4"/>
    <w:rsid w:val="006B5AB9"/>
    <w:rsid w:val="006B5CC6"/>
    <w:rsid w:val="006B6574"/>
    <w:rsid w:val="006B765D"/>
    <w:rsid w:val="006C014A"/>
    <w:rsid w:val="006C082A"/>
    <w:rsid w:val="006C32BC"/>
    <w:rsid w:val="006C3AD1"/>
    <w:rsid w:val="006C3F1D"/>
    <w:rsid w:val="006C4887"/>
    <w:rsid w:val="006C48BB"/>
    <w:rsid w:val="006C6205"/>
    <w:rsid w:val="006C692F"/>
    <w:rsid w:val="006C7A23"/>
    <w:rsid w:val="006D10AB"/>
    <w:rsid w:val="006D2401"/>
    <w:rsid w:val="006D2B97"/>
    <w:rsid w:val="006D37AF"/>
    <w:rsid w:val="006D38CE"/>
    <w:rsid w:val="006D3D02"/>
    <w:rsid w:val="006D43A8"/>
    <w:rsid w:val="006D50A4"/>
    <w:rsid w:val="006D51D0"/>
    <w:rsid w:val="006D690C"/>
    <w:rsid w:val="006D75C7"/>
    <w:rsid w:val="006E0BAF"/>
    <w:rsid w:val="006E1779"/>
    <w:rsid w:val="006E1A90"/>
    <w:rsid w:val="006E1D8A"/>
    <w:rsid w:val="006E3134"/>
    <w:rsid w:val="006E34B9"/>
    <w:rsid w:val="006E37EC"/>
    <w:rsid w:val="006E3FDB"/>
    <w:rsid w:val="006E564B"/>
    <w:rsid w:val="006E6797"/>
    <w:rsid w:val="006E6FAF"/>
    <w:rsid w:val="006E7191"/>
    <w:rsid w:val="006F331D"/>
    <w:rsid w:val="006F36AC"/>
    <w:rsid w:val="006F3DA5"/>
    <w:rsid w:val="006F4874"/>
    <w:rsid w:val="006F51FE"/>
    <w:rsid w:val="006F5BB1"/>
    <w:rsid w:val="006F6B42"/>
    <w:rsid w:val="006F706B"/>
    <w:rsid w:val="006F7622"/>
    <w:rsid w:val="00700DA3"/>
    <w:rsid w:val="0070340D"/>
    <w:rsid w:val="0070351B"/>
    <w:rsid w:val="0070353B"/>
    <w:rsid w:val="00703577"/>
    <w:rsid w:val="00704F7E"/>
    <w:rsid w:val="007052C3"/>
    <w:rsid w:val="007053C1"/>
    <w:rsid w:val="00705625"/>
    <w:rsid w:val="00705E8A"/>
    <w:rsid w:val="00705F8C"/>
    <w:rsid w:val="00710B38"/>
    <w:rsid w:val="007113A4"/>
    <w:rsid w:val="007119C7"/>
    <w:rsid w:val="00711A4E"/>
    <w:rsid w:val="00711F00"/>
    <w:rsid w:val="0071270C"/>
    <w:rsid w:val="00713546"/>
    <w:rsid w:val="00713B1D"/>
    <w:rsid w:val="00713B23"/>
    <w:rsid w:val="00713B57"/>
    <w:rsid w:val="0071450D"/>
    <w:rsid w:val="007152EE"/>
    <w:rsid w:val="00715358"/>
    <w:rsid w:val="00715AD0"/>
    <w:rsid w:val="007161D6"/>
    <w:rsid w:val="00716EB5"/>
    <w:rsid w:val="007172B3"/>
    <w:rsid w:val="00717631"/>
    <w:rsid w:val="00720196"/>
    <w:rsid w:val="0072149D"/>
    <w:rsid w:val="00721D6A"/>
    <w:rsid w:val="00721FD2"/>
    <w:rsid w:val="0072226B"/>
    <w:rsid w:val="0072352E"/>
    <w:rsid w:val="00725549"/>
    <w:rsid w:val="00725F30"/>
    <w:rsid w:val="0072632A"/>
    <w:rsid w:val="00726F57"/>
    <w:rsid w:val="0072728C"/>
    <w:rsid w:val="00727B35"/>
    <w:rsid w:val="00730ED6"/>
    <w:rsid w:val="0073113A"/>
    <w:rsid w:val="007327D5"/>
    <w:rsid w:val="00732B51"/>
    <w:rsid w:val="00733904"/>
    <w:rsid w:val="00733D9E"/>
    <w:rsid w:val="00734BAC"/>
    <w:rsid w:val="00735CA1"/>
    <w:rsid w:val="0073612C"/>
    <w:rsid w:val="00736E08"/>
    <w:rsid w:val="007379B4"/>
    <w:rsid w:val="00737C57"/>
    <w:rsid w:val="00737D20"/>
    <w:rsid w:val="00737DA4"/>
    <w:rsid w:val="00740255"/>
    <w:rsid w:val="0074032C"/>
    <w:rsid w:val="007405D8"/>
    <w:rsid w:val="007417BC"/>
    <w:rsid w:val="007422C6"/>
    <w:rsid w:val="00743842"/>
    <w:rsid w:val="007439B3"/>
    <w:rsid w:val="00743B3F"/>
    <w:rsid w:val="00743DD2"/>
    <w:rsid w:val="00745A0C"/>
    <w:rsid w:val="00746BB2"/>
    <w:rsid w:val="00746F1E"/>
    <w:rsid w:val="007503F0"/>
    <w:rsid w:val="007507C9"/>
    <w:rsid w:val="00751074"/>
    <w:rsid w:val="00751147"/>
    <w:rsid w:val="00751741"/>
    <w:rsid w:val="007523EF"/>
    <w:rsid w:val="00752E63"/>
    <w:rsid w:val="00753BA9"/>
    <w:rsid w:val="007551B4"/>
    <w:rsid w:val="0075644C"/>
    <w:rsid w:val="0076033B"/>
    <w:rsid w:val="00760F53"/>
    <w:rsid w:val="007624CA"/>
    <w:rsid w:val="007627EE"/>
    <w:rsid w:val="007629C8"/>
    <w:rsid w:val="00762A1D"/>
    <w:rsid w:val="00763029"/>
    <w:rsid w:val="007633EA"/>
    <w:rsid w:val="00763726"/>
    <w:rsid w:val="00764878"/>
    <w:rsid w:val="00764914"/>
    <w:rsid w:val="0076514E"/>
    <w:rsid w:val="0076609B"/>
    <w:rsid w:val="00767016"/>
    <w:rsid w:val="00767264"/>
    <w:rsid w:val="00767334"/>
    <w:rsid w:val="007709DF"/>
    <w:rsid w:val="00772146"/>
    <w:rsid w:val="007723A1"/>
    <w:rsid w:val="00772C49"/>
    <w:rsid w:val="007738AB"/>
    <w:rsid w:val="00774902"/>
    <w:rsid w:val="00774A41"/>
    <w:rsid w:val="00775788"/>
    <w:rsid w:val="007757D4"/>
    <w:rsid w:val="00776265"/>
    <w:rsid w:val="0077671F"/>
    <w:rsid w:val="0077703D"/>
    <w:rsid w:val="00777DF8"/>
    <w:rsid w:val="00777E18"/>
    <w:rsid w:val="00780B7C"/>
    <w:rsid w:val="00780E49"/>
    <w:rsid w:val="007812BA"/>
    <w:rsid w:val="007818F4"/>
    <w:rsid w:val="00781B62"/>
    <w:rsid w:val="00781C83"/>
    <w:rsid w:val="007826F5"/>
    <w:rsid w:val="00782F90"/>
    <w:rsid w:val="0078300D"/>
    <w:rsid w:val="00784231"/>
    <w:rsid w:val="00784BCF"/>
    <w:rsid w:val="00784C71"/>
    <w:rsid w:val="00785623"/>
    <w:rsid w:val="007868E9"/>
    <w:rsid w:val="00786EFA"/>
    <w:rsid w:val="00786F3A"/>
    <w:rsid w:val="00787E5D"/>
    <w:rsid w:val="0079151D"/>
    <w:rsid w:val="00791C81"/>
    <w:rsid w:val="00791ED0"/>
    <w:rsid w:val="007925AE"/>
    <w:rsid w:val="007928E5"/>
    <w:rsid w:val="00794078"/>
    <w:rsid w:val="00794B4A"/>
    <w:rsid w:val="00795716"/>
    <w:rsid w:val="00795F52"/>
    <w:rsid w:val="00795F7A"/>
    <w:rsid w:val="007964BA"/>
    <w:rsid w:val="007965DB"/>
    <w:rsid w:val="007A072A"/>
    <w:rsid w:val="007A102A"/>
    <w:rsid w:val="007A1319"/>
    <w:rsid w:val="007A1AE9"/>
    <w:rsid w:val="007A26E3"/>
    <w:rsid w:val="007A2815"/>
    <w:rsid w:val="007A2D26"/>
    <w:rsid w:val="007A401C"/>
    <w:rsid w:val="007A4383"/>
    <w:rsid w:val="007A5657"/>
    <w:rsid w:val="007A67CC"/>
    <w:rsid w:val="007A7897"/>
    <w:rsid w:val="007A7FB7"/>
    <w:rsid w:val="007B078D"/>
    <w:rsid w:val="007B0C52"/>
    <w:rsid w:val="007B0C7B"/>
    <w:rsid w:val="007B0D02"/>
    <w:rsid w:val="007B0D92"/>
    <w:rsid w:val="007B19F4"/>
    <w:rsid w:val="007B1D3F"/>
    <w:rsid w:val="007B1D5B"/>
    <w:rsid w:val="007B1E62"/>
    <w:rsid w:val="007B415A"/>
    <w:rsid w:val="007B4D89"/>
    <w:rsid w:val="007B5249"/>
    <w:rsid w:val="007B571F"/>
    <w:rsid w:val="007B5F65"/>
    <w:rsid w:val="007B6A5D"/>
    <w:rsid w:val="007B6BA5"/>
    <w:rsid w:val="007B7463"/>
    <w:rsid w:val="007C00D6"/>
    <w:rsid w:val="007C203A"/>
    <w:rsid w:val="007C3390"/>
    <w:rsid w:val="007C3A7C"/>
    <w:rsid w:val="007C3D25"/>
    <w:rsid w:val="007C3DBA"/>
    <w:rsid w:val="007C3F74"/>
    <w:rsid w:val="007C3FFB"/>
    <w:rsid w:val="007C4F4B"/>
    <w:rsid w:val="007C5032"/>
    <w:rsid w:val="007C58E8"/>
    <w:rsid w:val="007C5FD0"/>
    <w:rsid w:val="007C6EF7"/>
    <w:rsid w:val="007C784F"/>
    <w:rsid w:val="007C7C57"/>
    <w:rsid w:val="007D0063"/>
    <w:rsid w:val="007D00FF"/>
    <w:rsid w:val="007D0270"/>
    <w:rsid w:val="007D126C"/>
    <w:rsid w:val="007D18F4"/>
    <w:rsid w:val="007D2073"/>
    <w:rsid w:val="007D29DF"/>
    <w:rsid w:val="007D3316"/>
    <w:rsid w:val="007D3677"/>
    <w:rsid w:val="007D3FD3"/>
    <w:rsid w:val="007D42B0"/>
    <w:rsid w:val="007D4542"/>
    <w:rsid w:val="007D48D5"/>
    <w:rsid w:val="007D5803"/>
    <w:rsid w:val="007D7E07"/>
    <w:rsid w:val="007E0B2D"/>
    <w:rsid w:val="007E1318"/>
    <w:rsid w:val="007E16D9"/>
    <w:rsid w:val="007E1B2A"/>
    <w:rsid w:val="007E258B"/>
    <w:rsid w:val="007E2985"/>
    <w:rsid w:val="007E3050"/>
    <w:rsid w:val="007E32DC"/>
    <w:rsid w:val="007E3DF7"/>
    <w:rsid w:val="007E3E13"/>
    <w:rsid w:val="007E4866"/>
    <w:rsid w:val="007E5179"/>
    <w:rsid w:val="007E6F98"/>
    <w:rsid w:val="007E7895"/>
    <w:rsid w:val="007E7E07"/>
    <w:rsid w:val="007E7F68"/>
    <w:rsid w:val="007F0685"/>
    <w:rsid w:val="007F11BA"/>
    <w:rsid w:val="007F1247"/>
    <w:rsid w:val="007F1E75"/>
    <w:rsid w:val="007F2056"/>
    <w:rsid w:val="007F27A7"/>
    <w:rsid w:val="007F3038"/>
    <w:rsid w:val="007F30FC"/>
    <w:rsid w:val="007F31D9"/>
    <w:rsid w:val="007F3A2C"/>
    <w:rsid w:val="007F5739"/>
    <w:rsid w:val="007F5AA8"/>
    <w:rsid w:val="007F64FB"/>
    <w:rsid w:val="007F6611"/>
    <w:rsid w:val="007F7246"/>
    <w:rsid w:val="007F75D2"/>
    <w:rsid w:val="007F7E17"/>
    <w:rsid w:val="008012DE"/>
    <w:rsid w:val="008022BF"/>
    <w:rsid w:val="0080232C"/>
    <w:rsid w:val="008027B6"/>
    <w:rsid w:val="00802B51"/>
    <w:rsid w:val="00803EEC"/>
    <w:rsid w:val="008045EB"/>
    <w:rsid w:val="00804D13"/>
    <w:rsid w:val="00805112"/>
    <w:rsid w:val="00806AAA"/>
    <w:rsid w:val="008076A7"/>
    <w:rsid w:val="008105B8"/>
    <w:rsid w:val="00810C74"/>
    <w:rsid w:val="008111BA"/>
    <w:rsid w:val="00812971"/>
    <w:rsid w:val="00812D05"/>
    <w:rsid w:val="0081367C"/>
    <w:rsid w:val="00813793"/>
    <w:rsid w:val="00814F95"/>
    <w:rsid w:val="008150FB"/>
    <w:rsid w:val="0081534F"/>
    <w:rsid w:val="0081547F"/>
    <w:rsid w:val="00815845"/>
    <w:rsid w:val="00815ADE"/>
    <w:rsid w:val="00815C52"/>
    <w:rsid w:val="00815C53"/>
    <w:rsid w:val="008163F8"/>
    <w:rsid w:val="00816972"/>
    <w:rsid w:val="0081741E"/>
    <w:rsid w:val="0081770E"/>
    <w:rsid w:val="008216A5"/>
    <w:rsid w:val="00821A8D"/>
    <w:rsid w:val="00821FEC"/>
    <w:rsid w:val="008242D7"/>
    <w:rsid w:val="00824F1B"/>
    <w:rsid w:val="00825659"/>
    <w:rsid w:val="008257B1"/>
    <w:rsid w:val="00825F45"/>
    <w:rsid w:val="00826086"/>
    <w:rsid w:val="0082697C"/>
    <w:rsid w:val="00827317"/>
    <w:rsid w:val="008274A4"/>
    <w:rsid w:val="0082763D"/>
    <w:rsid w:val="0082785E"/>
    <w:rsid w:val="00830754"/>
    <w:rsid w:val="008310C1"/>
    <w:rsid w:val="008310F0"/>
    <w:rsid w:val="008316B4"/>
    <w:rsid w:val="00831E26"/>
    <w:rsid w:val="008320F6"/>
    <w:rsid w:val="00832D01"/>
    <w:rsid w:val="00833415"/>
    <w:rsid w:val="00833511"/>
    <w:rsid w:val="008338D1"/>
    <w:rsid w:val="0083397A"/>
    <w:rsid w:val="0083446E"/>
    <w:rsid w:val="00834953"/>
    <w:rsid w:val="00835339"/>
    <w:rsid w:val="00837EA3"/>
    <w:rsid w:val="00840104"/>
    <w:rsid w:val="0084035B"/>
    <w:rsid w:val="0084126F"/>
    <w:rsid w:val="00841306"/>
    <w:rsid w:val="00841C15"/>
    <w:rsid w:val="00841D92"/>
    <w:rsid w:val="00843643"/>
    <w:rsid w:val="00843767"/>
    <w:rsid w:val="00845FA8"/>
    <w:rsid w:val="00846ED4"/>
    <w:rsid w:val="00851259"/>
    <w:rsid w:val="00852B57"/>
    <w:rsid w:val="008538BE"/>
    <w:rsid w:val="00854C18"/>
    <w:rsid w:val="00855C75"/>
    <w:rsid w:val="00856D2D"/>
    <w:rsid w:val="008579E7"/>
    <w:rsid w:val="00857BA1"/>
    <w:rsid w:val="00857E2C"/>
    <w:rsid w:val="00861651"/>
    <w:rsid w:val="008621E0"/>
    <w:rsid w:val="00862362"/>
    <w:rsid w:val="00862ECF"/>
    <w:rsid w:val="00863649"/>
    <w:rsid w:val="00863846"/>
    <w:rsid w:val="00863EF6"/>
    <w:rsid w:val="008641D8"/>
    <w:rsid w:val="00864BB6"/>
    <w:rsid w:val="008655A1"/>
    <w:rsid w:val="008655A9"/>
    <w:rsid w:val="008658CB"/>
    <w:rsid w:val="00865FDE"/>
    <w:rsid w:val="0086621B"/>
    <w:rsid w:val="0086644F"/>
    <w:rsid w:val="00866950"/>
    <w:rsid w:val="008669C2"/>
    <w:rsid w:val="0086733B"/>
    <w:rsid w:val="00867815"/>
    <w:rsid w:val="008678D8"/>
    <w:rsid w:val="008679D9"/>
    <w:rsid w:val="00871051"/>
    <w:rsid w:val="00871842"/>
    <w:rsid w:val="0087204B"/>
    <w:rsid w:val="00873BE1"/>
    <w:rsid w:val="008743ED"/>
    <w:rsid w:val="0087504A"/>
    <w:rsid w:val="008756B2"/>
    <w:rsid w:val="00875FE5"/>
    <w:rsid w:val="00877048"/>
    <w:rsid w:val="008805DC"/>
    <w:rsid w:val="008809FB"/>
    <w:rsid w:val="00880F4C"/>
    <w:rsid w:val="008817F2"/>
    <w:rsid w:val="00883169"/>
    <w:rsid w:val="00883D53"/>
    <w:rsid w:val="00883FBE"/>
    <w:rsid w:val="00884110"/>
    <w:rsid w:val="008854BE"/>
    <w:rsid w:val="008856C5"/>
    <w:rsid w:val="00885F41"/>
    <w:rsid w:val="0088636B"/>
    <w:rsid w:val="00886FFA"/>
    <w:rsid w:val="00887A14"/>
    <w:rsid w:val="008902BE"/>
    <w:rsid w:val="00890485"/>
    <w:rsid w:val="008908B6"/>
    <w:rsid w:val="008909D0"/>
    <w:rsid w:val="0089139E"/>
    <w:rsid w:val="00891599"/>
    <w:rsid w:val="008926B5"/>
    <w:rsid w:val="0089360F"/>
    <w:rsid w:val="00894CED"/>
    <w:rsid w:val="00894CF4"/>
    <w:rsid w:val="00894F8B"/>
    <w:rsid w:val="008952CD"/>
    <w:rsid w:val="00895430"/>
    <w:rsid w:val="008955B9"/>
    <w:rsid w:val="0089700B"/>
    <w:rsid w:val="008975D6"/>
    <w:rsid w:val="008979B1"/>
    <w:rsid w:val="008A0A74"/>
    <w:rsid w:val="008A10D2"/>
    <w:rsid w:val="008A18D2"/>
    <w:rsid w:val="008A1DB2"/>
    <w:rsid w:val="008A2431"/>
    <w:rsid w:val="008A2621"/>
    <w:rsid w:val="008A2B09"/>
    <w:rsid w:val="008A39F3"/>
    <w:rsid w:val="008A4733"/>
    <w:rsid w:val="008A5196"/>
    <w:rsid w:val="008A544E"/>
    <w:rsid w:val="008A5F3F"/>
    <w:rsid w:val="008A61F6"/>
    <w:rsid w:val="008A62CB"/>
    <w:rsid w:val="008A69A3"/>
    <w:rsid w:val="008A69DF"/>
    <w:rsid w:val="008A6A4C"/>
    <w:rsid w:val="008A6B25"/>
    <w:rsid w:val="008A6BB4"/>
    <w:rsid w:val="008A6C4F"/>
    <w:rsid w:val="008A7054"/>
    <w:rsid w:val="008A778A"/>
    <w:rsid w:val="008A7DA8"/>
    <w:rsid w:val="008B0794"/>
    <w:rsid w:val="008B1E52"/>
    <w:rsid w:val="008B1EE4"/>
    <w:rsid w:val="008B2335"/>
    <w:rsid w:val="008B2485"/>
    <w:rsid w:val="008B297A"/>
    <w:rsid w:val="008B2D82"/>
    <w:rsid w:val="008B33A0"/>
    <w:rsid w:val="008B388D"/>
    <w:rsid w:val="008B3B73"/>
    <w:rsid w:val="008B3D95"/>
    <w:rsid w:val="008B5082"/>
    <w:rsid w:val="008B5DD3"/>
    <w:rsid w:val="008B6178"/>
    <w:rsid w:val="008B621A"/>
    <w:rsid w:val="008C017D"/>
    <w:rsid w:val="008C0E41"/>
    <w:rsid w:val="008C10F5"/>
    <w:rsid w:val="008C138A"/>
    <w:rsid w:val="008C2BA1"/>
    <w:rsid w:val="008C4017"/>
    <w:rsid w:val="008C4EDC"/>
    <w:rsid w:val="008C7E45"/>
    <w:rsid w:val="008D0121"/>
    <w:rsid w:val="008D0FBA"/>
    <w:rsid w:val="008D1459"/>
    <w:rsid w:val="008D219B"/>
    <w:rsid w:val="008D2503"/>
    <w:rsid w:val="008D290A"/>
    <w:rsid w:val="008D3203"/>
    <w:rsid w:val="008D35A0"/>
    <w:rsid w:val="008D3AD8"/>
    <w:rsid w:val="008D4A3E"/>
    <w:rsid w:val="008D4BF5"/>
    <w:rsid w:val="008D4D0B"/>
    <w:rsid w:val="008D4DE1"/>
    <w:rsid w:val="008D52B1"/>
    <w:rsid w:val="008D5553"/>
    <w:rsid w:val="008D5CEF"/>
    <w:rsid w:val="008D5DDD"/>
    <w:rsid w:val="008D79EF"/>
    <w:rsid w:val="008E0104"/>
    <w:rsid w:val="008E0678"/>
    <w:rsid w:val="008E1567"/>
    <w:rsid w:val="008E1FE2"/>
    <w:rsid w:val="008E27EC"/>
    <w:rsid w:val="008E29F8"/>
    <w:rsid w:val="008E2D8F"/>
    <w:rsid w:val="008E3011"/>
    <w:rsid w:val="008E36FD"/>
    <w:rsid w:val="008E4C4F"/>
    <w:rsid w:val="008E5320"/>
    <w:rsid w:val="008E648C"/>
    <w:rsid w:val="008E6A47"/>
    <w:rsid w:val="008E6A69"/>
    <w:rsid w:val="008E7D8C"/>
    <w:rsid w:val="008E7EDC"/>
    <w:rsid w:val="008F053C"/>
    <w:rsid w:val="008F11A1"/>
    <w:rsid w:val="008F142A"/>
    <w:rsid w:val="008F1745"/>
    <w:rsid w:val="008F1D58"/>
    <w:rsid w:val="008F2587"/>
    <w:rsid w:val="008F34D7"/>
    <w:rsid w:val="008F46EB"/>
    <w:rsid w:val="008F4AF5"/>
    <w:rsid w:val="008F4C04"/>
    <w:rsid w:val="008F6CC3"/>
    <w:rsid w:val="008F78BA"/>
    <w:rsid w:val="008F7EF1"/>
    <w:rsid w:val="00900EB6"/>
    <w:rsid w:val="00901644"/>
    <w:rsid w:val="00901CCF"/>
    <w:rsid w:val="0090237B"/>
    <w:rsid w:val="00902668"/>
    <w:rsid w:val="00902A9B"/>
    <w:rsid w:val="00902E14"/>
    <w:rsid w:val="00902FE8"/>
    <w:rsid w:val="00903011"/>
    <w:rsid w:val="00903655"/>
    <w:rsid w:val="0090379B"/>
    <w:rsid w:val="00903876"/>
    <w:rsid w:val="00905082"/>
    <w:rsid w:val="009058F2"/>
    <w:rsid w:val="00905FD2"/>
    <w:rsid w:val="00906091"/>
    <w:rsid w:val="009067DD"/>
    <w:rsid w:val="009105A6"/>
    <w:rsid w:val="00910F40"/>
    <w:rsid w:val="00911303"/>
    <w:rsid w:val="009117E2"/>
    <w:rsid w:val="00912256"/>
    <w:rsid w:val="00912C08"/>
    <w:rsid w:val="00913616"/>
    <w:rsid w:val="00913EB3"/>
    <w:rsid w:val="00913F5E"/>
    <w:rsid w:val="00914600"/>
    <w:rsid w:val="0091460C"/>
    <w:rsid w:val="009147EA"/>
    <w:rsid w:val="00914B6E"/>
    <w:rsid w:val="009152C3"/>
    <w:rsid w:val="00916567"/>
    <w:rsid w:val="009168CF"/>
    <w:rsid w:val="00920008"/>
    <w:rsid w:val="00920552"/>
    <w:rsid w:val="009223CA"/>
    <w:rsid w:val="009228FC"/>
    <w:rsid w:val="009234A2"/>
    <w:rsid w:val="00924D7B"/>
    <w:rsid w:val="0092534D"/>
    <w:rsid w:val="00925889"/>
    <w:rsid w:val="00930D71"/>
    <w:rsid w:val="00932092"/>
    <w:rsid w:val="00932331"/>
    <w:rsid w:val="009331C0"/>
    <w:rsid w:val="0093413A"/>
    <w:rsid w:val="009344E7"/>
    <w:rsid w:val="00934AB2"/>
    <w:rsid w:val="00935321"/>
    <w:rsid w:val="0093571E"/>
    <w:rsid w:val="00935941"/>
    <w:rsid w:val="00936533"/>
    <w:rsid w:val="009370F0"/>
    <w:rsid w:val="0093754A"/>
    <w:rsid w:val="00937574"/>
    <w:rsid w:val="00937974"/>
    <w:rsid w:val="00940F93"/>
    <w:rsid w:val="00941AB8"/>
    <w:rsid w:val="0094236B"/>
    <w:rsid w:val="009429D7"/>
    <w:rsid w:val="00943FBA"/>
    <w:rsid w:val="00945A23"/>
    <w:rsid w:val="0094712A"/>
    <w:rsid w:val="00947327"/>
    <w:rsid w:val="009502AF"/>
    <w:rsid w:val="00950AF4"/>
    <w:rsid w:val="00951522"/>
    <w:rsid w:val="00951A9F"/>
    <w:rsid w:val="00951EAC"/>
    <w:rsid w:val="00952427"/>
    <w:rsid w:val="00952B8C"/>
    <w:rsid w:val="0095347F"/>
    <w:rsid w:val="0095403A"/>
    <w:rsid w:val="009546E4"/>
    <w:rsid w:val="00955194"/>
    <w:rsid w:val="00955F34"/>
    <w:rsid w:val="009568BE"/>
    <w:rsid w:val="00956A6B"/>
    <w:rsid w:val="0095745B"/>
    <w:rsid w:val="00961DFC"/>
    <w:rsid w:val="00962B3A"/>
    <w:rsid w:val="00964E2E"/>
    <w:rsid w:val="00964F69"/>
    <w:rsid w:val="0096512A"/>
    <w:rsid w:val="00965361"/>
    <w:rsid w:val="009654B1"/>
    <w:rsid w:val="009669EA"/>
    <w:rsid w:val="00966D7C"/>
    <w:rsid w:val="00967F59"/>
    <w:rsid w:val="00967FD3"/>
    <w:rsid w:val="009701C4"/>
    <w:rsid w:val="00970776"/>
    <w:rsid w:val="00970A75"/>
    <w:rsid w:val="00971B6C"/>
    <w:rsid w:val="00971C45"/>
    <w:rsid w:val="00972495"/>
    <w:rsid w:val="009735A8"/>
    <w:rsid w:val="009735EF"/>
    <w:rsid w:val="00973B67"/>
    <w:rsid w:val="00973D51"/>
    <w:rsid w:val="009740CC"/>
    <w:rsid w:val="00974A2F"/>
    <w:rsid w:val="00974EF5"/>
    <w:rsid w:val="00975230"/>
    <w:rsid w:val="009759CB"/>
    <w:rsid w:val="00975C63"/>
    <w:rsid w:val="00975C94"/>
    <w:rsid w:val="00975E5F"/>
    <w:rsid w:val="009760F3"/>
    <w:rsid w:val="009762B4"/>
    <w:rsid w:val="009773E4"/>
    <w:rsid w:val="00977660"/>
    <w:rsid w:val="0097771D"/>
    <w:rsid w:val="00980571"/>
    <w:rsid w:val="00980F20"/>
    <w:rsid w:val="00981287"/>
    <w:rsid w:val="009812E7"/>
    <w:rsid w:val="00981F32"/>
    <w:rsid w:val="0098266F"/>
    <w:rsid w:val="00982BD5"/>
    <w:rsid w:val="00983C0B"/>
    <w:rsid w:val="00984A06"/>
    <w:rsid w:val="00985506"/>
    <w:rsid w:val="009857EF"/>
    <w:rsid w:val="00985865"/>
    <w:rsid w:val="00985C4F"/>
    <w:rsid w:val="009862A4"/>
    <w:rsid w:val="009863EF"/>
    <w:rsid w:val="009901E3"/>
    <w:rsid w:val="00990941"/>
    <w:rsid w:val="009909F5"/>
    <w:rsid w:val="00990B41"/>
    <w:rsid w:val="009915A7"/>
    <w:rsid w:val="009926B7"/>
    <w:rsid w:val="0099366E"/>
    <w:rsid w:val="00993D77"/>
    <w:rsid w:val="00995912"/>
    <w:rsid w:val="00995C3A"/>
    <w:rsid w:val="00995C6E"/>
    <w:rsid w:val="00996607"/>
    <w:rsid w:val="00997A0C"/>
    <w:rsid w:val="009A01E5"/>
    <w:rsid w:val="009A0643"/>
    <w:rsid w:val="009A0697"/>
    <w:rsid w:val="009A0E8D"/>
    <w:rsid w:val="009A10B4"/>
    <w:rsid w:val="009A143A"/>
    <w:rsid w:val="009A1452"/>
    <w:rsid w:val="009A17A0"/>
    <w:rsid w:val="009A218D"/>
    <w:rsid w:val="009A22FB"/>
    <w:rsid w:val="009A37BB"/>
    <w:rsid w:val="009A446A"/>
    <w:rsid w:val="009A46D6"/>
    <w:rsid w:val="009A532B"/>
    <w:rsid w:val="009A551E"/>
    <w:rsid w:val="009A56EA"/>
    <w:rsid w:val="009A5E1E"/>
    <w:rsid w:val="009A6988"/>
    <w:rsid w:val="009A7439"/>
    <w:rsid w:val="009B026D"/>
    <w:rsid w:val="009B0537"/>
    <w:rsid w:val="009B25EA"/>
    <w:rsid w:val="009B262C"/>
    <w:rsid w:val="009B26E7"/>
    <w:rsid w:val="009B2CFB"/>
    <w:rsid w:val="009B2D74"/>
    <w:rsid w:val="009B2EF2"/>
    <w:rsid w:val="009B3B6D"/>
    <w:rsid w:val="009B49A1"/>
    <w:rsid w:val="009B49B0"/>
    <w:rsid w:val="009B6019"/>
    <w:rsid w:val="009B6134"/>
    <w:rsid w:val="009B63C7"/>
    <w:rsid w:val="009B685A"/>
    <w:rsid w:val="009B69F2"/>
    <w:rsid w:val="009B6A95"/>
    <w:rsid w:val="009B7C3A"/>
    <w:rsid w:val="009C00AE"/>
    <w:rsid w:val="009C09F0"/>
    <w:rsid w:val="009C0BEC"/>
    <w:rsid w:val="009C1698"/>
    <w:rsid w:val="009C2850"/>
    <w:rsid w:val="009C28F9"/>
    <w:rsid w:val="009C2B94"/>
    <w:rsid w:val="009C2C0D"/>
    <w:rsid w:val="009C300E"/>
    <w:rsid w:val="009C39D1"/>
    <w:rsid w:val="009C4304"/>
    <w:rsid w:val="009C47E6"/>
    <w:rsid w:val="009C4874"/>
    <w:rsid w:val="009C53B9"/>
    <w:rsid w:val="009C6AEC"/>
    <w:rsid w:val="009C77E5"/>
    <w:rsid w:val="009C7D0B"/>
    <w:rsid w:val="009C7EFD"/>
    <w:rsid w:val="009D04AC"/>
    <w:rsid w:val="009D065F"/>
    <w:rsid w:val="009D0B1B"/>
    <w:rsid w:val="009D1D59"/>
    <w:rsid w:val="009D22A2"/>
    <w:rsid w:val="009D26D2"/>
    <w:rsid w:val="009D28AB"/>
    <w:rsid w:val="009D29EB"/>
    <w:rsid w:val="009D3547"/>
    <w:rsid w:val="009D4B30"/>
    <w:rsid w:val="009D4BB8"/>
    <w:rsid w:val="009D4BD8"/>
    <w:rsid w:val="009D5180"/>
    <w:rsid w:val="009D5361"/>
    <w:rsid w:val="009D5673"/>
    <w:rsid w:val="009D6527"/>
    <w:rsid w:val="009D76B0"/>
    <w:rsid w:val="009D7894"/>
    <w:rsid w:val="009D78D5"/>
    <w:rsid w:val="009D7E85"/>
    <w:rsid w:val="009E0F1C"/>
    <w:rsid w:val="009E11CB"/>
    <w:rsid w:val="009E132C"/>
    <w:rsid w:val="009E2898"/>
    <w:rsid w:val="009E2F54"/>
    <w:rsid w:val="009E36BD"/>
    <w:rsid w:val="009E445F"/>
    <w:rsid w:val="009E45A0"/>
    <w:rsid w:val="009E4FF4"/>
    <w:rsid w:val="009E5599"/>
    <w:rsid w:val="009E577B"/>
    <w:rsid w:val="009E6A7F"/>
    <w:rsid w:val="009E6CCC"/>
    <w:rsid w:val="009E74F7"/>
    <w:rsid w:val="009E7D26"/>
    <w:rsid w:val="009E7EEC"/>
    <w:rsid w:val="009F08B1"/>
    <w:rsid w:val="009F094D"/>
    <w:rsid w:val="009F192B"/>
    <w:rsid w:val="009F2AC1"/>
    <w:rsid w:val="009F3272"/>
    <w:rsid w:val="009F34DF"/>
    <w:rsid w:val="009F40E9"/>
    <w:rsid w:val="009F5267"/>
    <w:rsid w:val="009F5905"/>
    <w:rsid w:val="009F5D91"/>
    <w:rsid w:val="009F75B2"/>
    <w:rsid w:val="00A002A3"/>
    <w:rsid w:val="00A004B1"/>
    <w:rsid w:val="00A00A3F"/>
    <w:rsid w:val="00A00C58"/>
    <w:rsid w:val="00A012C3"/>
    <w:rsid w:val="00A01489"/>
    <w:rsid w:val="00A01E7F"/>
    <w:rsid w:val="00A030AB"/>
    <w:rsid w:val="00A036B3"/>
    <w:rsid w:val="00A05D55"/>
    <w:rsid w:val="00A06281"/>
    <w:rsid w:val="00A069BB"/>
    <w:rsid w:val="00A07872"/>
    <w:rsid w:val="00A07FAF"/>
    <w:rsid w:val="00A10414"/>
    <w:rsid w:val="00A10474"/>
    <w:rsid w:val="00A114D8"/>
    <w:rsid w:val="00A11A0C"/>
    <w:rsid w:val="00A11AD7"/>
    <w:rsid w:val="00A11BAD"/>
    <w:rsid w:val="00A12518"/>
    <w:rsid w:val="00A12629"/>
    <w:rsid w:val="00A1306D"/>
    <w:rsid w:val="00A130FE"/>
    <w:rsid w:val="00A139D1"/>
    <w:rsid w:val="00A14D3B"/>
    <w:rsid w:val="00A157A8"/>
    <w:rsid w:val="00A15A08"/>
    <w:rsid w:val="00A16256"/>
    <w:rsid w:val="00A16B41"/>
    <w:rsid w:val="00A176A5"/>
    <w:rsid w:val="00A1776E"/>
    <w:rsid w:val="00A201B8"/>
    <w:rsid w:val="00A21564"/>
    <w:rsid w:val="00A21A9D"/>
    <w:rsid w:val="00A230A0"/>
    <w:rsid w:val="00A2561D"/>
    <w:rsid w:val="00A2597E"/>
    <w:rsid w:val="00A25E9B"/>
    <w:rsid w:val="00A262B7"/>
    <w:rsid w:val="00A266D4"/>
    <w:rsid w:val="00A2698E"/>
    <w:rsid w:val="00A30B10"/>
    <w:rsid w:val="00A31A23"/>
    <w:rsid w:val="00A31B81"/>
    <w:rsid w:val="00A3214F"/>
    <w:rsid w:val="00A32529"/>
    <w:rsid w:val="00A33679"/>
    <w:rsid w:val="00A338F1"/>
    <w:rsid w:val="00A33C5E"/>
    <w:rsid w:val="00A3526B"/>
    <w:rsid w:val="00A35D8A"/>
    <w:rsid w:val="00A3630E"/>
    <w:rsid w:val="00A36331"/>
    <w:rsid w:val="00A36BE3"/>
    <w:rsid w:val="00A37352"/>
    <w:rsid w:val="00A37DD8"/>
    <w:rsid w:val="00A4143D"/>
    <w:rsid w:val="00A4192B"/>
    <w:rsid w:val="00A4263D"/>
    <w:rsid w:val="00A42C88"/>
    <w:rsid w:val="00A43076"/>
    <w:rsid w:val="00A44615"/>
    <w:rsid w:val="00A455A7"/>
    <w:rsid w:val="00A45DB8"/>
    <w:rsid w:val="00A45DFE"/>
    <w:rsid w:val="00A471D0"/>
    <w:rsid w:val="00A4722B"/>
    <w:rsid w:val="00A47396"/>
    <w:rsid w:val="00A4753A"/>
    <w:rsid w:val="00A4797D"/>
    <w:rsid w:val="00A50EFE"/>
    <w:rsid w:val="00A50F81"/>
    <w:rsid w:val="00A52885"/>
    <w:rsid w:val="00A52C35"/>
    <w:rsid w:val="00A533C9"/>
    <w:rsid w:val="00A534F8"/>
    <w:rsid w:val="00A53B60"/>
    <w:rsid w:val="00A55C2B"/>
    <w:rsid w:val="00A55F52"/>
    <w:rsid w:val="00A56C3E"/>
    <w:rsid w:val="00A57155"/>
    <w:rsid w:val="00A6054C"/>
    <w:rsid w:val="00A6098E"/>
    <w:rsid w:val="00A60C3C"/>
    <w:rsid w:val="00A60E9F"/>
    <w:rsid w:val="00A61012"/>
    <w:rsid w:val="00A61815"/>
    <w:rsid w:val="00A61D46"/>
    <w:rsid w:val="00A61E81"/>
    <w:rsid w:val="00A62026"/>
    <w:rsid w:val="00A62162"/>
    <w:rsid w:val="00A622BD"/>
    <w:rsid w:val="00A63D95"/>
    <w:rsid w:val="00A6617B"/>
    <w:rsid w:val="00A6663B"/>
    <w:rsid w:val="00A674AA"/>
    <w:rsid w:val="00A703CE"/>
    <w:rsid w:val="00A708BB"/>
    <w:rsid w:val="00A70B9B"/>
    <w:rsid w:val="00A70C6F"/>
    <w:rsid w:val="00A710E2"/>
    <w:rsid w:val="00A71689"/>
    <w:rsid w:val="00A716C5"/>
    <w:rsid w:val="00A71B51"/>
    <w:rsid w:val="00A71DF5"/>
    <w:rsid w:val="00A7276C"/>
    <w:rsid w:val="00A72E06"/>
    <w:rsid w:val="00A72F22"/>
    <w:rsid w:val="00A7360F"/>
    <w:rsid w:val="00A73EDD"/>
    <w:rsid w:val="00A7407A"/>
    <w:rsid w:val="00A748A6"/>
    <w:rsid w:val="00A75355"/>
    <w:rsid w:val="00A7619E"/>
    <w:rsid w:val="00A769F4"/>
    <w:rsid w:val="00A776B4"/>
    <w:rsid w:val="00A77A4C"/>
    <w:rsid w:val="00A77C66"/>
    <w:rsid w:val="00A8191A"/>
    <w:rsid w:val="00A824DB"/>
    <w:rsid w:val="00A82504"/>
    <w:rsid w:val="00A826D1"/>
    <w:rsid w:val="00A83F31"/>
    <w:rsid w:val="00A84062"/>
    <w:rsid w:val="00A844B0"/>
    <w:rsid w:val="00A8467B"/>
    <w:rsid w:val="00A85674"/>
    <w:rsid w:val="00A86F19"/>
    <w:rsid w:val="00A871D5"/>
    <w:rsid w:val="00A87251"/>
    <w:rsid w:val="00A872E8"/>
    <w:rsid w:val="00A8780F"/>
    <w:rsid w:val="00A9044C"/>
    <w:rsid w:val="00A90C5B"/>
    <w:rsid w:val="00A90E23"/>
    <w:rsid w:val="00A91499"/>
    <w:rsid w:val="00A91DBE"/>
    <w:rsid w:val="00A91DDF"/>
    <w:rsid w:val="00A937E1"/>
    <w:rsid w:val="00A93CCD"/>
    <w:rsid w:val="00A94361"/>
    <w:rsid w:val="00A95B69"/>
    <w:rsid w:val="00A96457"/>
    <w:rsid w:val="00A96799"/>
    <w:rsid w:val="00A96C83"/>
    <w:rsid w:val="00A971D3"/>
    <w:rsid w:val="00A97688"/>
    <w:rsid w:val="00AA0619"/>
    <w:rsid w:val="00AA0F58"/>
    <w:rsid w:val="00AA293C"/>
    <w:rsid w:val="00AA2C54"/>
    <w:rsid w:val="00AA2D0D"/>
    <w:rsid w:val="00AA42C6"/>
    <w:rsid w:val="00AA4F43"/>
    <w:rsid w:val="00AB0A2E"/>
    <w:rsid w:val="00AB112C"/>
    <w:rsid w:val="00AB19FA"/>
    <w:rsid w:val="00AB1FB2"/>
    <w:rsid w:val="00AB3C2C"/>
    <w:rsid w:val="00AB4E1A"/>
    <w:rsid w:val="00AB5043"/>
    <w:rsid w:val="00AB529E"/>
    <w:rsid w:val="00AB5A41"/>
    <w:rsid w:val="00AB5D75"/>
    <w:rsid w:val="00AB7014"/>
    <w:rsid w:val="00AB7523"/>
    <w:rsid w:val="00AB7C6D"/>
    <w:rsid w:val="00AC03E4"/>
    <w:rsid w:val="00AC0738"/>
    <w:rsid w:val="00AC0A14"/>
    <w:rsid w:val="00AC0D25"/>
    <w:rsid w:val="00AC170B"/>
    <w:rsid w:val="00AC1844"/>
    <w:rsid w:val="00AC19A5"/>
    <w:rsid w:val="00AC2469"/>
    <w:rsid w:val="00AC25D1"/>
    <w:rsid w:val="00AC26EA"/>
    <w:rsid w:val="00AC32FE"/>
    <w:rsid w:val="00AC3324"/>
    <w:rsid w:val="00AC3B41"/>
    <w:rsid w:val="00AC3BF3"/>
    <w:rsid w:val="00AC4840"/>
    <w:rsid w:val="00AC4A9B"/>
    <w:rsid w:val="00AC5A0B"/>
    <w:rsid w:val="00AC63A2"/>
    <w:rsid w:val="00AC647E"/>
    <w:rsid w:val="00AC72E3"/>
    <w:rsid w:val="00AC766E"/>
    <w:rsid w:val="00AC767F"/>
    <w:rsid w:val="00AD001C"/>
    <w:rsid w:val="00AD0548"/>
    <w:rsid w:val="00AD103D"/>
    <w:rsid w:val="00AD10F3"/>
    <w:rsid w:val="00AD139E"/>
    <w:rsid w:val="00AD1591"/>
    <w:rsid w:val="00AD1C54"/>
    <w:rsid w:val="00AD22F9"/>
    <w:rsid w:val="00AD34B8"/>
    <w:rsid w:val="00AD392F"/>
    <w:rsid w:val="00AD46B8"/>
    <w:rsid w:val="00AD634C"/>
    <w:rsid w:val="00AD6566"/>
    <w:rsid w:val="00AD6EA8"/>
    <w:rsid w:val="00AD7999"/>
    <w:rsid w:val="00AE24FE"/>
    <w:rsid w:val="00AE2860"/>
    <w:rsid w:val="00AE2D85"/>
    <w:rsid w:val="00AE309F"/>
    <w:rsid w:val="00AE3157"/>
    <w:rsid w:val="00AE4A5D"/>
    <w:rsid w:val="00AE5108"/>
    <w:rsid w:val="00AE5244"/>
    <w:rsid w:val="00AE5404"/>
    <w:rsid w:val="00AE6852"/>
    <w:rsid w:val="00AF0E10"/>
    <w:rsid w:val="00AF1A44"/>
    <w:rsid w:val="00AF1E8E"/>
    <w:rsid w:val="00AF2509"/>
    <w:rsid w:val="00AF256C"/>
    <w:rsid w:val="00AF272D"/>
    <w:rsid w:val="00AF3382"/>
    <w:rsid w:val="00AF344B"/>
    <w:rsid w:val="00AF367B"/>
    <w:rsid w:val="00AF4244"/>
    <w:rsid w:val="00AF55BD"/>
    <w:rsid w:val="00AF5CCF"/>
    <w:rsid w:val="00AF5E2F"/>
    <w:rsid w:val="00AF5F3F"/>
    <w:rsid w:val="00AF6C3B"/>
    <w:rsid w:val="00AF7C28"/>
    <w:rsid w:val="00B01B80"/>
    <w:rsid w:val="00B0282C"/>
    <w:rsid w:val="00B02B00"/>
    <w:rsid w:val="00B02BAA"/>
    <w:rsid w:val="00B02D8E"/>
    <w:rsid w:val="00B033CC"/>
    <w:rsid w:val="00B0380C"/>
    <w:rsid w:val="00B04509"/>
    <w:rsid w:val="00B04543"/>
    <w:rsid w:val="00B05BD9"/>
    <w:rsid w:val="00B06D66"/>
    <w:rsid w:val="00B07138"/>
    <w:rsid w:val="00B07A6A"/>
    <w:rsid w:val="00B10872"/>
    <w:rsid w:val="00B111F7"/>
    <w:rsid w:val="00B11238"/>
    <w:rsid w:val="00B11BB1"/>
    <w:rsid w:val="00B11C54"/>
    <w:rsid w:val="00B12229"/>
    <w:rsid w:val="00B128E8"/>
    <w:rsid w:val="00B12BB4"/>
    <w:rsid w:val="00B12E1C"/>
    <w:rsid w:val="00B135E9"/>
    <w:rsid w:val="00B13E9B"/>
    <w:rsid w:val="00B1421A"/>
    <w:rsid w:val="00B142F7"/>
    <w:rsid w:val="00B15987"/>
    <w:rsid w:val="00B15993"/>
    <w:rsid w:val="00B160E3"/>
    <w:rsid w:val="00B16FC0"/>
    <w:rsid w:val="00B17560"/>
    <w:rsid w:val="00B17A87"/>
    <w:rsid w:val="00B17F54"/>
    <w:rsid w:val="00B201CC"/>
    <w:rsid w:val="00B20840"/>
    <w:rsid w:val="00B20B3C"/>
    <w:rsid w:val="00B2177C"/>
    <w:rsid w:val="00B22683"/>
    <w:rsid w:val="00B23165"/>
    <w:rsid w:val="00B23CD1"/>
    <w:rsid w:val="00B241FA"/>
    <w:rsid w:val="00B25465"/>
    <w:rsid w:val="00B262FB"/>
    <w:rsid w:val="00B2707A"/>
    <w:rsid w:val="00B273AE"/>
    <w:rsid w:val="00B273F9"/>
    <w:rsid w:val="00B27805"/>
    <w:rsid w:val="00B27CC0"/>
    <w:rsid w:val="00B30179"/>
    <w:rsid w:val="00B304C2"/>
    <w:rsid w:val="00B32131"/>
    <w:rsid w:val="00B3246F"/>
    <w:rsid w:val="00B32EF4"/>
    <w:rsid w:val="00B3390C"/>
    <w:rsid w:val="00B339A7"/>
    <w:rsid w:val="00B33F29"/>
    <w:rsid w:val="00B34616"/>
    <w:rsid w:val="00B34A3F"/>
    <w:rsid w:val="00B35A85"/>
    <w:rsid w:val="00B35DA4"/>
    <w:rsid w:val="00B369CE"/>
    <w:rsid w:val="00B3733C"/>
    <w:rsid w:val="00B3784A"/>
    <w:rsid w:val="00B37AAE"/>
    <w:rsid w:val="00B37BAE"/>
    <w:rsid w:val="00B40205"/>
    <w:rsid w:val="00B40ADA"/>
    <w:rsid w:val="00B40BAD"/>
    <w:rsid w:val="00B40E96"/>
    <w:rsid w:val="00B4137A"/>
    <w:rsid w:val="00B41602"/>
    <w:rsid w:val="00B41837"/>
    <w:rsid w:val="00B41ACB"/>
    <w:rsid w:val="00B427FA"/>
    <w:rsid w:val="00B42A14"/>
    <w:rsid w:val="00B42B01"/>
    <w:rsid w:val="00B42F1F"/>
    <w:rsid w:val="00B43A0B"/>
    <w:rsid w:val="00B43A3B"/>
    <w:rsid w:val="00B443E2"/>
    <w:rsid w:val="00B4566F"/>
    <w:rsid w:val="00B45AAE"/>
    <w:rsid w:val="00B46096"/>
    <w:rsid w:val="00B469B5"/>
    <w:rsid w:val="00B46A2D"/>
    <w:rsid w:val="00B4718F"/>
    <w:rsid w:val="00B47380"/>
    <w:rsid w:val="00B4777A"/>
    <w:rsid w:val="00B5092B"/>
    <w:rsid w:val="00B512C7"/>
    <w:rsid w:val="00B515D4"/>
    <w:rsid w:val="00B5249D"/>
    <w:rsid w:val="00B53EA7"/>
    <w:rsid w:val="00B560D6"/>
    <w:rsid w:val="00B5611D"/>
    <w:rsid w:val="00B563A2"/>
    <w:rsid w:val="00B56A03"/>
    <w:rsid w:val="00B56A56"/>
    <w:rsid w:val="00B56E4A"/>
    <w:rsid w:val="00B56E9C"/>
    <w:rsid w:val="00B60748"/>
    <w:rsid w:val="00B6380E"/>
    <w:rsid w:val="00B639A0"/>
    <w:rsid w:val="00B63FAE"/>
    <w:rsid w:val="00B645F7"/>
    <w:rsid w:val="00B64AC0"/>
    <w:rsid w:val="00B64B1F"/>
    <w:rsid w:val="00B6548B"/>
    <w:rsid w:val="00B654DC"/>
    <w:rsid w:val="00B6553F"/>
    <w:rsid w:val="00B65A7F"/>
    <w:rsid w:val="00B65D1D"/>
    <w:rsid w:val="00B6638C"/>
    <w:rsid w:val="00B666E0"/>
    <w:rsid w:val="00B66C3D"/>
    <w:rsid w:val="00B66E5E"/>
    <w:rsid w:val="00B6735D"/>
    <w:rsid w:val="00B67817"/>
    <w:rsid w:val="00B67C9C"/>
    <w:rsid w:val="00B70118"/>
    <w:rsid w:val="00B701E0"/>
    <w:rsid w:val="00B705E0"/>
    <w:rsid w:val="00B70C5B"/>
    <w:rsid w:val="00B70EDB"/>
    <w:rsid w:val="00B716A0"/>
    <w:rsid w:val="00B733EA"/>
    <w:rsid w:val="00B73C91"/>
    <w:rsid w:val="00B741D6"/>
    <w:rsid w:val="00B7463E"/>
    <w:rsid w:val="00B753D1"/>
    <w:rsid w:val="00B76E64"/>
    <w:rsid w:val="00B76F9C"/>
    <w:rsid w:val="00B774F0"/>
    <w:rsid w:val="00B77D05"/>
    <w:rsid w:val="00B77EB1"/>
    <w:rsid w:val="00B804AB"/>
    <w:rsid w:val="00B81202"/>
    <w:rsid w:val="00B81206"/>
    <w:rsid w:val="00B8135E"/>
    <w:rsid w:val="00B81E12"/>
    <w:rsid w:val="00B82156"/>
    <w:rsid w:val="00B8236D"/>
    <w:rsid w:val="00B82D34"/>
    <w:rsid w:val="00B83A07"/>
    <w:rsid w:val="00B846C0"/>
    <w:rsid w:val="00B84C4B"/>
    <w:rsid w:val="00B84CBE"/>
    <w:rsid w:val="00B84D8C"/>
    <w:rsid w:val="00B857DE"/>
    <w:rsid w:val="00B85908"/>
    <w:rsid w:val="00B85D44"/>
    <w:rsid w:val="00B86045"/>
    <w:rsid w:val="00B861DB"/>
    <w:rsid w:val="00B869A7"/>
    <w:rsid w:val="00B86B5F"/>
    <w:rsid w:val="00B874C1"/>
    <w:rsid w:val="00B876FC"/>
    <w:rsid w:val="00B878B3"/>
    <w:rsid w:val="00B879F3"/>
    <w:rsid w:val="00B9067B"/>
    <w:rsid w:val="00B90B6B"/>
    <w:rsid w:val="00B90F27"/>
    <w:rsid w:val="00B92008"/>
    <w:rsid w:val="00B926ED"/>
    <w:rsid w:val="00B932EB"/>
    <w:rsid w:val="00B93B25"/>
    <w:rsid w:val="00B94491"/>
    <w:rsid w:val="00B94B8D"/>
    <w:rsid w:val="00B952C0"/>
    <w:rsid w:val="00B95FC8"/>
    <w:rsid w:val="00B96520"/>
    <w:rsid w:val="00B96941"/>
    <w:rsid w:val="00B97172"/>
    <w:rsid w:val="00B97CED"/>
    <w:rsid w:val="00BA061E"/>
    <w:rsid w:val="00BA0CA7"/>
    <w:rsid w:val="00BA1EDB"/>
    <w:rsid w:val="00BA23E7"/>
    <w:rsid w:val="00BA287E"/>
    <w:rsid w:val="00BA29D1"/>
    <w:rsid w:val="00BA2D37"/>
    <w:rsid w:val="00BA40DF"/>
    <w:rsid w:val="00BA428D"/>
    <w:rsid w:val="00BA432D"/>
    <w:rsid w:val="00BA4341"/>
    <w:rsid w:val="00BA4727"/>
    <w:rsid w:val="00BA5B72"/>
    <w:rsid w:val="00BA74FC"/>
    <w:rsid w:val="00BA7AC5"/>
    <w:rsid w:val="00BB22D5"/>
    <w:rsid w:val="00BB2DB0"/>
    <w:rsid w:val="00BB3491"/>
    <w:rsid w:val="00BB37C3"/>
    <w:rsid w:val="00BB3869"/>
    <w:rsid w:val="00BB3BF5"/>
    <w:rsid w:val="00BB4B91"/>
    <w:rsid w:val="00BB5419"/>
    <w:rsid w:val="00BB577C"/>
    <w:rsid w:val="00BB6661"/>
    <w:rsid w:val="00BB7F1B"/>
    <w:rsid w:val="00BC01E3"/>
    <w:rsid w:val="00BC05BC"/>
    <w:rsid w:val="00BC0B15"/>
    <w:rsid w:val="00BC186C"/>
    <w:rsid w:val="00BC1B8D"/>
    <w:rsid w:val="00BC26AE"/>
    <w:rsid w:val="00BC298A"/>
    <w:rsid w:val="00BC2C23"/>
    <w:rsid w:val="00BC2C92"/>
    <w:rsid w:val="00BC48F3"/>
    <w:rsid w:val="00BC4B5D"/>
    <w:rsid w:val="00BC52F0"/>
    <w:rsid w:val="00BC5A8B"/>
    <w:rsid w:val="00BC6B1E"/>
    <w:rsid w:val="00BC70AB"/>
    <w:rsid w:val="00BC74E9"/>
    <w:rsid w:val="00BD035A"/>
    <w:rsid w:val="00BD08C4"/>
    <w:rsid w:val="00BD1277"/>
    <w:rsid w:val="00BD21E3"/>
    <w:rsid w:val="00BD28D3"/>
    <w:rsid w:val="00BD2AEB"/>
    <w:rsid w:val="00BD41E9"/>
    <w:rsid w:val="00BD5EB3"/>
    <w:rsid w:val="00BD65C9"/>
    <w:rsid w:val="00BD6B0A"/>
    <w:rsid w:val="00BD6FD3"/>
    <w:rsid w:val="00BD77DF"/>
    <w:rsid w:val="00BD79AA"/>
    <w:rsid w:val="00BD7CB2"/>
    <w:rsid w:val="00BD7EA8"/>
    <w:rsid w:val="00BE011C"/>
    <w:rsid w:val="00BE07C8"/>
    <w:rsid w:val="00BE0B12"/>
    <w:rsid w:val="00BE2C31"/>
    <w:rsid w:val="00BE2F99"/>
    <w:rsid w:val="00BE325F"/>
    <w:rsid w:val="00BE3A3E"/>
    <w:rsid w:val="00BE4F8F"/>
    <w:rsid w:val="00BE74B1"/>
    <w:rsid w:val="00BE76EE"/>
    <w:rsid w:val="00BE7732"/>
    <w:rsid w:val="00BF0342"/>
    <w:rsid w:val="00BF09D4"/>
    <w:rsid w:val="00BF1BB0"/>
    <w:rsid w:val="00BF1D74"/>
    <w:rsid w:val="00BF21FF"/>
    <w:rsid w:val="00BF30FB"/>
    <w:rsid w:val="00BF37A6"/>
    <w:rsid w:val="00BF3D9D"/>
    <w:rsid w:val="00BF46F2"/>
    <w:rsid w:val="00BF4AA2"/>
    <w:rsid w:val="00BF5A65"/>
    <w:rsid w:val="00BF5B2C"/>
    <w:rsid w:val="00BF5E8F"/>
    <w:rsid w:val="00BF66F4"/>
    <w:rsid w:val="00BF68A8"/>
    <w:rsid w:val="00BF6BD0"/>
    <w:rsid w:val="00BF6D15"/>
    <w:rsid w:val="00BF6DBF"/>
    <w:rsid w:val="00C006A7"/>
    <w:rsid w:val="00C00A5E"/>
    <w:rsid w:val="00C00E09"/>
    <w:rsid w:val="00C017D4"/>
    <w:rsid w:val="00C03905"/>
    <w:rsid w:val="00C039C4"/>
    <w:rsid w:val="00C0401B"/>
    <w:rsid w:val="00C041C3"/>
    <w:rsid w:val="00C04F50"/>
    <w:rsid w:val="00C0718D"/>
    <w:rsid w:val="00C07914"/>
    <w:rsid w:val="00C1045F"/>
    <w:rsid w:val="00C11207"/>
    <w:rsid w:val="00C11A03"/>
    <w:rsid w:val="00C13569"/>
    <w:rsid w:val="00C13B55"/>
    <w:rsid w:val="00C14199"/>
    <w:rsid w:val="00C14A79"/>
    <w:rsid w:val="00C15217"/>
    <w:rsid w:val="00C154D2"/>
    <w:rsid w:val="00C15938"/>
    <w:rsid w:val="00C15C4D"/>
    <w:rsid w:val="00C16605"/>
    <w:rsid w:val="00C168CA"/>
    <w:rsid w:val="00C1722A"/>
    <w:rsid w:val="00C176E9"/>
    <w:rsid w:val="00C217B4"/>
    <w:rsid w:val="00C218AA"/>
    <w:rsid w:val="00C22595"/>
    <w:rsid w:val="00C227E8"/>
    <w:rsid w:val="00C2284D"/>
    <w:rsid w:val="00C228AD"/>
    <w:rsid w:val="00C237CB"/>
    <w:rsid w:val="00C2617F"/>
    <w:rsid w:val="00C2623D"/>
    <w:rsid w:val="00C2698D"/>
    <w:rsid w:val="00C27B17"/>
    <w:rsid w:val="00C27C77"/>
    <w:rsid w:val="00C27D00"/>
    <w:rsid w:val="00C30597"/>
    <w:rsid w:val="00C305FF"/>
    <w:rsid w:val="00C31235"/>
    <w:rsid w:val="00C31913"/>
    <w:rsid w:val="00C31D00"/>
    <w:rsid w:val="00C321D7"/>
    <w:rsid w:val="00C3279A"/>
    <w:rsid w:val="00C3299D"/>
    <w:rsid w:val="00C33045"/>
    <w:rsid w:val="00C33936"/>
    <w:rsid w:val="00C33BD4"/>
    <w:rsid w:val="00C34341"/>
    <w:rsid w:val="00C34926"/>
    <w:rsid w:val="00C36522"/>
    <w:rsid w:val="00C36CA4"/>
    <w:rsid w:val="00C37106"/>
    <w:rsid w:val="00C37550"/>
    <w:rsid w:val="00C40796"/>
    <w:rsid w:val="00C40EE4"/>
    <w:rsid w:val="00C40F9D"/>
    <w:rsid w:val="00C41957"/>
    <w:rsid w:val="00C42783"/>
    <w:rsid w:val="00C4279B"/>
    <w:rsid w:val="00C427B0"/>
    <w:rsid w:val="00C42964"/>
    <w:rsid w:val="00C42AEC"/>
    <w:rsid w:val="00C42B03"/>
    <w:rsid w:val="00C4482F"/>
    <w:rsid w:val="00C44D68"/>
    <w:rsid w:val="00C463DD"/>
    <w:rsid w:val="00C46474"/>
    <w:rsid w:val="00C46A14"/>
    <w:rsid w:val="00C4706E"/>
    <w:rsid w:val="00C4723D"/>
    <w:rsid w:val="00C4724C"/>
    <w:rsid w:val="00C473F1"/>
    <w:rsid w:val="00C50356"/>
    <w:rsid w:val="00C51960"/>
    <w:rsid w:val="00C51B7F"/>
    <w:rsid w:val="00C51F77"/>
    <w:rsid w:val="00C5238F"/>
    <w:rsid w:val="00C52916"/>
    <w:rsid w:val="00C52F3D"/>
    <w:rsid w:val="00C531C0"/>
    <w:rsid w:val="00C5392D"/>
    <w:rsid w:val="00C539D4"/>
    <w:rsid w:val="00C54520"/>
    <w:rsid w:val="00C54F73"/>
    <w:rsid w:val="00C554AA"/>
    <w:rsid w:val="00C55779"/>
    <w:rsid w:val="00C55A6E"/>
    <w:rsid w:val="00C561E4"/>
    <w:rsid w:val="00C57F76"/>
    <w:rsid w:val="00C6017C"/>
    <w:rsid w:val="00C606D3"/>
    <w:rsid w:val="00C608F8"/>
    <w:rsid w:val="00C60F05"/>
    <w:rsid w:val="00C61550"/>
    <w:rsid w:val="00C615FB"/>
    <w:rsid w:val="00C61F13"/>
    <w:rsid w:val="00C629A0"/>
    <w:rsid w:val="00C62F92"/>
    <w:rsid w:val="00C62FD4"/>
    <w:rsid w:val="00C63496"/>
    <w:rsid w:val="00C6398B"/>
    <w:rsid w:val="00C6410D"/>
    <w:rsid w:val="00C6498B"/>
    <w:rsid w:val="00C64A07"/>
    <w:rsid w:val="00C6566B"/>
    <w:rsid w:val="00C659A9"/>
    <w:rsid w:val="00C65E76"/>
    <w:rsid w:val="00C65F90"/>
    <w:rsid w:val="00C6743B"/>
    <w:rsid w:val="00C702AD"/>
    <w:rsid w:val="00C702EE"/>
    <w:rsid w:val="00C709C4"/>
    <w:rsid w:val="00C71867"/>
    <w:rsid w:val="00C719BD"/>
    <w:rsid w:val="00C71EEE"/>
    <w:rsid w:val="00C71F5F"/>
    <w:rsid w:val="00C72226"/>
    <w:rsid w:val="00C72A85"/>
    <w:rsid w:val="00C7385F"/>
    <w:rsid w:val="00C7413A"/>
    <w:rsid w:val="00C745C3"/>
    <w:rsid w:val="00C7497D"/>
    <w:rsid w:val="00C77867"/>
    <w:rsid w:val="00C77C10"/>
    <w:rsid w:val="00C77DF1"/>
    <w:rsid w:val="00C814D7"/>
    <w:rsid w:val="00C815DC"/>
    <w:rsid w:val="00C82175"/>
    <w:rsid w:val="00C82203"/>
    <w:rsid w:val="00C822D7"/>
    <w:rsid w:val="00C82416"/>
    <w:rsid w:val="00C8504E"/>
    <w:rsid w:val="00C8561F"/>
    <w:rsid w:val="00C861F2"/>
    <w:rsid w:val="00C866DB"/>
    <w:rsid w:val="00C9045B"/>
    <w:rsid w:val="00C909F8"/>
    <w:rsid w:val="00C9147A"/>
    <w:rsid w:val="00C9177A"/>
    <w:rsid w:val="00C91793"/>
    <w:rsid w:val="00C9183C"/>
    <w:rsid w:val="00C91BBB"/>
    <w:rsid w:val="00C921CF"/>
    <w:rsid w:val="00C92886"/>
    <w:rsid w:val="00C934B4"/>
    <w:rsid w:val="00C940C1"/>
    <w:rsid w:val="00C940C9"/>
    <w:rsid w:val="00C94BC7"/>
    <w:rsid w:val="00C94D6D"/>
    <w:rsid w:val="00C96311"/>
    <w:rsid w:val="00C963AF"/>
    <w:rsid w:val="00C96D26"/>
    <w:rsid w:val="00CA026A"/>
    <w:rsid w:val="00CA0CCE"/>
    <w:rsid w:val="00CA1D85"/>
    <w:rsid w:val="00CA23F2"/>
    <w:rsid w:val="00CA2882"/>
    <w:rsid w:val="00CA2B63"/>
    <w:rsid w:val="00CA3F55"/>
    <w:rsid w:val="00CA40A9"/>
    <w:rsid w:val="00CA40C1"/>
    <w:rsid w:val="00CA47EB"/>
    <w:rsid w:val="00CA4B5D"/>
    <w:rsid w:val="00CA5383"/>
    <w:rsid w:val="00CA56DE"/>
    <w:rsid w:val="00CA5848"/>
    <w:rsid w:val="00CA5860"/>
    <w:rsid w:val="00CA5CC1"/>
    <w:rsid w:val="00CA66D5"/>
    <w:rsid w:val="00CA6843"/>
    <w:rsid w:val="00CA7541"/>
    <w:rsid w:val="00CA7C33"/>
    <w:rsid w:val="00CA7D62"/>
    <w:rsid w:val="00CB00AD"/>
    <w:rsid w:val="00CB0A5F"/>
    <w:rsid w:val="00CB1340"/>
    <w:rsid w:val="00CB1B90"/>
    <w:rsid w:val="00CB21C9"/>
    <w:rsid w:val="00CB25DD"/>
    <w:rsid w:val="00CB27E8"/>
    <w:rsid w:val="00CB2BCB"/>
    <w:rsid w:val="00CB2CED"/>
    <w:rsid w:val="00CB335D"/>
    <w:rsid w:val="00CB3415"/>
    <w:rsid w:val="00CB41B9"/>
    <w:rsid w:val="00CB4487"/>
    <w:rsid w:val="00CB481E"/>
    <w:rsid w:val="00CB69C7"/>
    <w:rsid w:val="00CB6C91"/>
    <w:rsid w:val="00CB787B"/>
    <w:rsid w:val="00CB7D2A"/>
    <w:rsid w:val="00CB7F90"/>
    <w:rsid w:val="00CC04F4"/>
    <w:rsid w:val="00CC0DF3"/>
    <w:rsid w:val="00CC0F58"/>
    <w:rsid w:val="00CC1F58"/>
    <w:rsid w:val="00CC241F"/>
    <w:rsid w:val="00CC2578"/>
    <w:rsid w:val="00CC327C"/>
    <w:rsid w:val="00CC3369"/>
    <w:rsid w:val="00CC3F2E"/>
    <w:rsid w:val="00CC4C0C"/>
    <w:rsid w:val="00CC4C99"/>
    <w:rsid w:val="00CC54F0"/>
    <w:rsid w:val="00CC56B1"/>
    <w:rsid w:val="00CC5B3A"/>
    <w:rsid w:val="00CC5BCE"/>
    <w:rsid w:val="00CC664C"/>
    <w:rsid w:val="00CC7484"/>
    <w:rsid w:val="00CC7652"/>
    <w:rsid w:val="00CC7755"/>
    <w:rsid w:val="00CC7F1B"/>
    <w:rsid w:val="00CD0C45"/>
    <w:rsid w:val="00CD31F1"/>
    <w:rsid w:val="00CD386B"/>
    <w:rsid w:val="00CD3AE9"/>
    <w:rsid w:val="00CD5808"/>
    <w:rsid w:val="00CD6A8D"/>
    <w:rsid w:val="00CD6F25"/>
    <w:rsid w:val="00CD70B8"/>
    <w:rsid w:val="00CD7EC0"/>
    <w:rsid w:val="00CE0C07"/>
    <w:rsid w:val="00CE0FE6"/>
    <w:rsid w:val="00CE1494"/>
    <w:rsid w:val="00CE1672"/>
    <w:rsid w:val="00CE170A"/>
    <w:rsid w:val="00CE2140"/>
    <w:rsid w:val="00CE3E66"/>
    <w:rsid w:val="00CE3F5C"/>
    <w:rsid w:val="00CE4904"/>
    <w:rsid w:val="00CE4A8F"/>
    <w:rsid w:val="00CE4D40"/>
    <w:rsid w:val="00CE5876"/>
    <w:rsid w:val="00CE5F5D"/>
    <w:rsid w:val="00CE60D8"/>
    <w:rsid w:val="00CE673A"/>
    <w:rsid w:val="00CE7317"/>
    <w:rsid w:val="00CE7349"/>
    <w:rsid w:val="00CF05B7"/>
    <w:rsid w:val="00CF14FF"/>
    <w:rsid w:val="00CF20BA"/>
    <w:rsid w:val="00CF21B3"/>
    <w:rsid w:val="00CF2919"/>
    <w:rsid w:val="00CF2C0D"/>
    <w:rsid w:val="00CF2C2A"/>
    <w:rsid w:val="00CF2FC3"/>
    <w:rsid w:val="00CF3E3C"/>
    <w:rsid w:val="00CF3F4D"/>
    <w:rsid w:val="00CF4635"/>
    <w:rsid w:val="00CF6255"/>
    <w:rsid w:val="00CF7083"/>
    <w:rsid w:val="00CF76CE"/>
    <w:rsid w:val="00CF7D0C"/>
    <w:rsid w:val="00CF7D0F"/>
    <w:rsid w:val="00D0080E"/>
    <w:rsid w:val="00D012D4"/>
    <w:rsid w:val="00D01929"/>
    <w:rsid w:val="00D01980"/>
    <w:rsid w:val="00D01C8B"/>
    <w:rsid w:val="00D0217D"/>
    <w:rsid w:val="00D02198"/>
    <w:rsid w:val="00D026CA"/>
    <w:rsid w:val="00D03CA2"/>
    <w:rsid w:val="00D04B04"/>
    <w:rsid w:val="00D05E3F"/>
    <w:rsid w:val="00D063B3"/>
    <w:rsid w:val="00D06910"/>
    <w:rsid w:val="00D0694B"/>
    <w:rsid w:val="00D06EAB"/>
    <w:rsid w:val="00D07060"/>
    <w:rsid w:val="00D07C8A"/>
    <w:rsid w:val="00D103AB"/>
    <w:rsid w:val="00D107D6"/>
    <w:rsid w:val="00D11301"/>
    <w:rsid w:val="00D1131C"/>
    <w:rsid w:val="00D1134A"/>
    <w:rsid w:val="00D117C2"/>
    <w:rsid w:val="00D11D7E"/>
    <w:rsid w:val="00D122F4"/>
    <w:rsid w:val="00D13038"/>
    <w:rsid w:val="00D141CF"/>
    <w:rsid w:val="00D15DA2"/>
    <w:rsid w:val="00D16450"/>
    <w:rsid w:val="00D1659E"/>
    <w:rsid w:val="00D2031B"/>
    <w:rsid w:val="00D20933"/>
    <w:rsid w:val="00D20975"/>
    <w:rsid w:val="00D20B52"/>
    <w:rsid w:val="00D213F2"/>
    <w:rsid w:val="00D21C43"/>
    <w:rsid w:val="00D21D87"/>
    <w:rsid w:val="00D21E61"/>
    <w:rsid w:val="00D2276A"/>
    <w:rsid w:val="00D2305C"/>
    <w:rsid w:val="00D236D5"/>
    <w:rsid w:val="00D23C28"/>
    <w:rsid w:val="00D23C35"/>
    <w:rsid w:val="00D23DEB"/>
    <w:rsid w:val="00D24040"/>
    <w:rsid w:val="00D257E7"/>
    <w:rsid w:val="00D25FE2"/>
    <w:rsid w:val="00D2672E"/>
    <w:rsid w:val="00D270EF"/>
    <w:rsid w:val="00D27315"/>
    <w:rsid w:val="00D30702"/>
    <w:rsid w:val="00D30FCC"/>
    <w:rsid w:val="00D32400"/>
    <w:rsid w:val="00D33CD6"/>
    <w:rsid w:val="00D33D81"/>
    <w:rsid w:val="00D3424C"/>
    <w:rsid w:val="00D34365"/>
    <w:rsid w:val="00D34E31"/>
    <w:rsid w:val="00D354E1"/>
    <w:rsid w:val="00D3669F"/>
    <w:rsid w:val="00D375F1"/>
    <w:rsid w:val="00D377FC"/>
    <w:rsid w:val="00D41FE9"/>
    <w:rsid w:val="00D4224C"/>
    <w:rsid w:val="00D42E65"/>
    <w:rsid w:val="00D431EB"/>
    <w:rsid w:val="00D43252"/>
    <w:rsid w:val="00D4394C"/>
    <w:rsid w:val="00D45303"/>
    <w:rsid w:val="00D45485"/>
    <w:rsid w:val="00D46294"/>
    <w:rsid w:val="00D46BA9"/>
    <w:rsid w:val="00D473D1"/>
    <w:rsid w:val="00D47963"/>
    <w:rsid w:val="00D47B2C"/>
    <w:rsid w:val="00D47E84"/>
    <w:rsid w:val="00D47EEA"/>
    <w:rsid w:val="00D50C86"/>
    <w:rsid w:val="00D50E8D"/>
    <w:rsid w:val="00D50EE6"/>
    <w:rsid w:val="00D51532"/>
    <w:rsid w:val="00D5167F"/>
    <w:rsid w:val="00D51733"/>
    <w:rsid w:val="00D517D3"/>
    <w:rsid w:val="00D52065"/>
    <w:rsid w:val="00D537C3"/>
    <w:rsid w:val="00D53CC8"/>
    <w:rsid w:val="00D5451E"/>
    <w:rsid w:val="00D554DC"/>
    <w:rsid w:val="00D55B48"/>
    <w:rsid w:val="00D563B5"/>
    <w:rsid w:val="00D56CCE"/>
    <w:rsid w:val="00D577D8"/>
    <w:rsid w:val="00D579D6"/>
    <w:rsid w:val="00D6047D"/>
    <w:rsid w:val="00D60739"/>
    <w:rsid w:val="00D60A52"/>
    <w:rsid w:val="00D60F85"/>
    <w:rsid w:val="00D61B09"/>
    <w:rsid w:val="00D622A4"/>
    <w:rsid w:val="00D6279C"/>
    <w:rsid w:val="00D62EEF"/>
    <w:rsid w:val="00D6459B"/>
    <w:rsid w:val="00D64A83"/>
    <w:rsid w:val="00D64D91"/>
    <w:rsid w:val="00D65841"/>
    <w:rsid w:val="00D65878"/>
    <w:rsid w:val="00D65D52"/>
    <w:rsid w:val="00D70A01"/>
    <w:rsid w:val="00D71187"/>
    <w:rsid w:val="00D712A5"/>
    <w:rsid w:val="00D712FE"/>
    <w:rsid w:val="00D725AD"/>
    <w:rsid w:val="00D730E3"/>
    <w:rsid w:val="00D73195"/>
    <w:rsid w:val="00D73357"/>
    <w:rsid w:val="00D73754"/>
    <w:rsid w:val="00D746D1"/>
    <w:rsid w:val="00D74918"/>
    <w:rsid w:val="00D750F6"/>
    <w:rsid w:val="00D754C3"/>
    <w:rsid w:val="00D7708C"/>
    <w:rsid w:val="00D77AEF"/>
    <w:rsid w:val="00D77E32"/>
    <w:rsid w:val="00D812A9"/>
    <w:rsid w:val="00D815CC"/>
    <w:rsid w:val="00D82605"/>
    <w:rsid w:val="00D82B3A"/>
    <w:rsid w:val="00D8324A"/>
    <w:rsid w:val="00D83BC7"/>
    <w:rsid w:val="00D8586C"/>
    <w:rsid w:val="00D86EE9"/>
    <w:rsid w:val="00D8732D"/>
    <w:rsid w:val="00D87C94"/>
    <w:rsid w:val="00D90984"/>
    <w:rsid w:val="00D90A8D"/>
    <w:rsid w:val="00D90F93"/>
    <w:rsid w:val="00D9204F"/>
    <w:rsid w:val="00D95157"/>
    <w:rsid w:val="00D95303"/>
    <w:rsid w:val="00D95743"/>
    <w:rsid w:val="00D95A82"/>
    <w:rsid w:val="00D96442"/>
    <w:rsid w:val="00D9732B"/>
    <w:rsid w:val="00D978C6"/>
    <w:rsid w:val="00D97A8E"/>
    <w:rsid w:val="00D97FB9"/>
    <w:rsid w:val="00DA0F6C"/>
    <w:rsid w:val="00DA16D9"/>
    <w:rsid w:val="00DA1948"/>
    <w:rsid w:val="00DA1994"/>
    <w:rsid w:val="00DA1C8B"/>
    <w:rsid w:val="00DA1E34"/>
    <w:rsid w:val="00DA2765"/>
    <w:rsid w:val="00DA3111"/>
    <w:rsid w:val="00DA3C1C"/>
    <w:rsid w:val="00DA3DC3"/>
    <w:rsid w:val="00DA4789"/>
    <w:rsid w:val="00DA49AA"/>
    <w:rsid w:val="00DA53E6"/>
    <w:rsid w:val="00DA5ED4"/>
    <w:rsid w:val="00DA606A"/>
    <w:rsid w:val="00DA7238"/>
    <w:rsid w:val="00DA7412"/>
    <w:rsid w:val="00DA764F"/>
    <w:rsid w:val="00DA7B26"/>
    <w:rsid w:val="00DB0C79"/>
    <w:rsid w:val="00DB208A"/>
    <w:rsid w:val="00DB39FF"/>
    <w:rsid w:val="00DB3C10"/>
    <w:rsid w:val="00DB4293"/>
    <w:rsid w:val="00DB45B8"/>
    <w:rsid w:val="00DB5B2F"/>
    <w:rsid w:val="00DB5B78"/>
    <w:rsid w:val="00DB65EF"/>
    <w:rsid w:val="00DB7D36"/>
    <w:rsid w:val="00DB7E51"/>
    <w:rsid w:val="00DC0CAC"/>
    <w:rsid w:val="00DC0FCD"/>
    <w:rsid w:val="00DC128E"/>
    <w:rsid w:val="00DC2193"/>
    <w:rsid w:val="00DC2469"/>
    <w:rsid w:val="00DC290C"/>
    <w:rsid w:val="00DC4569"/>
    <w:rsid w:val="00DC4D45"/>
    <w:rsid w:val="00DC4F03"/>
    <w:rsid w:val="00DC6247"/>
    <w:rsid w:val="00DC6CEE"/>
    <w:rsid w:val="00DC6DBB"/>
    <w:rsid w:val="00DC6E39"/>
    <w:rsid w:val="00DC71FF"/>
    <w:rsid w:val="00DC7EEC"/>
    <w:rsid w:val="00DD010D"/>
    <w:rsid w:val="00DD013D"/>
    <w:rsid w:val="00DD0339"/>
    <w:rsid w:val="00DD1B10"/>
    <w:rsid w:val="00DD26A8"/>
    <w:rsid w:val="00DD2781"/>
    <w:rsid w:val="00DD3D73"/>
    <w:rsid w:val="00DD4BCC"/>
    <w:rsid w:val="00DD586D"/>
    <w:rsid w:val="00DD7FAC"/>
    <w:rsid w:val="00DE000C"/>
    <w:rsid w:val="00DE1C4F"/>
    <w:rsid w:val="00DE2CF4"/>
    <w:rsid w:val="00DE3E91"/>
    <w:rsid w:val="00DE3F50"/>
    <w:rsid w:val="00DE4F6C"/>
    <w:rsid w:val="00DE5C04"/>
    <w:rsid w:val="00DE5F3A"/>
    <w:rsid w:val="00DE629F"/>
    <w:rsid w:val="00DE6392"/>
    <w:rsid w:val="00DE79A8"/>
    <w:rsid w:val="00DF0447"/>
    <w:rsid w:val="00DF08D0"/>
    <w:rsid w:val="00DF195A"/>
    <w:rsid w:val="00DF19AF"/>
    <w:rsid w:val="00DF1E57"/>
    <w:rsid w:val="00DF24BC"/>
    <w:rsid w:val="00DF374D"/>
    <w:rsid w:val="00DF3F04"/>
    <w:rsid w:val="00DF4254"/>
    <w:rsid w:val="00DF4996"/>
    <w:rsid w:val="00DF50FB"/>
    <w:rsid w:val="00DF56AC"/>
    <w:rsid w:val="00DF5756"/>
    <w:rsid w:val="00DF5EFA"/>
    <w:rsid w:val="00DF67AC"/>
    <w:rsid w:val="00DF6805"/>
    <w:rsid w:val="00DF6941"/>
    <w:rsid w:val="00DF6C8D"/>
    <w:rsid w:val="00DF6E87"/>
    <w:rsid w:val="00DF705F"/>
    <w:rsid w:val="00DF740E"/>
    <w:rsid w:val="00DF7914"/>
    <w:rsid w:val="00E00251"/>
    <w:rsid w:val="00E012C9"/>
    <w:rsid w:val="00E01753"/>
    <w:rsid w:val="00E032CB"/>
    <w:rsid w:val="00E037B6"/>
    <w:rsid w:val="00E03890"/>
    <w:rsid w:val="00E0462F"/>
    <w:rsid w:val="00E04B7E"/>
    <w:rsid w:val="00E05600"/>
    <w:rsid w:val="00E05998"/>
    <w:rsid w:val="00E06108"/>
    <w:rsid w:val="00E06EF6"/>
    <w:rsid w:val="00E07C3D"/>
    <w:rsid w:val="00E10CF1"/>
    <w:rsid w:val="00E138E5"/>
    <w:rsid w:val="00E13BBE"/>
    <w:rsid w:val="00E13CA7"/>
    <w:rsid w:val="00E13CBB"/>
    <w:rsid w:val="00E14467"/>
    <w:rsid w:val="00E14AA0"/>
    <w:rsid w:val="00E15945"/>
    <w:rsid w:val="00E17496"/>
    <w:rsid w:val="00E17CD1"/>
    <w:rsid w:val="00E209FD"/>
    <w:rsid w:val="00E21D75"/>
    <w:rsid w:val="00E23339"/>
    <w:rsid w:val="00E24886"/>
    <w:rsid w:val="00E25E54"/>
    <w:rsid w:val="00E260EF"/>
    <w:rsid w:val="00E26103"/>
    <w:rsid w:val="00E27346"/>
    <w:rsid w:val="00E27776"/>
    <w:rsid w:val="00E30C13"/>
    <w:rsid w:val="00E31114"/>
    <w:rsid w:val="00E31611"/>
    <w:rsid w:val="00E3187F"/>
    <w:rsid w:val="00E3235C"/>
    <w:rsid w:val="00E32D79"/>
    <w:rsid w:val="00E334A0"/>
    <w:rsid w:val="00E33D68"/>
    <w:rsid w:val="00E3477A"/>
    <w:rsid w:val="00E352FB"/>
    <w:rsid w:val="00E371AF"/>
    <w:rsid w:val="00E376E4"/>
    <w:rsid w:val="00E37733"/>
    <w:rsid w:val="00E40420"/>
    <w:rsid w:val="00E419BC"/>
    <w:rsid w:val="00E41EBB"/>
    <w:rsid w:val="00E42E02"/>
    <w:rsid w:val="00E43EC4"/>
    <w:rsid w:val="00E4406C"/>
    <w:rsid w:val="00E44542"/>
    <w:rsid w:val="00E45950"/>
    <w:rsid w:val="00E45D11"/>
    <w:rsid w:val="00E46352"/>
    <w:rsid w:val="00E4708E"/>
    <w:rsid w:val="00E47325"/>
    <w:rsid w:val="00E50AB0"/>
    <w:rsid w:val="00E51BCB"/>
    <w:rsid w:val="00E52861"/>
    <w:rsid w:val="00E53400"/>
    <w:rsid w:val="00E542F7"/>
    <w:rsid w:val="00E54361"/>
    <w:rsid w:val="00E54AEE"/>
    <w:rsid w:val="00E5597B"/>
    <w:rsid w:val="00E563C4"/>
    <w:rsid w:val="00E5731A"/>
    <w:rsid w:val="00E57935"/>
    <w:rsid w:val="00E60245"/>
    <w:rsid w:val="00E61526"/>
    <w:rsid w:val="00E62BDD"/>
    <w:rsid w:val="00E632CC"/>
    <w:rsid w:val="00E63CD8"/>
    <w:rsid w:val="00E640CD"/>
    <w:rsid w:val="00E65396"/>
    <w:rsid w:val="00E65C41"/>
    <w:rsid w:val="00E65E58"/>
    <w:rsid w:val="00E661DB"/>
    <w:rsid w:val="00E66A03"/>
    <w:rsid w:val="00E66C40"/>
    <w:rsid w:val="00E67476"/>
    <w:rsid w:val="00E67F91"/>
    <w:rsid w:val="00E70EE6"/>
    <w:rsid w:val="00E71130"/>
    <w:rsid w:val="00E71252"/>
    <w:rsid w:val="00E7130A"/>
    <w:rsid w:val="00E71940"/>
    <w:rsid w:val="00E71BC8"/>
    <w:rsid w:val="00E7260F"/>
    <w:rsid w:val="00E732C8"/>
    <w:rsid w:val="00E74BB3"/>
    <w:rsid w:val="00E7543A"/>
    <w:rsid w:val="00E7582C"/>
    <w:rsid w:val="00E759A9"/>
    <w:rsid w:val="00E75F22"/>
    <w:rsid w:val="00E76A04"/>
    <w:rsid w:val="00E7706C"/>
    <w:rsid w:val="00E779FC"/>
    <w:rsid w:val="00E80B72"/>
    <w:rsid w:val="00E82675"/>
    <w:rsid w:val="00E82999"/>
    <w:rsid w:val="00E848D3"/>
    <w:rsid w:val="00E8502D"/>
    <w:rsid w:val="00E8508E"/>
    <w:rsid w:val="00E85E43"/>
    <w:rsid w:val="00E86349"/>
    <w:rsid w:val="00E863FD"/>
    <w:rsid w:val="00E871BE"/>
    <w:rsid w:val="00E879CB"/>
    <w:rsid w:val="00E90155"/>
    <w:rsid w:val="00E9116F"/>
    <w:rsid w:val="00E914AD"/>
    <w:rsid w:val="00E91860"/>
    <w:rsid w:val="00E92960"/>
    <w:rsid w:val="00E93CD3"/>
    <w:rsid w:val="00E94088"/>
    <w:rsid w:val="00E9408F"/>
    <w:rsid w:val="00E946BA"/>
    <w:rsid w:val="00E95575"/>
    <w:rsid w:val="00E95F4E"/>
    <w:rsid w:val="00E96630"/>
    <w:rsid w:val="00E96A37"/>
    <w:rsid w:val="00E97027"/>
    <w:rsid w:val="00EA00A4"/>
    <w:rsid w:val="00EA0821"/>
    <w:rsid w:val="00EA1886"/>
    <w:rsid w:val="00EA3104"/>
    <w:rsid w:val="00EA31F7"/>
    <w:rsid w:val="00EA380D"/>
    <w:rsid w:val="00EA5005"/>
    <w:rsid w:val="00EA5836"/>
    <w:rsid w:val="00EA5C4B"/>
    <w:rsid w:val="00EA5FA8"/>
    <w:rsid w:val="00EA62E4"/>
    <w:rsid w:val="00EA6F90"/>
    <w:rsid w:val="00EB16A9"/>
    <w:rsid w:val="00EB1C63"/>
    <w:rsid w:val="00EB1ECC"/>
    <w:rsid w:val="00EB2581"/>
    <w:rsid w:val="00EB327A"/>
    <w:rsid w:val="00EB40C8"/>
    <w:rsid w:val="00EB4C4E"/>
    <w:rsid w:val="00EB5CD4"/>
    <w:rsid w:val="00EB60B3"/>
    <w:rsid w:val="00EB7049"/>
    <w:rsid w:val="00EB72FE"/>
    <w:rsid w:val="00EC08DC"/>
    <w:rsid w:val="00EC1345"/>
    <w:rsid w:val="00EC1C71"/>
    <w:rsid w:val="00EC218D"/>
    <w:rsid w:val="00EC28F3"/>
    <w:rsid w:val="00EC2B1A"/>
    <w:rsid w:val="00EC3113"/>
    <w:rsid w:val="00EC347A"/>
    <w:rsid w:val="00EC36B6"/>
    <w:rsid w:val="00EC4754"/>
    <w:rsid w:val="00EC542F"/>
    <w:rsid w:val="00EC6CAA"/>
    <w:rsid w:val="00ED00C7"/>
    <w:rsid w:val="00ED03F0"/>
    <w:rsid w:val="00ED06EC"/>
    <w:rsid w:val="00ED0B44"/>
    <w:rsid w:val="00ED1386"/>
    <w:rsid w:val="00ED140E"/>
    <w:rsid w:val="00ED1515"/>
    <w:rsid w:val="00ED44A4"/>
    <w:rsid w:val="00ED5094"/>
    <w:rsid w:val="00ED5156"/>
    <w:rsid w:val="00ED5317"/>
    <w:rsid w:val="00ED6673"/>
    <w:rsid w:val="00ED7A2A"/>
    <w:rsid w:val="00EE0B0F"/>
    <w:rsid w:val="00EE1B4E"/>
    <w:rsid w:val="00EE206A"/>
    <w:rsid w:val="00EE370F"/>
    <w:rsid w:val="00EE3E14"/>
    <w:rsid w:val="00EE3EEF"/>
    <w:rsid w:val="00EE5084"/>
    <w:rsid w:val="00EE52EE"/>
    <w:rsid w:val="00EE5A36"/>
    <w:rsid w:val="00EE5BA3"/>
    <w:rsid w:val="00EE5BD5"/>
    <w:rsid w:val="00EE5E84"/>
    <w:rsid w:val="00EE6199"/>
    <w:rsid w:val="00EE711E"/>
    <w:rsid w:val="00EE7275"/>
    <w:rsid w:val="00EE744F"/>
    <w:rsid w:val="00EE77B7"/>
    <w:rsid w:val="00EF0235"/>
    <w:rsid w:val="00EF02D0"/>
    <w:rsid w:val="00EF09E6"/>
    <w:rsid w:val="00EF10EC"/>
    <w:rsid w:val="00EF1B0A"/>
    <w:rsid w:val="00EF1D7F"/>
    <w:rsid w:val="00EF1EF6"/>
    <w:rsid w:val="00EF2E87"/>
    <w:rsid w:val="00EF354D"/>
    <w:rsid w:val="00EF5073"/>
    <w:rsid w:val="00EF58CD"/>
    <w:rsid w:val="00EF65BA"/>
    <w:rsid w:val="00EF6A71"/>
    <w:rsid w:val="00EF70E6"/>
    <w:rsid w:val="00EF7CF8"/>
    <w:rsid w:val="00F004E2"/>
    <w:rsid w:val="00F00B27"/>
    <w:rsid w:val="00F02C8E"/>
    <w:rsid w:val="00F03190"/>
    <w:rsid w:val="00F03535"/>
    <w:rsid w:val="00F03A99"/>
    <w:rsid w:val="00F04CDE"/>
    <w:rsid w:val="00F05290"/>
    <w:rsid w:val="00F06702"/>
    <w:rsid w:val="00F07E02"/>
    <w:rsid w:val="00F100FA"/>
    <w:rsid w:val="00F10238"/>
    <w:rsid w:val="00F10A25"/>
    <w:rsid w:val="00F10E0C"/>
    <w:rsid w:val="00F1114D"/>
    <w:rsid w:val="00F1270E"/>
    <w:rsid w:val="00F12D79"/>
    <w:rsid w:val="00F137BE"/>
    <w:rsid w:val="00F1389A"/>
    <w:rsid w:val="00F145AF"/>
    <w:rsid w:val="00F1464B"/>
    <w:rsid w:val="00F148F2"/>
    <w:rsid w:val="00F151BD"/>
    <w:rsid w:val="00F1539A"/>
    <w:rsid w:val="00F160FB"/>
    <w:rsid w:val="00F167D9"/>
    <w:rsid w:val="00F16A13"/>
    <w:rsid w:val="00F16F8D"/>
    <w:rsid w:val="00F16FA2"/>
    <w:rsid w:val="00F20424"/>
    <w:rsid w:val="00F20C3D"/>
    <w:rsid w:val="00F223D2"/>
    <w:rsid w:val="00F225FE"/>
    <w:rsid w:val="00F2311F"/>
    <w:rsid w:val="00F23820"/>
    <w:rsid w:val="00F23B86"/>
    <w:rsid w:val="00F23E8E"/>
    <w:rsid w:val="00F25118"/>
    <w:rsid w:val="00F2528A"/>
    <w:rsid w:val="00F25822"/>
    <w:rsid w:val="00F25C4A"/>
    <w:rsid w:val="00F25E5E"/>
    <w:rsid w:val="00F264E8"/>
    <w:rsid w:val="00F26BC3"/>
    <w:rsid w:val="00F27F80"/>
    <w:rsid w:val="00F301C6"/>
    <w:rsid w:val="00F30F1F"/>
    <w:rsid w:val="00F31587"/>
    <w:rsid w:val="00F318C1"/>
    <w:rsid w:val="00F31A41"/>
    <w:rsid w:val="00F31FB3"/>
    <w:rsid w:val="00F32090"/>
    <w:rsid w:val="00F32635"/>
    <w:rsid w:val="00F3294F"/>
    <w:rsid w:val="00F33276"/>
    <w:rsid w:val="00F3623F"/>
    <w:rsid w:val="00F36AFD"/>
    <w:rsid w:val="00F36C66"/>
    <w:rsid w:val="00F4204E"/>
    <w:rsid w:val="00F421C4"/>
    <w:rsid w:val="00F42568"/>
    <w:rsid w:val="00F4380B"/>
    <w:rsid w:val="00F43E9E"/>
    <w:rsid w:val="00F4418A"/>
    <w:rsid w:val="00F441D2"/>
    <w:rsid w:val="00F44474"/>
    <w:rsid w:val="00F453A1"/>
    <w:rsid w:val="00F45731"/>
    <w:rsid w:val="00F458BA"/>
    <w:rsid w:val="00F45EE4"/>
    <w:rsid w:val="00F46CDD"/>
    <w:rsid w:val="00F472BE"/>
    <w:rsid w:val="00F51BD2"/>
    <w:rsid w:val="00F52375"/>
    <w:rsid w:val="00F53F0E"/>
    <w:rsid w:val="00F5486C"/>
    <w:rsid w:val="00F549D0"/>
    <w:rsid w:val="00F54B82"/>
    <w:rsid w:val="00F55AE7"/>
    <w:rsid w:val="00F5619B"/>
    <w:rsid w:val="00F5659B"/>
    <w:rsid w:val="00F56686"/>
    <w:rsid w:val="00F56D24"/>
    <w:rsid w:val="00F60EBB"/>
    <w:rsid w:val="00F620F1"/>
    <w:rsid w:val="00F62DA6"/>
    <w:rsid w:val="00F636A6"/>
    <w:rsid w:val="00F63797"/>
    <w:rsid w:val="00F63A31"/>
    <w:rsid w:val="00F647F9"/>
    <w:rsid w:val="00F64FCD"/>
    <w:rsid w:val="00F65268"/>
    <w:rsid w:val="00F656E4"/>
    <w:rsid w:val="00F65C0A"/>
    <w:rsid w:val="00F65E7F"/>
    <w:rsid w:val="00F667CF"/>
    <w:rsid w:val="00F66AA6"/>
    <w:rsid w:val="00F6721A"/>
    <w:rsid w:val="00F67B7A"/>
    <w:rsid w:val="00F67DAE"/>
    <w:rsid w:val="00F70FF2"/>
    <w:rsid w:val="00F713E3"/>
    <w:rsid w:val="00F71BF6"/>
    <w:rsid w:val="00F72E22"/>
    <w:rsid w:val="00F73219"/>
    <w:rsid w:val="00F7327D"/>
    <w:rsid w:val="00F745D1"/>
    <w:rsid w:val="00F749AF"/>
    <w:rsid w:val="00F75528"/>
    <w:rsid w:val="00F75E6D"/>
    <w:rsid w:val="00F75F5B"/>
    <w:rsid w:val="00F76E01"/>
    <w:rsid w:val="00F77CE3"/>
    <w:rsid w:val="00F77D01"/>
    <w:rsid w:val="00F8137C"/>
    <w:rsid w:val="00F82380"/>
    <w:rsid w:val="00F8265D"/>
    <w:rsid w:val="00F83184"/>
    <w:rsid w:val="00F847B2"/>
    <w:rsid w:val="00F8521C"/>
    <w:rsid w:val="00F8547F"/>
    <w:rsid w:val="00F85C54"/>
    <w:rsid w:val="00F86121"/>
    <w:rsid w:val="00F86244"/>
    <w:rsid w:val="00F86289"/>
    <w:rsid w:val="00F87F19"/>
    <w:rsid w:val="00F90553"/>
    <w:rsid w:val="00F9057C"/>
    <w:rsid w:val="00F906D7"/>
    <w:rsid w:val="00F90D84"/>
    <w:rsid w:val="00F90EA8"/>
    <w:rsid w:val="00F90FD3"/>
    <w:rsid w:val="00F910E4"/>
    <w:rsid w:val="00F915F4"/>
    <w:rsid w:val="00F91850"/>
    <w:rsid w:val="00F9190E"/>
    <w:rsid w:val="00F91FD2"/>
    <w:rsid w:val="00F92055"/>
    <w:rsid w:val="00F93654"/>
    <w:rsid w:val="00F93781"/>
    <w:rsid w:val="00F95A0F"/>
    <w:rsid w:val="00F9669A"/>
    <w:rsid w:val="00F96BA5"/>
    <w:rsid w:val="00F976E7"/>
    <w:rsid w:val="00FA1481"/>
    <w:rsid w:val="00FA1718"/>
    <w:rsid w:val="00FA32C0"/>
    <w:rsid w:val="00FA380F"/>
    <w:rsid w:val="00FA3FFE"/>
    <w:rsid w:val="00FA447C"/>
    <w:rsid w:val="00FA4C88"/>
    <w:rsid w:val="00FA56DB"/>
    <w:rsid w:val="00FA572E"/>
    <w:rsid w:val="00FA5CB4"/>
    <w:rsid w:val="00FA5D93"/>
    <w:rsid w:val="00FA6007"/>
    <w:rsid w:val="00FA6BE1"/>
    <w:rsid w:val="00FB0360"/>
    <w:rsid w:val="00FB1408"/>
    <w:rsid w:val="00FB1B6F"/>
    <w:rsid w:val="00FB2A14"/>
    <w:rsid w:val="00FB2D1B"/>
    <w:rsid w:val="00FB4B15"/>
    <w:rsid w:val="00FB5EB5"/>
    <w:rsid w:val="00FB613B"/>
    <w:rsid w:val="00FB63BB"/>
    <w:rsid w:val="00FB6F7F"/>
    <w:rsid w:val="00FB7622"/>
    <w:rsid w:val="00FC1723"/>
    <w:rsid w:val="00FC20C0"/>
    <w:rsid w:val="00FC22CD"/>
    <w:rsid w:val="00FC2CFD"/>
    <w:rsid w:val="00FC3C3E"/>
    <w:rsid w:val="00FC5381"/>
    <w:rsid w:val="00FC6453"/>
    <w:rsid w:val="00FC68B7"/>
    <w:rsid w:val="00FC70CA"/>
    <w:rsid w:val="00FC7FC1"/>
    <w:rsid w:val="00FD0381"/>
    <w:rsid w:val="00FD0A8A"/>
    <w:rsid w:val="00FD0BF9"/>
    <w:rsid w:val="00FD1616"/>
    <w:rsid w:val="00FD1954"/>
    <w:rsid w:val="00FD23D3"/>
    <w:rsid w:val="00FD2D6B"/>
    <w:rsid w:val="00FD3EBD"/>
    <w:rsid w:val="00FD436D"/>
    <w:rsid w:val="00FD4FB8"/>
    <w:rsid w:val="00FD7631"/>
    <w:rsid w:val="00FE043D"/>
    <w:rsid w:val="00FE106A"/>
    <w:rsid w:val="00FE1292"/>
    <w:rsid w:val="00FE23E4"/>
    <w:rsid w:val="00FE3352"/>
    <w:rsid w:val="00FE3DCE"/>
    <w:rsid w:val="00FE4850"/>
    <w:rsid w:val="00FE4A04"/>
    <w:rsid w:val="00FE52FC"/>
    <w:rsid w:val="00FE68B3"/>
    <w:rsid w:val="00FE6DC3"/>
    <w:rsid w:val="00FE7356"/>
    <w:rsid w:val="00FE79C0"/>
    <w:rsid w:val="00FE7EF7"/>
    <w:rsid w:val="00FF0FD2"/>
    <w:rsid w:val="00FF128A"/>
    <w:rsid w:val="00FF1D1B"/>
    <w:rsid w:val="00FF23A7"/>
    <w:rsid w:val="00FF2878"/>
    <w:rsid w:val="00FF3FD6"/>
    <w:rsid w:val="00FF49A1"/>
    <w:rsid w:val="00FF5592"/>
    <w:rsid w:val="00FF67E9"/>
    <w:rsid w:val="00FF6837"/>
    <w:rsid w:val="00FF777F"/>
    <w:rsid w:val="00FF7920"/>
    <w:rsid w:val="00FF7D02"/>
    <w:rsid w:val="00FF7D87"/>
  </w:rsids>
  <m:mathPr>
    <m:mathFont m:val="Cambria Math"/>
    <m:brkBin m:val="before"/>
    <m:brkBinSub m:val="--"/>
    <m:smallFrac m:val="0"/>
    <m:dispDef/>
    <m:lMargin m:val="0"/>
    <m:rMargin m:val="0"/>
    <m:defJc m:val="centerGroup"/>
    <m:wrapIndent m:val="1440"/>
    <m:intLim m:val="subSup"/>
    <m:naryLim m:val="undOvr"/>
  </m:mathPr>
  <w:themeFontLang w:val="es-D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448F9"/>
  <w15:docId w15:val="{0747B895-1249-49DF-839B-AE1E98BF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83"/>
    <w:rPr>
      <w:sz w:val="24"/>
      <w:szCs w:val="24"/>
      <w:lang w:val="en-GB"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bidi="ar-SA"/>
    </w:rPr>
  </w:style>
  <w:style w:type="paragraph" w:styleId="Heading3">
    <w:name w:val="heading 3"/>
    <w:basedOn w:val="Normal"/>
    <w:next w:val="Normal"/>
    <w:link w:val="Heading3Char"/>
    <w:uiPriority w:val="99"/>
    <w:qFormat/>
    <w:rsid w:val="000272B3"/>
    <w:pPr>
      <w:suppressAutoHyphens/>
      <w:outlineLvl w:val="2"/>
    </w:pPr>
    <w:rPr>
      <w:sz w:val="20"/>
      <w:szCs w:val="20"/>
      <w:lang w:bidi="ar-SA"/>
    </w:rPr>
  </w:style>
  <w:style w:type="paragraph" w:styleId="Heading4">
    <w:name w:val="heading 4"/>
    <w:basedOn w:val="Normal"/>
    <w:next w:val="Normal"/>
    <w:link w:val="Heading4Char"/>
    <w:uiPriority w:val="99"/>
    <w:qFormat/>
    <w:rsid w:val="000272B3"/>
    <w:pPr>
      <w:suppressAutoHyphens/>
      <w:outlineLvl w:val="3"/>
    </w:pPr>
    <w:rPr>
      <w:sz w:val="20"/>
      <w:szCs w:val="20"/>
      <w:lang w:bidi="ar-SA"/>
    </w:rPr>
  </w:style>
  <w:style w:type="paragraph" w:styleId="Heading5">
    <w:name w:val="heading 5"/>
    <w:basedOn w:val="Normal"/>
    <w:next w:val="Normal"/>
    <w:link w:val="Heading5Char"/>
    <w:uiPriority w:val="99"/>
    <w:qFormat/>
    <w:rsid w:val="000272B3"/>
    <w:pPr>
      <w:suppressAutoHyphens/>
      <w:outlineLvl w:val="4"/>
    </w:pPr>
    <w:rPr>
      <w:sz w:val="20"/>
      <w:szCs w:val="20"/>
      <w:lang w:bidi="ar-SA"/>
    </w:rPr>
  </w:style>
  <w:style w:type="paragraph" w:styleId="Heading6">
    <w:name w:val="heading 6"/>
    <w:basedOn w:val="Normal"/>
    <w:next w:val="Normal"/>
    <w:link w:val="Heading6Char"/>
    <w:uiPriority w:val="99"/>
    <w:qFormat/>
    <w:rsid w:val="000272B3"/>
    <w:pPr>
      <w:suppressAutoHyphens/>
      <w:outlineLvl w:val="5"/>
    </w:pPr>
    <w:rPr>
      <w:sz w:val="20"/>
      <w:szCs w:val="20"/>
      <w:lang w:bidi="ar-SA"/>
    </w:rPr>
  </w:style>
  <w:style w:type="paragraph" w:styleId="Heading7">
    <w:name w:val="heading 7"/>
    <w:basedOn w:val="Normal"/>
    <w:next w:val="Normal"/>
    <w:link w:val="Heading7Char"/>
    <w:uiPriority w:val="99"/>
    <w:qFormat/>
    <w:rsid w:val="000272B3"/>
    <w:pPr>
      <w:suppressAutoHyphens/>
      <w:outlineLvl w:val="6"/>
    </w:pPr>
    <w:rPr>
      <w:sz w:val="20"/>
      <w:szCs w:val="20"/>
      <w:lang w:bidi="ar-SA"/>
    </w:rPr>
  </w:style>
  <w:style w:type="paragraph" w:styleId="Heading8">
    <w:name w:val="heading 8"/>
    <w:basedOn w:val="Normal"/>
    <w:next w:val="Normal"/>
    <w:link w:val="Heading8Char"/>
    <w:uiPriority w:val="99"/>
    <w:qFormat/>
    <w:rsid w:val="000272B3"/>
    <w:pPr>
      <w:suppressAutoHyphens/>
      <w:outlineLvl w:val="7"/>
    </w:pPr>
    <w:rPr>
      <w:sz w:val="20"/>
      <w:szCs w:val="20"/>
      <w:lang w:bidi="ar-SA"/>
    </w:rPr>
  </w:style>
  <w:style w:type="paragraph" w:styleId="Heading9">
    <w:name w:val="heading 9"/>
    <w:basedOn w:val="Normal"/>
    <w:next w:val="Normal"/>
    <w:link w:val="Heading9Char"/>
    <w:uiPriority w:val="99"/>
    <w:qFormat/>
    <w:rsid w:val="000272B3"/>
    <w:pPr>
      <w:suppressAutoHyphens/>
      <w:outlineLvl w:val="8"/>
    </w:pPr>
    <w:rPr>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qFormat/>
    <w:rsid w:val="000272B3"/>
    <w:pPr>
      <w:suppressAutoHyphens/>
      <w:spacing w:after="120" w:line="240" w:lineRule="atLeast"/>
      <w:ind w:left="1134" w:right="1134"/>
      <w:jc w:val="both"/>
    </w:pPr>
    <w:rPr>
      <w:sz w:val="20"/>
      <w:szCs w:val="20"/>
      <w:lang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bidi="ar-SA"/>
    </w:rPr>
  </w:style>
  <w:style w:type="paragraph" w:styleId="Header">
    <w:name w:val="header"/>
    <w:aliases w:val="6_G"/>
    <w:basedOn w:val="Normal"/>
    <w:link w:val="HeaderChar"/>
    <w:uiPriority w:val="99"/>
    <w:rsid w:val="000272B3"/>
    <w:pPr>
      <w:pBdr>
        <w:bottom w:val="single" w:sz="4" w:space="4" w:color="auto"/>
      </w:pBdr>
      <w:suppressAutoHyphens/>
    </w:pPr>
    <w:rPr>
      <w:b/>
      <w:sz w:val="18"/>
      <w:szCs w:val="20"/>
      <w:lang w:bidi="ar-SA"/>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bidi="ar-SA"/>
    </w:rPr>
  </w:style>
  <w:style w:type="paragraph" w:styleId="Footer">
    <w:name w:val="footer"/>
    <w:aliases w:val="3_G"/>
    <w:basedOn w:val="Normal"/>
    <w:link w:val="FooterChar"/>
    <w:uiPriority w:val="99"/>
    <w:rsid w:val="000272B3"/>
    <w:pPr>
      <w:suppressAutoHyphens/>
    </w:pPr>
    <w:rPr>
      <w:sz w:val="16"/>
      <w:szCs w:val="20"/>
      <w:lang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bidi="ar-SA"/>
    </w:rPr>
  </w:style>
  <w:style w:type="paragraph" w:customStyle="1" w:styleId="H23G">
    <w:name w:val="_ H_2/3_G"/>
    <w:basedOn w:val="Normal"/>
    <w:next w:val="Normal"/>
    <w:rsid w:val="000272B3"/>
    <w:pPr>
      <w:keepNext/>
      <w:keepLines/>
      <w:tabs>
        <w:tab w:val="right" w:pos="851"/>
      </w:tabs>
      <w:suppressAutoHyphens/>
      <w:spacing w:before="240" w:after="120" w:line="240" w:lineRule="exact"/>
      <w:ind w:left="1134" w:right="1134" w:hanging="1134"/>
    </w:pPr>
    <w:rPr>
      <w:b/>
      <w:sz w:val="20"/>
      <w:szCs w:val="20"/>
      <w:lang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 w:type="paragraph" w:styleId="NormalWeb">
    <w:name w:val="Normal (Web)"/>
    <w:basedOn w:val="Normal"/>
    <w:uiPriority w:val="99"/>
    <w:semiHidden/>
    <w:unhideWhenUsed/>
    <w:rsid w:val="00D73357"/>
    <w:pPr>
      <w:spacing w:before="100" w:beforeAutospacing="1" w:after="100" w:afterAutospacing="1"/>
    </w:pPr>
    <w:rPr>
      <w:lang w:eastAsia="en-GB" w:bidi="ar-SA"/>
    </w:rPr>
  </w:style>
  <w:style w:type="character" w:customStyle="1" w:styleId="BalloonTextChar1">
    <w:name w:val="Balloon Text Char1"/>
    <w:basedOn w:val="DefaultParagraphFont"/>
    <w:uiPriority w:val="99"/>
    <w:locked/>
    <w:rsid w:val="002D1250"/>
    <w:rPr>
      <w:rFonts w:ascii="Tahoma" w:hAnsi="Tahoma"/>
      <w:sz w:val="16"/>
      <w:lang w:eastAsia="en-US"/>
    </w:rPr>
  </w:style>
  <w:style w:type="character" w:customStyle="1" w:styleId="sessionsubtitle">
    <w:name w:val="sessionsubtitle"/>
    <w:basedOn w:val="DefaultParagraphFont"/>
    <w:rsid w:val="00843643"/>
  </w:style>
  <w:style w:type="paragraph" w:styleId="DocumentMap">
    <w:name w:val="Document Map"/>
    <w:basedOn w:val="Normal"/>
    <w:link w:val="DocumentMapChar"/>
    <w:uiPriority w:val="99"/>
    <w:semiHidden/>
    <w:unhideWhenUsed/>
    <w:rsid w:val="009F34DF"/>
    <w:rPr>
      <w:rFonts w:ascii="Tahoma" w:hAnsi="Tahoma" w:cs="Tahoma"/>
      <w:sz w:val="16"/>
      <w:szCs w:val="16"/>
    </w:rPr>
  </w:style>
  <w:style w:type="character" w:customStyle="1" w:styleId="DocumentMapChar">
    <w:name w:val="Document Map Char"/>
    <w:basedOn w:val="DefaultParagraphFont"/>
    <w:link w:val="DocumentMap"/>
    <w:uiPriority w:val="99"/>
    <w:semiHidden/>
    <w:rsid w:val="009F34DF"/>
    <w:rPr>
      <w:rFonts w:ascii="Tahoma" w:hAnsi="Tahoma" w:cs="Tahoma"/>
      <w:sz w:val="16"/>
      <w:szCs w:val="16"/>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0009">
      <w:bodyDiv w:val="1"/>
      <w:marLeft w:val="0"/>
      <w:marRight w:val="0"/>
      <w:marTop w:val="0"/>
      <w:marBottom w:val="0"/>
      <w:divBdr>
        <w:top w:val="none" w:sz="0" w:space="0" w:color="auto"/>
        <w:left w:val="none" w:sz="0" w:space="0" w:color="auto"/>
        <w:bottom w:val="none" w:sz="0" w:space="0" w:color="auto"/>
        <w:right w:val="none" w:sz="0" w:space="0" w:color="auto"/>
      </w:divBdr>
      <w:divsChild>
        <w:div w:id="666134112">
          <w:marLeft w:val="0"/>
          <w:marRight w:val="0"/>
          <w:marTop w:val="0"/>
          <w:marBottom w:val="0"/>
          <w:divBdr>
            <w:top w:val="none" w:sz="0" w:space="0" w:color="auto"/>
            <w:left w:val="none" w:sz="0" w:space="0" w:color="auto"/>
            <w:bottom w:val="none" w:sz="0" w:space="0" w:color="auto"/>
            <w:right w:val="none" w:sz="0" w:space="0" w:color="auto"/>
          </w:divBdr>
        </w:div>
      </w:divsChild>
    </w:div>
    <w:div w:id="352651174">
      <w:bodyDiv w:val="1"/>
      <w:marLeft w:val="0"/>
      <w:marRight w:val="0"/>
      <w:marTop w:val="0"/>
      <w:marBottom w:val="0"/>
      <w:divBdr>
        <w:top w:val="none" w:sz="0" w:space="0" w:color="auto"/>
        <w:left w:val="none" w:sz="0" w:space="0" w:color="auto"/>
        <w:bottom w:val="none" w:sz="0" w:space="0" w:color="auto"/>
        <w:right w:val="none" w:sz="0" w:space="0" w:color="auto"/>
      </w:divBdr>
    </w:div>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510337381">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631519144">
      <w:bodyDiv w:val="1"/>
      <w:marLeft w:val="0"/>
      <w:marRight w:val="0"/>
      <w:marTop w:val="0"/>
      <w:marBottom w:val="0"/>
      <w:divBdr>
        <w:top w:val="none" w:sz="0" w:space="0" w:color="auto"/>
        <w:left w:val="none" w:sz="0" w:space="0" w:color="auto"/>
        <w:bottom w:val="none" w:sz="0" w:space="0" w:color="auto"/>
        <w:right w:val="none" w:sz="0" w:space="0" w:color="auto"/>
      </w:divBdr>
    </w:div>
    <w:div w:id="643118494">
      <w:bodyDiv w:val="1"/>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741026244">
      <w:bodyDiv w:val="1"/>
      <w:marLeft w:val="0"/>
      <w:marRight w:val="0"/>
      <w:marTop w:val="0"/>
      <w:marBottom w:val="0"/>
      <w:divBdr>
        <w:top w:val="none" w:sz="0" w:space="0" w:color="auto"/>
        <w:left w:val="none" w:sz="0" w:space="0" w:color="auto"/>
        <w:bottom w:val="none" w:sz="0" w:space="0" w:color="auto"/>
        <w:right w:val="none" w:sz="0" w:space="0" w:color="auto"/>
      </w:divBdr>
    </w:div>
    <w:div w:id="1076171449">
      <w:bodyDiv w:val="1"/>
      <w:marLeft w:val="0"/>
      <w:marRight w:val="0"/>
      <w:marTop w:val="0"/>
      <w:marBottom w:val="0"/>
      <w:divBdr>
        <w:top w:val="none" w:sz="0" w:space="0" w:color="auto"/>
        <w:left w:val="none" w:sz="0" w:space="0" w:color="auto"/>
        <w:bottom w:val="none" w:sz="0" w:space="0" w:color="auto"/>
        <w:right w:val="none" w:sz="0" w:space="0" w:color="auto"/>
      </w:divBdr>
    </w:div>
    <w:div w:id="1085496558">
      <w:bodyDiv w:val="1"/>
      <w:marLeft w:val="0"/>
      <w:marRight w:val="0"/>
      <w:marTop w:val="0"/>
      <w:marBottom w:val="0"/>
      <w:divBdr>
        <w:top w:val="none" w:sz="0" w:space="0" w:color="auto"/>
        <w:left w:val="none" w:sz="0" w:space="0" w:color="auto"/>
        <w:bottom w:val="none" w:sz="0" w:space="0" w:color="auto"/>
        <w:right w:val="none" w:sz="0" w:space="0" w:color="auto"/>
      </w:divBdr>
    </w:div>
    <w:div w:id="1119909932">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1641496687">
      <w:bodyDiv w:val="1"/>
      <w:marLeft w:val="0"/>
      <w:marRight w:val="0"/>
      <w:marTop w:val="0"/>
      <w:marBottom w:val="0"/>
      <w:divBdr>
        <w:top w:val="none" w:sz="0" w:space="0" w:color="auto"/>
        <w:left w:val="none" w:sz="0" w:space="0" w:color="auto"/>
        <w:bottom w:val="none" w:sz="0" w:space="0" w:color="auto"/>
        <w:right w:val="none" w:sz="0" w:space="0" w:color="auto"/>
      </w:divBdr>
    </w:div>
    <w:div w:id="1770617172">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norm/---declaration/documents/publication/wcms_203832.pdf" TargetMode="External"/><Relationship Id="rId1" Type="http://schemas.openxmlformats.org/officeDocument/2006/relationships/hyperlink" Target="https://www.ohchr.org/Documents/Publications/FS3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3930E-0E4F-406B-9B45-064D37F60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68208-0571-4E6E-9A90-7D1E09A1C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CD9CBB-C9AD-4726-9B04-BB14B11B1D97}">
  <ds:schemaRefs>
    <ds:schemaRef ds:uri="http://schemas.openxmlformats.org/officeDocument/2006/bibliography"/>
  </ds:schemaRefs>
</ds:datastoreItem>
</file>

<file path=customXml/itemProps4.xml><?xml version="1.0" encoding="utf-8"?>
<ds:datastoreItem xmlns:ds="http://schemas.openxmlformats.org/officeDocument/2006/customXml" ds:itemID="{C56D64CC-A7EE-45CE-9029-81FEB7B42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6062</Words>
  <Characters>34559</Characters>
  <Application>Microsoft Office Word</Application>
  <DocSecurity>0</DocSecurity>
  <Lines>287</Lines>
  <Paragraphs>81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CCPR/C/130/DR/3052/2017/Rev.1</vt:lpstr>
      <vt:lpstr>CCPR/C/130/DR/3052/2017</vt:lpstr>
      <vt:lpstr>CCPR/C/WG/125/DR/2313/2013</vt:lpstr>
      <vt:lpstr>1610356</vt:lpstr>
    </vt:vector>
  </TitlesOfParts>
  <Company>CSD</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CCPR/C/130/DR/3052/2017/Rev.1</dc:title>
  <dc:subject>2013622</dc:subject>
  <dc:creator>temp Neogi</dc:creator>
  <cp:keywords/>
  <dc:description/>
  <cp:lastModifiedBy>Daniella Ferreira</cp:lastModifiedBy>
  <cp:revision>2</cp:revision>
  <cp:lastPrinted>2021-04-07T06:59:00Z</cp:lastPrinted>
  <dcterms:created xsi:type="dcterms:W3CDTF">2021-04-13T18:41:00Z</dcterms:created>
  <dcterms:modified xsi:type="dcterms:W3CDTF">2021-04-13T18:41:00Z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