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10"/>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8D1724" w:rsidRPr="00F44035" w14:paraId="764B3EB7" w14:textId="77777777" w:rsidTr="008C1845">
        <w:trPr>
          <w:cantSplit/>
          <w:trHeight w:hRule="exact" w:val="851"/>
        </w:trPr>
        <w:tc>
          <w:tcPr>
            <w:tcW w:w="1276" w:type="dxa"/>
            <w:tcBorders>
              <w:bottom w:val="single" w:sz="4" w:space="0" w:color="auto"/>
            </w:tcBorders>
            <w:vAlign w:val="bottom"/>
          </w:tcPr>
          <w:p w14:paraId="54F05D9C" w14:textId="77777777" w:rsidR="00FB6500" w:rsidRPr="008C6CEE" w:rsidRDefault="00FB6500" w:rsidP="00FB6500">
            <w:pPr>
              <w:spacing w:after="80"/>
              <w:rPr>
                <w:lang w:val="ru-RU"/>
              </w:rPr>
            </w:pPr>
          </w:p>
        </w:tc>
        <w:tc>
          <w:tcPr>
            <w:tcW w:w="2268" w:type="dxa"/>
            <w:tcBorders>
              <w:bottom w:val="single" w:sz="4" w:space="0" w:color="auto"/>
            </w:tcBorders>
            <w:vAlign w:val="bottom"/>
          </w:tcPr>
          <w:p w14:paraId="24440C6E" w14:textId="77777777" w:rsidR="00FB6500" w:rsidRPr="00FB6500" w:rsidRDefault="00FB6500" w:rsidP="00FB6500">
            <w:pPr>
              <w:spacing w:after="80" w:line="300" w:lineRule="exact"/>
              <w:rPr>
                <w:b/>
                <w:sz w:val="24"/>
                <w:szCs w:val="24"/>
              </w:rPr>
            </w:pPr>
            <w:r w:rsidRPr="00FB6500">
              <w:rPr>
                <w:sz w:val="28"/>
                <w:szCs w:val="28"/>
              </w:rPr>
              <w:t>United Nations</w:t>
            </w:r>
          </w:p>
        </w:tc>
        <w:tc>
          <w:tcPr>
            <w:tcW w:w="6095" w:type="dxa"/>
            <w:gridSpan w:val="2"/>
            <w:tcBorders>
              <w:bottom w:val="single" w:sz="4" w:space="0" w:color="auto"/>
            </w:tcBorders>
            <w:vAlign w:val="bottom"/>
          </w:tcPr>
          <w:p w14:paraId="619D9ADF" w14:textId="4551EEDA" w:rsidR="00FB6500" w:rsidRPr="00060188" w:rsidRDefault="00FB6500" w:rsidP="001E5553">
            <w:pPr>
              <w:suppressAutoHyphens w:val="0"/>
              <w:spacing w:after="20"/>
              <w:jc w:val="right"/>
              <w:rPr>
                <w:color w:val="1D1B11" w:themeColor="background2" w:themeShade="1A"/>
                <w:sz w:val="40"/>
              </w:rPr>
            </w:pPr>
            <w:r w:rsidRPr="00060188">
              <w:rPr>
                <w:color w:val="1D1B11" w:themeColor="background2" w:themeShade="1A"/>
                <w:sz w:val="40"/>
              </w:rPr>
              <w:t>CCPR</w:t>
            </w:r>
            <w:r w:rsidRPr="00060188">
              <w:rPr>
                <w:color w:val="1D1B11" w:themeColor="background2" w:themeShade="1A"/>
              </w:rPr>
              <w:t>/C/</w:t>
            </w:r>
            <w:r w:rsidR="008D1724" w:rsidRPr="00060188">
              <w:rPr>
                <w:color w:val="1D1B11" w:themeColor="background2" w:themeShade="1A"/>
              </w:rPr>
              <w:t>1</w:t>
            </w:r>
            <w:r w:rsidR="001E5553">
              <w:rPr>
                <w:color w:val="1D1B11" w:themeColor="background2" w:themeShade="1A"/>
              </w:rPr>
              <w:t>30</w:t>
            </w:r>
            <w:r w:rsidRPr="00060188">
              <w:rPr>
                <w:color w:val="1D1B11" w:themeColor="background2" w:themeShade="1A"/>
              </w:rPr>
              <w:t>/D/</w:t>
            </w:r>
            <w:r w:rsidR="001E5553">
              <w:rPr>
                <w:color w:val="1D1B11" w:themeColor="background2" w:themeShade="1A"/>
              </w:rPr>
              <w:t>2757</w:t>
            </w:r>
            <w:r w:rsidR="00F17547">
              <w:rPr>
                <w:color w:val="1D1B11" w:themeColor="background2" w:themeShade="1A"/>
              </w:rPr>
              <w:t>/2016</w:t>
            </w:r>
          </w:p>
        </w:tc>
      </w:tr>
      <w:tr w:rsidR="00FB6500" w:rsidRPr="00FB6500" w14:paraId="3A9C1453" w14:textId="77777777" w:rsidTr="008C1845">
        <w:trPr>
          <w:cantSplit/>
          <w:trHeight w:hRule="exact" w:val="2835"/>
        </w:trPr>
        <w:tc>
          <w:tcPr>
            <w:tcW w:w="1276" w:type="dxa"/>
            <w:tcBorders>
              <w:top w:val="single" w:sz="4" w:space="0" w:color="auto"/>
              <w:bottom w:val="single" w:sz="12" w:space="0" w:color="auto"/>
            </w:tcBorders>
          </w:tcPr>
          <w:p w14:paraId="3FB1ED4A" w14:textId="77777777" w:rsidR="00FB6500" w:rsidRPr="00FB6500" w:rsidRDefault="00FB6500" w:rsidP="00FB6500">
            <w:pPr>
              <w:spacing w:before="120"/>
            </w:pPr>
            <w:r w:rsidRPr="00FB6500">
              <w:rPr>
                <w:noProof/>
                <w:lang w:eastAsia="en-GB"/>
              </w:rPr>
              <w:drawing>
                <wp:inline distT="0" distB="0" distL="0" distR="0" wp14:anchorId="24B53AF4" wp14:editId="57A35EBB">
                  <wp:extent cx="714375" cy="590550"/>
                  <wp:effectExtent l="0" t="0" r="9525" b="0"/>
                  <wp:docPr id="3" name="Picture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5D32943" w14:textId="77777777" w:rsidR="00FB6500" w:rsidRDefault="00FB6500" w:rsidP="00FB6500">
            <w:pPr>
              <w:spacing w:before="120" w:line="380" w:lineRule="exact"/>
              <w:rPr>
                <w:b/>
                <w:sz w:val="34"/>
                <w:szCs w:val="40"/>
              </w:rPr>
            </w:pPr>
            <w:r w:rsidRPr="00FB6500">
              <w:rPr>
                <w:b/>
                <w:sz w:val="34"/>
                <w:szCs w:val="40"/>
              </w:rPr>
              <w:t>International Covenant on</w:t>
            </w:r>
            <w:r w:rsidRPr="00FB6500">
              <w:rPr>
                <w:b/>
                <w:sz w:val="34"/>
                <w:szCs w:val="40"/>
              </w:rPr>
              <w:br/>
              <w:t>Civil and Political Rights</w:t>
            </w:r>
          </w:p>
          <w:p w14:paraId="5BDBC6F3" w14:textId="77777777" w:rsidR="00D26495" w:rsidRDefault="00D26495" w:rsidP="00FB6500">
            <w:pPr>
              <w:spacing w:before="120" w:line="380" w:lineRule="exact"/>
              <w:rPr>
                <w:b/>
                <w:sz w:val="34"/>
                <w:szCs w:val="40"/>
              </w:rPr>
            </w:pPr>
          </w:p>
          <w:p w14:paraId="2D06B4E8" w14:textId="77777777" w:rsidR="00D26495" w:rsidRDefault="00D26495" w:rsidP="00D26495">
            <w:pPr>
              <w:spacing w:before="120" w:line="380" w:lineRule="exact"/>
              <w:rPr>
                <w:b/>
                <w:sz w:val="34"/>
                <w:szCs w:val="34"/>
              </w:rPr>
            </w:pPr>
            <w:r w:rsidRPr="000921E9">
              <w:rPr>
                <w:sz w:val="34"/>
                <w:szCs w:val="40"/>
              </w:rPr>
              <w:t>Advance unedited version</w:t>
            </w:r>
          </w:p>
          <w:p w14:paraId="27E8FEA2" w14:textId="40E2E79A" w:rsidR="00D26495" w:rsidRPr="00FB6500" w:rsidRDefault="00D26495" w:rsidP="00FB6500">
            <w:pPr>
              <w:spacing w:before="120" w:line="380" w:lineRule="exact"/>
              <w:rPr>
                <w:sz w:val="34"/>
              </w:rPr>
            </w:pPr>
          </w:p>
        </w:tc>
        <w:tc>
          <w:tcPr>
            <w:tcW w:w="2835" w:type="dxa"/>
            <w:tcBorders>
              <w:top w:val="single" w:sz="4" w:space="0" w:color="auto"/>
              <w:bottom w:val="single" w:sz="12" w:space="0" w:color="auto"/>
            </w:tcBorders>
          </w:tcPr>
          <w:p w14:paraId="3BD85BD9" w14:textId="517D3EC2" w:rsidR="00B54943" w:rsidRPr="00B54943" w:rsidRDefault="00B54943" w:rsidP="00A8132E">
            <w:pPr>
              <w:spacing w:before="240" w:line="240" w:lineRule="exact"/>
            </w:pPr>
            <w:r w:rsidRPr="00B54943">
              <w:t xml:space="preserve">Distr.: </w:t>
            </w:r>
            <w:r w:rsidR="00A8132E">
              <w:rPr>
                <w:lang w:val="en-US"/>
              </w:rPr>
              <w:t>General</w:t>
            </w:r>
          </w:p>
          <w:p w14:paraId="76485A1D" w14:textId="2FF262F1" w:rsidR="00B54943" w:rsidRPr="00B54943" w:rsidRDefault="001A57AF" w:rsidP="00B54943">
            <w:pPr>
              <w:spacing w:line="240" w:lineRule="exact"/>
            </w:pPr>
            <w:r>
              <w:t>26 March</w:t>
            </w:r>
            <w:r w:rsidR="00A8132E">
              <w:t xml:space="preserve"> </w:t>
            </w:r>
            <w:r w:rsidR="00A031D5">
              <w:t>20</w:t>
            </w:r>
            <w:r w:rsidR="001E5553">
              <w:t>2</w:t>
            </w:r>
            <w:r>
              <w:t>1</w:t>
            </w:r>
          </w:p>
          <w:p w14:paraId="74AF9633" w14:textId="77777777" w:rsidR="00FB6500" w:rsidRPr="00FB6500" w:rsidRDefault="00FB6500" w:rsidP="00FB6500">
            <w:pPr>
              <w:suppressAutoHyphens w:val="0"/>
            </w:pPr>
          </w:p>
          <w:p w14:paraId="0F222B20" w14:textId="26F02659" w:rsidR="00FB6500" w:rsidRPr="00FB6500" w:rsidRDefault="00FB6500" w:rsidP="00FB6500">
            <w:pPr>
              <w:suppressAutoHyphens w:val="0"/>
            </w:pPr>
            <w:r w:rsidRPr="00FB6500">
              <w:t>Original: English</w:t>
            </w:r>
          </w:p>
          <w:p w14:paraId="2CDD2333" w14:textId="00CA8A80" w:rsidR="00FB6500" w:rsidRPr="00FB6500" w:rsidRDefault="00FB6500" w:rsidP="00FB6500">
            <w:pPr>
              <w:suppressAutoHyphens w:val="0"/>
            </w:pPr>
          </w:p>
        </w:tc>
      </w:tr>
    </w:tbl>
    <w:p w14:paraId="4C9FBFB5" w14:textId="77777777" w:rsidR="007A0330" w:rsidRPr="00E26A4E" w:rsidRDefault="007A0330" w:rsidP="007A0330">
      <w:pPr>
        <w:spacing w:before="120"/>
        <w:rPr>
          <w:b/>
          <w:sz w:val="24"/>
          <w:szCs w:val="24"/>
        </w:rPr>
      </w:pPr>
      <w:r w:rsidRPr="00E26A4E">
        <w:rPr>
          <w:b/>
          <w:sz w:val="24"/>
          <w:szCs w:val="24"/>
        </w:rPr>
        <w:t>Human Rights Committee</w:t>
      </w:r>
    </w:p>
    <w:p w14:paraId="0EF5C7C7" w14:textId="42C66C96" w:rsidR="00FB6500" w:rsidRPr="005449E3" w:rsidRDefault="00FB6500" w:rsidP="00D26495">
      <w:pPr>
        <w:pStyle w:val="HChG"/>
      </w:pPr>
      <w:r w:rsidRPr="005449E3">
        <w:tab/>
      </w:r>
      <w:r w:rsidRPr="005449E3">
        <w:tab/>
      </w:r>
      <w:r w:rsidR="00A8132E" w:rsidRPr="00A8132E">
        <w:t xml:space="preserve">Views adopted by the Committee under article 5 (4) of the Optional Protocol, concerning </w:t>
      </w:r>
      <w:r w:rsidR="00A8132E">
        <w:t>c</w:t>
      </w:r>
      <w:r w:rsidRPr="005449E3">
        <w:t>ommunication No</w:t>
      </w:r>
      <w:r w:rsidRPr="005449E3">
        <w:rPr>
          <w:color w:val="1D1B11" w:themeColor="background2" w:themeShade="1A"/>
        </w:rPr>
        <w:t xml:space="preserve">. </w:t>
      </w:r>
      <w:r w:rsidR="00F17547" w:rsidRPr="005449E3">
        <w:rPr>
          <w:color w:val="1D1B11" w:themeColor="background2" w:themeShade="1A"/>
        </w:rPr>
        <w:t>2</w:t>
      </w:r>
      <w:r w:rsidR="00F17547">
        <w:rPr>
          <w:color w:val="1D1B11" w:themeColor="background2" w:themeShade="1A"/>
        </w:rPr>
        <w:t>7</w:t>
      </w:r>
      <w:r w:rsidR="001E5553">
        <w:rPr>
          <w:color w:val="1D1B11" w:themeColor="background2" w:themeShade="1A"/>
        </w:rPr>
        <w:t>5</w:t>
      </w:r>
      <w:r w:rsidR="00F17547">
        <w:rPr>
          <w:color w:val="1D1B11" w:themeColor="background2" w:themeShade="1A"/>
        </w:rPr>
        <w:t>7</w:t>
      </w:r>
      <w:r w:rsidR="00E50D0C" w:rsidRPr="005449E3">
        <w:rPr>
          <w:color w:val="1D1B11" w:themeColor="background2" w:themeShade="1A"/>
        </w:rPr>
        <w:t>/</w:t>
      </w:r>
      <w:r w:rsidR="00F17547" w:rsidRPr="005449E3">
        <w:rPr>
          <w:color w:val="1D1B11" w:themeColor="background2" w:themeShade="1A"/>
        </w:rPr>
        <w:t>201</w:t>
      </w:r>
      <w:r w:rsidR="00F17547">
        <w:rPr>
          <w:color w:val="1D1B11" w:themeColor="background2" w:themeShade="1A"/>
        </w:rPr>
        <w:t>6</w:t>
      </w:r>
      <w:r w:rsidR="00A8132E" w:rsidRPr="00D26495">
        <w:rPr>
          <w:rStyle w:val="FootnoteReference"/>
          <w:b w:val="0"/>
          <w:color w:val="1D1B11" w:themeColor="background2" w:themeShade="1A"/>
          <w:sz w:val="20"/>
          <w:vertAlign w:val="baseline"/>
        </w:rPr>
        <w:footnoteReference w:customMarkFollows="1" w:id="2"/>
        <w:t>*</w:t>
      </w:r>
      <w:r w:rsidR="00A8132E" w:rsidRPr="00D26495">
        <w:rPr>
          <w:color w:val="1D1B11" w:themeColor="background2" w:themeShade="1A"/>
          <w:vertAlign w:val="superscript"/>
        </w:rPr>
        <w:t>,</w:t>
      </w:r>
      <w:r w:rsidR="00A8132E" w:rsidRPr="00D26495">
        <w:rPr>
          <w:rStyle w:val="FootnoteReference"/>
          <w:b w:val="0"/>
          <w:color w:val="1D1B11" w:themeColor="background2" w:themeShade="1A"/>
          <w:sz w:val="20"/>
          <w:vertAlign w:val="baseline"/>
        </w:rPr>
        <w:footnoteReference w:customMarkFollows="1" w:id="3"/>
        <w:t>**</w:t>
      </w:r>
      <w:r w:rsidR="00A8132E" w:rsidRPr="00D26495">
        <w:rPr>
          <w:color w:val="1D1B11" w:themeColor="background2" w:themeShade="1A"/>
          <w:vertAlign w:val="superscript"/>
        </w:rPr>
        <w:t>,</w:t>
      </w:r>
      <w:r w:rsidR="00A8132E" w:rsidRPr="00D26495">
        <w:rPr>
          <w:rStyle w:val="FootnoteReference"/>
          <w:b w:val="0"/>
          <w:color w:val="1D1B11" w:themeColor="background2" w:themeShade="1A"/>
          <w:sz w:val="20"/>
          <w:vertAlign w:val="baseline"/>
        </w:rPr>
        <w:footnoteReference w:customMarkFollows="1" w:id="4"/>
        <w:t>***</w:t>
      </w:r>
    </w:p>
    <w:p w14:paraId="05FDD5CB" w14:textId="073087E5" w:rsidR="00FB6500" w:rsidRPr="005449E3" w:rsidRDefault="00FB6500">
      <w:pPr>
        <w:keepNext/>
        <w:keepLines/>
        <w:tabs>
          <w:tab w:val="right" w:pos="851"/>
        </w:tabs>
        <w:spacing w:before="360" w:after="240" w:line="270" w:lineRule="exact"/>
        <w:ind w:left="1134" w:right="1134" w:hanging="1134"/>
        <w:rPr>
          <w:rFonts w:eastAsia="MS Mincho"/>
          <w:b/>
          <w:sz w:val="24"/>
        </w:rPr>
      </w:pPr>
      <w:r w:rsidRPr="005449E3">
        <w:rPr>
          <w:rFonts w:eastAsia="MS Mincho"/>
          <w:b/>
          <w:sz w:val="24"/>
        </w:rPr>
        <w:tab/>
      </w:r>
      <w:r w:rsidRPr="005449E3">
        <w:rPr>
          <w:rFonts w:eastAsia="MS Mincho"/>
          <w:b/>
          <w:sz w:val="24"/>
        </w:rPr>
        <w:tab/>
      </w:r>
    </w:p>
    <w:tbl>
      <w:tblPr>
        <w:tblStyle w:val="TableGrid10"/>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119"/>
        <w:gridCol w:w="3685"/>
      </w:tblGrid>
      <w:tr w:rsidR="00FB6500" w:rsidRPr="005449E3" w14:paraId="6A943508" w14:textId="77777777" w:rsidTr="008C1845">
        <w:tc>
          <w:tcPr>
            <w:tcW w:w="3119" w:type="dxa"/>
          </w:tcPr>
          <w:p w14:paraId="75FF7E92" w14:textId="77777777" w:rsidR="00FB6500" w:rsidRPr="005449E3" w:rsidRDefault="00FB6500" w:rsidP="00FB6500">
            <w:pPr>
              <w:spacing w:after="120"/>
              <w:rPr>
                <w:rFonts w:eastAsia="SimSun"/>
                <w:i/>
                <w:lang w:eastAsia="zh-CN"/>
              </w:rPr>
            </w:pPr>
            <w:r w:rsidRPr="005449E3">
              <w:rPr>
                <w:rFonts w:eastAsia="SimSun"/>
                <w:i/>
                <w:lang w:eastAsia="zh-CN"/>
              </w:rPr>
              <w:t>Communication submitted by:</w:t>
            </w:r>
          </w:p>
        </w:tc>
        <w:tc>
          <w:tcPr>
            <w:tcW w:w="3685" w:type="dxa"/>
          </w:tcPr>
          <w:p w14:paraId="65A79F39" w14:textId="5DCFEA5D" w:rsidR="00FB6500" w:rsidRPr="005449E3" w:rsidRDefault="00B90C21" w:rsidP="00B90C21">
            <w:pPr>
              <w:spacing w:after="120"/>
              <w:rPr>
                <w:rFonts w:eastAsia="SimSun"/>
                <w:lang w:eastAsia="zh-CN"/>
              </w:rPr>
            </w:pPr>
            <w:r w:rsidRPr="00B90C21">
              <w:rPr>
                <w:rFonts w:eastAsia="SimSun"/>
                <w:lang w:eastAsia="zh-CN"/>
              </w:rPr>
              <w:t>Nikolai</w:t>
            </w:r>
            <w:r w:rsidRPr="00B90C21" w:rsidDel="00B90C21">
              <w:rPr>
                <w:rFonts w:eastAsia="SimSun"/>
                <w:lang w:eastAsia="zh-CN"/>
              </w:rPr>
              <w:t xml:space="preserve"> </w:t>
            </w:r>
            <w:r w:rsidR="00D01686" w:rsidRPr="00B90C21">
              <w:rPr>
                <w:rFonts w:eastAsia="SimSun"/>
                <w:lang w:eastAsia="zh-CN"/>
              </w:rPr>
              <w:t>Alekseev</w:t>
            </w:r>
          </w:p>
        </w:tc>
      </w:tr>
      <w:tr w:rsidR="00FB6500" w:rsidRPr="005449E3" w14:paraId="2403C5D6" w14:textId="77777777" w:rsidTr="008C1845">
        <w:tc>
          <w:tcPr>
            <w:tcW w:w="3119" w:type="dxa"/>
          </w:tcPr>
          <w:p w14:paraId="52C36040" w14:textId="77777777" w:rsidR="00FB6500" w:rsidRPr="005449E3" w:rsidRDefault="00FB6500" w:rsidP="00FB6500">
            <w:pPr>
              <w:spacing w:after="120"/>
              <w:rPr>
                <w:rFonts w:eastAsia="SimSun"/>
                <w:i/>
                <w:lang w:eastAsia="zh-CN"/>
              </w:rPr>
            </w:pPr>
            <w:r w:rsidRPr="005449E3">
              <w:rPr>
                <w:rFonts w:eastAsia="SimSun"/>
                <w:i/>
                <w:lang w:eastAsia="zh-CN"/>
              </w:rPr>
              <w:t>Alleged victim:</w:t>
            </w:r>
          </w:p>
        </w:tc>
        <w:tc>
          <w:tcPr>
            <w:tcW w:w="3685" w:type="dxa"/>
          </w:tcPr>
          <w:p w14:paraId="2C506A1E" w14:textId="378478A7" w:rsidR="00FB6500" w:rsidRPr="005449E3" w:rsidRDefault="00634A7D" w:rsidP="00FB6500">
            <w:pPr>
              <w:spacing w:after="120"/>
              <w:rPr>
                <w:rFonts w:eastAsia="SimSun"/>
                <w:lang w:eastAsia="zh-CN"/>
              </w:rPr>
            </w:pPr>
            <w:r w:rsidRPr="005449E3">
              <w:rPr>
                <w:rFonts w:eastAsia="SimSun"/>
                <w:lang w:eastAsia="zh-CN"/>
              </w:rPr>
              <w:t>The author</w:t>
            </w:r>
          </w:p>
        </w:tc>
      </w:tr>
      <w:tr w:rsidR="00FB6500" w:rsidRPr="005449E3" w14:paraId="1ABFC0B9" w14:textId="77777777" w:rsidTr="008C1845">
        <w:tc>
          <w:tcPr>
            <w:tcW w:w="3119" w:type="dxa"/>
          </w:tcPr>
          <w:p w14:paraId="3FC95A6A" w14:textId="77777777" w:rsidR="00FB6500" w:rsidRPr="005449E3" w:rsidRDefault="00FB6500" w:rsidP="00FB6500">
            <w:pPr>
              <w:spacing w:after="120"/>
              <w:rPr>
                <w:rFonts w:eastAsia="SimSun"/>
                <w:i/>
                <w:lang w:eastAsia="zh-CN"/>
              </w:rPr>
            </w:pPr>
            <w:r w:rsidRPr="005449E3">
              <w:rPr>
                <w:rFonts w:eastAsia="SimSun"/>
                <w:i/>
                <w:lang w:eastAsia="zh-CN"/>
              </w:rPr>
              <w:t>State party:</w:t>
            </w:r>
          </w:p>
        </w:tc>
        <w:tc>
          <w:tcPr>
            <w:tcW w:w="3685" w:type="dxa"/>
          </w:tcPr>
          <w:p w14:paraId="2A9E6CC6" w14:textId="23ECFEBD" w:rsidR="00FB6500" w:rsidRPr="005449E3" w:rsidRDefault="00B90C21" w:rsidP="00FB6500">
            <w:pPr>
              <w:spacing w:after="120"/>
              <w:rPr>
                <w:rFonts w:eastAsia="SimSun"/>
                <w:lang w:eastAsia="zh-CN"/>
              </w:rPr>
            </w:pPr>
            <w:r>
              <w:rPr>
                <w:rFonts w:eastAsia="SimSun"/>
                <w:lang w:eastAsia="zh-CN"/>
              </w:rPr>
              <w:t>Russia</w:t>
            </w:r>
            <w:r w:rsidR="00D171DC">
              <w:rPr>
                <w:rFonts w:eastAsia="SimSun"/>
                <w:lang w:eastAsia="zh-CN"/>
              </w:rPr>
              <w:t>n Federation</w:t>
            </w:r>
            <w:r w:rsidRPr="005449E3">
              <w:rPr>
                <w:rFonts w:eastAsia="SimSun"/>
                <w:lang w:eastAsia="zh-CN"/>
              </w:rPr>
              <w:t xml:space="preserve"> </w:t>
            </w:r>
          </w:p>
        </w:tc>
      </w:tr>
      <w:tr w:rsidR="00FB6500" w:rsidRPr="005449E3" w14:paraId="6E80899B" w14:textId="77777777" w:rsidTr="008C1845">
        <w:tc>
          <w:tcPr>
            <w:tcW w:w="3119" w:type="dxa"/>
          </w:tcPr>
          <w:p w14:paraId="4951360C" w14:textId="77777777" w:rsidR="00FB6500" w:rsidRPr="005449E3" w:rsidRDefault="00FB6500" w:rsidP="00FB6500">
            <w:pPr>
              <w:spacing w:after="120"/>
              <w:rPr>
                <w:rFonts w:eastAsia="SimSun"/>
                <w:i/>
                <w:lang w:eastAsia="zh-CN"/>
              </w:rPr>
            </w:pPr>
            <w:r w:rsidRPr="005449E3">
              <w:rPr>
                <w:rFonts w:eastAsia="SimSun"/>
                <w:i/>
                <w:lang w:eastAsia="zh-CN"/>
              </w:rPr>
              <w:t>Date of communication:</w:t>
            </w:r>
          </w:p>
        </w:tc>
        <w:tc>
          <w:tcPr>
            <w:tcW w:w="3685" w:type="dxa"/>
          </w:tcPr>
          <w:p w14:paraId="4B935714" w14:textId="72BEEFDF" w:rsidR="00FB6500" w:rsidRPr="005449E3" w:rsidRDefault="001E5553" w:rsidP="00B90C21">
            <w:pPr>
              <w:spacing w:after="120"/>
            </w:pPr>
            <w:r>
              <w:t>10</w:t>
            </w:r>
            <w:r w:rsidR="00B90C21" w:rsidRPr="005449E3">
              <w:t xml:space="preserve"> </w:t>
            </w:r>
            <w:r>
              <w:t>February</w:t>
            </w:r>
            <w:r w:rsidR="00B90C21" w:rsidRPr="005449E3">
              <w:t xml:space="preserve"> 201</w:t>
            </w:r>
            <w:r>
              <w:t>6</w:t>
            </w:r>
            <w:r w:rsidR="00B90C21" w:rsidRPr="005449E3">
              <w:t xml:space="preserve"> </w:t>
            </w:r>
            <w:r w:rsidR="00FB6500" w:rsidRPr="005449E3">
              <w:t>(initial submission)</w:t>
            </w:r>
            <w:r w:rsidR="00A65044">
              <w:t xml:space="preserve"> </w:t>
            </w:r>
          </w:p>
        </w:tc>
      </w:tr>
      <w:tr w:rsidR="00FB6500" w:rsidRPr="005449E3" w14:paraId="02366232" w14:textId="77777777" w:rsidTr="008C1845">
        <w:tc>
          <w:tcPr>
            <w:tcW w:w="3119" w:type="dxa"/>
          </w:tcPr>
          <w:p w14:paraId="542BFC5D" w14:textId="77777777" w:rsidR="00FB6500" w:rsidRPr="005449E3" w:rsidRDefault="00FB6500" w:rsidP="00FB6500">
            <w:pPr>
              <w:spacing w:after="120"/>
              <w:rPr>
                <w:rFonts w:eastAsia="SimSun"/>
                <w:i/>
                <w:lang w:eastAsia="zh-CN"/>
              </w:rPr>
            </w:pPr>
            <w:r w:rsidRPr="005449E3">
              <w:rPr>
                <w:rFonts w:eastAsia="SimSun"/>
                <w:i/>
                <w:lang w:eastAsia="zh-CN"/>
              </w:rPr>
              <w:t>Document references:</w:t>
            </w:r>
          </w:p>
        </w:tc>
        <w:tc>
          <w:tcPr>
            <w:tcW w:w="3685" w:type="dxa"/>
          </w:tcPr>
          <w:p w14:paraId="367D5BC5" w14:textId="3DCD644D" w:rsidR="00FB6500" w:rsidRPr="005449E3" w:rsidRDefault="00F44035" w:rsidP="00AF3592">
            <w:pPr>
              <w:spacing w:after="120"/>
              <w:rPr>
                <w:rFonts w:eastAsia="SimSun"/>
                <w:lang w:eastAsia="zh-CN"/>
              </w:rPr>
            </w:pPr>
            <w:r w:rsidRPr="005449E3">
              <w:t xml:space="preserve">Special Rapporteur’s rule </w:t>
            </w:r>
            <w:r w:rsidR="00AF3592" w:rsidRPr="005449E3">
              <w:t>9</w:t>
            </w:r>
            <w:r w:rsidR="00AF3592">
              <w:t>2</w:t>
            </w:r>
            <w:r w:rsidR="00AF3592" w:rsidRPr="005449E3">
              <w:t xml:space="preserve"> </w:t>
            </w:r>
            <w:r w:rsidRPr="005449E3">
              <w:t xml:space="preserve">decision, transmitted to the State party on </w:t>
            </w:r>
            <w:r w:rsidR="00B90C21">
              <w:t>15</w:t>
            </w:r>
            <w:r w:rsidR="00B90C21" w:rsidRPr="005449E3">
              <w:t xml:space="preserve"> </w:t>
            </w:r>
            <w:r w:rsidR="00B90C21">
              <w:t>February 2016</w:t>
            </w:r>
            <w:r w:rsidR="00B90C21" w:rsidRPr="005449E3">
              <w:t xml:space="preserve"> </w:t>
            </w:r>
            <w:r w:rsidRPr="005449E3">
              <w:t xml:space="preserve"> (not issued in document form)</w:t>
            </w:r>
          </w:p>
        </w:tc>
      </w:tr>
      <w:tr w:rsidR="00FB6500" w:rsidRPr="005449E3" w14:paraId="2D9FA9A9" w14:textId="77777777" w:rsidTr="008C1845">
        <w:tc>
          <w:tcPr>
            <w:tcW w:w="3119" w:type="dxa"/>
          </w:tcPr>
          <w:p w14:paraId="7B61D288" w14:textId="77777777" w:rsidR="00FB6500" w:rsidRPr="005449E3" w:rsidRDefault="00FB6500" w:rsidP="00FB6500">
            <w:pPr>
              <w:spacing w:after="120"/>
              <w:rPr>
                <w:rFonts w:eastAsia="SimSun"/>
                <w:i/>
                <w:lang w:eastAsia="zh-CN"/>
              </w:rPr>
            </w:pPr>
            <w:r w:rsidRPr="005449E3">
              <w:rPr>
                <w:rFonts w:eastAsia="SimSun"/>
                <w:i/>
                <w:lang w:eastAsia="zh-CN"/>
              </w:rPr>
              <w:t>Date of adoption of Views:</w:t>
            </w:r>
          </w:p>
        </w:tc>
        <w:tc>
          <w:tcPr>
            <w:tcW w:w="3685" w:type="dxa"/>
            <w:vAlign w:val="bottom"/>
          </w:tcPr>
          <w:p w14:paraId="72D6985A" w14:textId="1EF93A69" w:rsidR="00FB6500" w:rsidRPr="005449E3" w:rsidRDefault="00694DB5" w:rsidP="00F44035">
            <w:pPr>
              <w:spacing w:after="120"/>
              <w:rPr>
                <w:rFonts w:eastAsia="SimSun"/>
                <w:lang w:eastAsia="zh-CN"/>
              </w:rPr>
            </w:pPr>
            <w:r>
              <w:rPr>
                <w:rFonts w:eastAsia="SimSun"/>
                <w:lang w:eastAsia="zh-CN"/>
              </w:rPr>
              <w:t>…</w:t>
            </w:r>
            <w:r w:rsidR="008D30DE" w:rsidRPr="005449E3">
              <w:rPr>
                <w:rFonts w:eastAsia="SimSun"/>
                <w:lang w:eastAsia="zh-CN"/>
              </w:rPr>
              <w:t xml:space="preserve"> 20</w:t>
            </w:r>
            <w:r w:rsidR="001E5553">
              <w:rPr>
                <w:rFonts w:eastAsia="SimSun"/>
                <w:lang w:eastAsia="zh-CN"/>
              </w:rPr>
              <w:t>20</w:t>
            </w:r>
          </w:p>
        </w:tc>
      </w:tr>
      <w:tr w:rsidR="00FB6500" w:rsidRPr="005449E3" w14:paraId="60C0DF91" w14:textId="77777777" w:rsidTr="008C1845">
        <w:tc>
          <w:tcPr>
            <w:tcW w:w="3119" w:type="dxa"/>
          </w:tcPr>
          <w:p w14:paraId="613C80B3" w14:textId="77777777" w:rsidR="00FB6500" w:rsidRPr="005449E3" w:rsidRDefault="00FB6500" w:rsidP="00FB6500">
            <w:pPr>
              <w:spacing w:after="120"/>
              <w:rPr>
                <w:rFonts w:eastAsia="SimSun"/>
                <w:i/>
                <w:lang w:eastAsia="zh-CN"/>
              </w:rPr>
            </w:pPr>
            <w:r w:rsidRPr="005449E3">
              <w:rPr>
                <w:rFonts w:eastAsia="SimSun"/>
                <w:i/>
                <w:iCs/>
                <w:lang w:eastAsia="zh-CN"/>
              </w:rPr>
              <w:t>Subject matter:</w:t>
            </w:r>
          </w:p>
        </w:tc>
        <w:tc>
          <w:tcPr>
            <w:tcW w:w="3685" w:type="dxa"/>
          </w:tcPr>
          <w:p w14:paraId="692237BB" w14:textId="33AF4FE0" w:rsidR="00FB6500" w:rsidRPr="005449E3" w:rsidRDefault="00B90C21" w:rsidP="00060B0C">
            <w:pPr>
              <w:spacing w:after="120"/>
            </w:pPr>
            <w:r w:rsidRPr="00B90C21">
              <w:t>Right to peaceful assembly; non-discrimination</w:t>
            </w:r>
          </w:p>
        </w:tc>
      </w:tr>
      <w:tr w:rsidR="00FB6500" w:rsidRPr="005449E3" w14:paraId="51223E72" w14:textId="77777777" w:rsidTr="008C1845">
        <w:tc>
          <w:tcPr>
            <w:tcW w:w="3119" w:type="dxa"/>
          </w:tcPr>
          <w:p w14:paraId="624DA753" w14:textId="55F56922" w:rsidR="00FB6500" w:rsidRPr="005449E3" w:rsidRDefault="00FB6500" w:rsidP="00D01686">
            <w:pPr>
              <w:spacing w:after="120"/>
              <w:rPr>
                <w:rFonts w:eastAsia="SimSun"/>
                <w:i/>
                <w:iCs/>
                <w:lang w:eastAsia="zh-CN"/>
              </w:rPr>
            </w:pPr>
            <w:r w:rsidRPr="005449E3">
              <w:rPr>
                <w:rFonts w:eastAsia="SimSun"/>
                <w:i/>
                <w:iCs/>
                <w:lang w:eastAsia="zh-CN"/>
              </w:rPr>
              <w:t>Procedural issue</w:t>
            </w:r>
            <w:r w:rsidR="00D171DC">
              <w:rPr>
                <w:rFonts w:eastAsia="SimSun"/>
                <w:i/>
                <w:iCs/>
                <w:lang w:eastAsia="zh-CN"/>
              </w:rPr>
              <w:t>s</w:t>
            </w:r>
            <w:r w:rsidRPr="005449E3">
              <w:rPr>
                <w:rFonts w:eastAsia="SimSun"/>
                <w:i/>
                <w:lang w:eastAsia="zh-CN"/>
              </w:rPr>
              <w:t>:</w:t>
            </w:r>
          </w:p>
        </w:tc>
        <w:tc>
          <w:tcPr>
            <w:tcW w:w="3685" w:type="dxa"/>
          </w:tcPr>
          <w:p w14:paraId="5818F956" w14:textId="6B984C3F" w:rsidR="00FB6500" w:rsidRPr="005449E3" w:rsidRDefault="001E5553" w:rsidP="00FB6500">
            <w:pPr>
              <w:spacing w:after="120"/>
              <w:rPr>
                <w:rFonts w:eastAsia="SimSun"/>
                <w:lang w:eastAsia="zh-CN"/>
              </w:rPr>
            </w:pPr>
            <w:r w:rsidRPr="00521D0F">
              <w:t xml:space="preserve">Abuse of the right of submission, </w:t>
            </w:r>
            <w:r w:rsidR="00101FDF" w:rsidRPr="00521D0F">
              <w:t>Lack of substantiation</w:t>
            </w:r>
            <w:r w:rsidR="00101FDF">
              <w:t xml:space="preserve"> </w:t>
            </w:r>
          </w:p>
        </w:tc>
      </w:tr>
      <w:tr w:rsidR="00FB6500" w:rsidRPr="005449E3" w14:paraId="06774F78" w14:textId="77777777" w:rsidTr="008C1845">
        <w:tc>
          <w:tcPr>
            <w:tcW w:w="3119" w:type="dxa"/>
          </w:tcPr>
          <w:p w14:paraId="29C26BF7" w14:textId="42CF1A56" w:rsidR="00FB6500" w:rsidRPr="005449E3" w:rsidRDefault="00FB6500" w:rsidP="00D01686">
            <w:pPr>
              <w:keepNext/>
              <w:spacing w:after="120"/>
              <w:rPr>
                <w:rFonts w:eastAsia="SimSun"/>
                <w:i/>
                <w:iCs/>
                <w:lang w:eastAsia="zh-CN"/>
              </w:rPr>
            </w:pPr>
            <w:r w:rsidRPr="005449E3">
              <w:rPr>
                <w:rFonts w:eastAsia="SimSun"/>
                <w:i/>
                <w:iCs/>
                <w:lang w:eastAsia="zh-CN"/>
              </w:rPr>
              <w:t>Substantive issue</w:t>
            </w:r>
            <w:r w:rsidR="00D171DC">
              <w:rPr>
                <w:rFonts w:eastAsia="SimSun"/>
                <w:i/>
                <w:iCs/>
                <w:lang w:eastAsia="zh-CN"/>
              </w:rPr>
              <w:t>s</w:t>
            </w:r>
            <w:r w:rsidRPr="005449E3">
              <w:rPr>
                <w:rFonts w:eastAsia="SimSun"/>
                <w:i/>
                <w:iCs/>
                <w:lang w:eastAsia="zh-CN"/>
              </w:rPr>
              <w:t>:</w:t>
            </w:r>
          </w:p>
        </w:tc>
        <w:tc>
          <w:tcPr>
            <w:tcW w:w="3685" w:type="dxa"/>
          </w:tcPr>
          <w:p w14:paraId="22B4A053" w14:textId="5E776AE0" w:rsidR="00FB6500" w:rsidRPr="005449E3" w:rsidRDefault="00B90C21" w:rsidP="00060B0C">
            <w:pPr>
              <w:keepNext/>
              <w:spacing w:after="120"/>
            </w:pPr>
            <w:r w:rsidRPr="00B90C21">
              <w:t>Unjustified restrictions to the right of peaceful assembly; discrimination against LGBT people</w:t>
            </w:r>
          </w:p>
        </w:tc>
      </w:tr>
      <w:tr w:rsidR="00FB6500" w:rsidRPr="005449E3" w14:paraId="7623D5C7" w14:textId="77777777" w:rsidTr="008C1845">
        <w:tc>
          <w:tcPr>
            <w:tcW w:w="3119" w:type="dxa"/>
          </w:tcPr>
          <w:p w14:paraId="2A3074BA" w14:textId="77777777" w:rsidR="00FB6500" w:rsidRPr="005449E3" w:rsidRDefault="00FB6500" w:rsidP="00FB6500">
            <w:pPr>
              <w:spacing w:after="120"/>
              <w:rPr>
                <w:rFonts w:eastAsia="SimSun"/>
                <w:i/>
                <w:iCs/>
                <w:lang w:eastAsia="zh-CN"/>
              </w:rPr>
            </w:pPr>
            <w:r w:rsidRPr="005449E3">
              <w:rPr>
                <w:rFonts w:eastAsia="SimSun"/>
                <w:i/>
                <w:iCs/>
                <w:lang w:eastAsia="zh-CN"/>
              </w:rPr>
              <w:t>Articles of the Covenant</w:t>
            </w:r>
            <w:r w:rsidRPr="005449E3">
              <w:rPr>
                <w:rFonts w:eastAsia="SimSun"/>
                <w:i/>
                <w:lang w:eastAsia="zh-CN"/>
              </w:rPr>
              <w:t>:</w:t>
            </w:r>
          </w:p>
        </w:tc>
        <w:tc>
          <w:tcPr>
            <w:tcW w:w="3685" w:type="dxa"/>
          </w:tcPr>
          <w:p w14:paraId="1FFADE03" w14:textId="6C272C5D" w:rsidR="00FB6500" w:rsidRPr="005449E3" w:rsidRDefault="00B90C21" w:rsidP="00FB6500">
            <w:pPr>
              <w:spacing w:after="120"/>
              <w:rPr>
                <w:rFonts w:eastAsia="SimSun"/>
                <w:lang w:eastAsia="zh-CN"/>
              </w:rPr>
            </w:pPr>
            <w:r w:rsidRPr="00B90C21">
              <w:rPr>
                <w:rFonts w:eastAsia="SimSun"/>
                <w:lang w:eastAsia="zh-CN"/>
              </w:rPr>
              <w:t>21 and 26</w:t>
            </w:r>
          </w:p>
        </w:tc>
      </w:tr>
      <w:tr w:rsidR="00FB6500" w:rsidRPr="00FB6500" w14:paraId="19E1EB3F" w14:textId="77777777" w:rsidTr="008C1845">
        <w:tc>
          <w:tcPr>
            <w:tcW w:w="3119" w:type="dxa"/>
          </w:tcPr>
          <w:p w14:paraId="57CD3870" w14:textId="77777777" w:rsidR="00FB6500" w:rsidRPr="005449E3" w:rsidRDefault="00FB6500" w:rsidP="00FB6500">
            <w:pPr>
              <w:spacing w:after="120"/>
              <w:rPr>
                <w:rFonts w:eastAsia="SimSun"/>
                <w:i/>
                <w:iCs/>
                <w:lang w:eastAsia="zh-CN"/>
              </w:rPr>
            </w:pPr>
            <w:r w:rsidRPr="005449E3">
              <w:rPr>
                <w:rFonts w:eastAsia="SimSun"/>
                <w:i/>
                <w:iCs/>
                <w:lang w:eastAsia="zh-CN"/>
              </w:rPr>
              <w:t>Articles of the Optional Protocol:</w:t>
            </w:r>
          </w:p>
        </w:tc>
        <w:tc>
          <w:tcPr>
            <w:tcW w:w="3685" w:type="dxa"/>
          </w:tcPr>
          <w:p w14:paraId="76FB1858" w14:textId="79ADFF2D" w:rsidR="00FB6500" w:rsidRPr="008D30DE" w:rsidRDefault="00B54943" w:rsidP="00FB6500">
            <w:pPr>
              <w:spacing w:after="120"/>
              <w:rPr>
                <w:rFonts w:eastAsia="SimSun"/>
                <w:lang w:eastAsia="zh-CN"/>
              </w:rPr>
            </w:pPr>
            <w:r w:rsidRPr="00064FB3">
              <w:t>2 and 5</w:t>
            </w:r>
          </w:p>
        </w:tc>
      </w:tr>
    </w:tbl>
    <w:p w14:paraId="0B0A8C5B" w14:textId="77777777" w:rsidR="00FB6500" w:rsidRPr="00FB6500" w:rsidRDefault="00FB6500" w:rsidP="00FB6500">
      <w:pPr>
        <w:spacing w:before="240" w:after="120"/>
        <w:ind w:left="1134" w:right="1134"/>
        <w:jc w:val="both"/>
        <w:rPr>
          <w:rFonts w:eastAsia="SimSun"/>
          <w:lang w:eastAsia="zh-CN"/>
        </w:rPr>
      </w:pPr>
      <w:r w:rsidRPr="00FB6500">
        <w:rPr>
          <w:rFonts w:eastAsia="SimSun"/>
          <w:lang w:eastAsia="zh-CN"/>
        </w:rPr>
        <w:br w:type="page"/>
      </w:r>
    </w:p>
    <w:p w14:paraId="0178A3BF" w14:textId="4EBB7B6A" w:rsidR="00B54943" w:rsidRPr="00B54943" w:rsidRDefault="007A0330" w:rsidP="007A0330">
      <w:pPr>
        <w:pStyle w:val="SingleTxtG"/>
        <w:rPr>
          <w:rFonts w:eastAsia="Verdana"/>
        </w:rPr>
      </w:pPr>
      <w:r>
        <w:rPr>
          <w:b/>
          <w:sz w:val="24"/>
        </w:rPr>
        <w:lastRenderedPageBreak/>
        <w:tab/>
      </w:r>
      <w:r w:rsidR="00694DB5">
        <w:rPr>
          <w:rFonts w:eastAsia="Calibri"/>
        </w:rPr>
        <w:t>1.</w:t>
      </w:r>
      <w:r w:rsidR="00694DB5">
        <w:rPr>
          <w:rFonts w:eastAsia="Calibri"/>
        </w:rPr>
        <w:tab/>
      </w:r>
      <w:r w:rsidR="00B90C21" w:rsidRPr="00B90C21">
        <w:rPr>
          <w:rFonts w:eastAsia="Calibri"/>
        </w:rPr>
        <w:t xml:space="preserve">The author is </w:t>
      </w:r>
      <w:r w:rsidR="00136C64" w:rsidRPr="00B90C21">
        <w:rPr>
          <w:rFonts w:eastAsia="Calibri"/>
        </w:rPr>
        <w:t xml:space="preserve">Nikolai </w:t>
      </w:r>
      <w:r w:rsidR="00B90C21" w:rsidRPr="00B90C21">
        <w:rPr>
          <w:rFonts w:eastAsia="Calibri"/>
        </w:rPr>
        <w:t>Alekseev</w:t>
      </w:r>
      <w:r w:rsidR="001E14AF">
        <w:rPr>
          <w:rStyle w:val="FootnoteReference"/>
          <w:rFonts w:eastAsia="Calibri"/>
        </w:rPr>
        <w:footnoteReference w:id="5"/>
      </w:r>
      <w:r w:rsidR="00B90C21" w:rsidRPr="00B90C21">
        <w:rPr>
          <w:rFonts w:eastAsia="Calibri"/>
        </w:rPr>
        <w:t xml:space="preserve">, a Russian </w:t>
      </w:r>
      <w:r w:rsidR="00D171DC">
        <w:rPr>
          <w:rFonts w:eastAsia="Calibri"/>
        </w:rPr>
        <w:t>citizen</w:t>
      </w:r>
      <w:r w:rsidR="00B90C21" w:rsidRPr="00B90C21">
        <w:rPr>
          <w:rFonts w:eastAsia="Calibri"/>
        </w:rPr>
        <w:t xml:space="preserve"> born in 1977. He claims to be </w:t>
      </w:r>
      <w:r w:rsidR="00D171DC">
        <w:rPr>
          <w:rFonts w:eastAsia="Calibri"/>
        </w:rPr>
        <w:t xml:space="preserve">a </w:t>
      </w:r>
      <w:r w:rsidR="00B90C21" w:rsidRPr="00B90C21">
        <w:rPr>
          <w:rFonts w:eastAsia="Calibri"/>
        </w:rPr>
        <w:t>victim of a violation by the Russian Federation of his rights under article</w:t>
      </w:r>
      <w:r w:rsidR="00C87407">
        <w:rPr>
          <w:rFonts w:eastAsia="Calibri"/>
        </w:rPr>
        <w:t>s</w:t>
      </w:r>
      <w:r w:rsidR="00B90C21" w:rsidRPr="00B90C21">
        <w:rPr>
          <w:rFonts w:eastAsia="Calibri"/>
        </w:rPr>
        <w:t xml:space="preserve"> 21 and 26 of the Covenant. The Optional Protocol entered into force for the State party on 1 January 1992. The author is </w:t>
      </w:r>
      <w:r w:rsidR="00D171DC">
        <w:rPr>
          <w:rFonts w:eastAsia="Calibri"/>
        </w:rPr>
        <w:t>un</w:t>
      </w:r>
      <w:r w:rsidR="00B90C21" w:rsidRPr="00B90C21">
        <w:rPr>
          <w:rFonts w:eastAsia="Calibri"/>
        </w:rPr>
        <w:t>represented</w:t>
      </w:r>
      <w:r w:rsidR="00D01686">
        <w:rPr>
          <w:rFonts w:eastAsia="Calibri"/>
        </w:rPr>
        <w:t>.</w:t>
      </w:r>
    </w:p>
    <w:p w14:paraId="0C2E824C" w14:textId="04D2B573" w:rsidR="00B54943" w:rsidRPr="00B54943" w:rsidRDefault="007A0330" w:rsidP="007A0330">
      <w:pPr>
        <w:pStyle w:val="H23G"/>
        <w:rPr>
          <w:rFonts w:eastAsia="Verdana"/>
        </w:rPr>
      </w:pPr>
      <w:r>
        <w:rPr>
          <w:rFonts w:eastAsia="Verdana"/>
        </w:rPr>
        <w:tab/>
      </w:r>
      <w:r>
        <w:rPr>
          <w:rFonts w:eastAsia="Verdana"/>
        </w:rPr>
        <w:tab/>
      </w:r>
      <w:r w:rsidR="00B54943" w:rsidRPr="00B54943">
        <w:rPr>
          <w:rFonts w:eastAsia="Verdana"/>
        </w:rPr>
        <w:t>The facts as presented by the author</w:t>
      </w:r>
    </w:p>
    <w:p w14:paraId="6F496204" w14:textId="087D309C" w:rsidR="00B54943" w:rsidRPr="00B54943" w:rsidRDefault="00B54943" w:rsidP="007A0330">
      <w:pPr>
        <w:pStyle w:val="SingleTxtG"/>
        <w:rPr>
          <w:rFonts w:eastAsia="Verdana"/>
        </w:rPr>
      </w:pPr>
      <w:r w:rsidRPr="00B54943">
        <w:rPr>
          <w:rFonts w:eastAsia="Verdana"/>
        </w:rPr>
        <w:t>2.1</w:t>
      </w:r>
      <w:r w:rsidRPr="00B54943">
        <w:rPr>
          <w:rFonts w:eastAsia="Verdana"/>
        </w:rPr>
        <w:tab/>
      </w:r>
      <w:r w:rsidR="00B90C21">
        <w:t>The author submits that he is an LGBT activist, and the President of the Russian LGBT Human Rights Project</w:t>
      </w:r>
      <w:r w:rsidR="00C47ED9">
        <w:t>.</w:t>
      </w:r>
      <w:r w:rsidR="00B90C21">
        <w:t xml:space="preserve"> Since May 2006, together with other</w:t>
      </w:r>
      <w:r w:rsidR="00D171DC">
        <w:t>s</w:t>
      </w:r>
      <w:r w:rsidR="00B90C21">
        <w:t xml:space="preserve">, he has tried </w:t>
      </w:r>
      <w:r w:rsidR="00D171DC">
        <w:t xml:space="preserve">to </w:t>
      </w:r>
      <w:r w:rsidR="00B90C21">
        <w:t xml:space="preserve">hold peaceful protests </w:t>
      </w:r>
      <w:r w:rsidR="00C87407">
        <w:t xml:space="preserve">(“gay pride parades”) </w:t>
      </w:r>
      <w:r w:rsidR="00B90C21">
        <w:t xml:space="preserve">in Moscow, </w:t>
      </w:r>
      <w:r w:rsidR="00D171DC">
        <w:t xml:space="preserve">which </w:t>
      </w:r>
      <w:r w:rsidR="00B90C21">
        <w:t xml:space="preserve">were </w:t>
      </w:r>
      <w:r w:rsidR="00D171DC">
        <w:t xml:space="preserve">all </w:t>
      </w:r>
      <w:r w:rsidR="00B90C21">
        <w:t xml:space="preserve">banned by the </w:t>
      </w:r>
      <w:r w:rsidR="00D01686">
        <w:t xml:space="preserve">local </w:t>
      </w:r>
      <w:r w:rsidR="00B90C21">
        <w:t xml:space="preserve">authorities. </w:t>
      </w:r>
    </w:p>
    <w:p w14:paraId="6D4238EF" w14:textId="242E78D4" w:rsidR="00B54943" w:rsidRPr="006C6311" w:rsidRDefault="00694DB5">
      <w:pPr>
        <w:pStyle w:val="SingleTxtG"/>
      </w:pPr>
      <w:r>
        <w:rPr>
          <w:rFonts w:eastAsia="Verdana"/>
        </w:rPr>
        <w:t>2.2</w:t>
      </w:r>
      <w:r>
        <w:rPr>
          <w:rFonts w:eastAsia="Verdana"/>
        </w:rPr>
        <w:tab/>
      </w:r>
      <w:r w:rsidR="00B90C21">
        <w:t xml:space="preserve">On </w:t>
      </w:r>
      <w:r w:rsidR="00D658DE">
        <w:t>26</w:t>
      </w:r>
      <w:r w:rsidR="00B90C21">
        <w:t xml:space="preserve"> </w:t>
      </w:r>
      <w:r w:rsidR="00D658DE">
        <w:t>September</w:t>
      </w:r>
      <w:r w:rsidR="00B90C21">
        <w:t xml:space="preserve"> 2014, together with other activists </w:t>
      </w:r>
      <w:r w:rsidR="00D171DC">
        <w:t xml:space="preserve">he </w:t>
      </w:r>
      <w:r w:rsidR="00B90C21">
        <w:t>submitted a noti</w:t>
      </w:r>
      <w:r w:rsidR="006C6311">
        <w:t>fication</w:t>
      </w:r>
      <w:r w:rsidR="00B90C21">
        <w:t xml:space="preserve"> to the </w:t>
      </w:r>
      <w:r w:rsidR="00D658DE">
        <w:t>Mayor of Moscow</w:t>
      </w:r>
      <w:r w:rsidR="00B90C21">
        <w:t xml:space="preserve"> </w:t>
      </w:r>
      <w:r w:rsidR="006C6311">
        <w:t xml:space="preserve">concerning </w:t>
      </w:r>
      <w:r w:rsidR="00D47CC8" w:rsidRPr="00D47CC8">
        <w:t>the organizers</w:t>
      </w:r>
      <w:r w:rsidR="00D47CC8">
        <w:t>’</w:t>
      </w:r>
      <w:r w:rsidR="006C6311">
        <w:t xml:space="preserve"> intention</w:t>
      </w:r>
      <w:r w:rsidR="00B90C21">
        <w:t xml:space="preserve"> to hold a gay </w:t>
      </w:r>
      <w:r w:rsidR="00D47CC8">
        <w:t xml:space="preserve">pride </w:t>
      </w:r>
      <w:r w:rsidR="00B90C21">
        <w:t xml:space="preserve">parade in support of </w:t>
      </w:r>
      <w:r w:rsidR="00D658DE">
        <w:t xml:space="preserve">tolerance, </w:t>
      </w:r>
      <w:r w:rsidR="00C87407">
        <w:t xml:space="preserve">and the </w:t>
      </w:r>
      <w:r w:rsidR="00B90C21">
        <w:t>rights and freedom of gays in Russia</w:t>
      </w:r>
      <w:r w:rsidR="00D658DE">
        <w:t xml:space="preserve"> on the occasion of International Coming Out Day</w:t>
      </w:r>
      <w:r w:rsidR="00B90C21">
        <w:t>. The noti</w:t>
      </w:r>
      <w:r w:rsidR="006C6311">
        <w:t>fication</w:t>
      </w:r>
      <w:r w:rsidR="00B90C21">
        <w:t xml:space="preserve"> informed the authorities about the time, date, and place of the </w:t>
      </w:r>
      <w:r w:rsidR="00D171DC">
        <w:t>event</w:t>
      </w:r>
      <w:r w:rsidR="00B90C21">
        <w:t>.</w:t>
      </w:r>
      <w:r w:rsidR="008F2DB6">
        <w:rPr>
          <w:rStyle w:val="FootnoteReference"/>
        </w:rPr>
        <w:footnoteReference w:id="6"/>
      </w:r>
      <w:r w:rsidR="00B90C21">
        <w:t xml:space="preserve"> </w:t>
      </w:r>
      <w:r w:rsidR="008F2DB6">
        <w:t>The noti</w:t>
      </w:r>
      <w:r w:rsidR="006C6311">
        <w:t>fication</w:t>
      </w:r>
      <w:r w:rsidR="008F2DB6">
        <w:t xml:space="preserve"> </w:t>
      </w:r>
      <w:r w:rsidR="00CB70CC">
        <w:t>provided</w:t>
      </w:r>
      <w:r w:rsidR="001E14AF">
        <w:t xml:space="preserve"> </w:t>
      </w:r>
      <w:r w:rsidR="008F2DB6">
        <w:t>guarantees</w:t>
      </w:r>
      <w:r w:rsidR="00B26DBA">
        <w:t xml:space="preserve"> by the applicant</w:t>
      </w:r>
      <w:r w:rsidR="008F2DB6">
        <w:t xml:space="preserve"> to </w:t>
      </w:r>
      <w:r w:rsidR="006C6311">
        <w:t>respect</w:t>
      </w:r>
      <w:r w:rsidR="008F2DB6">
        <w:t xml:space="preserve"> public order and norms of public moral</w:t>
      </w:r>
      <w:r w:rsidR="00141CB1">
        <w:t>ity</w:t>
      </w:r>
      <w:r w:rsidR="008F2DB6">
        <w:t xml:space="preserve">. The author also informed the authorities about their readiness to </w:t>
      </w:r>
      <w:r w:rsidR="00D171DC">
        <w:t xml:space="preserve">modify </w:t>
      </w:r>
      <w:r w:rsidR="008F2DB6">
        <w:t xml:space="preserve">the </w:t>
      </w:r>
      <w:r w:rsidR="00D171DC">
        <w:t xml:space="preserve">itinerary </w:t>
      </w:r>
      <w:r w:rsidR="00A302E0">
        <w:t>of the parade.</w:t>
      </w:r>
      <w:r w:rsidR="008F2DB6">
        <w:t xml:space="preserve"> </w:t>
      </w:r>
      <w:r w:rsidR="00FB6FB4" w:rsidRPr="00FB6FB4">
        <w:t xml:space="preserve">On 1 </w:t>
      </w:r>
      <w:r w:rsidR="00F24EA7">
        <w:t>October</w:t>
      </w:r>
      <w:r w:rsidR="00FB6FB4" w:rsidRPr="00FB6FB4">
        <w:t xml:space="preserve"> 2014, the </w:t>
      </w:r>
      <w:r w:rsidR="00F24EA7">
        <w:t>Department of Regional Security and Anti-Corruption of Moscow</w:t>
      </w:r>
      <w:r w:rsidR="00FB6FB4" w:rsidRPr="00FB6FB4">
        <w:t xml:space="preserve"> </w:t>
      </w:r>
      <w:r w:rsidR="006C6311" w:rsidRPr="006C6311">
        <w:t xml:space="preserve">informed the </w:t>
      </w:r>
      <w:r w:rsidR="00D01686">
        <w:t>organisers</w:t>
      </w:r>
      <w:r w:rsidR="006C6311" w:rsidRPr="006C6311">
        <w:t xml:space="preserve"> </w:t>
      </w:r>
      <w:r w:rsidR="00FF65D6" w:rsidRPr="00FF65D6">
        <w:t xml:space="preserve">that </w:t>
      </w:r>
      <w:r w:rsidR="00FF65D6">
        <w:t>it</w:t>
      </w:r>
      <w:r w:rsidR="00FF65D6" w:rsidRPr="00FF65D6">
        <w:t xml:space="preserve"> </w:t>
      </w:r>
      <w:r w:rsidR="00467C38">
        <w:t>w</w:t>
      </w:r>
      <w:r w:rsidR="00FF65D6" w:rsidRPr="00FF65D6">
        <w:t>ouldn’t</w:t>
      </w:r>
      <w:r w:rsidR="00FF65D6">
        <w:t xml:space="preserve"> </w:t>
      </w:r>
      <w:r w:rsidR="00D171DC">
        <w:t>allow</w:t>
      </w:r>
      <w:r w:rsidR="00FF65D6">
        <w:t xml:space="preserve"> the event</w:t>
      </w:r>
      <w:r w:rsidR="00FF65D6" w:rsidRPr="00FF65D6">
        <w:t xml:space="preserve"> </w:t>
      </w:r>
      <w:r w:rsidR="00FF65D6">
        <w:t xml:space="preserve">because </w:t>
      </w:r>
      <w:r w:rsidR="00D171DC">
        <w:t xml:space="preserve">its </w:t>
      </w:r>
      <w:r w:rsidR="00001C60">
        <w:t xml:space="preserve">purposes </w:t>
      </w:r>
      <w:r w:rsidR="006C6311" w:rsidRPr="006C6311">
        <w:t>violate the legislation banning promotion of non-traditional sexual relations among minors</w:t>
      </w:r>
      <w:r w:rsidR="006C6311">
        <w:t xml:space="preserve">, </w:t>
      </w:r>
      <w:r w:rsidR="004C2D9E">
        <w:t xml:space="preserve">cause moral damage to minors who will eventually see the event, would </w:t>
      </w:r>
      <w:r w:rsidR="004C2D9E">
        <w:rPr>
          <w:lang w:val="en-US"/>
        </w:rPr>
        <w:t xml:space="preserve">outrage </w:t>
      </w:r>
      <w:r w:rsidR="00C87407">
        <w:rPr>
          <w:lang w:val="en-US"/>
        </w:rPr>
        <w:t xml:space="preserve">the </w:t>
      </w:r>
      <w:r w:rsidR="004C2D9E">
        <w:rPr>
          <w:lang w:val="en-US"/>
        </w:rPr>
        <w:t>religious and moral feelings of other</w:t>
      </w:r>
      <w:r w:rsidR="00D171DC">
        <w:rPr>
          <w:lang w:val="en-US"/>
        </w:rPr>
        <w:t>s</w:t>
      </w:r>
      <w:r w:rsidR="004C2D9E">
        <w:rPr>
          <w:lang w:val="en-US"/>
        </w:rPr>
        <w:t xml:space="preserve">, </w:t>
      </w:r>
      <w:r w:rsidR="006C6311">
        <w:t xml:space="preserve">and </w:t>
      </w:r>
      <w:r w:rsidR="00FB6FB4" w:rsidRPr="00FB6FB4">
        <w:t>“would provoke a negative reaction of the society”</w:t>
      </w:r>
      <w:r w:rsidR="00D171DC">
        <w:t>.</w:t>
      </w:r>
      <w:r w:rsidR="00FF65D6" w:rsidRPr="00FF65D6">
        <w:t xml:space="preserve"> </w:t>
      </w:r>
      <w:r w:rsidR="00D171DC">
        <w:t>I</w:t>
      </w:r>
      <w:r w:rsidR="00001C60">
        <w:t xml:space="preserve">t was </w:t>
      </w:r>
      <w:r w:rsidR="00D171DC">
        <w:t xml:space="preserve">also </w:t>
      </w:r>
      <w:r w:rsidR="00001C60">
        <w:t>noted that the event</w:t>
      </w:r>
      <w:r w:rsidR="004C2D9E">
        <w:t xml:space="preserve"> </w:t>
      </w:r>
      <w:r w:rsidR="00D171DC">
        <w:t>w</w:t>
      </w:r>
      <w:r w:rsidR="00001C60">
        <w:t>ould</w:t>
      </w:r>
      <w:r w:rsidR="004C2D9E">
        <w:t xml:space="preserve"> </w:t>
      </w:r>
      <w:r w:rsidR="00001C60">
        <w:t>interfere with traffic.</w:t>
      </w:r>
      <w:r w:rsidR="004C2D9E">
        <w:t xml:space="preserve"> </w:t>
      </w:r>
    </w:p>
    <w:p w14:paraId="663F1DE1" w14:textId="5697D9C5" w:rsidR="00FE4975" w:rsidRPr="00FE4975" w:rsidRDefault="00694DB5" w:rsidP="007A0330">
      <w:pPr>
        <w:pStyle w:val="SingleTxtG"/>
      </w:pPr>
      <w:r>
        <w:rPr>
          <w:rFonts w:eastAsia="Verdana"/>
          <w:bCs/>
        </w:rPr>
        <w:t>2.3</w:t>
      </w:r>
      <w:r>
        <w:rPr>
          <w:rFonts w:eastAsia="Verdana"/>
          <w:bCs/>
        </w:rPr>
        <w:tab/>
      </w:r>
      <w:r w:rsidR="006C6311">
        <w:t>T</w:t>
      </w:r>
      <w:r w:rsidR="006C6311" w:rsidRPr="008D4799">
        <w:t xml:space="preserve">he </w:t>
      </w:r>
      <w:r w:rsidR="006C6311">
        <w:t>authors</w:t>
      </w:r>
      <w:r w:rsidR="006C6311" w:rsidRPr="008D4799">
        <w:t xml:space="preserve"> </w:t>
      </w:r>
      <w:r w:rsidR="006C6311">
        <w:t xml:space="preserve">thus </w:t>
      </w:r>
      <w:r w:rsidR="006C6311" w:rsidRPr="008D4799">
        <w:t xml:space="preserve">cancelled the planned </w:t>
      </w:r>
      <w:r w:rsidR="006C6311">
        <w:t>parade</w:t>
      </w:r>
      <w:r w:rsidR="00FE4975" w:rsidRPr="00FE4975">
        <w:t xml:space="preserve"> and on </w:t>
      </w:r>
      <w:r w:rsidR="00001C60">
        <w:t>10</w:t>
      </w:r>
      <w:r w:rsidR="00FE4975" w:rsidRPr="00FE4975">
        <w:t xml:space="preserve"> </w:t>
      </w:r>
      <w:r w:rsidR="00001C60">
        <w:t>October</w:t>
      </w:r>
      <w:r w:rsidR="00FE4975" w:rsidRPr="00FE4975">
        <w:t xml:space="preserve"> 2014, filed a complaint with the </w:t>
      </w:r>
      <w:proofErr w:type="spellStart"/>
      <w:r w:rsidR="00001C60">
        <w:t>Sverdlov</w:t>
      </w:r>
      <w:proofErr w:type="spellEnd"/>
      <w:r w:rsidR="00001C60" w:rsidRPr="00FE4975">
        <w:t xml:space="preserve"> </w:t>
      </w:r>
      <w:r w:rsidR="00FE4975" w:rsidRPr="00FE4975">
        <w:t>district court</w:t>
      </w:r>
      <w:r w:rsidR="00FB6FB4">
        <w:t xml:space="preserve"> of </w:t>
      </w:r>
      <w:r w:rsidR="00001C60">
        <w:t>Kostroma</w:t>
      </w:r>
      <w:r w:rsidR="00D171DC">
        <w:t xml:space="preserve">, </w:t>
      </w:r>
      <w:r w:rsidR="00FE4975" w:rsidRPr="00FE4975">
        <w:t>argu</w:t>
      </w:r>
      <w:r w:rsidR="00D171DC">
        <w:t xml:space="preserve">ing </w:t>
      </w:r>
      <w:r w:rsidR="00FE4975" w:rsidRPr="00FE4975">
        <w:t>that the laws and regulations do not allow for a ban on parades as long as the</w:t>
      </w:r>
      <w:r w:rsidR="00D171DC">
        <w:t xml:space="preserve">ir </w:t>
      </w:r>
      <w:r w:rsidR="00FE4975" w:rsidRPr="00FE4975">
        <w:t xml:space="preserve">purpose and conduct conform to the legislation. </w:t>
      </w:r>
      <w:r w:rsidR="00001C60">
        <w:t xml:space="preserve">In addition, the authorities could take </w:t>
      </w:r>
      <w:r w:rsidR="00C87407">
        <w:t xml:space="preserve">the </w:t>
      </w:r>
      <w:r w:rsidR="00001C60">
        <w:t xml:space="preserve">necessary steps to ensure the peaceful conduct of the event and to protect the participants. An alternative </w:t>
      </w:r>
      <w:r w:rsidR="00D171DC">
        <w:t xml:space="preserve">itinerary </w:t>
      </w:r>
      <w:r w:rsidR="00001C60">
        <w:t xml:space="preserve">could be </w:t>
      </w:r>
      <w:r w:rsidR="00D171DC">
        <w:t>envisaged</w:t>
      </w:r>
      <w:r w:rsidR="00001C60">
        <w:t xml:space="preserve">. </w:t>
      </w:r>
      <w:r w:rsidR="00FE4975" w:rsidRPr="00FE4975">
        <w:t xml:space="preserve">On </w:t>
      </w:r>
      <w:r w:rsidR="00001C60">
        <w:t>10</w:t>
      </w:r>
      <w:r w:rsidR="00FE4975" w:rsidRPr="00FE4975">
        <w:t xml:space="preserve"> </w:t>
      </w:r>
      <w:r w:rsidR="00001C60">
        <w:t>October</w:t>
      </w:r>
      <w:r w:rsidR="00FE4975" w:rsidRPr="00FE4975">
        <w:t xml:space="preserve"> 2014, the court rejected the complaint</w:t>
      </w:r>
      <w:r w:rsidR="00EF6FBD">
        <w:t xml:space="preserve"> </w:t>
      </w:r>
      <w:r w:rsidR="00242E95">
        <w:t xml:space="preserve">and held that </w:t>
      </w:r>
      <w:r w:rsidR="00EF6FBD">
        <w:t>there was no violation</w:t>
      </w:r>
      <w:r w:rsidR="00467C38">
        <w:t xml:space="preserve"> of the law</w:t>
      </w:r>
      <w:r w:rsidR="00FE4975" w:rsidRPr="00FE4975">
        <w:t xml:space="preserve">. </w:t>
      </w:r>
    </w:p>
    <w:p w14:paraId="03F5A8FF" w14:textId="33685FC6" w:rsidR="00B54943" w:rsidRDefault="00694DB5" w:rsidP="007A0330">
      <w:pPr>
        <w:pStyle w:val="SingleTxtG"/>
        <w:rPr>
          <w:rFonts w:eastAsia="Verdana"/>
        </w:rPr>
      </w:pPr>
      <w:r>
        <w:rPr>
          <w:rFonts w:eastAsia="Verdana"/>
        </w:rPr>
        <w:t>2.4</w:t>
      </w:r>
      <w:r>
        <w:rPr>
          <w:rFonts w:eastAsia="Verdana"/>
        </w:rPr>
        <w:tab/>
      </w:r>
      <w:r w:rsidR="00001C60">
        <w:rPr>
          <w:rFonts w:eastAsia="Verdana"/>
        </w:rPr>
        <w:t>On 25 October 2014, t</w:t>
      </w:r>
      <w:r w:rsidR="00001C60" w:rsidRPr="00FE4975">
        <w:rPr>
          <w:rFonts w:eastAsia="Verdana"/>
        </w:rPr>
        <w:t xml:space="preserve">he </w:t>
      </w:r>
      <w:r w:rsidR="00FE4975" w:rsidRPr="00FE4975">
        <w:rPr>
          <w:rFonts w:eastAsia="Verdana"/>
        </w:rPr>
        <w:t xml:space="preserve">author complained to the </w:t>
      </w:r>
      <w:r w:rsidR="00001C60">
        <w:rPr>
          <w:rFonts w:eastAsia="Verdana"/>
        </w:rPr>
        <w:t>Kostroma Region</w:t>
      </w:r>
      <w:r w:rsidR="00F12C1E">
        <w:rPr>
          <w:rFonts w:eastAsia="Verdana"/>
        </w:rPr>
        <w:t>al</w:t>
      </w:r>
      <w:r w:rsidR="00FE4975" w:rsidRPr="00FE4975">
        <w:rPr>
          <w:rFonts w:eastAsia="Verdana"/>
        </w:rPr>
        <w:t xml:space="preserve"> </w:t>
      </w:r>
      <w:r w:rsidR="00D01686">
        <w:rPr>
          <w:rFonts w:eastAsia="Verdana"/>
        </w:rPr>
        <w:t>C</w:t>
      </w:r>
      <w:r w:rsidR="00FE4975" w:rsidRPr="00FE4975">
        <w:rPr>
          <w:rFonts w:eastAsia="Verdana"/>
        </w:rPr>
        <w:t>ourt</w:t>
      </w:r>
      <w:r w:rsidR="00F12C1E">
        <w:rPr>
          <w:rFonts w:eastAsia="Verdana"/>
        </w:rPr>
        <w:t xml:space="preserve">. On </w:t>
      </w:r>
      <w:r w:rsidR="008B4CA6">
        <w:rPr>
          <w:rFonts w:eastAsia="Verdana"/>
        </w:rPr>
        <w:t>8</w:t>
      </w:r>
      <w:r w:rsidR="008B4CA6" w:rsidRPr="00FE4975">
        <w:rPr>
          <w:rFonts w:eastAsia="Verdana"/>
        </w:rPr>
        <w:t xml:space="preserve"> </w:t>
      </w:r>
      <w:r w:rsidR="008B4CA6">
        <w:rPr>
          <w:rFonts w:eastAsia="Verdana"/>
        </w:rPr>
        <w:t>December</w:t>
      </w:r>
      <w:r w:rsidR="008B4CA6" w:rsidRPr="00FE4975">
        <w:rPr>
          <w:rFonts w:eastAsia="Verdana"/>
        </w:rPr>
        <w:t xml:space="preserve"> 2014</w:t>
      </w:r>
      <w:r w:rsidR="00F12C1E">
        <w:rPr>
          <w:rFonts w:eastAsia="Verdana"/>
        </w:rPr>
        <w:t xml:space="preserve">, the regional Court confirmed </w:t>
      </w:r>
      <w:r w:rsidR="00FE4975" w:rsidRPr="00FE4975">
        <w:rPr>
          <w:rFonts w:eastAsia="Verdana"/>
        </w:rPr>
        <w:t xml:space="preserve">the lower court’s decision. The </w:t>
      </w:r>
      <w:r w:rsidR="00F12C1E">
        <w:rPr>
          <w:rFonts w:eastAsia="Verdana"/>
        </w:rPr>
        <w:t xml:space="preserve">author’s </w:t>
      </w:r>
      <w:r w:rsidR="00FE4975" w:rsidRPr="00FE4975">
        <w:rPr>
          <w:rFonts w:eastAsia="Verdana"/>
        </w:rPr>
        <w:t xml:space="preserve">cassation appeal </w:t>
      </w:r>
      <w:r w:rsidR="008B4CA6">
        <w:rPr>
          <w:rFonts w:eastAsia="Verdana"/>
          <w:lang w:val="en-US"/>
        </w:rPr>
        <w:t>to</w:t>
      </w:r>
      <w:r w:rsidR="00FE4975" w:rsidRPr="00FE4975">
        <w:rPr>
          <w:rFonts w:eastAsia="Verdana"/>
        </w:rPr>
        <w:t xml:space="preserve"> the </w:t>
      </w:r>
      <w:r w:rsidR="008B4CA6">
        <w:rPr>
          <w:rFonts w:eastAsia="Verdana"/>
        </w:rPr>
        <w:t>Presidium of Kostroma Region</w:t>
      </w:r>
      <w:r w:rsidR="00FE4975" w:rsidRPr="00FE4975">
        <w:rPr>
          <w:rFonts w:eastAsia="Verdana"/>
        </w:rPr>
        <w:t xml:space="preserve"> </w:t>
      </w:r>
      <w:r w:rsidR="00D01686">
        <w:rPr>
          <w:rFonts w:eastAsia="Verdana"/>
        </w:rPr>
        <w:t>C</w:t>
      </w:r>
      <w:r w:rsidR="00FE4975" w:rsidRPr="00FE4975">
        <w:rPr>
          <w:rFonts w:eastAsia="Verdana"/>
        </w:rPr>
        <w:t xml:space="preserve">ourt was also unsuccessful, and was rejected on 2 </w:t>
      </w:r>
      <w:r w:rsidR="008B4CA6">
        <w:rPr>
          <w:rFonts w:eastAsia="Verdana"/>
        </w:rPr>
        <w:t>February</w:t>
      </w:r>
      <w:r w:rsidR="00FE4975" w:rsidRPr="00FE4975">
        <w:rPr>
          <w:rFonts w:eastAsia="Verdana"/>
        </w:rPr>
        <w:t xml:space="preserve"> 201</w:t>
      </w:r>
      <w:r w:rsidR="008B4CA6">
        <w:rPr>
          <w:rFonts w:eastAsia="Verdana"/>
        </w:rPr>
        <w:t>5</w:t>
      </w:r>
      <w:r w:rsidR="00FE4975" w:rsidRPr="00FE4975">
        <w:rPr>
          <w:rFonts w:eastAsia="Verdana"/>
        </w:rPr>
        <w:t xml:space="preserve">. </w:t>
      </w:r>
    </w:p>
    <w:p w14:paraId="2B008EA8" w14:textId="1AC294C0" w:rsidR="005C6DD1" w:rsidRPr="00B54943" w:rsidRDefault="00694DB5" w:rsidP="007A0330">
      <w:pPr>
        <w:pStyle w:val="SingleTxtG"/>
        <w:rPr>
          <w:rFonts w:eastAsia="Verdana"/>
        </w:rPr>
      </w:pPr>
      <w:r>
        <w:rPr>
          <w:rFonts w:eastAsia="Verdana"/>
        </w:rPr>
        <w:t>2.5</w:t>
      </w:r>
      <w:r>
        <w:rPr>
          <w:rFonts w:eastAsia="Verdana"/>
        </w:rPr>
        <w:tab/>
      </w:r>
      <w:r w:rsidR="005C6DD1" w:rsidRPr="005C6DD1">
        <w:rPr>
          <w:rFonts w:eastAsia="Verdana"/>
        </w:rPr>
        <w:t xml:space="preserve">The author further complained to the </w:t>
      </w:r>
      <w:r w:rsidR="0010191D">
        <w:rPr>
          <w:rFonts w:eastAsia="Verdana"/>
        </w:rPr>
        <w:t xml:space="preserve">Supreme Court of the </w:t>
      </w:r>
      <w:r w:rsidR="008B4CA6">
        <w:rPr>
          <w:rFonts w:eastAsia="Verdana"/>
        </w:rPr>
        <w:t>Russian Federation</w:t>
      </w:r>
      <w:r w:rsidR="005C6DD1" w:rsidRPr="005C6DD1">
        <w:rPr>
          <w:rFonts w:eastAsia="Verdana"/>
        </w:rPr>
        <w:t xml:space="preserve">, which </w:t>
      </w:r>
      <w:r w:rsidR="00D01686">
        <w:rPr>
          <w:rFonts w:eastAsia="Verdana"/>
        </w:rPr>
        <w:t xml:space="preserve">rejected the appeal </w:t>
      </w:r>
      <w:r w:rsidR="005C6DD1" w:rsidRPr="005C6DD1">
        <w:rPr>
          <w:rFonts w:eastAsia="Verdana"/>
        </w:rPr>
        <w:t xml:space="preserve">on </w:t>
      </w:r>
      <w:r w:rsidR="008B4CA6">
        <w:rPr>
          <w:rFonts w:eastAsia="Verdana"/>
        </w:rPr>
        <w:t>17</w:t>
      </w:r>
      <w:r w:rsidR="005C6DD1" w:rsidRPr="005C6DD1">
        <w:rPr>
          <w:rFonts w:eastAsia="Verdana"/>
        </w:rPr>
        <w:t xml:space="preserve"> </w:t>
      </w:r>
      <w:r w:rsidR="008B4CA6">
        <w:rPr>
          <w:rFonts w:eastAsia="Verdana"/>
        </w:rPr>
        <w:t>April</w:t>
      </w:r>
      <w:r w:rsidR="005C6DD1" w:rsidRPr="005C6DD1">
        <w:rPr>
          <w:rFonts w:eastAsia="Verdana"/>
        </w:rPr>
        <w:t xml:space="preserve"> 201</w:t>
      </w:r>
      <w:r w:rsidR="0010191D">
        <w:rPr>
          <w:rFonts w:eastAsia="Verdana"/>
        </w:rPr>
        <w:t>5</w:t>
      </w:r>
      <w:r w:rsidR="005C6DD1" w:rsidRPr="005C6DD1">
        <w:rPr>
          <w:rFonts w:eastAsia="Verdana"/>
        </w:rPr>
        <w:t xml:space="preserve">. </w:t>
      </w:r>
    </w:p>
    <w:p w14:paraId="0260F45D" w14:textId="0507ED43" w:rsidR="00B54943" w:rsidRPr="00B54943" w:rsidRDefault="007A0330" w:rsidP="007A0330">
      <w:pPr>
        <w:pStyle w:val="H23G"/>
        <w:rPr>
          <w:rFonts w:eastAsia="Verdana"/>
        </w:rPr>
      </w:pPr>
      <w:r>
        <w:rPr>
          <w:rFonts w:eastAsia="Verdana"/>
        </w:rPr>
        <w:tab/>
      </w:r>
      <w:r>
        <w:rPr>
          <w:rFonts w:eastAsia="Verdana"/>
        </w:rPr>
        <w:tab/>
      </w:r>
      <w:r w:rsidR="00B54943" w:rsidRPr="00B54943">
        <w:rPr>
          <w:rFonts w:eastAsia="Verdana"/>
        </w:rPr>
        <w:t>The complaint</w:t>
      </w:r>
    </w:p>
    <w:p w14:paraId="5C8B5053" w14:textId="723530DF" w:rsidR="00B54943" w:rsidRDefault="00B54943" w:rsidP="007A0330">
      <w:pPr>
        <w:pStyle w:val="SingleTxtG"/>
        <w:rPr>
          <w:rFonts w:eastAsia="Verdana"/>
        </w:rPr>
      </w:pPr>
      <w:r w:rsidRPr="00B54943">
        <w:rPr>
          <w:rFonts w:eastAsia="Verdana"/>
        </w:rPr>
        <w:t>3.1</w:t>
      </w:r>
      <w:r w:rsidRPr="00B54943">
        <w:rPr>
          <w:rFonts w:eastAsia="Verdana"/>
        </w:rPr>
        <w:tab/>
      </w:r>
      <w:r w:rsidR="00B90C21" w:rsidRPr="00FD23FC">
        <w:t xml:space="preserve">The author </w:t>
      </w:r>
      <w:r w:rsidR="00EE671E">
        <w:t xml:space="preserve">claims </w:t>
      </w:r>
      <w:r w:rsidR="00B90C21" w:rsidRPr="00FD23FC">
        <w:t xml:space="preserve">that by denying him and </w:t>
      </w:r>
      <w:r w:rsidR="00B90C21">
        <w:t xml:space="preserve">other activists an opportunity to hold a parade, </w:t>
      </w:r>
      <w:r w:rsidR="00B90C21" w:rsidRPr="00FD23FC">
        <w:t xml:space="preserve">the State party violated his rights under article </w:t>
      </w:r>
      <w:r w:rsidR="00B90C21">
        <w:t>21 and 26</w:t>
      </w:r>
      <w:r w:rsidR="00B90C21" w:rsidRPr="00FD23FC">
        <w:t xml:space="preserve"> of the Covenant. </w:t>
      </w:r>
      <w:r w:rsidR="00EE671E">
        <w:t xml:space="preserve">He </w:t>
      </w:r>
      <w:r w:rsidR="00C87407">
        <w:t xml:space="preserve">also </w:t>
      </w:r>
      <w:r w:rsidR="00B90C21">
        <w:t xml:space="preserve">submits that he was discriminated </w:t>
      </w:r>
      <w:r w:rsidR="00C87407">
        <w:t xml:space="preserve">against </w:t>
      </w:r>
      <w:r w:rsidR="00B90C21">
        <w:t>based on his sexual orientation.</w:t>
      </w:r>
    </w:p>
    <w:p w14:paraId="7C452783" w14:textId="25DE179D" w:rsidR="00AA5533" w:rsidRDefault="009B4C88" w:rsidP="007A0330">
      <w:pPr>
        <w:pStyle w:val="SingleTxtG"/>
      </w:pPr>
      <w:r w:rsidRPr="009B4C88">
        <w:rPr>
          <w:rFonts w:eastAsia="Verdana"/>
          <w:lang w:val="en-US"/>
        </w:rPr>
        <w:t>3.</w:t>
      </w:r>
      <w:r>
        <w:rPr>
          <w:rFonts w:eastAsia="Verdana"/>
          <w:lang w:val="en-US"/>
        </w:rPr>
        <w:t>2</w:t>
      </w:r>
      <w:r w:rsidRPr="009B4C88">
        <w:rPr>
          <w:rFonts w:eastAsia="Verdana"/>
          <w:lang w:val="en-US"/>
        </w:rPr>
        <w:tab/>
      </w:r>
      <w:r w:rsidR="00F12C1E">
        <w:rPr>
          <w:rFonts w:eastAsia="Verdana"/>
          <w:lang w:val="en-US"/>
        </w:rPr>
        <w:t xml:space="preserve">He </w:t>
      </w:r>
      <w:r w:rsidR="00AA5533" w:rsidRPr="00AA5533">
        <w:t xml:space="preserve">claims that the State party violated his right to peaceful assembly </w:t>
      </w:r>
      <w:r w:rsidR="00F12C1E">
        <w:t xml:space="preserve">under </w:t>
      </w:r>
      <w:r w:rsidR="00AA5533" w:rsidRPr="00AA5533">
        <w:t xml:space="preserve">article 21 of the Covenant, as it imposed a blanket prohibition on the </w:t>
      </w:r>
      <w:r w:rsidR="00F12C1E">
        <w:t xml:space="preserve">intended </w:t>
      </w:r>
      <w:r w:rsidR="00B824C4">
        <w:t>parade</w:t>
      </w:r>
      <w:r w:rsidR="00AA5533" w:rsidRPr="00AA5533">
        <w:t>. The authorities’ refusal was not imposed “in conformity with the law”. In particular, national law</w:t>
      </w:r>
      <w:r w:rsidR="00C76582">
        <w:t xml:space="preserve"> does not prohibit </w:t>
      </w:r>
      <w:r w:rsidR="00683343">
        <w:t xml:space="preserve">an </w:t>
      </w:r>
      <w:r w:rsidR="00C76582">
        <w:t xml:space="preserve">assembly </w:t>
      </w:r>
      <w:r w:rsidR="00683343">
        <w:t>whose</w:t>
      </w:r>
      <w:r w:rsidR="00C87407">
        <w:t xml:space="preserve"> </w:t>
      </w:r>
      <w:r w:rsidR="00C76582">
        <w:t xml:space="preserve">aim and </w:t>
      </w:r>
      <w:r w:rsidR="00C87407">
        <w:t xml:space="preserve">the </w:t>
      </w:r>
      <w:r w:rsidR="00C76582">
        <w:t xml:space="preserve">form </w:t>
      </w:r>
      <w:r w:rsidR="00467C38">
        <w:t xml:space="preserve">it takes </w:t>
      </w:r>
      <w:r w:rsidR="00C76582">
        <w:t xml:space="preserve">are lawful </w:t>
      </w:r>
      <w:r w:rsidR="00C76582" w:rsidRPr="00C76582">
        <w:t>and peaceful.</w:t>
      </w:r>
      <w:r w:rsidR="00C76582">
        <w:t xml:space="preserve"> </w:t>
      </w:r>
      <w:r w:rsidR="00AA5533" w:rsidRPr="00AA5533">
        <w:t xml:space="preserve">Moreover, the restriction imposed was not “necessary in a democratic society” and did not pursue any of the legitimate aims mentioned in article 21 of the Covenant. The authorities’ refusal to propose an alternative location for the event and their assertion that </w:t>
      </w:r>
      <w:r w:rsidR="00B824C4">
        <w:t xml:space="preserve">such </w:t>
      </w:r>
      <w:r w:rsidR="00683343">
        <w:t xml:space="preserve">a </w:t>
      </w:r>
      <w:r w:rsidR="00B824C4">
        <w:t xml:space="preserve">parade conducted in </w:t>
      </w:r>
      <w:r w:rsidR="00467C38">
        <w:t>a</w:t>
      </w:r>
      <w:r w:rsidR="00B824C4">
        <w:t xml:space="preserve"> public place would harm minors</w:t>
      </w:r>
      <w:r w:rsidR="00F12C1E">
        <w:t>’</w:t>
      </w:r>
      <w:r w:rsidR="00B824C4">
        <w:t xml:space="preserve"> moral</w:t>
      </w:r>
      <w:r w:rsidR="008B4CA6">
        <w:t xml:space="preserve"> and religious feelings</w:t>
      </w:r>
      <w:r w:rsidR="00AA5533" w:rsidRPr="00AA5533">
        <w:t xml:space="preserve">, demonstrate that the authorities’ real aim was to prevent the </w:t>
      </w:r>
      <w:r w:rsidR="008C0761" w:rsidRPr="008C0761">
        <w:t>members of the gay and lesbian community</w:t>
      </w:r>
      <w:r w:rsidR="008C0761">
        <w:t xml:space="preserve"> </w:t>
      </w:r>
      <w:r w:rsidR="00AA5533" w:rsidRPr="00AA5533">
        <w:t>in Russia from becoming visible and from attracting public attention to their concerns.</w:t>
      </w:r>
    </w:p>
    <w:p w14:paraId="2DCA27B7" w14:textId="49FB6B39" w:rsidR="008F1636" w:rsidRPr="00AA5533" w:rsidRDefault="007A0330" w:rsidP="007A0330">
      <w:pPr>
        <w:pStyle w:val="H23G"/>
      </w:pPr>
      <w:r>
        <w:lastRenderedPageBreak/>
        <w:tab/>
      </w:r>
      <w:r>
        <w:tab/>
      </w:r>
      <w:r w:rsidR="008F1636" w:rsidRPr="00AA5533">
        <w:t>State party</w:t>
      </w:r>
      <w:r w:rsidR="005D7178" w:rsidRPr="00AA5533">
        <w:t>’</w:t>
      </w:r>
      <w:r w:rsidR="008F1636" w:rsidRPr="00AA5533">
        <w:t>s submissions on admissibility</w:t>
      </w:r>
      <w:r w:rsidR="00E06571" w:rsidRPr="00AA5533">
        <w:t xml:space="preserve"> </w:t>
      </w:r>
    </w:p>
    <w:p w14:paraId="6D04FC8B" w14:textId="000A9C57" w:rsidR="006304A4" w:rsidRDefault="00287DF0" w:rsidP="006304A4">
      <w:pPr>
        <w:pStyle w:val="SingleTxtG"/>
      </w:pPr>
      <w:r>
        <w:t>4</w:t>
      </w:r>
      <w:r w:rsidR="00E06571">
        <w:t>.1</w:t>
      </w:r>
      <w:r w:rsidR="00E06571">
        <w:tab/>
        <w:t xml:space="preserve">On </w:t>
      </w:r>
      <w:r w:rsidR="008B13B5">
        <w:t>16</w:t>
      </w:r>
      <w:r w:rsidR="00990001">
        <w:t xml:space="preserve"> </w:t>
      </w:r>
      <w:r w:rsidR="006304A4">
        <w:t>Ju</w:t>
      </w:r>
      <w:r w:rsidR="008B13B5">
        <w:t>ne</w:t>
      </w:r>
      <w:r w:rsidR="006304A4">
        <w:t xml:space="preserve"> </w:t>
      </w:r>
      <w:r w:rsidR="00E06571" w:rsidRPr="008D1724">
        <w:t>201</w:t>
      </w:r>
      <w:r w:rsidR="006304A4">
        <w:t>6</w:t>
      </w:r>
      <w:r w:rsidR="008E5BA2" w:rsidRPr="004C5FE5">
        <w:t xml:space="preserve">, </w:t>
      </w:r>
      <w:r w:rsidR="006304A4" w:rsidRPr="006304A4">
        <w:t xml:space="preserve">the State party submitted its observations on admissibility </w:t>
      </w:r>
      <w:r w:rsidR="008B13B5">
        <w:t xml:space="preserve">and </w:t>
      </w:r>
      <w:r w:rsidR="006304A4" w:rsidRPr="006304A4">
        <w:t xml:space="preserve">requested that the communication should be declared </w:t>
      </w:r>
      <w:r w:rsidR="006304A4" w:rsidRPr="007C06FC">
        <w:t xml:space="preserve">inadmissible </w:t>
      </w:r>
      <w:r w:rsidR="008B13B5">
        <w:t xml:space="preserve">pursuant to article 3 of the Optional Protocol as </w:t>
      </w:r>
      <w:r w:rsidR="008B13B5" w:rsidRPr="008B13B5">
        <w:t>an abuse of the right of submission</w:t>
      </w:r>
      <w:r w:rsidR="006304A4" w:rsidRPr="007C06FC">
        <w:t>.</w:t>
      </w:r>
      <w:r w:rsidR="006304A4" w:rsidRPr="006304A4">
        <w:t xml:space="preserve"> </w:t>
      </w:r>
    </w:p>
    <w:p w14:paraId="60C86E09" w14:textId="543C9729" w:rsidR="00994B16" w:rsidRPr="001A1488" w:rsidRDefault="00694DB5" w:rsidP="00EF6FBD">
      <w:pPr>
        <w:pStyle w:val="SingleTxtG"/>
      </w:pPr>
      <w:r>
        <w:t>4.2</w:t>
      </w:r>
      <w:r>
        <w:tab/>
      </w:r>
      <w:r w:rsidR="00467C38">
        <w:t>According to t</w:t>
      </w:r>
      <w:r w:rsidR="008E5BA2" w:rsidRPr="008E5BA2">
        <w:t>he State party</w:t>
      </w:r>
      <w:r w:rsidR="00683343">
        <w:t>,</w:t>
      </w:r>
      <w:r w:rsidR="008E5BA2" w:rsidRPr="008E5BA2">
        <w:t xml:space="preserve"> </w:t>
      </w:r>
      <w:r w:rsidR="00467C38">
        <w:t xml:space="preserve">the </w:t>
      </w:r>
      <w:r w:rsidR="008B13B5">
        <w:t xml:space="preserve">submission of a communication </w:t>
      </w:r>
      <w:r w:rsidR="00467C38">
        <w:t>on behalf of</w:t>
      </w:r>
      <w:r w:rsidR="008B13B5">
        <w:t xml:space="preserve"> the victims on the same violations of the human rights </w:t>
      </w:r>
      <w:r w:rsidR="00467C38">
        <w:t>as in</w:t>
      </w:r>
      <w:r w:rsidR="006445C2">
        <w:t xml:space="preserve"> previous submissions should be considered </w:t>
      </w:r>
      <w:r w:rsidR="008B13B5">
        <w:t>an abuse of the right of submission</w:t>
      </w:r>
      <w:r w:rsidR="00F12C1E">
        <w:t xml:space="preserve">. In </w:t>
      </w:r>
      <w:r w:rsidR="00D47CC8" w:rsidRPr="00D47CC8">
        <w:t>this regard</w:t>
      </w:r>
      <w:r w:rsidR="00F12C1E">
        <w:t>, t</w:t>
      </w:r>
      <w:r w:rsidR="00113117">
        <w:t xml:space="preserve">he State party </w:t>
      </w:r>
      <w:r w:rsidR="00F12C1E">
        <w:t xml:space="preserve">observes </w:t>
      </w:r>
      <w:r w:rsidR="00113117">
        <w:t xml:space="preserve">that </w:t>
      </w:r>
      <w:r w:rsidR="00A96CBC">
        <w:t xml:space="preserve">there are two other complaints from the author against the refusals to </w:t>
      </w:r>
      <w:r w:rsidR="00683343">
        <w:t xml:space="preserve">hold </w:t>
      </w:r>
      <w:r w:rsidR="00A96CBC">
        <w:t xml:space="preserve">gay </w:t>
      </w:r>
      <w:r w:rsidR="00D47CC8">
        <w:t xml:space="preserve">pride </w:t>
      </w:r>
      <w:r w:rsidR="00A96CBC">
        <w:t>parades in different cities in the Russian Federation during the period of 2009-2015</w:t>
      </w:r>
      <w:r w:rsidR="008142F3">
        <w:t>, which are</w:t>
      </w:r>
      <w:r w:rsidR="00904215">
        <w:t xml:space="preserve"> </w:t>
      </w:r>
      <w:r w:rsidR="00A96CBC">
        <w:t>pending consideration</w:t>
      </w:r>
      <w:r w:rsidR="00A96CBC">
        <w:rPr>
          <w:lang w:val="en-US"/>
        </w:rPr>
        <w:t xml:space="preserve"> </w:t>
      </w:r>
      <w:r w:rsidR="00E51925">
        <w:t>i</w:t>
      </w:r>
      <w:r w:rsidR="00A96CBC">
        <w:t>n the European Court of</w:t>
      </w:r>
      <w:r w:rsidR="00E51925">
        <w:t xml:space="preserve"> Human Rights</w:t>
      </w:r>
      <w:r w:rsidR="00A96CBC">
        <w:t>.</w:t>
      </w:r>
      <w:r w:rsidR="00F12C1E">
        <w:t xml:space="preserve"> In addition, </w:t>
      </w:r>
      <w:r w:rsidR="00A96CBC">
        <w:t xml:space="preserve">on 21 October 2010, the European Court of Human Rights has already considered three similar complaints </w:t>
      </w:r>
      <w:r w:rsidR="00467C38">
        <w:t>by</w:t>
      </w:r>
      <w:r w:rsidR="00A96CBC">
        <w:t xml:space="preserve"> the author.</w:t>
      </w:r>
      <w:r w:rsidR="00734F78">
        <w:rPr>
          <w:rStyle w:val="FootnoteReference"/>
        </w:rPr>
        <w:footnoteReference w:id="7"/>
      </w:r>
      <w:r w:rsidR="00A96CBC">
        <w:t xml:space="preserve"> </w:t>
      </w:r>
    </w:p>
    <w:p w14:paraId="54743A2D" w14:textId="371E7BA6" w:rsidR="008F1636" w:rsidRPr="005D7178" w:rsidRDefault="008F1636" w:rsidP="007A0330">
      <w:pPr>
        <w:pStyle w:val="H23G"/>
      </w:pPr>
      <w:r w:rsidRPr="005D7178">
        <w:tab/>
      </w:r>
      <w:r w:rsidRPr="005D7178">
        <w:tab/>
      </w:r>
      <w:r w:rsidR="00F364AC" w:rsidRPr="00F364AC">
        <w:t xml:space="preserve">Author’s comments on </w:t>
      </w:r>
      <w:r w:rsidR="00F364AC" w:rsidRPr="007A0330">
        <w:t>the</w:t>
      </w:r>
      <w:r w:rsidR="00F364AC" w:rsidRPr="00F364AC">
        <w:t xml:space="preserve"> State party’s observations on admissibility</w:t>
      </w:r>
      <w:r w:rsidR="00F3106B">
        <w:t xml:space="preserve"> </w:t>
      </w:r>
    </w:p>
    <w:p w14:paraId="6FEF3DAC" w14:textId="7F96A96E" w:rsidR="00BC246F" w:rsidRPr="00BC246F" w:rsidRDefault="00BC246F" w:rsidP="00BC246F">
      <w:pPr>
        <w:pStyle w:val="SingleTxtG"/>
      </w:pPr>
      <w:r w:rsidRPr="00BC246F">
        <w:t>5.1</w:t>
      </w:r>
      <w:r w:rsidRPr="00BC246F">
        <w:tab/>
        <w:t xml:space="preserve">On </w:t>
      </w:r>
      <w:r w:rsidR="00F82DA9">
        <w:t>1</w:t>
      </w:r>
      <w:r w:rsidR="00A96CBC">
        <w:t>2</w:t>
      </w:r>
      <w:r w:rsidRPr="00BC246F">
        <w:t xml:space="preserve"> </w:t>
      </w:r>
      <w:r w:rsidR="00A96CBC">
        <w:t>July</w:t>
      </w:r>
      <w:r w:rsidR="00F364AC" w:rsidRPr="00BC246F">
        <w:t xml:space="preserve"> </w:t>
      </w:r>
      <w:r w:rsidRPr="00BC246F">
        <w:t>201</w:t>
      </w:r>
      <w:r w:rsidR="00A96CBC">
        <w:t>6</w:t>
      </w:r>
      <w:r w:rsidRPr="00BC246F">
        <w:t xml:space="preserve">, the author provided comments </w:t>
      </w:r>
      <w:r w:rsidR="00C87407">
        <w:t>on</w:t>
      </w:r>
      <w:r w:rsidRPr="00BC246F">
        <w:t xml:space="preserve"> the State party’s observations. </w:t>
      </w:r>
      <w:r w:rsidR="003B5506">
        <w:t>He</w:t>
      </w:r>
      <w:r w:rsidRPr="00BC246F">
        <w:t xml:space="preserve"> </w:t>
      </w:r>
      <w:r w:rsidR="004A3933" w:rsidRPr="00BC246F">
        <w:t>submit</w:t>
      </w:r>
      <w:r w:rsidR="004A3933">
        <w:t>s</w:t>
      </w:r>
      <w:r w:rsidRPr="00BC246F">
        <w:t xml:space="preserve"> that </w:t>
      </w:r>
      <w:r w:rsidR="00971497">
        <w:t>his complain</w:t>
      </w:r>
      <w:r w:rsidR="00467C38">
        <w:t>t</w:t>
      </w:r>
      <w:r w:rsidR="00971497">
        <w:t xml:space="preserve"> cannot be found inadmissible as an abuse of the right of submission since this complaint relates to a particular case of the refusal to </w:t>
      </w:r>
      <w:r w:rsidR="00F12C1E">
        <w:t xml:space="preserve">authorise </w:t>
      </w:r>
      <w:r w:rsidR="00971497">
        <w:t xml:space="preserve">a gay </w:t>
      </w:r>
      <w:r w:rsidR="00D47CC8">
        <w:t xml:space="preserve">pride </w:t>
      </w:r>
      <w:r w:rsidR="00971497">
        <w:t xml:space="preserve">parade </w:t>
      </w:r>
      <w:r w:rsidR="00F12C1E">
        <w:t xml:space="preserve">on </w:t>
      </w:r>
      <w:r w:rsidR="00971497">
        <w:t>11 October 2014 in Moscow. The author appealed this particular refusal to domestic courts. Also, the complaint against the refusal to a</w:t>
      </w:r>
      <w:r w:rsidR="00F12C1E">
        <w:t xml:space="preserve">llow </w:t>
      </w:r>
      <w:r w:rsidR="00971497">
        <w:t>the parade of 11 October 2014 was not examined under another procedure of international investigation or settlement.</w:t>
      </w:r>
    </w:p>
    <w:p w14:paraId="1CEB7CA5" w14:textId="76A1F60E" w:rsidR="00971497" w:rsidRDefault="00BC246F" w:rsidP="00F3106B">
      <w:pPr>
        <w:pStyle w:val="SingleTxtG"/>
      </w:pPr>
      <w:r w:rsidRPr="00BC246F">
        <w:t>5.2</w:t>
      </w:r>
      <w:r w:rsidRPr="00BC246F">
        <w:tab/>
      </w:r>
      <w:r w:rsidR="00971497">
        <w:t xml:space="preserve">The author submits that the European Court of Human Rights took decisions on several previous similar complaints, however </w:t>
      </w:r>
      <w:r w:rsidR="00F12C1E">
        <w:t xml:space="preserve">relating to </w:t>
      </w:r>
      <w:r w:rsidR="00971497">
        <w:t xml:space="preserve">different facts and dates. </w:t>
      </w:r>
    </w:p>
    <w:p w14:paraId="687B94C2" w14:textId="6881C23B" w:rsidR="00FD3E2B" w:rsidRDefault="00694DB5" w:rsidP="00F3106B">
      <w:pPr>
        <w:pStyle w:val="SingleTxtG"/>
      </w:pPr>
      <w:r>
        <w:t>5.3</w:t>
      </w:r>
      <w:r>
        <w:tab/>
      </w:r>
      <w:r w:rsidR="00971497">
        <w:t>The author state</w:t>
      </w:r>
      <w:r w:rsidR="00F12C1E">
        <w:t>s</w:t>
      </w:r>
      <w:r w:rsidR="00971497">
        <w:t xml:space="preserve"> that the position of the State party assumes that he</w:t>
      </w:r>
      <w:r w:rsidR="00FD3E2B">
        <w:t>,</w:t>
      </w:r>
      <w:r w:rsidR="00971497">
        <w:t xml:space="preserve"> </w:t>
      </w:r>
      <w:r w:rsidR="00F12C1E">
        <w:t>as</w:t>
      </w:r>
      <w:r w:rsidR="00FD3E2B">
        <w:t xml:space="preserve"> an LGBT activist, </w:t>
      </w:r>
      <w:r w:rsidR="00971497">
        <w:t xml:space="preserve">should not have a right to submit complaints </w:t>
      </w:r>
      <w:r w:rsidR="00FD3E2B">
        <w:t>on</w:t>
      </w:r>
      <w:r w:rsidR="00971497">
        <w:t xml:space="preserve"> past o</w:t>
      </w:r>
      <w:r w:rsidR="00C87407">
        <w:t>r</w:t>
      </w:r>
      <w:r w:rsidR="00971497">
        <w:t xml:space="preserve"> future violations of his rights</w:t>
      </w:r>
      <w:r w:rsidR="00F12C1E">
        <w:t xml:space="preserve">, </w:t>
      </w:r>
      <w:r w:rsidR="00D8611A">
        <w:rPr>
          <w:lang w:val="en-US" w:bidi="he-IL"/>
        </w:rPr>
        <w:t xml:space="preserve">if </w:t>
      </w:r>
      <w:r w:rsidR="00F12C1E">
        <w:t xml:space="preserve">the </w:t>
      </w:r>
      <w:r w:rsidR="00FD3E2B">
        <w:t>alleged violation</w:t>
      </w:r>
      <w:r w:rsidR="00F12C1E">
        <w:t>s</w:t>
      </w:r>
      <w:r w:rsidR="00FD3E2B">
        <w:t xml:space="preserve"> are similar in substance. </w:t>
      </w:r>
    </w:p>
    <w:p w14:paraId="75A88053" w14:textId="36C06913" w:rsidR="00FD3E2B" w:rsidRDefault="00694DB5" w:rsidP="00694DB5">
      <w:pPr>
        <w:pStyle w:val="H23G"/>
      </w:pPr>
      <w:r>
        <w:rPr>
          <w:rFonts w:eastAsia="SimSun"/>
          <w:lang w:eastAsia="zh-CN"/>
        </w:rPr>
        <w:tab/>
      </w:r>
      <w:r>
        <w:rPr>
          <w:rFonts w:eastAsia="SimSun"/>
          <w:lang w:eastAsia="zh-CN"/>
        </w:rPr>
        <w:tab/>
      </w:r>
      <w:r w:rsidR="00FD3E2B" w:rsidRPr="001B4EB4">
        <w:rPr>
          <w:rFonts w:eastAsia="SimSun"/>
          <w:lang w:eastAsia="zh-CN"/>
        </w:rPr>
        <w:t xml:space="preserve">State party’s </w:t>
      </w:r>
      <w:r w:rsidR="00F12C1E">
        <w:rPr>
          <w:rFonts w:eastAsia="SimSun"/>
          <w:lang w:eastAsia="zh-CN"/>
        </w:rPr>
        <w:t>observations</w:t>
      </w:r>
      <w:r w:rsidR="00FD3E2B" w:rsidRPr="001B4EB4">
        <w:rPr>
          <w:rFonts w:eastAsia="SimSun"/>
          <w:lang w:eastAsia="zh-CN"/>
        </w:rPr>
        <w:t xml:space="preserve"> on admissibility </w:t>
      </w:r>
      <w:r w:rsidR="00FD3E2B">
        <w:t>and merits</w:t>
      </w:r>
    </w:p>
    <w:p w14:paraId="2CA0D7B2" w14:textId="3536BAB1" w:rsidR="001B4EB4" w:rsidRDefault="00541B32" w:rsidP="001B4EB4">
      <w:pPr>
        <w:pStyle w:val="SingleTxtG"/>
      </w:pPr>
      <w:r>
        <w:t>6</w:t>
      </w:r>
      <w:r w:rsidR="001B4EB4" w:rsidRPr="001B4EB4">
        <w:t>.1</w:t>
      </w:r>
      <w:r w:rsidR="001B4EB4" w:rsidRPr="001B4EB4">
        <w:tab/>
        <w:t xml:space="preserve">On 18 October 2016, the State party submitted its observations on admissibility and merits and requested the communication </w:t>
      </w:r>
      <w:r w:rsidR="00F12C1E">
        <w:t xml:space="preserve">to </w:t>
      </w:r>
      <w:r w:rsidR="001B4EB4" w:rsidRPr="001B4EB4">
        <w:t>be declared inadmissible</w:t>
      </w:r>
      <w:r>
        <w:t xml:space="preserve"> </w:t>
      </w:r>
      <w:r w:rsidR="00F12C1E">
        <w:t xml:space="preserve">under </w:t>
      </w:r>
      <w:r>
        <w:t>article 3 of the Optional Protocol.</w:t>
      </w:r>
    </w:p>
    <w:p w14:paraId="67CD35E1" w14:textId="337FD16B" w:rsidR="009932FC" w:rsidRPr="00A2294B" w:rsidRDefault="00541B32">
      <w:pPr>
        <w:pStyle w:val="SingleTxtG"/>
      </w:pPr>
      <w:r>
        <w:t>6</w:t>
      </w:r>
      <w:r w:rsidR="00694DB5">
        <w:t>.2</w:t>
      </w:r>
      <w:r w:rsidR="00694DB5">
        <w:tab/>
      </w:r>
      <w:r w:rsidR="009932FC">
        <w:t xml:space="preserve">The State party </w:t>
      </w:r>
      <w:r w:rsidR="00F12C1E">
        <w:t xml:space="preserve">notes </w:t>
      </w:r>
      <w:r w:rsidR="009932FC">
        <w:t xml:space="preserve">that the </w:t>
      </w:r>
      <w:r w:rsidR="00F12C1E">
        <w:t xml:space="preserve">Russian </w:t>
      </w:r>
      <w:r w:rsidR="009932FC">
        <w:t>Constitutional Court</w:t>
      </w:r>
      <w:r w:rsidR="00F12C1E">
        <w:t>,</w:t>
      </w:r>
      <w:r w:rsidR="009932FC">
        <w:t xml:space="preserve"> having refused to consider the complainant’s motion to </w:t>
      </w:r>
      <w:r w:rsidR="009932FC">
        <w:rPr>
          <w:lang w:val="en-US"/>
        </w:rPr>
        <w:t xml:space="preserve">clarify its Decision of 23 September 2014 N 24 </w:t>
      </w:r>
      <w:r w:rsidR="009932FC" w:rsidRPr="002C7F3A">
        <w:t>–</w:t>
      </w:r>
      <w:r w:rsidR="00C87407">
        <w:t xml:space="preserve"> </w:t>
      </w:r>
      <w:r w:rsidR="009932FC">
        <w:rPr>
          <w:lang w:val="ru-RU"/>
        </w:rPr>
        <w:t>П</w:t>
      </w:r>
      <w:r w:rsidR="00F12C1E" w:rsidRPr="00EF6FBD">
        <w:t>,</w:t>
      </w:r>
      <w:r w:rsidR="009932FC" w:rsidRPr="002C7F3A">
        <w:t xml:space="preserve"> </w:t>
      </w:r>
      <w:r w:rsidR="00BF17DE">
        <w:t xml:space="preserve">stated that article 6.21 (1) of the </w:t>
      </w:r>
      <w:r w:rsidR="00BF17DE" w:rsidRPr="00EF6FBD">
        <w:t>Administrative Code</w:t>
      </w:r>
      <w:r w:rsidR="00BF17DE">
        <w:t xml:space="preserve"> </w:t>
      </w:r>
      <w:r w:rsidR="00BF17DE" w:rsidRPr="00BF17DE">
        <w:t xml:space="preserve">does not allow </w:t>
      </w:r>
      <w:r w:rsidR="00F12C1E">
        <w:t xml:space="preserve">for </w:t>
      </w:r>
      <w:r w:rsidR="00BF17DE" w:rsidRPr="00BF17DE">
        <w:t>an expanded understanding of the prohibition</w:t>
      </w:r>
      <w:r w:rsidR="00BF17DE" w:rsidRPr="002C7F3A">
        <w:t xml:space="preserve"> </w:t>
      </w:r>
      <w:r w:rsidR="00BF17DE">
        <w:rPr>
          <w:lang w:val="en-US"/>
        </w:rPr>
        <w:t xml:space="preserve">envisaged by this </w:t>
      </w:r>
      <w:r w:rsidR="00F12C1E">
        <w:rPr>
          <w:lang w:val="en-US"/>
        </w:rPr>
        <w:t>provision</w:t>
      </w:r>
      <w:r w:rsidR="00BF17DE">
        <w:rPr>
          <w:lang w:val="en-US"/>
        </w:rPr>
        <w:t xml:space="preserve">. </w:t>
      </w:r>
      <w:r w:rsidR="00A2294B">
        <w:rPr>
          <w:lang w:val="en-US"/>
        </w:rPr>
        <w:t>The Court also underlined that in each particular case</w:t>
      </w:r>
      <w:r w:rsidR="00F12C1E">
        <w:rPr>
          <w:lang w:val="en-US"/>
        </w:rPr>
        <w:t>,</w:t>
      </w:r>
      <w:r w:rsidR="00A2294B">
        <w:rPr>
          <w:lang w:val="en-US"/>
        </w:rPr>
        <w:t xml:space="preserve"> the compliance assessment of a planned event includes </w:t>
      </w:r>
      <w:r w:rsidR="00FB11EB">
        <w:rPr>
          <w:lang w:val="en-US"/>
        </w:rPr>
        <w:t xml:space="preserve">an </w:t>
      </w:r>
      <w:r w:rsidR="00A2294B">
        <w:rPr>
          <w:lang w:val="en-US"/>
        </w:rPr>
        <w:t xml:space="preserve">examination and evaluation of all circumstances. </w:t>
      </w:r>
    </w:p>
    <w:p w14:paraId="567E138F" w14:textId="6A6C8F45" w:rsidR="007526C5" w:rsidRPr="00F235C2" w:rsidRDefault="00541B32" w:rsidP="001B4EB4">
      <w:pPr>
        <w:pStyle w:val="SingleTxtG"/>
      </w:pPr>
      <w:r>
        <w:t>6</w:t>
      </w:r>
      <w:r w:rsidR="00A2294B" w:rsidRPr="002C7F3A">
        <w:t>.</w:t>
      </w:r>
      <w:r>
        <w:t>3</w:t>
      </w:r>
      <w:r w:rsidR="00694DB5">
        <w:tab/>
      </w:r>
      <w:r w:rsidR="00A2294B" w:rsidRPr="002C7F3A">
        <w:t xml:space="preserve">The State party further reiterates the facts of the case and submits that the decision </w:t>
      </w:r>
      <w:r w:rsidR="00DC3078">
        <w:t xml:space="preserve">to refuse </w:t>
      </w:r>
      <w:r w:rsidR="00A2294B" w:rsidRPr="002C7F3A">
        <w:t xml:space="preserve">the gay </w:t>
      </w:r>
      <w:r w:rsidR="00D47CC8">
        <w:t xml:space="preserve">pride </w:t>
      </w:r>
      <w:r w:rsidR="00A2294B" w:rsidRPr="002C7F3A">
        <w:t xml:space="preserve">parade was taken by the </w:t>
      </w:r>
      <w:r w:rsidR="00A2294B" w:rsidRPr="00C115FC">
        <w:t>government of Moscow</w:t>
      </w:r>
      <w:r w:rsidR="00A2294B" w:rsidRPr="002C7F3A">
        <w:t xml:space="preserve"> based on the possible violations </w:t>
      </w:r>
      <w:r w:rsidR="002C7F3A" w:rsidRPr="002C7F3A">
        <w:t xml:space="preserve">of </w:t>
      </w:r>
      <w:r w:rsidR="001B4EB4" w:rsidRPr="002C7F3A">
        <w:t xml:space="preserve">the Law on Protection of Children from Information Harmful to their Health and Development and the Law on the Basic Guarantees of the Rights of the </w:t>
      </w:r>
      <w:r w:rsidR="002C7F3A" w:rsidRPr="002C7F3A">
        <w:t>Child in the Russian Federation</w:t>
      </w:r>
      <w:r w:rsidR="001B4EB4" w:rsidRPr="002C7F3A">
        <w:t>, whose provisions are aimed at preventing the dissemination of information capable of forming a distorted view of the social equivalence of non-traditional marriage relations among persons deprived of the opportunity to evaluate critically and  independently such information. In</w:t>
      </w:r>
      <w:r w:rsidR="00DC3078">
        <w:t xml:space="preserve"> its</w:t>
      </w:r>
      <w:r w:rsidR="001B4EB4" w:rsidRPr="002C7F3A">
        <w:t xml:space="preserve"> decision</w:t>
      </w:r>
      <w:r w:rsidR="002C7F3A" w:rsidRPr="002C7F3A">
        <w:t xml:space="preserve">, the government of Moscow stated that the event had been planned in venues </w:t>
      </w:r>
      <w:r w:rsidR="00D8611A">
        <w:t xml:space="preserve">which are </w:t>
      </w:r>
      <w:r w:rsidR="002C7F3A" w:rsidRPr="002C7F3A">
        <w:t xml:space="preserve">popular </w:t>
      </w:r>
      <w:r w:rsidR="00FB11EB">
        <w:t>with</w:t>
      </w:r>
      <w:r w:rsidR="002C7F3A" w:rsidRPr="002C7F3A">
        <w:t xml:space="preserve"> families with children and children touristic groups</w:t>
      </w:r>
      <w:r w:rsidR="001B4EB4" w:rsidRPr="002C7F3A">
        <w:t xml:space="preserve">. </w:t>
      </w:r>
      <w:r w:rsidR="002C7F3A" w:rsidRPr="002C7F3A">
        <w:t>Thus, the</w:t>
      </w:r>
      <w:r w:rsidR="002C7F3A" w:rsidRPr="002C7F3A">
        <w:rPr>
          <w:lang w:val="en-US"/>
        </w:rPr>
        <w:t>y</w:t>
      </w:r>
      <w:r w:rsidR="002C7F3A" w:rsidRPr="002C7F3A">
        <w:t xml:space="preserve"> could become </w:t>
      </w:r>
      <w:r w:rsidR="002C7F3A" w:rsidRPr="002C7F3A">
        <w:rPr>
          <w:lang w:val="en-US"/>
        </w:rPr>
        <w:t xml:space="preserve">involuntary witnesses of the gay </w:t>
      </w:r>
      <w:r w:rsidR="00D47CC8">
        <w:rPr>
          <w:lang w:val="en-US"/>
        </w:rPr>
        <w:t xml:space="preserve">pride </w:t>
      </w:r>
      <w:r w:rsidR="002C7F3A" w:rsidRPr="002C7F3A">
        <w:rPr>
          <w:lang w:val="en-US"/>
        </w:rPr>
        <w:t>parade which could result in moral damage.</w:t>
      </w:r>
      <w:r w:rsidR="00DC3078">
        <w:rPr>
          <w:lang w:val="en-US"/>
        </w:rPr>
        <w:t xml:space="preserve"> </w:t>
      </w:r>
      <w:r w:rsidR="001B4EB4" w:rsidRPr="007526C5">
        <w:t>Th</w:t>
      </w:r>
      <w:r w:rsidR="00DC3078">
        <w:t xml:space="preserve">is </w:t>
      </w:r>
      <w:r w:rsidR="002C7F3A" w:rsidRPr="007526C5">
        <w:t xml:space="preserve">position was </w:t>
      </w:r>
      <w:r w:rsidR="00FB11EB">
        <w:t xml:space="preserve">the </w:t>
      </w:r>
      <w:r w:rsidR="002C7F3A" w:rsidRPr="007526C5">
        <w:t xml:space="preserve">subject of evaluation and assessment by </w:t>
      </w:r>
      <w:r w:rsidR="00DC3078">
        <w:t xml:space="preserve">the </w:t>
      </w:r>
      <w:r w:rsidR="002C7F3A" w:rsidRPr="007526C5">
        <w:t xml:space="preserve">relevant domestic courts, and was </w:t>
      </w:r>
      <w:r w:rsidR="00467C38">
        <w:t xml:space="preserve">found to be </w:t>
      </w:r>
      <w:r w:rsidR="002C7F3A" w:rsidRPr="007526C5">
        <w:t xml:space="preserve">fully sustained. </w:t>
      </w:r>
    </w:p>
    <w:p w14:paraId="32835BB6" w14:textId="5D842DBF" w:rsidR="001B4EB4" w:rsidRPr="00541B32" w:rsidRDefault="00541B32" w:rsidP="001B4EB4">
      <w:pPr>
        <w:pStyle w:val="SingleTxtG"/>
      </w:pPr>
      <w:r>
        <w:t>6</w:t>
      </w:r>
      <w:r w:rsidR="007526C5" w:rsidRPr="00541B32">
        <w:t>.</w:t>
      </w:r>
      <w:r w:rsidR="00DC3078">
        <w:t>4</w:t>
      </w:r>
      <w:r w:rsidR="00694DB5">
        <w:tab/>
      </w:r>
      <w:r w:rsidR="007526C5" w:rsidRPr="00541B32">
        <w:t xml:space="preserve">The State party further </w:t>
      </w:r>
      <w:r w:rsidR="00DC3078">
        <w:t xml:space="preserve">reiterates </w:t>
      </w:r>
      <w:r w:rsidR="007526C5" w:rsidRPr="00541B32">
        <w:t>its position in relation to the inadmissibility of the complaint</w:t>
      </w:r>
      <w:r w:rsidR="00FB11EB">
        <w:t>,</w:t>
      </w:r>
      <w:r w:rsidR="007526C5" w:rsidRPr="00541B32">
        <w:t xml:space="preserve"> since the aims of the planned gay </w:t>
      </w:r>
      <w:r w:rsidR="00D47CC8">
        <w:t xml:space="preserve">pride </w:t>
      </w:r>
      <w:r w:rsidR="007526C5" w:rsidRPr="00541B32">
        <w:t xml:space="preserve">parade were the same as in the </w:t>
      </w:r>
      <w:r w:rsidR="00FB11EB">
        <w:t xml:space="preserve">complaints by the </w:t>
      </w:r>
      <w:r w:rsidR="007526C5" w:rsidRPr="00541B32">
        <w:t>author to the European Court of Human Rights. Also</w:t>
      </w:r>
      <w:r w:rsidR="000F0C58">
        <w:t>,</w:t>
      </w:r>
      <w:r w:rsidR="007526C5" w:rsidRPr="00541B32">
        <w:t xml:space="preserve"> the complaints were submitted on similar grounds – the prohibition to hold a mass event in support of rights and freedoms </w:t>
      </w:r>
      <w:r w:rsidR="007526C5" w:rsidRPr="00541B32">
        <w:lastRenderedPageBreak/>
        <w:t xml:space="preserve">of </w:t>
      </w:r>
      <w:r w:rsidR="007526C5" w:rsidRPr="000C6A8E">
        <w:t xml:space="preserve">sexual minorities.  </w:t>
      </w:r>
      <w:r w:rsidR="00EE5850" w:rsidRPr="000C6A8E">
        <w:t>The author’s complaint thus constitutes an</w:t>
      </w:r>
      <w:r w:rsidR="007526C5" w:rsidRPr="000C6A8E">
        <w:t xml:space="preserve"> abuse of the right of submission.</w:t>
      </w:r>
      <w:r w:rsidR="007526C5" w:rsidRPr="00541B32">
        <w:t xml:space="preserve"> </w:t>
      </w:r>
    </w:p>
    <w:p w14:paraId="6B4298CE" w14:textId="233E55BA" w:rsidR="001B4EB4" w:rsidRPr="001D0655" w:rsidRDefault="001B4EB4" w:rsidP="007A0330">
      <w:pPr>
        <w:pStyle w:val="H23G"/>
      </w:pPr>
      <w:r w:rsidRPr="001D0655">
        <w:tab/>
      </w:r>
      <w:r w:rsidR="007A0330">
        <w:tab/>
      </w:r>
      <w:r w:rsidR="007A0330">
        <w:tab/>
      </w:r>
      <w:r w:rsidRPr="001D0655">
        <w:t>Author’s comments on the State party’s observations on admissibility and merits</w:t>
      </w:r>
    </w:p>
    <w:p w14:paraId="09F8B0C2" w14:textId="4F00C6D0" w:rsidR="00F3106B" w:rsidRPr="001D0655" w:rsidRDefault="00541B32" w:rsidP="00DC3078">
      <w:pPr>
        <w:pStyle w:val="SingleTxtG"/>
      </w:pPr>
      <w:r w:rsidRPr="001D0655">
        <w:t>7</w:t>
      </w:r>
      <w:r w:rsidR="0076244F" w:rsidRPr="001D0655">
        <w:t>.1</w:t>
      </w:r>
      <w:r w:rsidR="0076244F" w:rsidRPr="001D0655">
        <w:tab/>
        <w:t>On 21 December 2016</w:t>
      </w:r>
      <w:r w:rsidRPr="001D0655">
        <w:t xml:space="preserve">, the author provided comments </w:t>
      </w:r>
      <w:r w:rsidR="00EE5850">
        <w:t>on</w:t>
      </w:r>
      <w:r w:rsidRPr="001D0655">
        <w:t xml:space="preserve"> the State party’s observations. He submits that the European Court of Human Rights in its decision of 21 October 2010, </w:t>
      </w:r>
      <w:proofErr w:type="spellStart"/>
      <w:r w:rsidRPr="00EF6FBD">
        <w:rPr>
          <w:i/>
          <w:iCs/>
        </w:rPr>
        <w:t>Alekeseev</w:t>
      </w:r>
      <w:proofErr w:type="spellEnd"/>
      <w:r w:rsidRPr="00EF6FBD">
        <w:rPr>
          <w:i/>
          <w:iCs/>
        </w:rPr>
        <w:t xml:space="preserve"> v </w:t>
      </w:r>
      <w:r w:rsidR="001D0655" w:rsidRPr="00EF6FBD">
        <w:rPr>
          <w:i/>
          <w:iCs/>
        </w:rPr>
        <w:t>Russia</w:t>
      </w:r>
      <w:r w:rsidR="001D0655" w:rsidRPr="001D0655">
        <w:t xml:space="preserve"> found</w:t>
      </w:r>
      <w:r w:rsidRPr="001D0655">
        <w:t xml:space="preserve"> that the refusal to allow </w:t>
      </w:r>
      <w:r w:rsidR="00DC3078">
        <w:t xml:space="preserve">the </w:t>
      </w:r>
      <w:r w:rsidRPr="001D0655">
        <w:t xml:space="preserve">planned gay </w:t>
      </w:r>
      <w:r w:rsidR="00D47CC8">
        <w:t xml:space="preserve">pride </w:t>
      </w:r>
      <w:r w:rsidRPr="001D0655">
        <w:t xml:space="preserve">parades in 2006, 2007 </w:t>
      </w:r>
      <w:r w:rsidR="00EE5850">
        <w:t xml:space="preserve">and </w:t>
      </w:r>
      <w:r w:rsidRPr="001D0655">
        <w:t xml:space="preserve">2008 </w:t>
      </w:r>
      <w:r w:rsidR="00DC3078">
        <w:t xml:space="preserve">amounted </w:t>
      </w:r>
      <w:r w:rsidRPr="001D0655">
        <w:t>to a violation of artic</w:t>
      </w:r>
      <w:r w:rsidR="0076244F" w:rsidRPr="001D0655">
        <w:t xml:space="preserve">les 11 and 14 of the </w:t>
      </w:r>
      <w:r w:rsidR="00DC3078">
        <w:t xml:space="preserve">European </w:t>
      </w:r>
      <w:r w:rsidR="0076244F" w:rsidRPr="001D0655">
        <w:t>Convention</w:t>
      </w:r>
      <w:r w:rsidR="00DC3078">
        <w:t xml:space="preserve"> on Human Rights</w:t>
      </w:r>
      <w:r w:rsidRPr="001D0655">
        <w:t>.</w:t>
      </w:r>
      <w:r w:rsidR="00DC3078">
        <w:t xml:space="preserve"> According to the author, </w:t>
      </w:r>
      <w:r w:rsidR="0076244F" w:rsidRPr="001D0655">
        <w:t>the</w:t>
      </w:r>
      <w:r w:rsidR="00FB11EB">
        <w:t>re is a systematic</w:t>
      </w:r>
      <w:r w:rsidR="0076244F" w:rsidRPr="001D0655">
        <w:t xml:space="preserve"> violation of the </w:t>
      </w:r>
      <w:r w:rsidR="0076244F" w:rsidRPr="000C6A8E">
        <w:t>sexual minorities’</w:t>
      </w:r>
      <w:r w:rsidR="0076244F" w:rsidRPr="001D0655">
        <w:t xml:space="preserve"> rights in the Russian Federation. </w:t>
      </w:r>
    </w:p>
    <w:p w14:paraId="1DF69213" w14:textId="2589425D" w:rsidR="001D0655" w:rsidRPr="001D0655" w:rsidRDefault="001D0655" w:rsidP="00541B32">
      <w:pPr>
        <w:pStyle w:val="SingleTxtG"/>
      </w:pPr>
      <w:r w:rsidRPr="001D0655">
        <w:t>7.</w:t>
      </w:r>
      <w:r w:rsidR="00DC3078">
        <w:t>2</w:t>
      </w:r>
      <w:r w:rsidR="00694DB5">
        <w:tab/>
      </w:r>
      <w:r w:rsidRPr="001D0655">
        <w:t xml:space="preserve">The author states that this complaint is not an abuse of his right </w:t>
      </w:r>
      <w:r w:rsidR="00EE5850">
        <w:t>of</w:t>
      </w:r>
      <w:r w:rsidRPr="001D0655">
        <w:t xml:space="preserve"> submission since </w:t>
      </w:r>
      <w:r w:rsidR="00EE5850">
        <w:t xml:space="preserve">only </w:t>
      </w:r>
      <w:r w:rsidRPr="001D0655">
        <w:t xml:space="preserve">the facts </w:t>
      </w:r>
      <w:r w:rsidR="00DC3078">
        <w:t xml:space="preserve">regarding the planned </w:t>
      </w:r>
      <w:r w:rsidRPr="001D0655">
        <w:t>parade o</w:t>
      </w:r>
      <w:r w:rsidR="00DC3078">
        <w:t>n</w:t>
      </w:r>
      <w:r w:rsidRPr="001D0655">
        <w:t xml:space="preserve"> 11 October 2014 were submitted to the Committee. </w:t>
      </w:r>
    </w:p>
    <w:p w14:paraId="2E1F1718" w14:textId="3AC63E72" w:rsidR="008C00E7" w:rsidRPr="008C00E7" w:rsidRDefault="007A0330" w:rsidP="007A0330">
      <w:pPr>
        <w:pStyle w:val="H23G"/>
      </w:pPr>
      <w:r>
        <w:tab/>
      </w:r>
      <w:r>
        <w:tab/>
      </w:r>
      <w:r w:rsidR="008C00E7" w:rsidRPr="008C00E7">
        <w:t>Issues and proceedings before the Committee</w:t>
      </w:r>
    </w:p>
    <w:p w14:paraId="40DD38AC" w14:textId="50C65520" w:rsidR="00B641C7" w:rsidRDefault="007A0330" w:rsidP="007A0330">
      <w:pPr>
        <w:pStyle w:val="H4G"/>
      </w:pPr>
      <w:r>
        <w:tab/>
      </w:r>
      <w:r>
        <w:tab/>
      </w:r>
      <w:r w:rsidR="008C00E7" w:rsidRPr="008C00E7">
        <w:t>Consideration of admissibility</w:t>
      </w:r>
    </w:p>
    <w:p w14:paraId="08C9D6BA" w14:textId="5B94F16F" w:rsidR="00B641C7" w:rsidRDefault="001D0655" w:rsidP="00B641C7">
      <w:pPr>
        <w:pStyle w:val="SingleTxtG"/>
      </w:pPr>
      <w:r>
        <w:t>8</w:t>
      </w:r>
      <w:r w:rsidR="00694DB5">
        <w:t>.1</w:t>
      </w:r>
      <w:r w:rsidR="00ED4172">
        <w:tab/>
      </w:r>
      <w:r w:rsidR="008C00E7" w:rsidRPr="008C00E7">
        <w:t xml:space="preserve">Before considering any claim contained in a communication, the Committee must decide, in accordance with </w:t>
      </w:r>
      <w:r w:rsidR="008C00E7" w:rsidRPr="003E3616">
        <w:t xml:space="preserve">rule </w:t>
      </w:r>
      <w:r w:rsidR="001A0346" w:rsidRPr="003E3616">
        <w:t xml:space="preserve">97 </w:t>
      </w:r>
      <w:r w:rsidR="008C00E7" w:rsidRPr="008C00E7">
        <w:t>of its rules of procedure, whether the communication is admissi</w:t>
      </w:r>
      <w:r w:rsidR="00B641C7">
        <w:t>ble under the Optional Protocol.</w:t>
      </w:r>
    </w:p>
    <w:p w14:paraId="35E5845D" w14:textId="4991C153" w:rsidR="00264000" w:rsidRPr="00007C2A" w:rsidRDefault="001D0655" w:rsidP="00904215">
      <w:pPr>
        <w:pStyle w:val="SingleTxtG"/>
      </w:pPr>
      <w:r w:rsidRPr="004718E9">
        <w:t>8</w:t>
      </w:r>
      <w:r w:rsidR="00694DB5">
        <w:t>.2</w:t>
      </w:r>
      <w:r w:rsidR="00ED4172">
        <w:tab/>
      </w:r>
      <w:r w:rsidR="00264000" w:rsidRPr="00007C2A">
        <w:t xml:space="preserve">As required under article 5, paragraph 2 (a), of the Optional Protocol, the Committee shall ascertain </w:t>
      </w:r>
      <w:r w:rsidR="00D403C8">
        <w:t>that</w:t>
      </w:r>
      <w:r w:rsidR="00264000" w:rsidRPr="00007C2A">
        <w:t xml:space="preserve"> </w:t>
      </w:r>
      <w:r w:rsidR="00D403C8">
        <w:t>“</w:t>
      </w:r>
      <w:r w:rsidR="00264000" w:rsidRPr="00007C2A">
        <w:t xml:space="preserve">the same matter is </w:t>
      </w:r>
      <w:r w:rsidR="00D403C8">
        <w:t xml:space="preserve">not </w:t>
      </w:r>
      <w:r w:rsidR="00264000" w:rsidRPr="00007C2A">
        <w:t>being examined under another procedure of international investigation or settlement.</w:t>
      </w:r>
      <w:r w:rsidR="00D403C8">
        <w:t>”</w:t>
      </w:r>
      <w:r w:rsidR="00264000" w:rsidRPr="00007C2A">
        <w:t xml:space="preserve"> In this regard, the Committee notes the State party’s argument that </w:t>
      </w:r>
      <w:r w:rsidR="00904215">
        <w:t xml:space="preserve">there were three </w:t>
      </w:r>
      <w:r w:rsidR="00DC3078">
        <w:t xml:space="preserve">applications by </w:t>
      </w:r>
      <w:r w:rsidR="00904215">
        <w:t>the author</w:t>
      </w:r>
      <w:r w:rsidR="00AE0E9A">
        <w:rPr>
          <w:rStyle w:val="FootnoteReference"/>
        </w:rPr>
        <w:footnoteReference w:id="8"/>
      </w:r>
      <w:r w:rsidR="00EE5850">
        <w:t>,</w:t>
      </w:r>
      <w:r w:rsidR="00904215">
        <w:t xml:space="preserve"> </w:t>
      </w:r>
      <w:r w:rsidR="00DC3078">
        <w:t>which were</w:t>
      </w:r>
      <w:r w:rsidR="00904215">
        <w:t xml:space="preserve"> considered by</w:t>
      </w:r>
      <w:r w:rsidR="00264000" w:rsidRPr="00007C2A">
        <w:t xml:space="preserve"> the European Court of Human Rights </w:t>
      </w:r>
      <w:r w:rsidR="00904215">
        <w:t>on 21 October 2010</w:t>
      </w:r>
      <w:r w:rsidR="00DC3078">
        <w:t xml:space="preserve">. These applications concerned </w:t>
      </w:r>
      <w:r w:rsidR="00264000" w:rsidRPr="00007C2A">
        <w:t xml:space="preserve">the State </w:t>
      </w:r>
      <w:r w:rsidR="00DC3078">
        <w:t xml:space="preserve">party </w:t>
      </w:r>
      <w:r w:rsidR="00264000" w:rsidRPr="00007C2A">
        <w:t xml:space="preserve">refusal to allow the author to </w:t>
      </w:r>
      <w:r w:rsidR="00DC3078">
        <w:t>conduct a parade</w:t>
      </w:r>
      <w:r w:rsidR="00AF300D">
        <w:t xml:space="preserve"> regarding </w:t>
      </w:r>
      <w:r w:rsidR="00264000" w:rsidRPr="00007C2A">
        <w:t xml:space="preserve">the rights of </w:t>
      </w:r>
      <w:r w:rsidR="00264000" w:rsidRPr="000C6A8E">
        <w:t>sexu</w:t>
      </w:r>
      <w:r w:rsidR="00904215" w:rsidRPr="000C6A8E">
        <w:t>al minorities</w:t>
      </w:r>
      <w:r w:rsidR="00264000" w:rsidRPr="000C6A8E">
        <w:t>.</w:t>
      </w:r>
      <w:r w:rsidR="00904215">
        <w:t xml:space="preserve"> Two more complaints from the author were pending </w:t>
      </w:r>
      <w:r w:rsidR="00AF300D">
        <w:t xml:space="preserve">before </w:t>
      </w:r>
      <w:r w:rsidR="00904215">
        <w:t>the Court.</w:t>
      </w:r>
      <w:r w:rsidR="00264000" w:rsidRPr="00007C2A">
        <w:rPr>
          <w:rStyle w:val="FootnoteReference"/>
        </w:rPr>
        <w:t xml:space="preserve"> </w:t>
      </w:r>
      <w:r w:rsidR="00264000" w:rsidRPr="00007C2A">
        <w:t xml:space="preserve">The State party submits that the complaints before the European Court and the present communication </w:t>
      </w:r>
      <w:r w:rsidR="00EE5850">
        <w:t xml:space="preserve">are </w:t>
      </w:r>
      <w:r w:rsidR="00264000" w:rsidRPr="0040168F">
        <w:t xml:space="preserve">of </w:t>
      </w:r>
      <w:r w:rsidR="00EE5850">
        <w:t xml:space="preserve">a </w:t>
      </w:r>
      <w:r w:rsidR="00264000" w:rsidRPr="0040168F">
        <w:t>similar nature as they have been submitted by the same person, concern the rights of the same group (</w:t>
      </w:r>
      <w:r w:rsidR="00FB11EB">
        <w:t xml:space="preserve">those </w:t>
      </w:r>
      <w:r w:rsidR="00264000" w:rsidRPr="0040168F">
        <w:t xml:space="preserve">belonging to </w:t>
      </w:r>
      <w:r w:rsidR="00264000" w:rsidRPr="000C6A8E">
        <w:t>sexual minorities</w:t>
      </w:r>
      <w:r w:rsidR="00264000" w:rsidRPr="0040168F">
        <w:t>) and concern the actions of the same authorities.</w:t>
      </w:r>
      <w:r w:rsidR="00264000" w:rsidRPr="00007C2A">
        <w:t xml:space="preserve"> The Committee further notes the author’s explanation that the applications before the European Court of Human Rights concerned different factual circumstances, namely the prohibition to hold pride marches or pickets in the years 2006</w:t>
      </w:r>
      <w:r w:rsidR="00904215">
        <w:t xml:space="preserve"> to 2015</w:t>
      </w:r>
      <w:r w:rsidR="00264000" w:rsidRPr="00007C2A">
        <w:t xml:space="preserve">, while the present complaint </w:t>
      </w:r>
      <w:r w:rsidR="00264000" w:rsidRPr="000C6A8E">
        <w:t xml:space="preserve">concerns the prohibition to hold a </w:t>
      </w:r>
      <w:r w:rsidR="00904215" w:rsidRPr="000C6A8E">
        <w:t xml:space="preserve">gay </w:t>
      </w:r>
      <w:r w:rsidR="00D47CC8" w:rsidRPr="000C6A8E">
        <w:t xml:space="preserve">pride </w:t>
      </w:r>
      <w:r w:rsidR="00904215" w:rsidRPr="000C6A8E">
        <w:t>parade in Moscow in support of the rights of sexual minorities</w:t>
      </w:r>
      <w:r w:rsidR="00904215">
        <w:t xml:space="preserve"> on 11 October 2014</w:t>
      </w:r>
      <w:r w:rsidR="00264000" w:rsidRPr="00007C2A">
        <w:t xml:space="preserve">. </w:t>
      </w:r>
    </w:p>
    <w:p w14:paraId="71CAA156" w14:textId="3D98D31F" w:rsidR="00B641C7" w:rsidRDefault="00264000" w:rsidP="00666E5A">
      <w:pPr>
        <w:pStyle w:val="SingleTxtG"/>
      </w:pPr>
      <w:r w:rsidRPr="00007C2A">
        <w:t>8.3</w:t>
      </w:r>
      <w:r w:rsidRPr="00007C2A">
        <w:tab/>
        <w:t xml:space="preserve">The Committee recalls that the concept of “the same matter” within the meaning of article 5, paragraph </w:t>
      </w:r>
      <w:r w:rsidR="00E74A18">
        <w:t xml:space="preserve">2 </w:t>
      </w:r>
      <w:r w:rsidRPr="00007C2A">
        <w:t xml:space="preserve">(a), of the Optional Protocol </w:t>
      </w:r>
      <w:r w:rsidR="00AF300D">
        <w:t xml:space="preserve">shall be </w:t>
      </w:r>
      <w:r w:rsidRPr="00007C2A">
        <w:t>understood as including the same authors, the same facts and the same substantive rights.</w:t>
      </w:r>
      <w:r w:rsidRPr="00007C2A">
        <w:rPr>
          <w:vertAlign w:val="superscript"/>
        </w:rPr>
        <w:footnoteReference w:id="9"/>
      </w:r>
      <w:r w:rsidRPr="00007C2A">
        <w:t xml:space="preserve"> </w:t>
      </w:r>
      <w:r w:rsidRPr="00007C2A">
        <w:rPr>
          <w:bCs/>
        </w:rPr>
        <w:t xml:space="preserve">The Committee notes that it </w:t>
      </w:r>
      <w:r w:rsidR="00AF300D">
        <w:rPr>
          <w:bCs/>
        </w:rPr>
        <w:t xml:space="preserve">appears </w:t>
      </w:r>
      <w:r w:rsidRPr="00007C2A">
        <w:rPr>
          <w:bCs/>
        </w:rPr>
        <w:t xml:space="preserve">from the information on file that the author’s applications to the European Court of Human Rights concern the same person and relate to the same substantive rights as those invoked in the present communication. However, the Committee observes </w:t>
      </w:r>
      <w:r w:rsidRPr="00007C2A">
        <w:t>that the respective applications before the European Court do not relate to the same facts, that is, the particular event</w:t>
      </w:r>
      <w:r w:rsidR="00496626">
        <w:rPr>
          <w:rFonts w:hint="cs"/>
          <w:rtl/>
          <w:lang w:bidi="he-IL"/>
        </w:rPr>
        <w:t xml:space="preserve"> </w:t>
      </w:r>
      <w:r w:rsidR="00496626">
        <w:rPr>
          <w:lang w:val="en-US" w:bidi="he-IL"/>
        </w:rPr>
        <w:t>at the particular time</w:t>
      </w:r>
      <w:r w:rsidRPr="00007C2A">
        <w:t xml:space="preserve"> referred to in the present communication. Consequently, the Committee considers that it is not precluded by article 5, paragraph 2 (a), of the Optional Protocol from examining the present communication</w:t>
      </w:r>
      <w:r w:rsidR="00AF300D">
        <w:t>,</w:t>
      </w:r>
      <w:r w:rsidRPr="00007C2A">
        <w:t xml:space="preserve"> for purposes of admissibility.</w:t>
      </w:r>
      <w:r>
        <w:rPr>
          <w:rStyle w:val="FootnoteReference"/>
        </w:rPr>
        <w:footnoteReference w:id="10"/>
      </w:r>
    </w:p>
    <w:p w14:paraId="328B2170" w14:textId="32589AC8" w:rsidR="00B641C7" w:rsidRDefault="001D0655" w:rsidP="00B641C7">
      <w:pPr>
        <w:pStyle w:val="SingleTxtG"/>
      </w:pPr>
      <w:r>
        <w:t>8</w:t>
      </w:r>
      <w:r w:rsidR="008C00E7" w:rsidRPr="0028434D">
        <w:t>.</w:t>
      </w:r>
      <w:r w:rsidR="00666E5A">
        <w:t>4</w:t>
      </w:r>
      <w:r w:rsidR="007A0330">
        <w:tab/>
      </w:r>
      <w:r w:rsidR="001A0346" w:rsidRPr="0072412E">
        <w:t xml:space="preserve">The Committee notes the author’s claim that all available domestic remedies have been exhausted. </w:t>
      </w:r>
      <w:r w:rsidR="003E17A4" w:rsidRPr="003E17A4">
        <w:t xml:space="preserve">It </w:t>
      </w:r>
      <w:r w:rsidR="003E17A4">
        <w:t xml:space="preserve">also </w:t>
      </w:r>
      <w:r w:rsidR="003E17A4" w:rsidRPr="003E17A4">
        <w:t>notes that</w:t>
      </w:r>
      <w:r w:rsidR="00EE5850">
        <w:t xml:space="preserve"> </w:t>
      </w:r>
      <w:r w:rsidR="003E17A4" w:rsidRPr="003E17A4">
        <w:t>the State party has not challenge</w:t>
      </w:r>
      <w:r w:rsidR="00FB11EB">
        <w:t>d</w:t>
      </w:r>
      <w:r w:rsidR="003E17A4" w:rsidRPr="003E17A4">
        <w:t xml:space="preserve"> </w:t>
      </w:r>
      <w:r w:rsidR="00AF300D">
        <w:t xml:space="preserve">the communication on this ground. </w:t>
      </w:r>
      <w:r w:rsidR="001A0346" w:rsidRPr="0072412E">
        <w:t xml:space="preserve">Accordingly, </w:t>
      </w:r>
      <w:r w:rsidR="00AF300D">
        <w:t xml:space="preserve">it </w:t>
      </w:r>
      <w:r w:rsidR="001A0346" w:rsidRPr="0072412E">
        <w:t>considers that it is not precluded by article 5 (2) (b) of the Optional Protocol from examining the present communication.</w:t>
      </w:r>
    </w:p>
    <w:p w14:paraId="644ED877" w14:textId="67B44305" w:rsidR="00B641C7" w:rsidRDefault="001D0655" w:rsidP="00B641C7">
      <w:pPr>
        <w:pStyle w:val="SingleTxtG"/>
        <w:rPr>
          <w:lang w:val="en-US"/>
        </w:rPr>
      </w:pPr>
      <w:r>
        <w:t>8</w:t>
      </w:r>
      <w:r w:rsidR="00FB1F6C">
        <w:t>.</w:t>
      </w:r>
      <w:r w:rsidR="00666E5A">
        <w:t>5</w:t>
      </w:r>
      <w:r w:rsidR="007A0330">
        <w:tab/>
      </w:r>
      <w:r w:rsidR="009F1B75" w:rsidRPr="00536CE3">
        <w:rPr>
          <w:lang w:val="en-US"/>
        </w:rPr>
        <w:t>The Committee notes the author</w:t>
      </w:r>
      <w:r w:rsidR="009F1B75">
        <w:rPr>
          <w:lang w:val="en-US"/>
        </w:rPr>
        <w:t xml:space="preserve">’s claim that his rights under articles </w:t>
      </w:r>
      <w:r w:rsidR="003E17A4">
        <w:rPr>
          <w:lang w:val="en-US"/>
        </w:rPr>
        <w:t>21</w:t>
      </w:r>
      <w:r w:rsidR="009F1B75">
        <w:rPr>
          <w:lang w:val="en-US"/>
        </w:rPr>
        <w:t xml:space="preserve"> and 2</w:t>
      </w:r>
      <w:r w:rsidR="003E17A4">
        <w:rPr>
          <w:lang w:val="en-US"/>
        </w:rPr>
        <w:t>6 have been violated since he was denied</w:t>
      </w:r>
      <w:r w:rsidR="003E17A4" w:rsidRPr="003E17A4">
        <w:rPr>
          <w:lang w:val="en-US"/>
        </w:rPr>
        <w:t xml:space="preserve"> an opportunity to hold a </w:t>
      </w:r>
      <w:r w:rsidR="003E17A4">
        <w:rPr>
          <w:lang w:val="en-US"/>
        </w:rPr>
        <w:t xml:space="preserve">gay </w:t>
      </w:r>
      <w:r w:rsidR="00D47CC8">
        <w:rPr>
          <w:lang w:val="en-US"/>
        </w:rPr>
        <w:t xml:space="preserve">pride </w:t>
      </w:r>
      <w:r w:rsidR="003E17A4" w:rsidRPr="003E17A4">
        <w:rPr>
          <w:lang w:val="en-US"/>
        </w:rPr>
        <w:t>parade</w:t>
      </w:r>
      <w:r w:rsidR="007F5455">
        <w:rPr>
          <w:lang w:val="en-US"/>
        </w:rPr>
        <w:t xml:space="preserve"> and </w:t>
      </w:r>
      <w:r w:rsidR="007F5455" w:rsidRPr="007F5455">
        <w:rPr>
          <w:lang w:val="en-US"/>
        </w:rPr>
        <w:t xml:space="preserve">he was </w:t>
      </w:r>
      <w:r w:rsidR="007F5455" w:rsidRPr="007F5455">
        <w:rPr>
          <w:lang w:val="en-US"/>
        </w:rPr>
        <w:lastRenderedPageBreak/>
        <w:t xml:space="preserve">discriminated </w:t>
      </w:r>
      <w:r w:rsidR="00FB11EB">
        <w:rPr>
          <w:lang w:val="en-US"/>
        </w:rPr>
        <w:t xml:space="preserve">against </w:t>
      </w:r>
      <w:r w:rsidR="007F5455" w:rsidRPr="007F5455">
        <w:rPr>
          <w:lang w:val="en-US"/>
        </w:rPr>
        <w:t>based on his sexual orientation</w:t>
      </w:r>
      <w:r w:rsidR="007F5455">
        <w:rPr>
          <w:lang w:val="en-US"/>
        </w:rPr>
        <w:t>.</w:t>
      </w:r>
      <w:r w:rsidR="003E17A4">
        <w:rPr>
          <w:lang w:val="en-US"/>
        </w:rPr>
        <w:t xml:space="preserve"> </w:t>
      </w:r>
      <w:r w:rsidR="003E17A4" w:rsidRPr="003E17A4">
        <w:rPr>
          <w:lang w:val="en-US"/>
        </w:rPr>
        <w:t xml:space="preserve"> </w:t>
      </w:r>
      <w:r w:rsidR="009F1B75" w:rsidRPr="008C00E7">
        <w:t xml:space="preserve">The Committee considers that </w:t>
      </w:r>
      <w:r w:rsidR="009F1B75">
        <w:t>th</w:t>
      </w:r>
      <w:r w:rsidR="000A5960">
        <w:t>ese</w:t>
      </w:r>
      <w:r w:rsidR="009F1B75">
        <w:t xml:space="preserve"> claim</w:t>
      </w:r>
      <w:r w:rsidR="000A5960">
        <w:t>s</w:t>
      </w:r>
      <w:r w:rsidR="009F1B75">
        <w:t xml:space="preserve"> ha</w:t>
      </w:r>
      <w:r w:rsidR="0031593D">
        <w:t>ve</w:t>
      </w:r>
      <w:r w:rsidR="009F1B75">
        <w:t xml:space="preserve"> been sufficiently </w:t>
      </w:r>
      <w:r w:rsidR="009F1B75" w:rsidRPr="008C00E7">
        <w:t xml:space="preserve">substantiated for the purposes of admissibility. It therefore declares </w:t>
      </w:r>
      <w:r w:rsidR="000A5960">
        <w:t>them</w:t>
      </w:r>
      <w:r w:rsidR="009F1B75" w:rsidRPr="008C00E7">
        <w:t xml:space="preserve"> admissible and proceeds with their examination of the merits.</w:t>
      </w:r>
    </w:p>
    <w:p w14:paraId="306912E5" w14:textId="2FD6D089" w:rsidR="008C00E7" w:rsidRPr="008C00E7" w:rsidRDefault="007A0330" w:rsidP="007A0330">
      <w:pPr>
        <w:pStyle w:val="H4G"/>
      </w:pPr>
      <w:r>
        <w:tab/>
      </w:r>
      <w:r>
        <w:tab/>
      </w:r>
      <w:r w:rsidR="008C00E7" w:rsidRPr="008C00E7">
        <w:t>Consideration of the merits</w:t>
      </w:r>
    </w:p>
    <w:p w14:paraId="26EAD759" w14:textId="581BC9B3" w:rsidR="00B641C7" w:rsidRDefault="00666E5A" w:rsidP="00B641C7">
      <w:pPr>
        <w:pStyle w:val="SingleTxtG"/>
      </w:pPr>
      <w:r>
        <w:t>9</w:t>
      </w:r>
      <w:r w:rsidR="00694DB5">
        <w:t>.1</w:t>
      </w:r>
      <w:r w:rsidR="007A0330">
        <w:tab/>
      </w:r>
      <w:r w:rsidR="008C00E7" w:rsidRPr="008C00E7">
        <w:t>The Committee has considered the present communication in</w:t>
      </w:r>
      <w:r w:rsidR="00EE5850">
        <w:t xml:space="preserve"> the</w:t>
      </w:r>
      <w:r w:rsidR="008C00E7" w:rsidRPr="008C00E7">
        <w:t xml:space="preserve"> light of all the information submitted by the parties, in accordance with article 5 (1) of the Optional Protocol.</w:t>
      </w:r>
    </w:p>
    <w:p w14:paraId="47E95FD3" w14:textId="04F9577B" w:rsidR="006D7F0B" w:rsidRDefault="00666E5A" w:rsidP="007F5455">
      <w:pPr>
        <w:pStyle w:val="SingleTxtG"/>
      </w:pPr>
      <w:r>
        <w:t>9</w:t>
      </w:r>
      <w:r w:rsidR="00694DB5">
        <w:t>.2</w:t>
      </w:r>
      <w:r w:rsidR="007A0330">
        <w:tab/>
      </w:r>
      <w:r w:rsidR="00403480" w:rsidRPr="0072412E">
        <w:t xml:space="preserve">The Committee </w:t>
      </w:r>
      <w:r w:rsidR="0031593D">
        <w:t xml:space="preserve">has taken note of the author’s claim of a violation of his rights under articles 21 and 26 of the Covenant. </w:t>
      </w:r>
      <w:r w:rsidR="00955882">
        <w:t xml:space="preserve">The Committee </w:t>
      </w:r>
      <w:r w:rsidR="00403480" w:rsidRPr="0072412E">
        <w:t>recalls</w:t>
      </w:r>
      <w:r w:rsidR="00955882">
        <w:t xml:space="preserve"> that</w:t>
      </w:r>
      <w:r w:rsidR="00403480" w:rsidRPr="0072412E">
        <w:t xml:space="preserve"> </w:t>
      </w:r>
      <w:r w:rsidR="00955882">
        <w:t xml:space="preserve">the right of peaceful assembly ‘protects the ability of people to exercise individual autonomy in solidarity with others. Together with other </w:t>
      </w:r>
      <w:r w:rsidR="006D7F0B">
        <w:t>r</w:t>
      </w:r>
      <w:r w:rsidR="00955882">
        <w:t>elated rights it also constitutes the very foundation of a system of participatory governance based on democracy, human rights, the rule of law and pluralism.’</w:t>
      </w:r>
      <w:r w:rsidR="00AE0E9A">
        <w:rPr>
          <w:rStyle w:val="FootnoteReference"/>
        </w:rPr>
        <w:footnoteReference w:id="11"/>
      </w:r>
      <w:r w:rsidR="00955882">
        <w:t xml:space="preserve"> </w:t>
      </w:r>
      <w:r w:rsidR="006D7F0B">
        <w:t>Moreover, ‘States must ensure that law</w:t>
      </w:r>
      <w:r w:rsidR="00E70EDC">
        <w:t>s</w:t>
      </w:r>
      <w:r w:rsidR="006D7F0B">
        <w:t xml:space="preserve"> and their interpretation and application do not result in discrimination in the enjoyment of the right of peaceful assembly, for example on the basis of … sexual orientation or gender identity.’</w:t>
      </w:r>
      <w:r w:rsidR="006D7F0B">
        <w:rPr>
          <w:rStyle w:val="FootnoteReference"/>
        </w:rPr>
        <w:footnoteReference w:id="12"/>
      </w:r>
      <w:r w:rsidR="006D7F0B">
        <w:t xml:space="preserve"> </w:t>
      </w:r>
    </w:p>
    <w:p w14:paraId="158B49BA" w14:textId="77B2639E" w:rsidR="00720A7F" w:rsidRDefault="00694DB5" w:rsidP="006C3F18">
      <w:pPr>
        <w:pStyle w:val="SingleTxtG"/>
      </w:pPr>
      <w:r>
        <w:t>9.3</w:t>
      </w:r>
      <w:r w:rsidR="007A0330">
        <w:tab/>
      </w:r>
      <w:r w:rsidR="001E14AF">
        <w:t xml:space="preserve">The Committee recalls that </w:t>
      </w:r>
      <w:r w:rsidR="00D47CC8">
        <w:t xml:space="preserve">article </w:t>
      </w:r>
      <w:r w:rsidR="00EE5850">
        <w:t>21 ‘protects peaceful assemblies wherever they take place: outdoors, indoors, and online;</w:t>
      </w:r>
      <w:r w:rsidR="00B0144A">
        <w:t xml:space="preserve"> </w:t>
      </w:r>
      <w:r w:rsidR="00EE5850">
        <w:t>in public and private spaces</w:t>
      </w:r>
      <w:r w:rsidR="00E01E76">
        <w:t>.’</w:t>
      </w:r>
      <w:r w:rsidR="00EE5850">
        <w:rPr>
          <w:rStyle w:val="FootnoteReference"/>
        </w:rPr>
        <w:footnoteReference w:id="13"/>
      </w:r>
      <w:r w:rsidR="00EE5850">
        <w:t xml:space="preserve">  </w:t>
      </w:r>
      <w:r w:rsidR="006A5E6C">
        <w:t>N</w:t>
      </w:r>
      <w:r w:rsidR="00403480" w:rsidRPr="0072412E">
        <w:t xml:space="preserve">o restriction </w:t>
      </w:r>
      <w:r w:rsidR="00403480">
        <w:t>on</w:t>
      </w:r>
      <w:r w:rsidR="00403480" w:rsidRPr="0072412E">
        <w:t xml:space="preserve"> th</w:t>
      </w:r>
      <w:r w:rsidR="006A5E6C">
        <w:t>e</w:t>
      </w:r>
      <w:r w:rsidR="00403480" w:rsidRPr="0072412E">
        <w:t xml:space="preserve"> right is permissible unless it is: (a) imposed in conformity with the law; and (b) necessary in a democratic society in the interests of national security or public safety, public order (</w:t>
      </w:r>
      <w:proofErr w:type="spellStart"/>
      <w:r w:rsidR="00403480" w:rsidRPr="0072412E">
        <w:rPr>
          <w:i/>
          <w:iCs/>
        </w:rPr>
        <w:t>ordre</w:t>
      </w:r>
      <w:proofErr w:type="spellEnd"/>
      <w:r w:rsidR="00403480" w:rsidRPr="0072412E">
        <w:rPr>
          <w:i/>
          <w:iCs/>
        </w:rPr>
        <w:t xml:space="preserve"> public</w:t>
      </w:r>
      <w:r w:rsidR="00403480" w:rsidRPr="0072412E">
        <w:t xml:space="preserve">), </w:t>
      </w:r>
      <w:r w:rsidR="00403480">
        <w:t xml:space="preserve">the </w:t>
      </w:r>
      <w:r w:rsidR="00403480" w:rsidRPr="0072412E">
        <w:t xml:space="preserve">protection of public health or morals or </w:t>
      </w:r>
      <w:r w:rsidR="00403480">
        <w:t xml:space="preserve">the </w:t>
      </w:r>
      <w:r w:rsidR="00403480" w:rsidRPr="0072412E">
        <w:t>protection of the rights and freedoms of others.</w:t>
      </w:r>
      <w:r w:rsidR="00CB70CC">
        <w:t xml:space="preserve"> </w:t>
      </w:r>
      <w:r w:rsidR="009D6778">
        <w:t>The o</w:t>
      </w:r>
      <w:r w:rsidR="006C3F18">
        <w:t xml:space="preserve">nus is on </w:t>
      </w:r>
      <w:r w:rsidR="006C3F18" w:rsidRPr="0072412E">
        <w:t>State part</w:t>
      </w:r>
      <w:r w:rsidR="006C3F18">
        <w:t>ies</w:t>
      </w:r>
      <w:r w:rsidR="006C3F18" w:rsidRPr="0072412E">
        <w:t xml:space="preserve"> to justify limitation</w:t>
      </w:r>
      <w:r w:rsidR="009D6778">
        <w:t>s</w:t>
      </w:r>
      <w:r w:rsidR="006C3F18" w:rsidRPr="0072412E">
        <w:t xml:space="preserve"> o</w:t>
      </w:r>
      <w:r w:rsidR="006C3F18">
        <w:t>n</w:t>
      </w:r>
      <w:r w:rsidR="006C3F18" w:rsidRPr="0072412E">
        <w:t xml:space="preserve"> the right protected by article 21 of the Covenant</w:t>
      </w:r>
      <w:r w:rsidR="006C3F18" w:rsidRPr="00C64063">
        <w:t xml:space="preserve"> and to demonstrate that it does not serve as </w:t>
      </w:r>
      <w:r w:rsidR="006C3F18">
        <w:t xml:space="preserve">a </w:t>
      </w:r>
      <w:r w:rsidR="006C3F18" w:rsidRPr="00C64063">
        <w:t xml:space="preserve">disproportionate obstacle </w:t>
      </w:r>
      <w:r w:rsidR="006C3F18">
        <w:t>to</w:t>
      </w:r>
      <w:r w:rsidR="006C3F18" w:rsidRPr="00C64063">
        <w:t xml:space="preserve"> the exercise of the right</w:t>
      </w:r>
      <w:r w:rsidR="006C3F18" w:rsidRPr="0072412E">
        <w:t>.</w:t>
      </w:r>
      <w:r w:rsidR="006C3F18" w:rsidRPr="0072412E">
        <w:rPr>
          <w:sz w:val="18"/>
          <w:vertAlign w:val="superscript"/>
        </w:rPr>
        <w:footnoteReference w:id="14"/>
      </w:r>
      <w:r w:rsidR="00DD1B73" w:rsidRPr="00C77002">
        <w:t xml:space="preserve">  </w:t>
      </w:r>
      <w:r w:rsidR="009D6778">
        <w:t>The a</w:t>
      </w:r>
      <w:r w:rsidR="00DD1B73">
        <w:t xml:space="preserve">uthorities must </w:t>
      </w:r>
      <w:r w:rsidR="00DD1B73" w:rsidRPr="00C546BE">
        <w:t>be able to</w:t>
      </w:r>
      <w:r w:rsidR="00DD1B73">
        <w:t xml:space="preserve"> show that any r</w:t>
      </w:r>
      <w:r w:rsidR="00DD1B73" w:rsidRPr="00C77002">
        <w:t xml:space="preserve">estrictions </w:t>
      </w:r>
      <w:r w:rsidR="00DD1B73" w:rsidRPr="00C546BE">
        <w:t>meet the requirement of legality</w:t>
      </w:r>
      <w:r w:rsidR="00DD1B73" w:rsidRPr="00C77002">
        <w:t xml:space="preserve">, and are </w:t>
      </w:r>
      <w:r w:rsidR="00DD1B73" w:rsidRPr="00C546BE">
        <w:t>also</w:t>
      </w:r>
      <w:r w:rsidR="00DD1B73">
        <w:t xml:space="preserve"> both </w:t>
      </w:r>
      <w:r w:rsidR="00DD1B73" w:rsidRPr="00C77002">
        <w:t xml:space="preserve">necessary </w:t>
      </w:r>
      <w:r w:rsidR="00DD1B73">
        <w:t xml:space="preserve">for </w:t>
      </w:r>
      <w:r w:rsidR="00DD1B73" w:rsidRPr="00C77002">
        <w:t xml:space="preserve">and proportionate to </w:t>
      </w:r>
      <w:r w:rsidR="00DD1B73">
        <w:t xml:space="preserve">at least one of </w:t>
      </w:r>
      <w:r w:rsidR="00DD1B73" w:rsidRPr="00C77002">
        <w:t>the permissible grounds for restrict</w:t>
      </w:r>
      <w:r w:rsidR="00DD1B73">
        <w:t>ions enumerated in article 21</w:t>
      </w:r>
      <w:r w:rsidR="00DD1B73" w:rsidRPr="00C77002">
        <w:t>.</w:t>
      </w:r>
      <w:r w:rsidR="00DD1B73">
        <w:t xml:space="preserve"> </w:t>
      </w:r>
      <w:r w:rsidR="00DD1B73" w:rsidRPr="00C77002">
        <w:t>Restrictions</w:t>
      </w:r>
      <w:r w:rsidR="00DD1B73">
        <w:t xml:space="preserve"> must not be discriminatory, impair the essence of the right, or</w:t>
      </w:r>
      <w:r w:rsidR="00DD1B73" w:rsidRPr="00C77002">
        <w:t xml:space="preserve"> be aimed at discouraging participation in assemblies </w:t>
      </w:r>
      <w:r w:rsidR="00DD1B73">
        <w:t>or</w:t>
      </w:r>
      <w:r w:rsidR="00DD1B73" w:rsidRPr="00C77002">
        <w:t xml:space="preserve"> caus</w:t>
      </w:r>
      <w:r w:rsidR="009D6778">
        <w:t>e</w:t>
      </w:r>
      <w:r w:rsidR="00DD1B73" w:rsidRPr="00C77002">
        <w:t xml:space="preserve"> a chilling effect.</w:t>
      </w:r>
      <w:r w:rsidR="006C3F18">
        <w:rPr>
          <w:rStyle w:val="FootnoteReference"/>
        </w:rPr>
        <w:footnoteReference w:id="15"/>
      </w:r>
      <w:r w:rsidR="006C3F18">
        <w:t xml:space="preserve"> </w:t>
      </w:r>
      <w:r w:rsidR="00CB70CC">
        <w:t>Where this onus is not met, article 21 is violated.</w:t>
      </w:r>
      <w:r w:rsidR="00CB70CC" w:rsidRPr="00C77002">
        <w:rPr>
          <w:rFonts w:eastAsia="SimSun"/>
          <w:vertAlign w:val="superscript"/>
          <w:lang w:val="fr-CH"/>
        </w:rPr>
        <w:footnoteReference w:id="16"/>
      </w:r>
    </w:p>
    <w:p w14:paraId="6F9B22FC" w14:textId="11A495C5" w:rsidR="00720A7F" w:rsidRDefault="00694DB5" w:rsidP="00720A7F">
      <w:pPr>
        <w:pStyle w:val="SingleTxtG"/>
      </w:pPr>
      <w:r>
        <w:t>9.4</w:t>
      </w:r>
      <w:r w:rsidR="007A0330">
        <w:tab/>
      </w:r>
      <w:r w:rsidR="00720A7F">
        <w:t xml:space="preserve">The Committee notes that </w:t>
      </w:r>
      <w:r w:rsidR="00720A7F" w:rsidRPr="00C77002">
        <w:t xml:space="preserve">States parties moreover have </w:t>
      </w:r>
      <w:r w:rsidR="00720A7F" w:rsidRPr="005348BD">
        <w:t>certain positive duties</w:t>
      </w:r>
      <w:r w:rsidR="00720A7F" w:rsidRPr="00C77002">
        <w:t xml:space="preserve"> to </w:t>
      </w:r>
      <w:r w:rsidR="00720A7F" w:rsidRPr="00C77002">
        <w:rPr>
          <w:i/>
          <w:iCs/>
        </w:rPr>
        <w:t>facilitate</w:t>
      </w:r>
      <w:r w:rsidR="00720A7F" w:rsidRPr="00C77002">
        <w:t xml:space="preserve"> peaceful assemblies, and to make it possible for participants to achieve their objectives</w:t>
      </w:r>
      <w:r w:rsidR="00720A7F" w:rsidRPr="00B65764">
        <w:t>.</w:t>
      </w:r>
      <w:r w:rsidR="00720A7F" w:rsidRPr="00AC2BB8">
        <w:rPr>
          <w:rStyle w:val="FootnoteReference"/>
        </w:rPr>
        <w:footnoteReference w:id="17"/>
      </w:r>
      <w:r w:rsidR="00720A7F" w:rsidRPr="00C77002">
        <w:t xml:space="preserve"> States must thus promote an enabling environment for the exercise of the right of peaceful assembly</w:t>
      </w:r>
      <w:r w:rsidR="00720A7F">
        <w:t xml:space="preserve"> </w:t>
      </w:r>
      <w:r w:rsidR="00720A7F" w:rsidRPr="005348BD">
        <w:t>without discrimination</w:t>
      </w:r>
      <w:r w:rsidR="00720A7F">
        <w:t>,</w:t>
      </w:r>
      <w:r w:rsidR="00720A7F" w:rsidRPr="00C77002">
        <w:t xml:space="preserve"> and put in place a legal and institutional framework within which the right can be exercised effectively. </w:t>
      </w:r>
      <w:r w:rsidR="00720A7F">
        <w:t>S</w:t>
      </w:r>
      <w:r w:rsidR="00720A7F" w:rsidRPr="00C77002">
        <w:t xml:space="preserve">pecific </w:t>
      </w:r>
      <w:r w:rsidR="00720A7F" w:rsidRPr="00B65764">
        <w:t>measures</w:t>
      </w:r>
      <w:r w:rsidR="00720A7F" w:rsidRPr="00C77002">
        <w:t xml:space="preserve"> may </w:t>
      </w:r>
      <w:r w:rsidR="00720A7F">
        <w:t xml:space="preserve">sometimes </w:t>
      </w:r>
      <w:r w:rsidR="00720A7F" w:rsidRPr="00C77002">
        <w:t xml:space="preserve">be required on the part of the authorities. For example, they may need to block off streets, redirect traffic, </w:t>
      </w:r>
      <w:r w:rsidR="00720A7F">
        <w:t xml:space="preserve">or </w:t>
      </w:r>
      <w:r w:rsidR="00720A7F" w:rsidRPr="00C77002">
        <w:t xml:space="preserve">provide security. Where needed, States must also </w:t>
      </w:r>
      <w:r w:rsidR="00720A7F" w:rsidRPr="00C77002">
        <w:rPr>
          <w:i/>
          <w:iCs/>
        </w:rPr>
        <w:t>protect</w:t>
      </w:r>
      <w:r w:rsidR="00720A7F" w:rsidRPr="00C77002">
        <w:t xml:space="preserve"> participants against possible abuse by non-State actors, such as interference or violence by other members of the public,</w:t>
      </w:r>
      <w:r w:rsidR="00720A7F" w:rsidRPr="00C77002">
        <w:rPr>
          <w:rFonts w:eastAsia="SimSun"/>
          <w:vertAlign w:val="superscript"/>
          <w:lang w:val="fr-CH"/>
        </w:rPr>
        <w:footnoteReference w:id="18"/>
      </w:r>
      <w:r w:rsidR="00720A7F" w:rsidRPr="00C77002">
        <w:t xml:space="preserve"> counter-demonstrators and private security providers.</w:t>
      </w:r>
      <w:r w:rsidR="00720A7F">
        <w:rPr>
          <w:rStyle w:val="FootnoteReference"/>
        </w:rPr>
        <w:footnoteReference w:id="19"/>
      </w:r>
    </w:p>
    <w:p w14:paraId="1F39DE77" w14:textId="676C5E17" w:rsidR="00923D22" w:rsidRPr="00923D22" w:rsidRDefault="00666E5A" w:rsidP="001E14AF">
      <w:pPr>
        <w:pStyle w:val="SingleTxtG"/>
        <w:rPr>
          <w:color w:val="000000"/>
        </w:rPr>
      </w:pPr>
      <w:r>
        <w:t>9</w:t>
      </w:r>
      <w:r w:rsidR="00923D22">
        <w:t>.</w:t>
      </w:r>
      <w:r w:rsidR="00720A7F">
        <w:t>5</w:t>
      </w:r>
      <w:r w:rsidR="007A0330">
        <w:tab/>
      </w:r>
      <w:r w:rsidR="00D37688">
        <w:t xml:space="preserve">In the present case, the Committee observes that both the State party and the author agree that the </w:t>
      </w:r>
      <w:r w:rsidR="00AF300D">
        <w:t xml:space="preserve">failure </w:t>
      </w:r>
      <w:r w:rsidR="00D37688" w:rsidRPr="00403480">
        <w:t>to a</w:t>
      </w:r>
      <w:r w:rsidR="00AF300D">
        <w:t xml:space="preserve">uthorise </w:t>
      </w:r>
      <w:r w:rsidR="00D37688">
        <w:t xml:space="preserve">a gay </w:t>
      </w:r>
      <w:r w:rsidR="00D47CC8">
        <w:t xml:space="preserve">pride </w:t>
      </w:r>
      <w:r w:rsidR="00D37688">
        <w:t xml:space="preserve">parade in </w:t>
      </w:r>
      <w:r w:rsidR="00FD2B63">
        <w:t>Moscow</w:t>
      </w:r>
      <w:r w:rsidR="00D37688">
        <w:t xml:space="preserve"> on </w:t>
      </w:r>
      <w:r w:rsidR="00FD2B63">
        <w:t>11</w:t>
      </w:r>
      <w:r w:rsidR="00D37688">
        <w:t xml:space="preserve"> </w:t>
      </w:r>
      <w:r w:rsidR="00FD2B63">
        <w:t>October</w:t>
      </w:r>
      <w:r w:rsidR="00D37688">
        <w:t xml:space="preserve"> 2014 was an interference with the author’s right of assembly, but the parties disagree as to whether </w:t>
      </w:r>
      <w:r w:rsidR="0031593D">
        <w:t xml:space="preserve">the restriction in question was </w:t>
      </w:r>
      <w:r w:rsidR="00D37688">
        <w:t>permissible</w:t>
      </w:r>
      <w:r w:rsidR="00D37688" w:rsidRPr="00403480">
        <w:t>.</w:t>
      </w:r>
      <w:r w:rsidR="00806AD6" w:rsidRPr="00806AD6">
        <w:t xml:space="preserve"> </w:t>
      </w:r>
    </w:p>
    <w:p w14:paraId="35D00585" w14:textId="7212534C" w:rsidR="00A86B40" w:rsidRDefault="00FD2B63" w:rsidP="007A13AE">
      <w:pPr>
        <w:pStyle w:val="SingleTxtG"/>
        <w:rPr>
          <w:lang w:val="en-US"/>
        </w:rPr>
      </w:pPr>
      <w:r>
        <w:t>9</w:t>
      </w:r>
      <w:r w:rsidR="007F5455">
        <w:t>.</w:t>
      </w:r>
      <w:r w:rsidR="00694DB5">
        <w:t>6</w:t>
      </w:r>
      <w:r w:rsidR="007A0330">
        <w:tab/>
      </w:r>
      <w:r w:rsidR="00546E12">
        <w:t>The Committee notes the State party</w:t>
      </w:r>
      <w:r w:rsidR="006F3376">
        <w:t xml:space="preserve">’s </w:t>
      </w:r>
      <w:r w:rsidR="00720A7F">
        <w:t>contention that</w:t>
      </w:r>
      <w:r w:rsidR="00546E12">
        <w:t xml:space="preserve"> its decision about the impossibility to hold the parade with the announced purpose </w:t>
      </w:r>
      <w:r w:rsidR="0097120D">
        <w:t>–</w:t>
      </w:r>
      <w:r w:rsidR="00546E12">
        <w:t xml:space="preserve"> </w:t>
      </w:r>
      <w:r w:rsidR="0097120D">
        <w:t xml:space="preserve">promotion of the </w:t>
      </w:r>
      <w:r w:rsidR="00E54E94" w:rsidRPr="00E54E94">
        <w:t>rights and freedom</w:t>
      </w:r>
      <w:r w:rsidR="0097120D">
        <w:t>s</w:t>
      </w:r>
      <w:r w:rsidR="00E54E94" w:rsidRPr="00E54E94">
        <w:t xml:space="preserve"> of </w:t>
      </w:r>
      <w:r w:rsidRPr="000C6A8E">
        <w:t>sexual minorities</w:t>
      </w:r>
      <w:r w:rsidR="00546E12" w:rsidRPr="00772451">
        <w:t xml:space="preserve"> </w:t>
      </w:r>
      <w:r w:rsidR="00546E12">
        <w:t xml:space="preserve">- was </w:t>
      </w:r>
      <w:r w:rsidR="00546E12" w:rsidRPr="001A4ADD">
        <w:t>necessary</w:t>
      </w:r>
      <w:r w:rsidR="00546E12">
        <w:t xml:space="preserve"> </w:t>
      </w:r>
      <w:r w:rsidR="00546E12" w:rsidRPr="007A13AE">
        <w:t>and proportional</w:t>
      </w:r>
      <w:r w:rsidR="00546E12">
        <w:t xml:space="preserve"> and the only possible measure in </w:t>
      </w:r>
      <w:r w:rsidR="006F3376">
        <w:t>a</w:t>
      </w:r>
      <w:r w:rsidR="00546E12">
        <w:t xml:space="preserve"> democratic society for achieving the abovementioned social aim</w:t>
      </w:r>
      <w:r w:rsidR="00FB11EB">
        <w:t>, namely</w:t>
      </w:r>
      <w:r w:rsidR="00546E12">
        <w:t xml:space="preserve"> </w:t>
      </w:r>
      <w:r w:rsidR="00546E12" w:rsidRPr="00270876">
        <w:t xml:space="preserve">to protect </w:t>
      </w:r>
      <w:r w:rsidR="00242AD8">
        <w:lastRenderedPageBreak/>
        <w:t>minors</w:t>
      </w:r>
      <w:r w:rsidR="00546E12" w:rsidRPr="00270876">
        <w:t xml:space="preserve"> from </w:t>
      </w:r>
      <w:r w:rsidR="00546E12" w:rsidRPr="00790F30">
        <w:t>information detrimental to their moral and spiritual development and health</w:t>
      </w:r>
      <w:r w:rsidR="0097120D">
        <w:t xml:space="preserve">. </w:t>
      </w:r>
      <w:r w:rsidR="00720A7F" w:rsidRPr="00720A7F">
        <w:t xml:space="preserve">The Committee </w:t>
      </w:r>
      <w:r w:rsidR="00720A7F">
        <w:t xml:space="preserve">also </w:t>
      </w:r>
      <w:r w:rsidR="00720A7F" w:rsidRPr="00720A7F">
        <w:t xml:space="preserve">notes the State party’s </w:t>
      </w:r>
      <w:r w:rsidR="00023602">
        <w:t>claim</w:t>
      </w:r>
      <w:r w:rsidR="00720A7F" w:rsidRPr="00720A7F">
        <w:t xml:space="preserve"> that </w:t>
      </w:r>
      <w:r w:rsidR="00023602">
        <w:t xml:space="preserve">the </w:t>
      </w:r>
      <w:r w:rsidR="0097120D">
        <w:t>parade could also</w:t>
      </w:r>
      <w:r w:rsidR="0097120D" w:rsidRPr="0097120D">
        <w:t xml:space="preserve"> outrage religious and moral </w:t>
      </w:r>
      <w:r w:rsidR="00AF300D">
        <w:t>sensi</w:t>
      </w:r>
      <w:r w:rsidR="0013409D">
        <w:t>bilities</w:t>
      </w:r>
      <w:r w:rsidR="00AF300D">
        <w:t xml:space="preserve"> </w:t>
      </w:r>
      <w:r w:rsidR="0097120D">
        <w:t xml:space="preserve">of other people, and that it </w:t>
      </w:r>
      <w:r w:rsidR="0097120D" w:rsidRPr="0097120D">
        <w:t>would provoke a negative reacti</w:t>
      </w:r>
      <w:r w:rsidR="0097120D">
        <w:t>on of the society</w:t>
      </w:r>
      <w:r w:rsidR="0097120D" w:rsidRPr="0097120D">
        <w:t xml:space="preserve"> and </w:t>
      </w:r>
      <w:r w:rsidR="00AF300D">
        <w:t xml:space="preserve">cause </w:t>
      </w:r>
      <w:r w:rsidR="0097120D">
        <w:t>some</w:t>
      </w:r>
      <w:r w:rsidR="0097120D" w:rsidRPr="0097120D">
        <w:t xml:space="preserve"> illegal actions from the side of the population who does not share the author’s position</w:t>
      </w:r>
      <w:r w:rsidR="006F3376">
        <w:t xml:space="preserve"> </w:t>
      </w:r>
      <w:r w:rsidR="00141CB1">
        <w:t>as well as that it could</w:t>
      </w:r>
      <w:r w:rsidR="006F3376">
        <w:t xml:space="preserve"> disrupt traffic</w:t>
      </w:r>
      <w:r w:rsidR="00AF300D">
        <w:t>.</w:t>
      </w:r>
      <w:r w:rsidR="0097120D">
        <w:t xml:space="preserve"> </w:t>
      </w:r>
      <w:r w:rsidR="00546E12">
        <w:rPr>
          <w:lang w:val="en-US"/>
        </w:rPr>
        <w:t xml:space="preserve">The Committee </w:t>
      </w:r>
      <w:r w:rsidR="006F3376">
        <w:rPr>
          <w:lang w:val="en-US"/>
        </w:rPr>
        <w:t xml:space="preserve">also </w:t>
      </w:r>
      <w:r w:rsidR="00546E12">
        <w:rPr>
          <w:lang w:val="en-US"/>
        </w:rPr>
        <w:t xml:space="preserve">notes the author’s information that </w:t>
      </w:r>
      <w:r w:rsidR="0013409D">
        <w:rPr>
          <w:lang w:val="en-US"/>
        </w:rPr>
        <w:t xml:space="preserve">he was </w:t>
      </w:r>
      <w:r w:rsidR="00546E12">
        <w:rPr>
          <w:lang w:val="en-US"/>
        </w:rPr>
        <w:t xml:space="preserve">willing to realize his right to peaceful assembly with </w:t>
      </w:r>
      <w:r w:rsidR="005302C0" w:rsidRPr="005302C0">
        <w:rPr>
          <w:lang w:val="en-US"/>
        </w:rPr>
        <w:t>the announced purpose</w:t>
      </w:r>
      <w:r w:rsidR="00546E12" w:rsidRPr="00734F78">
        <w:rPr>
          <w:lang w:val="en-US"/>
        </w:rPr>
        <w:t>,</w:t>
      </w:r>
      <w:r w:rsidR="005302C0" w:rsidRPr="00734F78">
        <w:rPr>
          <w:lang w:val="en-US"/>
        </w:rPr>
        <w:t xml:space="preserve"> </w:t>
      </w:r>
      <w:r w:rsidR="00734F78" w:rsidRPr="00734F78">
        <w:rPr>
          <w:lang w:val="en-US"/>
        </w:rPr>
        <w:t xml:space="preserve">while guaranteeing to respect the public order and norms of public morality and informing the authorities about his readiness to modify the itinerary of the parade. </w:t>
      </w:r>
    </w:p>
    <w:p w14:paraId="5DC387AD" w14:textId="3F13BEDC" w:rsidR="00546E12" w:rsidRDefault="0097120D" w:rsidP="00546E12">
      <w:pPr>
        <w:pStyle w:val="SingleTxtG"/>
        <w:rPr>
          <w:color w:val="000000"/>
        </w:rPr>
      </w:pPr>
      <w:r>
        <w:t>9</w:t>
      </w:r>
      <w:r w:rsidR="007F5455">
        <w:t>.</w:t>
      </w:r>
      <w:r w:rsidR="00023602">
        <w:t>7</w:t>
      </w:r>
      <w:r w:rsidR="007A0330">
        <w:tab/>
      </w:r>
      <w:r w:rsidR="00546E12">
        <w:t>The Committee notes that</w:t>
      </w:r>
      <w:r w:rsidR="00546E12" w:rsidRPr="00C77002">
        <w:rPr>
          <w:color w:val="000000"/>
        </w:rPr>
        <w:t xml:space="preserve"> </w:t>
      </w:r>
      <w:r w:rsidR="00546E12">
        <w:rPr>
          <w:color w:val="000000"/>
        </w:rPr>
        <w:t>r</w:t>
      </w:r>
      <w:r w:rsidR="00546E12" w:rsidRPr="00C77002">
        <w:rPr>
          <w:color w:val="000000"/>
        </w:rPr>
        <w:t xml:space="preserve">estrictions on peaceful assemblies should only exceptionally be imposed for the protection of </w:t>
      </w:r>
      <w:r w:rsidR="00EA02D2">
        <w:rPr>
          <w:color w:val="000000"/>
        </w:rPr>
        <w:t>“</w:t>
      </w:r>
      <w:r w:rsidR="00546E12" w:rsidRPr="00C77002">
        <w:rPr>
          <w:color w:val="000000"/>
        </w:rPr>
        <w:t xml:space="preserve">morals”. If used at all, this ground should not be used to protect understandings of </w:t>
      </w:r>
      <w:r w:rsidR="006D7F0B">
        <w:rPr>
          <w:color w:val="000000"/>
        </w:rPr>
        <w:t xml:space="preserve">morality deriving </w:t>
      </w:r>
      <w:r w:rsidR="00546E12" w:rsidRPr="00C77002">
        <w:rPr>
          <w:color w:val="000000"/>
        </w:rPr>
        <w:t xml:space="preserve">exclusively </w:t>
      </w:r>
      <w:r w:rsidR="00546E12" w:rsidRPr="006D7F0B">
        <w:rPr>
          <w:color w:val="000000"/>
        </w:rPr>
        <w:t xml:space="preserve">from a single social, philosophical or religious tradition </w:t>
      </w:r>
      <w:r w:rsidR="00546E12" w:rsidRPr="006D7F0B">
        <w:rPr>
          <w:color w:val="000000"/>
          <w:lang w:val="x-none"/>
        </w:rPr>
        <w:t xml:space="preserve">and any </w:t>
      </w:r>
      <w:r w:rsidR="00546E12" w:rsidRPr="006D7F0B">
        <w:rPr>
          <w:color w:val="000000"/>
          <w:lang w:val="en-US"/>
        </w:rPr>
        <w:t>such restrictions</w:t>
      </w:r>
      <w:r w:rsidR="00546E12" w:rsidRPr="006D7F0B">
        <w:rPr>
          <w:color w:val="000000"/>
          <w:lang w:val="x-none"/>
        </w:rPr>
        <w:t xml:space="preserve"> must be understood in the light of </w:t>
      </w:r>
      <w:r w:rsidR="00546E12" w:rsidRPr="006D7F0B">
        <w:rPr>
          <w:color w:val="000000"/>
          <w:lang w:val="en-US"/>
        </w:rPr>
        <w:t xml:space="preserve">the </w:t>
      </w:r>
      <w:r w:rsidR="00546E12" w:rsidRPr="006D7F0B">
        <w:rPr>
          <w:color w:val="000000"/>
          <w:lang w:val="x-none"/>
        </w:rPr>
        <w:t>universality of human rights</w:t>
      </w:r>
      <w:r w:rsidR="006D7F0B">
        <w:rPr>
          <w:color w:val="000000"/>
          <w:lang w:val="en-US"/>
        </w:rPr>
        <w:t>, pluralism</w:t>
      </w:r>
      <w:r w:rsidR="00546E12" w:rsidRPr="006D7F0B">
        <w:rPr>
          <w:color w:val="000000"/>
          <w:lang w:val="x-none"/>
        </w:rPr>
        <w:t xml:space="preserve"> and the principle of non-discrimination</w:t>
      </w:r>
      <w:r w:rsidR="00546E12" w:rsidRPr="006D7F0B">
        <w:rPr>
          <w:color w:val="000000"/>
        </w:rPr>
        <w:t>.</w:t>
      </w:r>
      <w:r w:rsidR="00546E12" w:rsidRPr="006D7F0B">
        <w:rPr>
          <w:vertAlign w:val="superscript"/>
          <w:lang w:val="fr-CH"/>
        </w:rPr>
        <w:footnoteReference w:id="20"/>
      </w:r>
      <w:r w:rsidR="00546E12" w:rsidRPr="006D7F0B">
        <w:rPr>
          <w:color w:val="000000"/>
        </w:rPr>
        <w:t xml:space="preserve"> </w:t>
      </w:r>
      <w:r w:rsidR="006F3376">
        <w:rPr>
          <w:color w:val="000000"/>
        </w:rPr>
        <w:t>The Committee recalls that ‘</w:t>
      </w:r>
      <w:r w:rsidR="00546E12" w:rsidRPr="006D7F0B">
        <w:rPr>
          <w:color w:val="000000"/>
        </w:rPr>
        <w:t>Restrictions based on this ground may not</w:t>
      </w:r>
      <w:r w:rsidR="005A7962">
        <w:rPr>
          <w:color w:val="000000"/>
        </w:rPr>
        <w:t>,</w:t>
      </w:r>
      <w:r w:rsidR="00546E12" w:rsidRPr="006D7F0B">
        <w:rPr>
          <w:color w:val="000000"/>
        </w:rPr>
        <w:t xml:space="preserve"> for instance</w:t>
      </w:r>
      <w:r w:rsidR="005A7962">
        <w:rPr>
          <w:color w:val="000000"/>
        </w:rPr>
        <w:t>,</w:t>
      </w:r>
      <w:r w:rsidR="00546E12" w:rsidRPr="006D7F0B">
        <w:rPr>
          <w:color w:val="000000"/>
        </w:rPr>
        <w:t xml:space="preserve"> </w:t>
      </w:r>
      <w:r w:rsidR="005A7962">
        <w:rPr>
          <w:color w:val="000000"/>
        </w:rPr>
        <w:t xml:space="preserve">be imposed because of </w:t>
      </w:r>
      <w:r w:rsidR="00546E12" w:rsidRPr="006D7F0B">
        <w:rPr>
          <w:color w:val="000000"/>
        </w:rPr>
        <w:t>opposition to expressions of sexual orientation</w:t>
      </w:r>
      <w:r w:rsidR="005A7962">
        <w:rPr>
          <w:color w:val="000000"/>
        </w:rPr>
        <w:t xml:space="preserve"> or gender identity</w:t>
      </w:r>
      <w:r w:rsidR="00546E12" w:rsidRPr="006D7F0B">
        <w:rPr>
          <w:color w:val="000000"/>
        </w:rPr>
        <w:t>.</w:t>
      </w:r>
      <w:r w:rsidR="006F3376">
        <w:rPr>
          <w:color w:val="000000"/>
        </w:rPr>
        <w:t>’</w:t>
      </w:r>
      <w:r w:rsidR="00546E12" w:rsidRPr="006D7F0B">
        <w:rPr>
          <w:vertAlign w:val="superscript"/>
          <w:lang w:val="fr-CH"/>
        </w:rPr>
        <w:footnoteReference w:id="21"/>
      </w:r>
    </w:p>
    <w:p w14:paraId="12A49E4B" w14:textId="12F57347" w:rsidR="00D37688" w:rsidRDefault="0097120D" w:rsidP="008F1CE4">
      <w:pPr>
        <w:pStyle w:val="SingleTxtG"/>
        <w:rPr>
          <w:color w:val="000000"/>
        </w:rPr>
      </w:pPr>
      <w:r>
        <w:rPr>
          <w:color w:val="000000"/>
        </w:rPr>
        <w:t>9</w:t>
      </w:r>
      <w:r w:rsidR="00546E12">
        <w:rPr>
          <w:color w:val="000000"/>
        </w:rPr>
        <w:t>.</w:t>
      </w:r>
      <w:r w:rsidR="00023602">
        <w:rPr>
          <w:color w:val="000000"/>
        </w:rPr>
        <w:t>8</w:t>
      </w:r>
      <w:r w:rsidR="007A0330">
        <w:rPr>
          <w:color w:val="000000"/>
        </w:rPr>
        <w:tab/>
      </w:r>
      <w:r w:rsidR="002C3B8F" w:rsidRPr="00C77002">
        <w:rPr>
          <w:color w:val="000000"/>
        </w:rPr>
        <w:t xml:space="preserve">Restrictions imposed on an assembly on the ground that they are for “the protection of the rights and freedoms of others” may relate to the protection of Covenant or other rights of people not participating in the assembly. </w:t>
      </w:r>
      <w:r w:rsidR="002C3B8F">
        <w:rPr>
          <w:color w:val="000000"/>
        </w:rPr>
        <w:t>In this case, t</w:t>
      </w:r>
      <w:r w:rsidR="00BB2412">
        <w:rPr>
          <w:color w:val="000000"/>
        </w:rPr>
        <w:t xml:space="preserve">he Committee </w:t>
      </w:r>
      <w:r w:rsidR="00A37162">
        <w:rPr>
          <w:color w:val="000000"/>
        </w:rPr>
        <w:t xml:space="preserve">has </w:t>
      </w:r>
      <w:r w:rsidR="0033698C">
        <w:rPr>
          <w:color w:val="000000"/>
        </w:rPr>
        <w:t>a</w:t>
      </w:r>
      <w:r w:rsidR="00A37162">
        <w:rPr>
          <w:color w:val="000000"/>
        </w:rPr>
        <w:t xml:space="preserve"> common approach with the European Court of Human Rights and </w:t>
      </w:r>
      <w:r w:rsidR="00BB2412">
        <w:rPr>
          <w:color w:val="000000"/>
        </w:rPr>
        <w:t xml:space="preserve">considers that there is no </w:t>
      </w:r>
      <w:r w:rsidR="005A7962">
        <w:rPr>
          <w:color w:val="000000"/>
        </w:rPr>
        <w:t>basis on which to assume</w:t>
      </w:r>
      <w:r w:rsidR="00BB2412">
        <w:rPr>
          <w:color w:val="000000"/>
        </w:rPr>
        <w:t xml:space="preserve"> </w:t>
      </w:r>
      <w:r w:rsidR="008F1CE4">
        <w:rPr>
          <w:color w:val="000000"/>
        </w:rPr>
        <w:t>that</w:t>
      </w:r>
      <w:r w:rsidR="006F3376">
        <w:rPr>
          <w:color w:val="000000"/>
        </w:rPr>
        <w:t xml:space="preserve"> the</w:t>
      </w:r>
      <w:r w:rsidR="00BB2412">
        <w:rPr>
          <w:color w:val="000000"/>
        </w:rPr>
        <w:t xml:space="preserve"> </w:t>
      </w:r>
      <w:r w:rsidR="008F1CE4">
        <w:rPr>
          <w:color w:val="000000"/>
        </w:rPr>
        <w:t>“</w:t>
      </w:r>
      <w:r w:rsidR="008F1CE4" w:rsidRPr="008F1CE4">
        <w:rPr>
          <w:color w:val="000000"/>
        </w:rPr>
        <w:t>mere mention of homosexuality</w:t>
      </w:r>
      <w:r w:rsidR="008F1CE4">
        <w:rPr>
          <w:color w:val="000000"/>
        </w:rPr>
        <w:t>”</w:t>
      </w:r>
      <w:r w:rsidR="008F1CE4">
        <w:rPr>
          <w:rStyle w:val="FootnoteReference"/>
          <w:color w:val="000000"/>
        </w:rPr>
        <w:footnoteReference w:id="22"/>
      </w:r>
      <w:r w:rsidR="008F1CE4">
        <w:rPr>
          <w:color w:val="000000"/>
        </w:rPr>
        <w:t>, or</w:t>
      </w:r>
      <w:r w:rsidR="008F1CE4" w:rsidRPr="008F1CE4">
        <w:rPr>
          <w:color w:val="000000"/>
        </w:rPr>
        <w:t xml:space="preserve"> </w:t>
      </w:r>
      <w:r w:rsidR="00BB2412">
        <w:rPr>
          <w:color w:val="000000"/>
        </w:rPr>
        <w:t xml:space="preserve">public expression of homosexual </w:t>
      </w:r>
      <w:r w:rsidR="008F1CE4">
        <w:rPr>
          <w:color w:val="000000"/>
        </w:rPr>
        <w:t>status, or the call for the respect of</w:t>
      </w:r>
      <w:r w:rsidR="00BB2412">
        <w:rPr>
          <w:color w:val="000000"/>
        </w:rPr>
        <w:t xml:space="preserve"> the</w:t>
      </w:r>
      <w:r w:rsidR="00BB2412" w:rsidRPr="00BB2412">
        <w:rPr>
          <w:color w:val="000000"/>
        </w:rPr>
        <w:t xml:space="preserve"> rights</w:t>
      </w:r>
      <w:r w:rsidR="00BB2412">
        <w:rPr>
          <w:color w:val="000000"/>
        </w:rPr>
        <w:t xml:space="preserve"> of</w:t>
      </w:r>
      <w:r w:rsidR="00BB2412" w:rsidRPr="00BB2412">
        <w:rPr>
          <w:color w:val="000000"/>
        </w:rPr>
        <w:t xml:space="preserve"> </w:t>
      </w:r>
      <w:r w:rsidR="00E54E94">
        <w:rPr>
          <w:color w:val="000000"/>
        </w:rPr>
        <w:t>homosexuals</w:t>
      </w:r>
      <w:r w:rsidR="00403A60">
        <w:rPr>
          <w:color w:val="000000"/>
        </w:rPr>
        <w:t>,</w:t>
      </w:r>
      <w:r w:rsidR="00E54E94">
        <w:rPr>
          <w:color w:val="000000"/>
        </w:rPr>
        <w:t xml:space="preserve"> </w:t>
      </w:r>
      <w:r w:rsidR="00BB2412">
        <w:rPr>
          <w:color w:val="000000"/>
        </w:rPr>
        <w:t xml:space="preserve">could have </w:t>
      </w:r>
      <w:r w:rsidR="005A7962">
        <w:rPr>
          <w:color w:val="000000"/>
        </w:rPr>
        <w:t xml:space="preserve">a </w:t>
      </w:r>
      <w:r w:rsidR="00F60D9D">
        <w:rPr>
          <w:color w:val="000000"/>
        </w:rPr>
        <w:t xml:space="preserve">negative </w:t>
      </w:r>
      <w:r w:rsidR="00F60D9D" w:rsidRPr="00BB2412">
        <w:rPr>
          <w:color w:val="000000"/>
        </w:rPr>
        <w:t>effect</w:t>
      </w:r>
      <w:r w:rsidR="00BB2412">
        <w:rPr>
          <w:color w:val="000000"/>
        </w:rPr>
        <w:t xml:space="preserve"> on </w:t>
      </w:r>
      <w:r w:rsidR="008F1CE4">
        <w:rPr>
          <w:color w:val="000000"/>
        </w:rPr>
        <w:t>minors’</w:t>
      </w:r>
      <w:r w:rsidR="002A1B22">
        <w:rPr>
          <w:color w:val="000000"/>
        </w:rPr>
        <w:t xml:space="preserve"> rights and freedoms</w:t>
      </w:r>
      <w:r w:rsidR="00F60D9D">
        <w:rPr>
          <w:color w:val="000000"/>
        </w:rPr>
        <w:t xml:space="preserve">. </w:t>
      </w:r>
    </w:p>
    <w:p w14:paraId="0DF00FD1" w14:textId="6FC8F79B" w:rsidR="00A86B40" w:rsidRDefault="0097120D" w:rsidP="00A86B40">
      <w:pPr>
        <w:pStyle w:val="SingleTxtG"/>
      </w:pPr>
      <w:r>
        <w:rPr>
          <w:color w:val="000000"/>
        </w:rPr>
        <w:t>9</w:t>
      </w:r>
      <w:r w:rsidR="00A86B40">
        <w:rPr>
          <w:color w:val="000000"/>
        </w:rPr>
        <w:t>.</w:t>
      </w:r>
      <w:r w:rsidR="00023602">
        <w:rPr>
          <w:color w:val="000000"/>
        </w:rPr>
        <w:t>9</w:t>
      </w:r>
      <w:r w:rsidR="007A0330">
        <w:rPr>
          <w:color w:val="000000"/>
        </w:rPr>
        <w:tab/>
      </w:r>
      <w:r w:rsidR="00A86B40" w:rsidRPr="00A86B40">
        <w:t xml:space="preserve">The Committee </w:t>
      </w:r>
      <w:r w:rsidR="00A86B40">
        <w:t xml:space="preserve">also </w:t>
      </w:r>
      <w:r w:rsidR="00A86B40" w:rsidRPr="00A86B40">
        <w:t>recalls that the participants can freely determine the purpose of a peaceful assembly to advance ideas and aspirational goals in the public domain, and to establish the extent of support for or opposition to those ideas and goals. Central to the realisation of the right of peaceful assembly is the requirement that any restrictions must in principle be content neutral, and thus not be related to the message conveyed by the assembly.</w:t>
      </w:r>
      <w:r w:rsidR="00A86B40" w:rsidRPr="00A86B40">
        <w:rPr>
          <w:rFonts w:eastAsia="SimSun"/>
          <w:vertAlign w:val="superscript"/>
          <w:lang w:val="fr-CH"/>
        </w:rPr>
        <w:footnoteReference w:id="23"/>
      </w:r>
      <w:r w:rsidR="00A86B40" w:rsidRPr="00A86B40">
        <w:t xml:space="preserve"> A contrary approach defeats the very purpose of peaceful assemblies as a tool of political and social participation.</w:t>
      </w:r>
      <w:r w:rsidR="00A86B40" w:rsidRPr="00A86B40">
        <w:rPr>
          <w:sz w:val="18"/>
          <w:vertAlign w:val="superscript"/>
        </w:rPr>
        <w:footnoteReference w:id="24"/>
      </w:r>
      <w:r w:rsidR="00A86B40" w:rsidRPr="00A86B40">
        <w:t xml:space="preserve"> The Committee accordingly considers that in th</w:t>
      </w:r>
      <w:r w:rsidR="00AF300D">
        <w:t xml:space="preserve">e present </w:t>
      </w:r>
      <w:r w:rsidR="00A86B40" w:rsidRPr="00A86B40">
        <w:t xml:space="preserve">case, the State party’s restrictions </w:t>
      </w:r>
      <w:r w:rsidR="005A7962">
        <w:t>on</w:t>
      </w:r>
      <w:r w:rsidR="00A86B40" w:rsidRPr="00A86B40">
        <w:t xml:space="preserve"> the author’s right to assembly </w:t>
      </w:r>
      <w:r w:rsidR="00403A60">
        <w:t xml:space="preserve">were </w:t>
      </w:r>
      <w:r w:rsidR="00A86B40" w:rsidRPr="00A86B40">
        <w:t xml:space="preserve">directly related to the chosen purpose </w:t>
      </w:r>
      <w:r w:rsidR="00E54E94">
        <w:t xml:space="preserve">and content </w:t>
      </w:r>
      <w:r w:rsidR="00A86B40" w:rsidRPr="00A86B40">
        <w:t xml:space="preserve">of assembly namely </w:t>
      </w:r>
      <w:r w:rsidR="0013409D">
        <w:t xml:space="preserve">an affirmation of </w:t>
      </w:r>
      <w:r w:rsidR="00E54E94">
        <w:t xml:space="preserve">homosexuality and </w:t>
      </w:r>
      <w:r w:rsidR="00A86B40" w:rsidRPr="00A86B40">
        <w:t xml:space="preserve">the rights of homosexuals.  </w:t>
      </w:r>
    </w:p>
    <w:p w14:paraId="77FDF212" w14:textId="50918716" w:rsidR="005A7962" w:rsidRDefault="009A7097" w:rsidP="005A7962">
      <w:pPr>
        <w:pStyle w:val="SingleTxtG"/>
      </w:pPr>
      <w:r>
        <w:t>9.</w:t>
      </w:r>
      <w:r w:rsidR="00023602">
        <w:t>10</w:t>
      </w:r>
      <w:r w:rsidR="00FD2B63" w:rsidRPr="00007C2A">
        <w:tab/>
        <w:t xml:space="preserve">The Committee also notes that the State party </w:t>
      </w:r>
      <w:r w:rsidR="00403A60">
        <w:t>justifies</w:t>
      </w:r>
      <w:r w:rsidR="00FD2B63" w:rsidRPr="00007C2A">
        <w:t xml:space="preserve"> the denial of permission to hold the </w:t>
      </w:r>
      <w:r w:rsidR="00AF300D">
        <w:t xml:space="preserve">parade in question </w:t>
      </w:r>
      <w:r w:rsidR="00FD2B63" w:rsidRPr="00007C2A">
        <w:t>as necessary in the interest of public safety.</w:t>
      </w:r>
      <w:r w:rsidR="00FD2B63" w:rsidRPr="00007C2A">
        <w:rPr>
          <w:rStyle w:val="FootnoteReference"/>
        </w:rPr>
        <w:t xml:space="preserve"> </w:t>
      </w:r>
      <w:r w:rsidR="00FD2B63" w:rsidRPr="00007C2A">
        <w:rPr>
          <w:bCs/>
        </w:rPr>
        <w:t>The Committee notes that freedom of assembly protects demonstrations promoting ideas that may be regarded as annoying or offensive by others and that, in such cases, States parties have a duty to protect the participants in a demonstration in the exercise of their rights against violence by others</w:t>
      </w:r>
      <w:r w:rsidR="0013409D">
        <w:rPr>
          <w:bCs/>
        </w:rPr>
        <w:t>, including discriminatory attacks</w:t>
      </w:r>
      <w:r w:rsidR="00FD2B63" w:rsidRPr="00007C2A">
        <w:rPr>
          <w:bCs/>
        </w:rPr>
        <w:t>. It also notes that an unspecified and general risk of a violent counterdemonstration or the mere possibility that the authorities would be unable to prevent or neutralize such violence is not sufficient to ban a demonstration</w:t>
      </w:r>
      <w:r w:rsidR="00FD2B63" w:rsidRPr="00007C2A">
        <w:t>.</w:t>
      </w:r>
      <w:r w:rsidR="005A7962">
        <w:rPr>
          <w:rStyle w:val="FootnoteReference"/>
        </w:rPr>
        <w:footnoteReference w:id="25"/>
      </w:r>
      <w:r w:rsidR="00FD2B63" w:rsidRPr="00007C2A">
        <w:t xml:space="preserve"> </w:t>
      </w:r>
      <w:r w:rsidR="006F3376">
        <w:t xml:space="preserve"> </w:t>
      </w:r>
    </w:p>
    <w:p w14:paraId="5C7ED8B6" w14:textId="132B245B" w:rsidR="0013409D" w:rsidRDefault="00694DB5" w:rsidP="005A7962">
      <w:pPr>
        <w:pStyle w:val="SingleTxtG"/>
      </w:pPr>
      <w:r>
        <w:t>9.11</w:t>
      </w:r>
      <w:r w:rsidR="007A0330">
        <w:tab/>
      </w:r>
      <w:r w:rsidR="00023602" w:rsidRPr="00023602">
        <w:t>The Committee also notes that</w:t>
      </w:r>
      <w:r w:rsidR="00023602">
        <w:t>,</w:t>
      </w:r>
      <w:r w:rsidR="00023602" w:rsidRPr="00023602">
        <w:t xml:space="preserve"> </w:t>
      </w:r>
      <w:r w:rsidR="00023602">
        <w:t>moreover</w:t>
      </w:r>
      <w:r w:rsidR="0013409D">
        <w:t xml:space="preserve">, the mere fact that there may be some disturbance of the traffic is in itself no a ground to prohibit the assembly, especially where the </w:t>
      </w:r>
      <w:r w:rsidR="00D47CC8">
        <w:t xml:space="preserve">organizers </w:t>
      </w:r>
      <w:r w:rsidR="0013409D">
        <w:t>have indicated their willingness to adjust the location where the demonstrations was going to be held.</w:t>
      </w:r>
      <w:r w:rsidR="0013409D">
        <w:rPr>
          <w:rStyle w:val="FootnoteReference"/>
        </w:rPr>
        <w:footnoteReference w:id="26"/>
      </w:r>
    </w:p>
    <w:p w14:paraId="0ACB068B" w14:textId="23D0BC02" w:rsidR="00FD2B63" w:rsidRPr="00A53AF3" w:rsidRDefault="00694DB5" w:rsidP="005A7962">
      <w:pPr>
        <w:pStyle w:val="SingleTxtG"/>
      </w:pPr>
      <w:r>
        <w:t>9.12</w:t>
      </w:r>
      <w:r w:rsidR="007A0330">
        <w:tab/>
      </w:r>
      <w:r w:rsidR="00023602" w:rsidRPr="00023602">
        <w:t xml:space="preserve">The Committee notes that </w:t>
      </w:r>
      <w:r w:rsidR="00023602">
        <w:t>t</w:t>
      </w:r>
      <w:r w:rsidR="00023602" w:rsidRPr="00007C2A">
        <w:t>he</w:t>
      </w:r>
      <w:r w:rsidR="00FD2B63" w:rsidRPr="00007C2A">
        <w:t xml:space="preserve"> State party has not provided the Committee with any information in the present case to support the claim that a “negative reaction” to the author’s </w:t>
      </w:r>
      <w:r w:rsidR="00FD2B63" w:rsidRPr="00007C2A">
        <w:lastRenderedPageBreak/>
        <w:t xml:space="preserve">proposed </w:t>
      </w:r>
      <w:r w:rsidR="00A53AF3">
        <w:t xml:space="preserve">gay </w:t>
      </w:r>
      <w:r w:rsidR="00E451A7">
        <w:t xml:space="preserve">pride </w:t>
      </w:r>
      <w:r w:rsidR="00A53AF3">
        <w:t>parade</w:t>
      </w:r>
      <w:r w:rsidR="00FD2B63" w:rsidRPr="00007C2A">
        <w:t xml:space="preserve"> by members of the public would </w:t>
      </w:r>
      <w:r w:rsidR="00C47ED9">
        <w:t>present a severe threat to their safety</w:t>
      </w:r>
      <w:r w:rsidR="00FD2B63" w:rsidRPr="00007C2A">
        <w:t xml:space="preserve"> </w:t>
      </w:r>
      <w:r w:rsidR="007A0330">
        <w:t>and</w:t>
      </w:r>
      <w:r w:rsidR="00FD2B63" w:rsidRPr="00007C2A">
        <w:t xml:space="preserve"> that the police </w:t>
      </w:r>
      <w:r w:rsidR="00C47ED9">
        <w:t xml:space="preserve">will not have the capacity </w:t>
      </w:r>
      <w:r w:rsidR="00FD2B63" w:rsidRPr="00007C2A">
        <w:t xml:space="preserve">to </w:t>
      </w:r>
      <w:r w:rsidR="006F3376">
        <w:t>contain such a threat</w:t>
      </w:r>
      <w:r w:rsidR="00FD2B63" w:rsidRPr="00007C2A">
        <w:t>. In such circumstances, the obligation o</w:t>
      </w:r>
      <w:r w:rsidR="00403A60">
        <w:t>n</w:t>
      </w:r>
      <w:r w:rsidR="00FD2B63" w:rsidRPr="00007C2A">
        <w:t xml:space="preserve"> the State party </w:t>
      </w:r>
      <w:r w:rsidR="006F3376">
        <w:t>i</w:t>
      </w:r>
      <w:r w:rsidR="00FD2B63" w:rsidRPr="00007C2A">
        <w:t xml:space="preserve">s to </w:t>
      </w:r>
      <w:r w:rsidR="00C47ED9">
        <w:t>facilitate</w:t>
      </w:r>
      <w:r w:rsidR="00FD2B63" w:rsidRPr="00007C2A">
        <w:t xml:space="preserve"> the exercise of </w:t>
      </w:r>
      <w:r w:rsidR="00C47ED9">
        <w:t>the</w:t>
      </w:r>
      <w:r w:rsidR="00FD2B63" w:rsidRPr="00007C2A">
        <w:t xml:space="preserve"> right</w:t>
      </w:r>
      <w:r w:rsidR="00C47ED9">
        <w:t>s by the author</w:t>
      </w:r>
      <w:r w:rsidR="00FD2B63" w:rsidRPr="00007C2A">
        <w:t xml:space="preserve"> under the Covenant and not to contribute to suppressing those rights.</w:t>
      </w:r>
      <w:r w:rsidR="00FD2B63" w:rsidRPr="00007C2A">
        <w:rPr>
          <w:rStyle w:val="FootnoteReference"/>
        </w:rPr>
        <w:t xml:space="preserve"> </w:t>
      </w:r>
      <w:r w:rsidR="00FD2B63" w:rsidRPr="00007C2A">
        <w:t xml:space="preserve">The Committee therefore concludes that </w:t>
      </w:r>
      <w:r w:rsidR="00403A60">
        <w:t xml:space="preserve">the State party has not shown that </w:t>
      </w:r>
      <w:r w:rsidR="00FD2B63" w:rsidRPr="00007C2A">
        <w:t xml:space="preserve">the restriction </w:t>
      </w:r>
      <w:r w:rsidR="00E446BD">
        <w:t xml:space="preserve">imposed </w:t>
      </w:r>
      <w:r w:rsidR="00FD2B63" w:rsidRPr="00007C2A">
        <w:t>on the author’s rights</w:t>
      </w:r>
      <w:r w:rsidR="00881A97">
        <w:t xml:space="preserve"> have been </w:t>
      </w:r>
      <w:r w:rsidR="00FD2B63" w:rsidRPr="00007C2A">
        <w:t xml:space="preserve">necessary in a democratic society in the interest of public safety, and </w:t>
      </w:r>
      <w:r w:rsidR="00881A97">
        <w:t xml:space="preserve">thus </w:t>
      </w:r>
      <w:r w:rsidR="00C47ED9">
        <w:t xml:space="preserve">that </w:t>
      </w:r>
      <w:r w:rsidR="00881A97">
        <w:t xml:space="preserve">it </w:t>
      </w:r>
      <w:r w:rsidR="00FD2B63" w:rsidRPr="00007C2A">
        <w:t>violated article 21 of the Covenant.</w:t>
      </w:r>
      <w:r w:rsidR="00A53AF3">
        <w:rPr>
          <w:rStyle w:val="FootnoteReference"/>
        </w:rPr>
        <w:footnoteReference w:id="27"/>
      </w:r>
    </w:p>
    <w:p w14:paraId="6A105D2A" w14:textId="6D54247C" w:rsidR="00455F77" w:rsidRDefault="00A53AF3" w:rsidP="007A0330">
      <w:pPr>
        <w:pStyle w:val="SingleTxtG"/>
      </w:pPr>
      <w:r>
        <w:rPr>
          <w:lang w:val="en-US"/>
        </w:rPr>
        <w:t>9.</w:t>
      </w:r>
      <w:r w:rsidR="00694DB5">
        <w:rPr>
          <w:lang w:val="en-US"/>
        </w:rPr>
        <w:t>13</w:t>
      </w:r>
      <w:r w:rsidR="007A0330">
        <w:rPr>
          <w:lang w:val="en-US"/>
        </w:rPr>
        <w:tab/>
      </w:r>
      <w:r w:rsidR="00455F77">
        <w:rPr>
          <w:lang w:val="en-US"/>
        </w:rPr>
        <w:t xml:space="preserve">The Committee </w:t>
      </w:r>
      <w:r w:rsidR="00C86F27">
        <w:rPr>
          <w:lang w:val="en-US"/>
        </w:rPr>
        <w:t xml:space="preserve">further </w:t>
      </w:r>
      <w:r w:rsidR="00455F77">
        <w:rPr>
          <w:lang w:val="en-US"/>
        </w:rPr>
        <w:t xml:space="preserve">notes the author’s </w:t>
      </w:r>
      <w:r w:rsidR="00881A97">
        <w:rPr>
          <w:lang w:val="en-US"/>
        </w:rPr>
        <w:t xml:space="preserve">claim that by prohibiting the </w:t>
      </w:r>
      <w:r w:rsidR="00455F77">
        <w:rPr>
          <w:lang w:val="en-US"/>
        </w:rPr>
        <w:t>parade</w:t>
      </w:r>
      <w:r w:rsidR="00881A97">
        <w:rPr>
          <w:lang w:val="en-US"/>
        </w:rPr>
        <w:t>,</w:t>
      </w:r>
      <w:r w:rsidR="00455F77">
        <w:rPr>
          <w:lang w:val="en-US"/>
        </w:rPr>
        <w:t xml:space="preserve"> the authorities subjected him to discrimination on the ground of </w:t>
      </w:r>
      <w:r w:rsidR="00C47ED9">
        <w:rPr>
          <w:lang w:val="en-US"/>
        </w:rPr>
        <w:t xml:space="preserve">his </w:t>
      </w:r>
      <w:r w:rsidR="00455F77">
        <w:rPr>
          <w:lang w:val="en-US"/>
        </w:rPr>
        <w:t>sexual orientation</w:t>
      </w:r>
      <w:r w:rsidR="00C86F27">
        <w:rPr>
          <w:lang w:val="en-US"/>
        </w:rPr>
        <w:t xml:space="preserve"> in violation of article 26</w:t>
      </w:r>
      <w:r w:rsidR="00455F77">
        <w:rPr>
          <w:lang w:val="en-US"/>
        </w:rPr>
        <w:t>. The Committee also notes the State party</w:t>
      </w:r>
      <w:r w:rsidR="00531ED3">
        <w:rPr>
          <w:lang w:val="en-US"/>
        </w:rPr>
        <w:t>’s</w:t>
      </w:r>
      <w:r w:rsidR="00455F77">
        <w:rPr>
          <w:lang w:val="en-US"/>
        </w:rPr>
        <w:t xml:space="preserve"> </w:t>
      </w:r>
      <w:r w:rsidR="00531ED3">
        <w:rPr>
          <w:lang w:val="en-US"/>
        </w:rPr>
        <w:t xml:space="preserve">claim </w:t>
      </w:r>
      <w:r w:rsidR="00455F77">
        <w:rPr>
          <w:lang w:val="en-US"/>
        </w:rPr>
        <w:t xml:space="preserve">that </w:t>
      </w:r>
      <w:r w:rsidR="00455F77" w:rsidRPr="00C22C29">
        <w:rPr>
          <w:lang w:val="en-US"/>
        </w:rPr>
        <w:t xml:space="preserve">the motive for </w:t>
      </w:r>
      <w:r w:rsidR="00881A97">
        <w:rPr>
          <w:lang w:val="en-US"/>
        </w:rPr>
        <w:t xml:space="preserve">prohibition of </w:t>
      </w:r>
      <w:r w:rsidR="00455F77">
        <w:rPr>
          <w:lang w:val="en-US"/>
        </w:rPr>
        <w:t xml:space="preserve">the </w:t>
      </w:r>
      <w:r w:rsidR="00455F77" w:rsidRPr="00C22C29">
        <w:rPr>
          <w:lang w:val="en-US"/>
        </w:rPr>
        <w:t xml:space="preserve">parade did not include any manifestation of intolerance towards persons with non-traditional sexual orientation, </w:t>
      </w:r>
      <w:r w:rsidR="00881A97">
        <w:rPr>
          <w:lang w:val="en-US"/>
        </w:rPr>
        <w:t xml:space="preserve">but </w:t>
      </w:r>
      <w:r w:rsidR="00455F77" w:rsidRPr="00C22C29">
        <w:rPr>
          <w:lang w:val="en-US"/>
        </w:rPr>
        <w:t>was</w:t>
      </w:r>
      <w:r w:rsidR="00455F77">
        <w:rPr>
          <w:lang w:val="en-US"/>
        </w:rPr>
        <w:t xml:space="preserve"> </w:t>
      </w:r>
      <w:r w:rsidR="00881A97">
        <w:rPr>
          <w:lang w:val="en-US"/>
        </w:rPr>
        <w:t xml:space="preserve">strictly </w:t>
      </w:r>
      <w:r w:rsidR="00455F77">
        <w:rPr>
          <w:lang w:val="en-US"/>
        </w:rPr>
        <w:t xml:space="preserve">determined by the </w:t>
      </w:r>
      <w:r w:rsidR="00881A97">
        <w:rPr>
          <w:lang w:val="en-US"/>
        </w:rPr>
        <w:t xml:space="preserve">protection of the </w:t>
      </w:r>
      <w:r w:rsidR="00455F77" w:rsidRPr="00C22C29">
        <w:rPr>
          <w:lang w:val="en-US"/>
        </w:rPr>
        <w:t xml:space="preserve">rights </w:t>
      </w:r>
      <w:r w:rsidR="00881A97">
        <w:rPr>
          <w:lang w:val="en-US"/>
        </w:rPr>
        <w:t>of minors</w:t>
      </w:r>
      <w:r w:rsidR="00455F77">
        <w:rPr>
          <w:lang w:val="en-US"/>
        </w:rPr>
        <w:t>.</w:t>
      </w:r>
    </w:p>
    <w:p w14:paraId="5343739B" w14:textId="3D903F3F" w:rsidR="00810D58" w:rsidRDefault="00A53AF3" w:rsidP="007A0330">
      <w:pPr>
        <w:pStyle w:val="SingleTxtG"/>
        <w:rPr>
          <w:rFonts w:eastAsia="SimSun"/>
          <w:lang w:eastAsia="zh-CN"/>
        </w:rPr>
      </w:pPr>
      <w:r>
        <w:t>9.</w:t>
      </w:r>
      <w:r w:rsidR="00694DB5">
        <w:t>14</w:t>
      </w:r>
      <w:r w:rsidR="007A0330">
        <w:tab/>
      </w:r>
      <w:r w:rsidR="00BF5118" w:rsidRPr="00AD6E31">
        <w:rPr>
          <w:rFonts w:eastAsia="SimSun"/>
          <w:lang w:eastAsia="zh-CN"/>
        </w:rPr>
        <w:t>The Committee recalls that, in paragraph 1 of its general comment No. 18 (1989) on non-discrimination, it stated that article 26 entitles all persons to equality before the law and equal protection of the law, prohibits any discrimination under the law and guarantees to all persons equal and effective protection against discrimination on any ground such as race, colour, sex, language, religion, political or other opinion, national or social origin, property, birth or other status.</w:t>
      </w:r>
      <w:r w:rsidR="00BF5118">
        <w:rPr>
          <w:lang w:val="en-US"/>
        </w:rPr>
        <w:t xml:space="preserve"> </w:t>
      </w:r>
      <w:r w:rsidR="00A469D3" w:rsidRPr="00503758">
        <w:t xml:space="preserve">With reference to its </w:t>
      </w:r>
      <w:r w:rsidR="00A469D3">
        <w:t>earlier jurisprudence</w:t>
      </w:r>
      <w:r w:rsidR="00A469D3" w:rsidRPr="00503758">
        <w:t>,</w:t>
      </w:r>
      <w:bookmarkStart w:id="0" w:name="_Ref325462154"/>
      <w:r w:rsidR="00A469D3">
        <w:rPr>
          <w:rStyle w:val="FootnoteReference"/>
        </w:rPr>
        <w:footnoteReference w:id="28"/>
      </w:r>
      <w:bookmarkEnd w:id="0"/>
      <w:r w:rsidR="00A469D3" w:rsidRPr="00503758">
        <w:t xml:space="preserve"> the Committee </w:t>
      </w:r>
      <w:r w:rsidR="00A469D3">
        <w:t xml:space="preserve">recalls that the prohibition against discrimination under article 26 also </w:t>
      </w:r>
      <w:r w:rsidR="00403A60">
        <w:t xml:space="preserve">extends to </w:t>
      </w:r>
      <w:r w:rsidR="00A469D3">
        <w:t>discrimination based on sexual orientation</w:t>
      </w:r>
      <w:r w:rsidR="00822F16">
        <w:t xml:space="preserve"> and gender identity</w:t>
      </w:r>
      <w:r w:rsidR="00A469D3">
        <w:t>.</w:t>
      </w:r>
      <w:r w:rsidR="00822F16">
        <w:rPr>
          <w:rStyle w:val="FootnoteReference"/>
        </w:rPr>
        <w:footnoteReference w:id="29"/>
      </w:r>
      <w:r w:rsidR="00A469D3">
        <w:t xml:space="preserve"> </w:t>
      </w:r>
    </w:p>
    <w:p w14:paraId="34B5F5C4" w14:textId="6CE007B1" w:rsidR="00F404F3" w:rsidRDefault="00A53AF3" w:rsidP="00F404F3">
      <w:pPr>
        <w:pStyle w:val="SingleTxtG"/>
        <w:rPr>
          <w:rFonts w:eastAsia="SimSun"/>
          <w:lang w:eastAsia="zh-CN"/>
        </w:rPr>
      </w:pPr>
      <w:r>
        <w:t>9.</w:t>
      </w:r>
      <w:r w:rsidR="00694DB5">
        <w:t>15</w:t>
      </w:r>
      <w:r w:rsidR="007A0330">
        <w:tab/>
      </w:r>
      <w:r w:rsidR="0075578A" w:rsidRPr="0075578A">
        <w:rPr>
          <w:rFonts w:eastAsia="SimSun"/>
          <w:lang w:eastAsia="zh-CN"/>
        </w:rPr>
        <w:t>The Committee considers</w:t>
      </w:r>
      <w:r w:rsidR="0013409D">
        <w:rPr>
          <w:rFonts w:eastAsia="SimSun"/>
          <w:lang w:eastAsia="zh-CN"/>
        </w:rPr>
        <w:t xml:space="preserve"> </w:t>
      </w:r>
      <w:r w:rsidR="0075578A" w:rsidRPr="0075578A">
        <w:rPr>
          <w:rFonts w:eastAsia="SimSun"/>
          <w:lang w:eastAsia="zh-CN"/>
        </w:rPr>
        <w:t xml:space="preserve">that the authorities </w:t>
      </w:r>
      <w:r w:rsidR="00A71563">
        <w:rPr>
          <w:rFonts w:eastAsia="SimSun"/>
          <w:lang w:eastAsia="zh-CN"/>
        </w:rPr>
        <w:t>were opposed to</w:t>
      </w:r>
      <w:r w:rsidR="0075578A" w:rsidRPr="0075578A">
        <w:rPr>
          <w:rFonts w:eastAsia="SimSun"/>
          <w:lang w:eastAsia="zh-CN"/>
        </w:rPr>
        <w:t xml:space="preserve"> </w:t>
      </w:r>
      <w:r w:rsidR="00881A97">
        <w:rPr>
          <w:rFonts w:eastAsia="SimSun"/>
          <w:lang w:eastAsia="zh-CN"/>
        </w:rPr>
        <w:t xml:space="preserve">the </w:t>
      </w:r>
      <w:r w:rsidR="0075578A" w:rsidRPr="0075578A">
        <w:rPr>
          <w:rFonts w:eastAsia="SimSun"/>
          <w:lang w:eastAsia="zh-CN"/>
        </w:rPr>
        <w:t xml:space="preserve">homosexual </w:t>
      </w:r>
      <w:r w:rsidR="0075578A">
        <w:rPr>
          <w:rFonts w:eastAsia="SimSun"/>
          <w:lang w:eastAsia="zh-CN"/>
        </w:rPr>
        <w:t>content</w:t>
      </w:r>
      <w:r w:rsidR="0075578A" w:rsidRPr="0075578A">
        <w:rPr>
          <w:rFonts w:eastAsia="SimSun"/>
          <w:lang w:eastAsia="zh-CN"/>
        </w:rPr>
        <w:t xml:space="preserve"> of </w:t>
      </w:r>
      <w:r w:rsidR="00A71563">
        <w:rPr>
          <w:rFonts w:eastAsia="SimSun"/>
          <w:lang w:eastAsia="zh-CN"/>
        </w:rPr>
        <w:t xml:space="preserve">the </w:t>
      </w:r>
      <w:r w:rsidR="0075578A" w:rsidRPr="0075578A">
        <w:rPr>
          <w:rFonts w:eastAsia="SimSun"/>
          <w:lang w:eastAsia="zh-CN"/>
        </w:rPr>
        <w:t xml:space="preserve">parade </w:t>
      </w:r>
      <w:r w:rsidR="00A71563">
        <w:rPr>
          <w:rFonts w:eastAsia="SimSun"/>
          <w:lang w:eastAsia="zh-CN"/>
        </w:rPr>
        <w:t xml:space="preserve">and </w:t>
      </w:r>
      <w:r w:rsidR="0075578A" w:rsidRPr="0075578A">
        <w:rPr>
          <w:rFonts w:eastAsia="SimSun"/>
          <w:lang w:eastAsia="zh-CN"/>
        </w:rPr>
        <w:t>expressly dr</w:t>
      </w:r>
      <w:r w:rsidR="00A71563">
        <w:rPr>
          <w:rFonts w:eastAsia="SimSun"/>
          <w:lang w:eastAsia="zh-CN"/>
        </w:rPr>
        <w:t>ew</w:t>
      </w:r>
      <w:r w:rsidR="0075578A" w:rsidRPr="0075578A">
        <w:rPr>
          <w:rFonts w:eastAsia="SimSun"/>
          <w:lang w:eastAsia="zh-CN"/>
        </w:rPr>
        <w:t xml:space="preserve"> a distinction based on sexual orientation </w:t>
      </w:r>
      <w:r w:rsidR="0075578A" w:rsidRPr="000C6A8E">
        <w:rPr>
          <w:rFonts w:eastAsia="SimSun"/>
          <w:lang w:eastAsia="zh-CN"/>
        </w:rPr>
        <w:t>and gender identity</w:t>
      </w:r>
      <w:r w:rsidR="0075578A" w:rsidRPr="0075578A">
        <w:rPr>
          <w:rFonts w:eastAsia="SimSun"/>
          <w:lang w:eastAsia="zh-CN"/>
        </w:rPr>
        <w:t xml:space="preserve"> </w:t>
      </w:r>
      <w:r w:rsidR="00A71563">
        <w:rPr>
          <w:rFonts w:eastAsia="SimSun"/>
          <w:lang w:eastAsia="zh-CN"/>
        </w:rPr>
        <w:t>which</w:t>
      </w:r>
      <w:r w:rsidR="0075578A" w:rsidRPr="0075578A">
        <w:rPr>
          <w:rFonts w:eastAsia="SimSun"/>
          <w:lang w:eastAsia="zh-CN"/>
        </w:rPr>
        <w:t xml:space="preserve"> constitute</w:t>
      </w:r>
      <w:r w:rsidR="00A71563">
        <w:rPr>
          <w:rFonts w:eastAsia="SimSun"/>
          <w:lang w:eastAsia="zh-CN"/>
        </w:rPr>
        <w:t>d</w:t>
      </w:r>
      <w:r w:rsidR="0075578A" w:rsidRPr="0075578A">
        <w:rPr>
          <w:rFonts w:eastAsia="SimSun"/>
          <w:lang w:eastAsia="zh-CN"/>
        </w:rPr>
        <w:t xml:space="preserve"> a differentiation </w:t>
      </w:r>
      <w:r w:rsidR="00A71563">
        <w:rPr>
          <w:rFonts w:eastAsia="SimSun"/>
          <w:lang w:eastAsia="zh-CN"/>
        </w:rPr>
        <w:t xml:space="preserve">based </w:t>
      </w:r>
      <w:r w:rsidR="0075578A" w:rsidRPr="0075578A">
        <w:rPr>
          <w:rFonts w:eastAsia="SimSun"/>
          <w:lang w:eastAsia="zh-CN"/>
        </w:rPr>
        <w:t>on grounds prohibited under article 26.</w:t>
      </w:r>
    </w:p>
    <w:p w14:paraId="7D52BAA1" w14:textId="648B0762" w:rsidR="00881A97" w:rsidRDefault="00A53AF3" w:rsidP="007A0330">
      <w:pPr>
        <w:pStyle w:val="SingleTxtG"/>
        <w:rPr>
          <w:rFonts w:eastAsia="SimSun"/>
          <w:lang w:eastAsia="zh-CN"/>
        </w:rPr>
      </w:pPr>
      <w:r>
        <w:t>9.</w:t>
      </w:r>
      <w:r w:rsidR="00694DB5">
        <w:t>16</w:t>
      </w:r>
      <w:r w:rsidR="007A0330">
        <w:tab/>
      </w:r>
      <w:r w:rsidR="00450134" w:rsidRPr="00450134">
        <w:rPr>
          <w:rFonts w:eastAsia="SimSun"/>
          <w:lang w:eastAsia="zh-CN"/>
        </w:rPr>
        <w:t>The Committee further recalls its jurisprudence that not every differentiation based on the grounds listed in article 26 of the Covenant amounts to discrimination, as long as it is based on reasonable and objective criteria</w:t>
      </w:r>
      <w:r w:rsidR="00450134" w:rsidRPr="00450134">
        <w:rPr>
          <w:rFonts w:eastAsia="SimSun"/>
          <w:sz w:val="18"/>
          <w:vertAlign w:val="superscript"/>
          <w:lang w:eastAsia="zh-CN"/>
        </w:rPr>
        <w:footnoteReference w:id="30"/>
      </w:r>
      <w:r w:rsidR="00450134" w:rsidRPr="00450134">
        <w:rPr>
          <w:rFonts w:eastAsia="SimSun"/>
          <w:lang w:eastAsia="zh-CN"/>
        </w:rPr>
        <w:t xml:space="preserve"> and </w:t>
      </w:r>
      <w:r w:rsidR="00881A97">
        <w:rPr>
          <w:rFonts w:eastAsia="SimSun"/>
          <w:lang w:eastAsia="zh-CN"/>
        </w:rPr>
        <w:t xml:space="preserve">it </w:t>
      </w:r>
      <w:r w:rsidR="00450134" w:rsidRPr="00450134">
        <w:rPr>
          <w:rFonts w:eastAsia="SimSun"/>
          <w:lang w:eastAsia="zh-CN"/>
        </w:rPr>
        <w:t>pursu</w:t>
      </w:r>
      <w:r w:rsidR="00881A97">
        <w:rPr>
          <w:rFonts w:eastAsia="SimSun"/>
          <w:lang w:eastAsia="zh-CN"/>
        </w:rPr>
        <w:t xml:space="preserve">es a </w:t>
      </w:r>
      <w:r w:rsidR="00450134" w:rsidRPr="00450134">
        <w:rPr>
          <w:rFonts w:eastAsia="SimSun"/>
          <w:lang w:eastAsia="zh-CN"/>
        </w:rPr>
        <w:t xml:space="preserve">legitimate </w:t>
      </w:r>
      <w:r w:rsidR="00881A97">
        <w:rPr>
          <w:rFonts w:eastAsia="SimSun"/>
          <w:lang w:eastAsia="zh-CN"/>
        </w:rPr>
        <w:t xml:space="preserve">aim </w:t>
      </w:r>
      <w:r w:rsidR="00450134" w:rsidRPr="00450134">
        <w:rPr>
          <w:rFonts w:eastAsia="SimSun"/>
          <w:lang w:eastAsia="zh-CN"/>
        </w:rPr>
        <w:t>under the Covenant.</w:t>
      </w:r>
      <w:r w:rsidR="00450134" w:rsidRPr="00450134">
        <w:rPr>
          <w:rFonts w:eastAsia="SimSun"/>
          <w:sz w:val="18"/>
          <w:vertAlign w:val="superscript"/>
          <w:lang w:eastAsia="zh-CN"/>
        </w:rPr>
        <w:footnoteReference w:id="31"/>
      </w:r>
      <w:r w:rsidR="00450134" w:rsidRPr="00450134">
        <w:rPr>
          <w:rFonts w:eastAsia="SimSun"/>
          <w:lang w:eastAsia="zh-CN"/>
        </w:rPr>
        <w:t xml:space="preserve"> </w:t>
      </w:r>
      <w:r w:rsidR="00D47CC8" w:rsidRPr="00D47CC8">
        <w:t>While the Committee recognizes the role of the State party’s authorities in protecting the welfare of minors, it observes that the State party failed to demonstrate why the restriction on the peaceful assembly was based on reasonable and objective criteria. Moreover, no evidence which would point to the existence of factors that might justify su</w:t>
      </w:r>
      <w:r w:rsidR="00D47CC8">
        <w:t>ch assessment has been advanced</w:t>
      </w:r>
      <w:r w:rsidR="00450134" w:rsidRPr="00450134">
        <w:rPr>
          <w:rFonts w:eastAsia="SimSun"/>
          <w:lang w:eastAsia="zh-CN"/>
        </w:rPr>
        <w:t>.</w:t>
      </w:r>
    </w:p>
    <w:p w14:paraId="01C3FD06" w14:textId="5008A401" w:rsidR="00965B24" w:rsidRDefault="00881A97" w:rsidP="00965B24">
      <w:pPr>
        <w:pStyle w:val="SingleTxtG"/>
        <w:rPr>
          <w:rFonts w:eastAsia="SimSun"/>
          <w:lang w:eastAsia="zh-CN"/>
        </w:rPr>
      </w:pPr>
      <w:r>
        <w:rPr>
          <w:rFonts w:eastAsia="SimSun"/>
          <w:lang w:eastAsia="zh-CN"/>
        </w:rPr>
        <w:t>9.1</w:t>
      </w:r>
      <w:r w:rsidR="00ED4172">
        <w:rPr>
          <w:rFonts w:eastAsia="SimSun"/>
          <w:lang w:eastAsia="zh-CN"/>
        </w:rPr>
        <w:t>7</w:t>
      </w:r>
      <w:r w:rsidR="007A0330">
        <w:rPr>
          <w:rFonts w:eastAsia="SimSun"/>
          <w:lang w:eastAsia="zh-CN"/>
        </w:rPr>
        <w:tab/>
      </w:r>
      <w:r w:rsidR="00965B24" w:rsidRPr="00007C2A">
        <w:t>In such circumstances, the obligation of the State party was to protect the author in the exercise of his rights under the Covenant and not to contribute to suppressing those rights.</w:t>
      </w:r>
      <w:r w:rsidR="00965B24">
        <w:rPr>
          <w:rStyle w:val="FootnoteReference"/>
        </w:rPr>
        <w:footnoteReference w:id="32"/>
      </w:r>
      <w:r w:rsidR="00965B24" w:rsidRPr="00007C2A">
        <w:rPr>
          <w:rStyle w:val="FootnoteReference"/>
        </w:rPr>
        <w:t xml:space="preserve"> </w:t>
      </w:r>
      <w:r w:rsidR="00450134" w:rsidRPr="00450134">
        <w:rPr>
          <w:rFonts w:eastAsia="SimSun"/>
          <w:lang w:eastAsia="zh-CN"/>
        </w:rPr>
        <w:t xml:space="preserve">The Committee further notes that it has previously concluded that the laws banning “promotion of non-traditional sexual relations </w:t>
      </w:r>
      <w:r w:rsidR="00F235C2">
        <w:rPr>
          <w:rFonts w:eastAsia="SimSun"/>
          <w:lang w:eastAsia="zh-CN"/>
        </w:rPr>
        <w:t xml:space="preserve">to </w:t>
      </w:r>
      <w:r w:rsidR="00450134" w:rsidRPr="00450134">
        <w:rPr>
          <w:rFonts w:eastAsia="SimSun"/>
          <w:lang w:eastAsia="zh-CN"/>
        </w:rPr>
        <w:t>minors” in the State party exacerbate negative stereotypes against individuals on the grounds of sexual orientation and gender identity and represent a disproportionate restriction of their rights under the Covenant, and has called for the repeal of such laws.</w:t>
      </w:r>
      <w:r w:rsidR="00450134" w:rsidRPr="00450134">
        <w:rPr>
          <w:rFonts w:eastAsia="SimSun"/>
          <w:sz w:val="18"/>
          <w:vertAlign w:val="superscript"/>
          <w:lang w:eastAsia="zh-CN"/>
        </w:rPr>
        <w:footnoteReference w:id="33"/>
      </w:r>
      <w:r w:rsidR="00450134" w:rsidRPr="00450134">
        <w:rPr>
          <w:rFonts w:eastAsia="SimSun"/>
          <w:lang w:eastAsia="zh-CN"/>
        </w:rPr>
        <w:t xml:space="preserve"> The Committee accordingly considers that the State party has failed to establish that the </w:t>
      </w:r>
      <w:r w:rsidR="00365D0E" w:rsidRPr="007C06FC">
        <w:rPr>
          <w:rFonts w:eastAsia="SimSun"/>
          <w:lang w:eastAsia="zh-CN"/>
        </w:rPr>
        <w:t>restriction imposed on the author’</w:t>
      </w:r>
      <w:r w:rsidR="00365D0E">
        <w:rPr>
          <w:rFonts w:eastAsia="SimSun"/>
          <w:lang w:eastAsia="zh-CN"/>
        </w:rPr>
        <w:t xml:space="preserve">s right to peaceful assembly </w:t>
      </w:r>
      <w:r w:rsidR="00450134" w:rsidRPr="00450134">
        <w:rPr>
          <w:rFonts w:eastAsia="SimSun"/>
          <w:lang w:eastAsia="zh-CN"/>
        </w:rPr>
        <w:t>was based on reasonable and objective criteria and in pursuit of a</w:t>
      </w:r>
      <w:r>
        <w:rPr>
          <w:rFonts w:eastAsia="SimSun"/>
          <w:lang w:eastAsia="zh-CN"/>
        </w:rPr>
        <w:t xml:space="preserve"> legitimate aim </w:t>
      </w:r>
      <w:r w:rsidR="00450134" w:rsidRPr="00450134">
        <w:rPr>
          <w:rFonts w:eastAsia="SimSun"/>
          <w:lang w:eastAsia="zh-CN"/>
        </w:rPr>
        <w:lastRenderedPageBreak/>
        <w:t>under the Covenant</w:t>
      </w:r>
      <w:r w:rsidR="00A71563">
        <w:rPr>
          <w:rFonts w:eastAsia="SimSun"/>
          <w:lang w:eastAsia="zh-CN"/>
        </w:rPr>
        <w:t>. T</w:t>
      </w:r>
      <w:r w:rsidR="00450134" w:rsidRPr="00450134">
        <w:rPr>
          <w:rFonts w:eastAsia="SimSun"/>
          <w:lang w:eastAsia="zh-CN"/>
        </w:rPr>
        <w:t xml:space="preserve">he prohibition therefore </w:t>
      </w:r>
      <w:r w:rsidR="008C4CCB">
        <w:rPr>
          <w:rFonts w:eastAsia="SimSun"/>
          <w:lang w:eastAsia="zh-CN"/>
        </w:rPr>
        <w:t>amounted to</w:t>
      </w:r>
      <w:r w:rsidR="0075578A">
        <w:t xml:space="preserve"> a violation of his rights under article 26</w:t>
      </w:r>
      <w:r w:rsidR="0075578A" w:rsidRPr="00076AB4">
        <w:t xml:space="preserve"> of the Covenant</w:t>
      </w:r>
      <w:r w:rsidR="00450134" w:rsidRPr="00450134">
        <w:rPr>
          <w:rFonts w:eastAsia="SimSun"/>
          <w:lang w:eastAsia="zh-CN"/>
        </w:rPr>
        <w:t>.</w:t>
      </w:r>
    </w:p>
    <w:p w14:paraId="137F99FC" w14:textId="200586E3" w:rsidR="0007359B" w:rsidRPr="00501739" w:rsidRDefault="0007359B" w:rsidP="00965B24">
      <w:pPr>
        <w:pStyle w:val="SingleTxtG"/>
        <w:rPr>
          <w:highlight w:val="green"/>
        </w:rPr>
      </w:pPr>
      <w:r w:rsidRPr="0072412E">
        <w:t>10.</w:t>
      </w:r>
      <w:r w:rsidRPr="0072412E">
        <w:tab/>
      </w:r>
      <w:r w:rsidRPr="0007359B">
        <w:t xml:space="preserve">The Committee, acting under article 5 (4) of the Optional Protocol, is of the view that the facts before it </w:t>
      </w:r>
      <w:proofErr w:type="gramStart"/>
      <w:r w:rsidRPr="0007359B">
        <w:t>disclose</w:t>
      </w:r>
      <w:proofErr w:type="gramEnd"/>
      <w:r w:rsidRPr="0007359B">
        <w:t xml:space="preserve"> a violation by the State party of </w:t>
      </w:r>
      <w:r w:rsidR="00881A97">
        <w:t xml:space="preserve">the author’s rights under </w:t>
      </w:r>
      <w:r w:rsidR="00822F16" w:rsidRPr="00822F16">
        <w:t>article 21</w:t>
      </w:r>
      <w:r w:rsidR="00A71563">
        <w:t xml:space="preserve"> and</w:t>
      </w:r>
      <w:r w:rsidR="00822F16" w:rsidRPr="00822F16">
        <w:t xml:space="preserve"> arti</w:t>
      </w:r>
      <w:r w:rsidR="00822F16">
        <w:t>cle 26 of the Covenant</w:t>
      </w:r>
      <w:r w:rsidRPr="0007359B">
        <w:t>.</w:t>
      </w:r>
    </w:p>
    <w:p w14:paraId="214314A4" w14:textId="2BB4B2DA" w:rsidR="0007359B" w:rsidRPr="0072412E" w:rsidRDefault="0007359B" w:rsidP="0007359B">
      <w:pPr>
        <w:pStyle w:val="SingleTxtG"/>
      </w:pPr>
      <w:r w:rsidRPr="0007359B">
        <w:t>11.</w:t>
      </w:r>
      <w:r w:rsidRPr="0007359B">
        <w:tab/>
        <w:t>Pursuant to article 2 (3) (a) of the Covenant, the State party is under an obligation to provide the author with an effective remedy. This requires it to make full reparation to individuals whose Covenant rights have been violated</w:t>
      </w:r>
      <w:r w:rsidR="008C4CCB">
        <w:t>, including adequate compensation</w:t>
      </w:r>
      <w:r w:rsidRPr="0007359B">
        <w:t>.  The State party is also under an obligation to take all steps necessary to prevent similar violations from occurring in the future.</w:t>
      </w:r>
      <w:r w:rsidRPr="0072412E">
        <w:t xml:space="preserve"> In this connection, the Committee reiterates that, pursuant to its obligations under article 2 (2) of the Covenant, the State party should review its legislation with a view to ensuring that the rights under article 21 of the Covenant, including organiz</w:t>
      </w:r>
      <w:r>
        <w:t>ing</w:t>
      </w:r>
      <w:r w:rsidRPr="0072412E">
        <w:t xml:space="preserve"> and conduct</w:t>
      </w:r>
      <w:r>
        <w:t>ing</w:t>
      </w:r>
      <w:r w:rsidRPr="0072412E">
        <w:t xml:space="preserve"> peaceful assemblies </w:t>
      </w:r>
      <w:r w:rsidR="00A71563">
        <w:t xml:space="preserve">and article 26 </w:t>
      </w:r>
      <w:r w:rsidRPr="0072412E">
        <w:t xml:space="preserve">may be fully enjoyed in the State party. </w:t>
      </w:r>
    </w:p>
    <w:p w14:paraId="257BA4FB" w14:textId="49DEB019" w:rsidR="0007359B" w:rsidRPr="0072412E" w:rsidRDefault="0007359B" w:rsidP="0007359B">
      <w:pPr>
        <w:pStyle w:val="SingleTxtG"/>
        <w:rPr>
          <w:u w:val="single"/>
        </w:rPr>
      </w:pPr>
      <w:r w:rsidRPr="0072412E">
        <w:t>12.</w:t>
      </w:r>
      <w:r w:rsidRPr="0072412E">
        <w:tab/>
      </w:r>
      <w:r w:rsidRPr="0007359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and subject to its jurisdiction the rights recognized in the Covenant and to provide an effective remedy when it has been determined that a violation has occurred, the Committee wishes to receive from the State party, within 180 days, information about the measures taken to give effect to the Committee’s Views. The State party is also requested to publish the present Views and disseminate them widely in the official language of the State party.</w:t>
      </w:r>
    </w:p>
    <w:p w14:paraId="1A4E7366" w14:textId="77777777" w:rsidR="00EC4F10" w:rsidRDefault="00A8132E" w:rsidP="00EC4F10">
      <w:pPr>
        <w:pStyle w:val="SingleTxtG"/>
        <w:spacing w:before="240" w:after="0"/>
        <w:jc w:val="center"/>
        <w:sectPr w:rsidR="00EC4F10" w:rsidSect="007A0330">
          <w:headerReference w:type="even" r:id="rId12"/>
          <w:headerReference w:type="default" r:id="rId13"/>
          <w:footerReference w:type="even" r:id="rId14"/>
          <w:footerReference w:type="default" r:id="rId15"/>
          <w:footerReference w:type="first" r:id="rId16"/>
          <w:endnotePr>
            <w:numFmt w:val="decimal"/>
          </w:endnotePr>
          <w:type w:val="continuous"/>
          <w:pgSz w:w="11907" w:h="16840" w:code="9"/>
          <w:pgMar w:top="1418" w:right="1134" w:bottom="1134" w:left="1134" w:header="851" w:footer="567" w:gutter="0"/>
          <w:cols w:space="720"/>
          <w:titlePg/>
          <w:docGrid w:linePitch="272"/>
        </w:sectPr>
      </w:pPr>
      <w:r>
        <w:br w:type="page"/>
      </w:r>
    </w:p>
    <w:p w14:paraId="27DB5DDB" w14:textId="77777777" w:rsidR="00EC4F10" w:rsidRDefault="00EC4F10" w:rsidP="00EC4F10">
      <w:pPr>
        <w:pStyle w:val="HChG"/>
        <w:rPr>
          <w:lang w:val="en-US"/>
        </w:rPr>
      </w:pPr>
      <w:r>
        <w:rPr>
          <w:lang w:val="en-US"/>
        </w:rPr>
        <w:lastRenderedPageBreak/>
        <w:t>Annex</w:t>
      </w:r>
    </w:p>
    <w:p w14:paraId="25AC5D9F" w14:textId="4D0437AB" w:rsidR="00EC4F10" w:rsidRPr="00ED31EA" w:rsidRDefault="00EC4F10">
      <w:pPr>
        <w:pStyle w:val="HChG"/>
      </w:pPr>
      <w:r>
        <w:rPr>
          <w:lang w:val="en-US"/>
        </w:rPr>
        <w:tab/>
      </w:r>
      <w:r>
        <w:rPr>
          <w:lang w:val="en-US"/>
        </w:rPr>
        <w:tab/>
      </w:r>
      <w:r w:rsidR="00EF2F89">
        <w:rPr>
          <w:lang w:val="en-US"/>
        </w:rPr>
        <w:t>J</w:t>
      </w:r>
      <w:r>
        <w:rPr>
          <w:lang w:val="en-US"/>
        </w:rPr>
        <w:t xml:space="preserve">oint </w:t>
      </w:r>
      <w:r w:rsidRPr="00ED31EA">
        <w:t xml:space="preserve">Opinion </w:t>
      </w:r>
      <w:r w:rsidR="00EF2F89">
        <w:t xml:space="preserve">by </w:t>
      </w:r>
      <w:proofErr w:type="spellStart"/>
      <w:r w:rsidRPr="00ED31EA">
        <w:t>Committe</w:t>
      </w:r>
      <w:proofErr w:type="spellEnd"/>
      <w:r w:rsidRPr="00ED31EA">
        <w:t xml:space="preserve"> member</w:t>
      </w:r>
      <w:r>
        <w:t>s</w:t>
      </w:r>
      <w:r w:rsidRPr="00ED31EA">
        <w:t xml:space="preserve"> </w:t>
      </w:r>
      <w:proofErr w:type="spellStart"/>
      <w:r w:rsidRPr="00ED31EA">
        <w:t>Vasilka</w:t>
      </w:r>
      <w:proofErr w:type="spellEnd"/>
      <w:r w:rsidRPr="00ED31EA">
        <w:t xml:space="preserve"> </w:t>
      </w:r>
      <w:proofErr w:type="spellStart"/>
      <w:r w:rsidRPr="00ED31EA">
        <w:t>Sancin</w:t>
      </w:r>
      <w:proofErr w:type="spellEnd"/>
      <w:r w:rsidRPr="00ED31EA">
        <w:t xml:space="preserve"> and Yuval </w:t>
      </w:r>
      <w:proofErr w:type="spellStart"/>
      <w:r w:rsidRPr="00ED31EA">
        <w:t>Shany</w:t>
      </w:r>
      <w:proofErr w:type="spellEnd"/>
      <w:r w:rsidRPr="00ED31EA">
        <w:t xml:space="preserve"> (dissenting).</w:t>
      </w:r>
    </w:p>
    <w:p w14:paraId="6090660A" w14:textId="77777777" w:rsidR="00EC4F10" w:rsidRDefault="00EC4F10" w:rsidP="00EC4F10">
      <w:pPr>
        <w:pStyle w:val="SingleTxtG"/>
      </w:pPr>
      <w:r>
        <w:t>1.</w:t>
      </w:r>
      <w:r>
        <w:tab/>
        <w:t>While we agree with almost all of the analysis on admissibility and merits offered by the majority on the Committee, we disagree with the approach of the Committee to the question of abuse of the right to submit a communication, and therefore dissent from the Committee’s decision on admissibility.</w:t>
      </w:r>
    </w:p>
    <w:p w14:paraId="1EA78033" w14:textId="77777777" w:rsidR="00EC4F10" w:rsidRDefault="00EC4F10" w:rsidP="00EC4F10">
      <w:pPr>
        <w:pStyle w:val="SingleTxtG"/>
      </w:pPr>
      <w:r>
        <w:t>2.</w:t>
      </w:r>
      <w:r>
        <w:tab/>
        <w:t>Article 3 of the Optional Protocol requires the Committee to find inadmissible communications which it considers an abuse of the right of submission. Although to date, the Committee has applied this concept mostly in connection with unjustified delays in submissions,</w:t>
      </w:r>
      <w:r w:rsidRPr="00ED31EA">
        <w:rPr>
          <w:vertAlign w:val="superscript"/>
        </w:rPr>
        <w:footnoteReference w:id="34"/>
      </w:r>
      <w:r>
        <w:t xml:space="preserve"> the language of the Protocol allows the Committee to consider other forms of abuse, including exercise of the right to submit in a manner that illegitimately</w:t>
      </w:r>
      <w:r>
        <w:rPr>
          <w:rFonts w:hint="cs"/>
          <w:rtl/>
        </w:rPr>
        <w:t xml:space="preserve"> </w:t>
      </w:r>
      <w:r>
        <w:t>or unjustifiably impedes the ability of States parties to exercise their own rights under the Optional Protocol.</w:t>
      </w:r>
      <w:r w:rsidRPr="00ED31EA">
        <w:rPr>
          <w:vertAlign w:val="superscript"/>
        </w:rPr>
        <w:footnoteReference w:id="35"/>
      </w:r>
    </w:p>
    <w:p w14:paraId="1AEDF3F4" w14:textId="77777777" w:rsidR="00EC4F10" w:rsidRDefault="00EC4F10" w:rsidP="00EC4F10">
      <w:pPr>
        <w:pStyle w:val="SingleTxtG"/>
      </w:pPr>
      <w:r>
        <w:t>3.</w:t>
      </w:r>
      <w:r>
        <w:tab/>
        <w:t>In the present case, the State party has raised an objection alleging that a series of cases relating to similar refusals to allow the holding of gay pride parades in different cities in the Russian Federation filed by the author during the period of 2009-2015, (a period which overlaps with the dates relevant to the present communication</w:t>
      </w:r>
      <w:proofErr w:type="gramStart"/>
      <w:r>
        <w:t>),  are</w:t>
      </w:r>
      <w:proofErr w:type="gramEnd"/>
      <w:r>
        <w:t xml:space="preserve"> already pending before the European Court of Human Rights. The State party maintains that these cases allege the same violations and that, as a result, the present communication represents an abuse of the right of submission. The author did not contest the fact that he submitted similar complaints to the European Court of Human Rights, but claimed that the case before the Committee is different since it relates to a request to hold a parade on 11 October 2014 in Moscow – a particular request which was not addressed in the previously submitted complaints to the Court.</w:t>
      </w:r>
    </w:p>
    <w:p w14:paraId="35B49FCC" w14:textId="77777777" w:rsidR="00EC4F10" w:rsidRDefault="00EC4F10" w:rsidP="00EC4F10">
      <w:pPr>
        <w:pStyle w:val="SingleTxtG"/>
      </w:pPr>
      <w:r>
        <w:t>4.</w:t>
      </w:r>
      <w:r>
        <w:tab/>
      </w:r>
      <w:r w:rsidRPr="001F0208">
        <w:t xml:space="preserve">In paragraph 8.4 of the Views, the majority on the Committee held that: “it appears from the information on file that the author’s applications to the European Court of Human Rights concern the same person and relate to the same substantive rights as those invoked in the present communication. However, the Committee observes </w:t>
      </w:r>
      <w:r w:rsidRPr="00007C2A">
        <w:t>that the respective applications before the European Court do not relate to the same facts, that is, the particular event</w:t>
      </w:r>
      <w:r>
        <w:rPr>
          <w:rFonts w:hint="cs"/>
          <w:rtl/>
        </w:rPr>
        <w:t xml:space="preserve"> </w:t>
      </w:r>
      <w:r>
        <w:t>at the particular time</w:t>
      </w:r>
      <w:r w:rsidRPr="00007C2A">
        <w:t xml:space="preserve"> referred to in the present communication</w:t>
      </w:r>
      <w:r>
        <w:t>”.</w:t>
      </w:r>
    </w:p>
    <w:p w14:paraId="6D632BE0" w14:textId="77777777" w:rsidR="00EC4F10" w:rsidRDefault="00EC4F10" w:rsidP="00EC4F10">
      <w:pPr>
        <w:pStyle w:val="SingleTxtG"/>
      </w:pPr>
      <w:r>
        <w:t>5.</w:t>
      </w:r>
      <w:r>
        <w:tab/>
        <w:t xml:space="preserve">We agree with the majority that the conditions of article 5(2)(a) of the Optional Protocol were not met </w:t>
      </w:r>
      <w:proofErr w:type="spellStart"/>
      <w:r w:rsidRPr="001F0208">
        <w:t>stricto</w:t>
      </w:r>
      <w:proofErr w:type="spellEnd"/>
      <w:r w:rsidRPr="001F0208">
        <w:t xml:space="preserve"> </w:t>
      </w:r>
      <w:proofErr w:type="spellStart"/>
      <w:r w:rsidRPr="001F0208">
        <w:t>sensu</w:t>
      </w:r>
      <w:proofErr w:type="spellEnd"/>
      <w:r>
        <w:t xml:space="preserve"> in the present case, since the communication involves events which occurred on different dates from the dates mentioned in the parallel cases pending before the European Court of Human Rights. Still, the communication does appear to raise </w:t>
      </w:r>
      <w:r w:rsidRPr="001F0208">
        <w:t>essentially</w:t>
      </w:r>
      <w:r>
        <w:t xml:space="preserve"> the same matter involving almost identical facts, and identical legal issues between the same parties. Although it cannot </w:t>
      </w:r>
      <w:r w:rsidRPr="001F0208">
        <w:t>a priori</w:t>
      </w:r>
      <w:r>
        <w:t xml:space="preserve"> be excluded that the events surrounding the refusal of the request to hold a gay pride parade on 11 October 2014 had unique features that potentially distinguished it in a legally meaningful way from the other refusals under review by the European Court of Human Rights, the author did not point to any such features, but merely referred in his replies to the State party’s objection to the “particular case” of refusal to hold the parade on 11 October 2014. </w:t>
      </w:r>
    </w:p>
    <w:p w14:paraId="10971741" w14:textId="77777777" w:rsidR="00EC4F10" w:rsidRDefault="00EC4F10" w:rsidP="00EC4F10">
      <w:pPr>
        <w:pStyle w:val="SingleTxtG"/>
      </w:pPr>
      <w:r>
        <w:t>6.</w:t>
      </w:r>
      <w:r>
        <w:tab/>
        <w:t xml:space="preserve">In practical terms, the choice by the author to simultaneously submit essentially the same matter to the European Court and the Committee resulted in a legal outcome that runs contrary to the object and purpose of the article 5(2)(a), which is to avoid litigation of the </w:t>
      </w:r>
      <w:r>
        <w:lastRenderedPageBreak/>
        <w:t xml:space="preserve">same human rights complaint before more than one international complaints mechanism. Such double litigation has negative implications for the system of international protection of human rights, as it might generate inconsistent decisions and entail ineffective use of scarce international judicial or quasi-judicial resources for dealing with the same human rights matter. Furthermore, it effectively undercuts the legally-protected interest of State parties to the Optional Protocol to minimize their exposure to multiple proceedings in different fora over the same matter.  </w:t>
      </w:r>
    </w:p>
    <w:p w14:paraId="51B56754" w14:textId="49DC590C" w:rsidR="00D45FB3" w:rsidRDefault="00EC4F10" w:rsidP="00D26495">
      <w:pPr>
        <w:pStyle w:val="SingleTxtG"/>
      </w:pPr>
      <w:r>
        <w:t>7.</w:t>
      </w:r>
      <w:r>
        <w:tab/>
        <w:t>The author did not provide a meaningful explanation for what appears to be a strategic choice on his part to institute parallel proceedings by submitting a communication to the Committee raising essentially the same matter which is contained in the complaints pending before the European Court of Human Rights. Rather, it seems as if the author has deliberately generated multiple litigation over essentially the same factual and legal matters, and has thereby impeded without good reason or justification the right of the State party not to be compelled to simultaneously litigate the same matter before multiple international fora. Such a practice on the part of the author constitutes in our opinion an abuse of the right of submission, which should have rendered the communication inadmissible under article 3 of the Optional Protocol.</w:t>
      </w:r>
    </w:p>
    <w:p w14:paraId="6D33A3AB" w14:textId="4E3F39B1" w:rsidR="00CD51F9" w:rsidRPr="00CD51F9" w:rsidRDefault="00D45FB3">
      <w:pPr>
        <w:pStyle w:val="SingleTxtG"/>
        <w:spacing w:before="240" w:after="0"/>
        <w:jc w:val="center"/>
      </w:pPr>
      <w:r>
        <w:rPr>
          <w:u w:val="single"/>
        </w:rPr>
        <w:tab/>
      </w:r>
      <w:r>
        <w:rPr>
          <w:u w:val="single"/>
        </w:rPr>
        <w:tab/>
      </w:r>
      <w:r>
        <w:rPr>
          <w:u w:val="single"/>
        </w:rPr>
        <w:tab/>
      </w:r>
    </w:p>
    <w:sectPr w:rsidR="00CD51F9" w:rsidRPr="00CD51F9" w:rsidSect="00D26495">
      <w:footnotePr>
        <w:numRestart w:val="eachSect"/>
      </w:footnotePr>
      <w:endnotePr>
        <w:numFmt w:val="decimal"/>
      </w:endnotePr>
      <w:pgSz w:w="11907" w:h="16840"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EF3C8A" w14:textId="77777777" w:rsidR="003F4550" w:rsidRDefault="003F4550"/>
  </w:endnote>
  <w:endnote w:type="continuationSeparator" w:id="0">
    <w:p w14:paraId="5D777BFE" w14:textId="77777777" w:rsidR="003F4550" w:rsidRDefault="003F4550"/>
  </w:endnote>
  <w:endnote w:type="continuationNotice" w:id="1">
    <w:p w14:paraId="6BC7BE3A" w14:textId="77777777" w:rsidR="003F4550" w:rsidRDefault="003F45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39T30Lfz">
    <w:altName w:val="Symbol"/>
    <w:panose1 w:val="020B0604020202020204"/>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3F5A2" w14:textId="53F0EE71" w:rsidR="008C6CEE" w:rsidRPr="009E2CF9" w:rsidRDefault="000D113C" w:rsidP="009E2CF9">
    <w:pPr>
      <w:pStyle w:val="Footer"/>
      <w:tabs>
        <w:tab w:val="right" w:pos="9598"/>
      </w:tabs>
    </w:pPr>
    <w:r w:rsidRPr="009E2CF9">
      <w:rPr>
        <w:b/>
        <w:sz w:val="18"/>
      </w:rPr>
      <w:fldChar w:fldCharType="begin"/>
    </w:r>
    <w:r w:rsidRPr="009E2CF9">
      <w:rPr>
        <w:b/>
        <w:sz w:val="18"/>
      </w:rPr>
      <w:instrText xml:space="preserve"> PAGE  \* MERGEFORMAT </w:instrText>
    </w:r>
    <w:r w:rsidRPr="009E2CF9">
      <w:rPr>
        <w:b/>
        <w:sz w:val="18"/>
      </w:rPr>
      <w:fldChar w:fldCharType="separate"/>
    </w:r>
    <w:r w:rsidR="00D26495">
      <w:rPr>
        <w:b/>
        <w:noProof/>
        <w:sz w:val="18"/>
      </w:rPr>
      <w:t>10</w:t>
    </w:r>
    <w:r w:rsidRPr="009E2CF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5DA8D" w14:textId="60DC3288" w:rsidR="008C6CEE" w:rsidRPr="009E2CF9" w:rsidRDefault="008C6CEE" w:rsidP="009E2CF9">
    <w:pPr>
      <w:pStyle w:val="Footer"/>
      <w:tabs>
        <w:tab w:val="right" w:pos="9598"/>
      </w:tabs>
      <w:rPr>
        <w:b/>
        <w:sz w:val="18"/>
      </w:rPr>
    </w:pPr>
    <w:r>
      <w:tab/>
    </w:r>
    <w:r w:rsidRPr="009E2CF9">
      <w:rPr>
        <w:b/>
        <w:sz w:val="18"/>
      </w:rPr>
      <w:fldChar w:fldCharType="begin"/>
    </w:r>
    <w:r w:rsidRPr="009E2CF9">
      <w:rPr>
        <w:b/>
        <w:sz w:val="18"/>
      </w:rPr>
      <w:instrText xml:space="preserve"> PAGE  \* MERGEFORMAT </w:instrText>
    </w:r>
    <w:r w:rsidRPr="009E2CF9">
      <w:rPr>
        <w:b/>
        <w:sz w:val="18"/>
      </w:rPr>
      <w:fldChar w:fldCharType="separate"/>
    </w:r>
    <w:r w:rsidR="00D26495">
      <w:rPr>
        <w:b/>
        <w:noProof/>
        <w:sz w:val="18"/>
      </w:rPr>
      <w:t>9</w:t>
    </w:r>
    <w:r w:rsidRPr="009E2CF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BF4A0" w14:textId="745FA635" w:rsidR="001D115D" w:rsidRDefault="001D115D" w:rsidP="001D115D">
    <w:pPr>
      <w:pStyle w:val="Footer"/>
    </w:pPr>
    <w:r>
      <w:rPr>
        <w:rFonts w:ascii="C39T30Lfz" w:hAnsi="C39T30Lfz"/>
        <w:noProof/>
        <w:sz w:val="56"/>
        <w:lang w:eastAsia="en-GB"/>
      </w:rPr>
      <w:drawing>
        <wp:anchor distT="0" distB="0" distL="114300" distR="114300" simplePos="0" relativeHeight="251660288" behindDoc="0" locked="0" layoutInCell="1" allowOverlap="1" wp14:anchorId="41C3E2C5" wp14:editId="6FF290CE">
          <wp:simplePos x="0" y="0"/>
          <wp:positionH relativeFrom="column">
            <wp:posOffset>5383403</wp:posOffset>
          </wp:positionH>
          <wp:positionV relativeFrom="paragraph">
            <wp:posOffset>-2159</wp:posOffset>
          </wp:positionV>
          <wp:extent cx="561975" cy="5619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1" layoutInCell="1" allowOverlap="1" wp14:anchorId="5D7CBD5A" wp14:editId="1578FBDE">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A9DEFC" w14:textId="77777777" w:rsidR="003F4550" w:rsidRPr="000B175B" w:rsidRDefault="003F4550" w:rsidP="000B175B">
      <w:pPr>
        <w:tabs>
          <w:tab w:val="right" w:pos="2155"/>
        </w:tabs>
        <w:spacing w:after="80"/>
        <w:ind w:left="680"/>
        <w:rPr>
          <w:u w:val="single"/>
        </w:rPr>
      </w:pPr>
      <w:r>
        <w:rPr>
          <w:u w:val="single"/>
        </w:rPr>
        <w:tab/>
      </w:r>
    </w:p>
  </w:footnote>
  <w:footnote w:type="continuationSeparator" w:id="0">
    <w:p w14:paraId="517C02D5" w14:textId="77777777" w:rsidR="003F4550" w:rsidRPr="00FC68B7" w:rsidRDefault="003F4550" w:rsidP="00FC68B7">
      <w:pPr>
        <w:tabs>
          <w:tab w:val="left" w:pos="2155"/>
        </w:tabs>
        <w:spacing w:after="80"/>
        <w:ind w:left="680"/>
        <w:rPr>
          <w:u w:val="single"/>
        </w:rPr>
      </w:pPr>
      <w:r>
        <w:rPr>
          <w:u w:val="single"/>
        </w:rPr>
        <w:tab/>
      </w:r>
    </w:p>
  </w:footnote>
  <w:footnote w:type="continuationNotice" w:id="1">
    <w:p w14:paraId="24D04021" w14:textId="77777777" w:rsidR="003F4550" w:rsidRDefault="003F4550"/>
  </w:footnote>
  <w:footnote w:id="2">
    <w:p w14:paraId="612873DD" w14:textId="56F19672" w:rsidR="00A8132E" w:rsidRPr="00A8132E" w:rsidRDefault="00A8132E">
      <w:pPr>
        <w:pStyle w:val="FootnoteText"/>
      </w:pPr>
      <w:r>
        <w:rPr>
          <w:rStyle w:val="FootnoteReference"/>
        </w:rPr>
        <w:tab/>
      </w:r>
      <w:r w:rsidRPr="00D26495">
        <w:rPr>
          <w:rStyle w:val="FootnoteReference"/>
          <w:sz w:val="20"/>
          <w:vertAlign w:val="baseline"/>
        </w:rPr>
        <w:t>*</w:t>
      </w:r>
      <w:r>
        <w:rPr>
          <w:rStyle w:val="FootnoteReference"/>
          <w:sz w:val="20"/>
          <w:vertAlign w:val="baseline"/>
        </w:rPr>
        <w:tab/>
      </w:r>
      <w:r>
        <w:t>Adopted by the Committee at its 130th session (12 October – 6 November 2020).</w:t>
      </w:r>
    </w:p>
  </w:footnote>
  <w:footnote w:id="3">
    <w:p w14:paraId="5A2EDA7B" w14:textId="36279AF5" w:rsidR="00A8132E" w:rsidRPr="00A8132E" w:rsidRDefault="00A8132E">
      <w:pPr>
        <w:pStyle w:val="FootnoteText"/>
      </w:pPr>
      <w:r>
        <w:rPr>
          <w:sz w:val="20"/>
        </w:rPr>
        <w:tab/>
      </w:r>
      <w:r w:rsidRPr="00D26495">
        <w:rPr>
          <w:rStyle w:val="FootnoteReference"/>
          <w:sz w:val="20"/>
          <w:vertAlign w:val="baseline"/>
        </w:rPr>
        <w:t>**</w:t>
      </w:r>
      <w:r>
        <w:rPr>
          <w:sz w:val="20"/>
        </w:rPr>
        <w:t xml:space="preserve"> </w:t>
      </w:r>
      <w:r>
        <w:rPr>
          <w:sz w:val="20"/>
        </w:rPr>
        <w:tab/>
      </w:r>
      <w:r w:rsidRPr="00C05279">
        <w:t xml:space="preserve">The following members of the Committee participated in the examination of the communication: </w:t>
      </w:r>
      <w:proofErr w:type="spellStart"/>
      <w:r w:rsidRPr="00C05279">
        <w:t>Yadh</w:t>
      </w:r>
      <w:proofErr w:type="spellEnd"/>
      <w:r w:rsidRPr="00C05279">
        <w:t xml:space="preserve"> Ben </w:t>
      </w:r>
      <w:proofErr w:type="spellStart"/>
      <w:r w:rsidRPr="00C05279">
        <w:t>Achour</w:t>
      </w:r>
      <w:proofErr w:type="spellEnd"/>
      <w:r w:rsidRPr="00C05279">
        <w:t xml:space="preserve">, </w:t>
      </w:r>
      <w:proofErr w:type="spellStart"/>
      <w:r w:rsidRPr="00C05279">
        <w:t>Arif</w:t>
      </w:r>
      <w:proofErr w:type="spellEnd"/>
      <w:r w:rsidRPr="00C05279">
        <w:t xml:space="preserve"> </w:t>
      </w:r>
      <w:proofErr w:type="spellStart"/>
      <w:r w:rsidRPr="00C05279">
        <w:t>Bulkan</w:t>
      </w:r>
      <w:proofErr w:type="spellEnd"/>
      <w:r w:rsidRPr="00C05279">
        <w:t xml:space="preserve">, Ahmed Amin </w:t>
      </w:r>
      <w:proofErr w:type="spellStart"/>
      <w:r w:rsidRPr="00C05279">
        <w:t>Fathalla</w:t>
      </w:r>
      <w:proofErr w:type="spellEnd"/>
      <w:r w:rsidRPr="00C05279">
        <w:t xml:space="preserve">, Shuichi </w:t>
      </w:r>
      <w:proofErr w:type="spellStart"/>
      <w:r w:rsidRPr="00C05279">
        <w:t>Furuya</w:t>
      </w:r>
      <w:proofErr w:type="spellEnd"/>
      <w:r w:rsidRPr="00C05279">
        <w:t xml:space="preserve">, </w:t>
      </w:r>
      <w:proofErr w:type="spellStart"/>
      <w:r w:rsidRPr="00C05279">
        <w:t>Bamariam</w:t>
      </w:r>
      <w:proofErr w:type="spellEnd"/>
      <w:r w:rsidRPr="00C05279">
        <w:t xml:space="preserve"> </w:t>
      </w:r>
      <w:proofErr w:type="spellStart"/>
      <w:r w:rsidRPr="00C05279">
        <w:t>Koita</w:t>
      </w:r>
      <w:proofErr w:type="spellEnd"/>
      <w:r w:rsidRPr="00C05279">
        <w:t xml:space="preserve">, Marcia V.J. </w:t>
      </w:r>
      <w:proofErr w:type="spellStart"/>
      <w:r w:rsidRPr="00C05279">
        <w:t>Kran</w:t>
      </w:r>
      <w:proofErr w:type="spellEnd"/>
      <w:r w:rsidRPr="00C05279">
        <w:t xml:space="preserve">, </w:t>
      </w:r>
      <w:r>
        <w:t xml:space="preserve">David Moore, </w:t>
      </w:r>
      <w:r w:rsidRPr="00C05279">
        <w:t xml:space="preserve">Duncan </w:t>
      </w:r>
      <w:proofErr w:type="spellStart"/>
      <w:r w:rsidRPr="00C05279">
        <w:t>Laki</w:t>
      </w:r>
      <w:proofErr w:type="spellEnd"/>
      <w:r w:rsidRPr="00C05279">
        <w:t xml:space="preserve"> </w:t>
      </w:r>
      <w:proofErr w:type="spellStart"/>
      <w:r w:rsidRPr="00C05279">
        <w:t>Muhumuza</w:t>
      </w:r>
      <w:proofErr w:type="spellEnd"/>
      <w:r w:rsidRPr="00C05279">
        <w:t xml:space="preserve">, Photini </w:t>
      </w:r>
      <w:proofErr w:type="spellStart"/>
      <w:r w:rsidRPr="00C05279">
        <w:t>Pazartzis</w:t>
      </w:r>
      <w:proofErr w:type="spellEnd"/>
      <w:r w:rsidRPr="00C05279">
        <w:t xml:space="preserve">, </w:t>
      </w:r>
      <w:proofErr w:type="spellStart"/>
      <w:r w:rsidRPr="00C05279">
        <w:t>Hernán</w:t>
      </w:r>
      <w:proofErr w:type="spellEnd"/>
      <w:r w:rsidRPr="00C05279">
        <w:t xml:space="preserve"> Quezada Cabrera, </w:t>
      </w:r>
      <w:proofErr w:type="spellStart"/>
      <w:r w:rsidRPr="00C05279">
        <w:t>Vasilka</w:t>
      </w:r>
      <w:proofErr w:type="spellEnd"/>
      <w:r w:rsidRPr="00C05279">
        <w:t xml:space="preserve"> </w:t>
      </w:r>
      <w:proofErr w:type="spellStart"/>
      <w:r w:rsidRPr="00C05279">
        <w:t>Sancin</w:t>
      </w:r>
      <w:proofErr w:type="spellEnd"/>
      <w:r w:rsidRPr="00C05279">
        <w:t xml:space="preserve">, José Manuel Santos </w:t>
      </w:r>
      <w:proofErr w:type="spellStart"/>
      <w:r w:rsidRPr="00C05279">
        <w:t>Pais</w:t>
      </w:r>
      <w:proofErr w:type="spellEnd"/>
      <w:r w:rsidRPr="00C05279">
        <w:t xml:space="preserve">, Yuval </w:t>
      </w:r>
      <w:proofErr w:type="spellStart"/>
      <w:r w:rsidRPr="00C05279">
        <w:t>Shany</w:t>
      </w:r>
      <w:proofErr w:type="spellEnd"/>
      <w:r w:rsidRPr="00C05279">
        <w:t xml:space="preserve">, Hélène </w:t>
      </w:r>
      <w:proofErr w:type="spellStart"/>
      <w:r w:rsidRPr="00C05279">
        <w:t>Tigroudja</w:t>
      </w:r>
      <w:proofErr w:type="spellEnd"/>
      <w:r w:rsidRPr="00C05279">
        <w:t xml:space="preserve">, Andreas Zimmermann and Gentian </w:t>
      </w:r>
      <w:proofErr w:type="spellStart"/>
      <w:r w:rsidRPr="00C05279">
        <w:t>Zyberi</w:t>
      </w:r>
      <w:proofErr w:type="spellEnd"/>
      <w:r w:rsidRPr="00C05279">
        <w:t>.</w:t>
      </w:r>
      <w:r>
        <w:rPr>
          <w:rStyle w:val="FootnoteReference"/>
          <w:sz w:val="20"/>
          <w:vertAlign w:val="baseline"/>
        </w:rPr>
        <w:tab/>
      </w:r>
    </w:p>
  </w:footnote>
  <w:footnote w:id="4">
    <w:p w14:paraId="17AA09C3" w14:textId="54B2526A" w:rsidR="00A8132E" w:rsidRPr="006B2012" w:rsidRDefault="00A8132E">
      <w:pPr>
        <w:pStyle w:val="FootnoteText"/>
      </w:pPr>
      <w:r>
        <w:rPr>
          <w:rStyle w:val="FootnoteReference"/>
        </w:rPr>
        <w:tab/>
      </w:r>
      <w:r w:rsidRPr="00D26495">
        <w:rPr>
          <w:rStyle w:val="FootnoteReference"/>
          <w:sz w:val="20"/>
          <w:vertAlign w:val="baseline"/>
        </w:rPr>
        <w:t>***</w:t>
      </w:r>
      <w:r>
        <w:rPr>
          <w:rStyle w:val="FootnoteReference"/>
          <w:sz w:val="20"/>
          <w:vertAlign w:val="baseline"/>
        </w:rPr>
        <w:tab/>
      </w:r>
      <w:r w:rsidR="00EC4F10">
        <w:rPr>
          <w:sz w:val="20"/>
        </w:rPr>
        <w:t xml:space="preserve">A joint opinion </w:t>
      </w:r>
      <w:r w:rsidRPr="000F2ED6">
        <w:rPr>
          <w:sz w:val="20"/>
        </w:rPr>
        <w:t>by Committee member</w:t>
      </w:r>
      <w:r w:rsidR="00EC4F10">
        <w:rPr>
          <w:sz w:val="20"/>
        </w:rPr>
        <w:t>s</w:t>
      </w:r>
      <w:r>
        <w:rPr>
          <w:sz w:val="20"/>
        </w:rPr>
        <w:t xml:space="preserve"> </w:t>
      </w:r>
      <w:proofErr w:type="spellStart"/>
      <w:r>
        <w:t>Vasilka</w:t>
      </w:r>
      <w:proofErr w:type="spellEnd"/>
      <w:r>
        <w:t xml:space="preserve"> </w:t>
      </w:r>
      <w:proofErr w:type="spellStart"/>
      <w:r>
        <w:t>Sancin</w:t>
      </w:r>
      <w:proofErr w:type="spellEnd"/>
      <w:r>
        <w:t xml:space="preserve">, and </w:t>
      </w:r>
      <w:r w:rsidR="00EC4F10">
        <w:t xml:space="preserve">Yuval </w:t>
      </w:r>
      <w:proofErr w:type="spellStart"/>
      <w:r w:rsidR="00EC4F10">
        <w:t>Shany</w:t>
      </w:r>
      <w:proofErr w:type="spellEnd"/>
      <w:r w:rsidR="00EC4F10">
        <w:t xml:space="preserve">, </w:t>
      </w:r>
      <w:r w:rsidRPr="000F2ED6">
        <w:rPr>
          <w:sz w:val="20"/>
        </w:rPr>
        <w:t xml:space="preserve">(dissenting) </w:t>
      </w:r>
      <w:r w:rsidR="00EF2F89">
        <w:rPr>
          <w:sz w:val="20"/>
        </w:rPr>
        <w:t>is</w:t>
      </w:r>
      <w:r w:rsidRPr="000F2ED6">
        <w:rPr>
          <w:sz w:val="20"/>
        </w:rPr>
        <w:t xml:space="preserve"> annexed to the present Views.</w:t>
      </w:r>
    </w:p>
    <w:p w14:paraId="74F4EB9E" w14:textId="0CE75C64" w:rsidR="00A8132E" w:rsidRPr="00A8132E" w:rsidRDefault="00A8132E">
      <w:pPr>
        <w:pStyle w:val="FootnoteText"/>
      </w:pPr>
    </w:p>
  </w:footnote>
  <w:footnote w:id="5">
    <w:p w14:paraId="5ABD99FF" w14:textId="5330B2CE" w:rsidR="001E14AF" w:rsidRPr="001E14AF" w:rsidRDefault="007A0330" w:rsidP="007A0330">
      <w:pPr>
        <w:pStyle w:val="FootnoteText"/>
        <w:rPr>
          <w:lang w:val="en-US"/>
        </w:rPr>
      </w:pPr>
      <w:r>
        <w:tab/>
      </w:r>
      <w:r w:rsidR="001E14AF">
        <w:rPr>
          <w:rStyle w:val="FootnoteReference"/>
        </w:rPr>
        <w:footnoteRef/>
      </w:r>
      <w:r>
        <w:tab/>
      </w:r>
      <w:r>
        <w:tab/>
      </w:r>
      <w:r w:rsidR="001E14AF">
        <w:rPr>
          <w:lang w:val="en-US"/>
        </w:rPr>
        <w:t xml:space="preserve">The author has previously </w:t>
      </w:r>
      <w:r w:rsidR="001E14AF" w:rsidRPr="007A0330">
        <w:t>submitted</w:t>
      </w:r>
      <w:r w:rsidR="001E14AF">
        <w:rPr>
          <w:lang w:val="en-US"/>
        </w:rPr>
        <w:t xml:space="preserve"> complaints to the Committee</w:t>
      </w:r>
      <w:r w:rsidR="00B26DBA">
        <w:rPr>
          <w:lang w:val="en-US"/>
        </w:rPr>
        <w:t xml:space="preserve"> (</w:t>
      </w:r>
      <w:r w:rsidR="005302C0">
        <w:rPr>
          <w:lang w:val="en-US"/>
        </w:rPr>
        <w:t xml:space="preserve">for example, </w:t>
      </w:r>
      <w:r w:rsidR="00B26DBA">
        <w:rPr>
          <w:lang w:val="en-US"/>
        </w:rPr>
        <w:t xml:space="preserve">Alekseev v Russian Federation, </w:t>
      </w:r>
      <w:r w:rsidR="00B26DBA" w:rsidRPr="00B26DBA">
        <w:rPr>
          <w:lang w:val="en-US"/>
        </w:rPr>
        <w:t>1873/2009</w:t>
      </w:r>
      <w:r w:rsidR="00B26DBA">
        <w:rPr>
          <w:lang w:val="en-US"/>
        </w:rPr>
        <w:t xml:space="preserve">). </w:t>
      </w:r>
    </w:p>
  </w:footnote>
  <w:footnote w:id="6">
    <w:p w14:paraId="0570E5E2" w14:textId="440B4149" w:rsidR="008C6CEE" w:rsidRPr="008F2DB6" w:rsidRDefault="00F00B67" w:rsidP="007A0330">
      <w:pPr>
        <w:pStyle w:val="FootnoteText"/>
      </w:pPr>
      <w:r>
        <w:tab/>
      </w:r>
      <w:r w:rsidR="008C6CEE">
        <w:rPr>
          <w:rStyle w:val="FootnoteReference"/>
        </w:rPr>
        <w:footnoteRef/>
      </w:r>
      <w:r>
        <w:tab/>
      </w:r>
      <w:r w:rsidR="008C6CEE">
        <w:t xml:space="preserve">The </w:t>
      </w:r>
      <w:r w:rsidR="008C6CEE" w:rsidRPr="007A0330">
        <w:t>event</w:t>
      </w:r>
      <w:r w:rsidR="008C6CEE">
        <w:t xml:space="preserve"> was pla</w:t>
      </w:r>
      <w:r w:rsidR="00C87407">
        <w:t>n</w:t>
      </w:r>
      <w:r w:rsidR="008C6CEE">
        <w:t>ned to be conducted from 1</w:t>
      </w:r>
      <w:r w:rsidR="00F24EA7">
        <w:t>3</w:t>
      </w:r>
      <w:r w:rsidR="008C6CEE">
        <w:t>.00 until 1</w:t>
      </w:r>
      <w:r w:rsidR="00F24EA7">
        <w:t>4</w:t>
      </w:r>
      <w:r w:rsidR="008C6CEE">
        <w:t>.00 in the c</w:t>
      </w:r>
      <w:r w:rsidR="00D01686">
        <w:t>e</w:t>
      </w:r>
      <w:r w:rsidR="008C6CEE">
        <w:t>nt</w:t>
      </w:r>
      <w:r>
        <w:t>r</w:t>
      </w:r>
      <w:r w:rsidR="008C6CEE">
        <w:t xml:space="preserve">e of </w:t>
      </w:r>
      <w:r w:rsidR="00F24EA7">
        <w:t xml:space="preserve">Moscow </w:t>
      </w:r>
      <w:r w:rsidR="008C6CEE">
        <w:t xml:space="preserve">on </w:t>
      </w:r>
      <w:r w:rsidR="00F24EA7">
        <w:t>1</w:t>
      </w:r>
      <w:r w:rsidR="008C6CEE" w:rsidRPr="007F5455">
        <w:t xml:space="preserve">1 </w:t>
      </w:r>
      <w:r w:rsidR="00F24EA7">
        <w:t xml:space="preserve">October </w:t>
      </w:r>
      <w:r w:rsidR="008C6CEE" w:rsidRPr="007F5455">
        <w:t>2014</w:t>
      </w:r>
      <w:r w:rsidR="008C6CEE">
        <w:t xml:space="preserve">. </w:t>
      </w:r>
    </w:p>
  </w:footnote>
  <w:footnote w:id="7">
    <w:p w14:paraId="3861995F" w14:textId="0E328A63" w:rsidR="00734F78" w:rsidRPr="00734F78" w:rsidRDefault="00F64CBD" w:rsidP="00734F78">
      <w:pPr>
        <w:pStyle w:val="FootnoteText"/>
      </w:pPr>
      <w:r>
        <w:tab/>
      </w:r>
      <w:r w:rsidR="00734F78">
        <w:rPr>
          <w:rStyle w:val="FootnoteReference"/>
        </w:rPr>
        <w:footnoteRef/>
      </w:r>
      <w:r>
        <w:tab/>
      </w:r>
      <w:proofErr w:type="spellStart"/>
      <w:proofErr w:type="gramStart"/>
      <w:r w:rsidR="00734F78">
        <w:t>ECtHR,Alekseyev</w:t>
      </w:r>
      <w:proofErr w:type="spellEnd"/>
      <w:proofErr w:type="gramEnd"/>
      <w:r w:rsidR="00734F78">
        <w:t xml:space="preserve"> v. Russia, (№ 4916/07, 25924/08, 14599/09, decision of 11 April </w:t>
      </w:r>
      <w:r w:rsidR="00734F78" w:rsidRPr="00734F78">
        <w:t>2011</w:t>
      </w:r>
      <w:r w:rsidR="00734F78">
        <w:t>)</w:t>
      </w:r>
    </w:p>
  </w:footnote>
  <w:footnote w:id="8">
    <w:p w14:paraId="5673853C" w14:textId="5DBAE81B" w:rsidR="00AE0E9A" w:rsidRPr="00287B71" w:rsidRDefault="00F64CBD">
      <w:pPr>
        <w:pStyle w:val="FootnoteText"/>
        <w:rPr>
          <w:lang w:val="en-US"/>
        </w:rPr>
      </w:pPr>
      <w:r>
        <w:tab/>
      </w:r>
      <w:r w:rsidR="00AE0E9A">
        <w:rPr>
          <w:rStyle w:val="FootnoteReference"/>
        </w:rPr>
        <w:footnoteRef/>
      </w:r>
      <w:r w:rsidR="00AE0E9A">
        <w:t xml:space="preserve"> </w:t>
      </w:r>
      <w:r>
        <w:tab/>
      </w:r>
      <w:r w:rsidR="00AE0E9A">
        <w:rPr>
          <w:lang w:val="en-US"/>
        </w:rPr>
        <w:t>ECtHR, Alekse</w:t>
      </w:r>
      <w:r w:rsidR="00C019EA">
        <w:rPr>
          <w:lang w:val="en-US"/>
        </w:rPr>
        <w:t>y</w:t>
      </w:r>
      <w:r w:rsidR="00AE0E9A">
        <w:rPr>
          <w:lang w:val="en-US"/>
        </w:rPr>
        <w:t>ev v. Russia, (</w:t>
      </w:r>
      <w:r w:rsidR="00AE0E9A" w:rsidRPr="00AE0E9A">
        <w:rPr>
          <w:lang w:val="en-US"/>
        </w:rPr>
        <w:t>N</w:t>
      </w:r>
      <w:r w:rsidR="00AE0E9A">
        <w:rPr>
          <w:lang w:val="en-US"/>
        </w:rPr>
        <w:t>os 4916/07, 25924/08, 14599/09</w:t>
      </w:r>
      <w:r w:rsidR="00734F78">
        <w:rPr>
          <w:lang w:val="en-US"/>
        </w:rPr>
        <w:t xml:space="preserve">, decision of 11 April </w:t>
      </w:r>
      <w:r w:rsidR="00734F78" w:rsidRPr="00734F78">
        <w:rPr>
          <w:lang w:val="en-US"/>
        </w:rPr>
        <w:t>2011</w:t>
      </w:r>
      <w:r w:rsidR="00AE0E9A">
        <w:rPr>
          <w:lang w:val="en-US"/>
        </w:rPr>
        <w:t>).</w:t>
      </w:r>
    </w:p>
  </w:footnote>
  <w:footnote w:id="9">
    <w:p w14:paraId="2BFCE4B5" w14:textId="3AF735E8" w:rsidR="00264000" w:rsidRPr="0056440E" w:rsidRDefault="00694DB5" w:rsidP="00694DB5">
      <w:pPr>
        <w:pStyle w:val="FootnoteText"/>
      </w:pPr>
      <w:r>
        <w:tab/>
      </w:r>
      <w:r w:rsidR="00264000" w:rsidRPr="0056440E">
        <w:rPr>
          <w:rStyle w:val="FootnoteReference"/>
          <w:szCs w:val="18"/>
        </w:rPr>
        <w:footnoteRef/>
      </w:r>
      <w:r w:rsidR="00264000">
        <w:tab/>
      </w:r>
      <w:r w:rsidR="00264000" w:rsidRPr="0056440E">
        <w:t>See</w:t>
      </w:r>
      <w:r w:rsidR="00264000">
        <w:t xml:space="preserve"> for example</w:t>
      </w:r>
      <w:r w:rsidR="00264000" w:rsidRPr="0056440E">
        <w:t>, communication No. 1002/2001</w:t>
      </w:r>
      <w:r w:rsidR="00264000">
        <w:t>,</w:t>
      </w:r>
      <w:r w:rsidR="00264000" w:rsidRPr="0056440E">
        <w:t xml:space="preserve"> </w:t>
      </w:r>
      <w:proofErr w:type="spellStart"/>
      <w:r w:rsidR="00264000" w:rsidRPr="0056440E">
        <w:rPr>
          <w:i/>
        </w:rPr>
        <w:t>Wallmann</w:t>
      </w:r>
      <w:proofErr w:type="spellEnd"/>
      <w:r w:rsidR="00264000" w:rsidRPr="0056440E">
        <w:rPr>
          <w:i/>
        </w:rPr>
        <w:t xml:space="preserve"> et al. </w:t>
      </w:r>
      <w:r w:rsidR="00264000" w:rsidRPr="00062F6E">
        <w:t xml:space="preserve">v. </w:t>
      </w:r>
      <w:r w:rsidR="00264000" w:rsidRPr="0056440E">
        <w:rPr>
          <w:i/>
        </w:rPr>
        <w:t>Austria</w:t>
      </w:r>
      <w:r w:rsidR="00264000" w:rsidRPr="0056440E">
        <w:t xml:space="preserve">, Views </w:t>
      </w:r>
      <w:r w:rsidR="00264000">
        <w:t xml:space="preserve">adopted on </w:t>
      </w:r>
      <w:r w:rsidR="00264000" w:rsidRPr="0056440E">
        <w:t>1 April 2004, para.</w:t>
      </w:r>
      <w:r w:rsidR="00264000">
        <w:t> </w:t>
      </w:r>
      <w:r w:rsidR="00264000" w:rsidRPr="0056440E">
        <w:t>8.4</w:t>
      </w:r>
      <w:r w:rsidR="00E74A18">
        <w:t>, 8.5</w:t>
      </w:r>
      <w:r w:rsidR="00264000" w:rsidRPr="0056440E">
        <w:t>.</w:t>
      </w:r>
    </w:p>
  </w:footnote>
  <w:footnote w:id="10">
    <w:p w14:paraId="07989795" w14:textId="3A2E7D32" w:rsidR="00264000" w:rsidRPr="00FD2B63" w:rsidRDefault="00F00B67" w:rsidP="007A0330">
      <w:pPr>
        <w:pStyle w:val="FootnoteText"/>
        <w:rPr>
          <w:lang w:val="en-US"/>
        </w:rPr>
      </w:pPr>
      <w:r>
        <w:tab/>
      </w:r>
      <w:r w:rsidR="00264000">
        <w:rPr>
          <w:rStyle w:val="FootnoteReference"/>
        </w:rPr>
        <w:footnoteRef/>
      </w:r>
      <w:r w:rsidR="00264000">
        <w:t xml:space="preserve"> </w:t>
      </w:r>
      <w:r>
        <w:tab/>
      </w:r>
      <w:r w:rsidR="00264000" w:rsidRPr="004718E9">
        <w:rPr>
          <w:i/>
        </w:rPr>
        <w:t>Aleks</w:t>
      </w:r>
      <w:r>
        <w:rPr>
          <w:i/>
        </w:rPr>
        <w:t>e</w:t>
      </w:r>
      <w:r w:rsidR="00264000" w:rsidRPr="004718E9">
        <w:rPr>
          <w:i/>
        </w:rPr>
        <w:t xml:space="preserve">ev v. Russian </w:t>
      </w:r>
      <w:r w:rsidRPr="007A0330">
        <w:t>F</w:t>
      </w:r>
      <w:r w:rsidR="00264000" w:rsidRPr="007A0330">
        <w:t>ederation</w:t>
      </w:r>
      <w:r w:rsidR="00264000">
        <w:t>, (</w:t>
      </w:r>
      <w:r w:rsidR="00264000" w:rsidRPr="00264000">
        <w:t>CCPR/C/109/D/1873/2009</w:t>
      </w:r>
      <w:r w:rsidR="00264000">
        <w:t>), paras. 8.2-8.3.</w:t>
      </w:r>
    </w:p>
  </w:footnote>
  <w:footnote w:id="11">
    <w:p w14:paraId="23CFE3E3" w14:textId="75B3F14B" w:rsidR="00AE0E9A" w:rsidRPr="00287B71" w:rsidRDefault="00F64CBD">
      <w:pPr>
        <w:pStyle w:val="FootnoteText"/>
        <w:rPr>
          <w:lang w:val="en-US"/>
        </w:rPr>
      </w:pPr>
      <w:r>
        <w:tab/>
      </w:r>
      <w:r w:rsidR="00AE0E9A">
        <w:rPr>
          <w:rStyle w:val="FootnoteReference"/>
        </w:rPr>
        <w:footnoteRef/>
      </w:r>
      <w:r w:rsidR="00AE0E9A">
        <w:t xml:space="preserve"> </w:t>
      </w:r>
      <w:r>
        <w:tab/>
      </w:r>
      <w:r w:rsidR="00AE0E9A">
        <w:t>General Comment No. 37 (2020), para. 1.</w:t>
      </w:r>
    </w:p>
  </w:footnote>
  <w:footnote w:id="12">
    <w:p w14:paraId="1995B335" w14:textId="648328AE" w:rsidR="006D7F0B" w:rsidRPr="004718E9" w:rsidRDefault="00F00B67">
      <w:pPr>
        <w:pStyle w:val="FootnoteText"/>
        <w:rPr>
          <w:lang w:val="en-US"/>
        </w:rPr>
      </w:pPr>
      <w:r>
        <w:tab/>
      </w:r>
      <w:r w:rsidR="006D7F0B">
        <w:rPr>
          <w:rStyle w:val="FootnoteReference"/>
        </w:rPr>
        <w:footnoteRef/>
      </w:r>
      <w:r w:rsidR="006D7F0B">
        <w:t xml:space="preserve"> </w:t>
      </w:r>
      <w:r>
        <w:tab/>
      </w:r>
      <w:r w:rsidR="006D7F0B">
        <w:rPr>
          <w:lang w:val="en-US"/>
        </w:rPr>
        <w:t xml:space="preserve">General comment </w:t>
      </w:r>
      <w:r w:rsidR="00141CB1">
        <w:rPr>
          <w:lang w:val="en-US"/>
        </w:rPr>
        <w:t xml:space="preserve">No. </w:t>
      </w:r>
      <w:r w:rsidR="006D7F0B">
        <w:rPr>
          <w:lang w:val="en-US"/>
        </w:rPr>
        <w:t>37</w:t>
      </w:r>
      <w:r w:rsidR="00141CB1">
        <w:rPr>
          <w:lang w:val="en-US"/>
        </w:rPr>
        <w:t>,</w:t>
      </w:r>
      <w:r w:rsidR="006D7F0B">
        <w:rPr>
          <w:lang w:val="en-US"/>
        </w:rPr>
        <w:t xml:space="preserve"> para</w:t>
      </w:r>
      <w:r w:rsidR="00141CB1">
        <w:rPr>
          <w:lang w:val="en-US"/>
        </w:rPr>
        <w:t>.</w:t>
      </w:r>
      <w:r w:rsidR="006D7F0B">
        <w:rPr>
          <w:lang w:val="en-US"/>
        </w:rPr>
        <w:t xml:space="preserve"> 25.</w:t>
      </w:r>
    </w:p>
  </w:footnote>
  <w:footnote w:id="13">
    <w:p w14:paraId="1953345A" w14:textId="4C95D0F7" w:rsidR="00EE5850" w:rsidRPr="004718E9" w:rsidRDefault="00F00B67">
      <w:pPr>
        <w:pStyle w:val="FootnoteText"/>
        <w:rPr>
          <w:lang w:val="en-US"/>
        </w:rPr>
      </w:pPr>
      <w:r>
        <w:tab/>
      </w:r>
      <w:r w:rsidR="00EE5850">
        <w:rPr>
          <w:rStyle w:val="FootnoteReference"/>
        </w:rPr>
        <w:footnoteRef/>
      </w:r>
      <w:r w:rsidR="00EE5850">
        <w:t xml:space="preserve"> </w:t>
      </w:r>
      <w:r>
        <w:tab/>
      </w:r>
      <w:r w:rsidR="00EE5850">
        <w:rPr>
          <w:lang w:val="en-US"/>
        </w:rPr>
        <w:t>Ibid para 6.</w:t>
      </w:r>
    </w:p>
  </w:footnote>
  <w:footnote w:id="14">
    <w:p w14:paraId="6ACE3353" w14:textId="7F8AF24D" w:rsidR="006C3F18" w:rsidRPr="006F7BEF" w:rsidRDefault="00694DB5" w:rsidP="00023602">
      <w:pPr>
        <w:pStyle w:val="FootnoteText"/>
        <w:ind w:left="0" w:right="0" w:firstLine="0"/>
        <w:jc w:val="both"/>
        <w:rPr>
          <w:lang w:val="es-ES"/>
        </w:rPr>
      </w:pPr>
      <w:r>
        <w:tab/>
      </w:r>
      <w:r w:rsidR="006C3F18" w:rsidRPr="0072412E">
        <w:rPr>
          <w:rStyle w:val="FootnoteReference"/>
        </w:rPr>
        <w:footnoteRef/>
      </w:r>
      <w:r w:rsidR="006C3F18" w:rsidRPr="0072412E">
        <w:tab/>
        <w:t xml:space="preserve">See </w:t>
      </w:r>
      <w:proofErr w:type="spellStart"/>
      <w:r w:rsidR="006C3F18" w:rsidRPr="00C64063">
        <w:rPr>
          <w:i/>
          <w:iCs/>
        </w:rPr>
        <w:t>Poplavny</w:t>
      </w:r>
      <w:proofErr w:type="spellEnd"/>
      <w:r w:rsidR="006C3F18" w:rsidRPr="00C64063">
        <w:rPr>
          <w:i/>
          <w:iCs/>
        </w:rPr>
        <w:t xml:space="preserve"> v. Belarus</w:t>
      </w:r>
      <w:r w:rsidR="006C3F18" w:rsidRPr="0072412E">
        <w:t xml:space="preserve"> (CCPR/C/115/D/2019/2010), para. </w:t>
      </w:r>
      <w:r w:rsidR="006C3F18" w:rsidRPr="006F7BEF">
        <w:rPr>
          <w:lang w:val="es-ES"/>
        </w:rPr>
        <w:t xml:space="preserve">8.4. General </w:t>
      </w:r>
      <w:proofErr w:type="spellStart"/>
      <w:r w:rsidR="006C3F18" w:rsidRPr="006F7BEF">
        <w:rPr>
          <w:lang w:val="es-ES"/>
        </w:rPr>
        <w:t>comment</w:t>
      </w:r>
      <w:proofErr w:type="spellEnd"/>
      <w:r w:rsidR="006C3F18" w:rsidRPr="006F7BEF">
        <w:rPr>
          <w:lang w:val="es-ES"/>
        </w:rPr>
        <w:t xml:space="preserve"> No. 37, para. 36.</w:t>
      </w:r>
    </w:p>
  </w:footnote>
  <w:footnote w:id="15">
    <w:p w14:paraId="3557FB46" w14:textId="35E32C89" w:rsidR="006C3F18" w:rsidRPr="006C3F18" w:rsidRDefault="00694DB5" w:rsidP="00023602">
      <w:pPr>
        <w:pStyle w:val="FootnoteText"/>
        <w:ind w:left="0" w:right="0" w:firstLine="0"/>
        <w:rPr>
          <w:lang w:val="en-US"/>
        </w:rPr>
      </w:pPr>
      <w:r w:rsidRPr="006F7BEF">
        <w:rPr>
          <w:lang w:val="es-ES"/>
        </w:rPr>
        <w:tab/>
      </w:r>
      <w:r w:rsidR="006C3F18">
        <w:rPr>
          <w:rStyle w:val="FootnoteReference"/>
        </w:rPr>
        <w:footnoteRef/>
      </w:r>
      <w:r w:rsidRPr="006F7BEF">
        <w:rPr>
          <w:lang w:val="es-ES"/>
        </w:rPr>
        <w:tab/>
      </w:r>
      <w:r w:rsidR="006C3F18" w:rsidRPr="006F7BEF">
        <w:rPr>
          <w:lang w:val="es-ES"/>
        </w:rPr>
        <w:t xml:space="preserve">General </w:t>
      </w:r>
      <w:proofErr w:type="spellStart"/>
      <w:r w:rsidR="006C3F18" w:rsidRPr="006F7BEF">
        <w:rPr>
          <w:lang w:val="es-ES"/>
        </w:rPr>
        <w:t>comment</w:t>
      </w:r>
      <w:proofErr w:type="spellEnd"/>
      <w:r w:rsidR="006C3F18" w:rsidRPr="006F7BEF">
        <w:rPr>
          <w:lang w:val="es-ES"/>
        </w:rPr>
        <w:t xml:space="preserve"> No. 37, para. </w:t>
      </w:r>
      <w:r w:rsidR="006C3F18">
        <w:rPr>
          <w:lang w:val="en-US"/>
        </w:rPr>
        <w:t>36.</w:t>
      </w:r>
    </w:p>
  </w:footnote>
  <w:footnote w:id="16">
    <w:p w14:paraId="70C82458" w14:textId="77777777" w:rsidR="00CB70CC" w:rsidRPr="00037AFF" w:rsidRDefault="00CB70CC" w:rsidP="00CB70CC">
      <w:pPr>
        <w:pStyle w:val="FootnoteText"/>
        <w:ind w:left="0" w:right="0" w:firstLine="0"/>
        <w:rPr>
          <w:szCs w:val="18"/>
        </w:rPr>
      </w:pPr>
      <w:r w:rsidRPr="00037AFF">
        <w:rPr>
          <w:szCs w:val="18"/>
        </w:rPr>
        <w:tab/>
      </w:r>
      <w:r w:rsidRPr="00037AFF">
        <w:rPr>
          <w:rStyle w:val="FootnoteReference"/>
          <w:szCs w:val="18"/>
        </w:rPr>
        <w:footnoteRef/>
      </w:r>
      <w:r w:rsidRPr="00037AFF">
        <w:rPr>
          <w:szCs w:val="18"/>
        </w:rPr>
        <w:tab/>
      </w:r>
      <w:proofErr w:type="spellStart"/>
      <w:r w:rsidRPr="00037AFF">
        <w:rPr>
          <w:i/>
          <w:szCs w:val="18"/>
        </w:rPr>
        <w:t>Chebotareva</w:t>
      </w:r>
      <w:proofErr w:type="spellEnd"/>
      <w:r w:rsidRPr="00037AFF">
        <w:rPr>
          <w:i/>
          <w:szCs w:val="18"/>
        </w:rPr>
        <w:t xml:space="preserve"> v. Russian Federation</w:t>
      </w:r>
      <w:r w:rsidRPr="00037AFF">
        <w:rPr>
          <w:szCs w:val="18"/>
        </w:rPr>
        <w:t xml:space="preserve"> (CCPR/C/104/D/1866/2009), para. 9.3.</w:t>
      </w:r>
    </w:p>
  </w:footnote>
  <w:footnote w:id="17">
    <w:p w14:paraId="467597E5" w14:textId="77777777" w:rsidR="00720A7F" w:rsidRPr="00037AFF" w:rsidRDefault="00720A7F" w:rsidP="007A0330">
      <w:pPr>
        <w:pStyle w:val="FootnoteText"/>
      </w:pPr>
      <w:r w:rsidRPr="00037AFF">
        <w:tab/>
      </w:r>
      <w:r w:rsidRPr="00037AFF">
        <w:rPr>
          <w:rStyle w:val="FootnoteReference"/>
        </w:rPr>
        <w:footnoteRef/>
      </w:r>
      <w:r w:rsidRPr="00037AFF">
        <w:t xml:space="preserve"> </w:t>
      </w:r>
      <w:r w:rsidRPr="00037AFF">
        <w:tab/>
        <w:t xml:space="preserve">Since its decision in </w:t>
      </w:r>
      <w:proofErr w:type="spellStart"/>
      <w:r w:rsidRPr="007A0330">
        <w:t>Turchenyak</w:t>
      </w:r>
      <w:proofErr w:type="spellEnd"/>
      <w:r w:rsidRPr="00037AFF">
        <w:rPr>
          <w:i/>
        </w:rPr>
        <w:t xml:space="preserve"> v. Belarus</w:t>
      </w:r>
      <w:r w:rsidRPr="00037AFF">
        <w:t xml:space="preserve"> (CCPR/C/108/D/1948/2010), the Committee has often repeated that </w:t>
      </w:r>
      <w:r w:rsidRPr="007A0330">
        <w:t>steps</w:t>
      </w:r>
      <w:r w:rsidRPr="00037AFF">
        <w:t xml:space="preserve"> taken by States in response to an assembly “should be guided by the objective to facilitate the right” (para. 7.4). Also see CCPR/C/BEN/CO/2, para. 33. C.f. A/HRC/20/27, para. 33; Human Rights Council Resolution 38/11, OP 4.</w:t>
      </w:r>
    </w:p>
  </w:footnote>
  <w:footnote w:id="18">
    <w:p w14:paraId="28510655" w14:textId="77777777" w:rsidR="00720A7F" w:rsidRPr="00694DB5" w:rsidRDefault="00720A7F" w:rsidP="00720A7F">
      <w:pPr>
        <w:pStyle w:val="FootnoteText"/>
        <w:rPr>
          <w:szCs w:val="18"/>
          <w:lang w:val="es-ES"/>
        </w:rPr>
      </w:pPr>
      <w:r w:rsidRPr="00037AFF">
        <w:rPr>
          <w:szCs w:val="18"/>
        </w:rPr>
        <w:tab/>
      </w:r>
      <w:r w:rsidRPr="00037AFF">
        <w:rPr>
          <w:rStyle w:val="FootnoteReference"/>
          <w:szCs w:val="18"/>
        </w:rPr>
        <w:footnoteRef/>
      </w:r>
      <w:r w:rsidRPr="00037AFF">
        <w:rPr>
          <w:szCs w:val="18"/>
        </w:rPr>
        <w:tab/>
      </w:r>
      <w:r w:rsidRPr="00037AFF">
        <w:rPr>
          <w:i/>
          <w:szCs w:val="18"/>
        </w:rPr>
        <w:t>Alekseev v. Russian Federation</w:t>
      </w:r>
      <w:r w:rsidRPr="00037AFF">
        <w:rPr>
          <w:szCs w:val="18"/>
        </w:rPr>
        <w:t xml:space="preserve"> (CCPR/C/109/D/1873/2009), para. </w:t>
      </w:r>
      <w:r w:rsidRPr="00694DB5">
        <w:rPr>
          <w:szCs w:val="18"/>
          <w:lang w:val="es-ES"/>
        </w:rPr>
        <w:t xml:space="preserve">9.6. </w:t>
      </w:r>
    </w:p>
  </w:footnote>
  <w:footnote w:id="19">
    <w:p w14:paraId="5D22048C" w14:textId="6E3EFB60" w:rsidR="00720A7F" w:rsidRPr="00694DB5" w:rsidRDefault="007A0330">
      <w:pPr>
        <w:pStyle w:val="FootnoteText"/>
        <w:rPr>
          <w:lang w:val="es-ES"/>
        </w:rPr>
      </w:pPr>
      <w:r w:rsidRPr="00694DB5">
        <w:rPr>
          <w:lang w:val="es-ES"/>
        </w:rPr>
        <w:tab/>
      </w:r>
      <w:r w:rsidR="00720A7F">
        <w:rPr>
          <w:rStyle w:val="FootnoteReference"/>
        </w:rPr>
        <w:footnoteRef/>
      </w:r>
      <w:r w:rsidRPr="00694DB5">
        <w:rPr>
          <w:lang w:val="es-ES"/>
        </w:rPr>
        <w:tab/>
      </w:r>
      <w:r w:rsidR="00720A7F" w:rsidRPr="00694DB5">
        <w:rPr>
          <w:lang w:val="es-ES"/>
        </w:rPr>
        <w:t xml:space="preserve">General </w:t>
      </w:r>
      <w:proofErr w:type="spellStart"/>
      <w:r w:rsidR="00720A7F" w:rsidRPr="00694DB5">
        <w:rPr>
          <w:lang w:val="es-ES"/>
        </w:rPr>
        <w:t>comment</w:t>
      </w:r>
      <w:proofErr w:type="spellEnd"/>
      <w:r w:rsidR="00720A7F" w:rsidRPr="00694DB5">
        <w:rPr>
          <w:lang w:val="es-ES"/>
        </w:rPr>
        <w:t xml:space="preserve"> No. 37, para. 24.</w:t>
      </w:r>
    </w:p>
  </w:footnote>
  <w:footnote w:id="20">
    <w:p w14:paraId="6CA0154C" w14:textId="185137BC" w:rsidR="00546E12" w:rsidRPr="00694DB5" w:rsidRDefault="00546E12" w:rsidP="00546E12">
      <w:pPr>
        <w:pStyle w:val="FootnoteText"/>
        <w:rPr>
          <w:szCs w:val="18"/>
          <w:lang w:val="es-ES"/>
        </w:rPr>
      </w:pPr>
      <w:r w:rsidRPr="00694DB5">
        <w:rPr>
          <w:szCs w:val="18"/>
          <w:lang w:val="es-ES"/>
        </w:rPr>
        <w:tab/>
      </w:r>
      <w:r w:rsidRPr="00531C92">
        <w:rPr>
          <w:rStyle w:val="FootnoteReference"/>
          <w:szCs w:val="18"/>
        </w:rPr>
        <w:footnoteRef/>
      </w:r>
      <w:r w:rsidRPr="00694DB5">
        <w:rPr>
          <w:szCs w:val="18"/>
          <w:lang w:val="es-ES"/>
        </w:rPr>
        <w:tab/>
      </w:r>
      <w:proofErr w:type="spellStart"/>
      <w:r w:rsidR="00694DB5">
        <w:rPr>
          <w:szCs w:val="18"/>
          <w:lang w:val="es-ES"/>
        </w:rPr>
        <w:t>Ibid</w:t>
      </w:r>
      <w:proofErr w:type="spellEnd"/>
      <w:r w:rsidR="00694DB5">
        <w:rPr>
          <w:szCs w:val="18"/>
          <w:lang w:val="es-ES"/>
        </w:rPr>
        <w:t>.</w:t>
      </w:r>
      <w:r w:rsidR="005A7962" w:rsidRPr="00694DB5">
        <w:rPr>
          <w:szCs w:val="18"/>
          <w:lang w:val="es-ES"/>
        </w:rPr>
        <w:t>,</w:t>
      </w:r>
      <w:r w:rsidR="006D7F0B" w:rsidRPr="00694DB5">
        <w:rPr>
          <w:szCs w:val="18"/>
          <w:lang w:val="es-ES"/>
        </w:rPr>
        <w:t xml:space="preserve"> para</w:t>
      </w:r>
      <w:r w:rsidR="00F00B67" w:rsidRPr="00694DB5">
        <w:rPr>
          <w:szCs w:val="18"/>
          <w:lang w:val="es-ES"/>
        </w:rPr>
        <w:t>.</w:t>
      </w:r>
      <w:r w:rsidR="006D7F0B" w:rsidRPr="00694DB5">
        <w:rPr>
          <w:szCs w:val="18"/>
          <w:lang w:val="es-ES"/>
        </w:rPr>
        <w:t xml:space="preserve"> 46.</w:t>
      </w:r>
    </w:p>
  </w:footnote>
  <w:footnote w:id="21">
    <w:p w14:paraId="545DE830" w14:textId="07F71844" w:rsidR="00546E12" w:rsidRPr="00531C92" w:rsidRDefault="00546E12" w:rsidP="00546E12">
      <w:pPr>
        <w:pStyle w:val="FootnoteText"/>
        <w:rPr>
          <w:szCs w:val="18"/>
        </w:rPr>
      </w:pPr>
      <w:r w:rsidRPr="00694DB5">
        <w:rPr>
          <w:szCs w:val="18"/>
          <w:lang w:val="es-ES"/>
        </w:rPr>
        <w:tab/>
      </w:r>
      <w:r w:rsidRPr="00531C92">
        <w:rPr>
          <w:rStyle w:val="FootnoteReference"/>
          <w:szCs w:val="18"/>
        </w:rPr>
        <w:footnoteRef/>
      </w:r>
      <w:r w:rsidRPr="00694DB5">
        <w:rPr>
          <w:szCs w:val="18"/>
          <w:lang w:val="es-ES"/>
        </w:rPr>
        <w:tab/>
      </w:r>
      <w:proofErr w:type="spellStart"/>
      <w:r w:rsidR="005A7962" w:rsidRPr="00694DB5">
        <w:rPr>
          <w:szCs w:val="18"/>
          <w:lang w:val="es-ES"/>
        </w:rPr>
        <w:t>Ibid</w:t>
      </w:r>
      <w:proofErr w:type="spellEnd"/>
      <w:r w:rsidR="00141CB1" w:rsidRPr="00694DB5">
        <w:rPr>
          <w:szCs w:val="18"/>
          <w:lang w:val="es-ES"/>
        </w:rPr>
        <w:t>.,</w:t>
      </w:r>
      <w:r w:rsidR="005A7962" w:rsidRPr="00694DB5">
        <w:rPr>
          <w:szCs w:val="18"/>
          <w:lang w:val="es-ES"/>
        </w:rPr>
        <w:t xml:space="preserve"> para</w:t>
      </w:r>
      <w:r w:rsidR="00F00B67" w:rsidRPr="00694DB5">
        <w:rPr>
          <w:szCs w:val="18"/>
          <w:lang w:val="es-ES"/>
        </w:rPr>
        <w:t>.</w:t>
      </w:r>
      <w:r w:rsidR="005A7962" w:rsidRPr="00694DB5">
        <w:rPr>
          <w:szCs w:val="18"/>
          <w:lang w:val="es-ES"/>
        </w:rPr>
        <w:t xml:space="preserve"> 46. </w:t>
      </w:r>
      <w:proofErr w:type="spellStart"/>
      <w:r w:rsidRPr="00694DB5">
        <w:rPr>
          <w:i/>
          <w:szCs w:val="18"/>
          <w:lang w:val="es-ES"/>
        </w:rPr>
        <w:t>Fedotova</w:t>
      </w:r>
      <w:proofErr w:type="spellEnd"/>
      <w:r w:rsidRPr="00694DB5">
        <w:rPr>
          <w:i/>
          <w:szCs w:val="18"/>
          <w:lang w:val="es-ES"/>
        </w:rPr>
        <w:t xml:space="preserve"> v. </w:t>
      </w:r>
      <w:proofErr w:type="spellStart"/>
      <w:r w:rsidRPr="00694DB5">
        <w:rPr>
          <w:i/>
          <w:szCs w:val="18"/>
          <w:lang w:val="es-ES"/>
        </w:rPr>
        <w:t>Russian</w:t>
      </w:r>
      <w:proofErr w:type="spellEnd"/>
      <w:r w:rsidRPr="00694DB5">
        <w:rPr>
          <w:i/>
          <w:szCs w:val="18"/>
          <w:lang w:val="es-ES"/>
        </w:rPr>
        <w:t xml:space="preserve"> </w:t>
      </w:r>
      <w:proofErr w:type="spellStart"/>
      <w:r w:rsidRPr="00694DB5">
        <w:rPr>
          <w:i/>
          <w:szCs w:val="18"/>
          <w:lang w:val="es-ES"/>
        </w:rPr>
        <w:t>Federation</w:t>
      </w:r>
      <w:proofErr w:type="spellEnd"/>
      <w:r w:rsidRPr="00694DB5">
        <w:rPr>
          <w:szCs w:val="18"/>
          <w:lang w:val="es-ES"/>
        </w:rPr>
        <w:t xml:space="preserve"> (CCPR/C/106/D/1932/2010), paras. </w:t>
      </w:r>
      <w:r w:rsidRPr="00531C92">
        <w:rPr>
          <w:szCs w:val="18"/>
        </w:rPr>
        <w:t xml:space="preserve">10.5–10.6; </w:t>
      </w:r>
      <w:r w:rsidRPr="00531C92">
        <w:rPr>
          <w:i/>
          <w:szCs w:val="18"/>
        </w:rPr>
        <w:t>Alekseev v. Russian Federation</w:t>
      </w:r>
      <w:r w:rsidRPr="00531C92">
        <w:rPr>
          <w:szCs w:val="18"/>
        </w:rPr>
        <w:t>, para. 9.6.</w:t>
      </w:r>
    </w:p>
  </w:footnote>
  <w:footnote w:id="22">
    <w:p w14:paraId="2E1876DA" w14:textId="64CF29C9" w:rsidR="008F1CE4" w:rsidRPr="00087FBA" w:rsidRDefault="00F00B67" w:rsidP="004718E9">
      <w:pPr>
        <w:pStyle w:val="FootnoteText"/>
        <w:ind w:right="1152"/>
      </w:pPr>
      <w:r>
        <w:tab/>
      </w:r>
      <w:r w:rsidR="008F1CE4">
        <w:rPr>
          <w:rStyle w:val="FootnoteReference"/>
        </w:rPr>
        <w:footnoteRef/>
      </w:r>
      <w:r>
        <w:tab/>
      </w:r>
      <w:r w:rsidR="008F1CE4">
        <w:t xml:space="preserve">ECtHR, </w:t>
      </w:r>
      <w:r w:rsidR="008F1CE4" w:rsidRPr="004718E9">
        <w:rPr>
          <w:i/>
        </w:rPr>
        <w:t>Alekseyev v Russian Federation</w:t>
      </w:r>
      <w:r w:rsidR="008F1CE4">
        <w:t xml:space="preserve">, </w:t>
      </w:r>
      <w:r w:rsidR="00734F78" w:rsidRPr="00734F78">
        <w:t>Nos 4916/07, 25924/08, 14599/09, decision of 11 April 2011</w:t>
      </w:r>
      <w:proofErr w:type="gramStart"/>
      <w:r w:rsidR="00734F78" w:rsidRPr="00734F78">
        <w:t>).</w:t>
      </w:r>
      <w:r w:rsidR="008F1CE4">
        <w:t>pa</w:t>
      </w:r>
      <w:r>
        <w:t>r</w:t>
      </w:r>
      <w:r w:rsidR="008F1CE4">
        <w:t>a</w:t>
      </w:r>
      <w:proofErr w:type="gramEnd"/>
      <w:r>
        <w:t>.</w:t>
      </w:r>
      <w:r w:rsidR="008F1CE4">
        <w:t xml:space="preserve"> 86</w:t>
      </w:r>
      <w:r w:rsidR="00477F06">
        <w:t>; E</w:t>
      </w:r>
      <w:r w:rsidR="00C019EA">
        <w:t>C</w:t>
      </w:r>
      <w:r w:rsidR="00477F06">
        <w:t xml:space="preserve">tHR, </w:t>
      </w:r>
      <w:r w:rsidR="00477F06" w:rsidRPr="00477F06">
        <w:t>Z</w:t>
      </w:r>
      <w:r w:rsidR="00C019EA">
        <w:t>hdanov</w:t>
      </w:r>
      <w:r w:rsidR="00477F06" w:rsidRPr="00477F06">
        <w:t xml:space="preserve"> </w:t>
      </w:r>
      <w:r w:rsidR="00C019EA">
        <w:t>and</w:t>
      </w:r>
      <w:r w:rsidR="00477F06" w:rsidRPr="00477F06">
        <w:t xml:space="preserve"> </w:t>
      </w:r>
      <w:r w:rsidR="00C019EA">
        <w:t>others</w:t>
      </w:r>
      <w:r w:rsidR="00477F06" w:rsidRPr="00477F06">
        <w:t xml:space="preserve"> v. R</w:t>
      </w:r>
      <w:r w:rsidR="00C019EA">
        <w:t>ussia</w:t>
      </w:r>
      <w:r w:rsidR="00477F06">
        <w:t xml:space="preserve">, N </w:t>
      </w:r>
      <w:r w:rsidR="00477F06" w:rsidRPr="00477F06">
        <w:t>12200/08</w:t>
      </w:r>
      <w:r w:rsidR="00477F06">
        <w:t xml:space="preserve">, decision of </w:t>
      </w:r>
      <w:r w:rsidR="00477F06" w:rsidRPr="00477F06">
        <w:t>16/10/2019</w:t>
      </w:r>
      <w:r w:rsidR="00C019EA">
        <w:t xml:space="preserve">; ECtHR, </w:t>
      </w:r>
      <w:r w:rsidR="00C019EA" w:rsidRPr="00C019EA">
        <w:t>A</w:t>
      </w:r>
      <w:r w:rsidR="00C019EA">
        <w:t>lekseyev and</w:t>
      </w:r>
      <w:r w:rsidR="00C019EA" w:rsidRPr="00C019EA">
        <w:t xml:space="preserve"> </w:t>
      </w:r>
      <w:r w:rsidR="00C019EA">
        <w:t>others</w:t>
      </w:r>
      <w:r w:rsidR="00B72BF4">
        <w:t xml:space="preserve"> </w:t>
      </w:r>
      <w:r w:rsidR="00C019EA" w:rsidRPr="00C019EA">
        <w:t>v. R</w:t>
      </w:r>
      <w:r w:rsidR="00C019EA">
        <w:t xml:space="preserve">ussia, N </w:t>
      </w:r>
      <w:r w:rsidR="00C019EA" w:rsidRPr="00C019EA">
        <w:t>14988/09</w:t>
      </w:r>
      <w:r w:rsidR="00C019EA">
        <w:t xml:space="preserve">, decision of </w:t>
      </w:r>
      <w:r w:rsidR="00C019EA" w:rsidRPr="00C019EA">
        <w:t>06/05/2019</w:t>
      </w:r>
      <w:r w:rsidR="00C019EA" w:rsidRPr="00B72BF4">
        <w:t>.</w:t>
      </w:r>
    </w:p>
  </w:footnote>
  <w:footnote w:id="23">
    <w:p w14:paraId="679C3C6A" w14:textId="5A0AD813" w:rsidR="00A86B40" w:rsidRPr="00531C92" w:rsidRDefault="00A86B40" w:rsidP="00A86B40">
      <w:pPr>
        <w:pStyle w:val="FootnoteText"/>
        <w:rPr>
          <w:szCs w:val="18"/>
        </w:rPr>
      </w:pPr>
      <w:r w:rsidRPr="00531C92">
        <w:rPr>
          <w:szCs w:val="18"/>
        </w:rPr>
        <w:tab/>
      </w:r>
      <w:r w:rsidRPr="00531C92">
        <w:rPr>
          <w:rStyle w:val="FootnoteReference"/>
          <w:szCs w:val="18"/>
        </w:rPr>
        <w:footnoteRef/>
      </w:r>
      <w:r w:rsidRPr="00531C92">
        <w:rPr>
          <w:szCs w:val="18"/>
        </w:rPr>
        <w:tab/>
      </w:r>
      <w:r w:rsidR="005A7962">
        <w:rPr>
          <w:szCs w:val="18"/>
        </w:rPr>
        <w:t xml:space="preserve">General comment </w:t>
      </w:r>
      <w:r w:rsidR="00141CB1">
        <w:rPr>
          <w:szCs w:val="18"/>
        </w:rPr>
        <w:t xml:space="preserve">No. </w:t>
      </w:r>
      <w:r w:rsidR="005A7962">
        <w:rPr>
          <w:szCs w:val="18"/>
        </w:rPr>
        <w:t>37, para</w:t>
      </w:r>
      <w:r w:rsidR="00F00B67">
        <w:rPr>
          <w:szCs w:val="18"/>
        </w:rPr>
        <w:t>.</w:t>
      </w:r>
      <w:r w:rsidR="005A7962">
        <w:rPr>
          <w:szCs w:val="18"/>
        </w:rPr>
        <w:t xml:space="preserve"> 22. </w:t>
      </w:r>
      <w:r w:rsidRPr="00531C92">
        <w:rPr>
          <w:i/>
          <w:szCs w:val="18"/>
        </w:rPr>
        <w:t>Alekseev v. Russian Federation</w:t>
      </w:r>
      <w:r w:rsidRPr="00531C92">
        <w:rPr>
          <w:szCs w:val="18"/>
        </w:rPr>
        <w:t>, para. 9.6.</w:t>
      </w:r>
    </w:p>
  </w:footnote>
  <w:footnote w:id="24">
    <w:p w14:paraId="6FC68E30" w14:textId="0BCE23B7" w:rsidR="00A86B40" w:rsidRPr="00B6367B" w:rsidRDefault="00F00B67" w:rsidP="004718E9">
      <w:pPr>
        <w:pStyle w:val="FootnoteText"/>
        <w:ind w:right="1152"/>
        <w:rPr>
          <w:lang w:val="en-US"/>
        </w:rPr>
      </w:pPr>
      <w:r>
        <w:tab/>
      </w:r>
      <w:r w:rsidR="00A86B40">
        <w:rPr>
          <w:rStyle w:val="FootnoteReference"/>
        </w:rPr>
        <w:footnoteRef/>
      </w:r>
      <w:r>
        <w:tab/>
      </w:r>
      <w:r w:rsidR="00A86B40" w:rsidRPr="00B6367B">
        <w:t xml:space="preserve">General </w:t>
      </w:r>
      <w:r w:rsidR="00E446BD">
        <w:t>c</w:t>
      </w:r>
      <w:r w:rsidR="00A86B40" w:rsidRPr="00B6367B">
        <w:t>omment N</w:t>
      </w:r>
      <w:r w:rsidR="00141CB1">
        <w:t>o.</w:t>
      </w:r>
      <w:r w:rsidR="00A86B40" w:rsidRPr="00B6367B">
        <w:t xml:space="preserve"> 37, para 54</w:t>
      </w:r>
      <w:r w:rsidR="00694DB5">
        <w:t>.</w:t>
      </w:r>
    </w:p>
  </w:footnote>
  <w:footnote w:id="25">
    <w:p w14:paraId="701E5650" w14:textId="6EF06950" w:rsidR="005A7962" w:rsidRPr="004718E9" w:rsidRDefault="00F00B67" w:rsidP="007A0330">
      <w:pPr>
        <w:pStyle w:val="FootnoteText"/>
        <w:rPr>
          <w:lang w:val="en-US"/>
        </w:rPr>
      </w:pPr>
      <w:r>
        <w:tab/>
      </w:r>
      <w:r w:rsidR="005A7962">
        <w:rPr>
          <w:rStyle w:val="FootnoteReference"/>
        </w:rPr>
        <w:footnoteRef/>
      </w:r>
      <w:r>
        <w:tab/>
      </w:r>
      <w:r w:rsidR="005A7962">
        <w:rPr>
          <w:lang w:val="en-US"/>
        </w:rPr>
        <w:t xml:space="preserve">General </w:t>
      </w:r>
      <w:r w:rsidR="005A7962" w:rsidRPr="007A0330">
        <w:t>comment</w:t>
      </w:r>
      <w:r w:rsidR="005A7962">
        <w:rPr>
          <w:lang w:val="en-US"/>
        </w:rPr>
        <w:t xml:space="preserve"> 37, paras 27 and 52.</w:t>
      </w:r>
    </w:p>
  </w:footnote>
  <w:footnote w:id="26">
    <w:p w14:paraId="5B52A131" w14:textId="5F8AF656" w:rsidR="0013409D" w:rsidRPr="004B00B2" w:rsidRDefault="0013409D" w:rsidP="0013409D">
      <w:pPr>
        <w:pStyle w:val="FootnoteText"/>
        <w:rPr>
          <w:lang w:val="en-US"/>
        </w:rPr>
      </w:pPr>
      <w:r>
        <w:tab/>
      </w:r>
      <w:r>
        <w:rPr>
          <w:rStyle w:val="FootnoteReference"/>
        </w:rPr>
        <w:footnoteRef/>
      </w:r>
      <w:r>
        <w:tab/>
        <w:t>Ibid., para 7.</w:t>
      </w:r>
    </w:p>
  </w:footnote>
  <w:footnote w:id="27">
    <w:p w14:paraId="0BF6B5FE" w14:textId="1290F9CE" w:rsidR="00A53AF3" w:rsidRPr="00A53AF3" w:rsidRDefault="00F00B67">
      <w:pPr>
        <w:pStyle w:val="FootnoteText"/>
        <w:rPr>
          <w:lang w:val="en-US"/>
        </w:rPr>
      </w:pPr>
      <w:r>
        <w:tab/>
      </w:r>
      <w:r w:rsidR="00A53AF3">
        <w:rPr>
          <w:rStyle w:val="FootnoteReference"/>
        </w:rPr>
        <w:footnoteRef/>
      </w:r>
      <w:r>
        <w:tab/>
      </w:r>
      <w:r w:rsidR="00A53AF3" w:rsidRPr="004718E9">
        <w:rPr>
          <w:i/>
        </w:rPr>
        <w:t>Alekseev v. Russian Federation</w:t>
      </w:r>
      <w:r w:rsidR="00A53AF3" w:rsidRPr="00A53AF3">
        <w:t xml:space="preserve"> (CCPR/C/109/D/1873/2009), para. 9.6.</w:t>
      </w:r>
    </w:p>
  </w:footnote>
  <w:footnote w:id="28">
    <w:p w14:paraId="1DF95329" w14:textId="6B33C24E" w:rsidR="00A469D3" w:rsidRPr="00694DB5" w:rsidRDefault="00A469D3" w:rsidP="007A0330">
      <w:pPr>
        <w:pStyle w:val="FootnoteText"/>
      </w:pPr>
      <w:r>
        <w:tab/>
      </w:r>
      <w:r>
        <w:rPr>
          <w:rStyle w:val="FootnoteReference"/>
        </w:rPr>
        <w:footnoteRef/>
      </w:r>
      <w:r w:rsidRPr="00694DB5">
        <w:tab/>
        <w:t xml:space="preserve">See </w:t>
      </w:r>
      <w:proofErr w:type="spellStart"/>
      <w:r w:rsidRPr="00694DB5">
        <w:rPr>
          <w:i/>
        </w:rPr>
        <w:t>Toonen</w:t>
      </w:r>
      <w:proofErr w:type="spellEnd"/>
      <w:r w:rsidRPr="00694DB5">
        <w:t xml:space="preserve"> v. </w:t>
      </w:r>
      <w:r w:rsidRPr="00694DB5">
        <w:rPr>
          <w:i/>
        </w:rPr>
        <w:t>Australia</w:t>
      </w:r>
      <w:r w:rsidRPr="00694DB5">
        <w:t xml:space="preserve">, para. 8.7; </w:t>
      </w:r>
      <w:r w:rsidRPr="00694DB5">
        <w:rPr>
          <w:i/>
        </w:rPr>
        <w:t xml:space="preserve">Young </w:t>
      </w:r>
      <w:r w:rsidRPr="00694DB5">
        <w:t xml:space="preserve">v. </w:t>
      </w:r>
      <w:r w:rsidRPr="00694DB5">
        <w:rPr>
          <w:i/>
        </w:rPr>
        <w:t>Australia</w:t>
      </w:r>
      <w:r w:rsidRPr="00694DB5">
        <w:t xml:space="preserve">, para. </w:t>
      </w:r>
      <w:r w:rsidR="00694DB5">
        <w:t>10.4; and communication No. </w:t>
      </w:r>
      <w:r>
        <w:t xml:space="preserve">1361/2005, </w:t>
      </w:r>
      <w:r w:rsidRPr="00EE175F">
        <w:rPr>
          <w:i/>
        </w:rPr>
        <w:t>X.</w:t>
      </w:r>
      <w:r>
        <w:t xml:space="preserve"> v. </w:t>
      </w:r>
      <w:r w:rsidRPr="00EE175F">
        <w:rPr>
          <w:i/>
        </w:rPr>
        <w:t>Colombia</w:t>
      </w:r>
      <w:r>
        <w:t xml:space="preserve">, Views </w:t>
      </w:r>
      <w:r w:rsidRPr="007A0330">
        <w:t>adopted</w:t>
      </w:r>
      <w:r>
        <w:t xml:space="preserve"> on 30 March 2007, para. 7.2.</w:t>
      </w:r>
      <w:r w:rsidRPr="00694DB5">
        <w:t xml:space="preserve"> </w:t>
      </w:r>
    </w:p>
  </w:footnote>
  <w:footnote w:id="29">
    <w:p w14:paraId="5D0ECB37" w14:textId="16D73A95" w:rsidR="00822F16" w:rsidRPr="007C06FC" w:rsidRDefault="00F00B67" w:rsidP="007A0330">
      <w:pPr>
        <w:pStyle w:val="FootnoteText"/>
        <w:rPr>
          <w:lang w:val="en-US"/>
        </w:rPr>
      </w:pPr>
      <w:r>
        <w:tab/>
      </w:r>
      <w:r w:rsidR="00822F16">
        <w:rPr>
          <w:rStyle w:val="FootnoteReference"/>
        </w:rPr>
        <w:footnoteRef/>
      </w:r>
      <w:r>
        <w:tab/>
      </w:r>
      <w:r w:rsidR="00822F16">
        <w:rPr>
          <w:lang w:val="en-US"/>
        </w:rPr>
        <w:t xml:space="preserve">See </w:t>
      </w:r>
      <w:proofErr w:type="spellStart"/>
      <w:r w:rsidR="00822F16" w:rsidRPr="004718E9">
        <w:rPr>
          <w:i/>
          <w:lang w:val="en-US"/>
        </w:rPr>
        <w:t>Nepomnyashchiy</w:t>
      </w:r>
      <w:proofErr w:type="spellEnd"/>
      <w:r w:rsidR="00822F16" w:rsidRPr="004718E9">
        <w:rPr>
          <w:i/>
          <w:lang w:val="en-US"/>
        </w:rPr>
        <w:t xml:space="preserve"> v Russian Federation</w:t>
      </w:r>
      <w:r w:rsidR="00822F16">
        <w:rPr>
          <w:lang w:val="en-US"/>
        </w:rPr>
        <w:t xml:space="preserve"> (</w:t>
      </w:r>
      <w:r w:rsidR="00822F16" w:rsidRPr="00822F16">
        <w:rPr>
          <w:lang w:val="en-US"/>
        </w:rPr>
        <w:t>CCPR/C/123/D/2318/2013</w:t>
      </w:r>
      <w:r w:rsidR="00822F16">
        <w:rPr>
          <w:lang w:val="en-US"/>
        </w:rPr>
        <w:t>), para. 7.3</w:t>
      </w:r>
      <w:r w:rsidR="00694DB5">
        <w:rPr>
          <w:lang w:val="en-US"/>
        </w:rPr>
        <w:t>.</w:t>
      </w:r>
    </w:p>
  </w:footnote>
  <w:footnote w:id="30">
    <w:p w14:paraId="55C38EB1" w14:textId="77777777" w:rsidR="00450134" w:rsidRPr="00796C67" w:rsidRDefault="00450134" w:rsidP="007A0330">
      <w:pPr>
        <w:pStyle w:val="FootnoteText"/>
        <w:rPr>
          <w:highlight w:val="yellow"/>
        </w:rPr>
      </w:pPr>
      <w:r>
        <w:tab/>
      </w:r>
      <w:r w:rsidRPr="00835B38">
        <w:rPr>
          <w:rStyle w:val="FootnoteReference"/>
        </w:rPr>
        <w:footnoteRef/>
      </w:r>
      <w:r w:rsidRPr="00506D5C">
        <w:tab/>
      </w:r>
      <w:r w:rsidRPr="00796C67">
        <w:t xml:space="preserve">See, inter alia, </w:t>
      </w:r>
      <w:proofErr w:type="spellStart"/>
      <w:r w:rsidRPr="00A729B9">
        <w:rPr>
          <w:i/>
        </w:rPr>
        <w:t>Broeks</w:t>
      </w:r>
      <w:proofErr w:type="spellEnd"/>
      <w:r w:rsidRPr="00506D5C">
        <w:rPr>
          <w:i/>
        </w:rPr>
        <w:t xml:space="preserve"> v. </w:t>
      </w:r>
      <w:r w:rsidRPr="00A729B9">
        <w:rPr>
          <w:i/>
        </w:rPr>
        <w:t>Netherlands</w:t>
      </w:r>
      <w:r w:rsidRPr="00506D5C">
        <w:t xml:space="preserve"> (CCPR/C/29/D/172/1984), para. </w:t>
      </w:r>
      <w:r w:rsidRPr="00287B71">
        <w:t xml:space="preserve">13; </w:t>
      </w:r>
      <w:r w:rsidRPr="00287B71">
        <w:rPr>
          <w:i/>
        </w:rPr>
        <w:t>Zwaan-de Vries v. Netherlands</w:t>
      </w:r>
      <w:r w:rsidRPr="00287B71">
        <w:t xml:space="preserve"> (CCPR/C/29/D/182/1984), para. 13; </w:t>
      </w:r>
      <w:r w:rsidRPr="00287B71">
        <w:rPr>
          <w:i/>
        </w:rPr>
        <w:t>Müller and Engelhard v. Namibia</w:t>
      </w:r>
      <w:r w:rsidRPr="00287B71">
        <w:t xml:space="preserve"> (CCPR/C/74/D/919/2000), para 6.7; </w:t>
      </w:r>
      <w:proofErr w:type="spellStart"/>
      <w:r w:rsidRPr="00287B71">
        <w:rPr>
          <w:i/>
        </w:rPr>
        <w:t>Derksen</w:t>
      </w:r>
      <w:proofErr w:type="spellEnd"/>
      <w:r w:rsidRPr="00287B71">
        <w:rPr>
          <w:i/>
        </w:rPr>
        <w:t xml:space="preserve"> v. Netherlands</w:t>
      </w:r>
      <w:r w:rsidRPr="00287B71">
        <w:t xml:space="preserve"> (CCPR/C/80/D/976/2001), para. </w:t>
      </w:r>
      <w:r w:rsidRPr="00796C67">
        <w:t xml:space="preserve">9.2; and </w:t>
      </w:r>
      <w:proofErr w:type="spellStart"/>
      <w:r w:rsidRPr="00A729B9">
        <w:rPr>
          <w:i/>
        </w:rPr>
        <w:t>Fedotova</w:t>
      </w:r>
      <w:proofErr w:type="spellEnd"/>
      <w:r w:rsidRPr="00A729B9">
        <w:rPr>
          <w:i/>
        </w:rPr>
        <w:t xml:space="preserve"> v. Russian Federation</w:t>
      </w:r>
      <w:r w:rsidRPr="00796C67">
        <w:t xml:space="preserve">, para. 10.6. </w:t>
      </w:r>
    </w:p>
  </w:footnote>
  <w:footnote w:id="31">
    <w:p w14:paraId="4A4605E0" w14:textId="77777777" w:rsidR="00450134" w:rsidRPr="00287B71" w:rsidRDefault="00450134" w:rsidP="007A0330">
      <w:pPr>
        <w:pStyle w:val="FootnoteText"/>
        <w:rPr>
          <w:lang w:val="es-ES"/>
        </w:rPr>
      </w:pPr>
      <w:r w:rsidRPr="00796C67">
        <w:tab/>
      </w:r>
      <w:r w:rsidRPr="00835B38">
        <w:rPr>
          <w:rStyle w:val="FootnoteReference"/>
        </w:rPr>
        <w:footnoteRef/>
      </w:r>
      <w:r w:rsidRPr="00796C67">
        <w:tab/>
        <w:t xml:space="preserve">See, inter alia, </w:t>
      </w:r>
      <w:r w:rsidRPr="007A0330">
        <w:t>O’Neill</w:t>
      </w:r>
      <w:r w:rsidRPr="00A729B9">
        <w:rPr>
          <w:i/>
        </w:rPr>
        <w:t xml:space="preserve"> and Quinn</w:t>
      </w:r>
      <w:r w:rsidRPr="00506D5C">
        <w:rPr>
          <w:i/>
        </w:rPr>
        <w:t xml:space="preserve"> v. </w:t>
      </w:r>
      <w:r w:rsidRPr="00A729B9">
        <w:rPr>
          <w:i/>
        </w:rPr>
        <w:t>Ireland</w:t>
      </w:r>
      <w:r w:rsidRPr="00796C67">
        <w:t xml:space="preserve"> (CCPR/C/87/D/1314/2004), para. </w:t>
      </w:r>
      <w:r w:rsidRPr="00287B71">
        <w:rPr>
          <w:lang w:val="es-ES"/>
        </w:rPr>
        <w:t xml:space="preserve">8.3. </w:t>
      </w:r>
    </w:p>
  </w:footnote>
  <w:footnote w:id="32">
    <w:p w14:paraId="32C256E1" w14:textId="1CFFAD86" w:rsidR="00965B24" w:rsidRPr="00F20183" w:rsidRDefault="00694DB5" w:rsidP="00694DB5">
      <w:pPr>
        <w:pStyle w:val="FootnoteText"/>
        <w:rPr>
          <w:lang w:val="en-US"/>
        </w:rPr>
      </w:pPr>
      <w:r>
        <w:tab/>
      </w:r>
      <w:r w:rsidR="00965B24">
        <w:rPr>
          <w:rStyle w:val="FootnoteReference"/>
        </w:rPr>
        <w:footnoteRef/>
      </w:r>
      <w:r>
        <w:tab/>
      </w:r>
      <w:r w:rsidR="00965B24" w:rsidRPr="00F20183">
        <w:t>Alekseev v. Russian Federation, para</w:t>
      </w:r>
      <w:r w:rsidR="00965B24" w:rsidRPr="00EF6FBD">
        <w:t>. 9.6.</w:t>
      </w:r>
    </w:p>
  </w:footnote>
  <w:footnote w:id="33">
    <w:p w14:paraId="1C1A402E" w14:textId="77777777" w:rsidR="00450134" w:rsidRPr="00E85AD3" w:rsidRDefault="00450134" w:rsidP="00450134">
      <w:pPr>
        <w:pStyle w:val="FootnoteText"/>
      </w:pPr>
      <w:r w:rsidRPr="00506D5C">
        <w:rPr>
          <w:lang w:val="en-US"/>
        </w:rPr>
        <w:tab/>
      </w:r>
      <w:r w:rsidRPr="00835B38">
        <w:rPr>
          <w:rStyle w:val="FootnoteReference"/>
        </w:rPr>
        <w:footnoteRef/>
      </w:r>
      <w:r w:rsidRPr="00506D5C">
        <w:tab/>
      </w:r>
      <w:r>
        <w:t xml:space="preserve">See </w:t>
      </w:r>
      <w:r w:rsidRPr="00585B0C">
        <w:t>CCPR/C/RUS/CO/7</w:t>
      </w:r>
      <w:r w:rsidRPr="008B0D24">
        <w:t xml:space="preserve">, para. 10. </w:t>
      </w:r>
      <w:r>
        <w:t>See also</w:t>
      </w:r>
      <w:r w:rsidRPr="008B0D24">
        <w:t xml:space="preserve"> Committee on the Rights of the Child, </w:t>
      </w:r>
      <w:r>
        <w:t>c</w:t>
      </w:r>
      <w:r w:rsidRPr="008B0D24">
        <w:t xml:space="preserve">oncluding observations on the combined fourth and fifth periodic reports of the Russian Federation, </w:t>
      </w:r>
      <w:r>
        <w:t xml:space="preserve">in which the Committee </w:t>
      </w:r>
      <w:r w:rsidRPr="008B0D24">
        <w:t>express</w:t>
      </w:r>
      <w:r>
        <w:t>ed</w:t>
      </w:r>
      <w:r w:rsidRPr="008B0D24">
        <w:t xml:space="preserve"> concern that such laws </w:t>
      </w:r>
      <w:r w:rsidRPr="00E85AD3">
        <w:t>encourage</w:t>
      </w:r>
      <w:r>
        <w:t>d</w:t>
      </w:r>
      <w:r w:rsidRPr="00E85AD3">
        <w:t xml:space="preserve"> the stigmatization of and discrimination against lesbian, gay, bisexual, transgender and intersex persons, including children, and children from lesbian, gay, bisexual, transgender and intersex</w:t>
      </w:r>
      <w:r w:rsidRPr="00E85AD3" w:rsidDel="009159B5">
        <w:t xml:space="preserve"> </w:t>
      </w:r>
      <w:r w:rsidRPr="00E85AD3">
        <w:t>families</w:t>
      </w:r>
      <w:r>
        <w:t>,</w:t>
      </w:r>
      <w:r w:rsidRPr="00E85AD3">
        <w:t xml:space="preserve"> and urg</w:t>
      </w:r>
      <w:r>
        <w:t>ed that such laws be</w:t>
      </w:r>
      <w:r w:rsidRPr="00E85AD3">
        <w:t xml:space="preserve"> repeal</w:t>
      </w:r>
      <w:r>
        <w:t>ed (</w:t>
      </w:r>
      <w:r w:rsidRPr="008B0D24">
        <w:t>CRC/C/RUS/CO/4-5, paras. 24</w:t>
      </w:r>
      <w:r>
        <w:t>−</w:t>
      </w:r>
      <w:r w:rsidRPr="008B0D24">
        <w:t>25</w:t>
      </w:r>
      <w:r>
        <w:t>).</w:t>
      </w:r>
    </w:p>
  </w:footnote>
  <w:footnote w:id="34">
    <w:p w14:paraId="04DE05E8" w14:textId="77777777" w:rsidR="00EC4F10" w:rsidRPr="0063737C" w:rsidRDefault="00EC4F10" w:rsidP="00EC4F10">
      <w:pPr>
        <w:pStyle w:val="FootnoteText"/>
      </w:pPr>
      <w:r>
        <w:tab/>
      </w:r>
      <w:r w:rsidRPr="003B10B9">
        <w:rPr>
          <w:vertAlign w:val="superscript"/>
        </w:rPr>
        <w:footnoteRef/>
      </w:r>
      <w:r w:rsidRPr="003B10B9">
        <w:rPr>
          <w:vertAlign w:val="superscript"/>
        </w:rPr>
        <w:t xml:space="preserve"> </w:t>
      </w:r>
      <w:r>
        <w:tab/>
      </w:r>
      <w:r w:rsidRPr="0060279F">
        <w:t>Human Rights Committee, Rule</w:t>
      </w:r>
      <w:r>
        <w:t>s</w:t>
      </w:r>
      <w:r w:rsidRPr="0060279F">
        <w:t xml:space="preserve"> of Procedure, Rule 99(c). But see</w:t>
      </w:r>
      <w:r w:rsidRPr="0060279F">
        <w:rPr>
          <w:color w:val="000000"/>
        </w:rPr>
        <w:t xml:space="preserve"> Communication No. 367/</w:t>
      </w:r>
      <w:r w:rsidRPr="0063737C">
        <w:t>1989, J.J.C. v. Canada, Views of the Committee of 5 November 1991, at para 5.2; Communication No. 167/1984, Lubicon Lake Band v. Canada, Views of the Committee of 26 March 1990, at para. 32.3.</w:t>
      </w:r>
    </w:p>
  </w:footnote>
  <w:footnote w:id="35">
    <w:p w14:paraId="549553D8" w14:textId="77777777" w:rsidR="00EC4F10" w:rsidRPr="0063737C" w:rsidRDefault="00EC4F10" w:rsidP="00EC4F10">
      <w:pPr>
        <w:pStyle w:val="FootnoteText"/>
      </w:pPr>
      <w:r>
        <w:tab/>
      </w:r>
      <w:r w:rsidRPr="003B10B9">
        <w:rPr>
          <w:rStyle w:val="FootnoteReference"/>
          <w:rFonts w:asciiTheme="minorBidi" w:hAnsiTheme="minorBidi"/>
          <w:color w:val="000000" w:themeColor="text1"/>
        </w:rPr>
        <w:footnoteRef/>
      </w:r>
      <w:r w:rsidRPr="0063737C">
        <w:t xml:space="preserve"> </w:t>
      </w:r>
      <w:r>
        <w:tab/>
      </w:r>
      <w:r w:rsidRPr="0063737C">
        <w:rPr>
          <w:i/>
          <w:iCs/>
        </w:rPr>
        <w:t xml:space="preserve">Cf. </w:t>
      </w:r>
      <w:r w:rsidRPr="0063737C">
        <w:t xml:space="preserve">Alexandre Kiss, </w:t>
      </w:r>
      <w:r w:rsidRPr="0063737C">
        <w:rPr>
          <w:rStyle w:val="itemtitle"/>
          <w:rFonts w:asciiTheme="minorBidi" w:hAnsiTheme="minorBidi"/>
          <w:color w:val="000000" w:themeColor="text1"/>
        </w:rPr>
        <w:t>Abuse of Rights, in M</w:t>
      </w:r>
      <w:r w:rsidRPr="0063737C">
        <w:rPr>
          <w:shd w:val="clear" w:color="auto" w:fill="FFFFFF"/>
        </w:rPr>
        <w:t xml:space="preserve">ax Planck </w:t>
      </w:r>
      <w:proofErr w:type="spellStart"/>
      <w:r w:rsidRPr="0063737C">
        <w:rPr>
          <w:shd w:val="clear" w:color="auto" w:fill="FFFFFF"/>
        </w:rPr>
        <w:t>Encyclopedias</w:t>
      </w:r>
      <w:proofErr w:type="spellEnd"/>
      <w:r w:rsidRPr="0063737C">
        <w:rPr>
          <w:shd w:val="clear" w:color="auto" w:fill="FFFFFF"/>
        </w:rPr>
        <w:t xml:space="preserve"> of International Law [MPIL] (Online, 2006).</w:t>
      </w:r>
    </w:p>
    <w:p w14:paraId="7FBE7901" w14:textId="77777777" w:rsidR="00EC4F10" w:rsidRDefault="00EC4F10" w:rsidP="00EC4F10">
      <w:pPr>
        <w:pStyle w:val="FootnoteText"/>
        <w:rPr>
          <w:rFonts w:ascii="Arial" w:hAnsi="Arial" w:cs="Arial"/>
          <w:color w:val="22366F"/>
          <w:sz w:val="31"/>
          <w:szCs w:val="31"/>
        </w:rPr>
      </w:pPr>
    </w:p>
    <w:p w14:paraId="49351F03" w14:textId="77777777" w:rsidR="00EC4F10" w:rsidRPr="0063737C" w:rsidRDefault="00EC4F10" w:rsidP="00EC4F1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CE037" w14:textId="6A951297" w:rsidR="007A0330" w:rsidRPr="009E2CF9" w:rsidRDefault="00D26495" w:rsidP="00A8132E">
    <w:pPr>
      <w:pStyle w:val="Header"/>
    </w:pPr>
    <w:r w:rsidRPr="00D26495">
      <w:t>Advance unedited version</w:t>
    </w:r>
    <w:r>
      <w:t xml:space="preserve"> </w:t>
    </w:r>
    <w:r w:rsidR="007A0330" w:rsidRPr="009E2CF9">
      <w:t>CCPR/C</w:t>
    </w:r>
    <w:r w:rsidR="007A0330">
      <w:t>/</w:t>
    </w:r>
    <w:r w:rsidR="007A0330" w:rsidRPr="009E2CF9">
      <w:t>1</w:t>
    </w:r>
    <w:r w:rsidR="00ED4172">
      <w:t>30</w:t>
    </w:r>
    <w:r w:rsidR="007A0330" w:rsidRPr="009E2CF9">
      <w:t>/D</w:t>
    </w:r>
    <w:r w:rsidR="007A0330">
      <w:t>/</w:t>
    </w:r>
    <w:r w:rsidR="00ED4172">
      <w:t>2757/2016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EB7CD" w14:textId="73F71C25" w:rsidR="008C6CEE" w:rsidRPr="009E2CF9" w:rsidRDefault="00D26495">
    <w:pPr>
      <w:pStyle w:val="Header"/>
      <w:jc w:val="right"/>
    </w:pPr>
    <w:r w:rsidRPr="00D26495">
      <w:t>Advance unedited version</w:t>
    </w:r>
    <w:r>
      <w:t xml:space="preserve"> </w:t>
    </w:r>
    <w:r w:rsidR="008C6CEE" w:rsidRPr="009E2CF9">
      <w:t>CCPR/C/1</w:t>
    </w:r>
    <w:r w:rsidR="00ED4172">
      <w:t>30</w:t>
    </w:r>
    <w:r w:rsidR="008C6CEE" w:rsidRPr="009E2CF9">
      <w:t>/D</w:t>
    </w:r>
    <w:r w:rsidR="008C6CEE">
      <w:t>/</w:t>
    </w:r>
    <w:r w:rsidR="00ED4172">
      <w:t>2757/2016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88FC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4C6FC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BDF7BDE"/>
    <w:multiLevelType w:val="hybridMultilevel"/>
    <w:tmpl w:val="11F2C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D12914"/>
    <w:multiLevelType w:val="hybridMultilevel"/>
    <w:tmpl w:val="4282D898"/>
    <w:lvl w:ilvl="0" w:tplc="08090001">
      <w:start w:val="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B44E7E"/>
    <w:multiLevelType w:val="hybridMultilevel"/>
    <w:tmpl w:val="28103E68"/>
    <w:lvl w:ilvl="0" w:tplc="D5966070">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78703ABA"/>
    <w:multiLevelType w:val="multilevel"/>
    <w:tmpl w:val="0809001D"/>
    <w:styleLink w:val="1a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8"/>
  </w:num>
  <w:num w:numId="15">
    <w:abstractNumId w:val="12"/>
  </w:num>
  <w:num w:numId="16">
    <w:abstractNumId w:val="11"/>
  </w:num>
  <w:num w:numId="17">
    <w:abstractNumId w:val="17"/>
  </w:num>
  <w:num w:numId="18">
    <w:abstractNumId w:val="19"/>
  </w:num>
  <w:num w:numId="19">
    <w:abstractNumId w:val="16"/>
  </w:num>
  <w:num w:numId="20">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s-CL" w:vendorID="64" w:dllVersion="6" w:nlCheck="1" w:checkStyle="0"/>
  <w:activeWritingStyle w:appName="MSWord" w:lang="es-E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fr-CH" w:vendorID="64" w:dllVersion="6" w:nlCheck="1" w:checkStyle="0"/>
  <w:activeWritingStyle w:appName="MSWord" w:lang="es-ES" w:vendorID="64" w:dllVersion="4096" w:nlCheck="1" w:checkStyle="0"/>
  <w:activeWritingStyle w:appName="MSWord" w:lang="fr-CH" w:vendorID="64" w:dllVersion="4096" w:nlCheck="1" w:checkStyle="0"/>
  <w:activeWritingStyle w:appName="MSWord" w:lang="en-GB" w:vendorID="64" w:dllVersion="0" w:nlCheck="1" w:checkStyle="0"/>
  <w:activeWritingStyle w:appName="MSWord" w:lang="fr-FR" w:vendorID="64" w:dllVersion="4096" w:nlCheck="1" w:checkStyle="0"/>
  <w:activeWritingStyle w:appName="MSWord" w:lang="fr-FR" w:vendorID="64" w:dllVersion="6"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FDC"/>
    <w:rsid w:val="00001C60"/>
    <w:rsid w:val="000067F4"/>
    <w:rsid w:val="00007338"/>
    <w:rsid w:val="000078CA"/>
    <w:rsid w:val="00013BD4"/>
    <w:rsid w:val="00023265"/>
    <w:rsid w:val="00023602"/>
    <w:rsid w:val="00030724"/>
    <w:rsid w:val="00030A15"/>
    <w:rsid w:val="0004007E"/>
    <w:rsid w:val="00041A91"/>
    <w:rsid w:val="00050F6B"/>
    <w:rsid w:val="00052159"/>
    <w:rsid w:val="000531F3"/>
    <w:rsid w:val="0005487E"/>
    <w:rsid w:val="00056BE3"/>
    <w:rsid w:val="00057DF4"/>
    <w:rsid w:val="00057E97"/>
    <w:rsid w:val="00060188"/>
    <w:rsid w:val="000607D1"/>
    <w:rsid w:val="00060B0C"/>
    <w:rsid w:val="00060C3A"/>
    <w:rsid w:val="00064776"/>
    <w:rsid w:val="00064FB3"/>
    <w:rsid w:val="00066E70"/>
    <w:rsid w:val="000726BE"/>
    <w:rsid w:val="00072C8C"/>
    <w:rsid w:val="000733B5"/>
    <w:rsid w:val="0007359B"/>
    <w:rsid w:val="000764E4"/>
    <w:rsid w:val="00077342"/>
    <w:rsid w:val="00081815"/>
    <w:rsid w:val="0008312D"/>
    <w:rsid w:val="000852E1"/>
    <w:rsid w:val="00086B35"/>
    <w:rsid w:val="00087FBA"/>
    <w:rsid w:val="00092B09"/>
    <w:rsid w:val="000931C0"/>
    <w:rsid w:val="0009778C"/>
    <w:rsid w:val="00097DE3"/>
    <w:rsid w:val="00097FDC"/>
    <w:rsid w:val="000A5960"/>
    <w:rsid w:val="000B175B"/>
    <w:rsid w:val="000B3A0F"/>
    <w:rsid w:val="000B4EF7"/>
    <w:rsid w:val="000B5698"/>
    <w:rsid w:val="000B6C86"/>
    <w:rsid w:val="000C2C03"/>
    <w:rsid w:val="000C2D2E"/>
    <w:rsid w:val="000C6A8E"/>
    <w:rsid w:val="000D113C"/>
    <w:rsid w:val="000E0415"/>
    <w:rsid w:val="000E709D"/>
    <w:rsid w:val="000F0C58"/>
    <w:rsid w:val="000F7797"/>
    <w:rsid w:val="000F79FA"/>
    <w:rsid w:val="0010191D"/>
    <w:rsid w:val="00101FDF"/>
    <w:rsid w:val="0010485D"/>
    <w:rsid w:val="001103AA"/>
    <w:rsid w:val="00112DEA"/>
    <w:rsid w:val="00113117"/>
    <w:rsid w:val="001200E4"/>
    <w:rsid w:val="00126D05"/>
    <w:rsid w:val="0013115C"/>
    <w:rsid w:val="0013409D"/>
    <w:rsid w:val="00136C64"/>
    <w:rsid w:val="00141CB1"/>
    <w:rsid w:val="0014202F"/>
    <w:rsid w:val="00145BCF"/>
    <w:rsid w:val="00145FB6"/>
    <w:rsid w:val="0015454C"/>
    <w:rsid w:val="001549D9"/>
    <w:rsid w:val="00155D8C"/>
    <w:rsid w:val="001566FE"/>
    <w:rsid w:val="00157D3A"/>
    <w:rsid w:val="00162282"/>
    <w:rsid w:val="00165F3A"/>
    <w:rsid w:val="001778A6"/>
    <w:rsid w:val="00183968"/>
    <w:rsid w:val="00190233"/>
    <w:rsid w:val="001933D3"/>
    <w:rsid w:val="001A0346"/>
    <w:rsid w:val="001A12D1"/>
    <w:rsid w:val="001A1488"/>
    <w:rsid w:val="001A4ADD"/>
    <w:rsid w:val="001A57AF"/>
    <w:rsid w:val="001A5A7E"/>
    <w:rsid w:val="001A6686"/>
    <w:rsid w:val="001A693D"/>
    <w:rsid w:val="001B017F"/>
    <w:rsid w:val="001B12DF"/>
    <w:rsid w:val="001B4B04"/>
    <w:rsid w:val="001B4EB4"/>
    <w:rsid w:val="001B5196"/>
    <w:rsid w:val="001C6663"/>
    <w:rsid w:val="001C7895"/>
    <w:rsid w:val="001D0655"/>
    <w:rsid w:val="001D0C8C"/>
    <w:rsid w:val="001D115D"/>
    <w:rsid w:val="001D26DF"/>
    <w:rsid w:val="001D3A03"/>
    <w:rsid w:val="001E14AF"/>
    <w:rsid w:val="001E5553"/>
    <w:rsid w:val="001E5737"/>
    <w:rsid w:val="001F144C"/>
    <w:rsid w:val="001F20C3"/>
    <w:rsid w:val="001F2A7F"/>
    <w:rsid w:val="001F305A"/>
    <w:rsid w:val="001F6419"/>
    <w:rsid w:val="001F6467"/>
    <w:rsid w:val="00200383"/>
    <w:rsid w:val="00202DA8"/>
    <w:rsid w:val="00211E0B"/>
    <w:rsid w:val="00212750"/>
    <w:rsid w:val="0021352A"/>
    <w:rsid w:val="00216287"/>
    <w:rsid w:val="00220FE6"/>
    <w:rsid w:val="002216E8"/>
    <w:rsid w:val="0023210C"/>
    <w:rsid w:val="00242AD8"/>
    <w:rsid w:val="00242E95"/>
    <w:rsid w:val="00251004"/>
    <w:rsid w:val="00251E11"/>
    <w:rsid w:val="00253341"/>
    <w:rsid w:val="00260FEC"/>
    <w:rsid w:val="00264000"/>
    <w:rsid w:val="002653E3"/>
    <w:rsid w:val="00267CD1"/>
    <w:rsid w:val="00267F5F"/>
    <w:rsid w:val="00270876"/>
    <w:rsid w:val="002764FC"/>
    <w:rsid w:val="002803A2"/>
    <w:rsid w:val="0028434D"/>
    <w:rsid w:val="00286B4D"/>
    <w:rsid w:val="00287B71"/>
    <w:rsid w:val="00287DF0"/>
    <w:rsid w:val="002937F7"/>
    <w:rsid w:val="00293B2D"/>
    <w:rsid w:val="00295241"/>
    <w:rsid w:val="002957FD"/>
    <w:rsid w:val="002977EE"/>
    <w:rsid w:val="002A1B22"/>
    <w:rsid w:val="002A2168"/>
    <w:rsid w:val="002A4952"/>
    <w:rsid w:val="002A6DF6"/>
    <w:rsid w:val="002B6CEB"/>
    <w:rsid w:val="002B7AA3"/>
    <w:rsid w:val="002C3B8F"/>
    <w:rsid w:val="002C7F3A"/>
    <w:rsid w:val="002D1A22"/>
    <w:rsid w:val="002D1CD5"/>
    <w:rsid w:val="002D473D"/>
    <w:rsid w:val="002D4F83"/>
    <w:rsid w:val="002E6D85"/>
    <w:rsid w:val="002F0CEE"/>
    <w:rsid w:val="002F175C"/>
    <w:rsid w:val="002F3B05"/>
    <w:rsid w:val="002F7A52"/>
    <w:rsid w:val="00304074"/>
    <w:rsid w:val="00304857"/>
    <w:rsid w:val="003153A6"/>
    <w:rsid w:val="0031593D"/>
    <w:rsid w:val="00321AE0"/>
    <w:rsid w:val="003229D8"/>
    <w:rsid w:val="00323A26"/>
    <w:rsid w:val="00323ECC"/>
    <w:rsid w:val="003274F7"/>
    <w:rsid w:val="00330940"/>
    <w:rsid w:val="0033698C"/>
    <w:rsid w:val="00343AB0"/>
    <w:rsid w:val="003519C8"/>
    <w:rsid w:val="00351A09"/>
    <w:rsid w:val="00352709"/>
    <w:rsid w:val="00353530"/>
    <w:rsid w:val="00354A1E"/>
    <w:rsid w:val="00355EB4"/>
    <w:rsid w:val="00361FBC"/>
    <w:rsid w:val="00363B99"/>
    <w:rsid w:val="003648C8"/>
    <w:rsid w:val="00365D0E"/>
    <w:rsid w:val="00365D47"/>
    <w:rsid w:val="00367567"/>
    <w:rsid w:val="00371178"/>
    <w:rsid w:val="0037667C"/>
    <w:rsid w:val="00376752"/>
    <w:rsid w:val="00376C0B"/>
    <w:rsid w:val="003805F3"/>
    <w:rsid w:val="003A361E"/>
    <w:rsid w:val="003A3D7B"/>
    <w:rsid w:val="003A6810"/>
    <w:rsid w:val="003A6FCF"/>
    <w:rsid w:val="003B5506"/>
    <w:rsid w:val="003B5D6B"/>
    <w:rsid w:val="003C2CC4"/>
    <w:rsid w:val="003C557E"/>
    <w:rsid w:val="003C5EE1"/>
    <w:rsid w:val="003C6596"/>
    <w:rsid w:val="003D4A37"/>
    <w:rsid w:val="003D4B23"/>
    <w:rsid w:val="003E098C"/>
    <w:rsid w:val="003E0E17"/>
    <w:rsid w:val="003E12EC"/>
    <w:rsid w:val="003E17A4"/>
    <w:rsid w:val="003E3616"/>
    <w:rsid w:val="003F4550"/>
    <w:rsid w:val="003F78B6"/>
    <w:rsid w:val="0040168F"/>
    <w:rsid w:val="00403480"/>
    <w:rsid w:val="00403A60"/>
    <w:rsid w:val="00403FBE"/>
    <w:rsid w:val="004053FF"/>
    <w:rsid w:val="00406E0A"/>
    <w:rsid w:val="00407F60"/>
    <w:rsid w:val="00410C89"/>
    <w:rsid w:val="00413AC1"/>
    <w:rsid w:val="00423125"/>
    <w:rsid w:val="00426B9B"/>
    <w:rsid w:val="00430D40"/>
    <w:rsid w:val="004325CB"/>
    <w:rsid w:val="00434454"/>
    <w:rsid w:val="00436B33"/>
    <w:rsid w:val="00442A83"/>
    <w:rsid w:val="0044522B"/>
    <w:rsid w:val="00450134"/>
    <w:rsid w:val="00452110"/>
    <w:rsid w:val="0045495B"/>
    <w:rsid w:val="00455F77"/>
    <w:rsid w:val="00467C38"/>
    <w:rsid w:val="004702C8"/>
    <w:rsid w:val="004718E9"/>
    <w:rsid w:val="00474247"/>
    <w:rsid w:val="00474364"/>
    <w:rsid w:val="00477F06"/>
    <w:rsid w:val="00485AD9"/>
    <w:rsid w:val="00487488"/>
    <w:rsid w:val="00496626"/>
    <w:rsid w:val="004A3933"/>
    <w:rsid w:val="004A43EB"/>
    <w:rsid w:val="004A6EFC"/>
    <w:rsid w:val="004C2D9E"/>
    <w:rsid w:val="004E1317"/>
    <w:rsid w:val="004E7066"/>
    <w:rsid w:val="004E796E"/>
    <w:rsid w:val="004E7CD7"/>
    <w:rsid w:val="00502A0D"/>
    <w:rsid w:val="00503E6B"/>
    <w:rsid w:val="005040A6"/>
    <w:rsid w:val="00513786"/>
    <w:rsid w:val="005138C2"/>
    <w:rsid w:val="00513B80"/>
    <w:rsid w:val="0052136D"/>
    <w:rsid w:val="00521D0F"/>
    <w:rsid w:val="005255F9"/>
    <w:rsid w:val="005264A5"/>
    <w:rsid w:val="0052708B"/>
    <w:rsid w:val="0052775E"/>
    <w:rsid w:val="005302C0"/>
    <w:rsid w:val="00530A65"/>
    <w:rsid w:val="00531ED3"/>
    <w:rsid w:val="00532534"/>
    <w:rsid w:val="00536CE3"/>
    <w:rsid w:val="00541B32"/>
    <w:rsid w:val="005420F2"/>
    <w:rsid w:val="005449E3"/>
    <w:rsid w:val="00546E12"/>
    <w:rsid w:val="00547BDA"/>
    <w:rsid w:val="00547DD5"/>
    <w:rsid w:val="00550D64"/>
    <w:rsid w:val="0055394B"/>
    <w:rsid w:val="00553AB5"/>
    <w:rsid w:val="005616BF"/>
    <w:rsid w:val="005628B6"/>
    <w:rsid w:val="00567D9E"/>
    <w:rsid w:val="00571A10"/>
    <w:rsid w:val="0057440D"/>
    <w:rsid w:val="00577770"/>
    <w:rsid w:val="00577915"/>
    <w:rsid w:val="005836A6"/>
    <w:rsid w:val="00583A61"/>
    <w:rsid w:val="005845BF"/>
    <w:rsid w:val="005848B3"/>
    <w:rsid w:val="00590A14"/>
    <w:rsid w:val="00590C5C"/>
    <w:rsid w:val="00593E99"/>
    <w:rsid w:val="0059664A"/>
    <w:rsid w:val="00597051"/>
    <w:rsid w:val="005977E4"/>
    <w:rsid w:val="005A1EDC"/>
    <w:rsid w:val="005A6B38"/>
    <w:rsid w:val="005A7962"/>
    <w:rsid w:val="005B34D3"/>
    <w:rsid w:val="005B3A5A"/>
    <w:rsid w:val="005B3DB3"/>
    <w:rsid w:val="005C3286"/>
    <w:rsid w:val="005C406B"/>
    <w:rsid w:val="005C6DD1"/>
    <w:rsid w:val="005D0AAE"/>
    <w:rsid w:val="005D7178"/>
    <w:rsid w:val="005E0233"/>
    <w:rsid w:val="005E3CD3"/>
    <w:rsid w:val="005F68A3"/>
    <w:rsid w:val="005F7717"/>
    <w:rsid w:val="005F7B75"/>
    <w:rsid w:val="006001EE"/>
    <w:rsid w:val="00603116"/>
    <w:rsid w:val="00605042"/>
    <w:rsid w:val="00605288"/>
    <w:rsid w:val="00611FC4"/>
    <w:rsid w:val="006161B0"/>
    <w:rsid w:val="006176FB"/>
    <w:rsid w:val="00626E15"/>
    <w:rsid w:val="006304A4"/>
    <w:rsid w:val="0063197C"/>
    <w:rsid w:val="00634A7D"/>
    <w:rsid w:val="00640B26"/>
    <w:rsid w:val="006445C2"/>
    <w:rsid w:val="00652D0A"/>
    <w:rsid w:val="00655E0F"/>
    <w:rsid w:val="0066145D"/>
    <w:rsid w:val="00662867"/>
    <w:rsid w:val="00662A70"/>
    <w:rsid w:val="00662BB6"/>
    <w:rsid w:val="00665BA8"/>
    <w:rsid w:val="00666E5A"/>
    <w:rsid w:val="00671FEF"/>
    <w:rsid w:val="00683343"/>
    <w:rsid w:val="00684C21"/>
    <w:rsid w:val="00694DB5"/>
    <w:rsid w:val="006962A3"/>
    <w:rsid w:val="00697E13"/>
    <w:rsid w:val="006A1402"/>
    <w:rsid w:val="006A5E6C"/>
    <w:rsid w:val="006A71B9"/>
    <w:rsid w:val="006B4A9B"/>
    <w:rsid w:val="006C0238"/>
    <w:rsid w:val="006C3F18"/>
    <w:rsid w:val="006C6311"/>
    <w:rsid w:val="006D37AF"/>
    <w:rsid w:val="006D4525"/>
    <w:rsid w:val="006D51D0"/>
    <w:rsid w:val="006D7F0B"/>
    <w:rsid w:val="006E564B"/>
    <w:rsid w:val="006E7191"/>
    <w:rsid w:val="006F3376"/>
    <w:rsid w:val="006F6B02"/>
    <w:rsid w:val="006F7BEF"/>
    <w:rsid w:val="00701F1D"/>
    <w:rsid w:val="0070330A"/>
    <w:rsid w:val="00703577"/>
    <w:rsid w:val="00707FB6"/>
    <w:rsid w:val="00720A7F"/>
    <w:rsid w:val="00720FA9"/>
    <w:rsid w:val="00721C6C"/>
    <w:rsid w:val="0072632A"/>
    <w:rsid w:val="007327D5"/>
    <w:rsid w:val="00734F78"/>
    <w:rsid w:val="00740D0E"/>
    <w:rsid w:val="00741B9B"/>
    <w:rsid w:val="0075040F"/>
    <w:rsid w:val="007526C5"/>
    <w:rsid w:val="0075578A"/>
    <w:rsid w:val="0076244F"/>
    <w:rsid w:val="007629C8"/>
    <w:rsid w:val="00764A42"/>
    <w:rsid w:val="00772451"/>
    <w:rsid w:val="00785C4B"/>
    <w:rsid w:val="00790F30"/>
    <w:rsid w:val="00793899"/>
    <w:rsid w:val="007A0330"/>
    <w:rsid w:val="007A13AE"/>
    <w:rsid w:val="007B10E1"/>
    <w:rsid w:val="007B6BA5"/>
    <w:rsid w:val="007B7AB4"/>
    <w:rsid w:val="007C06FC"/>
    <w:rsid w:val="007C180E"/>
    <w:rsid w:val="007C3390"/>
    <w:rsid w:val="007C4F4B"/>
    <w:rsid w:val="007C6F25"/>
    <w:rsid w:val="007C784F"/>
    <w:rsid w:val="007D4AB8"/>
    <w:rsid w:val="007E0B2D"/>
    <w:rsid w:val="007E2E49"/>
    <w:rsid w:val="007F0358"/>
    <w:rsid w:val="007F12CD"/>
    <w:rsid w:val="007F5455"/>
    <w:rsid w:val="007F6611"/>
    <w:rsid w:val="007F79E6"/>
    <w:rsid w:val="008010E5"/>
    <w:rsid w:val="0080184A"/>
    <w:rsid w:val="008034DF"/>
    <w:rsid w:val="00806AD6"/>
    <w:rsid w:val="00810D58"/>
    <w:rsid w:val="00813F15"/>
    <w:rsid w:val="0081425B"/>
    <w:rsid w:val="008142F3"/>
    <w:rsid w:val="00815D24"/>
    <w:rsid w:val="00816319"/>
    <w:rsid w:val="008212C9"/>
    <w:rsid w:val="00822F16"/>
    <w:rsid w:val="008242D7"/>
    <w:rsid w:val="008244A8"/>
    <w:rsid w:val="008257B1"/>
    <w:rsid w:val="00836DEA"/>
    <w:rsid w:val="00842656"/>
    <w:rsid w:val="00843767"/>
    <w:rsid w:val="00847E53"/>
    <w:rsid w:val="00864C53"/>
    <w:rsid w:val="008679D9"/>
    <w:rsid w:val="0087353A"/>
    <w:rsid w:val="00873AF2"/>
    <w:rsid w:val="00874AC8"/>
    <w:rsid w:val="00876969"/>
    <w:rsid w:val="00881A97"/>
    <w:rsid w:val="008832D6"/>
    <w:rsid w:val="00883BD3"/>
    <w:rsid w:val="008851B7"/>
    <w:rsid w:val="00886C93"/>
    <w:rsid w:val="0089204B"/>
    <w:rsid w:val="008979B1"/>
    <w:rsid w:val="008A1DB2"/>
    <w:rsid w:val="008A6B25"/>
    <w:rsid w:val="008A6C4F"/>
    <w:rsid w:val="008B13B5"/>
    <w:rsid w:val="008B2335"/>
    <w:rsid w:val="008B4CA6"/>
    <w:rsid w:val="008B5D32"/>
    <w:rsid w:val="008C00E7"/>
    <w:rsid w:val="008C0761"/>
    <w:rsid w:val="008C1845"/>
    <w:rsid w:val="008C25A9"/>
    <w:rsid w:val="008C4CCB"/>
    <w:rsid w:val="008C6CEE"/>
    <w:rsid w:val="008D1724"/>
    <w:rsid w:val="008D1E62"/>
    <w:rsid w:val="008D30DE"/>
    <w:rsid w:val="008D3B59"/>
    <w:rsid w:val="008D4A38"/>
    <w:rsid w:val="008D5EB9"/>
    <w:rsid w:val="008D6B2F"/>
    <w:rsid w:val="008D6FE5"/>
    <w:rsid w:val="008D72B0"/>
    <w:rsid w:val="008E0678"/>
    <w:rsid w:val="008E5BA2"/>
    <w:rsid w:val="008F1636"/>
    <w:rsid w:val="008F1CE4"/>
    <w:rsid w:val="008F1DE5"/>
    <w:rsid w:val="008F2DB6"/>
    <w:rsid w:val="008F39C7"/>
    <w:rsid w:val="008F6296"/>
    <w:rsid w:val="008F748D"/>
    <w:rsid w:val="00904215"/>
    <w:rsid w:val="00910F40"/>
    <w:rsid w:val="0091168A"/>
    <w:rsid w:val="00912C08"/>
    <w:rsid w:val="00914D38"/>
    <w:rsid w:val="0091523A"/>
    <w:rsid w:val="00920078"/>
    <w:rsid w:val="00921C29"/>
    <w:rsid w:val="009223CA"/>
    <w:rsid w:val="0092313E"/>
    <w:rsid w:val="00923D22"/>
    <w:rsid w:val="00925430"/>
    <w:rsid w:val="009258A7"/>
    <w:rsid w:val="0093036A"/>
    <w:rsid w:val="00933B09"/>
    <w:rsid w:val="009356B3"/>
    <w:rsid w:val="00935AE3"/>
    <w:rsid w:val="00940F93"/>
    <w:rsid w:val="009429DC"/>
    <w:rsid w:val="00945049"/>
    <w:rsid w:val="00945C09"/>
    <w:rsid w:val="00945EFD"/>
    <w:rsid w:val="0094718D"/>
    <w:rsid w:val="00951269"/>
    <w:rsid w:val="0095347F"/>
    <w:rsid w:val="00955882"/>
    <w:rsid w:val="00965B24"/>
    <w:rsid w:val="00970761"/>
    <w:rsid w:val="0097120D"/>
    <w:rsid w:val="00971254"/>
    <w:rsid w:val="00971497"/>
    <w:rsid w:val="009725D9"/>
    <w:rsid w:val="00972DB1"/>
    <w:rsid w:val="009760F3"/>
    <w:rsid w:val="00983D92"/>
    <w:rsid w:val="00990001"/>
    <w:rsid w:val="009909F5"/>
    <w:rsid w:val="00992402"/>
    <w:rsid w:val="009932FC"/>
    <w:rsid w:val="00993E67"/>
    <w:rsid w:val="009949D5"/>
    <w:rsid w:val="00994B16"/>
    <w:rsid w:val="00997400"/>
    <w:rsid w:val="009A0D74"/>
    <w:rsid w:val="009A0E8D"/>
    <w:rsid w:val="009A4916"/>
    <w:rsid w:val="009A7097"/>
    <w:rsid w:val="009B26E7"/>
    <w:rsid w:val="009B26F6"/>
    <w:rsid w:val="009B4123"/>
    <w:rsid w:val="009B4C88"/>
    <w:rsid w:val="009B4E8E"/>
    <w:rsid w:val="009C5BB1"/>
    <w:rsid w:val="009D6778"/>
    <w:rsid w:val="009D7572"/>
    <w:rsid w:val="009E091A"/>
    <w:rsid w:val="009E2CF9"/>
    <w:rsid w:val="009F1B75"/>
    <w:rsid w:val="009F384A"/>
    <w:rsid w:val="009F4092"/>
    <w:rsid w:val="009F584B"/>
    <w:rsid w:val="00A00A3F"/>
    <w:rsid w:val="00A01200"/>
    <w:rsid w:val="00A01489"/>
    <w:rsid w:val="00A031D5"/>
    <w:rsid w:val="00A06CE0"/>
    <w:rsid w:val="00A13471"/>
    <w:rsid w:val="00A2294B"/>
    <w:rsid w:val="00A302E0"/>
    <w:rsid w:val="00A31B6F"/>
    <w:rsid w:val="00A338F1"/>
    <w:rsid w:val="00A33B24"/>
    <w:rsid w:val="00A34950"/>
    <w:rsid w:val="00A37162"/>
    <w:rsid w:val="00A37D33"/>
    <w:rsid w:val="00A43CF5"/>
    <w:rsid w:val="00A451DE"/>
    <w:rsid w:val="00A469D3"/>
    <w:rsid w:val="00A533DE"/>
    <w:rsid w:val="00A53AF3"/>
    <w:rsid w:val="00A5407A"/>
    <w:rsid w:val="00A552C4"/>
    <w:rsid w:val="00A609B0"/>
    <w:rsid w:val="00A64FD8"/>
    <w:rsid w:val="00A65044"/>
    <w:rsid w:val="00A66E99"/>
    <w:rsid w:val="00A676F2"/>
    <w:rsid w:val="00A71563"/>
    <w:rsid w:val="00A722CF"/>
    <w:rsid w:val="00A72F22"/>
    <w:rsid w:val="00A7360F"/>
    <w:rsid w:val="00A748A6"/>
    <w:rsid w:val="00A74BB1"/>
    <w:rsid w:val="00A769F4"/>
    <w:rsid w:val="00A776B4"/>
    <w:rsid w:val="00A806AF"/>
    <w:rsid w:val="00A8132E"/>
    <w:rsid w:val="00A81EAD"/>
    <w:rsid w:val="00A83BBB"/>
    <w:rsid w:val="00A84671"/>
    <w:rsid w:val="00A86B40"/>
    <w:rsid w:val="00A86E1D"/>
    <w:rsid w:val="00A87F1B"/>
    <w:rsid w:val="00A94361"/>
    <w:rsid w:val="00A94D2D"/>
    <w:rsid w:val="00A96CBC"/>
    <w:rsid w:val="00AA293C"/>
    <w:rsid w:val="00AA510A"/>
    <w:rsid w:val="00AA5533"/>
    <w:rsid w:val="00AB43F4"/>
    <w:rsid w:val="00AB48D3"/>
    <w:rsid w:val="00AB4AEB"/>
    <w:rsid w:val="00AC2E51"/>
    <w:rsid w:val="00AC786E"/>
    <w:rsid w:val="00AD123E"/>
    <w:rsid w:val="00AD1243"/>
    <w:rsid w:val="00AD1777"/>
    <w:rsid w:val="00AD1D2A"/>
    <w:rsid w:val="00AD1FB4"/>
    <w:rsid w:val="00AD6E31"/>
    <w:rsid w:val="00AD767A"/>
    <w:rsid w:val="00AE0E9A"/>
    <w:rsid w:val="00AF0319"/>
    <w:rsid w:val="00AF300D"/>
    <w:rsid w:val="00AF3592"/>
    <w:rsid w:val="00B0144A"/>
    <w:rsid w:val="00B07910"/>
    <w:rsid w:val="00B10F16"/>
    <w:rsid w:val="00B11813"/>
    <w:rsid w:val="00B13E9B"/>
    <w:rsid w:val="00B169A1"/>
    <w:rsid w:val="00B26DBA"/>
    <w:rsid w:val="00B30179"/>
    <w:rsid w:val="00B339A7"/>
    <w:rsid w:val="00B33A86"/>
    <w:rsid w:val="00B37274"/>
    <w:rsid w:val="00B46E82"/>
    <w:rsid w:val="00B4736F"/>
    <w:rsid w:val="00B507D5"/>
    <w:rsid w:val="00B51F54"/>
    <w:rsid w:val="00B54943"/>
    <w:rsid w:val="00B55906"/>
    <w:rsid w:val="00B56E4A"/>
    <w:rsid w:val="00B56E9C"/>
    <w:rsid w:val="00B61286"/>
    <w:rsid w:val="00B6367B"/>
    <w:rsid w:val="00B641C7"/>
    <w:rsid w:val="00B64B1F"/>
    <w:rsid w:val="00B65301"/>
    <w:rsid w:val="00B6553F"/>
    <w:rsid w:val="00B66E5E"/>
    <w:rsid w:val="00B70BD2"/>
    <w:rsid w:val="00B72BF4"/>
    <w:rsid w:val="00B7665E"/>
    <w:rsid w:val="00B77D05"/>
    <w:rsid w:val="00B81206"/>
    <w:rsid w:val="00B81DFC"/>
    <w:rsid w:val="00B81E12"/>
    <w:rsid w:val="00B824C4"/>
    <w:rsid w:val="00B9067B"/>
    <w:rsid w:val="00B90C21"/>
    <w:rsid w:val="00B96F20"/>
    <w:rsid w:val="00B974E2"/>
    <w:rsid w:val="00BA0E7F"/>
    <w:rsid w:val="00BA2661"/>
    <w:rsid w:val="00BB2412"/>
    <w:rsid w:val="00BB55E2"/>
    <w:rsid w:val="00BC06AB"/>
    <w:rsid w:val="00BC1897"/>
    <w:rsid w:val="00BC246F"/>
    <w:rsid w:val="00BC2C23"/>
    <w:rsid w:val="00BC49EB"/>
    <w:rsid w:val="00BC74E9"/>
    <w:rsid w:val="00BC7529"/>
    <w:rsid w:val="00BD4EB6"/>
    <w:rsid w:val="00BD633E"/>
    <w:rsid w:val="00BE0C8E"/>
    <w:rsid w:val="00BF17DE"/>
    <w:rsid w:val="00BF2A40"/>
    <w:rsid w:val="00BF5011"/>
    <w:rsid w:val="00BF5118"/>
    <w:rsid w:val="00BF68A8"/>
    <w:rsid w:val="00BF7AD3"/>
    <w:rsid w:val="00BF7BAB"/>
    <w:rsid w:val="00C019EA"/>
    <w:rsid w:val="00C045E0"/>
    <w:rsid w:val="00C07B15"/>
    <w:rsid w:val="00C115FC"/>
    <w:rsid w:val="00C1170C"/>
    <w:rsid w:val="00C11A03"/>
    <w:rsid w:val="00C21654"/>
    <w:rsid w:val="00C21AB5"/>
    <w:rsid w:val="00C22C29"/>
    <w:rsid w:val="00C31678"/>
    <w:rsid w:val="00C33393"/>
    <w:rsid w:val="00C41AAF"/>
    <w:rsid w:val="00C43338"/>
    <w:rsid w:val="00C463DD"/>
    <w:rsid w:val="00C4724C"/>
    <w:rsid w:val="00C47ED9"/>
    <w:rsid w:val="00C54B36"/>
    <w:rsid w:val="00C623F6"/>
    <w:rsid w:val="00C629A0"/>
    <w:rsid w:val="00C74122"/>
    <w:rsid w:val="00C745C3"/>
    <w:rsid w:val="00C76582"/>
    <w:rsid w:val="00C773E8"/>
    <w:rsid w:val="00C82E93"/>
    <w:rsid w:val="00C86F27"/>
    <w:rsid w:val="00C87407"/>
    <w:rsid w:val="00C90C84"/>
    <w:rsid w:val="00C92B6B"/>
    <w:rsid w:val="00C96B26"/>
    <w:rsid w:val="00CA1485"/>
    <w:rsid w:val="00CA4D23"/>
    <w:rsid w:val="00CB70CC"/>
    <w:rsid w:val="00CD51F9"/>
    <w:rsid w:val="00CD5549"/>
    <w:rsid w:val="00CD5DB4"/>
    <w:rsid w:val="00CE4A8F"/>
    <w:rsid w:val="00CE5F40"/>
    <w:rsid w:val="00CF2B35"/>
    <w:rsid w:val="00CF31D4"/>
    <w:rsid w:val="00CF5E8A"/>
    <w:rsid w:val="00D014AE"/>
    <w:rsid w:val="00D01686"/>
    <w:rsid w:val="00D01CC9"/>
    <w:rsid w:val="00D02D99"/>
    <w:rsid w:val="00D03D6E"/>
    <w:rsid w:val="00D136B6"/>
    <w:rsid w:val="00D1568B"/>
    <w:rsid w:val="00D15955"/>
    <w:rsid w:val="00D171DC"/>
    <w:rsid w:val="00D17EDA"/>
    <w:rsid w:val="00D2031B"/>
    <w:rsid w:val="00D23A44"/>
    <w:rsid w:val="00D25FE2"/>
    <w:rsid w:val="00D26495"/>
    <w:rsid w:val="00D32B30"/>
    <w:rsid w:val="00D32FE9"/>
    <w:rsid w:val="00D348BA"/>
    <w:rsid w:val="00D37688"/>
    <w:rsid w:val="00D403C8"/>
    <w:rsid w:val="00D403E0"/>
    <w:rsid w:val="00D4098E"/>
    <w:rsid w:val="00D43070"/>
    <w:rsid w:val="00D43252"/>
    <w:rsid w:val="00D45FB3"/>
    <w:rsid w:val="00D464BA"/>
    <w:rsid w:val="00D47CC8"/>
    <w:rsid w:val="00D47EEA"/>
    <w:rsid w:val="00D53EB7"/>
    <w:rsid w:val="00D56669"/>
    <w:rsid w:val="00D64D7D"/>
    <w:rsid w:val="00D658DE"/>
    <w:rsid w:val="00D67EBD"/>
    <w:rsid w:val="00D7072F"/>
    <w:rsid w:val="00D750EC"/>
    <w:rsid w:val="00D75B36"/>
    <w:rsid w:val="00D761C4"/>
    <w:rsid w:val="00D81FCE"/>
    <w:rsid w:val="00D82647"/>
    <w:rsid w:val="00D84872"/>
    <w:rsid w:val="00D8611A"/>
    <w:rsid w:val="00D91F98"/>
    <w:rsid w:val="00D95303"/>
    <w:rsid w:val="00D978C6"/>
    <w:rsid w:val="00DA0132"/>
    <w:rsid w:val="00DA3111"/>
    <w:rsid w:val="00DA3C1C"/>
    <w:rsid w:val="00DA4F12"/>
    <w:rsid w:val="00DB0C79"/>
    <w:rsid w:val="00DB53BD"/>
    <w:rsid w:val="00DB7D67"/>
    <w:rsid w:val="00DC1A53"/>
    <w:rsid w:val="00DC3078"/>
    <w:rsid w:val="00DD1B73"/>
    <w:rsid w:val="00DE2679"/>
    <w:rsid w:val="00DF64DD"/>
    <w:rsid w:val="00DF759C"/>
    <w:rsid w:val="00E01E76"/>
    <w:rsid w:val="00E02143"/>
    <w:rsid w:val="00E0600B"/>
    <w:rsid w:val="00E06571"/>
    <w:rsid w:val="00E0797B"/>
    <w:rsid w:val="00E146D1"/>
    <w:rsid w:val="00E22E05"/>
    <w:rsid w:val="00E2493B"/>
    <w:rsid w:val="00E26D38"/>
    <w:rsid w:val="00E27346"/>
    <w:rsid w:val="00E378FB"/>
    <w:rsid w:val="00E4151B"/>
    <w:rsid w:val="00E43260"/>
    <w:rsid w:val="00E446BD"/>
    <w:rsid w:val="00E451A7"/>
    <w:rsid w:val="00E50D0C"/>
    <w:rsid w:val="00E51814"/>
    <w:rsid w:val="00E51925"/>
    <w:rsid w:val="00E54E94"/>
    <w:rsid w:val="00E54F07"/>
    <w:rsid w:val="00E57BD8"/>
    <w:rsid w:val="00E640B3"/>
    <w:rsid w:val="00E66D58"/>
    <w:rsid w:val="00E70EDC"/>
    <w:rsid w:val="00E71BC8"/>
    <w:rsid w:val="00E7260F"/>
    <w:rsid w:val="00E73025"/>
    <w:rsid w:val="00E737DB"/>
    <w:rsid w:val="00E74A18"/>
    <w:rsid w:val="00E779FC"/>
    <w:rsid w:val="00E818E7"/>
    <w:rsid w:val="00E82263"/>
    <w:rsid w:val="00E82A3C"/>
    <w:rsid w:val="00E85261"/>
    <w:rsid w:val="00E853D0"/>
    <w:rsid w:val="00E8761B"/>
    <w:rsid w:val="00E96630"/>
    <w:rsid w:val="00EA02D2"/>
    <w:rsid w:val="00EA1263"/>
    <w:rsid w:val="00EA4C9B"/>
    <w:rsid w:val="00EA6BA1"/>
    <w:rsid w:val="00EB2581"/>
    <w:rsid w:val="00EC4F10"/>
    <w:rsid w:val="00EC6774"/>
    <w:rsid w:val="00ED14F3"/>
    <w:rsid w:val="00ED4172"/>
    <w:rsid w:val="00ED7A2A"/>
    <w:rsid w:val="00EE5850"/>
    <w:rsid w:val="00EE671E"/>
    <w:rsid w:val="00EF1D7F"/>
    <w:rsid w:val="00EF2CB4"/>
    <w:rsid w:val="00EF2F89"/>
    <w:rsid w:val="00EF6FBD"/>
    <w:rsid w:val="00F00577"/>
    <w:rsid w:val="00F00B67"/>
    <w:rsid w:val="00F01272"/>
    <w:rsid w:val="00F1050C"/>
    <w:rsid w:val="00F10FEE"/>
    <w:rsid w:val="00F12C1E"/>
    <w:rsid w:val="00F17547"/>
    <w:rsid w:val="00F20183"/>
    <w:rsid w:val="00F20C3D"/>
    <w:rsid w:val="00F235C2"/>
    <w:rsid w:val="00F2414B"/>
    <w:rsid w:val="00F24EA7"/>
    <w:rsid w:val="00F3106B"/>
    <w:rsid w:val="00F364AC"/>
    <w:rsid w:val="00F404F3"/>
    <w:rsid w:val="00F43E9E"/>
    <w:rsid w:val="00F44035"/>
    <w:rsid w:val="00F4711F"/>
    <w:rsid w:val="00F47CD9"/>
    <w:rsid w:val="00F55986"/>
    <w:rsid w:val="00F57910"/>
    <w:rsid w:val="00F60D9D"/>
    <w:rsid w:val="00F634A2"/>
    <w:rsid w:val="00F64CBD"/>
    <w:rsid w:val="00F661BA"/>
    <w:rsid w:val="00F82DA9"/>
    <w:rsid w:val="00F846E4"/>
    <w:rsid w:val="00F8714B"/>
    <w:rsid w:val="00F9057C"/>
    <w:rsid w:val="00F906D7"/>
    <w:rsid w:val="00F92F62"/>
    <w:rsid w:val="00F9319F"/>
    <w:rsid w:val="00F93781"/>
    <w:rsid w:val="00F959A8"/>
    <w:rsid w:val="00FA22AC"/>
    <w:rsid w:val="00FB11EB"/>
    <w:rsid w:val="00FB1F6C"/>
    <w:rsid w:val="00FB613B"/>
    <w:rsid w:val="00FB6500"/>
    <w:rsid w:val="00FB6FB4"/>
    <w:rsid w:val="00FC2FDA"/>
    <w:rsid w:val="00FC2FE9"/>
    <w:rsid w:val="00FC68B7"/>
    <w:rsid w:val="00FC766E"/>
    <w:rsid w:val="00FC7A3C"/>
    <w:rsid w:val="00FC7B77"/>
    <w:rsid w:val="00FD2B63"/>
    <w:rsid w:val="00FD3676"/>
    <w:rsid w:val="00FD3E2B"/>
    <w:rsid w:val="00FD5F20"/>
    <w:rsid w:val="00FE106A"/>
    <w:rsid w:val="00FE403B"/>
    <w:rsid w:val="00FE4975"/>
    <w:rsid w:val="00FF17FC"/>
    <w:rsid w:val="00FF65D6"/>
    <w:rsid w:val="00FF7295"/>
    <w:rsid w:val="00FF7D0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DF6A8B"/>
  <w15:docId w15:val="{B5C761AC-07DB-4D0D-B9E7-C10183B7E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link w:val="Heading4Char"/>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 w:val="num" w:pos="360"/>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number,ftref,Footnotes refss,Style 10,referencia nota al pie,BVI fnr,Footnote text,4_Footnote text,callout,Fago Fußnotenzeichen,16 Point,Superscript 6 Point,Footnote,Footnote symbol,f,Ref,Footnote Refernece,callou"/>
    <w:link w:val="Appelnotedebasde"/>
    <w:uiPriority w:val="99"/>
    <w:qFormat/>
    <w:rsid w:val="007B6BA5"/>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ootnote Reference1, Char,Char,ft,Style 27,Char Char Char Char Char,Style 11, Char Char Char,Char Char Char"/>
    <w:basedOn w:val="Normal"/>
    <w:link w:val="FootnoteTextChar"/>
    <w:uiPriority w:val="99"/>
    <w:qFormat/>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link w:val="CommentTextChar"/>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95347F"/>
    <w:pPr>
      <w:spacing w:line="240" w:lineRule="auto"/>
    </w:pPr>
    <w:rPr>
      <w:sz w:val="16"/>
    </w:rPr>
  </w:style>
  <w:style w:type="paragraph" w:styleId="Header">
    <w:name w:val="header"/>
    <w:aliases w:val="6_G"/>
    <w:basedOn w:val="Normal"/>
    <w:uiPriority w:val="99"/>
    <w:rsid w:val="00050F6B"/>
    <w:pPr>
      <w:pBdr>
        <w:bottom w:val="single" w:sz="4" w:space="4" w:color="auto"/>
      </w:pBdr>
      <w:spacing w:line="240" w:lineRule="auto"/>
    </w:pPr>
    <w:rPr>
      <w:b/>
      <w:sz w:val="18"/>
    </w:rPr>
  </w:style>
  <w:style w:type="paragraph" w:styleId="BalloonText">
    <w:name w:val="Balloon Text"/>
    <w:basedOn w:val="Normal"/>
    <w:link w:val="BalloonTextChar"/>
    <w:semiHidden/>
    <w:unhideWhenUsed/>
    <w:rsid w:val="00BC752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BC7529"/>
    <w:rPr>
      <w:rFonts w:ascii="Segoe UI" w:hAnsi="Segoe UI" w:cs="Segoe UI"/>
      <w:sz w:val="18"/>
      <w:szCs w:val="18"/>
      <w:lang w:val="en-GB" w:eastAsia="en-US"/>
    </w:rPr>
  </w:style>
  <w:style w:type="paragraph" w:styleId="CommentSubject">
    <w:name w:val="annotation subject"/>
    <w:basedOn w:val="CommentText"/>
    <w:next w:val="CommentText"/>
    <w:link w:val="CommentSubjectChar"/>
    <w:semiHidden/>
    <w:unhideWhenUsed/>
    <w:rsid w:val="00F00577"/>
    <w:pPr>
      <w:spacing w:line="240" w:lineRule="auto"/>
    </w:pPr>
    <w:rPr>
      <w:b/>
      <w:bCs/>
    </w:rPr>
  </w:style>
  <w:style w:type="character" w:customStyle="1" w:styleId="CommentTextChar">
    <w:name w:val="Comment Text Char"/>
    <w:basedOn w:val="DefaultParagraphFont"/>
    <w:link w:val="CommentText"/>
    <w:semiHidden/>
    <w:rsid w:val="00F00577"/>
    <w:rPr>
      <w:lang w:val="en-GB" w:eastAsia="en-US"/>
    </w:rPr>
  </w:style>
  <w:style w:type="character" w:customStyle="1" w:styleId="CommentSubjectChar">
    <w:name w:val="Comment Subject Char"/>
    <w:basedOn w:val="CommentTextChar"/>
    <w:link w:val="CommentSubject"/>
    <w:semiHidden/>
    <w:rsid w:val="00F00577"/>
    <w:rPr>
      <w:b/>
      <w:bCs/>
      <w:lang w:val="en-GB" w:eastAsia="en-US"/>
    </w:rPr>
  </w:style>
  <w:style w:type="character" w:customStyle="1" w:styleId="FootnoteTextChar">
    <w:name w:val="Footnote Text Char"/>
    <w:aliases w:val="5_G Char,Footnote Text Char Char Char Char Char Char,Footnote Text Char Char Char Char Char1,Footnote reference Char1,FA Fu Char,Footnote Text Char Char Char Char2,Footnote Reference1 Char1, Char Char1,Char Char1,ft Char1"/>
    <w:basedOn w:val="DefaultParagraphFont"/>
    <w:link w:val="FootnoteText"/>
    <w:uiPriority w:val="99"/>
    <w:rsid w:val="009B4123"/>
    <w:rPr>
      <w:sz w:val="18"/>
      <w:lang w:val="en-GB" w:eastAsia="en-US"/>
    </w:rPr>
  </w:style>
  <w:style w:type="table" w:customStyle="1" w:styleId="TableGrid10">
    <w:name w:val="Table Grid1"/>
    <w:basedOn w:val="TableNormal"/>
    <w:next w:val="TableGrid"/>
    <w:rsid w:val="00FB6500"/>
    <w:pPr>
      <w:suppressAutoHyphens/>
      <w:spacing w:line="240" w:lineRule="atLeast"/>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064776"/>
    <w:rPr>
      <w:lang w:val="en-GB" w:eastAsia="en-US"/>
    </w:rPr>
  </w:style>
  <w:style w:type="character" w:customStyle="1" w:styleId="FootnoteTextChar1">
    <w:name w:val="Footnote Text Char1"/>
    <w:aliases w:val="5_G Char1,Footnote Text Char Char Char Char Char Char1,Footnote Text Char Char Char Char Char2,Footnote reference Char,FA Fu Char1,Footnote Text Char Char Char Char1,Footnote Reference1 Char, Char Char,Char Char,ft Char,Style 27 Char"/>
    <w:locked/>
    <w:rsid w:val="00064776"/>
    <w:rPr>
      <w:rFonts w:eastAsia="SimSun"/>
      <w:sz w:val="18"/>
      <w:szCs w:val="20"/>
      <w:lang w:val="en-US" w:eastAsia="zh-CN"/>
    </w:rPr>
  </w:style>
  <w:style w:type="character" w:customStyle="1" w:styleId="SingleTxtGChar">
    <w:name w:val="_ Single Txt_G Char"/>
    <w:link w:val="SingleTxtG"/>
    <w:locked/>
    <w:rsid w:val="00287DF0"/>
    <w:rPr>
      <w:lang w:val="en-GB" w:eastAsia="en-US"/>
    </w:rPr>
  </w:style>
  <w:style w:type="paragraph" w:styleId="ListParagraph">
    <w:name w:val="List Paragraph"/>
    <w:basedOn w:val="Normal"/>
    <w:uiPriority w:val="34"/>
    <w:qFormat/>
    <w:rsid w:val="003B5506"/>
    <w:pPr>
      <w:ind w:left="720"/>
      <w:contextualSpacing/>
    </w:pPr>
  </w:style>
  <w:style w:type="paragraph" w:styleId="Revision">
    <w:name w:val="Revision"/>
    <w:hidden/>
    <w:uiPriority w:val="99"/>
    <w:semiHidden/>
    <w:rsid w:val="001549D9"/>
    <w:rPr>
      <w:lang w:val="en-GB" w:eastAsia="en-US"/>
    </w:rPr>
  </w:style>
  <w:style w:type="paragraph" w:customStyle="1" w:styleId="Appelnotedebasde">
    <w:name w:val="Appel note de bas de"/>
    <w:aliases w:val="Appel note de bas de page Char Char Char Char Char Char Char Char,Appel note de bas de page Char2 Char Char Char Char Char Char Char Char Char Char,Appel note de bas de page Char1"/>
    <w:basedOn w:val="Normal"/>
    <w:link w:val="FootnoteReference"/>
    <w:uiPriority w:val="99"/>
    <w:rsid w:val="00A451DE"/>
    <w:pPr>
      <w:suppressAutoHyphens w:val="0"/>
      <w:spacing w:before="120" w:after="120" w:line="240" w:lineRule="auto"/>
    </w:pPr>
    <w:rPr>
      <w:sz w:val="18"/>
      <w:vertAlign w:val="superscript"/>
      <w:lang w:val="fr-CH" w:eastAsia="fr-CH"/>
    </w:rPr>
  </w:style>
  <w:style w:type="numbering" w:customStyle="1" w:styleId="1ai1">
    <w:name w:val="1 / a / i1"/>
    <w:basedOn w:val="NoList"/>
    <w:next w:val="1ai"/>
    <w:semiHidden/>
    <w:rsid w:val="00AD6E31"/>
    <w:pPr>
      <w:numPr>
        <w:numId w:val="18"/>
      </w:numPr>
    </w:pPr>
  </w:style>
  <w:style w:type="numbering" w:customStyle="1" w:styleId="1ai2">
    <w:name w:val="1 / a / i2"/>
    <w:basedOn w:val="NoList"/>
    <w:next w:val="1ai"/>
    <w:semiHidden/>
    <w:rsid w:val="00450134"/>
  </w:style>
  <w:style w:type="character" w:customStyle="1" w:styleId="sb8d990e2">
    <w:name w:val="sb8d990e2"/>
    <w:basedOn w:val="DefaultParagraphFont"/>
    <w:rsid w:val="00087FBA"/>
  </w:style>
  <w:style w:type="character" w:customStyle="1" w:styleId="itemtitle">
    <w:name w:val="itemtitle"/>
    <w:basedOn w:val="DefaultParagraphFont"/>
    <w:rsid w:val="00D45FB3"/>
  </w:style>
  <w:style w:type="character" w:customStyle="1" w:styleId="FooterChar">
    <w:name w:val="Footer Char"/>
    <w:aliases w:val="3_G Char"/>
    <w:basedOn w:val="DefaultParagraphFont"/>
    <w:link w:val="Footer"/>
    <w:rsid w:val="00D45FB3"/>
    <w:rPr>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6C073B-D48F-4D2A-AE38-A98DEED87A13}">
  <ds:schemaRefs>
    <ds:schemaRef ds:uri="http://schemas.openxmlformats.org/officeDocument/2006/bibliography"/>
  </ds:schemaRefs>
</ds:datastoreItem>
</file>

<file path=customXml/itemProps2.xml><?xml version="1.0" encoding="utf-8"?>
<ds:datastoreItem xmlns:ds="http://schemas.openxmlformats.org/officeDocument/2006/customXml" ds:itemID="{85CA443D-F0D8-4A8E-AB39-B81DAEC73D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020A9F-BB79-4A9A-8AD8-D97C2DCDF2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68DF0F0-214B-4CE6-B524-063B255A2D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4631</Words>
  <Characters>26398</Characters>
  <Application>Microsoft Office Word</Application>
  <DocSecurity>0</DocSecurity>
  <Lines>219</Lines>
  <Paragraphs>61</Paragraphs>
  <ScaleCrop>false</ScaleCrop>
  <HeadingPairs>
    <vt:vector size="6" baseType="variant">
      <vt:variant>
        <vt:lpstr>Title</vt:lpstr>
      </vt:variant>
      <vt:variant>
        <vt:i4>1</vt:i4>
      </vt:variant>
      <vt:variant>
        <vt:lpstr>Titre</vt:lpstr>
      </vt:variant>
      <vt:variant>
        <vt:i4>1</vt:i4>
      </vt:variant>
      <vt:variant>
        <vt:lpstr>Название</vt:lpstr>
      </vt:variant>
      <vt:variant>
        <vt:i4>1</vt:i4>
      </vt:variant>
    </vt:vector>
  </HeadingPairs>
  <TitlesOfParts>
    <vt:vector size="3" baseType="lpstr">
      <vt:lpstr>CCPR/C/130/DR/2757/2016</vt:lpstr>
      <vt:lpstr>CCPR/C/WG/130/DR/2757/2016</vt:lpstr>
      <vt:lpstr>CCPR/C/WG/125/DR/2034/2011</vt:lpstr>
    </vt:vector>
  </TitlesOfParts>
  <Company>CSD</Company>
  <LinksUpToDate>false</LinksUpToDate>
  <CharactersWithSpaces>30968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CCPR/C/130/DR/2757/2016</dc:title>
  <dc:subject>2013168</dc:subject>
  <dc:creator>Pauline Escalante</dc:creator>
  <cp:keywords>CCPR/C/106/D/1891/2009</cp:keywords>
  <dc:description>final</dc:description>
  <cp:lastModifiedBy>Daniella Ferreira</cp:lastModifiedBy>
  <cp:revision>2</cp:revision>
  <cp:lastPrinted>2021-03-26T14:56:00Z</cp:lastPrinted>
  <dcterms:created xsi:type="dcterms:W3CDTF">2021-04-13T14:25:00Z</dcterms:created>
  <dcterms:modified xsi:type="dcterms:W3CDTF">2021-04-13T14:25:00Z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