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2E25900" w14:textId="77777777" w:rsidTr="00DC046E">
        <w:trPr>
          <w:cantSplit/>
          <w:trHeight w:hRule="exact" w:val="851"/>
        </w:trPr>
        <w:tc>
          <w:tcPr>
            <w:tcW w:w="1276" w:type="dxa"/>
            <w:tcBorders>
              <w:bottom w:val="single" w:sz="4" w:space="0" w:color="auto"/>
            </w:tcBorders>
            <w:vAlign w:val="bottom"/>
          </w:tcPr>
          <w:p w14:paraId="16469E19" w14:textId="77777777" w:rsidR="00B56E9C" w:rsidRDefault="00B56E9C" w:rsidP="00DC046E">
            <w:pPr>
              <w:spacing w:after="80"/>
            </w:pPr>
          </w:p>
        </w:tc>
        <w:tc>
          <w:tcPr>
            <w:tcW w:w="2268" w:type="dxa"/>
            <w:tcBorders>
              <w:bottom w:val="single" w:sz="4" w:space="0" w:color="auto"/>
            </w:tcBorders>
            <w:vAlign w:val="bottom"/>
          </w:tcPr>
          <w:p w14:paraId="2E2BE034"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444EA6E" w14:textId="10097347" w:rsidR="00B56E9C" w:rsidRPr="00D47EEA" w:rsidRDefault="00111738" w:rsidP="002541C5">
            <w:pPr>
              <w:jc w:val="right"/>
            </w:pPr>
            <w:r w:rsidRPr="00111738">
              <w:rPr>
                <w:sz w:val="40"/>
              </w:rPr>
              <w:t>CCPR</w:t>
            </w:r>
            <w:r>
              <w:t>/C/1</w:t>
            </w:r>
            <w:r w:rsidR="002541C5">
              <w:t>30</w:t>
            </w:r>
            <w:r>
              <w:t>/D/2</w:t>
            </w:r>
            <w:r w:rsidR="00CF6AE5">
              <w:t>661</w:t>
            </w:r>
            <w:r>
              <w:t>/201</w:t>
            </w:r>
            <w:r w:rsidR="00CF6AE5">
              <w:t>5</w:t>
            </w:r>
          </w:p>
        </w:tc>
      </w:tr>
      <w:tr w:rsidR="00B56E9C" w14:paraId="4DAD0892" w14:textId="77777777" w:rsidTr="00DC046E">
        <w:trPr>
          <w:cantSplit/>
          <w:trHeight w:hRule="exact" w:val="2835"/>
        </w:trPr>
        <w:tc>
          <w:tcPr>
            <w:tcW w:w="1276" w:type="dxa"/>
            <w:tcBorders>
              <w:top w:val="single" w:sz="4" w:space="0" w:color="auto"/>
              <w:bottom w:val="single" w:sz="12" w:space="0" w:color="auto"/>
            </w:tcBorders>
          </w:tcPr>
          <w:p w14:paraId="007D2314" w14:textId="77777777" w:rsidR="00B56E9C" w:rsidRDefault="004076CD" w:rsidP="00DC046E">
            <w:pPr>
              <w:spacing w:before="120"/>
            </w:pPr>
            <w:r>
              <w:rPr>
                <w:noProof/>
                <w:lang w:eastAsia="en-GB"/>
              </w:rPr>
              <w:drawing>
                <wp:inline distT="0" distB="0" distL="0" distR="0" wp14:anchorId="38648F84" wp14:editId="04E29A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F4615"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254D9A1D" w14:textId="77777777" w:rsidR="00D65574" w:rsidRDefault="00D65574" w:rsidP="00DC046E">
            <w:pPr>
              <w:spacing w:before="120" w:line="380" w:lineRule="exact"/>
              <w:rPr>
                <w:b/>
                <w:sz w:val="34"/>
                <w:szCs w:val="40"/>
              </w:rPr>
            </w:pPr>
          </w:p>
          <w:p w14:paraId="149A464E" w14:textId="77777777" w:rsidR="00D65574" w:rsidRDefault="00D65574" w:rsidP="00D65574">
            <w:pPr>
              <w:spacing w:before="120" w:line="380" w:lineRule="exact"/>
              <w:rPr>
                <w:b/>
                <w:sz w:val="34"/>
                <w:szCs w:val="34"/>
              </w:rPr>
            </w:pPr>
            <w:r w:rsidRPr="000921E9">
              <w:rPr>
                <w:sz w:val="34"/>
                <w:szCs w:val="40"/>
              </w:rPr>
              <w:t>Advance unedited version</w:t>
            </w:r>
          </w:p>
          <w:p w14:paraId="5BB77415" w14:textId="688DDC69" w:rsidR="00D65574" w:rsidRPr="00267F5F" w:rsidRDefault="00D65574" w:rsidP="00DC046E">
            <w:pPr>
              <w:spacing w:before="120" w:line="380" w:lineRule="exact"/>
              <w:rPr>
                <w:sz w:val="34"/>
              </w:rPr>
            </w:pPr>
          </w:p>
        </w:tc>
        <w:tc>
          <w:tcPr>
            <w:tcW w:w="2835" w:type="dxa"/>
            <w:tcBorders>
              <w:top w:val="single" w:sz="4" w:space="0" w:color="auto"/>
              <w:bottom w:val="single" w:sz="12" w:space="0" w:color="auto"/>
            </w:tcBorders>
          </w:tcPr>
          <w:p w14:paraId="27ED1DDA" w14:textId="2253817E" w:rsidR="00B56E9C" w:rsidRDefault="00111738" w:rsidP="002541C5">
            <w:pPr>
              <w:spacing w:before="240" w:line="240" w:lineRule="exact"/>
            </w:pPr>
            <w:r>
              <w:t xml:space="preserve">Distr.: </w:t>
            </w:r>
            <w:r w:rsidR="002541C5">
              <w:t>General</w:t>
            </w:r>
          </w:p>
          <w:p w14:paraId="4E9EF96E" w14:textId="63F85169" w:rsidR="00111738" w:rsidRDefault="00D65574" w:rsidP="00111738">
            <w:pPr>
              <w:spacing w:line="240" w:lineRule="exact"/>
            </w:pPr>
            <w:r>
              <w:t>26 March</w:t>
            </w:r>
            <w:r w:rsidR="00D57390">
              <w:t xml:space="preserve"> </w:t>
            </w:r>
            <w:r>
              <w:t>2021</w:t>
            </w:r>
          </w:p>
          <w:p w14:paraId="43D3C482" w14:textId="77777777" w:rsidR="00111738" w:rsidRDefault="00111738" w:rsidP="00111738">
            <w:pPr>
              <w:spacing w:line="240" w:lineRule="exact"/>
            </w:pPr>
          </w:p>
          <w:p w14:paraId="2E267702" w14:textId="77777777" w:rsidR="00111738" w:rsidRDefault="00111738" w:rsidP="00111738">
            <w:pPr>
              <w:spacing w:line="240" w:lineRule="exact"/>
            </w:pPr>
            <w:r>
              <w:t>Original: English</w:t>
            </w:r>
          </w:p>
          <w:p w14:paraId="14B06205" w14:textId="789ECADC" w:rsidR="00111738" w:rsidRDefault="00111738" w:rsidP="00111738">
            <w:pPr>
              <w:spacing w:line="240" w:lineRule="exact"/>
            </w:pPr>
          </w:p>
        </w:tc>
      </w:tr>
    </w:tbl>
    <w:p w14:paraId="022EB012" w14:textId="77777777" w:rsidR="00111738" w:rsidRPr="00C94AC7" w:rsidRDefault="00111738" w:rsidP="00111738">
      <w:pPr>
        <w:spacing w:before="120"/>
        <w:rPr>
          <w:b/>
          <w:sz w:val="24"/>
          <w:szCs w:val="24"/>
        </w:rPr>
      </w:pPr>
      <w:r w:rsidRPr="00C94AC7">
        <w:rPr>
          <w:b/>
          <w:sz w:val="24"/>
          <w:szCs w:val="24"/>
        </w:rPr>
        <w:t>Human Rights Committee</w:t>
      </w:r>
    </w:p>
    <w:p w14:paraId="7CD2F745" w14:textId="6B4D23AD" w:rsidR="00111738" w:rsidRPr="00C94AC7" w:rsidRDefault="00111738" w:rsidP="00111738">
      <w:pPr>
        <w:pStyle w:val="HChG"/>
        <w:rPr>
          <w:sz w:val="20"/>
        </w:rPr>
      </w:pPr>
      <w:r>
        <w:rPr>
          <w:szCs w:val="28"/>
        </w:rPr>
        <w:tab/>
      </w:r>
      <w:r>
        <w:rPr>
          <w:szCs w:val="28"/>
        </w:rPr>
        <w:tab/>
      </w:r>
      <w:r w:rsidR="002541C5" w:rsidRPr="007A1C54">
        <w:t xml:space="preserve">Views adopted by the Committee under article 5 (4) of the Optional Protocol, </w:t>
      </w:r>
      <w:r w:rsidR="002541C5" w:rsidRPr="00B21CD6">
        <w:t xml:space="preserve">concerning </w:t>
      </w:r>
      <w:r w:rsidR="002541C5">
        <w:rPr>
          <w:szCs w:val="28"/>
        </w:rPr>
        <w:t>c</w:t>
      </w:r>
      <w:r w:rsidRPr="00E737AB">
        <w:rPr>
          <w:szCs w:val="28"/>
        </w:rPr>
        <w:t>ommunication No. 2</w:t>
      </w:r>
      <w:r w:rsidR="00CF6AE5">
        <w:rPr>
          <w:szCs w:val="28"/>
        </w:rPr>
        <w:t>661</w:t>
      </w:r>
      <w:r w:rsidRPr="00E737AB">
        <w:rPr>
          <w:szCs w:val="28"/>
        </w:rPr>
        <w:t>/201</w:t>
      </w:r>
      <w:r w:rsidR="00CF6AE5">
        <w:rPr>
          <w:szCs w:val="28"/>
        </w:rPr>
        <w:t>5</w:t>
      </w:r>
      <w:r w:rsidR="002541C5" w:rsidRPr="00D65574">
        <w:rPr>
          <w:rStyle w:val="FootnoteReference"/>
          <w:sz w:val="20"/>
          <w:szCs w:val="28"/>
          <w:vertAlign w:val="baseline"/>
        </w:rPr>
        <w:footnoteReference w:customMarkFollows="1" w:id="2"/>
        <w:t>*</w:t>
      </w:r>
      <w:r w:rsidR="002541C5">
        <w:rPr>
          <w:sz w:val="20"/>
          <w:szCs w:val="28"/>
        </w:rPr>
        <w:t>,</w:t>
      </w:r>
      <w:r w:rsidR="002541C5" w:rsidRPr="00D65574">
        <w:rPr>
          <w:rStyle w:val="FootnoteReference"/>
          <w:sz w:val="20"/>
          <w:szCs w:val="28"/>
          <w:vertAlign w:val="baseline"/>
        </w:rPr>
        <w:footnoteReference w:customMarkFollows="1" w:id="3"/>
        <w:t>**</w:t>
      </w:r>
    </w:p>
    <w:p w14:paraId="446509A7" w14:textId="1E1826DB" w:rsidR="00111738" w:rsidRPr="00E737AB" w:rsidRDefault="00111738">
      <w:pPr>
        <w:pStyle w:val="H1G"/>
        <w:rPr>
          <w:szCs w:val="24"/>
        </w:rPr>
      </w:pPr>
      <w:r w:rsidRPr="00C94AC7">
        <w:rPr>
          <w:sz w:val="20"/>
        </w:rPr>
        <w:tab/>
      </w:r>
      <w:r w:rsidRPr="00C94AC7">
        <w:rPr>
          <w:sz w:val="20"/>
        </w:rPr>
        <w:tab/>
      </w:r>
    </w:p>
    <w:p w14:paraId="7330219C" w14:textId="77777777" w:rsidR="00111738" w:rsidRPr="00C94AC7" w:rsidRDefault="00111738" w:rsidP="005B31EB">
      <w:pPr>
        <w:pStyle w:val="SingleTxtG"/>
        <w:ind w:left="4536" w:hanging="3402"/>
      </w:pPr>
      <w:r w:rsidRPr="00C94AC7">
        <w:rPr>
          <w:i/>
        </w:rPr>
        <w:t>Communication submitted by:</w:t>
      </w:r>
      <w:r w:rsidRPr="00C94AC7">
        <w:tab/>
      </w:r>
      <w:proofErr w:type="spellStart"/>
      <w:r w:rsidR="00CF6AE5">
        <w:t>P</w:t>
      </w:r>
      <w:r w:rsidR="008A6DCC">
        <w:t>o</w:t>
      </w:r>
      <w:r w:rsidR="00CF6AE5">
        <w:t>lat</w:t>
      </w:r>
      <w:proofErr w:type="spellEnd"/>
      <w:r w:rsidR="00CF6AE5">
        <w:t xml:space="preserve"> </w:t>
      </w:r>
      <w:proofErr w:type="spellStart"/>
      <w:r w:rsidR="00CF6AE5">
        <w:t>Bekz</w:t>
      </w:r>
      <w:r w:rsidR="009022CA">
        <w:t>h</w:t>
      </w:r>
      <w:r w:rsidR="00CF6AE5">
        <w:t>an</w:t>
      </w:r>
      <w:proofErr w:type="spellEnd"/>
      <w:r w:rsidR="008A6DCC">
        <w:t>,</w:t>
      </w:r>
      <w:r w:rsidR="00CF6AE5">
        <w:t xml:space="preserve"> </w:t>
      </w:r>
      <w:r w:rsidR="008A6DCC">
        <w:t xml:space="preserve">Leon Weaver Jr., and Helmut </w:t>
      </w:r>
      <w:proofErr w:type="spellStart"/>
      <w:r w:rsidR="008A6DCC">
        <w:t>Echtle</w:t>
      </w:r>
      <w:proofErr w:type="spellEnd"/>
      <w:r w:rsidR="008A6DCC">
        <w:t xml:space="preserve"> </w:t>
      </w:r>
      <w:r w:rsidRPr="00C94AC7">
        <w:t>(represented by counsel</w:t>
      </w:r>
      <w:r w:rsidR="00377FD0">
        <w:t>s</w:t>
      </w:r>
      <w:r w:rsidRPr="00C94AC7">
        <w:t xml:space="preserve">, </w:t>
      </w:r>
      <w:r w:rsidR="00CF6AE5">
        <w:t>Shane H. Brady</w:t>
      </w:r>
      <w:r w:rsidR="00377FD0">
        <w:t xml:space="preserve"> and </w:t>
      </w:r>
      <w:proofErr w:type="spellStart"/>
      <w:r w:rsidR="00377FD0">
        <w:t>Haykaz</w:t>
      </w:r>
      <w:proofErr w:type="spellEnd"/>
      <w:r w:rsidR="00377FD0">
        <w:t xml:space="preserve"> </w:t>
      </w:r>
      <w:proofErr w:type="spellStart"/>
      <w:r w:rsidR="00377FD0">
        <w:t>Zoryan</w:t>
      </w:r>
      <w:proofErr w:type="spellEnd"/>
      <w:r w:rsidRPr="00C94AC7">
        <w:t>)</w:t>
      </w:r>
    </w:p>
    <w:p w14:paraId="188644A0" w14:textId="77777777" w:rsidR="00111738" w:rsidRPr="00C94AC7" w:rsidRDefault="00111738" w:rsidP="005B31EB">
      <w:pPr>
        <w:pStyle w:val="SingleTxtG"/>
        <w:ind w:left="4536" w:hanging="3402"/>
      </w:pPr>
      <w:r w:rsidRPr="00C94AC7">
        <w:rPr>
          <w:i/>
        </w:rPr>
        <w:t>Alleged victim</w:t>
      </w:r>
      <w:r w:rsidR="00AF0967">
        <w:rPr>
          <w:i/>
        </w:rPr>
        <w:t>s</w:t>
      </w:r>
      <w:r w:rsidRPr="00C94AC7">
        <w:rPr>
          <w:i/>
        </w:rPr>
        <w:t>:</w:t>
      </w:r>
      <w:r w:rsidRPr="00C94AC7">
        <w:tab/>
      </w:r>
      <w:r w:rsidR="0069452B">
        <w:t xml:space="preserve">The author </w:t>
      </w:r>
    </w:p>
    <w:p w14:paraId="720377C7" w14:textId="77777777" w:rsidR="00111738" w:rsidRPr="00C94AC7" w:rsidRDefault="00111738" w:rsidP="005B31EB">
      <w:pPr>
        <w:pStyle w:val="SingleTxtG"/>
        <w:ind w:left="4536" w:hanging="3402"/>
      </w:pPr>
      <w:r w:rsidRPr="00C94AC7">
        <w:rPr>
          <w:i/>
        </w:rPr>
        <w:t>State party:</w:t>
      </w:r>
      <w:r w:rsidRPr="00C94AC7">
        <w:tab/>
      </w:r>
      <w:r w:rsidR="00116727">
        <w:t>K</w:t>
      </w:r>
      <w:r w:rsidR="000F237C">
        <w:t>a</w:t>
      </w:r>
      <w:r w:rsidR="00116727">
        <w:t>z</w:t>
      </w:r>
      <w:r w:rsidR="000F237C">
        <w:t>akh</w:t>
      </w:r>
      <w:r w:rsidRPr="00C94AC7">
        <w:t>stan</w:t>
      </w:r>
    </w:p>
    <w:p w14:paraId="0A16FC57" w14:textId="77777777" w:rsidR="00111738" w:rsidRPr="00C94AC7" w:rsidRDefault="00111738" w:rsidP="005B31EB">
      <w:pPr>
        <w:pStyle w:val="SingleTxtG"/>
        <w:ind w:left="4536" w:hanging="3402"/>
      </w:pPr>
      <w:r w:rsidRPr="00C94AC7">
        <w:rPr>
          <w:i/>
        </w:rPr>
        <w:t>Date of communication:</w:t>
      </w:r>
      <w:r w:rsidRPr="00C94AC7">
        <w:tab/>
      </w:r>
      <w:r w:rsidR="000F237C">
        <w:t>2</w:t>
      </w:r>
      <w:r w:rsidR="00CF6AE5">
        <w:t>7 March</w:t>
      </w:r>
      <w:r w:rsidRPr="00C94AC7">
        <w:t xml:space="preserve"> 201</w:t>
      </w:r>
      <w:r w:rsidR="00CF6AE5">
        <w:t>5</w:t>
      </w:r>
      <w:r w:rsidRPr="00C94AC7">
        <w:t xml:space="preserve"> (initial submission)</w:t>
      </w:r>
    </w:p>
    <w:p w14:paraId="2EDB5093" w14:textId="77777777" w:rsidR="00111738" w:rsidRPr="00C94AC7" w:rsidRDefault="00111738" w:rsidP="00111738">
      <w:pPr>
        <w:pStyle w:val="SingleTxtG"/>
        <w:ind w:left="4536" w:hanging="3402"/>
      </w:pPr>
      <w:r w:rsidRPr="00C94AC7">
        <w:rPr>
          <w:i/>
        </w:rPr>
        <w:t>Document references:</w:t>
      </w:r>
      <w:r w:rsidRPr="00C94AC7">
        <w:tab/>
        <w:t xml:space="preserve">Decision taken pursuant to rule </w:t>
      </w:r>
      <w:r w:rsidR="0048023B">
        <w:t>92</w:t>
      </w:r>
      <w:r w:rsidR="0048023B" w:rsidRPr="00C94AC7">
        <w:t xml:space="preserve"> </w:t>
      </w:r>
      <w:r w:rsidRPr="00C94AC7">
        <w:t xml:space="preserve">of the Committee’s rules of procedure, transmitted to the State party on </w:t>
      </w:r>
      <w:r w:rsidR="00CF6AE5">
        <w:t xml:space="preserve">30 October </w:t>
      </w:r>
      <w:r w:rsidRPr="00C94AC7">
        <w:t>201</w:t>
      </w:r>
      <w:r w:rsidR="00CF6AE5">
        <w:t>5</w:t>
      </w:r>
      <w:r w:rsidRPr="00C94AC7">
        <w:t xml:space="preserve"> (not issued in document form)</w:t>
      </w:r>
    </w:p>
    <w:p w14:paraId="2EAEEF5F" w14:textId="0E3C10B5" w:rsidR="00111738" w:rsidRPr="00C94AC7" w:rsidRDefault="00111738">
      <w:pPr>
        <w:pStyle w:val="SingleTxtG"/>
        <w:ind w:left="4536" w:hanging="3402"/>
      </w:pPr>
      <w:r w:rsidRPr="00C94AC7">
        <w:rPr>
          <w:i/>
        </w:rPr>
        <w:t>Date of adoption of Views:</w:t>
      </w:r>
      <w:r w:rsidR="001D78DC">
        <w:tab/>
      </w:r>
      <w:r w:rsidR="002541C5">
        <w:t xml:space="preserve">30 October </w:t>
      </w:r>
      <w:r w:rsidRPr="00C94AC7">
        <w:t>20</w:t>
      </w:r>
      <w:r w:rsidR="003C7092">
        <w:t>20</w:t>
      </w:r>
    </w:p>
    <w:p w14:paraId="0821CC6F" w14:textId="77777777" w:rsidR="00111738" w:rsidRPr="00C94AC7" w:rsidRDefault="00111738" w:rsidP="005B31EB">
      <w:pPr>
        <w:pStyle w:val="SingleTxtG"/>
        <w:ind w:left="4536" w:hanging="3402"/>
      </w:pPr>
      <w:r w:rsidRPr="00C94AC7">
        <w:rPr>
          <w:i/>
          <w:iCs/>
        </w:rPr>
        <w:t>Subject matter:</w:t>
      </w:r>
      <w:r w:rsidRPr="00C94AC7">
        <w:rPr>
          <w:i/>
          <w:iCs/>
        </w:rPr>
        <w:tab/>
      </w:r>
      <w:r w:rsidR="00265AB7">
        <w:rPr>
          <w:iCs/>
        </w:rPr>
        <w:t>Censorship o</w:t>
      </w:r>
      <w:r w:rsidR="00CF6AE5">
        <w:rPr>
          <w:iCs/>
        </w:rPr>
        <w:t xml:space="preserve">f </w:t>
      </w:r>
      <w:r w:rsidR="009636BE">
        <w:rPr>
          <w:iCs/>
        </w:rPr>
        <w:t xml:space="preserve">(refusal to import) </w:t>
      </w:r>
      <w:r w:rsidR="00CF6AE5">
        <w:rPr>
          <w:iCs/>
        </w:rPr>
        <w:t>religious publications</w:t>
      </w:r>
      <w:r w:rsidR="00265AB7">
        <w:rPr>
          <w:iCs/>
        </w:rPr>
        <w:t xml:space="preserve"> </w:t>
      </w:r>
    </w:p>
    <w:p w14:paraId="13AC654A" w14:textId="77777777" w:rsidR="00111738" w:rsidRPr="00C94AC7" w:rsidRDefault="00111738" w:rsidP="005B31EB">
      <w:pPr>
        <w:pStyle w:val="SingleTxtG"/>
        <w:ind w:left="4536" w:hanging="3402"/>
      </w:pPr>
      <w:r w:rsidRPr="00C94AC7">
        <w:rPr>
          <w:i/>
          <w:iCs/>
        </w:rPr>
        <w:t>Procedural issue</w:t>
      </w:r>
      <w:r w:rsidR="00DD4AB2">
        <w:rPr>
          <w:i/>
          <w:iCs/>
        </w:rPr>
        <w:t>s</w:t>
      </w:r>
      <w:r w:rsidRPr="00C94AC7">
        <w:rPr>
          <w:i/>
          <w:iCs/>
        </w:rPr>
        <w:t xml:space="preserve">: </w:t>
      </w:r>
      <w:r w:rsidRPr="00C94AC7">
        <w:rPr>
          <w:i/>
          <w:iCs/>
        </w:rPr>
        <w:tab/>
      </w:r>
      <w:r w:rsidR="00B5117F">
        <w:rPr>
          <w:iCs/>
        </w:rPr>
        <w:t xml:space="preserve">Exhaustion of domestic remedies; </w:t>
      </w:r>
      <w:r w:rsidR="00724F99">
        <w:rPr>
          <w:iCs/>
        </w:rPr>
        <w:t xml:space="preserve">victim status; </w:t>
      </w:r>
      <w:proofErr w:type="spellStart"/>
      <w:r w:rsidR="00B5117F" w:rsidRPr="00B5117F">
        <w:rPr>
          <w:i/>
          <w:iCs/>
        </w:rPr>
        <w:t>actio</w:t>
      </w:r>
      <w:proofErr w:type="spellEnd"/>
      <w:r w:rsidR="00B5117F" w:rsidRPr="00B5117F">
        <w:rPr>
          <w:i/>
          <w:iCs/>
        </w:rPr>
        <w:t xml:space="preserve"> </w:t>
      </w:r>
      <w:proofErr w:type="spellStart"/>
      <w:r w:rsidR="00B5117F" w:rsidRPr="00B5117F">
        <w:rPr>
          <w:i/>
          <w:iCs/>
        </w:rPr>
        <w:t>popularis</w:t>
      </w:r>
      <w:proofErr w:type="spellEnd"/>
      <w:r w:rsidR="00564263">
        <w:rPr>
          <w:iCs/>
        </w:rPr>
        <w:t xml:space="preserve"> </w:t>
      </w:r>
    </w:p>
    <w:p w14:paraId="57B68CBE" w14:textId="77777777" w:rsidR="001F6199" w:rsidRPr="005B31EB" w:rsidRDefault="00111738" w:rsidP="005B31EB">
      <w:pPr>
        <w:pStyle w:val="SingleTxtG"/>
        <w:ind w:left="4536" w:hanging="3402"/>
        <w:rPr>
          <w:color w:val="000000"/>
          <w:lang w:eastAsia="en-GB"/>
        </w:rPr>
      </w:pPr>
      <w:r w:rsidRPr="00C94AC7">
        <w:rPr>
          <w:i/>
          <w:iCs/>
        </w:rPr>
        <w:t>Substantive issues:</w:t>
      </w:r>
      <w:r w:rsidRPr="00C94AC7">
        <w:rPr>
          <w:i/>
          <w:iCs/>
        </w:rPr>
        <w:tab/>
      </w:r>
      <w:r w:rsidR="00564263">
        <w:rPr>
          <w:iCs/>
        </w:rPr>
        <w:t xml:space="preserve">Freedom of thought, conscience and religion; </w:t>
      </w:r>
      <w:r w:rsidR="00CF6AE5">
        <w:rPr>
          <w:iCs/>
        </w:rPr>
        <w:t>freedom of expression</w:t>
      </w:r>
      <w:r w:rsidR="00F72F40">
        <w:rPr>
          <w:iCs/>
        </w:rPr>
        <w:t>; protection of minorities</w:t>
      </w:r>
      <w:r w:rsidR="00CF6AE5">
        <w:rPr>
          <w:iCs/>
        </w:rPr>
        <w:t xml:space="preserve"> </w:t>
      </w:r>
    </w:p>
    <w:p w14:paraId="11422C18" w14:textId="77777777" w:rsidR="00111738" w:rsidRPr="00C94AC7" w:rsidRDefault="00111738" w:rsidP="005B31EB">
      <w:pPr>
        <w:pStyle w:val="SingleTxtG"/>
        <w:ind w:left="4536" w:hanging="3402"/>
      </w:pPr>
      <w:r w:rsidRPr="00C94AC7">
        <w:rPr>
          <w:i/>
          <w:iCs/>
        </w:rPr>
        <w:t>Articles of the Covenant:</w:t>
      </w:r>
      <w:r w:rsidRPr="00C94AC7">
        <w:t xml:space="preserve"> </w:t>
      </w:r>
      <w:r w:rsidR="005B31EB">
        <w:tab/>
      </w:r>
      <w:r w:rsidR="00564263">
        <w:t>18</w:t>
      </w:r>
      <w:r w:rsidR="00CF6AE5">
        <w:t xml:space="preserve"> (1) and (3)</w:t>
      </w:r>
      <w:r w:rsidR="00564263">
        <w:t xml:space="preserve">, </w:t>
      </w:r>
      <w:r w:rsidR="00CF6AE5">
        <w:t xml:space="preserve">19 (2) and (3) and </w:t>
      </w:r>
      <w:r w:rsidR="000F237C">
        <w:t>2</w:t>
      </w:r>
      <w:r w:rsidR="00CF6AE5">
        <w:t>7</w:t>
      </w:r>
    </w:p>
    <w:p w14:paraId="32A24ABE" w14:textId="77777777" w:rsidR="00DD4AB2" w:rsidRPr="00B5117F" w:rsidRDefault="00111738" w:rsidP="005B31EB">
      <w:pPr>
        <w:pStyle w:val="SingleTxtG"/>
        <w:ind w:left="4536" w:hanging="3402"/>
        <w:rPr>
          <w:iCs/>
        </w:rPr>
      </w:pPr>
      <w:r w:rsidRPr="00C94AC7">
        <w:rPr>
          <w:i/>
          <w:iCs/>
        </w:rPr>
        <w:t>Article</w:t>
      </w:r>
      <w:r w:rsidR="00DD4AB2">
        <w:rPr>
          <w:i/>
          <w:iCs/>
        </w:rPr>
        <w:t>s</w:t>
      </w:r>
      <w:r w:rsidRPr="00C94AC7">
        <w:rPr>
          <w:i/>
          <w:iCs/>
        </w:rPr>
        <w:t xml:space="preserve"> of the Optional Protocol:</w:t>
      </w:r>
      <w:r w:rsidRPr="00C94AC7">
        <w:rPr>
          <w:i/>
          <w:iCs/>
        </w:rPr>
        <w:tab/>
      </w:r>
      <w:r w:rsidR="00B5117F">
        <w:rPr>
          <w:iCs/>
        </w:rPr>
        <w:t xml:space="preserve">1, </w:t>
      </w:r>
      <w:r w:rsidR="00E6041B">
        <w:rPr>
          <w:iCs/>
        </w:rPr>
        <w:t xml:space="preserve">2, </w:t>
      </w:r>
      <w:r w:rsidR="00B5117F">
        <w:rPr>
          <w:iCs/>
        </w:rPr>
        <w:t>3</w:t>
      </w:r>
      <w:r w:rsidR="0092195A">
        <w:rPr>
          <w:iCs/>
        </w:rPr>
        <w:t>, 5 (2) (b)</w:t>
      </w:r>
    </w:p>
    <w:p w14:paraId="171A3371" w14:textId="77777777" w:rsidR="00DD4AB2" w:rsidRDefault="00DD4AB2">
      <w:pPr>
        <w:suppressAutoHyphens w:val="0"/>
        <w:spacing w:line="240" w:lineRule="auto"/>
        <w:rPr>
          <w:iCs/>
        </w:rPr>
      </w:pPr>
      <w:r>
        <w:rPr>
          <w:iCs/>
        </w:rPr>
        <w:br w:type="page"/>
      </w:r>
    </w:p>
    <w:p w14:paraId="65185B78" w14:textId="74365D61" w:rsidR="00F97DB4" w:rsidRPr="00B5117F" w:rsidRDefault="00F97DB4" w:rsidP="00AD05D1">
      <w:pPr>
        <w:pStyle w:val="SingleTxtG"/>
      </w:pPr>
      <w:r w:rsidRPr="00B5117F">
        <w:lastRenderedPageBreak/>
        <w:t>1.</w:t>
      </w:r>
      <w:r w:rsidR="005D000D" w:rsidRPr="00B5117F">
        <w:tab/>
      </w:r>
      <w:r w:rsidRPr="00B5117F">
        <w:t xml:space="preserve">The authors of the communication are Mr. </w:t>
      </w:r>
      <w:proofErr w:type="spellStart"/>
      <w:r w:rsidRPr="00B5117F">
        <w:t>Polat</w:t>
      </w:r>
      <w:proofErr w:type="spellEnd"/>
      <w:r w:rsidRPr="00B5117F">
        <w:t xml:space="preserve"> </w:t>
      </w:r>
      <w:proofErr w:type="spellStart"/>
      <w:r w:rsidRPr="00B5117F">
        <w:t>Bekzhan</w:t>
      </w:r>
      <w:proofErr w:type="spellEnd"/>
      <w:r w:rsidRPr="00B5117F">
        <w:t>, Mr. Leon Weaver J</w:t>
      </w:r>
      <w:r w:rsidR="007C4758">
        <w:t>r</w:t>
      </w:r>
      <w:r w:rsidRPr="00B5117F">
        <w:t xml:space="preserve">. and Mr. Helmut </w:t>
      </w:r>
      <w:proofErr w:type="spellStart"/>
      <w:r w:rsidRPr="00B5117F">
        <w:t>Echtle</w:t>
      </w:r>
      <w:proofErr w:type="spellEnd"/>
      <w:r w:rsidRPr="00B5117F">
        <w:t xml:space="preserve">, born </w:t>
      </w:r>
      <w:r w:rsidR="003C6683">
        <w:t xml:space="preserve">in </w:t>
      </w:r>
      <w:r w:rsidRPr="00B5117F">
        <w:t xml:space="preserve">1953, 1938 and 1938, respectively. The authors, respectively, are nationals of Kazakhstan, the United States of America and Germany. They </w:t>
      </w:r>
      <w:r w:rsidR="003C6683">
        <w:t xml:space="preserve">claim </w:t>
      </w:r>
      <w:r w:rsidRPr="00B5117F">
        <w:t xml:space="preserve">to be victims </w:t>
      </w:r>
      <w:r w:rsidRPr="00B5117F">
        <w:rPr>
          <w:lang w:val="en-US"/>
        </w:rPr>
        <w:t>of violations by Kazakhstan of their rights under</w:t>
      </w:r>
      <w:r w:rsidRPr="00B5117F">
        <w:t xml:space="preserve"> articles 18(1) and (3), 19 (2) and (3) and 27, of the </w:t>
      </w:r>
      <w:r w:rsidR="003C6683">
        <w:t xml:space="preserve">International </w:t>
      </w:r>
      <w:r w:rsidRPr="00B5117F">
        <w:rPr>
          <w:lang w:val="en-US"/>
        </w:rPr>
        <w:t>Covenant</w:t>
      </w:r>
      <w:r w:rsidR="003C6683">
        <w:rPr>
          <w:lang w:val="en-US"/>
        </w:rPr>
        <w:t xml:space="preserve"> on Civil and Political Rights</w:t>
      </w:r>
      <w:r w:rsidRPr="00B5117F">
        <w:t xml:space="preserve">. </w:t>
      </w:r>
      <w:r w:rsidR="003C6683">
        <w:t xml:space="preserve">They further </w:t>
      </w:r>
      <w:r w:rsidR="003C6683" w:rsidRPr="00B5117F">
        <w:t xml:space="preserve">claim </w:t>
      </w:r>
      <w:r w:rsidR="00A50E5A">
        <w:t xml:space="preserve">that they are </w:t>
      </w:r>
      <w:r w:rsidR="003C6683" w:rsidRPr="00B5117F">
        <w:t>bring</w:t>
      </w:r>
      <w:r w:rsidR="003C6683">
        <w:t>ing</w:t>
      </w:r>
      <w:r w:rsidR="003C6683" w:rsidRPr="00B5117F">
        <w:t xml:space="preserve"> the communication on behalf of all 17,500 Jehovah’s Witnesses in Kazakhstan</w:t>
      </w:r>
      <w:r w:rsidR="003C6683" w:rsidRPr="00B5117F">
        <w:rPr>
          <w:vertAlign w:val="superscript"/>
        </w:rPr>
        <w:footnoteReference w:id="4"/>
      </w:r>
      <w:r w:rsidR="003C6683" w:rsidRPr="00B5117F">
        <w:t xml:space="preserve"> and argue that the State party has violated their rights under article 18 (1) and 27 of the Covenant.</w:t>
      </w:r>
      <w:r w:rsidR="003C6683">
        <w:t xml:space="preserve"> </w:t>
      </w:r>
      <w:r w:rsidRPr="00B5117F">
        <w:t>The authors are represented by coun</w:t>
      </w:r>
      <w:r w:rsidR="00302C74">
        <w:t>sel</w:t>
      </w:r>
      <w:r w:rsidRPr="00B5117F">
        <w:t>, Mr</w:t>
      </w:r>
      <w:r w:rsidR="00443A0D">
        <w:t>.</w:t>
      </w:r>
      <w:r w:rsidRPr="00B5117F">
        <w:t xml:space="preserve"> Shane </w:t>
      </w:r>
      <w:r w:rsidR="00352922">
        <w:t xml:space="preserve">H. </w:t>
      </w:r>
      <w:r w:rsidRPr="00B5117F">
        <w:t>Brady and Mr</w:t>
      </w:r>
      <w:r w:rsidR="00443A0D">
        <w:t>.</w:t>
      </w:r>
      <w:r w:rsidRPr="00B5117F">
        <w:t xml:space="preserve"> </w:t>
      </w:r>
      <w:proofErr w:type="spellStart"/>
      <w:r w:rsidRPr="00B5117F">
        <w:t>Haykaz</w:t>
      </w:r>
      <w:proofErr w:type="spellEnd"/>
      <w:r w:rsidRPr="00B5117F">
        <w:t xml:space="preserve"> </w:t>
      </w:r>
      <w:proofErr w:type="spellStart"/>
      <w:r w:rsidRPr="00B5117F">
        <w:t>Zoryan</w:t>
      </w:r>
      <w:proofErr w:type="spellEnd"/>
      <w:r w:rsidRPr="00B5117F">
        <w:t xml:space="preserve">. </w:t>
      </w:r>
    </w:p>
    <w:p w14:paraId="7279F810" w14:textId="77777777" w:rsidR="00F97DB4" w:rsidRPr="00B5117F" w:rsidRDefault="001D78DC" w:rsidP="001D78DC">
      <w:pPr>
        <w:pStyle w:val="H23G"/>
      </w:pPr>
      <w:r>
        <w:tab/>
      </w:r>
      <w:r>
        <w:tab/>
      </w:r>
      <w:r w:rsidR="00F97DB4" w:rsidRPr="00B5117F">
        <w:t>Facts as submitted by the authors</w:t>
      </w:r>
    </w:p>
    <w:p w14:paraId="4C2E661D" w14:textId="4D1A7E40" w:rsidR="00F97DB4" w:rsidRPr="00B5117F" w:rsidRDefault="00F97DB4" w:rsidP="00AD05D1">
      <w:pPr>
        <w:pStyle w:val="SingleTxtG"/>
      </w:pPr>
      <w:r w:rsidRPr="00B5117F">
        <w:t>2.1</w:t>
      </w:r>
      <w:r w:rsidR="005D000D" w:rsidRPr="00B5117F">
        <w:tab/>
      </w:r>
      <w:r w:rsidRPr="00B5117F">
        <w:rPr>
          <w:lang w:val="en-US"/>
        </w:rPr>
        <w:t xml:space="preserve">The </w:t>
      </w:r>
      <w:r w:rsidRPr="00AD05D1">
        <w:t>authors</w:t>
      </w:r>
      <w:r w:rsidRPr="00B5117F">
        <w:rPr>
          <w:lang w:val="en-US"/>
        </w:rPr>
        <w:t xml:space="preserve"> are Jehovah’s Witnesses and each of them is an authorized representative of one of three religious </w:t>
      </w:r>
      <w:proofErr w:type="spellStart"/>
      <w:r w:rsidRPr="00B5117F">
        <w:rPr>
          <w:lang w:val="en-US"/>
        </w:rPr>
        <w:t>organisations</w:t>
      </w:r>
      <w:proofErr w:type="spellEnd"/>
      <w:r w:rsidRPr="00B5117F">
        <w:rPr>
          <w:lang w:val="en-US"/>
        </w:rPr>
        <w:t xml:space="preserve"> </w:t>
      </w:r>
      <w:r w:rsidR="003C6683">
        <w:rPr>
          <w:lang w:val="en-US"/>
        </w:rPr>
        <w:t xml:space="preserve">who </w:t>
      </w:r>
      <w:r w:rsidRPr="00B5117F">
        <w:rPr>
          <w:lang w:val="en-US"/>
        </w:rPr>
        <w:t xml:space="preserve">provide Bibles and other religious literature to Jehovah’s Witnesses in Kazakhstan. </w:t>
      </w:r>
      <w:r w:rsidRPr="00B5117F">
        <w:t xml:space="preserve">Mr. </w:t>
      </w:r>
      <w:proofErr w:type="spellStart"/>
      <w:r w:rsidRPr="00B5117F">
        <w:t>Bekzhan</w:t>
      </w:r>
      <w:proofErr w:type="spellEnd"/>
      <w:r w:rsidRPr="00B5117F">
        <w:t xml:space="preserve"> </w:t>
      </w:r>
      <w:r w:rsidRPr="00B5117F">
        <w:rPr>
          <w:lang w:val="en-US"/>
        </w:rPr>
        <w:t xml:space="preserve">imports literature of Jehovah’s Witnesses to Kazakhstan, </w:t>
      </w:r>
      <w:r w:rsidRPr="00B5117F">
        <w:t>Mr. Weaver J</w:t>
      </w:r>
      <w:r w:rsidR="00352922">
        <w:t>r.</w:t>
      </w:r>
      <w:r w:rsidRPr="00B5117F">
        <w:t xml:space="preserve">, publishes literature </w:t>
      </w:r>
      <w:r w:rsidR="003C6683">
        <w:t xml:space="preserve">used by </w:t>
      </w:r>
      <w:r w:rsidRPr="00B5117F">
        <w:t xml:space="preserve">Jehovah’s Witnesses in their worship and Mr. </w:t>
      </w:r>
      <w:proofErr w:type="spellStart"/>
      <w:r w:rsidRPr="00B5117F">
        <w:t>Echtle</w:t>
      </w:r>
      <w:proofErr w:type="spellEnd"/>
      <w:r w:rsidRPr="00B5117F">
        <w:rPr>
          <w:lang w:val="en-US"/>
        </w:rPr>
        <w:t xml:space="preserve"> prints and ships literature to Kazakhstan </w:t>
      </w:r>
      <w:r w:rsidR="00302C74">
        <w:rPr>
          <w:lang w:val="en-US"/>
        </w:rPr>
        <w:t xml:space="preserve">where </w:t>
      </w:r>
      <w:r w:rsidRPr="00B5117F">
        <w:rPr>
          <w:lang w:val="en-US"/>
        </w:rPr>
        <w:t>more than 17,500 Jehovah’s Witnesses</w:t>
      </w:r>
      <w:r w:rsidR="00A50E5A">
        <w:rPr>
          <w:lang w:val="en-US"/>
        </w:rPr>
        <w:t xml:space="preserve"> live</w:t>
      </w:r>
      <w:r w:rsidRPr="00B5117F">
        <w:rPr>
          <w:lang w:val="en-US"/>
        </w:rPr>
        <w:t xml:space="preserve"> and 30,000 persons attend their religious meetings.</w:t>
      </w:r>
    </w:p>
    <w:p w14:paraId="2B103A62" w14:textId="77777777" w:rsidR="00F97DB4" w:rsidRPr="00B5117F" w:rsidRDefault="00F97DB4" w:rsidP="00F97DB4">
      <w:pPr>
        <w:pStyle w:val="SingleTxtG"/>
      </w:pPr>
      <w:r w:rsidRPr="00B5117F">
        <w:t>2.2</w:t>
      </w:r>
      <w:r w:rsidR="005D000D" w:rsidRPr="00B5117F">
        <w:tab/>
      </w:r>
      <w:r w:rsidRPr="00B5117F">
        <w:t xml:space="preserve">On 11 October 2011, the State party adopted the Law on Religious Activity and Religious Associations, No. 483-IV (2011 Religion Law). Under article 9 (3) of the law, a registered religious organisation may import religious literature for its use and the use of its members only after ‘receiving a positive conclusion of the religious expert </w:t>
      </w:r>
      <w:r w:rsidR="003C6683">
        <w:t>examination</w:t>
      </w:r>
      <w:r w:rsidRPr="00B5117F">
        <w:t xml:space="preserve">. Article 6 (1) (4) </w:t>
      </w:r>
      <w:r w:rsidR="00302C74">
        <w:t xml:space="preserve">of the law </w:t>
      </w:r>
      <w:r w:rsidRPr="00B5117F">
        <w:t xml:space="preserve">stipulates that the authorised agency conducts the religious expert </w:t>
      </w:r>
      <w:r w:rsidR="003C6683">
        <w:t>examination</w:t>
      </w:r>
      <w:r w:rsidRPr="00B5117F">
        <w:t xml:space="preserve"> with the exception of materials intended for personal use. The procedure for conducting a religious expert </w:t>
      </w:r>
      <w:r w:rsidR="003C6683">
        <w:t>examination</w:t>
      </w:r>
      <w:r w:rsidRPr="00B5117F">
        <w:t xml:space="preserve"> is established by the Government. </w:t>
      </w:r>
    </w:p>
    <w:p w14:paraId="289C7EE5" w14:textId="77777777" w:rsidR="00F97DB4" w:rsidRPr="00B5117F" w:rsidRDefault="00F97DB4" w:rsidP="00F97DB4">
      <w:pPr>
        <w:pStyle w:val="SingleTxtG"/>
      </w:pPr>
      <w:r w:rsidRPr="00B5117F">
        <w:t>2.3</w:t>
      </w:r>
      <w:r w:rsidR="005D000D" w:rsidRPr="00B5117F">
        <w:tab/>
      </w:r>
      <w:r w:rsidRPr="00B5117F">
        <w:t>The authors claim that although it is not expressly stipulated in the Religion Law</w:t>
      </w:r>
      <w:r w:rsidR="00292CD2">
        <w:t xml:space="preserve"> of 2011</w:t>
      </w:r>
      <w:r w:rsidRPr="00B5117F">
        <w:t>, the Agency for Religious Affairs (ARA) has the responsibility to approve import</w:t>
      </w:r>
      <w:r w:rsidR="00995601">
        <w:t>ation</w:t>
      </w:r>
      <w:r w:rsidRPr="00B5117F">
        <w:t xml:space="preserve"> of all religious literature used by registered religious organisations into Kazakhstan. According to article 4 (3) of Government Order No. 209</w:t>
      </w:r>
      <w:r w:rsidR="00302C74">
        <w:t xml:space="preserve"> of 7 </w:t>
      </w:r>
      <w:r w:rsidRPr="00B5117F">
        <w:t xml:space="preserve">February 2012, ‘On the Guidelines for Conducting a Religious Expert </w:t>
      </w:r>
      <w:r w:rsidR="005964CC">
        <w:t>Examination</w:t>
      </w:r>
      <w:r w:rsidRPr="00B5117F">
        <w:t xml:space="preserve">’, all imported literature used by religious organisations is subject to an expert </w:t>
      </w:r>
      <w:r w:rsidR="005964CC">
        <w:t>examination</w:t>
      </w:r>
      <w:r w:rsidRPr="00B5117F">
        <w:t xml:space="preserve">. The purpose </w:t>
      </w:r>
      <w:r w:rsidR="00995601">
        <w:t>of</w:t>
      </w:r>
      <w:r w:rsidR="00995601" w:rsidRPr="00B5117F">
        <w:t xml:space="preserve"> </w:t>
      </w:r>
      <w:r w:rsidRPr="00B5117F">
        <w:t>conducting such a</w:t>
      </w:r>
      <w:r w:rsidR="005964CC">
        <w:t>n examination</w:t>
      </w:r>
      <w:r w:rsidRPr="00B5117F">
        <w:t xml:space="preserve"> is to establish whether the religious literature corresponds to the norms of the Kazakh Constitution and legislation. </w:t>
      </w:r>
      <w:r w:rsidRPr="00B5117F">
        <w:rPr>
          <w:lang w:val="en-US"/>
        </w:rPr>
        <w:t>T</w:t>
      </w:r>
      <w:r w:rsidRPr="00B5117F">
        <w:t xml:space="preserve">he authors submit that the 2011 Religion Law does not provide any criteria specifying how the religious expert </w:t>
      </w:r>
      <w:r w:rsidR="005964CC">
        <w:t xml:space="preserve">examination </w:t>
      </w:r>
      <w:r w:rsidRPr="00B5117F">
        <w:t>approve</w:t>
      </w:r>
      <w:r w:rsidR="005964CC">
        <w:t>s</w:t>
      </w:r>
      <w:r w:rsidRPr="00B5117F">
        <w:t xml:space="preserve"> or refuse</w:t>
      </w:r>
      <w:r w:rsidR="005964CC">
        <w:t>s</w:t>
      </w:r>
      <w:r w:rsidRPr="00B5117F">
        <w:t xml:space="preserve"> approval to a religious organisation wish</w:t>
      </w:r>
      <w:r w:rsidR="004D0B2E">
        <w:t>ing</w:t>
      </w:r>
      <w:r w:rsidRPr="00B5117F">
        <w:t xml:space="preserve"> to import religious information material.</w:t>
      </w:r>
    </w:p>
    <w:p w14:paraId="16BCE100" w14:textId="77777777" w:rsidR="00F97DB4" w:rsidRPr="00B5117F" w:rsidRDefault="00F97DB4" w:rsidP="00F97DB4">
      <w:pPr>
        <w:pStyle w:val="SingleTxtG"/>
      </w:pPr>
      <w:r w:rsidRPr="00B5117F">
        <w:t>2.4</w:t>
      </w:r>
      <w:r w:rsidR="005D000D" w:rsidRPr="00B5117F">
        <w:tab/>
      </w:r>
      <w:r w:rsidRPr="00B5117F">
        <w:t>The use of religious literature that is not authorised by the ARA is punishable under article 375 (1) of the Code of Administrative Violations, which stipulates that infringement, ‘</w:t>
      </w:r>
      <w:r w:rsidRPr="00B5117F">
        <w:rPr>
          <w:i/>
        </w:rPr>
        <w:t xml:space="preserve">shall </w:t>
      </w:r>
      <w:r w:rsidRPr="00B5117F">
        <w:rPr>
          <w:i/>
          <w:lang w:val="en-US"/>
        </w:rPr>
        <w:t>incur a warning or a fine on the director of the religious association in the amount up to 20 times the monthly calculation index and on a legal entity up to 100 times the monthly calculation index with the suspension of activity for up to six months or a ban on the activity, or without such</w:t>
      </w:r>
      <w:r w:rsidRPr="00B5117F">
        <w:rPr>
          <w:lang w:val="en-US"/>
        </w:rPr>
        <w:t>’.</w:t>
      </w:r>
    </w:p>
    <w:p w14:paraId="67106D40" w14:textId="6303D130" w:rsidR="00F97DB4" w:rsidRPr="00B5117F" w:rsidRDefault="00F97DB4" w:rsidP="00F97DB4">
      <w:pPr>
        <w:pStyle w:val="SingleTxtG"/>
      </w:pPr>
      <w:r w:rsidRPr="00B5117F">
        <w:t>2.5</w:t>
      </w:r>
      <w:r w:rsidR="005D000D" w:rsidRPr="00B5117F">
        <w:tab/>
      </w:r>
      <w:r w:rsidRPr="00B5117F">
        <w:t xml:space="preserve">In September, November and December 2012, the Religious </w:t>
      </w:r>
      <w:r w:rsidR="00E07FBA" w:rsidRPr="00B5117F">
        <w:t>Centre</w:t>
      </w:r>
      <w:r w:rsidRPr="00B5117F">
        <w:t xml:space="preserve"> of Jehovah’s Witnesses requested authorization to import ten religious publications. However, the import was refused by ARA, </w:t>
      </w:r>
      <w:r w:rsidR="00DA371E">
        <w:t>which</w:t>
      </w:r>
      <w:r w:rsidR="00DA371E" w:rsidRPr="00B5117F">
        <w:t xml:space="preserve"> </w:t>
      </w:r>
      <w:r w:rsidRPr="00B5117F">
        <w:t xml:space="preserve">relied on the findings of the religious expert </w:t>
      </w:r>
      <w:r w:rsidR="005964CC">
        <w:t>examination</w:t>
      </w:r>
      <w:r w:rsidRPr="00B5117F">
        <w:t>. The authors appealed the decision to the Chairman of ARA. On 31 January 2013, their appeal was rejected. The Chairman of ARA stated that the publications were to be banned since they contained ideas that, ‘</w:t>
      </w:r>
      <w:r w:rsidRPr="00B5117F">
        <w:rPr>
          <w:i/>
        </w:rPr>
        <w:t>discourage secular education</w:t>
      </w:r>
      <w:r w:rsidRPr="00B5117F">
        <w:t>’, ‘</w:t>
      </w:r>
      <w:r w:rsidRPr="00B5117F">
        <w:rPr>
          <w:i/>
        </w:rPr>
        <w:t>can cause family breakup</w:t>
      </w:r>
      <w:r w:rsidRPr="00B5117F">
        <w:t>’ and ‘</w:t>
      </w:r>
      <w:r w:rsidRPr="00B5117F">
        <w:rPr>
          <w:i/>
        </w:rPr>
        <w:t>its teachings are superior and rejects the fundamental teachings of traditional Christianity</w:t>
      </w:r>
      <w:r w:rsidRPr="00B5117F">
        <w:t xml:space="preserve">’. Further, he recommended </w:t>
      </w:r>
      <w:r w:rsidR="00DA371E">
        <w:t xml:space="preserve">that </w:t>
      </w:r>
      <w:r w:rsidRPr="00B5117F">
        <w:t xml:space="preserve">the authors edit the content of the publications. </w:t>
      </w:r>
    </w:p>
    <w:p w14:paraId="7C3C2F8D" w14:textId="77777777" w:rsidR="00F97DB4" w:rsidRPr="00B5117F" w:rsidRDefault="00F97DB4" w:rsidP="00AD05D1">
      <w:pPr>
        <w:pStyle w:val="SingleTxtG"/>
      </w:pPr>
      <w:r w:rsidRPr="00B5117F">
        <w:t>2.6</w:t>
      </w:r>
      <w:r w:rsidR="005D000D" w:rsidRPr="00B5117F">
        <w:tab/>
      </w:r>
      <w:r w:rsidRPr="00B5117F">
        <w:t xml:space="preserve">In May 2013, the authors filed an application to the Astana Specialized Inter-district Economic Court challenging the decisions of ARA. On 3 July 2013, the Court dismissed the </w:t>
      </w:r>
      <w:r w:rsidRPr="00B5117F">
        <w:lastRenderedPageBreak/>
        <w:t xml:space="preserve">authors’ application, finding that the disputed decisions by ARA were made in accordance with the law, that there had been no violation of the rights and freedoms of the authors, and that the religious expert </w:t>
      </w:r>
      <w:r w:rsidR="005964CC">
        <w:t>examination</w:t>
      </w:r>
      <w:r w:rsidRPr="00B5117F">
        <w:t xml:space="preserve"> was conducted ‘in strict observance with </w:t>
      </w:r>
      <w:r w:rsidR="005964CC">
        <w:t xml:space="preserve">the </w:t>
      </w:r>
      <w:r w:rsidRPr="00B5117F">
        <w:t>law’. Further</w:t>
      </w:r>
      <w:r w:rsidR="005964CC">
        <w:t>,</w:t>
      </w:r>
      <w:r w:rsidRPr="00B5117F">
        <w:t xml:space="preserve"> the </w:t>
      </w:r>
      <w:r w:rsidRPr="00534166">
        <w:t xml:space="preserve">Court noted </w:t>
      </w:r>
      <w:r w:rsidRPr="00AD05D1">
        <w:t>that</w:t>
      </w:r>
      <w:r w:rsidRPr="00534166">
        <w:t xml:space="preserve"> the publications in question could be corrected and resubmitted for an expert study and therefore found that no hindrance of or limitation on the distribution of the religious literature had taken place.</w:t>
      </w:r>
      <w:r w:rsidRPr="00B5117F">
        <w:t xml:space="preserve"> </w:t>
      </w:r>
    </w:p>
    <w:p w14:paraId="2BF9255E" w14:textId="247D0B3C" w:rsidR="00F97DB4" w:rsidRPr="00B5117F" w:rsidRDefault="00F97DB4" w:rsidP="00AD05D1">
      <w:pPr>
        <w:pStyle w:val="SingleTxtG"/>
      </w:pPr>
      <w:r w:rsidRPr="00B5117F">
        <w:t>2.7</w:t>
      </w:r>
      <w:r w:rsidR="005D000D" w:rsidRPr="00B5117F">
        <w:tab/>
      </w:r>
      <w:r w:rsidRPr="00B5117F">
        <w:t>An appeal was lodged by the authors to the Appeals Chamber of the Astana City Court</w:t>
      </w:r>
      <w:r w:rsidR="00DA371E">
        <w:t>,</w:t>
      </w:r>
      <w:r w:rsidRPr="00B5117F">
        <w:t xml:space="preserve"> which upheld the 3 </w:t>
      </w:r>
      <w:r w:rsidRPr="00AD05D1">
        <w:t>July</w:t>
      </w:r>
      <w:r w:rsidRPr="00B5117F">
        <w:t xml:space="preserve"> 2013 decision on 27 August 2013. A further appeal was filed with the Cassation Chamber of the Astana City Court, which upheld the ruling on 6 May 2014.  Subsequently, the authors filed a motion for supervisory review to the Supreme Court, which was dismissed on 4 September 2014.</w:t>
      </w:r>
    </w:p>
    <w:p w14:paraId="101B456B" w14:textId="77777777" w:rsidR="00F97DB4" w:rsidRPr="00B5117F" w:rsidRDefault="00AD05D1" w:rsidP="00AD05D1">
      <w:pPr>
        <w:pStyle w:val="H23G"/>
      </w:pPr>
      <w:r>
        <w:rPr>
          <w:lang w:val="en-US"/>
        </w:rPr>
        <w:tab/>
      </w:r>
      <w:r>
        <w:rPr>
          <w:lang w:val="en-US"/>
        </w:rPr>
        <w:tab/>
      </w:r>
      <w:r w:rsidR="00F97DB4" w:rsidRPr="00B5117F">
        <w:rPr>
          <w:lang w:val="en-US"/>
        </w:rPr>
        <w:t>The Complaint</w:t>
      </w:r>
    </w:p>
    <w:p w14:paraId="0142CB2E" w14:textId="1BD8AB8E" w:rsidR="00F97DB4" w:rsidRPr="00B5117F" w:rsidRDefault="00F97DB4" w:rsidP="00AD05D1">
      <w:pPr>
        <w:pStyle w:val="SingleTxtG"/>
      </w:pPr>
      <w:r w:rsidRPr="00B5117F">
        <w:t>3.1</w:t>
      </w:r>
      <w:r w:rsidR="005D000D" w:rsidRPr="00B5117F">
        <w:tab/>
      </w:r>
      <w:r w:rsidRPr="00B5117F">
        <w:t xml:space="preserve">The authors claim that the decisions made by </w:t>
      </w:r>
      <w:r w:rsidR="00302C74">
        <w:t xml:space="preserve">the </w:t>
      </w:r>
      <w:r w:rsidRPr="00B5117F">
        <w:t>Agency for Religious Affairs (ARA) refusing the import</w:t>
      </w:r>
      <w:r w:rsidR="00DA371E">
        <w:t>ation</w:t>
      </w:r>
      <w:r w:rsidRPr="00B5117F">
        <w:t xml:space="preserve"> of ten </w:t>
      </w:r>
      <w:r w:rsidRPr="00AD05D1">
        <w:t>religious</w:t>
      </w:r>
      <w:r w:rsidRPr="00B5117F">
        <w:t xml:space="preserve"> publications into </w:t>
      </w:r>
      <w:r w:rsidR="00E07FBA">
        <w:t>the State party</w:t>
      </w:r>
      <w:r w:rsidRPr="00B5117F">
        <w:t xml:space="preserve">, to be used </w:t>
      </w:r>
      <w:r w:rsidR="005964CC">
        <w:t xml:space="preserve">for </w:t>
      </w:r>
      <w:r w:rsidRPr="00B5117F">
        <w:t>religious worship of Jehovah’s Witnesses, amount to violations of</w:t>
      </w:r>
      <w:r w:rsidR="005964CC">
        <w:t xml:space="preserve"> their rights under</w:t>
      </w:r>
      <w:r w:rsidRPr="00B5117F">
        <w:t xml:space="preserve"> article 18 (1) and (3), 19 (2) and (3) and article 27 of the Covenant.</w:t>
      </w:r>
    </w:p>
    <w:p w14:paraId="7A7944C0" w14:textId="77777777" w:rsidR="00F97DB4" w:rsidRPr="00B5117F" w:rsidRDefault="00F97DB4" w:rsidP="00F97DB4">
      <w:pPr>
        <w:pStyle w:val="SingleTxtG"/>
      </w:pPr>
      <w:r w:rsidRPr="00B5117F">
        <w:t>3.2</w:t>
      </w:r>
      <w:r w:rsidR="005D000D" w:rsidRPr="00B5117F">
        <w:tab/>
      </w:r>
      <w:r w:rsidRPr="00B5117F">
        <w:t>The authors claim that imposing a restriction or ban on the ‘circulation, distribution or sale’ of a book interferes with the right to freedom of expression and that such a restriction on a religious publication interferes with the freedom of religion.</w:t>
      </w:r>
      <w:r w:rsidRPr="00B5117F">
        <w:rPr>
          <w:vertAlign w:val="superscript"/>
        </w:rPr>
        <w:footnoteReference w:id="5"/>
      </w:r>
      <w:r w:rsidRPr="00B5117F">
        <w:t xml:space="preserve"> The decisions of ARA refusing permission to import the religious publications in question have thereby interfered with the rights of the authors and </w:t>
      </w:r>
      <w:r w:rsidR="004211B5">
        <w:t xml:space="preserve">of </w:t>
      </w:r>
      <w:r w:rsidRPr="00B5117F">
        <w:t xml:space="preserve">all Jehovah’s Witnesses </w:t>
      </w:r>
      <w:r w:rsidR="00A618B5">
        <w:t xml:space="preserve">as a religious minority </w:t>
      </w:r>
      <w:r w:rsidRPr="00B5117F">
        <w:t xml:space="preserve">in </w:t>
      </w:r>
      <w:r w:rsidR="00E07FBA">
        <w:t>the State party</w:t>
      </w:r>
      <w:r w:rsidRPr="00B5117F">
        <w:t xml:space="preserve">. Further, they claim that such interference does not fall under the limitations prescribed by article 18 (3), as all passages in the religious publications to which ARA objects are mere statements of </w:t>
      </w:r>
      <w:r w:rsidR="00E07FBA">
        <w:t xml:space="preserve">the </w:t>
      </w:r>
      <w:r w:rsidRPr="00B5117F">
        <w:t>religious beliefs of Jehovah’s Witnesses.</w:t>
      </w:r>
      <w:r w:rsidRPr="00B5117F">
        <w:rPr>
          <w:vertAlign w:val="superscript"/>
        </w:rPr>
        <w:footnoteReference w:id="6"/>
      </w:r>
      <w:r w:rsidRPr="00B5117F">
        <w:t xml:space="preserve"> Therefore, the ARA’s interference with their right to freedom of religion cannot be justified</w:t>
      </w:r>
      <w:r w:rsidRPr="00B5117F">
        <w:rPr>
          <w:vertAlign w:val="superscript"/>
        </w:rPr>
        <w:footnoteReference w:id="7"/>
      </w:r>
      <w:r w:rsidRPr="00B5117F">
        <w:t xml:space="preserve"> since it does not pursue a legitimate aim and is not necessary</w:t>
      </w:r>
      <w:r w:rsidRPr="00B5117F">
        <w:rPr>
          <w:vertAlign w:val="superscript"/>
        </w:rPr>
        <w:footnoteReference w:id="8"/>
      </w:r>
      <w:r w:rsidRPr="00B5117F">
        <w:t xml:space="preserve"> in a democratic society.</w:t>
      </w:r>
      <w:r w:rsidRPr="00B5117F">
        <w:rPr>
          <w:vertAlign w:val="superscript"/>
        </w:rPr>
        <w:footnoteReference w:id="9"/>
      </w:r>
    </w:p>
    <w:p w14:paraId="194F7DED" w14:textId="77777777" w:rsidR="00111738" w:rsidRPr="00B5117F" w:rsidRDefault="00AD05D1" w:rsidP="00AD05D1">
      <w:pPr>
        <w:pStyle w:val="H23G"/>
      </w:pPr>
      <w:r>
        <w:tab/>
      </w:r>
      <w:r>
        <w:tab/>
      </w:r>
      <w:r w:rsidR="00111738" w:rsidRPr="00B5117F">
        <w:t xml:space="preserve">State party’s </w:t>
      </w:r>
      <w:r w:rsidR="00111738" w:rsidRPr="00AD05D1">
        <w:t>observations</w:t>
      </w:r>
      <w:r w:rsidR="00111738" w:rsidRPr="00B5117F">
        <w:t xml:space="preserve"> on admissibility </w:t>
      </w:r>
    </w:p>
    <w:p w14:paraId="199EBC00" w14:textId="4D6956C6" w:rsidR="0026554D" w:rsidRPr="00B5117F" w:rsidRDefault="00C440C3" w:rsidP="0026554D">
      <w:pPr>
        <w:pStyle w:val="SingleTxtG"/>
      </w:pPr>
      <w:r w:rsidRPr="00B5117F">
        <w:t>4.1</w:t>
      </w:r>
      <w:r w:rsidRPr="00B5117F">
        <w:tab/>
      </w:r>
      <w:r w:rsidR="00923E91" w:rsidRPr="00B5117F">
        <w:t xml:space="preserve">By </w:t>
      </w:r>
      <w:r w:rsidR="008136E0" w:rsidRPr="00B5117F">
        <w:t xml:space="preserve">note </w:t>
      </w:r>
      <w:proofErr w:type="spellStart"/>
      <w:r w:rsidR="008136E0" w:rsidRPr="00B5117F">
        <w:t>verbale</w:t>
      </w:r>
      <w:proofErr w:type="spellEnd"/>
      <w:r w:rsidR="008136E0" w:rsidRPr="00B5117F">
        <w:t xml:space="preserve"> of </w:t>
      </w:r>
      <w:r w:rsidR="00823E15" w:rsidRPr="00B5117F">
        <w:t>2</w:t>
      </w:r>
      <w:r w:rsidR="0026554D" w:rsidRPr="00B5117F">
        <w:t>9 December</w:t>
      </w:r>
      <w:r w:rsidR="002C668B" w:rsidRPr="00B5117F">
        <w:t xml:space="preserve"> 201</w:t>
      </w:r>
      <w:r w:rsidR="0026554D" w:rsidRPr="00B5117F">
        <w:t>5</w:t>
      </w:r>
      <w:r w:rsidR="002C668B" w:rsidRPr="00B5117F">
        <w:t xml:space="preserve">, the State party submits </w:t>
      </w:r>
      <w:r w:rsidR="00385ED1" w:rsidRPr="00B5117F">
        <w:t xml:space="preserve">that </w:t>
      </w:r>
      <w:r w:rsidR="00DC5E26" w:rsidRPr="00B5117F">
        <w:t>t</w:t>
      </w:r>
      <w:r w:rsidR="0026554D" w:rsidRPr="00B5117F">
        <w:t>he author</w:t>
      </w:r>
      <w:r w:rsidR="00DC5E26" w:rsidRPr="00B5117F">
        <w:t>s</w:t>
      </w:r>
      <w:r w:rsidR="0026554D" w:rsidRPr="00B5117F">
        <w:t xml:space="preserve"> dispute the decision </w:t>
      </w:r>
      <w:r w:rsidR="00DC5E26" w:rsidRPr="00B5117F">
        <w:t xml:space="preserve">of </w:t>
      </w:r>
      <w:r w:rsidR="0026554D" w:rsidRPr="00B5117F">
        <w:t xml:space="preserve">3 July 2013 of the Astana Specialized Inter-district Economic Court, which denied the claim of the regional religious association, Christian </w:t>
      </w:r>
      <w:r w:rsidR="00E07FBA" w:rsidRPr="00B5117F">
        <w:t>Centre</w:t>
      </w:r>
      <w:r w:rsidR="0026554D" w:rsidRPr="00B5117F">
        <w:t xml:space="preserve"> of Jehovah’s Witnesses; Watch tower [sic] Bible and Tract Society of New York, Inc.; and </w:t>
      </w:r>
      <w:proofErr w:type="spellStart"/>
      <w:r w:rsidR="0026554D" w:rsidRPr="00B5117F">
        <w:t>Wachtturm</w:t>
      </w:r>
      <w:proofErr w:type="spellEnd"/>
      <w:r w:rsidR="0026554D" w:rsidRPr="00B5117F">
        <w:t xml:space="preserve"> </w:t>
      </w:r>
      <w:proofErr w:type="spellStart"/>
      <w:r w:rsidR="0026554D" w:rsidRPr="00B5117F">
        <w:t>Bibel</w:t>
      </w:r>
      <w:proofErr w:type="spellEnd"/>
      <w:r w:rsidR="0026554D" w:rsidRPr="00B5117F">
        <w:t xml:space="preserve">- und </w:t>
      </w:r>
      <w:proofErr w:type="spellStart"/>
      <w:r w:rsidR="0026554D" w:rsidRPr="00B5117F">
        <w:t>Traktat</w:t>
      </w:r>
      <w:proofErr w:type="spellEnd"/>
      <w:r w:rsidR="0026554D" w:rsidRPr="00B5117F">
        <w:t xml:space="preserve">-Gesellschaft der </w:t>
      </w:r>
      <w:proofErr w:type="spellStart"/>
      <w:r w:rsidR="0026554D" w:rsidRPr="00B5117F">
        <w:t>Zeugen</w:t>
      </w:r>
      <w:proofErr w:type="spellEnd"/>
      <w:r w:rsidR="0026554D" w:rsidRPr="00B5117F">
        <w:t xml:space="preserve"> </w:t>
      </w:r>
      <w:proofErr w:type="spellStart"/>
      <w:r w:rsidR="0026554D" w:rsidRPr="00B5117F">
        <w:t>Jehovas</w:t>
      </w:r>
      <w:proofErr w:type="spellEnd"/>
      <w:r w:rsidR="0026554D" w:rsidRPr="00B5117F">
        <w:t xml:space="preserve">, e. V. against the </w:t>
      </w:r>
      <w:r w:rsidR="00DC5E26" w:rsidRPr="00B5117F">
        <w:t xml:space="preserve">State party’s </w:t>
      </w:r>
      <w:r w:rsidR="0026554D" w:rsidRPr="00B5117F">
        <w:t xml:space="preserve">Agency for Religious Affairs. The </w:t>
      </w:r>
      <w:r w:rsidR="00DC5E26" w:rsidRPr="00B5117F">
        <w:t xml:space="preserve">authors </w:t>
      </w:r>
      <w:r w:rsidR="0026554D" w:rsidRPr="00B5117F">
        <w:t>requested that the expert conclusions in connection with the denial of import</w:t>
      </w:r>
      <w:r w:rsidR="00DA371E">
        <w:t>ation</w:t>
      </w:r>
      <w:r w:rsidR="0026554D" w:rsidRPr="00B5117F">
        <w:t xml:space="preserve"> of the November 2012 issue of Awake! in Russian and the brochure Examining the Scriptures Daily</w:t>
      </w:r>
      <w:r w:rsidR="004211B5">
        <w:t xml:space="preserve"> - </w:t>
      </w:r>
      <w:r w:rsidR="0026554D" w:rsidRPr="00B5117F">
        <w:t>2013 in Russian and Kazakh; the issue of The Watchtower in Russian and Kazakh</w:t>
      </w:r>
      <w:r w:rsidR="00DC5E26" w:rsidRPr="00B5117F">
        <w:t xml:space="preserve"> of 15 March 2013</w:t>
      </w:r>
      <w:r w:rsidR="0026554D" w:rsidRPr="00B5117F">
        <w:t>; the October</w:t>
      </w:r>
      <w:r w:rsidR="004211B5">
        <w:t xml:space="preserve"> - </w:t>
      </w:r>
      <w:r w:rsidR="0026554D" w:rsidRPr="00B5117F">
        <w:t xml:space="preserve">December 2012 issue of The Watchtower in Kazakh; the issue of The Watchtower </w:t>
      </w:r>
      <w:r w:rsidR="00DC5E26" w:rsidRPr="00B5117F">
        <w:t xml:space="preserve">of 15 January 2013 </w:t>
      </w:r>
      <w:r w:rsidR="0026554D" w:rsidRPr="00B5117F">
        <w:t xml:space="preserve">in Russian and Kazakh; and the issue of The Watchtower </w:t>
      </w:r>
      <w:r w:rsidR="00DC5E26" w:rsidRPr="00B5117F">
        <w:t xml:space="preserve">of 15 February 2013 </w:t>
      </w:r>
      <w:r w:rsidR="0026554D" w:rsidRPr="00B5117F">
        <w:t>in Russian and Kazakh be declared unlawful, and that this violation be remedied.</w:t>
      </w:r>
      <w:r w:rsidR="000B3865" w:rsidRPr="00B5117F">
        <w:t xml:space="preserve"> In the authors’ </w:t>
      </w:r>
      <w:r w:rsidR="0026554D" w:rsidRPr="00B5117F">
        <w:t xml:space="preserve">opinion, the </w:t>
      </w:r>
      <w:r w:rsidR="000B3865" w:rsidRPr="00B5117F">
        <w:t xml:space="preserve">State party </w:t>
      </w:r>
      <w:r w:rsidR="0026554D" w:rsidRPr="00B5117F">
        <w:t xml:space="preserve">violated </w:t>
      </w:r>
      <w:r w:rsidR="004211B5">
        <w:t xml:space="preserve">Mr. </w:t>
      </w:r>
      <w:proofErr w:type="spellStart"/>
      <w:r w:rsidR="0026554D" w:rsidRPr="00B5117F">
        <w:t>Bekzhan’s</w:t>
      </w:r>
      <w:proofErr w:type="spellEnd"/>
      <w:r w:rsidR="0026554D" w:rsidRPr="00B5117F">
        <w:t xml:space="preserve"> rights that are</w:t>
      </w:r>
      <w:r w:rsidR="00114DF5" w:rsidRPr="00B5117F">
        <w:t xml:space="preserve"> </w:t>
      </w:r>
      <w:r w:rsidR="0026554D" w:rsidRPr="00B5117F">
        <w:t xml:space="preserve">guaranteed by the </w:t>
      </w:r>
      <w:r w:rsidR="000B3865" w:rsidRPr="00B5117F">
        <w:t>Covenant</w:t>
      </w:r>
      <w:r w:rsidR="0026554D" w:rsidRPr="00B5117F">
        <w:t>.</w:t>
      </w:r>
    </w:p>
    <w:p w14:paraId="799F09BD" w14:textId="77777777" w:rsidR="0026554D" w:rsidRPr="00B5117F" w:rsidRDefault="000B3865" w:rsidP="0026554D">
      <w:pPr>
        <w:pStyle w:val="SingleTxtG"/>
      </w:pPr>
      <w:r w:rsidRPr="00B5117F">
        <w:t>4.2</w:t>
      </w:r>
      <w:r w:rsidRPr="00B5117F">
        <w:tab/>
        <w:t>The State party recalls that a</w:t>
      </w:r>
      <w:r w:rsidR="0026554D" w:rsidRPr="00B5117F">
        <w:t xml:space="preserve">ccording to </w:t>
      </w:r>
      <w:r w:rsidR="00FF1CEF">
        <w:t xml:space="preserve">article 3 of </w:t>
      </w:r>
      <w:r w:rsidR="0026554D" w:rsidRPr="00B5117F">
        <w:t>the Optional Protocol to the Covenant and rule 96 of the Rules of</w:t>
      </w:r>
      <w:r w:rsidR="00114DF5" w:rsidRPr="00B5117F">
        <w:t xml:space="preserve"> </w:t>
      </w:r>
      <w:r w:rsidR="0026554D" w:rsidRPr="00B5117F">
        <w:t>procedure of the Committee, the Committee can declare any communication</w:t>
      </w:r>
      <w:r w:rsidR="00114DF5" w:rsidRPr="00B5117F">
        <w:t xml:space="preserve"> </w:t>
      </w:r>
      <w:r w:rsidR="0026554D" w:rsidRPr="00B5117F">
        <w:t>inadmissible if it has been filed anonymously, that is, if it is not signed by the author or if the</w:t>
      </w:r>
      <w:r w:rsidR="00114DF5" w:rsidRPr="00B5117F">
        <w:t xml:space="preserve"> </w:t>
      </w:r>
      <w:r w:rsidR="0026554D" w:rsidRPr="00B5117F">
        <w:t>representative does not have proper authorization.</w:t>
      </w:r>
      <w:r w:rsidRPr="00B5117F">
        <w:t xml:space="preserve"> </w:t>
      </w:r>
      <w:r w:rsidR="0026554D" w:rsidRPr="00B5117F">
        <w:t>Rule 96 (a) of the Rules of procedure of the Committee establishes that, with</w:t>
      </w:r>
      <w:r w:rsidR="00114DF5" w:rsidRPr="00B5117F">
        <w:t xml:space="preserve"> </w:t>
      </w:r>
      <w:r w:rsidR="0026554D" w:rsidRPr="00B5117F">
        <w:t>a</w:t>
      </w:r>
      <w:r w:rsidR="00114DF5" w:rsidRPr="00B5117F">
        <w:t xml:space="preserve"> </w:t>
      </w:r>
      <w:r w:rsidR="0026554D" w:rsidRPr="00B5117F">
        <w:t xml:space="preserve">view to reaching a decision on </w:t>
      </w:r>
      <w:r w:rsidR="0026554D" w:rsidRPr="00B5117F">
        <w:lastRenderedPageBreak/>
        <w:t>the admissibility of a communication, the Committee shall ascertain that the communication is not</w:t>
      </w:r>
      <w:r w:rsidR="00114DF5" w:rsidRPr="00B5117F">
        <w:t xml:space="preserve"> </w:t>
      </w:r>
      <w:r w:rsidRPr="00B5117F">
        <w:t>a</w:t>
      </w:r>
      <w:r w:rsidR="0026554D" w:rsidRPr="00B5117F">
        <w:t>nonymous and that it emanates from an individual, or individuals, subject to</w:t>
      </w:r>
      <w:r w:rsidR="00114DF5" w:rsidRPr="00B5117F">
        <w:t xml:space="preserve"> </w:t>
      </w:r>
      <w:r w:rsidR="0026554D" w:rsidRPr="00B5117F">
        <w:t>the jurisdiction of a State party to the Optional Protocol to the Covenant.</w:t>
      </w:r>
    </w:p>
    <w:p w14:paraId="65458B46" w14:textId="77777777" w:rsidR="0026554D" w:rsidRPr="00B5117F" w:rsidRDefault="000B3865" w:rsidP="00AD05D1">
      <w:pPr>
        <w:pStyle w:val="SingleTxtG"/>
      </w:pPr>
      <w:r w:rsidRPr="00B5117F">
        <w:t>4.3</w:t>
      </w:r>
      <w:r w:rsidRPr="00B5117F">
        <w:tab/>
      </w:r>
      <w:r w:rsidR="00240AAA" w:rsidRPr="00B5117F">
        <w:t>T</w:t>
      </w:r>
      <w:r w:rsidRPr="00B5117F">
        <w:t xml:space="preserve">he State party contends that </w:t>
      </w:r>
      <w:r w:rsidR="0026554D" w:rsidRPr="00B5117F">
        <w:t xml:space="preserve">neither </w:t>
      </w:r>
      <w:r w:rsidRPr="00B5117F">
        <w:t xml:space="preserve">the </w:t>
      </w:r>
      <w:r w:rsidR="0026554D" w:rsidRPr="00B5117F">
        <w:t xml:space="preserve">attorney, nor the </w:t>
      </w:r>
      <w:r w:rsidR="00E07FBA">
        <w:t xml:space="preserve">foreign </w:t>
      </w:r>
      <w:r w:rsidR="0026554D" w:rsidRPr="00B5117F">
        <w:t>religious associations in whose name the communication was also submitted, are under</w:t>
      </w:r>
      <w:r w:rsidR="00114DF5" w:rsidRPr="00B5117F">
        <w:t xml:space="preserve"> </w:t>
      </w:r>
      <w:r w:rsidRPr="00B5117F">
        <w:t xml:space="preserve">its </w:t>
      </w:r>
      <w:r w:rsidR="0026554D" w:rsidRPr="00B5117F">
        <w:t xml:space="preserve">jurisdiction, since </w:t>
      </w:r>
      <w:r w:rsidRPr="00B5117F">
        <w:t xml:space="preserve">the counsel </w:t>
      </w:r>
      <w:r w:rsidR="0026554D" w:rsidRPr="00B5117F">
        <w:t>is not a citizen of</w:t>
      </w:r>
      <w:r w:rsidR="00114DF5" w:rsidRPr="00B5117F">
        <w:t xml:space="preserve"> </w:t>
      </w:r>
      <w:r w:rsidR="0026554D" w:rsidRPr="00B5117F">
        <w:t xml:space="preserve">Kazakhstan and </w:t>
      </w:r>
      <w:r w:rsidR="004211B5">
        <w:t xml:space="preserve">the </w:t>
      </w:r>
      <w:r w:rsidR="0026554D" w:rsidRPr="00B5117F">
        <w:t xml:space="preserve">religious associations are not registered in the </w:t>
      </w:r>
      <w:r w:rsidRPr="00B5117F">
        <w:t>State party</w:t>
      </w:r>
      <w:r w:rsidR="0026554D" w:rsidRPr="00B5117F">
        <w:t>.</w:t>
      </w:r>
      <w:r w:rsidR="007B084F" w:rsidRPr="00B5117F">
        <w:t xml:space="preserve"> </w:t>
      </w:r>
      <w:r w:rsidR="0026554D" w:rsidRPr="00B5117F">
        <w:t xml:space="preserve">Additionally, </w:t>
      </w:r>
      <w:r w:rsidR="004211B5">
        <w:t xml:space="preserve">these </w:t>
      </w:r>
      <w:r w:rsidR="0026554D" w:rsidRPr="00B5117F">
        <w:t>associations are not</w:t>
      </w:r>
      <w:r w:rsidR="00114DF5" w:rsidRPr="00B5117F">
        <w:t xml:space="preserve"> </w:t>
      </w:r>
      <w:r w:rsidR="0026554D" w:rsidRPr="00B5117F">
        <w:t>parties in legal relations concerning import of religious informational materials to the</w:t>
      </w:r>
      <w:r w:rsidR="00114DF5" w:rsidRPr="00B5117F">
        <w:t xml:space="preserve"> </w:t>
      </w:r>
      <w:r w:rsidR="0026554D" w:rsidRPr="00B5117F">
        <w:t xml:space="preserve">territory of the </w:t>
      </w:r>
      <w:r w:rsidR="007B084F" w:rsidRPr="00B5117F">
        <w:t>State party</w:t>
      </w:r>
      <w:r w:rsidR="0026554D" w:rsidRPr="00B5117F">
        <w:t>.</w:t>
      </w:r>
      <w:r w:rsidR="00240AAA" w:rsidRPr="00B5117F">
        <w:t xml:space="preserve"> </w:t>
      </w:r>
      <w:r w:rsidR="00E07FBA">
        <w:t>Pursuant to a</w:t>
      </w:r>
      <w:r w:rsidR="00240AAA" w:rsidRPr="00B5117F">
        <w:t>rticle 9</w:t>
      </w:r>
      <w:r w:rsidR="00E07FBA">
        <w:t>(</w:t>
      </w:r>
      <w:r w:rsidR="00240AAA" w:rsidRPr="00B5117F">
        <w:t>3</w:t>
      </w:r>
      <w:r w:rsidR="00E07FBA">
        <w:t>)</w:t>
      </w:r>
      <w:r w:rsidR="00240AAA" w:rsidRPr="00B5117F">
        <w:t xml:space="preserve"> of the </w:t>
      </w:r>
      <w:r w:rsidR="008C13BB" w:rsidRPr="00B5117F">
        <w:t xml:space="preserve">Religious </w:t>
      </w:r>
      <w:r w:rsidR="00240AAA" w:rsidRPr="00B5117F">
        <w:t xml:space="preserve">Law, only </w:t>
      </w:r>
      <w:r w:rsidR="004211B5">
        <w:t xml:space="preserve">registered </w:t>
      </w:r>
      <w:r w:rsidR="00240AAA" w:rsidRPr="00B5117F">
        <w:t xml:space="preserve">religious associations can be such parties—in this case the regional religious association, Christian </w:t>
      </w:r>
      <w:r w:rsidR="00E07FBA" w:rsidRPr="00B5117F">
        <w:t>Centre</w:t>
      </w:r>
      <w:r w:rsidR="00240AAA" w:rsidRPr="00B5117F">
        <w:t xml:space="preserve"> of Jehovah’s Witnesses.</w:t>
      </w:r>
    </w:p>
    <w:p w14:paraId="37FCE0C2" w14:textId="77777777" w:rsidR="0026554D" w:rsidRPr="00B5117F" w:rsidRDefault="007B084F" w:rsidP="0026554D">
      <w:pPr>
        <w:pStyle w:val="SingleTxtG"/>
      </w:pPr>
      <w:r w:rsidRPr="00B5117F">
        <w:t>4.4</w:t>
      </w:r>
      <w:r w:rsidRPr="00B5117F">
        <w:tab/>
      </w:r>
      <w:r w:rsidR="0026554D" w:rsidRPr="00B5117F">
        <w:t>By virtue of rule 96 (b) of the Rules of procedure of the Committee, with a</w:t>
      </w:r>
      <w:r w:rsidR="00114DF5" w:rsidRPr="00B5117F">
        <w:t xml:space="preserve"> </w:t>
      </w:r>
      <w:r w:rsidR="0026554D" w:rsidRPr="00B5117F">
        <w:t>view to reaching a decision on the admissibility of a communication, the Committee shall ascertain that the communication was</w:t>
      </w:r>
      <w:r w:rsidR="00114DF5" w:rsidRPr="00B5117F">
        <w:t xml:space="preserve"> </w:t>
      </w:r>
      <w:r w:rsidR="0026554D" w:rsidRPr="00B5117F">
        <w:t xml:space="preserve">submitted by </w:t>
      </w:r>
      <w:r w:rsidR="004211B5">
        <w:t>an</w:t>
      </w:r>
      <w:r w:rsidR="0026554D" w:rsidRPr="00B5117F">
        <w:t xml:space="preserve"> individual who claims</w:t>
      </w:r>
      <w:r w:rsidR="004211B5">
        <w:t xml:space="preserve"> t</w:t>
      </w:r>
      <w:r w:rsidR="0026554D" w:rsidRPr="00B5117F">
        <w:t>o be a victim</w:t>
      </w:r>
      <w:r w:rsidR="00114DF5" w:rsidRPr="00B5117F">
        <w:t xml:space="preserve"> </w:t>
      </w:r>
      <w:r w:rsidR="0026554D" w:rsidRPr="00B5117F">
        <w:t>of a violation by that State party of any of the rights set forth in the Covenant, or was</w:t>
      </w:r>
      <w:r w:rsidR="00114DF5" w:rsidRPr="00B5117F">
        <w:t xml:space="preserve"> </w:t>
      </w:r>
      <w:r w:rsidR="0026554D" w:rsidRPr="00B5117F">
        <w:t>submitted by that individual’s representative.</w:t>
      </w:r>
      <w:r w:rsidR="00240AAA" w:rsidRPr="00B5117F">
        <w:t xml:space="preserve"> A</w:t>
      </w:r>
      <w:r w:rsidR="0026554D" w:rsidRPr="00B5117F">
        <w:t xml:space="preserve"> communication submitted by a</w:t>
      </w:r>
      <w:r w:rsidR="00114DF5" w:rsidRPr="00B5117F">
        <w:t xml:space="preserve"> </w:t>
      </w:r>
      <w:r w:rsidR="0026554D" w:rsidRPr="00B5117F">
        <w:t>representative may be accepted when the individual in question is unable to submit it</w:t>
      </w:r>
      <w:r w:rsidR="00114DF5" w:rsidRPr="00B5117F">
        <w:t xml:space="preserve"> </w:t>
      </w:r>
      <w:r w:rsidR="0026554D" w:rsidRPr="00B5117F">
        <w:t>personally.</w:t>
      </w:r>
      <w:r w:rsidR="00240AAA" w:rsidRPr="00B5117F">
        <w:t xml:space="preserve"> </w:t>
      </w:r>
    </w:p>
    <w:p w14:paraId="7B4754A1" w14:textId="77777777" w:rsidR="0026554D" w:rsidRPr="00B5117F" w:rsidRDefault="00240AAA" w:rsidP="00AD05D1">
      <w:pPr>
        <w:pStyle w:val="SingleTxtG"/>
      </w:pPr>
      <w:r w:rsidRPr="00B5117F">
        <w:t>4.5</w:t>
      </w:r>
      <w:r w:rsidRPr="00B5117F">
        <w:tab/>
        <w:t>According to the State party, t</w:t>
      </w:r>
      <w:r w:rsidR="0026554D" w:rsidRPr="00B5117F">
        <w:t xml:space="preserve">he communication does not contain information about </w:t>
      </w:r>
      <w:r w:rsidR="004211B5">
        <w:t xml:space="preserve">the reasons </w:t>
      </w:r>
      <w:r w:rsidR="0026554D" w:rsidRPr="00B5117F">
        <w:t xml:space="preserve">why the </w:t>
      </w:r>
      <w:r w:rsidR="006A4A11" w:rsidRPr="00AD05D1">
        <w:t>authors</w:t>
      </w:r>
      <w:r w:rsidR="006A4A11" w:rsidRPr="00B5117F">
        <w:t>-</w:t>
      </w:r>
      <w:r w:rsidR="0026554D" w:rsidRPr="00B5117F">
        <w:t>representatives of</w:t>
      </w:r>
      <w:r w:rsidR="00114DF5" w:rsidRPr="00B5117F">
        <w:t xml:space="preserve"> </w:t>
      </w:r>
      <w:r w:rsidR="0026554D" w:rsidRPr="00B5117F">
        <w:t xml:space="preserve">the religious associations, these religious associations themselves, members of </w:t>
      </w:r>
      <w:r w:rsidR="004211B5">
        <w:t xml:space="preserve">Mr. </w:t>
      </w:r>
      <w:proofErr w:type="spellStart"/>
      <w:r w:rsidR="006A4A11" w:rsidRPr="00B5117F">
        <w:t>Bekzhan’s</w:t>
      </w:r>
      <w:proofErr w:type="spellEnd"/>
      <w:r w:rsidR="006A4A11" w:rsidRPr="00B5117F">
        <w:t xml:space="preserve"> </w:t>
      </w:r>
      <w:r w:rsidR="0026554D" w:rsidRPr="00B5117F">
        <w:t xml:space="preserve">family, or all 17,500 Jehovah’s Witnesses in the </w:t>
      </w:r>
      <w:r w:rsidRPr="00B5117F">
        <w:t>State party</w:t>
      </w:r>
      <w:r w:rsidR="0026554D" w:rsidRPr="00B5117F">
        <w:t xml:space="preserve"> were unable to</w:t>
      </w:r>
      <w:r w:rsidR="00114DF5" w:rsidRPr="00B5117F">
        <w:t xml:space="preserve"> </w:t>
      </w:r>
      <w:r w:rsidR="0026554D" w:rsidRPr="00B5117F">
        <w:t>submit the communication to the Committee personally. Moreover,</w:t>
      </w:r>
      <w:r w:rsidR="00114DF5" w:rsidRPr="00B5117F">
        <w:t xml:space="preserve"> </w:t>
      </w:r>
      <w:r w:rsidR="0026554D" w:rsidRPr="00B5117F">
        <w:t>in order for the</w:t>
      </w:r>
      <w:r w:rsidR="00114DF5" w:rsidRPr="00B5117F">
        <w:t xml:space="preserve"> </w:t>
      </w:r>
      <w:r w:rsidR="0026554D" w:rsidRPr="00B5117F">
        <w:t>Committee to consider claims of a group of individuals about alleged</w:t>
      </w:r>
      <w:r w:rsidR="00114DF5" w:rsidRPr="00B5117F">
        <w:t xml:space="preserve"> </w:t>
      </w:r>
      <w:r w:rsidR="0026554D" w:rsidRPr="00B5117F">
        <w:t>breaches of their rights under the Covenant, a communication to the Committee must be submitted either by the group itself on its own behalf or through a</w:t>
      </w:r>
      <w:r w:rsidR="00114DF5" w:rsidRPr="00B5117F">
        <w:t xml:space="preserve"> </w:t>
      </w:r>
      <w:r w:rsidR="0026554D" w:rsidRPr="00B5117F">
        <w:t>representative to whom authorization is provided for these purposes.</w:t>
      </w:r>
      <w:r w:rsidRPr="00B5117F">
        <w:rPr>
          <w:rStyle w:val="FootnoteReference"/>
        </w:rPr>
        <w:footnoteReference w:id="10"/>
      </w:r>
    </w:p>
    <w:p w14:paraId="7A86A2BD" w14:textId="77777777" w:rsidR="0026554D" w:rsidRPr="00B5117F" w:rsidRDefault="00D33D76" w:rsidP="0026554D">
      <w:pPr>
        <w:pStyle w:val="SingleTxtG"/>
      </w:pPr>
      <w:r w:rsidRPr="00B5117F">
        <w:t>4.6</w:t>
      </w:r>
      <w:r w:rsidRPr="00B5117F">
        <w:tab/>
        <w:t xml:space="preserve">The State party maintains that the communication </w:t>
      </w:r>
      <w:r w:rsidR="0026554D" w:rsidRPr="00B5117F">
        <w:t>does not contain information to the effect that</w:t>
      </w:r>
      <w:r w:rsidR="00114DF5" w:rsidRPr="00B5117F">
        <w:t xml:space="preserve"> </w:t>
      </w:r>
      <w:r w:rsidR="0026554D" w:rsidRPr="00B5117F">
        <w:t xml:space="preserve">members of </w:t>
      </w:r>
      <w:r w:rsidR="004211B5">
        <w:t>Mr.</w:t>
      </w:r>
      <w:r w:rsidR="0026554D" w:rsidRPr="00B5117F">
        <w:t xml:space="preserve"> </w:t>
      </w:r>
      <w:proofErr w:type="spellStart"/>
      <w:r w:rsidR="0026554D" w:rsidRPr="00B5117F">
        <w:t>Bekzhan’s</w:t>
      </w:r>
      <w:proofErr w:type="spellEnd"/>
      <w:r w:rsidR="0026554D" w:rsidRPr="00B5117F">
        <w:t xml:space="preserve"> family or the 17,500 Jehovah’s Witnesses in the </w:t>
      </w:r>
      <w:r w:rsidRPr="00B5117F">
        <w:t xml:space="preserve">State party </w:t>
      </w:r>
      <w:r w:rsidR="0026554D" w:rsidRPr="00B5117F">
        <w:t>commissioned anyone to submit a complaint or to represent them before</w:t>
      </w:r>
      <w:r w:rsidR="00114DF5" w:rsidRPr="00B5117F">
        <w:t xml:space="preserve"> </w:t>
      </w:r>
      <w:r w:rsidR="0026554D" w:rsidRPr="00B5117F">
        <w:t>the Committee.</w:t>
      </w:r>
      <w:r w:rsidRPr="00B5117F">
        <w:t xml:space="preserve"> </w:t>
      </w:r>
      <w:r w:rsidR="0026554D" w:rsidRPr="00B5117F">
        <w:t>Moreover, the claim does not state whether the founding documents of the 59 local religious</w:t>
      </w:r>
      <w:r w:rsidR="00114DF5" w:rsidRPr="00B5117F">
        <w:t xml:space="preserve"> </w:t>
      </w:r>
      <w:r w:rsidR="0026554D" w:rsidRPr="00B5117F">
        <w:t xml:space="preserve">associations of Jehovah’s Witnesses registered in the </w:t>
      </w:r>
      <w:r w:rsidRPr="00B5117F">
        <w:t xml:space="preserve">State party </w:t>
      </w:r>
      <w:r w:rsidR="0026554D" w:rsidRPr="00B5117F">
        <w:t>(charters that</w:t>
      </w:r>
      <w:r w:rsidR="00114DF5" w:rsidRPr="00B5117F">
        <w:t xml:space="preserve"> </w:t>
      </w:r>
      <w:r w:rsidR="0026554D" w:rsidRPr="00B5117F">
        <w:t>define the mutual rights and obligations of the religious associations, of their administrative</w:t>
      </w:r>
      <w:r w:rsidR="00114DF5" w:rsidRPr="00B5117F">
        <w:t xml:space="preserve"> </w:t>
      </w:r>
      <w:r w:rsidR="0026554D" w:rsidRPr="00B5117F">
        <w:t xml:space="preserve">agencies, and of their members) authorize anyone, including </w:t>
      </w:r>
      <w:r w:rsidR="004211B5">
        <w:t xml:space="preserve">Mr. </w:t>
      </w:r>
      <w:proofErr w:type="spellStart"/>
      <w:r w:rsidR="0026554D" w:rsidRPr="00B5117F">
        <w:t>Bekzhan</w:t>
      </w:r>
      <w:proofErr w:type="spellEnd"/>
      <w:r w:rsidR="0026554D" w:rsidRPr="00B5117F">
        <w:t xml:space="preserve"> (the director of</w:t>
      </w:r>
      <w:r w:rsidR="00114DF5" w:rsidRPr="00B5117F">
        <w:t xml:space="preserve"> </w:t>
      </w:r>
      <w:r w:rsidR="0026554D" w:rsidRPr="00B5117F">
        <w:t>the regional religious association), to submit an</w:t>
      </w:r>
      <w:r w:rsidR="00114DF5" w:rsidRPr="00B5117F">
        <w:t xml:space="preserve"> </w:t>
      </w:r>
      <w:r w:rsidR="0026554D" w:rsidRPr="00B5117F">
        <w:t xml:space="preserve">application to the Committee on </w:t>
      </w:r>
      <w:r w:rsidR="004211B5">
        <w:t xml:space="preserve">their </w:t>
      </w:r>
      <w:r w:rsidR="0026554D" w:rsidRPr="00B5117F">
        <w:t>behalf.</w:t>
      </w:r>
    </w:p>
    <w:p w14:paraId="1A1E2F6A" w14:textId="77777777" w:rsidR="0026554D" w:rsidRPr="00B5117F" w:rsidRDefault="00D33D76" w:rsidP="0026554D">
      <w:pPr>
        <w:pStyle w:val="SingleTxtG"/>
      </w:pPr>
      <w:r w:rsidRPr="00B5117F">
        <w:t>4.7</w:t>
      </w:r>
      <w:r w:rsidRPr="00B5117F">
        <w:tab/>
      </w:r>
      <w:r w:rsidR="00AB5D7F">
        <w:t xml:space="preserve">According to </w:t>
      </w:r>
      <w:r w:rsidRPr="00B5117F">
        <w:t>the State party</w:t>
      </w:r>
      <w:r w:rsidR="00AB5D7F">
        <w:t xml:space="preserve">, under </w:t>
      </w:r>
      <w:r w:rsidRPr="00B5117F">
        <w:t xml:space="preserve">articles 2 and 5 of </w:t>
      </w:r>
      <w:r w:rsidR="0026554D" w:rsidRPr="00B5117F">
        <w:t>the Optional Protocol and rule 96 (f) of</w:t>
      </w:r>
      <w:r w:rsidR="00114DF5" w:rsidRPr="00B5117F">
        <w:t xml:space="preserve"> </w:t>
      </w:r>
      <w:r w:rsidR="0026554D" w:rsidRPr="00B5117F">
        <w:t>the Rules of procedure, the Committee can</w:t>
      </w:r>
      <w:r w:rsidR="00114DF5" w:rsidRPr="00B5117F">
        <w:t xml:space="preserve"> </w:t>
      </w:r>
      <w:r w:rsidR="0026554D" w:rsidRPr="00B5117F">
        <w:t>declare a communication inadmissible if all available domestic remedies were not</w:t>
      </w:r>
      <w:r w:rsidR="00114DF5" w:rsidRPr="00B5117F">
        <w:t xml:space="preserve"> </w:t>
      </w:r>
      <w:r w:rsidR="0026554D" w:rsidRPr="00B5117F">
        <w:t>exhausted.</w:t>
      </w:r>
      <w:r w:rsidRPr="00B5117F">
        <w:t xml:space="preserve"> </w:t>
      </w:r>
      <w:r w:rsidR="0026554D" w:rsidRPr="00B5117F">
        <w:t xml:space="preserve">The decision </w:t>
      </w:r>
      <w:r w:rsidRPr="00B5117F">
        <w:t>of</w:t>
      </w:r>
      <w:r w:rsidR="0026554D" w:rsidRPr="00B5117F">
        <w:t xml:space="preserve"> 3 July 2013 of the Astana Specialized </w:t>
      </w:r>
      <w:proofErr w:type="spellStart"/>
      <w:r w:rsidR="0026554D" w:rsidRPr="00B5117F">
        <w:t>Interdistrict</w:t>
      </w:r>
      <w:proofErr w:type="spellEnd"/>
      <w:r w:rsidR="0026554D" w:rsidRPr="00B5117F">
        <w:t xml:space="preserve"> Economic Court denied</w:t>
      </w:r>
      <w:r w:rsidR="00114DF5" w:rsidRPr="00B5117F">
        <w:t xml:space="preserve"> </w:t>
      </w:r>
      <w:r w:rsidR="0026554D" w:rsidRPr="00B5117F">
        <w:t xml:space="preserve">the claim of the regional religious association, Christian </w:t>
      </w:r>
      <w:r w:rsidR="009C7B61" w:rsidRPr="00B5117F">
        <w:t>Centre</w:t>
      </w:r>
      <w:r w:rsidR="0026554D" w:rsidRPr="00B5117F">
        <w:t xml:space="preserve"> of Jehovah’s Witnesses;</w:t>
      </w:r>
      <w:r w:rsidR="00114DF5" w:rsidRPr="00B5117F">
        <w:t xml:space="preserve"> </w:t>
      </w:r>
      <w:r w:rsidR="0026554D" w:rsidRPr="00B5117F">
        <w:t xml:space="preserve">Watch tower [sic] Bible and Tract Society of New York, Inc.; and </w:t>
      </w:r>
      <w:proofErr w:type="spellStart"/>
      <w:r w:rsidR="0026554D" w:rsidRPr="00B5117F">
        <w:t>Wachtturm</w:t>
      </w:r>
      <w:proofErr w:type="spellEnd"/>
      <w:r w:rsidR="0026554D" w:rsidRPr="00B5117F">
        <w:t xml:space="preserve"> </w:t>
      </w:r>
      <w:proofErr w:type="spellStart"/>
      <w:r w:rsidR="0026554D" w:rsidRPr="00B5117F">
        <w:t>Bibel</w:t>
      </w:r>
      <w:proofErr w:type="spellEnd"/>
      <w:r w:rsidR="0026554D" w:rsidRPr="00B5117F">
        <w:t>- und</w:t>
      </w:r>
      <w:r w:rsidR="00114DF5" w:rsidRPr="00B5117F">
        <w:t xml:space="preserve"> </w:t>
      </w:r>
      <w:proofErr w:type="spellStart"/>
      <w:r w:rsidR="0026554D" w:rsidRPr="00B5117F">
        <w:t>Traktat</w:t>
      </w:r>
      <w:proofErr w:type="spellEnd"/>
      <w:r w:rsidR="0026554D" w:rsidRPr="00B5117F">
        <w:t xml:space="preserve">-Gesellschaft der </w:t>
      </w:r>
      <w:proofErr w:type="spellStart"/>
      <w:r w:rsidR="0026554D" w:rsidRPr="00B5117F">
        <w:t>Zeugen</w:t>
      </w:r>
      <w:proofErr w:type="spellEnd"/>
      <w:r w:rsidR="0026554D" w:rsidRPr="00B5117F">
        <w:t xml:space="preserve"> </w:t>
      </w:r>
      <w:proofErr w:type="spellStart"/>
      <w:r w:rsidR="0026554D" w:rsidRPr="00B5117F">
        <w:t>Jehovas</w:t>
      </w:r>
      <w:proofErr w:type="spellEnd"/>
      <w:r w:rsidR="0026554D" w:rsidRPr="00B5117F">
        <w:t xml:space="preserve">, e. V. against the </w:t>
      </w:r>
      <w:r w:rsidRPr="00B5117F">
        <w:t xml:space="preserve">State party’s </w:t>
      </w:r>
      <w:r w:rsidR="0026554D" w:rsidRPr="00B5117F">
        <w:t>Agency for Religious Affairs. The claim requested that the expert conclusions in connection</w:t>
      </w:r>
      <w:r w:rsidR="00114DF5" w:rsidRPr="00B5117F">
        <w:t xml:space="preserve"> </w:t>
      </w:r>
      <w:r w:rsidR="0026554D" w:rsidRPr="00B5117F">
        <w:t xml:space="preserve">with the denial of import of the </w:t>
      </w:r>
      <w:r w:rsidR="00B94825" w:rsidRPr="00B5117F">
        <w:t>religious literature</w:t>
      </w:r>
      <w:r w:rsidR="0026554D" w:rsidRPr="00B5117F">
        <w:t xml:space="preserve"> in Russian and Kazakh be</w:t>
      </w:r>
      <w:r w:rsidR="00114DF5" w:rsidRPr="00B5117F">
        <w:t xml:space="preserve"> </w:t>
      </w:r>
      <w:r w:rsidR="0026554D" w:rsidRPr="00B5117F">
        <w:t>declared unlawful, and that this violation be remedied.</w:t>
      </w:r>
      <w:r w:rsidR="00B94825" w:rsidRPr="00B5117F">
        <w:t xml:space="preserve"> </w:t>
      </w:r>
      <w:r w:rsidR="00AB5D7F">
        <w:t xml:space="preserve">On 27 August 2013, the Court of the </w:t>
      </w:r>
      <w:r w:rsidR="0026554D" w:rsidRPr="00B5117F">
        <w:t>City of</w:t>
      </w:r>
      <w:r w:rsidR="00114DF5" w:rsidRPr="00B5117F">
        <w:t xml:space="preserve"> </w:t>
      </w:r>
      <w:r w:rsidR="0026554D" w:rsidRPr="00B5117F">
        <w:t>Astana</w:t>
      </w:r>
      <w:r w:rsidR="00AB5D7F">
        <w:t xml:space="preserve"> </w:t>
      </w:r>
      <w:r w:rsidR="0026554D" w:rsidRPr="00B5117F">
        <w:t xml:space="preserve">upheld the </w:t>
      </w:r>
      <w:r w:rsidR="00B94825" w:rsidRPr="00B5117F">
        <w:t xml:space="preserve">lower </w:t>
      </w:r>
      <w:r w:rsidR="0026554D" w:rsidRPr="00B5117F">
        <w:t>court decision.</w:t>
      </w:r>
      <w:r w:rsidR="00B94825" w:rsidRPr="00B5117F">
        <w:t xml:space="preserve"> </w:t>
      </w:r>
      <w:r w:rsidR="0026554D" w:rsidRPr="00B5117F">
        <w:t xml:space="preserve">The ruling of the Court of Cassation of the City of Astana </w:t>
      </w:r>
      <w:r w:rsidR="00B94825" w:rsidRPr="00B5117F">
        <w:t>of</w:t>
      </w:r>
      <w:r w:rsidR="0026554D" w:rsidRPr="00B5117F">
        <w:t xml:space="preserve"> 6 May 2014 upheld the</w:t>
      </w:r>
      <w:r w:rsidR="00114DF5" w:rsidRPr="00B5117F">
        <w:t xml:space="preserve"> </w:t>
      </w:r>
      <w:r w:rsidR="00B94825" w:rsidRPr="00B5117F">
        <w:t xml:space="preserve">said </w:t>
      </w:r>
      <w:r w:rsidR="0026554D" w:rsidRPr="00B5117F">
        <w:t>judicial acts.</w:t>
      </w:r>
      <w:r w:rsidR="00B94825" w:rsidRPr="00B5117F">
        <w:t xml:space="preserve"> </w:t>
      </w:r>
      <w:r w:rsidR="0026554D" w:rsidRPr="00B5117F">
        <w:t>The ruling of the Supervisory Chamber for Civil and Administrative Cases of the Supreme</w:t>
      </w:r>
      <w:r w:rsidR="00114DF5" w:rsidRPr="00B5117F">
        <w:t xml:space="preserve"> </w:t>
      </w:r>
      <w:r w:rsidR="0026554D" w:rsidRPr="00B5117F">
        <w:t xml:space="preserve">Court </w:t>
      </w:r>
      <w:r w:rsidR="00B94825" w:rsidRPr="00B5117F">
        <w:t>of</w:t>
      </w:r>
      <w:r w:rsidR="0026554D" w:rsidRPr="00B5117F">
        <w:t xml:space="preserve"> 4 September 2014 refused to initiate supervisory proceedings.</w:t>
      </w:r>
    </w:p>
    <w:p w14:paraId="130DA7A3" w14:textId="77777777" w:rsidR="00114DF5" w:rsidRPr="00B5117F" w:rsidRDefault="00B94825" w:rsidP="0026554D">
      <w:pPr>
        <w:pStyle w:val="SingleTxtG"/>
      </w:pPr>
      <w:r w:rsidRPr="00B5117F">
        <w:lastRenderedPageBreak/>
        <w:t>4.8</w:t>
      </w:r>
      <w:r w:rsidRPr="00B5117F">
        <w:tab/>
      </w:r>
      <w:r w:rsidR="0026554D" w:rsidRPr="00B5117F">
        <w:t>Moreover, the regional religious association, did not submit a request according to the</w:t>
      </w:r>
      <w:r w:rsidR="00114DF5" w:rsidRPr="00B5117F">
        <w:t xml:space="preserve"> </w:t>
      </w:r>
      <w:r w:rsidR="0026554D" w:rsidRPr="00B5117F">
        <w:t>procedure and within the time period provided for by Articles 385 and 388 of the Civil</w:t>
      </w:r>
      <w:r w:rsidR="00114DF5" w:rsidRPr="00B5117F">
        <w:t xml:space="preserve"> </w:t>
      </w:r>
      <w:r w:rsidR="0026554D" w:rsidRPr="00B5117F">
        <w:t>Procedural Code (in force when the judicial decisions were</w:t>
      </w:r>
      <w:r w:rsidR="00114DF5" w:rsidRPr="00B5117F">
        <w:t xml:space="preserve"> </w:t>
      </w:r>
      <w:r w:rsidR="0026554D" w:rsidRPr="00B5117F">
        <w:t xml:space="preserve">rendered) to the Prosecutor General for a protest </w:t>
      </w:r>
      <w:r w:rsidR="002F7C80">
        <w:t xml:space="preserve">for a supervisory review </w:t>
      </w:r>
      <w:r w:rsidR="0026554D" w:rsidRPr="00B5117F">
        <w:t>to be filed</w:t>
      </w:r>
      <w:r w:rsidR="00114DF5" w:rsidRPr="00B5117F">
        <w:t xml:space="preserve"> </w:t>
      </w:r>
      <w:r w:rsidR="0026554D" w:rsidRPr="00B5117F">
        <w:t>with the Supreme Court against said judicial act.</w:t>
      </w:r>
      <w:r w:rsidR="009A6903" w:rsidRPr="00B5117F">
        <w:t xml:space="preserve"> </w:t>
      </w:r>
      <w:r w:rsidR="0026554D" w:rsidRPr="00B5117F">
        <w:t>Essentially, the regional religious association, in</w:t>
      </w:r>
      <w:r w:rsidR="00114DF5" w:rsidRPr="00B5117F">
        <w:t xml:space="preserve"> </w:t>
      </w:r>
      <w:r w:rsidR="0026554D" w:rsidRPr="00B5117F">
        <w:t>failing to submit a request within the legally established time period and voluntarily denying</w:t>
      </w:r>
      <w:r w:rsidR="00114DF5" w:rsidRPr="00B5117F">
        <w:t xml:space="preserve"> </w:t>
      </w:r>
      <w:r w:rsidR="0026554D" w:rsidRPr="00B5117F">
        <w:t>itself effective means of legal protection, put itself in a position of abusing the right to submit</w:t>
      </w:r>
      <w:r w:rsidR="00114DF5" w:rsidRPr="00B5117F">
        <w:t xml:space="preserve"> </w:t>
      </w:r>
      <w:r w:rsidR="0026554D" w:rsidRPr="00B5117F">
        <w:t>a communication to the Committee.</w:t>
      </w:r>
      <w:r w:rsidR="009A6903" w:rsidRPr="00B5117F">
        <w:t xml:space="preserve"> In addition, the</w:t>
      </w:r>
      <w:r w:rsidR="0026554D" w:rsidRPr="00B5117F">
        <w:t xml:space="preserve"> claim did not provide sufficient arguments showing that it would be a futile</w:t>
      </w:r>
      <w:r w:rsidR="00114DF5" w:rsidRPr="00B5117F">
        <w:t xml:space="preserve"> </w:t>
      </w:r>
      <w:r w:rsidR="0026554D" w:rsidRPr="00B5117F">
        <w:t>and ineffective means of legal protection for the regional religious association to submit</w:t>
      </w:r>
      <w:r w:rsidR="002F7C80">
        <w:t xml:space="preserve"> such</w:t>
      </w:r>
      <w:r w:rsidR="0026554D" w:rsidRPr="00B5117F">
        <w:t xml:space="preserve"> a request to the Prosecutor General.</w:t>
      </w:r>
      <w:r w:rsidR="009A6903" w:rsidRPr="00B5117F">
        <w:rPr>
          <w:rStyle w:val="FootnoteReference"/>
        </w:rPr>
        <w:footnoteReference w:id="11"/>
      </w:r>
      <w:r w:rsidR="00114DF5" w:rsidRPr="00B5117F">
        <w:t xml:space="preserve"> </w:t>
      </w:r>
    </w:p>
    <w:p w14:paraId="0DE4DF8D" w14:textId="6C24CCBE" w:rsidR="0026554D" w:rsidRPr="00B5117F" w:rsidRDefault="00DA65A8">
      <w:pPr>
        <w:pStyle w:val="SingleTxtG"/>
      </w:pPr>
      <w:r w:rsidRPr="00B5117F">
        <w:t>4.9</w:t>
      </w:r>
      <w:r w:rsidRPr="00B5117F">
        <w:tab/>
      </w:r>
      <w:r w:rsidR="0026554D" w:rsidRPr="00B5117F">
        <w:t xml:space="preserve">Therefore, </w:t>
      </w:r>
      <w:r w:rsidRPr="00B5117F">
        <w:t>the State party submits that the communication is</w:t>
      </w:r>
      <w:r w:rsidR="0026554D" w:rsidRPr="00B5117F">
        <w:t xml:space="preserve"> to </w:t>
      </w:r>
      <w:r w:rsidR="00843393">
        <w:t xml:space="preserve">be </w:t>
      </w:r>
      <w:r w:rsidR="0026554D" w:rsidRPr="00B5117F">
        <w:t>declare</w:t>
      </w:r>
      <w:r w:rsidRPr="00B5117F">
        <w:t>d</w:t>
      </w:r>
      <w:r w:rsidR="0026554D" w:rsidRPr="00B5117F">
        <w:t xml:space="preserve"> inadmissible under </w:t>
      </w:r>
      <w:r w:rsidR="00843393">
        <w:t>a</w:t>
      </w:r>
      <w:r w:rsidR="0026554D" w:rsidRPr="00B5117F">
        <w:t>rticles 1 and 3 of the Optional</w:t>
      </w:r>
      <w:r w:rsidR="00114DF5" w:rsidRPr="00B5117F">
        <w:t xml:space="preserve"> </w:t>
      </w:r>
      <w:r w:rsidR="0026554D" w:rsidRPr="00B5117F">
        <w:t xml:space="preserve">Protocol </w:t>
      </w:r>
      <w:r w:rsidRPr="00B5117F">
        <w:t xml:space="preserve">and </w:t>
      </w:r>
      <w:r w:rsidR="0026554D" w:rsidRPr="00B5117F">
        <w:t>Rule 96 (a) and (b) of the Rules of procedure of the Committee.</w:t>
      </w:r>
    </w:p>
    <w:p w14:paraId="2060D4B4" w14:textId="77777777" w:rsidR="00B66FA2" w:rsidRPr="00B5117F" w:rsidRDefault="00AD05D1" w:rsidP="00AD05D1">
      <w:pPr>
        <w:pStyle w:val="H23G"/>
      </w:pPr>
      <w:r>
        <w:tab/>
      </w:r>
      <w:r>
        <w:tab/>
      </w:r>
      <w:r w:rsidR="003B1FF2" w:rsidRPr="00B5117F">
        <w:t xml:space="preserve">Author’s comments on the </w:t>
      </w:r>
      <w:r w:rsidR="00B66FA2" w:rsidRPr="00B5117F">
        <w:t xml:space="preserve">State party’s observations </w:t>
      </w:r>
      <w:r w:rsidR="009346A3" w:rsidRPr="00B5117F">
        <w:t xml:space="preserve">on the admissibility </w:t>
      </w:r>
    </w:p>
    <w:p w14:paraId="3DCCC4DF" w14:textId="77777777" w:rsidR="0026554D" w:rsidRPr="00B5117F" w:rsidRDefault="003B1FF2" w:rsidP="00AD05D1">
      <w:pPr>
        <w:pStyle w:val="SingleTxtG"/>
      </w:pPr>
      <w:r w:rsidRPr="00B5117F">
        <w:t>5.1</w:t>
      </w:r>
      <w:r w:rsidRPr="00B5117F">
        <w:tab/>
      </w:r>
      <w:r w:rsidR="00A357B1" w:rsidRPr="00B5117F">
        <w:t>On 5 January 2016, the authors reiterate</w:t>
      </w:r>
      <w:r w:rsidR="00F62B14" w:rsidRPr="00B5117F">
        <w:t>d</w:t>
      </w:r>
      <w:r w:rsidR="00A357B1" w:rsidRPr="00B5117F">
        <w:t xml:space="preserve"> that their communication concerns the censorship of religious publications </w:t>
      </w:r>
      <w:r w:rsidR="00A357B1" w:rsidRPr="00AD05D1">
        <w:t>under</w:t>
      </w:r>
      <w:r w:rsidR="00A357B1" w:rsidRPr="00B5117F">
        <w:t xml:space="preserve"> the State </w:t>
      </w:r>
      <w:r w:rsidR="0013398E">
        <w:t>p</w:t>
      </w:r>
      <w:r w:rsidR="00A357B1" w:rsidRPr="00B5117F">
        <w:t xml:space="preserve">arty’s 2011 Religion Law. </w:t>
      </w:r>
      <w:r w:rsidR="007D43A1" w:rsidRPr="00B5117F">
        <w:t>At the suggestion of the State party, they request</w:t>
      </w:r>
      <w:r w:rsidR="00787D4B" w:rsidRPr="00B5117F">
        <w:t>ed</w:t>
      </w:r>
      <w:r w:rsidR="007D43A1" w:rsidRPr="00B5117F">
        <w:t xml:space="preserve"> the Committee to temporarily suspend its consideration to permit the parties to explore the possibility of </w:t>
      </w:r>
      <w:r w:rsidR="0013398E">
        <w:t>reaching a settlement</w:t>
      </w:r>
      <w:r w:rsidR="007D43A1" w:rsidRPr="00B5117F">
        <w:t>. The Committee</w:t>
      </w:r>
      <w:r w:rsidR="00787D4B" w:rsidRPr="00B5117F">
        <w:t xml:space="preserve">, acting through its </w:t>
      </w:r>
      <w:r w:rsidR="00F62B14" w:rsidRPr="00B5117F">
        <w:t>S</w:t>
      </w:r>
      <w:r w:rsidR="00787D4B" w:rsidRPr="00B5117F">
        <w:t xml:space="preserve">pecial </w:t>
      </w:r>
      <w:r w:rsidR="00F62B14" w:rsidRPr="00B5117F">
        <w:t>R</w:t>
      </w:r>
      <w:r w:rsidR="00787D4B" w:rsidRPr="00B5117F">
        <w:t xml:space="preserve">apporteur on new Communications and Interim measures, decided that the consideration of the communication be </w:t>
      </w:r>
      <w:r w:rsidR="007D43A1" w:rsidRPr="00B5117F">
        <w:t>suspen</w:t>
      </w:r>
      <w:r w:rsidR="00787D4B" w:rsidRPr="00B5117F">
        <w:t>ded until</w:t>
      </w:r>
      <w:r w:rsidR="007D43A1" w:rsidRPr="00B5117F">
        <w:t xml:space="preserve"> </w:t>
      </w:r>
      <w:r w:rsidR="00787D4B" w:rsidRPr="00B5117F">
        <w:t>18</w:t>
      </w:r>
      <w:r w:rsidR="007D43A1" w:rsidRPr="00B5117F">
        <w:t xml:space="preserve"> July 2016.</w:t>
      </w:r>
      <w:r w:rsidR="00F62B14" w:rsidRPr="00B5117F">
        <w:t xml:space="preserve"> </w:t>
      </w:r>
      <w:r w:rsidR="007D43A1" w:rsidRPr="00B5117F">
        <w:rPr>
          <w:rStyle w:val="FootnoteReference"/>
        </w:rPr>
        <w:footnoteReference w:id="12"/>
      </w:r>
      <w:r w:rsidR="00C9386B" w:rsidRPr="00B5117F">
        <w:t xml:space="preserve"> </w:t>
      </w:r>
    </w:p>
    <w:p w14:paraId="73A983CA" w14:textId="5ACF8DF5" w:rsidR="00B66FA2" w:rsidRPr="00B5117F" w:rsidRDefault="00594DF2" w:rsidP="00AD05D1">
      <w:pPr>
        <w:pStyle w:val="SingleTxtG"/>
      </w:pPr>
      <w:r w:rsidRPr="00B5117F">
        <w:t>5.2</w:t>
      </w:r>
      <w:r w:rsidRPr="00B5117F">
        <w:tab/>
      </w:r>
      <w:r w:rsidR="00B66FA2" w:rsidRPr="00B5117F">
        <w:t xml:space="preserve">On 18 July 2016, </w:t>
      </w:r>
      <w:r w:rsidR="0013398E" w:rsidRPr="00B5117F">
        <w:t>the authors indicated that the issue at stake has not been resolved and requested that the Committee resume its consideration of the case.</w:t>
      </w:r>
      <w:r w:rsidR="0013398E">
        <w:t xml:space="preserve"> They </w:t>
      </w:r>
      <w:r w:rsidR="00F62B14" w:rsidRPr="00B5117F">
        <w:t xml:space="preserve">challenge </w:t>
      </w:r>
      <w:r w:rsidRPr="00B5117F">
        <w:t xml:space="preserve">the State party’s </w:t>
      </w:r>
      <w:r w:rsidR="00F62B14" w:rsidRPr="00B5117F">
        <w:t xml:space="preserve">assertion </w:t>
      </w:r>
      <w:r w:rsidR="00B66FA2" w:rsidRPr="00B5117F">
        <w:t>that the communication is inadmissible because it was not</w:t>
      </w:r>
      <w:r w:rsidRPr="00B5117F">
        <w:t xml:space="preserve"> </w:t>
      </w:r>
      <w:r w:rsidR="00B66FA2" w:rsidRPr="00B5117F">
        <w:t xml:space="preserve">submitted “personally” by the individual complainants Mr. </w:t>
      </w:r>
      <w:proofErr w:type="spellStart"/>
      <w:r w:rsidR="00B66FA2" w:rsidRPr="00B5117F">
        <w:t>Bekzhan</w:t>
      </w:r>
      <w:proofErr w:type="spellEnd"/>
      <w:r w:rsidR="00B66FA2" w:rsidRPr="00B5117F">
        <w:t>, Mr. Weaver</w:t>
      </w:r>
      <w:r w:rsidRPr="00B5117F">
        <w:t xml:space="preserve"> </w:t>
      </w:r>
      <w:r w:rsidR="00B66FA2" w:rsidRPr="00B5117F">
        <w:t xml:space="preserve">Jr., and </w:t>
      </w:r>
      <w:r w:rsidR="0013398E">
        <w:t xml:space="preserve">Mr. </w:t>
      </w:r>
      <w:proofErr w:type="spellStart"/>
      <w:r w:rsidR="00B66FA2" w:rsidRPr="00B5117F">
        <w:t>Echtle</w:t>
      </w:r>
      <w:proofErr w:type="spellEnd"/>
      <w:r w:rsidR="00B66FA2" w:rsidRPr="00B5117F">
        <w:t>.</w:t>
      </w:r>
      <w:r w:rsidRPr="00B5117F">
        <w:t xml:space="preserve"> </w:t>
      </w:r>
      <w:r w:rsidR="00B66FA2" w:rsidRPr="00B5117F">
        <w:t>Rule 96</w:t>
      </w:r>
      <w:r w:rsidR="004B17BC" w:rsidRPr="00B5117F">
        <w:t xml:space="preserve"> </w:t>
      </w:r>
      <w:r w:rsidR="00B66FA2" w:rsidRPr="00B5117F">
        <w:t>(b) states that “[n]</w:t>
      </w:r>
      <w:proofErr w:type="spellStart"/>
      <w:r w:rsidR="00B66FA2" w:rsidRPr="00AD05D1">
        <w:t>ormally</w:t>
      </w:r>
      <w:proofErr w:type="spellEnd"/>
      <w:r w:rsidR="00B66FA2" w:rsidRPr="00B5117F">
        <w:t>, the communication</w:t>
      </w:r>
      <w:r w:rsidRPr="00B5117F">
        <w:t xml:space="preserve"> </w:t>
      </w:r>
      <w:r w:rsidR="00B66FA2" w:rsidRPr="00B5117F">
        <w:t xml:space="preserve">should be submitted by the individual personally or by that individual’s representative”. </w:t>
      </w:r>
      <w:r w:rsidRPr="00B5117F">
        <w:t>T</w:t>
      </w:r>
      <w:r w:rsidR="00B66FA2" w:rsidRPr="00B5117F">
        <w:t xml:space="preserve">he three individual </w:t>
      </w:r>
      <w:r w:rsidRPr="00B5117F">
        <w:t>authors</w:t>
      </w:r>
      <w:r w:rsidR="00B66FA2" w:rsidRPr="00B5117F">
        <w:t xml:space="preserve"> have authorized</w:t>
      </w:r>
      <w:r w:rsidRPr="00B5117F">
        <w:t xml:space="preserve"> </w:t>
      </w:r>
      <w:r w:rsidR="00B66FA2" w:rsidRPr="00B5117F">
        <w:t>two lawyers as their representatives in the proceedings before the Committee. The</w:t>
      </w:r>
      <w:r w:rsidRPr="00B5117F">
        <w:t xml:space="preserve"> </w:t>
      </w:r>
      <w:r w:rsidR="00B66FA2" w:rsidRPr="00B5117F">
        <w:t>communication therefore fully complies with the Committee’s rules.</w:t>
      </w:r>
    </w:p>
    <w:p w14:paraId="4931C1FC" w14:textId="77777777" w:rsidR="00B66FA2" w:rsidRPr="00B5117F" w:rsidRDefault="00594DF2" w:rsidP="00B66FA2">
      <w:pPr>
        <w:pStyle w:val="SingleTxtG"/>
      </w:pPr>
      <w:r w:rsidRPr="00B5117F">
        <w:t>5.</w:t>
      </w:r>
      <w:r w:rsidR="00B66FA2" w:rsidRPr="00B5117F">
        <w:t>3</w:t>
      </w:r>
      <w:r w:rsidRPr="00B5117F">
        <w:tab/>
      </w:r>
      <w:r w:rsidR="004B17BC" w:rsidRPr="00B5117F">
        <w:t>The</w:t>
      </w:r>
      <w:r w:rsidR="00F93487" w:rsidRPr="00B5117F">
        <w:t xml:space="preserve"> authors further disagree with</w:t>
      </w:r>
      <w:r w:rsidR="004B17BC" w:rsidRPr="00B5117F">
        <w:t xml:space="preserve"> the State party’s assertion </w:t>
      </w:r>
      <w:r w:rsidR="00B66FA2" w:rsidRPr="00B5117F">
        <w:t>that the communication is inadmissible because neither</w:t>
      </w:r>
      <w:r w:rsidR="009D4A22" w:rsidRPr="00B5117F">
        <w:t xml:space="preserve"> </w:t>
      </w:r>
      <w:r w:rsidR="00B66FA2" w:rsidRPr="00B5117F">
        <w:t xml:space="preserve">Mr. Weaver nor Mr. </w:t>
      </w:r>
      <w:proofErr w:type="spellStart"/>
      <w:r w:rsidR="00B66FA2" w:rsidRPr="00B5117F">
        <w:t>Echtle</w:t>
      </w:r>
      <w:proofErr w:type="spellEnd"/>
      <w:r w:rsidR="00B66FA2" w:rsidRPr="00B5117F">
        <w:t xml:space="preserve"> are </w:t>
      </w:r>
      <w:r w:rsidR="00843393">
        <w:t xml:space="preserve">Kazakh </w:t>
      </w:r>
      <w:r w:rsidR="00B66FA2" w:rsidRPr="00B5117F">
        <w:t>citizens and are therefore not subject to its</w:t>
      </w:r>
      <w:r w:rsidR="009D4A22" w:rsidRPr="00B5117F">
        <w:t xml:space="preserve"> </w:t>
      </w:r>
      <w:r w:rsidR="00B66FA2" w:rsidRPr="00B5117F">
        <w:t xml:space="preserve">jurisdiction. </w:t>
      </w:r>
      <w:r w:rsidR="004B17BC" w:rsidRPr="00B5117F">
        <w:t>T</w:t>
      </w:r>
      <w:r w:rsidR="00B66FA2" w:rsidRPr="00B5117F">
        <w:t xml:space="preserve">hese </w:t>
      </w:r>
      <w:r w:rsidR="00F93487" w:rsidRPr="00B5117F">
        <w:t xml:space="preserve">authors </w:t>
      </w:r>
      <w:r w:rsidR="00B66FA2" w:rsidRPr="00B5117F">
        <w:t>are members of the board of directors of two foreign</w:t>
      </w:r>
      <w:r w:rsidR="009D4A22" w:rsidRPr="00B5117F">
        <w:t xml:space="preserve"> </w:t>
      </w:r>
      <w:r w:rsidR="00B66FA2" w:rsidRPr="00B5117F">
        <w:t>religious entities of Jehovah’s Witnesses in the United States of America and Germany that</w:t>
      </w:r>
      <w:r w:rsidR="009D4A22" w:rsidRPr="00B5117F">
        <w:t xml:space="preserve"> </w:t>
      </w:r>
      <w:r w:rsidR="00B66FA2" w:rsidRPr="00B5117F">
        <w:t>publishes and prints the religious literature of Jehovah’s Witnesses and then ships it to</w:t>
      </w:r>
      <w:r w:rsidR="009D4A22" w:rsidRPr="00B5117F">
        <w:t xml:space="preserve"> </w:t>
      </w:r>
      <w:r w:rsidR="004B17BC" w:rsidRPr="00B5117F">
        <w:t>the State party f</w:t>
      </w:r>
      <w:r w:rsidR="00B66FA2" w:rsidRPr="00B5117F">
        <w:t>or use by individual Jehovah’s Witnesses in their family and congregation study.</w:t>
      </w:r>
    </w:p>
    <w:p w14:paraId="14EBC614" w14:textId="77777777" w:rsidR="00B66FA2" w:rsidRPr="00B5117F" w:rsidRDefault="004B17BC" w:rsidP="00B66FA2">
      <w:pPr>
        <w:pStyle w:val="SingleTxtG"/>
      </w:pPr>
      <w:r w:rsidRPr="00B5117F">
        <w:t>5.4</w:t>
      </w:r>
      <w:r w:rsidRPr="00B5117F">
        <w:tab/>
        <w:t xml:space="preserve">The State party’s courts </w:t>
      </w:r>
      <w:r w:rsidR="00B66FA2" w:rsidRPr="00B5117F">
        <w:t>accepted that these two foreign legal entities were adversely</w:t>
      </w:r>
      <w:r w:rsidR="009D4A22" w:rsidRPr="00B5117F">
        <w:t xml:space="preserve"> </w:t>
      </w:r>
      <w:r w:rsidR="00B66FA2" w:rsidRPr="00B5117F">
        <w:t xml:space="preserve">affected by the </w:t>
      </w:r>
      <w:r w:rsidR="00F93487" w:rsidRPr="00B5117F">
        <w:t xml:space="preserve">authorities’ </w:t>
      </w:r>
      <w:r w:rsidR="00B66FA2" w:rsidRPr="00B5117F">
        <w:t>decision</w:t>
      </w:r>
      <w:r w:rsidR="00F93487" w:rsidRPr="00B5117F">
        <w:t>s</w:t>
      </w:r>
      <w:r w:rsidR="00B66FA2" w:rsidRPr="00B5117F">
        <w:t xml:space="preserve"> refusing import of that religious</w:t>
      </w:r>
      <w:r w:rsidR="009D4A22" w:rsidRPr="00B5117F">
        <w:t xml:space="preserve"> </w:t>
      </w:r>
      <w:r w:rsidR="00B66FA2" w:rsidRPr="00B5117F">
        <w:t xml:space="preserve">literature and had standing to appeal those decisions </w:t>
      </w:r>
      <w:r w:rsidR="0013398E">
        <w:t>in court</w:t>
      </w:r>
      <w:r w:rsidR="00B66FA2" w:rsidRPr="00B5117F">
        <w:t>. The violation of</w:t>
      </w:r>
      <w:r w:rsidR="009D4A22" w:rsidRPr="00B5117F">
        <w:t xml:space="preserve"> </w:t>
      </w:r>
      <w:r w:rsidR="00B66FA2" w:rsidRPr="00B5117F">
        <w:t xml:space="preserve">rights occurred in </w:t>
      </w:r>
      <w:r w:rsidRPr="00B5117F">
        <w:t xml:space="preserve">the State party </w:t>
      </w:r>
      <w:r w:rsidR="00B66FA2" w:rsidRPr="00B5117F">
        <w:t xml:space="preserve">by </w:t>
      </w:r>
      <w:r w:rsidRPr="00B5117F">
        <w:t xml:space="preserve">its </w:t>
      </w:r>
      <w:r w:rsidR="00B66FA2" w:rsidRPr="00B5117F">
        <w:t xml:space="preserve">authorities and therefore </w:t>
      </w:r>
      <w:r w:rsidRPr="00B5117F">
        <w:t>the second and third author</w:t>
      </w:r>
      <w:r w:rsidR="00B66FA2" w:rsidRPr="00B5117F">
        <w:t xml:space="preserve"> have standing to challenge the violation of their rights before the Committee.</w:t>
      </w:r>
    </w:p>
    <w:p w14:paraId="341AA577" w14:textId="77777777" w:rsidR="00B66FA2" w:rsidRPr="00B5117F" w:rsidRDefault="004B17BC" w:rsidP="00B66FA2">
      <w:pPr>
        <w:pStyle w:val="SingleTxtG"/>
      </w:pPr>
      <w:r w:rsidRPr="00B5117F">
        <w:t>5.5</w:t>
      </w:r>
      <w:r w:rsidRPr="00B5117F">
        <w:tab/>
      </w:r>
      <w:r w:rsidR="00B66FA2" w:rsidRPr="00B5117F">
        <w:t xml:space="preserve">In any event, the State party does not dispute </w:t>
      </w:r>
      <w:r w:rsidRPr="00B5117F">
        <w:t>the first author’s</w:t>
      </w:r>
      <w:r w:rsidR="00B66FA2" w:rsidRPr="00B5117F">
        <w:t xml:space="preserve"> standing to bring this</w:t>
      </w:r>
      <w:r w:rsidR="009D4A22" w:rsidRPr="00B5117F">
        <w:t xml:space="preserve"> </w:t>
      </w:r>
      <w:r w:rsidR="00B66FA2" w:rsidRPr="00B5117F">
        <w:t xml:space="preserve">communication as a </w:t>
      </w:r>
      <w:r w:rsidR="00843393">
        <w:t xml:space="preserve">Kazakh </w:t>
      </w:r>
      <w:r w:rsidR="00B66FA2" w:rsidRPr="00B5117F">
        <w:t>citizen. He directly participated in all domestic</w:t>
      </w:r>
      <w:r w:rsidR="009D4A22" w:rsidRPr="00B5117F">
        <w:t xml:space="preserve"> </w:t>
      </w:r>
      <w:r w:rsidR="00B66FA2" w:rsidRPr="00B5117F">
        <w:t>proceedings and his standing to challenge the actions of the State party was never questioned</w:t>
      </w:r>
      <w:r w:rsidRPr="00B5117F">
        <w:t xml:space="preserve"> </w:t>
      </w:r>
      <w:r w:rsidR="00B66FA2" w:rsidRPr="00B5117F">
        <w:t>in the domestic courts.</w:t>
      </w:r>
    </w:p>
    <w:p w14:paraId="7D4A828B" w14:textId="77777777" w:rsidR="00B66FA2" w:rsidRPr="00B5117F" w:rsidRDefault="00B66FA2" w:rsidP="00B66FA2">
      <w:pPr>
        <w:pStyle w:val="SingleTxtG"/>
      </w:pPr>
      <w:r w:rsidRPr="00B5117F">
        <w:t>5.</w:t>
      </w:r>
      <w:r w:rsidR="004B17BC" w:rsidRPr="00B5117F">
        <w:t>6</w:t>
      </w:r>
      <w:r w:rsidR="004B17BC" w:rsidRPr="00B5117F">
        <w:tab/>
      </w:r>
      <w:r w:rsidRPr="00B5117F">
        <w:t xml:space="preserve">Finally, the </w:t>
      </w:r>
      <w:r w:rsidR="004B17BC" w:rsidRPr="00B5117F">
        <w:t xml:space="preserve">authors </w:t>
      </w:r>
      <w:r w:rsidR="003137CC" w:rsidRPr="00B5117F">
        <w:t xml:space="preserve">rebut </w:t>
      </w:r>
      <w:r w:rsidR="004B17BC" w:rsidRPr="00B5117F">
        <w:t xml:space="preserve">the </w:t>
      </w:r>
      <w:r w:rsidRPr="00B5117F">
        <w:t>State party</w:t>
      </w:r>
      <w:r w:rsidR="004B17BC" w:rsidRPr="00B5117F">
        <w:t xml:space="preserve">’s </w:t>
      </w:r>
      <w:r w:rsidRPr="00B5117F">
        <w:t>assert</w:t>
      </w:r>
      <w:r w:rsidR="004B17BC" w:rsidRPr="00B5117F">
        <w:t>ion that</w:t>
      </w:r>
      <w:r w:rsidRPr="00B5117F">
        <w:t xml:space="preserve"> the communication is inadmissible because the</w:t>
      </w:r>
      <w:r w:rsidR="004B17BC" w:rsidRPr="00B5117F">
        <w:t>y</w:t>
      </w:r>
      <w:r w:rsidRPr="00B5117F">
        <w:t xml:space="preserve"> did not file a motion with the Prosecutor General requesting that</w:t>
      </w:r>
      <w:r w:rsidR="009D4A22" w:rsidRPr="00B5117F">
        <w:t xml:space="preserve"> </w:t>
      </w:r>
      <w:r w:rsidRPr="00B5117F">
        <w:t>he protest the case to the Supreme Court</w:t>
      </w:r>
      <w:r w:rsidR="004B17BC" w:rsidRPr="00B5117F">
        <w:t xml:space="preserve"> and reiterate that they</w:t>
      </w:r>
      <w:r w:rsidRPr="00B5117F">
        <w:t xml:space="preserve"> appealed directly to the</w:t>
      </w:r>
      <w:r w:rsidR="009D4A22" w:rsidRPr="00B5117F">
        <w:t xml:space="preserve"> </w:t>
      </w:r>
      <w:r w:rsidRPr="00B5117F">
        <w:t>Supreme Court and their application for leave to appeal was dismissed.</w:t>
      </w:r>
      <w:r w:rsidR="003137CC" w:rsidRPr="00B5117F">
        <w:t xml:space="preserve"> In this regard, t</w:t>
      </w:r>
      <w:r w:rsidR="009D3DAC" w:rsidRPr="00B5117F">
        <w:t>he</w:t>
      </w:r>
      <w:r w:rsidR="003137CC" w:rsidRPr="00B5117F">
        <w:t xml:space="preserve">y </w:t>
      </w:r>
      <w:r w:rsidR="003137CC" w:rsidRPr="00B5117F">
        <w:lastRenderedPageBreak/>
        <w:t>refer</w:t>
      </w:r>
      <w:r w:rsidR="009D3DAC" w:rsidRPr="00B5117F">
        <w:t xml:space="preserve"> to </w:t>
      </w:r>
      <w:r w:rsidRPr="00B5117F">
        <w:t>the Committee</w:t>
      </w:r>
      <w:r w:rsidR="009D3DAC" w:rsidRPr="00B5117F">
        <w:t>’s jurisprudence</w:t>
      </w:r>
      <w:r w:rsidRPr="00B5117F">
        <w:t xml:space="preserve">, </w:t>
      </w:r>
      <w:r w:rsidR="003137CC" w:rsidRPr="00B5117F">
        <w:t xml:space="preserve">according to which </w:t>
      </w:r>
      <w:r w:rsidRPr="00B5117F">
        <w:t xml:space="preserve">a motion to a Prosecutor General requesting that it </w:t>
      </w:r>
      <w:r w:rsidR="0013398E">
        <w:t xml:space="preserve">submit a supervisory </w:t>
      </w:r>
      <w:r w:rsidRPr="00B5117F">
        <w:t>protest</w:t>
      </w:r>
      <w:r w:rsidR="009D4A22" w:rsidRPr="00B5117F">
        <w:t xml:space="preserve"> </w:t>
      </w:r>
      <w:r w:rsidRPr="00B5117F">
        <w:t>to a Supreme Court is not an effective remedy.</w:t>
      </w:r>
      <w:r w:rsidR="009D3DAC" w:rsidRPr="00B5117F">
        <w:rPr>
          <w:rStyle w:val="FootnoteReference"/>
        </w:rPr>
        <w:footnoteReference w:id="13"/>
      </w:r>
      <w:r w:rsidRPr="00B5117F">
        <w:t xml:space="preserve"> Furthermore,</w:t>
      </w:r>
      <w:r w:rsidR="009D4A22" w:rsidRPr="00B5117F">
        <w:t xml:space="preserve"> </w:t>
      </w:r>
      <w:r w:rsidRPr="00B5117F">
        <w:t xml:space="preserve">in this case the Supreme Court had already refused leave to appeal. The </w:t>
      </w:r>
      <w:r w:rsidR="009D3DAC" w:rsidRPr="00B5117F">
        <w:t xml:space="preserve">authors </w:t>
      </w:r>
      <w:r w:rsidRPr="00B5117F">
        <w:t xml:space="preserve">have </w:t>
      </w:r>
      <w:r w:rsidR="00C9776F" w:rsidRPr="00B5117F">
        <w:t xml:space="preserve">thus </w:t>
      </w:r>
      <w:r w:rsidRPr="00B5117F">
        <w:t>exhausted all available and</w:t>
      </w:r>
      <w:r w:rsidR="009D4A22" w:rsidRPr="00B5117F">
        <w:t xml:space="preserve"> </w:t>
      </w:r>
      <w:r w:rsidRPr="00B5117F">
        <w:t>effective domestic remedies.</w:t>
      </w:r>
    </w:p>
    <w:p w14:paraId="2E7F172B" w14:textId="77777777" w:rsidR="00B66FA2" w:rsidRPr="00B5117F" w:rsidRDefault="00A03708" w:rsidP="00B66FA2">
      <w:pPr>
        <w:pStyle w:val="SingleTxtG"/>
      </w:pPr>
      <w:r w:rsidRPr="00B5117F">
        <w:t>5.</w:t>
      </w:r>
      <w:r w:rsidR="003E13EF">
        <w:t>7</w:t>
      </w:r>
      <w:r w:rsidRPr="00B5117F">
        <w:tab/>
      </w:r>
      <w:r w:rsidR="00B66FA2" w:rsidRPr="00B5117F">
        <w:t xml:space="preserve">Additionally, </w:t>
      </w:r>
      <w:r w:rsidR="00D336B4" w:rsidRPr="00B5117F">
        <w:t xml:space="preserve">the authors recall that </w:t>
      </w:r>
      <w:r w:rsidR="00B66FA2" w:rsidRPr="00B5117F">
        <w:t>the Committee agreed to temporarily suspend for a</w:t>
      </w:r>
      <w:r w:rsidR="009D4A22" w:rsidRPr="00B5117F">
        <w:t xml:space="preserve"> </w:t>
      </w:r>
      <w:r w:rsidR="00B66FA2" w:rsidRPr="00B5117F">
        <w:t>period of six months th</w:t>
      </w:r>
      <w:r w:rsidR="00B734AD" w:rsidRPr="00B5117F">
        <w:t>e</w:t>
      </w:r>
      <w:r w:rsidR="00B66FA2" w:rsidRPr="00B5117F">
        <w:t xml:space="preserve"> communication based on the request by</w:t>
      </w:r>
      <w:r w:rsidR="009D4A22" w:rsidRPr="00B5117F">
        <w:t xml:space="preserve"> </w:t>
      </w:r>
      <w:r w:rsidR="00B66FA2" w:rsidRPr="00B5117F">
        <w:t xml:space="preserve">the State party that the three </w:t>
      </w:r>
      <w:r w:rsidR="00D336B4" w:rsidRPr="00B5117F">
        <w:t>authors</w:t>
      </w:r>
      <w:r w:rsidR="00B66FA2" w:rsidRPr="00B5117F">
        <w:t xml:space="preserve"> submit motions to</w:t>
      </w:r>
      <w:r w:rsidR="009D4A22" w:rsidRPr="00B5117F">
        <w:t xml:space="preserve"> </w:t>
      </w:r>
      <w:r w:rsidR="00B66FA2" w:rsidRPr="00B5117F">
        <w:t>the Prosecutor General to protest their case to the Supreme Court. The</w:t>
      </w:r>
      <w:r w:rsidR="009D4A22" w:rsidRPr="00B5117F">
        <w:t xml:space="preserve"> </w:t>
      </w:r>
      <w:r w:rsidR="00D336B4" w:rsidRPr="00B5117F">
        <w:t>authors</w:t>
      </w:r>
      <w:r w:rsidR="00B66FA2" w:rsidRPr="00B5117F">
        <w:t xml:space="preserve"> did so.</w:t>
      </w:r>
      <w:r w:rsidRPr="00B5117F">
        <w:t xml:space="preserve"> </w:t>
      </w:r>
      <w:r w:rsidR="00B66FA2" w:rsidRPr="00B5117F">
        <w:t xml:space="preserve">However, at the end of that six month period, the Prosecutor General's office </w:t>
      </w:r>
      <w:r w:rsidR="00D336B4" w:rsidRPr="00B5117F">
        <w:t xml:space="preserve">did not </w:t>
      </w:r>
      <w:r w:rsidR="00B66FA2" w:rsidRPr="00B5117F">
        <w:t>protest</w:t>
      </w:r>
      <w:r w:rsidR="00D336B4" w:rsidRPr="00B5117F">
        <w:t xml:space="preserve"> the case to the Supreme Court</w:t>
      </w:r>
      <w:r w:rsidR="0013398E">
        <w:t xml:space="preserve"> and took no </w:t>
      </w:r>
      <w:r w:rsidR="00B66FA2" w:rsidRPr="00B5117F">
        <w:t>decision on the case.</w:t>
      </w:r>
    </w:p>
    <w:p w14:paraId="5CA88C15" w14:textId="77777777" w:rsidR="00C440C3" w:rsidRPr="001C7E84" w:rsidRDefault="00D31272" w:rsidP="00AD05D1">
      <w:pPr>
        <w:pStyle w:val="H23G"/>
      </w:pPr>
      <w:r w:rsidRPr="00B5117F">
        <w:rPr>
          <w:b w:val="0"/>
        </w:rPr>
        <w:tab/>
      </w:r>
      <w:r w:rsidR="005473B3" w:rsidRPr="00B5117F">
        <w:rPr>
          <w:b w:val="0"/>
        </w:rPr>
        <w:tab/>
      </w:r>
      <w:r w:rsidR="00187F79" w:rsidRPr="001C7E84">
        <w:t xml:space="preserve">State party’s </w:t>
      </w:r>
      <w:r w:rsidR="00F159CA" w:rsidRPr="001C7E84">
        <w:t xml:space="preserve">observations </w:t>
      </w:r>
      <w:r w:rsidR="00187F79" w:rsidRPr="00AD05D1">
        <w:t>on</w:t>
      </w:r>
      <w:r w:rsidR="00187F79" w:rsidRPr="001C7E84">
        <w:t xml:space="preserve"> the merits </w:t>
      </w:r>
    </w:p>
    <w:p w14:paraId="4912FC10" w14:textId="77777777" w:rsidR="009346A3" w:rsidRPr="00B5117F" w:rsidRDefault="009346A3" w:rsidP="00AD05D1">
      <w:pPr>
        <w:pStyle w:val="SingleTxtG"/>
      </w:pPr>
      <w:r w:rsidRPr="00B5117F">
        <w:tab/>
      </w:r>
      <w:r w:rsidR="00D4558E" w:rsidRPr="00B5117F">
        <w:t>6.1</w:t>
      </w:r>
      <w:r w:rsidR="00D4558E" w:rsidRPr="00B5117F">
        <w:tab/>
      </w:r>
      <w:r w:rsidRPr="00B5117F">
        <w:t xml:space="preserve">By Note </w:t>
      </w:r>
      <w:proofErr w:type="spellStart"/>
      <w:r w:rsidRPr="00B5117F">
        <w:t>verbale</w:t>
      </w:r>
      <w:proofErr w:type="spellEnd"/>
      <w:r w:rsidRPr="00B5117F">
        <w:t xml:space="preserve"> of 2 May 2016, the State party submitted its observations on the merits. </w:t>
      </w:r>
      <w:r w:rsidR="00D4558E" w:rsidRPr="00B5117F">
        <w:t xml:space="preserve">It </w:t>
      </w:r>
      <w:r w:rsidRPr="00B5117F">
        <w:t xml:space="preserve">states that </w:t>
      </w:r>
      <w:r w:rsidR="00D4558E" w:rsidRPr="00B5117F">
        <w:t>u</w:t>
      </w:r>
      <w:r w:rsidRPr="00B5117F">
        <w:t xml:space="preserve">nder Article 9 of the Law on Religious Activity and Religious Associations </w:t>
      </w:r>
      <w:r w:rsidR="00D4558E" w:rsidRPr="00B5117F">
        <w:t>(</w:t>
      </w:r>
      <w:r w:rsidRPr="00B5117F">
        <w:t>‘</w:t>
      </w:r>
      <w:r w:rsidR="00D4558E" w:rsidRPr="00B5117F">
        <w:t xml:space="preserve">the </w:t>
      </w:r>
      <w:r w:rsidRPr="00B5117F">
        <w:t xml:space="preserve">Law’), informational material with religious content may be imported into the </w:t>
      </w:r>
      <w:r w:rsidR="00D4558E" w:rsidRPr="00B5117F">
        <w:t xml:space="preserve">State party </w:t>
      </w:r>
      <w:r w:rsidRPr="00B5117F">
        <w:t xml:space="preserve">only by registered religious associations after receiving a positive conclusion of a religious expert </w:t>
      </w:r>
      <w:r w:rsidR="0013398E" w:rsidRPr="00AD05D1">
        <w:t>ex</w:t>
      </w:r>
      <w:r w:rsidR="006C1C8F" w:rsidRPr="00AD05D1">
        <w:t>a</w:t>
      </w:r>
      <w:r w:rsidR="0013398E" w:rsidRPr="00AD05D1">
        <w:t>min</w:t>
      </w:r>
      <w:r w:rsidR="006C1C8F" w:rsidRPr="00AD05D1">
        <w:t>a</w:t>
      </w:r>
      <w:r w:rsidR="0013398E" w:rsidRPr="00AD05D1">
        <w:t>tion</w:t>
      </w:r>
      <w:r w:rsidRPr="00B5117F">
        <w:t>.</w:t>
      </w:r>
      <w:r w:rsidR="00D4558E" w:rsidRPr="00B5117F">
        <w:t xml:space="preserve"> </w:t>
      </w:r>
      <w:r w:rsidRPr="00B5117F">
        <w:t xml:space="preserve">According to Article 4(6) of the Law, and the Guidelines for Conducting a Religious Expert </w:t>
      </w:r>
      <w:r w:rsidR="006C1C8F">
        <w:t>Examination</w:t>
      </w:r>
      <w:r w:rsidRPr="00B5117F">
        <w:t xml:space="preserve">, confirmed by ruling No. 1311 of the Government of 15 October 2012, the performance of religious expert </w:t>
      </w:r>
      <w:r w:rsidR="006C1C8F">
        <w:t xml:space="preserve">examinations </w:t>
      </w:r>
      <w:r w:rsidRPr="00B5117F">
        <w:t xml:space="preserve">is cared for by the Agency for </w:t>
      </w:r>
      <w:r w:rsidR="00D4558E" w:rsidRPr="00B5117F">
        <w:t>Religious Affairs</w:t>
      </w:r>
      <w:r w:rsidRPr="00B5117F">
        <w:t>.</w:t>
      </w:r>
      <w:r w:rsidR="00D4558E" w:rsidRPr="00B5117F">
        <w:t xml:space="preserve"> </w:t>
      </w:r>
    </w:p>
    <w:p w14:paraId="785CC401" w14:textId="77777777" w:rsidR="009346A3" w:rsidRPr="00B5117F" w:rsidRDefault="00D4558E" w:rsidP="00AD05D1">
      <w:pPr>
        <w:pStyle w:val="SingleTxtG"/>
      </w:pPr>
      <w:r w:rsidRPr="00B5117F">
        <w:t>6.2</w:t>
      </w:r>
      <w:r w:rsidRPr="00B5117F">
        <w:tab/>
      </w:r>
      <w:r w:rsidR="009346A3" w:rsidRPr="00B5117F">
        <w:t xml:space="preserve">The Christian Centre requested the Agency for Religious Affairs to perform a religious expert </w:t>
      </w:r>
      <w:r w:rsidR="006C1C8F">
        <w:t>examination</w:t>
      </w:r>
      <w:r w:rsidR="009346A3" w:rsidRPr="00B5117F">
        <w:t xml:space="preserve"> and provided copies of the magazines </w:t>
      </w:r>
      <w:r w:rsidR="009346A3" w:rsidRPr="00B5117F">
        <w:rPr>
          <w:i/>
          <w:iCs/>
        </w:rPr>
        <w:t xml:space="preserve">Awake! </w:t>
      </w:r>
      <w:r w:rsidR="009346A3" w:rsidRPr="00B5117F">
        <w:t xml:space="preserve">and </w:t>
      </w:r>
      <w:r w:rsidR="009346A3" w:rsidRPr="00B5117F">
        <w:rPr>
          <w:i/>
          <w:iCs/>
        </w:rPr>
        <w:t xml:space="preserve">The Watchtower </w:t>
      </w:r>
      <w:r w:rsidR="009346A3" w:rsidRPr="00B5117F">
        <w:t xml:space="preserve">as well as of the brochure </w:t>
      </w:r>
      <w:r w:rsidR="009346A3" w:rsidRPr="00B5117F">
        <w:rPr>
          <w:i/>
          <w:iCs/>
        </w:rPr>
        <w:t xml:space="preserve">Examining the Scriptures Daily 2013 </w:t>
      </w:r>
      <w:r w:rsidR="009346A3" w:rsidRPr="00B5117F">
        <w:t>in Kazakh and Russian.</w:t>
      </w:r>
      <w:r w:rsidRPr="00B5117F">
        <w:t xml:space="preserve"> </w:t>
      </w:r>
      <w:r w:rsidR="009346A3" w:rsidRPr="00B5117F">
        <w:t xml:space="preserve">Seventy-nine materials were </w:t>
      </w:r>
      <w:r w:rsidR="006C1C8F">
        <w:t>submitted, out of which t</w:t>
      </w:r>
      <w:r w:rsidR="009346A3" w:rsidRPr="00B5117F">
        <w:t xml:space="preserve">hirty-nine received positive conclusions. Twenty-three materials were returned at the request of the Christian Centre of Jehovah’s Witnesses without </w:t>
      </w:r>
      <w:r w:rsidR="006C1C8F">
        <w:t>examination</w:t>
      </w:r>
      <w:r w:rsidR="009346A3" w:rsidRPr="00B5117F">
        <w:t xml:space="preserve">. Seven were being studied. Ten publications received a negative conclusion denying import into the </w:t>
      </w:r>
      <w:r w:rsidRPr="00B5117F">
        <w:t>State party</w:t>
      </w:r>
      <w:r w:rsidR="009346A3" w:rsidRPr="00B5117F">
        <w:t xml:space="preserve">: the November 2012 issue of </w:t>
      </w:r>
      <w:r w:rsidR="009346A3" w:rsidRPr="00B5117F">
        <w:rPr>
          <w:i/>
          <w:iCs/>
        </w:rPr>
        <w:t xml:space="preserve">Awake! </w:t>
      </w:r>
      <w:r w:rsidR="009346A3" w:rsidRPr="00B5117F">
        <w:t xml:space="preserve">magazine (in Russian); the </w:t>
      </w:r>
      <w:r w:rsidRPr="00B5117F">
        <w:t xml:space="preserve">15 </w:t>
      </w:r>
      <w:r w:rsidR="009346A3" w:rsidRPr="00B5117F">
        <w:t xml:space="preserve">January 2013, </w:t>
      </w:r>
      <w:r w:rsidRPr="00B5117F">
        <w:t xml:space="preserve">15 </w:t>
      </w:r>
      <w:r w:rsidR="009346A3" w:rsidRPr="00B5117F">
        <w:t xml:space="preserve">February 2013 and </w:t>
      </w:r>
      <w:r w:rsidRPr="00B5117F">
        <w:t xml:space="preserve">15 </w:t>
      </w:r>
      <w:r w:rsidR="009346A3" w:rsidRPr="00B5117F">
        <w:t xml:space="preserve">March 2013 issues of </w:t>
      </w:r>
      <w:r w:rsidR="009346A3" w:rsidRPr="00B5117F">
        <w:rPr>
          <w:i/>
          <w:iCs/>
        </w:rPr>
        <w:t xml:space="preserve">The Watchtower </w:t>
      </w:r>
      <w:r w:rsidR="009346A3" w:rsidRPr="00B5117F">
        <w:t xml:space="preserve">(in Russian and Kazakh); the October–December 2012 issue of </w:t>
      </w:r>
      <w:r w:rsidR="009346A3" w:rsidRPr="00B5117F">
        <w:rPr>
          <w:i/>
          <w:iCs/>
        </w:rPr>
        <w:t xml:space="preserve">The Watchtower </w:t>
      </w:r>
      <w:r w:rsidR="009346A3" w:rsidRPr="00B5117F">
        <w:t xml:space="preserve">in Kazakh; and the brochure </w:t>
      </w:r>
      <w:r w:rsidR="009346A3" w:rsidRPr="00B5117F">
        <w:rPr>
          <w:i/>
          <w:iCs/>
        </w:rPr>
        <w:t>Examining the Scriptures Daily</w:t>
      </w:r>
      <w:r w:rsidR="009346A3" w:rsidRPr="00B5117F">
        <w:t>—</w:t>
      </w:r>
      <w:r w:rsidR="009346A3" w:rsidRPr="00B5117F">
        <w:rPr>
          <w:i/>
          <w:iCs/>
        </w:rPr>
        <w:t xml:space="preserve">2013 </w:t>
      </w:r>
      <w:r w:rsidR="009346A3" w:rsidRPr="00B5117F">
        <w:t>(in Russian and Kazakh).</w:t>
      </w:r>
    </w:p>
    <w:p w14:paraId="19D86489" w14:textId="77777777" w:rsidR="009346A3" w:rsidRPr="00B5117F" w:rsidRDefault="00D4558E" w:rsidP="00AD05D1">
      <w:pPr>
        <w:pStyle w:val="SingleTxtG"/>
      </w:pPr>
      <w:r w:rsidRPr="00B5117F">
        <w:t>6.3</w:t>
      </w:r>
      <w:r w:rsidRPr="00B5117F">
        <w:tab/>
      </w:r>
      <w:r w:rsidR="009346A3" w:rsidRPr="00B5117F">
        <w:t xml:space="preserve">According to the religious expert </w:t>
      </w:r>
      <w:r w:rsidR="006C1C8F">
        <w:t>examination</w:t>
      </w:r>
      <w:r w:rsidR="009346A3" w:rsidRPr="00B5117F">
        <w:t xml:space="preserve">, the ten </w:t>
      </w:r>
      <w:r w:rsidR="006C1C8F">
        <w:t xml:space="preserve">negatively assessed </w:t>
      </w:r>
      <w:r w:rsidR="009346A3" w:rsidRPr="00B5117F">
        <w:t xml:space="preserve">publications contain calls to incite social and religious discord; ideas on the superiority of one’s own religion, </w:t>
      </w:r>
      <w:r w:rsidR="009346A3" w:rsidRPr="00AD05D1">
        <w:t>promoting</w:t>
      </w:r>
      <w:r w:rsidR="009346A3" w:rsidRPr="00B5117F">
        <w:t xml:space="preserve"> the forming of a negative attitude toward other religions; ideas promoting the break-up of family relationships; and ideas that create a negative attitude toward political organizations as well as toward traditional and world religions, with propaganda of the desirability and necessity of destroying all religions.</w:t>
      </w:r>
    </w:p>
    <w:p w14:paraId="1D958D26" w14:textId="77777777" w:rsidR="009346A3" w:rsidRPr="00B5117F" w:rsidRDefault="00D4558E" w:rsidP="00AD05D1">
      <w:pPr>
        <w:pStyle w:val="SingleTxtG"/>
      </w:pPr>
      <w:r w:rsidRPr="00B5117F">
        <w:t>6.4</w:t>
      </w:r>
      <w:r w:rsidRPr="00B5117F">
        <w:tab/>
      </w:r>
      <w:r w:rsidR="009346A3" w:rsidRPr="00B5117F">
        <w:t>In court</w:t>
      </w:r>
      <w:r w:rsidR="006C1C8F">
        <w:t>,</w:t>
      </w:r>
      <w:r w:rsidR="009346A3" w:rsidRPr="00B5117F">
        <w:t xml:space="preserve"> the Christian Centre disputed the results of the expert examination and stated that the state agency was infringing on freedom of religion.</w:t>
      </w:r>
      <w:r w:rsidRPr="00B5117F">
        <w:t xml:space="preserve"> </w:t>
      </w:r>
      <w:r w:rsidR="009346A3" w:rsidRPr="00B5117F">
        <w:t>The Specialized Inter</w:t>
      </w:r>
      <w:r w:rsidR="00B05099">
        <w:t>-</w:t>
      </w:r>
      <w:r w:rsidR="009346A3" w:rsidRPr="00B5117F">
        <w:t>district Economic Court of the City of Astana by its 3 July 2013 decision denied the claim of the Regional Religious Association ‘Christian Centre of Jehovah’s Witnesses’ against the Agency for Religious Affairs to declare unlawful the expert conclusion denying import of the religious journalistic publications and to require that the violation be remedied.</w:t>
      </w:r>
      <w:r w:rsidRPr="00B5117F">
        <w:t xml:space="preserve"> </w:t>
      </w:r>
      <w:r w:rsidR="009346A3" w:rsidRPr="00B5117F">
        <w:t>In its 27 August 2013 ruling the appellate chamber for civil and administrative cases of the Astana City Court upheld th</w:t>
      </w:r>
      <w:r w:rsidR="001A46BB">
        <w:t xml:space="preserve">is </w:t>
      </w:r>
      <w:r w:rsidR="009346A3" w:rsidRPr="00B5117F">
        <w:t xml:space="preserve">decision. The appellate court’s ruling was upheld </w:t>
      </w:r>
      <w:r w:rsidR="001A46BB">
        <w:t xml:space="preserve">on </w:t>
      </w:r>
      <w:r w:rsidR="009346A3" w:rsidRPr="00B5117F">
        <w:t xml:space="preserve">6 May 2014 </w:t>
      </w:r>
      <w:r w:rsidR="001A46BB">
        <w:t xml:space="preserve">by </w:t>
      </w:r>
      <w:r w:rsidR="009346A3" w:rsidRPr="00B5117F">
        <w:t>the Cassation Court of the city of Astana.</w:t>
      </w:r>
      <w:r w:rsidRPr="00B5117F">
        <w:t xml:space="preserve"> </w:t>
      </w:r>
      <w:r w:rsidR="009346A3" w:rsidRPr="00B5117F">
        <w:t>In its 4 September 2014</w:t>
      </w:r>
      <w:r w:rsidR="00C13921">
        <w:t xml:space="preserve"> ruling</w:t>
      </w:r>
      <w:r w:rsidR="001A46BB">
        <w:t xml:space="preserve">, </w:t>
      </w:r>
      <w:r w:rsidR="009346A3" w:rsidRPr="00B5117F">
        <w:t xml:space="preserve">the Supreme Court refused to initiate supervisory </w:t>
      </w:r>
      <w:r w:rsidR="001A46BB">
        <w:t xml:space="preserve">review </w:t>
      </w:r>
      <w:r w:rsidR="009346A3" w:rsidRPr="00B5117F">
        <w:t>proceedings.</w:t>
      </w:r>
    </w:p>
    <w:p w14:paraId="0D54B92F" w14:textId="77777777" w:rsidR="009346A3" w:rsidRPr="00B5117F" w:rsidRDefault="00B82136" w:rsidP="00AD05D1">
      <w:pPr>
        <w:pStyle w:val="SingleTxtG"/>
      </w:pPr>
      <w:r w:rsidRPr="00B5117F">
        <w:t>6.5</w:t>
      </w:r>
      <w:r w:rsidRPr="00B5117F">
        <w:tab/>
      </w:r>
      <w:r w:rsidR="006947D5" w:rsidRPr="00B5117F">
        <w:t xml:space="preserve">As to the merits, the State party submits that </w:t>
      </w:r>
      <w:r w:rsidR="009346A3" w:rsidRPr="00B5117F">
        <w:t xml:space="preserve">as established during judicial proceedings, as a result of religious expert studies signs of </w:t>
      </w:r>
      <w:r w:rsidR="009346A3" w:rsidRPr="00B5117F">
        <w:rPr>
          <w:bCs/>
        </w:rPr>
        <w:t xml:space="preserve">incitement of social and religious discord </w:t>
      </w:r>
      <w:r w:rsidR="009346A3" w:rsidRPr="00B5117F">
        <w:t>were discovered in the content of said magazines and booklet.</w:t>
      </w:r>
      <w:r w:rsidR="006947D5" w:rsidRPr="00B5117F">
        <w:t xml:space="preserve"> </w:t>
      </w:r>
      <w:r w:rsidR="009346A3" w:rsidRPr="00B5117F">
        <w:t xml:space="preserve">According to </w:t>
      </w:r>
      <w:r w:rsidR="00A8729B">
        <w:t>a</w:t>
      </w:r>
      <w:r w:rsidR="009346A3" w:rsidRPr="00B5117F">
        <w:t>rticle 20</w:t>
      </w:r>
      <w:r w:rsidR="006947D5" w:rsidRPr="00B5117F">
        <w:t xml:space="preserve"> </w:t>
      </w:r>
      <w:r w:rsidR="009346A3" w:rsidRPr="00B5117F">
        <w:t xml:space="preserve">(2) of the Covenant, any advocacy of national, racial or </w:t>
      </w:r>
      <w:r w:rsidR="009346A3" w:rsidRPr="00B5117F">
        <w:rPr>
          <w:bCs/>
        </w:rPr>
        <w:t xml:space="preserve">religious hatred </w:t>
      </w:r>
      <w:r w:rsidR="009346A3" w:rsidRPr="00B5117F">
        <w:t xml:space="preserve">that constitutes </w:t>
      </w:r>
      <w:r w:rsidR="009346A3" w:rsidRPr="00B5117F">
        <w:lastRenderedPageBreak/>
        <w:t xml:space="preserve">incitement to discrimination, </w:t>
      </w:r>
      <w:r w:rsidR="009346A3" w:rsidRPr="00B5117F">
        <w:rPr>
          <w:bCs/>
        </w:rPr>
        <w:t xml:space="preserve">hostility </w:t>
      </w:r>
      <w:r w:rsidR="009346A3" w:rsidRPr="00B5117F">
        <w:t xml:space="preserve">or violence shall be prohibited </w:t>
      </w:r>
      <w:r w:rsidR="009346A3" w:rsidRPr="00B5117F">
        <w:rPr>
          <w:bCs/>
        </w:rPr>
        <w:t>by law</w:t>
      </w:r>
      <w:r w:rsidR="009346A3" w:rsidRPr="00B5117F">
        <w:t xml:space="preserve">. </w:t>
      </w:r>
      <w:r w:rsidR="001A46BB">
        <w:t xml:space="preserve">The State party </w:t>
      </w:r>
      <w:r w:rsidR="006947D5" w:rsidRPr="00B5117F">
        <w:t xml:space="preserve">refers to </w:t>
      </w:r>
      <w:r w:rsidR="009346A3" w:rsidRPr="00B5117F">
        <w:t>General Comment No. 22 of the Committee establish</w:t>
      </w:r>
      <w:r w:rsidR="006947D5" w:rsidRPr="00B5117F">
        <w:t>ing</w:t>
      </w:r>
      <w:r w:rsidR="009346A3" w:rsidRPr="00B5117F">
        <w:t xml:space="preserve"> that </w:t>
      </w:r>
      <w:r w:rsidR="009346A3" w:rsidRPr="00B5117F">
        <w:rPr>
          <w:bCs/>
        </w:rPr>
        <w:t xml:space="preserve">no manifestation of religion or belief may amount to propaganda </w:t>
      </w:r>
      <w:r w:rsidR="009346A3" w:rsidRPr="00B5117F">
        <w:t xml:space="preserve">for war or </w:t>
      </w:r>
      <w:r w:rsidR="009346A3" w:rsidRPr="00B5117F">
        <w:rPr>
          <w:bCs/>
        </w:rPr>
        <w:t xml:space="preserve">advocacy of </w:t>
      </w:r>
      <w:r w:rsidR="009346A3" w:rsidRPr="00B5117F">
        <w:t xml:space="preserve">national, racial or </w:t>
      </w:r>
      <w:r w:rsidR="009346A3" w:rsidRPr="00B5117F">
        <w:rPr>
          <w:bCs/>
        </w:rPr>
        <w:t xml:space="preserve">religious hatred </w:t>
      </w:r>
      <w:r w:rsidR="009346A3" w:rsidRPr="00B5117F">
        <w:t>that constitutes incitement to discrimination, hostility or violence.</w:t>
      </w:r>
      <w:r w:rsidR="006947D5" w:rsidRPr="00B5117F">
        <w:rPr>
          <w:rStyle w:val="FootnoteReference"/>
        </w:rPr>
        <w:footnoteReference w:id="14"/>
      </w:r>
    </w:p>
    <w:p w14:paraId="0650F367" w14:textId="77777777" w:rsidR="009346A3" w:rsidRPr="00B5117F" w:rsidRDefault="006947D5" w:rsidP="00AD05D1">
      <w:pPr>
        <w:pStyle w:val="SingleTxtG"/>
      </w:pPr>
      <w:r w:rsidRPr="00B5117F">
        <w:t>6.6</w:t>
      </w:r>
      <w:r w:rsidRPr="00B5117F">
        <w:tab/>
      </w:r>
      <w:r w:rsidR="00C25D5E" w:rsidRPr="00B5117F">
        <w:t>The State party refers to the limitations set up by a</w:t>
      </w:r>
      <w:r w:rsidR="009346A3" w:rsidRPr="00B5117F">
        <w:t>rticle</w:t>
      </w:r>
      <w:r w:rsidR="00C25D5E" w:rsidRPr="00B5117F">
        <w:t>s</w:t>
      </w:r>
      <w:r w:rsidR="009346A3" w:rsidRPr="00B5117F">
        <w:t xml:space="preserve"> 18(3) </w:t>
      </w:r>
      <w:r w:rsidR="00C25D5E" w:rsidRPr="00B5117F">
        <w:t xml:space="preserve">and 19(3) </w:t>
      </w:r>
      <w:r w:rsidR="009346A3" w:rsidRPr="00B5117F">
        <w:t>of the Covenant</w:t>
      </w:r>
      <w:r w:rsidR="00C25D5E" w:rsidRPr="00B5117F">
        <w:t xml:space="preserve">. </w:t>
      </w:r>
      <w:r w:rsidR="009346A3" w:rsidRPr="00B5117F">
        <w:t xml:space="preserve">Based on the </w:t>
      </w:r>
      <w:proofErr w:type="spellStart"/>
      <w:r w:rsidR="009346A3" w:rsidRPr="00B5117F">
        <w:t>Siracusa</w:t>
      </w:r>
      <w:proofErr w:type="spellEnd"/>
      <w:r w:rsidR="009346A3" w:rsidRPr="00B5117F">
        <w:t xml:space="preserve"> principles on the limitation and derogation provisions in the Covenant, the expression ‘public order’ as used in the Covenant may be defined as the sum of rules which ensures the </w:t>
      </w:r>
      <w:r w:rsidR="009346A3" w:rsidRPr="00AD05D1">
        <w:t>functioning</w:t>
      </w:r>
      <w:r w:rsidR="009346A3" w:rsidRPr="00B5117F">
        <w:t xml:space="preserve"> of society or the set of fundamental principles on which a society is founded.</w:t>
      </w:r>
      <w:r w:rsidR="00C25D5E" w:rsidRPr="00B5117F">
        <w:t xml:space="preserve"> </w:t>
      </w:r>
      <w:r w:rsidR="009346A3" w:rsidRPr="00B5117F">
        <w:t xml:space="preserve">Respect for human rights is part of </w:t>
      </w:r>
      <w:r w:rsidR="00C25D5E" w:rsidRPr="00B5117F">
        <w:t xml:space="preserve">the </w:t>
      </w:r>
      <w:r w:rsidR="009346A3" w:rsidRPr="00B5117F">
        <w:t>public order.</w:t>
      </w:r>
      <w:r w:rsidR="00C25D5E" w:rsidRPr="00B5117F">
        <w:t xml:space="preserve"> Legal conditions are ensured in the State party for realising, protecting and respecting the rights and freedoms of each person when manifesting religion or belief, including by the prohibition of discrimination on the basis of attitude toward religion.</w:t>
      </w:r>
    </w:p>
    <w:p w14:paraId="6A967A27" w14:textId="77777777" w:rsidR="009346A3" w:rsidRPr="00B5117F" w:rsidRDefault="00C25D5E" w:rsidP="00AD05D1">
      <w:pPr>
        <w:pStyle w:val="SingleTxtG"/>
      </w:pPr>
      <w:r w:rsidRPr="00B5117F">
        <w:t>6.7</w:t>
      </w:r>
      <w:r w:rsidRPr="00B5117F">
        <w:tab/>
        <w:t>The</w:t>
      </w:r>
      <w:r w:rsidR="009346A3" w:rsidRPr="00B5117F">
        <w:t xml:space="preserve"> State party, in strict conformity with its obligations under </w:t>
      </w:r>
      <w:r w:rsidRPr="00B5117F">
        <w:t>a</w:t>
      </w:r>
      <w:r w:rsidR="009346A3" w:rsidRPr="00B5117F">
        <w:t>rticles 18(3), 19(3) and 20(2) of the Covenant, has enshrined in domestic legislation the relevant norms prohibiting propaganda of religious hatred and enmity, including under penalty of criminal prosecution.</w:t>
      </w:r>
      <w:r w:rsidRPr="00B5117F">
        <w:t xml:space="preserve"> </w:t>
      </w:r>
      <w:r w:rsidR="009346A3" w:rsidRPr="00B5117F">
        <w:t xml:space="preserve">For example, according to the provisions of the Law on Counteracting Extremism, </w:t>
      </w:r>
      <w:r w:rsidR="009346A3" w:rsidRPr="00B5117F">
        <w:rPr>
          <w:bCs/>
        </w:rPr>
        <w:t xml:space="preserve">incitement of religious enmity or discord </w:t>
      </w:r>
      <w:r w:rsidR="009346A3" w:rsidRPr="00B5117F">
        <w:t xml:space="preserve">is a form of extremism (Article 1) and, pursuant to the Law on National Security (Article 6(1)(8)), </w:t>
      </w:r>
      <w:r w:rsidR="001A46BB">
        <w:t xml:space="preserve">it constitutes </w:t>
      </w:r>
      <w:r w:rsidR="009346A3" w:rsidRPr="00B5117F">
        <w:rPr>
          <w:bCs/>
        </w:rPr>
        <w:t>one of the primary threats to national security</w:t>
      </w:r>
      <w:r w:rsidR="009346A3" w:rsidRPr="00B5117F">
        <w:t>.</w:t>
      </w:r>
      <w:r w:rsidRPr="00B5117F">
        <w:t xml:space="preserve"> </w:t>
      </w:r>
      <w:r w:rsidR="009346A3" w:rsidRPr="00B5117F">
        <w:t xml:space="preserve">Article 12 of the Law on Counteracting Extremism prohibits the use on the territory of the </w:t>
      </w:r>
      <w:r w:rsidRPr="00B5117F">
        <w:t xml:space="preserve">State party </w:t>
      </w:r>
      <w:r w:rsidR="009346A3" w:rsidRPr="00B5117F">
        <w:t xml:space="preserve">of networks or communication tools to carry out extremism, as well as the </w:t>
      </w:r>
      <w:r w:rsidR="009346A3" w:rsidRPr="00B5117F">
        <w:rPr>
          <w:bCs/>
        </w:rPr>
        <w:t>import, production, preparation and/or distribution of extremist materials</w:t>
      </w:r>
      <w:r w:rsidR="009346A3" w:rsidRPr="00B5117F">
        <w:t>.</w:t>
      </w:r>
      <w:r w:rsidRPr="00B5117F">
        <w:t xml:space="preserve"> </w:t>
      </w:r>
      <w:r w:rsidR="009346A3" w:rsidRPr="00B5117F">
        <w:t>Natural persons may incur criminal accountability for violation of these legal norms (</w:t>
      </w:r>
      <w:r w:rsidR="009346A3" w:rsidRPr="00B5117F">
        <w:rPr>
          <w:iCs/>
        </w:rPr>
        <w:t>Article 174 of the Criminal Code</w:t>
      </w:r>
      <w:r w:rsidR="009346A3" w:rsidRPr="00B5117F">
        <w:t>), while organisations may be declared extremist and banned by a court.</w:t>
      </w:r>
      <w:r w:rsidRPr="00B5117F">
        <w:t xml:space="preserve"> </w:t>
      </w:r>
      <w:r w:rsidR="009346A3" w:rsidRPr="00B5117F">
        <w:t xml:space="preserve">In this regard, performing a religious expert </w:t>
      </w:r>
      <w:r w:rsidR="001A46BB">
        <w:t xml:space="preserve">examination </w:t>
      </w:r>
      <w:r w:rsidR="009346A3" w:rsidRPr="00B5117F">
        <w:t xml:space="preserve">as prescribed by the </w:t>
      </w:r>
      <w:r w:rsidR="00A8729B">
        <w:t>Religio</w:t>
      </w:r>
      <w:r w:rsidR="009022CA">
        <w:t>n</w:t>
      </w:r>
      <w:r w:rsidR="00A8729B">
        <w:t xml:space="preserve"> </w:t>
      </w:r>
      <w:r w:rsidR="009346A3" w:rsidRPr="00B5117F">
        <w:t>Law (</w:t>
      </w:r>
      <w:r w:rsidR="00A8729B">
        <w:t>a</w:t>
      </w:r>
      <w:r w:rsidR="009346A3" w:rsidRPr="00B5117F">
        <w:t>rticle</w:t>
      </w:r>
      <w:r w:rsidR="00A8729B">
        <w:t>s</w:t>
      </w:r>
      <w:r w:rsidR="009346A3" w:rsidRPr="00B5117F">
        <w:t xml:space="preserve"> 6 and 9(3)) has the objective of preventing the import and dissemination of religious literature and other religious informational materials that advocate </w:t>
      </w:r>
      <w:r w:rsidR="009346A3" w:rsidRPr="00B5117F">
        <w:rPr>
          <w:bCs/>
        </w:rPr>
        <w:t>religious hatred and enmity</w:t>
      </w:r>
      <w:r w:rsidR="009346A3" w:rsidRPr="00B5117F">
        <w:t>.</w:t>
      </w:r>
      <w:r w:rsidRPr="00B5117F">
        <w:t xml:space="preserve"> </w:t>
      </w:r>
      <w:r w:rsidR="009346A3" w:rsidRPr="00B5117F">
        <w:t xml:space="preserve">Thus, </w:t>
      </w:r>
      <w:r w:rsidR="009346A3" w:rsidRPr="00B5117F">
        <w:rPr>
          <w:bCs/>
        </w:rPr>
        <w:t xml:space="preserve">a religious expert </w:t>
      </w:r>
      <w:r w:rsidR="001A46BB">
        <w:rPr>
          <w:bCs/>
        </w:rPr>
        <w:t>examination</w:t>
      </w:r>
      <w:r w:rsidR="009346A3" w:rsidRPr="00B5117F">
        <w:rPr>
          <w:bCs/>
        </w:rPr>
        <w:t xml:space="preserve"> prevents any potential opportunity for importing and distributing materials that advocate hatred and enmity on religious grounds, including toward followers of the community of Jehovah’s Witnesses themselves</w:t>
      </w:r>
      <w:r w:rsidR="009346A3" w:rsidRPr="00B5117F">
        <w:t>.</w:t>
      </w:r>
    </w:p>
    <w:p w14:paraId="29D90BCD" w14:textId="77777777" w:rsidR="009346A3" w:rsidRPr="00B5117F" w:rsidRDefault="00232FF5" w:rsidP="00AD05D1">
      <w:pPr>
        <w:pStyle w:val="SingleTxtG"/>
      </w:pPr>
      <w:r w:rsidRPr="00B5117F">
        <w:t>6.8</w:t>
      </w:r>
      <w:r w:rsidRPr="00B5117F">
        <w:tab/>
      </w:r>
      <w:r w:rsidR="009346A3" w:rsidRPr="00B5117F">
        <w:t xml:space="preserve">Moreover, in regard to the individual publications of Jehovah’s Witnesses under consideration, </w:t>
      </w:r>
      <w:r w:rsidRPr="00B5117F">
        <w:t xml:space="preserve">the State party </w:t>
      </w:r>
      <w:r w:rsidR="009346A3" w:rsidRPr="00B5117F">
        <w:t xml:space="preserve">applied necessary, proportionate and minimal restrictive measures; </w:t>
      </w:r>
      <w:r w:rsidR="009346A3" w:rsidRPr="00B5117F">
        <w:rPr>
          <w:bCs/>
        </w:rPr>
        <w:t>their import was simply not permitted</w:t>
      </w:r>
      <w:r w:rsidR="009346A3" w:rsidRPr="00B5117F">
        <w:t>.</w:t>
      </w:r>
      <w:r w:rsidRPr="00B5117F">
        <w:t xml:space="preserve"> </w:t>
      </w:r>
      <w:r w:rsidR="009346A3" w:rsidRPr="00B5117F">
        <w:t xml:space="preserve">Additionally, although there were legal grounds, </w:t>
      </w:r>
      <w:r w:rsidRPr="00B5117F">
        <w:t xml:space="preserve">the State party </w:t>
      </w:r>
      <w:r w:rsidR="009346A3" w:rsidRPr="00B5117F">
        <w:t xml:space="preserve">did not initiate proceedings in court to declare </w:t>
      </w:r>
      <w:r w:rsidR="001A46BB">
        <w:t>the</w:t>
      </w:r>
      <w:r w:rsidR="009346A3" w:rsidRPr="00B5117F">
        <w:t xml:space="preserve"> publications of Jehovah’s Witnesses to be extremist material and to prohibit their distribution, including distribution by means of the Internet or other communication networks.</w:t>
      </w:r>
      <w:r w:rsidRPr="00B5117F">
        <w:t xml:space="preserve"> </w:t>
      </w:r>
      <w:r w:rsidR="009346A3" w:rsidRPr="00B5117F">
        <w:t xml:space="preserve">Currently, followers of the community of Jehovah’s Witnesses on the territory of </w:t>
      </w:r>
      <w:r w:rsidRPr="00B5117F">
        <w:t xml:space="preserve">the State party </w:t>
      </w:r>
      <w:r w:rsidR="009346A3" w:rsidRPr="00B5117F">
        <w:t>can read and use these publications, which can be freely accessed on the Internet.</w:t>
      </w:r>
    </w:p>
    <w:p w14:paraId="06A684F4" w14:textId="77777777" w:rsidR="009346A3" w:rsidRPr="00B5117F" w:rsidRDefault="00E93DFB" w:rsidP="00AD05D1">
      <w:pPr>
        <w:pStyle w:val="SingleTxtG"/>
        <w:rPr>
          <w:bCs/>
        </w:rPr>
      </w:pPr>
      <w:r w:rsidRPr="00B5117F">
        <w:t>6.9</w:t>
      </w:r>
      <w:r w:rsidRPr="00B5117F">
        <w:tab/>
      </w:r>
      <w:r w:rsidR="009346A3" w:rsidRPr="00B5117F">
        <w:t xml:space="preserve">According to </w:t>
      </w:r>
      <w:r w:rsidR="00A8729B">
        <w:t>a</w:t>
      </w:r>
      <w:r w:rsidR="009346A3" w:rsidRPr="00B5117F">
        <w:t xml:space="preserve">rticle 9(3) of the </w:t>
      </w:r>
      <w:r w:rsidR="00A8729B" w:rsidRPr="00B5117F">
        <w:t>Religio</w:t>
      </w:r>
      <w:r w:rsidR="009022CA">
        <w:t>n</w:t>
      </w:r>
      <w:r w:rsidR="00A8729B" w:rsidRPr="00B5117F">
        <w:t xml:space="preserve"> </w:t>
      </w:r>
      <w:r w:rsidR="009346A3" w:rsidRPr="00B5117F">
        <w:t xml:space="preserve">Law, followers of the community of Jehovah’s Witnesses have the opportunity to import </w:t>
      </w:r>
      <w:r w:rsidR="001A46BB">
        <w:t xml:space="preserve">the </w:t>
      </w:r>
      <w:r w:rsidR="009346A3" w:rsidRPr="00B5117F">
        <w:t xml:space="preserve">publications </w:t>
      </w:r>
      <w:r w:rsidR="001A46BB">
        <w:t xml:space="preserve">but </w:t>
      </w:r>
      <w:r w:rsidR="009346A3" w:rsidRPr="00B5117F">
        <w:t>for their personal use.</w:t>
      </w:r>
      <w:r w:rsidRPr="00B5117F">
        <w:t xml:space="preserve"> </w:t>
      </w:r>
      <w:r w:rsidR="009346A3" w:rsidRPr="00B5117F">
        <w:t xml:space="preserve">Moreover, denying import of these </w:t>
      </w:r>
      <w:r w:rsidR="009346A3" w:rsidRPr="00B5117F">
        <w:rPr>
          <w:bCs/>
        </w:rPr>
        <w:t>individual publications</w:t>
      </w:r>
      <w:r w:rsidR="009346A3" w:rsidRPr="00B5117F">
        <w:t>, being proportionate, necessary and minimal, in no way hindered the followers of Jehovah’s Witnesses from manifesting their religion or from freely seeking, receiving and imparting information and ideas of all kinds.</w:t>
      </w:r>
      <w:r w:rsidRPr="00B5117F">
        <w:t xml:space="preserve"> </w:t>
      </w:r>
      <w:r w:rsidR="009346A3" w:rsidRPr="00B5117F">
        <w:rPr>
          <w:bCs/>
        </w:rPr>
        <w:t xml:space="preserve">Therefore, the rights of believers enshrined in Articles 18 and 19 of the Covenant were not violated; the denial of import into </w:t>
      </w:r>
      <w:r w:rsidRPr="00B5117F">
        <w:rPr>
          <w:bCs/>
        </w:rPr>
        <w:t xml:space="preserve">the State party </w:t>
      </w:r>
      <w:r w:rsidR="009346A3" w:rsidRPr="00B5117F">
        <w:rPr>
          <w:bCs/>
        </w:rPr>
        <w:t xml:space="preserve">of 10 copies of publications of the religious association ‘Christian Centre of Jehovah’s Witnesses’ is based on law and was motivated by </w:t>
      </w:r>
      <w:r w:rsidR="009346A3" w:rsidRPr="00AD05D1">
        <w:t>implementation</w:t>
      </w:r>
      <w:r w:rsidR="009346A3" w:rsidRPr="00B5117F">
        <w:rPr>
          <w:bCs/>
        </w:rPr>
        <w:t xml:space="preserve"> of </w:t>
      </w:r>
      <w:r w:rsidR="00A8729B">
        <w:rPr>
          <w:bCs/>
        </w:rPr>
        <w:t>a</w:t>
      </w:r>
      <w:r w:rsidR="009346A3" w:rsidRPr="00B5117F">
        <w:rPr>
          <w:bCs/>
        </w:rPr>
        <w:t>rticle 20(2) of the Covenant regarding the prohibition on advocacy of religious hatred and enmity.</w:t>
      </w:r>
    </w:p>
    <w:p w14:paraId="3D473113" w14:textId="6785D06F" w:rsidR="009346A3" w:rsidRPr="00B5117F" w:rsidRDefault="00DA4820" w:rsidP="00AD05D1">
      <w:pPr>
        <w:pStyle w:val="SingleTxtG"/>
        <w:rPr>
          <w:bCs/>
        </w:rPr>
      </w:pPr>
      <w:r w:rsidRPr="00B5117F">
        <w:rPr>
          <w:bCs/>
        </w:rPr>
        <w:t>6.10</w:t>
      </w:r>
      <w:r w:rsidRPr="00B5117F">
        <w:rPr>
          <w:bCs/>
        </w:rPr>
        <w:tab/>
        <w:t>As to the alleged violation of article 27 of the Covenant</w:t>
      </w:r>
      <w:r w:rsidRPr="00B5117F">
        <w:t xml:space="preserve"> (since the authorised agency for religious affairs denied import of the publications listed earlier)</w:t>
      </w:r>
      <w:r w:rsidRPr="00B5117F">
        <w:rPr>
          <w:bCs/>
        </w:rPr>
        <w:t xml:space="preserve">, the State party maintains </w:t>
      </w:r>
      <w:r w:rsidRPr="00B5117F">
        <w:rPr>
          <w:bCs/>
        </w:rPr>
        <w:lastRenderedPageBreak/>
        <w:t xml:space="preserve">that </w:t>
      </w:r>
      <w:r w:rsidR="009346A3" w:rsidRPr="00B5117F">
        <w:t>the religious association of Jehovah’s Witnesses has never been denied the right to practise their religion together with other members of the same group.</w:t>
      </w:r>
      <w:r w:rsidRPr="00B5117F">
        <w:t xml:space="preserve"> </w:t>
      </w:r>
      <w:r w:rsidR="009346A3" w:rsidRPr="00B5117F">
        <w:t xml:space="preserve">The denial of import of the ten publications has been </w:t>
      </w:r>
      <w:r w:rsidR="009346A3" w:rsidRPr="00B5117F">
        <w:rPr>
          <w:bCs/>
        </w:rPr>
        <w:t xml:space="preserve">erroneously and groundlessly </w:t>
      </w:r>
      <w:r w:rsidR="009346A3" w:rsidRPr="00B5117F">
        <w:t>presented as a denial by the State of the realisation of the right to profess a religion.</w:t>
      </w:r>
      <w:r w:rsidRPr="00B5117F">
        <w:t xml:space="preserve"> As</w:t>
      </w:r>
      <w:r w:rsidR="009346A3" w:rsidRPr="00B5117F">
        <w:t xml:space="preserve"> not disputed by </w:t>
      </w:r>
      <w:r w:rsidRPr="00B5117F">
        <w:t>the authors</w:t>
      </w:r>
      <w:r w:rsidR="009346A3" w:rsidRPr="00B5117F">
        <w:t xml:space="preserve">, there are now in </w:t>
      </w:r>
      <w:r w:rsidRPr="00B5117F">
        <w:t>the State party</w:t>
      </w:r>
      <w:r w:rsidR="009346A3" w:rsidRPr="00B5117F">
        <w:t xml:space="preserve"> over </w:t>
      </w:r>
      <w:r w:rsidR="009346A3" w:rsidRPr="00B5117F">
        <w:rPr>
          <w:bCs/>
        </w:rPr>
        <w:t xml:space="preserve">17 000 </w:t>
      </w:r>
      <w:r w:rsidR="009346A3" w:rsidRPr="00B5117F">
        <w:t xml:space="preserve">followers of the religious association ‘Jehovah’s Witnesses’, they freely use their religious literature, their community has </w:t>
      </w:r>
      <w:r w:rsidR="009346A3" w:rsidRPr="00B5117F">
        <w:rPr>
          <w:bCs/>
        </w:rPr>
        <w:t xml:space="preserve">55 </w:t>
      </w:r>
      <w:r w:rsidR="009346A3" w:rsidRPr="00B5117F">
        <w:t xml:space="preserve">buildings of worship and they are united in </w:t>
      </w:r>
      <w:r w:rsidR="009346A3" w:rsidRPr="00B5117F">
        <w:rPr>
          <w:bCs/>
        </w:rPr>
        <w:t xml:space="preserve">59 </w:t>
      </w:r>
      <w:r w:rsidR="009346A3" w:rsidRPr="00B5117F">
        <w:t xml:space="preserve">registered local religious associations and </w:t>
      </w:r>
      <w:r w:rsidR="009346A3" w:rsidRPr="00B5117F">
        <w:rPr>
          <w:bCs/>
        </w:rPr>
        <w:t xml:space="preserve">1 </w:t>
      </w:r>
      <w:r w:rsidR="009346A3" w:rsidRPr="00B5117F">
        <w:t>regional religious association, which carry out their activity autonomously and independently.</w:t>
      </w:r>
      <w:r w:rsidR="0087366F" w:rsidRPr="00B5117F">
        <w:t xml:space="preserve"> </w:t>
      </w:r>
      <w:r w:rsidR="009346A3" w:rsidRPr="00B5117F">
        <w:rPr>
          <w:bCs/>
        </w:rPr>
        <w:t xml:space="preserve">Therefore, in the </w:t>
      </w:r>
      <w:r w:rsidR="0087366F" w:rsidRPr="00B5117F">
        <w:rPr>
          <w:bCs/>
        </w:rPr>
        <w:t>State party</w:t>
      </w:r>
      <w:r w:rsidR="00B077D5">
        <w:rPr>
          <w:bCs/>
        </w:rPr>
        <w:t>,</w:t>
      </w:r>
      <w:r w:rsidR="0087366F" w:rsidRPr="00B5117F">
        <w:rPr>
          <w:bCs/>
        </w:rPr>
        <w:t xml:space="preserve"> </w:t>
      </w:r>
      <w:r w:rsidR="009346A3" w:rsidRPr="00B5117F">
        <w:rPr>
          <w:bCs/>
        </w:rPr>
        <w:t xml:space="preserve">the rights of Jehovah’s Witnesses are being realised in </w:t>
      </w:r>
      <w:r w:rsidR="0087366F" w:rsidRPr="00B5117F">
        <w:rPr>
          <w:bCs/>
        </w:rPr>
        <w:t>conformity</w:t>
      </w:r>
      <w:r w:rsidR="009346A3" w:rsidRPr="00B5117F">
        <w:rPr>
          <w:bCs/>
        </w:rPr>
        <w:t xml:space="preserve"> with the provisions of </w:t>
      </w:r>
      <w:r w:rsidR="006F15B8">
        <w:rPr>
          <w:bCs/>
        </w:rPr>
        <w:t>a</w:t>
      </w:r>
      <w:r w:rsidR="009346A3" w:rsidRPr="00B5117F">
        <w:rPr>
          <w:bCs/>
        </w:rPr>
        <w:t>rticle 27 of the Covenant.</w:t>
      </w:r>
    </w:p>
    <w:p w14:paraId="6F3274B9" w14:textId="77777777" w:rsidR="009346A3" w:rsidRPr="00B5117F" w:rsidRDefault="0087366F" w:rsidP="00AD05D1">
      <w:pPr>
        <w:pStyle w:val="SingleTxtG"/>
      </w:pPr>
      <w:r w:rsidRPr="00B5117F">
        <w:rPr>
          <w:bCs/>
        </w:rPr>
        <w:t>6.11</w:t>
      </w:r>
      <w:r w:rsidRPr="00B5117F">
        <w:rPr>
          <w:bCs/>
        </w:rPr>
        <w:tab/>
        <w:t>The State party consider</w:t>
      </w:r>
      <w:r w:rsidR="00B077D5">
        <w:rPr>
          <w:bCs/>
        </w:rPr>
        <w:t>s</w:t>
      </w:r>
      <w:r w:rsidRPr="00B5117F">
        <w:rPr>
          <w:bCs/>
        </w:rPr>
        <w:t xml:space="preserve"> the</w:t>
      </w:r>
      <w:r w:rsidR="009346A3" w:rsidRPr="00B5117F">
        <w:t xml:space="preserve"> </w:t>
      </w:r>
      <w:r w:rsidR="00E33AEA" w:rsidRPr="00B5117F">
        <w:t xml:space="preserve">counsel’s </w:t>
      </w:r>
      <w:r w:rsidR="009346A3" w:rsidRPr="00B5117F">
        <w:t>assert</w:t>
      </w:r>
      <w:r w:rsidRPr="00B5117F">
        <w:t>ion</w:t>
      </w:r>
      <w:r w:rsidR="009346A3" w:rsidRPr="00B5117F">
        <w:t xml:space="preserve"> that </w:t>
      </w:r>
      <w:r w:rsidRPr="00B5117F">
        <w:t>its</w:t>
      </w:r>
      <w:r w:rsidR="009346A3" w:rsidRPr="00B5117F">
        <w:t xml:space="preserve"> </w:t>
      </w:r>
      <w:r w:rsidR="00EE6C12" w:rsidRPr="00B5117F">
        <w:t>Religio</w:t>
      </w:r>
      <w:r w:rsidR="009022CA">
        <w:t>n</w:t>
      </w:r>
      <w:r w:rsidR="00EE6C12" w:rsidRPr="00B5117F">
        <w:t xml:space="preserve"> </w:t>
      </w:r>
      <w:r w:rsidR="009346A3" w:rsidRPr="00B5117F">
        <w:t>Law ‘</w:t>
      </w:r>
      <w:r w:rsidR="009346A3" w:rsidRPr="00B5117F">
        <w:rPr>
          <w:bCs/>
        </w:rPr>
        <w:t>contravenes the international human rights obligations of Kazakhstan</w:t>
      </w:r>
      <w:r w:rsidR="009346A3" w:rsidRPr="00B5117F">
        <w:t>’</w:t>
      </w:r>
      <w:r w:rsidR="00E33AEA" w:rsidRPr="00B5117F">
        <w:t xml:space="preserve"> </w:t>
      </w:r>
      <w:r w:rsidR="00292CD2">
        <w:t>to be</w:t>
      </w:r>
      <w:r w:rsidR="00143EB2">
        <w:t xml:space="preserve"> </w:t>
      </w:r>
      <w:r w:rsidR="009346A3" w:rsidRPr="00B5117F">
        <w:t>unacceptable, groundless and erroneous and in excess of his authority as a lawyer.</w:t>
      </w:r>
      <w:r w:rsidR="00E33AEA" w:rsidRPr="00B5117F">
        <w:t xml:space="preserve"> </w:t>
      </w:r>
      <w:r w:rsidR="009346A3" w:rsidRPr="00B5117F">
        <w:t xml:space="preserve">The Law was adopted taking into account the opinion of representatives of the main religious communities in the </w:t>
      </w:r>
      <w:r w:rsidR="00E33AEA" w:rsidRPr="00B5117F">
        <w:t>State party</w:t>
      </w:r>
      <w:r w:rsidR="009346A3" w:rsidRPr="00B5117F">
        <w:t>, international legal documents and international practice in the sphere of freedom of religion; it does not contravene them.</w:t>
      </w:r>
      <w:r w:rsidR="006C10C3" w:rsidRPr="00B5117F">
        <w:t xml:space="preserve"> </w:t>
      </w:r>
      <w:r w:rsidR="009346A3" w:rsidRPr="00B5117F">
        <w:t xml:space="preserve">For example, </w:t>
      </w:r>
      <w:r w:rsidR="00EE6C12">
        <w:t>a</w:t>
      </w:r>
      <w:r w:rsidR="009346A3" w:rsidRPr="00B5117F">
        <w:t>rticle 3</w:t>
      </w:r>
      <w:r w:rsidR="006C10C3" w:rsidRPr="00B5117F">
        <w:t xml:space="preserve"> </w:t>
      </w:r>
      <w:r w:rsidR="009346A3" w:rsidRPr="00B5117F">
        <w:t xml:space="preserve">(10) of this Law, which prohibits the creation and activity of religious associations whose goals and activity are aimed at inciting religious enmity and discord, is in complete harmony with </w:t>
      </w:r>
      <w:r w:rsidR="00EE6C12">
        <w:t>a</w:t>
      </w:r>
      <w:r w:rsidR="009346A3" w:rsidRPr="00B5117F">
        <w:t>rticle 20</w:t>
      </w:r>
      <w:r w:rsidR="006C10C3" w:rsidRPr="00B5117F">
        <w:t xml:space="preserve"> </w:t>
      </w:r>
      <w:r w:rsidR="009346A3" w:rsidRPr="00B5117F">
        <w:t>(2) of the Covenant.</w:t>
      </w:r>
      <w:r w:rsidR="006C10C3" w:rsidRPr="00B5117F">
        <w:t xml:space="preserve"> </w:t>
      </w:r>
      <w:r w:rsidR="009346A3" w:rsidRPr="00B5117F">
        <w:t xml:space="preserve">Moreover, information on the compliance of this Law with the Covenant and other international legal documents is set forth in detail in the comments of the </w:t>
      </w:r>
      <w:r w:rsidR="006C10C3" w:rsidRPr="00B5117F">
        <w:t xml:space="preserve">State party </w:t>
      </w:r>
      <w:r w:rsidR="009346A3" w:rsidRPr="00B5117F">
        <w:t>on the report of the UN Special Rapporteur on freedom of religion or belief</w:t>
      </w:r>
      <w:r w:rsidR="006C10C3" w:rsidRPr="00B5117F">
        <w:t>.</w:t>
      </w:r>
      <w:r w:rsidR="006C10C3" w:rsidRPr="00B5117F">
        <w:rPr>
          <w:rStyle w:val="FootnoteReference"/>
        </w:rPr>
        <w:footnoteReference w:id="15"/>
      </w:r>
      <w:r w:rsidR="006C10C3" w:rsidRPr="00B5117F">
        <w:t xml:space="preserve"> </w:t>
      </w:r>
      <w:r w:rsidR="009346A3" w:rsidRPr="00B5117F">
        <w:t xml:space="preserve"> </w:t>
      </w:r>
    </w:p>
    <w:p w14:paraId="7DB4E0B4" w14:textId="77777777" w:rsidR="009346A3" w:rsidRPr="00B5117F" w:rsidRDefault="006C10C3" w:rsidP="00AD05D1">
      <w:pPr>
        <w:pStyle w:val="SingleTxtG"/>
      </w:pPr>
      <w:r w:rsidRPr="00B5117F">
        <w:rPr>
          <w:bCs/>
        </w:rPr>
        <w:t>6.12</w:t>
      </w:r>
      <w:r w:rsidRPr="00B5117F">
        <w:rPr>
          <w:bCs/>
        </w:rPr>
        <w:tab/>
      </w:r>
      <w:r w:rsidR="009346A3" w:rsidRPr="00B5117F">
        <w:t>The examples of case law of the European Court of Human Rights (ECHR</w:t>
      </w:r>
      <w:r w:rsidRPr="00B5117F">
        <w:t xml:space="preserve">) </w:t>
      </w:r>
      <w:r w:rsidR="00EE6C12">
        <w:t xml:space="preserve">referred to </w:t>
      </w:r>
      <w:r w:rsidRPr="00B5117F">
        <w:t>by the authors</w:t>
      </w:r>
      <w:r w:rsidR="009346A3" w:rsidRPr="00B5117F">
        <w:t xml:space="preserve"> and the recommendations of the Parliamentary Assembly of the Council of Europe (PACE) are inappropriate and not applicable to the </w:t>
      </w:r>
      <w:r w:rsidRPr="00B5117F">
        <w:t>State party</w:t>
      </w:r>
      <w:r w:rsidR="009346A3" w:rsidRPr="00B5117F">
        <w:t>, such as for the consideration by the Committee of th</w:t>
      </w:r>
      <w:r w:rsidRPr="00B5117F">
        <w:t>is</w:t>
      </w:r>
      <w:r w:rsidR="009346A3" w:rsidRPr="00B5117F">
        <w:t xml:space="preserve"> </w:t>
      </w:r>
      <w:r w:rsidRPr="00B5117F">
        <w:t>c</w:t>
      </w:r>
      <w:r w:rsidR="009346A3" w:rsidRPr="00B5117F">
        <w:t>ommunication.</w:t>
      </w:r>
      <w:r w:rsidRPr="00B5117F">
        <w:t xml:space="preserve"> </w:t>
      </w:r>
      <w:r w:rsidR="009346A3" w:rsidRPr="00B5117F">
        <w:t xml:space="preserve">First, </w:t>
      </w:r>
      <w:r w:rsidRPr="00B5117F">
        <w:t xml:space="preserve">the State party </w:t>
      </w:r>
      <w:r w:rsidR="009346A3" w:rsidRPr="00B5117F">
        <w:rPr>
          <w:bCs/>
        </w:rPr>
        <w:t xml:space="preserve">is not a party </w:t>
      </w:r>
      <w:r w:rsidR="009346A3" w:rsidRPr="00B5117F">
        <w:t>to the Convention on the Protection of Human Rights and Fundamental Freedoms</w:t>
      </w:r>
      <w:r w:rsidRPr="00B5117F">
        <w:t xml:space="preserve">. It </w:t>
      </w:r>
      <w:r w:rsidR="009346A3" w:rsidRPr="00B5117F">
        <w:t>is not a member of th</w:t>
      </w:r>
      <w:r w:rsidRPr="00B5117F">
        <w:t>e</w:t>
      </w:r>
      <w:r w:rsidR="009346A3" w:rsidRPr="00B5117F">
        <w:t xml:space="preserve"> </w:t>
      </w:r>
      <w:r w:rsidRPr="00B5117F">
        <w:t xml:space="preserve">Council of Europe </w:t>
      </w:r>
      <w:r w:rsidR="009346A3" w:rsidRPr="00B5117F">
        <w:t xml:space="preserve">and by force of the peremptory provisions of </w:t>
      </w:r>
      <w:r w:rsidR="00EE6C12">
        <w:t>a</w:t>
      </w:r>
      <w:r w:rsidR="009346A3" w:rsidRPr="00B5117F">
        <w:t>rticle 26 of the Vienna Convention on the Law of Treaties dated 23 May 1969, did not assume the obligations of it.</w:t>
      </w:r>
      <w:r w:rsidRPr="00B5117F">
        <w:t xml:space="preserve"> </w:t>
      </w:r>
      <w:r w:rsidR="009346A3" w:rsidRPr="00B5117F">
        <w:t>Second, the Covenant and the Optional Protocol to the Covenant do not contain provisions allowing for the citing of decisions of other convention bodies for the protection of human rights and freedoms during the consideration of individual communications within the framework of ot</w:t>
      </w:r>
      <w:r w:rsidRPr="00B5117F">
        <w:t xml:space="preserve">her international organisations. </w:t>
      </w:r>
      <w:r w:rsidR="009346A3" w:rsidRPr="00B5117F">
        <w:t xml:space="preserve">In view of </w:t>
      </w:r>
      <w:r w:rsidR="00EE6C12">
        <w:t>a</w:t>
      </w:r>
      <w:r w:rsidR="009346A3" w:rsidRPr="00B5117F">
        <w:t xml:space="preserve">rticle 2(1) of the Covenant, </w:t>
      </w:r>
      <w:r w:rsidR="00EE6C12">
        <w:t>a</w:t>
      </w:r>
      <w:r w:rsidR="009346A3" w:rsidRPr="00B5117F">
        <w:t>rticle 1 of the Optional Protocol to the Covenant and p</w:t>
      </w:r>
      <w:r w:rsidR="00EE6C12">
        <w:t>ara.</w:t>
      </w:r>
      <w:r w:rsidR="009346A3" w:rsidRPr="00B5117F">
        <w:t xml:space="preserve"> 3 of General Comment No. 31 of the Committee dated 29 March 2004, decisions by the ECHR and PACE do not create and cannot create international</w:t>
      </w:r>
      <w:r w:rsidRPr="00B5117F">
        <w:t xml:space="preserve"> </w:t>
      </w:r>
      <w:r w:rsidR="009346A3" w:rsidRPr="00B5117F">
        <w:t xml:space="preserve">legal obligations for the </w:t>
      </w:r>
      <w:r w:rsidRPr="00B5117F">
        <w:t>State party</w:t>
      </w:r>
      <w:r w:rsidR="009346A3" w:rsidRPr="00B5117F">
        <w:t>, including the use of such for the purpose under discussion.</w:t>
      </w:r>
    </w:p>
    <w:p w14:paraId="1F1D5134" w14:textId="77777777" w:rsidR="009346A3" w:rsidRPr="00B5117F" w:rsidRDefault="00AA56CE" w:rsidP="00AD05D1">
      <w:pPr>
        <w:pStyle w:val="SingleTxtG"/>
      </w:pPr>
      <w:r w:rsidRPr="00B5117F">
        <w:rPr>
          <w:bCs/>
        </w:rPr>
        <w:t>6.13</w:t>
      </w:r>
      <w:r w:rsidRPr="00B5117F">
        <w:rPr>
          <w:bCs/>
        </w:rPr>
        <w:tab/>
      </w:r>
      <w:r w:rsidR="00B077D5">
        <w:rPr>
          <w:bCs/>
        </w:rPr>
        <w:t xml:space="preserve">In the State party’s opinion, the </w:t>
      </w:r>
      <w:r w:rsidR="00EE6C12">
        <w:t>authors</w:t>
      </w:r>
      <w:r w:rsidR="009346A3" w:rsidRPr="00B5117F">
        <w:t xml:space="preserve"> inappropriately cited judgment No. 1 of the Constitutional Council </w:t>
      </w:r>
      <w:r w:rsidRPr="00B5117F">
        <w:t>of</w:t>
      </w:r>
      <w:r w:rsidR="009346A3" w:rsidRPr="00B5117F">
        <w:t xml:space="preserve"> 11 February 2009.</w:t>
      </w:r>
      <w:r w:rsidRPr="00B5117F">
        <w:t xml:space="preserve"> </w:t>
      </w:r>
      <w:r w:rsidR="009346A3" w:rsidRPr="00B5117F">
        <w:t>This judgment was rendered in connection with an assessment of whether the Law on Amendments and Additions to Certain Legislative Acts Regarding Freedom of Worship and Religious Associations</w:t>
      </w:r>
      <w:r w:rsidRPr="00B5117F">
        <w:rPr>
          <w:rStyle w:val="FootnoteReference"/>
        </w:rPr>
        <w:footnoteReference w:id="16"/>
      </w:r>
      <w:r w:rsidR="009346A3" w:rsidRPr="00B5117F">
        <w:t xml:space="preserve"> complies with the Constitution.</w:t>
      </w:r>
      <w:r w:rsidRPr="00B5117F">
        <w:t xml:space="preserve"> </w:t>
      </w:r>
      <w:r w:rsidR="009346A3" w:rsidRPr="00B5117F">
        <w:t>The Constitutional Council found the Law to be not in compliance with the Constitution. In accordance with Ar</w:t>
      </w:r>
      <w:r w:rsidRPr="00B5117F">
        <w:t>ticle 74(1) of the Constitution</w:t>
      </w:r>
      <w:r w:rsidR="009346A3" w:rsidRPr="00B5117F">
        <w:t>, the Constitutional Council ruled that the Law should not be signed and enacted.</w:t>
      </w:r>
      <w:r w:rsidRPr="00B5117F">
        <w:t xml:space="preserve"> </w:t>
      </w:r>
      <w:r w:rsidR="009346A3" w:rsidRPr="00B5117F">
        <w:t xml:space="preserve">Therefore, judgment No. 1 of the Constitutional Council is not related and does not apply to the Law on Religious Activity and Religious Associations. </w:t>
      </w:r>
    </w:p>
    <w:p w14:paraId="42C0FC73" w14:textId="77777777" w:rsidR="009346A3" w:rsidRPr="00B5117F" w:rsidRDefault="009346A3" w:rsidP="00AD05D1">
      <w:pPr>
        <w:pStyle w:val="SingleTxtG"/>
      </w:pPr>
      <w:r w:rsidRPr="00B5117F">
        <w:rPr>
          <w:bCs/>
        </w:rPr>
        <w:t>6</w:t>
      </w:r>
      <w:r w:rsidRPr="00B5117F">
        <w:t>.</w:t>
      </w:r>
      <w:r w:rsidR="00117B59" w:rsidRPr="00B5117F">
        <w:t>14</w:t>
      </w:r>
      <w:r w:rsidR="00117B59" w:rsidRPr="00B5117F">
        <w:tab/>
      </w:r>
      <w:r w:rsidR="00847B65" w:rsidRPr="00B5117F">
        <w:t xml:space="preserve">The State party </w:t>
      </w:r>
      <w:r w:rsidR="00EE6C12">
        <w:t xml:space="preserve">interprets </w:t>
      </w:r>
      <w:r w:rsidR="00847B65" w:rsidRPr="00B5117F">
        <w:t xml:space="preserve">the authors’ </w:t>
      </w:r>
      <w:r w:rsidRPr="00B5117F">
        <w:t xml:space="preserve">conclusion </w:t>
      </w:r>
      <w:r w:rsidR="00EE6C12">
        <w:t xml:space="preserve">such as </w:t>
      </w:r>
      <w:r w:rsidRPr="00B5117F">
        <w:t xml:space="preserve">the right to freedom of religion is absolute and </w:t>
      </w:r>
      <w:r w:rsidR="00B5117F" w:rsidRPr="00B5117F">
        <w:t>cannot</w:t>
      </w:r>
      <w:r w:rsidRPr="00B5117F">
        <w:t xml:space="preserve"> be limited</w:t>
      </w:r>
      <w:r w:rsidR="00EE6C12" w:rsidRPr="00EE6C12">
        <w:t xml:space="preserve"> </w:t>
      </w:r>
      <w:r w:rsidR="00EE6C12">
        <w:t xml:space="preserve">and </w:t>
      </w:r>
      <w:r w:rsidR="00EE6C12" w:rsidRPr="00B5117F">
        <w:t>challenges</w:t>
      </w:r>
      <w:r w:rsidR="00EE6C12">
        <w:t xml:space="preserve"> it</w:t>
      </w:r>
      <w:r w:rsidRPr="00B5117F">
        <w:t>.</w:t>
      </w:r>
      <w:r w:rsidR="00847B65" w:rsidRPr="00B5117F">
        <w:t xml:space="preserve"> </w:t>
      </w:r>
      <w:r w:rsidRPr="00B5117F">
        <w:t xml:space="preserve">In General Comment No. 22 the Committee emphasised that </w:t>
      </w:r>
      <w:r w:rsidR="00EE6C12">
        <w:t>a</w:t>
      </w:r>
      <w:r w:rsidRPr="00B5117F">
        <w:t xml:space="preserve">rticle 18 distinguishes the </w:t>
      </w:r>
      <w:r w:rsidRPr="00B5117F">
        <w:rPr>
          <w:bCs/>
        </w:rPr>
        <w:t>freedom of thought, conscience, religion or belief from the freedom to manifest religion or belief</w:t>
      </w:r>
      <w:r w:rsidRPr="00B5117F">
        <w:t>.</w:t>
      </w:r>
      <w:r w:rsidR="00C33FBD" w:rsidRPr="00B5117F">
        <w:t xml:space="preserve"> </w:t>
      </w:r>
      <w:r w:rsidRPr="00B5117F">
        <w:t xml:space="preserve">That article does not permit any limitations whatsoever on the freedom of thought and conscience or on the freedom to have or adopt a religion or belief of one’s choice. These freedoms are protected unconditionally, as is the right of everyone to hold opinions without interference in </w:t>
      </w:r>
      <w:r w:rsidR="00EE6C12">
        <w:t>a</w:t>
      </w:r>
      <w:r w:rsidRPr="00B5117F">
        <w:t>rticle 19(1) of the Covenant.</w:t>
      </w:r>
      <w:r w:rsidR="00847B65" w:rsidRPr="00B5117F">
        <w:t xml:space="preserve"> </w:t>
      </w:r>
      <w:r w:rsidRPr="00B5117F">
        <w:t xml:space="preserve">Based on this as well as on </w:t>
      </w:r>
      <w:r w:rsidR="00EE6C12">
        <w:t>a</w:t>
      </w:r>
      <w:r w:rsidRPr="00B5117F">
        <w:t xml:space="preserve">rticle 18(3) of the Covenant, freedom to </w:t>
      </w:r>
      <w:r w:rsidRPr="00B5117F">
        <w:lastRenderedPageBreak/>
        <w:t xml:space="preserve">manifest religion or beliefs and the rights in </w:t>
      </w:r>
      <w:r w:rsidR="00EE6C12" w:rsidRPr="00AD05D1">
        <w:t>a</w:t>
      </w:r>
      <w:r w:rsidRPr="00AD05D1">
        <w:t>rticle</w:t>
      </w:r>
      <w:r w:rsidRPr="00B5117F">
        <w:t xml:space="preserve"> 19(3) of the Covenant may be limited by law only for the protection of public order and the fundamental rights and freedoms of others.</w:t>
      </w:r>
      <w:r w:rsidR="00C33FBD" w:rsidRPr="00B5117F">
        <w:t xml:space="preserve"> </w:t>
      </w:r>
      <w:r w:rsidRPr="00B5117F">
        <w:t xml:space="preserve">In this connection </w:t>
      </w:r>
      <w:r w:rsidR="00847B65" w:rsidRPr="00B5117F">
        <w:t xml:space="preserve">the State party </w:t>
      </w:r>
      <w:r w:rsidRPr="00B5117F">
        <w:t>note</w:t>
      </w:r>
      <w:r w:rsidR="00B077D5">
        <w:t>s</w:t>
      </w:r>
      <w:r w:rsidRPr="00B5117F">
        <w:t xml:space="preserve"> that the Constitution and the laws </w:t>
      </w:r>
      <w:r w:rsidRPr="00B5117F">
        <w:rPr>
          <w:bCs/>
        </w:rPr>
        <w:t>do not contain and do not allow any kind of limitations on freedom of thought and conscience, on freedom to have or to adopt a religion or beliefs of one’s choice, that is, everyone has the right to subscribe or not to subscribe to any religion</w:t>
      </w:r>
      <w:r w:rsidRPr="00B5117F">
        <w:t>.</w:t>
      </w:r>
    </w:p>
    <w:p w14:paraId="00A1A957" w14:textId="77777777" w:rsidR="009346A3" w:rsidRPr="00B5117F" w:rsidRDefault="00C33FBD" w:rsidP="00AD05D1">
      <w:pPr>
        <w:pStyle w:val="SingleTxtG"/>
      </w:pPr>
      <w:r w:rsidRPr="00B5117F">
        <w:t>6.15</w:t>
      </w:r>
      <w:r w:rsidRPr="00B5117F">
        <w:tab/>
      </w:r>
      <w:r w:rsidR="009346A3" w:rsidRPr="00B5117F">
        <w:t xml:space="preserve">The </w:t>
      </w:r>
      <w:r w:rsidR="00EE6C12" w:rsidRPr="00B5117F">
        <w:t>Religio</w:t>
      </w:r>
      <w:r w:rsidR="009022CA">
        <w:t>n</w:t>
      </w:r>
      <w:r w:rsidR="00EE6C12" w:rsidRPr="00B5117F">
        <w:t xml:space="preserve"> </w:t>
      </w:r>
      <w:r w:rsidR="009346A3" w:rsidRPr="00B5117F">
        <w:t xml:space="preserve">Law, being based on the Constitution and not contravening the provisions of the Covenant, determines the procedure for realisation of the right to </w:t>
      </w:r>
      <w:r w:rsidR="009346A3" w:rsidRPr="00B5117F">
        <w:rPr>
          <w:bCs/>
        </w:rPr>
        <w:t xml:space="preserve">manifest </w:t>
      </w:r>
      <w:r w:rsidR="009346A3" w:rsidRPr="00B5117F">
        <w:t>religion, including import</w:t>
      </w:r>
      <w:r w:rsidR="005776CD">
        <w:t>ation</w:t>
      </w:r>
      <w:r w:rsidR="009346A3" w:rsidRPr="00B5117F">
        <w:t xml:space="preserve"> of religious literature or religious information material.</w:t>
      </w:r>
      <w:r w:rsidR="00847B65" w:rsidRPr="00B5117F">
        <w:t xml:space="preserve"> </w:t>
      </w:r>
      <w:r w:rsidR="009346A3" w:rsidRPr="00B5117F">
        <w:t xml:space="preserve">Moreover, an institute of religious expert </w:t>
      </w:r>
      <w:r w:rsidR="00B077D5">
        <w:t>examination</w:t>
      </w:r>
      <w:r w:rsidR="009346A3" w:rsidRPr="00B5117F">
        <w:t xml:space="preserve">s in combination with the norm in </w:t>
      </w:r>
      <w:r w:rsidR="00EE6C12">
        <w:t>a</w:t>
      </w:r>
      <w:r w:rsidR="009346A3" w:rsidRPr="00B5117F">
        <w:t xml:space="preserve">rticle 9(3) of the </w:t>
      </w:r>
      <w:r w:rsidR="00EE6C12" w:rsidRPr="00B5117F">
        <w:t xml:space="preserve">Religious </w:t>
      </w:r>
      <w:r w:rsidR="009346A3" w:rsidRPr="00B5117F">
        <w:t xml:space="preserve">Law does not affect the realisation of everyone’s right to the freedom to have or adopt a religion or belief of one’s choice, which fully complies with the requirements of </w:t>
      </w:r>
      <w:r w:rsidR="00EE6C12">
        <w:t>a</w:t>
      </w:r>
      <w:r w:rsidR="009346A3" w:rsidRPr="00B5117F">
        <w:t>rticle 18(2) of the Covenant.</w:t>
      </w:r>
      <w:r w:rsidR="00847B65" w:rsidRPr="00B5117F">
        <w:t xml:space="preserve"> </w:t>
      </w:r>
    </w:p>
    <w:p w14:paraId="54EA0EC0" w14:textId="77777777" w:rsidR="009346A3" w:rsidRPr="00B5117F" w:rsidRDefault="00BF28EA" w:rsidP="00AD05D1">
      <w:pPr>
        <w:pStyle w:val="SingleTxtG"/>
      </w:pPr>
      <w:r w:rsidRPr="00B5117F">
        <w:t>6.16</w:t>
      </w:r>
      <w:r w:rsidRPr="00B5117F">
        <w:tab/>
      </w:r>
      <w:r w:rsidR="00847B65" w:rsidRPr="00B5117F">
        <w:t>T</w:t>
      </w:r>
      <w:r w:rsidR="009346A3" w:rsidRPr="00B5117F">
        <w:t xml:space="preserve">he institute of religious expert </w:t>
      </w:r>
      <w:r w:rsidR="00B077D5">
        <w:t>examination</w:t>
      </w:r>
      <w:r w:rsidR="009346A3" w:rsidRPr="00B5117F">
        <w:t xml:space="preserve">s is not an instrument of censorship and discrimination for limiting the activity of the community of Jehovah’s Witnesses in </w:t>
      </w:r>
      <w:r w:rsidR="00847B65" w:rsidRPr="00B5117F">
        <w:t xml:space="preserve">the State party. </w:t>
      </w:r>
      <w:r w:rsidR="009346A3" w:rsidRPr="00B5117F">
        <w:t xml:space="preserve">According to </w:t>
      </w:r>
      <w:r w:rsidR="00EE6C12">
        <w:t>a</w:t>
      </w:r>
      <w:r w:rsidR="009346A3" w:rsidRPr="00B5117F">
        <w:t xml:space="preserve">rticle 20(1) of the Constitution, censorship is prohibited in </w:t>
      </w:r>
      <w:r w:rsidR="00EE6C12">
        <w:t>the State party</w:t>
      </w:r>
      <w:r w:rsidR="009346A3" w:rsidRPr="00B5117F">
        <w:t>.</w:t>
      </w:r>
      <w:r w:rsidR="00847B65" w:rsidRPr="00B5117F">
        <w:t xml:space="preserve"> T</w:t>
      </w:r>
      <w:r w:rsidR="009346A3" w:rsidRPr="00B5117F">
        <w:t xml:space="preserve">he decision of the authorised agency, based on the religious expert </w:t>
      </w:r>
      <w:r w:rsidR="00B077D5">
        <w:t>examination</w:t>
      </w:r>
      <w:r w:rsidR="009346A3" w:rsidRPr="00B5117F">
        <w:t xml:space="preserve">, has affected only ten copies of publications of Jehovah’s Witnesses; their content had signs of propaganda of religious intolerance and enmity. </w:t>
      </w:r>
      <w:r w:rsidR="009346A3" w:rsidRPr="00B5117F">
        <w:rPr>
          <w:bCs/>
        </w:rPr>
        <w:t xml:space="preserve">Most of the publications of Jehovah’s Witnesses, after undergoing a religious expert </w:t>
      </w:r>
      <w:r w:rsidR="00B077D5">
        <w:rPr>
          <w:bCs/>
        </w:rPr>
        <w:t>examination</w:t>
      </w:r>
      <w:r w:rsidR="009346A3" w:rsidRPr="00B5117F">
        <w:rPr>
          <w:bCs/>
        </w:rPr>
        <w:t xml:space="preserve"> and receiving a positive conclusion, are imported and distributed in </w:t>
      </w:r>
      <w:r w:rsidR="00847B65" w:rsidRPr="00B5117F">
        <w:rPr>
          <w:bCs/>
        </w:rPr>
        <w:t xml:space="preserve">the State party </w:t>
      </w:r>
      <w:r w:rsidR="009346A3" w:rsidRPr="00B5117F">
        <w:rPr>
          <w:bCs/>
        </w:rPr>
        <w:t xml:space="preserve">without hindrance. </w:t>
      </w:r>
      <w:r w:rsidR="009346A3" w:rsidRPr="00B5117F">
        <w:t xml:space="preserve">For example, in 2014 a religious expert </w:t>
      </w:r>
      <w:r w:rsidR="00B077D5">
        <w:t xml:space="preserve">examination </w:t>
      </w:r>
      <w:r w:rsidR="009346A3" w:rsidRPr="00B5117F">
        <w:t>was conducted on 99 religious informational materials of Jehovah’s Witnesses, of which only 13 (</w:t>
      </w:r>
      <w:r w:rsidR="009346A3" w:rsidRPr="00B5117F">
        <w:rPr>
          <w:i/>
          <w:iCs/>
        </w:rPr>
        <w:t>13%</w:t>
      </w:r>
      <w:r w:rsidR="009346A3" w:rsidRPr="00B5117F">
        <w:t>) of the materials were given a negative expert conclusion; in 2015, of 64 religious informational materials of Jehovah’s Witnesses a negative expert concl</w:t>
      </w:r>
      <w:r w:rsidR="00847B65" w:rsidRPr="00B5117F">
        <w:t>u</w:t>
      </w:r>
      <w:r w:rsidR="009346A3" w:rsidRPr="00B5117F">
        <w:t>sion was issued regarding 6 (</w:t>
      </w:r>
      <w:r w:rsidR="009346A3" w:rsidRPr="00B5117F">
        <w:rPr>
          <w:i/>
          <w:iCs/>
        </w:rPr>
        <w:t>10%</w:t>
      </w:r>
      <w:r w:rsidR="009346A3" w:rsidRPr="00B5117F">
        <w:t xml:space="preserve">) of the materials. </w:t>
      </w:r>
      <w:r w:rsidR="00847B65" w:rsidRPr="00B5117F">
        <w:t xml:space="preserve">The State party submits that the </w:t>
      </w:r>
      <w:r w:rsidR="00C33FBD" w:rsidRPr="00B5117F">
        <w:t>communication should</w:t>
      </w:r>
      <w:r w:rsidR="009346A3" w:rsidRPr="00B5117F">
        <w:t xml:space="preserve"> be rejected because it is </w:t>
      </w:r>
      <w:r w:rsidR="009346A3" w:rsidRPr="00B5117F">
        <w:rPr>
          <w:bCs/>
        </w:rPr>
        <w:t>inadmissible and groundless</w:t>
      </w:r>
      <w:r w:rsidR="009346A3" w:rsidRPr="00B5117F">
        <w:t>.</w:t>
      </w:r>
    </w:p>
    <w:p w14:paraId="3244B2AB" w14:textId="77777777" w:rsidR="007535D6" w:rsidRPr="001C7E84" w:rsidRDefault="00AD05D1" w:rsidP="00AD05D1">
      <w:pPr>
        <w:pStyle w:val="H23G"/>
      </w:pPr>
      <w:r>
        <w:tab/>
      </w:r>
      <w:r>
        <w:tab/>
      </w:r>
      <w:r w:rsidR="007535D6" w:rsidRPr="001C7E84">
        <w:t>Author’s comments on the State party’s observations</w:t>
      </w:r>
    </w:p>
    <w:p w14:paraId="1087240A" w14:textId="77777777" w:rsidR="007535D6" w:rsidRPr="00B5117F" w:rsidRDefault="00BF28EA" w:rsidP="00AD05D1">
      <w:pPr>
        <w:pStyle w:val="SingleTxtG"/>
      </w:pPr>
      <w:r w:rsidRPr="00B5117F">
        <w:t>7.1</w:t>
      </w:r>
      <w:r w:rsidRPr="00B5117F">
        <w:tab/>
        <w:t xml:space="preserve">On 19 September 2016, the authors </w:t>
      </w:r>
      <w:r w:rsidR="00B077D5">
        <w:t xml:space="preserve">noted </w:t>
      </w:r>
      <w:r w:rsidRPr="00B5117F">
        <w:t xml:space="preserve">that </w:t>
      </w:r>
      <w:r w:rsidR="007535D6" w:rsidRPr="00B5117F">
        <w:t>the State party does not dispute any of the facts set out in the complaint, including:</w:t>
      </w:r>
      <w:r w:rsidR="00E23E4D" w:rsidRPr="00B5117F">
        <w:t xml:space="preserve"> </w:t>
      </w:r>
      <w:r w:rsidR="00856E16" w:rsidRPr="00B5117F">
        <w:t xml:space="preserve">(a) </w:t>
      </w:r>
      <w:r w:rsidR="000255D6" w:rsidRPr="00B5117F">
        <w:t>that the</w:t>
      </w:r>
      <w:r w:rsidR="007535D6" w:rsidRPr="00B5117F">
        <w:t xml:space="preserve"> 2011 Religion Law does not provide any criteria the Agency of Religious Affairs (“ARA”, now the “Committee of Religious Affairs”) must follow when deciding whether to reject a religious organisation’s request to import religious literature;</w:t>
      </w:r>
      <w:r w:rsidR="00856E16" w:rsidRPr="00B5117F">
        <w:t xml:space="preserve"> </w:t>
      </w:r>
      <w:r w:rsidR="007535D6" w:rsidRPr="00B5117F">
        <w:t xml:space="preserve">(b) that a religious organisation is prohibited from importing religious literature into </w:t>
      </w:r>
      <w:r w:rsidR="00856E16" w:rsidRPr="00B5117F">
        <w:t>the State party</w:t>
      </w:r>
      <w:r w:rsidR="007535D6" w:rsidRPr="00B5117F">
        <w:t xml:space="preserve"> without ARA’s </w:t>
      </w:r>
      <w:r w:rsidR="00856E16" w:rsidRPr="00B5117F">
        <w:t>approval and (c) the facts of this particular case.</w:t>
      </w:r>
    </w:p>
    <w:p w14:paraId="2B7E45E9" w14:textId="77777777" w:rsidR="007535D6" w:rsidRPr="00B5117F" w:rsidRDefault="00856E16" w:rsidP="00AD05D1">
      <w:pPr>
        <w:pStyle w:val="SingleTxtG"/>
      </w:pPr>
      <w:r w:rsidRPr="00B5117F">
        <w:t>7.</w:t>
      </w:r>
      <w:r w:rsidR="007535D6" w:rsidRPr="00B5117F">
        <w:t>2</w:t>
      </w:r>
      <w:r w:rsidRPr="00B5117F">
        <w:tab/>
      </w:r>
      <w:r w:rsidR="007535D6" w:rsidRPr="00B5117F">
        <w:t>The State party also does not dispute the religious belief of Jehovah’s Witnesses</w:t>
      </w:r>
      <w:r w:rsidR="00BB519B" w:rsidRPr="00B5117F">
        <w:rPr>
          <w:rStyle w:val="FootnoteReference"/>
        </w:rPr>
        <w:footnoteReference w:id="17"/>
      </w:r>
      <w:r w:rsidR="007535D6" w:rsidRPr="00B5117F">
        <w:t xml:space="preserve"> to which ARA objected and the blatant errors ARA made when mischaracterizing those beliefs</w:t>
      </w:r>
      <w:r w:rsidR="00BB519B" w:rsidRPr="00B5117F">
        <w:t xml:space="preserve">, which </w:t>
      </w:r>
      <w:r w:rsidR="00E444FB" w:rsidRPr="00B5117F">
        <w:t>proves further the hazards of a state-sanctioned inquiry into the legitimacy of religious believes.</w:t>
      </w:r>
    </w:p>
    <w:p w14:paraId="264CD0EA" w14:textId="77777777" w:rsidR="007535D6" w:rsidRPr="00B5117F" w:rsidRDefault="00E444FB" w:rsidP="00AD05D1">
      <w:pPr>
        <w:pStyle w:val="SingleTxtG"/>
      </w:pPr>
      <w:r w:rsidRPr="00B5117F">
        <w:t>7.</w:t>
      </w:r>
      <w:r w:rsidR="007535D6" w:rsidRPr="00B5117F">
        <w:t>3</w:t>
      </w:r>
      <w:r w:rsidRPr="00B5117F">
        <w:tab/>
      </w:r>
      <w:r w:rsidR="007535D6" w:rsidRPr="00B5117F">
        <w:t xml:space="preserve">The </w:t>
      </w:r>
      <w:r w:rsidRPr="00B5117F">
        <w:t xml:space="preserve">authors maintain that neither of the </w:t>
      </w:r>
      <w:r w:rsidR="007535D6" w:rsidRPr="00B5117F">
        <w:t>State party object</w:t>
      </w:r>
      <w:r w:rsidRPr="00B5117F">
        <w:t xml:space="preserve">ions </w:t>
      </w:r>
      <w:r w:rsidR="007535D6" w:rsidRPr="00B5117F">
        <w:t>to the reference to the jurisprudence of the European Court of Human Rights (ECHR) and the 11 February 2009 judgment of the</w:t>
      </w:r>
      <w:r w:rsidR="00016F84" w:rsidRPr="00B5117F">
        <w:t xml:space="preserve"> </w:t>
      </w:r>
      <w:r w:rsidR="007535D6" w:rsidRPr="00B5117F">
        <w:t>Constitutional Council has any merit. The jurisprudence of</w:t>
      </w:r>
      <w:r w:rsidR="00016F84" w:rsidRPr="00B5117F">
        <w:t xml:space="preserve"> </w:t>
      </w:r>
      <w:r w:rsidR="007535D6" w:rsidRPr="00B5117F">
        <w:t xml:space="preserve">the ECHR, although not binding on </w:t>
      </w:r>
      <w:r w:rsidRPr="00B5117F">
        <w:t>the State party</w:t>
      </w:r>
      <w:r w:rsidR="007535D6" w:rsidRPr="00B5117F">
        <w:t>, is persuasive authority when interpreting</w:t>
      </w:r>
      <w:r w:rsidR="00016F84" w:rsidRPr="00B5117F">
        <w:t xml:space="preserve"> </w:t>
      </w:r>
      <w:r w:rsidR="007535D6" w:rsidRPr="00B5117F">
        <w:t>similar rights and freedoms guaranteed by the Covenant. The 11 February 2009 judgment of</w:t>
      </w:r>
      <w:r w:rsidR="00016F84" w:rsidRPr="00B5117F">
        <w:t xml:space="preserve"> </w:t>
      </w:r>
      <w:r w:rsidR="007535D6" w:rsidRPr="00B5117F">
        <w:t>the Constitutional Council interprets the constitutional right to freedom of</w:t>
      </w:r>
      <w:r w:rsidR="00016F84" w:rsidRPr="00B5117F">
        <w:t xml:space="preserve"> </w:t>
      </w:r>
      <w:r w:rsidR="007535D6" w:rsidRPr="00B5117F">
        <w:t>religion and the prohibition against arbitrary State action and is obviously relevant in</w:t>
      </w:r>
      <w:r w:rsidR="00016F84" w:rsidRPr="00B5117F">
        <w:t xml:space="preserve"> </w:t>
      </w:r>
      <w:r w:rsidR="007535D6" w:rsidRPr="00B5117F">
        <w:t>showing that even under domestic law</w:t>
      </w:r>
      <w:r w:rsidR="00B077D5">
        <w:t>,</w:t>
      </w:r>
      <w:r w:rsidR="007535D6" w:rsidRPr="00B5117F">
        <w:t xml:space="preserve"> ARA’s decisions and actions were unlawful</w:t>
      </w:r>
      <w:r w:rsidRPr="00B5117F">
        <w:t>.</w:t>
      </w:r>
    </w:p>
    <w:p w14:paraId="6BF76F9B" w14:textId="77777777" w:rsidR="007535D6" w:rsidRPr="00B5117F" w:rsidRDefault="00E444FB" w:rsidP="00AD05D1">
      <w:pPr>
        <w:pStyle w:val="SingleTxtG"/>
      </w:pPr>
      <w:r w:rsidRPr="00B5117F">
        <w:t>7.</w:t>
      </w:r>
      <w:r w:rsidR="007535D6" w:rsidRPr="00B5117F">
        <w:t>4</w:t>
      </w:r>
      <w:r w:rsidRPr="00B5117F">
        <w:tab/>
      </w:r>
      <w:r w:rsidR="007535D6" w:rsidRPr="00B5117F">
        <w:t>The “reasons” given by the State party for prohibiting the import of the religious</w:t>
      </w:r>
      <w:r w:rsidR="00016F84" w:rsidRPr="00B5117F">
        <w:t xml:space="preserve"> </w:t>
      </w:r>
      <w:r w:rsidR="007535D6" w:rsidRPr="00B5117F">
        <w:t>publications in questions do not satisfy the requirements of article 18</w:t>
      </w:r>
      <w:r w:rsidRPr="00B5117F">
        <w:t xml:space="preserve"> (</w:t>
      </w:r>
      <w:r w:rsidR="007535D6" w:rsidRPr="00B5117F">
        <w:t>3</w:t>
      </w:r>
      <w:r w:rsidRPr="00B5117F">
        <w:t>)</w:t>
      </w:r>
      <w:r w:rsidR="007535D6" w:rsidRPr="00B5117F">
        <w:t xml:space="preserve"> and article</w:t>
      </w:r>
      <w:r w:rsidR="00016F84" w:rsidRPr="00B5117F">
        <w:t xml:space="preserve"> </w:t>
      </w:r>
      <w:r w:rsidR="007535D6" w:rsidRPr="00B5117F">
        <w:t xml:space="preserve">19 </w:t>
      </w:r>
      <w:r w:rsidRPr="00B5117F">
        <w:t>(</w:t>
      </w:r>
      <w:r w:rsidR="007535D6" w:rsidRPr="00B5117F">
        <w:t>2</w:t>
      </w:r>
      <w:r w:rsidRPr="00B5117F">
        <w:t>)</w:t>
      </w:r>
      <w:r w:rsidR="007535D6" w:rsidRPr="00B5117F">
        <w:t xml:space="preserve"> of the Covenant. </w:t>
      </w:r>
      <w:r w:rsidRPr="00B5117F">
        <w:t>N</w:t>
      </w:r>
      <w:r w:rsidR="007535D6" w:rsidRPr="00B5117F">
        <w:t>othing in the</w:t>
      </w:r>
      <w:r w:rsidR="00016F84" w:rsidRPr="00B5117F">
        <w:t xml:space="preserve"> </w:t>
      </w:r>
      <w:r w:rsidR="007535D6" w:rsidRPr="00B5117F">
        <w:t>religious publications of Jehovah’s Witnesses contains calls to violence or incitement to</w:t>
      </w:r>
      <w:r w:rsidR="00016F84" w:rsidRPr="00B5117F">
        <w:t xml:space="preserve"> </w:t>
      </w:r>
      <w:r w:rsidR="007535D6" w:rsidRPr="00B5117F">
        <w:t>religious hatred. This is self-evident from the content of those publications and the fact those</w:t>
      </w:r>
      <w:r w:rsidR="00016F84" w:rsidRPr="00B5117F">
        <w:t xml:space="preserve"> </w:t>
      </w:r>
      <w:r w:rsidR="007535D6" w:rsidRPr="00B5117F">
        <w:t xml:space="preserve">same </w:t>
      </w:r>
      <w:r w:rsidR="007535D6" w:rsidRPr="00AD05D1">
        <w:t>publications</w:t>
      </w:r>
      <w:r w:rsidR="007535D6" w:rsidRPr="00B5117F">
        <w:t xml:space="preserve"> have been peacefully used and distributed by Jehovah's Witnesses</w:t>
      </w:r>
      <w:r w:rsidR="00016F84" w:rsidRPr="00B5117F">
        <w:t xml:space="preserve"> </w:t>
      </w:r>
      <w:r w:rsidR="007535D6" w:rsidRPr="00B5117F">
        <w:t>worldwide in tens of millions of copies.</w:t>
      </w:r>
    </w:p>
    <w:p w14:paraId="0E817BE8" w14:textId="77777777" w:rsidR="00111738" w:rsidRPr="00C94AC7" w:rsidRDefault="00111738" w:rsidP="00AD05D1">
      <w:pPr>
        <w:pStyle w:val="H23G"/>
      </w:pPr>
      <w:r w:rsidRPr="00C94AC7">
        <w:lastRenderedPageBreak/>
        <w:tab/>
      </w:r>
      <w:r w:rsidRPr="00C94AC7">
        <w:tab/>
      </w:r>
      <w:r w:rsidR="00145CB4">
        <w:tab/>
      </w:r>
      <w:r w:rsidRPr="00C94AC7" w:rsidDel="004331D6">
        <w:t xml:space="preserve">Issues and </w:t>
      </w:r>
      <w:r w:rsidRPr="005473B3" w:rsidDel="004331D6">
        <w:t>proceedings</w:t>
      </w:r>
      <w:r w:rsidRPr="00C94AC7" w:rsidDel="004331D6">
        <w:t xml:space="preserve"> </w:t>
      </w:r>
      <w:r w:rsidRPr="00AD05D1" w:rsidDel="004331D6">
        <w:t>before</w:t>
      </w:r>
      <w:r w:rsidRPr="00C94AC7" w:rsidDel="004331D6">
        <w:t xml:space="preserve"> the Committee</w:t>
      </w:r>
      <w:r>
        <w:tab/>
      </w:r>
    </w:p>
    <w:p w14:paraId="187B2AA8" w14:textId="77777777" w:rsidR="00111738" w:rsidRPr="00C94AC7" w:rsidRDefault="00111738" w:rsidP="00AD05D1">
      <w:pPr>
        <w:pStyle w:val="H4G"/>
        <w:rPr>
          <w:b/>
        </w:rPr>
      </w:pPr>
      <w:r w:rsidRPr="00C94AC7">
        <w:tab/>
      </w:r>
      <w:r w:rsidRPr="00C94AC7">
        <w:tab/>
        <w:t>Consideration of admissibility</w:t>
      </w:r>
    </w:p>
    <w:p w14:paraId="48202B6C" w14:textId="77777777" w:rsidR="002E03B6" w:rsidRPr="00413542" w:rsidRDefault="00DF26E9" w:rsidP="00AD05D1">
      <w:pPr>
        <w:pStyle w:val="SingleTxtG"/>
      </w:pPr>
      <w:r>
        <w:t>8</w:t>
      </w:r>
      <w:r w:rsidR="002E03B6" w:rsidRPr="00413542">
        <w:t>.1</w:t>
      </w:r>
      <w:r w:rsidR="002E03B6">
        <w:tab/>
      </w:r>
      <w:r w:rsidR="002E03B6" w:rsidRPr="00413542">
        <w:t xml:space="preserve">Before </w:t>
      </w:r>
      <w:r w:rsidR="002E03B6" w:rsidRPr="00AD05D1">
        <w:t>considering</w:t>
      </w:r>
      <w:r w:rsidR="002E03B6" w:rsidRPr="00413542">
        <w:t xml:space="preserve"> any claims contained in a communication, the Committee must decide, in accordance </w:t>
      </w:r>
      <w:r w:rsidR="002E03B6" w:rsidRPr="00D31272">
        <w:t>with</w:t>
      </w:r>
      <w:r w:rsidR="002E03B6" w:rsidRPr="00413542">
        <w:t xml:space="preserve"> rule </w:t>
      </w:r>
      <w:r w:rsidR="0048023B">
        <w:t>97</w:t>
      </w:r>
      <w:r w:rsidR="0048023B" w:rsidRPr="00413542">
        <w:t xml:space="preserve"> </w:t>
      </w:r>
      <w:r w:rsidR="002E03B6" w:rsidRPr="00413542">
        <w:t xml:space="preserve">of its rules of procedure, whether it is admissible under the Optional Protocol. </w:t>
      </w:r>
    </w:p>
    <w:p w14:paraId="152EB783" w14:textId="77777777" w:rsidR="002E03B6" w:rsidRPr="00413542" w:rsidRDefault="00DF26E9" w:rsidP="00AD05D1">
      <w:pPr>
        <w:pStyle w:val="SingleTxtG"/>
      </w:pPr>
      <w:r>
        <w:t>8</w:t>
      </w:r>
      <w:r w:rsidR="002E03B6" w:rsidRPr="00413542">
        <w:t>.2</w:t>
      </w:r>
      <w:r w:rsidR="002E03B6">
        <w:tab/>
      </w:r>
      <w:r w:rsidR="002E03B6" w:rsidRPr="00413542">
        <w:t xml:space="preserve">The Committee </w:t>
      </w:r>
      <w:r w:rsidR="002E03B6" w:rsidRPr="00AD05D1">
        <w:t>has</w:t>
      </w:r>
      <w:r w:rsidR="002E03B6" w:rsidRPr="00413542">
        <w:t xml:space="preserve"> ascertained, as required under article 5 (2) (a) of the Optional Protocol, that the same matter </w:t>
      </w:r>
      <w:r w:rsidR="002E03B6" w:rsidRPr="00D31272">
        <w:t>is</w:t>
      </w:r>
      <w:r w:rsidR="002E03B6" w:rsidRPr="00413542">
        <w:t xml:space="preserve"> not being examined under another procedure of internation</w:t>
      </w:r>
      <w:r w:rsidR="005473B3">
        <w:t>al investigation or settlement.</w:t>
      </w:r>
    </w:p>
    <w:p w14:paraId="3C42D7EF" w14:textId="1B4B7D41" w:rsidR="008A139C" w:rsidRDefault="00DF26E9" w:rsidP="00AD05D1">
      <w:pPr>
        <w:pStyle w:val="SingleTxtG"/>
      </w:pPr>
      <w:r>
        <w:t>8</w:t>
      </w:r>
      <w:r w:rsidR="00111738" w:rsidRPr="00C94AC7">
        <w:t>.3</w:t>
      </w:r>
      <w:r w:rsidR="00111738" w:rsidRPr="00C94AC7">
        <w:tab/>
      </w:r>
      <w:r w:rsidR="00FF1CEF" w:rsidRPr="00FF1CEF">
        <w:t xml:space="preserve">The Committee notes the State party’s claim that </w:t>
      </w:r>
      <w:r w:rsidR="006756DF" w:rsidRPr="006756DF">
        <w:t xml:space="preserve">neither the </w:t>
      </w:r>
      <w:r w:rsidR="006756DF">
        <w:t>counsel</w:t>
      </w:r>
      <w:r w:rsidR="006756DF" w:rsidRPr="006756DF">
        <w:t>, nor the foreign religious associations in whose name the communication was also submitted, are under its jurisdiction</w:t>
      </w:r>
      <w:r w:rsidR="006A1933">
        <w:t xml:space="preserve">, and </w:t>
      </w:r>
      <w:r w:rsidR="006756DF">
        <w:t xml:space="preserve">that </w:t>
      </w:r>
      <w:r w:rsidR="00E75717">
        <w:t xml:space="preserve">these </w:t>
      </w:r>
      <w:r w:rsidR="00E75717" w:rsidRPr="00E75717">
        <w:t xml:space="preserve">religious associations are not parties in legal relations concerning import of religious informational </w:t>
      </w:r>
      <w:r w:rsidR="00E75717" w:rsidRPr="00AD05D1">
        <w:t>materials</w:t>
      </w:r>
      <w:r w:rsidR="00E75717" w:rsidRPr="00E75717">
        <w:t xml:space="preserve"> to </w:t>
      </w:r>
      <w:r w:rsidR="00E75717">
        <w:t>its</w:t>
      </w:r>
      <w:r w:rsidR="00E75717" w:rsidRPr="00E75717">
        <w:t xml:space="preserve"> </w:t>
      </w:r>
      <w:r w:rsidR="00E75717">
        <w:t>territory</w:t>
      </w:r>
      <w:r w:rsidR="00A35D03">
        <w:t>,</w:t>
      </w:r>
      <w:r w:rsidR="006A1933">
        <w:t xml:space="preserve"> and therefore lack status to submit a communication before the Committee. In this regard, the Committee also notes the authors’ argument to the effect that </w:t>
      </w:r>
      <w:r w:rsidR="008C13BB">
        <w:t>t</w:t>
      </w:r>
      <w:r w:rsidR="008C13BB" w:rsidRPr="008C13BB">
        <w:t>he violation of rights occurred in the State party by its authorities and therefore the second and third author</w:t>
      </w:r>
      <w:r w:rsidR="008C13BB">
        <w:t>, although not Kazakh citizens</w:t>
      </w:r>
      <w:r w:rsidR="009D6099">
        <w:t>,</w:t>
      </w:r>
      <w:r w:rsidR="008C13BB" w:rsidRPr="008C13BB">
        <w:t xml:space="preserve"> have standing to challenge the violation of their rights before the Committee.</w:t>
      </w:r>
      <w:r w:rsidR="008C13BB">
        <w:t xml:space="preserve"> The Committee further notes that the second and third </w:t>
      </w:r>
      <w:r w:rsidR="008C13BB" w:rsidRPr="008C13BB">
        <w:t xml:space="preserve">authors are members of the board of directors of two foreign religious entities of Jehovah’s Witnesses that </w:t>
      </w:r>
      <w:proofErr w:type="spellStart"/>
      <w:r w:rsidR="008C13BB" w:rsidRPr="008C13BB">
        <w:t>publishe</w:t>
      </w:r>
      <w:proofErr w:type="spellEnd"/>
      <w:r w:rsidR="008C13BB">
        <w:t>,</w:t>
      </w:r>
      <w:r w:rsidR="008C13BB" w:rsidRPr="008C13BB">
        <w:t xml:space="preserve"> print </w:t>
      </w:r>
      <w:r w:rsidR="008C13BB">
        <w:t xml:space="preserve">and </w:t>
      </w:r>
      <w:r w:rsidR="008C13BB" w:rsidRPr="008C13BB">
        <w:t>ship to the State party the religious literature for use by Jehovah’s Witnesses</w:t>
      </w:r>
      <w:r w:rsidR="001868DA">
        <w:t>.</w:t>
      </w:r>
      <w:r w:rsidR="008C13BB">
        <w:t xml:space="preserve"> </w:t>
      </w:r>
      <w:r w:rsidR="001868DA">
        <w:t>T</w:t>
      </w:r>
      <w:r w:rsidR="001868DA" w:rsidRPr="008C13BB">
        <w:t xml:space="preserve">he </w:t>
      </w:r>
      <w:r w:rsidR="008C13BB" w:rsidRPr="008C13BB">
        <w:t xml:space="preserve">State party’s courts accepted that these two foreign legal entities were adversely affected by the authorities’ decisions refusing </w:t>
      </w:r>
      <w:r w:rsidR="001868DA">
        <w:t xml:space="preserve">permission to </w:t>
      </w:r>
      <w:proofErr w:type="gramStart"/>
      <w:r w:rsidR="008C13BB" w:rsidRPr="008C13BB">
        <w:t xml:space="preserve">import </w:t>
      </w:r>
      <w:r w:rsidR="001868DA">
        <w:t xml:space="preserve"> the</w:t>
      </w:r>
      <w:proofErr w:type="gramEnd"/>
      <w:r w:rsidR="008C13BB" w:rsidRPr="008C13BB">
        <w:t xml:space="preserve"> religious literature and </w:t>
      </w:r>
      <w:r w:rsidR="001868DA">
        <w:t xml:space="preserve">so </w:t>
      </w:r>
      <w:r w:rsidR="008C13BB" w:rsidRPr="008C13BB">
        <w:t xml:space="preserve">had standing to appeal </w:t>
      </w:r>
      <w:r w:rsidR="00A8078B">
        <w:t xml:space="preserve">the refusal that has affected the exercise of their rights in the State party </w:t>
      </w:r>
      <w:r w:rsidR="008C13BB" w:rsidRPr="008C13BB">
        <w:t>before the domestic courts.</w:t>
      </w:r>
      <w:r w:rsidR="008C13BB">
        <w:t xml:space="preserve"> </w:t>
      </w:r>
      <w:r w:rsidR="001868DA">
        <w:t>For these reasons the Committee finds that the authors have demonstrated that they have been directly affected by the refusal of import of religious literature by the State party</w:t>
      </w:r>
      <w:r w:rsidR="001C6EE7">
        <w:t xml:space="preserve"> and that they were subject to the jurisdiction of the State party</w:t>
      </w:r>
      <w:r w:rsidR="001868DA">
        <w:t>.</w:t>
      </w:r>
      <w:r w:rsidR="001868DA">
        <w:rPr>
          <w:rStyle w:val="FootnoteReference"/>
        </w:rPr>
        <w:footnoteReference w:id="18"/>
      </w:r>
      <w:r w:rsidR="001868DA">
        <w:t xml:space="preserve"> </w:t>
      </w:r>
      <w:r w:rsidR="008A139C">
        <w:t xml:space="preserve">Furthermore, the Committee notes </w:t>
      </w:r>
      <w:r w:rsidR="008A139C" w:rsidRPr="00DC4981">
        <w:t xml:space="preserve">the State party’s assertion that the communication is inadmissible because it was not submitted “personally” by the individual </w:t>
      </w:r>
      <w:r w:rsidR="008A139C">
        <w:t xml:space="preserve">authors. </w:t>
      </w:r>
      <w:r w:rsidR="008A139C" w:rsidRPr="00377FD0">
        <w:t xml:space="preserve">The </w:t>
      </w:r>
      <w:r w:rsidR="008A139C">
        <w:t xml:space="preserve">Committee, however, observes that the </w:t>
      </w:r>
      <w:r w:rsidR="008A139C" w:rsidRPr="00377FD0">
        <w:t xml:space="preserve">three individual authors have </w:t>
      </w:r>
      <w:r w:rsidR="008A139C">
        <w:t xml:space="preserve">duly </w:t>
      </w:r>
      <w:r w:rsidR="008A139C" w:rsidRPr="00377FD0">
        <w:t xml:space="preserve">authorized two </w:t>
      </w:r>
      <w:r w:rsidR="00555271">
        <w:t xml:space="preserve">professional </w:t>
      </w:r>
      <w:r w:rsidR="008A139C" w:rsidRPr="00377FD0">
        <w:t>lawyers as their representatives in the proceedings before the Committee</w:t>
      </w:r>
      <w:r w:rsidR="008A139C">
        <w:t xml:space="preserve">. </w:t>
      </w:r>
      <w:r w:rsidR="001868DA">
        <w:t xml:space="preserve">The Committee notes </w:t>
      </w:r>
      <w:r w:rsidR="00B72642">
        <w:t xml:space="preserve">in this regard </w:t>
      </w:r>
      <w:r w:rsidR="001868DA">
        <w:t xml:space="preserve">that the State party has not disputed </w:t>
      </w:r>
      <w:r w:rsidR="001868DA" w:rsidRPr="00AE289C">
        <w:t>the first author’s standing to bring th</w:t>
      </w:r>
      <w:r w:rsidR="001868DA">
        <w:t>e</w:t>
      </w:r>
      <w:r w:rsidR="001868DA" w:rsidRPr="00AE289C">
        <w:t xml:space="preserve"> communication as a Kazakh citizen</w:t>
      </w:r>
      <w:r w:rsidR="001868DA">
        <w:t xml:space="preserve">. </w:t>
      </w:r>
      <w:r w:rsidR="008A139C">
        <w:t>Accordingly, the Committee concludes it is not precluded by article 1 of the Optional Protocol from considering the communication.</w:t>
      </w:r>
    </w:p>
    <w:p w14:paraId="6B62C044" w14:textId="7501BC04" w:rsidR="006756DF" w:rsidRDefault="0019256F" w:rsidP="00AD05D1">
      <w:pPr>
        <w:pStyle w:val="SingleTxtG"/>
      </w:pPr>
      <w:r>
        <w:t>8.4</w:t>
      </w:r>
      <w:r>
        <w:tab/>
        <w:t xml:space="preserve">The Committee </w:t>
      </w:r>
      <w:r w:rsidR="00555271">
        <w:t>further</w:t>
      </w:r>
      <w:r>
        <w:t xml:space="preserve"> notes the State party’s argument</w:t>
      </w:r>
      <w:r w:rsidR="0090068D">
        <w:t>ation</w:t>
      </w:r>
      <w:r>
        <w:t xml:space="preserve"> to the effect that the authors’ claim on behalf of </w:t>
      </w:r>
      <w:r w:rsidRPr="00AD05D1">
        <w:t>all</w:t>
      </w:r>
      <w:r>
        <w:t xml:space="preserve"> Jehova</w:t>
      </w:r>
      <w:r w:rsidR="009D6099">
        <w:t>h</w:t>
      </w:r>
      <w:r>
        <w:t xml:space="preserve">’s Witnesses on its territory amounts to an </w:t>
      </w:r>
      <w:proofErr w:type="spellStart"/>
      <w:r w:rsidRPr="00862359">
        <w:rPr>
          <w:i/>
        </w:rPr>
        <w:t>actio</w:t>
      </w:r>
      <w:proofErr w:type="spellEnd"/>
      <w:r w:rsidRPr="00862359">
        <w:rPr>
          <w:i/>
        </w:rPr>
        <w:t xml:space="preserve"> </w:t>
      </w:r>
      <w:proofErr w:type="spellStart"/>
      <w:r w:rsidRPr="00862359">
        <w:rPr>
          <w:i/>
        </w:rPr>
        <w:t>popularis</w:t>
      </w:r>
      <w:proofErr w:type="spellEnd"/>
      <w:r>
        <w:t xml:space="preserve">. </w:t>
      </w:r>
      <w:r w:rsidR="00AC0FAC">
        <w:t xml:space="preserve">The Committee also notes that the authors </w:t>
      </w:r>
      <w:r w:rsidR="00AC0FAC">
        <w:rPr>
          <w:lang w:val="en-US"/>
        </w:rPr>
        <w:t>do</w:t>
      </w:r>
      <w:r w:rsidR="00AC0FAC" w:rsidRPr="00AC0FAC">
        <w:rPr>
          <w:lang w:val="en-US"/>
        </w:rPr>
        <w:t xml:space="preserve"> not provide </w:t>
      </w:r>
      <w:r w:rsidR="00AC0FAC">
        <w:rPr>
          <w:lang w:val="en-US"/>
        </w:rPr>
        <w:t xml:space="preserve">authorizations </w:t>
      </w:r>
      <w:r w:rsidR="0071031F">
        <w:rPr>
          <w:lang w:val="en-US"/>
        </w:rPr>
        <w:t>from</w:t>
      </w:r>
      <w:r w:rsidR="0071031F" w:rsidRPr="00AC0FAC">
        <w:rPr>
          <w:lang w:val="en-US"/>
        </w:rPr>
        <w:t xml:space="preserve"> </w:t>
      </w:r>
      <w:r w:rsidR="00AC0FAC" w:rsidRPr="00AC0FAC">
        <w:rPr>
          <w:lang w:val="en-US"/>
        </w:rPr>
        <w:t>the 17,500 Jehovah’s Witnesses</w:t>
      </w:r>
      <w:r w:rsidR="00AC0FAC">
        <w:rPr>
          <w:lang w:val="en-US"/>
        </w:rPr>
        <w:t xml:space="preserve"> in the State party to act on their behalf, n</w:t>
      </w:r>
      <w:r w:rsidR="00AC0FAC" w:rsidRPr="00AC0FAC">
        <w:rPr>
          <w:lang w:val="en-US"/>
        </w:rPr>
        <w:t xml:space="preserve">or </w:t>
      </w:r>
      <w:r w:rsidR="0071031F">
        <w:rPr>
          <w:lang w:val="en-US"/>
        </w:rPr>
        <w:t xml:space="preserve">do </w:t>
      </w:r>
      <w:r w:rsidR="00AC0FAC" w:rsidRPr="00AC0FAC">
        <w:rPr>
          <w:lang w:val="en-US"/>
        </w:rPr>
        <w:t>the authors explain the reasons why they can represent these persons</w:t>
      </w:r>
      <w:r w:rsidR="00AC0FAC">
        <w:rPr>
          <w:lang w:val="en-US"/>
        </w:rPr>
        <w:t xml:space="preserve">. Accordingly, and in the absence of further </w:t>
      </w:r>
      <w:r w:rsidR="009D6099">
        <w:rPr>
          <w:lang w:val="en-US"/>
        </w:rPr>
        <w:t xml:space="preserve">pertinent </w:t>
      </w:r>
      <w:r w:rsidR="00AC0FAC">
        <w:rPr>
          <w:lang w:val="en-US"/>
        </w:rPr>
        <w:t xml:space="preserve">information on file, the Committee concludes </w:t>
      </w:r>
      <w:r w:rsidR="00555271">
        <w:rPr>
          <w:lang w:val="en-US"/>
        </w:rPr>
        <w:t xml:space="preserve">that this part of the communication is inadmissible under </w:t>
      </w:r>
      <w:r w:rsidR="00AC0FAC">
        <w:rPr>
          <w:lang w:val="en-US"/>
        </w:rPr>
        <w:t>article</w:t>
      </w:r>
      <w:r w:rsidR="00555271">
        <w:rPr>
          <w:lang w:val="en-US"/>
        </w:rPr>
        <w:t>s</w:t>
      </w:r>
      <w:r w:rsidR="00AC0FAC">
        <w:rPr>
          <w:lang w:val="en-US"/>
        </w:rPr>
        <w:t xml:space="preserve"> 1 and 3 of the Optional Protocol</w:t>
      </w:r>
      <w:r w:rsidR="00AC0FAC">
        <w:t>.</w:t>
      </w:r>
    </w:p>
    <w:p w14:paraId="4676E5BE" w14:textId="5E96ECC3" w:rsidR="00304174" w:rsidRPr="00304174" w:rsidRDefault="00894FD5" w:rsidP="00AD05D1">
      <w:pPr>
        <w:pStyle w:val="SingleTxtG"/>
      </w:pPr>
      <w:r>
        <w:t>8.5</w:t>
      </w:r>
      <w:r>
        <w:tab/>
      </w:r>
      <w:r w:rsidR="00304174" w:rsidRPr="00304174">
        <w:t xml:space="preserve">The Committee </w:t>
      </w:r>
      <w:r w:rsidR="00304174">
        <w:t>further notes the author</w:t>
      </w:r>
      <w:r w:rsidR="00304174" w:rsidRPr="00304174">
        <w:t>s</w:t>
      </w:r>
      <w:r w:rsidR="00304174">
        <w:t>’</w:t>
      </w:r>
      <w:r w:rsidR="00304174" w:rsidRPr="00304174">
        <w:t xml:space="preserve"> claim that all available domestic remedies have been exhausted. It also notes the State party’s observation that the author</w:t>
      </w:r>
      <w:r w:rsidR="00304174">
        <w:t>s</w:t>
      </w:r>
      <w:r w:rsidR="00304174" w:rsidRPr="00304174">
        <w:t xml:space="preserve"> ha</w:t>
      </w:r>
      <w:r w:rsidR="00304174">
        <w:t>ve</w:t>
      </w:r>
      <w:r w:rsidR="00304174" w:rsidRPr="00304174">
        <w:t xml:space="preserve"> not requested the Prosecutor General to initiate supervisory review proceedings before the Supreme Court and ha</w:t>
      </w:r>
      <w:r w:rsidR="00304174">
        <w:t>ve</w:t>
      </w:r>
      <w:r w:rsidR="00304174" w:rsidRPr="00304174">
        <w:t xml:space="preserve"> thus </w:t>
      </w:r>
      <w:r w:rsidR="00304174" w:rsidRPr="00AD05D1">
        <w:t>failed</w:t>
      </w:r>
      <w:r w:rsidR="00304174" w:rsidRPr="00304174">
        <w:t xml:space="preserve"> to exhaust domestic remedies. In this regard, the Committee notes that the author</w:t>
      </w:r>
      <w:r w:rsidR="00304174">
        <w:t>s</w:t>
      </w:r>
      <w:r w:rsidR="00304174" w:rsidRPr="00304174">
        <w:t xml:space="preserve"> </w:t>
      </w:r>
      <w:r w:rsidR="00304174" w:rsidRPr="0090068D">
        <w:t>appealed directly to the Supreme Court</w:t>
      </w:r>
      <w:r w:rsidR="00555271">
        <w:t xml:space="preserve"> for a supervisory review but </w:t>
      </w:r>
      <w:r w:rsidR="00304174" w:rsidRPr="0090068D">
        <w:t>their application was dismissed.</w:t>
      </w:r>
      <w:r w:rsidR="000D6180" w:rsidRPr="000D6180">
        <w:rPr>
          <w:rFonts w:eastAsia="Times New Roman"/>
        </w:rPr>
        <w:t xml:space="preserve"> The Committee </w:t>
      </w:r>
      <w:r w:rsidR="009D6099">
        <w:rPr>
          <w:rFonts w:eastAsia="Times New Roman"/>
        </w:rPr>
        <w:t xml:space="preserve">also </w:t>
      </w:r>
      <w:r w:rsidR="000D6180" w:rsidRPr="000D6180">
        <w:rPr>
          <w:rFonts w:eastAsia="Times New Roman"/>
        </w:rPr>
        <w:t>recalls its jurisprudence, according to which a petition for supervisory review to a Prosecutor’s Office</w:t>
      </w:r>
      <w:r w:rsidR="00941E56">
        <w:rPr>
          <w:rFonts w:eastAsia="Times New Roman"/>
        </w:rPr>
        <w:t>,</w:t>
      </w:r>
      <w:r w:rsidR="000D6180" w:rsidRPr="000D6180">
        <w:rPr>
          <w:rFonts w:eastAsia="Times New Roman"/>
        </w:rPr>
        <w:t xml:space="preserve"> </w:t>
      </w:r>
      <w:r w:rsidR="00941E56" w:rsidRPr="00941E56">
        <w:rPr>
          <w:rFonts w:eastAsia="Times New Roman"/>
        </w:rPr>
        <w:t>dependent on the discretionary power of the prosecutor</w:t>
      </w:r>
      <w:r w:rsidR="0071031F">
        <w:rPr>
          <w:rFonts w:eastAsia="Times New Roman"/>
        </w:rPr>
        <w:t xml:space="preserve"> </w:t>
      </w:r>
      <w:r w:rsidR="000D6180" w:rsidRPr="000D6180">
        <w:rPr>
          <w:rFonts w:eastAsia="Times New Roman"/>
        </w:rPr>
        <w:t>to review court decisions that have taken effect, does not constitute a remedy which has to be exhausted for the purposes of article 5</w:t>
      </w:r>
      <w:r w:rsidR="000D6180">
        <w:rPr>
          <w:rFonts w:eastAsia="Times New Roman"/>
        </w:rPr>
        <w:t xml:space="preserve"> (</w:t>
      </w:r>
      <w:r w:rsidR="000D6180" w:rsidRPr="000D6180">
        <w:rPr>
          <w:rFonts w:eastAsia="Times New Roman"/>
        </w:rPr>
        <w:t>2</w:t>
      </w:r>
      <w:r w:rsidR="000D6180">
        <w:rPr>
          <w:rFonts w:eastAsia="Times New Roman"/>
        </w:rPr>
        <w:t>)</w:t>
      </w:r>
      <w:r w:rsidR="000D6180" w:rsidRPr="000D6180">
        <w:rPr>
          <w:rFonts w:eastAsia="Times New Roman"/>
        </w:rPr>
        <w:t xml:space="preserve"> (b), of the Optional Protocol.</w:t>
      </w:r>
      <w:r w:rsidR="000D6180" w:rsidRPr="000D6180">
        <w:rPr>
          <w:rFonts w:eastAsia="Times New Roman"/>
          <w:vertAlign w:val="superscript"/>
        </w:rPr>
        <w:t xml:space="preserve"> </w:t>
      </w:r>
      <w:r w:rsidR="000D6180" w:rsidRPr="000D6180">
        <w:rPr>
          <w:rFonts w:eastAsia="Times New Roman"/>
          <w:vertAlign w:val="superscript"/>
          <w:lang w:val="de-DE"/>
        </w:rPr>
        <w:footnoteReference w:id="19"/>
      </w:r>
      <w:r w:rsidR="000D6180" w:rsidRPr="000D6180">
        <w:rPr>
          <w:rFonts w:eastAsia="Times New Roman"/>
        </w:rPr>
        <w:t xml:space="preserve"> </w:t>
      </w:r>
      <w:r w:rsidR="00304174" w:rsidRPr="00304174">
        <w:t>Accordingly, the Committee considers that it is not precluded by article 5 (2) (b) of the Optional Protocol from examining the present communication.</w:t>
      </w:r>
    </w:p>
    <w:p w14:paraId="5A58795F" w14:textId="5F05E78E" w:rsidR="00840385" w:rsidRDefault="00DF26E9" w:rsidP="00AD05D1">
      <w:pPr>
        <w:pStyle w:val="SingleTxtG"/>
      </w:pPr>
      <w:r>
        <w:lastRenderedPageBreak/>
        <w:t>8</w:t>
      </w:r>
      <w:r w:rsidR="009207B2">
        <w:t>.</w:t>
      </w:r>
      <w:r w:rsidR="00534166">
        <w:t>6</w:t>
      </w:r>
      <w:r w:rsidR="009207B2">
        <w:tab/>
        <w:t>The Committee notes the authors</w:t>
      </w:r>
      <w:r w:rsidR="009D6099">
        <w:t>’</w:t>
      </w:r>
      <w:r w:rsidR="009207B2">
        <w:t xml:space="preserve"> claims </w:t>
      </w:r>
      <w:r w:rsidR="0065627D">
        <w:t xml:space="preserve">under article 27 of the Covenant </w:t>
      </w:r>
      <w:r w:rsidR="009207B2">
        <w:t xml:space="preserve">that </w:t>
      </w:r>
      <w:r w:rsidR="00513FCB">
        <w:t xml:space="preserve">the decisions by the State party’s authorities denying permission to import the ten religious publications </w:t>
      </w:r>
      <w:r w:rsidR="0065627D">
        <w:t xml:space="preserve">have denied members of the </w:t>
      </w:r>
      <w:r w:rsidR="0065627D" w:rsidRPr="00AD05D1">
        <w:t>religious</w:t>
      </w:r>
      <w:r w:rsidR="0065627D">
        <w:t xml:space="preserve"> minority the right to profess and practice their own religion as this religious literature was crucial to the regular religious worship of Jehova</w:t>
      </w:r>
      <w:r w:rsidR="009D6099">
        <w:t>h</w:t>
      </w:r>
      <w:r w:rsidR="0065627D">
        <w:t xml:space="preserve">’s Witnesses in the State party. The Committee further notes the State party’s observations that </w:t>
      </w:r>
      <w:r w:rsidR="0069225C">
        <w:t>out of s</w:t>
      </w:r>
      <w:r w:rsidR="0069225C" w:rsidRPr="0069225C">
        <w:t xml:space="preserve">eventy-nine materials submitted for expert </w:t>
      </w:r>
      <w:r w:rsidR="00555271">
        <w:t>examination</w:t>
      </w:r>
      <w:r w:rsidR="0069225C">
        <w:t>, t</w:t>
      </w:r>
      <w:r w:rsidR="0069225C" w:rsidRPr="0069225C">
        <w:t>hirty-nine of them received positive conclusions</w:t>
      </w:r>
      <w:r w:rsidR="0069225C">
        <w:t>, t</w:t>
      </w:r>
      <w:r w:rsidR="0069225C" w:rsidRPr="0069225C">
        <w:t xml:space="preserve">wenty-three were returned at the request of the Christian Centre of Jehovah’s Witnesses without an expert </w:t>
      </w:r>
      <w:r w:rsidR="00555271">
        <w:t>examination</w:t>
      </w:r>
      <w:r w:rsidR="0069225C" w:rsidRPr="0069225C">
        <w:t xml:space="preserve"> having been performed</w:t>
      </w:r>
      <w:r w:rsidR="0069225C">
        <w:t>, s</w:t>
      </w:r>
      <w:r w:rsidR="0069225C" w:rsidRPr="0069225C">
        <w:t>even materials were being studied</w:t>
      </w:r>
      <w:r w:rsidR="0069225C">
        <w:t xml:space="preserve"> and t</w:t>
      </w:r>
      <w:r w:rsidR="0069225C" w:rsidRPr="0069225C">
        <w:t xml:space="preserve">en publications received a negative conclusion denying </w:t>
      </w:r>
      <w:r w:rsidR="00555271">
        <w:t xml:space="preserve">their </w:t>
      </w:r>
      <w:r w:rsidR="0069225C" w:rsidRPr="0069225C">
        <w:t>import</w:t>
      </w:r>
      <w:r w:rsidR="0069225C">
        <w:t xml:space="preserve">. It also notes the State party’s </w:t>
      </w:r>
      <w:r w:rsidR="00591E1B">
        <w:t xml:space="preserve">submission </w:t>
      </w:r>
      <w:r w:rsidR="0069225C">
        <w:t xml:space="preserve">that </w:t>
      </w:r>
      <w:r w:rsidR="009A7577" w:rsidRPr="009A7577">
        <w:t xml:space="preserve">the religious association of Jehovah’s Witnesses has never been denied the right to practise their religion together with other members of the </w:t>
      </w:r>
      <w:r w:rsidR="009A7577">
        <w:t>group</w:t>
      </w:r>
      <w:r w:rsidR="0071031F">
        <w:t>,</w:t>
      </w:r>
      <w:r w:rsidR="009A7577">
        <w:t xml:space="preserve"> and as not </w:t>
      </w:r>
      <w:r w:rsidR="009A7577" w:rsidRPr="009A7577">
        <w:t xml:space="preserve">disputed by the authors, there are over </w:t>
      </w:r>
      <w:r w:rsidR="009A7577" w:rsidRPr="009A7577">
        <w:rPr>
          <w:bCs/>
        </w:rPr>
        <w:t>17</w:t>
      </w:r>
      <w:r w:rsidR="00443A0D">
        <w:rPr>
          <w:bCs/>
        </w:rPr>
        <w:t>,</w:t>
      </w:r>
      <w:r w:rsidR="009A7577" w:rsidRPr="009A7577">
        <w:rPr>
          <w:bCs/>
        </w:rPr>
        <w:t xml:space="preserve">000 </w:t>
      </w:r>
      <w:r w:rsidR="009A7577" w:rsidRPr="009A7577">
        <w:t xml:space="preserve">followers of the religious association ‘Jehovah’s Witnesses’ in the State party, they freely use their religious literature, their community has </w:t>
      </w:r>
      <w:r w:rsidR="009A7577" w:rsidRPr="009A7577">
        <w:rPr>
          <w:bCs/>
        </w:rPr>
        <w:t xml:space="preserve">55 </w:t>
      </w:r>
      <w:r w:rsidR="009A7577" w:rsidRPr="009A7577">
        <w:t>buildings of worship</w:t>
      </w:r>
      <w:r w:rsidR="0071031F">
        <w:t>,</w:t>
      </w:r>
      <w:r w:rsidR="009A7577" w:rsidRPr="009A7577">
        <w:t xml:space="preserve"> and they are united in </w:t>
      </w:r>
      <w:r w:rsidR="009A7577" w:rsidRPr="009A7577">
        <w:rPr>
          <w:bCs/>
        </w:rPr>
        <w:t xml:space="preserve">59 </w:t>
      </w:r>
      <w:r w:rsidR="009A7577" w:rsidRPr="009A7577">
        <w:t xml:space="preserve">registered local religious associations and </w:t>
      </w:r>
      <w:r w:rsidR="009A7577">
        <w:t>one</w:t>
      </w:r>
      <w:r w:rsidR="009A7577" w:rsidRPr="009A7577">
        <w:rPr>
          <w:bCs/>
        </w:rPr>
        <w:t xml:space="preserve"> </w:t>
      </w:r>
      <w:r w:rsidR="009A7577">
        <w:t>regional religious association</w:t>
      </w:r>
      <w:r w:rsidR="009A7577" w:rsidRPr="009A7577">
        <w:t>.</w:t>
      </w:r>
      <w:r w:rsidR="009A7577">
        <w:t xml:space="preserve"> </w:t>
      </w:r>
      <w:r w:rsidR="00840385" w:rsidRPr="00840385">
        <w:t xml:space="preserve">In </w:t>
      </w:r>
      <w:r w:rsidR="008350FA">
        <w:t>light of the above considerations, and in the absence of an</w:t>
      </w:r>
      <w:r w:rsidR="005153C4">
        <w:t>y</w:t>
      </w:r>
      <w:r w:rsidR="008350FA">
        <w:t xml:space="preserve"> further information or explanations, the Committee concludes that the</w:t>
      </w:r>
      <w:r w:rsidR="00840385" w:rsidRPr="00840385">
        <w:t xml:space="preserve"> authors</w:t>
      </w:r>
      <w:r w:rsidR="009A7577">
        <w:t>’</w:t>
      </w:r>
      <w:r w:rsidR="00840385" w:rsidRPr="00840385">
        <w:t xml:space="preserve"> </w:t>
      </w:r>
      <w:r w:rsidR="008350FA">
        <w:t xml:space="preserve">claim </w:t>
      </w:r>
      <w:r w:rsidR="00840385" w:rsidRPr="00840385">
        <w:t xml:space="preserve">under article </w:t>
      </w:r>
      <w:r w:rsidR="00840385">
        <w:t>2</w:t>
      </w:r>
      <w:r w:rsidR="009A7577">
        <w:t>7</w:t>
      </w:r>
      <w:r w:rsidR="00840385" w:rsidRPr="00840385">
        <w:t xml:space="preserve"> of the Covenant is insufficiently substantiated</w:t>
      </w:r>
      <w:r w:rsidR="008350FA">
        <w:t>,</w:t>
      </w:r>
      <w:r w:rsidR="00840385" w:rsidRPr="00840385">
        <w:t xml:space="preserve"> for purposes of admissibility</w:t>
      </w:r>
      <w:r w:rsidR="008350FA">
        <w:t xml:space="preserve">, and is therefore </w:t>
      </w:r>
      <w:r w:rsidR="00840385" w:rsidRPr="00840385">
        <w:t>inadmissible under article 2 of the Optional Protocol.</w:t>
      </w:r>
    </w:p>
    <w:p w14:paraId="0F351911" w14:textId="77777777" w:rsidR="00413542" w:rsidRDefault="009B43A8" w:rsidP="00AD05D1">
      <w:pPr>
        <w:pStyle w:val="SingleTxtG"/>
      </w:pPr>
      <w:r>
        <w:rPr>
          <w:lang w:eastAsia="ja-JP"/>
        </w:rPr>
        <w:t>8.</w:t>
      </w:r>
      <w:r w:rsidR="00534166">
        <w:rPr>
          <w:lang w:eastAsia="ja-JP"/>
        </w:rPr>
        <w:t>7</w:t>
      </w:r>
      <w:r w:rsidR="006D2F45">
        <w:rPr>
          <w:lang w:eastAsia="ja-JP"/>
        </w:rPr>
        <w:tab/>
      </w:r>
      <w:r>
        <w:rPr>
          <w:lang w:eastAsia="ja-JP"/>
        </w:rPr>
        <w:t xml:space="preserve">The Committee </w:t>
      </w:r>
      <w:r w:rsidRPr="00AD05D1">
        <w:t>considers</w:t>
      </w:r>
      <w:r>
        <w:rPr>
          <w:lang w:eastAsia="ja-JP"/>
        </w:rPr>
        <w:t xml:space="preserve"> that the remaining claims of the author</w:t>
      </w:r>
      <w:r w:rsidR="00070A25">
        <w:rPr>
          <w:lang w:eastAsia="ja-JP"/>
        </w:rPr>
        <w:t>s under articles 18 and 19 of the Covenant</w:t>
      </w:r>
      <w:r w:rsidR="00413542" w:rsidRPr="00413542">
        <w:t xml:space="preserve"> </w:t>
      </w:r>
      <w:r>
        <w:t xml:space="preserve">have been sufficiently </w:t>
      </w:r>
      <w:r w:rsidRPr="005473B3">
        <w:t>substantiated</w:t>
      </w:r>
      <w:r>
        <w:t xml:space="preserve"> for the purposes of admissibility. Accordingly, it declares them </w:t>
      </w:r>
      <w:r w:rsidR="00413542" w:rsidRPr="00413542">
        <w:t xml:space="preserve">admissible and proceeds with </w:t>
      </w:r>
      <w:r>
        <w:t xml:space="preserve">their </w:t>
      </w:r>
      <w:r w:rsidR="00413542" w:rsidRPr="00413542">
        <w:t>consideration o</w:t>
      </w:r>
      <w:r w:rsidR="00EF3F1E">
        <w:t>n</w:t>
      </w:r>
      <w:r w:rsidR="00413542" w:rsidRPr="00413542">
        <w:t xml:space="preserve"> the merits.</w:t>
      </w:r>
    </w:p>
    <w:p w14:paraId="030F55B4" w14:textId="77777777" w:rsidR="00111738" w:rsidRPr="00C94AC7" w:rsidRDefault="00111738" w:rsidP="00FE49D3">
      <w:pPr>
        <w:pStyle w:val="H4G"/>
      </w:pPr>
      <w:r w:rsidRPr="00C94AC7">
        <w:tab/>
      </w:r>
      <w:r w:rsidRPr="00C94AC7">
        <w:tab/>
      </w:r>
      <w:r w:rsidRPr="00AD05D1">
        <w:t>Consideration</w:t>
      </w:r>
      <w:r w:rsidRPr="00C94AC7">
        <w:t xml:space="preserve"> of the merits</w:t>
      </w:r>
    </w:p>
    <w:p w14:paraId="7E579A87" w14:textId="77777777" w:rsidR="002B08A3" w:rsidRPr="002B08A3" w:rsidRDefault="00DF26E9" w:rsidP="00AD05D1">
      <w:pPr>
        <w:pStyle w:val="SingleTxtG"/>
      </w:pPr>
      <w:r>
        <w:t>9</w:t>
      </w:r>
      <w:r w:rsidR="002B08A3" w:rsidRPr="002B08A3">
        <w:t>.1</w:t>
      </w:r>
      <w:r w:rsidR="00A040D9">
        <w:tab/>
      </w:r>
      <w:r w:rsidR="002B08A3" w:rsidRPr="002B08A3">
        <w:t xml:space="preserve">The Committee has </w:t>
      </w:r>
      <w:r w:rsidR="002B08A3" w:rsidRPr="00AD05D1">
        <w:t>considered</w:t>
      </w:r>
      <w:r w:rsidR="002B08A3" w:rsidRPr="002B08A3">
        <w:t xml:space="preserve"> the present communication in the light of all the information submitted by the </w:t>
      </w:r>
      <w:r w:rsidR="002B08A3" w:rsidRPr="005473B3">
        <w:t>parties</w:t>
      </w:r>
      <w:r w:rsidR="002B08A3" w:rsidRPr="002B08A3">
        <w:t xml:space="preserve">, in accordance with article 5 (1) of the Optional Protocol. </w:t>
      </w:r>
    </w:p>
    <w:p w14:paraId="01D01978" w14:textId="083E71AA" w:rsidR="00D94CF8" w:rsidRPr="00534166" w:rsidRDefault="00D94CF8" w:rsidP="00AD05D1">
      <w:pPr>
        <w:pStyle w:val="SingleTxtG"/>
      </w:pPr>
      <w:r w:rsidRPr="00534166">
        <w:t>9.2</w:t>
      </w:r>
      <w:r w:rsidRPr="00534166">
        <w:tab/>
        <w:t>In relation to the authors</w:t>
      </w:r>
      <w:r w:rsidR="00B77CC1" w:rsidRPr="00534166">
        <w:t>’</w:t>
      </w:r>
      <w:r w:rsidRPr="00534166">
        <w:t xml:space="preserve"> claim under article</w:t>
      </w:r>
      <w:r w:rsidR="00B77CC1" w:rsidRPr="00534166">
        <w:t xml:space="preserve"> </w:t>
      </w:r>
      <w:r w:rsidRPr="00534166">
        <w:t>18</w:t>
      </w:r>
      <w:r w:rsidR="00B77CC1" w:rsidRPr="00534166">
        <w:t xml:space="preserve"> (1)</w:t>
      </w:r>
      <w:r w:rsidRPr="00534166">
        <w:rPr>
          <w:rFonts w:eastAsia="Verdana"/>
        </w:rPr>
        <w:t xml:space="preserve"> </w:t>
      </w:r>
      <w:r w:rsidRPr="00534166">
        <w:t>of the Covenant, the Committee recalls that  the freedom to manifest one’s beliefs in worship, observance, practice and teaching encompasses a broad range of acts, including those integral to the conduct by the religious group of its basic affairs, such as the freedom to choose religious leaders, priests, and teachers, and the freedom to establish seminaries or religious schools</w:t>
      </w:r>
      <w:r w:rsidR="00A42A3C" w:rsidRPr="00534166">
        <w:t xml:space="preserve"> and the freedom to prepare and distribute religious texts or publications.</w:t>
      </w:r>
      <w:r w:rsidRPr="00534166">
        <w:rPr>
          <w:rStyle w:val="FootnoteReference"/>
        </w:rPr>
        <w:footnoteReference w:id="20"/>
      </w:r>
      <w:r w:rsidRPr="00534166">
        <w:t xml:space="preserve"> </w:t>
      </w:r>
      <w:r w:rsidR="00A8078B">
        <w:t>Further</w:t>
      </w:r>
      <w:r w:rsidR="002F4B5A">
        <w:t>more</w:t>
      </w:r>
      <w:r w:rsidR="00A8078B">
        <w:t xml:space="preserve">, </w:t>
      </w:r>
      <w:r w:rsidR="00A8078B" w:rsidRPr="00A8078B">
        <w:t>under article 18 (3) of the Covenant, the freedom to manifest one’s religion or beliefs is not absolute but may be subject to certain limitations, but only those prescribed by law and necessary to protect public safety, order, health or morals or the fundamental rights and freedoms of others.</w:t>
      </w:r>
      <w:r w:rsidR="006A5866">
        <w:t xml:space="preserve"> </w:t>
      </w:r>
      <w:r w:rsidRPr="00534166">
        <w:t xml:space="preserve">In the present case, the Committee notes that </w:t>
      </w:r>
      <w:r w:rsidR="00A42A3C" w:rsidRPr="00534166">
        <w:t>the authors were not allowed to import religious publications</w:t>
      </w:r>
      <w:r w:rsidR="002E1DAC">
        <w:t>. S</w:t>
      </w:r>
      <w:r w:rsidR="00A42A3C" w:rsidRPr="00534166">
        <w:t xml:space="preserve">uch a restriction interferes with the </w:t>
      </w:r>
      <w:r w:rsidR="00591E1B">
        <w:t xml:space="preserve">right to </w:t>
      </w:r>
      <w:r w:rsidR="00A42A3C" w:rsidRPr="00534166">
        <w:t xml:space="preserve">freedom of religion. </w:t>
      </w:r>
      <w:r w:rsidRPr="00534166">
        <w:t>Consistent with its general comment No. 22, the Committee considers that th</w:t>
      </w:r>
      <w:r w:rsidR="00A42A3C" w:rsidRPr="00534166">
        <w:t xml:space="preserve">e freedom to prepare and distribute religious texts or publications </w:t>
      </w:r>
      <w:r w:rsidRPr="00534166">
        <w:t>form</w:t>
      </w:r>
      <w:r w:rsidR="00591E1B">
        <w:t>s</w:t>
      </w:r>
      <w:r w:rsidRPr="00534166">
        <w:t xml:space="preserve"> part of the authors</w:t>
      </w:r>
      <w:r w:rsidR="00A42A3C" w:rsidRPr="00534166">
        <w:t>’</w:t>
      </w:r>
      <w:r w:rsidRPr="00534166">
        <w:t xml:space="preserve"> right to manifest </w:t>
      </w:r>
      <w:r w:rsidR="00A42A3C" w:rsidRPr="00534166">
        <w:t>their</w:t>
      </w:r>
      <w:r w:rsidRPr="00534166">
        <w:t xml:space="preserve"> beliefs and that the </w:t>
      </w:r>
      <w:r w:rsidR="00A42A3C" w:rsidRPr="00534166">
        <w:t>refusal to permit the import</w:t>
      </w:r>
      <w:r w:rsidR="00591E1B">
        <w:t>ation</w:t>
      </w:r>
      <w:r w:rsidR="00A42A3C" w:rsidRPr="00534166">
        <w:t xml:space="preserve"> of the religious publications</w:t>
      </w:r>
      <w:r w:rsidRPr="00534166">
        <w:t xml:space="preserve"> constitute</w:t>
      </w:r>
      <w:r w:rsidR="00591E1B">
        <w:t>s</w:t>
      </w:r>
      <w:r w:rsidRPr="00534166">
        <w:t xml:space="preserve"> </w:t>
      </w:r>
      <w:r w:rsidR="00A42A3C" w:rsidRPr="00534166">
        <w:t xml:space="preserve">a </w:t>
      </w:r>
      <w:r w:rsidRPr="00534166">
        <w:t>limitation of that right.</w:t>
      </w:r>
    </w:p>
    <w:p w14:paraId="276DD4B5" w14:textId="5E9B3F54" w:rsidR="00D94CF8" w:rsidRPr="003D749D" w:rsidRDefault="00D94CF8" w:rsidP="00AD05D1">
      <w:pPr>
        <w:pStyle w:val="SingleTxtG"/>
      </w:pPr>
      <w:r w:rsidRPr="00534166">
        <w:t>9.3</w:t>
      </w:r>
      <w:r w:rsidRPr="00534166">
        <w:tab/>
        <w:t xml:space="preserve">The Committee must </w:t>
      </w:r>
      <w:r w:rsidR="002E1DAC">
        <w:t xml:space="preserve">decide </w:t>
      </w:r>
      <w:r w:rsidRPr="00534166">
        <w:t>whether the limitation on the authors</w:t>
      </w:r>
      <w:r w:rsidR="00BE3E8D" w:rsidRPr="00534166">
        <w:t>’</w:t>
      </w:r>
      <w:r w:rsidRPr="00534166">
        <w:t xml:space="preserve"> right to manifest </w:t>
      </w:r>
      <w:r w:rsidR="00BE3E8D" w:rsidRPr="00534166">
        <w:t>their</w:t>
      </w:r>
      <w:r w:rsidRPr="00534166">
        <w:t xml:space="preserve"> religion </w:t>
      </w:r>
      <w:r w:rsidR="002E1DAC">
        <w:t>wa</w:t>
      </w:r>
      <w:r w:rsidR="00BE3E8D" w:rsidRPr="00534166">
        <w:t>s</w:t>
      </w:r>
      <w:r w:rsidRPr="00534166">
        <w:t xml:space="preserve"> “</w:t>
      </w:r>
      <w:r w:rsidRPr="00AD05D1">
        <w:t>necessary</w:t>
      </w:r>
      <w:r w:rsidRPr="00534166">
        <w:t xml:space="preserve"> to protect public safety, order, health, or morals, or the fundamental rights and freedoms of others”, within the meaning of </w:t>
      </w:r>
      <w:r w:rsidR="00BE3E8D" w:rsidRPr="00534166">
        <w:t xml:space="preserve">article </w:t>
      </w:r>
      <w:r w:rsidRPr="00534166">
        <w:t>18</w:t>
      </w:r>
      <w:r w:rsidR="00BE3E8D" w:rsidRPr="00534166">
        <w:t xml:space="preserve"> (</w:t>
      </w:r>
      <w:r w:rsidRPr="00534166">
        <w:t>3</w:t>
      </w:r>
      <w:r w:rsidR="00BE3E8D" w:rsidRPr="00534166">
        <w:t>)</w:t>
      </w:r>
      <w:r w:rsidRPr="00534166">
        <w:t xml:space="preserve"> of the Covenant. The Committee recalls its general comment No</w:t>
      </w:r>
      <w:r w:rsidR="00BE3E8D" w:rsidRPr="00534166">
        <w:t>. 22</w:t>
      </w:r>
      <w:r w:rsidRPr="00534166">
        <w:t xml:space="preserve">, which states </w:t>
      </w:r>
      <w:r w:rsidR="005E32B9" w:rsidRPr="00534166">
        <w:t>that paragraph 3 of article 18 is to be strictly interpreted: restrictions are not allowed on grounds not specified there</w:t>
      </w:r>
      <w:r w:rsidR="00591E1B">
        <w:t>in</w:t>
      </w:r>
      <w:r w:rsidR="005E32B9" w:rsidRPr="00534166">
        <w:t>, even if they would be allowed as restrictions to other rights protected in the Covenant, such as national security.</w:t>
      </w:r>
      <w:r w:rsidR="005E32B9" w:rsidRPr="00534166">
        <w:rPr>
          <w:rStyle w:val="FootnoteReference"/>
        </w:rPr>
        <w:footnoteReference w:id="21"/>
      </w:r>
      <w:r w:rsidRPr="00534166">
        <w:t xml:space="preserve"> The Committee further recalls that, in interpreting the scope of permissible limitation clauses, States parties should proceed from the need to protect the rights guaranteed under the Covenant, including the right to equality and non-discrimination on all grounds specified in articles</w:t>
      </w:r>
      <w:r w:rsidR="00BE3E8D" w:rsidRPr="00534166">
        <w:t xml:space="preserve"> </w:t>
      </w:r>
      <w:r w:rsidRPr="00534166">
        <w:t>2, 3 and 26.</w:t>
      </w:r>
      <w:r w:rsidRPr="00534166">
        <w:rPr>
          <w:rStyle w:val="FootnoteReference"/>
        </w:rPr>
        <w:footnoteReference w:id="22"/>
      </w:r>
    </w:p>
    <w:p w14:paraId="3B85DB81" w14:textId="246D8C90" w:rsidR="005E32B9" w:rsidRDefault="00D94CF8" w:rsidP="00AD05D1">
      <w:pPr>
        <w:pStyle w:val="SingleTxtG"/>
      </w:pPr>
      <w:r w:rsidRPr="003D749D">
        <w:lastRenderedPageBreak/>
        <w:t>9.4</w:t>
      </w:r>
      <w:r w:rsidRPr="003D749D">
        <w:tab/>
        <w:t xml:space="preserve">The Committee notes that the State party advanced </w:t>
      </w:r>
      <w:r w:rsidR="00BC5ECE">
        <w:t xml:space="preserve">detailed </w:t>
      </w:r>
      <w:r w:rsidRPr="003D749D">
        <w:t>argument</w:t>
      </w:r>
      <w:r w:rsidR="00862359">
        <w:t>s</w:t>
      </w:r>
      <w:r w:rsidRPr="003D749D">
        <w:t xml:space="preserve"> as to why it </w:t>
      </w:r>
      <w:r w:rsidR="002E1DAC">
        <w:t>wa</w:t>
      </w:r>
      <w:r w:rsidRPr="003D749D">
        <w:t xml:space="preserve">s </w:t>
      </w:r>
      <w:r w:rsidRPr="003D749D">
        <w:rPr>
          <w:iCs/>
        </w:rPr>
        <w:t>necessary</w:t>
      </w:r>
      <w:r>
        <w:rPr>
          <w:iCs/>
        </w:rPr>
        <w:t>,</w:t>
      </w:r>
      <w:r w:rsidRPr="003D749D">
        <w:t xml:space="preserve"> for the purposes of article</w:t>
      </w:r>
      <w:r w:rsidR="00862359">
        <w:t xml:space="preserve"> </w:t>
      </w:r>
      <w:r w:rsidRPr="003D749D">
        <w:t>18</w:t>
      </w:r>
      <w:r w:rsidR="00862359">
        <w:t xml:space="preserve"> (</w:t>
      </w:r>
      <w:r w:rsidRPr="003D749D">
        <w:t>3</w:t>
      </w:r>
      <w:r w:rsidR="00862359">
        <w:t>)</w:t>
      </w:r>
      <w:r w:rsidRPr="003D749D">
        <w:t xml:space="preserve">, </w:t>
      </w:r>
      <w:r w:rsidR="00862359">
        <w:t xml:space="preserve">to refuse the import of the religious publications in question, notably that </w:t>
      </w:r>
      <w:r w:rsidR="00862359" w:rsidRPr="00AD05D1">
        <w:t>these</w:t>
      </w:r>
      <w:r w:rsidR="00862359">
        <w:t xml:space="preserve"> publications according to </w:t>
      </w:r>
      <w:r w:rsidR="00862359" w:rsidRPr="00862359">
        <w:t>ARA contained ideas that, ‘discourage secular education’, ‘can cause family breakup’ and ‘its te</w:t>
      </w:r>
      <w:r w:rsidR="00862359">
        <w:t>achings are superior and reject</w:t>
      </w:r>
      <w:r w:rsidR="00862359" w:rsidRPr="00862359">
        <w:t xml:space="preserve"> the fundamental teachings of traditional Christianity’</w:t>
      </w:r>
      <w:r w:rsidR="00342A7D">
        <w:t xml:space="preserve"> as well as propagate religious hatred and enmity.</w:t>
      </w:r>
      <w:r w:rsidR="008525FF">
        <w:t xml:space="preserve"> </w:t>
      </w:r>
      <w:r w:rsidR="00862359">
        <w:t xml:space="preserve">The Committee notes that </w:t>
      </w:r>
      <w:r w:rsidR="002E1DAC">
        <w:t xml:space="preserve">the </w:t>
      </w:r>
      <w:r w:rsidR="00862359">
        <w:t xml:space="preserve">State party </w:t>
      </w:r>
      <w:r w:rsidR="00EE3E43">
        <w:t xml:space="preserve">alleges </w:t>
      </w:r>
      <w:r w:rsidR="00862359">
        <w:t xml:space="preserve">that </w:t>
      </w:r>
      <w:r w:rsidR="00862359" w:rsidRPr="00862359">
        <w:t>the ten publications contain calls to incite social and religious discord; ideas on the superiority of one’s own religion</w:t>
      </w:r>
      <w:r w:rsidR="00443A0D">
        <w:t xml:space="preserve"> that </w:t>
      </w:r>
      <w:r w:rsidR="00862359" w:rsidRPr="00862359">
        <w:t>promot</w:t>
      </w:r>
      <w:r w:rsidR="00443A0D">
        <w:t>e</w:t>
      </w:r>
      <w:r w:rsidR="00862359" w:rsidRPr="00862359">
        <w:t xml:space="preserve"> a negative attitude toward other religions; ideas promoting the break-up of family relationships; and ideas that create a negative attitude toward political organizations and world religions</w:t>
      </w:r>
      <w:r w:rsidR="00862359">
        <w:t xml:space="preserve">. </w:t>
      </w:r>
    </w:p>
    <w:p w14:paraId="1942B3BD" w14:textId="08BA1E32" w:rsidR="00862359" w:rsidRDefault="005E32B9" w:rsidP="00AD05D1">
      <w:pPr>
        <w:pStyle w:val="SingleTxtG"/>
      </w:pPr>
      <w:r>
        <w:t>9.5</w:t>
      </w:r>
      <w:r>
        <w:tab/>
      </w:r>
      <w:r w:rsidR="00862359">
        <w:t>The Committee also notes the authors</w:t>
      </w:r>
      <w:r w:rsidR="00CF710E">
        <w:t>’</w:t>
      </w:r>
      <w:r w:rsidR="00862359">
        <w:t xml:space="preserve"> contention</w:t>
      </w:r>
      <w:r w:rsidR="00CF710E">
        <w:t>s</w:t>
      </w:r>
      <w:r w:rsidR="00862359">
        <w:t xml:space="preserve"> that </w:t>
      </w:r>
      <w:r w:rsidR="00CF710E" w:rsidRPr="00CF710E">
        <w:t>the 2011 Religion Law provide</w:t>
      </w:r>
      <w:r w:rsidR="002E1DAC">
        <w:t>s no</w:t>
      </w:r>
      <w:r w:rsidR="00CF710E" w:rsidRPr="00CF710E">
        <w:t xml:space="preserve"> criteria </w:t>
      </w:r>
      <w:r w:rsidR="002E1DAC">
        <w:t xml:space="preserve">for </w:t>
      </w:r>
      <w:r w:rsidR="00CF710E" w:rsidRPr="00CF710E">
        <w:t xml:space="preserve">the Agency of Religious Affairs </w:t>
      </w:r>
      <w:r w:rsidR="00CF710E">
        <w:t>(</w:t>
      </w:r>
      <w:r w:rsidR="00CF710E" w:rsidRPr="00CF710E">
        <w:t xml:space="preserve">now the “Committee of Religious Affairs”) </w:t>
      </w:r>
      <w:r w:rsidR="002E1DAC">
        <w:t xml:space="preserve">to </w:t>
      </w:r>
      <w:r w:rsidR="00CF710E" w:rsidRPr="00CF710E">
        <w:t>follow when deciding whether to reject a religious organisation’s request to import religious literature</w:t>
      </w:r>
      <w:r w:rsidR="005A29F5">
        <w:t>,</w:t>
      </w:r>
      <w:r w:rsidR="00CF710E" w:rsidRPr="00CF710E">
        <w:t xml:space="preserve"> </w:t>
      </w:r>
      <w:r w:rsidR="00CF710E">
        <w:t xml:space="preserve">and </w:t>
      </w:r>
      <w:r w:rsidR="00CF710E" w:rsidRPr="00CF710E">
        <w:t>that a religious organisation is prohibited from importing religious literature into the State party without ARA’s approval</w:t>
      </w:r>
      <w:r w:rsidR="00CF710E">
        <w:t xml:space="preserve">. It also notes </w:t>
      </w:r>
      <w:r w:rsidR="00A06D7F">
        <w:t xml:space="preserve">the authors’ </w:t>
      </w:r>
      <w:r w:rsidR="00C01CDF">
        <w:t xml:space="preserve">submission </w:t>
      </w:r>
      <w:r w:rsidR="00CF710E">
        <w:t xml:space="preserve">that </w:t>
      </w:r>
      <w:r w:rsidR="00A06D7F">
        <w:t>t</w:t>
      </w:r>
      <w:r w:rsidR="00A06D7F" w:rsidRPr="00A06D7F">
        <w:t xml:space="preserve">he State party </w:t>
      </w:r>
      <w:r w:rsidR="00A06D7F">
        <w:t>did</w:t>
      </w:r>
      <w:r w:rsidR="00A06D7F" w:rsidRPr="00A06D7F">
        <w:t xml:space="preserve"> not dispute the religious belief of Jehovah’s Witnesses to which ARA objected and the errors ARA made when mischaracterizing those beliefs, which proves further the hazards of a state-sanctioned inquiry into the legitimacy of religious believes.</w:t>
      </w:r>
      <w:r w:rsidR="00A06D7F">
        <w:t xml:space="preserve"> </w:t>
      </w:r>
      <w:r>
        <w:t>It further takes note of the authors’ arguments that t</w:t>
      </w:r>
      <w:r w:rsidRPr="005E32B9">
        <w:t>he “reasons” given by the State party for prohibiting the import of the religious publications in question do not satisfy the requirements of article 18 (3) and article 19 (2) of the Covenant</w:t>
      </w:r>
      <w:r w:rsidR="00BC5ECE">
        <w:t xml:space="preserve"> because, they claim,</w:t>
      </w:r>
      <w:r>
        <w:t xml:space="preserve"> </w:t>
      </w:r>
      <w:r w:rsidRPr="005E32B9">
        <w:t>the religious publications of Jehovah’s Witnesses contain</w:t>
      </w:r>
      <w:r w:rsidR="00D768FE">
        <w:t xml:space="preserve"> no</w:t>
      </w:r>
      <w:r w:rsidRPr="005E32B9">
        <w:t xml:space="preserve"> calls to violence or incitement to religious hatred</w:t>
      </w:r>
      <w:r w:rsidR="003376DD">
        <w:t>,</w:t>
      </w:r>
      <w:r w:rsidRPr="005E32B9">
        <w:t xml:space="preserve"> and those same publications have been peacefully used and distributed by Jehovah's Witnesses worldwide</w:t>
      </w:r>
      <w:r>
        <w:t>.</w:t>
      </w:r>
      <w:r w:rsidR="002144BD">
        <w:t xml:space="preserve"> </w:t>
      </w:r>
    </w:p>
    <w:p w14:paraId="2EF62544" w14:textId="3349DAAD" w:rsidR="00FA59C7" w:rsidRDefault="00534166" w:rsidP="00AD05D1">
      <w:pPr>
        <w:pStyle w:val="SingleTxtG"/>
      </w:pPr>
      <w:r w:rsidRPr="00534166">
        <w:t>9.6</w:t>
      </w:r>
      <w:r w:rsidRPr="00534166">
        <w:tab/>
      </w:r>
      <w:r w:rsidR="00D94CF8" w:rsidRPr="00534166">
        <w:t>The Committee reiterates that article</w:t>
      </w:r>
      <w:r w:rsidR="00C01CDF" w:rsidRPr="00534166">
        <w:t xml:space="preserve"> </w:t>
      </w:r>
      <w:r w:rsidR="00D94CF8" w:rsidRPr="00534166">
        <w:t>18</w:t>
      </w:r>
      <w:r w:rsidR="00AC03FE">
        <w:t>(3)</w:t>
      </w:r>
      <w:r w:rsidR="00C01CDF" w:rsidRPr="00534166">
        <w:t xml:space="preserve"> </w:t>
      </w:r>
      <w:r w:rsidR="00D94CF8" w:rsidRPr="00534166">
        <w:t xml:space="preserve">of the Covenant </w:t>
      </w:r>
      <w:r w:rsidR="00AC03FE">
        <w:t xml:space="preserve">must be strictly interpreted; </w:t>
      </w:r>
      <w:r w:rsidR="00292CD2">
        <w:t>limitations</w:t>
      </w:r>
      <w:r w:rsidR="00AC03FE">
        <w:t xml:space="preserve"> </w:t>
      </w:r>
      <w:r w:rsidR="00503451">
        <w:t xml:space="preserve">on article 18 (1) of the Covenant </w:t>
      </w:r>
      <w:r w:rsidR="00C401EF">
        <w:t xml:space="preserve">must be prescribed by law, </w:t>
      </w:r>
      <w:r w:rsidR="00AC03FE" w:rsidRPr="00AC03FE">
        <w:t>may be applied only for those purposes for which they were prescribed and must be directly related and proportionate to the specific need on which they are predicated</w:t>
      </w:r>
      <w:r w:rsidR="00D94CF8" w:rsidRPr="00534166">
        <w:t>.</w:t>
      </w:r>
      <w:r w:rsidR="00AC03FE">
        <w:rPr>
          <w:rStyle w:val="FootnoteReference"/>
        </w:rPr>
        <w:footnoteReference w:id="23"/>
      </w:r>
      <w:r w:rsidR="00D94CF8" w:rsidRPr="00534166">
        <w:t xml:space="preserve"> </w:t>
      </w:r>
      <w:r w:rsidR="00EE3E43">
        <w:t xml:space="preserve">The Committee observes that the authors have </w:t>
      </w:r>
      <w:r w:rsidR="002144BD">
        <w:t xml:space="preserve">sufficiently </w:t>
      </w:r>
      <w:r w:rsidR="00EE3E43">
        <w:t>substantiated the interference with their rights and, therefore, the burden of proof has shifted to the State party</w:t>
      </w:r>
      <w:r w:rsidR="002144BD">
        <w:t xml:space="preserve"> to justify the </w:t>
      </w:r>
      <w:r w:rsidR="00CB6B2A">
        <w:t xml:space="preserve">limitation </w:t>
      </w:r>
      <w:r w:rsidR="002144BD">
        <w:t>imposed</w:t>
      </w:r>
      <w:r w:rsidR="00EE3E43">
        <w:t>.</w:t>
      </w:r>
      <w:r w:rsidR="002144BD">
        <w:rPr>
          <w:rStyle w:val="FootnoteReference"/>
        </w:rPr>
        <w:footnoteReference w:id="24"/>
      </w:r>
      <w:r w:rsidR="00EE3E43">
        <w:t xml:space="preserve"> Further, the Committee recalls that when </w:t>
      </w:r>
      <w:r w:rsidR="00EE3E43" w:rsidRPr="009051A8">
        <w:t xml:space="preserve">a State party invokes a ground </w:t>
      </w:r>
      <w:r w:rsidR="00EE3E43">
        <w:t>in order to restrict</w:t>
      </w:r>
      <w:r w:rsidR="00EE3E43" w:rsidRPr="009051A8">
        <w:t xml:space="preserve"> freedom of expression, it must demonstrate in specific and individualized fashion the precise nature of the threat, and the necessity and proportionality of the specific action taken, in particular by establishing a direct and immediate connection between the expression and the threat</w:t>
      </w:r>
      <w:r w:rsidR="00EE3E43">
        <w:t>.</w:t>
      </w:r>
      <w:r w:rsidR="00EE3E43">
        <w:rPr>
          <w:rStyle w:val="FootnoteReference"/>
        </w:rPr>
        <w:footnoteReference w:id="25"/>
      </w:r>
      <w:r w:rsidR="00EE3E43">
        <w:t xml:space="preserve"> </w:t>
      </w:r>
      <w:r w:rsidR="00C401EF" w:rsidRPr="00C401EF">
        <w:t>In the present case, the Committee notes the authors’ claim that the Religion Law of 2011 does not prescribe criteria on which the expert examination of religious literature is based. The reasons given for disapproving the importation of some of the authors’ publications suggest there is ample room for disapproval for arbitrary or other prohibited reasons, such as disagreement by the State or other religions with the religious principles expressed in the literature</w:t>
      </w:r>
      <w:r w:rsidR="00C401EF" w:rsidRPr="0008652E">
        <w:t xml:space="preserve">. </w:t>
      </w:r>
      <w:r w:rsidR="001C6EE7" w:rsidRPr="0008652E">
        <w:t>Furthermore</w:t>
      </w:r>
      <w:r w:rsidR="00C401EF" w:rsidRPr="0008652E">
        <w:t>, religious freedom is particularly necessary to protect the rights of those who adhere to unpopular beliefs.</w:t>
      </w:r>
      <w:r w:rsidR="00C401EF" w:rsidRPr="00C401EF">
        <w:t xml:space="preserve"> The importation ban that the 2011 Law may produce is also problematic in light of Article 19, which guarantees “freedom to seek, receive and impart information and ideas of all kinds, regardless of frontiers.” In addition, t</w:t>
      </w:r>
      <w:r w:rsidR="00D768FE">
        <w:t xml:space="preserve">he Committee </w:t>
      </w:r>
      <w:r w:rsidR="004E6951">
        <w:t xml:space="preserve">notes </w:t>
      </w:r>
      <w:r w:rsidR="00D768FE">
        <w:t xml:space="preserve">that in the present case, </w:t>
      </w:r>
      <w:r w:rsidR="004E6951">
        <w:t xml:space="preserve">the State party has failed to substantiate its </w:t>
      </w:r>
      <w:r w:rsidR="00CB6B2A">
        <w:t xml:space="preserve">responses to authors’ claims </w:t>
      </w:r>
      <w:r w:rsidR="004E6951">
        <w:t xml:space="preserve">or provide any examples to show how the prohibited publications </w:t>
      </w:r>
      <w:r w:rsidR="00084307">
        <w:t>threaten</w:t>
      </w:r>
      <w:r w:rsidR="004E6951">
        <w:t xml:space="preserve"> any of the interests protect</w:t>
      </w:r>
      <w:r w:rsidR="00084307">
        <w:t xml:space="preserve">ed by article 18(3). The Committee further notes that </w:t>
      </w:r>
      <w:r w:rsidR="000B4434">
        <w:t xml:space="preserve">since </w:t>
      </w:r>
      <w:r w:rsidR="00084307">
        <w:t xml:space="preserve">the very publications are freely accessible on the internet and can be imported for personal use, </w:t>
      </w:r>
      <w:r w:rsidR="000B4434">
        <w:t xml:space="preserve">as claimed by the State party, </w:t>
      </w:r>
      <w:r w:rsidR="00084307">
        <w:t xml:space="preserve">it </w:t>
      </w:r>
      <w:r w:rsidR="007369FD">
        <w:t>is</w:t>
      </w:r>
      <w:r w:rsidR="00941E56" w:rsidRPr="00941E56">
        <w:t xml:space="preserve"> difficult to sustain that it </w:t>
      </w:r>
      <w:proofErr w:type="gramStart"/>
      <w:r w:rsidR="00941E56" w:rsidRPr="00941E56">
        <w:t xml:space="preserve">was </w:t>
      </w:r>
      <w:r w:rsidR="00084307">
        <w:t xml:space="preserve"> necessary</w:t>
      </w:r>
      <w:proofErr w:type="gramEnd"/>
      <w:r w:rsidR="00084307">
        <w:t xml:space="preserve"> to prohibit </w:t>
      </w:r>
      <w:r w:rsidR="008E5944">
        <w:t>their</w:t>
      </w:r>
      <w:r w:rsidR="00084307">
        <w:t xml:space="preserve"> importation by the authors.</w:t>
      </w:r>
      <w:r w:rsidR="00D94CF8" w:rsidRPr="00534166">
        <w:t xml:space="preserve"> </w:t>
      </w:r>
      <w:r w:rsidR="00084307">
        <w:t>In these circumstances, the Committee finds that</w:t>
      </w:r>
      <w:r w:rsidR="00084307" w:rsidRPr="00534166">
        <w:t xml:space="preserve"> </w:t>
      </w:r>
      <w:r w:rsidR="00D94CF8" w:rsidRPr="00534166">
        <w:t>the limitation has not been shown to serve any legitimate purpose identified in article</w:t>
      </w:r>
      <w:r w:rsidR="005E32B9" w:rsidRPr="00534166">
        <w:t xml:space="preserve"> </w:t>
      </w:r>
      <w:r w:rsidR="00D94CF8" w:rsidRPr="00534166">
        <w:t>18</w:t>
      </w:r>
      <w:r w:rsidR="005E32B9" w:rsidRPr="00534166">
        <w:t xml:space="preserve"> (</w:t>
      </w:r>
      <w:r w:rsidR="00D94CF8" w:rsidRPr="00534166">
        <w:t>3</w:t>
      </w:r>
      <w:r w:rsidR="005E32B9" w:rsidRPr="00534166">
        <w:t>)</w:t>
      </w:r>
      <w:r w:rsidR="00D94CF8" w:rsidRPr="00534166">
        <w:t xml:space="preserve">; and </w:t>
      </w:r>
      <w:r w:rsidR="00084307">
        <w:t>nor</w:t>
      </w:r>
      <w:r w:rsidR="00084307" w:rsidRPr="00534166">
        <w:t xml:space="preserve"> </w:t>
      </w:r>
      <w:r w:rsidR="00D94CF8" w:rsidRPr="00534166">
        <w:t xml:space="preserve">has the State party shown that this limitation of the right to manifest religion is proportionate to a legitimate purpose that it might serve. </w:t>
      </w:r>
      <w:r w:rsidR="00FA59C7">
        <w:rPr>
          <w:rFonts w:hint="eastAsia"/>
          <w:lang w:eastAsia="ja-JP"/>
        </w:rPr>
        <w:t>T</w:t>
      </w:r>
      <w:r w:rsidR="00FA59C7" w:rsidRPr="00FA24AF">
        <w:t xml:space="preserve">he Committee </w:t>
      </w:r>
      <w:r w:rsidR="00FA59C7">
        <w:t>accordingly considers</w:t>
      </w:r>
      <w:r w:rsidR="00FA59C7" w:rsidRPr="00FA24AF">
        <w:t xml:space="preserve"> that </w:t>
      </w:r>
      <w:r w:rsidR="00FA59C7">
        <w:t>the State party</w:t>
      </w:r>
      <w:r w:rsidR="00FA59C7" w:rsidRPr="00FA24AF">
        <w:t xml:space="preserve"> </w:t>
      </w:r>
      <w:r w:rsidR="00FA59C7">
        <w:t xml:space="preserve">failed to </w:t>
      </w:r>
      <w:r w:rsidR="00FA59C7" w:rsidRPr="00FA24AF">
        <w:t xml:space="preserve">justify </w:t>
      </w:r>
      <w:r w:rsidR="00FA59C7">
        <w:t xml:space="preserve">the </w:t>
      </w:r>
      <w:r w:rsidR="00FA59C7" w:rsidRPr="005473B3">
        <w:t>restrictions</w:t>
      </w:r>
      <w:r w:rsidR="00FA59C7" w:rsidRPr="00FA24AF">
        <w:t xml:space="preserve"> on the manifestation of </w:t>
      </w:r>
      <w:r w:rsidR="00FA59C7">
        <w:t>the author</w:t>
      </w:r>
      <w:r w:rsidR="00FA59C7" w:rsidRPr="00FA24AF">
        <w:t>s</w:t>
      </w:r>
      <w:r w:rsidR="00FA59C7">
        <w:t>’</w:t>
      </w:r>
      <w:r w:rsidR="00FA59C7" w:rsidRPr="00FA24AF">
        <w:t xml:space="preserve"> religion</w:t>
      </w:r>
      <w:r w:rsidR="00FA59C7">
        <w:t xml:space="preserve">, and </w:t>
      </w:r>
      <w:r w:rsidR="00FA59C7" w:rsidRPr="00FA24AF">
        <w:t xml:space="preserve">concludes that the </w:t>
      </w:r>
      <w:r w:rsidR="00FA59C7">
        <w:t xml:space="preserve">refusal of permission to import the religious </w:t>
      </w:r>
      <w:r w:rsidR="00FA59C7">
        <w:lastRenderedPageBreak/>
        <w:t xml:space="preserve">publications in question </w:t>
      </w:r>
      <w:r w:rsidR="00FA59C7" w:rsidRPr="00FA24AF">
        <w:t>is contrary to th</w:t>
      </w:r>
      <w:r w:rsidR="00FA59C7">
        <w:t>e</w:t>
      </w:r>
      <w:r w:rsidR="00FA59C7" w:rsidRPr="00FA24AF">
        <w:t xml:space="preserve"> freedom to manifest one’s religion</w:t>
      </w:r>
      <w:r w:rsidR="00D768FE">
        <w:t>,</w:t>
      </w:r>
      <w:r w:rsidR="00FA59C7" w:rsidRPr="00FA24AF">
        <w:t xml:space="preserve"> and i</w:t>
      </w:r>
      <w:r w:rsidR="00FA59C7">
        <w:t>t</w:t>
      </w:r>
      <w:r w:rsidR="00FA59C7" w:rsidRPr="00FA24AF">
        <w:t xml:space="preserve"> therefore </w:t>
      </w:r>
      <w:r w:rsidR="00FA59C7">
        <w:t xml:space="preserve">amounts to </w:t>
      </w:r>
      <w:r w:rsidR="00FA59C7" w:rsidRPr="00FA24AF">
        <w:t xml:space="preserve">a violation of </w:t>
      </w:r>
      <w:r w:rsidR="00D768FE">
        <w:t xml:space="preserve">the authors’ rights under </w:t>
      </w:r>
      <w:r w:rsidR="00FA59C7" w:rsidRPr="00FA24AF">
        <w:t>article 18</w:t>
      </w:r>
      <w:r w:rsidR="00FA59C7">
        <w:t xml:space="preserve"> (</w:t>
      </w:r>
      <w:r w:rsidR="00FA59C7" w:rsidRPr="00FA24AF">
        <w:t>1</w:t>
      </w:r>
      <w:r w:rsidR="00FA59C7">
        <w:t>)</w:t>
      </w:r>
      <w:r w:rsidR="00FA59C7" w:rsidRPr="00FA24AF">
        <w:t xml:space="preserve"> of the Covenant. </w:t>
      </w:r>
    </w:p>
    <w:p w14:paraId="34005FBF" w14:textId="77777777" w:rsidR="00D94CF8" w:rsidRPr="003D749D" w:rsidRDefault="00D94CF8" w:rsidP="00AD05D1">
      <w:pPr>
        <w:pStyle w:val="SingleTxtG"/>
      </w:pPr>
      <w:r w:rsidRPr="00534166">
        <w:t>9.</w:t>
      </w:r>
      <w:r w:rsidR="00534166">
        <w:t>7</w:t>
      </w:r>
      <w:r w:rsidRPr="00534166">
        <w:tab/>
        <w:t xml:space="preserve">In the light of its finding, the Committee will not </w:t>
      </w:r>
      <w:r w:rsidR="00C401EF">
        <w:t xml:space="preserve">independently </w:t>
      </w:r>
      <w:r w:rsidR="00D768FE">
        <w:t>examine the authors</w:t>
      </w:r>
      <w:r w:rsidR="00B05099">
        <w:t>’</w:t>
      </w:r>
      <w:r w:rsidR="00D768FE">
        <w:t xml:space="preserve"> claims under </w:t>
      </w:r>
      <w:r w:rsidRPr="00534166">
        <w:t xml:space="preserve">article </w:t>
      </w:r>
      <w:r w:rsidR="005E32B9" w:rsidRPr="00534166">
        <w:t>19</w:t>
      </w:r>
      <w:r w:rsidRPr="00534166">
        <w:t xml:space="preserve"> of the Covenant.</w:t>
      </w:r>
    </w:p>
    <w:p w14:paraId="0D65E527" w14:textId="77777777" w:rsidR="002B08A3" w:rsidRPr="002B08A3" w:rsidRDefault="00DF26E9" w:rsidP="005473B3">
      <w:pPr>
        <w:pStyle w:val="SingleTxtG"/>
      </w:pPr>
      <w:r>
        <w:t>10</w:t>
      </w:r>
      <w:r w:rsidR="002B08A3" w:rsidRPr="002B08A3">
        <w:t>.</w:t>
      </w:r>
      <w:r w:rsidR="00D92639">
        <w:tab/>
      </w:r>
      <w:r w:rsidR="002B08A3" w:rsidRPr="002B08A3">
        <w:t xml:space="preserve">The Committee, acting </w:t>
      </w:r>
      <w:r w:rsidR="002B08A3" w:rsidRPr="005473B3">
        <w:t>under</w:t>
      </w:r>
      <w:r w:rsidR="002B08A3" w:rsidRPr="002B08A3">
        <w:t xml:space="preserve"> article 5 (4) of the Optional Protocol, is of the view that the facts before it disclose a violation by the State party of </w:t>
      </w:r>
      <w:r w:rsidR="00EE4B1B">
        <w:t>the authors</w:t>
      </w:r>
      <w:r w:rsidR="00076DEB">
        <w:t>’</w:t>
      </w:r>
      <w:r w:rsidR="00EE4B1B">
        <w:t xml:space="preserve"> </w:t>
      </w:r>
      <w:r w:rsidR="002B08A3" w:rsidRPr="002B08A3">
        <w:t>rights under article</w:t>
      </w:r>
      <w:r w:rsidR="00746E8C">
        <w:t xml:space="preserve"> 18</w:t>
      </w:r>
      <w:r w:rsidR="007463AD">
        <w:t xml:space="preserve"> </w:t>
      </w:r>
      <w:r w:rsidR="00411D2D">
        <w:t xml:space="preserve">(1) </w:t>
      </w:r>
      <w:r w:rsidR="002B08A3" w:rsidRPr="002B08A3">
        <w:t xml:space="preserve">of the Covenant. </w:t>
      </w:r>
    </w:p>
    <w:p w14:paraId="1914B694" w14:textId="2BAEBCAE" w:rsidR="002B08A3" w:rsidRPr="00FE49D3" w:rsidRDefault="002B08A3" w:rsidP="00FE49D3">
      <w:pPr>
        <w:pStyle w:val="SingleTxtG"/>
      </w:pPr>
      <w:r w:rsidRPr="002B08A3">
        <w:t>1</w:t>
      </w:r>
      <w:r w:rsidR="00DF26E9">
        <w:t>1</w:t>
      </w:r>
      <w:r w:rsidRPr="002B08A3">
        <w:t>.</w:t>
      </w:r>
      <w:r w:rsidR="00D92639">
        <w:tab/>
      </w:r>
      <w:r w:rsidR="00EF3F1E" w:rsidRPr="00CE04E3">
        <w:t>Pursuant to article 2 (3) (a) of the Covenant, the State party is under an obligation to provide the authors with an effective remedy. This requires it to make full reparation to individuals whose rights</w:t>
      </w:r>
      <w:r w:rsidR="00EF3F1E">
        <w:t xml:space="preserve"> under the Covenant</w:t>
      </w:r>
      <w:r w:rsidR="00EF3F1E" w:rsidRPr="00CE04E3">
        <w:t xml:space="preserve"> have been violated.</w:t>
      </w:r>
      <w:r w:rsidRPr="002B08A3">
        <w:t xml:space="preserve"> Accordingly, the State party is obligated to, inter alia, </w:t>
      </w:r>
      <w:r w:rsidR="00B1534E">
        <w:t xml:space="preserve">(a) </w:t>
      </w:r>
      <w:r w:rsidR="00B1534E" w:rsidRPr="00AD05D1">
        <w:t>remove</w:t>
      </w:r>
      <w:r w:rsidR="00B1534E">
        <w:t xml:space="preserve"> the restrictions on the right of the authors to import the ten religious publications; (b) </w:t>
      </w:r>
      <w:r w:rsidRPr="002B08A3">
        <w:t>take appropriate steps to provide the author</w:t>
      </w:r>
      <w:r w:rsidR="00B1534E">
        <w:t>s</w:t>
      </w:r>
      <w:r w:rsidRPr="002B08A3">
        <w:t xml:space="preserve"> with </w:t>
      </w:r>
      <w:r w:rsidR="003A7701">
        <w:t>a</w:t>
      </w:r>
      <w:r w:rsidR="008337A7">
        <w:t>dequate</w:t>
      </w:r>
      <w:r w:rsidR="003A7701">
        <w:t xml:space="preserve"> </w:t>
      </w:r>
      <w:r w:rsidRPr="002B08A3">
        <w:t>compensation</w:t>
      </w:r>
      <w:r w:rsidR="00B1534E">
        <w:t>, including for legal expenses and fees</w:t>
      </w:r>
      <w:r w:rsidR="00C401EF">
        <w:t>;</w:t>
      </w:r>
      <w:r w:rsidR="00C401EF" w:rsidRPr="00C401EF">
        <w:t xml:space="preserve"> and (c) review </w:t>
      </w:r>
      <w:r w:rsidR="00052D3A">
        <w:t xml:space="preserve">its </w:t>
      </w:r>
      <w:r w:rsidR="007C1EF1">
        <w:t>legislation</w:t>
      </w:r>
      <w:r w:rsidR="00052D3A">
        <w:t>, regulations</w:t>
      </w:r>
      <w:r w:rsidR="007C1EF1">
        <w:t xml:space="preserve"> and p</w:t>
      </w:r>
      <w:r w:rsidR="006A5866">
        <w:t>r</w:t>
      </w:r>
      <w:r w:rsidR="007C1EF1">
        <w:t>actices</w:t>
      </w:r>
      <w:r w:rsidR="003D2F66">
        <w:t xml:space="preserve"> with a view to ensuring that the rights under article 18 of the Covenant may be fully enjoyed in the State party</w:t>
      </w:r>
      <w:r w:rsidRPr="002B08A3">
        <w:t xml:space="preserve">. The State party is also under an obligation to take all steps necessary to prevent similar violations from occurring in the future. </w:t>
      </w:r>
    </w:p>
    <w:p w14:paraId="4AAD0217" w14:textId="77777777" w:rsidR="002B08A3" w:rsidRPr="00DB4321" w:rsidRDefault="002B08A3" w:rsidP="00FE49D3">
      <w:pPr>
        <w:pStyle w:val="SingleTxtG"/>
      </w:pPr>
      <w:r w:rsidRPr="002B08A3">
        <w:t>1</w:t>
      </w:r>
      <w:r w:rsidR="007B6DCD">
        <w:t>2</w:t>
      </w:r>
      <w:r w:rsidRPr="002B08A3">
        <w:t>.</w:t>
      </w:r>
      <w:r w:rsidR="00D92639">
        <w:tab/>
      </w:r>
      <w:r w:rsidRPr="002B08A3">
        <w:t xml:space="preserve">Bearing in mind that, by becoming a party to the Optional Protocol, the State party has recognized the competence of the Committee to </w:t>
      </w:r>
      <w:r w:rsidRPr="00FE49D3">
        <w:t>determine</w:t>
      </w:r>
      <w:r w:rsidRPr="002B08A3">
        <w:t xml:space="preserv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w:t>
      </w:r>
      <w:r w:rsidRPr="00FE49D3">
        <w:t>Committee</w:t>
      </w:r>
      <w:r w:rsidRPr="002B08A3">
        <w:t xml:space="preserve"> wishes to receive from the State party, within 180 days, information about the measures taken to give effect to the present Views. The State party is also requested to publish the present Views and to disseminate them widely in the official languages of the State party.</w:t>
      </w:r>
    </w:p>
    <w:p w14:paraId="6A35FA47" w14:textId="77777777" w:rsidR="00070A25" w:rsidRDefault="00111738" w:rsidP="001D78DC">
      <w:pPr>
        <w:pStyle w:val="SingleTxtG"/>
        <w:spacing w:before="240" w:after="0"/>
        <w:jc w:val="center"/>
        <w:rPr>
          <w:u w:val="single"/>
        </w:rPr>
      </w:pPr>
      <w:r w:rsidRPr="000A0F29">
        <w:rPr>
          <w:u w:val="single"/>
        </w:rPr>
        <w:tab/>
      </w:r>
      <w:r w:rsidRPr="000A0F29">
        <w:rPr>
          <w:u w:val="single"/>
        </w:rPr>
        <w:tab/>
      </w:r>
      <w:r w:rsidRPr="000A0F29">
        <w:rPr>
          <w:u w:val="single"/>
        </w:rPr>
        <w:tab/>
      </w:r>
      <w:r w:rsidR="0081450D">
        <w:rPr>
          <w:u w:val="single"/>
        </w:rPr>
        <w:tab/>
      </w:r>
    </w:p>
    <w:p w14:paraId="33CF7266" w14:textId="77777777" w:rsidR="00984B8A" w:rsidRPr="000A0F29" w:rsidRDefault="00984B8A" w:rsidP="00D65574">
      <w:pPr>
        <w:pStyle w:val="SingleTxtG"/>
        <w:spacing w:before="240" w:after="0"/>
        <w:jc w:val="left"/>
        <w:rPr>
          <w:u w:val="single"/>
        </w:rPr>
      </w:pPr>
    </w:p>
    <w:sectPr w:rsidR="00984B8A" w:rsidRPr="000A0F29" w:rsidSect="00111738">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E4EC" w14:textId="77777777" w:rsidR="001D312D" w:rsidRDefault="001D312D"/>
  </w:endnote>
  <w:endnote w:type="continuationSeparator" w:id="0">
    <w:p w14:paraId="32DF78AA" w14:textId="77777777" w:rsidR="001D312D" w:rsidRDefault="001D312D"/>
  </w:endnote>
  <w:endnote w:type="continuationNotice" w:id="1">
    <w:p w14:paraId="1DC55A60" w14:textId="77777777" w:rsidR="001D312D" w:rsidRDefault="001D3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39T30Lfz">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3816" w14:textId="755719CA" w:rsidR="005E32B9" w:rsidRPr="00111738" w:rsidRDefault="005E32B9" w:rsidP="00111738">
    <w:pPr>
      <w:pStyle w:val="Footer"/>
      <w:tabs>
        <w:tab w:val="right" w:pos="9638"/>
      </w:tabs>
      <w:rPr>
        <w:sz w:val="18"/>
      </w:rPr>
    </w:pPr>
    <w:r w:rsidRPr="00111738">
      <w:rPr>
        <w:b/>
        <w:sz w:val="18"/>
      </w:rPr>
      <w:fldChar w:fldCharType="begin"/>
    </w:r>
    <w:r w:rsidRPr="00111738">
      <w:rPr>
        <w:b/>
        <w:sz w:val="18"/>
      </w:rPr>
      <w:instrText xml:space="preserve"> PAGE  \* MERGEFORMAT </w:instrText>
    </w:r>
    <w:r w:rsidRPr="00111738">
      <w:rPr>
        <w:b/>
        <w:sz w:val="18"/>
      </w:rPr>
      <w:fldChar w:fldCharType="separate"/>
    </w:r>
    <w:r w:rsidR="00D65574">
      <w:rPr>
        <w:b/>
        <w:noProof/>
        <w:sz w:val="18"/>
      </w:rPr>
      <w:t>12</w:t>
    </w:r>
    <w:r w:rsidRPr="001117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E8F5" w14:textId="795A6C15" w:rsidR="005E32B9" w:rsidRPr="00111738" w:rsidRDefault="005E32B9" w:rsidP="00111738">
    <w:pPr>
      <w:pStyle w:val="Footer"/>
      <w:tabs>
        <w:tab w:val="right" w:pos="9638"/>
      </w:tabs>
      <w:rPr>
        <w:b/>
        <w:sz w:val="18"/>
      </w:rPr>
    </w:pPr>
    <w:r>
      <w:tab/>
    </w:r>
    <w:r w:rsidRPr="00111738">
      <w:rPr>
        <w:b/>
        <w:sz w:val="18"/>
      </w:rPr>
      <w:fldChar w:fldCharType="begin"/>
    </w:r>
    <w:r w:rsidRPr="00111738">
      <w:rPr>
        <w:b/>
        <w:sz w:val="18"/>
      </w:rPr>
      <w:instrText xml:space="preserve"> PAGE  \* MERGEFORMAT </w:instrText>
    </w:r>
    <w:r w:rsidRPr="00111738">
      <w:rPr>
        <w:b/>
        <w:sz w:val="18"/>
      </w:rPr>
      <w:fldChar w:fldCharType="separate"/>
    </w:r>
    <w:r w:rsidR="00D65574">
      <w:rPr>
        <w:b/>
        <w:noProof/>
        <w:sz w:val="18"/>
      </w:rPr>
      <w:t>13</w:t>
    </w:r>
    <w:r w:rsidRPr="001117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9662" w14:textId="77777777" w:rsidR="007078EF" w:rsidRDefault="007078EF" w:rsidP="007078EF">
    <w:pPr>
      <w:pStyle w:val="Footer"/>
    </w:pPr>
    <w:r>
      <w:rPr>
        <w:noProof/>
        <w:lang w:eastAsia="en-GB"/>
      </w:rPr>
      <w:drawing>
        <wp:anchor distT="0" distB="0" distL="114300" distR="114300" simplePos="0" relativeHeight="251659264" behindDoc="1" locked="1" layoutInCell="1" allowOverlap="1" wp14:anchorId="751257A2" wp14:editId="5BB8C86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A3AD24" w14:textId="40F07027" w:rsidR="007078EF" w:rsidRPr="007078EF" w:rsidRDefault="007078EF" w:rsidP="007078EF">
    <w:pPr>
      <w:pStyle w:val="Footer"/>
      <w:ind w:right="1134"/>
      <w:rPr>
        <w:rFonts w:ascii="C39T30Lfz" w:hAnsi="C39T30Lfz" w:hint="eastAsia"/>
        <w:sz w:val="56"/>
      </w:rPr>
    </w:pPr>
    <w:r>
      <w:rPr>
        <w:rFonts w:ascii="C39T30Lfz" w:hAnsi="C39T30Lfz"/>
        <w:noProof/>
        <w:sz w:val="56"/>
        <w:lang w:eastAsia="en-GB"/>
      </w:rPr>
      <w:drawing>
        <wp:anchor distT="0" distB="0" distL="114300" distR="114300" simplePos="0" relativeHeight="251660288" behindDoc="0" locked="0" layoutInCell="1" allowOverlap="1" wp14:anchorId="5AEDF110" wp14:editId="7545C92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9/DR/266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9/DR/2661/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E828" w14:textId="77777777" w:rsidR="001D312D" w:rsidRPr="000B175B" w:rsidRDefault="001D312D" w:rsidP="000B175B">
      <w:pPr>
        <w:tabs>
          <w:tab w:val="right" w:pos="2155"/>
        </w:tabs>
        <w:spacing w:after="80"/>
        <w:ind w:left="680"/>
        <w:rPr>
          <w:u w:val="single"/>
        </w:rPr>
      </w:pPr>
      <w:r>
        <w:rPr>
          <w:u w:val="single"/>
        </w:rPr>
        <w:tab/>
      </w:r>
    </w:p>
  </w:footnote>
  <w:footnote w:type="continuationSeparator" w:id="0">
    <w:p w14:paraId="20D5DAC9" w14:textId="77777777" w:rsidR="001D312D" w:rsidRPr="00FC68B7" w:rsidRDefault="001D312D" w:rsidP="00FC68B7">
      <w:pPr>
        <w:tabs>
          <w:tab w:val="left" w:pos="2155"/>
        </w:tabs>
        <w:spacing w:after="80"/>
        <w:ind w:left="680"/>
        <w:rPr>
          <w:u w:val="single"/>
        </w:rPr>
      </w:pPr>
      <w:r>
        <w:rPr>
          <w:u w:val="single"/>
        </w:rPr>
        <w:tab/>
      </w:r>
    </w:p>
  </w:footnote>
  <w:footnote w:type="continuationNotice" w:id="1">
    <w:p w14:paraId="29BC13DF" w14:textId="77777777" w:rsidR="001D312D" w:rsidRDefault="001D312D"/>
  </w:footnote>
  <w:footnote w:id="2">
    <w:p w14:paraId="00AC87E6" w14:textId="0E16B99A" w:rsidR="002541C5" w:rsidRPr="002541C5" w:rsidRDefault="002541C5">
      <w:pPr>
        <w:pStyle w:val="FootnoteText"/>
      </w:pPr>
      <w:r>
        <w:rPr>
          <w:rStyle w:val="FootnoteReference"/>
        </w:rPr>
        <w:tab/>
      </w:r>
      <w:r w:rsidRPr="00D65574">
        <w:rPr>
          <w:rStyle w:val="FootnoteReference"/>
          <w:sz w:val="20"/>
          <w:vertAlign w:val="baseline"/>
        </w:rPr>
        <w:t>*</w:t>
      </w:r>
      <w:r>
        <w:rPr>
          <w:rStyle w:val="FootnoteReference"/>
          <w:sz w:val="20"/>
          <w:vertAlign w:val="baseline"/>
        </w:rPr>
        <w:tab/>
      </w:r>
      <w:r w:rsidR="005B1708" w:rsidRPr="00DA33D1">
        <w:t>Adopted by the C</w:t>
      </w:r>
      <w:r w:rsidR="005B1708">
        <w:t xml:space="preserve">ommittee at its 130 </w:t>
      </w:r>
      <w:proofErr w:type="spellStart"/>
      <w:r w:rsidR="005B1708">
        <w:t>th</w:t>
      </w:r>
      <w:proofErr w:type="spellEnd"/>
      <w:r w:rsidR="005B1708">
        <w:t xml:space="preserve"> session (12 October–6 November 2020</w:t>
      </w:r>
      <w:r w:rsidR="005B1708" w:rsidRPr="00DA33D1">
        <w:t>)</w:t>
      </w:r>
      <w:r w:rsidR="005B1708">
        <w:t>.</w:t>
      </w:r>
    </w:p>
  </w:footnote>
  <w:footnote w:id="3">
    <w:p w14:paraId="6DE9AEB1" w14:textId="065E1068" w:rsidR="002541C5" w:rsidRPr="002541C5" w:rsidRDefault="002541C5">
      <w:pPr>
        <w:pStyle w:val="FootnoteText"/>
      </w:pPr>
      <w:r>
        <w:rPr>
          <w:rStyle w:val="FootnoteReference"/>
        </w:rPr>
        <w:tab/>
      </w:r>
      <w:r w:rsidRPr="00D65574">
        <w:rPr>
          <w:rStyle w:val="FootnoteReference"/>
          <w:sz w:val="20"/>
          <w:vertAlign w:val="baseline"/>
        </w:rPr>
        <w:t>**</w:t>
      </w:r>
      <w:r>
        <w:rPr>
          <w:rStyle w:val="FootnoteReference"/>
          <w:sz w:val="20"/>
          <w:vertAlign w:val="baseline"/>
        </w:rPr>
        <w:tab/>
      </w:r>
      <w:r w:rsidR="000369FD" w:rsidRPr="00DA33D1">
        <w:t>The following members of the Committee participated in the examination of the communica</w:t>
      </w:r>
      <w:r w:rsidR="000369FD">
        <w:t xml:space="preserve">tion: </w:t>
      </w:r>
      <w:proofErr w:type="spellStart"/>
      <w:r w:rsidR="000369FD" w:rsidRPr="0087337A">
        <w:t>Yadh</w:t>
      </w:r>
      <w:proofErr w:type="spellEnd"/>
      <w:r w:rsidR="000369FD" w:rsidRPr="0087337A">
        <w:t xml:space="preserve"> Ben </w:t>
      </w:r>
      <w:proofErr w:type="spellStart"/>
      <w:r w:rsidR="000369FD" w:rsidRPr="0087337A">
        <w:t>Achour</w:t>
      </w:r>
      <w:proofErr w:type="spellEnd"/>
      <w:r w:rsidR="000369FD" w:rsidRPr="00DA33D1">
        <w:t xml:space="preserve">, </w:t>
      </w:r>
      <w:proofErr w:type="spellStart"/>
      <w:r w:rsidR="000369FD" w:rsidRPr="00DA33D1">
        <w:t>Arif</w:t>
      </w:r>
      <w:proofErr w:type="spellEnd"/>
      <w:r w:rsidR="000369FD" w:rsidRPr="00DA33D1">
        <w:t xml:space="preserve"> </w:t>
      </w:r>
      <w:proofErr w:type="spellStart"/>
      <w:r w:rsidR="000369FD" w:rsidRPr="00DA33D1">
        <w:t>Bulkan</w:t>
      </w:r>
      <w:proofErr w:type="spellEnd"/>
      <w:r w:rsidR="000369FD" w:rsidRPr="00DA33D1">
        <w:t xml:space="preserve">, Ahmed Amin </w:t>
      </w:r>
      <w:proofErr w:type="spellStart"/>
      <w:r w:rsidR="000369FD" w:rsidRPr="00DA33D1">
        <w:t>Fathalla</w:t>
      </w:r>
      <w:proofErr w:type="spellEnd"/>
      <w:r w:rsidR="000369FD" w:rsidRPr="00DA33D1">
        <w:t>,</w:t>
      </w:r>
      <w:r w:rsidR="000369FD">
        <w:t xml:space="preserve"> </w:t>
      </w:r>
      <w:proofErr w:type="spellStart"/>
      <w:r w:rsidR="000369FD">
        <w:t>Schuichi</w:t>
      </w:r>
      <w:proofErr w:type="spellEnd"/>
      <w:r w:rsidR="000369FD">
        <w:t xml:space="preserve"> </w:t>
      </w:r>
      <w:proofErr w:type="spellStart"/>
      <w:r w:rsidR="000369FD">
        <w:t>Furuya</w:t>
      </w:r>
      <w:proofErr w:type="spellEnd"/>
      <w:r w:rsidR="000369FD">
        <w:t xml:space="preserve">, Christoph </w:t>
      </w:r>
      <w:proofErr w:type="spellStart"/>
      <w:r w:rsidR="000369FD">
        <w:t>Heyns</w:t>
      </w:r>
      <w:proofErr w:type="spellEnd"/>
      <w:r w:rsidR="000369FD">
        <w:t xml:space="preserve">, </w:t>
      </w:r>
      <w:r w:rsidR="000369FD" w:rsidRPr="003822C7">
        <w:t xml:space="preserve">Duncan </w:t>
      </w:r>
      <w:proofErr w:type="spellStart"/>
      <w:r w:rsidR="000369FD" w:rsidRPr="003822C7">
        <w:t>Laki</w:t>
      </w:r>
      <w:proofErr w:type="spellEnd"/>
      <w:r w:rsidR="000369FD" w:rsidRPr="003822C7">
        <w:t xml:space="preserve"> </w:t>
      </w:r>
      <w:proofErr w:type="spellStart"/>
      <w:r w:rsidR="000369FD" w:rsidRPr="003822C7">
        <w:t>Muhumuza</w:t>
      </w:r>
      <w:proofErr w:type="spellEnd"/>
      <w:r w:rsidR="000369FD" w:rsidRPr="00DA33D1">
        <w:t>,</w:t>
      </w:r>
      <w:r w:rsidR="000369FD" w:rsidRPr="00FB6672">
        <w:t xml:space="preserve"> </w:t>
      </w:r>
      <w:r w:rsidR="000369FD" w:rsidRPr="00DA33D1">
        <w:t xml:space="preserve">Photini </w:t>
      </w:r>
      <w:proofErr w:type="spellStart"/>
      <w:r w:rsidR="000369FD" w:rsidRPr="00DA33D1">
        <w:t>Pazartzis</w:t>
      </w:r>
      <w:proofErr w:type="spellEnd"/>
      <w:r w:rsidR="000369FD">
        <w:t>,</w:t>
      </w:r>
      <w:r w:rsidR="000369FD" w:rsidRPr="00DA33D1">
        <w:t xml:space="preserve"> </w:t>
      </w:r>
      <w:proofErr w:type="spellStart"/>
      <w:r w:rsidR="000369FD" w:rsidRPr="00DA33D1">
        <w:t>Hernán</w:t>
      </w:r>
      <w:proofErr w:type="spellEnd"/>
      <w:r w:rsidR="000369FD" w:rsidRPr="00DA33D1">
        <w:t xml:space="preserve"> Qu</w:t>
      </w:r>
      <w:r w:rsidR="000369FD">
        <w:t xml:space="preserve">ezada Cabrera, </w:t>
      </w:r>
      <w:proofErr w:type="spellStart"/>
      <w:r w:rsidR="000369FD">
        <w:t>Vasilka</w:t>
      </w:r>
      <w:proofErr w:type="spellEnd"/>
      <w:r w:rsidR="000369FD">
        <w:t xml:space="preserve"> </w:t>
      </w:r>
      <w:proofErr w:type="spellStart"/>
      <w:r w:rsidR="000369FD">
        <w:t>Sancin</w:t>
      </w:r>
      <w:proofErr w:type="spellEnd"/>
      <w:r w:rsidR="000369FD">
        <w:t xml:space="preserve">, </w:t>
      </w:r>
      <w:r w:rsidR="000369FD" w:rsidRPr="00DA33D1">
        <w:t xml:space="preserve">José Manuel Santos </w:t>
      </w:r>
      <w:proofErr w:type="spellStart"/>
      <w:r w:rsidR="000369FD" w:rsidRPr="00DA33D1">
        <w:t>Pais</w:t>
      </w:r>
      <w:proofErr w:type="spellEnd"/>
      <w:r w:rsidR="000369FD" w:rsidRPr="00DA33D1">
        <w:t xml:space="preserve">, Yuval </w:t>
      </w:r>
      <w:proofErr w:type="spellStart"/>
      <w:r w:rsidR="000369FD" w:rsidRPr="00DA33D1">
        <w:t>Shany</w:t>
      </w:r>
      <w:proofErr w:type="spellEnd"/>
      <w:r w:rsidR="000369FD" w:rsidRPr="00DA33D1">
        <w:t xml:space="preserve">, Hélène </w:t>
      </w:r>
      <w:proofErr w:type="spellStart"/>
      <w:r w:rsidR="000369FD" w:rsidRPr="00DA33D1">
        <w:t>Tigroudja</w:t>
      </w:r>
      <w:proofErr w:type="spellEnd"/>
      <w:r w:rsidR="000369FD" w:rsidRPr="00DA33D1">
        <w:t xml:space="preserve">, </w:t>
      </w:r>
      <w:r w:rsidR="000369FD">
        <w:t xml:space="preserve">and Gentian </w:t>
      </w:r>
      <w:proofErr w:type="spellStart"/>
      <w:r w:rsidR="000369FD">
        <w:t>Zyberi.</w:t>
      </w:r>
      <w:r w:rsidR="000369FD" w:rsidRPr="00DE7287">
        <w:t>Pursuant</w:t>
      </w:r>
      <w:proofErr w:type="spellEnd"/>
      <w:r w:rsidR="000369FD" w:rsidRPr="00DE7287">
        <w:t xml:space="preserve"> to rule </w:t>
      </w:r>
      <w:r w:rsidR="000369FD">
        <w:t>108</w:t>
      </w:r>
      <w:r w:rsidR="000369FD" w:rsidRPr="00DE7287">
        <w:t xml:space="preserve"> (1) (a) of the Committee’s rules of procedure, </w:t>
      </w:r>
      <w:r w:rsidR="000369FD">
        <w:t xml:space="preserve">Andreas </w:t>
      </w:r>
      <w:proofErr w:type="gramStart"/>
      <w:r w:rsidR="000369FD">
        <w:t>Zimmermann  and</w:t>
      </w:r>
      <w:proofErr w:type="gramEnd"/>
      <w:r w:rsidR="000369FD">
        <w:t xml:space="preserve"> </w:t>
      </w:r>
      <w:r w:rsidR="000369FD" w:rsidRPr="00E97AE9">
        <w:t>David</w:t>
      </w:r>
      <w:r w:rsidR="000369FD">
        <w:t xml:space="preserve"> </w:t>
      </w:r>
      <w:r w:rsidR="000369FD" w:rsidRPr="00E97AE9">
        <w:t>Moore</w:t>
      </w:r>
      <w:r w:rsidR="000369FD" w:rsidRPr="00DE7287">
        <w:t xml:space="preserve"> did not participate in the examination of the communication</w:t>
      </w:r>
      <w:r w:rsidR="00D65574">
        <w:t>.</w:t>
      </w:r>
    </w:p>
  </w:footnote>
  <w:footnote w:id="4">
    <w:p w14:paraId="3AC67396" w14:textId="77777777" w:rsidR="003C6683" w:rsidRPr="006B24DF" w:rsidRDefault="00AD05D1" w:rsidP="00AD05D1">
      <w:pPr>
        <w:pStyle w:val="FootnoteText"/>
        <w:rPr>
          <w:lang w:val="en-US"/>
        </w:rPr>
      </w:pPr>
      <w:r>
        <w:tab/>
      </w:r>
      <w:r w:rsidR="003C6683" w:rsidRPr="006B24DF">
        <w:rPr>
          <w:rStyle w:val="FootnoteReference"/>
        </w:rPr>
        <w:footnoteRef/>
      </w:r>
      <w:r>
        <w:tab/>
      </w:r>
      <w:r w:rsidR="003C6683" w:rsidRPr="006B24DF">
        <w:rPr>
          <w:lang w:val="en-US"/>
        </w:rPr>
        <w:t xml:space="preserve">The authors </w:t>
      </w:r>
      <w:r w:rsidR="003C6683">
        <w:rPr>
          <w:lang w:val="en-US"/>
        </w:rPr>
        <w:t xml:space="preserve">refer to the Committee’s jurisprudence in </w:t>
      </w:r>
      <w:r w:rsidR="003C6683" w:rsidRPr="006B24DF">
        <w:rPr>
          <w:i/>
          <w:lang w:val="en-US"/>
        </w:rPr>
        <w:t>Howard v. Canada</w:t>
      </w:r>
      <w:r w:rsidR="001D78DC">
        <w:rPr>
          <w:lang w:val="en-US"/>
        </w:rPr>
        <w:t>, communication No. </w:t>
      </w:r>
      <w:r w:rsidR="003C6683" w:rsidRPr="006B24DF">
        <w:rPr>
          <w:lang w:val="en-US"/>
        </w:rPr>
        <w:t xml:space="preserve">879/1999, para. 8.3. and </w:t>
      </w:r>
      <w:r w:rsidR="003C6683" w:rsidRPr="006B24DF">
        <w:rPr>
          <w:i/>
          <w:lang w:val="en-US"/>
        </w:rPr>
        <w:t>Lubicon Lake Band v. Canada</w:t>
      </w:r>
      <w:r w:rsidR="003C6683" w:rsidRPr="006B24DF">
        <w:rPr>
          <w:lang w:val="en-US"/>
        </w:rPr>
        <w:t>, communication No. 167/1984, paras. 2.2,</w:t>
      </w:r>
      <w:r w:rsidR="003C6683">
        <w:rPr>
          <w:lang w:val="en-US"/>
        </w:rPr>
        <w:t xml:space="preserve"> 29.1, 31.1 and 32.</w:t>
      </w:r>
      <w:r w:rsidR="001D78DC">
        <w:rPr>
          <w:lang w:val="en-US"/>
        </w:rPr>
        <w:t xml:space="preserve"> </w:t>
      </w:r>
      <w:r w:rsidR="003C6683">
        <w:rPr>
          <w:lang w:val="en-US"/>
        </w:rPr>
        <w:t>[</w:t>
      </w:r>
      <w:r w:rsidR="003C6683" w:rsidRPr="001D78DC">
        <w:rPr>
          <w:lang w:val="en-US"/>
        </w:rPr>
        <w:t>Note of the Secretariat</w:t>
      </w:r>
      <w:r w:rsidR="003C6683">
        <w:rPr>
          <w:lang w:val="en-US"/>
        </w:rPr>
        <w:t xml:space="preserve">: The communication does not provide authorization of the 17,500 Jehovah’s </w:t>
      </w:r>
      <w:r w:rsidR="003C6683" w:rsidRPr="004620F6">
        <w:rPr>
          <w:lang w:val="en-US"/>
        </w:rPr>
        <w:t>Witnesses. Nor the authors explain the reasons why they can represent these persons.</w:t>
      </w:r>
      <w:r w:rsidR="003C6683">
        <w:rPr>
          <w:lang w:val="en-US"/>
        </w:rPr>
        <w:t xml:space="preserve">] </w:t>
      </w:r>
    </w:p>
  </w:footnote>
  <w:footnote w:id="5">
    <w:p w14:paraId="6A4D1735" w14:textId="77777777" w:rsidR="005E32B9" w:rsidRPr="00AD05D1" w:rsidRDefault="00AD05D1" w:rsidP="00AD05D1">
      <w:pPr>
        <w:pStyle w:val="FootnoteText"/>
      </w:pPr>
      <w:r>
        <w:tab/>
      </w:r>
      <w:r w:rsidR="005E32B9" w:rsidRPr="00AD05D1">
        <w:rPr>
          <w:rStyle w:val="FootnoteReference"/>
        </w:rPr>
        <w:footnoteRef/>
      </w:r>
      <w:r>
        <w:tab/>
      </w:r>
      <w:r w:rsidR="005E32B9" w:rsidRPr="00AD05D1">
        <w:t xml:space="preserve">Cf. The European Court of Human Rights, </w:t>
      </w:r>
      <w:proofErr w:type="spellStart"/>
      <w:r w:rsidR="005E32B9" w:rsidRPr="00AD05D1">
        <w:t>Kuznetsov</w:t>
      </w:r>
      <w:proofErr w:type="spellEnd"/>
      <w:r w:rsidR="005E32B9" w:rsidRPr="00AD05D1">
        <w:t xml:space="preserve"> and Others v. Russia, no. 184/02, January 2011, para. 57.</w:t>
      </w:r>
    </w:p>
  </w:footnote>
  <w:footnote w:id="6">
    <w:p w14:paraId="2A8044AA" w14:textId="77777777" w:rsidR="005E32B9" w:rsidRPr="00AD05D1" w:rsidRDefault="00AD05D1" w:rsidP="00AD05D1">
      <w:pPr>
        <w:pStyle w:val="FootnoteText"/>
      </w:pPr>
      <w:r>
        <w:tab/>
      </w:r>
      <w:r w:rsidR="005E32B9" w:rsidRPr="00AD05D1">
        <w:rPr>
          <w:rStyle w:val="FootnoteReference"/>
        </w:rPr>
        <w:footnoteRef/>
      </w:r>
      <w:r w:rsidR="005E32B9" w:rsidRPr="00AD05D1">
        <w:t xml:space="preserve"> </w:t>
      </w:r>
      <w:r>
        <w:tab/>
      </w:r>
      <w:r w:rsidR="005E32B9" w:rsidRPr="00AD05D1">
        <w:t xml:space="preserve">The authors refer to General Comment No. 22, para. 3 and </w:t>
      </w:r>
      <w:proofErr w:type="spellStart"/>
      <w:r w:rsidR="005E32B9" w:rsidRPr="00AD05D1">
        <w:t>Atasoy</w:t>
      </w:r>
      <w:proofErr w:type="spellEnd"/>
      <w:r w:rsidR="005E32B9" w:rsidRPr="00AD05D1">
        <w:t xml:space="preserve"> </w:t>
      </w:r>
      <w:proofErr w:type="spellStart"/>
      <w:r w:rsidR="005E32B9" w:rsidRPr="00AD05D1">
        <w:t>v.Turkey</w:t>
      </w:r>
      <w:proofErr w:type="spellEnd"/>
      <w:r w:rsidR="005E32B9" w:rsidRPr="00AD05D1">
        <w:t xml:space="preserve">, communication No. 1853/2008 and 1854/2008, views adopted on 29 March 2012, para. 10.4. </w:t>
      </w:r>
    </w:p>
  </w:footnote>
  <w:footnote w:id="7">
    <w:p w14:paraId="15D703A1" w14:textId="77777777" w:rsidR="005E32B9" w:rsidRPr="00AD05D1" w:rsidRDefault="00AD05D1" w:rsidP="00AD05D1">
      <w:pPr>
        <w:pStyle w:val="FootnoteText"/>
      </w:pPr>
      <w:r>
        <w:tab/>
      </w:r>
      <w:r w:rsidR="005E32B9" w:rsidRPr="00AD05D1">
        <w:rPr>
          <w:rStyle w:val="FootnoteReference"/>
        </w:rPr>
        <w:footnoteRef/>
      </w:r>
      <w:r>
        <w:tab/>
      </w:r>
      <w:r w:rsidR="005E32B9" w:rsidRPr="00AD05D1">
        <w:t>Cf. Leven v. Kazakhstan, communication No. 2131/2012, views adopted on 5 January 2015, para. 9.3.</w:t>
      </w:r>
    </w:p>
  </w:footnote>
  <w:footnote w:id="8">
    <w:p w14:paraId="74B2F11B" w14:textId="77777777" w:rsidR="005E32B9" w:rsidRPr="00AD05D1" w:rsidRDefault="00AD05D1" w:rsidP="00AD05D1">
      <w:pPr>
        <w:pStyle w:val="FootnoteText"/>
      </w:pPr>
      <w:r>
        <w:tab/>
      </w:r>
      <w:r w:rsidR="005E32B9" w:rsidRPr="00AD05D1">
        <w:rPr>
          <w:rStyle w:val="FootnoteReference"/>
        </w:rPr>
        <w:footnoteRef/>
      </w:r>
      <w:r>
        <w:tab/>
      </w:r>
      <w:r w:rsidR="005E32B9" w:rsidRPr="00AD05D1">
        <w:t xml:space="preserve">Cf. </w:t>
      </w:r>
      <w:proofErr w:type="spellStart"/>
      <w:r w:rsidR="005E32B9" w:rsidRPr="00AD05D1">
        <w:t>Malakhovsky</w:t>
      </w:r>
      <w:proofErr w:type="spellEnd"/>
      <w:r w:rsidR="005E32B9" w:rsidRPr="00AD05D1">
        <w:t xml:space="preserve"> et al. v. Belarus, communication No. 1207/2003, para. 7.6, and Leven v. Kazakhstan, communication No. 2131/2012, para. 9.3.</w:t>
      </w:r>
    </w:p>
  </w:footnote>
  <w:footnote w:id="9">
    <w:p w14:paraId="0FD88CCD" w14:textId="77777777" w:rsidR="005E32B9" w:rsidRPr="00AD05D1" w:rsidRDefault="00AD05D1" w:rsidP="00AD05D1">
      <w:pPr>
        <w:pStyle w:val="FootnoteText"/>
      </w:pPr>
      <w:r>
        <w:tab/>
      </w:r>
      <w:r w:rsidR="005E32B9" w:rsidRPr="00AD05D1">
        <w:rPr>
          <w:rStyle w:val="FootnoteReference"/>
        </w:rPr>
        <w:footnoteRef/>
      </w:r>
      <w:r w:rsidRPr="008525FF">
        <w:tab/>
      </w:r>
      <w:r w:rsidR="005E32B9" w:rsidRPr="008525FF">
        <w:t xml:space="preserve">Cf. </w:t>
      </w:r>
      <w:proofErr w:type="spellStart"/>
      <w:r w:rsidR="005E32B9" w:rsidRPr="008525FF">
        <w:t>Turchenyak</w:t>
      </w:r>
      <w:proofErr w:type="spellEnd"/>
      <w:r w:rsidR="005E32B9" w:rsidRPr="008525FF">
        <w:t xml:space="preserve"> et al. v. Belarus, communication No. 1948/2010, paras. </w:t>
      </w:r>
      <w:r w:rsidR="005E32B9" w:rsidRPr="00AD05D1">
        <w:t>7.7 and 7.8.</w:t>
      </w:r>
    </w:p>
  </w:footnote>
  <w:footnote w:id="10">
    <w:p w14:paraId="019E4ED9" w14:textId="77777777" w:rsidR="005E32B9" w:rsidRDefault="00AD05D1" w:rsidP="00AD05D1">
      <w:pPr>
        <w:pStyle w:val="FootnoteText"/>
      </w:pPr>
      <w:r>
        <w:tab/>
      </w:r>
      <w:r w:rsidR="005E32B9">
        <w:rPr>
          <w:rStyle w:val="FootnoteReference"/>
        </w:rPr>
        <w:footnoteRef/>
      </w:r>
      <w:r>
        <w:tab/>
      </w:r>
      <w:r w:rsidR="005E32B9">
        <w:t xml:space="preserve">The State party refers to </w:t>
      </w:r>
      <w:r w:rsidR="005E32B9" w:rsidRPr="00240AAA">
        <w:t>General Comment No. 31</w:t>
      </w:r>
      <w:r w:rsidR="005E32B9">
        <w:t>, para.9</w:t>
      </w:r>
      <w:r w:rsidR="005E32B9" w:rsidRPr="00240AAA">
        <w:t xml:space="preserve"> and relevant jurisprudence of the Committee</w:t>
      </w:r>
      <w:r w:rsidR="005E32B9">
        <w:t>:</w:t>
      </w:r>
      <w:r w:rsidR="005E32B9" w:rsidRPr="00240AAA">
        <w:t xml:space="preserve"> (communication</w:t>
      </w:r>
      <w:r w:rsidR="005E32B9">
        <w:t>s</w:t>
      </w:r>
      <w:r w:rsidR="005E32B9" w:rsidRPr="00240AAA">
        <w:t xml:space="preserve"> </w:t>
      </w:r>
      <w:r w:rsidR="005E32B9" w:rsidRPr="00AD05D1">
        <w:t>Howard</w:t>
      </w:r>
      <w:r w:rsidR="005E32B9" w:rsidRPr="00ED7D06">
        <w:rPr>
          <w:i/>
        </w:rPr>
        <w:t xml:space="preserve"> v. Canada</w:t>
      </w:r>
      <w:r w:rsidR="005E32B9">
        <w:t>, (CCPR/C/84/D/879/1999)</w:t>
      </w:r>
      <w:r w:rsidR="005E32B9" w:rsidRPr="00240AAA">
        <w:t>, p</w:t>
      </w:r>
      <w:r w:rsidR="005E32B9">
        <w:t>ara.</w:t>
      </w:r>
      <w:r w:rsidR="005E32B9" w:rsidRPr="00240AAA">
        <w:t xml:space="preserve"> 8.3</w:t>
      </w:r>
      <w:r w:rsidR="005E32B9">
        <w:t xml:space="preserve">. </w:t>
      </w:r>
      <w:r w:rsidR="005E32B9" w:rsidRPr="00ED7D06">
        <w:t xml:space="preserve">The Committee noted regarding the inadmissibility, that the communication could be understood to have been brought on behalf of </w:t>
      </w:r>
      <w:r w:rsidR="005E32B9" w:rsidRPr="00AD05D1">
        <w:t>other</w:t>
      </w:r>
      <w:r w:rsidR="005E32B9" w:rsidRPr="00ED7D06">
        <w:t xml:space="preserve"> individuals or groups of individuals; however, the author had provided neither authorization by such persons nor any arguments to the effect that he would be in the position to represent before the Committee other persons without their authorization.</w:t>
      </w:r>
      <w:r w:rsidR="005E32B9">
        <w:t xml:space="preserve"> </w:t>
      </w:r>
      <w:r w:rsidR="005E32B9" w:rsidRPr="00D33D76">
        <w:t>The Committee found the communication inadmissible under article 1 of the Optional Protocol, to the extent it could be understood to have been submitted on behalf of persons other than the author personally.</w:t>
      </w:r>
      <w:r w:rsidR="005E32B9">
        <w:t xml:space="preserve"> See also</w:t>
      </w:r>
      <w:r w:rsidR="005E32B9" w:rsidRPr="00240AAA">
        <w:t xml:space="preserve"> communication No. 167/1984, Views adopted on 26 March 1990, p</w:t>
      </w:r>
      <w:r w:rsidR="005E32B9">
        <w:t>ara.</w:t>
      </w:r>
      <w:r w:rsidR="005E32B9" w:rsidRPr="00240AAA">
        <w:t xml:space="preserve"> 32.1</w:t>
      </w:r>
      <w:r w:rsidR="005E32B9">
        <w:t>.</w:t>
      </w:r>
    </w:p>
  </w:footnote>
  <w:footnote w:id="11">
    <w:p w14:paraId="31437B0D" w14:textId="77777777" w:rsidR="005E32B9" w:rsidRPr="00AD05D1" w:rsidRDefault="00AD05D1" w:rsidP="00AD05D1">
      <w:pPr>
        <w:pStyle w:val="FootnoteText"/>
      </w:pPr>
      <w:r>
        <w:tab/>
      </w:r>
      <w:r w:rsidR="005E32B9" w:rsidRPr="00AD05D1">
        <w:rPr>
          <w:rStyle w:val="FootnoteReference"/>
        </w:rPr>
        <w:footnoteRef/>
      </w:r>
      <w:r>
        <w:tab/>
      </w:r>
      <w:r w:rsidR="005E32B9" w:rsidRPr="00AD05D1">
        <w:t>For example, the Committee declared inadmissible communication No. 220/1987 dated 8 November 1989 (37th session) T. K. v. France, holding that “[m]ere doubts on the part of the applicant regarding the effectiveness of a particular remedy will not absolve him or her from the obligation to try it.”</w:t>
      </w:r>
    </w:p>
  </w:footnote>
  <w:footnote w:id="12">
    <w:p w14:paraId="67305980" w14:textId="77777777" w:rsidR="005E32B9" w:rsidRPr="00AD05D1" w:rsidRDefault="00AD05D1" w:rsidP="00AD05D1">
      <w:pPr>
        <w:pStyle w:val="FootnoteText"/>
      </w:pPr>
      <w:r>
        <w:tab/>
      </w:r>
      <w:r w:rsidR="005E32B9" w:rsidRPr="00AD05D1">
        <w:rPr>
          <w:rStyle w:val="FootnoteReference"/>
        </w:rPr>
        <w:footnoteRef/>
      </w:r>
      <w:r>
        <w:tab/>
      </w:r>
      <w:r w:rsidR="005E32B9" w:rsidRPr="00AD05D1">
        <w:t xml:space="preserve">The State party, however, submitted its observations on the merits dated 28 April 2016 by a Note verbal of 2 May 2016. </w:t>
      </w:r>
    </w:p>
  </w:footnote>
  <w:footnote w:id="13">
    <w:p w14:paraId="44E6732E" w14:textId="77777777" w:rsidR="005E32B9" w:rsidRPr="00AD05D1" w:rsidRDefault="00AD05D1" w:rsidP="00AD05D1">
      <w:pPr>
        <w:pStyle w:val="FootnoteText"/>
      </w:pPr>
      <w:r>
        <w:tab/>
      </w:r>
      <w:r w:rsidR="005E32B9" w:rsidRPr="00AD05D1">
        <w:rPr>
          <w:rStyle w:val="FootnoteReference"/>
        </w:rPr>
        <w:footnoteRef/>
      </w:r>
      <w:r>
        <w:tab/>
      </w:r>
      <w:r w:rsidR="005E32B9" w:rsidRPr="00AD05D1">
        <w:t xml:space="preserve">Communication No. 836/1998, </w:t>
      </w:r>
      <w:proofErr w:type="spellStart"/>
      <w:r w:rsidR="005E32B9" w:rsidRPr="00AD05D1">
        <w:t>Gelazauskas</w:t>
      </w:r>
      <w:proofErr w:type="spellEnd"/>
      <w:r w:rsidR="005E32B9" w:rsidRPr="00AD05D1">
        <w:t xml:space="preserve"> v. Lithuania, Views adopted on 17 March 2003, para. 7.2; communication No. 1100/2002, </w:t>
      </w:r>
      <w:proofErr w:type="spellStart"/>
      <w:r w:rsidR="005E32B9" w:rsidRPr="00AD05D1">
        <w:t>Bandajevsky</w:t>
      </w:r>
      <w:proofErr w:type="spellEnd"/>
      <w:r w:rsidR="005E32B9" w:rsidRPr="00AD05D1">
        <w:t xml:space="preserve"> v. Belarus, Views adopted 28 March 2006, para. 10.13; and communications Nos. 623-627/1995, </w:t>
      </w:r>
      <w:proofErr w:type="spellStart"/>
      <w:r w:rsidR="005E32B9" w:rsidRPr="00AD05D1">
        <w:t>Domukovsky</w:t>
      </w:r>
      <w:proofErr w:type="spellEnd"/>
      <w:r w:rsidR="005E32B9" w:rsidRPr="00AD05D1">
        <w:t xml:space="preserve"> et al. v. Georgia, Views adopted on 6 April 1998, para. 18.11.</w:t>
      </w:r>
    </w:p>
  </w:footnote>
  <w:footnote w:id="14">
    <w:p w14:paraId="57DD8E9D" w14:textId="77777777" w:rsidR="005E32B9" w:rsidRPr="00AD05D1" w:rsidRDefault="00AD05D1" w:rsidP="00AD05D1">
      <w:pPr>
        <w:pStyle w:val="FootnoteText"/>
      </w:pPr>
      <w:r>
        <w:tab/>
      </w:r>
      <w:r w:rsidR="005E32B9" w:rsidRPr="00AD05D1">
        <w:rPr>
          <w:rStyle w:val="FootnoteReference"/>
        </w:rPr>
        <w:footnoteRef/>
      </w:r>
      <w:r>
        <w:tab/>
      </w:r>
      <w:r w:rsidR="005E32B9" w:rsidRPr="00AD05D1">
        <w:t>General Comment No.22, para. 7. Cf. General Comment No. 11, para. 2: these required prohibitions are fully compatible with the right of freedom of expression as contained in article 19, the exercise of which carries with it special duties and responsibilities. Moreover, the Committee noted that for Article 20 of the Covenant to become fully effective there ought to be a law making it clear that propaganda and advocacy as described therein are contrary to public policy and providing for an appropriate sanction in case of violation.</w:t>
      </w:r>
    </w:p>
  </w:footnote>
  <w:footnote w:id="15">
    <w:p w14:paraId="69B5143E" w14:textId="77777777" w:rsidR="005E32B9" w:rsidRPr="00AD05D1" w:rsidRDefault="00AD05D1" w:rsidP="00AD05D1">
      <w:pPr>
        <w:pStyle w:val="FootnoteText"/>
      </w:pPr>
      <w:r>
        <w:tab/>
      </w:r>
      <w:r w:rsidR="005E32B9" w:rsidRPr="00AD05D1">
        <w:rPr>
          <w:rStyle w:val="FootnoteReference"/>
        </w:rPr>
        <w:footnoteRef/>
      </w:r>
      <w:r>
        <w:tab/>
      </w:r>
      <w:r w:rsidR="005E32B9" w:rsidRPr="00AD05D1">
        <w:t xml:space="preserve">Professor Heiner </w:t>
      </w:r>
      <w:proofErr w:type="spellStart"/>
      <w:r w:rsidR="005E32B9" w:rsidRPr="00AD05D1">
        <w:t>Bielefeldt</w:t>
      </w:r>
      <w:proofErr w:type="spellEnd"/>
      <w:r w:rsidR="005E32B9" w:rsidRPr="00AD05D1">
        <w:t xml:space="preserve"> (document UN A/HRC/28/66/Add.3 dated 27 January 2015).</w:t>
      </w:r>
    </w:p>
  </w:footnote>
  <w:footnote w:id="16">
    <w:p w14:paraId="62D68E59" w14:textId="77777777" w:rsidR="005E32B9" w:rsidRPr="00AD05D1" w:rsidRDefault="00AD05D1" w:rsidP="00AD05D1">
      <w:pPr>
        <w:pStyle w:val="FootnoteText"/>
      </w:pPr>
      <w:r>
        <w:tab/>
      </w:r>
      <w:r w:rsidR="005E32B9" w:rsidRPr="00AD05D1">
        <w:rPr>
          <w:rStyle w:val="FootnoteReference"/>
        </w:rPr>
        <w:footnoteRef/>
      </w:r>
      <w:r>
        <w:tab/>
      </w:r>
      <w:r w:rsidR="005E32B9" w:rsidRPr="00AD05D1">
        <w:t>Adopted by the Parliament of the Republic of Kazakhstan on 26 November 2008 and submitted for signature to the President of the Republic of Kazakhstan on 2 December 2008.</w:t>
      </w:r>
    </w:p>
  </w:footnote>
  <w:footnote w:id="17">
    <w:p w14:paraId="5C1FE7E3" w14:textId="77777777" w:rsidR="005E32B9" w:rsidRPr="00AD05D1" w:rsidRDefault="00AD05D1" w:rsidP="00AD05D1">
      <w:pPr>
        <w:pStyle w:val="FootnoteText"/>
      </w:pPr>
      <w:r>
        <w:tab/>
      </w:r>
      <w:r w:rsidR="005E32B9" w:rsidRPr="00AD05D1">
        <w:rPr>
          <w:rStyle w:val="FootnoteReference"/>
        </w:rPr>
        <w:footnoteRef/>
      </w:r>
      <w:r>
        <w:tab/>
      </w:r>
      <w:r w:rsidR="005E32B9" w:rsidRPr="00AD05D1">
        <w:t>As described and explained in the initial communication.</w:t>
      </w:r>
    </w:p>
  </w:footnote>
  <w:footnote w:id="18">
    <w:p w14:paraId="1A9988C5" w14:textId="58DF7F74" w:rsidR="001868DA" w:rsidRDefault="002541C5" w:rsidP="001868DA">
      <w:pPr>
        <w:pStyle w:val="FootnoteText"/>
      </w:pPr>
      <w:r>
        <w:tab/>
      </w:r>
      <w:r w:rsidR="001868DA">
        <w:rPr>
          <w:rStyle w:val="FootnoteReference"/>
        </w:rPr>
        <w:footnoteRef/>
      </w:r>
      <w:r w:rsidR="001868DA">
        <w:t xml:space="preserve"> </w:t>
      </w:r>
      <w:r>
        <w:tab/>
      </w:r>
      <w:r w:rsidR="001868DA">
        <w:t>See General Comment No. 31 on The Nature of the General Legal Obligation Imposed on States Parties to the Covenant (CCPR/C/21/Rev.1/Add.13), para.10</w:t>
      </w:r>
    </w:p>
  </w:footnote>
  <w:footnote w:id="19">
    <w:p w14:paraId="2EAFC438" w14:textId="77777777" w:rsidR="000D6180" w:rsidRPr="001D78DC" w:rsidRDefault="00AD05D1" w:rsidP="000D6180">
      <w:pPr>
        <w:pStyle w:val="FootnoteText"/>
      </w:pPr>
      <w:r>
        <w:tab/>
      </w:r>
      <w:r w:rsidR="000D6180" w:rsidRPr="00B6380E">
        <w:rPr>
          <w:rStyle w:val="FootnoteReference"/>
          <w:szCs w:val="18"/>
        </w:rPr>
        <w:footnoteRef/>
      </w:r>
      <w:r>
        <w:tab/>
      </w:r>
      <w:r w:rsidR="000D6180" w:rsidRPr="00AD05D1">
        <w:t>Communication</w:t>
      </w:r>
      <w:r w:rsidR="000D6180" w:rsidRPr="000330D1">
        <w:t xml:space="preserve"> No. 1873/2009, </w:t>
      </w:r>
      <w:r w:rsidR="000D6180" w:rsidRPr="000330D1">
        <w:rPr>
          <w:i/>
        </w:rPr>
        <w:t>Alekseev v. the Russian Federation</w:t>
      </w:r>
      <w:r w:rsidR="000D6180" w:rsidRPr="000330D1">
        <w:t>, Views adopted on 25 October 2013, at para 8.4</w:t>
      </w:r>
      <w:r w:rsidR="000D6180">
        <w:t>.</w:t>
      </w:r>
      <w:r w:rsidR="000D6180" w:rsidRPr="00B6380E">
        <w:t xml:space="preserve"> </w:t>
      </w:r>
    </w:p>
  </w:footnote>
  <w:footnote w:id="20">
    <w:p w14:paraId="280775B5" w14:textId="77777777" w:rsidR="005E32B9" w:rsidRPr="00AD05D1" w:rsidRDefault="00AD05D1" w:rsidP="00AD05D1">
      <w:pPr>
        <w:pStyle w:val="FootnoteText"/>
      </w:pPr>
      <w:r>
        <w:tab/>
      </w:r>
      <w:r w:rsidR="005E32B9" w:rsidRPr="00AD05D1">
        <w:rPr>
          <w:rStyle w:val="FootnoteReference"/>
        </w:rPr>
        <w:footnoteRef/>
      </w:r>
      <w:r w:rsidR="005E32B9" w:rsidRPr="00AD05D1">
        <w:rPr>
          <w:rStyle w:val="FootnoteReference"/>
        </w:rPr>
        <w:tab/>
      </w:r>
      <w:r w:rsidR="005E32B9" w:rsidRPr="00AD05D1">
        <w:t>See general comment No. 22, para. 4, and, for example, communication No. 721/1996,</w:t>
      </w:r>
      <w:r w:rsidR="005E32B9" w:rsidRPr="00AD05D1">
        <w:br/>
      </w:r>
      <w:proofErr w:type="spellStart"/>
      <w:r w:rsidR="005E32B9" w:rsidRPr="00AD05D1">
        <w:t>Boodoo</w:t>
      </w:r>
      <w:proofErr w:type="spellEnd"/>
      <w:r w:rsidR="005E32B9" w:rsidRPr="00AD05D1">
        <w:t xml:space="preserve"> v. Trinidad and Tobago, Views adopted on 2 April 2002, at para. 6.6. </w:t>
      </w:r>
    </w:p>
  </w:footnote>
  <w:footnote w:id="21">
    <w:p w14:paraId="413B60AB" w14:textId="77777777" w:rsidR="005E32B9" w:rsidRPr="00AD05D1" w:rsidRDefault="00AD05D1" w:rsidP="00AD05D1">
      <w:pPr>
        <w:pStyle w:val="FootnoteText"/>
      </w:pPr>
      <w:r>
        <w:tab/>
      </w:r>
      <w:r w:rsidR="005E32B9" w:rsidRPr="00AD05D1">
        <w:rPr>
          <w:rStyle w:val="FootnoteReference"/>
        </w:rPr>
        <w:footnoteRef/>
      </w:r>
      <w:r>
        <w:tab/>
      </w:r>
      <w:r w:rsidR="005E32B9" w:rsidRPr="00AD05D1">
        <w:t>See general comment No. 22, para.8.</w:t>
      </w:r>
    </w:p>
  </w:footnote>
  <w:footnote w:id="22">
    <w:p w14:paraId="1DF857A4" w14:textId="77777777" w:rsidR="005E32B9" w:rsidRPr="001C1112" w:rsidRDefault="00FE49D3" w:rsidP="00FE49D3">
      <w:pPr>
        <w:pStyle w:val="FootnoteText"/>
        <w:rPr>
          <w:lang w:val="es-ES"/>
        </w:rPr>
      </w:pPr>
      <w:r>
        <w:tab/>
      </w:r>
      <w:r w:rsidR="005E32B9" w:rsidRPr="001A26AE">
        <w:rPr>
          <w:rStyle w:val="FootnoteReference"/>
          <w:szCs w:val="18"/>
        </w:rPr>
        <w:footnoteRef/>
      </w:r>
      <w:r w:rsidR="005E32B9" w:rsidRPr="001A26AE">
        <w:tab/>
        <w:t xml:space="preserve">See </w:t>
      </w:r>
      <w:r w:rsidR="005E32B9">
        <w:t>g</w:t>
      </w:r>
      <w:r w:rsidR="005E32B9" w:rsidRPr="001A26AE">
        <w:t xml:space="preserve">eneral </w:t>
      </w:r>
      <w:r w:rsidR="005E32B9" w:rsidRPr="00FE49D3">
        <w:t>comment</w:t>
      </w:r>
      <w:r w:rsidR="005E32B9" w:rsidRPr="001A26AE">
        <w:t xml:space="preserve"> </w:t>
      </w:r>
      <w:r w:rsidR="005E32B9">
        <w:t xml:space="preserve">No. </w:t>
      </w:r>
      <w:r w:rsidR="005E32B9" w:rsidRPr="001A26AE">
        <w:t>22, para</w:t>
      </w:r>
      <w:r w:rsidR="005E32B9">
        <w:t xml:space="preserve">. </w:t>
      </w:r>
      <w:r w:rsidR="005E32B9" w:rsidRPr="001C1112">
        <w:rPr>
          <w:lang w:val="es-ES"/>
        </w:rPr>
        <w:t xml:space="preserve">8. </w:t>
      </w:r>
    </w:p>
  </w:footnote>
  <w:footnote w:id="23">
    <w:p w14:paraId="5B46E80C" w14:textId="77777777" w:rsidR="00AC03FE" w:rsidRPr="001C1112" w:rsidRDefault="00FE49D3" w:rsidP="00FE49D3">
      <w:pPr>
        <w:pStyle w:val="FootnoteText"/>
        <w:rPr>
          <w:lang w:val="es-ES"/>
        </w:rPr>
      </w:pPr>
      <w:r w:rsidRPr="001C1112">
        <w:rPr>
          <w:lang w:val="es-ES"/>
        </w:rPr>
        <w:tab/>
      </w:r>
      <w:r w:rsidR="00AC03FE">
        <w:rPr>
          <w:rStyle w:val="FootnoteReference"/>
        </w:rPr>
        <w:footnoteRef/>
      </w:r>
      <w:r w:rsidRPr="001C1112">
        <w:rPr>
          <w:lang w:val="es-ES"/>
        </w:rPr>
        <w:tab/>
      </w:r>
      <w:r w:rsidR="00AC03FE" w:rsidRPr="001C1112">
        <w:rPr>
          <w:lang w:val="es-ES"/>
        </w:rPr>
        <w:t xml:space="preserve">General </w:t>
      </w:r>
      <w:proofErr w:type="spellStart"/>
      <w:r w:rsidR="00AC03FE" w:rsidRPr="001C1112">
        <w:rPr>
          <w:lang w:val="es-ES"/>
        </w:rPr>
        <w:t>Comment</w:t>
      </w:r>
      <w:proofErr w:type="spellEnd"/>
      <w:r w:rsidR="00AC03FE" w:rsidRPr="001C1112">
        <w:rPr>
          <w:lang w:val="es-ES"/>
        </w:rPr>
        <w:t xml:space="preserve"> No. 22, para 8</w:t>
      </w:r>
      <w:r w:rsidR="001D78DC" w:rsidRPr="001C1112">
        <w:rPr>
          <w:lang w:val="es-ES"/>
        </w:rPr>
        <w:t>.</w:t>
      </w:r>
    </w:p>
  </w:footnote>
  <w:footnote w:id="24">
    <w:p w14:paraId="4A40FA69" w14:textId="77777777" w:rsidR="002144BD" w:rsidRPr="001C1112" w:rsidRDefault="00856A0A">
      <w:pPr>
        <w:pStyle w:val="FootnoteText"/>
        <w:rPr>
          <w:lang w:val="es-ES"/>
        </w:rPr>
      </w:pPr>
      <w:r>
        <w:rPr>
          <w:lang w:val="es-ES"/>
        </w:rPr>
        <w:tab/>
      </w:r>
      <w:r w:rsidR="002144BD">
        <w:rPr>
          <w:rStyle w:val="FootnoteReference"/>
        </w:rPr>
        <w:footnoteRef/>
      </w:r>
      <w:r>
        <w:rPr>
          <w:lang w:val="es-ES"/>
        </w:rPr>
        <w:tab/>
      </w:r>
      <w:r w:rsidR="002144BD" w:rsidRPr="001C1112">
        <w:rPr>
          <w:lang w:val="es-ES"/>
        </w:rPr>
        <w:t xml:space="preserve">General </w:t>
      </w:r>
      <w:proofErr w:type="spellStart"/>
      <w:r w:rsidR="002144BD" w:rsidRPr="001C1112">
        <w:rPr>
          <w:lang w:val="es-ES"/>
        </w:rPr>
        <w:t>Comment</w:t>
      </w:r>
      <w:proofErr w:type="spellEnd"/>
      <w:r w:rsidR="002144BD" w:rsidRPr="001C1112">
        <w:rPr>
          <w:lang w:val="es-ES"/>
        </w:rPr>
        <w:t xml:space="preserve"> No. 34, para 27.</w:t>
      </w:r>
    </w:p>
  </w:footnote>
  <w:footnote w:id="25">
    <w:p w14:paraId="39D3771F" w14:textId="77777777" w:rsidR="00EE3E43" w:rsidRPr="00856A0A" w:rsidRDefault="00856A0A">
      <w:pPr>
        <w:pStyle w:val="FootnoteText"/>
        <w:rPr>
          <w:lang w:val="es-ES"/>
        </w:rPr>
      </w:pPr>
      <w:r>
        <w:rPr>
          <w:lang w:val="es-ES"/>
        </w:rPr>
        <w:tab/>
      </w:r>
      <w:r w:rsidR="00EE3E43">
        <w:rPr>
          <w:rStyle w:val="FootnoteReference"/>
        </w:rPr>
        <w:footnoteRef/>
      </w:r>
      <w:r>
        <w:rPr>
          <w:lang w:val="es-ES"/>
        </w:rPr>
        <w:tab/>
      </w:r>
      <w:r w:rsidR="00EE3E43" w:rsidRPr="00856A0A">
        <w:rPr>
          <w:lang w:val="es-ES"/>
        </w:rPr>
        <w:t xml:space="preserve">General </w:t>
      </w:r>
      <w:proofErr w:type="spellStart"/>
      <w:r w:rsidR="00EE3E43" w:rsidRPr="00856A0A">
        <w:rPr>
          <w:lang w:val="es-ES"/>
        </w:rPr>
        <w:t>Comment</w:t>
      </w:r>
      <w:proofErr w:type="spellEnd"/>
      <w:r w:rsidR="00EE3E43" w:rsidRPr="00856A0A">
        <w:rPr>
          <w:lang w:val="es-ES"/>
        </w:rPr>
        <w:t xml:space="preserve"> No. 34, para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B607" w14:textId="4C08EB50" w:rsidR="005E32B9" w:rsidRPr="00111738" w:rsidRDefault="00D65574" w:rsidP="002541C5">
    <w:pPr>
      <w:pStyle w:val="Header"/>
    </w:pPr>
    <w:r w:rsidRPr="00D65574">
      <w:t>Advance unedited version</w:t>
    </w:r>
    <w:r>
      <w:t xml:space="preserve"> </w:t>
    </w:r>
    <w:r w:rsidR="005E32B9">
      <w:t>CCPR/C/1</w:t>
    </w:r>
    <w:r w:rsidR="002541C5">
      <w:t>30</w:t>
    </w:r>
    <w:r w:rsidR="005E32B9">
      <w:t>/D/2661/2015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B008" w14:textId="43139296" w:rsidR="005E32B9" w:rsidRPr="00111738" w:rsidRDefault="00D65574">
    <w:pPr>
      <w:pStyle w:val="Header"/>
      <w:jc w:val="right"/>
    </w:pPr>
    <w:r w:rsidRPr="00D65574">
      <w:t>Advance unedited version</w:t>
    </w:r>
    <w:r>
      <w:t xml:space="preserve"> </w:t>
    </w:r>
    <w:r w:rsidR="005E32B9">
      <w:t>CCPR/C/1</w:t>
    </w:r>
    <w:r w:rsidR="002541C5">
      <w:t>30</w:t>
    </w:r>
    <w:r w:rsidR="005E32B9">
      <w:t>/D/2661/2015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fr-CH"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38"/>
    <w:rsid w:val="0001266E"/>
    <w:rsid w:val="00016F84"/>
    <w:rsid w:val="00023C4D"/>
    <w:rsid w:val="000255D6"/>
    <w:rsid w:val="000272B3"/>
    <w:rsid w:val="0003338F"/>
    <w:rsid w:val="000369FD"/>
    <w:rsid w:val="00050123"/>
    <w:rsid w:val="00050F6B"/>
    <w:rsid w:val="00052D3A"/>
    <w:rsid w:val="00057E97"/>
    <w:rsid w:val="00060C3A"/>
    <w:rsid w:val="00070A25"/>
    <w:rsid w:val="00072953"/>
    <w:rsid w:val="00072C8C"/>
    <w:rsid w:val="000733B5"/>
    <w:rsid w:val="00075CE6"/>
    <w:rsid w:val="00076DEB"/>
    <w:rsid w:val="00080BDC"/>
    <w:rsid w:val="0008167F"/>
    <w:rsid w:val="00081815"/>
    <w:rsid w:val="0008376E"/>
    <w:rsid w:val="00084307"/>
    <w:rsid w:val="0008483B"/>
    <w:rsid w:val="0008652E"/>
    <w:rsid w:val="00091548"/>
    <w:rsid w:val="000931C0"/>
    <w:rsid w:val="00097C0E"/>
    <w:rsid w:val="000A78C7"/>
    <w:rsid w:val="000B175B"/>
    <w:rsid w:val="000B3865"/>
    <w:rsid w:val="000B3A0F"/>
    <w:rsid w:val="000B4434"/>
    <w:rsid w:val="000B4EF7"/>
    <w:rsid w:val="000B526D"/>
    <w:rsid w:val="000C1FAB"/>
    <w:rsid w:val="000C2C03"/>
    <w:rsid w:val="000C2D2E"/>
    <w:rsid w:val="000C40C7"/>
    <w:rsid w:val="000D04D2"/>
    <w:rsid w:val="000D0E19"/>
    <w:rsid w:val="000D2683"/>
    <w:rsid w:val="000D3EAE"/>
    <w:rsid w:val="000D6180"/>
    <w:rsid w:val="000E0415"/>
    <w:rsid w:val="000E29E3"/>
    <w:rsid w:val="000F0047"/>
    <w:rsid w:val="000F237C"/>
    <w:rsid w:val="000F3FF1"/>
    <w:rsid w:val="000F4443"/>
    <w:rsid w:val="000F6C15"/>
    <w:rsid w:val="0010010C"/>
    <w:rsid w:val="001103AA"/>
    <w:rsid w:val="00111738"/>
    <w:rsid w:val="0011490B"/>
    <w:rsid w:val="00114DF5"/>
    <w:rsid w:val="0011534B"/>
    <w:rsid w:val="00116727"/>
    <w:rsid w:val="00117B59"/>
    <w:rsid w:val="001209F0"/>
    <w:rsid w:val="00123E3A"/>
    <w:rsid w:val="00125EC6"/>
    <w:rsid w:val="0013152D"/>
    <w:rsid w:val="0013398E"/>
    <w:rsid w:val="00135A9E"/>
    <w:rsid w:val="0014341A"/>
    <w:rsid w:val="00143EB2"/>
    <w:rsid w:val="00145CB4"/>
    <w:rsid w:val="001470FD"/>
    <w:rsid w:val="001605B8"/>
    <w:rsid w:val="00161418"/>
    <w:rsid w:val="00165F3A"/>
    <w:rsid w:val="001664A0"/>
    <w:rsid w:val="00174F63"/>
    <w:rsid w:val="00174F6B"/>
    <w:rsid w:val="00176163"/>
    <w:rsid w:val="00176FA5"/>
    <w:rsid w:val="00182C57"/>
    <w:rsid w:val="001835BD"/>
    <w:rsid w:val="00183968"/>
    <w:rsid w:val="001868DA"/>
    <w:rsid w:val="00187F79"/>
    <w:rsid w:val="0019256F"/>
    <w:rsid w:val="0019282F"/>
    <w:rsid w:val="001A2ACD"/>
    <w:rsid w:val="001A46BB"/>
    <w:rsid w:val="001A5709"/>
    <w:rsid w:val="001A6686"/>
    <w:rsid w:val="001B0022"/>
    <w:rsid w:val="001B1127"/>
    <w:rsid w:val="001B4B04"/>
    <w:rsid w:val="001B6388"/>
    <w:rsid w:val="001C1112"/>
    <w:rsid w:val="001C1BBD"/>
    <w:rsid w:val="001C6663"/>
    <w:rsid w:val="001C6EE7"/>
    <w:rsid w:val="001C7895"/>
    <w:rsid w:val="001C7E84"/>
    <w:rsid w:val="001D0C8C"/>
    <w:rsid w:val="001D26DF"/>
    <w:rsid w:val="001D312D"/>
    <w:rsid w:val="001D3A03"/>
    <w:rsid w:val="001D3D2F"/>
    <w:rsid w:val="001D40F3"/>
    <w:rsid w:val="001D7802"/>
    <w:rsid w:val="001D78DC"/>
    <w:rsid w:val="001E5FA5"/>
    <w:rsid w:val="001E749F"/>
    <w:rsid w:val="001F6199"/>
    <w:rsid w:val="00202DA8"/>
    <w:rsid w:val="00203CB4"/>
    <w:rsid w:val="00210B3C"/>
    <w:rsid w:val="00211E0B"/>
    <w:rsid w:val="002144BD"/>
    <w:rsid w:val="002146FB"/>
    <w:rsid w:val="00215099"/>
    <w:rsid w:val="00227C38"/>
    <w:rsid w:val="0023210C"/>
    <w:rsid w:val="00232FF5"/>
    <w:rsid w:val="00240AAA"/>
    <w:rsid w:val="0024215B"/>
    <w:rsid w:val="002501DC"/>
    <w:rsid w:val="002513B2"/>
    <w:rsid w:val="002541C5"/>
    <w:rsid w:val="00256DB8"/>
    <w:rsid w:val="002648E4"/>
    <w:rsid w:val="0026554D"/>
    <w:rsid w:val="00265AB7"/>
    <w:rsid w:val="00267F5F"/>
    <w:rsid w:val="002763DA"/>
    <w:rsid w:val="0027686B"/>
    <w:rsid w:val="00277886"/>
    <w:rsid w:val="0028370D"/>
    <w:rsid w:val="002837FE"/>
    <w:rsid w:val="00285354"/>
    <w:rsid w:val="002869E9"/>
    <w:rsid w:val="00286B4D"/>
    <w:rsid w:val="0029083F"/>
    <w:rsid w:val="00292CD2"/>
    <w:rsid w:val="002A74BF"/>
    <w:rsid w:val="002B08A3"/>
    <w:rsid w:val="002B51B0"/>
    <w:rsid w:val="002C32E8"/>
    <w:rsid w:val="002C668B"/>
    <w:rsid w:val="002D50F3"/>
    <w:rsid w:val="002D71D8"/>
    <w:rsid w:val="002E03B6"/>
    <w:rsid w:val="002E1DAC"/>
    <w:rsid w:val="002E2236"/>
    <w:rsid w:val="002E2BAB"/>
    <w:rsid w:val="002E2BD3"/>
    <w:rsid w:val="002F175C"/>
    <w:rsid w:val="002F4B5A"/>
    <w:rsid w:val="002F7C80"/>
    <w:rsid w:val="00301A9E"/>
    <w:rsid w:val="00302C74"/>
    <w:rsid w:val="00304174"/>
    <w:rsid w:val="003106F3"/>
    <w:rsid w:val="00312583"/>
    <w:rsid w:val="0031316C"/>
    <w:rsid w:val="003137CC"/>
    <w:rsid w:val="003206D0"/>
    <w:rsid w:val="00320C04"/>
    <w:rsid w:val="003224B7"/>
    <w:rsid w:val="003229D8"/>
    <w:rsid w:val="00326BC4"/>
    <w:rsid w:val="00330837"/>
    <w:rsid w:val="003318D0"/>
    <w:rsid w:val="00331FFA"/>
    <w:rsid w:val="003376DD"/>
    <w:rsid w:val="00342A7D"/>
    <w:rsid w:val="00342D95"/>
    <w:rsid w:val="00345230"/>
    <w:rsid w:val="00347961"/>
    <w:rsid w:val="003520CB"/>
    <w:rsid w:val="00352709"/>
    <w:rsid w:val="00352922"/>
    <w:rsid w:val="00357B25"/>
    <w:rsid w:val="00357F11"/>
    <w:rsid w:val="00365C6D"/>
    <w:rsid w:val="00367567"/>
    <w:rsid w:val="00367CEE"/>
    <w:rsid w:val="00371178"/>
    <w:rsid w:val="0037433A"/>
    <w:rsid w:val="00377FD0"/>
    <w:rsid w:val="00381101"/>
    <w:rsid w:val="0038336C"/>
    <w:rsid w:val="003852A7"/>
    <w:rsid w:val="00385ED1"/>
    <w:rsid w:val="0038652F"/>
    <w:rsid w:val="00387215"/>
    <w:rsid w:val="00387D37"/>
    <w:rsid w:val="003A6810"/>
    <w:rsid w:val="003A7701"/>
    <w:rsid w:val="003B1FF2"/>
    <w:rsid w:val="003B629E"/>
    <w:rsid w:val="003B6CFC"/>
    <w:rsid w:val="003C1CEA"/>
    <w:rsid w:val="003C1F3F"/>
    <w:rsid w:val="003C2CC4"/>
    <w:rsid w:val="003C31C1"/>
    <w:rsid w:val="003C4FC4"/>
    <w:rsid w:val="003C6683"/>
    <w:rsid w:val="003C7092"/>
    <w:rsid w:val="003D2F66"/>
    <w:rsid w:val="003D3B2C"/>
    <w:rsid w:val="003D4B23"/>
    <w:rsid w:val="003D699B"/>
    <w:rsid w:val="003D7E9B"/>
    <w:rsid w:val="003E13EF"/>
    <w:rsid w:val="003E6F25"/>
    <w:rsid w:val="003F3DD5"/>
    <w:rsid w:val="004011EA"/>
    <w:rsid w:val="0040130C"/>
    <w:rsid w:val="00405740"/>
    <w:rsid w:val="004076CD"/>
    <w:rsid w:val="00410C89"/>
    <w:rsid w:val="00410DC0"/>
    <w:rsid w:val="00411D2D"/>
    <w:rsid w:val="00413542"/>
    <w:rsid w:val="004178DF"/>
    <w:rsid w:val="004211B5"/>
    <w:rsid w:val="00421A28"/>
    <w:rsid w:val="00421A74"/>
    <w:rsid w:val="004232F3"/>
    <w:rsid w:val="00425B99"/>
    <w:rsid w:val="00426B9B"/>
    <w:rsid w:val="00427DFC"/>
    <w:rsid w:val="004325CB"/>
    <w:rsid w:val="00436B33"/>
    <w:rsid w:val="0044205C"/>
    <w:rsid w:val="004428BD"/>
    <w:rsid w:val="00442A83"/>
    <w:rsid w:val="00442B76"/>
    <w:rsid w:val="00443988"/>
    <w:rsid w:val="00443A0D"/>
    <w:rsid w:val="00451DF0"/>
    <w:rsid w:val="0045495B"/>
    <w:rsid w:val="004562AF"/>
    <w:rsid w:val="004623CB"/>
    <w:rsid w:val="00470029"/>
    <w:rsid w:val="00474238"/>
    <w:rsid w:val="00475595"/>
    <w:rsid w:val="00477120"/>
    <w:rsid w:val="00477D25"/>
    <w:rsid w:val="0048023B"/>
    <w:rsid w:val="00480A00"/>
    <w:rsid w:val="00487488"/>
    <w:rsid w:val="004913C9"/>
    <w:rsid w:val="00495F6F"/>
    <w:rsid w:val="004A1CA6"/>
    <w:rsid w:val="004B17BC"/>
    <w:rsid w:val="004B2D9E"/>
    <w:rsid w:val="004B549C"/>
    <w:rsid w:val="004C660E"/>
    <w:rsid w:val="004D0B2E"/>
    <w:rsid w:val="004D0F6B"/>
    <w:rsid w:val="004D2415"/>
    <w:rsid w:val="004D554B"/>
    <w:rsid w:val="004D74B7"/>
    <w:rsid w:val="004E08E3"/>
    <w:rsid w:val="004E500B"/>
    <w:rsid w:val="004E6951"/>
    <w:rsid w:val="004F79E4"/>
    <w:rsid w:val="00501F2A"/>
    <w:rsid w:val="00503451"/>
    <w:rsid w:val="0050386D"/>
    <w:rsid w:val="00504604"/>
    <w:rsid w:val="00505999"/>
    <w:rsid w:val="00506285"/>
    <w:rsid w:val="0050693C"/>
    <w:rsid w:val="00507D03"/>
    <w:rsid w:val="00511BCA"/>
    <w:rsid w:val="00513FCB"/>
    <w:rsid w:val="005153C4"/>
    <w:rsid w:val="00521335"/>
    <w:rsid w:val="0052136D"/>
    <w:rsid w:val="0052482B"/>
    <w:rsid w:val="00524845"/>
    <w:rsid w:val="00527045"/>
    <w:rsid w:val="0052775E"/>
    <w:rsid w:val="00534166"/>
    <w:rsid w:val="00534CFB"/>
    <w:rsid w:val="005360A3"/>
    <w:rsid w:val="005420F2"/>
    <w:rsid w:val="005473B3"/>
    <w:rsid w:val="005501D1"/>
    <w:rsid w:val="00555271"/>
    <w:rsid w:val="005628B6"/>
    <w:rsid w:val="00564263"/>
    <w:rsid w:val="00564EDA"/>
    <w:rsid w:val="00572FB0"/>
    <w:rsid w:val="00575BE3"/>
    <w:rsid w:val="005776CD"/>
    <w:rsid w:val="0058127E"/>
    <w:rsid w:val="005848B3"/>
    <w:rsid w:val="00591E1B"/>
    <w:rsid w:val="00592173"/>
    <w:rsid w:val="00593368"/>
    <w:rsid w:val="00594DF2"/>
    <w:rsid w:val="005964CC"/>
    <w:rsid w:val="00597FF8"/>
    <w:rsid w:val="005A07FD"/>
    <w:rsid w:val="005A0E9B"/>
    <w:rsid w:val="005A29F5"/>
    <w:rsid w:val="005A2D62"/>
    <w:rsid w:val="005A4A10"/>
    <w:rsid w:val="005B1708"/>
    <w:rsid w:val="005B2125"/>
    <w:rsid w:val="005B31EB"/>
    <w:rsid w:val="005B3DB3"/>
    <w:rsid w:val="005C17B3"/>
    <w:rsid w:val="005C1A98"/>
    <w:rsid w:val="005C3077"/>
    <w:rsid w:val="005C393A"/>
    <w:rsid w:val="005C3A49"/>
    <w:rsid w:val="005C6BAE"/>
    <w:rsid w:val="005D000D"/>
    <w:rsid w:val="005D1BDE"/>
    <w:rsid w:val="005D59A8"/>
    <w:rsid w:val="005D6C78"/>
    <w:rsid w:val="005E20BC"/>
    <w:rsid w:val="005E2CDF"/>
    <w:rsid w:val="005E32B9"/>
    <w:rsid w:val="005E35B3"/>
    <w:rsid w:val="005E3A50"/>
    <w:rsid w:val="005F3E54"/>
    <w:rsid w:val="005F70D8"/>
    <w:rsid w:val="005F7717"/>
    <w:rsid w:val="005F7B75"/>
    <w:rsid w:val="005F7F96"/>
    <w:rsid w:val="006001EE"/>
    <w:rsid w:val="00605042"/>
    <w:rsid w:val="006052B4"/>
    <w:rsid w:val="00605696"/>
    <w:rsid w:val="00606B0B"/>
    <w:rsid w:val="006077C5"/>
    <w:rsid w:val="00611751"/>
    <w:rsid w:val="00611FC4"/>
    <w:rsid w:val="00612142"/>
    <w:rsid w:val="006124D0"/>
    <w:rsid w:val="006136B4"/>
    <w:rsid w:val="006164AD"/>
    <w:rsid w:val="006176FB"/>
    <w:rsid w:val="00620311"/>
    <w:rsid w:val="006252E1"/>
    <w:rsid w:val="00625B0D"/>
    <w:rsid w:val="0063059B"/>
    <w:rsid w:val="00640B26"/>
    <w:rsid w:val="00641392"/>
    <w:rsid w:val="0064424C"/>
    <w:rsid w:val="006450FD"/>
    <w:rsid w:val="00652D0A"/>
    <w:rsid w:val="00655434"/>
    <w:rsid w:val="00655928"/>
    <w:rsid w:val="0065627D"/>
    <w:rsid w:val="00662BB6"/>
    <w:rsid w:val="006668CE"/>
    <w:rsid w:val="006710D4"/>
    <w:rsid w:val="0067393A"/>
    <w:rsid w:val="006756DF"/>
    <w:rsid w:val="00677463"/>
    <w:rsid w:val="00684C21"/>
    <w:rsid w:val="006901CD"/>
    <w:rsid w:val="0069196A"/>
    <w:rsid w:val="0069225C"/>
    <w:rsid w:val="006928F6"/>
    <w:rsid w:val="0069452B"/>
    <w:rsid w:val="006947D5"/>
    <w:rsid w:val="006A08D0"/>
    <w:rsid w:val="006A1933"/>
    <w:rsid w:val="006A4A11"/>
    <w:rsid w:val="006A5866"/>
    <w:rsid w:val="006B40BD"/>
    <w:rsid w:val="006B4AEC"/>
    <w:rsid w:val="006B7527"/>
    <w:rsid w:val="006C10C3"/>
    <w:rsid w:val="006C1C8F"/>
    <w:rsid w:val="006C589E"/>
    <w:rsid w:val="006C6401"/>
    <w:rsid w:val="006D283B"/>
    <w:rsid w:val="006D2F45"/>
    <w:rsid w:val="006D37AF"/>
    <w:rsid w:val="006D51D0"/>
    <w:rsid w:val="006D5A9C"/>
    <w:rsid w:val="006E4DF9"/>
    <w:rsid w:val="006E564B"/>
    <w:rsid w:val="006E5C75"/>
    <w:rsid w:val="006E603F"/>
    <w:rsid w:val="006E7191"/>
    <w:rsid w:val="006F15B8"/>
    <w:rsid w:val="006F1F0E"/>
    <w:rsid w:val="00700491"/>
    <w:rsid w:val="00700827"/>
    <w:rsid w:val="00703577"/>
    <w:rsid w:val="007078EF"/>
    <w:rsid w:val="0071031F"/>
    <w:rsid w:val="00710D03"/>
    <w:rsid w:val="007127B2"/>
    <w:rsid w:val="00720961"/>
    <w:rsid w:val="00724F99"/>
    <w:rsid w:val="0072632A"/>
    <w:rsid w:val="00730ACE"/>
    <w:rsid w:val="007327D5"/>
    <w:rsid w:val="0073473D"/>
    <w:rsid w:val="007369FD"/>
    <w:rsid w:val="00740F0F"/>
    <w:rsid w:val="00741BB8"/>
    <w:rsid w:val="00743608"/>
    <w:rsid w:val="007450A9"/>
    <w:rsid w:val="00745B78"/>
    <w:rsid w:val="007463AD"/>
    <w:rsid w:val="00746E8C"/>
    <w:rsid w:val="007535D6"/>
    <w:rsid w:val="007629C8"/>
    <w:rsid w:val="00770D35"/>
    <w:rsid w:val="00772A9F"/>
    <w:rsid w:val="00780960"/>
    <w:rsid w:val="007818EB"/>
    <w:rsid w:val="00781BA7"/>
    <w:rsid w:val="00782439"/>
    <w:rsid w:val="007842E8"/>
    <w:rsid w:val="00787D4B"/>
    <w:rsid w:val="00794AA6"/>
    <w:rsid w:val="007950C8"/>
    <w:rsid w:val="007A4C34"/>
    <w:rsid w:val="007B026D"/>
    <w:rsid w:val="007B05CF"/>
    <w:rsid w:val="007B084F"/>
    <w:rsid w:val="007B3574"/>
    <w:rsid w:val="007B6BA5"/>
    <w:rsid w:val="007B6D11"/>
    <w:rsid w:val="007B6DCD"/>
    <w:rsid w:val="007C1EF1"/>
    <w:rsid w:val="007C3390"/>
    <w:rsid w:val="007C4758"/>
    <w:rsid w:val="007C4F4B"/>
    <w:rsid w:val="007C784F"/>
    <w:rsid w:val="007D0473"/>
    <w:rsid w:val="007D2DFE"/>
    <w:rsid w:val="007D43A1"/>
    <w:rsid w:val="007E0B2D"/>
    <w:rsid w:val="007E3F9B"/>
    <w:rsid w:val="007E4A97"/>
    <w:rsid w:val="007E7813"/>
    <w:rsid w:val="007F6611"/>
    <w:rsid w:val="008053C3"/>
    <w:rsid w:val="008105B8"/>
    <w:rsid w:val="008136E0"/>
    <w:rsid w:val="0081450D"/>
    <w:rsid w:val="00815245"/>
    <w:rsid w:val="008216A6"/>
    <w:rsid w:val="00823E15"/>
    <w:rsid w:val="008242D7"/>
    <w:rsid w:val="008257B1"/>
    <w:rsid w:val="00832EFF"/>
    <w:rsid w:val="008337A7"/>
    <w:rsid w:val="008350FA"/>
    <w:rsid w:val="00840385"/>
    <w:rsid w:val="0084333F"/>
    <w:rsid w:val="00843393"/>
    <w:rsid w:val="00843767"/>
    <w:rsid w:val="00843780"/>
    <w:rsid w:val="00847B65"/>
    <w:rsid w:val="008525FF"/>
    <w:rsid w:val="00853634"/>
    <w:rsid w:val="00853982"/>
    <w:rsid w:val="00856A0A"/>
    <w:rsid w:val="00856E16"/>
    <w:rsid w:val="00857136"/>
    <w:rsid w:val="00862359"/>
    <w:rsid w:val="00862BB9"/>
    <w:rsid w:val="0086779C"/>
    <w:rsid w:val="008679D9"/>
    <w:rsid w:val="00867A45"/>
    <w:rsid w:val="00870ED8"/>
    <w:rsid w:val="0087266A"/>
    <w:rsid w:val="0087366F"/>
    <w:rsid w:val="0087377E"/>
    <w:rsid w:val="008769D5"/>
    <w:rsid w:val="00882AF5"/>
    <w:rsid w:val="00887649"/>
    <w:rsid w:val="008904FA"/>
    <w:rsid w:val="0089435E"/>
    <w:rsid w:val="00894FD5"/>
    <w:rsid w:val="008978CB"/>
    <w:rsid w:val="008979B1"/>
    <w:rsid w:val="008A139C"/>
    <w:rsid w:val="008A1DB2"/>
    <w:rsid w:val="008A404E"/>
    <w:rsid w:val="008A44C2"/>
    <w:rsid w:val="008A4AE9"/>
    <w:rsid w:val="008A5765"/>
    <w:rsid w:val="008A6B25"/>
    <w:rsid w:val="008A6C4F"/>
    <w:rsid w:val="008A6DCC"/>
    <w:rsid w:val="008B0BD7"/>
    <w:rsid w:val="008B2335"/>
    <w:rsid w:val="008B2A93"/>
    <w:rsid w:val="008B61C1"/>
    <w:rsid w:val="008C13BB"/>
    <w:rsid w:val="008C1924"/>
    <w:rsid w:val="008C24F9"/>
    <w:rsid w:val="008C6D0B"/>
    <w:rsid w:val="008D0DAF"/>
    <w:rsid w:val="008D4CD1"/>
    <w:rsid w:val="008D7361"/>
    <w:rsid w:val="008E0678"/>
    <w:rsid w:val="008E5944"/>
    <w:rsid w:val="008F46B7"/>
    <w:rsid w:val="0090068D"/>
    <w:rsid w:val="00900A4F"/>
    <w:rsid w:val="009022CA"/>
    <w:rsid w:val="00902625"/>
    <w:rsid w:val="009027CE"/>
    <w:rsid w:val="00910CEB"/>
    <w:rsid w:val="00910F40"/>
    <w:rsid w:val="00911B3E"/>
    <w:rsid w:val="00912C08"/>
    <w:rsid w:val="00914FD8"/>
    <w:rsid w:val="009207B2"/>
    <w:rsid w:val="0092195A"/>
    <w:rsid w:val="009223CA"/>
    <w:rsid w:val="00923E91"/>
    <w:rsid w:val="00923EEA"/>
    <w:rsid w:val="0092527E"/>
    <w:rsid w:val="00930869"/>
    <w:rsid w:val="009346A3"/>
    <w:rsid w:val="009377F9"/>
    <w:rsid w:val="0094081B"/>
    <w:rsid w:val="00940F93"/>
    <w:rsid w:val="00941E56"/>
    <w:rsid w:val="00942AC0"/>
    <w:rsid w:val="009518B2"/>
    <w:rsid w:val="0095287A"/>
    <w:rsid w:val="0095347F"/>
    <w:rsid w:val="009636BE"/>
    <w:rsid w:val="009676CD"/>
    <w:rsid w:val="0097210A"/>
    <w:rsid w:val="00974A0B"/>
    <w:rsid w:val="009760F3"/>
    <w:rsid w:val="0097647A"/>
    <w:rsid w:val="009770AA"/>
    <w:rsid w:val="0098200D"/>
    <w:rsid w:val="0098284C"/>
    <w:rsid w:val="0098385D"/>
    <w:rsid w:val="009848CA"/>
    <w:rsid w:val="00984B8A"/>
    <w:rsid w:val="00985652"/>
    <w:rsid w:val="009909F5"/>
    <w:rsid w:val="009927F8"/>
    <w:rsid w:val="00995601"/>
    <w:rsid w:val="009A0479"/>
    <w:rsid w:val="009A09B0"/>
    <w:rsid w:val="009A0E8D"/>
    <w:rsid w:val="009A6442"/>
    <w:rsid w:val="009A6903"/>
    <w:rsid w:val="009A7577"/>
    <w:rsid w:val="009B1AB3"/>
    <w:rsid w:val="009B209C"/>
    <w:rsid w:val="009B26E7"/>
    <w:rsid w:val="009B33BD"/>
    <w:rsid w:val="009B43A8"/>
    <w:rsid w:val="009B4C88"/>
    <w:rsid w:val="009B4F09"/>
    <w:rsid w:val="009B7BCF"/>
    <w:rsid w:val="009C0A02"/>
    <w:rsid w:val="009C14ED"/>
    <w:rsid w:val="009C4B48"/>
    <w:rsid w:val="009C675A"/>
    <w:rsid w:val="009C7B61"/>
    <w:rsid w:val="009D3DAC"/>
    <w:rsid w:val="009D4A22"/>
    <w:rsid w:val="009D6099"/>
    <w:rsid w:val="009E1E10"/>
    <w:rsid w:val="009E5587"/>
    <w:rsid w:val="009F1F7C"/>
    <w:rsid w:val="009F4F08"/>
    <w:rsid w:val="009F6BAC"/>
    <w:rsid w:val="00A00A3F"/>
    <w:rsid w:val="00A01489"/>
    <w:rsid w:val="00A019F9"/>
    <w:rsid w:val="00A03232"/>
    <w:rsid w:val="00A03708"/>
    <w:rsid w:val="00A040D9"/>
    <w:rsid w:val="00A06434"/>
    <w:rsid w:val="00A06D7F"/>
    <w:rsid w:val="00A07404"/>
    <w:rsid w:val="00A32994"/>
    <w:rsid w:val="00A338F1"/>
    <w:rsid w:val="00A350E9"/>
    <w:rsid w:val="00A357B1"/>
    <w:rsid w:val="00A35D03"/>
    <w:rsid w:val="00A42A3C"/>
    <w:rsid w:val="00A4449F"/>
    <w:rsid w:val="00A44615"/>
    <w:rsid w:val="00A50E5A"/>
    <w:rsid w:val="00A519D7"/>
    <w:rsid w:val="00A55914"/>
    <w:rsid w:val="00A56D38"/>
    <w:rsid w:val="00A6177E"/>
    <w:rsid w:val="00A618B5"/>
    <w:rsid w:val="00A6411E"/>
    <w:rsid w:val="00A649DE"/>
    <w:rsid w:val="00A67075"/>
    <w:rsid w:val="00A70067"/>
    <w:rsid w:val="00A72F22"/>
    <w:rsid w:val="00A73523"/>
    <w:rsid w:val="00A7360F"/>
    <w:rsid w:val="00A748A6"/>
    <w:rsid w:val="00A769F4"/>
    <w:rsid w:val="00A776B4"/>
    <w:rsid w:val="00A8078B"/>
    <w:rsid w:val="00A81768"/>
    <w:rsid w:val="00A81B49"/>
    <w:rsid w:val="00A8729B"/>
    <w:rsid w:val="00A94361"/>
    <w:rsid w:val="00A94EF0"/>
    <w:rsid w:val="00A956BB"/>
    <w:rsid w:val="00AA293C"/>
    <w:rsid w:val="00AA2B43"/>
    <w:rsid w:val="00AA3F80"/>
    <w:rsid w:val="00AA55AF"/>
    <w:rsid w:val="00AA56CE"/>
    <w:rsid w:val="00AB5D7F"/>
    <w:rsid w:val="00AC03FE"/>
    <w:rsid w:val="00AC0FAC"/>
    <w:rsid w:val="00AC69C0"/>
    <w:rsid w:val="00AD0455"/>
    <w:rsid w:val="00AD05D1"/>
    <w:rsid w:val="00AD63F6"/>
    <w:rsid w:val="00AE2040"/>
    <w:rsid w:val="00AE2864"/>
    <w:rsid w:val="00AE289C"/>
    <w:rsid w:val="00AE45F9"/>
    <w:rsid w:val="00AE6238"/>
    <w:rsid w:val="00AF0967"/>
    <w:rsid w:val="00AF1E13"/>
    <w:rsid w:val="00AF2C12"/>
    <w:rsid w:val="00AF4A4C"/>
    <w:rsid w:val="00AF6127"/>
    <w:rsid w:val="00B01CF9"/>
    <w:rsid w:val="00B03C96"/>
    <w:rsid w:val="00B05099"/>
    <w:rsid w:val="00B077D5"/>
    <w:rsid w:val="00B10D8B"/>
    <w:rsid w:val="00B11AEC"/>
    <w:rsid w:val="00B130FD"/>
    <w:rsid w:val="00B13E9B"/>
    <w:rsid w:val="00B1534E"/>
    <w:rsid w:val="00B20588"/>
    <w:rsid w:val="00B22CA2"/>
    <w:rsid w:val="00B27945"/>
    <w:rsid w:val="00B30179"/>
    <w:rsid w:val="00B3057A"/>
    <w:rsid w:val="00B30F43"/>
    <w:rsid w:val="00B339A7"/>
    <w:rsid w:val="00B34008"/>
    <w:rsid w:val="00B4422B"/>
    <w:rsid w:val="00B470C0"/>
    <w:rsid w:val="00B5117F"/>
    <w:rsid w:val="00B5373D"/>
    <w:rsid w:val="00B56E4A"/>
    <w:rsid w:val="00B56E9C"/>
    <w:rsid w:val="00B6260E"/>
    <w:rsid w:val="00B64B1F"/>
    <w:rsid w:val="00B64F2E"/>
    <w:rsid w:val="00B65098"/>
    <w:rsid w:val="00B6553F"/>
    <w:rsid w:val="00B66E5E"/>
    <w:rsid w:val="00B66FA2"/>
    <w:rsid w:val="00B72642"/>
    <w:rsid w:val="00B734AD"/>
    <w:rsid w:val="00B735EF"/>
    <w:rsid w:val="00B77CC1"/>
    <w:rsid w:val="00B77D05"/>
    <w:rsid w:val="00B81206"/>
    <w:rsid w:val="00B81E12"/>
    <w:rsid w:val="00B82136"/>
    <w:rsid w:val="00B837F0"/>
    <w:rsid w:val="00B862F4"/>
    <w:rsid w:val="00B86AD2"/>
    <w:rsid w:val="00B9067B"/>
    <w:rsid w:val="00B94825"/>
    <w:rsid w:val="00BA0D7A"/>
    <w:rsid w:val="00BA1EE7"/>
    <w:rsid w:val="00BB519B"/>
    <w:rsid w:val="00BB7942"/>
    <w:rsid w:val="00BC07E4"/>
    <w:rsid w:val="00BC17E0"/>
    <w:rsid w:val="00BC2C23"/>
    <w:rsid w:val="00BC5ECE"/>
    <w:rsid w:val="00BC6B8C"/>
    <w:rsid w:val="00BC74E9"/>
    <w:rsid w:val="00BD2A5C"/>
    <w:rsid w:val="00BD5DB5"/>
    <w:rsid w:val="00BD7FF5"/>
    <w:rsid w:val="00BE3E8D"/>
    <w:rsid w:val="00BE56EE"/>
    <w:rsid w:val="00BE6E13"/>
    <w:rsid w:val="00BE7FCE"/>
    <w:rsid w:val="00BF28EA"/>
    <w:rsid w:val="00BF37EA"/>
    <w:rsid w:val="00BF4EBF"/>
    <w:rsid w:val="00BF68A8"/>
    <w:rsid w:val="00BF70A8"/>
    <w:rsid w:val="00C007CC"/>
    <w:rsid w:val="00C01CDF"/>
    <w:rsid w:val="00C04AAC"/>
    <w:rsid w:val="00C11A03"/>
    <w:rsid w:val="00C13921"/>
    <w:rsid w:val="00C13EBC"/>
    <w:rsid w:val="00C16A5D"/>
    <w:rsid w:val="00C20EBE"/>
    <w:rsid w:val="00C25719"/>
    <w:rsid w:val="00C25D5E"/>
    <w:rsid w:val="00C307DB"/>
    <w:rsid w:val="00C337F5"/>
    <w:rsid w:val="00C33D5F"/>
    <w:rsid w:val="00C33FBD"/>
    <w:rsid w:val="00C34805"/>
    <w:rsid w:val="00C35E5A"/>
    <w:rsid w:val="00C401EF"/>
    <w:rsid w:val="00C440C3"/>
    <w:rsid w:val="00C44B4F"/>
    <w:rsid w:val="00C463DD"/>
    <w:rsid w:val="00C4724C"/>
    <w:rsid w:val="00C50EFF"/>
    <w:rsid w:val="00C51D75"/>
    <w:rsid w:val="00C51F45"/>
    <w:rsid w:val="00C53F9C"/>
    <w:rsid w:val="00C540DD"/>
    <w:rsid w:val="00C55A6E"/>
    <w:rsid w:val="00C629A0"/>
    <w:rsid w:val="00C662F9"/>
    <w:rsid w:val="00C67601"/>
    <w:rsid w:val="00C72E33"/>
    <w:rsid w:val="00C745C3"/>
    <w:rsid w:val="00C75E56"/>
    <w:rsid w:val="00C77A15"/>
    <w:rsid w:val="00C80E8D"/>
    <w:rsid w:val="00C9002E"/>
    <w:rsid w:val="00C90283"/>
    <w:rsid w:val="00C91A8C"/>
    <w:rsid w:val="00C92E22"/>
    <w:rsid w:val="00C9386B"/>
    <w:rsid w:val="00C9776F"/>
    <w:rsid w:val="00CA3A1C"/>
    <w:rsid w:val="00CB0317"/>
    <w:rsid w:val="00CB0F23"/>
    <w:rsid w:val="00CB6B2A"/>
    <w:rsid w:val="00CB71EE"/>
    <w:rsid w:val="00CC3974"/>
    <w:rsid w:val="00CC3A7C"/>
    <w:rsid w:val="00CC552E"/>
    <w:rsid w:val="00CD76A7"/>
    <w:rsid w:val="00CD78E3"/>
    <w:rsid w:val="00CE4A8F"/>
    <w:rsid w:val="00CE61E0"/>
    <w:rsid w:val="00CF04D9"/>
    <w:rsid w:val="00CF3C17"/>
    <w:rsid w:val="00CF6AE5"/>
    <w:rsid w:val="00CF710E"/>
    <w:rsid w:val="00D037B7"/>
    <w:rsid w:val="00D06EA0"/>
    <w:rsid w:val="00D11F4D"/>
    <w:rsid w:val="00D17F77"/>
    <w:rsid w:val="00D2031B"/>
    <w:rsid w:val="00D2229D"/>
    <w:rsid w:val="00D24D90"/>
    <w:rsid w:val="00D25FE2"/>
    <w:rsid w:val="00D31272"/>
    <w:rsid w:val="00D319A6"/>
    <w:rsid w:val="00D336B4"/>
    <w:rsid w:val="00D33D76"/>
    <w:rsid w:val="00D33F1E"/>
    <w:rsid w:val="00D36BD4"/>
    <w:rsid w:val="00D43252"/>
    <w:rsid w:val="00D4558E"/>
    <w:rsid w:val="00D47DDF"/>
    <w:rsid w:val="00D47EEA"/>
    <w:rsid w:val="00D53C59"/>
    <w:rsid w:val="00D56EFA"/>
    <w:rsid w:val="00D57390"/>
    <w:rsid w:val="00D61E7B"/>
    <w:rsid w:val="00D65574"/>
    <w:rsid w:val="00D656BF"/>
    <w:rsid w:val="00D66675"/>
    <w:rsid w:val="00D702FB"/>
    <w:rsid w:val="00D72BC1"/>
    <w:rsid w:val="00D739D9"/>
    <w:rsid w:val="00D74A03"/>
    <w:rsid w:val="00D7627F"/>
    <w:rsid w:val="00D768FE"/>
    <w:rsid w:val="00D81802"/>
    <w:rsid w:val="00D8360F"/>
    <w:rsid w:val="00D84E0C"/>
    <w:rsid w:val="00D856E4"/>
    <w:rsid w:val="00D92639"/>
    <w:rsid w:val="00D94BA2"/>
    <w:rsid w:val="00D94CF8"/>
    <w:rsid w:val="00D95303"/>
    <w:rsid w:val="00D958F9"/>
    <w:rsid w:val="00D96344"/>
    <w:rsid w:val="00D97162"/>
    <w:rsid w:val="00D978C6"/>
    <w:rsid w:val="00DA3111"/>
    <w:rsid w:val="00DA371E"/>
    <w:rsid w:val="00DA3C1C"/>
    <w:rsid w:val="00DA4820"/>
    <w:rsid w:val="00DA49C9"/>
    <w:rsid w:val="00DA5A2D"/>
    <w:rsid w:val="00DA65A8"/>
    <w:rsid w:val="00DB0C79"/>
    <w:rsid w:val="00DB4321"/>
    <w:rsid w:val="00DB5B88"/>
    <w:rsid w:val="00DC046E"/>
    <w:rsid w:val="00DC159E"/>
    <w:rsid w:val="00DC3A23"/>
    <w:rsid w:val="00DC4981"/>
    <w:rsid w:val="00DC5E26"/>
    <w:rsid w:val="00DD1B93"/>
    <w:rsid w:val="00DD4AB2"/>
    <w:rsid w:val="00DD5C0C"/>
    <w:rsid w:val="00DE280D"/>
    <w:rsid w:val="00DF26E9"/>
    <w:rsid w:val="00DF2B5D"/>
    <w:rsid w:val="00DF6325"/>
    <w:rsid w:val="00E0691A"/>
    <w:rsid w:val="00E07FBA"/>
    <w:rsid w:val="00E1033F"/>
    <w:rsid w:val="00E105F5"/>
    <w:rsid w:val="00E136EA"/>
    <w:rsid w:val="00E15935"/>
    <w:rsid w:val="00E2024E"/>
    <w:rsid w:val="00E23E4D"/>
    <w:rsid w:val="00E24BCA"/>
    <w:rsid w:val="00E26864"/>
    <w:rsid w:val="00E27346"/>
    <w:rsid w:val="00E3106C"/>
    <w:rsid w:val="00E33AEA"/>
    <w:rsid w:val="00E361B3"/>
    <w:rsid w:val="00E373F9"/>
    <w:rsid w:val="00E42BD1"/>
    <w:rsid w:val="00E434DE"/>
    <w:rsid w:val="00E44254"/>
    <w:rsid w:val="00E444FB"/>
    <w:rsid w:val="00E5234A"/>
    <w:rsid w:val="00E6041B"/>
    <w:rsid w:val="00E60731"/>
    <w:rsid w:val="00E66692"/>
    <w:rsid w:val="00E71BC8"/>
    <w:rsid w:val="00E723EF"/>
    <w:rsid w:val="00E7260F"/>
    <w:rsid w:val="00E729D2"/>
    <w:rsid w:val="00E75717"/>
    <w:rsid w:val="00E779FC"/>
    <w:rsid w:val="00E912A5"/>
    <w:rsid w:val="00E913A5"/>
    <w:rsid w:val="00E92AE2"/>
    <w:rsid w:val="00E93DFB"/>
    <w:rsid w:val="00E94B4A"/>
    <w:rsid w:val="00E96630"/>
    <w:rsid w:val="00EA44F1"/>
    <w:rsid w:val="00EB2581"/>
    <w:rsid w:val="00EB7237"/>
    <w:rsid w:val="00EC6515"/>
    <w:rsid w:val="00ED7A2A"/>
    <w:rsid w:val="00ED7D06"/>
    <w:rsid w:val="00EE1FAB"/>
    <w:rsid w:val="00EE3E43"/>
    <w:rsid w:val="00EE4B1B"/>
    <w:rsid w:val="00EE6C12"/>
    <w:rsid w:val="00EE6C4B"/>
    <w:rsid w:val="00EF166C"/>
    <w:rsid w:val="00EF1D7F"/>
    <w:rsid w:val="00EF1E22"/>
    <w:rsid w:val="00EF2164"/>
    <w:rsid w:val="00EF2218"/>
    <w:rsid w:val="00EF3F1E"/>
    <w:rsid w:val="00F00B38"/>
    <w:rsid w:val="00F0205B"/>
    <w:rsid w:val="00F02555"/>
    <w:rsid w:val="00F07243"/>
    <w:rsid w:val="00F159CA"/>
    <w:rsid w:val="00F20C3D"/>
    <w:rsid w:val="00F24DBF"/>
    <w:rsid w:val="00F25CFB"/>
    <w:rsid w:val="00F31C87"/>
    <w:rsid w:val="00F422EC"/>
    <w:rsid w:val="00F43A05"/>
    <w:rsid w:val="00F43E9E"/>
    <w:rsid w:val="00F47971"/>
    <w:rsid w:val="00F62B14"/>
    <w:rsid w:val="00F661D3"/>
    <w:rsid w:val="00F6761F"/>
    <w:rsid w:val="00F72F40"/>
    <w:rsid w:val="00F76886"/>
    <w:rsid w:val="00F81BC0"/>
    <w:rsid w:val="00F9057C"/>
    <w:rsid w:val="00F906D7"/>
    <w:rsid w:val="00F93487"/>
    <w:rsid w:val="00F93781"/>
    <w:rsid w:val="00F97DB4"/>
    <w:rsid w:val="00FA2041"/>
    <w:rsid w:val="00FA24AF"/>
    <w:rsid w:val="00FA4E8D"/>
    <w:rsid w:val="00FA59C7"/>
    <w:rsid w:val="00FA6111"/>
    <w:rsid w:val="00FB155B"/>
    <w:rsid w:val="00FB16EE"/>
    <w:rsid w:val="00FB2DD0"/>
    <w:rsid w:val="00FB613B"/>
    <w:rsid w:val="00FB77B1"/>
    <w:rsid w:val="00FC2474"/>
    <w:rsid w:val="00FC33EC"/>
    <w:rsid w:val="00FC68B7"/>
    <w:rsid w:val="00FE0B26"/>
    <w:rsid w:val="00FE106A"/>
    <w:rsid w:val="00FE48BF"/>
    <w:rsid w:val="00FE49D3"/>
    <w:rsid w:val="00FE5FB3"/>
    <w:rsid w:val="00FE689F"/>
    <w:rsid w:val="00FF1CEF"/>
    <w:rsid w:val="00FF778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FC82D"/>
  <w15:docId w15:val="{B3AE52C0-AE1C-46B2-A61B-E7B95150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Footnote text,4_Footnote text"/>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111738"/>
    <w:rPr>
      <w:sz w:val="18"/>
      <w:lang w:val="en-GB" w:eastAsia="en-US"/>
    </w:rPr>
  </w:style>
  <w:style w:type="character" w:customStyle="1" w:styleId="SingleTxtGChar">
    <w:name w:val="_ Single Txt_G Char"/>
    <w:link w:val="SingleTxtG"/>
    <w:rsid w:val="00111738"/>
    <w:rPr>
      <w:lang w:val="en-GB" w:eastAsia="en-US"/>
    </w:rPr>
  </w:style>
  <w:style w:type="paragraph" w:styleId="ListParagraph">
    <w:name w:val="List Paragraph"/>
    <w:basedOn w:val="Normal"/>
    <w:uiPriority w:val="34"/>
    <w:qFormat/>
    <w:rsid w:val="00111738"/>
    <w:pPr>
      <w:suppressAutoHyphens w:val="0"/>
      <w:spacing w:line="240" w:lineRule="auto"/>
      <w:ind w:left="720"/>
      <w:contextualSpacing/>
    </w:pPr>
    <w:rPr>
      <w:rFonts w:ascii="Arial" w:eastAsia="Cambria" w:hAnsi="Arial"/>
      <w:sz w:val="24"/>
      <w:szCs w:val="24"/>
      <w:lang w:val="ru-RU"/>
    </w:rPr>
  </w:style>
  <w:style w:type="paragraph" w:styleId="NoSpacing">
    <w:name w:val="No Spacing"/>
    <w:uiPriority w:val="1"/>
    <w:qFormat/>
    <w:rsid w:val="00111738"/>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AF0967"/>
    <w:rPr>
      <w:sz w:val="16"/>
      <w:szCs w:val="16"/>
    </w:rPr>
  </w:style>
  <w:style w:type="paragraph" w:styleId="CommentText">
    <w:name w:val="annotation text"/>
    <w:basedOn w:val="Normal"/>
    <w:link w:val="CommentTextChar"/>
    <w:semiHidden/>
    <w:unhideWhenUsed/>
    <w:rsid w:val="00AF0967"/>
    <w:pPr>
      <w:spacing w:line="240" w:lineRule="auto"/>
    </w:pPr>
  </w:style>
  <w:style w:type="character" w:customStyle="1" w:styleId="CommentTextChar">
    <w:name w:val="Comment Text Char"/>
    <w:basedOn w:val="DefaultParagraphFont"/>
    <w:link w:val="CommentText"/>
    <w:semiHidden/>
    <w:rsid w:val="00AF0967"/>
    <w:rPr>
      <w:lang w:val="en-GB" w:eastAsia="en-US"/>
    </w:rPr>
  </w:style>
  <w:style w:type="paragraph" w:styleId="CommentSubject">
    <w:name w:val="annotation subject"/>
    <w:basedOn w:val="CommentText"/>
    <w:next w:val="CommentText"/>
    <w:link w:val="CommentSubjectChar"/>
    <w:semiHidden/>
    <w:unhideWhenUsed/>
    <w:rsid w:val="00AF0967"/>
    <w:rPr>
      <w:b/>
      <w:bCs/>
    </w:rPr>
  </w:style>
  <w:style w:type="character" w:customStyle="1" w:styleId="CommentSubjectChar">
    <w:name w:val="Comment Subject Char"/>
    <w:basedOn w:val="CommentTextChar"/>
    <w:link w:val="CommentSubject"/>
    <w:semiHidden/>
    <w:rsid w:val="00AF0967"/>
    <w:rPr>
      <w:b/>
      <w:bCs/>
      <w:lang w:val="en-GB" w:eastAsia="en-US"/>
    </w:rPr>
  </w:style>
  <w:style w:type="paragraph" w:styleId="Title">
    <w:name w:val="Title"/>
    <w:basedOn w:val="Normal"/>
    <w:next w:val="Normal"/>
    <w:link w:val="TitleChar"/>
    <w:semiHidden/>
    <w:qFormat/>
    <w:rsid w:val="00AC69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AC69C0"/>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4331">
      <w:bodyDiv w:val="1"/>
      <w:marLeft w:val="0"/>
      <w:marRight w:val="0"/>
      <w:marTop w:val="0"/>
      <w:marBottom w:val="0"/>
      <w:divBdr>
        <w:top w:val="none" w:sz="0" w:space="0" w:color="auto"/>
        <w:left w:val="none" w:sz="0" w:space="0" w:color="auto"/>
        <w:bottom w:val="none" w:sz="0" w:space="0" w:color="auto"/>
        <w:right w:val="none" w:sz="0" w:space="0" w:color="auto"/>
      </w:divBdr>
      <w:divsChild>
        <w:div w:id="1250308524">
          <w:marLeft w:val="0"/>
          <w:marRight w:val="0"/>
          <w:marTop w:val="0"/>
          <w:marBottom w:val="0"/>
          <w:divBdr>
            <w:top w:val="none" w:sz="0" w:space="0" w:color="auto"/>
            <w:left w:val="none" w:sz="0" w:space="0" w:color="auto"/>
            <w:bottom w:val="none" w:sz="0" w:space="0" w:color="auto"/>
            <w:right w:val="none" w:sz="0" w:space="0" w:color="auto"/>
          </w:divBdr>
          <w:divsChild>
            <w:div w:id="1830903720">
              <w:marLeft w:val="0"/>
              <w:marRight w:val="0"/>
              <w:marTop w:val="0"/>
              <w:marBottom w:val="0"/>
              <w:divBdr>
                <w:top w:val="none" w:sz="0" w:space="0" w:color="auto"/>
                <w:left w:val="none" w:sz="0" w:space="0" w:color="auto"/>
                <w:bottom w:val="none" w:sz="0" w:space="0" w:color="auto"/>
                <w:right w:val="none" w:sz="0" w:space="0" w:color="auto"/>
              </w:divBdr>
              <w:divsChild>
                <w:div w:id="1842431177">
                  <w:marLeft w:val="0"/>
                  <w:marRight w:val="0"/>
                  <w:marTop w:val="0"/>
                  <w:marBottom w:val="0"/>
                  <w:divBdr>
                    <w:top w:val="none" w:sz="0" w:space="0" w:color="auto"/>
                    <w:left w:val="none" w:sz="0" w:space="0" w:color="auto"/>
                    <w:bottom w:val="none" w:sz="0" w:space="0" w:color="auto"/>
                    <w:right w:val="none" w:sz="0" w:space="0" w:color="auto"/>
                  </w:divBdr>
                  <w:divsChild>
                    <w:div w:id="2000959521">
                      <w:marLeft w:val="0"/>
                      <w:marRight w:val="0"/>
                      <w:marTop w:val="0"/>
                      <w:marBottom w:val="0"/>
                      <w:divBdr>
                        <w:top w:val="none" w:sz="0" w:space="0" w:color="auto"/>
                        <w:left w:val="none" w:sz="0" w:space="0" w:color="auto"/>
                        <w:bottom w:val="none" w:sz="0" w:space="0" w:color="auto"/>
                        <w:right w:val="none" w:sz="0" w:space="0" w:color="auto"/>
                      </w:divBdr>
                      <w:divsChild>
                        <w:div w:id="714700441">
                          <w:marLeft w:val="0"/>
                          <w:marRight w:val="0"/>
                          <w:marTop w:val="0"/>
                          <w:marBottom w:val="0"/>
                          <w:divBdr>
                            <w:top w:val="none" w:sz="0" w:space="0" w:color="auto"/>
                            <w:left w:val="none" w:sz="0" w:space="0" w:color="auto"/>
                            <w:bottom w:val="none" w:sz="0" w:space="0" w:color="auto"/>
                            <w:right w:val="none" w:sz="0" w:space="0" w:color="auto"/>
                          </w:divBdr>
                          <w:divsChild>
                            <w:div w:id="1183712868">
                              <w:marLeft w:val="0"/>
                              <w:marRight w:val="0"/>
                              <w:marTop w:val="0"/>
                              <w:marBottom w:val="0"/>
                              <w:divBdr>
                                <w:top w:val="none" w:sz="0" w:space="0" w:color="auto"/>
                                <w:left w:val="none" w:sz="0" w:space="0" w:color="auto"/>
                                <w:bottom w:val="none" w:sz="0" w:space="0" w:color="auto"/>
                                <w:right w:val="none" w:sz="0" w:space="0" w:color="auto"/>
                              </w:divBdr>
                              <w:divsChild>
                                <w:div w:id="1841003794">
                                  <w:marLeft w:val="0"/>
                                  <w:marRight w:val="0"/>
                                  <w:marTop w:val="0"/>
                                  <w:marBottom w:val="0"/>
                                  <w:divBdr>
                                    <w:top w:val="none" w:sz="0" w:space="0" w:color="auto"/>
                                    <w:left w:val="none" w:sz="0" w:space="0" w:color="auto"/>
                                    <w:bottom w:val="none" w:sz="0" w:space="0" w:color="auto"/>
                                    <w:right w:val="none" w:sz="0" w:space="0" w:color="auto"/>
                                  </w:divBdr>
                                  <w:divsChild>
                                    <w:div w:id="611404691">
                                      <w:marLeft w:val="0"/>
                                      <w:marRight w:val="0"/>
                                      <w:marTop w:val="0"/>
                                      <w:marBottom w:val="0"/>
                                      <w:divBdr>
                                        <w:top w:val="none" w:sz="0" w:space="0" w:color="auto"/>
                                        <w:left w:val="none" w:sz="0" w:space="0" w:color="auto"/>
                                        <w:bottom w:val="none" w:sz="0" w:space="0" w:color="auto"/>
                                        <w:right w:val="none" w:sz="0" w:space="0" w:color="auto"/>
                                      </w:divBdr>
                                      <w:divsChild>
                                        <w:div w:id="81490719">
                                          <w:marLeft w:val="0"/>
                                          <w:marRight w:val="0"/>
                                          <w:marTop w:val="0"/>
                                          <w:marBottom w:val="495"/>
                                          <w:divBdr>
                                            <w:top w:val="none" w:sz="0" w:space="0" w:color="auto"/>
                                            <w:left w:val="none" w:sz="0" w:space="0" w:color="auto"/>
                                            <w:bottom w:val="none" w:sz="0" w:space="0" w:color="auto"/>
                                            <w:right w:val="none" w:sz="0" w:space="0" w:color="auto"/>
                                          </w:divBdr>
                                          <w:divsChild>
                                            <w:div w:id="2942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933363">
      <w:bodyDiv w:val="1"/>
      <w:marLeft w:val="0"/>
      <w:marRight w:val="0"/>
      <w:marTop w:val="0"/>
      <w:marBottom w:val="0"/>
      <w:divBdr>
        <w:top w:val="none" w:sz="0" w:space="0" w:color="auto"/>
        <w:left w:val="none" w:sz="0" w:space="0" w:color="auto"/>
        <w:bottom w:val="none" w:sz="0" w:space="0" w:color="auto"/>
        <w:right w:val="none" w:sz="0" w:space="0" w:color="auto"/>
      </w:divBdr>
    </w:div>
    <w:div w:id="7538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A4FA0-7A7A-4BFA-94BA-7FD814EE9407}">
  <ds:schemaRefs>
    <ds:schemaRef ds:uri="http://schemas.microsoft.com/sharepoint/v3/contenttype/forms"/>
  </ds:schemaRefs>
</ds:datastoreItem>
</file>

<file path=customXml/itemProps2.xml><?xml version="1.0" encoding="utf-8"?>
<ds:datastoreItem xmlns:ds="http://schemas.openxmlformats.org/officeDocument/2006/customXml" ds:itemID="{97CC7555-60F6-4CA5-8E1E-8153AF38E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35B31-862F-49B5-873A-334546DCEDC6}">
  <ds:schemaRefs>
    <ds:schemaRef ds:uri="http://schemas.openxmlformats.org/officeDocument/2006/bibliography"/>
  </ds:schemaRefs>
</ds:datastoreItem>
</file>

<file path=customXml/itemProps4.xml><?xml version="1.0" encoding="utf-8"?>
<ds:datastoreItem xmlns:ds="http://schemas.openxmlformats.org/officeDocument/2006/customXml" ds:itemID="{E43DE599-1966-45B2-AFD6-2FA3E1010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7500</Words>
  <Characters>42752</Characters>
  <Application>Microsoft Office Word</Application>
  <DocSecurity>0</DocSecurity>
  <Lines>356</Lines>
  <Paragraphs>100</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タイトル</vt:lpstr>
      </vt:variant>
      <vt:variant>
        <vt:i4>1</vt:i4>
      </vt:variant>
    </vt:vector>
  </HeadingPairs>
  <TitlesOfParts>
    <vt:vector size="4" baseType="lpstr">
      <vt:lpstr>CCPR/C/129/DR/2661/2015</vt:lpstr>
      <vt:lpstr>CCPR/C/129/DR/2661/2015</vt:lpstr>
      <vt:lpstr>CCPR/C/WG/128/DR/2710/2015</vt:lpstr>
      <vt:lpstr>CCPR/C/WG/128/DR/2710/2015</vt:lpstr>
    </vt:vector>
  </TitlesOfParts>
  <Company>CSD</Company>
  <LinksUpToDate>false</LinksUpToDate>
  <CharactersWithSpaces>50152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CCPR/C/129/DR/2661/2015</dc:title>
  <dc:subject>2008955</dc:subject>
  <dc:creator>ABDELAZIM Mohamed</dc:creator>
  <cp:keywords/>
  <dc:description/>
  <cp:lastModifiedBy>Daniella Ferreira</cp:lastModifiedBy>
  <cp:revision>2</cp:revision>
  <cp:lastPrinted>2021-03-26T14:40:00Z</cp:lastPrinted>
  <dcterms:created xsi:type="dcterms:W3CDTF">2021-04-13T14:09:00Z</dcterms:created>
  <dcterms:modified xsi:type="dcterms:W3CDTF">2021-04-13T14:09:00Z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