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2BB02A4A" w14:textId="77777777" w:rsidTr="00DC046E">
        <w:trPr>
          <w:cantSplit/>
          <w:trHeight w:hRule="exact" w:val="851"/>
        </w:trPr>
        <w:tc>
          <w:tcPr>
            <w:tcW w:w="1276" w:type="dxa"/>
            <w:tcBorders>
              <w:bottom w:val="single" w:sz="4" w:space="0" w:color="auto"/>
            </w:tcBorders>
            <w:vAlign w:val="bottom"/>
          </w:tcPr>
          <w:p w14:paraId="734594BA" w14:textId="77777777" w:rsidR="00B56E9C" w:rsidRDefault="00B56E9C" w:rsidP="00DC046E">
            <w:pPr>
              <w:spacing w:after="80"/>
            </w:pPr>
          </w:p>
        </w:tc>
        <w:tc>
          <w:tcPr>
            <w:tcW w:w="2268" w:type="dxa"/>
            <w:tcBorders>
              <w:bottom w:val="single" w:sz="4" w:space="0" w:color="auto"/>
            </w:tcBorders>
            <w:vAlign w:val="bottom"/>
          </w:tcPr>
          <w:p w14:paraId="4F678FD7" w14:textId="77777777" w:rsidR="00B56E9C" w:rsidRPr="00B97172" w:rsidRDefault="00B56E9C" w:rsidP="00DC046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3061714" w14:textId="77777777" w:rsidR="00B56E9C" w:rsidRPr="00D47EEA" w:rsidRDefault="0097381E" w:rsidP="0097381E">
            <w:pPr>
              <w:jc w:val="right"/>
            </w:pPr>
            <w:r w:rsidRPr="0097381E">
              <w:rPr>
                <w:sz w:val="40"/>
              </w:rPr>
              <w:t>CCPR</w:t>
            </w:r>
            <w:r>
              <w:t>/C/1</w:t>
            </w:r>
            <w:r w:rsidR="009667C6">
              <w:t>30</w:t>
            </w:r>
            <w:r>
              <w:t>/D/2500/2014</w:t>
            </w:r>
          </w:p>
        </w:tc>
      </w:tr>
      <w:tr w:rsidR="00B56E9C" w14:paraId="3DB85F96" w14:textId="77777777" w:rsidTr="00DC046E">
        <w:trPr>
          <w:cantSplit/>
          <w:trHeight w:hRule="exact" w:val="2835"/>
        </w:trPr>
        <w:tc>
          <w:tcPr>
            <w:tcW w:w="1276" w:type="dxa"/>
            <w:tcBorders>
              <w:top w:val="single" w:sz="4" w:space="0" w:color="auto"/>
              <w:bottom w:val="single" w:sz="12" w:space="0" w:color="auto"/>
            </w:tcBorders>
          </w:tcPr>
          <w:p w14:paraId="2053326D" w14:textId="77777777" w:rsidR="00B56E9C" w:rsidRDefault="004076CD" w:rsidP="00DC046E">
            <w:pPr>
              <w:spacing w:before="120"/>
            </w:pPr>
            <w:r>
              <w:rPr>
                <w:noProof/>
                <w:lang w:eastAsia="en-GB"/>
              </w:rPr>
              <w:drawing>
                <wp:inline distT="0" distB="0" distL="0" distR="0" wp14:anchorId="6CA0E7F4" wp14:editId="73EF721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2C23566" w14:textId="77777777" w:rsidR="00B56E9C" w:rsidRDefault="00B56E9C" w:rsidP="00DC046E">
            <w:pPr>
              <w:spacing w:before="120" w:line="380" w:lineRule="exact"/>
              <w:rPr>
                <w:b/>
                <w:sz w:val="34"/>
                <w:szCs w:val="40"/>
              </w:rPr>
            </w:pPr>
            <w:r w:rsidRPr="00267F5F">
              <w:rPr>
                <w:b/>
                <w:sz w:val="34"/>
                <w:szCs w:val="40"/>
              </w:rPr>
              <w:t xml:space="preserve">International </w:t>
            </w:r>
            <w:r w:rsidR="00060C3A">
              <w:rPr>
                <w:b/>
                <w:sz w:val="34"/>
                <w:szCs w:val="40"/>
              </w:rPr>
              <w:t>Covenant on</w:t>
            </w:r>
            <w:r w:rsidR="00060C3A">
              <w:rPr>
                <w:b/>
                <w:sz w:val="34"/>
                <w:szCs w:val="40"/>
              </w:rPr>
              <w:br/>
              <w:t>Civil and Political R</w:t>
            </w:r>
            <w:r w:rsidR="00703577" w:rsidRPr="00267F5F">
              <w:rPr>
                <w:b/>
                <w:sz w:val="34"/>
                <w:szCs w:val="40"/>
              </w:rPr>
              <w:t>ights</w:t>
            </w:r>
          </w:p>
          <w:p w14:paraId="5F874D90" w14:textId="77777777" w:rsidR="00E851DE" w:rsidRDefault="00E851DE" w:rsidP="00E851DE">
            <w:pPr>
              <w:spacing w:before="120" w:line="380" w:lineRule="exact"/>
              <w:rPr>
                <w:b/>
                <w:sz w:val="34"/>
                <w:szCs w:val="34"/>
              </w:rPr>
            </w:pPr>
            <w:r w:rsidRPr="000921E9">
              <w:rPr>
                <w:sz w:val="34"/>
                <w:szCs w:val="40"/>
              </w:rPr>
              <w:t>Advance unedited version</w:t>
            </w:r>
          </w:p>
          <w:p w14:paraId="64B78067" w14:textId="77777777" w:rsidR="00E851DE" w:rsidRPr="00267F5F" w:rsidRDefault="00E851DE" w:rsidP="00DC046E">
            <w:pPr>
              <w:spacing w:before="120" w:line="380" w:lineRule="exact"/>
              <w:rPr>
                <w:sz w:val="34"/>
              </w:rPr>
            </w:pPr>
          </w:p>
        </w:tc>
        <w:tc>
          <w:tcPr>
            <w:tcW w:w="2835" w:type="dxa"/>
            <w:tcBorders>
              <w:top w:val="single" w:sz="4" w:space="0" w:color="auto"/>
              <w:bottom w:val="single" w:sz="12" w:space="0" w:color="auto"/>
            </w:tcBorders>
          </w:tcPr>
          <w:p w14:paraId="6EC5C941" w14:textId="77777777" w:rsidR="00B56E9C" w:rsidRDefault="0097381E" w:rsidP="00045477">
            <w:pPr>
              <w:spacing w:before="240" w:line="240" w:lineRule="exact"/>
            </w:pPr>
            <w:r>
              <w:t xml:space="preserve">Distr.: </w:t>
            </w:r>
            <w:r w:rsidR="00045477">
              <w:t>General</w:t>
            </w:r>
          </w:p>
          <w:p w14:paraId="34C6BAA6" w14:textId="77777777" w:rsidR="0097381E" w:rsidRDefault="00E851DE" w:rsidP="00725E9E">
            <w:pPr>
              <w:spacing w:line="240" w:lineRule="exact"/>
            </w:pPr>
            <w:r>
              <w:t>18 March</w:t>
            </w:r>
            <w:r w:rsidR="00457736">
              <w:t xml:space="preserve"> </w:t>
            </w:r>
            <w:r w:rsidR="009667C6">
              <w:t xml:space="preserve"> </w:t>
            </w:r>
            <w:r w:rsidR="0097381E">
              <w:t>202</w:t>
            </w:r>
            <w:r w:rsidR="009667C6">
              <w:t>1</w:t>
            </w:r>
          </w:p>
          <w:p w14:paraId="46F34BD8" w14:textId="77777777" w:rsidR="0097381E" w:rsidRDefault="0097381E" w:rsidP="0097381E">
            <w:pPr>
              <w:spacing w:line="240" w:lineRule="exact"/>
            </w:pPr>
          </w:p>
          <w:p w14:paraId="7EB179A1" w14:textId="77777777" w:rsidR="0097381E" w:rsidRDefault="0097381E" w:rsidP="0097381E">
            <w:pPr>
              <w:spacing w:line="240" w:lineRule="exact"/>
            </w:pPr>
            <w:r>
              <w:t>Original: English</w:t>
            </w:r>
          </w:p>
          <w:p w14:paraId="7993FF5C" w14:textId="77777777" w:rsidR="0097381E" w:rsidRDefault="0097381E" w:rsidP="0097381E">
            <w:pPr>
              <w:spacing w:line="240" w:lineRule="exact"/>
            </w:pPr>
          </w:p>
        </w:tc>
      </w:tr>
    </w:tbl>
    <w:p w14:paraId="6537DE5F" w14:textId="77777777" w:rsidR="0097381E" w:rsidRPr="00203694" w:rsidRDefault="0097381E" w:rsidP="0097381E">
      <w:pPr>
        <w:spacing w:before="120"/>
        <w:rPr>
          <w:b/>
          <w:sz w:val="24"/>
          <w:szCs w:val="24"/>
        </w:rPr>
      </w:pPr>
      <w:r w:rsidRPr="00203694">
        <w:rPr>
          <w:b/>
          <w:sz w:val="24"/>
          <w:szCs w:val="24"/>
        </w:rPr>
        <w:t>Human Rights Committee</w:t>
      </w:r>
    </w:p>
    <w:p w14:paraId="2B5ADD65" w14:textId="77777777" w:rsidR="0097381E" w:rsidRDefault="0097381E" w:rsidP="0097381E">
      <w:pPr>
        <w:pStyle w:val="HChG"/>
      </w:pPr>
      <w:r>
        <w:tab/>
      </w:r>
      <w:r>
        <w:tab/>
      </w:r>
      <w:r w:rsidR="009667C6" w:rsidRPr="007A1C54">
        <w:t xml:space="preserve">Views adopted by the Committee under article 5 (4) of the Optional Protocol, </w:t>
      </w:r>
      <w:r w:rsidR="009667C6" w:rsidRPr="00B21CD6">
        <w:t xml:space="preserve">concerning </w:t>
      </w:r>
      <w:r w:rsidR="009667C6">
        <w:t>c</w:t>
      </w:r>
      <w:r w:rsidRPr="00F45741">
        <w:t>ommunication</w:t>
      </w:r>
      <w:r w:rsidRPr="00E55B64">
        <w:t xml:space="preserve"> No. 2500/2014</w:t>
      </w:r>
      <w:r w:rsidR="009667C6" w:rsidRPr="00E851DE">
        <w:rPr>
          <w:rStyle w:val="FootnoteReference"/>
          <w:sz w:val="20"/>
          <w:vertAlign w:val="baseline"/>
        </w:rPr>
        <w:footnoteReference w:customMarkFollows="1" w:id="2"/>
        <w:t>*</w:t>
      </w:r>
      <w:r w:rsidR="009667C6" w:rsidRPr="00E851DE">
        <w:rPr>
          <w:sz w:val="20"/>
          <w:vertAlign w:val="superscript"/>
        </w:rPr>
        <w:t>,</w:t>
      </w:r>
      <w:r w:rsidR="009667C6" w:rsidRPr="00E851DE">
        <w:rPr>
          <w:rStyle w:val="FootnoteReference"/>
          <w:sz w:val="20"/>
          <w:vertAlign w:val="baseline"/>
        </w:rPr>
        <w:footnoteReference w:customMarkFollows="1" w:id="3"/>
        <w:t>**</w:t>
      </w:r>
    </w:p>
    <w:p w14:paraId="57EC4155" w14:textId="77777777" w:rsidR="0097381E" w:rsidRDefault="0097381E">
      <w:pPr>
        <w:pStyle w:val="H1G"/>
        <w:rPr>
          <w:rFonts w:eastAsia="MS Mincho"/>
          <w:sz w:val="20"/>
        </w:rPr>
      </w:pPr>
      <w:r>
        <w:rPr>
          <w:rFonts w:eastAsia="MS Mincho"/>
        </w:rPr>
        <w:tab/>
      </w:r>
      <w:r>
        <w:rPr>
          <w:rFonts w:eastAsia="MS Mincho"/>
        </w:rPr>
        <w:tab/>
      </w:r>
    </w:p>
    <w:p w14:paraId="1D934B53" w14:textId="77777777" w:rsidR="0097381E" w:rsidRPr="00E55B64" w:rsidRDefault="0097381E" w:rsidP="0097381E">
      <w:pPr>
        <w:pStyle w:val="SingleTxtG"/>
        <w:ind w:left="4536" w:hanging="3402"/>
        <w:jc w:val="left"/>
      </w:pPr>
      <w:r w:rsidRPr="00E55B64">
        <w:rPr>
          <w:i/>
        </w:rPr>
        <w:t>Communication submitted by:</w:t>
      </w:r>
      <w:r w:rsidRPr="00E55B64">
        <w:tab/>
        <w:t>Aleksei Eliseev (not represented by counsel)</w:t>
      </w:r>
    </w:p>
    <w:p w14:paraId="36BD62C7" w14:textId="77777777" w:rsidR="0097381E" w:rsidRPr="00E55B64" w:rsidRDefault="0097381E" w:rsidP="0097381E">
      <w:pPr>
        <w:pStyle w:val="SingleTxtG"/>
        <w:ind w:left="4536" w:hanging="3402"/>
        <w:jc w:val="left"/>
      </w:pPr>
      <w:r w:rsidRPr="00E55B64">
        <w:rPr>
          <w:i/>
        </w:rPr>
        <w:t>Alleged victim:</w:t>
      </w:r>
      <w:r w:rsidRPr="00E55B64">
        <w:tab/>
        <w:t>The author</w:t>
      </w:r>
    </w:p>
    <w:p w14:paraId="1A834BE7" w14:textId="77777777" w:rsidR="0097381E" w:rsidRPr="00E55B64" w:rsidRDefault="0097381E" w:rsidP="0097381E">
      <w:pPr>
        <w:pStyle w:val="SingleTxtG"/>
        <w:ind w:left="4536" w:hanging="3402"/>
        <w:jc w:val="left"/>
      </w:pPr>
      <w:r w:rsidRPr="00E55B64">
        <w:rPr>
          <w:i/>
        </w:rPr>
        <w:t>State party:</w:t>
      </w:r>
      <w:r w:rsidRPr="00E55B64">
        <w:tab/>
        <w:t>Kyrgyzstan</w:t>
      </w:r>
    </w:p>
    <w:p w14:paraId="3A03AE11" w14:textId="77777777" w:rsidR="0097381E" w:rsidRPr="00E55B64" w:rsidRDefault="0097381E" w:rsidP="0097381E">
      <w:pPr>
        <w:pStyle w:val="SingleTxtG"/>
        <w:ind w:left="4536" w:hanging="3402"/>
        <w:jc w:val="left"/>
      </w:pPr>
      <w:r w:rsidRPr="00E55B64">
        <w:rPr>
          <w:i/>
        </w:rPr>
        <w:t>Date of communication:</w:t>
      </w:r>
      <w:r w:rsidRPr="00E55B64">
        <w:tab/>
        <w:t>14 March 2014 (initial submission)</w:t>
      </w:r>
    </w:p>
    <w:p w14:paraId="3A399127" w14:textId="77777777" w:rsidR="0097381E" w:rsidRPr="00E55B64" w:rsidRDefault="0097381E" w:rsidP="0097381E">
      <w:pPr>
        <w:pStyle w:val="SingleTxtG"/>
        <w:ind w:left="4536" w:hanging="3402"/>
      </w:pPr>
      <w:r w:rsidRPr="00E55B64">
        <w:rPr>
          <w:i/>
        </w:rPr>
        <w:t>Document references:</w:t>
      </w:r>
      <w:r w:rsidRPr="00E55B64">
        <w:tab/>
        <w:t>Decision taken pursuant to rule 97 of the Committee’s rules of procedure, transmitted to the State party on 11 December 2014 (not issued in document form)</w:t>
      </w:r>
    </w:p>
    <w:p w14:paraId="4D8249E0" w14:textId="77777777" w:rsidR="0097381E" w:rsidRPr="00E55B64" w:rsidRDefault="0097381E" w:rsidP="0097381E">
      <w:pPr>
        <w:pStyle w:val="SingleTxtG"/>
        <w:ind w:left="4536" w:hanging="3402"/>
        <w:jc w:val="left"/>
      </w:pPr>
      <w:r w:rsidRPr="00E55B64">
        <w:rPr>
          <w:i/>
        </w:rPr>
        <w:t>Date of adoption of Views:</w:t>
      </w:r>
      <w:r w:rsidRPr="00E55B64">
        <w:tab/>
      </w:r>
      <w:r w:rsidR="003722BD">
        <w:t>21 October</w:t>
      </w:r>
      <w:r w:rsidRPr="00E55B64">
        <w:t xml:space="preserve"> 2020</w:t>
      </w:r>
    </w:p>
    <w:p w14:paraId="1A5905DF" w14:textId="77777777" w:rsidR="0097381E" w:rsidRPr="00E55B64" w:rsidRDefault="0097381E" w:rsidP="0097381E">
      <w:pPr>
        <w:pStyle w:val="SingleTxtG"/>
        <w:ind w:left="4536" w:hanging="3402"/>
      </w:pPr>
      <w:r w:rsidRPr="009A4D9E">
        <w:rPr>
          <w:i/>
        </w:rPr>
        <w:t>Subject matter:</w:t>
      </w:r>
      <w:r w:rsidRPr="00E55B64">
        <w:tab/>
        <w:t>Author’s trial in absentia, and other procedural violations</w:t>
      </w:r>
    </w:p>
    <w:p w14:paraId="6442FA46" w14:textId="77777777" w:rsidR="0097381E" w:rsidRPr="00796596" w:rsidRDefault="0097381E" w:rsidP="0097381E">
      <w:pPr>
        <w:pStyle w:val="SingleTxtG"/>
        <w:ind w:left="4536" w:hanging="3402"/>
      </w:pPr>
      <w:r w:rsidRPr="00E55B64">
        <w:rPr>
          <w:i/>
        </w:rPr>
        <w:t>Procedural issue:</w:t>
      </w:r>
      <w:r w:rsidRPr="00E55B64">
        <w:t xml:space="preserve"> </w:t>
      </w:r>
      <w:r w:rsidRPr="00E55B64">
        <w:tab/>
        <w:t>E</w:t>
      </w:r>
      <w:r w:rsidRPr="00796596">
        <w:t>xhaustion of domestic remedies</w:t>
      </w:r>
    </w:p>
    <w:p w14:paraId="78884D75" w14:textId="77777777" w:rsidR="0097381E" w:rsidRPr="00796596" w:rsidRDefault="0097381E" w:rsidP="0097381E">
      <w:pPr>
        <w:pStyle w:val="SingleTxtG"/>
        <w:ind w:left="4536" w:hanging="3402"/>
      </w:pPr>
      <w:r w:rsidRPr="00796596">
        <w:rPr>
          <w:i/>
        </w:rPr>
        <w:t>Substantive issues:</w:t>
      </w:r>
      <w:r w:rsidRPr="00796596">
        <w:t xml:space="preserve"> </w:t>
      </w:r>
      <w:r w:rsidRPr="00796596">
        <w:tab/>
        <w:t>Fair trial, trial in absentia, privacy, non-discrimination</w:t>
      </w:r>
    </w:p>
    <w:p w14:paraId="20106F47" w14:textId="77777777" w:rsidR="0097381E" w:rsidRPr="00A9022A" w:rsidRDefault="0097381E" w:rsidP="0097381E">
      <w:pPr>
        <w:pStyle w:val="SingleTxtG"/>
        <w:ind w:left="4536" w:hanging="3402"/>
      </w:pPr>
      <w:r w:rsidRPr="00796596">
        <w:rPr>
          <w:i/>
        </w:rPr>
        <w:t>Articles of the Covenant:</w:t>
      </w:r>
      <w:r w:rsidRPr="00796596">
        <w:t xml:space="preserve"> </w:t>
      </w:r>
      <w:r w:rsidRPr="00796596">
        <w:tab/>
        <w:t>14(1), (2), 3(a)</w:t>
      </w:r>
      <w:r>
        <w:t>, (b), (d), (e)</w:t>
      </w:r>
      <w:r w:rsidRPr="00A9022A">
        <w:t>; 14(5); 17(1), and 26</w:t>
      </w:r>
    </w:p>
    <w:p w14:paraId="3189AE51" w14:textId="77777777" w:rsidR="0097381E" w:rsidRDefault="0097381E" w:rsidP="0097381E">
      <w:pPr>
        <w:pStyle w:val="SingleTxtG"/>
      </w:pPr>
      <w:r w:rsidRPr="00A9022A">
        <w:rPr>
          <w:i/>
        </w:rPr>
        <w:t>Article of the Optional Protocol:</w:t>
      </w:r>
      <w:r w:rsidRPr="00A9022A">
        <w:tab/>
      </w:r>
      <w:r>
        <w:tab/>
      </w:r>
      <w:r w:rsidRPr="00A9022A">
        <w:t xml:space="preserve">2, </w:t>
      </w:r>
      <w:r w:rsidRPr="00E55B64">
        <w:t>5(2)(b</w:t>
      </w:r>
    </w:p>
    <w:p w14:paraId="09F123C2" w14:textId="77777777" w:rsidR="0097381E" w:rsidRPr="00E55B64" w:rsidRDefault="0097381E">
      <w:pPr>
        <w:pStyle w:val="SingleTxtG"/>
      </w:pPr>
      <w:r w:rsidRPr="00E55B64">
        <w:t>1.</w:t>
      </w:r>
      <w:r w:rsidRPr="00E55B64">
        <w:tab/>
        <w:t xml:space="preserve">The author of the </w:t>
      </w:r>
      <w:r w:rsidRPr="00C53C0B">
        <w:t>communication</w:t>
      </w:r>
      <w:r w:rsidRPr="00E55B64">
        <w:t xml:space="preserve"> is Aleksei Eliseev, a national of Kyrgyzstan born in 1976. He claims that the State party has violated his rights under article</w:t>
      </w:r>
      <w:r w:rsidRPr="009A4D9E">
        <w:t>s</w:t>
      </w:r>
      <w:r w:rsidRPr="00E55B64">
        <w:t xml:space="preserve"> </w:t>
      </w:r>
      <w:r w:rsidRPr="00F47298">
        <w:t xml:space="preserve">14(1), (2), and </w:t>
      </w:r>
      <w:r w:rsidRPr="001E73B2">
        <w:t>3(a);</w:t>
      </w:r>
      <w:r>
        <w:t xml:space="preserve"> article </w:t>
      </w:r>
      <w:r w:rsidRPr="009A4D9E">
        <w:t>17(1), and article 26</w:t>
      </w:r>
      <w:r w:rsidRPr="009A4D9E">
        <w:rPr>
          <w:rStyle w:val="FootnoteReference"/>
        </w:rPr>
        <w:footnoteReference w:id="4"/>
      </w:r>
      <w:r w:rsidRPr="009A4D9E">
        <w:t xml:space="preserve"> of the Covenant. </w:t>
      </w:r>
      <w:r w:rsidRPr="00E55B64">
        <w:t>The Optional Protocol entered into force for Kyrgyzstan on 7 January 1995. The author is not represented by counsel.</w:t>
      </w:r>
    </w:p>
    <w:p w14:paraId="02F58426" w14:textId="77777777" w:rsidR="0097381E" w:rsidRPr="00796596" w:rsidRDefault="0097381E" w:rsidP="0097381E">
      <w:pPr>
        <w:pStyle w:val="H23G"/>
      </w:pPr>
      <w:r w:rsidRPr="00796596">
        <w:tab/>
      </w:r>
      <w:r>
        <w:tab/>
      </w:r>
      <w:r w:rsidRPr="00796596">
        <w:t xml:space="preserve">The facts as </w:t>
      </w:r>
      <w:r w:rsidRPr="0097381E">
        <w:t>presented</w:t>
      </w:r>
      <w:r w:rsidRPr="00796596">
        <w:t xml:space="preserve"> by the author</w:t>
      </w:r>
    </w:p>
    <w:p w14:paraId="1FDB61E6" w14:textId="77777777" w:rsidR="0097381E" w:rsidRPr="00E55B64" w:rsidRDefault="0097381E">
      <w:pPr>
        <w:pStyle w:val="SingleTxtG"/>
        <w:ind w:left="0"/>
        <w:rPr>
          <w:i/>
        </w:rPr>
      </w:pPr>
      <w:r w:rsidRPr="00E55B64">
        <w:rPr>
          <w:i/>
        </w:rPr>
        <w:tab/>
      </w:r>
      <w:r>
        <w:rPr>
          <w:i/>
        </w:rPr>
        <w:tab/>
      </w:r>
    </w:p>
    <w:p w14:paraId="3E4781F5" w14:textId="77777777" w:rsidR="0097381E" w:rsidRDefault="0097381E" w:rsidP="0097381E">
      <w:pPr>
        <w:pStyle w:val="SingleTxtG"/>
      </w:pPr>
      <w:r w:rsidRPr="00E55B64">
        <w:lastRenderedPageBreak/>
        <w:t>2.1</w:t>
      </w:r>
      <w:r w:rsidRPr="00E55B64">
        <w:tab/>
        <w:t>The author submits that he is a</w:t>
      </w:r>
      <w:r w:rsidRPr="009A4D9E">
        <w:t xml:space="preserve"> practising </w:t>
      </w:r>
      <w:r w:rsidRPr="00E55B64">
        <w:t>lawyer</w:t>
      </w:r>
      <w:r>
        <w:t>,</w:t>
      </w:r>
      <w:r w:rsidRPr="00E55B64">
        <w:t xml:space="preserve"> and that he has also served in public service</w:t>
      </w:r>
      <w:r>
        <w:t xml:space="preserve"> until the events of April 2010, his last appointment having been head of the</w:t>
      </w:r>
      <w:r w:rsidRPr="00E55B64">
        <w:t xml:space="preserve"> </w:t>
      </w:r>
      <w:r w:rsidRPr="00B7381B">
        <w:t>Central Agency of the Kyrgyz Republic for Development, Investments and Innovations</w:t>
      </w:r>
      <w:r>
        <w:t>.</w:t>
      </w:r>
    </w:p>
    <w:p w14:paraId="585176D5" w14:textId="77777777" w:rsidR="0097381E" w:rsidRPr="00E55B64" w:rsidRDefault="0097381E">
      <w:pPr>
        <w:pStyle w:val="SingleTxtG"/>
      </w:pPr>
      <w:r w:rsidRPr="00E55B64">
        <w:t>2.</w:t>
      </w:r>
      <w:r>
        <w:t>2</w:t>
      </w:r>
      <w:r w:rsidRPr="00E55B64">
        <w:tab/>
        <w:t xml:space="preserve">On 7 April 2010, after a series of riots, the government in Kyrgyzstan was overthrown. A “Provisional Government of the Kyrgyz Republic” was established and on the same date the Parliament was dissolved and the Central Agency </w:t>
      </w:r>
      <w:r w:rsidRPr="00B7381B">
        <w:t>of the Kyrgyz Republic for Development, Investments and Innovations</w:t>
      </w:r>
      <w:r w:rsidRPr="00E55B64">
        <w:t xml:space="preserve"> </w:t>
      </w:r>
      <w:r>
        <w:t xml:space="preserve">was </w:t>
      </w:r>
      <w:r w:rsidRPr="00E55B64">
        <w:t>abolished. On 12 April 2010, the Constitutional Court was also abolished. On 19 July 2010, judges of many courts were dismissed before the end of their terms and new ones were appointed</w:t>
      </w:r>
      <w:r>
        <w:t>.</w:t>
      </w:r>
    </w:p>
    <w:p w14:paraId="4848B99F" w14:textId="77777777" w:rsidR="0097381E" w:rsidRPr="00E55B64" w:rsidRDefault="0097381E" w:rsidP="0097381E">
      <w:pPr>
        <w:pStyle w:val="SingleTxtG"/>
      </w:pPr>
      <w:r w:rsidRPr="00E55B64">
        <w:t>2.</w:t>
      </w:r>
      <w:r>
        <w:t>3</w:t>
      </w:r>
      <w:r w:rsidRPr="00E55B64">
        <w:tab/>
        <w:t>Public accusations against the author were disseminated by members of the Provisional Government without him being notified of the opening of official investigations against him, including:</w:t>
      </w:r>
      <w:r>
        <w:t xml:space="preserve"> </w:t>
      </w:r>
      <w:r w:rsidRPr="00E55B64">
        <w:t xml:space="preserve">1) On 10 April 2010, the National Security Office announced via the mass media that it would start investigations against the author. 2) On 20 April 2010, the name of the author was included by </w:t>
      </w:r>
      <w:r w:rsidRPr="009A4D9E">
        <w:t xml:space="preserve">the </w:t>
      </w:r>
      <w:r w:rsidRPr="00E55B64">
        <w:t>vice-chairman and supervisor of the courts and law enforcement agencies, A.B., on a list of “public enemies and close associates of ousted President Bakiev”. 3) On 3 May 2010, the Provisional Government, via its own website and mass media communication vehicles, offered a prize for assistance leading to the capture of the author (20</w:t>
      </w:r>
      <w:r>
        <w:t>,000</w:t>
      </w:r>
      <w:r w:rsidRPr="00E55B64">
        <w:t xml:space="preserve"> to 100</w:t>
      </w:r>
      <w:r>
        <w:t>,000</w:t>
      </w:r>
      <w:r w:rsidRPr="00E55B64">
        <w:t xml:space="preserve"> US dollars). 4) On 14 May 2010, the vice-chairman and supervisor of the courts and law enforcement agencies A.B., issued a “Communication to the People” reaffirming the connection of the author to crimes allegedly committed during the presidency of the ousted President Bakiev. 5) On 25 August 2010, the General Prosecutor’s office </w:t>
      </w:r>
      <w:r w:rsidRPr="00A1674E">
        <w:t>disseminated information</w:t>
      </w:r>
      <w:r w:rsidRPr="009A4D9E">
        <w:t xml:space="preserve"> </w:t>
      </w:r>
      <w:r w:rsidRPr="00E55B64">
        <w:t xml:space="preserve">through news agencies that the author was allegedly a defendant in 5 criminal cases. 6) On 30 September 2010, the General Prosecutor’s office requested Kazakhstan, Ukraine and Russia </w:t>
      </w:r>
      <w:r>
        <w:t xml:space="preserve">to detain and eventually </w:t>
      </w:r>
      <w:r w:rsidRPr="00E55B64">
        <w:t>extradit</w:t>
      </w:r>
      <w:r>
        <w:t>e the author</w:t>
      </w:r>
      <w:r w:rsidRPr="00E55B64">
        <w:t>.</w:t>
      </w:r>
    </w:p>
    <w:p w14:paraId="2905E659" w14:textId="77777777" w:rsidR="0097381E" w:rsidRPr="00E55B64" w:rsidRDefault="0097381E" w:rsidP="0097381E">
      <w:pPr>
        <w:pStyle w:val="SingleTxtG"/>
      </w:pPr>
      <w:r w:rsidRPr="00E55B64">
        <w:t>2.</w:t>
      </w:r>
      <w:r>
        <w:t>4</w:t>
      </w:r>
      <w:r w:rsidRPr="00E55B64">
        <w:tab/>
        <w:t xml:space="preserve">The author </w:t>
      </w:r>
      <w:r w:rsidR="00326105">
        <w:t xml:space="preserve">who was out of the country at the time of the upheaval </w:t>
      </w:r>
      <w:r w:rsidRPr="00E55B64">
        <w:t xml:space="preserve">did not return to Kyrgyzstan, fearing for his and his family’s safety and has been living </w:t>
      </w:r>
      <w:r w:rsidR="00326105">
        <w:t xml:space="preserve">since </w:t>
      </w:r>
      <w:r w:rsidRPr="00E55B64">
        <w:t>in Latvia. He applied for residenc</w:t>
      </w:r>
      <w:r>
        <w:t>e</w:t>
      </w:r>
      <w:r w:rsidRPr="00E55B64">
        <w:t xml:space="preserve"> permit on 28 July 2010 and received official refugee status from the Latvian Migration Authorities on 16 February 2011.</w:t>
      </w:r>
    </w:p>
    <w:p w14:paraId="6262B926" w14:textId="77777777" w:rsidR="0097381E" w:rsidRPr="00E55B64" w:rsidRDefault="0097381E">
      <w:pPr>
        <w:pStyle w:val="SingleTxtG"/>
      </w:pPr>
      <w:r w:rsidRPr="00E55B64">
        <w:t>2.</w:t>
      </w:r>
      <w:r>
        <w:t>5</w:t>
      </w:r>
      <w:r w:rsidRPr="00E55B64">
        <w:tab/>
        <w:t xml:space="preserve">The author submitted requests to the General Prosecutor’s Office respectively on 22 April 2010, 7 July 2010, 27 July 2010, 24 August 2010, 31 August 2010, and 30 November 2010. In those letters, he refuted the public allegations and requested notification regarding any formal investigations or charges presented against him. He also notified the Office of his place of residence and the contact </w:t>
      </w:r>
      <w:r w:rsidRPr="00C53C0B">
        <w:t>information</w:t>
      </w:r>
      <w:r w:rsidRPr="00E55B64">
        <w:t xml:space="preserve"> of his lawyer in Kyrgyzstan for the purpose of formal notifications. The author also requested the prosecutor’s office to open investigations and present criminal charges against legal enforcement agents who had, without notification, illegally seized his property (an apartment, a house and a cottage) and ransacked his family’s personal and professional dwellings. </w:t>
      </w:r>
    </w:p>
    <w:p w14:paraId="0065D853" w14:textId="77777777" w:rsidR="0097381E" w:rsidRPr="00E55B64" w:rsidRDefault="0097381E">
      <w:pPr>
        <w:pStyle w:val="SingleTxtG"/>
      </w:pPr>
      <w:r w:rsidRPr="00E55B64">
        <w:t>2.</w:t>
      </w:r>
      <w:r>
        <w:t>6</w:t>
      </w:r>
      <w:r w:rsidRPr="00E55B64">
        <w:tab/>
        <w:t xml:space="preserve">On 4 February 2014, the author’s lawyer signed an affidavit informing that the General Prosecutor’s Office had not answered the author’s requests for information. Public officers </w:t>
      </w:r>
      <w:r w:rsidRPr="00C53C0B">
        <w:t>continued</w:t>
      </w:r>
      <w:r w:rsidRPr="00E55B64">
        <w:t xml:space="preserve"> to make statements in the media referring to his supposed involvement in several crimes </w:t>
      </w:r>
      <w:r w:rsidRPr="0097381E">
        <w:t>committed</w:t>
      </w:r>
      <w:r w:rsidRPr="00E55B64">
        <w:t xml:space="preserve"> in collusion with the family of the ousted president, including fraud, money laundering, and corruption related to the Kumtor project</w:t>
      </w:r>
      <w:r w:rsidR="00C33003">
        <w:t>.</w:t>
      </w:r>
      <w:r w:rsidRPr="00E55B64">
        <w:t xml:space="preserve"> The author submits that the lack of formal charges against </w:t>
      </w:r>
      <w:r w:rsidRPr="009A4D9E">
        <w:t>him</w:t>
      </w:r>
      <w:r w:rsidRPr="00E55B64">
        <w:t xml:space="preserve"> prevent</w:t>
      </w:r>
      <w:r w:rsidRPr="009A4D9E">
        <w:t>ed</w:t>
      </w:r>
      <w:r w:rsidRPr="00E55B64">
        <w:t xml:space="preserve"> him from presenting a defense and amounts to defamation of character.</w:t>
      </w:r>
    </w:p>
    <w:p w14:paraId="5E28A2BF" w14:textId="77777777" w:rsidR="0097381E" w:rsidRPr="00E55B64" w:rsidRDefault="00460836" w:rsidP="0097381E">
      <w:pPr>
        <w:pStyle w:val="SingleTxtG"/>
      </w:pPr>
      <w:r>
        <w:t>2</w:t>
      </w:r>
      <w:r w:rsidR="0097381E" w:rsidRPr="00E55B64">
        <w:t>.</w:t>
      </w:r>
      <w:r>
        <w:t>7</w:t>
      </w:r>
      <w:r w:rsidR="0097381E" w:rsidRPr="00E55B64">
        <w:tab/>
        <w:t xml:space="preserve">On 8 June 2010, the author brought a complaint to the Pervomaisk District Court of Bishkek City (District Court) against the provisional government, the vice-chairman and supervisor of the Courts and law enforcement agencies, A.B., and mass media agencies for the defamation of character following dissemination of false information that discredited his honor, dignity and business reputation. </w:t>
      </w:r>
    </w:p>
    <w:p w14:paraId="57F854E0" w14:textId="77777777" w:rsidR="0097381E" w:rsidRPr="00E55B64" w:rsidRDefault="00460836" w:rsidP="0097381E">
      <w:pPr>
        <w:pStyle w:val="SingleTxtG"/>
      </w:pPr>
      <w:r>
        <w:t>2</w:t>
      </w:r>
      <w:r w:rsidR="0097381E" w:rsidRPr="00E55B64">
        <w:t>.</w:t>
      </w:r>
      <w:r>
        <w:t>8</w:t>
      </w:r>
      <w:r w:rsidR="0097381E" w:rsidRPr="00E55B64">
        <w:tab/>
        <w:t>On 23 June 2010, the District Court left his complaint without action because, according to the court, the author had not indicated his residence address in breach of the requirement of article 132 (2) of the Code of Civil Procedure. The author was given until 30 June 2010 to fulfil this requirement. On 29 June 2010, his lawyer indicated to the Court the author’s permanent address in Bishkek, attaching the certified title of ownership of his apartment. On 30 June 2010, the District Court returned the complaint back to the author on the basis that he had not informed his address in due time.</w:t>
      </w:r>
    </w:p>
    <w:p w14:paraId="6CDCF548" w14:textId="77777777" w:rsidR="0097381E" w:rsidRPr="00E55B64" w:rsidRDefault="00460836" w:rsidP="0097381E">
      <w:pPr>
        <w:pStyle w:val="SingleTxtG"/>
      </w:pPr>
      <w:r>
        <w:lastRenderedPageBreak/>
        <w:t>2</w:t>
      </w:r>
      <w:r w:rsidR="0097381E" w:rsidRPr="00E55B64">
        <w:t>.</w:t>
      </w:r>
      <w:r>
        <w:t>9</w:t>
      </w:r>
      <w:r w:rsidR="0097381E" w:rsidRPr="00E55B64">
        <w:tab/>
        <w:t>On 2 August 2010, the author appealed the decisions of the District Court dated 23 and 30 June 2010</w:t>
      </w:r>
      <w:r w:rsidR="0097381E" w:rsidRPr="00C31688">
        <w:t xml:space="preserve"> </w:t>
      </w:r>
      <w:r w:rsidR="0097381E" w:rsidRPr="00042E40">
        <w:t>to the Bishkek City Court</w:t>
      </w:r>
      <w:r w:rsidR="0097381E" w:rsidRPr="00E55B64">
        <w:t xml:space="preserve">. </w:t>
      </w:r>
      <w:r w:rsidR="0097381E" w:rsidRPr="009A4D9E">
        <w:t xml:space="preserve">He </w:t>
      </w:r>
      <w:r w:rsidR="0097381E" w:rsidRPr="00E55B64">
        <w:t xml:space="preserve">indicated that art. 132 (2) of the Civil Procedure Code requires indication of a residential address; he further asserted that he had indicated in the text of the lawsuit his address in Bishkek and his lawyer’s address. He also claimed that the demand by the District Court of a certificate of registration and residence, although unreasonable, had also been delivered by his lawyer. The author added that his temporary absence from the country did not preclude his right to appeal. On 3 December 2010, a hearing was held on his appeal at the Bishkek City Court. The hearing was attended by a representative of the Executive Office of the President. The decisions of the District Court were confirmed by the Bishkek City Court. </w:t>
      </w:r>
    </w:p>
    <w:p w14:paraId="73BAB82D" w14:textId="77777777" w:rsidR="0097381E" w:rsidRPr="00E55B64" w:rsidRDefault="00460836">
      <w:pPr>
        <w:pStyle w:val="SingleTxtG"/>
      </w:pPr>
      <w:r>
        <w:t>2</w:t>
      </w:r>
      <w:r w:rsidR="0097381E" w:rsidRPr="00E55B64">
        <w:t>.</w:t>
      </w:r>
      <w:r>
        <w:t>10</w:t>
      </w:r>
      <w:r w:rsidR="0097381E" w:rsidRPr="00E55B64">
        <w:tab/>
        <w:t xml:space="preserve">On 6 July 2010, the author submitted another identical parallel complaint to the District Court against the Provisional Government, the Vice-Chairman and the information agencies for defamation. This time, he signed the complaint in front of the Notary of the Riga Regional Court of Latvia Kitija Garã. The author pointed out the wrongfulness of the preceding refusal to admit his suits on the basis of a procedural request of proof of residency (which was not provided by the law). He stated the address of his lawyer in Kyrgyzstan and his address in Latvia. On 2 August 2010, the Court rejected his complaint based on the fact </w:t>
      </w:r>
      <w:r w:rsidR="00C70433">
        <w:t xml:space="preserve">that </w:t>
      </w:r>
      <w:r w:rsidR="0097381E" w:rsidRPr="00E55B64">
        <w:t xml:space="preserve">the author had not corrected the requirements requested by a District Court decision of 20 July 2010. The author alleges that he </w:t>
      </w:r>
      <w:r w:rsidR="0097381E">
        <w:t xml:space="preserve">was not aware of </w:t>
      </w:r>
      <w:r w:rsidR="0097381E" w:rsidRPr="00E55B64">
        <w:t xml:space="preserve">the decision of 20 July 2010, and that </w:t>
      </w:r>
      <w:r w:rsidR="0097381E" w:rsidRPr="009A4D9E">
        <w:t xml:space="preserve">it </w:t>
      </w:r>
      <w:r w:rsidR="0097381E" w:rsidRPr="00E55B64">
        <w:t>had not been notified</w:t>
      </w:r>
      <w:r w:rsidR="0097381E" w:rsidRPr="009A4D9E">
        <w:t xml:space="preserve"> to him</w:t>
      </w:r>
      <w:r w:rsidR="0097381E" w:rsidRPr="00E55B64">
        <w:t>. On 13 August 2010, he appealed the decision of the District Court to the Bishkek City Court. The author has not yet been informed of any actions taken in regard to this appeal.</w:t>
      </w:r>
    </w:p>
    <w:p w14:paraId="5D387B46" w14:textId="77777777" w:rsidR="0097381E" w:rsidRPr="00E55B64" w:rsidRDefault="00460836">
      <w:pPr>
        <w:pStyle w:val="SingleTxtG"/>
      </w:pPr>
      <w:r>
        <w:t>2</w:t>
      </w:r>
      <w:r w:rsidR="0097381E" w:rsidRPr="00E55B64">
        <w:t>.</w:t>
      </w:r>
      <w:r>
        <w:t>11</w:t>
      </w:r>
      <w:r w:rsidR="0097381E" w:rsidRPr="00E55B64">
        <w:tab/>
        <w:t xml:space="preserve">On 5 December 2011, he appealed to the Supreme Courtthe decisions of the District Court of 23 and 30 June 2010, and the decision of the Bishkek City Court of 3 </w:t>
      </w:r>
      <w:r w:rsidR="0097381E" w:rsidRPr="00C53C0B">
        <w:t>December</w:t>
      </w:r>
      <w:r w:rsidR="0097381E" w:rsidRPr="00E55B64">
        <w:t xml:space="preserve"> 2010. By the time the author appealed, he had already been granted a residence permit in Latvia, and he provided the Supreme Court with the official certificate of residence, which was translated to Russian and notarized. The author complained about the lack of access to justice and requested the repeal of the District and City Courts decisions, which were based on unreasonable and illegal procedural requirements, preventing him from </w:t>
      </w:r>
      <w:r w:rsidR="0097381E">
        <w:t xml:space="preserve">exercising </w:t>
      </w:r>
      <w:r w:rsidR="0097381E" w:rsidRPr="00E55B64">
        <w:t xml:space="preserve">his right to equal access to the Courts. </w:t>
      </w:r>
      <w:r w:rsidR="0097381E" w:rsidRPr="009A4D9E">
        <w:t>In</w:t>
      </w:r>
      <w:r w:rsidR="0097381E" w:rsidRPr="00E55B64">
        <w:t xml:space="preserve"> his appeal</w:t>
      </w:r>
      <w:r w:rsidR="0097381E" w:rsidRPr="009A4D9E">
        <w:t>,</w:t>
      </w:r>
      <w:r w:rsidR="0097381E" w:rsidRPr="00E55B64">
        <w:t xml:space="preserve"> he mentioned not only domestic law, but also reminded the Supreme Court of the State party’s international obligations to provide efficient remedies and protect rights to equality before the courts, presumption of innocence, and non-discrimination.</w:t>
      </w:r>
    </w:p>
    <w:p w14:paraId="5ADE200B" w14:textId="77777777" w:rsidR="0097381E" w:rsidRPr="00E55B64" w:rsidRDefault="00460836" w:rsidP="0097381E">
      <w:pPr>
        <w:pStyle w:val="SingleTxtG"/>
      </w:pPr>
      <w:r>
        <w:t>2</w:t>
      </w:r>
      <w:r w:rsidR="0097381E" w:rsidRPr="00E55B64">
        <w:t>.</w:t>
      </w:r>
      <w:r>
        <w:t>12</w:t>
      </w:r>
      <w:r w:rsidR="0097381E" w:rsidRPr="00E55B64">
        <w:tab/>
        <w:t>On 17 January 2012, a letter of the Supreme Court Acting Vice-Chairperson re</w:t>
      </w:r>
      <w:r w:rsidR="0097381E">
        <w:t>jected</w:t>
      </w:r>
      <w:r w:rsidR="0097381E" w:rsidRPr="00E55B64">
        <w:t xml:space="preserve"> the author’s appeal. The letter explained that the author had not complied with the one-year time </w:t>
      </w:r>
      <w:r w:rsidR="0097381E" w:rsidRPr="00C53C0B">
        <w:t>limit</w:t>
      </w:r>
      <w:r w:rsidR="0097381E" w:rsidRPr="00E55B64">
        <w:t xml:space="preserve"> to appeal a court ruling</w:t>
      </w:r>
      <w:r w:rsidR="0097381E">
        <w:t xml:space="preserve"> as provided by</w:t>
      </w:r>
      <w:r w:rsidR="0097381E" w:rsidRPr="00A80DC4">
        <w:t xml:space="preserve"> </w:t>
      </w:r>
      <w:r w:rsidR="0097381E" w:rsidRPr="006C4A22">
        <w:t xml:space="preserve">art. 344 of the </w:t>
      </w:r>
      <w:r w:rsidR="0097381E" w:rsidRPr="00C53C0B">
        <w:t>Code</w:t>
      </w:r>
      <w:r w:rsidR="0097381E" w:rsidRPr="006C4A22">
        <w:t xml:space="preserve"> of Civil Procedure</w:t>
      </w:r>
      <w:r w:rsidR="0097381E" w:rsidRPr="00E55B64">
        <w:t>. The author believes that the letter sent by the Supreme Court</w:t>
      </w:r>
      <w:r w:rsidR="0097381E">
        <w:t>’s</w:t>
      </w:r>
      <w:r w:rsidR="0097381E" w:rsidRPr="00E55B64">
        <w:t xml:space="preserve"> </w:t>
      </w:r>
      <w:r w:rsidR="0097381E">
        <w:t>A</w:t>
      </w:r>
      <w:r w:rsidR="0097381E" w:rsidRPr="00E55B64">
        <w:t xml:space="preserve">cting Vice-Chairperson contradicts national legislation according to which Supreme Court decisions should be taken by a panel of </w:t>
      </w:r>
      <w:r w:rsidR="0097381E">
        <w:t>three</w:t>
      </w:r>
      <w:r w:rsidR="0097381E" w:rsidRPr="00E55B64">
        <w:t xml:space="preserve"> judges (art. 348)</w:t>
      </w:r>
      <w:r w:rsidR="0097381E">
        <w:t>.</w:t>
      </w:r>
      <w:r w:rsidR="0097381E" w:rsidRPr="00E55B64">
        <w:t xml:space="preserve"> </w:t>
      </w:r>
      <w:r w:rsidR="0097381E">
        <w:t>He further claims t</w:t>
      </w:r>
      <w:r w:rsidR="0097381E" w:rsidRPr="00E55B64">
        <w:t xml:space="preserve">hat decisions should not be communicated by letters, because only </w:t>
      </w:r>
      <w:r w:rsidR="0097381E">
        <w:t xml:space="preserve">formal </w:t>
      </w:r>
      <w:r w:rsidR="0097381E" w:rsidRPr="00E55B64">
        <w:t xml:space="preserve">court </w:t>
      </w:r>
      <w:r w:rsidR="0097381E">
        <w:t xml:space="preserve">decisions </w:t>
      </w:r>
      <w:r w:rsidR="0097381E" w:rsidRPr="00E55B64">
        <w:t xml:space="preserve">are subject to appeal pursuant to </w:t>
      </w:r>
      <w:r w:rsidR="0097381E">
        <w:t>a</w:t>
      </w:r>
      <w:r w:rsidR="0097381E" w:rsidRPr="00E55B64">
        <w:t>rticles 136 (3) and 348 of the Code of Civil Procedure.</w:t>
      </w:r>
    </w:p>
    <w:p w14:paraId="16802A41" w14:textId="77777777" w:rsidR="0097381E" w:rsidRPr="004B27E8" w:rsidRDefault="00460836" w:rsidP="0097381E">
      <w:pPr>
        <w:pStyle w:val="SingleTxtG"/>
      </w:pPr>
      <w:r>
        <w:t>2</w:t>
      </w:r>
      <w:r w:rsidR="004404E7">
        <w:t>.</w:t>
      </w:r>
      <w:r>
        <w:t>13</w:t>
      </w:r>
      <w:r w:rsidR="004404E7">
        <w:tab/>
      </w:r>
      <w:r w:rsidR="0097381E" w:rsidRPr="00E55B64">
        <w:t xml:space="preserve">The </w:t>
      </w:r>
      <w:r w:rsidR="0097381E" w:rsidRPr="0097381E">
        <w:t>procedural</w:t>
      </w:r>
      <w:r w:rsidR="0097381E" w:rsidRPr="00E55B64">
        <w:t xml:space="preserve"> obstacles imposed prevented the author from having his case </w:t>
      </w:r>
      <w:r w:rsidR="0097381E">
        <w:t>re</w:t>
      </w:r>
      <w:r w:rsidR="0097381E" w:rsidRPr="004B27E8">
        <w:t>viewed by domestic courts in all instances.</w:t>
      </w:r>
    </w:p>
    <w:p w14:paraId="4DE1B470" w14:textId="77777777" w:rsidR="0097381E" w:rsidRPr="009A4D9E" w:rsidRDefault="0097381E" w:rsidP="0097381E">
      <w:pPr>
        <w:pStyle w:val="H23G"/>
      </w:pPr>
      <w:r>
        <w:tab/>
      </w:r>
      <w:r>
        <w:tab/>
      </w:r>
      <w:r w:rsidRPr="009A4D9E">
        <w:t>The complaint</w:t>
      </w:r>
    </w:p>
    <w:p w14:paraId="66D408B3" w14:textId="77777777" w:rsidR="0097381E" w:rsidRPr="004B27E8" w:rsidRDefault="00460836">
      <w:pPr>
        <w:pStyle w:val="SingleTxtG"/>
      </w:pPr>
      <w:r>
        <w:t>3</w:t>
      </w:r>
      <w:r w:rsidR="0097381E" w:rsidRPr="004B27E8">
        <w:t>.1</w:t>
      </w:r>
      <w:r w:rsidR="0097381E" w:rsidRPr="004B27E8">
        <w:tab/>
        <w:t xml:space="preserve">The author claims that </w:t>
      </w:r>
      <w:r w:rsidR="0097381E" w:rsidRPr="001E73B2">
        <w:t xml:space="preserve">in breach of articles 14 (1), (2), and </w:t>
      </w:r>
      <w:r w:rsidR="0097381E">
        <w:t>3(a)</w:t>
      </w:r>
      <w:r w:rsidR="0097381E" w:rsidRPr="004B27E8">
        <w:t xml:space="preserve"> of the Covenant, the State party has violated his presumption of innocence and denied his right to equal treatment and a fair trial by an independent and impartial court, in that some public officials have accused him publicly of committing fraud, money laundering, and </w:t>
      </w:r>
      <w:r w:rsidR="0097381E" w:rsidRPr="00C53C0B">
        <w:t>corruption</w:t>
      </w:r>
      <w:r w:rsidR="0097381E" w:rsidRPr="004B27E8">
        <w:t xml:space="preserve"> while in public office. However, the author has not been condemned or informed of any valid legal charges brought against him. His attempts to obtain information by submitting communications to the Public prosecutor’s office were frustrated, leaving the author with no opportunity to present a defense. The courts did not act impartially, as they are controlled by the “supervisor” of courts and law enforcement agencies, precisely one of the respondents in the </w:t>
      </w:r>
      <w:r w:rsidR="0097381E" w:rsidRPr="004B27E8">
        <w:lastRenderedPageBreak/>
        <w:t>author’s lawsuits</w:t>
      </w:r>
      <w:r w:rsidR="0097381E" w:rsidRPr="004B27E8">
        <w:rPr>
          <w:rStyle w:val="FootnoteReference"/>
          <w:sz w:val="20"/>
        </w:rPr>
        <w:footnoteReference w:id="5"/>
      </w:r>
      <w:r w:rsidR="0097381E" w:rsidRPr="004B27E8">
        <w:t>, and he has not been afforded the same treatment as in similar proceedings, as the repetitive request of proof of address and registration was arbitrary and</w:t>
      </w:r>
      <w:r w:rsidR="0097381E" w:rsidRPr="004B27E8">
        <w:rPr>
          <w:color w:val="000000"/>
          <w:shd w:val="clear" w:color="auto" w:fill="FFFFFF"/>
        </w:rPr>
        <w:t xml:space="preserve"> based on illegal procedural grounds.</w:t>
      </w:r>
    </w:p>
    <w:p w14:paraId="6F5E96F6" w14:textId="77777777" w:rsidR="0097381E" w:rsidRPr="004B27E8" w:rsidRDefault="00460836" w:rsidP="0097381E">
      <w:pPr>
        <w:pStyle w:val="SingleTxtG"/>
      </w:pPr>
      <w:r>
        <w:t>3</w:t>
      </w:r>
      <w:r w:rsidR="0097381E">
        <w:t>.2</w:t>
      </w:r>
      <w:r w:rsidR="0097381E">
        <w:tab/>
        <w:t>He further claims that i</w:t>
      </w:r>
      <w:r w:rsidR="0097381E" w:rsidRPr="004B27E8">
        <w:t xml:space="preserve">n violation of article 17(1) of the Covenant, the State party has interfered with his privacy and property, and subsequently failed to provide protections and </w:t>
      </w:r>
      <w:r w:rsidR="0097381E" w:rsidRPr="00C53C0B">
        <w:t>remedies</w:t>
      </w:r>
      <w:r w:rsidR="0097381E" w:rsidRPr="004B27E8">
        <w:t xml:space="preserve"> to the author by not sanctioning legal enforcement agents who, in the course of 2010, had illegally seized his property without prior notification (an apartment, a house and a cottage) and </w:t>
      </w:r>
      <w:r w:rsidR="0097381E">
        <w:t xml:space="preserve">had </w:t>
      </w:r>
      <w:r w:rsidR="0097381E" w:rsidRPr="004B27E8">
        <w:t>ransacked his family’s personal and professional dwellings.</w:t>
      </w:r>
    </w:p>
    <w:p w14:paraId="1AD256B4" w14:textId="77777777" w:rsidR="0097381E" w:rsidRPr="004B27E8" w:rsidRDefault="00460836" w:rsidP="0097381E">
      <w:pPr>
        <w:pStyle w:val="SingleTxtG"/>
      </w:pPr>
      <w:r>
        <w:t>3</w:t>
      </w:r>
      <w:r w:rsidR="0097381E" w:rsidRPr="004B27E8">
        <w:t>.3</w:t>
      </w:r>
      <w:r w:rsidR="0097381E" w:rsidRPr="004B27E8">
        <w:tab/>
        <w:t xml:space="preserve">In violation of article 26, </w:t>
      </w:r>
      <w:r w:rsidR="0097381E">
        <w:t xml:space="preserve">he also alleges that </w:t>
      </w:r>
      <w:r w:rsidR="0097381E" w:rsidRPr="004B27E8">
        <w:t xml:space="preserve">the State party has not provided the author with equal protection before the courts. As </w:t>
      </w:r>
      <w:r w:rsidR="0097381E">
        <w:t xml:space="preserve">being </w:t>
      </w:r>
      <w:r w:rsidR="0097381E" w:rsidRPr="004B27E8">
        <w:t xml:space="preserve">a part of a list of </w:t>
      </w:r>
      <w:r w:rsidR="0097381E">
        <w:t>‘</w:t>
      </w:r>
      <w:r w:rsidR="0097381E" w:rsidRPr="004B27E8">
        <w:t>public enemies</w:t>
      </w:r>
      <w:r w:rsidR="0097381E">
        <w:t>’</w:t>
      </w:r>
      <w:r w:rsidR="0097381E" w:rsidRPr="004B27E8">
        <w:t xml:space="preserve">, he has been discriminated against on the basis of social and political reasons, and remedies have proven to be </w:t>
      </w:r>
      <w:r w:rsidR="0097381E" w:rsidRPr="004B27E8">
        <w:rPr>
          <w:i/>
        </w:rPr>
        <w:t>de facto</w:t>
      </w:r>
      <w:r w:rsidR="0097381E" w:rsidRPr="004B27E8">
        <w:t xml:space="preserve"> unavailable and inefficient </w:t>
      </w:r>
      <w:r w:rsidR="0097381E" w:rsidRPr="004B27E8">
        <w:rPr>
          <w:i/>
        </w:rPr>
        <w:t>a priori</w:t>
      </w:r>
      <w:r w:rsidR="0097381E" w:rsidRPr="004B27E8">
        <w:t>. Furthermore, proceedings have been unduly prolonged.</w:t>
      </w:r>
      <w:r w:rsidR="0097381E" w:rsidRPr="004B27E8">
        <w:rPr>
          <w:rStyle w:val="FootnoteReference"/>
          <w:sz w:val="20"/>
        </w:rPr>
        <w:footnoteReference w:id="6"/>
      </w:r>
    </w:p>
    <w:p w14:paraId="1254EA45" w14:textId="77777777" w:rsidR="0097381E" w:rsidRPr="004B27E8" w:rsidRDefault="00460836" w:rsidP="0097381E">
      <w:pPr>
        <w:pStyle w:val="SingleTxtG"/>
      </w:pPr>
      <w:r>
        <w:t>3</w:t>
      </w:r>
      <w:r w:rsidR="0097381E" w:rsidRPr="004B27E8">
        <w:t>.4</w:t>
      </w:r>
      <w:r w:rsidR="0097381E" w:rsidRPr="004B27E8">
        <w:tab/>
        <w:t xml:space="preserve">The </w:t>
      </w:r>
      <w:r w:rsidR="0097381E" w:rsidRPr="0097381E">
        <w:t>author</w:t>
      </w:r>
      <w:r w:rsidR="0097381E" w:rsidRPr="004B27E8">
        <w:t xml:space="preserve"> seeks declaratory relief and access to effective remedies, including compensation.</w:t>
      </w:r>
    </w:p>
    <w:p w14:paraId="5EAC195A" w14:textId="77777777" w:rsidR="0097381E" w:rsidRPr="004404E7" w:rsidRDefault="0097381E" w:rsidP="0097381E">
      <w:pPr>
        <w:pStyle w:val="H23G"/>
        <w:rPr>
          <w:b w:val="0"/>
        </w:rPr>
      </w:pPr>
      <w:r>
        <w:tab/>
      </w:r>
      <w:r>
        <w:tab/>
      </w:r>
      <w:r w:rsidRPr="00E55B64">
        <w:t xml:space="preserve">State party’s </w:t>
      </w:r>
      <w:r w:rsidRPr="00C53C0B">
        <w:t>observations</w:t>
      </w:r>
      <w:r w:rsidRPr="00E55B64">
        <w:t xml:space="preserve"> on admissibility and merits</w:t>
      </w:r>
      <w:r w:rsidRPr="004404E7">
        <w:rPr>
          <w:rStyle w:val="FootnoteReference"/>
          <w:b w:val="0"/>
        </w:rPr>
        <w:footnoteReference w:id="7"/>
      </w:r>
    </w:p>
    <w:p w14:paraId="0B558C0F" w14:textId="77777777" w:rsidR="0097381E" w:rsidRPr="00E55B64" w:rsidRDefault="00460836">
      <w:pPr>
        <w:pStyle w:val="SingleTxtG"/>
      </w:pPr>
      <w:r>
        <w:t>4</w:t>
      </w:r>
      <w:r w:rsidR="004404E7">
        <w:t>.1</w:t>
      </w:r>
      <w:r w:rsidR="004404E7">
        <w:tab/>
      </w:r>
      <w:r w:rsidR="0097381E" w:rsidRPr="00E55B64">
        <w:t xml:space="preserve">By note verbale of 1 December 2016, the State party provided its observations on </w:t>
      </w:r>
      <w:r w:rsidR="0097381E">
        <w:t xml:space="preserve">the </w:t>
      </w:r>
      <w:r w:rsidR="0097381E" w:rsidRPr="00E55B64">
        <w:t xml:space="preserve">admissibility and </w:t>
      </w:r>
      <w:r w:rsidR="0097381E">
        <w:t xml:space="preserve">on the </w:t>
      </w:r>
      <w:r w:rsidR="0097381E" w:rsidRPr="00E55B64">
        <w:t>merits</w:t>
      </w:r>
      <w:r w:rsidR="0097381E">
        <w:t xml:space="preserve"> of the complaint</w:t>
      </w:r>
      <w:r w:rsidR="00C33003">
        <w:t>.</w:t>
      </w:r>
      <w:r w:rsidR="0097381E" w:rsidRPr="00E55B64">
        <w:t xml:space="preserve"> </w:t>
      </w:r>
    </w:p>
    <w:p w14:paraId="6BEAC050" w14:textId="77777777" w:rsidR="0097381E" w:rsidRPr="00E55B64" w:rsidRDefault="00460836">
      <w:pPr>
        <w:pStyle w:val="SingleTxtG"/>
      </w:pPr>
      <w:r>
        <w:t>4</w:t>
      </w:r>
      <w:r w:rsidR="0097381E">
        <w:t>.2</w:t>
      </w:r>
      <w:r w:rsidR="0097381E" w:rsidRPr="00E55B64">
        <w:tab/>
        <w:t>Regarding the</w:t>
      </w:r>
      <w:r w:rsidR="0097381E">
        <w:t xml:space="preserve"> initial</w:t>
      </w:r>
      <w:r w:rsidR="0097381E" w:rsidRPr="00E55B64">
        <w:t xml:space="preserve"> criminal charges against the author</w:t>
      </w:r>
      <w:r w:rsidR="0097381E">
        <w:t>,</w:t>
      </w:r>
      <w:r w:rsidR="0097381E" w:rsidRPr="00E55B64">
        <w:t xml:space="preserve"> he was found guilty under </w:t>
      </w:r>
      <w:r w:rsidR="0097381E">
        <w:t xml:space="preserve">articles </w:t>
      </w:r>
      <w:r w:rsidR="0097381E" w:rsidRPr="00703254">
        <w:t xml:space="preserve">170(3)(3) and 221(2), </w:t>
      </w:r>
      <w:r w:rsidR="0097381E" w:rsidRPr="00E55B64">
        <w:t xml:space="preserve">of the Criminal Code, and on 6 June </w:t>
      </w:r>
      <w:r w:rsidR="0097381E">
        <w:t>2013 he was sentenced to six years and six</w:t>
      </w:r>
      <w:r w:rsidR="0097381E" w:rsidRPr="00E55B64">
        <w:t xml:space="preserve"> months of imprisonment, to be served in strict regime colony, with confiscation of property. The author’s request for leave of appeal due to a missed deadline was eventually rejected by the Supreme Court of Kyrgyzstan on 20 February 2014</w:t>
      </w:r>
      <w:r w:rsidR="00C33003">
        <w:t>.</w:t>
      </w:r>
      <w:r w:rsidR="0097381E" w:rsidRPr="00E55B64">
        <w:rPr>
          <w:rStyle w:val="FootnoteReference"/>
        </w:rPr>
        <w:footnoteReference w:id="8"/>
      </w:r>
    </w:p>
    <w:p w14:paraId="27E0A4FD" w14:textId="77777777" w:rsidR="0097381E" w:rsidRPr="00E55B64" w:rsidRDefault="00460836" w:rsidP="0097381E">
      <w:pPr>
        <w:pStyle w:val="SingleTxtG"/>
      </w:pPr>
      <w:r>
        <w:t>4</w:t>
      </w:r>
      <w:r w:rsidR="0097381E">
        <w:t>.3</w:t>
      </w:r>
      <w:r w:rsidR="0097381E" w:rsidRPr="00E55B64">
        <w:tab/>
        <w:t xml:space="preserve">The author was charged with additional crimes under </w:t>
      </w:r>
      <w:r w:rsidR="0097381E">
        <w:t xml:space="preserve">article </w:t>
      </w:r>
      <w:r w:rsidR="0097381E" w:rsidRPr="00E55B64">
        <w:t>221(2) of the Criminal Code, and on 29 April 2016</w:t>
      </w:r>
      <w:r w:rsidR="0097381E" w:rsidRPr="00E55B64">
        <w:rPr>
          <w:rStyle w:val="FootnoteReference"/>
        </w:rPr>
        <w:footnoteReference w:id="9"/>
      </w:r>
      <w:r w:rsidR="0097381E" w:rsidRPr="00E55B64">
        <w:t>, he was sentenced to two years of imprisonment. Adding his earlier sentence date</w:t>
      </w:r>
      <w:r w:rsidR="0097381E">
        <w:t>d</w:t>
      </w:r>
      <w:r w:rsidR="0097381E" w:rsidRPr="00E55B64">
        <w:t xml:space="preserve"> 6 June 2013, the author was sentenced to 8 years of imprisonment in total, with confiscation of property. The appeals procedure was abandoned due to the fact the author </w:t>
      </w:r>
      <w:r w:rsidR="0097381E">
        <w:t xml:space="preserve">had withdrawn </w:t>
      </w:r>
      <w:r w:rsidR="0097381E" w:rsidRPr="00E55B64">
        <w:t xml:space="preserve">his appeal. On 29 April 2016, the author was further sentenced for committing various crimes under the Criminal Code, </w:t>
      </w:r>
      <w:r w:rsidR="0097381E" w:rsidRPr="005F7ADE">
        <w:t>his total sentence now being 25 years of imprisonment. This verdict and sentence was not appealed</w:t>
      </w:r>
      <w:r w:rsidR="0097381E" w:rsidRPr="00E55B64">
        <w:t xml:space="preserve">. </w:t>
      </w:r>
    </w:p>
    <w:p w14:paraId="70265559" w14:textId="77777777" w:rsidR="0097381E" w:rsidRPr="00212A44" w:rsidRDefault="00460836">
      <w:pPr>
        <w:pStyle w:val="SingleTxtG"/>
      </w:pPr>
      <w:r>
        <w:t>4</w:t>
      </w:r>
      <w:r w:rsidR="0097381E">
        <w:t>.4</w:t>
      </w:r>
      <w:r w:rsidR="0097381E" w:rsidRPr="00E55B64">
        <w:tab/>
        <w:t xml:space="preserve">On 21 September 2016, the author was sentenced to </w:t>
      </w:r>
      <w:r w:rsidR="0097381E" w:rsidRPr="005F7ADE">
        <w:t>further 20 years of prison</w:t>
      </w:r>
      <w:r w:rsidR="0097381E" w:rsidRPr="00E55B64">
        <w:t xml:space="preserve"> term being found guilty of various crimes under the Criminal Code. By adding previous several sentences, the </w:t>
      </w:r>
      <w:r w:rsidR="0097381E" w:rsidRPr="00C53C0B">
        <w:t>author</w:t>
      </w:r>
      <w:r w:rsidR="0097381E" w:rsidRPr="00E55B64">
        <w:t xml:space="preserve"> was sentenced to a total of 25 years of imprisonment</w:t>
      </w:r>
      <w:r w:rsidR="0097381E" w:rsidRPr="00212A44">
        <w:rPr>
          <w:rStyle w:val="FootnoteReference"/>
        </w:rPr>
        <w:footnoteReference w:id="10"/>
      </w:r>
      <w:r w:rsidR="0097381E" w:rsidRPr="00212A44">
        <w:t>, with confiscation of property. This verdict and sentence was appealed only to challenge the confiscation of real estate property, and at the time of the submission</w:t>
      </w:r>
      <w:r w:rsidR="0097381E">
        <w:t xml:space="preserve"> of the State party’s observations, </w:t>
      </w:r>
      <w:r w:rsidR="0097381E" w:rsidRPr="00212A44">
        <w:t xml:space="preserve">was being considered by court. The author was further charged with additional crimes, </w:t>
      </w:r>
      <w:r w:rsidR="0097381E">
        <w:t>and</w:t>
      </w:r>
      <w:r w:rsidR="0097381E" w:rsidRPr="00212A44">
        <w:t xml:space="preserve"> the criminal case </w:t>
      </w:r>
      <w:r w:rsidR="0097381E">
        <w:t>related to those</w:t>
      </w:r>
      <w:r w:rsidR="0097381E" w:rsidRPr="00212A44">
        <w:t>was ongoing at the time of submission.</w:t>
      </w:r>
    </w:p>
    <w:p w14:paraId="09A53690" w14:textId="77777777" w:rsidR="0097381E" w:rsidRPr="00212A44" w:rsidRDefault="00460836">
      <w:pPr>
        <w:pStyle w:val="SingleTxtG"/>
      </w:pPr>
      <w:r>
        <w:t>4</w:t>
      </w:r>
      <w:r w:rsidR="0097381E">
        <w:t>.5</w:t>
      </w:r>
      <w:r w:rsidR="0097381E" w:rsidRPr="00212A44">
        <w:tab/>
        <w:t xml:space="preserve">In all criminal cases mentioned above, the State party courts adhered to all procedural rules that are required by the relevant legislation. Some lower court decisions were reviewed on appeal and under </w:t>
      </w:r>
      <w:r w:rsidR="0097381E">
        <w:t xml:space="preserve">the </w:t>
      </w:r>
      <w:r w:rsidR="0097381E" w:rsidRPr="00212A44">
        <w:t xml:space="preserve">supervisory review procedure, and some came into force without being challenged by the author. It has to be noted that the trial and other procedural actions </w:t>
      </w:r>
      <w:r w:rsidR="0097381E" w:rsidRPr="00212A44">
        <w:lastRenderedPageBreak/>
        <w:t xml:space="preserve">can be conducted without the defendant being present, if it is ascertained that it is impossible to bring him to court. </w:t>
      </w:r>
    </w:p>
    <w:p w14:paraId="222AF646" w14:textId="77777777" w:rsidR="0097381E" w:rsidRPr="009A4D9E" w:rsidRDefault="00460836" w:rsidP="0097381E">
      <w:pPr>
        <w:pStyle w:val="SingleTxtG"/>
      </w:pPr>
      <w:r>
        <w:t>4</w:t>
      </w:r>
      <w:r w:rsidR="0097381E">
        <w:t>.6</w:t>
      </w:r>
      <w:r w:rsidR="0097381E" w:rsidRPr="00212A44">
        <w:tab/>
        <w:t xml:space="preserve">According to the jurisprudence of the Committee, it does not consider cases, in which the author did not exhaust available domestic remedies. In all four criminal cases against the author in which the verdict and sentence came into force, the author and/or his lawyers failed to file cassation appeals and supervisory review appeal </w:t>
      </w:r>
      <w:r w:rsidR="0097381E" w:rsidRPr="00C53C0B">
        <w:t>requests</w:t>
      </w:r>
      <w:r w:rsidR="0097381E" w:rsidRPr="00212A44">
        <w:t xml:space="preserve">. The ongoing criminal cases against the author are being intentionally delayed by the author’s lawyers, who file numerous frivolous motions to courts. The investigations are also difficult to complete, because some of the procedures require the author’s presence, but he is at large and refuses to appear. </w:t>
      </w:r>
    </w:p>
    <w:p w14:paraId="6536AB9A" w14:textId="77777777" w:rsidR="0097381E" w:rsidRPr="009A4D9E" w:rsidRDefault="0097381E">
      <w:pPr>
        <w:pStyle w:val="H23G"/>
      </w:pPr>
      <w:r>
        <w:tab/>
      </w:r>
      <w:r>
        <w:tab/>
      </w:r>
      <w:r w:rsidRPr="009A4D9E">
        <w:t xml:space="preserve">Author’s </w:t>
      </w:r>
      <w:r w:rsidRPr="00C53C0B">
        <w:t>comments</w:t>
      </w:r>
      <w:r w:rsidRPr="009A4D9E">
        <w:t xml:space="preserve"> on the State party’s observations on admissibility and merits</w:t>
      </w:r>
    </w:p>
    <w:p w14:paraId="7D621A6B" w14:textId="77777777" w:rsidR="0097381E" w:rsidRPr="00796596" w:rsidRDefault="00460836" w:rsidP="0097381E">
      <w:pPr>
        <w:pStyle w:val="SingleTxtG"/>
      </w:pPr>
      <w:r>
        <w:t>5</w:t>
      </w:r>
      <w:r w:rsidR="0097381E" w:rsidRPr="009A4D9E">
        <w:t>.</w:t>
      </w:r>
      <w:r w:rsidR="0097381E" w:rsidRPr="00C31688">
        <w:t>1</w:t>
      </w:r>
      <w:r w:rsidR="004404E7">
        <w:tab/>
      </w:r>
      <w:r w:rsidR="0097381E" w:rsidRPr="00796596">
        <w:t xml:space="preserve">On 26 June and 23 October 2017, the author submits that he was never informed about any criminal charges against him, despite having hired a private defence lawyer. When he heard rumours about criminal charges </w:t>
      </w:r>
      <w:r w:rsidR="0097381E">
        <w:t xml:space="preserve">having been brought </w:t>
      </w:r>
      <w:r w:rsidR="0097381E" w:rsidRPr="00796596">
        <w:t xml:space="preserve">against him, he sent letters to the State party authorities requesting information, but never received any responses. The prosecutor’s office and courts of the State party had the author’s mail address and phone number, but he never communicated any information related to criminal cases against him. </w:t>
      </w:r>
    </w:p>
    <w:p w14:paraId="379C7528" w14:textId="77777777" w:rsidR="0097381E" w:rsidRPr="00796596" w:rsidRDefault="00460836" w:rsidP="0097381E">
      <w:pPr>
        <w:pStyle w:val="SingleTxtG"/>
      </w:pPr>
      <w:r>
        <w:t>5</w:t>
      </w:r>
      <w:r w:rsidR="0097381E" w:rsidRPr="00796596">
        <w:t>.2</w:t>
      </w:r>
      <w:r w:rsidR="0097381E" w:rsidRPr="00796596">
        <w:tab/>
        <w:t xml:space="preserve">The State party in its response also failed to respond to the majority of the author’s claims. </w:t>
      </w:r>
      <w:r w:rsidR="0097381E" w:rsidRPr="0097381E">
        <w:t>The</w:t>
      </w:r>
      <w:r w:rsidR="0097381E" w:rsidRPr="00796596">
        <w:t xml:space="preserve"> author filed several lawsuits to protect his honour, dignity and business reputation, to no avail. On 17 January 2012, the Supreme Court returned his supervisory review request without considering it. </w:t>
      </w:r>
    </w:p>
    <w:p w14:paraId="084743CB" w14:textId="77777777" w:rsidR="0097381E" w:rsidRPr="00F5613C" w:rsidRDefault="00460836" w:rsidP="0097381E">
      <w:pPr>
        <w:pStyle w:val="SingleTxtG"/>
      </w:pPr>
      <w:r>
        <w:t>5</w:t>
      </w:r>
      <w:r w:rsidR="0097381E" w:rsidRPr="00796596">
        <w:t>.3</w:t>
      </w:r>
      <w:r w:rsidR="0097381E" w:rsidRPr="00796596">
        <w:tab/>
        <w:t xml:space="preserve">The State party authorities further ignored the author’s complaints to the prosecutor’s office, </w:t>
      </w:r>
      <w:r w:rsidR="0097381E" w:rsidRPr="0097381E">
        <w:t>starting</w:t>
      </w:r>
      <w:r w:rsidR="0097381E" w:rsidRPr="00796596">
        <w:t xml:space="preserve"> from 22 April 2010 until 30 November 2010. The State party also did not comment on </w:t>
      </w:r>
      <w:r w:rsidR="0097381E">
        <w:t xml:space="preserve">a </w:t>
      </w:r>
      <w:r w:rsidR="0097381E" w:rsidRPr="00F5613C">
        <w:t xml:space="preserve">number of statements from government public officials, which violated the author’s right to presumption of innocence. </w:t>
      </w:r>
      <w:r w:rsidR="0097381E" w:rsidRPr="0079725A">
        <w:t xml:space="preserve">Such statements included a public announcement by the deputy head of </w:t>
      </w:r>
      <w:r w:rsidR="0097381E" w:rsidRPr="00796596">
        <w:t xml:space="preserve">provisional government of Kyrgyzstan, </w:t>
      </w:r>
      <w:r w:rsidR="0097381E">
        <w:t xml:space="preserve">the </w:t>
      </w:r>
      <w:r w:rsidR="0097381E" w:rsidRPr="00796596">
        <w:t>so</w:t>
      </w:r>
      <w:r w:rsidR="0097381E">
        <w:t>-</w:t>
      </w:r>
      <w:r w:rsidR="0097381E" w:rsidRPr="00796596">
        <w:t xml:space="preserve">called “supervisor” of courts and law enforcement agencies, Azimbek Beknazarov; </w:t>
      </w:r>
      <w:r w:rsidR="0097381E">
        <w:t xml:space="preserve">a </w:t>
      </w:r>
      <w:r w:rsidR="0097381E" w:rsidRPr="00F5613C">
        <w:t xml:space="preserve">formal announcement of the </w:t>
      </w:r>
      <w:r w:rsidR="0097381E" w:rsidRPr="0079725A">
        <w:t>provisional government declaring a bounty amount for “detaining” the author as someone who has committed grave crimes;</w:t>
      </w:r>
      <w:r w:rsidR="0097381E" w:rsidRPr="00796596">
        <w:t xml:space="preserve"> formal announcements by the Office of the Prosecutor General stating that the author is charged with five crimes and has been declared a wanted fugitive, and declaring the author guilty of corruption and laundering money; a public announcement of the minister of economy that the author was corrupted and acting in conspiracy with</w:t>
      </w:r>
      <w:r w:rsidR="0097381E" w:rsidRPr="00EA2EB8">
        <w:t xml:space="preserve"> </w:t>
      </w:r>
      <w:r w:rsidR="0097381E">
        <w:t>the ousted President’ son</w:t>
      </w:r>
      <w:r w:rsidR="0097381E" w:rsidRPr="00EA2EB8">
        <w:t xml:space="preserve"> Maksim Bakiev; a public announcement from the Supreme Court that the author was a criminal who conspired to commit crimes with Maksim Bakiev; </w:t>
      </w:r>
      <w:r w:rsidR="0097381E">
        <w:t xml:space="preserve">as well as </w:t>
      </w:r>
      <w:r w:rsidR="0097381E" w:rsidRPr="00F5613C">
        <w:t xml:space="preserve">several statements from members of Parliament. </w:t>
      </w:r>
    </w:p>
    <w:p w14:paraId="3100886E" w14:textId="77777777" w:rsidR="0097381E" w:rsidRPr="00796596" w:rsidRDefault="00460836" w:rsidP="0097381E">
      <w:pPr>
        <w:pStyle w:val="SingleTxtG"/>
      </w:pPr>
      <w:r>
        <w:t>5</w:t>
      </w:r>
      <w:r w:rsidR="0097381E" w:rsidRPr="00796596">
        <w:t>.</w:t>
      </w:r>
      <w:r w:rsidR="0097381E">
        <w:t>4</w:t>
      </w:r>
      <w:r w:rsidR="0097381E" w:rsidRPr="00796596">
        <w:tab/>
        <w:t xml:space="preserve">The author reiterates that he was never informed about charges against him, that he never absconded, that he was never summoned to appear for any investigative actions. At the same time, the author asked </w:t>
      </w:r>
      <w:r w:rsidR="0088631E" w:rsidRPr="00796596">
        <w:t xml:space="preserve">in vain </w:t>
      </w:r>
      <w:r w:rsidR="0097381E" w:rsidRPr="00796596">
        <w:t xml:space="preserve">to be informed about the criminal charges, despite receiving other letters from the State party (unrelated to the criminal charges). Despite this fact, the State party conducted several trials against the author and </w:t>
      </w:r>
      <w:r w:rsidR="003F1E74">
        <w:t xml:space="preserve">eventually </w:t>
      </w:r>
      <w:r w:rsidR="0097381E" w:rsidRPr="00796596">
        <w:t xml:space="preserve">sentenced him to 25 years of imprisonment. </w:t>
      </w:r>
    </w:p>
    <w:p w14:paraId="7C7EBAF3" w14:textId="77777777" w:rsidR="0097381E" w:rsidRDefault="00460836" w:rsidP="0097381E">
      <w:pPr>
        <w:pStyle w:val="SingleTxtG"/>
      </w:pPr>
      <w:r>
        <w:t>5</w:t>
      </w:r>
      <w:r w:rsidR="0097381E">
        <w:t>.5</w:t>
      </w:r>
      <w:r w:rsidR="0097381E" w:rsidRPr="00796596">
        <w:tab/>
        <w:t>The author</w:t>
      </w:r>
      <w:r w:rsidR="0097381E">
        <w:t xml:space="preserve"> claims that his</w:t>
      </w:r>
      <w:r w:rsidR="0097381E" w:rsidRPr="00894D23">
        <w:t xml:space="preserve"> right to a hearing by a competent, impartial court was violated, because he was not informed about the proceedings </w:t>
      </w:r>
      <w:r w:rsidR="0097381E">
        <w:t xml:space="preserve">brought </w:t>
      </w:r>
      <w:r w:rsidR="0097381E" w:rsidRPr="00894D23">
        <w:t xml:space="preserve">against him, and therefore without </w:t>
      </w:r>
      <w:r w:rsidR="0097381E">
        <w:t xml:space="preserve">being </w:t>
      </w:r>
      <w:r w:rsidR="0097381E" w:rsidRPr="00894D23">
        <w:t>inform</w:t>
      </w:r>
      <w:r w:rsidR="0097381E">
        <w:t>ed</w:t>
      </w:r>
      <w:r w:rsidR="0097381E" w:rsidRPr="00894D23">
        <w:t xml:space="preserve"> of specific charges. During the hearings, the State party used </w:t>
      </w:r>
      <w:r w:rsidR="0097381E">
        <w:t xml:space="preserve">a </w:t>
      </w:r>
      <w:r w:rsidR="0097381E" w:rsidRPr="00894D23">
        <w:t>fictitious defence lawyer. The courts and the prosecutor’s office were heavily influenced by the President of the country, and by the so-called court</w:t>
      </w:r>
      <w:r w:rsidR="0097381E">
        <w:t>’</w:t>
      </w:r>
      <w:r w:rsidR="0097381E" w:rsidRPr="00894D23">
        <w:t xml:space="preserve">s “supervisor” from the President’s Administration. </w:t>
      </w:r>
    </w:p>
    <w:p w14:paraId="24D6F810" w14:textId="77777777" w:rsidR="0097381E" w:rsidRPr="0079725A" w:rsidRDefault="00460836" w:rsidP="0097381E">
      <w:pPr>
        <w:pStyle w:val="SingleTxtG"/>
      </w:pPr>
      <w:r>
        <w:t>5</w:t>
      </w:r>
      <w:r w:rsidR="0097381E">
        <w:t>.6</w:t>
      </w:r>
      <w:r w:rsidR="0097381E" w:rsidRPr="00E46080">
        <w:tab/>
        <w:t>The</w:t>
      </w:r>
      <w:r w:rsidR="0097381E">
        <w:t xml:space="preserve"> author claims that the</w:t>
      </w:r>
      <w:r w:rsidR="0097381E" w:rsidRPr="0079725A">
        <w:t xml:space="preserve"> State party intentionally did not inform the author of the charges against him</w:t>
      </w:r>
      <w:r w:rsidR="0097381E">
        <w:t xml:space="preserve">. This </w:t>
      </w:r>
      <w:r w:rsidR="0097381E" w:rsidRPr="0079725A">
        <w:t>did not allow the author to prepare for his defence, and to communicate with the counsel of his own choosing, or to be present at his own trial and defend himself in person, and call and question witnesses. The courts did not inquire, as law requires them, whether the author (defendant) was given a copy of the indictment (</w:t>
      </w:r>
      <w:r w:rsidR="0097381E">
        <w:t>he was not</w:t>
      </w:r>
      <w:r w:rsidR="0097381E" w:rsidRPr="0079725A">
        <w:t xml:space="preserve">). The findings made by courts against the author are absolutely arbitrary and amounted to a denial of justice. The evidence that was presented in court was falsified by the State party due to politically motivated persecution of the author. For example, during one of the trials, judge K.B.B. readily and without evidence admitted the fact that the author acted with </w:t>
      </w:r>
      <w:r w:rsidR="0097381E" w:rsidRPr="0079725A">
        <w:lastRenderedPageBreak/>
        <w:t xml:space="preserve">members of the families </w:t>
      </w:r>
      <w:r w:rsidR="0097381E">
        <w:t xml:space="preserve">belonging to </w:t>
      </w:r>
      <w:r w:rsidR="0097381E" w:rsidRPr="0079725A">
        <w:t xml:space="preserve">the previous administration of the country, specifically, with </w:t>
      </w:r>
      <w:r w:rsidR="0097381E">
        <w:t xml:space="preserve">the son of the </w:t>
      </w:r>
      <w:r w:rsidR="0097381E" w:rsidRPr="0079725A">
        <w:t xml:space="preserve">former President Bakiev. </w:t>
      </w:r>
    </w:p>
    <w:p w14:paraId="65F733FC" w14:textId="77777777" w:rsidR="0097381E" w:rsidRPr="00796596" w:rsidRDefault="00460836" w:rsidP="0097381E">
      <w:pPr>
        <w:pStyle w:val="SingleTxtG"/>
      </w:pPr>
      <w:r>
        <w:t>5</w:t>
      </w:r>
      <w:r w:rsidR="0097381E" w:rsidRPr="00732619">
        <w:t>.</w:t>
      </w:r>
      <w:r w:rsidR="0097381E">
        <w:t>7</w:t>
      </w:r>
      <w:r w:rsidR="0097381E" w:rsidRPr="00732619">
        <w:tab/>
        <w:t>As for the exhaustion of domestic remedies, the author notes that the State party seemingly accepts that the author exhausted remedies for claims other than those related to criminal charges against him. The author claims that the remedies in these criminal cases have been either exhausted or unavai</w:t>
      </w:r>
      <w:r w:rsidR="0097381E" w:rsidRPr="00796596">
        <w:t>lable to him. He further claims that he has not taken any actions to intentionally prolong the procedures against himself.</w:t>
      </w:r>
      <w:r w:rsidR="0097381E" w:rsidRPr="00E46080">
        <w:t xml:space="preserve"> He had </w:t>
      </w:r>
      <w:r w:rsidR="0097381E">
        <w:t>a</w:t>
      </w:r>
      <w:r w:rsidR="0097381E" w:rsidRPr="00E46080">
        <w:t xml:space="preserve"> lawyer, who represented him before the events of 7 April 2010</w:t>
      </w:r>
      <w:r w:rsidR="0097381E" w:rsidRPr="00732619">
        <w:t xml:space="preserve">, S.H.B. This lawyer was </w:t>
      </w:r>
      <w:r w:rsidR="0097381E">
        <w:t xml:space="preserve">however </w:t>
      </w:r>
      <w:r w:rsidR="0097381E" w:rsidRPr="00732619">
        <w:t xml:space="preserve">not allowed to communicate with him </w:t>
      </w:r>
      <w:r w:rsidR="0097381E" w:rsidRPr="00796596">
        <w:t xml:space="preserve">and inform him about the charges. The author did not have any other lawyers in Kyrgyzstan. </w:t>
      </w:r>
    </w:p>
    <w:p w14:paraId="579230E6" w14:textId="77777777" w:rsidR="0097381E" w:rsidRPr="009A4D9E" w:rsidRDefault="00460836">
      <w:pPr>
        <w:pStyle w:val="SingleTxtG"/>
      </w:pPr>
      <w:r>
        <w:t>5</w:t>
      </w:r>
      <w:r w:rsidR="0097381E" w:rsidRPr="00796596">
        <w:t>.</w:t>
      </w:r>
      <w:r w:rsidR="0097381E">
        <w:t>8</w:t>
      </w:r>
      <w:r w:rsidR="0097381E" w:rsidRPr="00796596">
        <w:tab/>
        <w:t>In one of the criminal trials against the author, for example, the State party appointed a lawyer to represent him, without informing or notifying the author. This lawyer, N.A.M., did not file an</w:t>
      </w:r>
      <w:r w:rsidR="0097381E">
        <w:t>y</w:t>
      </w:r>
      <w:r w:rsidR="0097381E" w:rsidRPr="00E46080">
        <w:t xml:space="preserve"> appeal on behalf of the author. </w:t>
      </w:r>
      <w:r w:rsidR="0097381E" w:rsidRPr="00732619">
        <w:t xml:space="preserve">The author therefore denies </w:t>
      </w:r>
      <w:r w:rsidR="0097381E">
        <w:t xml:space="preserve">having </w:t>
      </w:r>
      <w:r w:rsidR="0097381E" w:rsidRPr="00732619">
        <w:t>fil</w:t>
      </w:r>
      <w:r w:rsidR="0097381E">
        <w:t>ed</w:t>
      </w:r>
      <w:r w:rsidR="0097381E" w:rsidRPr="00732619">
        <w:t xml:space="preserve"> any motions or petitions that </w:t>
      </w:r>
      <w:r w:rsidR="005C76E1">
        <w:t xml:space="preserve"> in any way</w:t>
      </w:r>
      <w:r w:rsidR="0097381E">
        <w:t xml:space="preserve"> </w:t>
      </w:r>
      <w:r w:rsidR="0097381E" w:rsidRPr="00732619">
        <w:t>prolong</w:t>
      </w:r>
      <w:r w:rsidR="005C76E1">
        <w:t>ed</w:t>
      </w:r>
      <w:r w:rsidR="0097381E" w:rsidRPr="00732619">
        <w:t xml:space="preserve"> the proceedings. </w:t>
      </w:r>
      <w:r w:rsidR="0097381E">
        <w:t>While t</w:t>
      </w:r>
      <w:r w:rsidR="0097381E" w:rsidRPr="00732619">
        <w:t xml:space="preserve">he Criminal Procedure Code of Kyrgyzstan indeed allows </w:t>
      </w:r>
      <w:r w:rsidR="00A63ECC">
        <w:t>a</w:t>
      </w:r>
      <w:r w:rsidR="00A63ECC" w:rsidRPr="00732619">
        <w:t xml:space="preserve"> </w:t>
      </w:r>
      <w:r w:rsidR="0097381E" w:rsidRPr="00732619">
        <w:t xml:space="preserve">trial to be conducted without </w:t>
      </w:r>
      <w:r w:rsidR="0097381E">
        <w:t xml:space="preserve">the </w:t>
      </w:r>
      <w:r w:rsidR="0097381E" w:rsidRPr="00732619">
        <w:t xml:space="preserve">presence </w:t>
      </w:r>
      <w:r w:rsidR="0097381E" w:rsidRPr="00796596">
        <w:t xml:space="preserve">of the defendant, </w:t>
      </w:r>
      <w:r w:rsidR="0097381E">
        <w:t xml:space="preserve">it does so </w:t>
      </w:r>
      <w:r w:rsidR="0097381E" w:rsidRPr="00796596">
        <w:t xml:space="preserve">only in cases </w:t>
      </w:r>
      <w:r w:rsidR="0097381E" w:rsidRPr="00C53C0B">
        <w:t>when</w:t>
      </w:r>
      <w:r w:rsidR="0097381E" w:rsidRPr="00796596">
        <w:t xml:space="preserve"> the defendant is located outside of the country and does not appear in court</w:t>
      </w:r>
      <w:r w:rsidR="0097381E">
        <w:t>, and further provided he be duly informed about the forthcoming hearing</w:t>
      </w:r>
      <w:r w:rsidR="0097381E" w:rsidRPr="00796596">
        <w:t xml:space="preserve">. This does not apply to </w:t>
      </w:r>
      <w:r w:rsidR="0097381E">
        <w:t xml:space="preserve">the </w:t>
      </w:r>
      <w:r w:rsidR="0097381E" w:rsidRPr="00EA2EB8">
        <w:t>author</w:t>
      </w:r>
      <w:r w:rsidR="0097381E">
        <w:t>, however,</w:t>
      </w:r>
      <w:r w:rsidR="0097381E" w:rsidRPr="00EA2EB8">
        <w:t xml:space="preserve"> as he was never informed about the hearings</w:t>
      </w:r>
      <w:r w:rsidR="00C33003">
        <w:t>.</w:t>
      </w:r>
      <w:r w:rsidR="0097381E" w:rsidRPr="009A4D9E">
        <w:t xml:space="preserve"> </w:t>
      </w:r>
    </w:p>
    <w:p w14:paraId="1E6AC60B" w14:textId="77777777" w:rsidR="0097381E" w:rsidRPr="0079725A" w:rsidRDefault="00460836" w:rsidP="0097381E">
      <w:pPr>
        <w:pStyle w:val="SingleTxtG"/>
      </w:pPr>
      <w:r>
        <w:t>5</w:t>
      </w:r>
      <w:r w:rsidR="0097381E" w:rsidRPr="00C31688">
        <w:t>.</w:t>
      </w:r>
      <w:r w:rsidR="0097381E">
        <w:t>9</w:t>
      </w:r>
      <w:r w:rsidR="0097381E" w:rsidRPr="00C31688">
        <w:tab/>
      </w:r>
      <w:r w:rsidR="0097381E" w:rsidRPr="003B3461">
        <w:t xml:space="preserve">The author submits that the State party’s reaction to the complaint submitted by the author and some other authors from Kyrgyzstan was to change the Constitution of Kyrgyzstan </w:t>
      </w:r>
      <w:r w:rsidR="0097381E">
        <w:t>concerning the</w:t>
      </w:r>
      <w:r w:rsidR="0097381E" w:rsidRPr="003B3461">
        <w:t xml:space="preserve"> part that foresees primacy of international laws over national legislation. Several state-owned media outlets openly discussed a connection between these complaints and the necessity for preserving the “sovereignty” of the country. This shows that the State party practices “systemic discrimination and violations” of the author’s rights, by singling him out as an “enemy of the people”. </w:t>
      </w:r>
      <w:r w:rsidR="0097381E">
        <w:t xml:space="preserve">The author further submits that </w:t>
      </w:r>
      <w:r w:rsidR="0097381E" w:rsidRPr="003B3461">
        <w:t>President Atambaev personally participated in persecuting the author through courts, prosecutors and other government officials</w:t>
      </w:r>
      <w:r w:rsidR="0097381E">
        <w:t xml:space="preserve">, and that the government is keeping this </w:t>
      </w:r>
      <w:r w:rsidR="0097381E" w:rsidRPr="00C53C0B">
        <w:t>information</w:t>
      </w:r>
      <w:r w:rsidR="0097381E">
        <w:t xml:space="preserve"> secret.</w:t>
      </w:r>
      <w:r w:rsidR="0097381E" w:rsidRPr="003B3461">
        <w:t xml:space="preserve"> </w:t>
      </w:r>
      <w:r w:rsidR="0097381E" w:rsidRPr="0079725A">
        <w:t xml:space="preserve">One of the purposes of </w:t>
      </w:r>
      <w:r w:rsidR="0097381E">
        <w:t>Atambaev’s</w:t>
      </w:r>
      <w:r w:rsidR="0097381E" w:rsidRPr="0079725A">
        <w:t xml:space="preserve"> campaign was to prevent the author from returning to Kyrgyzstan, in which case, the author would have exposed crimes committed by Atambaev</w:t>
      </w:r>
      <w:r w:rsidR="0097381E">
        <w:t>.</w:t>
      </w:r>
    </w:p>
    <w:p w14:paraId="013C4959" w14:textId="77777777" w:rsidR="0097381E" w:rsidRPr="003B3461" w:rsidRDefault="00460836">
      <w:pPr>
        <w:pStyle w:val="SingleTxtG"/>
      </w:pPr>
      <w:r>
        <w:t>5</w:t>
      </w:r>
      <w:r w:rsidR="0097381E" w:rsidRPr="00796596">
        <w:t>.1</w:t>
      </w:r>
      <w:r w:rsidR="0097381E">
        <w:t>0</w:t>
      </w:r>
      <w:r w:rsidR="0097381E" w:rsidRPr="00796596">
        <w:tab/>
        <w:t>The author submits that his lawyer, S.H.B., contacted him on 12 January 2017, informing him that during the summer of 2013</w:t>
      </w:r>
      <w:r w:rsidR="0097381E">
        <w:t xml:space="preserve"> he had learnt</w:t>
      </w:r>
      <w:r w:rsidR="0097381E" w:rsidRPr="00796596">
        <w:t xml:space="preserve">, from “unofficial sources” and by accident that on 6 June 2013, the Osh City Court </w:t>
      </w:r>
      <w:r w:rsidR="0097381E">
        <w:t xml:space="preserve">had </w:t>
      </w:r>
      <w:r w:rsidR="0097381E" w:rsidRPr="00796596">
        <w:t xml:space="preserve">found the author guilty and </w:t>
      </w:r>
      <w:r w:rsidR="0097381E">
        <w:t xml:space="preserve">had </w:t>
      </w:r>
      <w:r w:rsidR="0097381E" w:rsidRPr="00796596">
        <w:t>sentenced him to six years and six months of imprisonment. Despite the fact that the author and the lawyer have not been in contact since April 2010, the lawyer “felt obliged” to represent him.</w:t>
      </w:r>
      <w:r w:rsidR="0097381E" w:rsidRPr="009A4D9E">
        <w:t xml:space="preserve"> On 26 September 2013, S.H.B. filed an appeal on behalf of the author, in which he listed some significant procedural and “substantive” violations. The author submits that the trial was postponed several times, to ensure </w:t>
      </w:r>
      <w:r w:rsidR="0097381E">
        <w:t xml:space="preserve">the </w:t>
      </w:r>
      <w:r w:rsidR="0097381E" w:rsidRPr="009A4D9E">
        <w:t xml:space="preserve">presence of the author and his lawyer. At the end, it was </w:t>
      </w:r>
      <w:r w:rsidR="0097381E">
        <w:t xml:space="preserve">however </w:t>
      </w:r>
      <w:r w:rsidR="0097381E" w:rsidRPr="009A4D9E">
        <w:t xml:space="preserve">decided to conduct the trial without the </w:t>
      </w:r>
      <w:r w:rsidR="0097381E" w:rsidRPr="00C31688">
        <w:t xml:space="preserve">presence of the author, and counsel, N.A.M., was appointed to represent the author. The author further submits that he </w:t>
      </w:r>
      <w:r w:rsidR="00A63ECC">
        <w:t>should have been</w:t>
      </w:r>
      <w:r w:rsidR="0097381E" w:rsidRPr="00C31688">
        <w:t xml:space="preserve"> presented with a copy of the indictment </w:t>
      </w:r>
      <w:r w:rsidR="0097381E">
        <w:t>as required by</w:t>
      </w:r>
      <w:r w:rsidR="0097381E" w:rsidRPr="00C31688">
        <w:t xml:space="preserve"> the Criminal Procedure Code, </w:t>
      </w:r>
      <w:r w:rsidR="0097381E">
        <w:t>which</w:t>
      </w:r>
      <w:r w:rsidR="0097381E" w:rsidRPr="00C31688">
        <w:t xml:space="preserve"> correlates with article 14(3)(a) of the Covenant. Without the auth</w:t>
      </w:r>
      <w:r w:rsidR="0097381E" w:rsidRPr="003B3461">
        <w:t>or being present, the court continued the trial</w:t>
      </w:r>
      <w:r w:rsidR="0097381E">
        <w:t xml:space="preserve">. </w:t>
      </w:r>
      <w:r w:rsidR="0097381E" w:rsidRPr="003B3461">
        <w:t xml:space="preserve">The </w:t>
      </w:r>
      <w:r w:rsidR="0097381E">
        <w:t xml:space="preserve">author claims that the </w:t>
      </w:r>
      <w:r w:rsidR="0097381E" w:rsidRPr="003B3461">
        <w:t xml:space="preserve">result of the trial was obvious from the beginning, </w:t>
      </w:r>
      <w:r w:rsidR="0097381E">
        <w:t>as the court did not rule</w:t>
      </w:r>
      <w:r w:rsidR="0097381E" w:rsidRPr="003B3461">
        <w:t xml:space="preserve"> independent</w:t>
      </w:r>
      <w:r w:rsidR="0097381E">
        <w:t>ly.</w:t>
      </w:r>
      <w:r w:rsidR="0097381E" w:rsidRPr="003B3461">
        <w:t xml:space="preserve"> </w:t>
      </w:r>
    </w:p>
    <w:p w14:paraId="00D69B66" w14:textId="77777777" w:rsidR="0097381E" w:rsidRPr="00EE5033" w:rsidRDefault="00460836" w:rsidP="0097381E">
      <w:pPr>
        <w:pStyle w:val="SingleTxtG"/>
      </w:pPr>
      <w:r>
        <w:t>5</w:t>
      </w:r>
      <w:r w:rsidR="0097381E" w:rsidRPr="0079725A">
        <w:t>.1</w:t>
      </w:r>
      <w:r w:rsidR="0097381E">
        <w:t>1</w:t>
      </w:r>
      <w:r w:rsidR="0097381E" w:rsidRPr="0079725A">
        <w:tab/>
        <w:t xml:space="preserve">The author submits that </w:t>
      </w:r>
      <w:r w:rsidR="0097381E">
        <w:t xml:space="preserve">his appointed </w:t>
      </w:r>
      <w:r w:rsidR="0097381E" w:rsidRPr="0079725A">
        <w:t xml:space="preserve">counsel, N.A.M., failed to submit </w:t>
      </w:r>
      <w:r w:rsidR="0097381E">
        <w:t xml:space="preserve">an </w:t>
      </w:r>
      <w:r w:rsidR="0097381E" w:rsidRPr="0079725A">
        <w:t xml:space="preserve">appeal on his behalf. His </w:t>
      </w:r>
      <w:r w:rsidR="0097381E" w:rsidRPr="00C53C0B">
        <w:t>other</w:t>
      </w:r>
      <w:r w:rsidR="0097381E" w:rsidRPr="0079725A">
        <w:t xml:space="preserve"> lawyer, S.H.B., learned about the case by accident, and immediately filed an appeal. Since the lawyer missed the ten-</w:t>
      </w:r>
      <w:r w:rsidR="0097381E" w:rsidRPr="00E46080">
        <w:t xml:space="preserve">day deadline, after the trial court’s verdict and sentence, he also asked the appeal court for leave to appeal, which was initially approved, on 30 September 2013. But on 9 October 2013, the prosecutor filed a complaint challenging this decision. As a result, the initial court decision was annulled. In this decision, the court stated that the author was represented by counsel, N.A.M., during his trial, and that this lawyer did not find it necessary to file an appeal. The author submits that this lawyer was </w:t>
      </w:r>
      <w:r w:rsidR="0097381E" w:rsidRPr="00EE5033">
        <w:t xml:space="preserve">not present during some of the hearings, including the last one, on 6 June 2013. The court also did not accept the fact that S.H.B., who filed leave to appeal, was actually representing the author. This </w:t>
      </w:r>
      <w:r w:rsidR="0097381E">
        <w:t xml:space="preserve">court </w:t>
      </w:r>
      <w:r w:rsidR="0097381E" w:rsidRPr="00EE5033">
        <w:t xml:space="preserve">decision was arbitrary and amounted to denial of justice due to the fact that the author did have an ongoing agreement with this lawyer dated 17 February 2009. </w:t>
      </w:r>
    </w:p>
    <w:p w14:paraId="44145725" w14:textId="77777777" w:rsidR="0097381E" w:rsidRPr="00370CD6" w:rsidRDefault="00460836" w:rsidP="0097381E">
      <w:pPr>
        <w:pStyle w:val="SingleTxtG"/>
      </w:pPr>
      <w:r>
        <w:lastRenderedPageBreak/>
        <w:t>5</w:t>
      </w:r>
      <w:r w:rsidR="0097381E" w:rsidRPr="00212A44">
        <w:t>.1</w:t>
      </w:r>
      <w:r w:rsidR="0097381E">
        <w:t>2</w:t>
      </w:r>
      <w:r w:rsidR="0097381E" w:rsidRPr="00212A44">
        <w:tab/>
        <w:t xml:space="preserve">This decision was appealed to the Supreme Court under the supervisory review procedure which rejected the appeal on 20 </w:t>
      </w:r>
      <w:r w:rsidR="0097381E" w:rsidRPr="00796596">
        <w:t xml:space="preserve">February 2014. At the same time, S.H.B. attempted to find out the author’s whereabouts. The prosecutor’s office had full information about the author’s place of residence, but responded that they were not aware of the author’s whereabouts. S.H.B. disputed this reply all the way to the Constitutional Court of Kyrgyzstan, claiming, inter alia, </w:t>
      </w:r>
      <w:r w:rsidR="0097381E">
        <w:t xml:space="preserve">a </w:t>
      </w:r>
      <w:r w:rsidR="0097381E" w:rsidRPr="00EE5033">
        <w:t xml:space="preserve">violation of article 14(3)(d) of the Covenant, but the initial </w:t>
      </w:r>
      <w:r w:rsidR="0097381E">
        <w:t>decision</w:t>
      </w:r>
      <w:r w:rsidR="0097381E" w:rsidRPr="00EE5033">
        <w:t xml:space="preserve"> was upheld.</w:t>
      </w:r>
    </w:p>
    <w:p w14:paraId="5B600988" w14:textId="77777777" w:rsidR="0097381E" w:rsidRPr="005450A6" w:rsidRDefault="00460836" w:rsidP="0097381E">
      <w:pPr>
        <w:pStyle w:val="SingleTxtG"/>
      </w:pPr>
      <w:r>
        <w:t>5</w:t>
      </w:r>
      <w:r w:rsidR="0097381E" w:rsidRPr="009E3350">
        <w:t>.1</w:t>
      </w:r>
      <w:r w:rsidR="0097381E">
        <w:t>3</w:t>
      </w:r>
      <w:r w:rsidR="0097381E" w:rsidRPr="009E3350">
        <w:tab/>
        <w:t xml:space="preserve">The author submits that further to the </w:t>
      </w:r>
      <w:r w:rsidR="0097381E" w:rsidRPr="00212A44">
        <w:t>verdict and sentence of imprisonment, the courts also decided to confiscate all of the author’s property. The order of forfeiture of the property was issued on 5 July 2013, but again the author was not informed</w:t>
      </w:r>
      <w:r w:rsidR="0097381E">
        <w:t xml:space="preserve"> of this decision</w:t>
      </w:r>
      <w:r w:rsidR="0097381E" w:rsidRPr="00212A44">
        <w:t xml:space="preserve">. </w:t>
      </w:r>
      <w:r w:rsidR="0097381E">
        <w:t>The c</w:t>
      </w:r>
      <w:r w:rsidR="0097381E" w:rsidRPr="00212A44">
        <w:t xml:space="preserve">onfiscation consisted of </w:t>
      </w:r>
      <w:r w:rsidR="0097381E">
        <w:t xml:space="preserve">a </w:t>
      </w:r>
      <w:r w:rsidR="0097381E" w:rsidRPr="005450A6">
        <w:t xml:space="preserve">large amount of cash and all company stocks that were owned by the author. The author’s house, apartment and summer </w:t>
      </w:r>
      <w:r w:rsidR="0097381E" w:rsidRPr="00224501">
        <w:t>residence</w:t>
      </w:r>
      <w:r w:rsidR="0097381E" w:rsidRPr="005450A6">
        <w:t xml:space="preserve"> were confiscated as well. His house was later converted to be used by the Supreme Court of Kyrgyzstan. </w:t>
      </w:r>
    </w:p>
    <w:p w14:paraId="0E5A84E5" w14:textId="77777777" w:rsidR="0097381E" w:rsidRPr="003B3461" w:rsidRDefault="00460836">
      <w:pPr>
        <w:pStyle w:val="SingleTxtG"/>
      </w:pPr>
      <w:r>
        <w:t>5</w:t>
      </w:r>
      <w:r w:rsidR="0097381E" w:rsidRPr="009A4D9E">
        <w:t>.1</w:t>
      </w:r>
      <w:r w:rsidR="0097381E">
        <w:t>4</w:t>
      </w:r>
      <w:r w:rsidR="0097381E" w:rsidRPr="009A4D9E">
        <w:tab/>
        <w:t xml:space="preserve">The author further submits that the State party “staged” </w:t>
      </w:r>
      <w:r w:rsidR="0097381E" w:rsidRPr="00C31688">
        <w:t xml:space="preserve">additional court hearings and trials against him, again without informing </w:t>
      </w:r>
      <w:r w:rsidR="0097381E">
        <w:t xml:space="preserve">him </w:t>
      </w:r>
      <w:r w:rsidR="0097381E" w:rsidRPr="00C31688">
        <w:t>or his official representative in the country</w:t>
      </w:r>
      <w:r w:rsidR="00C33003">
        <w:t xml:space="preserve">. </w:t>
      </w:r>
      <w:r w:rsidR="0097381E" w:rsidRPr="009A4D9E">
        <w:t xml:space="preserve">In the second criminal trial against him, </w:t>
      </w:r>
      <w:r w:rsidR="0097381E">
        <w:t>his</w:t>
      </w:r>
      <w:r w:rsidR="0097381E" w:rsidRPr="009A4D9E">
        <w:t xml:space="preserve"> lawyer, S.H.B., got involved during the pre-trial investigation, and filed several comp</w:t>
      </w:r>
      <w:r w:rsidR="0097381E" w:rsidRPr="00C31688">
        <w:t>laints on behalf of the author</w:t>
      </w:r>
      <w:r w:rsidR="0097381E" w:rsidRPr="009A4D9E">
        <w:t>, but all complaints were rejected, and the verdict and sentence was issued on 11 July 2013. In another case dated 24 March 2014, S.H.B. filed several complaints all the way to the Supreme Court, which</w:t>
      </w:r>
      <w:r w:rsidR="0097381E" w:rsidRPr="00C31688">
        <w:t xml:space="preserve"> on 12 May 2013, </w:t>
      </w:r>
      <w:r w:rsidR="0097381E">
        <w:t xml:space="preserve">however, </w:t>
      </w:r>
      <w:r w:rsidR="0097381E" w:rsidRPr="00C31688">
        <w:t xml:space="preserve">upheld the lower court’s decision. </w:t>
      </w:r>
      <w:r w:rsidR="0097381E" w:rsidRPr="003B3461">
        <w:t xml:space="preserve"> </w:t>
      </w:r>
    </w:p>
    <w:p w14:paraId="41A8FA8A" w14:textId="77777777" w:rsidR="0097381E" w:rsidRPr="00E438CB" w:rsidRDefault="00460836" w:rsidP="0097381E">
      <w:pPr>
        <w:pStyle w:val="SingleTxtG"/>
      </w:pPr>
      <w:r>
        <w:t>5</w:t>
      </w:r>
      <w:r w:rsidR="0097381E" w:rsidRPr="0079725A">
        <w:t>.1</w:t>
      </w:r>
      <w:r w:rsidR="0097381E">
        <w:t>5</w:t>
      </w:r>
      <w:r w:rsidR="0097381E" w:rsidRPr="0079725A">
        <w:tab/>
        <w:t xml:space="preserve">The author submits that all his claims should be considered admissible due to the fact that many of the remedies were not available to </w:t>
      </w:r>
      <w:r w:rsidR="0097381E" w:rsidRPr="00E46080">
        <w:t xml:space="preserve">him, were not effective, or were unreasonably prolonged. On his claims on article 14(1), the State party courts rejected his complaints, or did not consider them properly. </w:t>
      </w:r>
      <w:r w:rsidR="0097381E">
        <w:t>He reiterates his</w:t>
      </w:r>
      <w:r w:rsidR="0097381E" w:rsidRPr="00E46080">
        <w:t xml:space="preserve"> claims regarding </w:t>
      </w:r>
      <w:r w:rsidR="0097381E">
        <w:t xml:space="preserve">the </w:t>
      </w:r>
      <w:r w:rsidR="0097381E" w:rsidRPr="00E46080">
        <w:t xml:space="preserve">presumption of innocence, </w:t>
      </w:r>
      <w:r w:rsidR="0097381E">
        <w:t>as</w:t>
      </w:r>
      <w:r w:rsidR="0097381E" w:rsidRPr="00E46080">
        <w:t xml:space="preserve"> he </w:t>
      </w:r>
      <w:r w:rsidR="0097381E">
        <w:t xml:space="preserve">had been referred to as a </w:t>
      </w:r>
      <w:r w:rsidR="0097381E" w:rsidRPr="00E46080">
        <w:t>“people’s enemy”, “criminal”, “wanted person”, even befo</w:t>
      </w:r>
      <w:r w:rsidR="0097381E" w:rsidRPr="00E438CB">
        <w:t xml:space="preserve">re the court decisions. </w:t>
      </w:r>
      <w:r w:rsidR="0097381E">
        <w:t xml:space="preserve">He </w:t>
      </w:r>
      <w:r w:rsidR="0097381E" w:rsidRPr="00E438CB">
        <w:t xml:space="preserve">also </w:t>
      </w:r>
      <w:r w:rsidR="0097381E">
        <w:t xml:space="preserve">reiterates </w:t>
      </w:r>
      <w:r w:rsidR="0097381E" w:rsidRPr="00E438CB">
        <w:t xml:space="preserve">his claims under 14(3)(a) </w:t>
      </w:r>
      <w:r w:rsidR="0097381E">
        <w:t>as</w:t>
      </w:r>
      <w:r w:rsidR="0097381E" w:rsidRPr="00E438CB">
        <w:t xml:space="preserve"> he was not informed of any charges </w:t>
      </w:r>
      <w:r w:rsidR="0097381E">
        <w:t xml:space="preserve">that had been brought </w:t>
      </w:r>
      <w:r w:rsidR="0097381E" w:rsidRPr="00E438CB">
        <w:t xml:space="preserve">against him. The State party also violated his rights to privacy, honour and dignity by disseminating false information about him. His rights under article 17(1) were also violated when his home was raided and his personal belongings were taken. </w:t>
      </w:r>
    </w:p>
    <w:p w14:paraId="0AA06690" w14:textId="77777777" w:rsidR="0097381E" w:rsidRPr="005450A6" w:rsidRDefault="00460836" w:rsidP="0097381E">
      <w:pPr>
        <w:pStyle w:val="SingleTxtG"/>
      </w:pPr>
      <w:r>
        <w:t>5</w:t>
      </w:r>
      <w:r w:rsidR="0097381E" w:rsidRPr="00212A44">
        <w:t>.1</w:t>
      </w:r>
      <w:r w:rsidR="0097381E">
        <w:t>6</w:t>
      </w:r>
      <w:r w:rsidR="0097381E" w:rsidRPr="00212A44">
        <w:tab/>
        <w:t>The author requests the Committee to find a violation of the articles of the Covenant, and oblige the State party to accept his civil complaints on protection of his honour, dignity and reputation. The author also asks the Committee to request the State pa</w:t>
      </w:r>
      <w:r w:rsidR="0097381E" w:rsidRPr="00796596">
        <w:t xml:space="preserve">rty to </w:t>
      </w:r>
      <w:r w:rsidR="0097381E">
        <w:t xml:space="preserve">quash </w:t>
      </w:r>
      <w:r w:rsidR="0097381E" w:rsidRPr="00E438CB">
        <w:t>all verdicts and sentences against him, and discontinue ongoing criminal prosecutions. He also asks the return of his confiscated property, to announce officially and publicly that he has been cleared of any and all wrongdoing, and pay an</w:t>
      </w:r>
      <w:r w:rsidR="0097381E" w:rsidRPr="00370CD6">
        <w:t xml:space="preserve"> appr</w:t>
      </w:r>
      <w:r w:rsidR="004404E7">
        <w:t>opriate amount of compensation.</w:t>
      </w:r>
    </w:p>
    <w:p w14:paraId="468B6167" w14:textId="77777777" w:rsidR="0097381E" w:rsidRPr="00796596" w:rsidRDefault="0097381E" w:rsidP="004404E7">
      <w:pPr>
        <w:pStyle w:val="H23G"/>
      </w:pPr>
      <w:r w:rsidRPr="005450A6">
        <w:tab/>
      </w:r>
      <w:r w:rsidRPr="005450A6">
        <w:tab/>
      </w:r>
      <w:r w:rsidRPr="009A4D9E" w:rsidDel="004331D6">
        <w:t xml:space="preserve">Issues and proceedings </w:t>
      </w:r>
      <w:r w:rsidRPr="00224501" w:rsidDel="004331D6">
        <w:t>before</w:t>
      </w:r>
      <w:r w:rsidRPr="009A4D9E" w:rsidDel="004331D6">
        <w:t xml:space="preserve"> the Committee</w:t>
      </w:r>
    </w:p>
    <w:p w14:paraId="6C248402" w14:textId="77777777" w:rsidR="0097381E" w:rsidRPr="00796596" w:rsidRDefault="0097381E" w:rsidP="0097381E">
      <w:pPr>
        <w:pStyle w:val="H23G"/>
        <w:rPr>
          <w:b w:val="0"/>
          <w:i/>
        </w:rPr>
      </w:pPr>
      <w:r w:rsidRPr="00796596">
        <w:tab/>
      </w:r>
      <w:r w:rsidRPr="00796596">
        <w:tab/>
      </w:r>
      <w:r w:rsidRPr="00796596">
        <w:rPr>
          <w:b w:val="0"/>
          <w:i/>
        </w:rPr>
        <w:t>Consideration of admissibility</w:t>
      </w:r>
    </w:p>
    <w:p w14:paraId="4FE92787" w14:textId="77777777" w:rsidR="0097381E" w:rsidRPr="005450A6" w:rsidRDefault="00460836" w:rsidP="0097381E">
      <w:pPr>
        <w:pStyle w:val="SingleTxtG"/>
      </w:pPr>
      <w:r>
        <w:t>6</w:t>
      </w:r>
      <w:r w:rsidR="0097381E" w:rsidRPr="005450A6">
        <w:t>.1</w:t>
      </w:r>
      <w:r w:rsidR="0097381E" w:rsidRPr="005450A6">
        <w:tab/>
        <w:t>Before considering any claims contained in a communication, the Human Rights Committee must, in accordance with rule 9</w:t>
      </w:r>
      <w:r w:rsidR="00B026C8">
        <w:t>7</w:t>
      </w:r>
      <w:r w:rsidR="0097381E" w:rsidRPr="005450A6">
        <w:t xml:space="preserve"> of its rules of procedure, decide whether or not it is admissible under the Optional Protocol to the Covenant.</w:t>
      </w:r>
    </w:p>
    <w:p w14:paraId="3E9E47FA" w14:textId="77777777" w:rsidR="0097381E" w:rsidRPr="005450A6" w:rsidRDefault="00460836" w:rsidP="0097381E">
      <w:pPr>
        <w:pStyle w:val="SingleTxtG"/>
      </w:pPr>
      <w:r>
        <w:t>6</w:t>
      </w:r>
      <w:r w:rsidR="0097381E" w:rsidRPr="005450A6">
        <w:t>.2</w:t>
      </w:r>
      <w:r w:rsidR="0097381E" w:rsidRPr="005450A6">
        <w:tab/>
        <w:t xml:space="preserve">The Committee has ascertained, as required under article 5, paragraph 2 (a), of the Optional Protocol, that the same matter is not being examined under another procedure of international investigation or settlement. </w:t>
      </w:r>
    </w:p>
    <w:p w14:paraId="593C04CE" w14:textId="77777777" w:rsidR="0097381E" w:rsidRPr="005450A6" w:rsidRDefault="00460836" w:rsidP="0097381E">
      <w:pPr>
        <w:pStyle w:val="SingleTxtG"/>
      </w:pPr>
      <w:r>
        <w:t>6</w:t>
      </w:r>
      <w:r w:rsidR="0097381E" w:rsidRPr="005450A6">
        <w:t>.</w:t>
      </w:r>
      <w:r w:rsidR="0097381E">
        <w:t>3</w:t>
      </w:r>
      <w:r w:rsidR="0097381E" w:rsidRPr="005450A6">
        <w:tab/>
        <w:t xml:space="preserve">The Committee takes note of the State party’s argument that the author failed to exhaust domestic remedies by not filing cassation appeals or supervisory appeal requests. The Committee takes note of the author’s argument that he was not informed about any criminal charges against him, trials and subsequent verdicts and sentences, and due to this fact, he was not able to </w:t>
      </w:r>
      <w:r w:rsidR="00960B97">
        <w:t>advance</w:t>
      </w:r>
      <w:r w:rsidR="0097381E" w:rsidRPr="005450A6">
        <w:t xml:space="preserve"> properly his defense and file cassation appeals, which have a short deadline. Furthermore, his lawyer’s request for leave to appeal was rejected, and the lawyer himself was not recognized as the author</w:t>
      </w:r>
      <w:r w:rsidR="0097381E" w:rsidRPr="00212A44">
        <w:t>’s representative</w:t>
      </w:r>
      <w:r w:rsidR="0097381E" w:rsidRPr="005450A6">
        <w:t>. In some instances</w:t>
      </w:r>
      <w:r w:rsidR="0097381E">
        <w:t>,</w:t>
      </w:r>
      <w:r w:rsidR="0097381E" w:rsidRPr="005450A6">
        <w:t xml:space="preserve"> he was represented by an </w:t>
      </w:r>
      <w:r w:rsidR="0097381E" w:rsidRPr="005450A6">
        <w:rPr>
          <w:i/>
        </w:rPr>
        <w:t>ex officio</w:t>
      </w:r>
      <w:r w:rsidR="0097381E" w:rsidRPr="005450A6">
        <w:t xml:space="preserve"> lawyer who failed to file </w:t>
      </w:r>
      <w:r w:rsidR="0097381E" w:rsidRPr="00212A44">
        <w:t xml:space="preserve">any </w:t>
      </w:r>
      <w:r w:rsidR="0097381E" w:rsidRPr="005450A6">
        <w:t xml:space="preserve">appeals. In the circumstances as described, and in the absence of any information or explanations of pertinence by the State party, the Committee considers that it is not precluded by the requirements of article 5(2)(b) </w:t>
      </w:r>
      <w:r w:rsidR="0097381E" w:rsidRPr="005450A6">
        <w:lastRenderedPageBreak/>
        <w:t>of the Optional Protocol to proceed with the consideration of this part of the author’s claims on the merits.</w:t>
      </w:r>
    </w:p>
    <w:p w14:paraId="6E913B82" w14:textId="77777777" w:rsidR="0097381E" w:rsidRPr="00212A44" w:rsidRDefault="00460836" w:rsidP="0097381E">
      <w:pPr>
        <w:pStyle w:val="SingleTxtG"/>
      </w:pPr>
      <w:r>
        <w:t>6</w:t>
      </w:r>
      <w:r w:rsidR="0097381E" w:rsidRPr="005450A6">
        <w:t>.</w:t>
      </w:r>
      <w:r w:rsidR="0097381E">
        <w:t>4</w:t>
      </w:r>
      <w:r w:rsidR="0097381E" w:rsidRPr="005450A6">
        <w:tab/>
        <w:t xml:space="preserve">The Committee </w:t>
      </w:r>
      <w:r w:rsidR="0097381E">
        <w:t xml:space="preserve">further notes </w:t>
      </w:r>
      <w:r w:rsidR="0097381E" w:rsidRPr="00212A44">
        <w:t>the author’s claims under article</w:t>
      </w:r>
      <w:r w:rsidR="0097381E">
        <w:t>s 17 (1) and</w:t>
      </w:r>
      <w:r w:rsidR="0097381E" w:rsidRPr="00212A44">
        <w:t xml:space="preserve"> 26 of the Covenant. In the absence of any further pertinent information on file, the Committee considers that the author has </w:t>
      </w:r>
      <w:r w:rsidR="0097381E" w:rsidRPr="00224501">
        <w:t>failed</w:t>
      </w:r>
      <w:r w:rsidR="0097381E" w:rsidRPr="00212A44">
        <w:t xml:space="preserve"> to </w:t>
      </w:r>
      <w:r w:rsidR="0097381E" w:rsidRPr="009A4D9E">
        <w:t xml:space="preserve">sufficiently </w:t>
      </w:r>
      <w:r w:rsidR="0097381E" w:rsidRPr="00212A44">
        <w:t>substantiate</w:t>
      </w:r>
      <w:r w:rsidR="0097381E">
        <w:t xml:space="preserve"> his claims</w:t>
      </w:r>
      <w:r w:rsidR="0097381E" w:rsidRPr="00212A44">
        <w:t xml:space="preserve"> for </w:t>
      </w:r>
      <w:r w:rsidR="0097381E">
        <w:t xml:space="preserve">the </w:t>
      </w:r>
      <w:r w:rsidR="0097381E" w:rsidRPr="00212A44">
        <w:t>purposes of admissibility. Accordingly, it declares this part of the communication inadmissible under article 2 of the Optional Protocol.</w:t>
      </w:r>
    </w:p>
    <w:p w14:paraId="54A4E0E9" w14:textId="77777777" w:rsidR="0097381E" w:rsidRPr="00212A44" w:rsidRDefault="00460836" w:rsidP="0097381E">
      <w:pPr>
        <w:pStyle w:val="SingleTxtG"/>
      </w:pPr>
      <w:r>
        <w:t>6</w:t>
      </w:r>
      <w:r w:rsidR="0097381E" w:rsidRPr="00212A44">
        <w:t>.</w:t>
      </w:r>
      <w:r w:rsidR="0097381E">
        <w:t>5</w:t>
      </w:r>
      <w:r w:rsidR="0097381E" w:rsidRPr="00212A44">
        <w:tab/>
        <w:t xml:space="preserve">The Committee considers </w:t>
      </w:r>
      <w:r w:rsidR="0097381E" w:rsidRPr="00F47298">
        <w:t xml:space="preserve">that the author has sufficiently substantiated, for the purposes of admissibility, his claims of violations under articles 14(1), (2), 3(a), of the Covenant. The Committee also </w:t>
      </w:r>
      <w:r w:rsidR="0097381E">
        <w:t xml:space="preserve">notes that the author claims additional violations under article </w:t>
      </w:r>
      <w:r w:rsidR="0097381E" w:rsidRPr="00F47298">
        <w:t>14(3)(b), (d), (e) and 14(5)</w:t>
      </w:r>
      <w:r w:rsidR="0097381E">
        <w:t xml:space="preserve">. The Committee considers </w:t>
      </w:r>
      <w:r w:rsidR="0097381E" w:rsidRPr="00F47298">
        <w:t xml:space="preserve">that the author’s claims </w:t>
      </w:r>
      <w:r w:rsidR="0097381E">
        <w:t>are sufficiently substantiated for the purposes of admissibility,</w:t>
      </w:r>
      <w:r w:rsidR="0097381E" w:rsidRPr="00F47298">
        <w:t xml:space="preserve"> declares these claims admissible and proceeds with their consideration of the merits</w:t>
      </w:r>
      <w:r w:rsidR="0097381E" w:rsidRPr="00212A44">
        <w:t xml:space="preserve">. </w:t>
      </w:r>
    </w:p>
    <w:p w14:paraId="5455400E" w14:textId="77777777" w:rsidR="0097381E" w:rsidRPr="00796596" w:rsidRDefault="0097381E" w:rsidP="0097381E">
      <w:pPr>
        <w:pStyle w:val="H4G"/>
      </w:pPr>
      <w:r w:rsidRPr="00796596">
        <w:tab/>
      </w:r>
      <w:r w:rsidRPr="00796596">
        <w:tab/>
        <w:t>Consideration of the merits</w:t>
      </w:r>
    </w:p>
    <w:p w14:paraId="65874B20" w14:textId="77777777" w:rsidR="0097381E" w:rsidRPr="009A4D9E" w:rsidRDefault="00460836" w:rsidP="0097381E">
      <w:pPr>
        <w:pStyle w:val="SingleTxtG"/>
      </w:pPr>
      <w:r>
        <w:t>7</w:t>
      </w:r>
      <w:r w:rsidR="0097381E" w:rsidRPr="00212A44">
        <w:t>.1</w:t>
      </w:r>
      <w:r w:rsidR="0097381E" w:rsidRPr="00212A44">
        <w:tab/>
        <w:t>The Committee has considered the present communication in the light of all the information submitted by the parties, in accordance with article 5 (1) of the Optional Protocol.</w:t>
      </w:r>
    </w:p>
    <w:p w14:paraId="1259F600" w14:textId="77777777" w:rsidR="0097381E" w:rsidRPr="00212A44" w:rsidRDefault="00460836" w:rsidP="0097381E">
      <w:pPr>
        <w:pStyle w:val="SingleTxtG"/>
      </w:pPr>
      <w:r>
        <w:t>7</w:t>
      </w:r>
      <w:r w:rsidR="0097381E" w:rsidRPr="00212A44">
        <w:t>.2</w:t>
      </w:r>
      <w:r w:rsidR="0097381E" w:rsidRPr="00212A44">
        <w:tab/>
        <w:t xml:space="preserve">The Committee notes that the </w:t>
      </w:r>
      <w:r w:rsidR="00960B97">
        <w:t>essence</w:t>
      </w:r>
      <w:r w:rsidR="0097381E" w:rsidRPr="00212A44">
        <w:t xml:space="preserve"> of the author’s claims </w:t>
      </w:r>
      <w:r w:rsidR="00960B97">
        <w:t>is</w:t>
      </w:r>
      <w:r w:rsidR="0097381E" w:rsidRPr="00212A44">
        <w:t xml:space="preserve"> that he was not informed </w:t>
      </w:r>
      <w:r w:rsidR="00960B97">
        <w:t>of</w:t>
      </w:r>
      <w:r w:rsidR="0097381E" w:rsidRPr="00212A44">
        <w:t xml:space="preserve"> several criminal proceedings against him. The author claims, inter alia, that this violates his rights to a fair and public hearing by a competent tribunal under article 14(1) of the Covenant, as well as a host of fair trial procedural rights under article 14 of the Covenant, including, but not limited to, the </w:t>
      </w:r>
      <w:r w:rsidR="0097381E" w:rsidRPr="00224501">
        <w:t>author’s</w:t>
      </w:r>
      <w:r w:rsidR="0097381E" w:rsidRPr="00212A44">
        <w:t xml:space="preserve"> right to be informed of the nature and cause of the charge against him in a criminal case (under 14(3)(a) of the Covenant), or to be tried in his presence (under article 14(3)(d) of the Covenant). </w:t>
      </w:r>
    </w:p>
    <w:p w14:paraId="203F1CA4" w14:textId="77777777" w:rsidR="0097381E" w:rsidRPr="009A4D9E" w:rsidRDefault="00460836" w:rsidP="0097381E">
      <w:pPr>
        <w:pStyle w:val="SingleTxtG"/>
      </w:pPr>
      <w:r>
        <w:t>7</w:t>
      </w:r>
      <w:r w:rsidR="0097381E" w:rsidRPr="00212A44">
        <w:t>.3</w:t>
      </w:r>
      <w:r w:rsidR="0097381E" w:rsidRPr="00212A44">
        <w:tab/>
        <w:t xml:space="preserve">The Committee </w:t>
      </w:r>
      <w:r w:rsidR="0097381E">
        <w:t>recalls</w:t>
      </w:r>
      <w:r w:rsidR="0097381E" w:rsidRPr="00212A44">
        <w:t xml:space="preserve"> its jurisprudence</w:t>
      </w:r>
      <w:r w:rsidR="0097381E">
        <w:t xml:space="preserve"> </w:t>
      </w:r>
      <w:r w:rsidR="0097381E" w:rsidRPr="00212A44">
        <w:t xml:space="preserve">that there can be exceptions to the right of a defendant to be present at his/her own trial in the interest of the proper administration of </w:t>
      </w:r>
      <w:r w:rsidR="0097381E" w:rsidRPr="00224501">
        <w:t>justice</w:t>
      </w:r>
      <w:r w:rsidR="0097381E" w:rsidRPr="00212A44">
        <w:t xml:space="preserve">, for example, in </w:t>
      </w:r>
      <w:r w:rsidR="0097381E" w:rsidRPr="00212A44">
        <w:rPr>
          <w:i/>
        </w:rPr>
        <w:t>in absentia</w:t>
      </w:r>
      <w:r w:rsidR="0097381E" w:rsidRPr="00212A44">
        <w:t xml:space="preserve"> trial</w:t>
      </w:r>
      <w:r w:rsidR="0097381E">
        <w:t>s</w:t>
      </w:r>
      <w:r w:rsidR="0097381E" w:rsidRPr="00212A44">
        <w:t>, in which the accused person, although informed sufficiently in advance of the proceedings, declines to exercise the right of presence during trial.</w:t>
      </w:r>
      <w:r w:rsidR="0097381E" w:rsidRPr="00212A44">
        <w:rPr>
          <w:rStyle w:val="FootnoteReference"/>
        </w:rPr>
        <w:footnoteReference w:id="11"/>
      </w:r>
      <w:r w:rsidR="0097381E" w:rsidRPr="00212A44">
        <w:t xml:space="preserve"> Such trial </w:t>
      </w:r>
      <w:r w:rsidR="00411DD9">
        <w:t>can</w:t>
      </w:r>
      <w:r w:rsidR="00411DD9" w:rsidRPr="00212A44">
        <w:t xml:space="preserve"> </w:t>
      </w:r>
      <w:r w:rsidR="0097381E" w:rsidRPr="00212A44">
        <w:t xml:space="preserve">be conducted </w:t>
      </w:r>
      <w:r w:rsidR="0097381E" w:rsidRPr="00212A44">
        <w:rPr>
          <w:color w:val="000000"/>
          <w:lang w:eastAsia="de-CH"/>
        </w:rPr>
        <w:t>only if the necessary steps are taken to summon</w:t>
      </w:r>
      <w:r w:rsidR="0097381E" w:rsidRPr="009A4D9E">
        <w:rPr>
          <w:color w:val="000000"/>
          <w:lang w:eastAsia="de-CH"/>
        </w:rPr>
        <w:t xml:space="preserve"> the</w:t>
      </w:r>
      <w:r w:rsidR="0097381E" w:rsidRPr="00212A44">
        <w:rPr>
          <w:color w:val="000000"/>
          <w:lang w:eastAsia="de-CH"/>
        </w:rPr>
        <w:t xml:space="preserve"> accused persons in a timely manner and to inform </w:t>
      </w:r>
      <w:r w:rsidR="0097381E" w:rsidRPr="00212A44">
        <w:rPr>
          <w:bCs/>
          <w:color w:val="000000"/>
          <w:lang w:eastAsia="de-CH"/>
        </w:rPr>
        <w:t>them</w:t>
      </w:r>
      <w:r w:rsidR="0097381E" w:rsidRPr="00212A44">
        <w:rPr>
          <w:color w:val="000000"/>
          <w:lang w:eastAsia="de-CH"/>
        </w:rPr>
        <w:t xml:space="preserve"> </w:t>
      </w:r>
      <w:r w:rsidR="0097381E" w:rsidRPr="00224501">
        <w:t>beforehand</w:t>
      </w:r>
      <w:r w:rsidR="0097381E" w:rsidRPr="00212A44">
        <w:rPr>
          <w:color w:val="000000"/>
          <w:lang w:eastAsia="de-CH"/>
        </w:rPr>
        <w:t xml:space="preserve"> about the date and place of </w:t>
      </w:r>
      <w:r w:rsidR="0097381E" w:rsidRPr="00212A44">
        <w:rPr>
          <w:bCs/>
          <w:color w:val="000000"/>
          <w:lang w:eastAsia="de-CH"/>
        </w:rPr>
        <w:t>their</w:t>
      </w:r>
      <w:r w:rsidR="0097381E" w:rsidRPr="00212A44">
        <w:rPr>
          <w:color w:val="000000"/>
          <w:lang w:eastAsia="de-CH"/>
        </w:rPr>
        <w:t xml:space="preserve"> trial and to </w:t>
      </w:r>
      <w:r w:rsidR="0097381E" w:rsidRPr="009A4D9E">
        <w:rPr>
          <w:color w:val="000000"/>
          <w:lang w:eastAsia="de-CH"/>
        </w:rPr>
        <w:t xml:space="preserve">duly </w:t>
      </w:r>
      <w:r w:rsidR="0097381E" w:rsidRPr="00212A44">
        <w:rPr>
          <w:color w:val="000000"/>
          <w:lang w:eastAsia="de-CH"/>
        </w:rPr>
        <w:t xml:space="preserve">request </w:t>
      </w:r>
      <w:r w:rsidR="0097381E" w:rsidRPr="00212A44">
        <w:rPr>
          <w:bCs/>
          <w:color w:val="000000"/>
          <w:lang w:eastAsia="de-CH"/>
        </w:rPr>
        <w:t>their</w:t>
      </w:r>
      <w:r w:rsidR="0097381E" w:rsidRPr="00212A44">
        <w:rPr>
          <w:color w:val="000000"/>
          <w:lang w:eastAsia="de-CH"/>
        </w:rPr>
        <w:t xml:space="preserve"> attendance.</w:t>
      </w:r>
      <w:r w:rsidR="0097381E" w:rsidRPr="00212A44">
        <w:rPr>
          <w:rStyle w:val="FootnoteReference"/>
          <w:color w:val="000000"/>
          <w:szCs w:val="18"/>
          <w:lang w:eastAsia="de-CH"/>
        </w:rPr>
        <w:footnoteReference w:id="12"/>
      </w:r>
      <w:r w:rsidR="0097381E" w:rsidRPr="00212A44">
        <w:rPr>
          <w:sz w:val="18"/>
          <w:szCs w:val="18"/>
        </w:rPr>
        <w:t xml:space="preserve"> </w:t>
      </w:r>
      <w:r w:rsidR="0097381E" w:rsidRPr="00212A44">
        <w:t xml:space="preserve">The Committee further notes that </w:t>
      </w:r>
      <w:r w:rsidR="0097381E" w:rsidRPr="009A4D9E">
        <w:t xml:space="preserve">in the case of trials </w:t>
      </w:r>
      <w:r w:rsidR="0097381E" w:rsidRPr="009A4D9E">
        <w:rPr>
          <w:i/>
        </w:rPr>
        <w:t>in absentia</w:t>
      </w:r>
      <w:r w:rsidR="0097381E" w:rsidRPr="009A4D9E">
        <w:t>, article 14</w:t>
      </w:r>
      <w:r w:rsidR="0097381E" w:rsidRPr="00C31688">
        <w:t xml:space="preserve">(3)(a) requires that, notwithstanding the absence of the accused, all due </w:t>
      </w:r>
      <w:r w:rsidR="0097381E" w:rsidRPr="003B3461">
        <w:rPr>
          <w:bCs/>
        </w:rPr>
        <w:t>steps are taken</w:t>
      </w:r>
      <w:r w:rsidR="0097381E" w:rsidRPr="003B3461">
        <w:t xml:space="preserve"> to inform </w:t>
      </w:r>
      <w:r w:rsidR="0097381E" w:rsidRPr="003B3461">
        <w:rPr>
          <w:bCs/>
        </w:rPr>
        <w:t>accused persons</w:t>
      </w:r>
      <w:r w:rsidR="0097381E" w:rsidRPr="003B3461">
        <w:t xml:space="preserve"> of the charges </w:t>
      </w:r>
      <w:r w:rsidR="0097381E" w:rsidRPr="0079725A">
        <w:t xml:space="preserve">against them and </w:t>
      </w:r>
      <w:r w:rsidR="0097381E" w:rsidRPr="0079725A">
        <w:rPr>
          <w:bCs/>
        </w:rPr>
        <w:t>to notify them of</w:t>
      </w:r>
      <w:r w:rsidR="0097381E" w:rsidRPr="0079725A">
        <w:t xml:space="preserve"> the proceedings</w:t>
      </w:r>
      <w:r w:rsidR="0097381E" w:rsidRPr="00EA2EB8">
        <w:t>.</w:t>
      </w:r>
      <w:r w:rsidR="0097381E" w:rsidRPr="009A4D9E">
        <w:rPr>
          <w:rStyle w:val="FootnoteReference"/>
          <w:sz w:val="20"/>
        </w:rPr>
        <w:footnoteReference w:id="13"/>
      </w:r>
      <w:r w:rsidR="0097381E" w:rsidRPr="00212A44">
        <w:t xml:space="preserve"> Article 14</w:t>
      </w:r>
      <w:r w:rsidR="0097381E" w:rsidRPr="004B27E8">
        <w:t>(1) further</w:t>
      </w:r>
      <w:r w:rsidR="0097381E" w:rsidRPr="00212A44">
        <w:t xml:space="preserve"> guarantees </w:t>
      </w:r>
      <w:r w:rsidR="0097381E" w:rsidRPr="001B0B24">
        <w:t xml:space="preserve">access to administration of justice, which must effectively be guaranteed in all </w:t>
      </w:r>
      <w:r w:rsidR="0097381E" w:rsidRPr="001B0B24">
        <w:rPr>
          <w:bCs/>
        </w:rPr>
        <w:t>such c</w:t>
      </w:r>
      <w:r w:rsidR="0097381E" w:rsidRPr="001B0B24">
        <w:t>ases to ensure that no individual is deprived, in procedural terms, of his/her right to claim justice</w:t>
      </w:r>
      <w:r w:rsidR="00C33003">
        <w:t>.</w:t>
      </w:r>
      <w:r w:rsidR="0097381E">
        <w:rPr>
          <w:rStyle w:val="FootnoteReference"/>
        </w:rPr>
        <w:footnoteReference w:id="14"/>
      </w:r>
    </w:p>
    <w:p w14:paraId="303A93B9" w14:textId="77777777" w:rsidR="0097381E" w:rsidRDefault="00460836" w:rsidP="0097381E">
      <w:pPr>
        <w:pStyle w:val="SingleTxtG"/>
      </w:pPr>
      <w:r>
        <w:t>7</w:t>
      </w:r>
      <w:r w:rsidR="0097381E" w:rsidRPr="00C31688">
        <w:t>.4</w:t>
      </w:r>
      <w:r w:rsidR="0097381E" w:rsidRPr="00C31688">
        <w:tab/>
        <w:t xml:space="preserve">The Committee notes that in the present case, the State party </w:t>
      </w:r>
      <w:r w:rsidR="0097381E" w:rsidRPr="003B3461">
        <w:t xml:space="preserve">did not provide any information about the steps it has taken to inform the author of the charges against him, or to </w:t>
      </w:r>
      <w:r w:rsidR="0097381E" w:rsidRPr="0079725A">
        <w:t>request his presence during the multiple trials that were conducted.</w:t>
      </w:r>
      <w:r w:rsidR="0097381E" w:rsidRPr="009A4D9E">
        <w:rPr>
          <w:rStyle w:val="FootnoteReference"/>
        </w:rPr>
        <w:footnoteReference w:id="15"/>
      </w:r>
      <w:r w:rsidR="0097381E" w:rsidRPr="009A4D9E">
        <w:t xml:space="preserve"> </w:t>
      </w:r>
      <w:r w:rsidR="0097381E">
        <w:t xml:space="preserve">Without specifying, </w:t>
      </w:r>
      <w:r w:rsidR="0097381E" w:rsidRPr="009A4D9E">
        <w:t xml:space="preserve">the State party simply contends that “the </w:t>
      </w:r>
      <w:r w:rsidR="0097381E" w:rsidRPr="00212A44">
        <w:t xml:space="preserve">courts adhered to all procedural rules that are required by the relevant legislation”. In the circumstances as described by the parties, and given the absence of the detailed and pertinent information from the State party regarding its efforts in locating and informing the author of the charges and proceedings against him, the Committee concludes that the facts as submitted reveal a violation of the author’s rights under article 14(1), </w:t>
      </w:r>
      <w:r w:rsidR="0097381E" w:rsidRPr="00F47298">
        <w:t>14(3)(a) and 14(3)(d),</w:t>
      </w:r>
      <w:r w:rsidR="0097381E" w:rsidRPr="00212A44">
        <w:t xml:space="preserve"> of the Covenant. </w:t>
      </w:r>
    </w:p>
    <w:p w14:paraId="5241F95F" w14:textId="77777777" w:rsidR="0097381E" w:rsidRDefault="00460836">
      <w:pPr>
        <w:pStyle w:val="SingleTxtG"/>
      </w:pPr>
      <w:r>
        <w:lastRenderedPageBreak/>
        <w:t>7</w:t>
      </w:r>
      <w:r w:rsidR="0097381E" w:rsidRPr="00212A44">
        <w:t>.5</w:t>
      </w:r>
      <w:r w:rsidR="0097381E" w:rsidRPr="00212A44">
        <w:tab/>
        <w:t xml:space="preserve">In light of these conclusions, the Committee decides that it will not examine </w:t>
      </w:r>
      <w:r w:rsidR="0097381E" w:rsidRPr="00224501">
        <w:t>separately</w:t>
      </w:r>
      <w:r w:rsidR="0097381E" w:rsidRPr="00212A44">
        <w:t xml:space="preserve"> the author’s remaining claims under article</w:t>
      </w:r>
      <w:r w:rsidR="0097381E">
        <w:t xml:space="preserve"> 14</w:t>
      </w:r>
      <w:r w:rsidR="003F1E74">
        <w:t xml:space="preserve"> (2), </w:t>
      </w:r>
      <w:r w:rsidR="0097381E">
        <w:t xml:space="preserve">(3)(b), (e), and </w:t>
      </w:r>
      <w:r w:rsidR="0097381E" w:rsidRPr="00212A44">
        <w:t xml:space="preserve"> 14</w:t>
      </w:r>
      <w:r w:rsidR="0097381E">
        <w:t>(5)</w:t>
      </w:r>
      <w:r w:rsidR="0097381E" w:rsidRPr="00212A44">
        <w:t xml:space="preserve"> of the Covenant.</w:t>
      </w:r>
    </w:p>
    <w:p w14:paraId="48089132" w14:textId="77777777" w:rsidR="0097381E" w:rsidRPr="00212A44" w:rsidRDefault="00460836" w:rsidP="0097381E">
      <w:pPr>
        <w:pStyle w:val="SingleTxtG"/>
      </w:pPr>
      <w:r>
        <w:t>8</w:t>
      </w:r>
      <w:r w:rsidR="0097381E" w:rsidRPr="009A4D9E">
        <w:t>.</w:t>
      </w:r>
      <w:r w:rsidR="0097381E" w:rsidRPr="009A4D9E">
        <w:tab/>
      </w:r>
      <w:r w:rsidR="0097381E" w:rsidRPr="00212A44">
        <w:t xml:space="preserve">The Committee, acting under article 5 (4) of the Optional Protocol, is of the view that the facts </w:t>
      </w:r>
      <w:r w:rsidR="0097381E" w:rsidRPr="00224501">
        <w:t>before</w:t>
      </w:r>
      <w:r w:rsidR="0097381E" w:rsidRPr="00212A44">
        <w:t xml:space="preserve"> it disclose a violation of the author’s rights under article 14(1) </w:t>
      </w:r>
      <w:r w:rsidR="0097381E" w:rsidRPr="00F47298">
        <w:t>and 14(3)(a) and (d),</w:t>
      </w:r>
      <w:r w:rsidR="0097381E" w:rsidRPr="00212A44">
        <w:t xml:space="preserve"> of the Covenant. </w:t>
      </w:r>
    </w:p>
    <w:p w14:paraId="0BB70349" w14:textId="77777777" w:rsidR="0097381E" w:rsidRPr="00C31688" w:rsidRDefault="00460836" w:rsidP="0097381E">
      <w:pPr>
        <w:pStyle w:val="SingleTxtG"/>
        <w:rPr>
          <w:lang w:eastAsia="de-DE"/>
        </w:rPr>
      </w:pPr>
      <w:r>
        <w:rPr>
          <w:lang w:eastAsia="de-DE"/>
        </w:rPr>
        <w:t>9</w:t>
      </w:r>
      <w:r w:rsidR="0097381E" w:rsidRPr="00212A44">
        <w:rPr>
          <w:lang w:eastAsia="de-DE"/>
        </w:rPr>
        <w:t>.</w:t>
      </w:r>
      <w:r w:rsidR="0097381E" w:rsidRPr="00212A44">
        <w:rPr>
          <w:lang w:eastAsia="de-DE"/>
        </w:rPr>
        <w:tab/>
        <w:t xml:space="preserve">Pursuant to article 2 (3) (a) of the Covenant, the State party is under an obligation to provide the author with an effective remedy. This requires it to make full reparation to individuals whose Covenant rights have been violated. Accordingly, the State party is obligated, inter alia,  </w:t>
      </w:r>
      <w:r w:rsidR="00EC51AC">
        <w:rPr>
          <w:lang w:eastAsia="de-DE"/>
        </w:rPr>
        <w:t xml:space="preserve"> to provide </w:t>
      </w:r>
      <w:r w:rsidR="003F1E74">
        <w:rPr>
          <w:lang w:eastAsia="de-DE"/>
        </w:rPr>
        <w:t>adequate</w:t>
      </w:r>
      <w:r w:rsidR="0097381E" w:rsidRPr="00212A44">
        <w:rPr>
          <w:lang w:eastAsia="de-DE"/>
        </w:rPr>
        <w:t xml:space="preserve"> compensation</w:t>
      </w:r>
      <w:r w:rsidR="0097381E">
        <w:rPr>
          <w:lang w:eastAsia="de-DE"/>
        </w:rPr>
        <w:t xml:space="preserve">. </w:t>
      </w:r>
      <w:r w:rsidR="0097381E" w:rsidRPr="009A4D9E">
        <w:rPr>
          <w:lang w:eastAsia="de-DE"/>
        </w:rPr>
        <w:t>The State party is also under an obligation to take all steps necessary to prevent similar violations from occurring in the future.</w:t>
      </w:r>
    </w:p>
    <w:p w14:paraId="0705AC03" w14:textId="77777777" w:rsidR="0097381E" w:rsidRDefault="0097381E" w:rsidP="0097381E">
      <w:pPr>
        <w:pStyle w:val="SingleTxtG"/>
        <w:rPr>
          <w:lang w:eastAsia="de-DE"/>
        </w:rPr>
      </w:pPr>
      <w:r w:rsidRPr="00212A44">
        <w:rPr>
          <w:lang w:eastAsia="de-DE"/>
        </w:rPr>
        <w:t>1</w:t>
      </w:r>
      <w:r w:rsidR="00F77E8F">
        <w:rPr>
          <w:lang w:eastAsia="de-DE"/>
        </w:rPr>
        <w:t>0</w:t>
      </w:r>
      <w:r w:rsidRPr="00212A44">
        <w:rPr>
          <w:lang w:eastAsia="de-DE"/>
        </w:rPr>
        <w:t>.</w:t>
      </w:r>
      <w:r w:rsidRPr="00212A44">
        <w:rPr>
          <w:lang w:eastAsia="de-DE"/>
        </w:rPr>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w:t>
      </w:r>
      <w:r w:rsidRPr="00212A44">
        <w:t>undertaken</w:t>
      </w:r>
      <w:r w:rsidRPr="00212A44">
        <w:rPr>
          <w:lang w:eastAsia="de-DE"/>
        </w:rPr>
        <w:t xml:space="preserve"> to ensure to all individuals within its territory or </w:t>
      </w:r>
      <w:r w:rsidRPr="00224501">
        <w:t>subject</w:t>
      </w:r>
      <w:r w:rsidRPr="00212A44">
        <w:rPr>
          <w:lang w:eastAsia="de-DE"/>
        </w:rPr>
        <w:t xml:space="preserve"> to its jurisdiction the rights recognized in the Covenant and to provide an </w:t>
      </w:r>
      <w:r w:rsidRPr="00224501">
        <w:t>effective</w:t>
      </w:r>
      <w:r w:rsidRPr="00212A44">
        <w:rPr>
          <w:lang w:eastAsia="de-DE"/>
        </w:rPr>
        <w:t xml:space="preserve"> remedy when it has been determined that a violation has occurred, the Committee wishes to receive from the State party, within 180 days, information about the measures taken to give effect to the Committee’s Views. The State party is also requested to publish the present Views and disseminate them widely in the official language</w:t>
      </w:r>
      <w:r w:rsidRPr="009A4D9E">
        <w:rPr>
          <w:lang w:eastAsia="de-DE"/>
        </w:rPr>
        <w:t>s</w:t>
      </w:r>
      <w:r w:rsidRPr="00212A44">
        <w:rPr>
          <w:lang w:eastAsia="de-DE"/>
        </w:rPr>
        <w:t xml:space="preserve"> of the State party.</w:t>
      </w:r>
    </w:p>
    <w:p w14:paraId="7FA4B42C" w14:textId="77777777" w:rsidR="0097381E" w:rsidRPr="0097381E" w:rsidRDefault="0097381E" w:rsidP="0097381E">
      <w:pPr>
        <w:pStyle w:val="SingleTxtG"/>
        <w:spacing w:before="240" w:after="0"/>
        <w:jc w:val="center"/>
        <w:rPr>
          <w:u w:val="single"/>
        </w:rPr>
      </w:pPr>
      <w:r>
        <w:rPr>
          <w:u w:val="single"/>
          <w:lang w:eastAsia="de-DE"/>
        </w:rPr>
        <w:tab/>
      </w:r>
      <w:r>
        <w:rPr>
          <w:u w:val="single"/>
          <w:lang w:eastAsia="de-DE"/>
        </w:rPr>
        <w:tab/>
      </w:r>
      <w:r>
        <w:rPr>
          <w:u w:val="single"/>
          <w:lang w:eastAsia="de-DE"/>
        </w:rPr>
        <w:tab/>
      </w:r>
      <w:r w:rsidR="004404E7">
        <w:rPr>
          <w:u w:val="single"/>
          <w:lang w:eastAsia="de-DE"/>
        </w:rPr>
        <w:tab/>
      </w:r>
    </w:p>
    <w:sectPr w:rsidR="0097381E" w:rsidRPr="0097381E" w:rsidSect="0097381E">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17064" w14:textId="77777777" w:rsidR="00A00D0A" w:rsidRDefault="00A00D0A"/>
  </w:endnote>
  <w:endnote w:type="continuationSeparator" w:id="0">
    <w:p w14:paraId="17BD9612" w14:textId="77777777" w:rsidR="00A00D0A" w:rsidRDefault="00A00D0A"/>
  </w:endnote>
  <w:endnote w:type="continuationNotice" w:id="1">
    <w:p w14:paraId="41DD5709" w14:textId="77777777" w:rsidR="00A00D0A" w:rsidRDefault="00A00D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75083" w14:textId="77777777" w:rsidR="0097381E" w:rsidRPr="0097381E" w:rsidRDefault="0097381E" w:rsidP="0097381E">
    <w:pPr>
      <w:pStyle w:val="Footer"/>
      <w:tabs>
        <w:tab w:val="right" w:pos="9638"/>
      </w:tabs>
      <w:rPr>
        <w:sz w:val="18"/>
      </w:rPr>
    </w:pPr>
    <w:r w:rsidRPr="0097381E">
      <w:rPr>
        <w:b/>
        <w:sz w:val="18"/>
      </w:rPr>
      <w:fldChar w:fldCharType="begin"/>
    </w:r>
    <w:r w:rsidRPr="0097381E">
      <w:rPr>
        <w:b/>
        <w:sz w:val="18"/>
      </w:rPr>
      <w:instrText xml:space="preserve"> PAGE  \* MERGEFORMAT </w:instrText>
    </w:r>
    <w:r w:rsidRPr="0097381E">
      <w:rPr>
        <w:b/>
        <w:sz w:val="18"/>
      </w:rPr>
      <w:fldChar w:fldCharType="separate"/>
    </w:r>
    <w:r w:rsidR="00E851DE">
      <w:rPr>
        <w:b/>
        <w:noProof/>
        <w:sz w:val="18"/>
      </w:rPr>
      <w:t>8</w:t>
    </w:r>
    <w:r w:rsidRPr="0097381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B77AF" w14:textId="77777777" w:rsidR="0097381E" w:rsidRPr="0097381E" w:rsidRDefault="0097381E" w:rsidP="0097381E">
    <w:pPr>
      <w:pStyle w:val="Footer"/>
      <w:tabs>
        <w:tab w:val="right" w:pos="9638"/>
      </w:tabs>
      <w:rPr>
        <w:b/>
        <w:sz w:val="18"/>
      </w:rPr>
    </w:pPr>
    <w:r>
      <w:tab/>
    </w:r>
    <w:r w:rsidRPr="0097381E">
      <w:rPr>
        <w:b/>
        <w:sz w:val="18"/>
      </w:rPr>
      <w:fldChar w:fldCharType="begin"/>
    </w:r>
    <w:r w:rsidRPr="0097381E">
      <w:rPr>
        <w:b/>
        <w:sz w:val="18"/>
      </w:rPr>
      <w:instrText xml:space="preserve"> PAGE  \* MERGEFORMAT </w:instrText>
    </w:r>
    <w:r w:rsidRPr="0097381E">
      <w:rPr>
        <w:b/>
        <w:sz w:val="18"/>
      </w:rPr>
      <w:fldChar w:fldCharType="separate"/>
    </w:r>
    <w:r w:rsidR="00E851DE">
      <w:rPr>
        <w:b/>
        <w:noProof/>
        <w:sz w:val="18"/>
      </w:rPr>
      <w:t>9</w:t>
    </w:r>
    <w:r w:rsidRPr="009738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AA598" w14:textId="77777777" w:rsidR="00E76280" w:rsidRDefault="00E76280" w:rsidP="00E76280">
    <w:pPr>
      <w:pStyle w:val="Footer"/>
    </w:pPr>
    <w:r>
      <w:rPr>
        <w:noProof/>
        <w:lang w:eastAsia="en-GB"/>
      </w:rPr>
      <w:drawing>
        <wp:anchor distT="0" distB="0" distL="114300" distR="114300" simplePos="0" relativeHeight="251659264" behindDoc="1" locked="1" layoutInCell="1" allowOverlap="1" wp14:anchorId="576672CA" wp14:editId="104E9D6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76883" w14:textId="77777777" w:rsidR="00A00D0A" w:rsidRPr="000B175B" w:rsidRDefault="00A00D0A" w:rsidP="000B175B">
      <w:pPr>
        <w:tabs>
          <w:tab w:val="right" w:pos="2155"/>
        </w:tabs>
        <w:spacing w:after="80"/>
        <w:ind w:left="680"/>
        <w:rPr>
          <w:u w:val="single"/>
        </w:rPr>
      </w:pPr>
      <w:r>
        <w:rPr>
          <w:u w:val="single"/>
        </w:rPr>
        <w:tab/>
      </w:r>
    </w:p>
  </w:footnote>
  <w:footnote w:type="continuationSeparator" w:id="0">
    <w:p w14:paraId="0077A3CA" w14:textId="77777777" w:rsidR="00A00D0A" w:rsidRPr="00FC68B7" w:rsidRDefault="00A00D0A" w:rsidP="00FC68B7">
      <w:pPr>
        <w:tabs>
          <w:tab w:val="left" w:pos="2155"/>
        </w:tabs>
        <w:spacing w:after="80"/>
        <w:ind w:left="680"/>
        <w:rPr>
          <w:u w:val="single"/>
        </w:rPr>
      </w:pPr>
      <w:r>
        <w:rPr>
          <w:u w:val="single"/>
        </w:rPr>
        <w:tab/>
      </w:r>
    </w:p>
  </w:footnote>
  <w:footnote w:type="continuationNotice" w:id="1">
    <w:p w14:paraId="2A472C6E" w14:textId="77777777" w:rsidR="00A00D0A" w:rsidRDefault="00A00D0A"/>
  </w:footnote>
  <w:footnote w:id="2">
    <w:p w14:paraId="32F85E97" w14:textId="77777777" w:rsidR="009667C6" w:rsidRPr="009667C6" w:rsidRDefault="009667C6">
      <w:pPr>
        <w:pStyle w:val="FootnoteText"/>
      </w:pPr>
      <w:r>
        <w:rPr>
          <w:rStyle w:val="FootnoteReference"/>
        </w:rPr>
        <w:tab/>
      </w:r>
      <w:r w:rsidRPr="00E851DE">
        <w:rPr>
          <w:rStyle w:val="FootnoteReference"/>
          <w:sz w:val="20"/>
          <w:vertAlign w:val="baseline"/>
        </w:rPr>
        <w:t>*</w:t>
      </w:r>
      <w:r>
        <w:rPr>
          <w:rStyle w:val="FootnoteReference"/>
          <w:sz w:val="20"/>
          <w:vertAlign w:val="baseline"/>
        </w:rPr>
        <w:tab/>
      </w:r>
      <w:r w:rsidRPr="00DA33D1">
        <w:t>Adopted by the C</w:t>
      </w:r>
      <w:r>
        <w:t>ommittee at its 130 th session (12 October–6 November 2020</w:t>
      </w:r>
      <w:r w:rsidRPr="00DA33D1">
        <w:t>)</w:t>
      </w:r>
      <w:r>
        <w:t>.</w:t>
      </w:r>
    </w:p>
  </w:footnote>
  <w:footnote w:id="3">
    <w:p w14:paraId="7D51A436" w14:textId="77777777" w:rsidR="009667C6" w:rsidRPr="009667C6" w:rsidRDefault="009667C6">
      <w:pPr>
        <w:pStyle w:val="FootnoteText"/>
      </w:pPr>
      <w:r>
        <w:rPr>
          <w:rStyle w:val="FootnoteReference"/>
        </w:rPr>
        <w:tab/>
      </w:r>
      <w:r w:rsidRPr="00E851DE">
        <w:rPr>
          <w:rStyle w:val="FootnoteReference"/>
          <w:sz w:val="20"/>
          <w:vertAlign w:val="baseline"/>
        </w:rPr>
        <w:t>**</w:t>
      </w:r>
      <w:r>
        <w:rPr>
          <w:rStyle w:val="FootnoteReference"/>
          <w:sz w:val="20"/>
          <w:vertAlign w:val="baseline"/>
        </w:rPr>
        <w:tab/>
      </w:r>
      <w:r w:rsidRPr="00DA33D1">
        <w:t>The following members of the Committee participated in the examination of the communica</w:t>
      </w:r>
      <w:r>
        <w:t xml:space="preserve">tion: </w:t>
      </w:r>
      <w:r w:rsidRPr="0087337A">
        <w:t>Yadh Ben Achour</w:t>
      </w:r>
      <w:r w:rsidRPr="00DA33D1">
        <w:t>, Arif Bulkan, Ahmed Amin Fathalla,</w:t>
      </w:r>
      <w:r>
        <w:t xml:space="preserve"> Schuichi Furuya, Christoph Heyns, </w:t>
      </w:r>
      <w:r w:rsidRPr="00E97AE9">
        <w:t>David</w:t>
      </w:r>
      <w:r>
        <w:t xml:space="preserve"> Moore,</w:t>
      </w:r>
      <w:r w:rsidRPr="00C4746F">
        <w:t xml:space="preserve"> </w:t>
      </w:r>
      <w:r w:rsidRPr="003822C7">
        <w:t>Duncan Laki Muhumuza</w:t>
      </w:r>
      <w:r w:rsidRPr="00DA33D1">
        <w:t>,</w:t>
      </w:r>
      <w:r w:rsidRPr="00FB6672">
        <w:t xml:space="preserve"> </w:t>
      </w:r>
      <w:r w:rsidRPr="00DA33D1">
        <w:t>Photini Pazartzis</w:t>
      </w:r>
      <w:r>
        <w:t>,</w:t>
      </w:r>
      <w:r w:rsidRPr="00DA33D1">
        <w:t xml:space="preserve"> Hernán Qu</w:t>
      </w:r>
      <w:r>
        <w:t xml:space="preserve">ezada Cabrera, Vasilka Sancin, </w:t>
      </w:r>
      <w:r w:rsidRPr="00DA33D1">
        <w:t>José Manuel Santos Pais, Yuval Shany, Hélène Tigroudja, Andrea</w:t>
      </w:r>
      <w:r>
        <w:t>s Zimmermann and Gentian Zyberi</w:t>
      </w:r>
    </w:p>
  </w:footnote>
  <w:footnote w:id="4">
    <w:p w14:paraId="4015B842" w14:textId="77777777" w:rsidR="0097381E" w:rsidRPr="00C53C0B" w:rsidRDefault="0097381E" w:rsidP="0097381E">
      <w:pPr>
        <w:pStyle w:val="FootnoteText"/>
      </w:pPr>
      <w:r>
        <w:tab/>
      </w:r>
      <w:r w:rsidRPr="00C53C0B">
        <w:rPr>
          <w:rStyle w:val="FootnoteReference"/>
        </w:rPr>
        <w:footnoteRef/>
      </w:r>
      <w:r>
        <w:tab/>
      </w:r>
      <w:r w:rsidRPr="00C53C0B">
        <w:t xml:space="preserve">The author will subsequently claim additional articles of the Covenant, such as 14(3) (b), (d) and (e). </w:t>
      </w:r>
    </w:p>
  </w:footnote>
  <w:footnote w:id="5">
    <w:p w14:paraId="1C4A9392" w14:textId="77777777" w:rsidR="0097381E" w:rsidRPr="004220D1" w:rsidRDefault="0097381E" w:rsidP="0097381E">
      <w:pPr>
        <w:pStyle w:val="FootnoteText"/>
      </w:pPr>
      <w:r>
        <w:tab/>
      </w:r>
      <w:r w:rsidRPr="004220D1">
        <w:rPr>
          <w:rStyle w:val="FootnoteReference"/>
          <w:sz w:val="16"/>
          <w:szCs w:val="16"/>
        </w:rPr>
        <w:footnoteRef/>
      </w:r>
      <w:r>
        <w:tab/>
      </w:r>
      <w:r w:rsidRPr="004220D1">
        <w:t xml:space="preserve">The author refers to </w:t>
      </w:r>
      <w:r>
        <w:t>the Committee’s decision in</w:t>
      </w:r>
      <w:r w:rsidRPr="004220D1">
        <w:t xml:space="preserve"> </w:t>
      </w:r>
      <w:r w:rsidRPr="004220D1">
        <w:rPr>
          <w:i/>
        </w:rPr>
        <w:t>Eligio Cedeño v. Venezuela</w:t>
      </w:r>
      <w:r w:rsidRPr="004220D1">
        <w:t xml:space="preserve"> (CCPR/C/106/D/1940/2010).</w:t>
      </w:r>
    </w:p>
  </w:footnote>
  <w:footnote w:id="6">
    <w:p w14:paraId="740C0879" w14:textId="77777777" w:rsidR="0097381E" w:rsidRPr="00B90172" w:rsidRDefault="0097381E" w:rsidP="0097381E">
      <w:pPr>
        <w:pStyle w:val="FootnoteText"/>
      </w:pPr>
      <w:r>
        <w:tab/>
      </w:r>
      <w:r w:rsidRPr="00B90172">
        <w:rPr>
          <w:rStyle w:val="FootnoteReference"/>
          <w:szCs w:val="18"/>
        </w:rPr>
        <w:footnoteRef/>
      </w:r>
      <w:r>
        <w:tab/>
      </w:r>
      <w:r w:rsidRPr="00B90172">
        <w:t xml:space="preserve">The author makes </w:t>
      </w:r>
      <w:r w:rsidRPr="00C53C0B">
        <w:t>reference</w:t>
      </w:r>
      <w:r w:rsidRPr="00B90172">
        <w:t xml:space="preserve"> to the Committee’s decision in </w:t>
      </w:r>
      <w:r w:rsidRPr="00B90172">
        <w:rPr>
          <w:i/>
        </w:rPr>
        <w:t>Saker v. Algeria</w:t>
      </w:r>
      <w:r w:rsidRPr="00B90172">
        <w:t xml:space="preserve"> (CCPR/C/86/D/992/2001).</w:t>
      </w:r>
    </w:p>
  </w:footnote>
  <w:footnote w:id="7">
    <w:p w14:paraId="0CAE1241" w14:textId="77777777" w:rsidR="0097381E" w:rsidRDefault="0097381E" w:rsidP="0097381E">
      <w:pPr>
        <w:pStyle w:val="FootnoteText"/>
      </w:pPr>
      <w:r>
        <w:tab/>
      </w:r>
      <w:r>
        <w:rPr>
          <w:rStyle w:val="FootnoteReference"/>
        </w:rPr>
        <w:footnoteRef/>
      </w:r>
      <w:r>
        <w:tab/>
        <w:t>The State party also provides additional information irrelevant to the current communication, e.g., on the author’s father. This information has been excluded from the text.</w:t>
      </w:r>
    </w:p>
  </w:footnote>
  <w:footnote w:id="8">
    <w:p w14:paraId="0CFF0AAD" w14:textId="77777777" w:rsidR="0097381E" w:rsidRDefault="0097381E" w:rsidP="0097381E">
      <w:pPr>
        <w:pStyle w:val="FootnoteText"/>
      </w:pPr>
      <w:r>
        <w:tab/>
      </w:r>
      <w:r>
        <w:rPr>
          <w:rStyle w:val="FootnoteReference"/>
        </w:rPr>
        <w:footnoteRef/>
      </w:r>
      <w:r w:rsidR="004404E7">
        <w:tab/>
      </w:r>
      <w:r>
        <w:t xml:space="preserve">The leave to appeal was initially granted by the district courts, to be overturned by the regional court and the Supreme Court. </w:t>
      </w:r>
    </w:p>
  </w:footnote>
  <w:footnote w:id="9">
    <w:p w14:paraId="2F495821" w14:textId="77777777" w:rsidR="0097381E" w:rsidRDefault="0097381E" w:rsidP="0097381E">
      <w:pPr>
        <w:pStyle w:val="FootnoteText"/>
      </w:pPr>
      <w:r>
        <w:tab/>
      </w:r>
      <w:r>
        <w:rPr>
          <w:rStyle w:val="FootnoteReference"/>
        </w:rPr>
        <w:footnoteRef/>
      </w:r>
      <w:r>
        <w:tab/>
      </w:r>
      <w:r w:rsidRPr="00C53C0B">
        <w:t>These</w:t>
      </w:r>
      <w:r>
        <w:t xml:space="preserve"> sentence is based on three criminal cases that were combined into one trial, according to the State party. </w:t>
      </w:r>
    </w:p>
  </w:footnote>
  <w:footnote w:id="10">
    <w:p w14:paraId="2BC6B631" w14:textId="77777777" w:rsidR="0097381E" w:rsidRDefault="0097381E" w:rsidP="0097381E">
      <w:pPr>
        <w:pStyle w:val="FootnoteText"/>
      </w:pPr>
      <w:r>
        <w:tab/>
      </w:r>
      <w:r>
        <w:rPr>
          <w:rStyle w:val="FootnoteReference"/>
        </w:rPr>
        <w:footnoteRef/>
      </w:r>
      <w:r>
        <w:tab/>
        <w:t xml:space="preserve">This is </w:t>
      </w:r>
      <w:r w:rsidRPr="00C53C0B">
        <w:t>the</w:t>
      </w:r>
      <w:r>
        <w:t xml:space="preserve"> maximum under the Criminal Code, so even adding new sentences would not increase this sentence</w:t>
      </w:r>
      <w:r w:rsidR="004404E7">
        <w:t>.</w:t>
      </w:r>
    </w:p>
  </w:footnote>
  <w:footnote w:id="11">
    <w:p w14:paraId="0148453B" w14:textId="77777777" w:rsidR="0097381E" w:rsidRPr="00D51DC3" w:rsidRDefault="0097381E" w:rsidP="0097381E">
      <w:pPr>
        <w:pStyle w:val="FootnoteText"/>
        <w:rPr>
          <w:szCs w:val="18"/>
        </w:rPr>
      </w:pPr>
      <w:r>
        <w:rPr>
          <w:szCs w:val="18"/>
        </w:rPr>
        <w:tab/>
      </w:r>
      <w:r w:rsidRPr="00D51DC3">
        <w:rPr>
          <w:rStyle w:val="FootnoteReference"/>
          <w:szCs w:val="18"/>
        </w:rPr>
        <w:footnoteRef/>
      </w:r>
      <w:r>
        <w:rPr>
          <w:szCs w:val="18"/>
        </w:rPr>
        <w:tab/>
      </w:r>
      <w:r w:rsidRPr="00D51DC3">
        <w:rPr>
          <w:szCs w:val="18"/>
        </w:rPr>
        <w:t xml:space="preserve">See the Committee’s general comment No. 32, para. 36. </w:t>
      </w:r>
    </w:p>
  </w:footnote>
  <w:footnote w:id="12">
    <w:p w14:paraId="4C948A3A" w14:textId="77777777" w:rsidR="0097381E" w:rsidRPr="00796596" w:rsidRDefault="0097381E" w:rsidP="0097381E">
      <w:pPr>
        <w:pStyle w:val="FootnoteText"/>
      </w:pPr>
      <w:r>
        <w:tab/>
      </w:r>
      <w:r w:rsidRPr="00ED4CC5">
        <w:rPr>
          <w:rStyle w:val="FootnoteReference"/>
          <w:szCs w:val="18"/>
        </w:rPr>
        <w:footnoteRef/>
      </w:r>
      <w:r>
        <w:tab/>
      </w:r>
      <w:r w:rsidRPr="00796596">
        <w:t xml:space="preserve">Communications No. 16/1977, </w:t>
      </w:r>
      <w:r w:rsidRPr="00796596">
        <w:rPr>
          <w:i/>
          <w:iCs/>
        </w:rPr>
        <w:t>Mbenge v. Zaire</w:t>
      </w:r>
      <w:r w:rsidRPr="00796596">
        <w:t xml:space="preserve">, para. 14.1; No. 699/1996, </w:t>
      </w:r>
      <w:r w:rsidRPr="00796596">
        <w:rPr>
          <w:i/>
        </w:rPr>
        <w:t>Maleki v. Italy</w:t>
      </w:r>
      <w:r w:rsidRPr="00796596">
        <w:t xml:space="preserve">, para. 9.3. </w:t>
      </w:r>
    </w:p>
  </w:footnote>
  <w:footnote w:id="13">
    <w:p w14:paraId="7987A9D6" w14:textId="77777777" w:rsidR="0097381E" w:rsidRPr="00D51DC3" w:rsidRDefault="0097381E" w:rsidP="0097381E">
      <w:pPr>
        <w:pStyle w:val="FootnoteText"/>
      </w:pPr>
      <w:r>
        <w:tab/>
      </w:r>
      <w:r w:rsidRPr="00D51DC3">
        <w:rPr>
          <w:rStyle w:val="FootnoteReference"/>
          <w:szCs w:val="18"/>
        </w:rPr>
        <w:footnoteRef/>
      </w:r>
      <w:r>
        <w:tab/>
        <w:t xml:space="preserve">See the Committee’s general comment </w:t>
      </w:r>
      <w:r w:rsidRPr="0097381E">
        <w:t>No</w:t>
      </w:r>
      <w:r>
        <w:t>. 32</w:t>
      </w:r>
      <w:r w:rsidRPr="00D51DC3">
        <w:t xml:space="preserve">, para 31, quoting communication No. 16/1977, </w:t>
      </w:r>
      <w:r w:rsidRPr="00D51DC3">
        <w:rPr>
          <w:i/>
          <w:iCs/>
        </w:rPr>
        <w:t xml:space="preserve">Mbenge v. </w:t>
      </w:r>
      <w:r w:rsidRPr="00224501">
        <w:t>Zaire</w:t>
      </w:r>
      <w:r w:rsidRPr="00D51DC3">
        <w:t>, para. 14.1.</w:t>
      </w:r>
    </w:p>
  </w:footnote>
  <w:footnote w:id="14">
    <w:p w14:paraId="648B6915" w14:textId="77777777" w:rsidR="0097381E" w:rsidRDefault="0097381E" w:rsidP="004404E7">
      <w:pPr>
        <w:pStyle w:val="FootnoteText"/>
      </w:pPr>
      <w:r>
        <w:tab/>
      </w:r>
      <w:r>
        <w:rPr>
          <w:rStyle w:val="FootnoteReference"/>
        </w:rPr>
        <w:footnoteRef/>
      </w:r>
      <w:r>
        <w:tab/>
        <w:t xml:space="preserve">Ibid, para. 9. </w:t>
      </w:r>
    </w:p>
  </w:footnote>
  <w:footnote w:id="15">
    <w:p w14:paraId="534B2BA9" w14:textId="77777777" w:rsidR="0097381E" w:rsidRPr="00224501" w:rsidRDefault="0097381E" w:rsidP="0097381E">
      <w:pPr>
        <w:pStyle w:val="FootnoteText"/>
      </w:pPr>
      <w:r>
        <w:tab/>
      </w:r>
      <w:r w:rsidRPr="00224501">
        <w:rPr>
          <w:rStyle w:val="FootnoteReference"/>
        </w:rPr>
        <w:footnoteRef/>
      </w:r>
      <w:r>
        <w:tab/>
      </w:r>
      <w:r>
        <w:tab/>
      </w:r>
      <w:r w:rsidRPr="00224501">
        <w:t>The Committee also notes the author’s claims that he informed the State party regarding his current address on several occasions, including 6 July 2010 (see paragraph 3.4), when he sent a registered mail containing his address, and contact information for his lawyer in Kyrgyzstan, to the State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5E857" w14:textId="77777777" w:rsidR="0097381E" w:rsidRPr="0097381E" w:rsidRDefault="00E851DE" w:rsidP="009667C6">
    <w:pPr>
      <w:pStyle w:val="Header"/>
    </w:pPr>
    <w:r w:rsidRPr="00E851DE">
      <w:t>Advance unedited version</w:t>
    </w:r>
    <w:r>
      <w:t xml:space="preserve"> </w:t>
    </w:r>
    <w:r w:rsidR="0097381E">
      <w:t>CCPR/C/</w:t>
    </w:r>
    <w:r w:rsidR="009667C6">
      <w:t>130</w:t>
    </w:r>
    <w:r w:rsidR="0097381E">
      <w:t>/D/2500/2014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CE773" w14:textId="77777777" w:rsidR="0097381E" w:rsidRPr="0097381E" w:rsidRDefault="00E851DE">
    <w:pPr>
      <w:pStyle w:val="Header"/>
      <w:jc w:val="right"/>
    </w:pPr>
    <w:r w:rsidRPr="00E851DE">
      <w:t>Advance unedited version</w:t>
    </w:r>
    <w:r>
      <w:t xml:space="preserve"> </w:t>
    </w:r>
    <w:r w:rsidR="0097381E">
      <w:t>CCPR/C/</w:t>
    </w:r>
    <w:r w:rsidR="009667C6">
      <w:t>130</w:t>
    </w:r>
    <w:r w:rsidR="0097381E">
      <w:t>/D/2500/2014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81E"/>
    <w:rsid w:val="000272B3"/>
    <w:rsid w:val="00045477"/>
    <w:rsid w:val="00050F6B"/>
    <w:rsid w:val="00057E97"/>
    <w:rsid w:val="00060C3A"/>
    <w:rsid w:val="00072C8C"/>
    <w:rsid w:val="000733B5"/>
    <w:rsid w:val="00081815"/>
    <w:rsid w:val="000931C0"/>
    <w:rsid w:val="000B175B"/>
    <w:rsid w:val="000B3A0F"/>
    <w:rsid w:val="000B4EF7"/>
    <w:rsid w:val="000C2C03"/>
    <w:rsid w:val="000C2D2E"/>
    <w:rsid w:val="000E0415"/>
    <w:rsid w:val="001103AA"/>
    <w:rsid w:val="001349E3"/>
    <w:rsid w:val="00157E54"/>
    <w:rsid w:val="00165F3A"/>
    <w:rsid w:val="00183968"/>
    <w:rsid w:val="00195403"/>
    <w:rsid w:val="001A6686"/>
    <w:rsid w:val="001B4B04"/>
    <w:rsid w:val="001C6663"/>
    <w:rsid w:val="001C7895"/>
    <w:rsid w:val="001D0C8C"/>
    <w:rsid w:val="001D26DF"/>
    <w:rsid w:val="001D3A03"/>
    <w:rsid w:val="001E15EE"/>
    <w:rsid w:val="00202DA8"/>
    <w:rsid w:val="00211E0B"/>
    <w:rsid w:val="0023210C"/>
    <w:rsid w:val="00267F5F"/>
    <w:rsid w:val="00286B4D"/>
    <w:rsid w:val="00292B02"/>
    <w:rsid w:val="002C1A92"/>
    <w:rsid w:val="002F175C"/>
    <w:rsid w:val="003229D8"/>
    <w:rsid w:val="00326105"/>
    <w:rsid w:val="003513A7"/>
    <w:rsid w:val="00352709"/>
    <w:rsid w:val="00367567"/>
    <w:rsid w:val="00371178"/>
    <w:rsid w:val="00371256"/>
    <w:rsid w:val="00371803"/>
    <w:rsid w:val="003722BD"/>
    <w:rsid w:val="0038336C"/>
    <w:rsid w:val="0039021F"/>
    <w:rsid w:val="003A6810"/>
    <w:rsid w:val="003C2CC4"/>
    <w:rsid w:val="003D4B23"/>
    <w:rsid w:val="003F1E74"/>
    <w:rsid w:val="003F70CB"/>
    <w:rsid w:val="004076CD"/>
    <w:rsid w:val="00410C89"/>
    <w:rsid w:val="00411DD9"/>
    <w:rsid w:val="00422DB2"/>
    <w:rsid w:val="00426B9B"/>
    <w:rsid w:val="004325CB"/>
    <w:rsid w:val="00436B33"/>
    <w:rsid w:val="004404E7"/>
    <w:rsid w:val="00442A83"/>
    <w:rsid w:val="00451DF0"/>
    <w:rsid w:val="0045495B"/>
    <w:rsid w:val="00457736"/>
    <w:rsid w:val="00460836"/>
    <w:rsid w:val="00472B2C"/>
    <w:rsid w:val="00487488"/>
    <w:rsid w:val="0052136D"/>
    <w:rsid w:val="0052775E"/>
    <w:rsid w:val="005337DF"/>
    <w:rsid w:val="005420F2"/>
    <w:rsid w:val="005628B6"/>
    <w:rsid w:val="005708E3"/>
    <w:rsid w:val="005848B3"/>
    <w:rsid w:val="005B3DB3"/>
    <w:rsid w:val="005C1A98"/>
    <w:rsid w:val="005C76E1"/>
    <w:rsid w:val="005E4C0B"/>
    <w:rsid w:val="005F7717"/>
    <w:rsid w:val="005F7ADE"/>
    <w:rsid w:val="005F7B75"/>
    <w:rsid w:val="006001EE"/>
    <w:rsid w:val="006036E7"/>
    <w:rsid w:val="00605042"/>
    <w:rsid w:val="0060720E"/>
    <w:rsid w:val="00611FC4"/>
    <w:rsid w:val="006176FB"/>
    <w:rsid w:val="0063059B"/>
    <w:rsid w:val="00640B26"/>
    <w:rsid w:val="00652D0A"/>
    <w:rsid w:val="00662BB6"/>
    <w:rsid w:val="00684C21"/>
    <w:rsid w:val="00687BE4"/>
    <w:rsid w:val="006C51EE"/>
    <w:rsid w:val="006D37AF"/>
    <w:rsid w:val="006D51D0"/>
    <w:rsid w:val="006E564B"/>
    <w:rsid w:val="006E7191"/>
    <w:rsid w:val="00703577"/>
    <w:rsid w:val="00725E9E"/>
    <w:rsid w:val="0072632A"/>
    <w:rsid w:val="007327D5"/>
    <w:rsid w:val="007406D7"/>
    <w:rsid w:val="00743303"/>
    <w:rsid w:val="007629C8"/>
    <w:rsid w:val="007A4C34"/>
    <w:rsid w:val="007B6BA5"/>
    <w:rsid w:val="007C3390"/>
    <w:rsid w:val="007C4F4B"/>
    <w:rsid w:val="007C784F"/>
    <w:rsid w:val="007E0B2D"/>
    <w:rsid w:val="007E174C"/>
    <w:rsid w:val="007F6611"/>
    <w:rsid w:val="008105B8"/>
    <w:rsid w:val="008242D7"/>
    <w:rsid w:val="008257B1"/>
    <w:rsid w:val="00843767"/>
    <w:rsid w:val="00847EAC"/>
    <w:rsid w:val="0086779C"/>
    <w:rsid w:val="008679D9"/>
    <w:rsid w:val="0088631E"/>
    <w:rsid w:val="008979B1"/>
    <w:rsid w:val="008A1DB2"/>
    <w:rsid w:val="008A6B25"/>
    <w:rsid w:val="008A6C4F"/>
    <w:rsid w:val="008B2335"/>
    <w:rsid w:val="008E0678"/>
    <w:rsid w:val="00910F40"/>
    <w:rsid w:val="00912C08"/>
    <w:rsid w:val="009223CA"/>
    <w:rsid w:val="00940F93"/>
    <w:rsid w:val="0095347F"/>
    <w:rsid w:val="00960B97"/>
    <w:rsid w:val="009667C6"/>
    <w:rsid w:val="0097381E"/>
    <w:rsid w:val="009760F3"/>
    <w:rsid w:val="0097647A"/>
    <w:rsid w:val="009909F5"/>
    <w:rsid w:val="009A0E8D"/>
    <w:rsid w:val="009B26E7"/>
    <w:rsid w:val="00A00A3F"/>
    <w:rsid w:val="00A00D0A"/>
    <w:rsid w:val="00A01489"/>
    <w:rsid w:val="00A24D81"/>
    <w:rsid w:val="00A338F1"/>
    <w:rsid w:val="00A44615"/>
    <w:rsid w:val="00A63ECC"/>
    <w:rsid w:val="00A64A52"/>
    <w:rsid w:val="00A72F22"/>
    <w:rsid w:val="00A7360F"/>
    <w:rsid w:val="00A748A6"/>
    <w:rsid w:val="00A769F4"/>
    <w:rsid w:val="00A776B4"/>
    <w:rsid w:val="00A94361"/>
    <w:rsid w:val="00AA293C"/>
    <w:rsid w:val="00AE216B"/>
    <w:rsid w:val="00B026C8"/>
    <w:rsid w:val="00B13E9B"/>
    <w:rsid w:val="00B30179"/>
    <w:rsid w:val="00B322BE"/>
    <w:rsid w:val="00B339A7"/>
    <w:rsid w:val="00B475C1"/>
    <w:rsid w:val="00B56E4A"/>
    <w:rsid w:val="00B56E9C"/>
    <w:rsid w:val="00B61F78"/>
    <w:rsid w:val="00B64B1F"/>
    <w:rsid w:val="00B6553F"/>
    <w:rsid w:val="00B66E5E"/>
    <w:rsid w:val="00B77D05"/>
    <w:rsid w:val="00B81206"/>
    <w:rsid w:val="00B81E12"/>
    <w:rsid w:val="00B9067B"/>
    <w:rsid w:val="00BA3FB2"/>
    <w:rsid w:val="00BC2C23"/>
    <w:rsid w:val="00BC6CE1"/>
    <w:rsid w:val="00BC74E9"/>
    <w:rsid w:val="00BE054C"/>
    <w:rsid w:val="00BF68A8"/>
    <w:rsid w:val="00C11A03"/>
    <w:rsid w:val="00C33003"/>
    <w:rsid w:val="00C463DD"/>
    <w:rsid w:val="00C4724C"/>
    <w:rsid w:val="00C629A0"/>
    <w:rsid w:val="00C70433"/>
    <w:rsid w:val="00C745C3"/>
    <w:rsid w:val="00CD0027"/>
    <w:rsid w:val="00CE4A8F"/>
    <w:rsid w:val="00D2031B"/>
    <w:rsid w:val="00D25FE2"/>
    <w:rsid w:val="00D43252"/>
    <w:rsid w:val="00D47EEA"/>
    <w:rsid w:val="00D94EF2"/>
    <w:rsid w:val="00D95303"/>
    <w:rsid w:val="00D978C6"/>
    <w:rsid w:val="00DA3111"/>
    <w:rsid w:val="00DA3C1C"/>
    <w:rsid w:val="00DB0C79"/>
    <w:rsid w:val="00DC046E"/>
    <w:rsid w:val="00DD70E5"/>
    <w:rsid w:val="00E27346"/>
    <w:rsid w:val="00E71BC8"/>
    <w:rsid w:val="00E7260F"/>
    <w:rsid w:val="00E76280"/>
    <w:rsid w:val="00E779FC"/>
    <w:rsid w:val="00E851DE"/>
    <w:rsid w:val="00E9475E"/>
    <w:rsid w:val="00E96630"/>
    <w:rsid w:val="00EB2581"/>
    <w:rsid w:val="00EC51AC"/>
    <w:rsid w:val="00ED7A2A"/>
    <w:rsid w:val="00EF1D7F"/>
    <w:rsid w:val="00EF265D"/>
    <w:rsid w:val="00F20C3D"/>
    <w:rsid w:val="00F3398B"/>
    <w:rsid w:val="00F43E9E"/>
    <w:rsid w:val="00F547A8"/>
    <w:rsid w:val="00F656D1"/>
    <w:rsid w:val="00F729A7"/>
    <w:rsid w:val="00F77E8F"/>
    <w:rsid w:val="00F9057C"/>
    <w:rsid w:val="00F906D7"/>
    <w:rsid w:val="00F93781"/>
    <w:rsid w:val="00FA29AD"/>
    <w:rsid w:val="00FB613B"/>
    <w:rsid w:val="00FC33EC"/>
    <w:rsid w:val="00FC68B7"/>
    <w:rsid w:val="00FD080D"/>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A8C56A"/>
  <w15:docId w15:val="{08BD0426-F61F-41E5-8EA1-AAA5C2AF4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semiHidden/>
    <w:qFormat/>
    <w:rsid w:val="000272B3"/>
    <w:pPr>
      <w:spacing w:line="240" w:lineRule="auto"/>
      <w:outlineLvl w:val="1"/>
    </w:pPr>
  </w:style>
  <w:style w:type="paragraph" w:styleId="Heading3">
    <w:name w:val="heading 3"/>
    <w:basedOn w:val="Normal"/>
    <w:next w:val="Normal"/>
    <w:semiHidden/>
    <w:qFormat/>
    <w:rsid w:val="000272B3"/>
    <w:pPr>
      <w:spacing w:line="240" w:lineRule="auto"/>
      <w:outlineLvl w:val="2"/>
    </w:pPr>
  </w:style>
  <w:style w:type="paragraph" w:styleId="Heading4">
    <w:name w:val="heading 4"/>
    <w:basedOn w:val="Normal"/>
    <w:next w:val="Normal"/>
    <w:semiHidden/>
    <w:qFormat/>
    <w:rsid w:val="000272B3"/>
    <w:pPr>
      <w:spacing w:line="240" w:lineRule="auto"/>
      <w:outlineLvl w:val="3"/>
    </w:pPr>
  </w:style>
  <w:style w:type="paragraph" w:styleId="Heading5">
    <w:name w:val="heading 5"/>
    <w:basedOn w:val="Normal"/>
    <w:next w:val="Normal"/>
    <w:semiHidden/>
    <w:qFormat/>
    <w:rsid w:val="000272B3"/>
    <w:pPr>
      <w:spacing w:line="240" w:lineRule="auto"/>
      <w:outlineLvl w:val="4"/>
    </w:pPr>
  </w:style>
  <w:style w:type="paragraph" w:styleId="Heading6">
    <w:name w:val="heading 6"/>
    <w:basedOn w:val="Normal"/>
    <w:next w:val="Normal"/>
    <w:semiHidden/>
    <w:qFormat/>
    <w:rsid w:val="000272B3"/>
    <w:pPr>
      <w:spacing w:line="240" w:lineRule="auto"/>
      <w:outlineLvl w:val="5"/>
    </w:pPr>
  </w:style>
  <w:style w:type="paragraph" w:styleId="Heading7">
    <w:name w:val="heading 7"/>
    <w:basedOn w:val="Normal"/>
    <w:next w:val="Normal"/>
    <w:semiHidden/>
    <w:qFormat/>
    <w:rsid w:val="000272B3"/>
    <w:pPr>
      <w:spacing w:line="240" w:lineRule="auto"/>
      <w:outlineLvl w:val="6"/>
    </w:pPr>
  </w:style>
  <w:style w:type="paragraph" w:styleId="Heading8">
    <w:name w:val="heading 8"/>
    <w:basedOn w:val="Normal"/>
    <w:next w:val="Normal"/>
    <w:semiHidden/>
    <w:qFormat/>
    <w:rsid w:val="000272B3"/>
    <w:pPr>
      <w:spacing w:line="240" w:lineRule="auto"/>
      <w:outlineLvl w:val="7"/>
    </w:pPr>
  </w:style>
  <w:style w:type="paragraph" w:styleId="Heading9">
    <w:name w:val="heading 9"/>
    <w:basedOn w:val="Normal"/>
    <w:next w:val="Normal"/>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qFormat/>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Footnote number,ftref,Footnotes refss,Style 10,BVI fnr,16 Point,Superscript 6 Point,Footnote,Footnote symbol,Footnote Refernece,Texto de nota al pie,Fußnotenzeichen_Raxen,referencia nota al pie,Footnote text,4_Footnote text"/>
    <w:basedOn w:val="DefaultParagraphFont"/>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link w:val="FootnoteText"/>
    <w:rsid w:val="0097381E"/>
    <w:rPr>
      <w:sz w:val="18"/>
      <w:lang w:val="en-GB" w:eastAsia="en-US"/>
    </w:rPr>
  </w:style>
  <w:style w:type="character" w:customStyle="1" w:styleId="SingleTxtGChar">
    <w:name w:val="_ Single Txt_G Char"/>
    <w:link w:val="SingleTxtG"/>
    <w:rsid w:val="0097381E"/>
    <w:rPr>
      <w:lang w:val="en-GB" w:eastAsia="en-US"/>
    </w:rPr>
  </w:style>
  <w:style w:type="paragraph" w:styleId="NoSpacing">
    <w:name w:val="No Spacing"/>
    <w:uiPriority w:val="1"/>
    <w:qFormat/>
    <w:rsid w:val="0097381E"/>
    <w:rPr>
      <w:rFonts w:ascii="Calibri" w:eastAsia="Calibri" w:hAnsi="Calibri"/>
      <w:sz w:val="22"/>
      <w:szCs w:val="22"/>
      <w:lang w:val="en-GB" w:eastAsia="en-US"/>
    </w:rPr>
  </w:style>
  <w:style w:type="character" w:styleId="CommentReference">
    <w:name w:val="annotation reference"/>
    <w:basedOn w:val="DefaultParagraphFont"/>
    <w:semiHidden/>
    <w:unhideWhenUsed/>
    <w:rsid w:val="00B026C8"/>
    <w:rPr>
      <w:sz w:val="16"/>
      <w:szCs w:val="16"/>
    </w:rPr>
  </w:style>
  <w:style w:type="paragraph" w:styleId="CommentText">
    <w:name w:val="annotation text"/>
    <w:basedOn w:val="Normal"/>
    <w:link w:val="CommentTextChar"/>
    <w:semiHidden/>
    <w:unhideWhenUsed/>
    <w:rsid w:val="00B026C8"/>
    <w:pPr>
      <w:spacing w:line="240" w:lineRule="auto"/>
    </w:pPr>
  </w:style>
  <w:style w:type="character" w:customStyle="1" w:styleId="CommentTextChar">
    <w:name w:val="Comment Text Char"/>
    <w:basedOn w:val="DefaultParagraphFont"/>
    <w:link w:val="CommentText"/>
    <w:semiHidden/>
    <w:rsid w:val="00B026C8"/>
    <w:rPr>
      <w:lang w:val="en-GB" w:eastAsia="en-US"/>
    </w:rPr>
  </w:style>
  <w:style w:type="paragraph" w:styleId="CommentSubject">
    <w:name w:val="annotation subject"/>
    <w:basedOn w:val="CommentText"/>
    <w:next w:val="CommentText"/>
    <w:link w:val="CommentSubjectChar"/>
    <w:semiHidden/>
    <w:unhideWhenUsed/>
    <w:rsid w:val="00B026C8"/>
    <w:rPr>
      <w:b/>
      <w:bCs/>
    </w:rPr>
  </w:style>
  <w:style w:type="character" w:customStyle="1" w:styleId="CommentSubjectChar">
    <w:name w:val="Comment Subject Char"/>
    <w:basedOn w:val="CommentTextChar"/>
    <w:link w:val="CommentSubject"/>
    <w:semiHidden/>
    <w:rsid w:val="00B026C8"/>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2CB7AB-4EF8-4C90-889D-CCA2401B4E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84A954-779F-4D24-993B-D6995687C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CE5F0A-81BC-4821-A327-C69DBCDADCDE}">
  <ds:schemaRefs>
    <ds:schemaRef ds:uri="http://schemas.openxmlformats.org/officeDocument/2006/bibliography"/>
  </ds:schemaRefs>
</ds:datastoreItem>
</file>

<file path=customXml/itemProps4.xml><?xml version="1.0" encoding="utf-8"?>
<ds:datastoreItem xmlns:ds="http://schemas.openxmlformats.org/officeDocument/2006/customXml" ds:itemID="{873DE181-9064-4069-8F16-DB89528BE5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C:\UN-Docs2017\Templates\CCPR\CCPR_E.dotm</Template>
  <TotalTime>1</TotalTime>
  <Pages>9</Pages>
  <Words>5001</Words>
  <Characters>28506</Characters>
  <Application>Microsoft Office Word</Application>
  <DocSecurity>0</DocSecurity>
  <Lines>237</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CCPR/C/129/DR/2500/2014</vt:lpstr>
      <vt:lpstr>United Nations</vt:lpstr>
    </vt:vector>
  </TitlesOfParts>
  <Company>CSD</Company>
  <LinksUpToDate>false</LinksUpToDate>
  <CharactersWithSpaces>33441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CCPR/C/129/DR/2500/2014</dc:title>
  <dc:subject>2009584</dc:subject>
  <dc:creator>ABDELAZIM Mohamed</dc:creator>
  <cp:keywords/>
  <dc:description/>
  <cp:lastModifiedBy>Daniella Ferreira</cp:lastModifiedBy>
  <cp:revision>2</cp:revision>
  <cp:lastPrinted>2021-03-18T08:37:00Z</cp:lastPrinted>
  <dcterms:created xsi:type="dcterms:W3CDTF">2021-04-07T13:11:00Z</dcterms:created>
  <dcterms:modified xsi:type="dcterms:W3CDTF">2021-04-07T13:11:00Z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