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87505" w14:paraId="013ABA71" w14:textId="77777777" w:rsidTr="00893B41">
        <w:trPr>
          <w:cantSplit/>
          <w:trHeight w:hRule="exact" w:val="851"/>
        </w:trPr>
        <w:tc>
          <w:tcPr>
            <w:tcW w:w="1276" w:type="dxa"/>
            <w:tcBorders>
              <w:bottom w:val="single" w:sz="4" w:space="0" w:color="auto"/>
            </w:tcBorders>
            <w:vAlign w:val="bottom"/>
          </w:tcPr>
          <w:p w14:paraId="339B9EC2" w14:textId="77777777" w:rsidR="00087505" w:rsidRDefault="00087505" w:rsidP="00893B41">
            <w:pPr>
              <w:spacing w:after="80"/>
            </w:pPr>
          </w:p>
        </w:tc>
        <w:tc>
          <w:tcPr>
            <w:tcW w:w="2268" w:type="dxa"/>
            <w:tcBorders>
              <w:bottom w:val="single" w:sz="4" w:space="0" w:color="auto"/>
            </w:tcBorders>
            <w:vAlign w:val="bottom"/>
          </w:tcPr>
          <w:p w14:paraId="7426589B" w14:textId="77777777" w:rsidR="00087505" w:rsidRPr="00B97172" w:rsidRDefault="00087505" w:rsidP="00893B4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22343B" w14:textId="4A123D85" w:rsidR="00087505" w:rsidRPr="00D47EEA" w:rsidRDefault="00087505" w:rsidP="00780F90">
            <w:pPr>
              <w:jc w:val="right"/>
            </w:pPr>
            <w:r w:rsidRPr="00D92F24">
              <w:rPr>
                <w:sz w:val="40"/>
              </w:rPr>
              <w:t>CCPR</w:t>
            </w:r>
            <w:r>
              <w:t>/C/</w:t>
            </w:r>
            <w:r w:rsidR="00780F90">
              <w:t>130</w:t>
            </w:r>
            <w:r>
              <w:t>/D/2845/2016</w:t>
            </w:r>
          </w:p>
        </w:tc>
      </w:tr>
      <w:tr w:rsidR="00087505" w14:paraId="2F27FD2C" w14:textId="77777777" w:rsidTr="00893B41">
        <w:trPr>
          <w:cantSplit/>
          <w:trHeight w:hRule="exact" w:val="2835"/>
        </w:trPr>
        <w:tc>
          <w:tcPr>
            <w:tcW w:w="1276" w:type="dxa"/>
            <w:tcBorders>
              <w:top w:val="single" w:sz="4" w:space="0" w:color="auto"/>
              <w:bottom w:val="single" w:sz="12" w:space="0" w:color="auto"/>
            </w:tcBorders>
          </w:tcPr>
          <w:p w14:paraId="450F3008" w14:textId="77777777" w:rsidR="00087505" w:rsidRDefault="00087505" w:rsidP="00893B41">
            <w:pPr>
              <w:spacing w:before="120"/>
            </w:pPr>
            <w:r>
              <w:rPr>
                <w:noProof/>
                <w:lang w:eastAsia="en-GB"/>
              </w:rPr>
              <w:drawing>
                <wp:inline distT="0" distB="0" distL="0" distR="0" wp14:anchorId="73B76FD3" wp14:editId="5F49D6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4B7FB6" w14:textId="14AAFD31" w:rsidR="00087505" w:rsidRDefault="00087505" w:rsidP="00893B41">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7EC00FB2" w14:textId="77777777" w:rsidR="0031224E" w:rsidRDefault="0031224E" w:rsidP="00893B41">
            <w:pPr>
              <w:spacing w:before="120" w:line="380" w:lineRule="exact"/>
              <w:rPr>
                <w:b/>
                <w:sz w:val="34"/>
                <w:szCs w:val="40"/>
              </w:rPr>
            </w:pPr>
          </w:p>
          <w:p w14:paraId="47BBFC6B" w14:textId="77777777" w:rsidR="0031224E" w:rsidRDefault="0031224E" w:rsidP="0031224E">
            <w:pPr>
              <w:spacing w:before="120" w:line="380" w:lineRule="exact"/>
              <w:rPr>
                <w:b/>
                <w:sz w:val="34"/>
                <w:szCs w:val="34"/>
              </w:rPr>
            </w:pPr>
            <w:r w:rsidRPr="000921E9">
              <w:rPr>
                <w:sz w:val="34"/>
                <w:szCs w:val="40"/>
              </w:rPr>
              <w:t>Advance unedited version</w:t>
            </w:r>
          </w:p>
          <w:p w14:paraId="72B27879" w14:textId="229ACA31" w:rsidR="0031224E" w:rsidRPr="00267F5F" w:rsidRDefault="0031224E" w:rsidP="00893B41">
            <w:pPr>
              <w:spacing w:before="120" w:line="380" w:lineRule="exact"/>
              <w:rPr>
                <w:sz w:val="34"/>
              </w:rPr>
            </w:pPr>
          </w:p>
        </w:tc>
        <w:tc>
          <w:tcPr>
            <w:tcW w:w="2835" w:type="dxa"/>
            <w:tcBorders>
              <w:top w:val="single" w:sz="4" w:space="0" w:color="auto"/>
              <w:bottom w:val="single" w:sz="12" w:space="0" w:color="auto"/>
            </w:tcBorders>
          </w:tcPr>
          <w:p w14:paraId="43C4AFE5" w14:textId="489E05E7" w:rsidR="00087505" w:rsidRDefault="00087505" w:rsidP="00893B41">
            <w:pPr>
              <w:spacing w:before="240" w:line="240" w:lineRule="exact"/>
            </w:pPr>
            <w:r>
              <w:t xml:space="preserve">Distr.: </w:t>
            </w:r>
            <w:r w:rsidR="005923B7">
              <w:t>General</w:t>
            </w:r>
          </w:p>
          <w:p w14:paraId="6B9CBA6E" w14:textId="71554AA1" w:rsidR="00087505" w:rsidRDefault="00D065BF" w:rsidP="00893B41">
            <w:pPr>
              <w:spacing w:line="240" w:lineRule="exact"/>
            </w:pPr>
            <w:r>
              <w:t>15</w:t>
            </w:r>
            <w:r w:rsidR="00780F90">
              <w:t xml:space="preserve"> December </w:t>
            </w:r>
            <w:r w:rsidR="00087505">
              <w:t>2020</w:t>
            </w:r>
          </w:p>
          <w:p w14:paraId="76A910C8" w14:textId="77777777" w:rsidR="00087505" w:rsidRDefault="00087505" w:rsidP="00893B41">
            <w:pPr>
              <w:spacing w:line="240" w:lineRule="exact"/>
            </w:pPr>
          </w:p>
          <w:p w14:paraId="4EF5CE8D" w14:textId="77777777" w:rsidR="00087505" w:rsidRDefault="00087505" w:rsidP="00893B41">
            <w:pPr>
              <w:spacing w:line="240" w:lineRule="exact"/>
            </w:pPr>
            <w:r>
              <w:t>Original: English</w:t>
            </w:r>
          </w:p>
          <w:p w14:paraId="4701E7D7" w14:textId="701CE8EA" w:rsidR="00087505" w:rsidRDefault="00087505" w:rsidP="00893B41">
            <w:pPr>
              <w:spacing w:line="240" w:lineRule="exact"/>
            </w:pPr>
          </w:p>
        </w:tc>
      </w:tr>
    </w:tbl>
    <w:p w14:paraId="2C284133" w14:textId="77777777" w:rsidR="00087505" w:rsidRPr="00E124CE" w:rsidRDefault="00087505" w:rsidP="00087505">
      <w:pPr>
        <w:spacing w:before="120"/>
        <w:rPr>
          <w:b/>
          <w:sz w:val="24"/>
          <w:szCs w:val="24"/>
        </w:rPr>
      </w:pPr>
      <w:r w:rsidRPr="00E124CE">
        <w:rPr>
          <w:b/>
          <w:sz w:val="24"/>
          <w:szCs w:val="24"/>
        </w:rPr>
        <w:t>Human Rights Committee</w:t>
      </w:r>
    </w:p>
    <w:p w14:paraId="5AD5BA16" w14:textId="1A08D2C6" w:rsidR="00087505" w:rsidRPr="0031224E" w:rsidRDefault="00087505" w:rsidP="0031224E">
      <w:pPr>
        <w:pStyle w:val="HChG"/>
      </w:pPr>
      <w:r>
        <w:tab/>
      </w:r>
      <w:r>
        <w:tab/>
      </w:r>
      <w:r w:rsidR="005923B7" w:rsidRPr="0031224E">
        <w:t>Views adopted by the Committee under article 5 (4) of the Optional Protocol, concerning communication No 2845/2016</w:t>
      </w:r>
      <w:r w:rsidR="005923B7" w:rsidRPr="0031224E">
        <w:rPr>
          <w:rStyle w:val="FootnoteReference"/>
          <w:sz w:val="28"/>
          <w:vertAlign w:val="baseline"/>
        </w:rPr>
        <w:footnoteReference w:customMarkFollows="1" w:id="1"/>
        <w:t>*</w:t>
      </w:r>
      <w:r w:rsidR="005923B7" w:rsidRPr="0031224E">
        <w:t>,</w:t>
      </w:r>
      <w:r w:rsidR="005923B7" w:rsidRPr="0031224E">
        <w:rPr>
          <w:rStyle w:val="FootnoteReference"/>
          <w:sz w:val="28"/>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685"/>
      </w:tblGrid>
      <w:tr w:rsidR="00087505" w:rsidRPr="000972E1" w14:paraId="2E623C7C" w14:textId="77777777" w:rsidTr="00893B41">
        <w:tc>
          <w:tcPr>
            <w:tcW w:w="3119" w:type="dxa"/>
            <w:shd w:val="clear" w:color="auto" w:fill="auto"/>
          </w:tcPr>
          <w:p w14:paraId="5450CC23" w14:textId="77777777" w:rsidR="00087505" w:rsidRPr="00475C4F" w:rsidRDefault="00087505" w:rsidP="00893B41">
            <w:pPr>
              <w:pStyle w:val="SingleTxtG"/>
              <w:ind w:left="0" w:right="0"/>
              <w:jc w:val="left"/>
              <w:rPr>
                <w:i/>
              </w:rPr>
            </w:pPr>
            <w:r w:rsidRPr="00482638">
              <w:rPr>
                <w:i/>
              </w:rPr>
              <w:t>Communication</w:t>
            </w:r>
            <w:r w:rsidRPr="00475C4F">
              <w:rPr>
                <w:i/>
              </w:rPr>
              <w:t xml:space="preserve"> </w:t>
            </w:r>
            <w:r>
              <w:rPr>
                <w:i/>
              </w:rPr>
              <w:t>s</w:t>
            </w:r>
            <w:r w:rsidRPr="00475C4F">
              <w:rPr>
                <w:i/>
              </w:rPr>
              <w:t>ubmitted by:</w:t>
            </w:r>
          </w:p>
        </w:tc>
        <w:tc>
          <w:tcPr>
            <w:tcW w:w="3685" w:type="dxa"/>
            <w:shd w:val="clear" w:color="auto" w:fill="auto"/>
          </w:tcPr>
          <w:p w14:paraId="3AB43501" w14:textId="77777777" w:rsidR="00087505" w:rsidRPr="000972E1" w:rsidRDefault="00087505" w:rsidP="00893B41">
            <w:pPr>
              <w:pStyle w:val="SingleTxtG"/>
              <w:ind w:left="0" w:right="141"/>
              <w:jc w:val="left"/>
            </w:pPr>
            <w:proofErr w:type="spellStart"/>
            <w:r>
              <w:t>Rahima</w:t>
            </w:r>
            <w:proofErr w:type="spellEnd"/>
            <w:r>
              <w:t xml:space="preserve"> </w:t>
            </w:r>
            <w:proofErr w:type="spellStart"/>
            <w:r>
              <w:t>Huseynova</w:t>
            </w:r>
            <w:proofErr w:type="spellEnd"/>
            <w:r w:rsidRPr="00287329">
              <w:t xml:space="preserve">, </w:t>
            </w:r>
            <w:r>
              <w:t>(</w:t>
            </w:r>
            <w:r w:rsidRPr="00964F1C">
              <w:t xml:space="preserve">represented by counsels, Daniel Gordon Pole and Petr </w:t>
            </w:r>
            <w:proofErr w:type="spellStart"/>
            <w:r w:rsidRPr="00964F1C">
              <w:t>Muzny</w:t>
            </w:r>
            <w:proofErr w:type="spellEnd"/>
            <w:r w:rsidRPr="00964F1C">
              <w:t>)</w:t>
            </w:r>
          </w:p>
        </w:tc>
      </w:tr>
      <w:tr w:rsidR="00087505" w:rsidRPr="00475C4F" w14:paraId="5F1D64D7" w14:textId="77777777" w:rsidTr="00893B41">
        <w:tc>
          <w:tcPr>
            <w:tcW w:w="3119" w:type="dxa"/>
            <w:shd w:val="clear" w:color="auto" w:fill="auto"/>
          </w:tcPr>
          <w:p w14:paraId="09B721B7" w14:textId="77777777" w:rsidR="00087505" w:rsidRPr="00475C4F" w:rsidRDefault="00087505" w:rsidP="00893B41">
            <w:pPr>
              <w:pStyle w:val="SingleTxtG"/>
              <w:ind w:left="0" w:right="0"/>
              <w:jc w:val="left"/>
              <w:rPr>
                <w:i/>
              </w:rPr>
            </w:pPr>
            <w:r w:rsidRPr="00475C4F">
              <w:rPr>
                <w:i/>
              </w:rPr>
              <w:t>Alleged victim:</w:t>
            </w:r>
          </w:p>
        </w:tc>
        <w:tc>
          <w:tcPr>
            <w:tcW w:w="3685" w:type="dxa"/>
            <w:shd w:val="clear" w:color="auto" w:fill="auto"/>
          </w:tcPr>
          <w:p w14:paraId="51951397" w14:textId="77777777" w:rsidR="00087505" w:rsidRPr="00475C4F" w:rsidRDefault="00087505" w:rsidP="00893B41">
            <w:pPr>
              <w:pStyle w:val="SingleTxtG"/>
              <w:ind w:left="0" w:right="141"/>
              <w:jc w:val="left"/>
            </w:pPr>
            <w:r>
              <w:t>The author</w:t>
            </w:r>
          </w:p>
        </w:tc>
      </w:tr>
      <w:tr w:rsidR="00087505" w:rsidRPr="00475C4F" w14:paraId="0E4E5C99" w14:textId="77777777" w:rsidTr="00893B41">
        <w:tc>
          <w:tcPr>
            <w:tcW w:w="3119" w:type="dxa"/>
            <w:shd w:val="clear" w:color="auto" w:fill="auto"/>
          </w:tcPr>
          <w:p w14:paraId="05B275E8" w14:textId="77777777" w:rsidR="00087505" w:rsidRPr="00475C4F" w:rsidRDefault="00087505" w:rsidP="00893B41">
            <w:pPr>
              <w:pStyle w:val="SingleTxtG"/>
              <w:ind w:left="0" w:right="0"/>
              <w:jc w:val="left"/>
              <w:rPr>
                <w:i/>
              </w:rPr>
            </w:pPr>
            <w:r w:rsidRPr="00475C4F">
              <w:rPr>
                <w:i/>
              </w:rPr>
              <w:t>State party:</w:t>
            </w:r>
          </w:p>
        </w:tc>
        <w:tc>
          <w:tcPr>
            <w:tcW w:w="3685" w:type="dxa"/>
            <w:shd w:val="clear" w:color="auto" w:fill="auto"/>
          </w:tcPr>
          <w:p w14:paraId="2A620B0B" w14:textId="77777777" w:rsidR="00087505" w:rsidRPr="00475C4F" w:rsidRDefault="00087505" w:rsidP="00893B41">
            <w:pPr>
              <w:pStyle w:val="SingleTxtG"/>
              <w:ind w:left="0" w:right="141"/>
              <w:jc w:val="left"/>
            </w:pPr>
            <w:proofErr w:type="spellStart"/>
            <w:r>
              <w:rPr>
                <w:lang w:val="fr-CH"/>
              </w:rPr>
              <w:t>Republic</w:t>
            </w:r>
            <w:proofErr w:type="spellEnd"/>
            <w:r>
              <w:rPr>
                <w:lang w:val="fr-CH"/>
              </w:rPr>
              <w:t xml:space="preserve"> of </w:t>
            </w:r>
            <w:r>
              <w:t>Azerbaijan</w:t>
            </w:r>
          </w:p>
        </w:tc>
      </w:tr>
      <w:tr w:rsidR="00087505" w:rsidRPr="00475C4F" w14:paraId="1FF3B91E" w14:textId="77777777" w:rsidTr="00893B41">
        <w:tc>
          <w:tcPr>
            <w:tcW w:w="3119" w:type="dxa"/>
            <w:shd w:val="clear" w:color="auto" w:fill="auto"/>
          </w:tcPr>
          <w:p w14:paraId="6F430483" w14:textId="77777777" w:rsidR="00087505" w:rsidRPr="00475C4F" w:rsidRDefault="00087505" w:rsidP="00893B41">
            <w:pPr>
              <w:pStyle w:val="SingleTxtG"/>
              <w:ind w:left="0" w:right="0"/>
              <w:jc w:val="left"/>
              <w:rPr>
                <w:i/>
              </w:rPr>
            </w:pPr>
            <w:r w:rsidRPr="00475C4F">
              <w:rPr>
                <w:i/>
              </w:rPr>
              <w:t>Date of communication:</w:t>
            </w:r>
          </w:p>
        </w:tc>
        <w:tc>
          <w:tcPr>
            <w:tcW w:w="3685" w:type="dxa"/>
            <w:shd w:val="clear" w:color="auto" w:fill="auto"/>
          </w:tcPr>
          <w:p w14:paraId="791118DC" w14:textId="77777777" w:rsidR="00087505" w:rsidRPr="00475C4F" w:rsidRDefault="00087505" w:rsidP="00893B41">
            <w:pPr>
              <w:pStyle w:val="SingleTxtG"/>
              <w:ind w:left="0" w:right="141"/>
              <w:jc w:val="left"/>
            </w:pPr>
            <w:r>
              <w:t>23 September 2016</w:t>
            </w:r>
            <w:r w:rsidRPr="00475C4F">
              <w:t xml:space="preserve"> (initial submission)</w:t>
            </w:r>
          </w:p>
        </w:tc>
      </w:tr>
      <w:tr w:rsidR="00087505" w:rsidRPr="007A1E89" w14:paraId="7BF4AE72" w14:textId="77777777" w:rsidTr="00893B41">
        <w:tc>
          <w:tcPr>
            <w:tcW w:w="3119" w:type="dxa"/>
            <w:shd w:val="clear" w:color="auto" w:fill="auto"/>
          </w:tcPr>
          <w:p w14:paraId="64117DDA" w14:textId="77777777" w:rsidR="00087505" w:rsidRPr="007A1E89" w:rsidRDefault="00087505" w:rsidP="00893B41">
            <w:pPr>
              <w:pStyle w:val="SingleTxtG"/>
              <w:ind w:left="0" w:right="0"/>
              <w:jc w:val="left"/>
              <w:rPr>
                <w:i/>
              </w:rPr>
            </w:pPr>
            <w:r w:rsidRPr="007A1E89">
              <w:rPr>
                <w:i/>
              </w:rPr>
              <w:t>Document references:</w:t>
            </w:r>
          </w:p>
        </w:tc>
        <w:tc>
          <w:tcPr>
            <w:tcW w:w="3685" w:type="dxa"/>
            <w:shd w:val="clear" w:color="auto" w:fill="auto"/>
          </w:tcPr>
          <w:p w14:paraId="0E15F8C1" w14:textId="77777777" w:rsidR="00087505" w:rsidRPr="007A1E89" w:rsidRDefault="00087505" w:rsidP="00893B41">
            <w:pPr>
              <w:pStyle w:val="SingleTxtG"/>
              <w:ind w:left="0" w:right="141"/>
              <w:jc w:val="left"/>
            </w:pPr>
            <w:r w:rsidRPr="00CE04E3">
              <w:t>Decision taken pursuant to  rule 9</w:t>
            </w:r>
            <w:r>
              <w:t>2</w:t>
            </w:r>
            <w:r w:rsidRPr="00CE04E3">
              <w:t xml:space="preserve"> of the Committee’s rules of procedure, transmitted to the State party </w:t>
            </w:r>
            <w:r>
              <w:t xml:space="preserve">on </w:t>
            </w:r>
            <w:r w:rsidRPr="000972E1">
              <w:t>14</w:t>
            </w:r>
            <w:r w:rsidRPr="00CE04E3">
              <w:t xml:space="preserve"> </w:t>
            </w:r>
            <w:r w:rsidRPr="000972E1">
              <w:t>November</w:t>
            </w:r>
            <w:r>
              <w:t xml:space="preserve"> 2016</w:t>
            </w:r>
            <w:r w:rsidRPr="00CE04E3">
              <w:t xml:space="preserve"> (not issued in documen</w:t>
            </w:r>
            <w:r>
              <w:t>t form</w:t>
            </w:r>
            <w:r w:rsidRPr="007A1E89">
              <w:t>)</w:t>
            </w:r>
          </w:p>
        </w:tc>
      </w:tr>
      <w:tr w:rsidR="00087505" w:rsidRPr="00475C4F" w14:paraId="447990E3" w14:textId="77777777" w:rsidTr="00893B41">
        <w:tc>
          <w:tcPr>
            <w:tcW w:w="3119" w:type="dxa"/>
            <w:shd w:val="clear" w:color="auto" w:fill="auto"/>
          </w:tcPr>
          <w:p w14:paraId="74D53D4D" w14:textId="77777777" w:rsidR="00087505" w:rsidRPr="00475C4F" w:rsidRDefault="00087505" w:rsidP="00893B41">
            <w:pPr>
              <w:pStyle w:val="SingleTxtG"/>
              <w:ind w:left="0" w:right="0"/>
              <w:jc w:val="left"/>
              <w:rPr>
                <w:i/>
              </w:rPr>
            </w:pPr>
            <w:r w:rsidRPr="00475C4F">
              <w:rPr>
                <w:i/>
              </w:rPr>
              <w:t xml:space="preserve">Date of adoption of </w:t>
            </w:r>
            <w:r>
              <w:rPr>
                <w:i/>
              </w:rPr>
              <w:t>d</w:t>
            </w:r>
            <w:r w:rsidRPr="00475C4F">
              <w:rPr>
                <w:i/>
              </w:rPr>
              <w:t>ecision:</w:t>
            </w:r>
          </w:p>
        </w:tc>
        <w:tc>
          <w:tcPr>
            <w:tcW w:w="3685" w:type="dxa"/>
            <w:shd w:val="clear" w:color="auto" w:fill="auto"/>
            <w:vAlign w:val="bottom"/>
          </w:tcPr>
          <w:p w14:paraId="339DB6C6" w14:textId="65CB49DD" w:rsidR="00087505" w:rsidRPr="00475C4F" w:rsidRDefault="00964F1C" w:rsidP="00964F1C">
            <w:pPr>
              <w:pStyle w:val="SingleTxtG"/>
              <w:ind w:left="0"/>
              <w:jc w:val="left"/>
            </w:pPr>
            <w:r>
              <w:t>14</w:t>
            </w:r>
            <w:r w:rsidR="00087505">
              <w:t xml:space="preserve"> </w:t>
            </w:r>
            <w:r>
              <w:rPr>
                <w:lang w:val="fr-CH"/>
              </w:rPr>
              <w:t xml:space="preserve"> </w:t>
            </w:r>
            <w:proofErr w:type="spellStart"/>
            <w:r>
              <w:rPr>
                <w:lang w:val="fr-CH"/>
              </w:rPr>
              <w:t>October</w:t>
            </w:r>
            <w:proofErr w:type="spellEnd"/>
            <w:r w:rsidR="00087505">
              <w:t xml:space="preserve"> 2020</w:t>
            </w:r>
          </w:p>
        </w:tc>
      </w:tr>
      <w:tr w:rsidR="00087505" w:rsidRPr="002E063E" w14:paraId="2CBF635A" w14:textId="77777777" w:rsidTr="00893B41">
        <w:tc>
          <w:tcPr>
            <w:tcW w:w="3119" w:type="dxa"/>
            <w:shd w:val="clear" w:color="auto" w:fill="auto"/>
          </w:tcPr>
          <w:p w14:paraId="06B82ED5" w14:textId="77777777" w:rsidR="00087505" w:rsidRPr="002E063E" w:rsidRDefault="00087505" w:rsidP="00893B41">
            <w:pPr>
              <w:pStyle w:val="SingleTxtG"/>
              <w:ind w:left="0" w:right="0"/>
              <w:jc w:val="left"/>
              <w:rPr>
                <w:i/>
              </w:rPr>
            </w:pPr>
            <w:r w:rsidRPr="002E063E">
              <w:rPr>
                <w:i/>
                <w:iCs/>
              </w:rPr>
              <w:t>Subject matter:</w:t>
            </w:r>
          </w:p>
        </w:tc>
        <w:tc>
          <w:tcPr>
            <w:tcW w:w="3685" w:type="dxa"/>
            <w:shd w:val="clear" w:color="auto" w:fill="auto"/>
          </w:tcPr>
          <w:p w14:paraId="62E9571A" w14:textId="77777777" w:rsidR="00087505" w:rsidRPr="002E063E" w:rsidRDefault="00087505" w:rsidP="00893B41">
            <w:pPr>
              <w:pStyle w:val="SingleTxtG"/>
              <w:ind w:left="0" w:right="0"/>
              <w:jc w:val="left"/>
            </w:pPr>
            <w:r w:rsidRPr="000972E1">
              <w:t xml:space="preserve">Arrest and fine </w:t>
            </w:r>
            <w:r>
              <w:t>imposed on Jehovah’s Witnesses for religious activities</w:t>
            </w:r>
          </w:p>
        </w:tc>
      </w:tr>
      <w:tr w:rsidR="00087505" w:rsidRPr="007A1E89" w14:paraId="19AFEF90" w14:textId="77777777" w:rsidTr="00893B41">
        <w:tc>
          <w:tcPr>
            <w:tcW w:w="3119" w:type="dxa"/>
            <w:shd w:val="clear" w:color="auto" w:fill="auto"/>
          </w:tcPr>
          <w:p w14:paraId="4553448B" w14:textId="77777777" w:rsidR="00087505" w:rsidRPr="007A1E89" w:rsidRDefault="00087505" w:rsidP="00893B41">
            <w:pPr>
              <w:pStyle w:val="SingleTxtG"/>
              <w:ind w:left="0" w:right="0"/>
              <w:jc w:val="left"/>
              <w:rPr>
                <w:i/>
                <w:iCs/>
              </w:rPr>
            </w:pPr>
            <w:r w:rsidRPr="007A1E89">
              <w:rPr>
                <w:i/>
                <w:iCs/>
              </w:rPr>
              <w:t>Procedural issues</w:t>
            </w:r>
            <w:r w:rsidRPr="007A1E89">
              <w:rPr>
                <w:i/>
              </w:rPr>
              <w:t>:</w:t>
            </w:r>
          </w:p>
        </w:tc>
        <w:tc>
          <w:tcPr>
            <w:tcW w:w="3685" w:type="dxa"/>
            <w:shd w:val="clear" w:color="auto" w:fill="auto"/>
          </w:tcPr>
          <w:p w14:paraId="267961F6" w14:textId="77777777" w:rsidR="00087505" w:rsidRPr="007A1E89" w:rsidRDefault="00087505" w:rsidP="00893B41">
            <w:pPr>
              <w:pStyle w:val="SingleTxtG"/>
              <w:ind w:left="0" w:right="0"/>
              <w:jc w:val="left"/>
            </w:pPr>
            <w:r w:rsidRPr="00241489">
              <w:t>Admissibility - exhaustion of domestic remedies; admissibility – manifestly ill-founded</w:t>
            </w:r>
          </w:p>
        </w:tc>
      </w:tr>
      <w:tr w:rsidR="00087505" w:rsidRPr="00FD4FD5" w14:paraId="4499FC10" w14:textId="77777777" w:rsidTr="00893B41">
        <w:tc>
          <w:tcPr>
            <w:tcW w:w="3119" w:type="dxa"/>
            <w:shd w:val="clear" w:color="auto" w:fill="auto"/>
          </w:tcPr>
          <w:p w14:paraId="0D862EF3" w14:textId="77777777" w:rsidR="00087505" w:rsidRPr="00FD4FD5" w:rsidRDefault="00087505" w:rsidP="00893B41">
            <w:pPr>
              <w:pStyle w:val="SingleTxtG"/>
              <w:ind w:left="0" w:right="0"/>
              <w:jc w:val="left"/>
              <w:rPr>
                <w:i/>
                <w:iCs/>
              </w:rPr>
            </w:pPr>
            <w:r w:rsidRPr="00FD4FD5">
              <w:rPr>
                <w:i/>
                <w:iCs/>
              </w:rPr>
              <w:t>Substantive issues:</w:t>
            </w:r>
          </w:p>
        </w:tc>
        <w:tc>
          <w:tcPr>
            <w:tcW w:w="3685" w:type="dxa"/>
            <w:shd w:val="clear" w:color="auto" w:fill="auto"/>
          </w:tcPr>
          <w:p w14:paraId="6FC3C643" w14:textId="77777777" w:rsidR="00087505" w:rsidRPr="00FD4FD5" w:rsidRDefault="00087505" w:rsidP="00893B41">
            <w:pPr>
              <w:pStyle w:val="SingleTxtG"/>
              <w:ind w:left="0" w:right="0"/>
              <w:jc w:val="left"/>
            </w:pPr>
            <w:r>
              <w:rPr>
                <w:iCs/>
              </w:rPr>
              <w:t>Freedom of religion;</w:t>
            </w:r>
            <w:r w:rsidRPr="00CE04E3">
              <w:rPr>
                <w:iCs/>
              </w:rPr>
              <w:t xml:space="preserve"> unlawful interference; discrimination;</w:t>
            </w:r>
            <w:r>
              <w:rPr>
                <w:iCs/>
              </w:rPr>
              <w:t xml:space="preserve"> </w:t>
            </w:r>
            <w:r w:rsidRPr="00CE04E3">
              <w:rPr>
                <w:iCs/>
              </w:rPr>
              <w:t>freedom of thought, conscience or religion; freedom of expression; fr</w:t>
            </w:r>
            <w:r>
              <w:rPr>
                <w:iCs/>
              </w:rPr>
              <w:t>eedom of opinion.</w:t>
            </w:r>
          </w:p>
        </w:tc>
      </w:tr>
      <w:tr w:rsidR="00087505" w:rsidRPr="00FD4FD5" w14:paraId="4D7C3BA0" w14:textId="77777777" w:rsidTr="00893B41">
        <w:tc>
          <w:tcPr>
            <w:tcW w:w="3119" w:type="dxa"/>
            <w:shd w:val="clear" w:color="auto" w:fill="auto"/>
          </w:tcPr>
          <w:p w14:paraId="6267D83D" w14:textId="77777777" w:rsidR="00087505" w:rsidRPr="00FD4FD5" w:rsidRDefault="00087505" w:rsidP="00893B41">
            <w:pPr>
              <w:pStyle w:val="SingleTxtG"/>
              <w:ind w:left="0" w:right="0"/>
              <w:jc w:val="left"/>
              <w:rPr>
                <w:i/>
                <w:iCs/>
              </w:rPr>
            </w:pPr>
            <w:r w:rsidRPr="00FD4FD5">
              <w:rPr>
                <w:i/>
                <w:iCs/>
              </w:rPr>
              <w:t>Articles of the Covenant</w:t>
            </w:r>
            <w:r w:rsidRPr="00FD4FD5">
              <w:rPr>
                <w:i/>
              </w:rPr>
              <w:t>:</w:t>
            </w:r>
          </w:p>
        </w:tc>
        <w:tc>
          <w:tcPr>
            <w:tcW w:w="3685" w:type="dxa"/>
            <w:shd w:val="clear" w:color="auto" w:fill="auto"/>
          </w:tcPr>
          <w:p w14:paraId="44DF819D" w14:textId="77777777" w:rsidR="00087505" w:rsidRPr="00FD4FD5" w:rsidRDefault="00087505" w:rsidP="00893B41">
            <w:pPr>
              <w:pStyle w:val="SingleTxtG"/>
              <w:ind w:left="0" w:right="0"/>
              <w:jc w:val="left"/>
            </w:pPr>
            <w:r>
              <w:t>18</w:t>
            </w:r>
            <w:r>
              <w:rPr>
                <w:lang w:val="fr-CH"/>
              </w:rPr>
              <w:t xml:space="preserve"> (1</w:t>
            </w:r>
            <w:r w:rsidRPr="00241489">
              <w:rPr>
                <w:lang w:val="fr-CH"/>
              </w:rPr>
              <w:t>)</w:t>
            </w:r>
            <w:r w:rsidRPr="00241489">
              <w:t>, 19</w:t>
            </w:r>
            <w:r>
              <w:rPr>
                <w:lang w:val="fr-CH"/>
              </w:rPr>
              <w:t xml:space="preserve"> (1) and (2)</w:t>
            </w:r>
            <w:r>
              <w:t>, 26, 27</w:t>
            </w:r>
          </w:p>
        </w:tc>
      </w:tr>
      <w:tr w:rsidR="00087505" w:rsidRPr="0071570F" w14:paraId="06A00AE5" w14:textId="77777777" w:rsidTr="00893B41">
        <w:tc>
          <w:tcPr>
            <w:tcW w:w="3119" w:type="dxa"/>
            <w:shd w:val="clear" w:color="auto" w:fill="auto"/>
          </w:tcPr>
          <w:p w14:paraId="32084FEE" w14:textId="77777777" w:rsidR="00087505" w:rsidRPr="0071570F" w:rsidRDefault="00087505" w:rsidP="00893B41">
            <w:pPr>
              <w:pStyle w:val="SingleTxtG"/>
              <w:spacing w:after="240"/>
              <w:ind w:left="0" w:right="0"/>
              <w:jc w:val="left"/>
              <w:rPr>
                <w:i/>
                <w:iCs/>
                <w:highlight w:val="yellow"/>
              </w:rPr>
            </w:pPr>
            <w:r w:rsidRPr="000972E1">
              <w:rPr>
                <w:i/>
                <w:iCs/>
              </w:rPr>
              <w:t>Article of the Optional Protocol:</w:t>
            </w:r>
          </w:p>
        </w:tc>
        <w:tc>
          <w:tcPr>
            <w:tcW w:w="3685" w:type="dxa"/>
            <w:shd w:val="clear" w:color="auto" w:fill="auto"/>
          </w:tcPr>
          <w:p w14:paraId="03EF1908" w14:textId="77777777" w:rsidR="00087505" w:rsidRPr="0071570F" w:rsidRDefault="00087505" w:rsidP="00893B41">
            <w:pPr>
              <w:pStyle w:val="SingleTxtG"/>
              <w:spacing w:after="240"/>
              <w:ind w:left="0" w:right="0"/>
              <w:jc w:val="left"/>
              <w:rPr>
                <w:highlight w:val="yellow"/>
              </w:rPr>
            </w:pPr>
            <w:r>
              <w:t>2 and 5 (2) (b)</w:t>
            </w:r>
          </w:p>
        </w:tc>
      </w:tr>
    </w:tbl>
    <w:p w14:paraId="4915E630" w14:textId="5A3A44C1" w:rsidR="00087505" w:rsidRPr="003D749D" w:rsidRDefault="00087505" w:rsidP="00087505">
      <w:pPr>
        <w:pStyle w:val="SingleTxtG"/>
        <w:rPr>
          <w:rFonts w:eastAsia="Verdana"/>
        </w:rPr>
      </w:pPr>
      <w:r w:rsidRPr="003D749D">
        <w:rPr>
          <w:rFonts w:eastAsia="Verdana"/>
        </w:rPr>
        <w:t>1.</w:t>
      </w:r>
      <w:r w:rsidRPr="003D749D">
        <w:rPr>
          <w:rFonts w:eastAsia="Verdana"/>
        </w:rPr>
        <w:tab/>
        <w:t>The author of the communication</w:t>
      </w:r>
      <w:r>
        <w:rPr>
          <w:rFonts w:eastAsia="Verdana"/>
        </w:rPr>
        <w:t xml:space="preserve">, dated 23 September 2016, is </w:t>
      </w:r>
      <w:proofErr w:type="spellStart"/>
      <w:r>
        <w:rPr>
          <w:rFonts w:eastAsia="Verdana"/>
        </w:rPr>
        <w:t>Rahima</w:t>
      </w:r>
      <w:proofErr w:type="spellEnd"/>
      <w:r>
        <w:rPr>
          <w:rFonts w:eastAsia="Verdana"/>
        </w:rPr>
        <w:t xml:space="preserve"> </w:t>
      </w:r>
      <w:proofErr w:type="spellStart"/>
      <w:r>
        <w:rPr>
          <w:rFonts w:eastAsia="Verdana"/>
        </w:rPr>
        <w:t>Huseynova</w:t>
      </w:r>
      <w:proofErr w:type="spellEnd"/>
      <w:r>
        <w:rPr>
          <w:rFonts w:eastAsia="Verdana"/>
        </w:rPr>
        <w:t>, a</w:t>
      </w:r>
      <w:r w:rsidRPr="003D749D">
        <w:rPr>
          <w:rFonts w:eastAsia="Verdana"/>
        </w:rPr>
        <w:t xml:space="preserve"> citizen </w:t>
      </w:r>
      <w:r>
        <w:rPr>
          <w:rFonts w:eastAsia="Verdana"/>
        </w:rPr>
        <w:t>of</w:t>
      </w:r>
      <w:r w:rsidRPr="003D749D">
        <w:rPr>
          <w:rFonts w:eastAsia="Verdana"/>
        </w:rPr>
        <w:t xml:space="preserve"> </w:t>
      </w:r>
      <w:r>
        <w:rPr>
          <w:rFonts w:eastAsia="Verdana"/>
        </w:rPr>
        <w:t>Azerbaijan, born</w:t>
      </w:r>
      <w:r w:rsidRPr="003D749D">
        <w:rPr>
          <w:rFonts w:eastAsia="Verdana"/>
        </w:rPr>
        <w:t xml:space="preserve"> </w:t>
      </w:r>
      <w:r>
        <w:rPr>
          <w:rFonts w:eastAsia="Verdana"/>
        </w:rPr>
        <w:t>in 1963</w:t>
      </w:r>
      <w:r w:rsidRPr="003D749D">
        <w:rPr>
          <w:rFonts w:eastAsia="Verdana"/>
        </w:rPr>
        <w:t xml:space="preserve">. The author claims to be a victim of violations by </w:t>
      </w:r>
      <w:r>
        <w:rPr>
          <w:rFonts w:eastAsia="Verdana"/>
        </w:rPr>
        <w:t>Azerbaijan</w:t>
      </w:r>
      <w:r w:rsidRPr="003D749D">
        <w:rPr>
          <w:rFonts w:eastAsia="Verdana"/>
        </w:rPr>
        <w:t xml:space="preserve"> of </w:t>
      </w:r>
      <w:r>
        <w:rPr>
          <w:rFonts w:eastAsia="Verdana"/>
        </w:rPr>
        <w:t>her</w:t>
      </w:r>
      <w:r w:rsidRPr="003D749D">
        <w:rPr>
          <w:rFonts w:eastAsia="Verdana"/>
        </w:rPr>
        <w:t xml:space="preserve"> rights under article 18</w:t>
      </w:r>
      <w:r>
        <w:rPr>
          <w:rFonts w:eastAsia="Verdana"/>
        </w:rPr>
        <w:t xml:space="preserve"> (1), article 19 (1), (2), article 26 </w:t>
      </w:r>
      <w:r w:rsidRPr="00D73C39">
        <w:rPr>
          <w:rFonts w:eastAsia="Verdana"/>
        </w:rPr>
        <w:t>and arti</w:t>
      </w:r>
      <w:r w:rsidRPr="003D749D">
        <w:rPr>
          <w:rFonts w:eastAsia="Verdana"/>
        </w:rPr>
        <w:t>cle</w:t>
      </w:r>
      <w:r>
        <w:rPr>
          <w:rFonts w:eastAsia="Verdana"/>
        </w:rPr>
        <w:t xml:space="preserve"> 27,</w:t>
      </w:r>
      <w:r w:rsidRPr="003D749D">
        <w:rPr>
          <w:rFonts w:eastAsia="Verdana"/>
        </w:rPr>
        <w:t xml:space="preserve"> of the International Covenant on Civil and Political Rights</w:t>
      </w:r>
      <w:r>
        <w:rPr>
          <w:rFonts w:eastAsia="Verdana"/>
        </w:rPr>
        <w:t xml:space="preserve"> (the Covenant)</w:t>
      </w:r>
      <w:r w:rsidRPr="003D749D">
        <w:rPr>
          <w:rFonts w:eastAsia="Verdana"/>
        </w:rPr>
        <w:t>. The author is represented by counsel</w:t>
      </w:r>
      <w:r w:rsidR="00964F1C">
        <w:rPr>
          <w:rFonts w:eastAsia="Verdana"/>
        </w:rPr>
        <w:t>s</w:t>
      </w:r>
      <w:r w:rsidRPr="003D749D">
        <w:rPr>
          <w:rFonts w:eastAsia="Verdana"/>
        </w:rPr>
        <w:t xml:space="preserve">, </w:t>
      </w:r>
      <w:r>
        <w:rPr>
          <w:rFonts w:eastAsia="Verdana"/>
        </w:rPr>
        <w:t>Mr. Daniel G. Pole</w:t>
      </w:r>
      <w:r w:rsidR="00964F1C">
        <w:rPr>
          <w:rFonts w:eastAsia="Verdana"/>
        </w:rPr>
        <w:t xml:space="preserve"> and Petr </w:t>
      </w:r>
      <w:proofErr w:type="spellStart"/>
      <w:r w:rsidR="00964F1C">
        <w:rPr>
          <w:rFonts w:eastAsia="Verdana"/>
        </w:rPr>
        <w:t>Muzny</w:t>
      </w:r>
      <w:proofErr w:type="spellEnd"/>
      <w:r>
        <w:rPr>
          <w:rFonts w:eastAsia="Verdana"/>
        </w:rPr>
        <w:t>.</w:t>
      </w:r>
      <w:r w:rsidRPr="003D749D">
        <w:rPr>
          <w:rFonts w:eastAsia="Verdana"/>
        </w:rPr>
        <w:t xml:space="preserve"> </w:t>
      </w:r>
    </w:p>
    <w:p w14:paraId="682C8E7C" w14:textId="77777777" w:rsidR="00087505" w:rsidRPr="003D749D" w:rsidRDefault="00087505" w:rsidP="00087505">
      <w:pPr>
        <w:pStyle w:val="H23G"/>
        <w:rPr>
          <w:rFonts w:eastAsia="Verdana"/>
        </w:rPr>
      </w:pPr>
      <w:r w:rsidRPr="003D749D">
        <w:rPr>
          <w:rFonts w:eastAsia="Verdana"/>
        </w:rPr>
        <w:lastRenderedPageBreak/>
        <w:tab/>
      </w:r>
      <w:r w:rsidRPr="003D749D">
        <w:rPr>
          <w:rFonts w:eastAsia="Verdana"/>
        </w:rPr>
        <w:tab/>
        <w:t xml:space="preserve">The facts as </w:t>
      </w:r>
      <w:r>
        <w:rPr>
          <w:rFonts w:eastAsia="Verdana"/>
        </w:rPr>
        <w:t>submitted</w:t>
      </w:r>
      <w:r w:rsidRPr="003D749D">
        <w:rPr>
          <w:rFonts w:eastAsia="Verdana"/>
        </w:rPr>
        <w:t xml:space="preserve"> by the author</w:t>
      </w:r>
    </w:p>
    <w:p w14:paraId="10631D17" w14:textId="77777777" w:rsidR="00087505" w:rsidRDefault="00087505" w:rsidP="00087505">
      <w:pPr>
        <w:pStyle w:val="SingleTxtG"/>
        <w:rPr>
          <w:rFonts w:eastAsia="Verdana"/>
        </w:rPr>
      </w:pPr>
      <w:r w:rsidRPr="003D749D">
        <w:rPr>
          <w:rFonts w:eastAsia="Verdana"/>
        </w:rPr>
        <w:t>2.1</w:t>
      </w:r>
      <w:r w:rsidRPr="003D749D">
        <w:rPr>
          <w:rFonts w:eastAsia="Verdana"/>
        </w:rPr>
        <w:tab/>
      </w:r>
      <w:r>
        <w:rPr>
          <w:rFonts w:eastAsia="Verdana"/>
        </w:rPr>
        <w:t xml:space="preserve">The author became a Jehovah’s Witness in 2005, a Christian minority religion in Azerbaijan, which is a predominantly Muslim </w:t>
      </w:r>
      <w:r w:rsidRPr="00CB0CE8">
        <w:rPr>
          <w:rFonts w:eastAsia="Verdana"/>
        </w:rPr>
        <w:t>state. The author is however not a member of the legal entity called the “Religious Community of Jehovah’s Witnesses</w:t>
      </w:r>
      <w:r>
        <w:rPr>
          <w:rStyle w:val="FootnoteReference"/>
          <w:rFonts w:eastAsia="Verdana"/>
        </w:rPr>
        <w:footnoteReference w:id="3"/>
      </w:r>
      <w:r w:rsidRPr="00CB0CE8">
        <w:rPr>
          <w:rFonts w:eastAsia="Verdana"/>
        </w:rPr>
        <w:t>” (RCWJ), which is registered as required under the Law of the Azerbaijan Republic on Freedom of Religious Beliefs.</w:t>
      </w:r>
      <w:r>
        <w:rPr>
          <w:rFonts w:eastAsia="Verdana"/>
        </w:rPr>
        <w:t xml:space="preserve"> </w:t>
      </w:r>
    </w:p>
    <w:p w14:paraId="455FC05D" w14:textId="77777777" w:rsidR="00087505" w:rsidRPr="00272AB5" w:rsidRDefault="00087505" w:rsidP="00087505">
      <w:pPr>
        <w:pStyle w:val="SingleTxtG"/>
        <w:rPr>
          <w:rFonts w:eastAsia="Verdana"/>
        </w:rPr>
      </w:pPr>
      <w:r>
        <w:rPr>
          <w:rFonts w:eastAsia="Verdana"/>
        </w:rPr>
        <w:t>2.2</w:t>
      </w:r>
      <w:r>
        <w:rPr>
          <w:rFonts w:eastAsia="Verdana"/>
        </w:rPr>
        <w:tab/>
        <w:t xml:space="preserve">On 8 December 2014, the author was walking on a street near her home and engaged two men in friendly conversation about her religious beliefs and referred them to a publicly accessible website of </w:t>
      </w:r>
      <w:r w:rsidRPr="00272AB5">
        <w:rPr>
          <w:rFonts w:eastAsia="Verdana"/>
        </w:rPr>
        <w:t>Jehovah’s Witnesses, that she thought they would find interesting. As she walked away, a uniformed police officer stopped her and asked what she was doing. He called another police officer and ordered her to accompany them to the police station. While in police custody, she was subjected to intimidation aimed at persuading her to abandon her personal convictions and adopt the Islamic faith. She was charged with the offence of carrying out religious activity outside of a registered address under Azerbaijan Republic Administrative Violations Code, article 299.0.4</w:t>
      </w:r>
      <w:r w:rsidRPr="00272AB5">
        <w:rPr>
          <w:rStyle w:val="FootnoteReference"/>
          <w:rFonts w:eastAsia="Verdana"/>
        </w:rPr>
        <w:footnoteReference w:id="4"/>
      </w:r>
      <w:r w:rsidRPr="00272AB5">
        <w:rPr>
          <w:rFonts w:eastAsia="Verdana"/>
        </w:rPr>
        <w:t>. The same day, she was brought in front of a judge to whom she asked if she could have more time and familiarise herself with the case. The Judge adjourned the hearing and rescheduled it for 22 December 2014.</w:t>
      </w:r>
    </w:p>
    <w:p w14:paraId="056394CB" w14:textId="59D0646A" w:rsidR="00087505" w:rsidRDefault="00087505" w:rsidP="00087505">
      <w:pPr>
        <w:pStyle w:val="SingleTxtG"/>
        <w:rPr>
          <w:rFonts w:eastAsia="Verdana"/>
        </w:rPr>
      </w:pPr>
      <w:r w:rsidRPr="00272AB5">
        <w:rPr>
          <w:rFonts w:eastAsia="Verdana"/>
        </w:rPr>
        <w:t>2.3</w:t>
      </w:r>
      <w:r w:rsidRPr="00272AB5">
        <w:rPr>
          <w:rFonts w:eastAsia="Verdana"/>
        </w:rPr>
        <w:tab/>
        <w:t xml:space="preserve">On 22 December 2014, the author filed a motion to dismiss the charge, asking the court to compel Azerbaijan to respect domestic and international law protecting her freedom of religion and expression. She specifically pleaded that the charge violated her rights under the Covenant and the European </w:t>
      </w:r>
      <w:r w:rsidRPr="00272AB5">
        <w:rPr>
          <w:rFonts w:eastAsia="Verdana"/>
          <w:iCs/>
        </w:rPr>
        <w:t>Convention for the Protection of Human Rights and Fundamental Freedoms</w:t>
      </w:r>
      <w:r w:rsidRPr="00272AB5">
        <w:rPr>
          <w:rFonts w:eastAsia="Verdana"/>
        </w:rPr>
        <w:t>. On 26 December 2014, the Baku District Court found her guilty of committing an administrative offence under Azerbaijan Republic Administrative Violations Code, article 299.0.4, with the offence of carrying out a religious activity outside of a registered address. She was ordered to pay a fine of</w:t>
      </w:r>
      <w:r w:rsidRPr="00382B85">
        <w:rPr>
          <w:rFonts w:eastAsia="Verdana"/>
        </w:rPr>
        <w:t xml:space="preserve"> 1</w:t>
      </w:r>
      <w:r>
        <w:rPr>
          <w:rFonts w:eastAsia="Verdana"/>
        </w:rPr>
        <w:t>,</w:t>
      </w:r>
      <w:r w:rsidRPr="00382B85">
        <w:rPr>
          <w:rFonts w:eastAsia="Verdana"/>
        </w:rPr>
        <w:t xml:space="preserve">500 </w:t>
      </w:r>
      <w:r>
        <w:rPr>
          <w:rFonts w:eastAsia="Verdana"/>
        </w:rPr>
        <w:t>AZN (</w:t>
      </w:r>
      <w:proofErr w:type="spellStart"/>
      <w:r w:rsidRPr="00382B85">
        <w:rPr>
          <w:rFonts w:eastAsia="Verdana"/>
        </w:rPr>
        <w:t>manats</w:t>
      </w:r>
      <w:proofErr w:type="spellEnd"/>
      <w:r>
        <w:rPr>
          <w:rFonts w:eastAsia="Verdana"/>
        </w:rPr>
        <w:t>)</w:t>
      </w:r>
      <w:r w:rsidRPr="00382B85">
        <w:rPr>
          <w:rStyle w:val="FootnoteReference"/>
          <w:rFonts w:eastAsia="Verdana"/>
        </w:rPr>
        <w:footnoteReference w:id="5"/>
      </w:r>
      <w:r w:rsidRPr="00382B85">
        <w:rPr>
          <w:rFonts w:eastAsia="Verdana"/>
        </w:rPr>
        <w:t>.</w:t>
      </w:r>
      <w:r>
        <w:rPr>
          <w:rFonts w:eastAsia="Verdana"/>
        </w:rPr>
        <w:t xml:space="preserve"> </w:t>
      </w:r>
    </w:p>
    <w:p w14:paraId="584FDD87" w14:textId="679902C9" w:rsidR="00087505" w:rsidRDefault="00087505" w:rsidP="00087505">
      <w:pPr>
        <w:pStyle w:val="SingleTxtG"/>
        <w:rPr>
          <w:rFonts w:eastAsia="Verdana"/>
        </w:rPr>
      </w:pPr>
      <w:r>
        <w:rPr>
          <w:rFonts w:eastAsia="Verdana"/>
        </w:rPr>
        <w:t>2.4</w:t>
      </w:r>
      <w:r>
        <w:rPr>
          <w:rFonts w:eastAsia="Verdana"/>
        </w:rPr>
        <w:tab/>
        <w:t xml:space="preserve">On 29 January 2015 the Court of Appeal dismissed </w:t>
      </w:r>
      <w:r w:rsidRPr="003E6D73">
        <w:rPr>
          <w:rFonts w:eastAsia="Verdana"/>
        </w:rPr>
        <w:t xml:space="preserve">the </w:t>
      </w:r>
      <w:r w:rsidR="00C44C07">
        <w:rPr>
          <w:rFonts w:eastAsia="Verdana"/>
        </w:rPr>
        <w:t xml:space="preserve">appeal lodged on </w:t>
      </w:r>
      <w:r w:rsidRPr="003E6D73">
        <w:rPr>
          <w:rFonts w:eastAsia="Verdana"/>
        </w:rPr>
        <w:t xml:space="preserve">26 December 2014 </w:t>
      </w:r>
      <w:r>
        <w:rPr>
          <w:rFonts w:eastAsia="Verdana"/>
        </w:rPr>
        <w:t xml:space="preserve">with no further domestic remedy </w:t>
      </w:r>
      <w:r w:rsidR="00C44C07">
        <w:rPr>
          <w:rFonts w:eastAsia="Verdana"/>
        </w:rPr>
        <w:t xml:space="preserve">being </w:t>
      </w:r>
      <w:r>
        <w:rPr>
          <w:rFonts w:eastAsia="Verdana"/>
        </w:rPr>
        <w:t xml:space="preserve">available. </w:t>
      </w:r>
    </w:p>
    <w:p w14:paraId="0AF25D36" w14:textId="77777777" w:rsidR="00087505" w:rsidRDefault="00087505" w:rsidP="00087505">
      <w:pPr>
        <w:pStyle w:val="SingleTxtG"/>
        <w:rPr>
          <w:rFonts w:eastAsia="Verdana"/>
        </w:rPr>
      </w:pPr>
      <w:r>
        <w:rPr>
          <w:rFonts w:eastAsia="Verdana"/>
        </w:rPr>
        <w:t>2.5</w:t>
      </w:r>
      <w:r>
        <w:rPr>
          <w:rFonts w:eastAsia="Verdana"/>
        </w:rPr>
        <w:tab/>
        <w:t xml:space="preserve">The author explains that article 12 of the Law of the Azerbaijan Republic on Freedom of Religious Beliefs </w:t>
      </w:r>
      <w:r w:rsidRPr="00CA47E1">
        <w:rPr>
          <w:rFonts w:eastAsia="Verdana"/>
        </w:rPr>
        <w:t>which formed the basis of the charge against the author</w:t>
      </w:r>
      <w:r>
        <w:rPr>
          <w:rFonts w:eastAsia="Verdana"/>
        </w:rPr>
        <w:t>,</w:t>
      </w:r>
      <w:r w:rsidRPr="00CA47E1">
        <w:rPr>
          <w:rFonts w:eastAsia="Verdana"/>
        </w:rPr>
        <w:t xml:space="preserve"> </w:t>
      </w:r>
      <w:r>
        <w:rPr>
          <w:rFonts w:eastAsia="Verdana"/>
        </w:rPr>
        <w:t>bars a religious association from engaging in religious activities outside of its legal address. The author further explains that Azerbaijan’s intolerance for the religious activity of Jehovah’s Witnesses has extended to censoring the importation of religious publications and prohibiting even informal religious meetings outside of the city of Baku. In her case, the evidence accepted by both courts, was that the complainant had merely spoken to two people about her beliefs and suggested a website. Both courts found this act illegal because she had “carried out propaganda, by distributing papers preaching the activity of the Religious Community of Jehovah’s Witnesses outside the registered legal address of the Religious Community that is outside of their place of worship”. The author states that there had been no evidence that she had distributed any “papers”, and that even if she had done so, neither that nor any other actions described are against the law.</w:t>
      </w:r>
    </w:p>
    <w:p w14:paraId="0EEE99F1" w14:textId="77777777" w:rsidR="00087505" w:rsidRPr="006D629C" w:rsidRDefault="00087505" w:rsidP="00087505">
      <w:pPr>
        <w:pStyle w:val="H23G"/>
        <w:rPr>
          <w:rFonts w:eastAsia="Verdana"/>
        </w:rPr>
      </w:pPr>
      <w:r w:rsidRPr="003D749D">
        <w:rPr>
          <w:rFonts w:eastAsia="Verdana"/>
        </w:rPr>
        <w:lastRenderedPageBreak/>
        <w:tab/>
      </w:r>
      <w:r w:rsidRPr="003D749D">
        <w:rPr>
          <w:rFonts w:eastAsia="Verdana"/>
        </w:rPr>
        <w:tab/>
      </w:r>
      <w:r w:rsidRPr="006D629C">
        <w:rPr>
          <w:rFonts w:eastAsia="Verdana"/>
        </w:rPr>
        <w:t>The complaint</w:t>
      </w:r>
    </w:p>
    <w:p w14:paraId="7294644D" w14:textId="77777777" w:rsidR="00087505" w:rsidRDefault="00087505" w:rsidP="00087505">
      <w:pPr>
        <w:pStyle w:val="SingleTxtG"/>
        <w:rPr>
          <w:rFonts w:eastAsia="Verdana"/>
        </w:rPr>
      </w:pPr>
      <w:r w:rsidRPr="006D629C">
        <w:rPr>
          <w:rFonts w:eastAsia="Verdana"/>
        </w:rPr>
        <w:t>3.1</w:t>
      </w:r>
      <w:r w:rsidRPr="006D629C">
        <w:rPr>
          <w:rFonts w:eastAsia="Verdana"/>
        </w:rPr>
        <w:tab/>
      </w:r>
      <w:r w:rsidRPr="00890DD3">
        <w:rPr>
          <w:rFonts w:eastAsia="Verdana"/>
        </w:rPr>
        <w:t xml:space="preserve">The author submits that </w:t>
      </w:r>
      <w:r>
        <w:rPr>
          <w:rFonts w:eastAsia="Verdana"/>
        </w:rPr>
        <w:t>Azerbaijan</w:t>
      </w:r>
      <w:r w:rsidRPr="00890DD3">
        <w:rPr>
          <w:rFonts w:eastAsia="Verdana"/>
        </w:rPr>
        <w:t xml:space="preserve"> violated </w:t>
      </w:r>
      <w:r>
        <w:rPr>
          <w:rFonts w:eastAsia="Verdana"/>
        </w:rPr>
        <w:t>her</w:t>
      </w:r>
      <w:r w:rsidRPr="00890DD3">
        <w:rPr>
          <w:rFonts w:eastAsia="Verdana"/>
        </w:rPr>
        <w:t xml:space="preserve"> rights under article </w:t>
      </w:r>
      <w:r w:rsidRPr="00D73C39">
        <w:rPr>
          <w:rFonts w:eastAsia="Verdana"/>
        </w:rPr>
        <w:t>18</w:t>
      </w:r>
      <w:r>
        <w:rPr>
          <w:rFonts w:eastAsia="Verdana"/>
        </w:rPr>
        <w:t xml:space="preserve"> (1)</w:t>
      </w:r>
      <w:r w:rsidRPr="00D73C39">
        <w:rPr>
          <w:rFonts w:eastAsia="Verdana"/>
        </w:rPr>
        <w:t xml:space="preserve"> of the Covenant,</w:t>
      </w:r>
      <w:r w:rsidRPr="004E0802">
        <w:rPr>
          <w:rFonts w:eastAsia="Verdana"/>
        </w:rPr>
        <w:t xml:space="preserve"> because </w:t>
      </w:r>
      <w:r>
        <w:rPr>
          <w:rFonts w:eastAsia="Verdana"/>
        </w:rPr>
        <w:t xml:space="preserve">she was denied her right to manifest her individual freedom of religion by discussing her beliefs. She argues that the police initiated an unlawful investigation and that she was then prosecuted and convicted simply because she </w:t>
      </w:r>
      <w:r w:rsidRPr="00974943">
        <w:rPr>
          <w:rFonts w:eastAsia="Verdana"/>
        </w:rPr>
        <w:t xml:space="preserve">publicly </w:t>
      </w:r>
      <w:r>
        <w:rPr>
          <w:rFonts w:eastAsia="Verdana"/>
        </w:rPr>
        <w:t>expressed her religious beliefs. The police and court used the Law on Freedom and Religious Beliefs and the Administrative Violations Code to create an offence and the former was applied to restrict her right to speak about religion outside of the registered address of a religious group. She stresses that in any case, as she is not a member of the legal entity RCJW, her conduct was an individual exercise of her personal right to freedom of religion and not a collective religious activity. According to the author, the domestic courts failed to recognize and uphold her right to freedom of religion, as well as the “freedom of thought and speech” and the right “to legally seek, receive, pass, prepare and spread information” as set out in the Constitution of Azerbaijan Republic</w:t>
      </w:r>
      <w:r>
        <w:rPr>
          <w:rStyle w:val="FootnoteReference"/>
          <w:rFonts w:eastAsia="Verdana"/>
        </w:rPr>
        <w:footnoteReference w:id="6"/>
      </w:r>
      <w:r>
        <w:rPr>
          <w:rFonts w:eastAsia="Verdana"/>
        </w:rPr>
        <w:t xml:space="preserve">. The author argues that the court also ignored that the police action contravened the Covenant and other international human rights instruments which Azerbaijan is obliged to uphold. </w:t>
      </w:r>
    </w:p>
    <w:p w14:paraId="41D8CF31" w14:textId="6A20E1CD" w:rsidR="00087505" w:rsidRDefault="00087505" w:rsidP="00087505">
      <w:pPr>
        <w:pStyle w:val="SingleTxtG"/>
        <w:rPr>
          <w:rFonts w:eastAsia="Verdana"/>
        </w:rPr>
      </w:pPr>
      <w:r>
        <w:rPr>
          <w:rFonts w:eastAsia="Verdana"/>
        </w:rPr>
        <w:t>3.2</w:t>
      </w:r>
      <w:r>
        <w:rPr>
          <w:rFonts w:eastAsia="Verdana"/>
        </w:rPr>
        <w:tab/>
        <w:t xml:space="preserve">The author refers to </w:t>
      </w:r>
      <w:r w:rsidRPr="00A007C2">
        <w:rPr>
          <w:rFonts w:eastAsia="Verdana"/>
        </w:rPr>
        <w:t xml:space="preserve">the Committee’s </w:t>
      </w:r>
      <w:r>
        <w:rPr>
          <w:rFonts w:eastAsia="Verdana"/>
        </w:rPr>
        <w:t>G</w:t>
      </w:r>
      <w:r w:rsidRPr="00A007C2">
        <w:rPr>
          <w:rFonts w:eastAsia="Verdana"/>
        </w:rPr>
        <w:t xml:space="preserve">eneral </w:t>
      </w:r>
      <w:r>
        <w:rPr>
          <w:rFonts w:eastAsia="Verdana"/>
        </w:rPr>
        <w:t>C</w:t>
      </w:r>
      <w:r w:rsidRPr="00A007C2">
        <w:rPr>
          <w:rFonts w:eastAsia="Verdana"/>
        </w:rPr>
        <w:t>omment</w:t>
      </w:r>
      <w:r>
        <w:rPr>
          <w:rFonts w:eastAsia="Verdana"/>
        </w:rPr>
        <w:t xml:space="preserve"> No.</w:t>
      </w:r>
      <w:r w:rsidRPr="00A007C2">
        <w:rPr>
          <w:rFonts w:eastAsia="Verdana"/>
        </w:rPr>
        <w:t xml:space="preserve"> 22</w:t>
      </w:r>
      <w:r w:rsidRPr="00A007C2">
        <w:rPr>
          <w:rStyle w:val="FootnoteReference"/>
          <w:rFonts w:eastAsia="Verdana"/>
        </w:rPr>
        <w:footnoteReference w:id="7"/>
      </w:r>
      <w:r w:rsidRPr="00A007C2">
        <w:rPr>
          <w:rFonts w:eastAsia="Verdana"/>
        </w:rPr>
        <w:t xml:space="preserve"> and</w:t>
      </w:r>
      <w:r>
        <w:rPr>
          <w:rFonts w:eastAsia="Verdana"/>
        </w:rPr>
        <w:t xml:space="preserve"> maintains that her personal beliefs posed no threat to anyone and did constitute an exercise of her fundamental freedom of religion, and that discussing a publicly accessible website is in no way offensive. She refers to the jurisprudence of the Committee that recognized that “the right to freedom to manifest one’s beliefs in worship, observance, practice and teaching encompasses a broad range of acts</w:t>
      </w:r>
      <w:r w:rsidR="00C47366">
        <w:rPr>
          <w:rFonts w:eastAsia="Verdana"/>
        </w:rPr>
        <w:t>”</w:t>
      </w:r>
      <w:r>
        <w:rPr>
          <w:rStyle w:val="FootnoteReference"/>
          <w:rFonts w:eastAsia="Verdana"/>
        </w:rPr>
        <w:footnoteReference w:id="8"/>
      </w:r>
      <w:r>
        <w:rPr>
          <w:rFonts w:eastAsia="Verdana"/>
        </w:rPr>
        <w:t>, which squarely includes the right to talk to others about a belief or refer others to a website. She argues that the interference with her freedom of religion cannot be justified, is not prescribed by law and does not pursue a legitimate aim and therefore does not meet the criteria of article 18 (3). The Administrative Violations Code does not apply to individuals exercising their right to practice their religion, but rather to religious associations. She has a constitutional right to “profess religion alone or together with others”, as well as “the right to freely gather with others”</w:t>
      </w:r>
      <w:r>
        <w:rPr>
          <w:rStyle w:val="FootnoteReference"/>
          <w:rFonts w:eastAsia="Verdana"/>
        </w:rPr>
        <w:footnoteReference w:id="9"/>
      </w:r>
      <w:r>
        <w:rPr>
          <w:rFonts w:eastAsia="Verdana"/>
        </w:rPr>
        <w:t xml:space="preserve"> and the Law on Freedom and Religious Beliefs guarantees “the right either on their own, or together with others to practice any religion and express or spread his/her belief regarding his/her attitude toward religion</w:t>
      </w:r>
      <w:r w:rsidR="00C47366">
        <w:rPr>
          <w:rFonts w:eastAsia="Verdana"/>
        </w:rPr>
        <w:t>”</w:t>
      </w:r>
      <w:r>
        <w:rPr>
          <w:rStyle w:val="FootnoteReference"/>
          <w:rFonts w:eastAsia="Verdana"/>
        </w:rPr>
        <w:footnoteReference w:id="10"/>
      </w:r>
      <w:r>
        <w:rPr>
          <w:rFonts w:eastAsia="Verdana"/>
        </w:rPr>
        <w:t>. She recalls that according to the Committee, restricting the right to manifest one’s religious beliefs to the approved legal address of a religious association only “must be assessed in the light of the consequences which arise for</w:t>
      </w:r>
      <w:r w:rsidR="00C47366">
        <w:rPr>
          <w:rFonts w:eastAsia="Verdana"/>
        </w:rPr>
        <w:t>”</w:t>
      </w:r>
      <w:r>
        <w:rPr>
          <w:rStyle w:val="FootnoteReference"/>
          <w:rFonts w:eastAsia="Verdana"/>
        </w:rPr>
        <w:footnoteReference w:id="11"/>
      </w:r>
      <w:r>
        <w:rPr>
          <w:rFonts w:eastAsia="Verdana"/>
        </w:rPr>
        <w:t xml:space="preserve"> both the individual and the religious association. Such a limitation must be proven by the State to be “necessary for the purposes of article 18”</w:t>
      </w:r>
      <w:r>
        <w:rPr>
          <w:rStyle w:val="FootnoteReference"/>
          <w:rFonts w:eastAsia="Verdana"/>
        </w:rPr>
        <w:footnoteReference w:id="12"/>
      </w:r>
      <w:r>
        <w:rPr>
          <w:rFonts w:eastAsia="Verdana"/>
        </w:rPr>
        <w:t>, which was not proven by the State party in this case. In addition, there was no evidence before the domestic courts that her manifesting her religion “was either threatening, unduly disruptive or otherwise likely to jeopardise public order”</w:t>
      </w:r>
      <w:r>
        <w:rPr>
          <w:rStyle w:val="FootnoteReference"/>
          <w:rFonts w:eastAsia="Verdana"/>
        </w:rPr>
        <w:footnoteReference w:id="13"/>
      </w:r>
      <w:r>
        <w:rPr>
          <w:rFonts w:eastAsia="Verdana"/>
        </w:rPr>
        <w:t xml:space="preserve">. </w:t>
      </w:r>
    </w:p>
    <w:p w14:paraId="35914FF6" w14:textId="77777777" w:rsidR="00087505" w:rsidRDefault="00087505" w:rsidP="00087505">
      <w:pPr>
        <w:pStyle w:val="SingleTxtG"/>
        <w:rPr>
          <w:rFonts w:eastAsia="Verdana"/>
        </w:rPr>
      </w:pPr>
      <w:r>
        <w:rPr>
          <w:rFonts w:eastAsia="Verdana"/>
        </w:rPr>
        <w:t>3.3</w:t>
      </w:r>
      <w:r>
        <w:rPr>
          <w:rFonts w:eastAsia="Verdana"/>
        </w:rPr>
        <w:tab/>
      </w:r>
      <w:r w:rsidRPr="00F319F8">
        <w:rPr>
          <w:rFonts w:eastAsia="Verdana"/>
        </w:rPr>
        <w:t xml:space="preserve">The author </w:t>
      </w:r>
      <w:r>
        <w:rPr>
          <w:rFonts w:eastAsia="Verdana"/>
        </w:rPr>
        <w:t xml:space="preserve">further </w:t>
      </w:r>
      <w:r w:rsidRPr="00F319F8">
        <w:rPr>
          <w:rFonts w:eastAsia="Verdana"/>
        </w:rPr>
        <w:t xml:space="preserve">submits that </w:t>
      </w:r>
      <w:r>
        <w:rPr>
          <w:rFonts w:eastAsia="Verdana"/>
        </w:rPr>
        <w:t xml:space="preserve">the Republic of </w:t>
      </w:r>
      <w:r w:rsidRPr="00F319F8">
        <w:rPr>
          <w:rFonts w:eastAsia="Verdana"/>
        </w:rPr>
        <w:t xml:space="preserve">Azerbaijan violated its obligation under article 19 </w:t>
      </w:r>
      <w:r>
        <w:rPr>
          <w:rFonts w:eastAsia="Verdana"/>
        </w:rPr>
        <w:t>(</w:t>
      </w:r>
      <w:r w:rsidRPr="00F319F8">
        <w:rPr>
          <w:rFonts w:eastAsia="Verdana"/>
        </w:rPr>
        <w:t>1</w:t>
      </w:r>
      <w:r>
        <w:rPr>
          <w:rFonts w:eastAsia="Verdana"/>
        </w:rPr>
        <w:t>)</w:t>
      </w:r>
      <w:r w:rsidRPr="00F319F8">
        <w:rPr>
          <w:rFonts w:eastAsia="Verdana"/>
        </w:rPr>
        <w:t xml:space="preserve"> and </w:t>
      </w:r>
      <w:r>
        <w:rPr>
          <w:rFonts w:eastAsia="Verdana"/>
        </w:rPr>
        <w:t>(</w:t>
      </w:r>
      <w:r w:rsidRPr="00F319F8">
        <w:rPr>
          <w:rFonts w:eastAsia="Verdana"/>
        </w:rPr>
        <w:t>2</w:t>
      </w:r>
      <w:r>
        <w:rPr>
          <w:rFonts w:eastAsia="Verdana"/>
        </w:rPr>
        <w:t>)</w:t>
      </w:r>
      <w:r w:rsidRPr="00F319F8">
        <w:rPr>
          <w:rFonts w:eastAsia="Verdana"/>
        </w:rPr>
        <w:t xml:space="preserve"> of the Covenant</w:t>
      </w:r>
      <w:r>
        <w:rPr>
          <w:rFonts w:eastAsia="Verdana"/>
        </w:rPr>
        <w:t xml:space="preserve"> by prohibiting the right to freedom of expression without any legitimate legal justification and without justifying its actions. She claims that the State party assumed a power under the Administrative Violation Code in conjunction </w:t>
      </w:r>
      <w:r>
        <w:rPr>
          <w:rFonts w:eastAsia="Verdana"/>
        </w:rPr>
        <w:lastRenderedPageBreak/>
        <w:t>with the Freedom of Religious Beliefs Act to attempt to limit the freedom of expression of the author to the geographic location of the legal address of a religious association, ignoring that the author was not even a member of the legal entity RCJW. The author argues that the expression of her religious beliefs constitutes an important aspect of her freedom of religion. The author notes that the requirements that a religious association have a legal address may on its face be legitimate, but cannot be used to restrict freedom of expression. In addition, according to the jurisprudence of the Committee, “such a system must not operate in a way that is incompatible with article 19 of the Covenant”.</w:t>
      </w:r>
      <w:r>
        <w:rPr>
          <w:rStyle w:val="FootnoteReference"/>
          <w:rFonts w:eastAsia="Verdana"/>
        </w:rPr>
        <w:footnoteReference w:id="14"/>
      </w:r>
      <w:r>
        <w:rPr>
          <w:rFonts w:eastAsia="Verdana"/>
        </w:rPr>
        <w:t xml:space="preserve"> As argued under the complaints of article 18 (1), the author also submits that interference with her freedom of expression cannot be justified, is not prescribed by law and does not pursue a legitimate aim and therefore does not meet “the strict tests of necessity and proportionality</w:t>
      </w:r>
      <w:r>
        <w:rPr>
          <w:rStyle w:val="FootnoteReference"/>
          <w:rFonts w:eastAsia="Verdana"/>
        </w:rPr>
        <w:footnoteReference w:id="15"/>
      </w:r>
      <w:r>
        <w:rPr>
          <w:rFonts w:eastAsia="Verdana"/>
        </w:rPr>
        <w:t xml:space="preserve">”. </w:t>
      </w:r>
    </w:p>
    <w:p w14:paraId="22B55CF2" w14:textId="77777777" w:rsidR="00087505" w:rsidRDefault="00087505" w:rsidP="00087505">
      <w:pPr>
        <w:pStyle w:val="SingleTxtG"/>
        <w:rPr>
          <w:rFonts w:eastAsia="Verdana"/>
        </w:rPr>
      </w:pPr>
      <w:r>
        <w:rPr>
          <w:rFonts w:eastAsia="Verdana"/>
        </w:rPr>
        <w:t>3.4</w:t>
      </w:r>
      <w:r>
        <w:rPr>
          <w:rFonts w:eastAsia="Verdana"/>
        </w:rPr>
        <w:tab/>
      </w:r>
      <w:r w:rsidRPr="00232CB2">
        <w:rPr>
          <w:rFonts w:eastAsia="Verdana"/>
        </w:rPr>
        <w:t>The author submits that</w:t>
      </w:r>
      <w:r>
        <w:rPr>
          <w:rFonts w:eastAsia="Verdana"/>
        </w:rPr>
        <w:t xml:space="preserve"> the Republic of</w:t>
      </w:r>
      <w:r w:rsidRPr="00232CB2">
        <w:rPr>
          <w:rFonts w:eastAsia="Verdana"/>
        </w:rPr>
        <w:t xml:space="preserve"> Azerbaijan failed to protect her from discrimination and unequal treatment giv</w:t>
      </w:r>
      <w:r>
        <w:rPr>
          <w:rFonts w:eastAsia="Verdana"/>
        </w:rPr>
        <w:t>en</w:t>
      </w:r>
      <w:r w:rsidRPr="00232CB2">
        <w:rPr>
          <w:rFonts w:eastAsia="Verdana"/>
        </w:rPr>
        <w:t xml:space="preserve"> that she is part of a minority in her country, in violation of articles 26 and 27 of the Covenant. </w:t>
      </w:r>
      <w:r>
        <w:rPr>
          <w:rFonts w:eastAsia="Verdana"/>
        </w:rPr>
        <w:t xml:space="preserve">She argues that the domestic courts differentiated between her rights to be exercised at a religious association’s registered address compared to her rights being exercised outside of said address. The Court of Appeal determined that her rights depended on the registration by the religion she associated with and was limited to a specific geographic location. Consequently, if the author had no religious affiliation, there would be no requirement to register. She was therefore penalized for her association by a consequential limitation of her rights. She concludes that she was treated in an unequal and discriminatory way due to her affiliation with a specific religious minority. </w:t>
      </w:r>
    </w:p>
    <w:p w14:paraId="22BB7BD2" w14:textId="77777777" w:rsidR="00087505" w:rsidRPr="00241489" w:rsidRDefault="00087505" w:rsidP="00087505">
      <w:pPr>
        <w:pStyle w:val="SingleTxtG"/>
        <w:rPr>
          <w:lang w:val="en-US"/>
        </w:rPr>
      </w:pPr>
      <w:r>
        <w:rPr>
          <w:rFonts w:eastAsia="Verdana"/>
        </w:rPr>
        <w:t>3.5</w:t>
      </w:r>
      <w:r>
        <w:rPr>
          <w:rFonts w:eastAsia="Verdana"/>
        </w:rPr>
        <w:tab/>
        <w:t>The author requests the Committee to provide an effective remedy giving full recognition of her rights under the Covenant, as required by article 2 (3), by (</w:t>
      </w:r>
      <w:r>
        <w:rPr>
          <w:lang w:val="en-US"/>
        </w:rPr>
        <w:t>1</w:t>
      </w:r>
      <w:r w:rsidRPr="00CE7824">
        <w:rPr>
          <w:lang w:val="en-US"/>
        </w:rPr>
        <w:t xml:space="preserve">) </w:t>
      </w:r>
      <w:r>
        <w:rPr>
          <w:lang w:val="en-US"/>
        </w:rPr>
        <w:t xml:space="preserve">providing </w:t>
      </w:r>
      <w:r w:rsidRPr="00CE7824">
        <w:rPr>
          <w:lang w:val="en-US"/>
        </w:rPr>
        <w:t>the</w:t>
      </w:r>
      <w:r>
        <w:rPr>
          <w:lang w:val="en-US"/>
        </w:rPr>
        <w:t xml:space="preserve"> author with </w:t>
      </w:r>
      <w:r w:rsidRPr="00CE7824">
        <w:rPr>
          <w:lang w:val="en-US"/>
        </w:rPr>
        <w:t>suitable mone</w:t>
      </w:r>
      <w:r>
        <w:rPr>
          <w:lang w:val="en-US"/>
        </w:rPr>
        <w:t xml:space="preserve">tary compensation for the moral </w:t>
      </w:r>
      <w:r w:rsidRPr="00CE7824">
        <w:rPr>
          <w:lang w:val="en-US"/>
        </w:rPr>
        <w:t>damages suffered</w:t>
      </w:r>
      <w:r>
        <w:rPr>
          <w:lang w:val="en-US"/>
        </w:rPr>
        <w:t>; (2) reversing</w:t>
      </w:r>
      <w:r w:rsidRPr="00CE7824">
        <w:rPr>
          <w:lang w:val="en-US"/>
        </w:rPr>
        <w:t xml:space="preserve"> any monetary penalty imposed and return </w:t>
      </w:r>
      <w:r>
        <w:rPr>
          <w:lang w:val="en-US"/>
        </w:rPr>
        <w:t xml:space="preserve">the amount </w:t>
      </w:r>
      <w:r w:rsidRPr="00CE7824">
        <w:rPr>
          <w:lang w:val="en-US"/>
        </w:rPr>
        <w:t>with interest</w:t>
      </w:r>
      <w:r>
        <w:rPr>
          <w:lang w:val="en-US"/>
        </w:rPr>
        <w:t>s</w:t>
      </w:r>
      <w:r w:rsidRPr="00CE7824">
        <w:rPr>
          <w:lang w:val="en-US"/>
        </w:rPr>
        <w:t xml:space="preserve"> </w:t>
      </w:r>
      <w:r>
        <w:rPr>
          <w:lang w:val="en-US"/>
        </w:rPr>
        <w:t xml:space="preserve">as to </w:t>
      </w:r>
      <w:r w:rsidRPr="00CE7824">
        <w:rPr>
          <w:lang w:val="en-US"/>
        </w:rPr>
        <w:t xml:space="preserve">any </w:t>
      </w:r>
      <w:r>
        <w:rPr>
          <w:lang w:val="en-US"/>
        </w:rPr>
        <w:t xml:space="preserve">amount paid; and (3) reimbursing the authors’ legal costs and fees. </w:t>
      </w:r>
    </w:p>
    <w:p w14:paraId="0D89DAD8" w14:textId="77777777" w:rsidR="00087505" w:rsidRPr="00D73C39" w:rsidRDefault="00087505" w:rsidP="00087505">
      <w:pPr>
        <w:pStyle w:val="H23G"/>
      </w:pPr>
      <w:r w:rsidRPr="00D73C39">
        <w:tab/>
      </w:r>
      <w:r w:rsidRPr="00D73C39">
        <w:tab/>
        <w:t>State party’s observations on admissibility</w:t>
      </w:r>
      <w:r>
        <w:t xml:space="preserve"> and merits</w:t>
      </w:r>
    </w:p>
    <w:p w14:paraId="7C9D42BE" w14:textId="77777777" w:rsidR="00087505" w:rsidRDefault="00087505" w:rsidP="00087505">
      <w:pPr>
        <w:pStyle w:val="SingleTxtG"/>
      </w:pPr>
      <w:r w:rsidRPr="00933729">
        <w:t>4.1</w:t>
      </w:r>
      <w:r w:rsidRPr="00933729">
        <w:tab/>
        <w:t>On</w:t>
      </w:r>
      <w:r>
        <w:t xml:space="preserve"> 4</w:t>
      </w:r>
      <w:r w:rsidRPr="00862894">
        <w:t xml:space="preserve"> July 2017, the State </w:t>
      </w:r>
      <w:r>
        <w:t>p</w:t>
      </w:r>
      <w:r w:rsidRPr="00862894">
        <w:t xml:space="preserve">arty submitted </w:t>
      </w:r>
      <w:r>
        <w:t>its</w:t>
      </w:r>
      <w:r w:rsidRPr="00862894">
        <w:t xml:space="preserve"> observations </w:t>
      </w:r>
      <w:r>
        <w:t xml:space="preserve">on the admissibility and on the merits of the communication and reiterated the facts. The State Party explains that the author was taken to the police station and then sent to court, accused of conducting illegal propaganda and agitation in front of a secondary school in the </w:t>
      </w:r>
      <w:proofErr w:type="spellStart"/>
      <w:r>
        <w:t>Sanbuchu</w:t>
      </w:r>
      <w:proofErr w:type="spellEnd"/>
      <w:r>
        <w:t xml:space="preserve"> District, where she was distributing leaflets of the Jehovah's Witnesses activities, away from the registered place of worship. </w:t>
      </w:r>
    </w:p>
    <w:p w14:paraId="38166EA8" w14:textId="77777777" w:rsidR="00087505" w:rsidRDefault="00087505" w:rsidP="00087505">
      <w:pPr>
        <w:pStyle w:val="SingleTxtG"/>
      </w:pPr>
      <w:r>
        <w:t>4.2</w:t>
      </w:r>
      <w:r>
        <w:tab/>
        <w:t xml:space="preserve">On 26 December 2014, the </w:t>
      </w:r>
      <w:proofErr w:type="spellStart"/>
      <w:r>
        <w:t>Sanbuchu</w:t>
      </w:r>
      <w:proofErr w:type="spellEnd"/>
      <w:r>
        <w:t xml:space="preserve"> District Court ruled that the author was guilty of an offence under the article 299.0.4 of the Code of Administrative Offences, for conducting religious activities outside of the registered legal address of a religious association, for which she should pay a fine of 1,500 AZN. </w:t>
      </w:r>
    </w:p>
    <w:p w14:paraId="4F9FF1C8" w14:textId="673AA641" w:rsidR="00087505" w:rsidRDefault="00087505" w:rsidP="00087505">
      <w:pPr>
        <w:pStyle w:val="SingleTxtG"/>
      </w:pPr>
      <w:r>
        <w:t>4.3</w:t>
      </w:r>
      <w:r>
        <w:tab/>
        <w:t>On 29 January 2015</w:t>
      </w:r>
      <w:r w:rsidR="00C01740">
        <w:t>,</w:t>
      </w:r>
      <w:r>
        <w:t xml:space="preserve"> the Baku Court of Appeal dismissed the author´s appeal and upheld the decision from the </w:t>
      </w:r>
      <w:proofErr w:type="spellStart"/>
      <w:r>
        <w:t>Sanbuchu</w:t>
      </w:r>
      <w:proofErr w:type="spellEnd"/>
      <w:r>
        <w:t xml:space="preserve"> District Court.</w:t>
      </w:r>
    </w:p>
    <w:p w14:paraId="460B5BD3" w14:textId="77777777" w:rsidR="00087505" w:rsidRPr="00862894" w:rsidRDefault="00087505" w:rsidP="00087505">
      <w:pPr>
        <w:pStyle w:val="SingleTxtG"/>
      </w:pPr>
      <w:r>
        <w:t>4.4</w:t>
      </w:r>
      <w:r>
        <w:tab/>
        <w:t xml:space="preserve">The State party submits that according to article 12 of the Law of the Republic of Azerbaijan </w:t>
      </w:r>
      <w:r>
        <w:rPr>
          <w:rFonts w:eastAsia="Verdana"/>
        </w:rPr>
        <w:t>on Freedom and Religious Beliefs</w:t>
      </w:r>
      <w:r>
        <w:t>, all religious institutions can operate only after state registration, and they can only function in the places of worship that are indicated as their legal address in the state registration.</w:t>
      </w:r>
    </w:p>
    <w:p w14:paraId="3CCE8325" w14:textId="77777777" w:rsidR="00087505" w:rsidRPr="003D749D" w:rsidRDefault="00087505" w:rsidP="00087505">
      <w:pPr>
        <w:pStyle w:val="H23G"/>
      </w:pPr>
      <w:r w:rsidRPr="003D749D">
        <w:tab/>
      </w:r>
      <w:r w:rsidRPr="003D749D">
        <w:tab/>
        <w:t>Author’s comments on the State party’s submission</w:t>
      </w:r>
    </w:p>
    <w:p w14:paraId="598A05F2" w14:textId="77777777" w:rsidR="00087505" w:rsidRDefault="00087505" w:rsidP="00087505">
      <w:pPr>
        <w:pStyle w:val="SingleTxtG"/>
      </w:pPr>
      <w:r w:rsidRPr="00AB3FDF">
        <w:t>5.1</w:t>
      </w:r>
      <w:r w:rsidRPr="00AB3FDF">
        <w:tab/>
        <w:t>On 16</w:t>
      </w:r>
      <w:r w:rsidRPr="005E460E">
        <w:t xml:space="preserve"> August 2017</w:t>
      </w:r>
      <w:r>
        <w:t>, the author submitted that the State party, in its observations, did not dispute the facts set out in the author’s communication. Therefore, the author argues that those facts should be accepted as established.</w:t>
      </w:r>
      <w:r w:rsidRPr="006C67C7">
        <w:t xml:space="preserve"> </w:t>
      </w:r>
      <w:r>
        <w:t>The author also notes that the State party has not made any objection to the admissibility of the communication.</w:t>
      </w:r>
    </w:p>
    <w:p w14:paraId="1F12F726" w14:textId="77777777" w:rsidR="00087505" w:rsidRDefault="00087505" w:rsidP="00087505">
      <w:pPr>
        <w:pStyle w:val="SingleTxtG"/>
      </w:pPr>
      <w:r>
        <w:t>5.2</w:t>
      </w:r>
      <w:r>
        <w:tab/>
        <w:t xml:space="preserve">The author noted that the State party incorrectly described the conduct of the author as “illegal propaganda and agitation in front of a secondary school”. She argues that this is </w:t>
      </w:r>
      <w:r>
        <w:lastRenderedPageBreak/>
        <w:t>inconsistent with the findings of the domestic courts</w:t>
      </w:r>
      <w:r>
        <w:rPr>
          <w:rStyle w:val="FootnoteReference"/>
        </w:rPr>
        <w:footnoteReference w:id="16"/>
      </w:r>
      <w:r>
        <w:t>. In addition, the police did not adduce any evidence regarding the distribution of illegal material or causing any agitation.</w:t>
      </w:r>
    </w:p>
    <w:p w14:paraId="35A0254D" w14:textId="77777777" w:rsidR="00087505" w:rsidRDefault="00087505" w:rsidP="00087505">
      <w:pPr>
        <w:pStyle w:val="SingleTxtG"/>
      </w:pPr>
      <w:r>
        <w:t>5.3</w:t>
      </w:r>
      <w:r>
        <w:tab/>
        <w:t>The author notes that the State party failed to explain the legal basis for its objection since it only referred to article 12 of the Law of the Azerbaijan Republic on Freedom of Religious Beliefs, which limits the religious institutions to operate in places of worship only. The State party failed to explain how the author violated the law by not operating at a registered place of worship since she was not a member of any religious association.</w:t>
      </w:r>
    </w:p>
    <w:p w14:paraId="5BC3D329" w14:textId="77777777" w:rsidR="00087505" w:rsidRDefault="00087505" w:rsidP="00087505">
      <w:pPr>
        <w:pStyle w:val="SingleTxtG"/>
      </w:pPr>
      <w:r>
        <w:t>5.4</w:t>
      </w:r>
      <w:r>
        <w:tab/>
        <w:t>The author refers to the jurisprudence of the Committee</w:t>
      </w:r>
      <w:r>
        <w:rPr>
          <w:rStyle w:val="FootnoteReference"/>
        </w:rPr>
        <w:footnoteReference w:id="17"/>
      </w:r>
      <w:r>
        <w:t xml:space="preserve"> to remind the Committee that the State party may not defend a violation of international human rights by merely asserting that it was following domestic law. </w:t>
      </w:r>
    </w:p>
    <w:p w14:paraId="0288C415" w14:textId="77777777" w:rsidR="00087505" w:rsidRDefault="00087505" w:rsidP="00087505">
      <w:pPr>
        <w:pStyle w:val="SingleTxtG"/>
      </w:pPr>
      <w:r>
        <w:t>5.5</w:t>
      </w:r>
      <w:r>
        <w:tab/>
        <w:t xml:space="preserve">The author submits that the State party admitted the arrest, detention and conviction of the author based on her religious beliefs. In addition, the State party’s claims of illegal activity or agitation had not been relied upon as a fact in either the trial or the appeal court decisions. </w:t>
      </w:r>
    </w:p>
    <w:p w14:paraId="53D71A97" w14:textId="77777777" w:rsidR="00087505" w:rsidRDefault="00087505" w:rsidP="00087505">
      <w:pPr>
        <w:pStyle w:val="SingleTxtG"/>
      </w:pPr>
      <w:r>
        <w:t>5.6</w:t>
      </w:r>
      <w:r>
        <w:tab/>
        <w:t>The author asserts that the claims of the State party before the Committee regarding Jehovah´s Witnesses’ situation in Azerbaijan and the fact that they are allowed to operate freely and are registered in Azerbaijan, are not true</w:t>
      </w:r>
      <w:r>
        <w:rPr>
          <w:rStyle w:val="FootnoteReference"/>
        </w:rPr>
        <w:footnoteReference w:id="18"/>
      </w:r>
      <w:r>
        <w:t>.</w:t>
      </w:r>
    </w:p>
    <w:p w14:paraId="7E23FF33" w14:textId="77777777" w:rsidR="00087505" w:rsidRDefault="00087505" w:rsidP="00087505">
      <w:pPr>
        <w:pStyle w:val="SingleTxtG"/>
      </w:pPr>
      <w:r>
        <w:t>5.7</w:t>
      </w:r>
      <w:r>
        <w:tab/>
        <w:t>The author recalls the concern recently expressed by the Committee “about the reported interference in religious activities, the harassment of members of religious groups, including Jehovah´s Witnesses, and the increase in arrests, detentions and administrative or criminal sanctions against them”, and that the Committee has called on the State party to “</w:t>
      </w:r>
      <w:r w:rsidRPr="00576709">
        <w:t>guarantee the effective exercise of freedom of religion and belief in practice and refrain from any action that may restrict that freedom beyond the narrowly construed restrictions permitted under article 18 of the Covenant</w:t>
      </w:r>
      <w:r>
        <w:t>”</w:t>
      </w:r>
      <w:r>
        <w:rPr>
          <w:rStyle w:val="FootnoteReference"/>
        </w:rPr>
        <w:footnoteReference w:id="19"/>
      </w:r>
      <w:r>
        <w:t>.</w:t>
      </w:r>
    </w:p>
    <w:p w14:paraId="46025165" w14:textId="77777777" w:rsidR="00087505" w:rsidRDefault="00087505" w:rsidP="00087505">
      <w:pPr>
        <w:pStyle w:val="SingleTxtG"/>
      </w:pPr>
      <w:r>
        <w:t>5.8</w:t>
      </w:r>
      <w:r>
        <w:tab/>
        <w:t>The author argues that the fine imposed was severe and that the international standards require that punishment should be proportionate to the gravity of the offences and the circumstances of the offender. In this case, the author is a single unemployed woman for whom the amount was insurmountable</w:t>
      </w:r>
      <w:r>
        <w:rPr>
          <w:rStyle w:val="FootnoteReference"/>
        </w:rPr>
        <w:footnoteReference w:id="20"/>
      </w:r>
      <w:r>
        <w:t xml:space="preserve">. </w:t>
      </w:r>
    </w:p>
    <w:p w14:paraId="61F971EC" w14:textId="77777777" w:rsidR="00087505" w:rsidRPr="003D749D" w:rsidRDefault="00087505" w:rsidP="00087505">
      <w:pPr>
        <w:pStyle w:val="SingleTxtG"/>
      </w:pPr>
      <w:r>
        <w:t>5.9</w:t>
      </w:r>
      <w:r>
        <w:tab/>
        <w:t xml:space="preserve">The author reiterates her request to the Committee that the communication should be considered admissible with findings of violations of article 18 (1), article 19 (1) and (2), and articles 26 and 27.  </w:t>
      </w:r>
    </w:p>
    <w:p w14:paraId="39944998" w14:textId="77777777" w:rsidR="00087505" w:rsidRPr="003D749D" w:rsidRDefault="00087505" w:rsidP="00087505">
      <w:pPr>
        <w:pStyle w:val="H23G"/>
      </w:pPr>
      <w:r w:rsidRPr="003D749D">
        <w:tab/>
      </w:r>
      <w:r w:rsidRPr="003D749D">
        <w:tab/>
      </w:r>
      <w:r>
        <w:t>State party’s f</w:t>
      </w:r>
      <w:r w:rsidRPr="003D749D">
        <w:t>urther observations</w:t>
      </w:r>
    </w:p>
    <w:p w14:paraId="08D8246A" w14:textId="77777777" w:rsidR="00087505" w:rsidRPr="00351529" w:rsidRDefault="00087505" w:rsidP="00087505">
      <w:pPr>
        <w:pStyle w:val="SingleTxtG"/>
      </w:pPr>
      <w:r w:rsidRPr="00351529">
        <w:t>6.1</w:t>
      </w:r>
      <w:r w:rsidRPr="00351529">
        <w:tab/>
        <w:t>On 5 April 2018, the State party submitted its additional observations</w:t>
      </w:r>
      <w:r>
        <w:t xml:space="preserve"> and reiterated</w:t>
      </w:r>
      <w:r w:rsidRPr="00351529">
        <w:t xml:space="preserve"> the information included in its previous observations. </w:t>
      </w:r>
    </w:p>
    <w:p w14:paraId="66F9A1F7" w14:textId="77777777" w:rsidR="00087505" w:rsidRDefault="00087505" w:rsidP="00087505">
      <w:pPr>
        <w:pStyle w:val="SingleTxtG"/>
      </w:pPr>
      <w:r w:rsidRPr="00CA229F">
        <w:t>6.2</w:t>
      </w:r>
      <w:r w:rsidRPr="00CA229F">
        <w:tab/>
      </w:r>
      <w:r>
        <w:t xml:space="preserve">The State party submits that its national legislation, as well as relevant articles of the European Convention for the Protection of Human Rights and Fundamental Freedoms allows limiting human rights and freedoms. </w:t>
      </w:r>
    </w:p>
    <w:p w14:paraId="11C7680F" w14:textId="0A835D7A" w:rsidR="00087505" w:rsidRDefault="00087505" w:rsidP="00087505">
      <w:pPr>
        <w:pStyle w:val="SingleTxtG"/>
      </w:pPr>
      <w:r>
        <w:t>6.3</w:t>
      </w:r>
      <w:r>
        <w:tab/>
        <w:t xml:space="preserve">The State party reiterates that article 48 of the Constitution of the Republic of Azerbaijan gives everyone the right to freedom of conscience and to profess and participate </w:t>
      </w:r>
      <w:r w:rsidR="00C01740">
        <w:t>in</w:t>
      </w:r>
      <w:r>
        <w:t xml:space="preserve"> the religion of its choice or to profess no religion. According to article 1 of the Republic of </w:t>
      </w:r>
      <w:r>
        <w:lastRenderedPageBreak/>
        <w:t>Azerbaijan Law on Freedom of Religious Belief, freedom of religious beliefs may be subjected only to limitations prescribed by law and necessary in a democratic society to protect public safety, order, health, morals, or the fundamental right and freedoms of others. Therefore, and as some other human rights, the right to express one’s belief, to practice religion and views is not an absolute right.</w:t>
      </w:r>
    </w:p>
    <w:p w14:paraId="29EFCD6F" w14:textId="77777777" w:rsidR="00087505" w:rsidRPr="00027528" w:rsidRDefault="00087505" w:rsidP="00087505">
      <w:pPr>
        <w:pStyle w:val="SingleTxtG"/>
      </w:pPr>
      <w:r>
        <w:t>6</w:t>
      </w:r>
      <w:r w:rsidRPr="00027528">
        <w:t>.4</w:t>
      </w:r>
      <w:r w:rsidRPr="00027528">
        <w:tab/>
        <w:t xml:space="preserve">The State party submits that </w:t>
      </w:r>
      <w:r>
        <w:t>a</w:t>
      </w:r>
      <w:r w:rsidRPr="00027528">
        <w:t xml:space="preserve">rticle </w:t>
      </w:r>
      <w:r>
        <w:t>1</w:t>
      </w:r>
      <w:r w:rsidRPr="00027528">
        <w:t xml:space="preserve">8 </w:t>
      </w:r>
      <w:r>
        <w:t>(</w:t>
      </w:r>
      <w:r w:rsidRPr="00027528">
        <w:t>3</w:t>
      </w:r>
      <w:r>
        <w:t>)</w:t>
      </w:r>
      <w:r w:rsidRPr="00027528">
        <w:t xml:space="preserve"> of the Covenant, </w:t>
      </w:r>
      <w:r>
        <w:t>a</w:t>
      </w:r>
      <w:r w:rsidRPr="00027528">
        <w:t>rticle 9 of the European Convention for the Protection of Human Rights and Fundamental Freedoms, as well as the General Comment No.</w:t>
      </w:r>
      <w:r>
        <w:t xml:space="preserve"> </w:t>
      </w:r>
      <w:r w:rsidRPr="00027528">
        <w:t xml:space="preserve">22 of the Committee states that freedom to manifest one´s religion or beliefs may be subjected to some limitations if they are prescribed by law and are necessary to protect public safety, order, health or morals, or the fundamental rights and freedom of others. </w:t>
      </w:r>
    </w:p>
    <w:p w14:paraId="6FA8E7D3" w14:textId="77777777" w:rsidR="00087505" w:rsidRPr="00DB60F2" w:rsidRDefault="00087505" w:rsidP="00087505">
      <w:pPr>
        <w:pStyle w:val="SingleTxtG"/>
      </w:pPr>
      <w:r>
        <w:t>6.5</w:t>
      </w:r>
      <w:r w:rsidRPr="00DB60F2">
        <w:tab/>
        <w:t xml:space="preserve">The State party submits that the European Court of Human Rights demonstrates that when necessary the </w:t>
      </w:r>
      <w:r>
        <w:t>S</w:t>
      </w:r>
      <w:r w:rsidRPr="00DB60F2">
        <w:t xml:space="preserve">tate has the right to set certain restrictions and the discretion to evaluate the right to freedom of </w:t>
      </w:r>
      <w:r>
        <w:t>a</w:t>
      </w:r>
      <w:r w:rsidRPr="00DB60F2">
        <w:t>rticle 9</w:t>
      </w:r>
      <w:r>
        <w:t>.</w:t>
      </w:r>
      <w:r w:rsidRPr="00DB60F2">
        <w:rPr>
          <w:rStyle w:val="FootnoteReference"/>
        </w:rPr>
        <w:footnoteReference w:id="21"/>
      </w:r>
      <w:r>
        <w:t xml:space="preserve"> </w:t>
      </w:r>
      <w:r w:rsidRPr="00DB60F2">
        <w:t>The European Court of Human Rights also noted that placing restrictions might be necessary in a democratic society where a number of religions exist among the same population for the purpose of ensuring respect for people’s beliefs and coordinating the interests of various groups.</w:t>
      </w:r>
      <w:r w:rsidRPr="00DB60F2">
        <w:rPr>
          <w:rStyle w:val="FootnoteReference"/>
        </w:rPr>
        <w:footnoteReference w:id="22"/>
      </w:r>
    </w:p>
    <w:p w14:paraId="3DD274F3" w14:textId="77777777" w:rsidR="00087505" w:rsidRPr="00D203B5" w:rsidRDefault="00087505" w:rsidP="00087505">
      <w:pPr>
        <w:pStyle w:val="SingleTxtG"/>
      </w:pPr>
      <w:r>
        <w:t>6.6</w:t>
      </w:r>
      <w:r>
        <w:tab/>
      </w:r>
      <w:r w:rsidRPr="00D203B5">
        <w:t xml:space="preserve">The State party recalls that </w:t>
      </w:r>
      <w:r>
        <w:t>a</w:t>
      </w:r>
      <w:r w:rsidRPr="00D203B5">
        <w:t xml:space="preserve">rticle 9 of the Convention for the Protection of Human Rights and Fundamental Freedoms has established three standards for determining whether a restriction is justifiable and whether there has been a violation. These are </w:t>
      </w:r>
      <w:r>
        <w:t xml:space="preserve">1) </w:t>
      </w:r>
      <w:r w:rsidRPr="00D203B5">
        <w:t xml:space="preserve">the existence of </w:t>
      </w:r>
      <w:r>
        <w:t xml:space="preserve">a </w:t>
      </w:r>
      <w:r w:rsidRPr="00D203B5">
        <w:t xml:space="preserve">legal purpose for the restriction, </w:t>
      </w:r>
      <w:r>
        <w:t xml:space="preserve">2) </w:t>
      </w:r>
      <w:r w:rsidRPr="00D203B5">
        <w:t xml:space="preserve">the lawfulness of the measure and </w:t>
      </w:r>
      <w:r>
        <w:t xml:space="preserve">3) </w:t>
      </w:r>
      <w:r w:rsidRPr="00D203B5">
        <w:t>its necessity in a democratic society. The State party argues that this mean</w:t>
      </w:r>
      <w:r>
        <w:t>s</w:t>
      </w:r>
      <w:r w:rsidRPr="00D203B5">
        <w:t xml:space="preserve"> that any restriction shal</w:t>
      </w:r>
      <w:r>
        <w:t>l</w:t>
      </w:r>
      <w:r w:rsidRPr="00D203B5">
        <w:t xml:space="preserve"> meet two requirements: to be accurate and concise. The State party </w:t>
      </w:r>
      <w:r>
        <w:t>further argues</w:t>
      </w:r>
      <w:r w:rsidRPr="00D203B5">
        <w:t xml:space="preserve"> that</w:t>
      </w:r>
      <w:r>
        <w:t>,</w:t>
      </w:r>
      <w:r w:rsidRPr="00D203B5">
        <w:t xml:space="preserve"> as envisaged by the Convention, limitations to religious freedom, regardless of its form, </w:t>
      </w:r>
      <w:r>
        <w:t>may</w:t>
      </w:r>
      <w:r w:rsidRPr="00D203B5">
        <w:t xml:space="preserve"> be “prescribed by law”. </w:t>
      </w:r>
    </w:p>
    <w:p w14:paraId="4DDD6C50" w14:textId="77777777" w:rsidR="00087505" w:rsidRPr="003D749D" w:rsidRDefault="00087505" w:rsidP="00087505">
      <w:pPr>
        <w:pStyle w:val="H23G"/>
      </w:pPr>
      <w:r w:rsidRPr="00D203B5">
        <w:tab/>
      </w:r>
      <w:r w:rsidRPr="00D203B5">
        <w:tab/>
        <w:t>Issues and proceedings</w:t>
      </w:r>
      <w:r w:rsidRPr="003D749D">
        <w:t xml:space="preserve"> before the Committee</w:t>
      </w:r>
    </w:p>
    <w:p w14:paraId="42911154" w14:textId="77777777" w:rsidR="00087505" w:rsidRPr="00632207" w:rsidRDefault="00087505" w:rsidP="00087505">
      <w:pPr>
        <w:pStyle w:val="H4G"/>
      </w:pPr>
      <w:r w:rsidRPr="003D749D">
        <w:tab/>
      </w:r>
      <w:r w:rsidRPr="003D749D">
        <w:tab/>
      </w:r>
      <w:r w:rsidRPr="00632207">
        <w:t>Consideration of admissibility</w:t>
      </w:r>
    </w:p>
    <w:p w14:paraId="52529C4E" w14:textId="77777777" w:rsidR="00087505" w:rsidRPr="00D95DA1" w:rsidRDefault="00087505" w:rsidP="00087505">
      <w:pPr>
        <w:suppressAutoHyphens w:val="0"/>
        <w:spacing w:after="120"/>
        <w:ind w:left="1134" w:right="1134"/>
        <w:jc w:val="both"/>
        <w:rPr>
          <w:rFonts w:eastAsia="SimSun"/>
          <w:lang w:eastAsia="zh-CN"/>
        </w:rPr>
      </w:pPr>
      <w:r>
        <w:rPr>
          <w:rFonts w:eastAsia="SimSun"/>
          <w:lang w:eastAsia="zh-CN"/>
        </w:rPr>
        <w:t>7</w:t>
      </w:r>
      <w:r w:rsidRPr="00D95DA1">
        <w:rPr>
          <w:rFonts w:eastAsia="SimSun"/>
          <w:lang w:eastAsia="zh-CN"/>
        </w:rPr>
        <w:t>.1</w:t>
      </w:r>
      <w:r w:rsidRPr="00D95DA1">
        <w:rPr>
          <w:rFonts w:eastAsia="SimSun"/>
          <w:lang w:eastAsia="zh-CN"/>
        </w:rPr>
        <w:tab/>
        <w:t>Before considering any claim contained in a communication, the Committee must decide, in accordance with rule 9</w:t>
      </w:r>
      <w:r>
        <w:rPr>
          <w:rFonts w:eastAsia="SimSun"/>
          <w:lang w:eastAsia="zh-CN"/>
        </w:rPr>
        <w:t>7</w:t>
      </w:r>
      <w:r w:rsidRPr="00D95DA1">
        <w:rPr>
          <w:rFonts w:eastAsia="SimSun"/>
          <w:lang w:eastAsia="zh-CN"/>
        </w:rPr>
        <w:t xml:space="preserve"> of its rules of procedure, whether the communication is admissible under the Optional Protocol.</w:t>
      </w:r>
    </w:p>
    <w:p w14:paraId="46433F8A" w14:textId="77777777" w:rsidR="00087505" w:rsidRPr="00D95DA1" w:rsidRDefault="00087505" w:rsidP="00087505">
      <w:pPr>
        <w:suppressAutoHyphens w:val="0"/>
        <w:spacing w:after="120"/>
        <w:ind w:left="1134" w:right="1134"/>
        <w:jc w:val="both"/>
        <w:rPr>
          <w:rFonts w:eastAsia="SimSun"/>
          <w:lang w:eastAsia="zh-CN"/>
        </w:rPr>
      </w:pPr>
      <w:r>
        <w:rPr>
          <w:rFonts w:eastAsia="SimSun"/>
          <w:lang w:eastAsia="zh-CN"/>
        </w:rPr>
        <w:t>7</w:t>
      </w:r>
      <w:r w:rsidRPr="00D95DA1">
        <w:rPr>
          <w:rFonts w:eastAsia="SimSun"/>
          <w:lang w:eastAsia="zh-CN"/>
        </w:rPr>
        <w:t>.2</w:t>
      </w:r>
      <w:r w:rsidRPr="00D95DA1">
        <w:rPr>
          <w:rFonts w:eastAsia="SimSun"/>
          <w:lang w:eastAsia="zh-CN"/>
        </w:rPr>
        <w:tab/>
        <w:t xml:space="preserve">The Committee has ascertained, as required under article 5 </w:t>
      </w:r>
      <w:r w:rsidRPr="007573EC">
        <w:rPr>
          <w:rFonts w:eastAsia="SimSun"/>
          <w:lang w:eastAsia="zh-CN"/>
        </w:rPr>
        <w:t>(2)</w:t>
      </w:r>
      <w:r w:rsidRPr="00D95DA1">
        <w:rPr>
          <w:rFonts w:eastAsia="SimSun"/>
          <w:lang w:eastAsia="zh-CN"/>
        </w:rPr>
        <w:t xml:space="preserve"> (a) of the Optional Protocol, that the same matter is not being examined under another procedure of international investigation or settlement.</w:t>
      </w:r>
    </w:p>
    <w:p w14:paraId="1CE97DDB" w14:textId="27768F87" w:rsidR="00087505" w:rsidRDefault="00087505" w:rsidP="00087505">
      <w:pPr>
        <w:pStyle w:val="SingleTxtG"/>
      </w:pPr>
      <w:r>
        <w:rPr>
          <w:rFonts w:eastAsia="SimSun"/>
          <w:lang w:eastAsia="zh-CN"/>
        </w:rPr>
        <w:t>7</w:t>
      </w:r>
      <w:r w:rsidRPr="00D95DA1">
        <w:rPr>
          <w:rFonts w:eastAsia="SimSun"/>
          <w:lang w:eastAsia="zh-CN"/>
        </w:rPr>
        <w:t>.3</w:t>
      </w:r>
      <w:r w:rsidRPr="00D95DA1">
        <w:rPr>
          <w:rFonts w:eastAsia="SimSun"/>
          <w:lang w:eastAsia="zh-CN"/>
        </w:rPr>
        <w:tab/>
      </w:r>
      <w:r w:rsidRPr="00CE04E3">
        <w:t>The Committee observes that the State party has not contested the author’</w:t>
      </w:r>
      <w:r>
        <w:t>s</w:t>
      </w:r>
      <w:r w:rsidRPr="00CE04E3">
        <w:t xml:space="preserve"> argument that </w:t>
      </w:r>
      <w:r>
        <w:t>she</w:t>
      </w:r>
      <w:r w:rsidRPr="00CE04E3">
        <w:t xml:space="preserve"> exhausted all available domestic remedies, as required by article 5 </w:t>
      </w:r>
      <w:r w:rsidRPr="007573EC">
        <w:t>(2)</w:t>
      </w:r>
      <w:r w:rsidRPr="00CE04E3">
        <w:t xml:space="preserve"> (b) of the Optional Protocol. The Committee notes that </w:t>
      </w:r>
      <w:r w:rsidR="00C44C07">
        <w:t xml:space="preserve">the author had lodged an appeal against the decision of </w:t>
      </w:r>
      <w:r>
        <w:t xml:space="preserve">the </w:t>
      </w:r>
      <w:r w:rsidRPr="005802C0">
        <w:t>Baku City</w:t>
      </w:r>
      <w:r>
        <w:t xml:space="preserve"> </w:t>
      </w:r>
      <w:proofErr w:type="spellStart"/>
      <w:r w:rsidRPr="00D8595C">
        <w:t>Sabunchu</w:t>
      </w:r>
      <w:proofErr w:type="spellEnd"/>
      <w:r w:rsidRPr="00D8595C">
        <w:t xml:space="preserve"> District </w:t>
      </w:r>
      <w:r w:rsidRPr="00CE04E3">
        <w:t>Court</w:t>
      </w:r>
      <w:r w:rsidRPr="00D8595C">
        <w:t xml:space="preserve"> </w:t>
      </w:r>
      <w:r w:rsidR="00C44C07">
        <w:t xml:space="preserve">before </w:t>
      </w:r>
      <w:r w:rsidRPr="00D8595C">
        <w:t xml:space="preserve">the Baku </w:t>
      </w:r>
      <w:r>
        <w:t>Appeal</w:t>
      </w:r>
      <w:r w:rsidRPr="00D8595C">
        <w:t xml:space="preserve"> Court</w:t>
      </w:r>
      <w:r w:rsidR="00C44C07">
        <w:t xml:space="preserve"> and that she had </w:t>
      </w:r>
      <w:r w:rsidRPr="00CE04E3">
        <w:t xml:space="preserve">raised the substance of </w:t>
      </w:r>
      <w:r w:rsidRPr="00D8595C">
        <w:t>her</w:t>
      </w:r>
      <w:r w:rsidRPr="00CE04E3">
        <w:t xml:space="preserve"> allegations under articles</w:t>
      </w:r>
      <w:r>
        <w:t xml:space="preserve"> 18, 19</w:t>
      </w:r>
      <w:r w:rsidRPr="00CE04E3">
        <w:t xml:space="preserve">, 26 and 27 of the Covenant. Accordingly, the Committee considers that it is not precluded by article 5 </w:t>
      </w:r>
      <w:r w:rsidRPr="007573EC">
        <w:t>(2)</w:t>
      </w:r>
      <w:r w:rsidRPr="00CE04E3">
        <w:t xml:space="preserve"> (b) of the Optional Protocol from examining those claims. </w:t>
      </w:r>
    </w:p>
    <w:p w14:paraId="448E038A" w14:textId="77777777" w:rsidR="00087505" w:rsidRPr="00850F1E" w:rsidRDefault="00087505" w:rsidP="00087505">
      <w:pPr>
        <w:pStyle w:val="SingleTxtG"/>
      </w:pPr>
      <w:r w:rsidRPr="00863188">
        <w:t>7</w:t>
      </w:r>
      <w:r w:rsidRPr="00E25C01">
        <w:t>.</w:t>
      </w:r>
      <w:r>
        <w:t>4</w:t>
      </w:r>
      <w:r>
        <w:tab/>
        <w:t xml:space="preserve">With respect to the authors’ claims under articles 26 and 27 of the Covenant, the Committee notes that the author has not provided details about </w:t>
      </w:r>
      <w:r w:rsidRPr="00850F1E">
        <w:t xml:space="preserve">the ways she </w:t>
      </w:r>
      <w:r>
        <w:t>has</w:t>
      </w:r>
      <w:r w:rsidRPr="00850F1E">
        <w:t xml:space="preserve"> b</w:t>
      </w:r>
      <w:r>
        <w:t>een discriminated against as being part of a religious minority in Azerbaijan.</w:t>
      </w:r>
      <w:r w:rsidRPr="00CE04E3">
        <w:rPr>
          <w:rStyle w:val="FootnoteReference"/>
          <w:lang w:val="en-US"/>
        </w:rPr>
        <w:footnoteReference w:id="23"/>
      </w:r>
      <w:r>
        <w:t xml:space="preserve"> The Committee </w:t>
      </w:r>
      <w:r>
        <w:lastRenderedPageBreak/>
        <w:t xml:space="preserve">considers that these claims are therefore insufficiently substantiated for purposes of admissibility, and are inadmissible under article 2 of the Optional Protocol. </w:t>
      </w:r>
    </w:p>
    <w:p w14:paraId="172A9BD4" w14:textId="77777777" w:rsidR="00087505" w:rsidRPr="00D95DA1" w:rsidRDefault="00087505" w:rsidP="00087505">
      <w:pPr>
        <w:suppressAutoHyphens w:val="0"/>
        <w:spacing w:after="120"/>
        <w:ind w:left="1134" w:right="1134"/>
        <w:jc w:val="both"/>
        <w:rPr>
          <w:rFonts w:eastAsia="SimSun"/>
          <w:lang w:eastAsia="zh-CN"/>
        </w:rPr>
      </w:pPr>
      <w:r>
        <w:rPr>
          <w:rFonts w:eastAsia="SimSun"/>
          <w:lang w:eastAsia="zh-CN"/>
        </w:rPr>
        <w:t>7.5</w:t>
      </w:r>
      <w:r w:rsidRPr="00D95DA1">
        <w:rPr>
          <w:rFonts w:eastAsia="SimSun"/>
          <w:lang w:eastAsia="zh-CN"/>
        </w:rPr>
        <w:tab/>
        <w:t xml:space="preserve">The Committee considers that the author has sufficiently substantiated </w:t>
      </w:r>
      <w:r>
        <w:rPr>
          <w:rFonts w:eastAsia="SimSun"/>
          <w:lang w:eastAsia="zh-CN"/>
        </w:rPr>
        <w:t>her</w:t>
      </w:r>
      <w:r w:rsidRPr="00D95DA1">
        <w:rPr>
          <w:rFonts w:eastAsia="SimSun"/>
          <w:lang w:eastAsia="zh-CN"/>
        </w:rPr>
        <w:t xml:space="preserve"> claims under articles</w:t>
      </w:r>
      <w:r>
        <w:rPr>
          <w:rFonts w:eastAsia="SimSun"/>
          <w:lang w:eastAsia="zh-CN"/>
        </w:rPr>
        <w:t xml:space="preserve"> 18 </w:t>
      </w:r>
      <w:r w:rsidRPr="007573EC">
        <w:rPr>
          <w:rFonts w:eastAsia="SimSun"/>
          <w:lang w:eastAsia="zh-CN"/>
        </w:rPr>
        <w:t>(1)</w:t>
      </w:r>
      <w:r>
        <w:rPr>
          <w:rFonts w:eastAsia="SimSun"/>
          <w:lang w:eastAsia="zh-CN"/>
        </w:rPr>
        <w:t xml:space="preserve"> and </w:t>
      </w:r>
      <w:r w:rsidRPr="00D95DA1">
        <w:rPr>
          <w:rFonts w:eastAsia="SimSun"/>
          <w:lang w:eastAsia="zh-CN"/>
        </w:rPr>
        <w:t xml:space="preserve">19 </w:t>
      </w:r>
      <w:r w:rsidRPr="007573EC">
        <w:rPr>
          <w:rFonts w:eastAsia="SimSun"/>
          <w:lang w:eastAsia="zh-CN"/>
        </w:rPr>
        <w:t>(1)</w:t>
      </w:r>
      <w:r>
        <w:rPr>
          <w:rFonts w:eastAsia="SimSun"/>
          <w:lang w:eastAsia="zh-CN"/>
        </w:rPr>
        <w:t xml:space="preserve"> and </w:t>
      </w:r>
      <w:r w:rsidRPr="007573EC">
        <w:rPr>
          <w:rFonts w:eastAsia="SimSun"/>
          <w:lang w:eastAsia="zh-CN"/>
        </w:rPr>
        <w:t>(2)</w:t>
      </w:r>
      <w:r>
        <w:rPr>
          <w:rFonts w:eastAsia="SimSun"/>
          <w:lang w:eastAsia="zh-CN"/>
        </w:rPr>
        <w:t xml:space="preserve"> of th</w:t>
      </w:r>
      <w:r w:rsidRPr="00D95DA1">
        <w:rPr>
          <w:rFonts w:eastAsia="SimSun"/>
          <w:lang w:eastAsia="zh-CN"/>
        </w:rPr>
        <w:t xml:space="preserve">e Covenant, for the purposes of admissibility. It therefore declares the communication admissible and proceeds with its consideration of the merits. </w:t>
      </w:r>
    </w:p>
    <w:p w14:paraId="58A8CD8F" w14:textId="77777777" w:rsidR="00087505" w:rsidRPr="00AB3FDF" w:rsidRDefault="00087505" w:rsidP="00087505">
      <w:pPr>
        <w:pStyle w:val="H4G"/>
      </w:pPr>
      <w:r w:rsidRPr="00AB3FDF">
        <w:tab/>
      </w:r>
      <w:r w:rsidRPr="00AB3FDF">
        <w:tab/>
        <w:t>Consideration of the merits</w:t>
      </w:r>
    </w:p>
    <w:p w14:paraId="5EE2D3F8" w14:textId="77777777" w:rsidR="00087505" w:rsidRDefault="00087505" w:rsidP="00087505">
      <w:pPr>
        <w:pStyle w:val="SingleTxtG"/>
      </w:pPr>
      <w:r>
        <w:t>8</w:t>
      </w:r>
      <w:r w:rsidRPr="00941BE3">
        <w:t>.1</w:t>
      </w:r>
      <w:r w:rsidRPr="00941BE3">
        <w:tab/>
        <w:t>The Committee has considered the present communication in the light of all the information made available to it by the parties, as required under article 5</w:t>
      </w:r>
      <w:r>
        <w:t xml:space="preserve"> (</w:t>
      </w:r>
      <w:r w:rsidRPr="00941BE3">
        <w:t>1</w:t>
      </w:r>
      <w:r>
        <w:t>)</w:t>
      </w:r>
      <w:r w:rsidRPr="00941BE3">
        <w:t>, of the Optional Protocol.</w:t>
      </w:r>
    </w:p>
    <w:p w14:paraId="3EEAB5F3" w14:textId="77777777" w:rsidR="00087505" w:rsidRDefault="00087505" w:rsidP="00087505">
      <w:pPr>
        <w:pStyle w:val="SingleTxtG"/>
        <w:rPr>
          <w:bCs/>
          <w:iCs/>
        </w:rPr>
      </w:pPr>
      <w:r w:rsidRPr="00863188">
        <w:rPr>
          <w:bCs/>
          <w:iCs/>
        </w:rPr>
        <w:t>8</w:t>
      </w:r>
      <w:r>
        <w:rPr>
          <w:bCs/>
          <w:iCs/>
        </w:rPr>
        <w:t>.2</w:t>
      </w:r>
      <w:r w:rsidRPr="003679D2">
        <w:rPr>
          <w:bCs/>
          <w:iCs/>
        </w:rPr>
        <w:tab/>
      </w:r>
      <w:r>
        <w:rPr>
          <w:bCs/>
          <w:iCs/>
        </w:rPr>
        <w:t>The Committee notes the author</w:t>
      </w:r>
      <w:r w:rsidRPr="003679D2">
        <w:rPr>
          <w:bCs/>
          <w:iCs/>
        </w:rPr>
        <w:t>’</w:t>
      </w:r>
      <w:r w:rsidRPr="002B284A">
        <w:rPr>
          <w:bCs/>
          <w:iCs/>
        </w:rPr>
        <w:t>s</w:t>
      </w:r>
      <w:r w:rsidRPr="003679D2">
        <w:rPr>
          <w:bCs/>
          <w:iCs/>
        </w:rPr>
        <w:t xml:space="preserve"> </w:t>
      </w:r>
      <w:r>
        <w:rPr>
          <w:bCs/>
          <w:iCs/>
        </w:rPr>
        <w:t>claims</w:t>
      </w:r>
      <w:r w:rsidRPr="003679D2">
        <w:rPr>
          <w:bCs/>
          <w:iCs/>
        </w:rPr>
        <w:t xml:space="preserve"> that the State party violated her rights under article 18 (1) of the Covenant </w:t>
      </w:r>
      <w:r>
        <w:rPr>
          <w:bCs/>
          <w:iCs/>
        </w:rPr>
        <w:t xml:space="preserve">because she was apprehended, detained and convicted of an administrative offence for which she was fined 1,500 AZN, i.e. approximately 1,400 Euros, for merely discussing her religious beliefs with two men on the street outside of a worship place. The Committee also notes the argument of the author that she was acting individually, and not within the context of a religious association, and could not in that regard discuss any matter within a worship place, as she is not a member of the legal Jehovah’s Witnesses entity called </w:t>
      </w:r>
      <w:r w:rsidRPr="00863188">
        <w:rPr>
          <w:rFonts w:eastAsia="Verdana"/>
        </w:rPr>
        <w:t>RCJW</w:t>
      </w:r>
      <w:r>
        <w:rPr>
          <w:rFonts w:eastAsia="Verdana"/>
        </w:rPr>
        <w:t xml:space="preserve">. The Committee further notes the argument of the author that the fact that she has to express her religious beliefs within a place of worship only does not fall within the permissible limitations set out in article 18 (3) of the Covenant. </w:t>
      </w:r>
      <w:r w:rsidRPr="00336B2D">
        <w:rPr>
          <w:rFonts w:eastAsia="Verdana"/>
        </w:rPr>
        <w:t>The Committee notes the argument of the State p</w:t>
      </w:r>
      <w:r>
        <w:rPr>
          <w:rFonts w:eastAsia="Verdana"/>
        </w:rPr>
        <w:t xml:space="preserve">arty that according to its domestic law, the author cannot carry out religious activities outside of a registered worship place, and that </w:t>
      </w:r>
      <w:r w:rsidRPr="00027528">
        <w:t>th</w:t>
      </w:r>
      <w:r>
        <w:t>e</w:t>
      </w:r>
      <w:r w:rsidRPr="00027528">
        <w:t xml:space="preserve"> fre</w:t>
      </w:r>
      <w:r>
        <w:t>edom to manifest one’</w:t>
      </w:r>
      <w:r w:rsidRPr="00027528">
        <w:t>s religion or beliefs may be subjected to some limitations</w:t>
      </w:r>
      <w:r>
        <w:t xml:space="preserve"> as set in</w:t>
      </w:r>
      <w:r>
        <w:rPr>
          <w:rFonts w:eastAsia="Verdana"/>
        </w:rPr>
        <w:t xml:space="preserve"> article 18 (3) of the Covenant. </w:t>
      </w:r>
    </w:p>
    <w:p w14:paraId="4D52F17C" w14:textId="77777777" w:rsidR="00087505" w:rsidRPr="00863188" w:rsidRDefault="00087505" w:rsidP="00087505">
      <w:pPr>
        <w:pStyle w:val="SingleTxtG"/>
        <w:rPr>
          <w:bCs/>
          <w:iCs/>
        </w:rPr>
      </w:pPr>
      <w:r>
        <w:rPr>
          <w:bCs/>
          <w:iCs/>
        </w:rPr>
        <w:t>8.3</w:t>
      </w:r>
      <w:r>
        <w:rPr>
          <w:bCs/>
          <w:iCs/>
        </w:rPr>
        <w:tab/>
        <w:t xml:space="preserve">The </w:t>
      </w:r>
      <w:r w:rsidRPr="003679D2">
        <w:rPr>
          <w:bCs/>
          <w:iCs/>
        </w:rPr>
        <w:t xml:space="preserve">Committee recalls its </w:t>
      </w:r>
      <w:r w:rsidRPr="003E6D73">
        <w:rPr>
          <w:bCs/>
          <w:iCs/>
        </w:rPr>
        <w:t>G</w:t>
      </w:r>
      <w:r w:rsidRPr="003679D2">
        <w:rPr>
          <w:bCs/>
          <w:iCs/>
        </w:rPr>
        <w:t xml:space="preserve">eneral </w:t>
      </w:r>
      <w:r w:rsidRPr="003E6D73">
        <w:rPr>
          <w:bCs/>
          <w:iCs/>
        </w:rPr>
        <w:t>C</w:t>
      </w:r>
      <w:r w:rsidRPr="003679D2">
        <w:rPr>
          <w:bCs/>
          <w:iCs/>
        </w:rPr>
        <w:t>omment No. 22, according to which article 18 does not permit any limitation whatsoever on freedom of thought and conscience or on the freedom to have or adopt a religion or belief of one’s choice.</w:t>
      </w:r>
      <w:r w:rsidRPr="003679D2">
        <w:rPr>
          <w:bCs/>
          <w:iCs/>
          <w:vertAlign w:val="superscript"/>
        </w:rPr>
        <w:footnoteReference w:id="24"/>
      </w:r>
      <w:r w:rsidRPr="003679D2">
        <w:rPr>
          <w:bCs/>
          <w:iCs/>
        </w:rPr>
        <w:t xml:space="preserve"> </w:t>
      </w:r>
      <w:r w:rsidRPr="006D290C">
        <w:t>Fr</w:t>
      </w:r>
      <w:r>
        <w:t xml:space="preserve">eedom </w:t>
      </w:r>
      <w:r w:rsidRPr="00863188">
        <w:t>to manifest religion or belief may be exercised either individually or in community with others and in public or private</w:t>
      </w:r>
      <w:r w:rsidRPr="006D290C">
        <w:t>.</w:t>
      </w:r>
      <w:r>
        <w:t xml:space="preserve"> As such,</w:t>
      </w:r>
      <w:r w:rsidRPr="00863188">
        <w:t xml:space="preserve"> </w:t>
      </w:r>
      <w:r w:rsidRPr="00863188">
        <w:rPr>
          <w:bCs/>
          <w:iCs/>
        </w:rPr>
        <w:t>the Comm</w:t>
      </w:r>
      <w:r>
        <w:rPr>
          <w:bCs/>
          <w:iCs/>
        </w:rPr>
        <w:t>ittee considers that the author</w:t>
      </w:r>
      <w:r w:rsidRPr="00863188">
        <w:rPr>
          <w:bCs/>
          <w:iCs/>
        </w:rPr>
        <w:t>’</w:t>
      </w:r>
      <w:r w:rsidRPr="002B284A">
        <w:rPr>
          <w:bCs/>
          <w:iCs/>
        </w:rPr>
        <w:t>s</w:t>
      </w:r>
      <w:r w:rsidRPr="00863188">
        <w:rPr>
          <w:bCs/>
          <w:iCs/>
        </w:rPr>
        <w:t xml:space="preserve"> claims relate to her right to manifest her religious beliefs, and that the arrest, detention, conviction and fine constitute limitations of that right.</w:t>
      </w:r>
      <w:r w:rsidRPr="00863188">
        <w:rPr>
          <w:rStyle w:val="FootnoteReference"/>
          <w:bCs/>
          <w:iCs/>
        </w:rPr>
        <w:footnoteReference w:id="25"/>
      </w:r>
      <w:r w:rsidRPr="00863188">
        <w:rPr>
          <w:bCs/>
          <w:iCs/>
        </w:rPr>
        <w:t xml:space="preserve"> The Committee must address the issue of whether the</w:t>
      </w:r>
      <w:r>
        <w:rPr>
          <w:bCs/>
          <w:iCs/>
        </w:rPr>
        <w:t xml:space="preserve"> said limitations on the author</w:t>
      </w:r>
      <w:r w:rsidRPr="00863188">
        <w:rPr>
          <w:bCs/>
          <w:iCs/>
        </w:rPr>
        <w:t>’</w:t>
      </w:r>
      <w:r w:rsidRPr="002B284A">
        <w:rPr>
          <w:bCs/>
          <w:iCs/>
        </w:rPr>
        <w:t>s</w:t>
      </w:r>
      <w:r w:rsidRPr="00863188">
        <w:rPr>
          <w:bCs/>
          <w:iCs/>
        </w:rPr>
        <w:t xml:space="preserve"> right to manifest her religious beliefs were “necessary to protect public safety, order, health, or morals, or the fundamental rights and freedoms of others,” within the meaning of article 18 (3) of the Covenant. </w:t>
      </w:r>
    </w:p>
    <w:p w14:paraId="02070375" w14:textId="7A4AC852" w:rsidR="00087505" w:rsidRPr="00C43B9E" w:rsidRDefault="00087505" w:rsidP="00087505">
      <w:pPr>
        <w:pStyle w:val="SingleTxtG"/>
        <w:rPr>
          <w:bCs/>
          <w:iCs/>
        </w:rPr>
      </w:pPr>
      <w:r w:rsidRPr="00241489">
        <w:rPr>
          <w:bCs/>
          <w:iCs/>
        </w:rPr>
        <w:t>8</w:t>
      </w:r>
      <w:r>
        <w:rPr>
          <w:bCs/>
          <w:iCs/>
        </w:rPr>
        <w:t>.4</w:t>
      </w:r>
      <w:r w:rsidRPr="00452215">
        <w:rPr>
          <w:bCs/>
          <w:iCs/>
        </w:rPr>
        <w:tab/>
        <w:t>In the present case, the l</w:t>
      </w:r>
      <w:r>
        <w:rPr>
          <w:bCs/>
          <w:iCs/>
        </w:rPr>
        <w:t>imitations placed on the author</w:t>
      </w:r>
      <w:r w:rsidRPr="00452215">
        <w:rPr>
          <w:bCs/>
          <w:iCs/>
        </w:rPr>
        <w:t xml:space="preserve">’s right to manifest her religious beliefs stem from the requirement under </w:t>
      </w:r>
      <w:r w:rsidRPr="00452215">
        <w:t>article 299.0.4 of the Code of Administrative Offenses</w:t>
      </w:r>
      <w:r w:rsidRPr="00452215">
        <w:rPr>
          <w:bCs/>
          <w:iCs/>
        </w:rPr>
        <w:t xml:space="preserve"> for </w:t>
      </w:r>
      <w:r>
        <w:rPr>
          <w:bCs/>
          <w:iCs/>
        </w:rPr>
        <w:t xml:space="preserve">not </w:t>
      </w:r>
      <w:r w:rsidRPr="00452215">
        <w:t>carrying</w:t>
      </w:r>
      <w:r>
        <w:t xml:space="preserve"> out activities by religious associations in places outside the registered legal address</w:t>
      </w:r>
      <w:r w:rsidRPr="003E6D73">
        <w:rPr>
          <w:lang w:val="en-US"/>
        </w:rPr>
        <w:t>,</w:t>
      </w:r>
      <w:r w:rsidRPr="00452215">
        <w:t xml:space="preserve"> as well as </w:t>
      </w:r>
      <w:r>
        <w:t xml:space="preserve">from </w:t>
      </w:r>
      <w:r w:rsidRPr="00452215">
        <w:t xml:space="preserve">article 12 of the </w:t>
      </w:r>
      <w:r>
        <w:t>Law of the Azerbaijan Republic on Freedom of Religious Beliefs</w:t>
      </w:r>
      <w:r w:rsidRPr="00452215">
        <w:t xml:space="preserve"> which states that any religious association may operate only after being registered with the relevant executing authority </w:t>
      </w:r>
      <w:r>
        <w:t xml:space="preserve">and that religious associations may operate at places of worship of their legal address only. The Committee notes the State party’s argument that the author was causing agitation by conducting propaganda and distributing papers in front of a secondary school. </w:t>
      </w:r>
      <w:r w:rsidRPr="009B06ED">
        <w:t>While the State party has noted that article 18 (3) of the Covenant permits certain restrictions on the right to manifest one’s religion or beliefs in order to protect the fundamental rights and freedoms of others, the Committee observes that such protection requires identifying which specific fundamental rights are affected, and the persons affected.</w:t>
      </w:r>
      <w:r w:rsidRPr="00863188">
        <w:rPr>
          <w:bCs/>
          <w:iCs/>
          <w:vertAlign w:val="superscript"/>
        </w:rPr>
        <w:footnoteReference w:id="26"/>
      </w:r>
      <w:r w:rsidRPr="00863188">
        <w:rPr>
          <w:bCs/>
          <w:iCs/>
        </w:rPr>
        <w:t xml:space="preserve"> The Committee recalls that according to its </w:t>
      </w:r>
      <w:r w:rsidRPr="003E6D73">
        <w:rPr>
          <w:bCs/>
          <w:iCs/>
        </w:rPr>
        <w:t>G</w:t>
      </w:r>
      <w:r w:rsidRPr="00863188">
        <w:rPr>
          <w:bCs/>
          <w:iCs/>
        </w:rPr>
        <w:t xml:space="preserve">eneral </w:t>
      </w:r>
      <w:r w:rsidRPr="003E6D73">
        <w:rPr>
          <w:bCs/>
          <w:iCs/>
        </w:rPr>
        <w:t>C</w:t>
      </w:r>
      <w:r w:rsidRPr="00863188">
        <w:rPr>
          <w:bCs/>
          <w:iCs/>
        </w:rPr>
        <w:t xml:space="preserve">omment No. 22, article 18 (3) is to be interpreted strictly, and limitations on the freedom to manifest one’s religion or beliefs may only be applied for those purposes for </w:t>
      </w:r>
      <w:r>
        <w:rPr>
          <w:bCs/>
          <w:iCs/>
        </w:rPr>
        <w:t xml:space="preserve">which they are </w:t>
      </w:r>
      <w:r>
        <w:rPr>
          <w:bCs/>
          <w:iCs/>
        </w:rPr>
        <w:lastRenderedPageBreak/>
        <w:t xml:space="preserve">prescribed, and </w:t>
      </w:r>
      <w:r w:rsidRPr="00863188">
        <w:rPr>
          <w:bCs/>
          <w:iCs/>
        </w:rPr>
        <w:t>must be directly related and proportionate to the specific ne</w:t>
      </w:r>
      <w:r>
        <w:rPr>
          <w:bCs/>
          <w:iCs/>
        </w:rPr>
        <w:t>ed on which they are predicated</w:t>
      </w:r>
      <w:r w:rsidRPr="004415FD">
        <w:rPr>
          <w:bCs/>
          <w:iCs/>
        </w:rPr>
        <w:t>.</w:t>
      </w:r>
      <w:r>
        <w:rPr>
          <w:bCs/>
          <w:iCs/>
        </w:rPr>
        <w:t xml:space="preserve"> </w:t>
      </w:r>
      <w:r w:rsidRPr="004415FD">
        <w:rPr>
          <w:bCs/>
          <w:iCs/>
        </w:rPr>
        <w:t>In</w:t>
      </w:r>
      <w:r>
        <w:rPr>
          <w:bCs/>
          <w:iCs/>
        </w:rPr>
        <w:t xml:space="preserve"> the present case, </w:t>
      </w:r>
      <w:r>
        <w:t xml:space="preserve">the Committee notes that the domestic Courts’ documents do not provide any information about the author’s behaviour being conducive of agitation and that the State party has </w:t>
      </w:r>
      <w:r w:rsidRPr="00452215">
        <w:t xml:space="preserve">not provided </w:t>
      </w:r>
      <w:r>
        <w:t xml:space="preserve">any details, </w:t>
      </w:r>
      <w:r w:rsidRPr="00452215">
        <w:t>explanations or arguments as to why she should be punished for such activity</w:t>
      </w:r>
      <w:r>
        <w:t xml:space="preserve">. </w:t>
      </w:r>
      <w:r w:rsidRPr="00452215">
        <w:rPr>
          <w:bCs/>
          <w:iCs/>
        </w:rPr>
        <w:t xml:space="preserve">The Committee also notes that the State party has not provided </w:t>
      </w:r>
      <w:r w:rsidRPr="003E6D73">
        <w:rPr>
          <w:bCs/>
          <w:iCs/>
          <w:lang w:val="en-US"/>
        </w:rPr>
        <w:t xml:space="preserve">any </w:t>
      </w:r>
      <w:r w:rsidRPr="00452215">
        <w:rPr>
          <w:bCs/>
          <w:iCs/>
        </w:rPr>
        <w:t xml:space="preserve">evidence indicating that the peaceful discussion or </w:t>
      </w:r>
      <w:r>
        <w:rPr>
          <w:bCs/>
          <w:iCs/>
        </w:rPr>
        <w:t xml:space="preserve">the </w:t>
      </w:r>
      <w:r w:rsidRPr="00452215">
        <w:rPr>
          <w:bCs/>
          <w:iCs/>
        </w:rPr>
        <w:t>distribution of paper</w:t>
      </w:r>
      <w:r>
        <w:rPr>
          <w:bCs/>
          <w:iCs/>
        </w:rPr>
        <w:t>s of the author</w:t>
      </w:r>
      <w:r w:rsidRPr="00452215">
        <w:rPr>
          <w:bCs/>
          <w:iCs/>
        </w:rPr>
        <w:t>’</w:t>
      </w:r>
      <w:r w:rsidRPr="00933729">
        <w:rPr>
          <w:bCs/>
          <w:iCs/>
        </w:rPr>
        <w:t>s</w:t>
      </w:r>
      <w:r w:rsidRPr="00452215">
        <w:rPr>
          <w:bCs/>
          <w:iCs/>
        </w:rPr>
        <w:t xml:space="preserve"> religious beliefs </w:t>
      </w:r>
      <w:r w:rsidRPr="00F21DFF">
        <w:rPr>
          <w:bCs/>
          <w:iCs/>
        </w:rPr>
        <w:t>threatened public safety, order, health, or morals, or the fundamental rights and freedoms of others.</w:t>
      </w:r>
      <w:r w:rsidRPr="006D290C">
        <w:t xml:space="preserve"> </w:t>
      </w:r>
      <w:r w:rsidRPr="004415FD">
        <w:t>Th</w:t>
      </w:r>
      <w:r>
        <w:t>e Committee considers that</w:t>
      </w:r>
      <w:r w:rsidRPr="009B06ED">
        <w:t xml:space="preserve"> the State party has </w:t>
      </w:r>
      <w:r w:rsidRPr="003E6D73">
        <w:rPr>
          <w:lang w:val="en-US"/>
        </w:rPr>
        <w:t>neither</w:t>
      </w:r>
      <w:r w:rsidRPr="009B06ED">
        <w:t xml:space="preserve"> identified any specific fundamental rights or freedoms of others that were affected by </w:t>
      </w:r>
      <w:r>
        <w:t>the author’s</w:t>
      </w:r>
      <w:r w:rsidRPr="002B284A">
        <w:t xml:space="preserve"> behaviour</w:t>
      </w:r>
      <w:r>
        <w:t xml:space="preserve"> about the discussion of her religious beliefs or by the distribution of papers in front of a secondary school</w:t>
      </w:r>
      <w:r w:rsidRPr="009B06ED">
        <w:t xml:space="preserve">. </w:t>
      </w:r>
      <w:r>
        <w:t xml:space="preserve">The Committee recalls that in its General Comment No. 22, it found that </w:t>
      </w:r>
      <w:r w:rsidRPr="00783543">
        <w:t>“the practice and teaching of religion or belief includes acts integral to the conduct by religious groups of their basic affairs, [and] the freedom to prepare and distribute religious texts or publications”</w:t>
      </w:r>
      <w:r w:rsidRPr="00783543">
        <w:rPr>
          <w:vertAlign w:val="superscript"/>
        </w:rPr>
        <w:footnoteReference w:id="27"/>
      </w:r>
      <w:r w:rsidRPr="00783543">
        <w:rPr>
          <w:vertAlign w:val="superscript"/>
        </w:rPr>
        <w:t>.</w:t>
      </w:r>
      <w:r w:rsidRPr="00783543">
        <w:t xml:space="preserve"> The Committee also notes that although the State party mentioned that she was distributing papers in front of a secondary school, </w:t>
      </w:r>
      <w:r>
        <w:t xml:space="preserve">which is denied by the author, </w:t>
      </w:r>
      <w:r w:rsidRPr="00783543">
        <w:t xml:space="preserve">it has not argued </w:t>
      </w:r>
      <w:r>
        <w:t xml:space="preserve">or established </w:t>
      </w:r>
      <w:r w:rsidRPr="00783543">
        <w:t>that the author was trying to convert any individual</w:t>
      </w:r>
      <w:r w:rsidR="005E738A">
        <w:t xml:space="preserve"> </w:t>
      </w:r>
      <w:r w:rsidR="00C44C07">
        <w:t xml:space="preserve">that </w:t>
      </w:r>
      <w:proofErr w:type="gramStart"/>
      <w:r w:rsidR="00C44C07">
        <w:t xml:space="preserve">was </w:t>
      </w:r>
      <w:r w:rsidRPr="00783543">
        <w:t xml:space="preserve"> not</w:t>
      </w:r>
      <w:proofErr w:type="gramEnd"/>
      <w:r w:rsidRPr="00783543">
        <w:t xml:space="preserve"> an adult</w:t>
      </w:r>
      <w:r w:rsidRPr="00783543">
        <w:rPr>
          <w:vertAlign w:val="superscript"/>
        </w:rPr>
        <w:footnoteReference w:id="28"/>
      </w:r>
      <w:r w:rsidRPr="00783543">
        <w:t xml:space="preserve">. </w:t>
      </w:r>
      <w:r w:rsidRPr="009B06ED">
        <w:t xml:space="preserve">Accordingly, the Committee considers that the State party has not provided a sufficient basis for the restrictions imposed, so as to demonstrate that those restrictions were permissible </w:t>
      </w:r>
      <w:r w:rsidRPr="003E6D73">
        <w:t>under</w:t>
      </w:r>
      <w:r w:rsidRPr="009B06ED">
        <w:t xml:space="preserve"> article 18 (3) of the Covenant.</w:t>
      </w:r>
    </w:p>
    <w:p w14:paraId="621C5813" w14:textId="238F51F1" w:rsidR="00087505" w:rsidRPr="00C43B9E" w:rsidRDefault="00087505" w:rsidP="00087505">
      <w:pPr>
        <w:pStyle w:val="SingleTxtG"/>
      </w:pPr>
      <w:r>
        <w:t>8.5</w:t>
      </w:r>
      <w:r>
        <w:tab/>
        <w:t>The Committee also notes that the State party has not argued how the domestic law cited above applies to her as an individual.</w:t>
      </w:r>
      <w:r w:rsidRPr="00452215">
        <w:t xml:space="preserve"> </w:t>
      </w:r>
      <w:r w:rsidRPr="00F21DFF">
        <w:t>The Committee further observes that the State party has not described any context, or provided any example, in which there was a specific and significant threat to public order and safety that would justify the blanket ban on religious activities outside of a registered religious organization, nor how this would apply to individuals. Even if the State party</w:t>
      </w:r>
      <w:r w:rsidRPr="00806038">
        <w:t xml:space="preserve"> could demonstrate the existence of a specific and significant threat to public safety and order, </w:t>
      </w:r>
      <w:r w:rsidRPr="00C43B9E">
        <w:t>th</w:t>
      </w:r>
      <w:r>
        <w:t xml:space="preserve">e Committee considers that </w:t>
      </w:r>
      <w:r w:rsidRPr="003E6D73">
        <w:rPr>
          <w:lang w:val="en-US"/>
        </w:rPr>
        <w:t>th</w:t>
      </w:r>
      <w:r>
        <w:rPr>
          <w:lang w:val="en-US"/>
        </w:rPr>
        <w:t>e State party</w:t>
      </w:r>
      <w:r w:rsidRPr="00806038">
        <w:t xml:space="preserve"> </w:t>
      </w:r>
      <w:r w:rsidRPr="00F21DFF">
        <w:t xml:space="preserve">has failed to demonstrate that </w:t>
      </w:r>
      <w:r>
        <w:t xml:space="preserve">the </w:t>
      </w:r>
      <w:r w:rsidRPr="00F21DFF">
        <w:t xml:space="preserve">prohibition of religious activities outside a place of worship </w:t>
      </w:r>
      <w:r>
        <w:t>under</w:t>
      </w:r>
      <w:r w:rsidRPr="00F21DFF">
        <w:t xml:space="preserve"> article 299.0.4 of the Code of Administrative Offenses was proportionate to that objective in view of its considerable limitation on </w:t>
      </w:r>
      <w:r w:rsidRPr="003E6D73">
        <w:rPr>
          <w:lang w:val="en-US"/>
        </w:rPr>
        <w:t>th</w:t>
      </w:r>
      <w:r>
        <w:rPr>
          <w:lang w:val="en-US"/>
        </w:rPr>
        <w:t xml:space="preserve">e freedom to manifest one’s </w:t>
      </w:r>
      <w:proofErr w:type="spellStart"/>
      <w:r w:rsidRPr="00F21DFF">
        <w:t>religi</w:t>
      </w:r>
      <w:proofErr w:type="spellEnd"/>
      <w:r w:rsidRPr="003E6D73">
        <w:rPr>
          <w:lang w:val="en-US"/>
        </w:rPr>
        <w:t>on</w:t>
      </w:r>
      <w:r w:rsidRPr="00F21DFF">
        <w:t>.</w:t>
      </w:r>
      <w:r>
        <w:t xml:space="preserve"> Nor</w:t>
      </w:r>
      <w:r w:rsidRPr="00F21DFF">
        <w:t xml:space="preserve"> has</w:t>
      </w:r>
      <w:r w:rsidRPr="00806038">
        <w:t xml:space="preserve"> the State party attempted to demonstrate that the </w:t>
      </w:r>
      <w:r w:rsidRPr="00D57CF9">
        <w:t>prohibition of religious activities outside a place of worship</w:t>
      </w:r>
      <w:r w:rsidRPr="00D57CF9" w:rsidDel="00D57CF9">
        <w:t xml:space="preserve"> </w:t>
      </w:r>
      <w:r w:rsidRPr="00806038">
        <w:t>was the least</w:t>
      </w:r>
      <w:r w:rsidRPr="009B06ED">
        <w:t xml:space="preserve"> restrictive measure necessary to ensure the protection of the freedom of religion or belief. </w:t>
      </w:r>
    </w:p>
    <w:p w14:paraId="746BB010" w14:textId="58FF0ED6" w:rsidR="00087505" w:rsidRDefault="00087505" w:rsidP="00087505">
      <w:pPr>
        <w:pStyle w:val="SingleTxtG"/>
      </w:pPr>
      <w:r>
        <w:rPr>
          <w:bCs/>
          <w:iCs/>
        </w:rPr>
        <w:t>8.</w:t>
      </w:r>
      <w:r w:rsidRPr="006D290C">
        <w:rPr>
          <w:bCs/>
          <w:iCs/>
        </w:rPr>
        <w:t>6</w:t>
      </w:r>
      <w:r w:rsidRPr="005802C0">
        <w:rPr>
          <w:bCs/>
          <w:iCs/>
        </w:rPr>
        <w:tab/>
        <w:t xml:space="preserve">The Committee observes that during domestic proceedings, the Baku City </w:t>
      </w:r>
      <w:proofErr w:type="spellStart"/>
      <w:r w:rsidRPr="005802C0">
        <w:rPr>
          <w:bCs/>
          <w:iCs/>
        </w:rPr>
        <w:t>Sabunchu</w:t>
      </w:r>
      <w:proofErr w:type="spellEnd"/>
      <w:r w:rsidRPr="005802C0">
        <w:rPr>
          <w:bCs/>
          <w:iCs/>
        </w:rPr>
        <w:t xml:space="preserve"> D</w:t>
      </w:r>
      <w:r>
        <w:rPr>
          <w:bCs/>
          <w:iCs/>
        </w:rPr>
        <w:t>istrict Court upheld the author</w:t>
      </w:r>
      <w:r w:rsidRPr="005802C0">
        <w:rPr>
          <w:bCs/>
          <w:iCs/>
        </w:rPr>
        <w:t xml:space="preserve">’s convictions and fines on the ground that the author’s carrying out </w:t>
      </w:r>
      <w:r>
        <w:rPr>
          <w:bCs/>
          <w:iCs/>
        </w:rPr>
        <w:t xml:space="preserve">of </w:t>
      </w:r>
      <w:r w:rsidRPr="005802C0">
        <w:rPr>
          <w:bCs/>
          <w:iCs/>
        </w:rPr>
        <w:t xml:space="preserve">propaganda by distributing papers preaching the activity of the Religious Community of Jehovah’s Witnesses outside the registered legal address of the Religious Community </w:t>
      </w:r>
      <w:r>
        <w:rPr>
          <w:bCs/>
          <w:iCs/>
        </w:rPr>
        <w:t xml:space="preserve">violated article 12 of the Law on Freedom of Religious Beliefs as religious associations may operate at specified legally registered places of worship only. </w:t>
      </w:r>
      <w:r w:rsidRPr="00CA3E09">
        <w:t>The Committee recalls that article 18 (1) of the Covenant protects the right of all members of a religious congregation to manifest their religion in community with others, in worship, observance, practice and teaching.</w:t>
      </w:r>
      <w:r w:rsidRPr="00CA3E09">
        <w:rPr>
          <w:rStyle w:val="FootnoteReference"/>
        </w:rPr>
        <w:footnoteReference w:id="29"/>
      </w:r>
      <w:r w:rsidRPr="00CA3E09">
        <w:rPr>
          <w:bCs/>
          <w:iCs/>
        </w:rPr>
        <w:t xml:space="preserve"> The Committee considers that the justifications provided by the District Court do not demonstrate how</w:t>
      </w:r>
      <w:r w:rsidRPr="00783543">
        <w:rPr>
          <w:bCs/>
          <w:iCs/>
        </w:rPr>
        <w:t xml:space="preserve"> the </w:t>
      </w:r>
      <w:r>
        <w:rPr>
          <w:bCs/>
          <w:iCs/>
        </w:rPr>
        <w:t xml:space="preserve">general </w:t>
      </w:r>
      <w:r w:rsidRPr="00783543">
        <w:rPr>
          <w:bCs/>
          <w:iCs/>
        </w:rPr>
        <w:t xml:space="preserve">prohibition to </w:t>
      </w:r>
      <w:r>
        <w:rPr>
          <w:bCs/>
          <w:iCs/>
        </w:rPr>
        <w:t>carry out religious propaganda on the street or to</w:t>
      </w:r>
      <w:r w:rsidRPr="00783543">
        <w:rPr>
          <w:bCs/>
          <w:iCs/>
        </w:rPr>
        <w:t xml:space="preserve"> distribute papers </w:t>
      </w:r>
      <w:r>
        <w:rPr>
          <w:bCs/>
          <w:iCs/>
        </w:rPr>
        <w:t>by an individual</w:t>
      </w:r>
      <w:r w:rsidRPr="00783543">
        <w:rPr>
          <w:bCs/>
          <w:iCs/>
        </w:rPr>
        <w:t xml:space="preserve"> </w:t>
      </w:r>
      <w:r w:rsidRPr="00CA3E09">
        <w:rPr>
          <w:bCs/>
          <w:iCs/>
        </w:rPr>
        <w:t>were proportionate measures necessary to serve a legitimate purpose within the meaning of article 18 (3) of the Covenant. The Committee notes that the District Court did not advance any argument</w:t>
      </w:r>
      <w:r w:rsidRPr="00C914E4">
        <w:rPr>
          <w:bCs/>
          <w:iCs/>
        </w:rPr>
        <w:t>s or details as to why the author’s religious activities violated the rights of other individuals in accordance with their own religious beliefs.</w:t>
      </w:r>
      <w:r>
        <w:rPr>
          <w:bCs/>
          <w:iCs/>
        </w:rPr>
        <w:t xml:space="preserve"> </w:t>
      </w:r>
      <w:r w:rsidRPr="00CA3E09">
        <w:rPr>
          <w:bCs/>
          <w:iCs/>
        </w:rPr>
        <w:t xml:space="preserve">The </w:t>
      </w:r>
      <w:r w:rsidRPr="00CA3E09">
        <w:t xml:space="preserve">Committee </w:t>
      </w:r>
      <w:r w:rsidRPr="003E6D73">
        <w:rPr>
          <w:lang w:val="en-US"/>
        </w:rPr>
        <w:t xml:space="preserve">therefore </w:t>
      </w:r>
      <w:r w:rsidRPr="00CA3E09">
        <w:t xml:space="preserve">concludes that the punishment imposed on the authors amounted to a limitation of </w:t>
      </w:r>
      <w:r w:rsidRPr="00C914E4">
        <w:t>her</w:t>
      </w:r>
      <w:r>
        <w:t xml:space="preserve"> right to manifest her</w:t>
      </w:r>
      <w:r w:rsidRPr="00CA3E09">
        <w:t xml:space="preserve"> religion under article 18 (1) of the Covenant, and that neither the domestic authorities nor the State party have demonstrated that the limitation represented a proportionate measure necessary to serve a legitimate purpose identified in article 18 (3) of the Covenant. Accordingly, the Committee concludes that by </w:t>
      </w:r>
      <w:r>
        <w:t xml:space="preserve">taking her </w:t>
      </w:r>
      <w:r w:rsidR="004922E1">
        <w:t>in</w:t>
      </w:r>
      <w:r>
        <w:t>to custody</w:t>
      </w:r>
      <w:r w:rsidRPr="00CA3E09">
        <w:t xml:space="preserve">, convicting and fining </w:t>
      </w:r>
      <w:r w:rsidRPr="00241489">
        <w:t xml:space="preserve">the author for carrying out </w:t>
      </w:r>
      <w:r w:rsidRPr="00241489">
        <w:lastRenderedPageBreak/>
        <w:t xml:space="preserve">religious activities outside of a </w:t>
      </w:r>
      <w:r>
        <w:t xml:space="preserve">registered </w:t>
      </w:r>
      <w:r w:rsidRPr="00241489">
        <w:t>place</w:t>
      </w:r>
      <w:r>
        <w:t xml:space="preserve"> of worship</w:t>
      </w:r>
      <w:r w:rsidRPr="00241489">
        <w:t xml:space="preserve"> the State</w:t>
      </w:r>
      <w:r w:rsidRPr="00CA3E09">
        <w:t xml:space="preserve"> party violated </w:t>
      </w:r>
      <w:r w:rsidRPr="003E6D73">
        <w:rPr>
          <w:lang w:val="en-US"/>
        </w:rPr>
        <w:t xml:space="preserve">her </w:t>
      </w:r>
      <w:r w:rsidRPr="00CA3E09">
        <w:t xml:space="preserve">rights under article 18 </w:t>
      </w:r>
      <w:r w:rsidRPr="007573EC">
        <w:t>(1)</w:t>
      </w:r>
      <w:r w:rsidRPr="00CA3E09">
        <w:t xml:space="preserve"> of the Covenant.</w:t>
      </w:r>
      <w:r>
        <w:rPr>
          <w:rStyle w:val="FootnoteReference"/>
        </w:rPr>
        <w:t xml:space="preserve"> </w:t>
      </w:r>
    </w:p>
    <w:p w14:paraId="624E3A84" w14:textId="77777777" w:rsidR="00087505" w:rsidRPr="004952CF" w:rsidRDefault="00087505" w:rsidP="00087505">
      <w:pPr>
        <w:pStyle w:val="SingleTxtG"/>
      </w:pPr>
      <w:r>
        <w:t>8.7</w:t>
      </w:r>
      <w:r w:rsidRPr="004952CF">
        <w:tab/>
      </w:r>
      <w:r w:rsidRPr="00CE04E3">
        <w:rPr>
          <w:lang w:val="en-US"/>
        </w:rPr>
        <w:t xml:space="preserve">In the light of </w:t>
      </w:r>
      <w:r>
        <w:rPr>
          <w:lang w:val="en-US"/>
        </w:rPr>
        <w:t>these</w:t>
      </w:r>
      <w:r w:rsidRPr="00CE04E3">
        <w:rPr>
          <w:lang w:val="en-US"/>
        </w:rPr>
        <w:t xml:space="preserve"> findings,</w:t>
      </w:r>
      <w:r>
        <w:rPr>
          <w:lang w:val="en-US"/>
        </w:rPr>
        <w:t xml:space="preserve"> </w:t>
      </w:r>
      <w:r w:rsidRPr="00CE04E3">
        <w:rPr>
          <w:lang w:val="en-US"/>
        </w:rPr>
        <w:t xml:space="preserve">the Committee does not deem it necessary to examine </w:t>
      </w:r>
      <w:r>
        <w:rPr>
          <w:lang w:val="en-US"/>
        </w:rPr>
        <w:t>whether the same facts also constitute a violation of article 19 (1) and (2) of the Covenant</w:t>
      </w:r>
      <w:r w:rsidRPr="00CE04E3">
        <w:rPr>
          <w:lang w:val="en-US"/>
        </w:rPr>
        <w:t xml:space="preserve">. </w:t>
      </w:r>
    </w:p>
    <w:p w14:paraId="6E27B896" w14:textId="77777777" w:rsidR="00087505" w:rsidRDefault="00087505" w:rsidP="00087505">
      <w:pPr>
        <w:pStyle w:val="SingleTxtG"/>
      </w:pPr>
      <w:r>
        <w:t>9</w:t>
      </w:r>
      <w:r w:rsidRPr="00CE04E3">
        <w:t>.</w:t>
      </w:r>
      <w:r w:rsidRPr="00CE04E3">
        <w:tab/>
        <w:t xml:space="preserve">The Committee, acting under article 5 (4) of the Optional Protocol, is of the view that the facts before it disclose a violation of </w:t>
      </w:r>
      <w:r w:rsidRPr="00131003">
        <w:t>the author’s</w:t>
      </w:r>
      <w:r w:rsidRPr="00CE04E3">
        <w:t xml:space="preserve"> rights under article 18 (1) </w:t>
      </w:r>
      <w:r>
        <w:t xml:space="preserve">of the Covenant. </w:t>
      </w:r>
    </w:p>
    <w:p w14:paraId="04E13C25" w14:textId="52DF8B23" w:rsidR="00087505" w:rsidRPr="00D67B05" w:rsidRDefault="00087505" w:rsidP="00087505">
      <w:pPr>
        <w:pStyle w:val="SingleTxtG"/>
      </w:pPr>
      <w:r>
        <w:t>10.</w:t>
      </w:r>
      <w:r>
        <w:tab/>
        <w:t xml:space="preserve">Pursuant to article 2 (3) (a) of the Covenant, the State party is under an obligation to provide the author with an effective remedy. This requires it to make full reparation to individuals whose rights under the Covenant have been violated. Accordingly, the State party is obligated to, inter alia, provide the author with adequate compensation, including by reimbursing her for the fine imposed and for court fees related to the case in question. The State party is also under an obligation to take all steps necessary to prevent similar violations from occurring in the future, including by reviewing its domestic legislation, regulations and/or practices </w:t>
      </w:r>
      <w:r w:rsidR="00964F1C">
        <w:t xml:space="preserve">with a view to ensuring that the rights under article 18 of the Covenant may be fully enjoyed in the State </w:t>
      </w:r>
      <w:r w:rsidR="00964F1C" w:rsidRPr="00D67B05">
        <w:t>party</w:t>
      </w:r>
      <w:r w:rsidR="00964F1C">
        <w:t xml:space="preserve">. </w:t>
      </w:r>
      <w:r>
        <w:t>.</w:t>
      </w:r>
    </w:p>
    <w:p w14:paraId="4FCD0F6A" w14:textId="77777777" w:rsidR="00087505" w:rsidRDefault="00087505" w:rsidP="00087505">
      <w:pPr>
        <w:pStyle w:val="SingleTxtG"/>
      </w:pPr>
      <w:r>
        <w:t>11</w:t>
      </w:r>
      <w:r w:rsidRPr="00CE04E3">
        <w:t>.</w:t>
      </w:r>
      <w:r w:rsidRPr="00CE04E3">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14:paraId="08D52349" w14:textId="77777777" w:rsidR="00087505" w:rsidRPr="00F83E67" w:rsidRDefault="00087505" w:rsidP="00087505">
      <w:pPr>
        <w:pStyle w:val="SingleTxtG"/>
        <w:spacing w:before="240" w:after="0"/>
        <w:jc w:val="center"/>
        <w:rPr>
          <w:u w:val="single"/>
        </w:rPr>
      </w:pPr>
      <w:r>
        <w:rPr>
          <w:u w:val="single"/>
        </w:rPr>
        <w:tab/>
      </w:r>
      <w:r>
        <w:rPr>
          <w:u w:val="single"/>
        </w:rPr>
        <w:tab/>
      </w:r>
      <w:r>
        <w:rPr>
          <w:u w:val="single"/>
        </w:rPr>
        <w:tab/>
      </w:r>
      <w:r>
        <w:rPr>
          <w:u w:val="single"/>
        </w:rPr>
        <w:tab/>
      </w:r>
    </w:p>
    <w:p w14:paraId="1FC8B763" w14:textId="77777777" w:rsidR="00C0185F" w:rsidRDefault="00C0185F"/>
    <w:sectPr w:rsidR="00C0185F" w:rsidSect="00780F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5BB6" w14:textId="77777777" w:rsidR="0062718D" w:rsidRDefault="0062718D" w:rsidP="00087505">
      <w:pPr>
        <w:spacing w:line="240" w:lineRule="auto"/>
      </w:pPr>
      <w:r>
        <w:separator/>
      </w:r>
    </w:p>
  </w:endnote>
  <w:endnote w:type="continuationSeparator" w:id="0">
    <w:p w14:paraId="6DE0113A" w14:textId="77777777" w:rsidR="0062718D" w:rsidRDefault="0062718D" w:rsidP="00087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434C" w14:textId="096689CC" w:rsidR="00D92F24" w:rsidRPr="00D92F24" w:rsidRDefault="00495EE5" w:rsidP="00D92F24">
    <w:pPr>
      <w:pStyle w:val="Footer"/>
      <w:tabs>
        <w:tab w:val="right" w:pos="9638"/>
      </w:tabs>
      <w:rPr>
        <w:sz w:val="18"/>
      </w:rPr>
    </w:pPr>
    <w:r w:rsidRPr="00D92F24">
      <w:rPr>
        <w:b/>
        <w:sz w:val="18"/>
      </w:rPr>
      <w:fldChar w:fldCharType="begin"/>
    </w:r>
    <w:r w:rsidRPr="00D92F24">
      <w:rPr>
        <w:b/>
        <w:sz w:val="18"/>
      </w:rPr>
      <w:instrText xml:space="preserve"> PAGE  \* MERGEFORMAT </w:instrText>
    </w:r>
    <w:r w:rsidRPr="00D92F24">
      <w:rPr>
        <w:b/>
        <w:sz w:val="18"/>
      </w:rPr>
      <w:fldChar w:fldCharType="separate"/>
    </w:r>
    <w:r w:rsidR="0031224E">
      <w:rPr>
        <w:b/>
        <w:noProof/>
        <w:sz w:val="18"/>
      </w:rPr>
      <w:t>2</w:t>
    </w:r>
    <w:r w:rsidRPr="00D92F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E632" w14:textId="7CB2126A" w:rsidR="00D92F24" w:rsidRPr="00D92F24" w:rsidRDefault="00495EE5" w:rsidP="00D92F24">
    <w:pPr>
      <w:pStyle w:val="Footer"/>
      <w:tabs>
        <w:tab w:val="right" w:pos="9638"/>
      </w:tabs>
      <w:rPr>
        <w:b/>
        <w:sz w:val="18"/>
      </w:rPr>
    </w:pPr>
    <w:r>
      <w:tab/>
    </w:r>
    <w:r w:rsidRPr="00D92F24">
      <w:rPr>
        <w:b/>
        <w:sz w:val="18"/>
      </w:rPr>
      <w:fldChar w:fldCharType="begin"/>
    </w:r>
    <w:r w:rsidRPr="00D92F24">
      <w:rPr>
        <w:b/>
        <w:sz w:val="18"/>
      </w:rPr>
      <w:instrText xml:space="preserve"> PAGE  \* MERGEFORMAT </w:instrText>
    </w:r>
    <w:r w:rsidRPr="00D92F24">
      <w:rPr>
        <w:b/>
        <w:sz w:val="18"/>
      </w:rPr>
      <w:fldChar w:fldCharType="separate"/>
    </w:r>
    <w:r w:rsidR="0031224E">
      <w:rPr>
        <w:b/>
        <w:noProof/>
        <w:sz w:val="18"/>
      </w:rPr>
      <w:t>3</w:t>
    </w:r>
    <w:r w:rsidRPr="00D92F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3B7D" w14:textId="25A96BCF" w:rsidR="00602851" w:rsidRDefault="00495EE5" w:rsidP="00FA276B">
    <w:pPr>
      <w:pStyle w:val="Footer"/>
    </w:pPr>
    <w:r>
      <w:rPr>
        <w:noProof/>
        <w:lang w:eastAsia="en-GB"/>
      </w:rPr>
      <w:drawing>
        <wp:anchor distT="0" distB="0" distL="114300" distR="114300" simplePos="0" relativeHeight="251659264" behindDoc="1" locked="1" layoutInCell="1" allowOverlap="1" wp14:anchorId="21CE9C27" wp14:editId="0E49412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6B3C" w14:textId="77777777" w:rsidR="0062718D" w:rsidRDefault="0062718D" w:rsidP="00087505">
      <w:pPr>
        <w:spacing w:line="240" w:lineRule="auto"/>
      </w:pPr>
      <w:r>
        <w:separator/>
      </w:r>
    </w:p>
  </w:footnote>
  <w:footnote w:type="continuationSeparator" w:id="0">
    <w:p w14:paraId="59AE344F" w14:textId="77777777" w:rsidR="0062718D" w:rsidRDefault="0062718D" w:rsidP="00087505">
      <w:pPr>
        <w:spacing w:line="240" w:lineRule="auto"/>
      </w:pPr>
      <w:r>
        <w:continuationSeparator/>
      </w:r>
    </w:p>
  </w:footnote>
  <w:footnote w:id="1">
    <w:p w14:paraId="4C2C4A59" w14:textId="5DE48020" w:rsidR="005923B7" w:rsidRPr="0031224E" w:rsidRDefault="005923B7" w:rsidP="0031224E">
      <w:pPr>
        <w:pStyle w:val="FootnoteText"/>
      </w:pPr>
      <w:r w:rsidRPr="0031224E">
        <w:rPr>
          <w:rStyle w:val="FootnoteReference"/>
          <w:vertAlign w:val="baseline"/>
        </w:rPr>
        <w:tab/>
        <w:t>*</w:t>
      </w:r>
      <w:r w:rsidRPr="0031224E">
        <w:rPr>
          <w:rStyle w:val="FootnoteReference"/>
          <w:vertAlign w:val="baseline"/>
        </w:rPr>
        <w:tab/>
      </w:r>
      <w:r w:rsidRPr="0031224E">
        <w:t>Adopted by the Committee at its 130th session (12 October – 6 November 2020).</w:t>
      </w:r>
    </w:p>
  </w:footnote>
  <w:footnote w:id="2">
    <w:p w14:paraId="5A2D27F9" w14:textId="5EBB2802" w:rsidR="005923B7" w:rsidRPr="007D3EE6" w:rsidRDefault="005923B7" w:rsidP="0031224E">
      <w:pPr>
        <w:pStyle w:val="FootnoteText"/>
      </w:pPr>
      <w:r w:rsidRPr="0031224E">
        <w:rPr>
          <w:rStyle w:val="FootnoteReference"/>
          <w:vertAlign w:val="baseline"/>
        </w:rPr>
        <w:tab/>
        <w:t>**</w:t>
      </w:r>
      <w:r w:rsidRPr="0031224E">
        <w:rPr>
          <w:rStyle w:val="FootnoteReference"/>
          <w:vertAlign w:val="baseline"/>
        </w:rPr>
        <w:tab/>
      </w:r>
      <w:r w:rsidRPr="0031224E">
        <w:t xml:space="preserve">The following members of the Committee participated in the examination of the communication: </w:t>
      </w:r>
      <w:proofErr w:type="spellStart"/>
      <w:r w:rsidRPr="0031224E">
        <w:t>Yadh</w:t>
      </w:r>
      <w:proofErr w:type="spellEnd"/>
      <w:r w:rsidRPr="0031224E">
        <w:t xml:space="preserve"> Ben </w:t>
      </w:r>
      <w:proofErr w:type="spellStart"/>
      <w:r w:rsidRPr="0031224E">
        <w:t>Achour</w:t>
      </w:r>
      <w:proofErr w:type="spellEnd"/>
      <w:r w:rsidRPr="0031224E">
        <w:t xml:space="preserve">, Christopher </w:t>
      </w:r>
      <w:proofErr w:type="spellStart"/>
      <w:r w:rsidRPr="0031224E">
        <w:t>Arif</w:t>
      </w:r>
      <w:proofErr w:type="spellEnd"/>
      <w:r w:rsidRPr="0031224E">
        <w:t xml:space="preserve"> </w:t>
      </w:r>
      <w:proofErr w:type="spellStart"/>
      <w:r w:rsidRPr="0031224E">
        <w:t>Bulkan</w:t>
      </w:r>
      <w:proofErr w:type="spellEnd"/>
      <w:r w:rsidRPr="0031224E">
        <w:t xml:space="preserve">, Ahmed Amin </w:t>
      </w:r>
      <w:proofErr w:type="spellStart"/>
      <w:r w:rsidRPr="0031224E">
        <w:t>Fathalla</w:t>
      </w:r>
      <w:proofErr w:type="spellEnd"/>
      <w:r w:rsidRPr="0031224E">
        <w:t xml:space="preserve">, Shuichi </w:t>
      </w:r>
      <w:proofErr w:type="spellStart"/>
      <w:r w:rsidRPr="0031224E">
        <w:t>Furuya</w:t>
      </w:r>
      <w:proofErr w:type="spellEnd"/>
      <w:r w:rsidRPr="0031224E">
        <w:t xml:space="preserve">, Christof </w:t>
      </w:r>
      <w:proofErr w:type="spellStart"/>
      <w:r w:rsidRPr="0031224E">
        <w:t>Heyns</w:t>
      </w:r>
      <w:proofErr w:type="spellEnd"/>
      <w:r w:rsidRPr="0031224E">
        <w:t xml:space="preserve">, </w:t>
      </w:r>
      <w:proofErr w:type="spellStart"/>
      <w:r w:rsidRPr="0031224E">
        <w:t>Bamariam</w:t>
      </w:r>
      <w:proofErr w:type="spellEnd"/>
      <w:r w:rsidRPr="0031224E">
        <w:t xml:space="preserve"> </w:t>
      </w:r>
      <w:proofErr w:type="spellStart"/>
      <w:r w:rsidRPr="0031224E">
        <w:t>Koita</w:t>
      </w:r>
      <w:proofErr w:type="spellEnd"/>
      <w:r w:rsidRPr="0031224E">
        <w:t xml:space="preserve">, Marcia V.J. </w:t>
      </w:r>
      <w:proofErr w:type="spellStart"/>
      <w:r w:rsidRPr="0031224E">
        <w:t>Kran</w:t>
      </w:r>
      <w:proofErr w:type="spellEnd"/>
      <w:r w:rsidRPr="0031224E">
        <w:t xml:space="preserve">, Duncan </w:t>
      </w:r>
      <w:proofErr w:type="spellStart"/>
      <w:r w:rsidRPr="0031224E">
        <w:t>Laki</w:t>
      </w:r>
      <w:proofErr w:type="spellEnd"/>
      <w:r w:rsidRPr="0031224E">
        <w:t xml:space="preserve"> </w:t>
      </w:r>
      <w:proofErr w:type="spellStart"/>
      <w:r w:rsidRPr="0031224E">
        <w:t>Muhumuza</w:t>
      </w:r>
      <w:proofErr w:type="spellEnd"/>
      <w:r w:rsidRPr="0031224E">
        <w:t xml:space="preserve">, David Moore, Photini </w:t>
      </w:r>
      <w:proofErr w:type="spellStart"/>
      <w:r w:rsidRPr="0031224E">
        <w:t>Pazartzis</w:t>
      </w:r>
      <w:proofErr w:type="spellEnd"/>
      <w:r w:rsidRPr="0031224E">
        <w:t xml:space="preserve">, </w:t>
      </w:r>
      <w:proofErr w:type="spellStart"/>
      <w:r w:rsidRPr="0031224E">
        <w:t>Hernán</w:t>
      </w:r>
      <w:proofErr w:type="spellEnd"/>
      <w:r w:rsidRPr="0031224E">
        <w:t xml:space="preserve"> Quezada, </w:t>
      </w:r>
      <w:proofErr w:type="spellStart"/>
      <w:r w:rsidRPr="0031224E">
        <w:t>Vasilka</w:t>
      </w:r>
      <w:proofErr w:type="spellEnd"/>
      <w:r w:rsidRPr="0031224E">
        <w:t xml:space="preserve"> </w:t>
      </w:r>
      <w:proofErr w:type="spellStart"/>
      <w:r w:rsidRPr="0031224E">
        <w:t>Sancin</w:t>
      </w:r>
      <w:proofErr w:type="spellEnd"/>
      <w:r w:rsidRPr="0031224E">
        <w:t xml:space="preserve">, José Manuel Santos </w:t>
      </w:r>
      <w:proofErr w:type="spellStart"/>
      <w:r w:rsidRPr="0031224E">
        <w:t>Pais</w:t>
      </w:r>
      <w:proofErr w:type="spellEnd"/>
      <w:r w:rsidRPr="0031224E">
        <w:t xml:space="preserve">, Yuval </w:t>
      </w:r>
      <w:proofErr w:type="spellStart"/>
      <w:r w:rsidRPr="0031224E">
        <w:t>Shany</w:t>
      </w:r>
      <w:proofErr w:type="spellEnd"/>
      <w:r w:rsidRPr="0031224E">
        <w:t xml:space="preserve">, Hélène Tigroudja, Andreas Zimmermann and Gentian </w:t>
      </w:r>
      <w:proofErr w:type="spellStart"/>
      <w:r w:rsidRPr="0031224E">
        <w:t>Zyberi</w:t>
      </w:r>
      <w:proofErr w:type="spellEnd"/>
      <w:r w:rsidRPr="0031224E">
        <w:t>.</w:t>
      </w:r>
    </w:p>
  </w:footnote>
  <w:footnote w:id="3">
    <w:p w14:paraId="5C4D1F11" w14:textId="77777777" w:rsidR="00087505" w:rsidRPr="007C3843" w:rsidRDefault="00087505" w:rsidP="00087505">
      <w:pPr>
        <w:pStyle w:val="FootnoteText"/>
      </w:pPr>
      <w:r>
        <w:tab/>
      </w:r>
      <w:r>
        <w:rPr>
          <w:rStyle w:val="FootnoteReference"/>
        </w:rPr>
        <w:footnoteRef/>
      </w:r>
      <w:r>
        <w:tab/>
      </w:r>
      <w:r w:rsidRPr="007C3843">
        <w:t xml:space="preserve">The author provide a copy of an attestation </w:t>
      </w:r>
      <w:r>
        <w:t>from RCWJ</w:t>
      </w:r>
      <w:r w:rsidRPr="007C3843">
        <w:t>, s</w:t>
      </w:r>
      <w:r>
        <w:t>tating that she is not a member. This document</w:t>
      </w:r>
      <w:r w:rsidRPr="007C3843">
        <w:t xml:space="preserve"> was</w:t>
      </w:r>
      <w:r>
        <w:t xml:space="preserve"> also</w:t>
      </w:r>
      <w:r w:rsidRPr="007C3843">
        <w:t xml:space="preserve"> presented to domestic Courts. </w:t>
      </w:r>
    </w:p>
  </w:footnote>
  <w:footnote w:id="4">
    <w:p w14:paraId="15ADC617" w14:textId="77777777" w:rsidR="00087505" w:rsidRPr="00191D5C" w:rsidRDefault="00087505" w:rsidP="00087505">
      <w:pPr>
        <w:pStyle w:val="FootnoteText"/>
        <w:jc w:val="both"/>
      </w:pPr>
      <w:r>
        <w:tab/>
      </w:r>
      <w:r>
        <w:rPr>
          <w:rStyle w:val="FootnoteReference"/>
        </w:rPr>
        <w:footnoteRef/>
      </w:r>
      <w:r>
        <w:tab/>
        <w:t xml:space="preserve">According to a translation provided by the author, Article 299.0.4. of the Code of Administrative Offenses stated “carrying out of activities by religious associations in places outside the registered legal address” </w:t>
      </w:r>
      <w:r w:rsidRPr="00260D6D">
        <w:t>entails a penalty in amount of one thousand five hundred to two</w:t>
      </w:r>
      <w:r>
        <w:t xml:space="preserve"> </w:t>
      </w:r>
      <w:r w:rsidRPr="00260D6D">
        <w:t xml:space="preserve">thousand </w:t>
      </w:r>
      <w:proofErr w:type="spellStart"/>
      <w:r w:rsidRPr="00260D6D">
        <w:t>manats</w:t>
      </w:r>
      <w:proofErr w:type="spellEnd"/>
      <w:r w:rsidRPr="00260D6D">
        <w:t xml:space="preserve"> for natural persons and seven thousand to eight thousand </w:t>
      </w:r>
      <w:proofErr w:type="spellStart"/>
      <w:r w:rsidRPr="00260D6D">
        <w:t>manats</w:t>
      </w:r>
      <w:proofErr w:type="spellEnd"/>
      <w:r w:rsidRPr="00260D6D">
        <w:t xml:space="preserve"> for officials</w:t>
      </w:r>
      <w:r>
        <w:t xml:space="preserve">. </w:t>
      </w:r>
      <w:r>
        <w:br/>
        <w:t xml:space="preserve">The Court found that </w:t>
      </w:r>
      <w:r w:rsidRPr="00D92F24">
        <w:t>according</w:t>
      </w:r>
      <w:r>
        <w:t xml:space="preserve"> to Article 12 of the Law of the Azerbaijan Republic on Freedom of Religious Beliefs, any religious association may operate only after being registered with the relevant executive authority and entered in the state register of religious associations. Religious associations may operate at places of worship specified in the information presented for State registration at the legal address and after a religious minister has been appointed to the association by the religious </w:t>
      </w:r>
      <w:proofErr w:type="spellStart"/>
      <w:r>
        <w:t>center</w:t>
      </w:r>
      <w:proofErr w:type="spellEnd"/>
      <w:r>
        <w:t xml:space="preserve"> or office. According to the Court, the author’s committing a violation under article 299.0.4 of the Administrative </w:t>
      </w:r>
      <w:r w:rsidRPr="00D92F24">
        <w:t>Violations</w:t>
      </w:r>
      <w:r>
        <w:t xml:space="preserve"> Code is fully proven by evidence.</w:t>
      </w:r>
    </w:p>
  </w:footnote>
  <w:footnote w:id="5">
    <w:p w14:paraId="61AAB297" w14:textId="77777777" w:rsidR="00087505" w:rsidRPr="00D34BE4" w:rsidRDefault="00087505" w:rsidP="00087505">
      <w:pPr>
        <w:pStyle w:val="FootnoteText"/>
      </w:pPr>
      <w:r>
        <w:tab/>
      </w:r>
      <w:r w:rsidRPr="00D34BE4">
        <w:rPr>
          <w:vertAlign w:val="superscript"/>
        </w:rPr>
        <w:footnoteRef/>
      </w:r>
      <w:r>
        <w:tab/>
        <w:t xml:space="preserve">This amount </w:t>
      </w:r>
      <w:r w:rsidRPr="00D92F24">
        <w:t>corresponds</w:t>
      </w:r>
      <w:r>
        <w:t xml:space="preserve"> to approximately 1’436 Euros at the time of the conviction. </w:t>
      </w:r>
    </w:p>
  </w:footnote>
  <w:footnote w:id="6">
    <w:p w14:paraId="6C923759" w14:textId="77777777" w:rsidR="00087505" w:rsidRPr="00FF2ADA" w:rsidRDefault="00087505" w:rsidP="00087505">
      <w:pPr>
        <w:pStyle w:val="FootnoteText"/>
      </w:pPr>
      <w:r>
        <w:tab/>
      </w:r>
      <w:r w:rsidRPr="00FF2ADA">
        <w:rPr>
          <w:vertAlign w:val="superscript"/>
        </w:rPr>
        <w:footnoteRef/>
      </w:r>
      <w:r>
        <w:rPr>
          <w:vertAlign w:val="superscript"/>
        </w:rPr>
        <w:tab/>
      </w:r>
      <w:r w:rsidRPr="00FF2ADA">
        <w:t xml:space="preserve">Article 47, 48 and 50 of the Azerbaijan Constitution. </w:t>
      </w:r>
      <w:r>
        <w:t>[The author mentioned in her motion filed on 22 December 2014 that the constitution guarantees that “everyone shall have the right (…) to profess individually or together with others, any religion (…) to express and spread one’s beliefs concerning religion (art. 48§2), “to legally seek, get, pass, prepare and spread information” (article 50§1), with the provision that “state censorship in mass media, including print, shall be prohibited” (article 50§2) and that “equality of rights and liberties of everyone irrespective of (…) religion” must be guaranteed by the state.]</w:t>
      </w:r>
    </w:p>
  </w:footnote>
  <w:footnote w:id="7">
    <w:p w14:paraId="40625222" w14:textId="77777777" w:rsidR="00087505" w:rsidRDefault="00087505" w:rsidP="00087505">
      <w:pPr>
        <w:pStyle w:val="FootnoteText"/>
      </w:pPr>
      <w:r>
        <w:tab/>
      </w:r>
      <w:r>
        <w:rPr>
          <w:rStyle w:val="FootnoteReference"/>
        </w:rPr>
        <w:footnoteRef/>
      </w:r>
      <w:r>
        <w:tab/>
      </w:r>
      <w:r w:rsidRPr="005A5F0F">
        <w:t xml:space="preserve">General </w:t>
      </w:r>
      <w:r>
        <w:t>C</w:t>
      </w:r>
      <w:r w:rsidRPr="005A5F0F">
        <w:t>omment No. 22 (1993) on the right to freedom of thought, conscience and religion.</w:t>
      </w:r>
    </w:p>
  </w:footnote>
  <w:footnote w:id="8">
    <w:p w14:paraId="16F5C57C" w14:textId="77777777" w:rsidR="00087505" w:rsidRPr="000E0B45" w:rsidRDefault="00087505" w:rsidP="00087505">
      <w:pPr>
        <w:pStyle w:val="FootnoteText"/>
      </w:pPr>
      <w:r>
        <w:tab/>
      </w:r>
      <w:r>
        <w:rPr>
          <w:rStyle w:val="FootnoteReference"/>
        </w:rPr>
        <w:footnoteRef/>
      </w:r>
      <w:r>
        <w:rPr>
          <w:lang w:val="es-ES"/>
        </w:rPr>
        <w:tab/>
      </w:r>
      <w:proofErr w:type="spellStart"/>
      <w:r w:rsidRPr="00393AC6">
        <w:rPr>
          <w:i/>
          <w:lang w:val="es-ES"/>
        </w:rPr>
        <w:t>Malakhovsky</w:t>
      </w:r>
      <w:proofErr w:type="spellEnd"/>
      <w:r w:rsidRPr="00393AC6">
        <w:rPr>
          <w:i/>
          <w:lang w:val="es-ES"/>
        </w:rPr>
        <w:t xml:space="preserve"> et al v. Belarus</w:t>
      </w:r>
      <w:r w:rsidRPr="00393AC6">
        <w:rPr>
          <w:lang w:val="es-ES"/>
        </w:rPr>
        <w:t xml:space="preserve">, (CCPR/C/84/D/1207/2003), para. </w:t>
      </w:r>
      <w:r w:rsidRPr="000E0B45">
        <w:t>7.2.</w:t>
      </w:r>
    </w:p>
  </w:footnote>
  <w:footnote w:id="9">
    <w:p w14:paraId="6DA5E56F" w14:textId="77777777" w:rsidR="00087505" w:rsidRPr="00295646" w:rsidRDefault="00087505" w:rsidP="00087505">
      <w:pPr>
        <w:pStyle w:val="FootnoteText"/>
      </w:pPr>
      <w:r w:rsidRPr="000E0B45">
        <w:tab/>
      </w:r>
      <w:r>
        <w:rPr>
          <w:rStyle w:val="FootnoteReference"/>
        </w:rPr>
        <w:footnoteRef/>
      </w:r>
      <w:r>
        <w:tab/>
      </w:r>
      <w:r w:rsidRPr="00295646">
        <w:t xml:space="preserve">Article 48 (2) and 49 (1) of the Azerbaijan Constitution. </w:t>
      </w:r>
    </w:p>
  </w:footnote>
  <w:footnote w:id="10">
    <w:p w14:paraId="105FC6CB" w14:textId="77777777" w:rsidR="00087505" w:rsidRPr="0015298D" w:rsidRDefault="00087505" w:rsidP="00087505">
      <w:pPr>
        <w:pStyle w:val="FootnoteText"/>
      </w:pPr>
      <w:r>
        <w:tab/>
      </w:r>
      <w:r>
        <w:rPr>
          <w:rStyle w:val="FootnoteReference"/>
        </w:rPr>
        <w:footnoteRef/>
      </w:r>
      <w:r>
        <w:tab/>
        <w:t>In her motion filed on 22 December 2014, the author adds that the same article states that “freedom of religion can be restrained only in cases provided for by law and important in a democratic society, for the benefit of public security, namely guaranteeing public order, the protection of health, or morals or rights and freedoms of other individuals.</w:t>
      </w:r>
    </w:p>
  </w:footnote>
  <w:footnote w:id="11">
    <w:p w14:paraId="455A09C6" w14:textId="77777777" w:rsidR="00087505" w:rsidRPr="00295646" w:rsidRDefault="00087505" w:rsidP="00087505">
      <w:pPr>
        <w:pStyle w:val="FootnoteText"/>
        <w:rPr>
          <w:lang w:val="es-ES"/>
        </w:rPr>
      </w:pPr>
      <w:r w:rsidRPr="0015298D">
        <w:tab/>
      </w:r>
      <w:r>
        <w:rPr>
          <w:rStyle w:val="FootnoteReference"/>
        </w:rPr>
        <w:footnoteRef/>
      </w:r>
      <w:r>
        <w:rPr>
          <w:lang w:val="es-ES"/>
        </w:rPr>
        <w:tab/>
      </w:r>
      <w:proofErr w:type="spellStart"/>
      <w:r w:rsidRPr="00393AC6">
        <w:rPr>
          <w:i/>
          <w:lang w:val="es-ES"/>
        </w:rPr>
        <w:t>Malakhovsky</w:t>
      </w:r>
      <w:proofErr w:type="spellEnd"/>
      <w:r w:rsidRPr="00393AC6">
        <w:rPr>
          <w:i/>
          <w:lang w:val="es-ES"/>
        </w:rPr>
        <w:t xml:space="preserve"> et al v. Belarus</w:t>
      </w:r>
      <w:r w:rsidRPr="00393AC6">
        <w:rPr>
          <w:lang w:val="es-ES"/>
        </w:rPr>
        <w:t xml:space="preserve">, (CCPR/C/84/D/1207/2003), para. </w:t>
      </w:r>
      <w:r>
        <w:rPr>
          <w:lang w:val="es-ES"/>
        </w:rPr>
        <w:t>7.4.</w:t>
      </w:r>
    </w:p>
  </w:footnote>
  <w:footnote w:id="12">
    <w:p w14:paraId="2A35DB54" w14:textId="77777777" w:rsidR="00087505" w:rsidRPr="000E0B45" w:rsidRDefault="00087505" w:rsidP="00087505">
      <w:pPr>
        <w:pStyle w:val="FootnoteText"/>
        <w:rPr>
          <w:lang w:val="es-ES"/>
        </w:rPr>
      </w:pPr>
      <w:r>
        <w:rPr>
          <w:lang w:val="es-ES"/>
        </w:rPr>
        <w:tab/>
      </w:r>
      <w:r>
        <w:rPr>
          <w:rStyle w:val="FootnoteReference"/>
        </w:rPr>
        <w:footnoteRef/>
      </w:r>
      <w:r w:rsidRPr="000E0B45">
        <w:rPr>
          <w:lang w:val="es-ES"/>
        </w:rPr>
        <w:tab/>
      </w:r>
      <w:proofErr w:type="spellStart"/>
      <w:r w:rsidRPr="000E0B45">
        <w:rPr>
          <w:lang w:val="es-ES"/>
        </w:rPr>
        <w:t>Ibid</w:t>
      </w:r>
      <w:proofErr w:type="spellEnd"/>
      <w:r w:rsidRPr="000E0B45">
        <w:rPr>
          <w:lang w:val="es-ES"/>
        </w:rPr>
        <w:t xml:space="preserve">, para. 7.6. </w:t>
      </w:r>
    </w:p>
  </w:footnote>
  <w:footnote w:id="13">
    <w:p w14:paraId="6F2BFCA8" w14:textId="77777777" w:rsidR="00087505" w:rsidRPr="00D8538B" w:rsidRDefault="00087505" w:rsidP="00087505">
      <w:pPr>
        <w:pStyle w:val="FootnoteText"/>
        <w:rPr>
          <w:szCs w:val="18"/>
          <w:lang w:val="es-ES"/>
        </w:rPr>
      </w:pPr>
      <w:r w:rsidRPr="000E0B45">
        <w:rPr>
          <w:lang w:val="es-ES"/>
        </w:rPr>
        <w:tab/>
      </w:r>
      <w:r>
        <w:rPr>
          <w:rStyle w:val="FootnoteReference"/>
        </w:rPr>
        <w:footnoteRef/>
      </w:r>
      <w:r>
        <w:rPr>
          <w:lang w:val="es-ES"/>
        </w:rPr>
        <w:tab/>
      </w:r>
      <w:r w:rsidRPr="00D8538B">
        <w:rPr>
          <w:i/>
          <w:szCs w:val="18"/>
          <w:lang w:val="es-ES"/>
        </w:rPr>
        <w:t>Coleman v. Australia</w:t>
      </w:r>
      <w:r w:rsidRPr="00D8538B">
        <w:rPr>
          <w:szCs w:val="18"/>
          <w:lang w:val="es-ES"/>
        </w:rPr>
        <w:t>, (CCPR/C/87/D/1157/2003),</w:t>
      </w:r>
      <w:r w:rsidRPr="00D8538B">
        <w:rPr>
          <w:color w:val="333333"/>
          <w:szCs w:val="18"/>
          <w:lang w:val="es-ES"/>
        </w:rPr>
        <w:t xml:space="preserve"> </w:t>
      </w:r>
      <w:r w:rsidRPr="00D8538B">
        <w:rPr>
          <w:szCs w:val="18"/>
          <w:lang w:val="es-ES"/>
        </w:rPr>
        <w:t xml:space="preserve">para 7.3. </w:t>
      </w:r>
    </w:p>
  </w:footnote>
  <w:footnote w:id="14">
    <w:p w14:paraId="05889C64" w14:textId="77777777" w:rsidR="00087505" w:rsidRPr="001B7924" w:rsidRDefault="00087505" w:rsidP="00087505">
      <w:pPr>
        <w:pStyle w:val="FootnoteText"/>
      </w:pPr>
      <w:r>
        <w:rPr>
          <w:lang w:val="es-ES"/>
        </w:rPr>
        <w:tab/>
      </w:r>
      <w:r>
        <w:rPr>
          <w:rStyle w:val="FootnoteReference"/>
        </w:rPr>
        <w:footnoteRef/>
      </w:r>
      <w:r w:rsidRPr="00A34F27">
        <w:tab/>
        <w:t xml:space="preserve">1867/2009, </w:t>
      </w:r>
      <w:proofErr w:type="spellStart"/>
      <w:r w:rsidRPr="00A34F27">
        <w:t>Levinov</w:t>
      </w:r>
      <w:proofErr w:type="spellEnd"/>
      <w:r w:rsidRPr="00A34F27">
        <w:t xml:space="preserve"> v. Belarus, para 10.3.</w:t>
      </w:r>
    </w:p>
  </w:footnote>
  <w:footnote w:id="15">
    <w:p w14:paraId="64E45668" w14:textId="77777777" w:rsidR="00087505" w:rsidRPr="0063604A" w:rsidRDefault="00087505" w:rsidP="00087505">
      <w:pPr>
        <w:pStyle w:val="FootnoteText"/>
      </w:pPr>
      <w:r w:rsidRPr="00A34F27">
        <w:tab/>
      </w:r>
      <w:r>
        <w:rPr>
          <w:rStyle w:val="FootnoteReference"/>
        </w:rPr>
        <w:footnoteRef/>
      </w:r>
      <w:r>
        <w:tab/>
        <w:t xml:space="preserve">The author </w:t>
      </w:r>
      <w:r w:rsidRPr="00D92F24">
        <w:t>refers</w:t>
      </w:r>
      <w:r>
        <w:t xml:space="preserve"> to </w:t>
      </w:r>
      <w:proofErr w:type="spellStart"/>
      <w:r w:rsidRPr="00D92F24">
        <w:t>Turchenyak</w:t>
      </w:r>
      <w:proofErr w:type="spellEnd"/>
      <w:r w:rsidRPr="0063604A">
        <w:rPr>
          <w:i/>
        </w:rPr>
        <w:t xml:space="preserve"> v. Belarus</w:t>
      </w:r>
      <w:r w:rsidRPr="0063604A">
        <w:t>, (</w:t>
      </w:r>
      <w:r w:rsidRPr="0063604A">
        <w:rPr>
          <w:bCs/>
          <w:szCs w:val="18"/>
        </w:rPr>
        <w:t>CCPR/C/108/D/1948/2010), para. 7.7</w:t>
      </w:r>
      <w:r>
        <w:rPr>
          <w:bCs/>
          <w:szCs w:val="18"/>
        </w:rPr>
        <w:t>.</w:t>
      </w:r>
    </w:p>
  </w:footnote>
  <w:footnote w:id="16">
    <w:p w14:paraId="26D3C8D2" w14:textId="58611A94" w:rsidR="00087505" w:rsidRPr="00BD6527" w:rsidRDefault="00087505" w:rsidP="00087505">
      <w:pPr>
        <w:pStyle w:val="FootnoteText"/>
      </w:pPr>
      <w:r>
        <w:tab/>
      </w:r>
      <w:r>
        <w:rPr>
          <w:rStyle w:val="FootnoteReference"/>
        </w:rPr>
        <w:footnoteRef/>
      </w:r>
      <w:r>
        <w:tab/>
        <w:t xml:space="preserve">The Baku City </w:t>
      </w:r>
      <w:proofErr w:type="spellStart"/>
      <w:r>
        <w:t>Sabunchu</w:t>
      </w:r>
      <w:proofErr w:type="spellEnd"/>
      <w:r>
        <w:t xml:space="preserve"> District Court found on 26 December 2014 that the author carrying out </w:t>
      </w:r>
      <w:r w:rsidRPr="00F83E67">
        <w:t>propaganda</w:t>
      </w:r>
      <w:r>
        <w:t xml:space="preserve"> by distributing </w:t>
      </w:r>
      <w:r w:rsidRPr="00D92F24">
        <w:t>papers</w:t>
      </w:r>
      <w:r>
        <w:t xml:space="preserve"> preaching the activity of the Religious Community of Jehovah’s Witnesses outside the registered legal address of the Religious Community that is outside their place of worship. The District Court did not provide any evidence of the author distributing the papers. </w:t>
      </w:r>
    </w:p>
  </w:footnote>
  <w:footnote w:id="17">
    <w:p w14:paraId="25CBEF7D" w14:textId="77777777" w:rsidR="00087505" w:rsidRPr="00D8172A" w:rsidRDefault="00087505" w:rsidP="00087505">
      <w:pPr>
        <w:pStyle w:val="FootnoteText"/>
      </w:pPr>
      <w:r>
        <w:tab/>
      </w:r>
      <w:r>
        <w:rPr>
          <w:rStyle w:val="FootnoteReference"/>
        </w:rPr>
        <w:footnoteRef/>
      </w:r>
      <w:r>
        <w:tab/>
        <w:t xml:space="preserve">The author refers to </w:t>
      </w:r>
      <w:r w:rsidRPr="00D92F24">
        <w:t>communication</w:t>
      </w:r>
      <w:r w:rsidRPr="0043423F">
        <w:t xml:space="preserve"> No. 2131/20112, Leven v. Kaz</w:t>
      </w:r>
      <w:r>
        <w:t>akhstan, Views adopted on 21 October 2014, para. 9.4.</w:t>
      </w:r>
    </w:p>
  </w:footnote>
  <w:footnote w:id="18">
    <w:p w14:paraId="1BAF6807" w14:textId="77777777" w:rsidR="00087505" w:rsidRPr="00576709" w:rsidRDefault="00087505" w:rsidP="00087505">
      <w:pPr>
        <w:pStyle w:val="FootnoteText"/>
      </w:pPr>
      <w:r>
        <w:tab/>
      </w:r>
      <w:r w:rsidRPr="00D8172A">
        <w:rPr>
          <w:vertAlign w:val="superscript"/>
        </w:rPr>
        <w:footnoteRef/>
      </w:r>
      <w:r>
        <w:tab/>
      </w:r>
      <w:r w:rsidRPr="00576709">
        <w:t>Human Rights Committee, Repli</w:t>
      </w:r>
      <w:r>
        <w:t>e</w:t>
      </w:r>
      <w:r w:rsidRPr="00576709">
        <w:t>s o</w:t>
      </w:r>
      <w:r>
        <w:t xml:space="preserve">f </w:t>
      </w:r>
      <w:r w:rsidRPr="00D92F24">
        <w:t>Azerbaijan</w:t>
      </w:r>
      <w:r>
        <w:t xml:space="preserve"> to the list of issues, CCPR/C/AZE/Q4/Add.1, 9 August 2016, para. 159.</w:t>
      </w:r>
    </w:p>
  </w:footnote>
  <w:footnote w:id="19">
    <w:p w14:paraId="33369150" w14:textId="77777777" w:rsidR="00087505" w:rsidRPr="00CF24E3" w:rsidRDefault="00087505" w:rsidP="00087505">
      <w:pPr>
        <w:pStyle w:val="FootnoteText"/>
      </w:pPr>
      <w:r>
        <w:tab/>
      </w:r>
      <w:r w:rsidRPr="00D8172A">
        <w:rPr>
          <w:vertAlign w:val="superscript"/>
        </w:rPr>
        <w:footnoteRef/>
      </w:r>
      <w:r>
        <w:tab/>
      </w:r>
      <w:r w:rsidRPr="00576709">
        <w:t>Human Rights Committee</w:t>
      </w:r>
      <w:r>
        <w:t xml:space="preserve">, </w:t>
      </w:r>
      <w:r w:rsidRPr="00D92F24">
        <w:t>Concluding</w:t>
      </w:r>
      <w:r w:rsidRPr="00CF24E3">
        <w:t xml:space="preserve"> observations on the fourth periodic report of Azerbaijan</w:t>
      </w:r>
      <w:r>
        <w:t xml:space="preserve">, </w:t>
      </w:r>
      <w:r w:rsidRPr="00D8172A">
        <w:t xml:space="preserve">CCPR/C/AZE/CO/4, 16 </w:t>
      </w:r>
      <w:r w:rsidRPr="00D92F24">
        <w:t>November</w:t>
      </w:r>
      <w:r w:rsidRPr="00D8172A">
        <w:t xml:space="preserve"> 2016, paras. 32,33.</w:t>
      </w:r>
    </w:p>
  </w:footnote>
  <w:footnote w:id="20">
    <w:p w14:paraId="4F716974" w14:textId="77777777" w:rsidR="00087505" w:rsidRPr="00D8172A" w:rsidRDefault="00087505" w:rsidP="00087505">
      <w:pPr>
        <w:pStyle w:val="FootnoteText"/>
      </w:pPr>
      <w:r>
        <w:rPr>
          <w:vertAlign w:val="superscript"/>
        </w:rPr>
        <w:tab/>
      </w:r>
      <w:r w:rsidRPr="00D8172A">
        <w:rPr>
          <w:vertAlign w:val="superscript"/>
        </w:rPr>
        <w:footnoteRef/>
      </w:r>
      <w:r>
        <w:rPr>
          <w:vertAlign w:val="superscript"/>
        </w:rPr>
        <w:tab/>
      </w:r>
      <w:r w:rsidRPr="00D8172A">
        <w:t xml:space="preserve">The </w:t>
      </w:r>
      <w:r>
        <w:t xml:space="preserve">author stresses that the </w:t>
      </w:r>
      <w:r w:rsidRPr="00F83E67">
        <w:t>maximum</w:t>
      </w:r>
      <w:r w:rsidRPr="00D8172A">
        <w:t xml:space="preserve"> fine the judge could impose was 2,000 </w:t>
      </w:r>
      <w:proofErr w:type="spellStart"/>
      <w:r w:rsidRPr="00D8172A">
        <w:t>manats</w:t>
      </w:r>
      <w:proofErr w:type="spellEnd"/>
      <w:r w:rsidRPr="00D8172A">
        <w:t xml:space="preserve"> (AZN). According to the State Statistical Committee of the Republic of Azerbaijan, Nominal Real Incomes of Population Table the average monthly </w:t>
      </w:r>
      <w:r w:rsidRPr="00F83E67">
        <w:t>wage</w:t>
      </w:r>
      <w:r w:rsidRPr="00D8172A">
        <w:t xml:space="preserve"> in 2015 for the entire country was AZN 466.9.</w:t>
      </w:r>
    </w:p>
  </w:footnote>
  <w:footnote w:id="21">
    <w:p w14:paraId="4CE7543E" w14:textId="77777777" w:rsidR="00087505" w:rsidRPr="00CA229F" w:rsidRDefault="00087505" w:rsidP="00087505">
      <w:pPr>
        <w:pStyle w:val="FootnoteText"/>
      </w:pPr>
      <w:r>
        <w:tab/>
      </w:r>
      <w:r>
        <w:rPr>
          <w:rStyle w:val="FootnoteReference"/>
        </w:rPr>
        <w:footnoteRef/>
      </w:r>
      <w:r>
        <w:tab/>
      </w:r>
      <w:r w:rsidRPr="00CA229F">
        <w:t>The State party refer</w:t>
      </w:r>
      <w:r>
        <w:t xml:space="preserve">s to </w:t>
      </w:r>
      <w:proofErr w:type="spellStart"/>
      <w:r w:rsidRPr="00027528">
        <w:rPr>
          <w:i/>
        </w:rPr>
        <w:t>Vallianatos</w:t>
      </w:r>
      <w:proofErr w:type="spellEnd"/>
      <w:r w:rsidRPr="00027528">
        <w:rPr>
          <w:i/>
        </w:rPr>
        <w:t xml:space="preserve"> and others v. Greece</w:t>
      </w:r>
      <w:r>
        <w:t>, 29381/09 and 32684/09.</w:t>
      </w:r>
    </w:p>
  </w:footnote>
  <w:footnote w:id="22">
    <w:p w14:paraId="6197A4D7" w14:textId="77777777" w:rsidR="00087505" w:rsidRPr="00DB60F2" w:rsidRDefault="00087505" w:rsidP="00087505">
      <w:pPr>
        <w:pStyle w:val="FootnoteText"/>
      </w:pPr>
      <w:r>
        <w:tab/>
      </w:r>
      <w:r>
        <w:rPr>
          <w:rStyle w:val="FootnoteReference"/>
        </w:rPr>
        <w:footnoteRef/>
      </w:r>
      <w:r>
        <w:tab/>
        <w:t xml:space="preserve">The State party refers to </w:t>
      </w:r>
      <w:proofErr w:type="spellStart"/>
      <w:r w:rsidRPr="00DB60F2">
        <w:rPr>
          <w:i/>
        </w:rPr>
        <w:t>Kokkinakis</w:t>
      </w:r>
      <w:proofErr w:type="spellEnd"/>
      <w:r w:rsidRPr="00DB60F2">
        <w:rPr>
          <w:i/>
        </w:rPr>
        <w:t xml:space="preserve"> v. Greece</w:t>
      </w:r>
      <w:r>
        <w:t>, A/260-A.</w:t>
      </w:r>
    </w:p>
  </w:footnote>
  <w:footnote w:id="23">
    <w:p w14:paraId="119BAF8A" w14:textId="24E99A63" w:rsidR="00087505" w:rsidRPr="0021210A" w:rsidRDefault="00087505" w:rsidP="00964F1C">
      <w:pPr>
        <w:pStyle w:val="FootnoteText"/>
        <w:jc w:val="both"/>
        <w:rPr>
          <w:color w:val="5B9BD5"/>
        </w:rPr>
      </w:pPr>
      <w:r>
        <w:tab/>
      </w:r>
      <w:r>
        <w:rPr>
          <w:rStyle w:val="FootnoteReference"/>
        </w:rPr>
        <w:footnoteRef/>
      </w:r>
      <w:r>
        <w:tab/>
        <w:t>With regard to the author</w:t>
      </w:r>
      <w:r w:rsidRPr="00214B77">
        <w:t>’</w:t>
      </w:r>
      <w:r>
        <w:t>s</w:t>
      </w:r>
      <w:r w:rsidRPr="00214B77">
        <w:t xml:space="preserve"> claim </w:t>
      </w:r>
      <w:r w:rsidRPr="00F83E67">
        <w:t>that th</w:t>
      </w:r>
      <w:r w:rsidRPr="00214B77">
        <w:t xml:space="preserve">e State party violated </w:t>
      </w:r>
      <w:r>
        <w:t>her</w:t>
      </w:r>
      <w:r w:rsidRPr="00214B77">
        <w:t xml:space="preserve"> rights under articles 26 and 27 of the Covenant, the author only </w:t>
      </w:r>
      <w:r w:rsidRPr="00F83E67">
        <w:t>mentioned</w:t>
      </w:r>
      <w:r w:rsidRPr="00214B77">
        <w:t xml:space="preserve"> that she was discriminated against due to her religious affiliation. Although she </w:t>
      </w:r>
      <w:r w:rsidRPr="00F83E67">
        <w:t>mentioned</w:t>
      </w:r>
      <w:r w:rsidRPr="00214B77">
        <w:t xml:space="preserve"> in the Domestic Courts documents that she was told by the police that she should preach the Koran and discriminate against by the police because she is Jehovah’s Witness, she did not make reference to these allegations in her communication to the Committee, nor she gave any details about why the conduct of the police and of the State party amounts to a discrimination </w:t>
      </w:r>
      <w:r w:rsidRPr="00F83E67">
        <w:t>because</w:t>
      </w:r>
      <w:r w:rsidRPr="00214B77">
        <w:t xml:space="preserve"> of her faith. </w:t>
      </w:r>
    </w:p>
  </w:footnote>
  <w:footnote w:id="24">
    <w:p w14:paraId="1CA9F609" w14:textId="77777777" w:rsidR="00087505" w:rsidRPr="00A95310" w:rsidRDefault="00087505" w:rsidP="00087505">
      <w:pPr>
        <w:pStyle w:val="FootnoteText"/>
      </w:pPr>
      <w:r>
        <w:tab/>
      </w:r>
      <w:r w:rsidRPr="00A95310">
        <w:rPr>
          <w:rStyle w:val="FootnoteReference"/>
        </w:rPr>
        <w:footnoteRef/>
      </w:r>
      <w:r w:rsidRPr="00A95310">
        <w:rPr>
          <w:rStyle w:val="FootnoteReference"/>
        </w:rPr>
        <w:tab/>
      </w:r>
      <w:r>
        <w:t xml:space="preserve">General comment No. 22: </w:t>
      </w:r>
      <w:r w:rsidRPr="00E14109">
        <w:t>The right to freedom of tho</w:t>
      </w:r>
      <w:r>
        <w:t>ught, conscience and religion (</w:t>
      </w:r>
      <w:r w:rsidRPr="00E14109">
        <w:t>Art. 18)</w:t>
      </w:r>
      <w:r>
        <w:t xml:space="preserve"> (</w:t>
      </w:r>
      <w:r w:rsidRPr="00E14109">
        <w:t>CCPR/C/21/</w:t>
      </w:r>
      <w:r w:rsidRPr="00F83E67">
        <w:t>Rev</w:t>
      </w:r>
      <w:r w:rsidRPr="00E14109">
        <w:t>.1/Add.4</w:t>
      </w:r>
      <w:r>
        <w:t>)</w:t>
      </w:r>
      <w:r w:rsidRPr="00A95310">
        <w:t>, para.</w:t>
      </w:r>
      <w:r>
        <w:t xml:space="preserve"> 3; see also </w:t>
      </w:r>
      <w:proofErr w:type="spellStart"/>
      <w:r w:rsidRPr="00F83E67">
        <w:t>Bekmanov</w:t>
      </w:r>
      <w:proofErr w:type="spellEnd"/>
      <w:r w:rsidRPr="00F53ABE">
        <w:rPr>
          <w:i/>
        </w:rPr>
        <w:t xml:space="preserve"> </w:t>
      </w:r>
      <w:r>
        <w:rPr>
          <w:i/>
        </w:rPr>
        <w:t>et al.</w:t>
      </w:r>
      <w:r w:rsidRPr="00F53ABE">
        <w:rPr>
          <w:i/>
        </w:rPr>
        <w:t xml:space="preserve"> v. Republic of Kyrgyzstan</w:t>
      </w:r>
      <w:r>
        <w:t xml:space="preserve"> (</w:t>
      </w:r>
      <w:r w:rsidRPr="00F53ABE">
        <w:t>CCPR/C/125/D/2312/2013</w:t>
      </w:r>
      <w:r>
        <w:t>), para. 7.2.</w:t>
      </w:r>
    </w:p>
  </w:footnote>
  <w:footnote w:id="25">
    <w:p w14:paraId="3F5073E3" w14:textId="77777777" w:rsidR="00087505" w:rsidRPr="00E14109" w:rsidRDefault="00087505" w:rsidP="00087505">
      <w:pPr>
        <w:pStyle w:val="FootnoteText"/>
      </w:pPr>
      <w:r>
        <w:tab/>
      </w:r>
      <w:r>
        <w:rPr>
          <w:rStyle w:val="FootnoteReference"/>
        </w:rPr>
        <w:footnoteRef/>
      </w:r>
      <w:r>
        <w:tab/>
        <w:t>General comment No. 22 (</w:t>
      </w:r>
      <w:r w:rsidRPr="00E14109">
        <w:t>CCPR/C/21/Rev.1/Add.4</w:t>
      </w:r>
      <w:r>
        <w:t>),</w:t>
      </w:r>
      <w:r w:rsidRPr="00A95310">
        <w:t xml:space="preserve"> para.</w:t>
      </w:r>
      <w:r>
        <w:t xml:space="preserve"> 4.</w:t>
      </w:r>
    </w:p>
  </w:footnote>
  <w:footnote w:id="26">
    <w:p w14:paraId="0C7AA349" w14:textId="77777777" w:rsidR="00087505" w:rsidRPr="00A95310" w:rsidRDefault="00087505" w:rsidP="00087505">
      <w:pPr>
        <w:pStyle w:val="FootnoteText"/>
      </w:pPr>
      <w:r>
        <w:tab/>
      </w:r>
      <w:r w:rsidRPr="00A95310">
        <w:rPr>
          <w:rStyle w:val="FootnoteReference"/>
        </w:rPr>
        <w:footnoteRef/>
      </w:r>
      <w:r w:rsidRPr="00A95310">
        <w:rPr>
          <w:rStyle w:val="FootnoteReference"/>
        </w:rPr>
        <w:t xml:space="preserve"> </w:t>
      </w:r>
      <w:r w:rsidRPr="00A95310">
        <w:rPr>
          <w:rStyle w:val="FootnoteReference"/>
        </w:rPr>
        <w:tab/>
      </w:r>
      <w:r>
        <w:t>General comment No. 22 (</w:t>
      </w:r>
      <w:r w:rsidRPr="00E14109">
        <w:t>CCPR/C/21/Rev.1/Add.4</w:t>
      </w:r>
      <w:r>
        <w:t xml:space="preserve">), para. 8; see also </w:t>
      </w:r>
      <w:proofErr w:type="spellStart"/>
      <w:r w:rsidRPr="001013F3">
        <w:rPr>
          <w:i/>
        </w:rPr>
        <w:t>Malakhovsky</w:t>
      </w:r>
      <w:proofErr w:type="spellEnd"/>
      <w:r w:rsidRPr="001013F3">
        <w:rPr>
          <w:i/>
        </w:rPr>
        <w:t xml:space="preserve"> et al. v. Belarus</w:t>
      </w:r>
      <w:r w:rsidRPr="001013F3">
        <w:t xml:space="preserve"> (CCPR/C/84/D/1207/2003), para. </w:t>
      </w:r>
      <w:r w:rsidRPr="000C1152">
        <w:t>7.3.</w:t>
      </w:r>
    </w:p>
  </w:footnote>
  <w:footnote w:id="27">
    <w:p w14:paraId="57D6D680" w14:textId="77777777" w:rsidR="00087505" w:rsidRPr="000F129A" w:rsidRDefault="00087505" w:rsidP="00087505">
      <w:pPr>
        <w:pStyle w:val="FootnoteText"/>
      </w:pPr>
      <w:r>
        <w:tab/>
      </w:r>
      <w:r>
        <w:rPr>
          <w:rStyle w:val="FootnoteReference"/>
        </w:rPr>
        <w:footnoteRef/>
      </w:r>
      <w:r>
        <w:tab/>
        <w:t>General comment No. 22 (</w:t>
      </w:r>
      <w:r w:rsidRPr="00E14109">
        <w:t>CCPR/C/21/Rev.1/Add.4</w:t>
      </w:r>
      <w:r>
        <w:t>), para. 4.</w:t>
      </w:r>
    </w:p>
  </w:footnote>
  <w:footnote w:id="28">
    <w:p w14:paraId="67EFC211" w14:textId="77777777" w:rsidR="00087505" w:rsidRPr="000E0B45" w:rsidRDefault="00087505" w:rsidP="00087505">
      <w:pPr>
        <w:pStyle w:val="FootnoteText"/>
      </w:pPr>
      <w:r>
        <w:tab/>
      </w:r>
      <w:r>
        <w:rPr>
          <w:rStyle w:val="FootnoteReference"/>
        </w:rPr>
        <w:footnoteRef/>
      </w:r>
      <w:r>
        <w:tab/>
        <w:t>U.N. Special Rapporteur on Freedom of Religion or Belief, “</w:t>
      </w:r>
      <w:r w:rsidRPr="00DA3EE7">
        <w:t xml:space="preserve">Report of the Special Rapporteur of the </w:t>
      </w:r>
      <w:r w:rsidRPr="00F83E67">
        <w:t>Commission</w:t>
      </w:r>
      <w:r w:rsidRPr="00DA3EE7">
        <w:t xml:space="preserve"> on Human</w:t>
      </w:r>
      <w:r>
        <w:t xml:space="preserve"> </w:t>
      </w:r>
      <w:r w:rsidRPr="00DA3EE7">
        <w:t>Rights on freedom of religion or belief, Asma Jahangir</w:t>
      </w:r>
      <w:r>
        <w:t>” (30 September 2005), A/60/399, paras. 63-67.</w:t>
      </w:r>
    </w:p>
  </w:footnote>
  <w:footnote w:id="29">
    <w:p w14:paraId="16C0EE6B" w14:textId="77777777" w:rsidR="00087505" w:rsidRPr="001874EF" w:rsidRDefault="00087505" w:rsidP="00087505">
      <w:pPr>
        <w:pStyle w:val="FootnoteText"/>
        <w:rPr>
          <w:lang w:val="es-ES"/>
        </w:rPr>
      </w:pPr>
      <w:r>
        <w:tab/>
      </w:r>
      <w:r>
        <w:rPr>
          <w:rStyle w:val="FootnoteReference"/>
        </w:rPr>
        <w:footnoteRef/>
      </w:r>
      <w:r w:rsidRPr="001874EF">
        <w:rPr>
          <w:lang w:val="es-ES"/>
        </w:rPr>
        <w:tab/>
      </w:r>
      <w:proofErr w:type="spellStart"/>
      <w:r w:rsidRPr="001874EF">
        <w:rPr>
          <w:lang w:val="es-ES"/>
        </w:rPr>
        <w:t>See</w:t>
      </w:r>
      <w:proofErr w:type="spellEnd"/>
      <w:r w:rsidRPr="001874EF">
        <w:rPr>
          <w:lang w:val="es-ES"/>
        </w:rPr>
        <w:t xml:space="preserve">, inter </w:t>
      </w:r>
      <w:proofErr w:type="spellStart"/>
      <w:r w:rsidRPr="001874EF">
        <w:rPr>
          <w:lang w:val="es-ES"/>
        </w:rPr>
        <w:t>alia</w:t>
      </w:r>
      <w:proofErr w:type="spellEnd"/>
      <w:r w:rsidRPr="001874EF">
        <w:rPr>
          <w:lang w:val="es-ES"/>
        </w:rPr>
        <w:t xml:space="preserve">, </w:t>
      </w:r>
      <w:r w:rsidRPr="001874EF">
        <w:rPr>
          <w:i/>
          <w:lang w:val="es-ES"/>
        </w:rPr>
        <w:t xml:space="preserve">Leven v. </w:t>
      </w:r>
      <w:r w:rsidRPr="00F83E67">
        <w:t>Kazakhstan</w:t>
      </w:r>
      <w:r w:rsidRPr="001874EF">
        <w:rPr>
          <w:lang w:val="es-ES"/>
        </w:rPr>
        <w:t xml:space="preserve"> (CCPR/C/112/D/2131/2012), para.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37BF" w14:textId="6FB2DC67" w:rsidR="00D92F24" w:rsidRPr="00D92F24" w:rsidRDefault="0031224E" w:rsidP="00780F90">
    <w:pPr>
      <w:pStyle w:val="Header"/>
    </w:pPr>
    <w:r w:rsidRPr="0031224E">
      <w:t>Advance unedited version</w:t>
    </w:r>
    <w:r>
      <w:t xml:space="preserve"> </w:t>
    </w:r>
    <w:r w:rsidR="00495EE5">
      <w:t>CCPR/C/</w:t>
    </w:r>
    <w:r w:rsidR="00780F90">
      <w:t>130</w:t>
    </w:r>
    <w:r w:rsidR="00495EE5">
      <w:t>/D/2845/2016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91E1" w14:textId="0F6664C1" w:rsidR="00D92F24" w:rsidRPr="00D92F24" w:rsidRDefault="0031224E" w:rsidP="00D92F24">
    <w:pPr>
      <w:pStyle w:val="Header"/>
      <w:jc w:val="right"/>
    </w:pPr>
    <w:r w:rsidRPr="0031224E">
      <w:t>Advance unedited version</w:t>
    </w:r>
    <w:r>
      <w:t xml:space="preserve"> </w:t>
    </w:r>
    <w:r w:rsidR="00495EE5">
      <w:t>CCPR/C/</w:t>
    </w:r>
    <w:r w:rsidR="00780F90">
      <w:t>130</w:t>
    </w:r>
    <w:r w:rsidR="00495EE5">
      <w:t>/D/2845/2016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05"/>
    <w:rsid w:val="00087505"/>
    <w:rsid w:val="001E488A"/>
    <w:rsid w:val="00294384"/>
    <w:rsid w:val="002B4BEF"/>
    <w:rsid w:val="0031224E"/>
    <w:rsid w:val="004922E1"/>
    <w:rsid w:val="00495EE5"/>
    <w:rsid w:val="004E584A"/>
    <w:rsid w:val="00510B7E"/>
    <w:rsid w:val="0055213C"/>
    <w:rsid w:val="005923B7"/>
    <w:rsid w:val="005E738A"/>
    <w:rsid w:val="0062718D"/>
    <w:rsid w:val="00633F0D"/>
    <w:rsid w:val="00735750"/>
    <w:rsid w:val="00780F90"/>
    <w:rsid w:val="00785724"/>
    <w:rsid w:val="00913879"/>
    <w:rsid w:val="009229AA"/>
    <w:rsid w:val="00964F1C"/>
    <w:rsid w:val="00A32BFD"/>
    <w:rsid w:val="00A44D17"/>
    <w:rsid w:val="00B038B9"/>
    <w:rsid w:val="00C01740"/>
    <w:rsid w:val="00C0185F"/>
    <w:rsid w:val="00C44C07"/>
    <w:rsid w:val="00C47366"/>
    <w:rsid w:val="00CA48CA"/>
    <w:rsid w:val="00CF46CD"/>
    <w:rsid w:val="00D065BF"/>
    <w:rsid w:val="00D62318"/>
    <w:rsid w:val="00F24569"/>
    <w:rsid w:val="00FD4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34C8"/>
  <w15:chartTrackingRefBased/>
  <w15:docId w15:val="{D16E15C5-CAAE-4B7B-948D-2AC050A2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05"/>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87505"/>
    <w:pPr>
      <w:spacing w:after="120"/>
      <w:ind w:left="1134" w:right="1134"/>
      <w:jc w:val="both"/>
    </w:pPr>
  </w:style>
  <w:style w:type="paragraph" w:customStyle="1" w:styleId="HChG">
    <w:name w:val="_ H _Ch_G"/>
    <w:basedOn w:val="Normal"/>
    <w:next w:val="Normal"/>
    <w:qFormat/>
    <w:rsid w:val="00087505"/>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8750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87505"/>
    <w:rPr>
      <w:rFonts w:ascii="Times New Roman" w:eastAsia="Times New Roman" w:hAnsi="Times New Roman" w:cs="Times New Roman"/>
      <w:b/>
      <w:sz w:val="18"/>
      <w:szCs w:val="20"/>
      <w:lang w:val="en-GB"/>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8750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087505"/>
    <w:rPr>
      <w:rFonts w:ascii="Times New Roman" w:eastAsia="Times New Roman" w:hAnsi="Times New Roman" w:cs="Times New Roman"/>
      <w:sz w:val="18"/>
      <w:szCs w:val="20"/>
      <w:lang w:val="en-GB"/>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Footnote text,callout,f"/>
    <w:basedOn w:val="DefaultParagraphFont"/>
    <w:qFormat/>
    <w:rsid w:val="00087505"/>
    <w:rPr>
      <w:rFonts w:ascii="Times New Roman" w:hAnsi="Times New Roman"/>
      <w:sz w:val="18"/>
      <w:vertAlign w:val="superscript"/>
    </w:rPr>
  </w:style>
  <w:style w:type="paragraph" w:styleId="Footer">
    <w:name w:val="footer"/>
    <w:aliases w:val="3_G"/>
    <w:basedOn w:val="Normal"/>
    <w:link w:val="FooterChar"/>
    <w:qFormat/>
    <w:rsid w:val="00087505"/>
    <w:pPr>
      <w:spacing w:line="240" w:lineRule="auto"/>
    </w:pPr>
    <w:rPr>
      <w:sz w:val="16"/>
    </w:rPr>
  </w:style>
  <w:style w:type="character" w:customStyle="1" w:styleId="FooterChar">
    <w:name w:val="Footer Char"/>
    <w:aliases w:val="3_G Char"/>
    <w:basedOn w:val="DefaultParagraphFont"/>
    <w:link w:val="Footer"/>
    <w:rsid w:val="00087505"/>
    <w:rPr>
      <w:rFonts w:ascii="Times New Roman" w:eastAsia="Times New Roman" w:hAnsi="Times New Roman" w:cs="Times New Roman"/>
      <w:sz w:val="16"/>
      <w:szCs w:val="20"/>
      <w:lang w:val="en-GB"/>
    </w:rPr>
  </w:style>
  <w:style w:type="paragraph" w:customStyle="1" w:styleId="H1G">
    <w:name w:val="_ H_1_G"/>
    <w:basedOn w:val="Normal"/>
    <w:next w:val="Normal"/>
    <w:qFormat/>
    <w:rsid w:val="0008750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8750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87505"/>
    <w:pPr>
      <w:keepNext/>
      <w:keepLines/>
      <w:tabs>
        <w:tab w:val="right" w:pos="851"/>
      </w:tabs>
      <w:spacing w:before="240" w:after="120" w:line="240" w:lineRule="exact"/>
      <w:ind w:left="1134" w:right="1134" w:hanging="1134"/>
    </w:pPr>
    <w:rPr>
      <w:i/>
    </w:rPr>
  </w:style>
  <w:style w:type="character" w:customStyle="1" w:styleId="SingleTxtGChar">
    <w:name w:val="_ Single Txt_G Char"/>
    <w:link w:val="SingleTxtG"/>
    <w:rsid w:val="00087505"/>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E738A"/>
    <w:rPr>
      <w:sz w:val="16"/>
      <w:szCs w:val="16"/>
    </w:rPr>
  </w:style>
  <w:style w:type="paragraph" w:styleId="CommentText">
    <w:name w:val="annotation text"/>
    <w:basedOn w:val="Normal"/>
    <w:link w:val="CommentTextChar"/>
    <w:uiPriority w:val="99"/>
    <w:semiHidden/>
    <w:unhideWhenUsed/>
    <w:rsid w:val="005E738A"/>
    <w:pPr>
      <w:spacing w:line="240" w:lineRule="auto"/>
    </w:pPr>
  </w:style>
  <w:style w:type="character" w:customStyle="1" w:styleId="CommentTextChar">
    <w:name w:val="Comment Text Char"/>
    <w:basedOn w:val="DefaultParagraphFont"/>
    <w:link w:val="CommentText"/>
    <w:uiPriority w:val="99"/>
    <w:semiHidden/>
    <w:rsid w:val="005E73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738A"/>
    <w:rPr>
      <w:b/>
      <w:bCs/>
    </w:rPr>
  </w:style>
  <w:style w:type="character" w:customStyle="1" w:styleId="CommentSubjectChar">
    <w:name w:val="Comment Subject Char"/>
    <w:basedOn w:val="CommentTextChar"/>
    <w:link w:val="CommentSubject"/>
    <w:uiPriority w:val="99"/>
    <w:semiHidden/>
    <w:rsid w:val="005E738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73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8A"/>
    <w:rPr>
      <w:rFonts w:ascii="Segoe UI" w:eastAsia="Times New Roman" w:hAnsi="Segoe UI" w:cs="Segoe UI"/>
      <w:sz w:val="18"/>
      <w:szCs w:val="18"/>
      <w:lang w:val="en-GB"/>
    </w:rPr>
  </w:style>
  <w:style w:type="paragraph" w:styleId="Revision">
    <w:name w:val="Revision"/>
    <w:hidden/>
    <w:uiPriority w:val="99"/>
    <w:semiHidden/>
    <w:rsid w:val="00C44C0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14612-27E3-4030-B3D8-CD57D8AB28FF}">
  <ds:schemaRefs>
    <ds:schemaRef ds:uri="http://schemas.microsoft.com/sharepoint/v3/contenttype/forms"/>
  </ds:schemaRefs>
</ds:datastoreItem>
</file>

<file path=customXml/itemProps2.xml><?xml version="1.0" encoding="utf-8"?>
<ds:datastoreItem xmlns:ds="http://schemas.openxmlformats.org/officeDocument/2006/customXml" ds:itemID="{022E34C1-2DE5-40DB-B8F2-4DEC8799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8DEF81-A6EF-4E17-91AE-356E8D29CCC4}">
  <ds:schemaRefs>
    <ds:schemaRef ds:uri="http://schemas.openxmlformats.org/officeDocument/2006/bibliography"/>
  </ds:schemaRefs>
</ds:datastoreItem>
</file>

<file path=customXml/itemProps4.xml><?xml version="1.0" encoding="utf-8"?>
<ds:datastoreItem xmlns:ds="http://schemas.openxmlformats.org/officeDocument/2006/customXml" ds:itemID="{EE0E4E2F-17D1-4001-BE24-36E7EC981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4522</Words>
  <Characters>25776</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Brigham Young University</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dc:creator>
  <cp:keywords/>
  <dc:description/>
  <cp:lastModifiedBy>Daniella Ferreira</cp:lastModifiedBy>
  <cp:revision>2</cp:revision>
  <cp:lastPrinted>2020-10-13T11:30:00Z</cp:lastPrinted>
  <dcterms:created xsi:type="dcterms:W3CDTF">2021-04-07T12:11:00Z</dcterms:created>
  <dcterms:modified xsi:type="dcterms:W3CDTF">2021-04-07T12:11:00Z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