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128E3" w:rsidRPr="00415BA0" w14:paraId="6CE1B708" w14:textId="77777777" w:rsidTr="00B6553F">
        <w:trPr>
          <w:cantSplit/>
          <w:trHeight w:hRule="exact" w:val="851"/>
        </w:trPr>
        <w:tc>
          <w:tcPr>
            <w:tcW w:w="1276" w:type="dxa"/>
            <w:tcBorders>
              <w:bottom w:val="single" w:sz="4" w:space="0" w:color="auto"/>
            </w:tcBorders>
            <w:vAlign w:val="bottom"/>
          </w:tcPr>
          <w:p w14:paraId="33C73ABA" w14:textId="77777777" w:rsidR="000128E3" w:rsidRPr="000B4A49" w:rsidRDefault="000128E3" w:rsidP="00B6553F">
            <w:pPr>
              <w:spacing w:after="80"/>
            </w:pPr>
          </w:p>
        </w:tc>
        <w:tc>
          <w:tcPr>
            <w:tcW w:w="2268" w:type="dxa"/>
            <w:tcBorders>
              <w:bottom w:val="single" w:sz="4" w:space="0" w:color="auto"/>
            </w:tcBorders>
            <w:vAlign w:val="bottom"/>
          </w:tcPr>
          <w:p w14:paraId="7D24C8DC" w14:textId="77777777" w:rsidR="000128E3" w:rsidRPr="00415BA0" w:rsidRDefault="000128E3" w:rsidP="00B6553F">
            <w:pPr>
              <w:spacing w:after="80" w:line="300" w:lineRule="exact"/>
              <w:rPr>
                <w:b/>
              </w:rPr>
            </w:pPr>
            <w:r w:rsidRPr="00415BA0">
              <w:rPr>
                <w:sz w:val="28"/>
                <w:szCs w:val="28"/>
              </w:rPr>
              <w:t>United Nations</w:t>
            </w:r>
          </w:p>
        </w:tc>
        <w:tc>
          <w:tcPr>
            <w:tcW w:w="6095" w:type="dxa"/>
            <w:gridSpan w:val="2"/>
            <w:tcBorders>
              <w:bottom w:val="single" w:sz="4" w:space="0" w:color="auto"/>
            </w:tcBorders>
            <w:vAlign w:val="bottom"/>
          </w:tcPr>
          <w:p w14:paraId="073A9138" w14:textId="62805A0D" w:rsidR="000128E3" w:rsidRPr="00415BA0" w:rsidRDefault="000128E3" w:rsidP="00FE5209">
            <w:pPr>
              <w:jc w:val="right"/>
            </w:pPr>
            <w:r w:rsidRPr="00415BA0">
              <w:rPr>
                <w:sz w:val="40"/>
              </w:rPr>
              <w:t>CCPR</w:t>
            </w:r>
            <w:r w:rsidR="00431FE1" w:rsidRPr="00E21E31">
              <w:rPr>
                <w:sz w:val="20"/>
                <w:szCs w:val="20"/>
              </w:rPr>
              <w:t>/C/</w:t>
            </w:r>
            <w:r w:rsidR="00FE5209" w:rsidRPr="00E21E31">
              <w:rPr>
                <w:sz w:val="20"/>
                <w:szCs w:val="20"/>
              </w:rPr>
              <w:t>1</w:t>
            </w:r>
            <w:r w:rsidR="00FE5209">
              <w:rPr>
                <w:sz w:val="20"/>
                <w:szCs w:val="20"/>
              </w:rPr>
              <w:t>30</w:t>
            </w:r>
            <w:r w:rsidRPr="00E21E31">
              <w:rPr>
                <w:sz w:val="20"/>
                <w:szCs w:val="20"/>
              </w:rPr>
              <w:t>/D</w:t>
            </w:r>
            <w:r w:rsidR="009C7EFD" w:rsidRPr="00E21E31">
              <w:rPr>
                <w:sz w:val="20"/>
                <w:szCs w:val="20"/>
              </w:rPr>
              <w:t>/2</w:t>
            </w:r>
            <w:r w:rsidR="000203CD" w:rsidRPr="00E21E31">
              <w:rPr>
                <w:sz w:val="20"/>
                <w:szCs w:val="20"/>
              </w:rPr>
              <w:t>713</w:t>
            </w:r>
            <w:r w:rsidRPr="00E21E31">
              <w:rPr>
                <w:sz w:val="20"/>
                <w:szCs w:val="20"/>
              </w:rPr>
              <w:t>/201</w:t>
            </w:r>
            <w:r w:rsidR="000203CD" w:rsidRPr="00E21E31">
              <w:rPr>
                <w:sz w:val="20"/>
                <w:szCs w:val="20"/>
              </w:rPr>
              <w:t>5</w:t>
            </w:r>
          </w:p>
        </w:tc>
      </w:tr>
      <w:tr w:rsidR="000128E3" w:rsidRPr="00415BA0" w14:paraId="09E84155" w14:textId="77777777" w:rsidTr="00B6553F">
        <w:trPr>
          <w:cantSplit/>
          <w:trHeight w:hRule="exact" w:val="2835"/>
        </w:trPr>
        <w:tc>
          <w:tcPr>
            <w:tcW w:w="1276" w:type="dxa"/>
            <w:tcBorders>
              <w:top w:val="single" w:sz="4" w:space="0" w:color="auto"/>
              <w:bottom w:val="single" w:sz="12" w:space="0" w:color="auto"/>
            </w:tcBorders>
          </w:tcPr>
          <w:p w14:paraId="2A3795C2" w14:textId="77777777" w:rsidR="000128E3" w:rsidRPr="00415BA0" w:rsidRDefault="00F145AF" w:rsidP="00B6553F">
            <w:pPr>
              <w:spacing w:before="120"/>
            </w:pPr>
            <w:r w:rsidRPr="00415BA0">
              <w:rPr>
                <w:noProof/>
                <w:lang w:val="en-GB" w:eastAsia="en-GB" w:bidi="ar-SA"/>
              </w:rPr>
              <w:drawing>
                <wp:inline distT="0" distB="0" distL="0" distR="0" wp14:anchorId="4B8543F2" wp14:editId="528C8589">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D0A462" w14:textId="77777777" w:rsidR="00C7385F" w:rsidRDefault="000128E3" w:rsidP="00267F5F">
            <w:pPr>
              <w:spacing w:before="120" w:line="380" w:lineRule="exact"/>
              <w:rPr>
                <w:b/>
                <w:sz w:val="34"/>
                <w:szCs w:val="40"/>
              </w:rPr>
            </w:pPr>
            <w:r w:rsidRPr="00415BA0">
              <w:rPr>
                <w:b/>
                <w:sz w:val="34"/>
                <w:szCs w:val="40"/>
              </w:rPr>
              <w:t>International Covenant on</w:t>
            </w:r>
            <w:r w:rsidRPr="00415BA0">
              <w:rPr>
                <w:b/>
                <w:sz w:val="34"/>
                <w:szCs w:val="40"/>
              </w:rPr>
              <w:br/>
              <w:t>Civil and Political Rights</w:t>
            </w:r>
          </w:p>
          <w:p w14:paraId="78F1F9E3" w14:textId="77777777" w:rsidR="00E70274" w:rsidRDefault="00E70274" w:rsidP="00267F5F">
            <w:pPr>
              <w:spacing w:before="120" w:line="380" w:lineRule="exact"/>
              <w:rPr>
                <w:b/>
                <w:sz w:val="34"/>
                <w:szCs w:val="40"/>
              </w:rPr>
            </w:pPr>
          </w:p>
          <w:p w14:paraId="5D7E0BEA" w14:textId="77777777" w:rsidR="00E70274" w:rsidRDefault="00E70274" w:rsidP="00E70274">
            <w:pPr>
              <w:spacing w:before="120" w:line="380" w:lineRule="exact"/>
              <w:rPr>
                <w:b/>
                <w:sz w:val="34"/>
                <w:szCs w:val="34"/>
              </w:rPr>
            </w:pPr>
            <w:r w:rsidRPr="000921E9">
              <w:rPr>
                <w:sz w:val="34"/>
                <w:szCs w:val="40"/>
              </w:rPr>
              <w:t>Advance unedited version</w:t>
            </w:r>
          </w:p>
          <w:p w14:paraId="31790407" w14:textId="723F1412" w:rsidR="00E70274" w:rsidRPr="00415BA0" w:rsidRDefault="00E70274" w:rsidP="00267F5F">
            <w:pPr>
              <w:spacing w:before="120" w:line="380" w:lineRule="exact"/>
              <w:rPr>
                <w:b/>
                <w:sz w:val="34"/>
                <w:szCs w:val="40"/>
              </w:rPr>
            </w:pPr>
          </w:p>
        </w:tc>
        <w:tc>
          <w:tcPr>
            <w:tcW w:w="2835" w:type="dxa"/>
            <w:tcBorders>
              <w:top w:val="single" w:sz="4" w:space="0" w:color="auto"/>
              <w:bottom w:val="single" w:sz="12" w:space="0" w:color="auto"/>
            </w:tcBorders>
          </w:tcPr>
          <w:p w14:paraId="0A9C3E23" w14:textId="62AC98D8" w:rsidR="00FC70CA" w:rsidRPr="00E21E31" w:rsidRDefault="00FC70CA" w:rsidP="006317EC">
            <w:pPr>
              <w:spacing w:before="240" w:line="240" w:lineRule="exact"/>
              <w:rPr>
                <w:sz w:val="20"/>
                <w:szCs w:val="20"/>
                <w:lang w:eastAsia="en-GB"/>
              </w:rPr>
            </w:pPr>
            <w:r w:rsidRPr="00E21E31">
              <w:rPr>
                <w:sz w:val="20"/>
                <w:szCs w:val="20"/>
              </w:rPr>
              <w:t xml:space="preserve">Distr.: </w:t>
            </w:r>
            <w:r w:rsidR="00E70274">
              <w:rPr>
                <w:sz w:val="20"/>
                <w:szCs w:val="20"/>
              </w:rPr>
              <w:t>General</w:t>
            </w:r>
          </w:p>
          <w:p w14:paraId="27088408" w14:textId="6812E78A" w:rsidR="00FC70CA" w:rsidRPr="00E21E31" w:rsidRDefault="006317EC" w:rsidP="00E70274">
            <w:pPr>
              <w:spacing w:line="240" w:lineRule="exact"/>
              <w:rPr>
                <w:sz w:val="20"/>
                <w:szCs w:val="20"/>
              </w:rPr>
            </w:pPr>
            <w:r>
              <w:rPr>
                <w:sz w:val="20"/>
                <w:szCs w:val="20"/>
              </w:rPr>
              <w:t>1</w:t>
            </w:r>
            <w:r w:rsidR="00E70274">
              <w:rPr>
                <w:sz w:val="20"/>
                <w:szCs w:val="20"/>
              </w:rPr>
              <w:t>7</w:t>
            </w:r>
            <w:r>
              <w:rPr>
                <w:sz w:val="20"/>
                <w:szCs w:val="20"/>
              </w:rPr>
              <w:t xml:space="preserve"> </w:t>
            </w:r>
            <w:proofErr w:type="spellStart"/>
            <w:r>
              <w:rPr>
                <w:sz w:val="20"/>
                <w:szCs w:val="20"/>
              </w:rPr>
              <w:t>Deecember</w:t>
            </w:r>
            <w:proofErr w:type="spellEnd"/>
            <w:r>
              <w:rPr>
                <w:sz w:val="20"/>
                <w:szCs w:val="20"/>
              </w:rPr>
              <w:t xml:space="preserve"> 2020</w:t>
            </w:r>
          </w:p>
          <w:p w14:paraId="0CBDED0B" w14:textId="77777777" w:rsidR="00FC70CA" w:rsidRPr="00E21E31" w:rsidRDefault="00FC70CA" w:rsidP="00FC70CA">
            <w:pPr>
              <w:spacing w:line="240" w:lineRule="exact"/>
              <w:rPr>
                <w:sz w:val="20"/>
                <w:szCs w:val="20"/>
              </w:rPr>
            </w:pPr>
          </w:p>
          <w:p w14:paraId="6D3B7312" w14:textId="77777777" w:rsidR="00FC70CA" w:rsidRPr="00E21E31" w:rsidRDefault="00FC70CA" w:rsidP="00FC70CA">
            <w:pPr>
              <w:spacing w:line="240" w:lineRule="exact"/>
              <w:rPr>
                <w:sz w:val="20"/>
                <w:szCs w:val="20"/>
              </w:rPr>
            </w:pPr>
            <w:r w:rsidRPr="00E21E31">
              <w:rPr>
                <w:sz w:val="20"/>
                <w:szCs w:val="20"/>
              </w:rPr>
              <w:t>Original: English</w:t>
            </w:r>
          </w:p>
          <w:p w14:paraId="347F1227" w14:textId="77777777" w:rsidR="000128E3" w:rsidRPr="00415BA0" w:rsidRDefault="000128E3" w:rsidP="00FE5209">
            <w:pPr>
              <w:spacing w:line="240" w:lineRule="exact"/>
            </w:pPr>
          </w:p>
        </w:tc>
      </w:tr>
    </w:tbl>
    <w:p w14:paraId="2E1F0138" w14:textId="77777777" w:rsidR="008C017D" w:rsidRPr="00415BA0" w:rsidRDefault="008C017D" w:rsidP="008C017D">
      <w:pPr>
        <w:spacing w:line="20" w:lineRule="exact"/>
        <w:rPr>
          <w:b/>
          <w:sz w:val="2"/>
        </w:rPr>
      </w:pPr>
    </w:p>
    <w:p w14:paraId="2FD4605F" w14:textId="77777777" w:rsidR="00E21E31" w:rsidRPr="00CF05B7" w:rsidRDefault="00E21E31" w:rsidP="00E21E31">
      <w:pPr>
        <w:spacing w:before="120"/>
        <w:rPr>
          <w:b/>
        </w:rPr>
      </w:pPr>
      <w:r w:rsidRPr="00CF05B7">
        <w:rPr>
          <w:b/>
        </w:rPr>
        <w:t>Human Rights Committee</w:t>
      </w:r>
    </w:p>
    <w:p w14:paraId="6A6D675A" w14:textId="0FDB2392" w:rsidR="008A5196" w:rsidRPr="00E70274" w:rsidRDefault="00FC70CA" w:rsidP="00E70274">
      <w:pPr>
        <w:pStyle w:val="HChG"/>
      </w:pPr>
      <w:r w:rsidRPr="00415BA0">
        <w:tab/>
      </w:r>
      <w:r w:rsidRPr="00415BA0">
        <w:tab/>
      </w:r>
      <w:r w:rsidR="002350F7" w:rsidRPr="00E70274">
        <w:t>Views adopted by the Committee under article 5 (4) of the Optional Protocol, concerning c</w:t>
      </w:r>
      <w:r w:rsidR="008A5196" w:rsidRPr="00E70274">
        <w:t xml:space="preserve">ommunication No. </w:t>
      </w:r>
      <w:r w:rsidR="008428C9" w:rsidRPr="00E70274">
        <w:t>2</w:t>
      </w:r>
      <w:r w:rsidR="000203CD" w:rsidRPr="00E70274">
        <w:t>713</w:t>
      </w:r>
      <w:r w:rsidR="00CB6C91" w:rsidRPr="00E70274">
        <w:t>/201</w:t>
      </w:r>
      <w:r w:rsidR="000203CD" w:rsidRPr="00E70274">
        <w:t>5</w:t>
      </w:r>
      <w:r w:rsidR="002350F7" w:rsidRPr="00E70274">
        <w:rPr>
          <w:rStyle w:val="FootnoteReference"/>
          <w:sz w:val="28"/>
          <w:vertAlign w:val="baseline"/>
        </w:rPr>
        <w:footnoteReference w:customMarkFollows="1" w:id="2"/>
        <w:t>*</w:t>
      </w:r>
      <w:r w:rsidR="002350F7" w:rsidRPr="00E70274">
        <w:t>,</w:t>
      </w:r>
      <w:r w:rsidR="002350F7" w:rsidRPr="00E70274">
        <w:rPr>
          <w:rStyle w:val="FootnoteReference"/>
          <w:sz w:val="28"/>
          <w:vertAlign w:val="baseline"/>
        </w:rPr>
        <w:footnoteReference w:customMarkFollows="1" w:id="3"/>
        <w:t>**</w:t>
      </w:r>
    </w:p>
    <w:p w14:paraId="108F47CC" w14:textId="7175AEF5" w:rsidR="00E21E31" w:rsidRPr="00CF05B7" w:rsidRDefault="008A5196">
      <w:pPr>
        <w:pStyle w:val="H1G"/>
      </w:pPr>
      <w:r w:rsidRPr="00415BA0">
        <w:rPr>
          <w:rFonts w:eastAsia="MS Mincho"/>
        </w:rPr>
        <w:tab/>
      </w:r>
      <w:r w:rsidRPr="00415BA0">
        <w:rPr>
          <w:rFonts w:eastAsia="MS Mincho"/>
        </w:rPr>
        <w:tab/>
      </w:r>
    </w:p>
    <w:p w14:paraId="0D447577" w14:textId="6F40A3C8" w:rsidR="000128E3" w:rsidRPr="00415BA0" w:rsidRDefault="00683EF7" w:rsidP="00985865">
      <w:pPr>
        <w:pStyle w:val="SingleTxtG"/>
        <w:ind w:left="4536" w:hanging="3402"/>
        <w:jc w:val="left"/>
      </w:pPr>
      <w:r w:rsidRPr="00415BA0">
        <w:rPr>
          <w:i/>
        </w:rPr>
        <w:t>Communication s</w:t>
      </w:r>
      <w:r w:rsidR="000128E3" w:rsidRPr="00415BA0">
        <w:rPr>
          <w:i/>
        </w:rPr>
        <w:t>ubmitted by:</w:t>
      </w:r>
      <w:r w:rsidR="000128E3" w:rsidRPr="00415BA0">
        <w:tab/>
      </w:r>
      <w:r w:rsidR="000203CD">
        <w:t xml:space="preserve">Leonid </w:t>
      </w:r>
      <w:proofErr w:type="spellStart"/>
      <w:r w:rsidR="000203CD">
        <w:t>Markhotko</w:t>
      </w:r>
      <w:proofErr w:type="spellEnd"/>
      <w:r w:rsidR="000F2B93">
        <w:rPr>
          <w:lang w:val="en-US"/>
        </w:rPr>
        <w:t xml:space="preserve"> </w:t>
      </w:r>
      <w:r w:rsidR="009A1452" w:rsidRPr="00415BA0">
        <w:t>(</w:t>
      </w:r>
      <w:r w:rsidR="00D012D4">
        <w:t xml:space="preserve">not </w:t>
      </w:r>
      <w:r w:rsidR="005E2E34">
        <w:t xml:space="preserve">represented by </w:t>
      </w:r>
      <w:r w:rsidR="00D012D4">
        <w:t>counsel</w:t>
      </w:r>
      <w:r w:rsidR="000128E3" w:rsidRPr="00415BA0">
        <w:t>)</w:t>
      </w:r>
    </w:p>
    <w:p w14:paraId="165B2091" w14:textId="2BFE69B9" w:rsidR="000128E3" w:rsidRPr="00415BA0" w:rsidRDefault="000128E3" w:rsidP="007113A4">
      <w:pPr>
        <w:pStyle w:val="SingleTxtG"/>
        <w:ind w:left="4536" w:hanging="3402"/>
        <w:jc w:val="left"/>
      </w:pPr>
      <w:r w:rsidRPr="00415BA0">
        <w:rPr>
          <w:i/>
        </w:rPr>
        <w:t>Alleged victim:</w:t>
      </w:r>
      <w:r w:rsidRPr="00415BA0">
        <w:tab/>
      </w:r>
      <w:r w:rsidR="00D7781D">
        <w:t>T</w:t>
      </w:r>
      <w:r w:rsidR="00DD26A8" w:rsidRPr="00415BA0">
        <w:t>he author</w:t>
      </w:r>
    </w:p>
    <w:p w14:paraId="40FD05FA" w14:textId="77777777" w:rsidR="000128E3" w:rsidRPr="00415BA0" w:rsidRDefault="000128E3" w:rsidP="007113A4">
      <w:pPr>
        <w:pStyle w:val="SingleTxtG"/>
        <w:ind w:left="4536" w:hanging="3402"/>
        <w:jc w:val="left"/>
      </w:pPr>
      <w:r w:rsidRPr="00415BA0">
        <w:rPr>
          <w:i/>
        </w:rPr>
        <w:t>State party:</w:t>
      </w:r>
      <w:r w:rsidRPr="00415BA0">
        <w:tab/>
      </w:r>
      <w:r w:rsidR="00B22683" w:rsidRPr="008216A5">
        <w:t>Belarus</w:t>
      </w:r>
    </w:p>
    <w:p w14:paraId="45DB11F6" w14:textId="026ACD75" w:rsidR="000128E3" w:rsidRPr="00415BA0" w:rsidRDefault="000128E3" w:rsidP="007113A4">
      <w:pPr>
        <w:pStyle w:val="SingleTxtG"/>
        <w:ind w:left="4536" w:hanging="3402"/>
        <w:jc w:val="left"/>
      </w:pPr>
      <w:r w:rsidRPr="00415BA0">
        <w:rPr>
          <w:i/>
        </w:rPr>
        <w:t>Date of communication:</w:t>
      </w:r>
      <w:r w:rsidRPr="00415BA0">
        <w:tab/>
      </w:r>
      <w:r w:rsidR="000203CD">
        <w:t>19 June 2015</w:t>
      </w:r>
      <w:r w:rsidRPr="00415BA0">
        <w:t xml:space="preserve"> (initial submission)</w:t>
      </w:r>
    </w:p>
    <w:p w14:paraId="004CED20" w14:textId="37CFA607" w:rsidR="000128E3" w:rsidRPr="00415BA0" w:rsidRDefault="000128E3" w:rsidP="007113A4">
      <w:pPr>
        <w:pStyle w:val="SingleTxtG"/>
        <w:ind w:left="4536" w:hanging="3402"/>
        <w:jc w:val="left"/>
      </w:pPr>
      <w:r w:rsidRPr="00415BA0">
        <w:rPr>
          <w:i/>
        </w:rPr>
        <w:t>Document references:</w:t>
      </w:r>
      <w:r w:rsidRPr="00415BA0">
        <w:tab/>
      </w:r>
      <w:r w:rsidRPr="0034792E">
        <w:t>Special Rapporteur’s rule 9</w:t>
      </w:r>
      <w:r w:rsidR="00FD4BC3">
        <w:t>2</w:t>
      </w:r>
      <w:r w:rsidRPr="0034792E">
        <w:t xml:space="preserve"> decision, transmitted to the State party on </w:t>
      </w:r>
      <w:r w:rsidR="008428C9">
        <w:t>2</w:t>
      </w:r>
      <w:r w:rsidR="000203CD">
        <w:t>8</w:t>
      </w:r>
      <w:r w:rsidR="0034792E" w:rsidRPr="0034792E">
        <w:t xml:space="preserve"> </w:t>
      </w:r>
      <w:proofErr w:type="gramStart"/>
      <w:r w:rsidR="000203CD">
        <w:t>December</w:t>
      </w:r>
      <w:r w:rsidR="008428C9">
        <w:t xml:space="preserve"> </w:t>
      </w:r>
      <w:r w:rsidR="0034792E" w:rsidRPr="0034792E">
        <w:t xml:space="preserve"> </w:t>
      </w:r>
      <w:r w:rsidR="00B22683" w:rsidRPr="0034792E">
        <w:t>201</w:t>
      </w:r>
      <w:r w:rsidR="000203CD">
        <w:t>5</w:t>
      </w:r>
      <w:proofErr w:type="gramEnd"/>
      <w:r w:rsidR="00841306" w:rsidRPr="0034792E">
        <w:t xml:space="preserve"> </w:t>
      </w:r>
      <w:r w:rsidRPr="0034792E">
        <w:t>(not issued in document form)</w:t>
      </w:r>
    </w:p>
    <w:p w14:paraId="2231A78A" w14:textId="26D37472" w:rsidR="000128E3" w:rsidRPr="00415BA0" w:rsidRDefault="000128E3">
      <w:pPr>
        <w:pStyle w:val="SingleTxtG"/>
        <w:ind w:left="4536" w:hanging="3402"/>
        <w:jc w:val="left"/>
        <w:rPr>
          <w:i/>
        </w:rPr>
      </w:pPr>
      <w:r w:rsidRPr="00415BA0">
        <w:rPr>
          <w:i/>
        </w:rPr>
        <w:t>Date of adoption of Views:</w:t>
      </w:r>
      <w:r w:rsidRPr="00415BA0">
        <w:tab/>
      </w:r>
      <w:r w:rsidR="000E5B8B">
        <w:t>6 November</w:t>
      </w:r>
      <w:r w:rsidR="00FE5209">
        <w:t xml:space="preserve"> </w:t>
      </w:r>
      <w:r w:rsidRPr="00415BA0">
        <w:t>20</w:t>
      </w:r>
      <w:r w:rsidR="000203CD">
        <w:t>20</w:t>
      </w:r>
    </w:p>
    <w:p w14:paraId="65F5147A" w14:textId="4E3D0F44" w:rsidR="000128E3" w:rsidRPr="00415BA0" w:rsidRDefault="000128E3" w:rsidP="007113A4">
      <w:pPr>
        <w:pStyle w:val="SingleTxtG"/>
        <w:ind w:left="4536" w:hanging="3402"/>
        <w:jc w:val="left"/>
      </w:pPr>
      <w:r w:rsidRPr="00415BA0">
        <w:rPr>
          <w:i/>
          <w:iCs/>
        </w:rPr>
        <w:t>Subject matter:</w:t>
      </w:r>
      <w:r w:rsidRPr="00415BA0">
        <w:tab/>
      </w:r>
      <w:r w:rsidR="008428C9">
        <w:t xml:space="preserve">Refusal of authorities to </w:t>
      </w:r>
      <w:r w:rsidR="00303D16">
        <w:t xml:space="preserve">authorise </w:t>
      </w:r>
      <w:r w:rsidR="008428C9">
        <w:t>hold</w:t>
      </w:r>
      <w:r w:rsidR="00303D16">
        <w:t>ing</w:t>
      </w:r>
      <w:r w:rsidR="008428C9">
        <w:t xml:space="preserve"> </w:t>
      </w:r>
      <w:r w:rsidR="00335C4B">
        <w:t>pickets</w:t>
      </w:r>
      <w:r w:rsidR="00636CE7">
        <w:t>;</w:t>
      </w:r>
      <w:r w:rsidR="008428C9">
        <w:t xml:space="preserve"> freedom of expression</w:t>
      </w:r>
      <w:r w:rsidR="00442E22" w:rsidRPr="00415BA0">
        <w:t xml:space="preserve"> </w:t>
      </w:r>
      <w:r w:rsidRPr="00415BA0">
        <w:t xml:space="preserve"> </w:t>
      </w:r>
    </w:p>
    <w:p w14:paraId="061F6F28" w14:textId="2FDCF99F" w:rsidR="000128E3" w:rsidRPr="00F25C4A" w:rsidRDefault="000128E3" w:rsidP="007113A4">
      <w:pPr>
        <w:pStyle w:val="SingleTxtG"/>
        <w:ind w:left="4536" w:hanging="3402"/>
        <w:jc w:val="left"/>
        <w:rPr>
          <w:lang w:val="en-US"/>
        </w:rPr>
      </w:pPr>
      <w:r w:rsidRPr="00415BA0">
        <w:rPr>
          <w:i/>
          <w:iCs/>
        </w:rPr>
        <w:t xml:space="preserve">Procedural issue: </w:t>
      </w:r>
      <w:r w:rsidRPr="00415BA0">
        <w:rPr>
          <w:i/>
          <w:iCs/>
        </w:rPr>
        <w:tab/>
      </w:r>
      <w:r w:rsidR="00EE7275">
        <w:t>Exhaustion of domestic remedies</w:t>
      </w:r>
    </w:p>
    <w:p w14:paraId="7EF7F50B" w14:textId="377DC02E" w:rsidR="000128E3" w:rsidRPr="00415BA0" w:rsidRDefault="000128E3" w:rsidP="007113A4">
      <w:pPr>
        <w:pStyle w:val="SingleTxtG"/>
        <w:ind w:left="4536" w:hanging="3402"/>
        <w:jc w:val="left"/>
      </w:pPr>
      <w:r w:rsidRPr="00415BA0">
        <w:rPr>
          <w:i/>
          <w:iCs/>
        </w:rPr>
        <w:t>Substantive issue</w:t>
      </w:r>
      <w:r w:rsidR="008528FD">
        <w:rPr>
          <w:i/>
          <w:iCs/>
        </w:rPr>
        <w:t>s</w:t>
      </w:r>
      <w:r w:rsidRPr="00415BA0">
        <w:rPr>
          <w:i/>
          <w:iCs/>
        </w:rPr>
        <w:t xml:space="preserve">: </w:t>
      </w:r>
      <w:r w:rsidRPr="00415BA0">
        <w:rPr>
          <w:i/>
          <w:iCs/>
        </w:rPr>
        <w:tab/>
      </w:r>
      <w:r w:rsidR="00636CE7">
        <w:rPr>
          <w:iCs/>
        </w:rPr>
        <w:t>freedom of assembly</w:t>
      </w:r>
      <w:r w:rsidR="00EE7275">
        <w:t xml:space="preserve">; </w:t>
      </w:r>
      <w:r w:rsidR="00636CE7">
        <w:t>freedom of expression</w:t>
      </w:r>
    </w:p>
    <w:p w14:paraId="0980AAF3" w14:textId="17552EDB" w:rsidR="00364901" w:rsidRPr="00143694" w:rsidRDefault="000128E3" w:rsidP="003C4DEF">
      <w:pPr>
        <w:pStyle w:val="SingleTxtG"/>
        <w:ind w:left="4536" w:hanging="3402"/>
        <w:jc w:val="left"/>
        <w:rPr>
          <w:lang w:val="en-US"/>
        </w:rPr>
      </w:pPr>
      <w:r w:rsidRPr="00415BA0">
        <w:rPr>
          <w:i/>
          <w:iCs/>
        </w:rPr>
        <w:t>Articles of the Covenant:</w:t>
      </w:r>
      <w:r w:rsidRPr="00415BA0">
        <w:t xml:space="preserve"> </w:t>
      </w:r>
      <w:r w:rsidRPr="00415BA0">
        <w:tab/>
      </w:r>
      <w:r w:rsidR="00636CE7">
        <w:t>19</w:t>
      </w:r>
      <w:r w:rsidR="000203CD">
        <w:t>(2)</w:t>
      </w:r>
      <w:r w:rsidR="00636CE7">
        <w:t>, 21</w:t>
      </w:r>
    </w:p>
    <w:p w14:paraId="282ADACF" w14:textId="77777777" w:rsidR="003C4DEF" w:rsidRPr="00415BA0" w:rsidRDefault="000128E3" w:rsidP="003C4DEF">
      <w:pPr>
        <w:pStyle w:val="SingleTxtG"/>
        <w:ind w:left="4536" w:hanging="3402"/>
        <w:jc w:val="left"/>
        <w:rPr>
          <w:iCs/>
        </w:rPr>
      </w:pPr>
      <w:r w:rsidRPr="00415BA0">
        <w:rPr>
          <w:i/>
          <w:iCs/>
        </w:rPr>
        <w:t>Articles of the Optional Protocol:</w:t>
      </w:r>
      <w:r w:rsidRPr="00415BA0">
        <w:rPr>
          <w:i/>
          <w:iCs/>
        </w:rPr>
        <w:tab/>
      </w:r>
      <w:r w:rsidR="0029607D" w:rsidRPr="001E0966">
        <w:rPr>
          <w:iCs/>
        </w:rPr>
        <w:t>2 and</w:t>
      </w:r>
      <w:r w:rsidR="005F7079" w:rsidRPr="001E0966">
        <w:rPr>
          <w:iCs/>
        </w:rPr>
        <w:t xml:space="preserve"> </w:t>
      </w:r>
      <w:r w:rsidR="004F56A1" w:rsidRPr="001E0966">
        <w:rPr>
          <w:iCs/>
        </w:rPr>
        <w:t>5(2)(b)</w:t>
      </w:r>
    </w:p>
    <w:p w14:paraId="0F190953" w14:textId="117BA99C" w:rsidR="00303D16" w:rsidRDefault="00303D16">
      <w:pPr>
        <w:rPr>
          <w:sz w:val="20"/>
          <w:szCs w:val="20"/>
          <w:lang w:val="en-GB" w:bidi="ar-SA"/>
        </w:rPr>
      </w:pPr>
      <w:r>
        <w:br w:type="page"/>
      </w:r>
    </w:p>
    <w:p w14:paraId="3C38B4FD" w14:textId="28ABD2BC" w:rsidR="001E1235" w:rsidRDefault="001E1235" w:rsidP="00E21E31">
      <w:pPr>
        <w:pStyle w:val="SingleTxtG"/>
      </w:pPr>
      <w:r w:rsidRPr="00415BA0">
        <w:lastRenderedPageBreak/>
        <w:t>1.</w:t>
      </w:r>
      <w:r w:rsidRPr="00415BA0">
        <w:tab/>
      </w:r>
      <w:r w:rsidR="00D012D4">
        <w:t xml:space="preserve">The author of the communication is Mr. </w:t>
      </w:r>
      <w:r w:rsidR="000203CD">
        <w:t xml:space="preserve">Leonid </w:t>
      </w:r>
      <w:proofErr w:type="spellStart"/>
      <w:r w:rsidR="000203CD">
        <w:t>Markhotko</w:t>
      </w:r>
      <w:proofErr w:type="spellEnd"/>
      <w:r w:rsidR="00D012D4">
        <w:t>, a national of Belarus born in 19</w:t>
      </w:r>
      <w:r w:rsidR="000203CD">
        <w:t>54</w:t>
      </w:r>
      <w:r w:rsidR="00D012D4">
        <w:t xml:space="preserve">. He claims to </w:t>
      </w:r>
      <w:r w:rsidR="00D012D4" w:rsidRPr="00983AD7">
        <w:t>be</w:t>
      </w:r>
      <w:r w:rsidR="00D012D4">
        <w:t xml:space="preserve"> a </w:t>
      </w:r>
      <w:r w:rsidR="00D012D4" w:rsidRPr="00E21E31">
        <w:t>victim</w:t>
      </w:r>
      <w:r w:rsidR="00D012D4">
        <w:t xml:space="preserve"> of a violation by Belarus of his rights under articles </w:t>
      </w:r>
      <w:r w:rsidR="00172198">
        <w:t>19</w:t>
      </w:r>
      <w:r w:rsidR="000203CD">
        <w:t>(2)</w:t>
      </w:r>
      <w:r w:rsidR="00D012D4">
        <w:t xml:space="preserve"> and </w:t>
      </w:r>
      <w:r w:rsidR="00172198">
        <w:t>21</w:t>
      </w:r>
      <w:r w:rsidR="00D012D4">
        <w:t xml:space="preserve"> of the International </w:t>
      </w:r>
      <w:r w:rsidR="00D012D4" w:rsidRPr="00E21E31">
        <w:t>Covenant</w:t>
      </w:r>
      <w:r w:rsidR="00D012D4">
        <w:t xml:space="preserve"> on Civil and Political Rights. The Optional Protocol entered into force for Belarus on 30 December 1992. The author is unrepresented.</w:t>
      </w:r>
    </w:p>
    <w:p w14:paraId="66841BE9" w14:textId="77777777" w:rsidR="000128E3" w:rsidRPr="00415BA0" w:rsidRDefault="000128E3" w:rsidP="00FD4BC3">
      <w:pPr>
        <w:pStyle w:val="H23G"/>
      </w:pPr>
      <w:r w:rsidRPr="00415BA0">
        <w:tab/>
      </w:r>
      <w:r w:rsidRPr="00415BA0">
        <w:tab/>
        <w:t xml:space="preserve">The facts as </w:t>
      </w:r>
      <w:r w:rsidRPr="00FD4BC3">
        <w:t>submitted</w:t>
      </w:r>
      <w:r w:rsidRPr="00415BA0">
        <w:t xml:space="preserve"> by the author</w:t>
      </w:r>
    </w:p>
    <w:p w14:paraId="4A57DD03" w14:textId="0855626A" w:rsidR="00DB162B" w:rsidRDefault="00F06A0F" w:rsidP="00E21E31">
      <w:pPr>
        <w:pStyle w:val="SingleTxtG"/>
      </w:pPr>
      <w:r w:rsidRPr="00F06A0F">
        <w:t>2.1</w:t>
      </w:r>
      <w:r w:rsidRPr="00F06A0F">
        <w:tab/>
        <w:t xml:space="preserve">On </w:t>
      </w:r>
      <w:r>
        <w:t>18</w:t>
      </w:r>
      <w:r w:rsidRPr="00F06A0F">
        <w:t xml:space="preserve"> </w:t>
      </w:r>
      <w:r>
        <w:t xml:space="preserve">November </w:t>
      </w:r>
      <w:r w:rsidRPr="00F06A0F">
        <w:t>201</w:t>
      </w:r>
      <w:r>
        <w:t>4</w:t>
      </w:r>
      <w:r w:rsidRPr="00F06A0F">
        <w:t xml:space="preserve">, the author </w:t>
      </w:r>
      <w:r w:rsidR="00303D16">
        <w:t xml:space="preserve">applied </w:t>
      </w:r>
      <w:r w:rsidRPr="00F06A0F">
        <w:t xml:space="preserve">to the </w:t>
      </w:r>
      <w:r w:rsidR="008E7478" w:rsidRPr="008E7478">
        <w:t xml:space="preserve">District Executive Committee of the </w:t>
      </w:r>
      <w:proofErr w:type="spellStart"/>
      <w:r w:rsidR="008E7478" w:rsidRPr="008E7478">
        <w:t>S</w:t>
      </w:r>
      <w:r w:rsidR="00320482">
        <w:t>a</w:t>
      </w:r>
      <w:r w:rsidR="008E7478" w:rsidRPr="008E7478">
        <w:t>l</w:t>
      </w:r>
      <w:r w:rsidR="00320482">
        <w:t>ih</w:t>
      </w:r>
      <w:r w:rsidR="008E7478" w:rsidRPr="008E7478">
        <w:t>orsk</w:t>
      </w:r>
      <w:proofErr w:type="spellEnd"/>
      <w:r w:rsidR="008E7478" w:rsidRPr="008E7478">
        <w:t xml:space="preserve"> city with a request to hold </w:t>
      </w:r>
      <w:r w:rsidR="008E7478">
        <w:t xml:space="preserve">a picket </w:t>
      </w:r>
      <w:r w:rsidR="008E7478" w:rsidRPr="008E7478">
        <w:t xml:space="preserve">on 10 December 2014, </w:t>
      </w:r>
      <w:r w:rsidR="008E7478">
        <w:t xml:space="preserve">from 17:00 to 19:00. The purpose of the </w:t>
      </w:r>
      <w:r w:rsidR="008E7478" w:rsidRPr="008E7478">
        <w:t xml:space="preserve">picket </w:t>
      </w:r>
      <w:r w:rsidR="008E7478">
        <w:t xml:space="preserve">was </w:t>
      </w:r>
      <w:r w:rsidR="008E7478" w:rsidRPr="008E7478">
        <w:t>to attract the civil society’s attention to the International Human Rights Day</w:t>
      </w:r>
      <w:r w:rsidR="008E7478">
        <w:t>,</w:t>
      </w:r>
      <w:r w:rsidR="008E7478" w:rsidRPr="008E7478">
        <w:t xml:space="preserve"> </w:t>
      </w:r>
      <w:r w:rsidR="008E7478" w:rsidRPr="00E21E31">
        <w:t>as</w:t>
      </w:r>
      <w:r w:rsidR="008E7478" w:rsidRPr="008E7478">
        <w:t xml:space="preserve"> well as to protest against </w:t>
      </w:r>
      <w:r w:rsidR="008E7478">
        <w:t xml:space="preserve">human </w:t>
      </w:r>
      <w:r w:rsidR="00320482">
        <w:t>r</w:t>
      </w:r>
      <w:r w:rsidR="008E7478">
        <w:t xml:space="preserve">ights </w:t>
      </w:r>
      <w:r w:rsidR="008E7478" w:rsidRPr="008E7478">
        <w:t xml:space="preserve">violations committed in </w:t>
      </w:r>
      <w:r w:rsidR="008E7478">
        <w:t xml:space="preserve">Belarus. </w:t>
      </w:r>
      <w:r w:rsidR="008E7478" w:rsidRPr="00F06A0F">
        <w:t>In his application, the author specified th</w:t>
      </w:r>
      <w:r w:rsidR="00531F54">
        <w:t xml:space="preserve">at </w:t>
      </w:r>
      <w:r w:rsidR="000F4D7F">
        <w:t>approximately seven person</w:t>
      </w:r>
      <w:r w:rsidR="00177CA5">
        <w:t>s</w:t>
      </w:r>
      <w:r w:rsidR="000F4D7F">
        <w:t xml:space="preserve"> </w:t>
      </w:r>
      <w:r w:rsidR="00177CA5">
        <w:t xml:space="preserve">would </w:t>
      </w:r>
      <w:r w:rsidR="000F4D7F">
        <w:t xml:space="preserve">participate in the picket </w:t>
      </w:r>
      <w:r w:rsidR="00531F54">
        <w:t xml:space="preserve">intended </w:t>
      </w:r>
      <w:r w:rsidR="000F4D7F">
        <w:t xml:space="preserve">to take place </w:t>
      </w:r>
      <w:r w:rsidR="00DB162B">
        <w:t>near the building of the</w:t>
      </w:r>
      <w:r w:rsidR="00DB162B" w:rsidRPr="008E7478">
        <w:t xml:space="preserve"> </w:t>
      </w:r>
      <w:r w:rsidR="00DB162B" w:rsidRPr="00DB162B">
        <w:t xml:space="preserve">District Executive Committee </w:t>
      </w:r>
      <w:r w:rsidR="00DB162B">
        <w:t xml:space="preserve">at the </w:t>
      </w:r>
      <w:r w:rsidR="00DB162B" w:rsidRPr="008E7478">
        <w:t xml:space="preserve">Central Square </w:t>
      </w:r>
      <w:r w:rsidR="00320482">
        <w:t xml:space="preserve">in </w:t>
      </w:r>
      <w:proofErr w:type="spellStart"/>
      <w:r w:rsidR="00DB162B" w:rsidRPr="008E7478">
        <w:t>S</w:t>
      </w:r>
      <w:r w:rsidR="00320482">
        <w:t>a</w:t>
      </w:r>
      <w:r w:rsidR="00DB162B" w:rsidRPr="008E7478">
        <w:t>l</w:t>
      </w:r>
      <w:r w:rsidR="00320482">
        <w:t>ih</w:t>
      </w:r>
      <w:r w:rsidR="00DB162B" w:rsidRPr="008E7478">
        <w:t>orsk</w:t>
      </w:r>
      <w:proofErr w:type="spellEnd"/>
      <w:r w:rsidR="00531F54">
        <w:t xml:space="preserve">. </w:t>
      </w:r>
      <w:r w:rsidR="00C2458A">
        <w:t xml:space="preserve">He </w:t>
      </w:r>
      <w:r w:rsidR="00B7160E">
        <w:t xml:space="preserve">also </w:t>
      </w:r>
      <w:r w:rsidR="00531F54">
        <w:t xml:space="preserve">indicated the source of funding and requested the </w:t>
      </w:r>
      <w:r w:rsidR="00B7160E">
        <w:t xml:space="preserve">local authorities </w:t>
      </w:r>
      <w:r w:rsidR="00B7160E" w:rsidRPr="00B7160E">
        <w:t xml:space="preserve">to ensure security, medical care and </w:t>
      </w:r>
      <w:r w:rsidR="00B7160E">
        <w:t>arrange</w:t>
      </w:r>
      <w:r w:rsidR="000F4D7F">
        <w:t xml:space="preserve">ment of </w:t>
      </w:r>
      <w:r w:rsidR="00B7160E" w:rsidRPr="00B7160E">
        <w:t xml:space="preserve">cleaning services </w:t>
      </w:r>
      <w:r w:rsidR="00B7160E">
        <w:t xml:space="preserve">after </w:t>
      </w:r>
      <w:r w:rsidR="00B7160E" w:rsidRPr="00B7160E">
        <w:t>the picket</w:t>
      </w:r>
      <w:r w:rsidR="00B7160E">
        <w:t>.</w:t>
      </w:r>
    </w:p>
    <w:p w14:paraId="53300DF9" w14:textId="1E910D8E" w:rsidR="00825B61" w:rsidRDefault="008D38F3" w:rsidP="00E21E31">
      <w:pPr>
        <w:pStyle w:val="SingleTxtG"/>
      </w:pPr>
      <w:r w:rsidRPr="008D38F3">
        <w:t>2.</w:t>
      </w:r>
      <w:r w:rsidR="003B7955">
        <w:t>2</w:t>
      </w:r>
      <w:r w:rsidRPr="008D38F3">
        <w:tab/>
        <w:t xml:space="preserve">On </w:t>
      </w:r>
      <w:r w:rsidR="00D46877">
        <w:t>1</w:t>
      </w:r>
      <w:r w:rsidR="00320482">
        <w:t xml:space="preserve"> December 2</w:t>
      </w:r>
      <w:r w:rsidRPr="008D38F3">
        <w:t>0</w:t>
      </w:r>
      <w:r w:rsidR="00D46877">
        <w:t>1</w:t>
      </w:r>
      <w:r w:rsidR="00320482">
        <w:t>4</w:t>
      </w:r>
      <w:r w:rsidRPr="008D38F3">
        <w:t xml:space="preserve">, the author’s application was rejected by the </w:t>
      </w:r>
      <w:r w:rsidR="00320482" w:rsidRPr="00320482">
        <w:t xml:space="preserve">District Executive Committee </w:t>
      </w:r>
      <w:r w:rsidR="00825B61">
        <w:t xml:space="preserve">on the following </w:t>
      </w:r>
      <w:r w:rsidR="00952EDF">
        <w:t>grounds</w:t>
      </w:r>
      <w:r w:rsidR="00825B61">
        <w:t xml:space="preserve">: (a) </w:t>
      </w:r>
      <w:r w:rsidR="00825B61" w:rsidRPr="00825B61">
        <w:t>the location of the picket was not among the locations specified for the conduct of such events as listed by the</w:t>
      </w:r>
      <w:r w:rsidR="00825B61">
        <w:t xml:space="preserve"> </w:t>
      </w:r>
      <w:proofErr w:type="spellStart"/>
      <w:r w:rsidR="00825B61">
        <w:t>Salihorsk</w:t>
      </w:r>
      <w:proofErr w:type="spellEnd"/>
      <w:r w:rsidR="00825B61">
        <w:t xml:space="preserve"> city </w:t>
      </w:r>
      <w:r w:rsidR="00825B61" w:rsidRPr="00825B61">
        <w:t>Executive Committee</w:t>
      </w:r>
      <w:r w:rsidR="00825B61">
        <w:t>’s</w:t>
      </w:r>
      <w:r w:rsidR="00825B61" w:rsidRPr="00825B61">
        <w:t xml:space="preserve"> </w:t>
      </w:r>
      <w:r w:rsidR="00825B61">
        <w:t xml:space="preserve">decision </w:t>
      </w:r>
      <w:r w:rsidR="00825B61" w:rsidRPr="008D38F3">
        <w:t xml:space="preserve">No. </w:t>
      </w:r>
      <w:r w:rsidR="00825B61">
        <w:t>700</w:t>
      </w:r>
      <w:r w:rsidR="00825B61" w:rsidRPr="008D38F3">
        <w:t xml:space="preserve"> of </w:t>
      </w:r>
      <w:r w:rsidR="00825B61">
        <w:t>7</w:t>
      </w:r>
      <w:r w:rsidR="00825B61" w:rsidRPr="008D38F3">
        <w:t xml:space="preserve"> </w:t>
      </w:r>
      <w:r w:rsidR="00825B61">
        <w:t>October 2004, on</w:t>
      </w:r>
      <w:r w:rsidR="00825B61" w:rsidRPr="00FB3767">
        <w:t xml:space="preserve"> </w:t>
      </w:r>
      <w:r w:rsidR="00825B61">
        <w:t>“M</w:t>
      </w:r>
      <w:r w:rsidR="00825B61" w:rsidRPr="00FB3767">
        <w:t xml:space="preserve">easures </w:t>
      </w:r>
      <w:r w:rsidR="00825B61">
        <w:t xml:space="preserve">to </w:t>
      </w:r>
      <w:r w:rsidR="00825B61" w:rsidRPr="00FB3767">
        <w:t>prevent emergenc</w:t>
      </w:r>
      <w:r w:rsidR="00825B61">
        <w:t>y</w:t>
      </w:r>
      <w:r w:rsidR="00825B61" w:rsidRPr="00FB3767">
        <w:t xml:space="preserve"> </w:t>
      </w:r>
      <w:r w:rsidR="00825B61">
        <w:t xml:space="preserve">situations </w:t>
      </w:r>
      <w:r w:rsidR="00825B61" w:rsidRPr="00FB3767">
        <w:t xml:space="preserve">and </w:t>
      </w:r>
      <w:r w:rsidR="00825B61">
        <w:t xml:space="preserve">to ensure </w:t>
      </w:r>
      <w:r w:rsidR="00DA3EB3">
        <w:t xml:space="preserve">the </w:t>
      </w:r>
      <w:r w:rsidR="00825B61">
        <w:t xml:space="preserve">rule of law </w:t>
      </w:r>
      <w:r w:rsidR="00825B61" w:rsidRPr="00FB3767">
        <w:t>during mass events</w:t>
      </w:r>
      <w:r w:rsidR="00825B61">
        <w:t>”</w:t>
      </w:r>
      <w:r w:rsidR="00085530">
        <w:t>; (b)</w:t>
      </w:r>
      <w:r w:rsidR="00085530" w:rsidRPr="00085530">
        <w:t xml:space="preserve"> </w:t>
      </w:r>
      <w:r w:rsidR="00085530" w:rsidRPr="00825B61">
        <w:t xml:space="preserve">the author failed to </w:t>
      </w:r>
      <w:r w:rsidR="00085530">
        <w:t>indicate the concrete measures he</w:t>
      </w:r>
      <w:r w:rsidR="00CA42FF">
        <w:t>, as an organi</w:t>
      </w:r>
      <w:r w:rsidR="00E6108F">
        <w:t>z</w:t>
      </w:r>
      <w:r w:rsidR="00CA42FF">
        <w:t xml:space="preserve">er, </w:t>
      </w:r>
      <w:r w:rsidR="00085530">
        <w:t xml:space="preserve">intended to take in order to ensure the security and public order during the picket, </w:t>
      </w:r>
      <w:r w:rsidR="00085530" w:rsidRPr="00825B61">
        <w:t xml:space="preserve">as required by decision No. </w:t>
      </w:r>
      <w:r w:rsidR="00085530">
        <w:t>700</w:t>
      </w:r>
      <w:r w:rsidR="00085530" w:rsidRPr="00825B61">
        <w:t>.</w:t>
      </w:r>
    </w:p>
    <w:p w14:paraId="1315A6D5" w14:textId="4553EA2E" w:rsidR="00825B61" w:rsidRDefault="008D38F3" w:rsidP="00E21E31">
      <w:pPr>
        <w:pStyle w:val="SingleTxtG"/>
      </w:pPr>
      <w:r w:rsidRPr="008D38F3">
        <w:t>2.</w:t>
      </w:r>
      <w:r w:rsidR="003B7955">
        <w:t>3</w:t>
      </w:r>
      <w:r w:rsidRPr="008D38F3">
        <w:tab/>
        <w:t xml:space="preserve">On </w:t>
      </w:r>
      <w:r w:rsidR="00FB3767">
        <w:t>29 December 2014</w:t>
      </w:r>
      <w:r w:rsidRPr="008D38F3">
        <w:t xml:space="preserve">, the author filed an appeal against the decision of the District </w:t>
      </w:r>
      <w:r w:rsidR="00952EDF">
        <w:t>Executive</w:t>
      </w:r>
      <w:r w:rsidR="00FB3767">
        <w:t xml:space="preserve"> Committee </w:t>
      </w:r>
      <w:r w:rsidRPr="008D38F3">
        <w:t>with the</w:t>
      </w:r>
      <w:r w:rsidR="006365F5" w:rsidRPr="006365F5">
        <w:t xml:space="preserve"> </w:t>
      </w:r>
      <w:r w:rsidRPr="008D38F3">
        <w:t>Court</w:t>
      </w:r>
      <w:r w:rsidR="00EE68F2">
        <w:t xml:space="preserve"> of the </w:t>
      </w:r>
      <w:proofErr w:type="spellStart"/>
      <w:r w:rsidR="00FB3767">
        <w:t>Salihorsk</w:t>
      </w:r>
      <w:proofErr w:type="spellEnd"/>
      <w:r w:rsidR="00FB3767">
        <w:t xml:space="preserve"> </w:t>
      </w:r>
      <w:r w:rsidR="00EE68F2">
        <w:t>District</w:t>
      </w:r>
      <w:r w:rsidRPr="008D38F3">
        <w:t xml:space="preserve"> </w:t>
      </w:r>
      <w:r w:rsidR="000F4D7F" w:rsidRPr="000F4D7F">
        <w:t xml:space="preserve">claiming a violation of his rights to </w:t>
      </w:r>
      <w:r w:rsidR="000F4D7F" w:rsidRPr="00E21E31">
        <w:t>freedom</w:t>
      </w:r>
      <w:r w:rsidR="000F4D7F" w:rsidRPr="000F4D7F">
        <w:t xml:space="preserve"> of </w:t>
      </w:r>
      <w:r w:rsidR="000F4D7F" w:rsidRPr="00983AD7">
        <w:t>expression</w:t>
      </w:r>
      <w:r w:rsidR="000F4D7F" w:rsidRPr="000F4D7F">
        <w:t xml:space="preserve"> and peaceful assembly as guaranteed by the Constitution of Belarus and articles 19 and 21 of the International Covenant on Civil and Political Rights.</w:t>
      </w:r>
      <w:r w:rsidR="00E2352D">
        <w:t xml:space="preserve"> </w:t>
      </w:r>
      <w:r w:rsidR="00825B61" w:rsidRPr="00825B61">
        <w:t xml:space="preserve">On </w:t>
      </w:r>
      <w:r w:rsidR="00825B61">
        <w:t xml:space="preserve">26 January </w:t>
      </w:r>
      <w:r w:rsidR="00825B61" w:rsidRPr="00825B61">
        <w:t>20</w:t>
      </w:r>
      <w:r w:rsidR="00825B61">
        <w:t>15</w:t>
      </w:r>
      <w:r w:rsidR="00825B61" w:rsidRPr="00825B61">
        <w:t xml:space="preserve">, the </w:t>
      </w:r>
      <w:r w:rsidR="00DA3EB3">
        <w:t>C</w:t>
      </w:r>
      <w:r w:rsidR="00825B61" w:rsidRPr="00825B61">
        <w:t xml:space="preserve">ourt considered the decision of the </w:t>
      </w:r>
      <w:proofErr w:type="spellStart"/>
      <w:r w:rsidR="00E2352D">
        <w:t>Salihorsk</w:t>
      </w:r>
      <w:proofErr w:type="spellEnd"/>
      <w:r w:rsidR="00E2352D">
        <w:t xml:space="preserve"> District </w:t>
      </w:r>
      <w:r w:rsidR="00825B61" w:rsidRPr="00825B61">
        <w:t>Executive Committee to be in compliance with the provisions of the Law on Mass Events and rejected the author’s appeal.</w:t>
      </w:r>
      <w:r w:rsidR="00825B61">
        <w:t xml:space="preserve"> </w:t>
      </w:r>
    </w:p>
    <w:p w14:paraId="01E81DF5" w14:textId="2CCDF787" w:rsidR="003B7955" w:rsidRDefault="00FA1FCE" w:rsidP="00E21E31">
      <w:pPr>
        <w:pStyle w:val="SingleTxtG"/>
      </w:pPr>
      <w:r>
        <w:t>2.4</w:t>
      </w:r>
      <w:r>
        <w:tab/>
      </w:r>
      <w:r w:rsidR="008D38F3" w:rsidRPr="008D38F3">
        <w:t xml:space="preserve">On </w:t>
      </w:r>
      <w:r w:rsidR="003B7955">
        <w:t>12 February 2015</w:t>
      </w:r>
      <w:r w:rsidR="008D38F3" w:rsidRPr="008D38F3">
        <w:t xml:space="preserve">, the author filed a cassation appeal against the District Court decision with the </w:t>
      </w:r>
      <w:r w:rsidR="003B7955" w:rsidRPr="00E21E31">
        <w:t>Minsk</w:t>
      </w:r>
      <w:r w:rsidR="003B7955">
        <w:t xml:space="preserve"> </w:t>
      </w:r>
      <w:r w:rsidR="008D38F3" w:rsidRPr="008D38F3">
        <w:t xml:space="preserve">Regional Court. On </w:t>
      </w:r>
      <w:r w:rsidR="003B7955">
        <w:t>12 March 2015</w:t>
      </w:r>
      <w:r w:rsidR="008D38F3" w:rsidRPr="008D38F3">
        <w:t xml:space="preserve">, the </w:t>
      </w:r>
      <w:r w:rsidR="00303D16">
        <w:t xml:space="preserve">Minsk </w:t>
      </w:r>
      <w:r w:rsidR="008D38F3" w:rsidRPr="008D38F3">
        <w:t xml:space="preserve">Regional Court dismissed the appeal. </w:t>
      </w:r>
      <w:r w:rsidR="003365EC" w:rsidRPr="003365EC">
        <w:t xml:space="preserve">The </w:t>
      </w:r>
      <w:r w:rsidR="003365EC" w:rsidRPr="00E21E31">
        <w:t>author</w:t>
      </w:r>
      <w:r w:rsidR="003365EC" w:rsidRPr="003365EC">
        <w:t xml:space="preserve"> has made no further appeals under the supervisory review procedure since </w:t>
      </w:r>
      <w:r w:rsidR="003365EC" w:rsidRPr="00983AD7">
        <w:t>he</w:t>
      </w:r>
      <w:r w:rsidR="003365EC" w:rsidRPr="003365EC">
        <w:t xml:space="preserve"> considers that the procedure does not constitute an effective remedy, given the established domestic practice in similar cases.</w:t>
      </w:r>
    </w:p>
    <w:p w14:paraId="691BF006" w14:textId="77777777" w:rsidR="000128E3" w:rsidRPr="00415BA0" w:rsidRDefault="000128E3" w:rsidP="00983AD7">
      <w:pPr>
        <w:pStyle w:val="H23G"/>
      </w:pPr>
      <w:r w:rsidRPr="00415BA0">
        <w:tab/>
      </w:r>
      <w:r w:rsidRPr="00415BA0">
        <w:tab/>
        <w:t xml:space="preserve">The </w:t>
      </w:r>
      <w:r w:rsidRPr="00FD4BC3">
        <w:t>complaint</w:t>
      </w:r>
    </w:p>
    <w:p w14:paraId="0358522D" w14:textId="192713C8" w:rsidR="00E711CA" w:rsidRDefault="00BF450E" w:rsidP="00983AD7">
      <w:pPr>
        <w:pStyle w:val="SingleTxtG"/>
      </w:pPr>
      <w:r w:rsidRPr="00BF450E">
        <w:t>3.</w:t>
      </w:r>
      <w:r w:rsidRPr="00BF450E">
        <w:tab/>
        <w:t>The author claims that his right to freedom of expression has been restricted</w:t>
      </w:r>
      <w:r w:rsidR="00303D16">
        <w:t xml:space="preserve">, </w:t>
      </w:r>
      <w:r w:rsidRPr="00BF450E">
        <w:t>in violation of article 19 of the Covenant</w:t>
      </w:r>
      <w:r w:rsidR="00303D16">
        <w:t>,</w:t>
      </w:r>
      <w:r w:rsidRPr="00BF450E">
        <w:t xml:space="preserve"> by an unjustified refusal of the State party’s authorities to permit him to hold a </w:t>
      </w:r>
      <w:r w:rsidRPr="00983AD7">
        <w:t>picket</w:t>
      </w:r>
      <w:r w:rsidRPr="00BF450E">
        <w:t xml:space="preserve">. He </w:t>
      </w:r>
      <w:r w:rsidR="00241D40">
        <w:t>further</w:t>
      </w:r>
      <w:r w:rsidR="00241D40" w:rsidRPr="00BF450E">
        <w:t xml:space="preserve"> </w:t>
      </w:r>
      <w:r w:rsidR="00303D16">
        <w:t xml:space="preserve">claims </w:t>
      </w:r>
      <w:r w:rsidRPr="00BF450E">
        <w:t xml:space="preserve">that his right to freedom of assembly under article 21 of the </w:t>
      </w:r>
      <w:r w:rsidRPr="00FD4BC3">
        <w:t>Covenant</w:t>
      </w:r>
      <w:r w:rsidRPr="00BF450E">
        <w:t xml:space="preserve"> has been violated by the unjustified refusal of the authorities to authorize the picket.</w:t>
      </w:r>
      <w:r w:rsidR="00E711CA">
        <w:t xml:space="preserve"> </w:t>
      </w:r>
      <w:r w:rsidR="00E711CA" w:rsidRPr="009F390B">
        <w:t>The author claims that the restrictions imposed by the State authorities on the exercise of his rights to freedom of expression and freedom of assembly were neither justified for purposes of national security, public safety or public order, or the protection of public health or morals, nor were they necessary for the protection of the rights and freedoms of others.</w:t>
      </w:r>
    </w:p>
    <w:p w14:paraId="6DBDCB21" w14:textId="088483DA" w:rsidR="00BF450E" w:rsidRPr="00BF450E" w:rsidRDefault="00FD4BC3" w:rsidP="00983AD7">
      <w:pPr>
        <w:pStyle w:val="H23G"/>
      </w:pPr>
      <w:r>
        <w:tab/>
      </w:r>
      <w:r>
        <w:tab/>
      </w:r>
      <w:r w:rsidR="00BF450E" w:rsidRPr="00BF450E">
        <w:t>State party’s observations on admissibility</w:t>
      </w:r>
      <w:r w:rsidR="00184F74">
        <w:t xml:space="preserve"> and merits</w:t>
      </w:r>
    </w:p>
    <w:p w14:paraId="16635AE8" w14:textId="5B1E0D8A" w:rsidR="00184F74" w:rsidRDefault="00BF450E" w:rsidP="00E21E31">
      <w:pPr>
        <w:pStyle w:val="SingleTxtG"/>
      </w:pPr>
      <w:r w:rsidRPr="00FE22ED">
        <w:t>4.1</w:t>
      </w:r>
      <w:r w:rsidRPr="00FE22ED">
        <w:tab/>
        <w:t xml:space="preserve">By note </w:t>
      </w:r>
      <w:proofErr w:type="spellStart"/>
      <w:r w:rsidRPr="00E21E31">
        <w:t>verbale</w:t>
      </w:r>
      <w:proofErr w:type="spellEnd"/>
      <w:r w:rsidRPr="00FE22ED">
        <w:t xml:space="preserve"> of </w:t>
      </w:r>
      <w:r w:rsidRPr="00FD4BC3">
        <w:t>24 February 2016, the State party</w:t>
      </w:r>
      <w:r w:rsidR="00184F74" w:rsidRPr="00FD4BC3">
        <w:t xml:space="preserve"> submitted its observations on the admissibility and on the</w:t>
      </w:r>
      <w:r w:rsidR="00184F74" w:rsidRPr="00184F74">
        <w:t xml:space="preserve"> merits of the complaint a</w:t>
      </w:r>
      <w:r w:rsidR="00184F74">
        <w:t>nd</w:t>
      </w:r>
      <w:r w:rsidRPr="00FE22ED">
        <w:t xml:space="preserve"> </w:t>
      </w:r>
      <w:r w:rsidR="00725453" w:rsidRPr="00FE22ED">
        <w:t>note</w:t>
      </w:r>
      <w:r w:rsidR="00184F74">
        <w:t>d</w:t>
      </w:r>
      <w:r w:rsidR="00725453" w:rsidRPr="00FE22ED">
        <w:t xml:space="preserve"> </w:t>
      </w:r>
      <w:r w:rsidR="00184F74" w:rsidRPr="00184F74">
        <w:t xml:space="preserve">that the author had not exhausted all available </w:t>
      </w:r>
      <w:r w:rsidR="00184F74" w:rsidRPr="00983AD7">
        <w:t>domestic</w:t>
      </w:r>
      <w:r w:rsidR="00184F74" w:rsidRPr="00184F74">
        <w:t xml:space="preserve"> </w:t>
      </w:r>
      <w:r w:rsidR="00184F74" w:rsidRPr="00983AD7">
        <w:t>remedies</w:t>
      </w:r>
      <w:r w:rsidR="00184F74" w:rsidRPr="00184F74">
        <w:t xml:space="preserve"> since he did not appeal for supervisory review with the Supreme Court or the Office of the Prosecutor. The State party disagrees with the author’s argument that the supervisory review procedure does not constitute an effective remedy, and notes that in 2015, out of 197 appeals that had been introduced under the supervisory review procedure, 192 were granted for review by the Supreme Court.</w:t>
      </w:r>
    </w:p>
    <w:p w14:paraId="3D919F0C" w14:textId="7096C680" w:rsidR="00D902C0" w:rsidRDefault="00FD23DD" w:rsidP="00983AD7">
      <w:pPr>
        <w:pStyle w:val="SingleTxtG"/>
      </w:pPr>
      <w:r>
        <w:t>4.2</w:t>
      </w:r>
      <w:r w:rsidR="00184F74">
        <w:tab/>
        <w:t xml:space="preserve">The State party further notes </w:t>
      </w:r>
      <w:r w:rsidR="00725453" w:rsidRPr="00FE22ED">
        <w:t>that</w:t>
      </w:r>
      <w:r w:rsidR="00184F74">
        <w:t xml:space="preserve"> the author’s claims of a violation of articles 19 and 21</w:t>
      </w:r>
      <w:r w:rsidR="00184F74" w:rsidRPr="00184F74">
        <w:t xml:space="preserve"> are unsubstantiated</w:t>
      </w:r>
      <w:r w:rsidR="00184F74">
        <w:t>. The</w:t>
      </w:r>
      <w:r w:rsidR="00725453" w:rsidRPr="00FE22ED">
        <w:t xml:space="preserve"> author’s</w:t>
      </w:r>
      <w:r w:rsidR="00725453" w:rsidRPr="00725453">
        <w:t xml:space="preserve"> </w:t>
      </w:r>
      <w:r w:rsidR="00725453" w:rsidRPr="00FE22ED">
        <w:t>appeals against the decision of the District E</w:t>
      </w:r>
      <w:r w:rsidR="00303D16">
        <w:t>x</w:t>
      </w:r>
      <w:r w:rsidR="00725453" w:rsidRPr="00FE22ED">
        <w:t xml:space="preserve">ecutive </w:t>
      </w:r>
      <w:r w:rsidR="00725453" w:rsidRPr="00FE22ED">
        <w:lastRenderedPageBreak/>
        <w:t xml:space="preserve">Committee with the Court of the </w:t>
      </w:r>
      <w:proofErr w:type="spellStart"/>
      <w:r w:rsidR="00725453" w:rsidRPr="00FE22ED">
        <w:t>Salihorsk</w:t>
      </w:r>
      <w:proofErr w:type="spellEnd"/>
      <w:r w:rsidR="00725453" w:rsidRPr="00FE22ED">
        <w:t xml:space="preserve"> District and the </w:t>
      </w:r>
      <w:r w:rsidR="003026C7" w:rsidRPr="00983AD7">
        <w:t>Minsk</w:t>
      </w:r>
      <w:r w:rsidR="00725453" w:rsidRPr="00FE22ED">
        <w:t xml:space="preserve"> Regional Court were dismissed on 26 January and 12 March 2015 respectively. </w:t>
      </w:r>
      <w:r w:rsidR="00303D16">
        <w:t>T</w:t>
      </w:r>
      <w:r w:rsidR="00303D16" w:rsidRPr="00584891">
        <w:t>he State party ex</w:t>
      </w:r>
      <w:r w:rsidR="00303D16">
        <w:t>p</w:t>
      </w:r>
      <w:r w:rsidR="00303D16" w:rsidRPr="00584891">
        <w:t xml:space="preserve">lains </w:t>
      </w:r>
      <w:r w:rsidR="00303D16">
        <w:t xml:space="preserve">that </w:t>
      </w:r>
      <w:r w:rsidR="00D902C0" w:rsidRPr="00FE22ED">
        <w:t>the refusal of the District Executive Committee to allow the author to hold a picket</w:t>
      </w:r>
      <w:r w:rsidR="00303D16">
        <w:t xml:space="preserve"> </w:t>
      </w:r>
      <w:r w:rsidR="00D902C0" w:rsidRPr="00FE22ED">
        <w:t xml:space="preserve">was based on </w:t>
      </w:r>
      <w:r w:rsidR="003026C7" w:rsidRPr="00FE22ED">
        <w:t>Committee’s</w:t>
      </w:r>
      <w:r w:rsidR="00D902C0" w:rsidRPr="00FE22ED">
        <w:t xml:space="preserve"> decision of 7 October 2004, which </w:t>
      </w:r>
      <w:r w:rsidR="003026C7" w:rsidRPr="00FE22ED">
        <w:t>regulates</w:t>
      </w:r>
      <w:r w:rsidR="005D6D72" w:rsidRPr="00FE22ED">
        <w:t xml:space="preserve"> the organi</w:t>
      </w:r>
      <w:r w:rsidR="00E6108F">
        <w:t>z</w:t>
      </w:r>
      <w:r w:rsidR="005D6D72" w:rsidRPr="00FE22ED">
        <w:t xml:space="preserve">ation of mass events and allocates a designated area </w:t>
      </w:r>
      <w:r w:rsidR="00303D16">
        <w:t xml:space="preserve">for such events </w:t>
      </w:r>
      <w:r w:rsidR="005D6D72" w:rsidRPr="00FE22ED">
        <w:t xml:space="preserve">in the city of </w:t>
      </w:r>
      <w:proofErr w:type="spellStart"/>
      <w:r w:rsidR="005D6D72" w:rsidRPr="00FE22ED">
        <w:t>Salihorsk</w:t>
      </w:r>
      <w:proofErr w:type="spellEnd"/>
      <w:r w:rsidR="005D6D72" w:rsidRPr="00FE22ED">
        <w:t xml:space="preserve">. </w:t>
      </w:r>
      <w:r w:rsidR="00D902C0" w:rsidRPr="00FE22ED">
        <w:t xml:space="preserve">The decision of the </w:t>
      </w:r>
      <w:r w:rsidR="005D6D72" w:rsidRPr="00FE22ED">
        <w:t>E</w:t>
      </w:r>
      <w:r w:rsidR="00D902C0" w:rsidRPr="00FE22ED">
        <w:t xml:space="preserve">xecutive </w:t>
      </w:r>
      <w:r w:rsidR="005D6D72" w:rsidRPr="00FE22ED">
        <w:t>C</w:t>
      </w:r>
      <w:r w:rsidR="00D902C0" w:rsidRPr="00FE22ED">
        <w:t xml:space="preserve">ommittee is in line with article 9 of the </w:t>
      </w:r>
      <w:r w:rsidR="00A40510" w:rsidRPr="00FE22ED">
        <w:t xml:space="preserve">Law on </w:t>
      </w:r>
      <w:r w:rsidR="00D902C0" w:rsidRPr="00FE22ED">
        <w:t xml:space="preserve">Mass Events which </w:t>
      </w:r>
      <w:r w:rsidR="005D6D72">
        <w:t xml:space="preserve">vests the authority to designate </w:t>
      </w:r>
      <w:r w:rsidR="00E12C41">
        <w:t xml:space="preserve">special </w:t>
      </w:r>
      <w:r w:rsidR="005D6D72">
        <w:t xml:space="preserve">areas for mass </w:t>
      </w:r>
      <w:r w:rsidR="00952EDF">
        <w:t>events</w:t>
      </w:r>
      <w:r w:rsidR="005D6D72">
        <w:t xml:space="preserve"> with the local executive authorities. </w:t>
      </w:r>
    </w:p>
    <w:p w14:paraId="7F7AD8FD" w14:textId="1B9D5733" w:rsidR="005D6D72" w:rsidRPr="00E12C41" w:rsidRDefault="00F10790" w:rsidP="00983AD7">
      <w:pPr>
        <w:pStyle w:val="SingleTxtG"/>
      </w:pPr>
      <w:r>
        <w:t>4.</w:t>
      </w:r>
      <w:r w:rsidR="00184F74">
        <w:t>3</w:t>
      </w:r>
      <w:r>
        <w:tab/>
      </w:r>
      <w:r w:rsidR="00E12C41" w:rsidRPr="00E12C41">
        <w:t xml:space="preserve">The provisions of this </w:t>
      </w:r>
      <w:r w:rsidR="00A40510">
        <w:t xml:space="preserve">Law on </w:t>
      </w:r>
      <w:r w:rsidR="00E12C41" w:rsidRPr="00E12C41">
        <w:t>Mass Events</w:t>
      </w:r>
      <w:r w:rsidR="003026C7">
        <w:t>,</w:t>
      </w:r>
      <w:r w:rsidR="003026C7" w:rsidRPr="00E12C41">
        <w:t xml:space="preserve"> along</w:t>
      </w:r>
      <w:r w:rsidR="00E12C41" w:rsidRPr="00E12C41">
        <w:t xml:space="preserve"> </w:t>
      </w:r>
      <w:r w:rsidR="00E12C41" w:rsidRPr="00983AD7">
        <w:t>with</w:t>
      </w:r>
      <w:r w:rsidR="00E12C41" w:rsidRPr="00E12C41">
        <w:t xml:space="preserve"> regulating the organization and conduct of meetings, rallies, street processions or demonstrations, pickets and other </w:t>
      </w:r>
      <w:r w:rsidR="00303D16">
        <w:t xml:space="preserve">mass </w:t>
      </w:r>
      <w:r w:rsidR="00E12C41" w:rsidRPr="00E12C41">
        <w:t>events in Belarus are aimed at creating conditions for the realization of the constitutional rights of citizens and their freedoms. These provisions also provide for maximizing public safety and order when carrying out mass events in the streets, squares and other public venues, as well as increasing personal responsibility of citizens who are organi</w:t>
      </w:r>
      <w:r w:rsidR="00E6108F">
        <w:t>z</w:t>
      </w:r>
      <w:r w:rsidR="00E12C41" w:rsidRPr="00E12C41">
        <w:t>ing these events.</w:t>
      </w:r>
      <w:r w:rsidR="00E12C41">
        <w:t xml:space="preserve"> </w:t>
      </w:r>
      <w:r w:rsidR="00E12C41" w:rsidRPr="009F390B">
        <w:t xml:space="preserve">The </w:t>
      </w:r>
      <w:r w:rsidR="00303D16" w:rsidRPr="009F390B">
        <w:t>S</w:t>
      </w:r>
      <w:r w:rsidR="00E12C41" w:rsidRPr="009F390B">
        <w:t xml:space="preserve">tate party continues that the author failed to comply with this part of the Law, but also violates its articles </w:t>
      </w:r>
      <w:r w:rsidR="00D056DA" w:rsidRPr="009F390B">
        <w:t>5</w:t>
      </w:r>
      <w:r w:rsidR="00D056DA" w:rsidRPr="009F390B">
        <w:rPr>
          <w:rStyle w:val="FootnoteReference"/>
        </w:rPr>
        <w:footnoteReference w:id="4"/>
      </w:r>
      <w:r w:rsidR="00E12C41" w:rsidRPr="009F390B">
        <w:t xml:space="preserve"> and</w:t>
      </w:r>
      <w:r w:rsidR="00E12C41">
        <w:t xml:space="preserve"> </w:t>
      </w:r>
      <w:r w:rsidR="00D056DA">
        <w:t>10</w:t>
      </w:r>
      <w:r w:rsidR="00D056DA">
        <w:rPr>
          <w:rStyle w:val="FootnoteReference"/>
        </w:rPr>
        <w:footnoteReference w:id="5"/>
      </w:r>
      <w:r w:rsidR="00D056DA">
        <w:t xml:space="preserve"> </w:t>
      </w:r>
      <w:r w:rsidR="00E12C41">
        <w:t xml:space="preserve">by failing to </w:t>
      </w:r>
      <w:r w:rsidR="00E12C41" w:rsidRPr="00E12C41">
        <w:t>indicate the concrete measures he, as an organi</w:t>
      </w:r>
      <w:r w:rsidR="00E6108F">
        <w:t>z</w:t>
      </w:r>
      <w:r w:rsidR="00E12C41" w:rsidRPr="00E12C41">
        <w:t>er, intended to take in order to ensure the security and public order during the picket</w:t>
      </w:r>
      <w:r w:rsidR="00E12C41">
        <w:t xml:space="preserve">. Therefore, the State party concludes, </w:t>
      </w:r>
      <w:r w:rsidR="006023C0">
        <w:t xml:space="preserve">that </w:t>
      </w:r>
      <w:r w:rsidR="00E12C41">
        <w:t xml:space="preserve">the </w:t>
      </w:r>
      <w:r w:rsidR="00241D40">
        <w:t>C</w:t>
      </w:r>
      <w:r w:rsidR="007E5732">
        <w:t xml:space="preserve">ourt’s decision to uphold the refusal </w:t>
      </w:r>
      <w:r w:rsidR="006023C0">
        <w:t xml:space="preserve">by </w:t>
      </w:r>
      <w:r w:rsidR="007E5732">
        <w:t>the</w:t>
      </w:r>
      <w:r w:rsidR="006023C0">
        <w:t xml:space="preserve"> District</w:t>
      </w:r>
      <w:r w:rsidR="007E5732">
        <w:t xml:space="preserve"> Executive Committee to </w:t>
      </w:r>
      <w:r w:rsidR="00952EDF">
        <w:t>conduct</w:t>
      </w:r>
      <w:r w:rsidR="007E5732">
        <w:t xml:space="preserve"> a mass event was correct. </w:t>
      </w:r>
    </w:p>
    <w:p w14:paraId="2051BA49" w14:textId="4D0370BC" w:rsidR="00D33324" w:rsidRDefault="002F1CC4" w:rsidP="00BF450E">
      <w:pPr>
        <w:pStyle w:val="SingleTxtG"/>
      </w:pPr>
      <w:r>
        <w:t>4.</w:t>
      </w:r>
      <w:r w:rsidR="00184F74">
        <w:t>4</w:t>
      </w:r>
      <w:r>
        <w:tab/>
      </w:r>
      <w:r w:rsidR="00F963B8">
        <w:t xml:space="preserve">The </w:t>
      </w:r>
      <w:r w:rsidR="006023C0">
        <w:t xml:space="preserve">State party </w:t>
      </w:r>
      <w:r w:rsidR="00241D40">
        <w:t xml:space="preserve">further </w:t>
      </w:r>
      <w:r w:rsidR="006023C0">
        <w:t xml:space="preserve">submits that the </w:t>
      </w:r>
      <w:r w:rsidR="00F963B8">
        <w:t>n</w:t>
      </w:r>
      <w:r w:rsidR="00B14BDF">
        <w:t xml:space="preserve">ational legislation that provides for the right to </w:t>
      </w:r>
      <w:r w:rsidR="00952EDF">
        <w:t>peaceful</w:t>
      </w:r>
      <w:r w:rsidR="00B14BDF">
        <w:t xml:space="preserve"> assembl</w:t>
      </w:r>
      <w:r w:rsidR="00D33324">
        <w:t>y</w:t>
      </w:r>
      <w:r w:rsidR="00B14BDF">
        <w:t xml:space="preserve"> and regulates the order and timeframe of </w:t>
      </w:r>
      <w:r w:rsidR="00D33324">
        <w:t>organi</w:t>
      </w:r>
      <w:r w:rsidR="00E6108F">
        <w:t>z</w:t>
      </w:r>
      <w:r w:rsidR="00D33324">
        <w:t xml:space="preserve">ation of </w:t>
      </w:r>
      <w:r w:rsidR="00B14BDF">
        <w:t>mass even</w:t>
      </w:r>
      <w:r w:rsidR="00D33324">
        <w:t>t</w:t>
      </w:r>
      <w:r w:rsidR="00B14BDF">
        <w:t>s is co</w:t>
      </w:r>
      <w:r w:rsidR="00D33324">
        <w:t xml:space="preserve">herent </w:t>
      </w:r>
      <w:r w:rsidR="00B14BDF">
        <w:t xml:space="preserve">with the provisions of the Constitution of the Republic of Belarus and does not contradict the international norms that allow each </w:t>
      </w:r>
      <w:r w:rsidR="00D33324">
        <w:t>S</w:t>
      </w:r>
      <w:r w:rsidR="00B14BDF">
        <w:t xml:space="preserve">tate to introduce restrictions to the rights and freedoms of </w:t>
      </w:r>
      <w:r w:rsidR="006023C0">
        <w:t xml:space="preserve">a </w:t>
      </w:r>
      <w:r w:rsidR="00B14BDF">
        <w:t xml:space="preserve">person that are necessary </w:t>
      </w:r>
      <w:r w:rsidR="00D33324">
        <w:t xml:space="preserve">in </w:t>
      </w:r>
      <w:r w:rsidR="00F963B8">
        <w:t>a</w:t>
      </w:r>
      <w:r w:rsidR="00D33324">
        <w:t xml:space="preserve"> democratic society </w:t>
      </w:r>
      <w:r>
        <w:t xml:space="preserve">and </w:t>
      </w:r>
      <w:r w:rsidR="00D33324">
        <w:t xml:space="preserve">in the interest of national security or public safety, public order, the protection of public </w:t>
      </w:r>
      <w:r w:rsidR="00952EDF">
        <w:t>health</w:t>
      </w:r>
      <w:r w:rsidR="00D33324">
        <w:t xml:space="preserve"> or morals or the protection of the rights and freedoms of others. </w:t>
      </w:r>
    </w:p>
    <w:p w14:paraId="6C6D6B33" w14:textId="2E651647" w:rsidR="00D24185" w:rsidRPr="00D24185" w:rsidRDefault="00D24185" w:rsidP="00983AD7">
      <w:pPr>
        <w:pStyle w:val="H23G"/>
      </w:pPr>
      <w:r>
        <w:tab/>
      </w:r>
      <w:r>
        <w:tab/>
      </w:r>
      <w:r w:rsidRPr="00D24185">
        <w:t>Author’s comments on the State party’s observations</w:t>
      </w:r>
    </w:p>
    <w:p w14:paraId="64807FAE" w14:textId="0B2E9562" w:rsidR="002A2334" w:rsidRDefault="00D24185" w:rsidP="00983AD7">
      <w:pPr>
        <w:pStyle w:val="SingleTxtG"/>
      </w:pPr>
      <w:r w:rsidRPr="00D24185">
        <w:t>5.</w:t>
      </w:r>
      <w:r w:rsidR="00756A3F">
        <w:t>1</w:t>
      </w:r>
      <w:r w:rsidRPr="00D24185">
        <w:tab/>
        <w:t xml:space="preserve">On </w:t>
      </w:r>
      <w:r w:rsidR="002A2334">
        <w:t xml:space="preserve">14 March </w:t>
      </w:r>
      <w:r w:rsidRPr="00D24185">
        <w:t>20</w:t>
      </w:r>
      <w:r w:rsidR="002A2334">
        <w:t>16</w:t>
      </w:r>
      <w:r w:rsidRPr="00D24185">
        <w:t xml:space="preserve">, </w:t>
      </w:r>
      <w:r w:rsidR="002A2334">
        <w:t xml:space="preserve">referring to State party’s </w:t>
      </w:r>
      <w:r w:rsidR="00F963B8">
        <w:t xml:space="preserve">observations to the effect </w:t>
      </w:r>
      <w:r w:rsidR="002A2334">
        <w:t xml:space="preserve">that the Law on Mass </w:t>
      </w:r>
      <w:r w:rsidR="00A50C59">
        <w:t xml:space="preserve">Events </w:t>
      </w:r>
      <w:r w:rsidR="002A2334">
        <w:t xml:space="preserve">was </w:t>
      </w:r>
      <w:r w:rsidR="002A2334" w:rsidRPr="002A2334">
        <w:t xml:space="preserve">aimed at creating conditions for the realization of the rights of citizens </w:t>
      </w:r>
      <w:r w:rsidR="002A2334">
        <w:t xml:space="preserve">on conducting </w:t>
      </w:r>
      <w:r w:rsidR="00952EDF">
        <w:t>peaceful</w:t>
      </w:r>
      <w:r w:rsidR="002A2334">
        <w:t xml:space="preserve"> assemblies, the author draw</w:t>
      </w:r>
      <w:r w:rsidR="00F963B8">
        <w:t>s</w:t>
      </w:r>
      <w:r w:rsidR="002A2334">
        <w:t xml:space="preserve"> the attention </w:t>
      </w:r>
      <w:r w:rsidR="00F963B8">
        <w:t xml:space="preserve">to the </w:t>
      </w:r>
      <w:r w:rsidR="002A2334">
        <w:t>Committee</w:t>
      </w:r>
      <w:r w:rsidR="00F963B8">
        <w:t>’s case law</w:t>
      </w:r>
      <w:r w:rsidR="00241D40">
        <w:t xml:space="preserve">: he </w:t>
      </w:r>
      <w:r w:rsidR="00AD293B" w:rsidRPr="00AD293B">
        <w:t>observe</w:t>
      </w:r>
      <w:r w:rsidR="00241D40">
        <w:t>s</w:t>
      </w:r>
      <w:r w:rsidR="00AD293B" w:rsidRPr="00AD293B">
        <w:t xml:space="preserve"> that the restrictions imposed on the freedom of assembly </w:t>
      </w:r>
      <w:r w:rsidR="008E1D1B">
        <w:t>on the basis of</w:t>
      </w:r>
      <w:r w:rsidR="00AD293B" w:rsidRPr="00AD293B">
        <w:t xml:space="preserve"> provisions of domestic law included the burdensome requirements of securing three separate written  </w:t>
      </w:r>
      <w:r w:rsidR="00535E18" w:rsidRPr="00535E18">
        <w:rPr>
          <w:lang w:val="en-US"/>
        </w:rPr>
        <w:t>authorizations</w:t>
      </w:r>
      <w:r w:rsidR="00535E18">
        <w:rPr>
          <w:lang w:val="en-US"/>
        </w:rPr>
        <w:t xml:space="preserve"> </w:t>
      </w:r>
      <w:r w:rsidR="00AD293B" w:rsidRPr="00AD293B">
        <w:t xml:space="preserve">from three different administrative departments, which have rendered illusory </w:t>
      </w:r>
      <w:r w:rsidR="008E1D1B">
        <w:t xml:space="preserve">his </w:t>
      </w:r>
      <w:r w:rsidR="00AD293B" w:rsidRPr="00AD293B">
        <w:t>right to demonstrate.</w:t>
      </w:r>
      <w:r w:rsidR="00AD293B">
        <w:rPr>
          <w:rStyle w:val="FootnoteReference"/>
        </w:rPr>
        <w:footnoteReference w:id="6"/>
      </w:r>
    </w:p>
    <w:p w14:paraId="3E4B865D" w14:textId="1596F84A" w:rsidR="00AD293B" w:rsidRDefault="00604415" w:rsidP="00E21E31">
      <w:pPr>
        <w:pStyle w:val="SingleTxtG"/>
      </w:pPr>
      <w:r>
        <w:t>5.</w:t>
      </w:r>
      <w:r w:rsidR="00756A3F">
        <w:t>2</w:t>
      </w:r>
      <w:r>
        <w:tab/>
      </w:r>
      <w:r w:rsidR="00AD293B">
        <w:t>The aut</w:t>
      </w:r>
      <w:r>
        <w:t xml:space="preserve">hor </w:t>
      </w:r>
      <w:r w:rsidR="00AD293B">
        <w:t>furth</w:t>
      </w:r>
      <w:r>
        <w:t>e</w:t>
      </w:r>
      <w:r w:rsidR="00AD293B">
        <w:t>r refer</w:t>
      </w:r>
      <w:r>
        <w:t>s</w:t>
      </w:r>
      <w:r w:rsidR="00AD293B">
        <w:t xml:space="preserve"> to </w:t>
      </w:r>
      <w:r w:rsidR="00F963B8">
        <w:t xml:space="preserve">the </w:t>
      </w:r>
      <w:r w:rsidR="00AD293B">
        <w:t xml:space="preserve">Committee’s </w:t>
      </w:r>
      <w:r w:rsidR="00F963B8">
        <w:t>case law</w:t>
      </w:r>
      <w:r>
        <w:t xml:space="preserve"> </w:t>
      </w:r>
      <w:r w:rsidR="00F963B8">
        <w:t xml:space="preserve">where it was stated </w:t>
      </w:r>
      <w:r>
        <w:t>that</w:t>
      </w:r>
      <w:r w:rsidRPr="00604415">
        <w:t xml:space="preserve"> when a State party imposes restrictions with the aim of reconciling an individual’s right to assembly and the aforementioned interests of general concern, it should be guided by the aim of facilitating the right, rather than seeking unnecessary or disproportionate limitations to it. Any restriction on the exercise of the right of peaceful assembly must conform to the strict tests of necessity and proportionality.</w:t>
      </w:r>
      <w:r>
        <w:rPr>
          <w:rStyle w:val="FootnoteReference"/>
        </w:rPr>
        <w:footnoteReference w:id="7"/>
      </w:r>
    </w:p>
    <w:p w14:paraId="25E02AE1" w14:textId="7BC41F59" w:rsidR="0090596D" w:rsidRDefault="00756A3F" w:rsidP="00E21E31">
      <w:pPr>
        <w:pStyle w:val="SingleTxtG"/>
      </w:pPr>
      <w:r>
        <w:t>5.3</w:t>
      </w:r>
      <w:r>
        <w:tab/>
      </w:r>
      <w:r w:rsidR="00F963B8">
        <w:t>T</w:t>
      </w:r>
      <w:r w:rsidR="0090596D">
        <w:t xml:space="preserve">he author </w:t>
      </w:r>
      <w:r w:rsidR="00952EDF">
        <w:t>maintains</w:t>
      </w:r>
      <w:r w:rsidR="0090596D">
        <w:t xml:space="preserve"> that the domestic remedies should not only be accessible but </w:t>
      </w:r>
      <w:r w:rsidR="008E1D1B">
        <w:t xml:space="preserve">should </w:t>
      </w:r>
      <w:r w:rsidR="00E74951">
        <w:t xml:space="preserve">also </w:t>
      </w:r>
      <w:r w:rsidR="008E1D1B">
        <w:t xml:space="preserve">be </w:t>
      </w:r>
      <w:r w:rsidR="0090596D">
        <w:t xml:space="preserve">effective. </w:t>
      </w:r>
      <w:r w:rsidR="0090596D" w:rsidRPr="0090596D">
        <w:t xml:space="preserve">Referring to the Committee’s jurisprudence, he points out that an appeal under the supervisory review procedure does not constitute an effective remedy. He adds that this procedure is </w:t>
      </w:r>
      <w:r w:rsidR="008E1D1B">
        <w:t>subject to</w:t>
      </w:r>
      <w:r w:rsidR="008E1D1B" w:rsidRPr="0090596D">
        <w:t xml:space="preserve"> </w:t>
      </w:r>
      <w:r w:rsidR="0090596D" w:rsidRPr="0090596D">
        <w:t xml:space="preserve">the discretion of a prosecutor or a judge and does not entail a consideration of the case on its merits. He concludes that all available and effective domestic remedies have </w:t>
      </w:r>
      <w:r w:rsidR="008E1D1B">
        <w:t xml:space="preserve">thus </w:t>
      </w:r>
      <w:r w:rsidR="0090596D" w:rsidRPr="0090596D">
        <w:t>been exhausted in his case.</w:t>
      </w:r>
    </w:p>
    <w:p w14:paraId="124D5ACD" w14:textId="11F164C2" w:rsidR="0090596D" w:rsidRDefault="00756A3F" w:rsidP="00E21E31">
      <w:pPr>
        <w:pStyle w:val="SingleTxtG"/>
      </w:pPr>
      <w:r>
        <w:lastRenderedPageBreak/>
        <w:t>5.4</w:t>
      </w:r>
      <w:r>
        <w:tab/>
      </w:r>
      <w:r w:rsidR="0090596D">
        <w:t xml:space="preserve">Regarding </w:t>
      </w:r>
      <w:r w:rsidR="00F963B8">
        <w:t xml:space="preserve">the </w:t>
      </w:r>
      <w:r w:rsidR="0090596D">
        <w:t>State party</w:t>
      </w:r>
      <w:r w:rsidR="00376745">
        <w:t>’</w:t>
      </w:r>
      <w:r w:rsidR="0090596D">
        <w:t xml:space="preserve">s statistics </w:t>
      </w:r>
      <w:r w:rsidR="00403D97">
        <w:t xml:space="preserve">in relation to </w:t>
      </w:r>
      <w:r w:rsidR="00F963B8">
        <w:t xml:space="preserve">the </w:t>
      </w:r>
      <w:r w:rsidR="00403D97">
        <w:t xml:space="preserve">number of </w:t>
      </w:r>
      <w:r>
        <w:t xml:space="preserve">cases </w:t>
      </w:r>
      <w:r w:rsidR="0090596D">
        <w:t>revie</w:t>
      </w:r>
      <w:r>
        <w:t>wed</w:t>
      </w:r>
      <w:r w:rsidR="0090596D">
        <w:t xml:space="preserve"> under the supervisory </w:t>
      </w:r>
      <w:r w:rsidR="00F963B8">
        <w:t xml:space="preserve">review </w:t>
      </w:r>
      <w:r w:rsidR="0090596D">
        <w:t xml:space="preserve">procedure, the </w:t>
      </w:r>
      <w:r w:rsidR="00952EDF">
        <w:t>author</w:t>
      </w:r>
      <w:r w:rsidR="0090596D">
        <w:t xml:space="preserve"> </w:t>
      </w:r>
      <w:r>
        <w:t>believes t</w:t>
      </w:r>
      <w:r w:rsidR="0090596D">
        <w:t xml:space="preserve">hat </w:t>
      </w:r>
      <w:r w:rsidR="00376745">
        <w:t xml:space="preserve">this argument </w:t>
      </w:r>
      <w:r w:rsidR="00F963B8">
        <w:t xml:space="preserve">is </w:t>
      </w:r>
      <w:r w:rsidR="00376745">
        <w:t xml:space="preserve">groundless since </w:t>
      </w:r>
      <w:r>
        <w:t xml:space="preserve">the State party </w:t>
      </w:r>
      <w:r w:rsidR="00376745">
        <w:t>failed to demonstrate how many of these cases were in relation to citizen</w:t>
      </w:r>
      <w:r>
        <w:t>s</w:t>
      </w:r>
      <w:r w:rsidR="00376745">
        <w:t>’ rights on freedom of assemb</w:t>
      </w:r>
      <w:r w:rsidR="00FD23DD">
        <w:t>ly.</w:t>
      </w:r>
    </w:p>
    <w:p w14:paraId="30830AE4" w14:textId="2C46B443" w:rsidR="0090596D" w:rsidRDefault="00403D97" w:rsidP="00E21E31">
      <w:pPr>
        <w:pStyle w:val="SingleTxtG"/>
      </w:pPr>
      <w:r>
        <w:t>5.5</w:t>
      </w:r>
      <w:r>
        <w:tab/>
        <w:t xml:space="preserve">The author asserts that </w:t>
      </w:r>
      <w:r w:rsidRPr="00403D97">
        <w:t>all available and effective domestic remedies have been exhausted</w:t>
      </w:r>
      <w:r>
        <w:t xml:space="preserve"> </w:t>
      </w:r>
      <w:r w:rsidR="000E6E85">
        <w:t xml:space="preserve">and the current case is admissible for consideration by the Committee </w:t>
      </w:r>
      <w:r w:rsidR="00952EDF">
        <w:t xml:space="preserve">under </w:t>
      </w:r>
      <w:r w:rsidRPr="00403D97">
        <w:t>article 5 (2) (b) of the Optional Protocol.</w:t>
      </w:r>
    </w:p>
    <w:p w14:paraId="4FC042AB" w14:textId="0ADB8137" w:rsidR="000128E3" w:rsidRDefault="000128E3" w:rsidP="00C401AE">
      <w:pPr>
        <w:pStyle w:val="H23G"/>
      </w:pPr>
      <w:r w:rsidRPr="00415BA0">
        <w:tab/>
      </w:r>
      <w:r w:rsidRPr="00415BA0">
        <w:tab/>
      </w:r>
      <w:r w:rsidR="007A26E3" w:rsidRPr="00415BA0">
        <w:tab/>
      </w:r>
      <w:r w:rsidRPr="00415BA0">
        <w:t>Issues and proceedings before the Committee</w:t>
      </w:r>
    </w:p>
    <w:p w14:paraId="1DCA7144" w14:textId="43E6B87F" w:rsidR="008B3D95" w:rsidRPr="005C4358" w:rsidRDefault="00DE5C04" w:rsidP="00885BF6">
      <w:pPr>
        <w:pStyle w:val="H4G"/>
        <w:rPr>
          <w:i w:val="0"/>
        </w:rPr>
      </w:pPr>
      <w:r>
        <w:tab/>
      </w:r>
      <w:r>
        <w:tab/>
      </w:r>
      <w:r w:rsidR="008B3D95" w:rsidRPr="005C4358">
        <w:t>Consideration of admissibility</w:t>
      </w:r>
    </w:p>
    <w:p w14:paraId="630CE388" w14:textId="77777777" w:rsidR="00AF1998" w:rsidRPr="00AF1998" w:rsidRDefault="00AF1998" w:rsidP="00983AD7">
      <w:pPr>
        <w:pStyle w:val="SingleTxtG"/>
      </w:pPr>
      <w:r w:rsidRPr="00AF1998">
        <w:t>6.1</w:t>
      </w:r>
      <w:r w:rsidRPr="00AF1998">
        <w:tab/>
        <w:t xml:space="preserve">Before considering any claim contained in a communication, the Committee must decide, in </w:t>
      </w:r>
      <w:r w:rsidRPr="00983AD7">
        <w:t>accordance</w:t>
      </w:r>
      <w:r w:rsidRPr="00AF1998">
        <w:t xml:space="preserve"> with rule 97 of its rules of procedure, whether the communication is admissible under the Optional Protocol.</w:t>
      </w:r>
    </w:p>
    <w:p w14:paraId="0081B64C" w14:textId="77777777" w:rsidR="00AF1998" w:rsidRPr="00AF1998" w:rsidRDefault="00AF1998" w:rsidP="00983AD7">
      <w:pPr>
        <w:pStyle w:val="SingleTxtG"/>
      </w:pPr>
      <w:r w:rsidRPr="00AF1998">
        <w:t>6.2</w:t>
      </w:r>
      <w:r w:rsidRPr="00AF1998">
        <w:tab/>
        <w:t xml:space="preserve">The </w:t>
      </w:r>
      <w:r w:rsidRPr="00983AD7">
        <w:t>Committee</w:t>
      </w:r>
      <w:r w:rsidRPr="00AF1998">
        <w:t xml:space="preserve"> has ascertained, as required under article 5 (2) (a) of the Optional Protocol, that the same matter is not being examined under another procedure of international investigation or settlement.</w:t>
      </w:r>
    </w:p>
    <w:p w14:paraId="6946E71A" w14:textId="28CD7FD7" w:rsidR="00AF1998" w:rsidRDefault="00B97E4C" w:rsidP="00983AD7">
      <w:pPr>
        <w:pStyle w:val="SingleTxtG"/>
      </w:pPr>
      <w:r>
        <w:t>6.3</w:t>
      </w:r>
      <w:r>
        <w:tab/>
      </w:r>
      <w:r w:rsidRPr="00B97E4C">
        <w:t xml:space="preserve">The Committee takes note of the State party’s argument that the author has failed to exhaust all domestic remedies. It notes that the only remedies </w:t>
      </w:r>
      <w:r w:rsidR="00184F74">
        <w:t>available to</w:t>
      </w:r>
      <w:r w:rsidRPr="00B97E4C">
        <w:t xml:space="preserve"> the author after his appeal was dismissed by the Minsk Regional Court would have been an appeal under the supervisory review </w:t>
      </w:r>
      <w:r w:rsidRPr="00983AD7">
        <w:t>procedure</w:t>
      </w:r>
      <w:r w:rsidRPr="00B97E4C">
        <w:t xml:space="preserve"> to the Prosecutor General </w:t>
      </w:r>
      <w:r w:rsidRPr="00A50C59">
        <w:t>or the Supreme Court</w:t>
      </w:r>
      <w:r w:rsidRPr="00B97E4C">
        <w:t xml:space="preserve">. In this context, the Committee </w:t>
      </w:r>
      <w:r w:rsidRPr="00983AD7">
        <w:t>recalls</w:t>
      </w:r>
      <w:r w:rsidRPr="00B97E4C">
        <w:t xml:space="preserve"> its jurisprudence, according to which a petition to </w:t>
      </w:r>
      <w:r w:rsidR="008E1D1B">
        <w:t>the</w:t>
      </w:r>
      <w:r w:rsidR="008E1D1B" w:rsidRPr="00B97E4C">
        <w:t xml:space="preserve"> </w:t>
      </w:r>
      <w:r w:rsidR="00EE1204">
        <w:t>P</w:t>
      </w:r>
      <w:r w:rsidRPr="00B97E4C">
        <w:t xml:space="preserve">rosecutor’s </w:t>
      </w:r>
      <w:r w:rsidR="00EE1204">
        <w:t>O</w:t>
      </w:r>
      <w:r w:rsidRPr="00B97E4C">
        <w:t xml:space="preserve">ffice requesting a review of court decisions that have taken effect does not constitute an effective remedy that has to be exhausted for the purposes of article 5 (2) (b) of the Optional Protocol. </w:t>
      </w:r>
      <w:r>
        <w:rPr>
          <w:rStyle w:val="FootnoteReference"/>
        </w:rPr>
        <w:footnoteReference w:id="8"/>
      </w:r>
      <w:r w:rsidR="00EE1204" w:rsidRPr="00EE1204">
        <w:t>It</w:t>
      </w:r>
      <w:r w:rsidR="008E1D1B">
        <w:t xml:space="preserve"> </w:t>
      </w:r>
      <w:r w:rsidR="00EE1204" w:rsidRPr="00EE1204">
        <w:t>also considers that filing requests for supervisory review to the chairperson of a court directed against court decisions that have entered into force and depend on the discretionary power of a judge constitutes an extraordinary remedy, and that the State party must show that there is a reasonable prospect that such requests would provide an effective remedy in the circumstances of the case. Given that the State party has not done so, the Committee considers that it is not precluded by article 5 (2) (b) of the Optional Protocol from examining the present communication.</w:t>
      </w:r>
      <w:r w:rsidR="00EE1204" w:rsidRPr="00EE1204" w:rsidDel="00EE1204">
        <w:t xml:space="preserve"> </w:t>
      </w:r>
    </w:p>
    <w:p w14:paraId="7E4CCE54" w14:textId="67D55E61" w:rsidR="00AF1998" w:rsidRDefault="00924A12" w:rsidP="00983AD7">
      <w:pPr>
        <w:pStyle w:val="SingleTxtG"/>
      </w:pPr>
      <w:r>
        <w:t>6.4</w:t>
      </w:r>
      <w:r>
        <w:tab/>
      </w:r>
      <w:r w:rsidRPr="00924A12">
        <w:t xml:space="preserve">The </w:t>
      </w:r>
      <w:r w:rsidRPr="00983AD7">
        <w:t>Committee</w:t>
      </w:r>
      <w:r w:rsidRPr="00924A12">
        <w:t xml:space="preserve"> </w:t>
      </w:r>
      <w:r w:rsidR="008E1D1B">
        <w:t xml:space="preserve">also </w:t>
      </w:r>
      <w:r w:rsidRPr="00924A12">
        <w:t>considers that the author has sufficiently substantiated his claim under articles 19</w:t>
      </w:r>
      <w:r>
        <w:t xml:space="preserve"> (2)</w:t>
      </w:r>
      <w:r w:rsidRPr="00924A12">
        <w:t xml:space="preserve"> and 21 of the Covenant, for the purposes of admissibility. It therefore declares the communication admissible and proceeds with its consideration of the merits.</w:t>
      </w:r>
    </w:p>
    <w:p w14:paraId="03CCEFF8" w14:textId="2E8DF1F1" w:rsidR="000D4E61" w:rsidRPr="00415BA0" w:rsidRDefault="00E21E31" w:rsidP="00E21E31">
      <w:pPr>
        <w:pStyle w:val="H4G"/>
      </w:pPr>
      <w:r>
        <w:tab/>
      </w:r>
      <w:r>
        <w:tab/>
      </w:r>
      <w:r w:rsidR="000D4E61" w:rsidRPr="00415BA0">
        <w:t>Considerations of the merits</w:t>
      </w:r>
    </w:p>
    <w:p w14:paraId="3D52521D" w14:textId="61304C96" w:rsidR="006A6790" w:rsidRDefault="00ED655E" w:rsidP="00983AD7">
      <w:pPr>
        <w:pStyle w:val="SingleTxtG"/>
      </w:pPr>
      <w:r>
        <w:t>7</w:t>
      </w:r>
      <w:r w:rsidR="00C7315E">
        <w:t>.1</w:t>
      </w:r>
      <w:r w:rsidR="00C7315E">
        <w:tab/>
      </w:r>
      <w:r w:rsidR="006A6790">
        <w:t xml:space="preserve">The Committee has considered the </w:t>
      </w:r>
      <w:r w:rsidR="00E42D0D">
        <w:t xml:space="preserve">present </w:t>
      </w:r>
      <w:r w:rsidR="006A6790">
        <w:t>communication in the light of all the information made available to it by the parties, as provided under article 5 (1) of the Optional Protocol.</w:t>
      </w:r>
    </w:p>
    <w:p w14:paraId="41455FBC" w14:textId="5DE34337" w:rsidR="006A6790" w:rsidRDefault="00ED655E" w:rsidP="00983AD7">
      <w:pPr>
        <w:pStyle w:val="SingleTxtG"/>
      </w:pPr>
      <w:r>
        <w:t>7</w:t>
      </w:r>
      <w:r w:rsidR="003A53F7">
        <w:t>.2</w:t>
      </w:r>
      <w:r w:rsidR="003A53F7">
        <w:tab/>
      </w:r>
      <w:r w:rsidR="003A53F7" w:rsidRPr="003A53F7">
        <w:t>The Committee notes the author’</w:t>
      </w:r>
      <w:r w:rsidR="003A53F7">
        <w:t>s</w:t>
      </w:r>
      <w:r w:rsidR="003A53F7" w:rsidRPr="003A53F7">
        <w:t xml:space="preserve"> claims that </w:t>
      </w:r>
      <w:r w:rsidR="003A53F7">
        <w:t>his</w:t>
      </w:r>
      <w:r w:rsidR="003A53F7" w:rsidRPr="003A53F7">
        <w:t xml:space="preserve"> rights to freedom of expression and freedom of assembly have been restricted </w:t>
      </w:r>
      <w:r w:rsidR="003A53F7" w:rsidRPr="00983AD7">
        <w:t>arbitrarily</w:t>
      </w:r>
      <w:r w:rsidR="003A53F7" w:rsidRPr="003A53F7">
        <w:t xml:space="preserve"> in violation of both article 19 (2) and article 21 of the Covenant, as </w:t>
      </w:r>
      <w:r w:rsidR="003A53F7">
        <w:t>he was</w:t>
      </w:r>
      <w:r w:rsidR="003A53F7" w:rsidRPr="003A53F7">
        <w:t xml:space="preserve"> denied authorization to organize a peaceful assembly – a picket –  to attract the civil society’s attention to the International Human Rights Day, as well as to protest against the human rights violations committed in Belarus, and the restrictions imposed on the exercise of </w:t>
      </w:r>
      <w:r w:rsidR="003A53F7">
        <w:t>his</w:t>
      </w:r>
      <w:r w:rsidR="003A53F7" w:rsidRPr="003A53F7">
        <w:t xml:space="preserve"> rights w</w:t>
      </w:r>
      <w:r w:rsidR="00F963B8">
        <w:t>ere</w:t>
      </w:r>
      <w:r w:rsidR="003A53F7" w:rsidRPr="003A53F7">
        <w:t xml:space="preserve"> neither justified for purposes of national security, public safety or public order, or the protection of public health or morals, nor w</w:t>
      </w:r>
      <w:r w:rsidR="00F963B8">
        <w:t>ere</w:t>
      </w:r>
      <w:r w:rsidR="003A53F7" w:rsidRPr="003A53F7">
        <w:t xml:space="preserve"> </w:t>
      </w:r>
      <w:r w:rsidR="00F963B8">
        <w:t>they</w:t>
      </w:r>
      <w:r w:rsidR="003A53F7" w:rsidRPr="003A53F7">
        <w:t xml:space="preserve"> necessary for the protection of the rights and freedoms of others.</w:t>
      </w:r>
      <w:r w:rsidR="003A53F7">
        <w:t xml:space="preserve"> </w:t>
      </w:r>
      <w:r w:rsidR="006A6790">
        <w:t xml:space="preserve">The Committee considers that the issue before it is to decide whether the prohibition to hold a public picket imposed on the author by the </w:t>
      </w:r>
      <w:proofErr w:type="spellStart"/>
      <w:r w:rsidR="006A6790">
        <w:t>Sal</w:t>
      </w:r>
      <w:r w:rsidR="003A53F7">
        <w:t>i</w:t>
      </w:r>
      <w:r w:rsidR="006A6790">
        <w:t>horsk</w:t>
      </w:r>
      <w:proofErr w:type="spellEnd"/>
      <w:r w:rsidR="006A6790">
        <w:t xml:space="preserve"> </w:t>
      </w:r>
      <w:r w:rsidR="00F963B8">
        <w:t>District E</w:t>
      </w:r>
      <w:r w:rsidR="006A6790">
        <w:t xml:space="preserve">xecutive </w:t>
      </w:r>
      <w:r w:rsidR="00F963B8">
        <w:t>C</w:t>
      </w:r>
      <w:r w:rsidR="006A6790">
        <w:t>ommittee amounts to a violation of articles 19 and 21 of the Covenant.</w:t>
      </w:r>
    </w:p>
    <w:p w14:paraId="6C572405" w14:textId="505ED08C" w:rsidR="006A6790" w:rsidRPr="006A6790" w:rsidRDefault="00ED655E" w:rsidP="00983AD7">
      <w:pPr>
        <w:pStyle w:val="SingleTxtG"/>
      </w:pPr>
      <w:r>
        <w:lastRenderedPageBreak/>
        <w:t>7</w:t>
      </w:r>
      <w:r w:rsidR="006A6790" w:rsidRPr="006A6790">
        <w:t>.3</w:t>
      </w:r>
      <w:r w:rsidR="006A6790" w:rsidRPr="006A6790">
        <w:tab/>
        <w:t>The Committee refers to its general comment No. 34 (2011) on the freedoms of opinion and expression, in which it state</w:t>
      </w:r>
      <w:r w:rsidR="00E23119">
        <w:t>d</w:t>
      </w:r>
      <w:r w:rsidR="006A6790" w:rsidRPr="006A6790">
        <w:t xml:space="preserve"> that freedom of opinion and freedom of expression are indispensable conditions for the full </w:t>
      </w:r>
      <w:r w:rsidR="006A6790" w:rsidRPr="00983AD7">
        <w:t>development</w:t>
      </w:r>
      <w:r w:rsidR="006A6790" w:rsidRPr="006A6790">
        <w:t xml:space="preserve"> of the person, and that such freedoms are essential for any society. They constitute the foundation stone for every free and democratic society. The Committee recalls that article 19 (3) of the Covenant allows certain restrictions only as provided by law and as are necessary: (a) for the respect of the rights and reputation of others; and (b) for the protection of national security or public order (</w:t>
      </w:r>
      <w:proofErr w:type="spellStart"/>
      <w:r w:rsidR="006A6790" w:rsidRPr="006A6790">
        <w:rPr>
          <w:i/>
        </w:rPr>
        <w:t>ordre</w:t>
      </w:r>
      <w:proofErr w:type="spellEnd"/>
      <w:r w:rsidR="006A6790" w:rsidRPr="006A6790">
        <w:rPr>
          <w:i/>
        </w:rPr>
        <w:t xml:space="preserve"> public</w:t>
      </w:r>
      <w:r w:rsidR="006A6790" w:rsidRPr="006A6790">
        <w:t>) or public health or morals. Any restriction on the exercise of such freedoms must conform to the strict tests of necessity and proportionality. Restrictions must be applied only for the purposes for which they were prescribed and must be directly related to the specific need on which they are predicated. The Committee recalls</w:t>
      </w:r>
      <w:r w:rsidR="006A6790" w:rsidRPr="006A6790">
        <w:rPr>
          <w:vertAlign w:val="superscript"/>
        </w:rPr>
        <w:footnoteReference w:id="9"/>
      </w:r>
      <w:r w:rsidR="006A6790" w:rsidRPr="006A6790">
        <w:t xml:space="preserve"> that it is for the State party to demonstrate that the restrictions imposed on the author’s rights under article 19 were necessary and proportionate.</w:t>
      </w:r>
    </w:p>
    <w:p w14:paraId="4C7A4214" w14:textId="77777777" w:rsidR="00E35D2E" w:rsidRPr="00E35D2E" w:rsidRDefault="00ED655E" w:rsidP="00E35D2E">
      <w:pPr>
        <w:pStyle w:val="SingleTxtG"/>
      </w:pPr>
      <w:r>
        <w:t>7</w:t>
      </w:r>
      <w:r w:rsidR="00C7315E">
        <w:t>.4</w:t>
      </w:r>
      <w:r w:rsidR="00C7315E">
        <w:tab/>
      </w:r>
      <w:r w:rsidR="006A6790">
        <w:t xml:space="preserve">The Committee notes the author’s claim that his right to freedom of assembly under article 21 of the </w:t>
      </w:r>
      <w:r w:rsidR="006A6790" w:rsidRPr="00983AD7">
        <w:t>Covenant</w:t>
      </w:r>
      <w:r w:rsidR="006A6790">
        <w:t xml:space="preserve"> was also violated by the refusal of the municipal authorities to allow him to hold the picket</w:t>
      </w:r>
      <w:r w:rsidR="004748BA">
        <w:t xml:space="preserve"> arguing that </w:t>
      </w:r>
      <w:r w:rsidR="004748BA" w:rsidRPr="004748BA">
        <w:t xml:space="preserve">the location chosen </w:t>
      </w:r>
      <w:r w:rsidR="00E23119">
        <w:t xml:space="preserve">by him </w:t>
      </w:r>
      <w:r w:rsidR="004748BA" w:rsidRPr="004748BA">
        <w:t>was not among those permitted by the city executive authorities.</w:t>
      </w:r>
      <w:r w:rsidR="006A6790">
        <w:t xml:space="preserve"> </w:t>
      </w:r>
      <w:r w:rsidR="00E35D2E" w:rsidRPr="00E35D2E">
        <w:t>In its general comment № 37 (2020) on the right of peaceful assembly, the Committee states that peaceful assemblies may in principle be conducted in all spaces to which the public has access or should have access, such as public squares and streets.</w:t>
      </w:r>
      <w:r w:rsidR="00E35D2E" w:rsidRPr="00E35D2E">
        <w:rPr>
          <w:vertAlign w:val="superscript"/>
        </w:rPr>
        <w:footnoteReference w:id="10"/>
      </w:r>
      <w:r w:rsidR="00E35D2E" w:rsidRPr="00E35D2E">
        <w:t xml:space="preserve"> Peaceful assemblies should not be relegated to remote areas where they cannot effectively capture the attention of those who are being addressed, or the general public. As a general rule, there can be no blanket ban on all assemblies in the capital city, in all public places except one specific location within a city or outside the city centre, or on all the streets in a city. The Committee further notes that the requirements for participants or organizers either to arrange for or to contribute towards the costs of policing or security, medical assistance or cleaning, or other public services associated with peaceful assemblies are generally not compatible with article 21.</w:t>
      </w:r>
      <w:r w:rsidR="00E35D2E" w:rsidRPr="00E35D2E">
        <w:rPr>
          <w:vertAlign w:val="superscript"/>
        </w:rPr>
        <w:footnoteReference w:id="11"/>
      </w:r>
    </w:p>
    <w:p w14:paraId="53847224" w14:textId="15258D26" w:rsidR="006A6790" w:rsidRDefault="00E35D2E" w:rsidP="00983AD7">
      <w:pPr>
        <w:pStyle w:val="SingleTxtG"/>
      </w:pPr>
      <w:r>
        <w:t>7.5T</w:t>
      </w:r>
      <w:r w:rsidR="006A6790">
        <w:t xml:space="preserve">he Committee </w:t>
      </w:r>
      <w:r>
        <w:t xml:space="preserve">also </w:t>
      </w:r>
      <w:r w:rsidR="006A6790">
        <w:t xml:space="preserve">recalls that the right of peaceful assembly, as guaranteed under article 21 of the Covenant, </w:t>
      </w:r>
      <w:r w:rsidR="00E11639">
        <w:t xml:space="preserve">constitutes </w:t>
      </w:r>
      <w:r w:rsidR="006A6790">
        <w:t xml:space="preserve">a fundamental human right that is essential for the public expression of an individual’s views and opinions and indispensable in a democratic society. That right entails the possibility of organizing and participating in a peaceful assembly, including the right to a stationary assembly (such as a picket), in a public location. The organizers of an assembly generally have the right to choose a location within sight and sound of their target audience and no restriction to this right is permissible unless it is imposed in conformity with the law and is necessary in a democratic society, in the interests of national security or public safety, public order, protection of public health or morals or protection of the rights and freedoms of others. When a State party imposes restrictions with the aim of reconciling an individual’s right to assembly and the aforementioned interests of general concern, it should be guided by the objective of facilitating the right, rather than seeking to impose unnecessary or disproportionate limitations on it. The State party is thus under the obligation to justify the limitation of the right protected by article 21 of the Covenant. </w:t>
      </w:r>
    </w:p>
    <w:p w14:paraId="4412CBCE" w14:textId="5CA4954A" w:rsidR="00645F22" w:rsidRDefault="00ED655E" w:rsidP="00983AD7">
      <w:pPr>
        <w:pStyle w:val="SingleTxtG"/>
      </w:pPr>
      <w:r>
        <w:t>7.</w:t>
      </w:r>
      <w:r w:rsidR="00E35D2E">
        <w:t>6</w:t>
      </w:r>
      <w:r>
        <w:tab/>
      </w:r>
      <w:r w:rsidR="00645F22">
        <w:t xml:space="preserve">In the present case, the author chose one of the central squares in </w:t>
      </w:r>
      <w:proofErr w:type="spellStart"/>
      <w:r w:rsidR="00645F22">
        <w:t>Salihorsk</w:t>
      </w:r>
      <w:proofErr w:type="spellEnd"/>
      <w:r w:rsidR="00645F22">
        <w:t xml:space="preserve"> for his picket to publicly express his opinion </w:t>
      </w:r>
      <w:r w:rsidR="004C6864">
        <w:t xml:space="preserve">by </w:t>
      </w:r>
      <w:r w:rsidR="004C6864" w:rsidRPr="00983AD7">
        <w:t>attracting</w:t>
      </w:r>
      <w:r w:rsidR="004C6864">
        <w:t xml:space="preserve"> attention to </w:t>
      </w:r>
      <w:r w:rsidR="00E23119">
        <w:t xml:space="preserve">the </w:t>
      </w:r>
      <w:r w:rsidR="003026C7">
        <w:t>commemoration</w:t>
      </w:r>
      <w:r w:rsidR="00E23119">
        <w:t xml:space="preserve"> of </w:t>
      </w:r>
      <w:r w:rsidR="004C6864">
        <w:t xml:space="preserve">International </w:t>
      </w:r>
      <w:r w:rsidR="00645F22">
        <w:t>Human Rights Day</w:t>
      </w:r>
      <w:r w:rsidR="00E23119">
        <w:t xml:space="preserve"> and </w:t>
      </w:r>
      <w:r w:rsidR="004C6864">
        <w:t xml:space="preserve">protest against </w:t>
      </w:r>
      <w:r w:rsidR="00E23119">
        <w:t>the human rights violations committed</w:t>
      </w:r>
      <w:r w:rsidR="004C6864">
        <w:t xml:space="preserve"> in Belarus</w:t>
      </w:r>
      <w:r w:rsidR="00645F22">
        <w:t xml:space="preserve">. The Committee notes that the </w:t>
      </w:r>
      <w:r w:rsidR="00E23119">
        <w:t xml:space="preserve">municipal </w:t>
      </w:r>
      <w:r w:rsidR="00645F22">
        <w:t xml:space="preserve">authorities rejected the author’s request to organize a picket on the grounds that the planned location of the event was </w:t>
      </w:r>
      <w:r w:rsidR="00E23119">
        <w:t>not the</w:t>
      </w:r>
      <w:r w:rsidR="003B5B0A">
        <w:t xml:space="preserve"> only</w:t>
      </w:r>
      <w:r w:rsidR="00E23119">
        <w:t xml:space="preserve"> one </w:t>
      </w:r>
      <w:r w:rsidR="00645F22">
        <w:t xml:space="preserve">permitted under </w:t>
      </w:r>
      <w:r w:rsidR="003B5B0A">
        <w:t xml:space="preserve">the </w:t>
      </w:r>
      <w:r w:rsidR="00E23119">
        <w:t xml:space="preserve">District Executive Committee’s </w:t>
      </w:r>
      <w:r w:rsidR="00645F22">
        <w:t xml:space="preserve">decision No. </w:t>
      </w:r>
      <w:r w:rsidR="00952EDF">
        <w:t>700</w:t>
      </w:r>
      <w:r w:rsidR="00E23119">
        <w:t>,</w:t>
      </w:r>
      <w:r w:rsidR="00952EDF">
        <w:t xml:space="preserve"> and</w:t>
      </w:r>
      <w:r w:rsidR="00645F22">
        <w:t xml:space="preserve"> because the author had failed to </w:t>
      </w:r>
      <w:r w:rsidR="00645F22" w:rsidRPr="00645F22">
        <w:t>indicate the concrete measures he, as an organi</w:t>
      </w:r>
      <w:r w:rsidR="00E6108F">
        <w:t>z</w:t>
      </w:r>
      <w:r w:rsidR="00645F22" w:rsidRPr="00645F22">
        <w:t>er, intended to take in order to ensure the security and public order during the picket</w:t>
      </w:r>
      <w:r w:rsidR="00645F22">
        <w:t xml:space="preserve">. It also observes that from the material on file, it transpires that the national authorities have failed to demonstrate how a picket held in the </w:t>
      </w:r>
      <w:r w:rsidR="00645F22" w:rsidRPr="00983AD7">
        <w:t>location</w:t>
      </w:r>
      <w:r w:rsidR="00645F22">
        <w:t xml:space="preserve"> proposed by the author would jeopardize national security, public safety, public order, the protection of public health or morals or the protection of the rights </w:t>
      </w:r>
      <w:r w:rsidR="00645F22">
        <w:lastRenderedPageBreak/>
        <w:t>and freedoms of others. It notes in particular that neither the decision of the Executive Committee to refuse the author’s request to hold a picket</w:t>
      </w:r>
      <w:r w:rsidR="00E23119">
        <w:t>,</w:t>
      </w:r>
      <w:r w:rsidR="00645F22">
        <w:t xml:space="preserve"> nor the court decisions</w:t>
      </w:r>
      <w:r w:rsidR="00E23119">
        <w:t>,</w:t>
      </w:r>
      <w:r w:rsidR="00645F22">
        <w:t xml:space="preserve"> provide any explanation </w:t>
      </w:r>
      <w:r w:rsidR="00E23119">
        <w:t xml:space="preserve">as to </w:t>
      </w:r>
      <w:r w:rsidR="00645F22">
        <w:t xml:space="preserve">why the restrictions imposed </w:t>
      </w:r>
      <w:r w:rsidR="003B5B0A">
        <w:t>by</w:t>
      </w:r>
      <w:r w:rsidR="00645F22">
        <w:t xml:space="preserve"> decision No. </w:t>
      </w:r>
      <w:r w:rsidR="009842D9">
        <w:t>700</w:t>
      </w:r>
      <w:r w:rsidR="00645F22">
        <w:t xml:space="preserve"> and applied in the author’s case were necessary and justified. </w:t>
      </w:r>
    </w:p>
    <w:p w14:paraId="70A733E2" w14:textId="31001159" w:rsidR="00645F22" w:rsidRDefault="00ED655E" w:rsidP="00983AD7">
      <w:pPr>
        <w:pStyle w:val="SingleTxtG"/>
      </w:pPr>
      <w:r>
        <w:t>7.</w:t>
      </w:r>
      <w:r w:rsidR="00E35D2E">
        <w:t>7</w:t>
      </w:r>
      <w:r w:rsidR="00645F22">
        <w:tab/>
        <w:t xml:space="preserve">The Committee further notes that the </w:t>
      </w:r>
      <w:r w:rsidR="00645F22" w:rsidRPr="00FE22ED">
        <w:rPr>
          <w:i/>
          <w:iCs/>
        </w:rPr>
        <w:t>de facto</w:t>
      </w:r>
      <w:r w:rsidR="00645F22">
        <w:t xml:space="preserve"> prohibition imposed by decision No. </w:t>
      </w:r>
      <w:r w:rsidR="009842D9">
        <w:t>700</w:t>
      </w:r>
      <w:r w:rsidR="00645F22">
        <w:t xml:space="preserve"> of an </w:t>
      </w:r>
      <w:r w:rsidR="00645F22" w:rsidRPr="00983AD7">
        <w:t>assembly</w:t>
      </w:r>
      <w:r w:rsidR="00645F22">
        <w:t xml:space="preserve"> in any public location in the entire city of </w:t>
      </w:r>
      <w:proofErr w:type="spellStart"/>
      <w:r w:rsidR="009842D9">
        <w:t>Salihorsk</w:t>
      </w:r>
      <w:proofErr w:type="spellEnd"/>
      <w:r w:rsidR="00645F22">
        <w:t xml:space="preserve">, with the exception of a single remote area, unduly limits the right of assembly and the freedom of expression. It also notes that requesting the </w:t>
      </w:r>
      <w:r w:rsidR="009842D9">
        <w:t xml:space="preserve">author, as an </w:t>
      </w:r>
      <w:r w:rsidR="00645F22">
        <w:t>organizer of a picket</w:t>
      </w:r>
      <w:r w:rsidR="009761F4">
        <w:t>,</w:t>
      </w:r>
      <w:r w:rsidR="00645F22">
        <w:t xml:space="preserve"> to</w:t>
      </w:r>
      <w:r w:rsidR="009842D9">
        <w:t xml:space="preserve"> take concrete measures to ensure security and public order during the picket </w:t>
      </w:r>
      <w:r w:rsidR="00645F22">
        <w:t xml:space="preserve">imposes a disproportionate burden on the right of peaceful assembly and the right to freedom of expression in the same context. In these circumstances, the Committee finds the formal application of decision No. </w:t>
      </w:r>
      <w:r w:rsidR="009842D9">
        <w:t>700</w:t>
      </w:r>
      <w:r w:rsidR="00645F22">
        <w:t xml:space="preserve"> and the rejection by the State party’s authorities of the author’s request to hold a picket to be unjustified and concludes that the authors’ rights under articles 19 and 21</w:t>
      </w:r>
      <w:r w:rsidR="00E74951">
        <w:t xml:space="preserve"> </w:t>
      </w:r>
      <w:r w:rsidR="00645F22">
        <w:t>of the Covenant have been violated.</w:t>
      </w:r>
    </w:p>
    <w:p w14:paraId="114598DD" w14:textId="35CB6742" w:rsidR="006A6790" w:rsidRDefault="00ED655E" w:rsidP="00983AD7">
      <w:pPr>
        <w:pStyle w:val="SingleTxtG"/>
      </w:pPr>
      <w:r>
        <w:t>8</w:t>
      </w:r>
      <w:r w:rsidR="006A6790">
        <w:t>.</w:t>
      </w:r>
      <w:r w:rsidR="006A6790">
        <w:tab/>
        <w:t xml:space="preserve">The Committee, acting under article 5 (4) of the Optional Protocol, is of the view that the facts </w:t>
      </w:r>
      <w:r w:rsidR="006A6790" w:rsidRPr="00983AD7">
        <w:t>before</w:t>
      </w:r>
      <w:r w:rsidR="006A6790">
        <w:t xml:space="preserve"> it disclose a violation of the author’s rights under articles 19 (2) and 21 of the Covenant.</w:t>
      </w:r>
    </w:p>
    <w:p w14:paraId="360605F1" w14:textId="62F7E091" w:rsidR="006A6790" w:rsidRDefault="00ED655E" w:rsidP="00983AD7">
      <w:pPr>
        <w:pStyle w:val="SingleTxtG"/>
      </w:pPr>
      <w:r>
        <w:t>9</w:t>
      </w:r>
      <w:r w:rsidR="006A6790">
        <w:t>.</w:t>
      </w:r>
      <w:r w:rsidR="006A6790">
        <w:tab/>
        <w:t xml:space="preserve">Pursuant to article 2 (3) (a) of the Covenant, the State party is under an obligation to provide the author with an effective remedy. This requires it to make full reparation to individuals whose </w:t>
      </w:r>
      <w:r w:rsidR="006A6790" w:rsidRPr="00983AD7">
        <w:t>Covenant</w:t>
      </w:r>
      <w:r w:rsidR="006A6790">
        <w:t xml:space="preserve"> rights have been violated. Accordingly, the State party is obligated, inter alia, to take appropriate steps to provide the author with adequate compensation and to take steps to prevent similar violations occurring in the future.</w:t>
      </w:r>
    </w:p>
    <w:p w14:paraId="1BC1E64B" w14:textId="7BAAE809" w:rsidR="00200F03" w:rsidRDefault="006A6790" w:rsidP="00983AD7">
      <w:pPr>
        <w:pStyle w:val="SingleTxtG"/>
      </w:pPr>
      <w:r>
        <w:t>1</w:t>
      </w:r>
      <w:r w:rsidR="00ED655E">
        <w:t>0</w:t>
      </w:r>
      <w:r>
        <w:t>.</w:t>
      </w:r>
      <w:r>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w:t>
      </w:r>
      <w:r w:rsidR="00200F03">
        <w:t>and</w:t>
      </w:r>
      <w:r>
        <w:t xml:space="preserve">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w:t>
      </w:r>
      <w:r w:rsidR="00200F03" w:rsidRPr="00200F03">
        <w:t>The State party is also requested to publish the present Views and to have them widely disseminated in the official languages of the State party.</w:t>
      </w:r>
    </w:p>
    <w:p w14:paraId="31254C7C" w14:textId="2F4493C1" w:rsidR="00C15938" w:rsidRPr="0058628F" w:rsidRDefault="00C15938" w:rsidP="00C15938">
      <w:pPr>
        <w:pStyle w:val="SingleTxtG"/>
        <w:spacing w:before="240" w:after="0"/>
        <w:jc w:val="center"/>
        <w:rPr>
          <w:color w:val="000000"/>
          <w:u w:val="single"/>
          <w:lang w:eastAsia="en-GB"/>
        </w:rPr>
      </w:pPr>
      <w:r>
        <w:rPr>
          <w:u w:val="single"/>
        </w:rPr>
        <w:tab/>
      </w:r>
      <w:r>
        <w:rPr>
          <w:u w:val="single"/>
        </w:rPr>
        <w:tab/>
      </w:r>
      <w:r>
        <w:rPr>
          <w:u w:val="single"/>
        </w:rPr>
        <w:tab/>
      </w:r>
      <w:r w:rsidR="00FD23DD">
        <w:rPr>
          <w:u w:val="single"/>
        </w:rPr>
        <w:tab/>
      </w:r>
    </w:p>
    <w:sectPr w:rsidR="00C15938" w:rsidRPr="0058628F" w:rsidSect="00FD23DD">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8F992" w14:textId="77777777" w:rsidR="00294D8D" w:rsidRDefault="00294D8D"/>
  </w:endnote>
  <w:endnote w:type="continuationSeparator" w:id="0">
    <w:p w14:paraId="1002E2D3" w14:textId="77777777" w:rsidR="00294D8D" w:rsidRDefault="00294D8D"/>
  </w:endnote>
  <w:endnote w:type="continuationNotice" w:id="1">
    <w:p w14:paraId="5ED6E6C6" w14:textId="77777777" w:rsidR="00294D8D" w:rsidRDefault="00294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20B0604020202020204"/>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99B35" w14:textId="17AD5A9F" w:rsidR="00E54361" w:rsidRPr="00781C83" w:rsidRDefault="00422F31" w:rsidP="00781C83">
    <w:pPr>
      <w:pStyle w:val="Footer"/>
      <w:tabs>
        <w:tab w:val="right" w:pos="9638"/>
      </w:tabs>
    </w:pPr>
    <w:r w:rsidRPr="00781C83">
      <w:rPr>
        <w:b/>
        <w:sz w:val="18"/>
      </w:rPr>
      <w:fldChar w:fldCharType="begin"/>
    </w:r>
    <w:r w:rsidR="00E54361" w:rsidRPr="00781C83">
      <w:rPr>
        <w:b/>
        <w:sz w:val="18"/>
      </w:rPr>
      <w:instrText xml:space="preserve"> PAGE  \* MERGEFORMAT </w:instrText>
    </w:r>
    <w:r w:rsidRPr="00781C83">
      <w:rPr>
        <w:b/>
        <w:sz w:val="18"/>
      </w:rPr>
      <w:fldChar w:fldCharType="separate"/>
    </w:r>
    <w:r w:rsidR="00E70274">
      <w:rPr>
        <w:b/>
        <w:noProof/>
        <w:sz w:val="18"/>
      </w:rPr>
      <w:t>4</w:t>
    </w:r>
    <w:r w:rsidRPr="00781C83">
      <w:rPr>
        <w:b/>
        <w:sz w:val="18"/>
      </w:rPr>
      <w:fldChar w:fldCharType="end"/>
    </w:r>
    <w:r w:rsidR="00E54361">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CA14E" w14:textId="1B68B10B" w:rsidR="00E54361" w:rsidRPr="00781C83" w:rsidRDefault="00E54361" w:rsidP="00781C83">
    <w:pPr>
      <w:pStyle w:val="Footer"/>
      <w:tabs>
        <w:tab w:val="right" w:pos="9638"/>
      </w:tabs>
      <w:rPr>
        <w:sz w:val="18"/>
      </w:rPr>
    </w:pPr>
    <w:r>
      <w:rPr>
        <w:b/>
        <w:sz w:val="18"/>
      </w:rPr>
      <w:tab/>
    </w:r>
    <w:r w:rsidR="00422F31" w:rsidRPr="00781C83">
      <w:rPr>
        <w:sz w:val="18"/>
      </w:rPr>
      <w:fldChar w:fldCharType="begin"/>
    </w:r>
    <w:r w:rsidRPr="00781C83">
      <w:rPr>
        <w:sz w:val="18"/>
      </w:rPr>
      <w:instrText xml:space="preserve"> PAGE  \* MERGEFORMAT </w:instrText>
    </w:r>
    <w:r w:rsidR="00422F31" w:rsidRPr="00781C83">
      <w:rPr>
        <w:sz w:val="18"/>
      </w:rPr>
      <w:fldChar w:fldCharType="separate"/>
    </w:r>
    <w:r w:rsidR="00E70274">
      <w:rPr>
        <w:noProof/>
        <w:sz w:val="18"/>
      </w:rPr>
      <w:t>5</w:t>
    </w:r>
    <w:r w:rsidR="00422F31" w:rsidRPr="00781C83">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9CF24" w14:textId="4AD6C9D1" w:rsidR="004E3656" w:rsidRDefault="004E3656" w:rsidP="004E3656">
    <w:pPr>
      <w:pStyle w:val="Footer"/>
    </w:pPr>
    <w:r>
      <w:rPr>
        <w:noProof/>
        <w:lang w:eastAsia="en-GB"/>
      </w:rPr>
      <w:drawing>
        <wp:anchor distT="0" distB="0" distL="114300" distR="114300" simplePos="0" relativeHeight="251659264" behindDoc="1" locked="1" layoutInCell="1" allowOverlap="1" wp14:anchorId="3F36718B" wp14:editId="26AEC0B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D8F864C" w14:textId="0DF5450F" w:rsidR="004E3656" w:rsidRPr="004E3656" w:rsidRDefault="004E3656" w:rsidP="004E3656">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0288" behindDoc="0" locked="0" layoutInCell="1" allowOverlap="1" wp14:anchorId="34E5ACCE" wp14:editId="4B7BD3C5">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8/DR/2713/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8/DR/2713/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3B77D" w14:textId="77777777" w:rsidR="00294D8D" w:rsidRPr="000B175B" w:rsidRDefault="00294D8D" w:rsidP="000B175B">
      <w:pPr>
        <w:tabs>
          <w:tab w:val="right" w:pos="2155"/>
        </w:tabs>
        <w:spacing w:after="80"/>
        <w:ind w:left="680"/>
        <w:rPr>
          <w:u w:val="single"/>
        </w:rPr>
      </w:pPr>
      <w:r>
        <w:rPr>
          <w:u w:val="single"/>
        </w:rPr>
        <w:tab/>
      </w:r>
    </w:p>
  </w:footnote>
  <w:footnote w:type="continuationSeparator" w:id="0">
    <w:p w14:paraId="449989EC" w14:textId="77777777" w:rsidR="00294D8D" w:rsidRPr="00FC68B7" w:rsidRDefault="00294D8D" w:rsidP="00FC68B7">
      <w:pPr>
        <w:tabs>
          <w:tab w:val="left" w:pos="2155"/>
        </w:tabs>
        <w:spacing w:after="80"/>
        <w:ind w:left="680"/>
        <w:rPr>
          <w:u w:val="single"/>
        </w:rPr>
      </w:pPr>
      <w:r>
        <w:rPr>
          <w:u w:val="single"/>
        </w:rPr>
        <w:tab/>
      </w:r>
    </w:p>
  </w:footnote>
  <w:footnote w:type="continuationNotice" w:id="1">
    <w:p w14:paraId="11E7008D" w14:textId="77777777" w:rsidR="00294D8D" w:rsidRDefault="00294D8D"/>
  </w:footnote>
  <w:footnote w:id="2">
    <w:p w14:paraId="47B05D8D" w14:textId="01F3A179" w:rsidR="002350F7" w:rsidRPr="00E70274" w:rsidRDefault="002350F7" w:rsidP="00E70274">
      <w:pPr>
        <w:pStyle w:val="FootnoteText"/>
      </w:pPr>
      <w:r>
        <w:rPr>
          <w:rStyle w:val="FootnoteReference"/>
        </w:rPr>
        <w:tab/>
      </w:r>
      <w:r w:rsidRPr="00E70274">
        <w:rPr>
          <w:rStyle w:val="FootnoteReference"/>
          <w:vertAlign w:val="baseline"/>
        </w:rPr>
        <w:t>*</w:t>
      </w:r>
      <w:r w:rsidRPr="00E70274">
        <w:rPr>
          <w:rStyle w:val="FootnoteReference"/>
          <w:vertAlign w:val="baseline"/>
        </w:rPr>
        <w:tab/>
      </w:r>
      <w:r w:rsidRPr="00E70274">
        <w:t>Adopted by the Committee at its 130th session (12 October – 6 November 2020).</w:t>
      </w:r>
    </w:p>
  </w:footnote>
  <w:footnote w:id="3">
    <w:p w14:paraId="0B464145" w14:textId="77777777" w:rsidR="0054529E" w:rsidRPr="00E70274" w:rsidRDefault="002350F7" w:rsidP="00E70274">
      <w:pPr>
        <w:pStyle w:val="FootnoteText"/>
      </w:pPr>
      <w:r w:rsidRPr="00E70274">
        <w:rPr>
          <w:rStyle w:val="FootnoteReference"/>
          <w:vertAlign w:val="baseline"/>
        </w:rPr>
        <w:tab/>
        <w:t>**</w:t>
      </w:r>
      <w:r w:rsidRPr="00E70274">
        <w:rPr>
          <w:rStyle w:val="FootnoteReference"/>
          <w:vertAlign w:val="baseline"/>
        </w:rPr>
        <w:tab/>
      </w:r>
      <w:r w:rsidR="0054529E" w:rsidRPr="00E70274">
        <w:t xml:space="preserve">The following members of the Committee participated in the examination of the communication: </w:t>
      </w:r>
    </w:p>
    <w:p w14:paraId="7FCCE759" w14:textId="3C97213E" w:rsidR="002350F7" w:rsidRPr="00E70274" w:rsidRDefault="0054529E" w:rsidP="00E70274">
      <w:pPr>
        <w:pStyle w:val="FootnoteText"/>
      </w:pPr>
      <w:r w:rsidRPr="00E70274">
        <w:tab/>
      </w:r>
      <w:r w:rsidRPr="00E70274">
        <w:tab/>
        <w:t xml:space="preserve">Tania María Abdo </w:t>
      </w:r>
      <w:proofErr w:type="spellStart"/>
      <w:r w:rsidRPr="00E70274">
        <w:t>Rocholl</w:t>
      </w:r>
      <w:proofErr w:type="spellEnd"/>
      <w:r w:rsidRPr="00E70274">
        <w:t xml:space="preserve">, </w:t>
      </w:r>
      <w:proofErr w:type="spellStart"/>
      <w:r w:rsidRPr="00E70274">
        <w:t>Yadh</w:t>
      </w:r>
      <w:proofErr w:type="spellEnd"/>
      <w:r w:rsidRPr="00E70274">
        <w:t xml:space="preserve"> Ben </w:t>
      </w:r>
      <w:proofErr w:type="spellStart"/>
      <w:r w:rsidRPr="00E70274">
        <w:t>Achour</w:t>
      </w:r>
      <w:proofErr w:type="spellEnd"/>
      <w:r w:rsidRPr="00E70274">
        <w:t xml:space="preserve">, </w:t>
      </w:r>
      <w:proofErr w:type="spellStart"/>
      <w:r w:rsidRPr="00E70274">
        <w:t>Arif</w:t>
      </w:r>
      <w:proofErr w:type="spellEnd"/>
      <w:r w:rsidRPr="00E70274">
        <w:t xml:space="preserve"> </w:t>
      </w:r>
      <w:proofErr w:type="spellStart"/>
      <w:r w:rsidRPr="00E70274">
        <w:t>Bulkan</w:t>
      </w:r>
      <w:proofErr w:type="spellEnd"/>
      <w:r w:rsidRPr="00E70274">
        <w:t xml:space="preserve">, Ahmed Amin </w:t>
      </w:r>
      <w:proofErr w:type="spellStart"/>
      <w:r w:rsidRPr="00E70274">
        <w:t>Fathalla</w:t>
      </w:r>
      <w:proofErr w:type="spellEnd"/>
      <w:r w:rsidRPr="00E70274">
        <w:t xml:space="preserve">, Christof </w:t>
      </w:r>
      <w:proofErr w:type="spellStart"/>
      <w:r w:rsidRPr="00E70274">
        <w:t>Heyns</w:t>
      </w:r>
      <w:proofErr w:type="spellEnd"/>
      <w:r w:rsidRPr="00E70274">
        <w:t xml:space="preserve">, Shuichi </w:t>
      </w:r>
      <w:proofErr w:type="spellStart"/>
      <w:r w:rsidRPr="00E70274">
        <w:t>Furuya</w:t>
      </w:r>
      <w:proofErr w:type="spellEnd"/>
      <w:r w:rsidRPr="00E70274">
        <w:t xml:space="preserve">, </w:t>
      </w:r>
      <w:proofErr w:type="spellStart"/>
      <w:r w:rsidRPr="00E70274">
        <w:t>Bamariam</w:t>
      </w:r>
      <w:proofErr w:type="spellEnd"/>
      <w:r w:rsidRPr="00E70274">
        <w:t xml:space="preserve"> </w:t>
      </w:r>
      <w:proofErr w:type="spellStart"/>
      <w:r w:rsidRPr="00E70274">
        <w:t>Koita</w:t>
      </w:r>
      <w:proofErr w:type="spellEnd"/>
      <w:r w:rsidRPr="00E70274">
        <w:t xml:space="preserve">, Duncan </w:t>
      </w:r>
      <w:proofErr w:type="spellStart"/>
      <w:r w:rsidRPr="00E70274">
        <w:t>Laki</w:t>
      </w:r>
      <w:proofErr w:type="spellEnd"/>
      <w:r w:rsidRPr="00E70274">
        <w:t xml:space="preserve"> </w:t>
      </w:r>
      <w:proofErr w:type="spellStart"/>
      <w:r w:rsidRPr="00E70274">
        <w:t>Muhumuza</w:t>
      </w:r>
      <w:proofErr w:type="spellEnd"/>
      <w:r w:rsidRPr="00E70274">
        <w:t xml:space="preserve">, David Moore ,Photini </w:t>
      </w:r>
      <w:proofErr w:type="spellStart"/>
      <w:r w:rsidRPr="00E70274">
        <w:t>Pazartzis</w:t>
      </w:r>
      <w:proofErr w:type="spellEnd"/>
      <w:r w:rsidRPr="00E70274">
        <w:t xml:space="preserve">, </w:t>
      </w:r>
      <w:proofErr w:type="spellStart"/>
      <w:r w:rsidRPr="00E70274">
        <w:t>Hernán</w:t>
      </w:r>
      <w:proofErr w:type="spellEnd"/>
      <w:r w:rsidRPr="00E70274">
        <w:t xml:space="preserve"> Quezada Cabrera, </w:t>
      </w:r>
      <w:proofErr w:type="spellStart"/>
      <w:r w:rsidRPr="00E70274">
        <w:t>Vasilka</w:t>
      </w:r>
      <w:proofErr w:type="spellEnd"/>
      <w:r w:rsidRPr="00E70274">
        <w:t xml:space="preserve"> </w:t>
      </w:r>
      <w:proofErr w:type="spellStart"/>
      <w:r w:rsidRPr="00E70274">
        <w:t>Sancin</w:t>
      </w:r>
      <w:proofErr w:type="spellEnd"/>
      <w:r w:rsidRPr="00E70274">
        <w:t xml:space="preserve">, José Manuel Santos </w:t>
      </w:r>
      <w:proofErr w:type="spellStart"/>
      <w:r w:rsidRPr="00E70274">
        <w:t>Pais</w:t>
      </w:r>
      <w:proofErr w:type="spellEnd"/>
      <w:r w:rsidRPr="00E70274">
        <w:t xml:space="preserve">, Yuval </w:t>
      </w:r>
      <w:proofErr w:type="spellStart"/>
      <w:r w:rsidRPr="00E70274">
        <w:t>Shany</w:t>
      </w:r>
      <w:proofErr w:type="spellEnd"/>
      <w:r w:rsidRPr="00E70274">
        <w:t xml:space="preserve">, Hélène Tigroudja, Andreas Zimmermann and Gentian </w:t>
      </w:r>
      <w:proofErr w:type="spellStart"/>
      <w:r w:rsidRPr="00E70274">
        <w:t>Zyberi</w:t>
      </w:r>
      <w:proofErr w:type="spellEnd"/>
      <w:r w:rsidRPr="00E70274">
        <w:t>.</w:t>
      </w:r>
    </w:p>
    <w:p w14:paraId="5B7865A5" w14:textId="214CED45" w:rsidR="002350F7" w:rsidRPr="00E70274" w:rsidRDefault="002350F7">
      <w:pPr>
        <w:pStyle w:val="FootnoteText"/>
        <w:rPr>
          <w:lang w:val="en-GB"/>
        </w:rPr>
      </w:pPr>
    </w:p>
  </w:footnote>
  <w:footnote w:id="4">
    <w:p w14:paraId="4D394563" w14:textId="37C587F1" w:rsidR="00D056DA" w:rsidRPr="009F390B" w:rsidRDefault="00D056DA" w:rsidP="00E21E31">
      <w:pPr>
        <w:pStyle w:val="FootnoteText"/>
        <w:rPr>
          <w:lang w:val="en-GB"/>
        </w:rPr>
      </w:pPr>
      <w:r>
        <w:tab/>
      </w:r>
      <w:r w:rsidRPr="009F390B">
        <w:rPr>
          <w:rStyle w:val="FootnoteReference"/>
        </w:rPr>
        <w:footnoteRef/>
      </w:r>
      <w:r w:rsidRPr="009F390B">
        <w:tab/>
        <w:t xml:space="preserve">Regulates the </w:t>
      </w:r>
      <w:r w:rsidRPr="00983AD7">
        <w:t>application</w:t>
      </w:r>
      <w:r w:rsidRPr="009F390B">
        <w:t xml:space="preserve"> for holding a </w:t>
      </w:r>
      <w:r w:rsidRPr="00E21E31">
        <w:t>mass</w:t>
      </w:r>
      <w:r w:rsidRPr="009F390B">
        <w:t xml:space="preserve"> event and stipulates what should be reflected in this application, </w:t>
      </w:r>
      <w:proofErr w:type="spellStart"/>
      <w:r w:rsidRPr="009F390B">
        <w:t>eg.</w:t>
      </w:r>
      <w:proofErr w:type="spellEnd"/>
      <w:r w:rsidRPr="009F390B">
        <w:t xml:space="preserve"> the purpose, type, venue and route of the planned event, expected number of participants, measures taken to ensure public order and safety, provision of medical services an</w:t>
      </w:r>
      <w:r w:rsidR="00983AD7">
        <w:t xml:space="preserve">d cleaning up after the </w:t>
      </w:r>
      <w:r w:rsidR="00983AD7" w:rsidRPr="00E21E31">
        <w:t>event</w:t>
      </w:r>
      <w:r w:rsidR="00983AD7">
        <w:t xml:space="preserve">. </w:t>
      </w:r>
    </w:p>
  </w:footnote>
  <w:footnote w:id="5">
    <w:p w14:paraId="7E26F134" w14:textId="747748FC" w:rsidR="00D056DA" w:rsidRPr="00D056DA" w:rsidRDefault="00D056DA" w:rsidP="00E21E31">
      <w:pPr>
        <w:pStyle w:val="FootnoteText"/>
        <w:rPr>
          <w:lang w:val="en-GB"/>
        </w:rPr>
      </w:pPr>
      <w:r w:rsidRPr="009F390B">
        <w:tab/>
      </w:r>
      <w:r w:rsidRPr="009F390B">
        <w:rPr>
          <w:rStyle w:val="FootnoteReference"/>
        </w:rPr>
        <w:footnoteRef/>
      </w:r>
      <w:r w:rsidRPr="009F390B">
        <w:tab/>
        <w:t xml:space="preserve">Regulates the procedure of holding the event and specifies that </w:t>
      </w:r>
      <w:proofErr w:type="spellStart"/>
      <w:r w:rsidRPr="009F390B">
        <w:t>organisers</w:t>
      </w:r>
      <w:proofErr w:type="spellEnd"/>
      <w:r w:rsidRPr="009F390B">
        <w:t xml:space="preserve"> of the event should ensure that event is </w:t>
      </w:r>
      <w:proofErr w:type="spellStart"/>
      <w:r w:rsidRPr="009F390B">
        <w:t>organised</w:t>
      </w:r>
      <w:proofErr w:type="spellEnd"/>
      <w:r w:rsidRPr="009F390B">
        <w:t xml:space="preserve"> in </w:t>
      </w:r>
      <w:r w:rsidRPr="00983AD7">
        <w:t>accordance</w:t>
      </w:r>
      <w:r w:rsidRPr="009F390B">
        <w:t xml:space="preserve"> </w:t>
      </w:r>
      <w:r w:rsidRPr="00E21E31">
        <w:t>with</w:t>
      </w:r>
      <w:r w:rsidRPr="009F390B">
        <w:t xml:space="preserve"> the purposes and other conditions indicated in the application.</w:t>
      </w:r>
    </w:p>
  </w:footnote>
  <w:footnote w:id="6">
    <w:p w14:paraId="07ABE1C6" w14:textId="6230441E" w:rsidR="00AD293B" w:rsidRPr="00AD293B" w:rsidRDefault="00AD293B" w:rsidP="00E21E31">
      <w:pPr>
        <w:pStyle w:val="FootnoteText"/>
        <w:rPr>
          <w:lang w:val="en-GB"/>
        </w:rPr>
      </w:pPr>
      <w:r>
        <w:tab/>
      </w:r>
      <w:r>
        <w:rPr>
          <w:rStyle w:val="FootnoteReference"/>
        </w:rPr>
        <w:footnoteRef/>
      </w:r>
      <w:r>
        <w:tab/>
      </w:r>
      <w:r>
        <w:rPr>
          <w:lang w:val="en-GB"/>
        </w:rPr>
        <w:t xml:space="preserve">Reference is made to </w:t>
      </w:r>
      <w:proofErr w:type="spellStart"/>
      <w:r w:rsidRPr="00AD293B">
        <w:rPr>
          <w:i/>
          <w:lang w:val="en-GB"/>
        </w:rPr>
        <w:t>Vasily</w:t>
      </w:r>
      <w:proofErr w:type="spellEnd"/>
      <w:r w:rsidRPr="00AD293B">
        <w:rPr>
          <w:i/>
          <w:lang w:val="en-GB"/>
        </w:rPr>
        <w:t xml:space="preserve"> </w:t>
      </w:r>
      <w:proofErr w:type="spellStart"/>
      <w:r w:rsidRPr="00983AD7">
        <w:t>Poliakov</w:t>
      </w:r>
      <w:proofErr w:type="spellEnd"/>
      <w:r w:rsidRPr="00AD293B">
        <w:rPr>
          <w:i/>
          <w:lang w:val="en-GB"/>
        </w:rPr>
        <w:t xml:space="preserve"> v</w:t>
      </w:r>
      <w:r>
        <w:rPr>
          <w:i/>
          <w:lang w:val="en-GB"/>
        </w:rPr>
        <w:t>.</w:t>
      </w:r>
      <w:r w:rsidRPr="00AD293B">
        <w:rPr>
          <w:i/>
          <w:lang w:val="en-GB"/>
        </w:rPr>
        <w:t xml:space="preserve"> Belarus</w:t>
      </w:r>
      <w:r>
        <w:rPr>
          <w:lang w:val="en-GB"/>
        </w:rPr>
        <w:t xml:space="preserve"> (CCPR/C/111/D/2030/2011) para 8.3</w:t>
      </w:r>
      <w:r w:rsidR="00E42D0D">
        <w:rPr>
          <w:lang w:val="en-GB"/>
        </w:rPr>
        <w:t>.</w:t>
      </w:r>
    </w:p>
  </w:footnote>
  <w:footnote w:id="7">
    <w:p w14:paraId="78451D7B" w14:textId="4407BCE0" w:rsidR="00604415" w:rsidRPr="00604415" w:rsidRDefault="00604415" w:rsidP="00983AD7">
      <w:pPr>
        <w:pStyle w:val="FootnoteText"/>
        <w:rPr>
          <w:lang w:val="en-GB"/>
        </w:rPr>
      </w:pPr>
      <w:r>
        <w:tab/>
      </w:r>
      <w:r>
        <w:rPr>
          <w:rStyle w:val="FootnoteReference"/>
        </w:rPr>
        <w:footnoteRef/>
      </w:r>
      <w:r>
        <w:tab/>
      </w:r>
      <w:r>
        <w:rPr>
          <w:lang w:val="en-GB"/>
        </w:rPr>
        <w:t xml:space="preserve">Reference is </w:t>
      </w:r>
      <w:r w:rsidRPr="00983AD7">
        <w:t>made</w:t>
      </w:r>
      <w:r>
        <w:rPr>
          <w:lang w:val="en-GB"/>
        </w:rPr>
        <w:t xml:space="preserve"> to </w:t>
      </w:r>
      <w:r w:rsidRPr="00E21E31">
        <w:t>Vladimir</w:t>
      </w:r>
      <w:r w:rsidRPr="00604415">
        <w:rPr>
          <w:i/>
          <w:lang w:val="en-GB"/>
        </w:rPr>
        <w:t xml:space="preserve"> </w:t>
      </w:r>
      <w:proofErr w:type="spellStart"/>
      <w:r w:rsidRPr="00604415">
        <w:rPr>
          <w:i/>
          <w:lang w:val="en-GB"/>
        </w:rPr>
        <w:t>Sekerko</w:t>
      </w:r>
      <w:proofErr w:type="spellEnd"/>
      <w:r w:rsidRPr="00604415">
        <w:rPr>
          <w:i/>
          <w:lang w:val="en-GB"/>
        </w:rPr>
        <w:t xml:space="preserve"> v. Belarus</w:t>
      </w:r>
      <w:r>
        <w:rPr>
          <w:lang w:val="en-GB"/>
        </w:rPr>
        <w:t xml:space="preserve"> (CCPR/C/109/1851/2008) para 9.6</w:t>
      </w:r>
      <w:r w:rsidR="00E42D0D">
        <w:rPr>
          <w:lang w:val="en-GB"/>
        </w:rPr>
        <w:t>.</w:t>
      </w:r>
    </w:p>
  </w:footnote>
  <w:footnote w:id="8">
    <w:p w14:paraId="7D30F1D5" w14:textId="1C6DF992" w:rsidR="00B97E4C" w:rsidRPr="00B97E4C" w:rsidRDefault="00B97E4C" w:rsidP="00E21E31">
      <w:pPr>
        <w:pStyle w:val="FootnoteText"/>
        <w:rPr>
          <w:lang w:val="en-GB"/>
        </w:rPr>
      </w:pPr>
      <w:r>
        <w:tab/>
      </w:r>
      <w:r>
        <w:rPr>
          <w:rStyle w:val="FootnoteReference"/>
        </w:rPr>
        <w:footnoteRef/>
      </w:r>
      <w:r>
        <w:tab/>
      </w:r>
      <w:r w:rsidRPr="00B97E4C">
        <w:t xml:space="preserve">See, for </w:t>
      </w:r>
      <w:r w:rsidRPr="00E21E31">
        <w:t>example</w:t>
      </w:r>
      <w:r w:rsidRPr="00B97E4C">
        <w:t xml:space="preserve">, </w:t>
      </w:r>
      <w:r w:rsidRPr="00870E05">
        <w:rPr>
          <w:i/>
        </w:rPr>
        <w:t>Alekseev v. Russian Federation</w:t>
      </w:r>
      <w:r w:rsidRPr="00B97E4C">
        <w:t xml:space="preserve"> (CCPR/C/109/D/1873/2009), para. </w:t>
      </w:r>
      <w:r w:rsidRPr="00FD23DD">
        <w:rPr>
          <w:lang w:val="es-ES"/>
        </w:rPr>
        <w:t xml:space="preserve">8.4; </w:t>
      </w:r>
      <w:proofErr w:type="spellStart"/>
      <w:r w:rsidRPr="00FD23DD">
        <w:rPr>
          <w:i/>
          <w:lang w:val="es-ES"/>
        </w:rPr>
        <w:t>Lozenko</w:t>
      </w:r>
      <w:proofErr w:type="spellEnd"/>
      <w:r w:rsidRPr="00FD23DD">
        <w:rPr>
          <w:i/>
          <w:lang w:val="es-ES"/>
        </w:rPr>
        <w:t xml:space="preserve"> v. Belarus</w:t>
      </w:r>
      <w:r w:rsidRPr="00FD23DD">
        <w:rPr>
          <w:lang w:val="es-ES"/>
        </w:rPr>
        <w:t xml:space="preserve"> (CCPR/C/112/D/1929/2010), para. 6.3; and </w:t>
      </w:r>
      <w:proofErr w:type="spellStart"/>
      <w:r w:rsidRPr="00FD23DD">
        <w:rPr>
          <w:i/>
          <w:lang w:val="es-ES"/>
        </w:rPr>
        <w:t>Sudalenko</w:t>
      </w:r>
      <w:proofErr w:type="spellEnd"/>
      <w:r w:rsidRPr="00FD23DD">
        <w:rPr>
          <w:i/>
          <w:lang w:val="es-ES"/>
        </w:rPr>
        <w:t xml:space="preserve"> v. Belarus</w:t>
      </w:r>
      <w:r w:rsidRPr="00FD23DD">
        <w:rPr>
          <w:lang w:val="es-ES"/>
        </w:rPr>
        <w:t xml:space="preserve"> (CCPR/C/115/D/2016/2010), para. </w:t>
      </w:r>
      <w:r w:rsidRPr="00B97E4C">
        <w:t>7.3.</w:t>
      </w:r>
    </w:p>
  </w:footnote>
  <w:footnote w:id="9">
    <w:p w14:paraId="660DD7EA" w14:textId="055CBD3E" w:rsidR="006A6790" w:rsidRPr="00983AD7" w:rsidRDefault="006A6790" w:rsidP="00983AD7">
      <w:pPr>
        <w:pStyle w:val="FootnoteText"/>
      </w:pPr>
      <w:r>
        <w:tab/>
      </w:r>
      <w:r w:rsidRPr="00983AD7">
        <w:rPr>
          <w:rStyle w:val="FootnoteReference"/>
        </w:rPr>
        <w:footnoteRef/>
      </w:r>
      <w:r w:rsidRPr="00983AD7">
        <w:rPr>
          <w:rStyle w:val="FootnoteReference"/>
        </w:rPr>
        <w:tab/>
      </w:r>
      <w:r w:rsidRPr="00983AD7">
        <w:t xml:space="preserve">See, for example, </w:t>
      </w:r>
      <w:proofErr w:type="spellStart"/>
      <w:r w:rsidR="003026C7" w:rsidRPr="00983AD7">
        <w:t>Pivonos</w:t>
      </w:r>
      <w:proofErr w:type="spellEnd"/>
      <w:r w:rsidR="003026C7" w:rsidRPr="00983AD7">
        <w:t xml:space="preserve"> v. Belarus (CCPR/C/106/D/</w:t>
      </w:r>
      <w:r w:rsidRPr="00983AD7">
        <w:t>1830/2008</w:t>
      </w:r>
      <w:r w:rsidR="003026C7" w:rsidRPr="00983AD7">
        <w:t>)</w:t>
      </w:r>
      <w:r w:rsidRPr="00983AD7">
        <w:t xml:space="preserve">, para. 9.3; and </w:t>
      </w:r>
      <w:proofErr w:type="spellStart"/>
      <w:r w:rsidR="003026C7" w:rsidRPr="00983AD7">
        <w:t>Olechkevitch</w:t>
      </w:r>
      <w:proofErr w:type="spellEnd"/>
      <w:r w:rsidR="003026C7" w:rsidRPr="00983AD7">
        <w:t xml:space="preserve"> v. Belarus (CCPR/C/107/D/</w:t>
      </w:r>
      <w:r w:rsidRPr="00983AD7">
        <w:t>1785/2008</w:t>
      </w:r>
      <w:r w:rsidR="003026C7" w:rsidRPr="00983AD7">
        <w:t>)</w:t>
      </w:r>
      <w:r w:rsidRPr="00983AD7">
        <w:t xml:space="preserve">, para. 8.5. </w:t>
      </w:r>
    </w:p>
  </w:footnote>
  <w:footnote w:id="10">
    <w:p w14:paraId="0945E5C4" w14:textId="77777777" w:rsidR="00E35D2E" w:rsidRDefault="00E35D2E" w:rsidP="00E35D2E">
      <w:pPr>
        <w:pStyle w:val="FootnoteText"/>
      </w:pPr>
      <w:r>
        <w:tab/>
      </w:r>
      <w:r>
        <w:rPr>
          <w:rStyle w:val="FootnoteReference"/>
        </w:rPr>
        <w:footnoteRef/>
      </w:r>
      <w:r>
        <w:t xml:space="preserve"> </w:t>
      </w:r>
      <w:r>
        <w:tab/>
      </w:r>
      <w:r>
        <w:tab/>
        <w:t>General comment No. 37 (2020) on the right of peaceful assembly, para. 55</w:t>
      </w:r>
      <w:r>
        <w:rPr>
          <w:lang w:val="en-GB"/>
        </w:rPr>
        <w:t>.</w:t>
      </w:r>
    </w:p>
  </w:footnote>
  <w:footnote w:id="11">
    <w:p w14:paraId="598C4447" w14:textId="77777777" w:rsidR="00E35D2E" w:rsidRDefault="00E35D2E" w:rsidP="00E35D2E">
      <w:pPr>
        <w:pStyle w:val="FootnoteText"/>
        <w:rPr>
          <w:szCs w:val="18"/>
        </w:rPr>
      </w:pPr>
      <w:r>
        <w:rPr>
          <w:szCs w:val="18"/>
        </w:rPr>
        <w:tab/>
      </w:r>
      <w:r>
        <w:rPr>
          <w:rStyle w:val="FootnoteReference"/>
        </w:rPr>
        <w:footnoteRef/>
      </w:r>
      <w:r>
        <w:rPr>
          <w:szCs w:val="18"/>
        </w:rPr>
        <w:tab/>
        <w:t>Ibid., para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93AB1" w14:textId="730000E3" w:rsidR="00E54361" w:rsidRPr="00781C83" w:rsidRDefault="00E70274" w:rsidP="006317EC">
    <w:pPr>
      <w:pStyle w:val="Header"/>
      <w:pBdr>
        <w:bottom w:val="single" w:sz="4" w:space="0" w:color="auto"/>
      </w:pBdr>
    </w:pPr>
    <w:r w:rsidRPr="00E70274">
      <w:t>Advance unedited version</w:t>
    </w:r>
    <w:r>
      <w:t xml:space="preserve"> </w:t>
    </w:r>
    <w:r w:rsidR="00E54361">
      <w:t>CCPR</w:t>
    </w:r>
    <w:r w:rsidR="00E54361" w:rsidRPr="00607635">
      <w:t>/</w:t>
    </w:r>
    <w:r w:rsidR="00E54361" w:rsidRPr="00415BA0">
      <w:t>C/</w:t>
    </w:r>
    <w:r w:rsidR="00FE5209" w:rsidRPr="00415BA0">
      <w:t>1</w:t>
    </w:r>
    <w:r w:rsidR="00FE5209">
      <w:t>30</w:t>
    </w:r>
    <w:r w:rsidR="00E54361" w:rsidRPr="00415BA0">
      <w:t>/D/</w:t>
    </w:r>
    <w:r w:rsidR="00D54AC8" w:rsidRPr="00415BA0">
      <w:t>2</w:t>
    </w:r>
    <w:r w:rsidR="00F06A0F">
      <w:t>713</w:t>
    </w:r>
    <w:r w:rsidR="00E54361" w:rsidRPr="00415BA0">
      <w:t>/201</w:t>
    </w:r>
    <w:r w:rsidR="00F06A0F">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C936" w14:textId="52D0EEAC" w:rsidR="00E54361" w:rsidRPr="00781C83" w:rsidRDefault="00E70274">
    <w:pPr>
      <w:pStyle w:val="Header"/>
      <w:pBdr>
        <w:bottom w:val="single" w:sz="4" w:space="0" w:color="auto"/>
      </w:pBdr>
      <w:jc w:val="right"/>
    </w:pPr>
    <w:r w:rsidRPr="00E70274">
      <w:t>Advance unedited version</w:t>
    </w:r>
    <w:r>
      <w:t xml:space="preserve"> </w:t>
    </w:r>
    <w:r w:rsidR="00E54361">
      <w:t>CCPR</w:t>
    </w:r>
    <w:r w:rsidR="00E54361" w:rsidRPr="00607635">
      <w:t>/</w:t>
    </w:r>
    <w:r w:rsidR="00D54AC8">
      <w:t>C</w:t>
    </w:r>
    <w:r w:rsidR="00E54361" w:rsidRPr="00415BA0">
      <w:t>/</w:t>
    </w:r>
    <w:r w:rsidR="00FE5209" w:rsidRPr="00415BA0">
      <w:t>1</w:t>
    </w:r>
    <w:r w:rsidR="00FE5209">
      <w:t>30</w:t>
    </w:r>
    <w:r w:rsidR="00E54361" w:rsidRPr="00415BA0">
      <w:t>/D/2</w:t>
    </w:r>
    <w:r w:rsidR="00F06A0F">
      <w:t>713</w:t>
    </w:r>
    <w:r w:rsidR="00E54361" w:rsidRPr="00415BA0">
      <w:t>/201</w:t>
    </w:r>
    <w:r w:rsidR="00F06A0F">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2"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3"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5"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6"/>
  </w:num>
  <w:num w:numId="3">
    <w:abstractNumId w:val="4"/>
  </w:num>
  <w:num w:numId="4">
    <w:abstractNumId w:val="1"/>
  </w:num>
  <w:num w:numId="5">
    <w:abstractNumId w:val="5"/>
  </w:num>
  <w:num w:numId="6">
    <w:abstractNumId w:val="7"/>
  </w:num>
  <w:num w:numId="7">
    <w:abstractNumId w:val="2"/>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6A5"/>
    <w:rsid w:val="00002773"/>
    <w:rsid w:val="000044E2"/>
    <w:rsid w:val="00004E8B"/>
    <w:rsid w:val="000050E2"/>
    <w:rsid w:val="00005BD8"/>
    <w:rsid w:val="00006D75"/>
    <w:rsid w:val="0000757A"/>
    <w:rsid w:val="00010484"/>
    <w:rsid w:val="000128E3"/>
    <w:rsid w:val="00012A71"/>
    <w:rsid w:val="000135C3"/>
    <w:rsid w:val="00013B77"/>
    <w:rsid w:val="000178D8"/>
    <w:rsid w:val="000203CD"/>
    <w:rsid w:val="000205BB"/>
    <w:rsid w:val="00020F51"/>
    <w:rsid w:val="000222FF"/>
    <w:rsid w:val="000227DC"/>
    <w:rsid w:val="00022CC7"/>
    <w:rsid w:val="00024133"/>
    <w:rsid w:val="00024521"/>
    <w:rsid w:val="00024979"/>
    <w:rsid w:val="00025269"/>
    <w:rsid w:val="00025370"/>
    <w:rsid w:val="00025418"/>
    <w:rsid w:val="00025856"/>
    <w:rsid w:val="00025A3C"/>
    <w:rsid w:val="00025D41"/>
    <w:rsid w:val="00026B06"/>
    <w:rsid w:val="000272B3"/>
    <w:rsid w:val="00027A45"/>
    <w:rsid w:val="00031D46"/>
    <w:rsid w:val="00031D9B"/>
    <w:rsid w:val="00032A3A"/>
    <w:rsid w:val="0003387B"/>
    <w:rsid w:val="00034637"/>
    <w:rsid w:val="00034DE4"/>
    <w:rsid w:val="00035F0E"/>
    <w:rsid w:val="00036D15"/>
    <w:rsid w:val="00037807"/>
    <w:rsid w:val="00037AD0"/>
    <w:rsid w:val="000404F2"/>
    <w:rsid w:val="0004092D"/>
    <w:rsid w:val="00040CAE"/>
    <w:rsid w:val="00041994"/>
    <w:rsid w:val="000419D2"/>
    <w:rsid w:val="00044035"/>
    <w:rsid w:val="000444F2"/>
    <w:rsid w:val="000448FF"/>
    <w:rsid w:val="00044DAB"/>
    <w:rsid w:val="00044EE9"/>
    <w:rsid w:val="00050F6B"/>
    <w:rsid w:val="00052674"/>
    <w:rsid w:val="00053842"/>
    <w:rsid w:val="00055096"/>
    <w:rsid w:val="0005782B"/>
    <w:rsid w:val="00057E97"/>
    <w:rsid w:val="00057F1A"/>
    <w:rsid w:val="00060074"/>
    <w:rsid w:val="00060C3A"/>
    <w:rsid w:val="00063B22"/>
    <w:rsid w:val="00064B7C"/>
    <w:rsid w:val="00066476"/>
    <w:rsid w:val="00067250"/>
    <w:rsid w:val="00071E1A"/>
    <w:rsid w:val="00071FC0"/>
    <w:rsid w:val="00072C8C"/>
    <w:rsid w:val="000733B5"/>
    <w:rsid w:val="0007628F"/>
    <w:rsid w:val="000772FF"/>
    <w:rsid w:val="00077BC4"/>
    <w:rsid w:val="00081815"/>
    <w:rsid w:val="0008278D"/>
    <w:rsid w:val="0008317C"/>
    <w:rsid w:val="00083322"/>
    <w:rsid w:val="00085530"/>
    <w:rsid w:val="000872D5"/>
    <w:rsid w:val="000908FA"/>
    <w:rsid w:val="000919AD"/>
    <w:rsid w:val="0009221F"/>
    <w:rsid w:val="000931C0"/>
    <w:rsid w:val="000936D7"/>
    <w:rsid w:val="00093C0B"/>
    <w:rsid w:val="0009487F"/>
    <w:rsid w:val="00094C48"/>
    <w:rsid w:val="00096AC4"/>
    <w:rsid w:val="000970C1"/>
    <w:rsid w:val="00097416"/>
    <w:rsid w:val="000A0A3D"/>
    <w:rsid w:val="000A2283"/>
    <w:rsid w:val="000A22AD"/>
    <w:rsid w:val="000A34F4"/>
    <w:rsid w:val="000A442E"/>
    <w:rsid w:val="000A50A8"/>
    <w:rsid w:val="000A6B47"/>
    <w:rsid w:val="000A7D92"/>
    <w:rsid w:val="000B175B"/>
    <w:rsid w:val="000B1788"/>
    <w:rsid w:val="000B1A95"/>
    <w:rsid w:val="000B1F33"/>
    <w:rsid w:val="000B31F7"/>
    <w:rsid w:val="000B3A0F"/>
    <w:rsid w:val="000B4A49"/>
    <w:rsid w:val="000B4EF7"/>
    <w:rsid w:val="000B6CA3"/>
    <w:rsid w:val="000B77CE"/>
    <w:rsid w:val="000C0CFF"/>
    <w:rsid w:val="000C2570"/>
    <w:rsid w:val="000C2C03"/>
    <w:rsid w:val="000C2D2E"/>
    <w:rsid w:val="000C2E06"/>
    <w:rsid w:val="000C6F58"/>
    <w:rsid w:val="000C703B"/>
    <w:rsid w:val="000C71A2"/>
    <w:rsid w:val="000C769F"/>
    <w:rsid w:val="000C7C9A"/>
    <w:rsid w:val="000D0A22"/>
    <w:rsid w:val="000D4E61"/>
    <w:rsid w:val="000D7119"/>
    <w:rsid w:val="000D71AC"/>
    <w:rsid w:val="000E0415"/>
    <w:rsid w:val="000E0A4F"/>
    <w:rsid w:val="000E0C6B"/>
    <w:rsid w:val="000E0E8E"/>
    <w:rsid w:val="000E10B6"/>
    <w:rsid w:val="000E133E"/>
    <w:rsid w:val="000E2BE1"/>
    <w:rsid w:val="000E42FA"/>
    <w:rsid w:val="000E4735"/>
    <w:rsid w:val="000E536B"/>
    <w:rsid w:val="000E567F"/>
    <w:rsid w:val="000E5B8B"/>
    <w:rsid w:val="000E645D"/>
    <w:rsid w:val="000E6AD2"/>
    <w:rsid w:val="000E6E85"/>
    <w:rsid w:val="000E7797"/>
    <w:rsid w:val="000E7B78"/>
    <w:rsid w:val="000F03D7"/>
    <w:rsid w:val="000F0C6A"/>
    <w:rsid w:val="000F0DAA"/>
    <w:rsid w:val="000F14F5"/>
    <w:rsid w:val="000F1BE3"/>
    <w:rsid w:val="000F277A"/>
    <w:rsid w:val="000F2B93"/>
    <w:rsid w:val="000F4D7F"/>
    <w:rsid w:val="000F4E65"/>
    <w:rsid w:val="000F570E"/>
    <w:rsid w:val="000F648B"/>
    <w:rsid w:val="000F64A9"/>
    <w:rsid w:val="000F691C"/>
    <w:rsid w:val="000F6BEA"/>
    <w:rsid w:val="000F76E4"/>
    <w:rsid w:val="000F76FA"/>
    <w:rsid w:val="000F7E69"/>
    <w:rsid w:val="0010135A"/>
    <w:rsid w:val="00101383"/>
    <w:rsid w:val="001018A9"/>
    <w:rsid w:val="00101921"/>
    <w:rsid w:val="00102AC0"/>
    <w:rsid w:val="001037D9"/>
    <w:rsid w:val="00103A7A"/>
    <w:rsid w:val="00104EB3"/>
    <w:rsid w:val="00106602"/>
    <w:rsid w:val="0010686C"/>
    <w:rsid w:val="0010694D"/>
    <w:rsid w:val="001103AA"/>
    <w:rsid w:val="00110C53"/>
    <w:rsid w:val="0011184E"/>
    <w:rsid w:val="00111AAA"/>
    <w:rsid w:val="00114AD2"/>
    <w:rsid w:val="00115DDE"/>
    <w:rsid w:val="00117EA3"/>
    <w:rsid w:val="00121F92"/>
    <w:rsid w:val="00123048"/>
    <w:rsid w:val="00123C95"/>
    <w:rsid w:val="00124014"/>
    <w:rsid w:val="00124442"/>
    <w:rsid w:val="001245B3"/>
    <w:rsid w:val="00124EA1"/>
    <w:rsid w:val="001252BD"/>
    <w:rsid w:val="00125565"/>
    <w:rsid w:val="00125C47"/>
    <w:rsid w:val="00125DB6"/>
    <w:rsid w:val="001306DD"/>
    <w:rsid w:val="0013235B"/>
    <w:rsid w:val="00132519"/>
    <w:rsid w:val="00132619"/>
    <w:rsid w:val="00132E4D"/>
    <w:rsid w:val="00133611"/>
    <w:rsid w:val="00133871"/>
    <w:rsid w:val="00133C93"/>
    <w:rsid w:val="001360BE"/>
    <w:rsid w:val="0013670D"/>
    <w:rsid w:val="00142286"/>
    <w:rsid w:val="0014254E"/>
    <w:rsid w:val="00143694"/>
    <w:rsid w:val="00145CA7"/>
    <w:rsid w:val="00146792"/>
    <w:rsid w:val="0015032A"/>
    <w:rsid w:val="00151CCD"/>
    <w:rsid w:val="00153530"/>
    <w:rsid w:val="00154F56"/>
    <w:rsid w:val="0015515E"/>
    <w:rsid w:val="00156376"/>
    <w:rsid w:val="00157DFB"/>
    <w:rsid w:val="00160FB9"/>
    <w:rsid w:val="00161364"/>
    <w:rsid w:val="00161B02"/>
    <w:rsid w:val="00161BAD"/>
    <w:rsid w:val="00161C6C"/>
    <w:rsid w:val="001649C8"/>
    <w:rsid w:val="00165896"/>
    <w:rsid w:val="00165F3A"/>
    <w:rsid w:val="001663EC"/>
    <w:rsid w:val="001676A8"/>
    <w:rsid w:val="00170114"/>
    <w:rsid w:val="00171C45"/>
    <w:rsid w:val="00172198"/>
    <w:rsid w:val="0017277A"/>
    <w:rsid w:val="00172B2B"/>
    <w:rsid w:val="00173A07"/>
    <w:rsid w:val="0017551B"/>
    <w:rsid w:val="00175A57"/>
    <w:rsid w:val="0017676A"/>
    <w:rsid w:val="00176BF6"/>
    <w:rsid w:val="00176FE1"/>
    <w:rsid w:val="001770E3"/>
    <w:rsid w:val="00177A2D"/>
    <w:rsid w:val="00177CA5"/>
    <w:rsid w:val="0018052F"/>
    <w:rsid w:val="00182A46"/>
    <w:rsid w:val="00183968"/>
    <w:rsid w:val="00184A13"/>
    <w:rsid w:val="00184F74"/>
    <w:rsid w:val="00185588"/>
    <w:rsid w:val="00193764"/>
    <w:rsid w:val="00193B80"/>
    <w:rsid w:val="0019468C"/>
    <w:rsid w:val="00194C49"/>
    <w:rsid w:val="00194DFC"/>
    <w:rsid w:val="00194E30"/>
    <w:rsid w:val="00195FA5"/>
    <w:rsid w:val="00196CDF"/>
    <w:rsid w:val="001975D8"/>
    <w:rsid w:val="001A079F"/>
    <w:rsid w:val="001A09DE"/>
    <w:rsid w:val="001A149B"/>
    <w:rsid w:val="001A188E"/>
    <w:rsid w:val="001A2576"/>
    <w:rsid w:val="001A2A95"/>
    <w:rsid w:val="001A2E0B"/>
    <w:rsid w:val="001A30F9"/>
    <w:rsid w:val="001A44F4"/>
    <w:rsid w:val="001A457F"/>
    <w:rsid w:val="001A5755"/>
    <w:rsid w:val="001A58D1"/>
    <w:rsid w:val="001A62D6"/>
    <w:rsid w:val="001A660B"/>
    <w:rsid w:val="001A6686"/>
    <w:rsid w:val="001A723C"/>
    <w:rsid w:val="001A7754"/>
    <w:rsid w:val="001B1953"/>
    <w:rsid w:val="001B3659"/>
    <w:rsid w:val="001B3687"/>
    <w:rsid w:val="001B368C"/>
    <w:rsid w:val="001B400C"/>
    <w:rsid w:val="001B4041"/>
    <w:rsid w:val="001B4B04"/>
    <w:rsid w:val="001B4F72"/>
    <w:rsid w:val="001B55BE"/>
    <w:rsid w:val="001B734D"/>
    <w:rsid w:val="001B7CF6"/>
    <w:rsid w:val="001C276E"/>
    <w:rsid w:val="001C326D"/>
    <w:rsid w:val="001C538B"/>
    <w:rsid w:val="001C6016"/>
    <w:rsid w:val="001C657F"/>
    <w:rsid w:val="001C6663"/>
    <w:rsid w:val="001C6B47"/>
    <w:rsid w:val="001C7895"/>
    <w:rsid w:val="001D04B8"/>
    <w:rsid w:val="001D0C8C"/>
    <w:rsid w:val="001D1FB7"/>
    <w:rsid w:val="001D2097"/>
    <w:rsid w:val="001D26DF"/>
    <w:rsid w:val="001D2754"/>
    <w:rsid w:val="001D2861"/>
    <w:rsid w:val="001D384D"/>
    <w:rsid w:val="001D3A03"/>
    <w:rsid w:val="001D4B84"/>
    <w:rsid w:val="001D50CE"/>
    <w:rsid w:val="001D5307"/>
    <w:rsid w:val="001D5C81"/>
    <w:rsid w:val="001D68E1"/>
    <w:rsid w:val="001E06D9"/>
    <w:rsid w:val="001E0966"/>
    <w:rsid w:val="001E10EC"/>
    <w:rsid w:val="001E1235"/>
    <w:rsid w:val="001E175D"/>
    <w:rsid w:val="001E1A5C"/>
    <w:rsid w:val="001E33AB"/>
    <w:rsid w:val="001E357C"/>
    <w:rsid w:val="001E3A36"/>
    <w:rsid w:val="001E48A9"/>
    <w:rsid w:val="001E6800"/>
    <w:rsid w:val="001E68DA"/>
    <w:rsid w:val="001F11C8"/>
    <w:rsid w:val="001F2774"/>
    <w:rsid w:val="001F38F1"/>
    <w:rsid w:val="001F468C"/>
    <w:rsid w:val="001F6654"/>
    <w:rsid w:val="001F7FC8"/>
    <w:rsid w:val="00200A64"/>
    <w:rsid w:val="00200CC4"/>
    <w:rsid w:val="00200F03"/>
    <w:rsid w:val="002012C3"/>
    <w:rsid w:val="00202DA8"/>
    <w:rsid w:val="00203732"/>
    <w:rsid w:val="0020739A"/>
    <w:rsid w:val="00210AE2"/>
    <w:rsid w:val="00210CE0"/>
    <w:rsid w:val="002117EE"/>
    <w:rsid w:val="00211E0B"/>
    <w:rsid w:val="00212027"/>
    <w:rsid w:val="002130C2"/>
    <w:rsid w:val="00214B06"/>
    <w:rsid w:val="00216A79"/>
    <w:rsid w:val="00217500"/>
    <w:rsid w:val="00217CED"/>
    <w:rsid w:val="00217DDD"/>
    <w:rsid w:val="00222072"/>
    <w:rsid w:val="0022219E"/>
    <w:rsid w:val="002222A7"/>
    <w:rsid w:val="00222DFC"/>
    <w:rsid w:val="0022501D"/>
    <w:rsid w:val="0022665C"/>
    <w:rsid w:val="00226F53"/>
    <w:rsid w:val="00227BDE"/>
    <w:rsid w:val="002310A9"/>
    <w:rsid w:val="002313C7"/>
    <w:rsid w:val="00231675"/>
    <w:rsid w:val="00231C9F"/>
    <w:rsid w:val="0023210C"/>
    <w:rsid w:val="00232832"/>
    <w:rsid w:val="00232D9D"/>
    <w:rsid w:val="002350F7"/>
    <w:rsid w:val="00235CC1"/>
    <w:rsid w:val="00236D66"/>
    <w:rsid w:val="002414CD"/>
    <w:rsid w:val="00241D40"/>
    <w:rsid w:val="00243ABE"/>
    <w:rsid w:val="00243DD1"/>
    <w:rsid w:val="00244127"/>
    <w:rsid w:val="00244A62"/>
    <w:rsid w:val="00244EDE"/>
    <w:rsid w:val="002450F8"/>
    <w:rsid w:val="00245DF8"/>
    <w:rsid w:val="00250361"/>
    <w:rsid w:val="00252170"/>
    <w:rsid w:val="00253E54"/>
    <w:rsid w:val="00255D2B"/>
    <w:rsid w:val="002569AF"/>
    <w:rsid w:val="0025725A"/>
    <w:rsid w:val="00261F5D"/>
    <w:rsid w:val="002632E7"/>
    <w:rsid w:val="002633C4"/>
    <w:rsid w:val="0026447F"/>
    <w:rsid w:val="002649FE"/>
    <w:rsid w:val="00264CD2"/>
    <w:rsid w:val="00265136"/>
    <w:rsid w:val="002652CE"/>
    <w:rsid w:val="00267449"/>
    <w:rsid w:val="00267CEE"/>
    <w:rsid w:val="00267F5F"/>
    <w:rsid w:val="0027131E"/>
    <w:rsid w:val="0027161C"/>
    <w:rsid w:val="00272ADF"/>
    <w:rsid w:val="0027376E"/>
    <w:rsid w:val="002743EE"/>
    <w:rsid w:val="002744F0"/>
    <w:rsid w:val="0027570D"/>
    <w:rsid w:val="002767FA"/>
    <w:rsid w:val="00276FD7"/>
    <w:rsid w:val="00277604"/>
    <w:rsid w:val="00280C5F"/>
    <w:rsid w:val="00280D66"/>
    <w:rsid w:val="00281129"/>
    <w:rsid w:val="00281E04"/>
    <w:rsid w:val="002824C8"/>
    <w:rsid w:val="002834E0"/>
    <w:rsid w:val="00284FD1"/>
    <w:rsid w:val="0028645E"/>
    <w:rsid w:val="00286B4D"/>
    <w:rsid w:val="002903BD"/>
    <w:rsid w:val="00290F51"/>
    <w:rsid w:val="002915E7"/>
    <w:rsid w:val="00291877"/>
    <w:rsid w:val="00294D8D"/>
    <w:rsid w:val="0029502C"/>
    <w:rsid w:val="00295FFA"/>
    <w:rsid w:val="0029607D"/>
    <w:rsid w:val="002974A6"/>
    <w:rsid w:val="002A0192"/>
    <w:rsid w:val="002A03BE"/>
    <w:rsid w:val="002A2334"/>
    <w:rsid w:val="002A239B"/>
    <w:rsid w:val="002A4421"/>
    <w:rsid w:val="002A5021"/>
    <w:rsid w:val="002A5E37"/>
    <w:rsid w:val="002B0FC2"/>
    <w:rsid w:val="002B1375"/>
    <w:rsid w:val="002B2CF2"/>
    <w:rsid w:val="002B3574"/>
    <w:rsid w:val="002B3DA5"/>
    <w:rsid w:val="002B3F1E"/>
    <w:rsid w:val="002B4AC8"/>
    <w:rsid w:val="002B52F2"/>
    <w:rsid w:val="002B56E0"/>
    <w:rsid w:val="002B63A0"/>
    <w:rsid w:val="002B6C74"/>
    <w:rsid w:val="002B7745"/>
    <w:rsid w:val="002B7C4F"/>
    <w:rsid w:val="002C027A"/>
    <w:rsid w:val="002C032D"/>
    <w:rsid w:val="002C051F"/>
    <w:rsid w:val="002C15A4"/>
    <w:rsid w:val="002C3C84"/>
    <w:rsid w:val="002C4B41"/>
    <w:rsid w:val="002C4E74"/>
    <w:rsid w:val="002C5711"/>
    <w:rsid w:val="002C5BCD"/>
    <w:rsid w:val="002C70BF"/>
    <w:rsid w:val="002D06E5"/>
    <w:rsid w:val="002D09B5"/>
    <w:rsid w:val="002D0F50"/>
    <w:rsid w:val="002D1C94"/>
    <w:rsid w:val="002D28BC"/>
    <w:rsid w:val="002D2D50"/>
    <w:rsid w:val="002D3837"/>
    <w:rsid w:val="002D38A3"/>
    <w:rsid w:val="002D3A6B"/>
    <w:rsid w:val="002D3AF5"/>
    <w:rsid w:val="002D46DB"/>
    <w:rsid w:val="002D49A0"/>
    <w:rsid w:val="002D5EC0"/>
    <w:rsid w:val="002D5ECE"/>
    <w:rsid w:val="002D6106"/>
    <w:rsid w:val="002D727C"/>
    <w:rsid w:val="002E0305"/>
    <w:rsid w:val="002E0B71"/>
    <w:rsid w:val="002E1323"/>
    <w:rsid w:val="002E4AD6"/>
    <w:rsid w:val="002F039C"/>
    <w:rsid w:val="002F053D"/>
    <w:rsid w:val="002F14CA"/>
    <w:rsid w:val="002F175C"/>
    <w:rsid w:val="002F1CC4"/>
    <w:rsid w:val="002F4E01"/>
    <w:rsid w:val="002F56D8"/>
    <w:rsid w:val="002F5896"/>
    <w:rsid w:val="002F5D0C"/>
    <w:rsid w:val="002F5DCB"/>
    <w:rsid w:val="002F709A"/>
    <w:rsid w:val="002F772E"/>
    <w:rsid w:val="002F781E"/>
    <w:rsid w:val="002F7A1E"/>
    <w:rsid w:val="00300FEE"/>
    <w:rsid w:val="00301072"/>
    <w:rsid w:val="0030138D"/>
    <w:rsid w:val="00301610"/>
    <w:rsid w:val="00301BD4"/>
    <w:rsid w:val="00301E0F"/>
    <w:rsid w:val="003026C7"/>
    <w:rsid w:val="00302727"/>
    <w:rsid w:val="00302B44"/>
    <w:rsid w:val="00303D16"/>
    <w:rsid w:val="003047D3"/>
    <w:rsid w:val="00306124"/>
    <w:rsid w:val="00306470"/>
    <w:rsid w:val="0030672F"/>
    <w:rsid w:val="00310E7B"/>
    <w:rsid w:val="00310F2C"/>
    <w:rsid w:val="0031167A"/>
    <w:rsid w:val="003121FB"/>
    <w:rsid w:val="00314415"/>
    <w:rsid w:val="00314A18"/>
    <w:rsid w:val="00314A97"/>
    <w:rsid w:val="0031790F"/>
    <w:rsid w:val="00320482"/>
    <w:rsid w:val="00320E07"/>
    <w:rsid w:val="00320F32"/>
    <w:rsid w:val="003218C7"/>
    <w:rsid w:val="00321BF2"/>
    <w:rsid w:val="003220F0"/>
    <w:rsid w:val="00322881"/>
    <w:rsid w:val="003229D8"/>
    <w:rsid w:val="0032348D"/>
    <w:rsid w:val="00323A2B"/>
    <w:rsid w:val="00325136"/>
    <w:rsid w:val="00326293"/>
    <w:rsid w:val="0032709F"/>
    <w:rsid w:val="0032732D"/>
    <w:rsid w:val="00327502"/>
    <w:rsid w:val="00331781"/>
    <w:rsid w:val="00332B1E"/>
    <w:rsid w:val="00332D5C"/>
    <w:rsid w:val="003335F5"/>
    <w:rsid w:val="00333921"/>
    <w:rsid w:val="00333E0C"/>
    <w:rsid w:val="00335C4B"/>
    <w:rsid w:val="00335D6C"/>
    <w:rsid w:val="003362ED"/>
    <w:rsid w:val="003365EC"/>
    <w:rsid w:val="00336FB0"/>
    <w:rsid w:val="00337A47"/>
    <w:rsid w:val="003425CE"/>
    <w:rsid w:val="00342D6C"/>
    <w:rsid w:val="0034486F"/>
    <w:rsid w:val="00344DC3"/>
    <w:rsid w:val="00345256"/>
    <w:rsid w:val="003464C6"/>
    <w:rsid w:val="003465C8"/>
    <w:rsid w:val="003467FE"/>
    <w:rsid w:val="00346980"/>
    <w:rsid w:val="00346DE7"/>
    <w:rsid w:val="0034792E"/>
    <w:rsid w:val="0035049F"/>
    <w:rsid w:val="00350592"/>
    <w:rsid w:val="00352709"/>
    <w:rsid w:val="00352C1F"/>
    <w:rsid w:val="00352D2B"/>
    <w:rsid w:val="00354AA8"/>
    <w:rsid w:val="00355BD5"/>
    <w:rsid w:val="00356EEF"/>
    <w:rsid w:val="00360EAD"/>
    <w:rsid w:val="0036213E"/>
    <w:rsid w:val="00362869"/>
    <w:rsid w:val="00362F0A"/>
    <w:rsid w:val="003634F2"/>
    <w:rsid w:val="00364789"/>
    <w:rsid w:val="00364901"/>
    <w:rsid w:val="003652A0"/>
    <w:rsid w:val="00365AB4"/>
    <w:rsid w:val="003661AB"/>
    <w:rsid w:val="0036645D"/>
    <w:rsid w:val="00367567"/>
    <w:rsid w:val="003705C9"/>
    <w:rsid w:val="00371178"/>
    <w:rsid w:val="003713E0"/>
    <w:rsid w:val="003719B4"/>
    <w:rsid w:val="0037204F"/>
    <w:rsid w:val="003721BC"/>
    <w:rsid w:val="00372E2F"/>
    <w:rsid w:val="00372E90"/>
    <w:rsid w:val="003730DD"/>
    <w:rsid w:val="00374609"/>
    <w:rsid w:val="00374D5A"/>
    <w:rsid w:val="003762A0"/>
    <w:rsid w:val="00376745"/>
    <w:rsid w:val="0037720E"/>
    <w:rsid w:val="003800DE"/>
    <w:rsid w:val="00381975"/>
    <w:rsid w:val="00381DBA"/>
    <w:rsid w:val="003821D3"/>
    <w:rsid w:val="00382EE8"/>
    <w:rsid w:val="0038336C"/>
    <w:rsid w:val="00383F4C"/>
    <w:rsid w:val="00383F7E"/>
    <w:rsid w:val="003849C4"/>
    <w:rsid w:val="00386A7B"/>
    <w:rsid w:val="00386AC2"/>
    <w:rsid w:val="00386EF5"/>
    <w:rsid w:val="003871ED"/>
    <w:rsid w:val="00390A83"/>
    <w:rsid w:val="00392121"/>
    <w:rsid w:val="00392A35"/>
    <w:rsid w:val="00393666"/>
    <w:rsid w:val="003942F0"/>
    <w:rsid w:val="003945BF"/>
    <w:rsid w:val="00394A4C"/>
    <w:rsid w:val="00395395"/>
    <w:rsid w:val="0039556A"/>
    <w:rsid w:val="00396BAE"/>
    <w:rsid w:val="00397223"/>
    <w:rsid w:val="003973D0"/>
    <w:rsid w:val="003A0984"/>
    <w:rsid w:val="003A1602"/>
    <w:rsid w:val="003A22FB"/>
    <w:rsid w:val="003A26A3"/>
    <w:rsid w:val="003A3C43"/>
    <w:rsid w:val="003A5380"/>
    <w:rsid w:val="003A53F7"/>
    <w:rsid w:val="003A5830"/>
    <w:rsid w:val="003A6810"/>
    <w:rsid w:val="003A6BB4"/>
    <w:rsid w:val="003B1756"/>
    <w:rsid w:val="003B483A"/>
    <w:rsid w:val="003B4890"/>
    <w:rsid w:val="003B59D4"/>
    <w:rsid w:val="003B5B0A"/>
    <w:rsid w:val="003B6175"/>
    <w:rsid w:val="003B7955"/>
    <w:rsid w:val="003C02AB"/>
    <w:rsid w:val="003C1A26"/>
    <w:rsid w:val="003C2CC4"/>
    <w:rsid w:val="003C4DEF"/>
    <w:rsid w:val="003C558C"/>
    <w:rsid w:val="003C74C5"/>
    <w:rsid w:val="003D022D"/>
    <w:rsid w:val="003D0290"/>
    <w:rsid w:val="003D1310"/>
    <w:rsid w:val="003D2644"/>
    <w:rsid w:val="003D2AA6"/>
    <w:rsid w:val="003D3CF9"/>
    <w:rsid w:val="003D4143"/>
    <w:rsid w:val="003D4794"/>
    <w:rsid w:val="003D4B23"/>
    <w:rsid w:val="003D56B0"/>
    <w:rsid w:val="003E1596"/>
    <w:rsid w:val="003E1C43"/>
    <w:rsid w:val="003E219E"/>
    <w:rsid w:val="003E22F5"/>
    <w:rsid w:val="003E3065"/>
    <w:rsid w:val="003E3CF4"/>
    <w:rsid w:val="003E3DF3"/>
    <w:rsid w:val="003E493F"/>
    <w:rsid w:val="003E52A2"/>
    <w:rsid w:val="003E64CC"/>
    <w:rsid w:val="003E6D09"/>
    <w:rsid w:val="003E6F7E"/>
    <w:rsid w:val="003E723E"/>
    <w:rsid w:val="003F6100"/>
    <w:rsid w:val="00400ACF"/>
    <w:rsid w:val="0040136F"/>
    <w:rsid w:val="00401429"/>
    <w:rsid w:val="004016C9"/>
    <w:rsid w:val="00401BF0"/>
    <w:rsid w:val="00402458"/>
    <w:rsid w:val="00403387"/>
    <w:rsid w:val="00403BAA"/>
    <w:rsid w:val="00403D97"/>
    <w:rsid w:val="0040413A"/>
    <w:rsid w:val="004050B9"/>
    <w:rsid w:val="00405473"/>
    <w:rsid w:val="00406047"/>
    <w:rsid w:val="0041050D"/>
    <w:rsid w:val="00410C89"/>
    <w:rsid w:val="00410FB0"/>
    <w:rsid w:val="004113B2"/>
    <w:rsid w:val="00412A50"/>
    <w:rsid w:val="004147D4"/>
    <w:rsid w:val="00414931"/>
    <w:rsid w:val="00414B35"/>
    <w:rsid w:val="00415BA0"/>
    <w:rsid w:val="00416060"/>
    <w:rsid w:val="004175B5"/>
    <w:rsid w:val="0041795A"/>
    <w:rsid w:val="004179B3"/>
    <w:rsid w:val="00420855"/>
    <w:rsid w:val="004223A7"/>
    <w:rsid w:val="004228D5"/>
    <w:rsid w:val="00422F31"/>
    <w:rsid w:val="00424479"/>
    <w:rsid w:val="00424AD8"/>
    <w:rsid w:val="0042621F"/>
    <w:rsid w:val="00426B9B"/>
    <w:rsid w:val="00430F99"/>
    <w:rsid w:val="004311E3"/>
    <w:rsid w:val="00431FE1"/>
    <w:rsid w:val="004325CB"/>
    <w:rsid w:val="004327E0"/>
    <w:rsid w:val="004331A3"/>
    <w:rsid w:val="004346B9"/>
    <w:rsid w:val="0043559E"/>
    <w:rsid w:val="00435D83"/>
    <w:rsid w:val="00436142"/>
    <w:rsid w:val="00436B33"/>
    <w:rsid w:val="00440E04"/>
    <w:rsid w:val="0044155F"/>
    <w:rsid w:val="00442A83"/>
    <w:rsid w:val="00442E22"/>
    <w:rsid w:val="00442F2A"/>
    <w:rsid w:val="00443039"/>
    <w:rsid w:val="0044393A"/>
    <w:rsid w:val="00443EE9"/>
    <w:rsid w:val="00446B75"/>
    <w:rsid w:val="00450A3B"/>
    <w:rsid w:val="004514F6"/>
    <w:rsid w:val="004536EF"/>
    <w:rsid w:val="0045495B"/>
    <w:rsid w:val="00455148"/>
    <w:rsid w:val="00455900"/>
    <w:rsid w:val="00456152"/>
    <w:rsid w:val="00456EB9"/>
    <w:rsid w:val="0045741F"/>
    <w:rsid w:val="00457E0B"/>
    <w:rsid w:val="00460E2A"/>
    <w:rsid w:val="00461924"/>
    <w:rsid w:val="00466844"/>
    <w:rsid w:val="00466B4C"/>
    <w:rsid w:val="00467903"/>
    <w:rsid w:val="0046795E"/>
    <w:rsid w:val="0047073D"/>
    <w:rsid w:val="0047261F"/>
    <w:rsid w:val="0047326D"/>
    <w:rsid w:val="004734D9"/>
    <w:rsid w:val="00473963"/>
    <w:rsid w:val="004748BA"/>
    <w:rsid w:val="004821F5"/>
    <w:rsid w:val="004832AC"/>
    <w:rsid w:val="004838A6"/>
    <w:rsid w:val="00483D1D"/>
    <w:rsid w:val="00483EF4"/>
    <w:rsid w:val="00484B45"/>
    <w:rsid w:val="0048637B"/>
    <w:rsid w:val="00486877"/>
    <w:rsid w:val="00487256"/>
    <w:rsid w:val="0048737D"/>
    <w:rsid w:val="00487488"/>
    <w:rsid w:val="0049219B"/>
    <w:rsid w:val="00493CC2"/>
    <w:rsid w:val="00494846"/>
    <w:rsid w:val="0049638D"/>
    <w:rsid w:val="004976F2"/>
    <w:rsid w:val="004A189A"/>
    <w:rsid w:val="004A2281"/>
    <w:rsid w:val="004A28A7"/>
    <w:rsid w:val="004A3F45"/>
    <w:rsid w:val="004A58F9"/>
    <w:rsid w:val="004A5C21"/>
    <w:rsid w:val="004B3D5D"/>
    <w:rsid w:val="004B459B"/>
    <w:rsid w:val="004B4963"/>
    <w:rsid w:val="004B7D6C"/>
    <w:rsid w:val="004C0353"/>
    <w:rsid w:val="004C0946"/>
    <w:rsid w:val="004C2A01"/>
    <w:rsid w:val="004C30BF"/>
    <w:rsid w:val="004C3239"/>
    <w:rsid w:val="004C3EE1"/>
    <w:rsid w:val="004C49B5"/>
    <w:rsid w:val="004C4A2B"/>
    <w:rsid w:val="004C547C"/>
    <w:rsid w:val="004C6269"/>
    <w:rsid w:val="004C6864"/>
    <w:rsid w:val="004C69F9"/>
    <w:rsid w:val="004C71A0"/>
    <w:rsid w:val="004D1CEB"/>
    <w:rsid w:val="004D2F1B"/>
    <w:rsid w:val="004D3837"/>
    <w:rsid w:val="004D401C"/>
    <w:rsid w:val="004D4AAD"/>
    <w:rsid w:val="004D513B"/>
    <w:rsid w:val="004D5BEC"/>
    <w:rsid w:val="004D71B4"/>
    <w:rsid w:val="004E1541"/>
    <w:rsid w:val="004E1FF5"/>
    <w:rsid w:val="004E2AAE"/>
    <w:rsid w:val="004E3656"/>
    <w:rsid w:val="004E37AA"/>
    <w:rsid w:val="004E3FD1"/>
    <w:rsid w:val="004E4D62"/>
    <w:rsid w:val="004E617F"/>
    <w:rsid w:val="004E64A6"/>
    <w:rsid w:val="004F2AB1"/>
    <w:rsid w:val="004F5078"/>
    <w:rsid w:val="004F56A1"/>
    <w:rsid w:val="0050121C"/>
    <w:rsid w:val="0050139F"/>
    <w:rsid w:val="005015E6"/>
    <w:rsid w:val="0050162B"/>
    <w:rsid w:val="005022F1"/>
    <w:rsid w:val="005038B2"/>
    <w:rsid w:val="0050410E"/>
    <w:rsid w:val="005058FF"/>
    <w:rsid w:val="00511A20"/>
    <w:rsid w:val="00511F0E"/>
    <w:rsid w:val="00512945"/>
    <w:rsid w:val="00512D8B"/>
    <w:rsid w:val="00513196"/>
    <w:rsid w:val="00514916"/>
    <w:rsid w:val="00514BFF"/>
    <w:rsid w:val="005164EC"/>
    <w:rsid w:val="00516701"/>
    <w:rsid w:val="00516A5D"/>
    <w:rsid w:val="00516A6A"/>
    <w:rsid w:val="00520C9E"/>
    <w:rsid w:val="0052136D"/>
    <w:rsid w:val="0052434D"/>
    <w:rsid w:val="00524C98"/>
    <w:rsid w:val="00525395"/>
    <w:rsid w:val="00526E19"/>
    <w:rsid w:val="0052775E"/>
    <w:rsid w:val="00527B53"/>
    <w:rsid w:val="00530F9C"/>
    <w:rsid w:val="00531F54"/>
    <w:rsid w:val="00533633"/>
    <w:rsid w:val="00533CAC"/>
    <w:rsid w:val="00533EFD"/>
    <w:rsid w:val="00534179"/>
    <w:rsid w:val="00535E18"/>
    <w:rsid w:val="005409DC"/>
    <w:rsid w:val="005420F2"/>
    <w:rsid w:val="00542BC7"/>
    <w:rsid w:val="0054529E"/>
    <w:rsid w:val="005479E7"/>
    <w:rsid w:val="00547A47"/>
    <w:rsid w:val="00547B4A"/>
    <w:rsid w:val="00550BDA"/>
    <w:rsid w:val="00550D3B"/>
    <w:rsid w:val="005519D0"/>
    <w:rsid w:val="00552689"/>
    <w:rsid w:val="00553373"/>
    <w:rsid w:val="00553EA9"/>
    <w:rsid w:val="005541A6"/>
    <w:rsid w:val="005545F1"/>
    <w:rsid w:val="0055703E"/>
    <w:rsid w:val="005577F5"/>
    <w:rsid w:val="00560D05"/>
    <w:rsid w:val="005618F9"/>
    <w:rsid w:val="005628B6"/>
    <w:rsid w:val="00562B61"/>
    <w:rsid w:val="00562F4D"/>
    <w:rsid w:val="00564714"/>
    <w:rsid w:val="005655F7"/>
    <w:rsid w:val="00565779"/>
    <w:rsid w:val="00565EA8"/>
    <w:rsid w:val="0056624F"/>
    <w:rsid w:val="005704D1"/>
    <w:rsid w:val="0057161F"/>
    <w:rsid w:val="00571BB4"/>
    <w:rsid w:val="00571CA9"/>
    <w:rsid w:val="005722B3"/>
    <w:rsid w:val="0057376F"/>
    <w:rsid w:val="0057407A"/>
    <w:rsid w:val="0057414A"/>
    <w:rsid w:val="0057494C"/>
    <w:rsid w:val="00574EB0"/>
    <w:rsid w:val="00580700"/>
    <w:rsid w:val="005814A2"/>
    <w:rsid w:val="005848B3"/>
    <w:rsid w:val="005853D7"/>
    <w:rsid w:val="00585B4E"/>
    <w:rsid w:val="00586059"/>
    <w:rsid w:val="00586ABA"/>
    <w:rsid w:val="0058726B"/>
    <w:rsid w:val="005905E2"/>
    <w:rsid w:val="00590F87"/>
    <w:rsid w:val="005928DF"/>
    <w:rsid w:val="00592C4A"/>
    <w:rsid w:val="00592C4B"/>
    <w:rsid w:val="00592D66"/>
    <w:rsid w:val="00592EFD"/>
    <w:rsid w:val="00594628"/>
    <w:rsid w:val="00594CF0"/>
    <w:rsid w:val="00595476"/>
    <w:rsid w:val="00596EFC"/>
    <w:rsid w:val="00597BF3"/>
    <w:rsid w:val="00597E6E"/>
    <w:rsid w:val="005A02CA"/>
    <w:rsid w:val="005A0312"/>
    <w:rsid w:val="005A0327"/>
    <w:rsid w:val="005A0415"/>
    <w:rsid w:val="005A084E"/>
    <w:rsid w:val="005A0C1C"/>
    <w:rsid w:val="005A0DD8"/>
    <w:rsid w:val="005A104A"/>
    <w:rsid w:val="005A15B5"/>
    <w:rsid w:val="005A1B1D"/>
    <w:rsid w:val="005A2F4B"/>
    <w:rsid w:val="005A3B8B"/>
    <w:rsid w:val="005A3B99"/>
    <w:rsid w:val="005A4888"/>
    <w:rsid w:val="005A533E"/>
    <w:rsid w:val="005A72E7"/>
    <w:rsid w:val="005A7430"/>
    <w:rsid w:val="005A7C89"/>
    <w:rsid w:val="005A7F8F"/>
    <w:rsid w:val="005B180A"/>
    <w:rsid w:val="005B31F6"/>
    <w:rsid w:val="005B3C41"/>
    <w:rsid w:val="005B3DB3"/>
    <w:rsid w:val="005B5F27"/>
    <w:rsid w:val="005B6292"/>
    <w:rsid w:val="005C0CF6"/>
    <w:rsid w:val="005C0FC8"/>
    <w:rsid w:val="005C14E0"/>
    <w:rsid w:val="005C1CC7"/>
    <w:rsid w:val="005C280C"/>
    <w:rsid w:val="005C4358"/>
    <w:rsid w:val="005C458B"/>
    <w:rsid w:val="005C4D93"/>
    <w:rsid w:val="005C53D3"/>
    <w:rsid w:val="005C5760"/>
    <w:rsid w:val="005C674E"/>
    <w:rsid w:val="005C6C4F"/>
    <w:rsid w:val="005C6D98"/>
    <w:rsid w:val="005C7BB2"/>
    <w:rsid w:val="005D0E65"/>
    <w:rsid w:val="005D2B66"/>
    <w:rsid w:val="005D2DFC"/>
    <w:rsid w:val="005D3075"/>
    <w:rsid w:val="005D30B8"/>
    <w:rsid w:val="005D3F18"/>
    <w:rsid w:val="005D3FB5"/>
    <w:rsid w:val="005D4877"/>
    <w:rsid w:val="005D4A98"/>
    <w:rsid w:val="005D542D"/>
    <w:rsid w:val="005D5721"/>
    <w:rsid w:val="005D5AF5"/>
    <w:rsid w:val="005D5FE7"/>
    <w:rsid w:val="005D6D72"/>
    <w:rsid w:val="005D763C"/>
    <w:rsid w:val="005D7B9A"/>
    <w:rsid w:val="005E01D5"/>
    <w:rsid w:val="005E06C2"/>
    <w:rsid w:val="005E111E"/>
    <w:rsid w:val="005E2D2C"/>
    <w:rsid w:val="005E2E34"/>
    <w:rsid w:val="005E3F67"/>
    <w:rsid w:val="005E40A3"/>
    <w:rsid w:val="005E40FD"/>
    <w:rsid w:val="005E4BCE"/>
    <w:rsid w:val="005E4FFC"/>
    <w:rsid w:val="005E5034"/>
    <w:rsid w:val="005E783D"/>
    <w:rsid w:val="005E7981"/>
    <w:rsid w:val="005F1B2D"/>
    <w:rsid w:val="005F494A"/>
    <w:rsid w:val="005F5024"/>
    <w:rsid w:val="005F5699"/>
    <w:rsid w:val="005F575F"/>
    <w:rsid w:val="005F57AD"/>
    <w:rsid w:val="005F7079"/>
    <w:rsid w:val="005F7717"/>
    <w:rsid w:val="005F7B75"/>
    <w:rsid w:val="005F7F93"/>
    <w:rsid w:val="006001EE"/>
    <w:rsid w:val="00600DB9"/>
    <w:rsid w:val="00601CA8"/>
    <w:rsid w:val="006023C0"/>
    <w:rsid w:val="00602B75"/>
    <w:rsid w:val="006032B5"/>
    <w:rsid w:val="00603976"/>
    <w:rsid w:val="00603DAF"/>
    <w:rsid w:val="00604415"/>
    <w:rsid w:val="00605042"/>
    <w:rsid w:val="00606B2B"/>
    <w:rsid w:val="00607635"/>
    <w:rsid w:val="0061047C"/>
    <w:rsid w:val="0061115C"/>
    <w:rsid w:val="00611FC4"/>
    <w:rsid w:val="006123D4"/>
    <w:rsid w:val="00613963"/>
    <w:rsid w:val="00614C50"/>
    <w:rsid w:val="00615C66"/>
    <w:rsid w:val="00616894"/>
    <w:rsid w:val="006176FB"/>
    <w:rsid w:val="00621DE8"/>
    <w:rsid w:val="00622E3D"/>
    <w:rsid w:val="00623021"/>
    <w:rsid w:val="00623C4A"/>
    <w:rsid w:val="00624677"/>
    <w:rsid w:val="00624ABE"/>
    <w:rsid w:val="00624F12"/>
    <w:rsid w:val="006258F4"/>
    <w:rsid w:val="00625FB0"/>
    <w:rsid w:val="006260B2"/>
    <w:rsid w:val="006264FB"/>
    <w:rsid w:val="00626D71"/>
    <w:rsid w:val="006274AD"/>
    <w:rsid w:val="00627697"/>
    <w:rsid w:val="00627FB0"/>
    <w:rsid w:val="00630676"/>
    <w:rsid w:val="00631010"/>
    <w:rsid w:val="006317EC"/>
    <w:rsid w:val="00632287"/>
    <w:rsid w:val="006343E4"/>
    <w:rsid w:val="00635006"/>
    <w:rsid w:val="006365F5"/>
    <w:rsid w:val="00636CE7"/>
    <w:rsid w:val="00636EFE"/>
    <w:rsid w:val="006405BC"/>
    <w:rsid w:val="00640B26"/>
    <w:rsid w:val="0064129E"/>
    <w:rsid w:val="0064226F"/>
    <w:rsid w:val="00645F22"/>
    <w:rsid w:val="006478E6"/>
    <w:rsid w:val="00652D0A"/>
    <w:rsid w:val="00654341"/>
    <w:rsid w:val="00654777"/>
    <w:rsid w:val="006572E9"/>
    <w:rsid w:val="0065732B"/>
    <w:rsid w:val="00661597"/>
    <w:rsid w:val="006617E2"/>
    <w:rsid w:val="006619EB"/>
    <w:rsid w:val="00662BB6"/>
    <w:rsid w:val="00664204"/>
    <w:rsid w:val="00664C49"/>
    <w:rsid w:val="0066644D"/>
    <w:rsid w:val="006729FE"/>
    <w:rsid w:val="00673B41"/>
    <w:rsid w:val="00674026"/>
    <w:rsid w:val="006743E9"/>
    <w:rsid w:val="00674D94"/>
    <w:rsid w:val="006752A4"/>
    <w:rsid w:val="0067729C"/>
    <w:rsid w:val="0068043D"/>
    <w:rsid w:val="00680461"/>
    <w:rsid w:val="00682284"/>
    <w:rsid w:val="006838C8"/>
    <w:rsid w:val="00683EEF"/>
    <w:rsid w:val="00683EF7"/>
    <w:rsid w:val="00684C21"/>
    <w:rsid w:val="006853D1"/>
    <w:rsid w:val="0068555B"/>
    <w:rsid w:val="0068599A"/>
    <w:rsid w:val="00685FA6"/>
    <w:rsid w:val="00687350"/>
    <w:rsid w:val="0068743C"/>
    <w:rsid w:val="00691F84"/>
    <w:rsid w:val="00692BBE"/>
    <w:rsid w:val="00692F9B"/>
    <w:rsid w:val="0069416D"/>
    <w:rsid w:val="00694695"/>
    <w:rsid w:val="00694AE6"/>
    <w:rsid w:val="00696929"/>
    <w:rsid w:val="0069763E"/>
    <w:rsid w:val="006976A6"/>
    <w:rsid w:val="006A0E69"/>
    <w:rsid w:val="006A1764"/>
    <w:rsid w:val="006A24AA"/>
    <w:rsid w:val="006A53B5"/>
    <w:rsid w:val="006A6790"/>
    <w:rsid w:val="006A703F"/>
    <w:rsid w:val="006A7737"/>
    <w:rsid w:val="006B04B5"/>
    <w:rsid w:val="006B0995"/>
    <w:rsid w:val="006B3157"/>
    <w:rsid w:val="006B409F"/>
    <w:rsid w:val="006B4AA4"/>
    <w:rsid w:val="006B5AB9"/>
    <w:rsid w:val="006B5CC6"/>
    <w:rsid w:val="006B6574"/>
    <w:rsid w:val="006C014A"/>
    <w:rsid w:val="006C082A"/>
    <w:rsid w:val="006C32BC"/>
    <w:rsid w:val="006C3AD1"/>
    <w:rsid w:val="006C4887"/>
    <w:rsid w:val="006C48BB"/>
    <w:rsid w:val="006C692F"/>
    <w:rsid w:val="006C7A23"/>
    <w:rsid w:val="006D2401"/>
    <w:rsid w:val="006D241C"/>
    <w:rsid w:val="006D2B97"/>
    <w:rsid w:val="006D37AF"/>
    <w:rsid w:val="006D3D02"/>
    <w:rsid w:val="006D51D0"/>
    <w:rsid w:val="006D75C7"/>
    <w:rsid w:val="006E0BAF"/>
    <w:rsid w:val="006E1779"/>
    <w:rsid w:val="006E1A90"/>
    <w:rsid w:val="006E1D8A"/>
    <w:rsid w:val="006E3134"/>
    <w:rsid w:val="006E34B9"/>
    <w:rsid w:val="006E37EC"/>
    <w:rsid w:val="006E3FDB"/>
    <w:rsid w:val="006E564B"/>
    <w:rsid w:val="006E6797"/>
    <w:rsid w:val="006E6FAF"/>
    <w:rsid w:val="006E7191"/>
    <w:rsid w:val="006F2CD8"/>
    <w:rsid w:val="006F36AC"/>
    <w:rsid w:val="006F3DA5"/>
    <w:rsid w:val="006F7622"/>
    <w:rsid w:val="00700DA3"/>
    <w:rsid w:val="00701FD5"/>
    <w:rsid w:val="0070353B"/>
    <w:rsid w:val="00703577"/>
    <w:rsid w:val="007052C3"/>
    <w:rsid w:val="007053C1"/>
    <w:rsid w:val="00705625"/>
    <w:rsid w:val="007113A4"/>
    <w:rsid w:val="00711F00"/>
    <w:rsid w:val="00713546"/>
    <w:rsid w:val="00713B23"/>
    <w:rsid w:val="0071450D"/>
    <w:rsid w:val="00715AD0"/>
    <w:rsid w:val="00717631"/>
    <w:rsid w:val="00720196"/>
    <w:rsid w:val="0072149D"/>
    <w:rsid w:val="0072226B"/>
    <w:rsid w:val="0072352E"/>
    <w:rsid w:val="00725453"/>
    <w:rsid w:val="00725F30"/>
    <w:rsid w:val="0072632A"/>
    <w:rsid w:val="00726F57"/>
    <w:rsid w:val="00727B35"/>
    <w:rsid w:val="007314F3"/>
    <w:rsid w:val="007327D5"/>
    <w:rsid w:val="00732B51"/>
    <w:rsid w:val="00734BAC"/>
    <w:rsid w:val="00735CA1"/>
    <w:rsid w:val="00736E08"/>
    <w:rsid w:val="00740255"/>
    <w:rsid w:val="007405D8"/>
    <w:rsid w:val="007417BC"/>
    <w:rsid w:val="00743842"/>
    <w:rsid w:val="007439B3"/>
    <w:rsid w:val="00745A0C"/>
    <w:rsid w:val="00746BB2"/>
    <w:rsid w:val="00746F1E"/>
    <w:rsid w:val="00750D47"/>
    <w:rsid w:val="00751074"/>
    <w:rsid w:val="00751147"/>
    <w:rsid w:val="007523EF"/>
    <w:rsid w:val="00753BA9"/>
    <w:rsid w:val="007551B4"/>
    <w:rsid w:val="00756A3F"/>
    <w:rsid w:val="0076033B"/>
    <w:rsid w:val="00760F53"/>
    <w:rsid w:val="007624CA"/>
    <w:rsid w:val="007627EE"/>
    <w:rsid w:val="007629C8"/>
    <w:rsid w:val="00764878"/>
    <w:rsid w:val="00764914"/>
    <w:rsid w:val="0076609B"/>
    <w:rsid w:val="00767016"/>
    <w:rsid w:val="007709DF"/>
    <w:rsid w:val="007723A1"/>
    <w:rsid w:val="00772C49"/>
    <w:rsid w:val="00775788"/>
    <w:rsid w:val="007757D4"/>
    <w:rsid w:val="00776265"/>
    <w:rsid w:val="0077671F"/>
    <w:rsid w:val="00777DF8"/>
    <w:rsid w:val="007812BA"/>
    <w:rsid w:val="007818F4"/>
    <w:rsid w:val="00781C83"/>
    <w:rsid w:val="007826F5"/>
    <w:rsid w:val="00782F90"/>
    <w:rsid w:val="0078300D"/>
    <w:rsid w:val="00784231"/>
    <w:rsid w:val="00784BCF"/>
    <w:rsid w:val="00784C71"/>
    <w:rsid w:val="00785247"/>
    <w:rsid w:val="00785623"/>
    <w:rsid w:val="007868E9"/>
    <w:rsid w:val="00786EFA"/>
    <w:rsid w:val="00786F3A"/>
    <w:rsid w:val="00787E5D"/>
    <w:rsid w:val="0079151D"/>
    <w:rsid w:val="00791C81"/>
    <w:rsid w:val="007925AE"/>
    <w:rsid w:val="00794B4A"/>
    <w:rsid w:val="00795F7A"/>
    <w:rsid w:val="007965DB"/>
    <w:rsid w:val="007966A8"/>
    <w:rsid w:val="007A102A"/>
    <w:rsid w:val="007A1319"/>
    <w:rsid w:val="007A26E3"/>
    <w:rsid w:val="007A2815"/>
    <w:rsid w:val="007A401C"/>
    <w:rsid w:val="007A4383"/>
    <w:rsid w:val="007A7897"/>
    <w:rsid w:val="007B0D02"/>
    <w:rsid w:val="007B19F4"/>
    <w:rsid w:val="007B1D5B"/>
    <w:rsid w:val="007B1E62"/>
    <w:rsid w:val="007B3C73"/>
    <w:rsid w:val="007B415A"/>
    <w:rsid w:val="007B5249"/>
    <w:rsid w:val="007B5F65"/>
    <w:rsid w:val="007B6A5D"/>
    <w:rsid w:val="007B6BA5"/>
    <w:rsid w:val="007B7CE1"/>
    <w:rsid w:val="007C203A"/>
    <w:rsid w:val="007C3390"/>
    <w:rsid w:val="007C3A7C"/>
    <w:rsid w:val="007C3D25"/>
    <w:rsid w:val="007C3F74"/>
    <w:rsid w:val="007C3FFB"/>
    <w:rsid w:val="007C4F4B"/>
    <w:rsid w:val="007C5032"/>
    <w:rsid w:val="007C58E8"/>
    <w:rsid w:val="007C73E0"/>
    <w:rsid w:val="007C784F"/>
    <w:rsid w:val="007C7C57"/>
    <w:rsid w:val="007D0063"/>
    <w:rsid w:val="007D0270"/>
    <w:rsid w:val="007D126C"/>
    <w:rsid w:val="007D18F4"/>
    <w:rsid w:val="007D3316"/>
    <w:rsid w:val="007D3677"/>
    <w:rsid w:val="007D42B0"/>
    <w:rsid w:val="007D4542"/>
    <w:rsid w:val="007D5803"/>
    <w:rsid w:val="007E0392"/>
    <w:rsid w:val="007E0821"/>
    <w:rsid w:val="007E0B2D"/>
    <w:rsid w:val="007E1318"/>
    <w:rsid w:val="007E16D9"/>
    <w:rsid w:val="007E3050"/>
    <w:rsid w:val="007E32DC"/>
    <w:rsid w:val="007E3DF7"/>
    <w:rsid w:val="007E3E13"/>
    <w:rsid w:val="007E5179"/>
    <w:rsid w:val="007E5732"/>
    <w:rsid w:val="007E6F98"/>
    <w:rsid w:val="007F0685"/>
    <w:rsid w:val="007F1247"/>
    <w:rsid w:val="007F1E75"/>
    <w:rsid w:val="007F31D9"/>
    <w:rsid w:val="007F3A2C"/>
    <w:rsid w:val="007F3AB1"/>
    <w:rsid w:val="007F5739"/>
    <w:rsid w:val="007F5AA8"/>
    <w:rsid w:val="007F6611"/>
    <w:rsid w:val="007F7246"/>
    <w:rsid w:val="007F75D2"/>
    <w:rsid w:val="007F7E17"/>
    <w:rsid w:val="00801CBF"/>
    <w:rsid w:val="008022BF"/>
    <w:rsid w:val="00803EEC"/>
    <w:rsid w:val="00806AAA"/>
    <w:rsid w:val="008076A7"/>
    <w:rsid w:val="008105B8"/>
    <w:rsid w:val="00810C74"/>
    <w:rsid w:val="008111BA"/>
    <w:rsid w:val="00812971"/>
    <w:rsid w:val="0081367C"/>
    <w:rsid w:val="00813793"/>
    <w:rsid w:val="00814F95"/>
    <w:rsid w:val="0081534F"/>
    <w:rsid w:val="0081547F"/>
    <w:rsid w:val="00815845"/>
    <w:rsid w:val="00815ADE"/>
    <w:rsid w:val="00815C52"/>
    <w:rsid w:val="008163F8"/>
    <w:rsid w:val="00816874"/>
    <w:rsid w:val="00816972"/>
    <w:rsid w:val="0081741E"/>
    <w:rsid w:val="0081770E"/>
    <w:rsid w:val="00817C33"/>
    <w:rsid w:val="008216A5"/>
    <w:rsid w:val="00821A8D"/>
    <w:rsid w:val="00821FEC"/>
    <w:rsid w:val="008242D7"/>
    <w:rsid w:val="00824F1B"/>
    <w:rsid w:val="00825659"/>
    <w:rsid w:val="008257B1"/>
    <w:rsid w:val="00825B61"/>
    <w:rsid w:val="00825F45"/>
    <w:rsid w:val="00826086"/>
    <w:rsid w:val="00827317"/>
    <w:rsid w:val="008274A4"/>
    <w:rsid w:val="0083016A"/>
    <w:rsid w:val="008310C1"/>
    <w:rsid w:val="008310F0"/>
    <w:rsid w:val="008320F6"/>
    <w:rsid w:val="00833415"/>
    <w:rsid w:val="00833511"/>
    <w:rsid w:val="00834953"/>
    <w:rsid w:val="00840104"/>
    <w:rsid w:val="0084035B"/>
    <w:rsid w:val="0084126F"/>
    <w:rsid w:val="00841306"/>
    <w:rsid w:val="008428C9"/>
    <w:rsid w:val="00843767"/>
    <w:rsid w:val="00845FA8"/>
    <w:rsid w:val="00846ED4"/>
    <w:rsid w:val="00851259"/>
    <w:rsid w:val="008528FD"/>
    <w:rsid w:val="00852B57"/>
    <w:rsid w:val="008538BE"/>
    <w:rsid w:val="008579E7"/>
    <w:rsid w:val="00857E2C"/>
    <w:rsid w:val="008609AA"/>
    <w:rsid w:val="008621E0"/>
    <w:rsid w:val="00862362"/>
    <w:rsid w:val="008641D8"/>
    <w:rsid w:val="008655A1"/>
    <w:rsid w:val="008655A9"/>
    <w:rsid w:val="008658CB"/>
    <w:rsid w:val="00865FDE"/>
    <w:rsid w:val="008668EA"/>
    <w:rsid w:val="0086733B"/>
    <w:rsid w:val="00867815"/>
    <w:rsid w:val="008678D8"/>
    <w:rsid w:val="008679D9"/>
    <w:rsid w:val="00870E05"/>
    <w:rsid w:val="00871051"/>
    <w:rsid w:val="00871842"/>
    <w:rsid w:val="0087204B"/>
    <w:rsid w:val="00874CAC"/>
    <w:rsid w:val="00875BCE"/>
    <w:rsid w:val="00875FE5"/>
    <w:rsid w:val="008809FB"/>
    <w:rsid w:val="00880F4C"/>
    <w:rsid w:val="008817F2"/>
    <w:rsid w:val="00883D53"/>
    <w:rsid w:val="008840E2"/>
    <w:rsid w:val="00884110"/>
    <w:rsid w:val="008854BE"/>
    <w:rsid w:val="00885BF6"/>
    <w:rsid w:val="00885F41"/>
    <w:rsid w:val="0088636B"/>
    <w:rsid w:val="00886FFA"/>
    <w:rsid w:val="008908B6"/>
    <w:rsid w:val="0089139E"/>
    <w:rsid w:val="00891599"/>
    <w:rsid w:val="008926B5"/>
    <w:rsid w:val="0089456C"/>
    <w:rsid w:val="00894F8B"/>
    <w:rsid w:val="00895430"/>
    <w:rsid w:val="008955B9"/>
    <w:rsid w:val="008975D6"/>
    <w:rsid w:val="008979B1"/>
    <w:rsid w:val="008A0CAF"/>
    <w:rsid w:val="008A10D2"/>
    <w:rsid w:val="008A1DB2"/>
    <w:rsid w:val="008A2431"/>
    <w:rsid w:val="008A2621"/>
    <w:rsid w:val="008A2B09"/>
    <w:rsid w:val="008A4733"/>
    <w:rsid w:val="008A5196"/>
    <w:rsid w:val="008A61F6"/>
    <w:rsid w:val="008A62CB"/>
    <w:rsid w:val="008A6B25"/>
    <w:rsid w:val="008A6BB4"/>
    <w:rsid w:val="008A6C4F"/>
    <w:rsid w:val="008A778A"/>
    <w:rsid w:val="008B1EE4"/>
    <w:rsid w:val="008B2335"/>
    <w:rsid w:val="008B2485"/>
    <w:rsid w:val="008B388D"/>
    <w:rsid w:val="008B3D95"/>
    <w:rsid w:val="008B6178"/>
    <w:rsid w:val="008C017D"/>
    <w:rsid w:val="008C0E41"/>
    <w:rsid w:val="008C4EDC"/>
    <w:rsid w:val="008D0FBA"/>
    <w:rsid w:val="008D1459"/>
    <w:rsid w:val="008D2503"/>
    <w:rsid w:val="008D38F3"/>
    <w:rsid w:val="008D3AD8"/>
    <w:rsid w:val="008D4A3E"/>
    <w:rsid w:val="008D4BF5"/>
    <w:rsid w:val="008D4D0B"/>
    <w:rsid w:val="008D4DE1"/>
    <w:rsid w:val="008D52B1"/>
    <w:rsid w:val="008D5553"/>
    <w:rsid w:val="008D5CEF"/>
    <w:rsid w:val="008E0104"/>
    <w:rsid w:val="008E0678"/>
    <w:rsid w:val="008E1567"/>
    <w:rsid w:val="008E1D1B"/>
    <w:rsid w:val="008E1FE2"/>
    <w:rsid w:val="008E27EC"/>
    <w:rsid w:val="008E29F8"/>
    <w:rsid w:val="008E3011"/>
    <w:rsid w:val="008E36FD"/>
    <w:rsid w:val="008E39CC"/>
    <w:rsid w:val="008E4C4F"/>
    <w:rsid w:val="008E5320"/>
    <w:rsid w:val="008E6A47"/>
    <w:rsid w:val="008E7478"/>
    <w:rsid w:val="008E7D8C"/>
    <w:rsid w:val="008F11A1"/>
    <w:rsid w:val="008F142A"/>
    <w:rsid w:val="008F1D58"/>
    <w:rsid w:val="008F2587"/>
    <w:rsid w:val="008F34D7"/>
    <w:rsid w:val="008F4AF5"/>
    <w:rsid w:val="008F4C04"/>
    <w:rsid w:val="008F6CC3"/>
    <w:rsid w:val="008F78BA"/>
    <w:rsid w:val="008F7EF1"/>
    <w:rsid w:val="00900EB6"/>
    <w:rsid w:val="00901CCF"/>
    <w:rsid w:val="0090237B"/>
    <w:rsid w:val="00902668"/>
    <w:rsid w:val="00902FE8"/>
    <w:rsid w:val="00903876"/>
    <w:rsid w:val="0090596D"/>
    <w:rsid w:val="00905FD2"/>
    <w:rsid w:val="009067DD"/>
    <w:rsid w:val="00910F40"/>
    <w:rsid w:val="00911303"/>
    <w:rsid w:val="00912256"/>
    <w:rsid w:val="00912962"/>
    <w:rsid w:val="00912C08"/>
    <w:rsid w:val="00913616"/>
    <w:rsid w:val="00913F5E"/>
    <w:rsid w:val="0091460C"/>
    <w:rsid w:val="00914B6E"/>
    <w:rsid w:val="009152C3"/>
    <w:rsid w:val="00916567"/>
    <w:rsid w:val="009223CA"/>
    <w:rsid w:val="00924A12"/>
    <w:rsid w:val="00925889"/>
    <w:rsid w:val="00930D71"/>
    <w:rsid w:val="009331C0"/>
    <w:rsid w:val="0093413A"/>
    <w:rsid w:val="00934AB2"/>
    <w:rsid w:val="0093571E"/>
    <w:rsid w:val="00935941"/>
    <w:rsid w:val="00936533"/>
    <w:rsid w:val="0093723F"/>
    <w:rsid w:val="0093754A"/>
    <w:rsid w:val="00937974"/>
    <w:rsid w:val="00940F93"/>
    <w:rsid w:val="00941144"/>
    <w:rsid w:val="00941AB8"/>
    <w:rsid w:val="0094236B"/>
    <w:rsid w:val="00943FBA"/>
    <w:rsid w:val="00945A23"/>
    <w:rsid w:val="0094712A"/>
    <w:rsid w:val="009502AF"/>
    <w:rsid w:val="00950AF4"/>
    <w:rsid w:val="00951522"/>
    <w:rsid w:val="00951A9F"/>
    <w:rsid w:val="00951EAC"/>
    <w:rsid w:val="00952427"/>
    <w:rsid w:val="00952EDF"/>
    <w:rsid w:val="0095347F"/>
    <w:rsid w:val="0095403A"/>
    <w:rsid w:val="00955194"/>
    <w:rsid w:val="00955F34"/>
    <w:rsid w:val="009568BE"/>
    <w:rsid w:val="00956A6B"/>
    <w:rsid w:val="0095745B"/>
    <w:rsid w:val="00962B3A"/>
    <w:rsid w:val="0096476B"/>
    <w:rsid w:val="00964E2E"/>
    <w:rsid w:val="00965361"/>
    <w:rsid w:val="009669EA"/>
    <w:rsid w:val="00966D7C"/>
    <w:rsid w:val="00966DDD"/>
    <w:rsid w:val="00967F59"/>
    <w:rsid w:val="009701C4"/>
    <w:rsid w:val="00970A75"/>
    <w:rsid w:val="00971C45"/>
    <w:rsid w:val="00972495"/>
    <w:rsid w:val="009735A8"/>
    <w:rsid w:val="009735EF"/>
    <w:rsid w:val="00973B67"/>
    <w:rsid w:val="009740CC"/>
    <w:rsid w:val="00974A2F"/>
    <w:rsid w:val="00974EF5"/>
    <w:rsid w:val="00975230"/>
    <w:rsid w:val="009759CB"/>
    <w:rsid w:val="00975C63"/>
    <w:rsid w:val="00975C94"/>
    <w:rsid w:val="00975E5F"/>
    <w:rsid w:val="009760F3"/>
    <w:rsid w:val="009761F4"/>
    <w:rsid w:val="00980F20"/>
    <w:rsid w:val="009812E7"/>
    <w:rsid w:val="00983AD7"/>
    <w:rsid w:val="00983C0B"/>
    <w:rsid w:val="009842D9"/>
    <w:rsid w:val="00984A06"/>
    <w:rsid w:val="00985506"/>
    <w:rsid w:val="00985865"/>
    <w:rsid w:val="009862A4"/>
    <w:rsid w:val="009863EF"/>
    <w:rsid w:val="009901E3"/>
    <w:rsid w:val="00990941"/>
    <w:rsid w:val="009909F5"/>
    <w:rsid w:val="0099366E"/>
    <w:rsid w:val="00993D77"/>
    <w:rsid w:val="00997A0C"/>
    <w:rsid w:val="009A01E5"/>
    <w:rsid w:val="009A0E8D"/>
    <w:rsid w:val="009A1452"/>
    <w:rsid w:val="009A446A"/>
    <w:rsid w:val="009A46D6"/>
    <w:rsid w:val="009A56EA"/>
    <w:rsid w:val="009A5E1E"/>
    <w:rsid w:val="009A6988"/>
    <w:rsid w:val="009A7439"/>
    <w:rsid w:val="009B262C"/>
    <w:rsid w:val="009B26E7"/>
    <w:rsid w:val="009B2CFB"/>
    <w:rsid w:val="009B2EF2"/>
    <w:rsid w:val="009B3B6D"/>
    <w:rsid w:val="009B6134"/>
    <w:rsid w:val="009B63C7"/>
    <w:rsid w:val="009B685A"/>
    <w:rsid w:val="009C00AE"/>
    <w:rsid w:val="009C2850"/>
    <w:rsid w:val="009C2B94"/>
    <w:rsid w:val="009C2C0D"/>
    <w:rsid w:val="009C4874"/>
    <w:rsid w:val="009C6AEC"/>
    <w:rsid w:val="009C77E5"/>
    <w:rsid w:val="009C7EFD"/>
    <w:rsid w:val="009D04AC"/>
    <w:rsid w:val="009D065F"/>
    <w:rsid w:val="009D0B1B"/>
    <w:rsid w:val="009D1D59"/>
    <w:rsid w:val="009D22A2"/>
    <w:rsid w:val="009D26D2"/>
    <w:rsid w:val="009D28AB"/>
    <w:rsid w:val="009D4BB8"/>
    <w:rsid w:val="009D5361"/>
    <w:rsid w:val="009D5673"/>
    <w:rsid w:val="009D6527"/>
    <w:rsid w:val="009D76B0"/>
    <w:rsid w:val="009D7894"/>
    <w:rsid w:val="009D7E85"/>
    <w:rsid w:val="009E11CB"/>
    <w:rsid w:val="009E2898"/>
    <w:rsid w:val="009E2F54"/>
    <w:rsid w:val="009E36BD"/>
    <w:rsid w:val="009E445F"/>
    <w:rsid w:val="009E577B"/>
    <w:rsid w:val="009E6A7F"/>
    <w:rsid w:val="009E6CCC"/>
    <w:rsid w:val="009E74F7"/>
    <w:rsid w:val="009E7D26"/>
    <w:rsid w:val="009F08B1"/>
    <w:rsid w:val="009F192B"/>
    <w:rsid w:val="009F2AC1"/>
    <w:rsid w:val="009F3272"/>
    <w:rsid w:val="009F390B"/>
    <w:rsid w:val="009F40E9"/>
    <w:rsid w:val="009F5905"/>
    <w:rsid w:val="009F5D91"/>
    <w:rsid w:val="00A004B1"/>
    <w:rsid w:val="00A00A3F"/>
    <w:rsid w:val="00A012C3"/>
    <w:rsid w:val="00A01489"/>
    <w:rsid w:val="00A01E7F"/>
    <w:rsid w:val="00A030AB"/>
    <w:rsid w:val="00A036B3"/>
    <w:rsid w:val="00A04BAB"/>
    <w:rsid w:val="00A04DCD"/>
    <w:rsid w:val="00A05D55"/>
    <w:rsid w:val="00A069BB"/>
    <w:rsid w:val="00A069E2"/>
    <w:rsid w:val="00A07872"/>
    <w:rsid w:val="00A10474"/>
    <w:rsid w:val="00A11A0C"/>
    <w:rsid w:val="00A11AD7"/>
    <w:rsid w:val="00A12518"/>
    <w:rsid w:val="00A1306D"/>
    <w:rsid w:val="00A130FE"/>
    <w:rsid w:val="00A14D3B"/>
    <w:rsid w:val="00A15A08"/>
    <w:rsid w:val="00A16256"/>
    <w:rsid w:val="00A176A5"/>
    <w:rsid w:val="00A1776E"/>
    <w:rsid w:val="00A230A0"/>
    <w:rsid w:val="00A24DDA"/>
    <w:rsid w:val="00A2561D"/>
    <w:rsid w:val="00A2597E"/>
    <w:rsid w:val="00A25E9B"/>
    <w:rsid w:val="00A262B7"/>
    <w:rsid w:val="00A266D4"/>
    <w:rsid w:val="00A2698E"/>
    <w:rsid w:val="00A31B81"/>
    <w:rsid w:val="00A33679"/>
    <w:rsid w:val="00A338F1"/>
    <w:rsid w:val="00A3488C"/>
    <w:rsid w:val="00A3630E"/>
    <w:rsid w:val="00A36331"/>
    <w:rsid w:val="00A36BE3"/>
    <w:rsid w:val="00A37DD8"/>
    <w:rsid w:val="00A40510"/>
    <w:rsid w:val="00A4143D"/>
    <w:rsid w:val="00A4192B"/>
    <w:rsid w:val="00A4263D"/>
    <w:rsid w:val="00A44615"/>
    <w:rsid w:val="00A455A7"/>
    <w:rsid w:val="00A45DB8"/>
    <w:rsid w:val="00A45DFE"/>
    <w:rsid w:val="00A4722B"/>
    <w:rsid w:val="00A47396"/>
    <w:rsid w:val="00A4753A"/>
    <w:rsid w:val="00A50C59"/>
    <w:rsid w:val="00A50EFE"/>
    <w:rsid w:val="00A50F81"/>
    <w:rsid w:val="00A534F8"/>
    <w:rsid w:val="00A53B60"/>
    <w:rsid w:val="00A55F52"/>
    <w:rsid w:val="00A57155"/>
    <w:rsid w:val="00A60653"/>
    <w:rsid w:val="00A6098E"/>
    <w:rsid w:val="00A60C3C"/>
    <w:rsid w:val="00A60E9F"/>
    <w:rsid w:val="00A61815"/>
    <w:rsid w:val="00A62026"/>
    <w:rsid w:val="00A62162"/>
    <w:rsid w:val="00A622BD"/>
    <w:rsid w:val="00A674AA"/>
    <w:rsid w:val="00A703CE"/>
    <w:rsid w:val="00A708BB"/>
    <w:rsid w:val="00A70B9B"/>
    <w:rsid w:val="00A710E2"/>
    <w:rsid w:val="00A71B51"/>
    <w:rsid w:val="00A71DF5"/>
    <w:rsid w:val="00A7276C"/>
    <w:rsid w:val="00A72F22"/>
    <w:rsid w:val="00A7360F"/>
    <w:rsid w:val="00A73EDD"/>
    <w:rsid w:val="00A748A6"/>
    <w:rsid w:val="00A75355"/>
    <w:rsid w:val="00A769F4"/>
    <w:rsid w:val="00A776B4"/>
    <w:rsid w:val="00A77C66"/>
    <w:rsid w:val="00A8191A"/>
    <w:rsid w:val="00A82504"/>
    <w:rsid w:val="00A826D1"/>
    <w:rsid w:val="00A84062"/>
    <w:rsid w:val="00A8467B"/>
    <w:rsid w:val="00A85674"/>
    <w:rsid w:val="00A859BA"/>
    <w:rsid w:val="00A86F19"/>
    <w:rsid w:val="00A871D5"/>
    <w:rsid w:val="00A87251"/>
    <w:rsid w:val="00A872E8"/>
    <w:rsid w:val="00A8780F"/>
    <w:rsid w:val="00A9044C"/>
    <w:rsid w:val="00A90C5B"/>
    <w:rsid w:val="00A90E23"/>
    <w:rsid w:val="00A91499"/>
    <w:rsid w:val="00A91DBE"/>
    <w:rsid w:val="00A937E1"/>
    <w:rsid w:val="00A93CCD"/>
    <w:rsid w:val="00A94361"/>
    <w:rsid w:val="00A95B69"/>
    <w:rsid w:val="00A96457"/>
    <w:rsid w:val="00A96799"/>
    <w:rsid w:val="00AA0619"/>
    <w:rsid w:val="00AA0F58"/>
    <w:rsid w:val="00AA293C"/>
    <w:rsid w:val="00AA2D0D"/>
    <w:rsid w:val="00AA42C6"/>
    <w:rsid w:val="00AA4A02"/>
    <w:rsid w:val="00AA4F43"/>
    <w:rsid w:val="00AB112C"/>
    <w:rsid w:val="00AB19FA"/>
    <w:rsid w:val="00AB1FB2"/>
    <w:rsid w:val="00AB4E1A"/>
    <w:rsid w:val="00AB5043"/>
    <w:rsid w:val="00AB5A41"/>
    <w:rsid w:val="00AB5D75"/>
    <w:rsid w:val="00AB7014"/>
    <w:rsid w:val="00AB7523"/>
    <w:rsid w:val="00AB7C6D"/>
    <w:rsid w:val="00AC03E4"/>
    <w:rsid w:val="00AC0A14"/>
    <w:rsid w:val="00AC0D25"/>
    <w:rsid w:val="00AC1844"/>
    <w:rsid w:val="00AC4840"/>
    <w:rsid w:val="00AC4A9B"/>
    <w:rsid w:val="00AC5653"/>
    <w:rsid w:val="00AC63A2"/>
    <w:rsid w:val="00AC647E"/>
    <w:rsid w:val="00AC72E3"/>
    <w:rsid w:val="00AD001C"/>
    <w:rsid w:val="00AD10F3"/>
    <w:rsid w:val="00AD1591"/>
    <w:rsid w:val="00AD1C54"/>
    <w:rsid w:val="00AD293B"/>
    <w:rsid w:val="00AD392F"/>
    <w:rsid w:val="00AD46B8"/>
    <w:rsid w:val="00AD6EA8"/>
    <w:rsid w:val="00AD7999"/>
    <w:rsid w:val="00AE24FE"/>
    <w:rsid w:val="00AE2860"/>
    <w:rsid w:val="00AE309F"/>
    <w:rsid w:val="00AE3157"/>
    <w:rsid w:val="00AE5108"/>
    <w:rsid w:val="00AE5404"/>
    <w:rsid w:val="00AF1998"/>
    <w:rsid w:val="00AF1A44"/>
    <w:rsid w:val="00AF1E8E"/>
    <w:rsid w:val="00AF2509"/>
    <w:rsid w:val="00AF256C"/>
    <w:rsid w:val="00AF3290"/>
    <w:rsid w:val="00AF4244"/>
    <w:rsid w:val="00AF5CCF"/>
    <w:rsid w:val="00AF6C3B"/>
    <w:rsid w:val="00B0282C"/>
    <w:rsid w:val="00B02B00"/>
    <w:rsid w:val="00B02BAA"/>
    <w:rsid w:val="00B033CC"/>
    <w:rsid w:val="00B0380C"/>
    <w:rsid w:val="00B04543"/>
    <w:rsid w:val="00B05BD9"/>
    <w:rsid w:val="00B06D66"/>
    <w:rsid w:val="00B07070"/>
    <w:rsid w:val="00B07138"/>
    <w:rsid w:val="00B07A6A"/>
    <w:rsid w:val="00B10872"/>
    <w:rsid w:val="00B11238"/>
    <w:rsid w:val="00B11C54"/>
    <w:rsid w:val="00B12229"/>
    <w:rsid w:val="00B128E8"/>
    <w:rsid w:val="00B12BB4"/>
    <w:rsid w:val="00B12E1C"/>
    <w:rsid w:val="00B13E9B"/>
    <w:rsid w:val="00B1421A"/>
    <w:rsid w:val="00B142F7"/>
    <w:rsid w:val="00B14BDF"/>
    <w:rsid w:val="00B15987"/>
    <w:rsid w:val="00B15993"/>
    <w:rsid w:val="00B16FC0"/>
    <w:rsid w:val="00B17560"/>
    <w:rsid w:val="00B17A87"/>
    <w:rsid w:val="00B17F54"/>
    <w:rsid w:val="00B201CC"/>
    <w:rsid w:val="00B20B3C"/>
    <w:rsid w:val="00B2177C"/>
    <w:rsid w:val="00B22683"/>
    <w:rsid w:val="00B241FA"/>
    <w:rsid w:val="00B2707A"/>
    <w:rsid w:val="00B27CC0"/>
    <w:rsid w:val="00B30179"/>
    <w:rsid w:val="00B32131"/>
    <w:rsid w:val="00B339A7"/>
    <w:rsid w:val="00B33F29"/>
    <w:rsid w:val="00B34616"/>
    <w:rsid w:val="00B34A3F"/>
    <w:rsid w:val="00B369CE"/>
    <w:rsid w:val="00B3784A"/>
    <w:rsid w:val="00B37AAE"/>
    <w:rsid w:val="00B37BAE"/>
    <w:rsid w:val="00B41837"/>
    <w:rsid w:val="00B41ACB"/>
    <w:rsid w:val="00B427FA"/>
    <w:rsid w:val="00B43A0B"/>
    <w:rsid w:val="00B443E2"/>
    <w:rsid w:val="00B46096"/>
    <w:rsid w:val="00B4718F"/>
    <w:rsid w:val="00B47380"/>
    <w:rsid w:val="00B5092B"/>
    <w:rsid w:val="00B50A5B"/>
    <w:rsid w:val="00B512C7"/>
    <w:rsid w:val="00B515D4"/>
    <w:rsid w:val="00B53F42"/>
    <w:rsid w:val="00B56A03"/>
    <w:rsid w:val="00B56E4A"/>
    <w:rsid w:val="00B56E9C"/>
    <w:rsid w:val="00B60748"/>
    <w:rsid w:val="00B6380E"/>
    <w:rsid w:val="00B639A0"/>
    <w:rsid w:val="00B63FAE"/>
    <w:rsid w:val="00B640A3"/>
    <w:rsid w:val="00B64B1F"/>
    <w:rsid w:val="00B6548B"/>
    <w:rsid w:val="00B654DC"/>
    <w:rsid w:val="00B6553F"/>
    <w:rsid w:val="00B65D1D"/>
    <w:rsid w:val="00B66364"/>
    <w:rsid w:val="00B66E5E"/>
    <w:rsid w:val="00B6735D"/>
    <w:rsid w:val="00B67817"/>
    <w:rsid w:val="00B67C9C"/>
    <w:rsid w:val="00B705E0"/>
    <w:rsid w:val="00B70C5B"/>
    <w:rsid w:val="00B7160E"/>
    <w:rsid w:val="00B716A0"/>
    <w:rsid w:val="00B753D1"/>
    <w:rsid w:val="00B76F9C"/>
    <w:rsid w:val="00B77D05"/>
    <w:rsid w:val="00B77EB1"/>
    <w:rsid w:val="00B81202"/>
    <w:rsid w:val="00B81206"/>
    <w:rsid w:val="00B81E12"/>
    <w:rsid w:val="00B82156"/>
    <w:rsid w:val="00B8236D"/>
    <w:rsid w:val="00B83A07"/>
    <w:rsid w:val="00B846C0"/>
    <w:rsid w:val="00B84C4B"/>
    <w:rsid w:val="00B84CBE"/>
    <w:rsid w:val="00B84D8C"/>
    <w:rsid w:val="00B857DE"/>
    <w:rsid w:val="00B85908"/>
    <w:rsid w:val="00B861DB"/>
    <w:rsid w:val="00B86B5F"/>
    <w:rsid w:val="00B874C1"/>
    <w:rsid w:val="00B876FC"/>
    <w:rsid w:val="00B878B3"/>
    <w:rsid w:val="00B879F3"/>
    <w:rsid w:val="00B9067B"/>
    <w:rsid w:val="00B90F27"/>
    <w:rsid w:val="00B93B25"/>
    <w:rsid w:val="00B94491"/>
    <w:rsid w:val="00B94B8D"/>
    <w:rsid w:val="00B95FC8"/>
    <w:rsid w:val="00B96520"/>
    <w:rsid w:val="00B96941"/>
    <w:rsid w:val="00B97172"/>
    <w:rsid w:val="00B97E4C"/>
    <w:rsid w:val="00BA0CA7"/>
    <w:rsid w:val="00BA1EDB"/>
    <w:rsid w:val="00BA287E"/>
    <w:rsid w:val="00BA29D1"/>
    <w:rsid w:val="00BA4341"/>
    <w:rsid w:val="00BB22D5"/>
    <w:rsid w:val="00BB2DB0"/>
    <w:rsid w:val="00BB3491"/>
    <w:rsid w:val="00BB37C3"/>
    <w:rsid w:val="00BB5068"/>
    <w:rsid w:val="00BB577C"/>
    <w:rsid w:val="00BB7F1B"/>
    <w:rsid w:val="00BC01E3"/>
    <w:rsid w:val="00BC05BC"/>
    <w:rsid w:val="00BC0B15"/>
    <w:rsid w:val="00BC186C"/>
    <w:rsid w:val="00BC298A"/>
    <w:rsid w:val="00BC2C23"/>
    <w:rsid w:val="00BC2C92"/>
    <w:rsid w:val="00BC48F3"/>
    <w:rsid w:val="00BC4B5D"/>
    <w:rsid w:val="00BC5A8B"/>
    <w:rsid w:val="00BC6B1E"/>
    <w:rsid w:val="00BC70AB"/>
    <w:rsid w:val="00BC74E9"/>
    <w:rsid w:val="00BD035A"/>
    <w:rsid w:val="00BD1277"/>
    <w:rsid w:val="00BD21E3"/>
    <w:rsid w:val="00BD2AEB"/>
    <w:rsid w:val="00BD5EB3"/>
    <w:rsid w:val="00BD6FD3"/>
    <w:rsid w:val="00BD7EA8"/>
    <w:rsid w:val="00BE07C8"/>
    <w:rsid w:val="00BE0B12"/>
    <w:rsid w:val="00BE2C31"/>
    <w:rsid w:val="00BE2F99"/>
    <w:rsid w:val="00BE325F"/>
    <w:rsid w:val="00BE3A3E"/>
    <w:rsid w:val="00BE76EE"/>
    <w:rsid w:val="00BE7732"/>
    <w:rsid w:val="00BF09D4"/>
    <w:rsid w:val="00BF1BB0"/>
    <w:rsid w:val="00BF1D74"/>
    <w:rsid w:val="00BF21FF"/>
    <w:rsid w:val="00BF3D9D"/>
    <w:rsid w:val="00BF450E"/>
    <w:rsid w:val="00BF4AA2"/>
    <w:rsid w:val="00BF5A65"/>
    <w:rsid w:val="00BF5B2C"/>
    <w:rsid w:val="00BF68A8"/>
    <w:rsid w:val="00BF6DBF"/>
    <w:rsid w:val="00C006A7"/>
    <w:rsid w:val="00C00A5E"/>
    <w:rsid w:val="00C03905"/>
    <w:rsid w:val="00C0401B"/>
    <w:rsid w:val="00C04F50"/>
    <w:rsid w:val="00C0718D"/>
    <w:rsid w:val="00C11207"/>
    <w:rsid w:val="00C11A03"/>
    <w:rsid w:val="00C13B55"/>
    <w:rsid w:val="00C14199"/>
    <w:rsid w:val="00C14A79"/>
    <w:rsid w:val="00C15217"/>
    <w:rsid w:val="00C154D2"/>
    <w:rsid w:val="00C15938"/>
    <w:rsid w:val="00C15C4D"/>
    <w:rsid w:val="00C16605"/>
    <w:rsid w:val="00C168CA"/>
    <w:rsid w:val="00C176E9"/>
    <w:rsid w:val="00C218AA"/>
    <w:rsid w:val="00C22595"/>
    <w:rsid w:val="00C227E8"/>
    <w:rsid w:val="00C2284D"/>
    <w:rsid w:val="00C237CB"/>
    <w:rsid w:val="00C2458A"/>
    <w:rsid w:val="00C2617F"/>
    <w:rsid w:val="00C2623D"/>
    <w:rsid w:val="00C2698D"/>
    <w:rsid w:val="00C27C77"/>
    <w:rsid w:val="00C27D00"/>
    <w:rsid w:val="00C305FF"/>
    <w:rsid w:val="00C31235"/>
    <w:rsid w:val="00C31D00"/>
    <w:rsid w:val="00C3279A"/>
    <w:rsid w:val="00C33045"/>
    <w:rsid w:val="00C33936"/>
    <w:rsid w:val="00C33BD4"/>
    <w:rsid w:val="00C34341"/>
    <w:rsid w:val="00C34926"/>
    <w:rsid w:val="00C36CA4"/>
    <w:rsid w:val="00C37106"/>
    <w:rsid w:val="00C37550"/>
    <w:rsid w:val="00C401AE"/>
    <w:rsid w:val="00C40796"/>
    <w:rsid w:val="00C40EE4"/>
    <w:rsid w:val="00C41957"/>
    <w:rsid w:val="00C42783"/>
    <w:rsid w:val="00C4279B"/>
    <w:rsid w:val="00C42964"/>
    <w:rsid w:val="00C42AEC"/>
    <w:rsid w:val="00C4482F"/>
    <w:rsid w:val="00C44D68"/>
    <w:rsid w:val="00C463DD"/>
    <w:rsid w:val="00C46474"/>
    <w:rsid w:val="00C46A14"/>
    <w:rsid w:val="00C4723D"/>
    <w:rsid w:val="00C4724C"/>
    <w:rsid w:val="00C50356"/>
    <w:rsid w:val="00C51960"/>
    <w:rsid w:val="00C51B7F"/>
    <w:rsid w:val="00C51F77"/>
    <w:rsid w:val="00C52063"/>
    <w:rsid w:val="00C52916"/>
    <w:rsid w:val="00C52F3D"/>
    <w:rsid w:val="00C5392D"/>
    <w:rsid w:val="00C539D4"/>
    <w:rsid w:val="00C54F73"/>
    <w:rsid w:val="00C55779"/>
    <w:rsid w:val="00C561E4"/>
    <w:rsid w:val="00C6017C"/>
    <w:rsid w:val="00C606D3"/>
    <w:rsid w:val="00C615FB"/>
    <w:rsid w:val="00C61F13"/>
    <w:rsid w:val="00C629A0"/>
    <w:rsid w:val="00C6410D"/>
    <w:rsid w:val="00C64A07"/>
    <w:rsid w:val="00C659A9"/>
    <w:rsid w:val="00C65F90"/>
    <w:rsid w:val="00C702EE"/>
    <w:rsid w:val="00C709C4"/>
    <w:rsid w:val="00C719BD"/>
    <w:rsid w:val="00C7315E"/>
    <w:rsid w:val="00C7385F"/>
    <w:rsid w:val="00C745C3"/>
    <w:rsid w:val="00C77867"/>
    <w:rsid w:val="00C77C10"/>
    <w:rsid w:val="00C815DC"/>
    <w:rsid w:val="00C82175"/>
    <w:rsid w:val="00C822D7"/>
    <w:rsid w:val="00C82416"/>
    <w:rsid w:val="00C84095"/>
    <w:rsid w:val="00C8504E"/>
    <w:rsid w:val="00C8561F"/>
    <w:rsid w:val="00C866DB"/>
    <w:rsid w:val="00C869BF"/>
    <w:rsid w:val="00C878DB"/>
    <w:rsid w:val="00C9045B"/>
    <w:rsid w:val="00C909F8"/>
    <w:rsid w:val="00C9183C"/>
    <w:rsid w:val="00C91BBB"/>
    <w:rsid w:val="00C921CF"/>
    <w:rsid w:val="00C929A2"/>
    <w:rsid w:val="00C934B4"/>
    <w:rsid w:val="00C940C1"/>
    <w:rsid w:val="00C94BC7"/>
    <w:rsid w:val="00C96D26"/>
    <w:rsid w:val="00CA026A"/>
    <w:rsid w:val="00CA2882"/>
    <w:rsid w:val="00CA40C1"/>
    <w:rsid w:val="00CA42FF"/>
    <w:rsid w:val="00CA56DE"/>
    <w:rsid w:val="00CA5848"/>
    <w:rsid w:val="00CA7C33"/>
    <w:rsid w:val="00CA7D62"/>
    <w:rsid w:val="00CB1B90"/>
    <w:rsid w:val="00CB21C9"/>
    <w:rsid w:val="00CB25DD"/>
    <w:rsid w:val="00CB27E8"/>
    <w:rsid w:val="00CB2CED"/>
    <w:rsid w:val="00CB335D"/>
    <w:rsid w:val="00CB41B9"/>
    <w:rsid w:val="00CB4487"/>
    <w:rsid w:val="00CB6C91"/>
    <w:rsid w:val="00CB787B"/>
    <w:rsid w:val="00CB7F90"/>
    <w:rsid w:val="00CC04F4"/>
    <w:rsid w:val="00CC0DF3"/>
    <w:rsid w:val="00CC1F58"/>
    <w:rsid w:val="00CC241F"/>
    <w:rsid w:val="00CC327C"/>
    <w:rsid w:val="00CC4C0C"/>
    <w:rsid w:val="00CC5BCE"/>
    <w:rsid w:val="00CC664C"/>
    <w:rsid w:val="00CC6EAC"/>
    <w:rsid w:val="00CC7484"/>
    <w:rsid w:val="00CC7652"/>
    <w:rsid w:val="00CC7755"/>
    <w:rsid w:val="00CD0C45"/>
    <w:rsid w:val="00CD386B"/>
    <w:rsid w:val="00CD462F"/>
    <w:rsid w:val="00CD5808"/>
    <w:rsid w:val="00CD6F25"/>
    <w:rsid w:val="00CD70B8"/>
    <w:rsid w:val="00CE1494"/>
    <w:rsid w:val="00CE1672"/>
    <w:rsid w:val="00CE170A"/>
    <w:rsid w:val="00CE2140"/>
    <w:rsid w:val="00CE3E66"/>
    <w:rsid w:val="00CE4904"/>
    <w:rsid w:val="00CE4A8F"/>
    <w:rsid w:val="00CE4D40"/>
    <w:rsid w:val="00CE5876"/>
    <w:rsid w:val="00CE5F5D"/>
    <w:rsid w:val="00CE673A"/>
    <w:rsid w:val="00CE7317"/>
    <w:rsid w:val="00CE7349"/>
    <w:rsid w:val="00CF20BA"/>
    <w:rsid w:val="00CF21B3"/>
    <w:rsid w:val="00CF2919"/>
    <w:rsid w:val="00CF2C0D"/>
    <w:rsid w:val="00CF2C2A"/>
    <w:rsid w:val="00CF2FC3"/>
    <w:rsid w:val="00CF3E3C"/>
    <w:rsid w:val="00CF6255"/>
    <w:rsid w:val="00CF7083"/>
    <w:rsid w:val="00CF76CE"/>
    <w:rsid w:val="00CF7D0F"/>
    <w:rsid w:val="00D012D4"/>
    <w:rsid w:val="00D01C8B"/>
    <w:rsid w:val="00D0217D"/>
    <w:rsid w:val="00D04B04"/>
    <w:rsid w:val="00D056DA"/>
    <w:rsid w:val="00D05885"/>
    <w:rsid w:val="00D06910"/>
    <w:rsid w:val="00D06EAB"/>
    <w:rsid w:val="00D07060"/>
    <w:rsid w:val="00D103AB"/>
    <w:rsid w:val="00D107D6"/>
    <w:rsid w:val="00D11301"/>
    <w:rsid w:val="00D1131C"/>
    <w:rsid w:val="00D1134A"/>
    <w:rsid w:val="00D122F4"/>
    <w:rsid w:val="00D13038"/>
    <w:rsid w:val="00D134DC"/>
    <w:rsid w:val="00D141CF"/>
    <w:rsid w:val="00D16450"/>
    <w:rsid w:val="00D200AB"/>
    <w:rsid w:val="00D2031B"/>
    <w:rsid w:val="00D20619"/>
    <w:rsid w:val="00D20B52"/>
    <w:rsid w:val="00D213F2"/>
    <w:rsid w:val="00D21D87"/>
    <w:rsid w:val="00D21E61"/>
    <w:rsid w:val="00D2276A"/>
    <w:rsid w:val="00D2305C"/>
    <w:rsid w:val="00D236D5"/>
    <w:rsid w:val="00D23C28"/>
    <w:rsid w:val="00D24040"/>
    <w:rsid w:val="00D24185"/>
    <w:rsid w:val="00D257E7"/>
    <w:rsid w:val="00D25FE2"/>
    <w:rsid w:val="00D2672E"/>
    <w:rsid w:val="00D270EF"/>
    <w:rsid w:val="00D27315"/>
    <w:rsid w:val="00D33324"/>
    <w:rsid w:val="00D334BD"/>
    <w:rsid w:val="00D33CD6"/>
    <w:rsid w:val="00D34E31"/>
    <w:rsid w:val="00D354E1"/>
    <w:rsid w:val="00D3669F"/>
    <w:rsid w:val="00D377FC"/>
    <w:rsid w:val="00D37E2D"/>
    <w:rsid w:val="00D41FE9"/>
    <w:rsid w:val="00D42E65"/>
    <w:rsid w:val="00D431EB"/>
    <w:rsid w:val="00D43252"/>
    <w:rsid w:val="00D4394C"/>
    <w:rsid w:val="00D45303"/>
    <w:rsid w:val="00D45485"/>
    <w:rsid w:val="00D46294"/>
    <w:rsid w:val="00D46877"/>
    <w:rsid w:val="00D46BA9"/>
    <w:rsid w:val="00D473D1"/>
    <w:rsid w:val="00D47963"/>
    <w:rsid w:val="00D47B2C"/>
    <w:rsid w:val="00D47EEA"/>
    <w:rsid w:val="00D50C86"/>
    <w:rsid w:val="00D50E8D"/>
    <w:rsid w:val="00D50EE6"/>
    <w:rsid w:val="00D51532"/>
    <w:rsid w:val="00D5167F"/>
    <w:rsid w:val="00D537C3"/>
    <w:rsid w:val="00D53CC8"/>
    <w:rsid w:val="00D54AC8"/>
    <w:rsid w:val="00D56CCE"/>
    <w:rsid w:val="00D577D8"/>
    <w:rsid w:val="00D579D6"/>
    <w:rsid w:val="00D60739"/>
    <w:rsid w:val="00D61B09"/>
    <w:rsid w:val="00D63013"/>
    <w:rsid w:val="00D64A83"/>
    <w:rsid w:val="00D64D91"/>
    <w:rsid w:val="00D65841"/>
    <w:rsid w:val="00D65878"/>
    <w:rsid w:val="00D70A01"/>
    <w:rsid w:val="00D71187"/>
    <w:rsid w:val="00D712FE"/>
    <w:rsid w:val="00D725AD"/>
    <w:rsid w:val="00D73195"/>
    <w:rsid w:val="00D73357"/>
    <w:rsid w:val="00D73754"/>
    <w:rsid w:val="00D750F6"/>
    <w:rsid w:val="00D7781D"/>
    <w:rsid w:val="00D77AEF"/>
    <w:rsid w:val="00D82605"/>
    <w:rsid w:val="00D82B3A"/>
    <w:rsid w:val="00D8324A"/>
    <w:rsid w:val="00D8586C"/>
    <w:rsid w:val="00D86B85"/>
    <w:rsid w:val="00D87C94"/>
    <w:rsid w:val="00D902C0"/>
    <w:rsid w:val="00D90984"/>
    <w:rsid w:val="00D90A8D"/>
    <w:rsid w:val="00D90F93"/>
    <w:rsid w:val="00D9204F"/>
    <w:rsid w:val="00D92AE1"/>
    <w:rsid w:val="00D95303"/>
    <w:rsid w:val="00D95A82"/>
    <w:rsid w:val="00D96442"/>
    <w:rsid w:val="00D9732B"/>
    <w:rsid w:val="00D978C6"/>
    <w:rsid w:val="00D97FB9"/>
    <w:rsid w:val="00DA0F6C"/>
    <w:rsid w:val="00DA16D9"/>
    <w:rsid w:val="00DA1948"/>
    <w:rsid w:val="00DA2765"/>
    <w:rsid w:val="00DA2B47"/>
    <w:rsid w:val="00DA3111"/>
    <w:rsid w:val="00DA3C1C"/>
    <w:rsid w:val="00DA3DC3"/>
    <w:rsid w:val="00DA3EB3"/>
    <w:rsid w:val="00DA49AA"/>
    <w:rsid w:val="00DA53E6"/>
    <w:rsid w:val="00DA7238"/>
    <w:rsid w:val="00DA7412"/>
    <w:rsid w:val="00DA764F"/>
    <w:rsid w:val="00DB0C79"/>
    <w:rsid w:val="00DB162B"/>
    <w:rsid w:val="00DB208A"/>
    <w:rsid w:val="00DB3C10"/>
    <w:rsid w:val="00DB45B8"/>
    <w:rsid w:val="00DB5B2F"/>
    <w:rsid w:val="00DB6CA7"/>
    <w:rsid w:val="00DC0CAC"/>
    <w:rsid w:val="00DC0FCD"/>
    <w:rsid w:val="00DC128E"/>
    <w:rsid w:val="00DC290C"/>
    <w:rsid w:val="00DC4569"/>
    <w:rsid w:val="00DC4F03"/>
    <w:rsid w:val="00DC6DBB"/>
    <w:rsid w:val="00DC6E39"/>
    <w:rsid w:val="00DC71FF"/>
    <w:rsid w:val="00DC7EEC"/>
    <w:rsid w:val="00DD013D"/>
    <w:rsid w:val="00DD0339"/>
    <w:rsid w:val="00DD0C32"/>
    <w:rsid w:val="00DD1B10"/>
    <w:rsid w:val="00DD26A8"/>
    <w:rsid w:val="00DD2781"/>
    <w:rsid w:val="00DD3D73"/>
    <w:rsid w:val="00DD6D53"/>
    <w:rsid w:val="00DE000C"/>
    <w:rsid w:val="00DE3E91"/>
    <w:rsid w:val="00DE3F50"/>
    <w:rsid w:val="00DE473D"/>
    <w:rsid w:val="00DE5C04"/>
    <w:rsid w:val="00DE79A8"/>
    <w:rsid w:val="00DE79F7"/>
    <w:rsid w:val="00DF0447"/>
    <w:rsid w:val="00DF1E57"/>
    <w:rsid w:val="00DF374D"/>
    <w:rsid w:val="00DF3F04"/>
    <w:rsid w:val="00DF4996"/>
    <w:rsid w:val="00DF50FB"/>
    <w:rsid w:val="00DF56AC"/>
    <w:rsid w:val="00DF5756"/>
    <w:rsid w:val="00DF589C"/>
    <w:rsid w:val="00DF5EFA"/>
    <w:rsid w:val="00DF67AC"/>
    <w:rsid w:val="00DF6941"/>
    <w:rsid w:val="00DF6C8D"/>
    <w:rsid w:val="00DF6E87"/>
    <w:rsid w:val="00DF740E"/>
    <w:rsid w:val="00DF7914"/>
    <w:rsid w:val="00E00251"/>
    <w:rsid w:val="00E012C9"/>
    <w:rsid w:val="00E01753"/>
    <w:rsid w:val="00E03890"/>
    <w:rsid w:val="00E0462F"/>
    <w:rsid w:val="00E04B7E"/>
    <w:rsid w:val="00E05998"/>
    <w:rsid w:val="00E07C3D"/>
    <w:rsid w:val="00E10CF1"/>
    <w:rsid w:val="00E11639"/>
    <w:rsid w:val="00E12C41"/>
    <w:rsid w:val="00E138E5"/>
    <w:rsid w:val="00E13BBE"/>
    <w:rsid w:val="00E13CA7"/>
    <w:rsid w:val="00E14467"/>
    <w:rsid w:val="00E15945"/>
    <w:rsid w:val="00E16CD9"/>
    <w:rsid w:val="00E17496"/>
    <w:rsid w:val="00E17CD1"/>
    <w:rsid w:val="00E209FD"/>
    <w:rsid w:val="00E21D75"/>
    <w:rsid w:val="00E21E31"/>
    <w:rsid w:val="00E23119"/>
    <w:rsid w:val="00E2352D"/>
    <w:rsid w:val="00E24886"/>
    <w:rsid w:val="00E25E54"/>
    <w:rsid w:val="00E26103"/>
    <w:rsid w:val="00E27346"/>
    <w:rsid w:val="00E27F6D"/>
    <w:rsid w:val="00E31D69"/>
    <w:rsid w:val="00E3235C"/>
    <w:rsid w:val="00E334A0"/>
    <w:rsid w:val="00E33D68"/>
    <w:rsid w:val="00E3477A"/>
    <w:rsid w:val="00E352FB"/>
    <w:rsid w:val="00E35D2E"/>
    <w:rsid w:val="00E376E4"/>
    <w:rsid w:val="00E37733"/>
    <w:rsid w:val="00E40420"/>
    <w:rsid w:val="00E41EBB"/>
    <w:rsid w:val="00E42D0D"/>
    <w:rsid w:val="00E43EC4"/>
    <w:rsid w:val="00E4406C"/>
    <w:rsid w:val="00E44542"/>
    <w:rsid w:val="00E51BCB"/>
    <w:rsid w:val="00E53400"/>
    <w:rsid w:val="00E542F7"/>
    <w:rsid w:val="00E54361"/>
    <w:rsid w:val="00E5597B"/>
    <w:rsid w:val="00E5731A"/>
    <w:rsid w:val="00E6108F"/>
    <w:rsid w:val="00E62BDD"/>
    <w:rsid w:val="00E632CC"/>
    <w:rsid w:val="00E63CD8"/>
    <w:rsid w:val="00E65396"/>
    <w:rsid w:val="00E65C41"/>
    <w:rsid w:val="00E66A03"/>
    <w:rsid w:val="00E66C40"/>
    <w:rsid w:val="00E67476"/>
    <w:rsid w:val="00E67F91"/>
    <w:rsid w:val="00E70274"/>
    <w:rsid w:val="00E711CA"/>
    <w:rsid w:val="00E71252"/>
    <w:rsid w:val="00E71BC8"/>
    <w:rsid w:val="00E7260F"/>
    <w:rsid w:val="00E74951"/>
    <w:rsid w:val="00E7543A"/>
    <w:rsid w:val="00E7582C"/>
    <w:rsid w:val="00E759A9"/>
    <w:rsid w:val="00E75F22"/>
    <w:rsid w:val="00E76A04"/>
    <w:rsid w:val="00E779FC"/>
    <w:rsid w:val="00E80B72"/>
    <w:rsid w:val="00E82675"/>
    <w:rsid w:val="00E848D3"/>
    <w:rsid w:val="00E85E43"/>
    <w:rsid w:val="00E86349"/>
    <w:rsid w:val="00E863FD"/>
    <w:rsid w:val="00E879CB"/>
    <w:rsid w:val="00E90155"/>
    <w:rsid w:val="00E93CD3"/>
    <w:rsid w:val="00E94088"/>
    <w:rsid w:val="00E9408F"/>
    <w:rsid w:val="00E946BA"/>
    <w:rsid w:val="00E95575"/>
    <w:rsid w:val="00E96630"/>
    <w:rsid w:val="00E96A37"/>
    <w:rsid w:val="00E97027"/>
    <w:rsid w:val="00E97FF4"/>
    <w:rsid w:val="00EA0821"/>
    <w:rsid w:val="00EA118F"/>
    <w:rsid w:val="00EA1886"/>
    <w:rsid w:val="00EA26C7"/>
    <w:rsid w:val="00EA3104"/>
    <w:rsid w:val="00EA31F7"/>
    <w:rsid w:val="00EA5005"/>
    <w:rsid w:val="00EA5836"/>
    <w:rsid w:val="00EB16A9"/>
    <w:rsid w:val="00EB1ECC"/>
    <w:rsid w:val="00EB2581"/>
    <w:rsid w:val="00EB327A"/>
    <w:rsid w:val="00EB3A70"/>
    <w:rsid w:val="00EB60B3"/>
    <w:rsid w:val="00EB7049"/>
    <w:rsid w:val="00EC1345"/>
    <w:rsid w:val="00EC1C71"/>
    <w:rsid w:val="00EC28F3"/>
    <w:rsid w:val="00EC347A"/>
    <w:rsid w:val="00EC4754"/>
    <w:rsid w:val="00EC542F"/>
    <w:rsid w:val="00EC5FE7"/>
    <w:rsid w:val="00ED00C7"/>
    <w:rsid w:val="00ED06EC"/>
    <w:rsid w:val="00ED1386"/>
    <w:rsid w:val="00ED140E"/>
    <w:rsid w:val="00ED1515"/>
    <w:rsid w:val="00ED5317"/>
    <w:rsid w:val="00ED655E"/>
    <w:rsid w:val="00ED739D"/>
    <w:rsid w:val="00ED7A2A"/>
    <w:rsid w:val="00EE0B0F"/>
    <w:rsid w:val="00EE1204"/>
    <w:rsid w:val="00EE1B4E"/>
    <w:rsid w:val="00EE370F"/>
    <w:rsid w:val="00EE5084"/>
    <w:rsid w:val="00EE5A36"/>
    <w:rsid w:val="00EE5BD5"/>
    <w:rsid w:val="00EE5E84"/>
    <w:rsid w:val="00EE6199"/>
    <w:rsid w:val="00EE68F2"/>
    <w:rsid w:val="00EE711E"/>
    <w:rsid w:val="00EE7275"/>
    <w:rsid w:val="00EE744F"/>
    <w:rsid w:val="00EE77B7"/>
    <w:rsid w:val="00EF0235"/>
    <w:rsid w:val="00EF09E6"/>
    <w:rsid w:val="00EF1D7F"/>
    <w:rsid w:val="00EF1EF6"/>
    <w:rsid w:val="00EF5073"/>
    <w:rsid w:val="00EF65BA"/>
    <w:rsid w:val="00F004E2"/>
    <w:rsid w:val="00F02C8E"/>
    <w:rsid w:val="00F03069"/>
    <w:rsid w:val="00F03190"/>
    <w:rsid w:val="00F03535"/>
    <w:rsid w:val="00F03A99"/>
    <w:rsid w:val="00F04CDE"/>
    <w:rsid w:val="00F05290"/>
    <w:rsid w:val="00F060D9"/>
    <w:rsid w:val="00F06702"/>
    <w:rsid w:val="00F06A0F"/>
    <w:rsid w:val="00F100FA"/>
    <w:rsid w:val="00F10238"/>
    <w:rsid w:val="00F10790"/>
    <w:rsid w:val="00F10A25"/>
    <w:rsid w:val="00F10E0C"/>
    <w:rsid w:val="00F1114D"/>
    <w:rsid w:val="00F12D79"/>
    <w:rsid w:val="00F137BE"/>
    <w:rsid w:val="00F1389A"/>
    <w:rsid w:val="00F145AF"/>
    <w:rsid w:val="00F148F2"/>
    <w:rsid w:val="00F151BD"/>
    <w:rsid w:val="00F1539A"/>
    <w:rsid w:val="00F16F6B"/>
    <w:rsid w:val="00F16FA2"/>
    <w:rsid w:val="00F20424"/>
    <w:rsid w:val="00F20C3D"/>
    <w:rsid w:val="00F2311F"/>
    <w:rsid w:val="00F23820"/>
    <w:rsid w:val="00F23B86"/>
    <w:rsid w:val="00F23E8E"/>
    <w:rsid w:val="00F25118"/>
    <w:rsid w:val="00F2528A"/>
    <w:rsid w:val="00F25822"/>
    <w:rsid w:val="00F25C4A"/>
    <w:rsid w:val="00F25E5E"/>
    <w:rsid w:val="00F26BC3"/>
    <w:rsid w:val="00F27F80"/>
    <w:rsid w:val="00F301C6"/>
    <w:rsid w:val="00F30F1F"/>
    <w:rsid w:val="00F318C1"/>
    <w:rsid w:val="00F31FB3"/>
    <w:rsid w:val="00F32635"/>
    <w:rsid w:val="00F36AFD"/>
    <w:rsid w:val="00F36C66"/>
    <w:rsid w:val="00F4204E"/>
    <w:rsid w:val="00F421C4"/>
    <w:rsid w:val="00F4380B"/>
    <w:rsid w:val="00F43E9E"/>
    <w:rsid w:val="00F4418A"/>
    <w:rsid w:val="00F44474"/>
    <w:rsid w:val="00F453A1"/>
    <w:rsid w:val="00F45731"/>
    <w:rsid w:val="00F45EE4"/>
    <w:rsid w:val="00F46CDD"/>
    <w:rsid w:val="00F53F0E"/>
    <w:rsid w:val="00F549D0"/>
    <w:rsid w:val="00F55AE7"/>
    <w:rsid w:val="00F56D24"/>
    <w:rsid w:val="00F5774C"/>
    <w:rsid w:val="00F63797"/>
    <w:rsid w:val="00F647F9"/>
    <w:rsid w:val="00F64FCD"/>
    <w:rsid w:val="00F656E4"/>
    <w:rsid w:val="00F65E7F"/>
    <w:rsid w:val="00F667CF"/>
    <w:rsid w:val="00F6721A"/>
    <w:rsid w:val="00F67B7A"/>
    <w:rsid w:val="00F70FF2"/>
    <w:rsid w:val="00F713E3"/>
    <w:rsid w:val="00F71BF6"/>
    <w:rsid w:val="00F72BF1"/>
    <w:rsid w:val="00F749AF"/>
    <w:rsid w:val="00F75F5B"/>
    <w:rsid w:val="00F76E01"/>
    <w:rsid w:val="00F77963"/>
    <w:rsid w:val="00F82380"/>
    <w:rsid w:val="00F8265D"/>
    <w:rsid w:val="00F8521C"/>
    <w:rsid w:val="00F85C54"/>
    <w:rsid w:val="00F86121"/>
    <w:rsid w:val="00F86289"/>
    <w:rsid w:val="00F90553"/>
    <w:rsid w:val="00F9057C"/>
    <w:rsid w:val="00F906D7"/>
    <w:rsid w:val="00F90D84"/>
    <w:rsid w:val="00F90EA8"/>
    <w:rsid w:val="00F90FD3"/>
    <w:rsid w:val="00F910E4"/>
    <w:rsid w:val="00F9190E"/>
    <w:rsid w:val="00F91FD2"/>
    <w:rsid w:val="00F92055"/>
    <w:rsid w:val="00F93781"/>
    <w:rsid w:val="00F963B8"/>
    <w:rsid w:val="00F9669A"/>
    <w:rsid w:val="00F96BA5"/>
    <w:rsid w:val="00F976E7"/>
    <w:rsid w:val="00FA1481"/>
    <w:rsid w:val="00FA1718"/>
    <w:rsid w:val="00FA1FCE"/>
    <w:rsid w:val="00FA32C0"/>
    <w:rsid w:val="00FA380F"/>
    <w:rsid w:val="00FA447C"/>
    <w:rsid w:val="00FA56DB"/>
    <w:rsid w:val="00FA5D93"/>
    <w:rsid w:val="00FA6BE1"/>
    <w:rsid w:val="00FB1408"/>
    <w:rsid w:val="00FB1B6F"/>
    <w:rsid w:val="00FB3767"/>
    <w:rsid w:val="00FB4B15"/>
    <w:rsid w:val="00FB5EB5"/>
    <w:rsid w:val="00FB613B"/>
    <w:rsid w:val="00FB6F7F"/>
    <w:rsid w:val="00FB7622"/>
    <w:rsid w:val="00FC20C0"/>
    <w:rsid w:val="00FC22CD"/>
    <w:rsid w:val="00FC2CFD"/>
    <w:rsid w:val="00FC5381"/>
    <w:rsid w:val="00FC6453"/>
    <w:rsid w:val="00FC68B7"/>
    <w:rsid w:val="00FC70CA"/>
    <w:rsid w:val="00FD0381"/>
    <w:rsid w:val="00FD0A8A"/>
    <w:rsid w:val="00FD0BF9"/>
    <w:rsid w:val="00FD15D6"/>
    <w:rsid w:val="00FD1616"/>
    <w:rsid w:val="00FD1954"/>
    <w:rsid w:val="00FD23D3"/>
    <w:rsid w:val="00FD23DD"/>
    <w:rsid w:val="00FD436D"/>
    <w:rsid w:val="00FD4BC3"/>
    <w:rsid w:val="00FD4FB8"/>
    <w:rsid w:val="00FD7631"/>
    <w:rsid w:val="00FE106A"/>
    <w:rsid w:val="00FE1292"/>
    <w:rsid w:val="00FE22ED"/>
    <w:rsid w:val="00FE5209"/>
    <w:rsid w:val="00FE52FC"/>
    <w:rsid w:val="00FE6DC3"/>
    <w:rsid w:val="00FE7356"/>
    <w:rsid w:val="00FE7EF7"/>
    <w:rsid w:val="00FF0FD2"/>
    <w:rsid w:val="00FF1D1B"/>
    <w:rsid w:val="00FF3273"/>
    <w:rsid w:val="00FF3FD6"/>
    <w:rsid w:val="00FF49A1"/>
    <w:rsid w:val="00FF67E9"/>
    <w:rsid w:val="00FF6837"/>
    <w:rsid w:val="00FF7920"/>
    <w:rsid w:val="00FF7D02"/>
  </w:rsids>
  <m:mathPr>
    <m:mathFont m:val="Cambria Math"/>
    <m:brkBin m:val="before"/>
    <m:brkBinSub m:val="--"/>
    <m:smallFrac m:val="0"/>
    <m:dispDef/>
    <m:lMargin m:val="0"/>
    <m:rMargin m:val="0"/>
    <m:defJc m:val="centerGroup"/>
    <m:wrapIndent m:val="1440"/>
    <m:intLim m:val="subSup"/>
    <m:naryLim m:val="undOvr"/>
  </m:mathPr>
  <w:themeFontLang w:val="uz-Cyrl-UZ"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469C75"/>
  <w15:docId w15:val="{ADADCDE9-9B02-4879-86C7-8F4AA9FD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A83"/>
    <w:rPr>
      <w:sz w:val="24"/>
      <w:szCs w:val="24"/>
      <w:lang w:val="en-US" w:eastAsia="en-US" w:bidi="he-IL"/>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uppressAutoHyphens/>
      <w:outlineLvl w:val="1"/>
    </w:pPr>
    <w:rPr>
      <w:sz w:val="20"/>
      <w:szCs w:val="20"/>
      <w:lang w:val="en-GB" w:bidi="ar-SA"/>
    </w:rPr>
  </w:style>
  <w:style w:type="paragraph" w:styleId="Heading3">
    <w:name w:val="heading 3"/>
    <w:basedOn w:val="Normal"/>
    <w:next w:val="Normal"/>
    <w:link w:val="Heading3Char"/>
    <w:uiPriority w:val="99"/>
    <w:qFormat/>
    <w:rsid w:val="000272B3"/>
    <w:pPr>
      <w:suppressAutoHyphens/>
      <w:outlineLvl w:val="2"/>
    </w:pPr>
    <w:rPr>
      <w:sz w:val="20"/>
      <w:szCs w:val="20"/>
      <w:lang w:val="en-GB" w:bidi="ar-SA"/>
    </w:rPr>
  </w:style>
  <w:style w:type="paragraph" w:styleId="Heading4">
    <w:name w:val="heading 4"/>
    <w:basedOn w:val="Normal"/>
    <w:next w:val="Normal"/>
    <w:link w:val="Heading4Char"/>
    <w:uiPriority w:val="99"/>
    <w:qFormat/>
    <w:rsid w:val="000272B3"/>
    <w:pPr>
      <w:suppressAutoHyphens/>
      <w:outlineLvl w:val="3"/>
    </w:pPr>
    <w:rPr>
      <w:sz w:val="20"/>
      <w:szCs w:val="20"/>
      <w:lang w:val="en-GB" w:bidi="ar-SA"/>
    </w:rPr>
  </w:style>
  <w:style w:type="paragraph" w:styleId="Heading5">
    <w:name w:val="heading 5"/>
    <w:basedOn w:val="Normal"/>
    <w:next w:val="Normal"/>
    <w:link w:val="Heading5Char"/>
    <w:uiPriority w:val="99"/>
    <w:qFormat/>
    <w:rsid w:val="000272B3"/>
    <w:pPr>
      <w:suppressAutoHyphens/>
      <w:outlineLvl w:val="4"/>
    </w:pPr>
    <w:rPr>
      <w:sz w:val="20"/>
      <w:szCs w:val="20"/>
      <w:lang w:val="en-GB" w:bidi="ar-SA"/>
    </w:rPr>
  </w:style>
  <w:style w:type="paragraph" w:styleId="Heading6">
    <w:name w:val="heading 6"/>
    <w:basedOn w:val="Normal"/>
    <w:next w:val="Normal"/>
    <w:link w:val="Heading6Char"/>
    <w:uiPriority w:val="99"/>
    <w:qFormat/>
    <w:rsid w:val="000272B3"/>
    <w:pPr>
      <w:suppressAutoHyphens/>
      <w:outlineLvl w:val="5"/>
    </w:pPr>
    <w:rPr>
      <w:sz w:val="20"/>
      <w:szCs w:val="20"/>
      <w:lang w:val="en-GB" w:bidi="ar-SA"/>
    </w:rPr>
  </w:style>
  <w:style w:type="paragraph" w:styleId="Heading7">
    <w:name w:val="heading 7"/>
    <w:basedOn w:val="Normal"/>
    <w:next w:val="Normal"/>
    <w:link w:val="Heading7Char"/>
    <w:uiPriority w:val="99"/>
    <w:qFormat/>
    <w:rsid w:val="000272B3"/>
    <w:pPr>
      <w:suppressAutoHyphens/>
      <w:outlineLvl w:val="6"/>
    </w:pPr>
    <w:rPr>
      <w:sz w:val="20"/>
      <w:szCs w:val="20"/>
      <w:lang w:val="en-GB" w:bidi="ar-SA"/>
    </w:rPr>
  </w:style>
  <w:style w:type="paragraph" w:styleId="Heading8">
    <w:name w:val="heading 8"/>
    <w:basedOn w:val="Normal"/>
    <w:next w:val="Normal"/>
    <w:link w:val="Heading8Char"/>
    <w:uiPriority w:val="99"/>
    <w:qFormat/>
    <w:rsid w:val="000272B3"/>
    <w:pPr>
      <w:suppressAutoHyphens/>
      <w:outlineLvl w:val="7"/>
    </w:pPr>
    <w:rPr>
      <w:sz w:val="20"/>
      <w:szCs w:val="20"/>
      <w:lang w:val="en-GB" w:bidi="ar-SA"/>
    </w:rPr>
  </w:style>
  <w:style w:type="paragraph" w:styleId="Heading9">
    <w:name w:val="heading 9"/>
    <w:basedOn w:val="Normal"/>
    <w:next w:val="Normal"/>
    <w:link w:val="Heading9Char"/>
    <w:uiPriority w:val="99"/>
    <w:qFormat/>
    <w:rsid w:val="000272B3"/>
    <w:pPr>
      <w:suppressAutoHyphens/>
      <w:outlineLvl w:val="8"/>
    </w:pPr>
    <w:rPr>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99069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99069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99069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99069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99069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99069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99069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99069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99069F"/>
    <w:rPr>
      <w:rFonts w:asciiTheme="majorHAnsi" w:eastAsiaTheme="majorEastAsia" w:hAnsiTheme="majorHAnsi" w:cstheme="majorBidi"/>
      <w:lang w:val="en-GB" w:eastAsia="en-US"/>
    </w:rPr>
  </w:style>
  <w:style w:type="paragraph" w:styleId="BalloonText">
    <w:name w:val="Balloon Text"/>
    <w:basedOn w:val="Normal"/>
    <w:link w:val="BalloonTextChar"/>
    <w:uiPriority w:val="99"/>
    <w:rsid w:val="006743E9"/>
    <w:pPr>
      <w:suppressAutoHyphens/>
    </w:pPr>
    <w:rPr>
      <w:rFonts w:ascii="Tahoma" w:hAnsi="Tahoma" w:cs="Tahoma"/>
      <w:sz w:val="16"/>
      <w:szCs w:val="16"/>
      <w:lang w:val="en-GB" w:bidi="ar-SA"/>
    </w:rPr>
  </w:style>
  <w:style w:type="character" w:customStyle="1" w:styleId="BalloonTextChar">
    <w:name w:val="Balloon Text Char"/>
    <w:basedOn w:val="DefaultParagraphFont"/>
    <w:link w:val="BalloonText"/>
    <w:uiPriority w:val="99"/>
    <w:locked/>
    <w:rsid w:val="006743E9"/>
    <w:rPr>
      <w:rFonts w:ascii="Tahoma" w:hAnsi="Tahoma"/>
      <w:sz w:val="16"/>
      <w:lang w:eastAsia="en-US"/>
    </w:rPr>
  </w:style>
  <w:style w:type="paragraph" w:customStyle="1" w:styleId="SingleTxtG">
    <w:name w:val="_ Single Txt_G"/>
    <w:basedOn w:val="Normal"/>
    <w:link w:val="SingleTxtGChar"/>
    <w:rsid w:val="000272B3"/>
    <w:pPr>
      <w:suppressAutoHyphens/>
      <w:spacing w:after="120" w:line="240" w:lineRule="atLeast"/>
      <w:ind w:left="1134" w:right="1134"/>
      <w:jc w:val="both"/>
    </w:pPr>
    <w:rPr>
      <w:sz w:val="20"/>
      <w:szCs w:val="20"/>
      <w:lang w:val="en-GB" w:bidi="ar-SA"/>
    </w:rPr>
  </w:style>
  <w:style w:type="paragraph" w:customStyle="1" w:styleId="HMG">
    <w:name w:val="_ H __M_G"/>
    <w:basedOn w:val="Normal"/>
    <w:next w:val="Normal"/>
    <w:uiPriority w:val="99"/>
    <w:rsid w:val="000272B3"/>
    <w:pPr>
      <w:keepNext/>
      <w:keepLines/>
      <w:tabs>
        <w:tab w:val="right" w:pos="851"/>
      </w:tabs>
      <w:suppressAutoHyphens/>
      <w:spacing w:before="240" w:after="240" w:line="360" w:lineRule="exact"/>
      <w:ind w:left="1134" w:right="1134" w:hanging="1134"/>
    </w:pPr>
    <w:rPr>
      <w:b/>
      <w:sz w:val="34"/>
      <w:szCs w:val="20"/>
      <w:lang w:val="en-GB" w:bidi="ar-SA"/>
    </w:rPr>
  </w:style>
  <w:style w:type="paragraph" w:customStyle="1" w:styleId="HChG">
    <w:name w:val="_ H _Ch_G"/>
    <w:basedOn w:val="Normal"/>
    <w:next w:val="Normal"/>
    <w:rsid w:val="000272B3"/>
    <w:pPr>
      <w:keepNext/>
      <w:keepLines/>
      <w:tabs>
        <w:tab w:val="right" w:pos="851"/>
      </w:tabs>
      <w:suppressAutoHyphens/>
      <w:spacing w:before="360" w:after="240" w:line="300" w:lineRule="exact"/>
      <w:ind w:left="1134" w:right="1134" w:hanging="1134"/>
    </w:pPr>
    <w:rPr>
      <w:b/>
      <w:sz w:val="28"/>
      <w:szCs w:val="20"/>
      <w:lang w:val="en-GB" w:bidi="ar-SA"/>
    </w:rPr>
  </w:style>
  <w:style w:type="paragraph" w:styleId="Header">
    <w:name w:val="header"/>
    <w:aliases w:val="6_G"/>
    <w:basedOn w:val="Normal"/>
    <w:link w:val="HeaderChar"/>
    <w:uiPriority w:val="99"/>
    <w:rsid w:val="000272B3"/>
    <w:pPr>
      <w:pBdr>
        <w:bottom w:val="single" w:sz="4" w:space="4" w:color="auto"/>
      </w:pBdr>
      <w:suppressAutoHyphens/>
    </w:pPr>
    <w:rPr>
      <w:b/>
      <w:sz w:val="18"/>
      <w:szCs w:val="20"/>
      <w:lang w:val="en-GB" w:bidi="ar-SA"/>
    </w:rPr>
  </w:style>
  <w:style w:type="character" w:customStyle="1" w:styleId="HeaderChar">
    <w:name w:val="Header Char"/>
    <w:aliases w:val="6_G Char"/>
    <w:basedOn w:val="DefaultParagraphFont"/>
    <w:link w:val="Header"/>
    <w:uiPriority w:val="99"/>
    <w:semiHidden/>
    <w:rsid w:val="0099069F"/>
    <w:rPr>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Footnote Text C"/>
    <w:basedOn w:val="Normal"/>
    <w:link w:val="FootnoteTextChar1"/>
    <w:qFormat/>
    <w:rsid w:val="004D71B4"/>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szCs w:val="20"/>
      <w:lang w:eastAsia="zh-CN" w:bidi="ar-SA"/>
    </w:rPr>
  </w:style>
  <w:style w:type="character" w:customStyle="1" w:styleId="FootnoteTextChar">
    <w:name w:val="Footnote Text Char"/>
    <w:aliases w:val="Footnote Reference Char,4_G Char,Footnote number Char,ftref Char,Footnotes refss Char,Style 10 Char,Footnote Reference1 Char1,5_G Char,Footnote Text Char Char Char Char Char Char,Footnote Text Char Char Char Char Char1,FA Fu Char"/>
    <w:basedOn w:val="DefaultParagraphFont"/>
    <w:rsid w:val="0099069F"/>
    <w:rPr>
      <w:sz w:val="20"/>
      <w:szCs w:val="20"/>
      <w:lang w:val="en-GB" w:eastAsia="en-US"/>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99069F"/>
    <w:rPr>
      <w:sz w:val="20"/>
      <w:szCs w:val="20"/>
      <w:lang w:val="en-GB" w:eastAsia="en-US"/>
    </w:rPr>
  </w:style>
  <w:style w:type="paragraph" w:customStyle="1" w:styleId="SMG">
    <w:name w:val="__S_M_G"/>
    <w:basedOn w:val="Normal"/>
    <w:next w:val="Normal"/>
    <w:uiPriority w:val="99"/>
    <w:rsid w:val="000272B3"/>
    <w:pPr>
      <w:keepNext/>
      <w:keepLines/>
      <w:suppressAutoHyphens/>
      <w:spacing w:before="240" w:after="240" w:line="420" w:lineRule="exact"/>
      <w:ind w:left="1134" w:right="1134"/>
    </w:pPr>
    <w:rPr>
      <w:b/>
      <w:sz w:val="40"/>
      <w:szCs w:val="20"/>
      <w:lang w:val="en-GB" w:bidi="ar-SA"/>
    </w:rPr>
  </w:style>
  <w:style w:type="paragraph" w:customStyle="1" w:styleId="SLG">
    <w:name w:val="__S_L_G"/>
    <w:basedOn w:val="Normal"/>
    <w:next w:val="Normal"/>
    <w:rsid w:val="000272B3"/>
    <w:pPr>
      <w:keepNext/>
      <w:keepLines/>
      <w:suppressAutoHyphens/>
      <w:spacing w:before="240" w:after="240" w:line="580" w:lineRule="exact"/>
      <w:ind w:left="1134" w:right="1134"/>
    </w:pPr>
    <w:rPr>
      <w:b/>
      <w:sz w:val="56"/>
      <w:szCs w:val="20"/>
      <w:lang w:val="en-GB" w:bidi="ar-SA"/>
    </w:rPr>
  </w:style>
  <w:style w:type="paragraph" w:customStyle="1" w:styleId="SSG">
    <w:name w:val="__S_S_G"/>
    <w:basedOn w:val="Normal"/>
    <w:next w:val="Normal"/>
    <w:rsid w:val="000272B3"/>
    <w:pPr>
      <w:keepNext/>
      <w:keepLines/>
      <w:suppressAutoHyphens/>
      <w:spacing w:before="240" w:after="240" w:line="300" w:lineRule="exact"/>
      <w:ind w:left="1134" w:right="1134"/>
    </w:pPr>
    <w:rPr>
      <w:b/>
      <w:sz w:val="28"/>
      <w:szCs w:val="20"/>
      <w:lang w:val="en-GB" w:bidi="ar-SA"/>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uppressAutoHyphens/>
      <w:spacing w:before="240" w:after="240" w:line="420" w:lineRule="exact"/>
      <w:ind w:left="1134" w:right="1134"/>
    </w:pPr>
    <w:rPr>
      <w:b/>
      <w:sz w:val="40"/>
      <w:szCs w:val="20"/>
      <w:lang w:val="en-GB" w:bidi="ar-SA"/>
    </w:rPr>
  </w:style>
  <w:style w:type="paragraph" w:customStyle="1" w:styleId="Bullet1G">
    <w:name w:val="_Bullet 1_G"/>
    <w:basedOn w:val="Normal"/>
    <w:uiPriority w:val="99"/>
    <w:rsid w:val="000272B3"/>
    <w:pPr>
      <w:numPr>
        <w:numId w:val="1"/>
      </w:numPr>
      <w:suppressAutoHyphens/>
      <w:spacing w:after="120" w:line="240" w:lineRule="atLeast"/>
      <w:ind w:right="1134"/>
      <w:jc w:val="both"/>
    </w:pPr>
    <w:rPr>
      <w:sz w:val="20"/>
      <w:szCs w:val="20"/>
      <w:lang w:val="en-GB" w:bidi="ar-SA"/>
    </w:rPr>
  </w:style>
  <w:style w:type="paragraph" w:styleId="Footer">
    <w:name w:val="footer"/>
    <w:aliases w:val="3_G"/>
    <w:basedOn w:val="Normal"/>
    <w:link w:val="FooterChar"/>
    <w:uiPriority w:val="99"/>
    <w:rsid w:val="000272B3"/>
    <w:pPr>
      <w:suppressAutoHyphens/>
    </w:pPr>
    <w:rPr>
      <w:sz w:val="16"/>
      <w:szCs w:val="20"/>
      <w:lang w:val="en-GB" w:bidi="ar-SA"/>
    </w:rPr>
  </w:style>
  <w:style w:type="character" w:customStyle="1" w:styleId="FooterChar">
    <w:name w:val="Footer Char"/>
    <w:aliases w:val="3_G Char"/>
    <w:basedOn w:val="DefaultParagraphFont"/>
    <w:link w:val="Footer"/>
    <w:uiPriority w:val="99"/>
    <w:semiHidden/>
    <w:rsid w:val="0099069F"/>
    <w:rPr>
      <w:sz w:val="20"/>
      <w:szCs w:val="20"/>
      <w:lang w:val="en-GB" w:eastAsia="en-US"/>
    </w:rPr>
  </w:style>
  <w:style w:type="paragraph" w:customStyle="1" w:styleId="Bullet2G">
    <w:name w:val="_Bullet 2_G"/>
    <w:basedOn w:val="Normal"/>
    <w:uiPriority w:val="99"/>
    <w:rsid w:val="000272B3"/>
    <w:pPr>
      <w:numPr>
        <w:numId w:val="2"/>
      </w:numPr>
      <w:suppressAutoHyphens/>
      <w:spacing w:after="120" w:line="240" w:lineRule="atLeast"/>
      <w:ind w:right="1134"/>
      <w:jc w:val="both"/>
    </w:pPr>
    <w:rPr>
      <w:sz w:val="20"/>
      <w:szCs w:val="20"/>
      <w:lang w:val="en-GB" w:bidi="ar-SA"/>
    </w:rPr>
  </w:style>
  <w:style w:type="paragraph" w:customStyle="1" w:styleId="H1G">
    <w:name w:val="_ H_1_G"/>
    <w:basedOn w:val="Normal"/>
    <w:next w:val="Normal"/>
    <w:rsid w:val="000272B3"/>
    <w:pPr>
      <w:keepNext/>
      <w:keepLines/>
      <w:tabs>
        <w:tab w:val="right" w:pos="851"/>
      </w:tabs>
      <w:suppressAutoHyphens/>
      <w:spacing w:before="360" w:after="240" w:line="270" w:lineRule="exact"/>
      <w:ind w:left="1134" w:right="1134" w:hanging="1134"/>
    </w:pPr>
    <w:rPr>
      <w:b/>
      <w:szCs w:val="20"/>
      <w:lang w:val="en-GB" w:bidi="ar-SA"/>
    </w:rPr>
  </w:style>
  <w:style w:type="paragraph" w:customStyle="1" w:styleId="H23G">
    <w:name w:val="_ H_2/3_G"/>
    <w:basedOn w:val="Normal"/>
    <w:next w:val="Normal"/>
    <w:uiPriority w:val="99"/>
    <w:rsid w:val="000272B3"/>
    <w:pPr>
      <w:keepNext/>
      <w:keepLines/>
      <w:tabs>
        <w:tab w:val="right" w:pos="851"/>
      </w:tabs>
      <w:suppressAutoHyphens/>
      <w:spacing w:before="240" w:after="120" w:line="240" w:lineRule="exact"/>
      <w:ind w:left="1134" w:right="1134" w:hanging="1134"/>
    </w:pPr>
    <w:rPr>
      <w:b/>
      <w:sz w:val="20"/>
      <w:szCs w:val="20"/>
      <w:lang w:val="en-GB" w:bidi="ar-SA"/>
    </w:rPr>
  </w:style>
  <w:style w:type="paragraph" w:customStyle="1" w:styleId="H4G">
    <w:name w:val="_ H_4_G"/>
    <w:basedOn w:val="Normal"/>
    <w:next w:val="Normal"/>
    <w:rsid w:val="000272B3"/>
    <w:pPr>
      <w:keepNext/>
      <w:keepLines/>
      <w:tabs>
        <w:tab w:val="right" w:pos="851"/>
      </w:tabs>
      <w:suppressAutoHyphens/>
      <w:spacing w:before="240" w:after="120" w:line="240" w:lineRule="exact"/>
      <w:ind w:left="1134" w:right="1134" w:hanging="1134"/>
    </w:pPr>
    <w:rPr>
      <w:i/>
      <w:sz w:val="20"/>
      <w:szCs w:val="20"/>
      <w:lang w:val="en-GB" w:bidi="ar-SA"/>
    </w:rPr>
  </w:style>
  <w:style w:type="paragraph" w:customStyle="1" w:styleId="H56G">
    <w:name w:val="_ H_5/6_G"/>
    <w:basedOn w:val="Normal"/>
    <w:next w:val="Normal"/>
    <w:uiPriority w:val="99"/>
    <w:rsid w:val="000272B3"/>
    <w:pPr>
      <w:keepNext/>
      <w:keepLines/>
      <w:tabs>
        <w:tab w:val="right" w:pos="851"/>
      </w:tabs>
      <w:suppressAutoHyphens/>
      <w:spacing w:before="240" w:after="120" w:line="240" w:lineRule="exact"/>
      <w:ind w:left="1134" w:right="1134" w:hanging="1134"/>
    </w:pPr>
    <w:rPr>
      <w:sz w:val="20"/>
      <w:szCs w:val="20"/>
      <w:lang w:val="en-GB" w:bidi="ar-SA"/>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ink w:val="FootnoteText"/>
    <w:locked/>
    <w:rsid w:val="008216A5"/>
    <w:rPr>
      <w:rFonts w:eastAsia="SimSun"/>
      <w:sz w:val="18"/>
      <w:szCs w:val="20"/>
      <w:lang w:val="en-US" w:eastAsia="zh-CN"/>
    </w:rPr>
  </w:style>
  <w:style w:type="character" w:customStyle="1" w:styleId="sb8d990e2">
    <w:name w:val="sb8d990e2"/>
    <w:rsid w:val="001A09DE"/>
  </w:style>
  <w:style w:type="paragraph" w:customStyle="1" w:styleId="Default">
    <w:name w:val="Default"/>
    <w:uiPriority w:val="99"/>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locked/>
    <w:rsid w:val="00FF7920"/>
    <w:rPr>
      <w:lang w:eastAsia="en-US"/>
    </w:rPr>
  </w:style>
  <w:style w:type="character" w:styleId="CommentReference">
    <w:name w:val="annotation reference"/>
    <w:basedOn w:val="DefaultParagraphFont"/>
    <w:uiPriority w:val="99"/>
    <w:rsid w:val="00161B02"/>
    <w:rPr>
      <w:rFonts w:cs="Times New Roman"/>
      <w:sz w:val="16"/>
    </w:rPr>
  </w:style>
  <w:style w:type="paragraph" w:styleId="CommentText">
    <w:name w:val="annotation text"/>
    <w:basedOn w:val="Normal"/>
    <w:link w:val="CommentTextChar"/>
    <w:uiPriority w:val="99"/>
    <w:rsid w:val="00161B02"/>
    <w:pPr>
      <w:suppressAutoHyphens/>
      <w:spacing w:line="240" w:lineRule="atLeast"/>
    </w:pPr>
    <w:rPr>
      <w:sz w:val="20"/>
      <w:szCs w:val="20"/>
      <w:lang w:val="en-GB" w:bidi="ar-SA"/>
    </w:rPr>
  </w:style>
  <w:style w:type="character" w:customStyle="1" w:styleId="CommentTextChar">
    <w:name w:val="Comment Text Char"/>
    <w:basedOn w:val="DefaultParagraphFont"/>
    <w:link w:val="CommentText"/>
    <w:uiPriority w:val="99"/>
    <w:locked/>
    <w:rsid w:val="00161B02"/>
    <w:rPr>
      <w:lang w:eastAsia="en-US"/>
    </w:rPr>
  </w:style>
  <w:style w:type="paragraph" w:styleId="CommentSubject">
    <w:name w:val="annotation subject"/>
    <w:basedOn w:val="CommentText"/>
    <w:next w:val="CommentText"/>
    <w:link w:val="CommentSubjectChar"/>
    <w:uiPriority w:val="99"/>
    <w:rsid w:val="00161B02"/>
    <w:rPr>
      <w:b/>
      <w:bCs/>
    </w:rPr>
  </w:style>
  <w:style w:type="character" w:customStyle="1" w:styleId="CommentSubjectChar">
    <w:name w:val="Comment Subject Char"/>
    <w:basedOn w:val="CommentTextChar"/>
    <w:link w:val="CommentSubject"/>
    <w:uiPriority w:val="99"/>
    <w:locked/>
    <w:rsid w:val="00161B02"/>
    <w:rPr>
      <w:b/>
      <w:lang w:eastAsia="en-US"/>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Footnote Refernece,callou,SUPERS"/>
    <w:link w:val="Appelnotedebasde"/>
    <w:uiPriority w:val="99"/>
    <w:qFormat/>
    <w:locked/>
    <w:rsid w:val="004D71B4"/>
    <w:rPr>
      <w:rFonts w:ascii="Times New Roman" w:hAnsi="Times New Roman"/>
      <w:sz w:val="18"/>
      <w:vertAlign w:val="superscript"/>
    </w:rPr>
  </w:style>
  <w:style w:type="paragraph" w:customStyle="1" w:styleId="SingleTxt">
    <w:name w:val="__Single Txt"/>
    <w:basedOn w:val="Normal"/>
    <w:rsid w:val="00C36CA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heme="minorEastAsia"/>
      <w:spacing w:val="4"/>
      <w:w w:val="103"/>
      <w:kern w:val="14"/>
      <w:sz w:val="20"/>
      <w:szCs w:val="20"/>
      <w:lang w:val="en-GB" w:eastAsia="zh-CN" w:bidi="ar-SA"/>
    </w:rPr>
  </w:style>
  <w:style w:type="paragraph" w:styleId="Revision">
    <w:name w:val="Revision"/>
    <w:hidden/>
    <w:uiPriority w:val="99"/>
    <w:semiHidden/>
    <w:rsid w:val="00AB5D75"/>
    <w:rPr>
      <w:sz w:val="20"/>
      <w:szCs w:val="20"/>
      <w:lang w:val="en-GB" w:eastAsia="en-US"/>
    </w:rPr>
  </w:style>
  <w:style w:type="character" w:customStyle="1" w:styleId="s32a37344">
    <w:name w:val="s32a37344"/>
    <w:rsid w:val="00956A6B"/>
  </w:style>
  <w:style w:type="character" w:styleId="Emphasis">
    <w:name w:val="Emphasis"/>
    <w:basedOn w:val="DefaultParagraphFont"/>
    <w:uiPriority w:val="20"/>
    <w:qFormat/>
    <w:locked/>
    <w:rsid w:val="00F301C6"/>
    <w:rPr>
      <w:i/>
      <w:iCs/>
    </w:rPr>
  </w:style>
  <w:style w:type="character" w:customStyle="1" w:styleId="apple-converted-space">
    <w:name w:val="apple-converted-space"/>
    <w:basedOn w:val="DefaultParagraphFont"/>
    <w:rsid w:val="00F301C6"/>
  </w:style>
  <w:style w:type="paragraph" w:styleId="NormalWeb">
    <w:name w:val="Normal (Web)"/>
    <w:basedOn w:val="Normal"/>
    <w:uiPriority w:val="99"/>
    <w:semiHidden/>
    <w:unhideWhenUsed/>
    <w:rsid w:val="00D73357"/>
    <w:pPr>
      <w:spacing w:before="100" w:beforeAutospacing="1" w:after="100" w:afterAutospacing="1"/>
    </w:pPr>
    <w:rPr>
      <w:lang w:val="en-GB" w:eastAsia="en-GB" w:bidi="ar-SA"/>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FD4BC3"/>
    <w:pPr>
      <w:spacing w:before="120" w:after="120"/>
    </w:pPr>
    <w:rPr>
      <w:sz w:val="18"/>
      <w:szCs w:val="22"/>
      <w:vertAlign w:val="superscript"/>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95396">
      <w:bodyDiv w:val="1"/>
      <w:marLeft w:val="0"/>
      <w:marRight w:val="0"/>
      <w:marTop w:val="0"/>
      <w:marBottom w:val="0"/>
      <w:divBdr>
        <w:top w:val="none" w:sz="0" w:space="0" w:color="auto"/>
        <w:left w:val="none" w:sz="0" w:space="0" w:color="auto"/>
        <w:bottom w:val="none" w:sz="0" w:space="0" w:color="auto"/>
        <w:right w:val="none" w:sz="0" w:space="0" w:color="auto"/>
      </w:divBdr>
    </w:div>
    <w:div w:id="328750009">
      <w:bodyDiv w:val="1"/>
      <w:marLeft w:val="0"/>
      <w:marRight w:val="0"/>
      <w:marTop w:val="0"/>
      <w:marBottom w:val="0"/>
      <w:divBdr>
        <w:top w:val="none" w:sz="0" w:space="0" w:color="auto"/>
        <w:left w:val="none" w:sz="0" w:space="0" w:color="auto"/>
        <w:bottom w:val="none" w:sz="0" w:space="0" w:color="auto"/>
        <w:right w:val="none" w:sz="0" w:space="0" w:color="auto"/>
      </w:divBdr>
      <w:divsChild>
        <w:div w:id="666134112">
          <w:marLeft w:val="0"/>
          <w:marRight w:val="0"/>
          <w:marTop w:val="0"/>
          <w:marBottom w:val="0"/>
          <w:divBdr>
            <w:top w:val="none" w:sz="0" w:space="0" w:color="auto"/>
            <w:left w:val="none" w:sz="0" w:space="0" w:color="auto"/>
            <w:bottom w:val="none" w:sz="0" w:space="0" w:color="auto"/>
            <w:right w:val="none" w:sz="0" w:space="0" w:color="auto"/>
          </w:divBdr>
        </w:div>
      </w:divsChild>
    </w:div>
    <w:div w:id="357968925">
      <w:bodyDiv w:val="1"/>
      <w:marLeft w:val="0"/>
      <w:marRight w:val="0"/>
      <w:marTop w:val="0"/>
      <w:marBottom w:val="0"/>
      <w:divBdr>
        <w:top w:val="none" w:sz="0" w:space="0" w:color="auto"/>
        <w:left w:val="none" w:sz="0" w:space="0" w:color="auto"/>
        <w:bottom w:val="none" w:sz="0" w:space="0" w:color="auto"/>
        <w:right w:val="none" w:sz="0" w:space="0" w:color="auto"/>
      </w:divBdr>
    </w:div>
    <w:div w:id="527064858">
      <w:marLeft w:val="0"/>
      <w:marRight w:val="0"/>
      <w:marTop w:val="0"/>
      <w:marBottom w:val="0"/>
      <w:divBdr>
        <w:top w:val="none" w:sz="0" w:space="0" w:color="auto"/>
        <w:left w:val="none" w:sz="0" w:space="0" w:color="auto"/>
        <w:bottom w:val="none" w:sz="0" w:space="0" w:color="auto"/>
        <w:right w:val="none" w:sz="0" w:space="0" w:color="auto"/>
      </w:divBdr>
    </w:div>
    <w:div w:id="527064859">
      <w:marLeft w:val="0"/>
      <w:marRight w:val="0"/>
      <w:marTop w:val="0"/>
      <w:marBottom w:val="0"/>
      <w:divBdr>
        <w:top w:val="none" w:sz="0" w:space="0" w:color="auto"/>
        <w:left w:val="none" w:sz="0" w:space="0" w:color="auto"/>
        <w:bottom w:val="none" w:sz="0" w:space="0" w:color="auto"/>
        <w:right w:val="none" w:sz="0" w:space="0" w:color="auto"/>
      </w:divBdr>
      <w:divsChild>
        <w:div w:id="527064865">
          <w:marLeft w:val="0"/>
          <w:marRight w:val="0"/>
          <w:marTop w:val="0"/>
          <w:marBottom w:val="0"/>
          <w:divBdr>
            <w:top w:val="none" w:sz="0" w:space="0" w:color="auto"/>
            <w:left w:val="single" w:sz="6" w:space="0" w:color="414141"/>
            <w:bottom w:val="none" w:sz="0" w:space="0" w:color="auto"/>
            <w:right w:val="single" w:sz="6" w:space="0" w:color="414141"/>
          </w:divBdr>
          <w:divsChild>
            <w:div w:id="527064861">
              <w:marLeft w:val="0"/>
              <w:marRight w:val="0"/>
              <w:marTop w:val="0"/>
              <w:marBottom w:val="0"/>
              <w:divBdr>
                <w:top w:val="none" w:sz="0" w:space="0" w:color="auto"/>
                <w:left w:val="none" w:sz="0" w:space="0" w:color="auto"/>
                <w:bottom w:val="none" w:sz="0" w:space="0" w:color="auto"/>
                <w:right w:val="none" w:sz="0" w:space="0" w:color="auto"/>
              </w:divBdr>
              <w:divsChild>
                <w:div w:id="5270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4860">
      <w:marLeft w:val="0"/>
      <w:marRight w:val="0"/>
      <w:marTop w:val="0"/>
      <w:marBottom w:val="0"/>
      <w:divBdr>
        <w:top w:val="none" w:sz="0" w:space="0" w:color="auto"/>
        <w:left w:val="none" w:sz="0" w:space="0" w:color="auto"/>
        <w:bottom w:val="none" w:sz="0" w:space="0" w:color="auto"/>
        <w:right w:val="none" w:sz="0" w:space="0" w:color="auto"/>
      </w:divBdr>
    </w:div>
    <w:div w:id="527064862">
      <w:marLeft w:val="0"/>
      <w:marRight w:val="0"/>
      <w:marTop w:val="0"/>
      <w:marBottom w:val="0"/>
      <w:divBdr>
        <w:top w:val="none" w:sz="0" w:space="0" w:color="auto"/>
        <w:left w:val="none" w:sz="0" w:space="0" w:color="auto"/>
        <w:bottom w:val="none" w:sz="0" w:space="0" w:color="auto"/>
        <w:right w:val="none" w:sz="0" w:space="0" w:color="auto"/>
      </w:divBdr>
    </w:div>
    <w:div w:id="527064863">
      <w:marLeft w:val="0"/>
      <w:marRight w:val="0"/>
      <w:marTop w:val="0"/>
      <w:marBottom w:val="0"/>
      <w:divBdr>
        <w:top w:val="none" w:sz="0" w:space="0" w:color="auto"/>
        <w:left w:val="none" w:sz="0" w:space="0" w:color="auto"/>
        <w:bottom w:val="none" w:sz="0" w:space="0" w:color="auto"/>
        <w:right w:val="none" w:sz="0" w:space="0" w:color="auto"/>
      </w:divBdr>
    </w:div>
    <w:div w:id="527064864">
      <w:marLeft w:val="0"/>
      <w:marRight w:val="0"/>
      <w:marTop w:val="0"/>
      <w:marBottom w:val="0"/>
      <w:divBdr>
        <w:top w:val="none" w:sz="0" w:space="0" w:color="auto"/>
        <w:left w:val="none" w:sz="0" w:space="0" w:color="auto"/>
        <w:bottom w:val="none" w:sz="0" w:space="0" w:color="auto"/>
        <w:right w:val="none" w:sz="0" w:space="0" w:color="auto"/>
      </w:divBdr>
    </w:div>
    <w:div w:id="527064866">
      <w:marLeft w:val="0"/>
      <w:marRight w:val="0"/>
      <w:marTop w:val="0"/>
      <w:marBottom w:val="0"/>
      <w:divBdr>
        <w:top w:val="none" w:sz="0" w:space="0" w:color="auto"/>
        <w:left w:val="none" w:sz="0" w:space="0" w:color="auto"/>
        <w:bottom w:val="none" w:sz="0" w:space="0" w:color="auto"/>
        <w:right w:val="none" w:sz="0" w:space="0" w:color="auto"/>
      </w:divBdr>
    </w:div>
    <w:div w:id="527064868">
      <w:marLeft w:val="0"/>
      <w:marRight w:val="0"/>
      <w:marTop w:val="0"/>
      <w:marBottom w:val="0"/>
      <w:divBdr>
        <w:top w:val="none" w:sz="0" w:space="0" w:color="auto"/>
        <w:left w:val="none" w:sz="0" w:space="0" w:color="auto"/>
        <w:bottom w:val="none" w:sz="0" w:space="0" w:color="auto"/>
        <w:right w:val="none" w:sz="0" w:space="0" w:color="auto"/>
      </w:divBdr>
    </w:div>
    <w:div w:id="527064869">
      <w:marLeft w:val="0"/>
      <w:marRight w:val="0"/>
      <w:marTop w:val="0"/>
      <w:marBottom w:val="0"/>
      <w:divBdr>
        <w:top w:val="none" w:sz="0" w:space="0" w:color="auto"/>
        <w:left w:val="none" w:sz="0" w:space="0" w:color="auto"/>
        <w:bottom w:val="none" w:sz="0" w:space="0" w:color="auto"/>
        <w:right w:val="none" w:sz="0" w:space="0" w:color="auto"/>
      </w:divBdr>
    </w:div>
    <w:div w:id="733359147">
      <w:bodyDiv w:val="1"/>
      <w:marLeft w:val="0"/>
      <w:marRight w:val="0"/>
      <w:marTop w:val="0"/>
      <w:marBottom w:val="0"/>
      <w:divBdr>
        <w:top w:val="none" w:sz="0" w:space="0" w:color="auto"/>
        <w:left w:val="none" w:sz="0" w:space="0" w:color="auto"/>
        <w:bottom w:val="none" w:sz="0" w:space="0" w:color="auto"/>
        <w:right w:val="none" w:sz="0" w:space="0" w:color="auto"/>
      </w:divBdr>
    </w:div>
    <w:div w:id="939145261">
      <w:bodyDiv w:val="1"/>
      <w:marLeft w:val="0"/>
      <w:marRight w:val="0"/>
      <w:marTop w:val="0"/>
      <w:marBottom w:val="0"/>
      <w:divBdr>
        <w:top w:val="none" w:sz="0" w:space="0" w:color="auto"/>
        <w:left w:val="none" w:sz="0" w:space="0" w:color="auto"/>
        <w:bottom w:val="none" w:sz="0" w:space="0" w:color="auto"/>
        <w:right w:val="none" w:sz="0" w:space="0" w:color="auto"/>
      </w:divBdr>
    </w:div>
    <w:div w:id="1227838613">
      <w:bodyDiv w:val="1"/>
      <w:marLeft w:val="0"/>
      <w:marRight w:val="0"/>
      <w:marTop w:val="0"/>
      <w:marBottom w:val="0"/>
      <w:divBdr>
        <w:top w:val="none" w:sz="0" w:space="0" w:color="auto"/>
        <w:left w:val="none" w:sz="0" w:space="0" w:color="auto"/>
        <w:bottom w:val="none" w:sz="0" w:space="0" w:color="auto"/>
        <w:right w:val="none" w:sz="0" w:space="0" w:color="auto"/>
      </w:divBdr>
    </w:div>
    <w:div w:id="1427186244">
      <w:bodyDiv w:val="1"/>
      <w:marLeft w:val="0"/>
      <w:marRight w:val="0"/>
      <w:marTop w:val="0"/>
      <w:marBottom w:val="0"/>
      <w:divBdr>
        <w:top w:val="none" w:sz="0" w:space="0" w:color="auto"/>
        <w:left w:val="none" w:sz="0" w:space="0" w:color="auto"/>
        <w:bottom w:val="none" w:sz="0" w:space="0" w:color="auto"/>
        <w:right w:val="none" w:sz="0" w:space="0" w:color="auto"/>
      </w:divBdr>
    </w:div>
    <w:div w:id="1438066757">
      <w:bodyDiv w:val="1"/>
      <w:marLeft w:val="0"/>
      <w:marRight w:val="0"/>
      <w:marTop w:val="0"/>
      <w:marBottom w:val="0"/>
      <w:divBdr>
        <w:top w:val="none" w:sz="0" w:space="0" w:color="auto"/>
        <w:left w:val="none" w:sz="0" w:space="0" w:color="auto"/>
        <w:bottom w:val="none" w:sz="0" w:space="0" w:color="auto"/>
        <w:right w:val="none" w:sz="0" w:space="0" w:color="auto"/>
      </w:divBdr>
    </w:div>
    <w:div w:id="1629242766">
      <w:bodyDiv w:val="1"/>
      <w:marLeft w:val="0"/>
      <w:marRight w:val="0"/>
      <w:marTop w:val="0"/>
      <w:marBottom w:val="0"/>
      <w:divBdr>
        <w:top w:val="none" w:sz="0" w:space="0" w:color="auto"/>
        <w:left w:val="none" w:sz="0" w:space="0" w:color="auto"/>
        <w:bottom w:val="none" w:sz="0" w:space="0" w:color="auto"/>
        <w:right w:val="none" w:sz="0" w:space="0" w:color="auto"/>
      </w:divBdr>
    </w:div>
    <w:div w:id="2007242515">
      <w:bodyDiv w:val="1"/>
      <w:marLeft w:val="0"/>
      <w:marRight w:val="0"/>
      <w:marTop w:val="0"/>
      <w:marBottom w:val="0"/>
      <w:divBdr>
        <w:top w:val="none" w:sz="0" w:space="0" w:color="auto"/>
        <w:left w:val="none" w:sz="0" w:space="0" w:color="auto"/>
        <w:bottom w:val="none" w:sz="0" w:space="0" w:color="auto"/>
        <w:right w:val="none" w:sz="0" w:space="0" w:color="auto"/>
      </w:divBdr>
    </w:div>
    <w:div w:id="20672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B642-8438-4430-99C8-225DA0B7C8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7EBAB3-34BB-4C8F-868D-DFCA070D9785}">
  <ds:schemaRefs>
    <ds:schemaRef ds:uri="http://schemas.microsoft.com/sharepoint/v3/contenttype/forms"/>
  </ds:schemaRefs>
</ds:datastoreItem>
</file>

<file path=customXml/itemProps3.xml><?xml version="1.0" encoding="utf-8"?>
<ds:datastoreItem xmlns:ds="http://schemas.openxmlformats.org/officeDocument/2006/customXml" ds:itemID="{0A62B63D-F7D1-4865-A9A7-40538110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3A69F9-8D95-4F69-B884-8E6D9D7B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3019</Words>
  <Characters>17214</Characters>
  <Application>Microsoft Office Word</Application>
  <DocSecurity>0</DocSecurity>
  <Lines>143</Lines>
  <Paragraphs>40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CCPR/C/128/DR/2713/2015</vt:lpstr>
      <vt:lpstr>1610356</vt:lpstr>
      <vt:lpstr>1610356</vt:lpstr>
    </vt:vector>
  </TitlesOfParts>
  <Company>CSD</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CCPR/C/128/DR/2713/2015</dc:title>
  <dc:subject>2000926</dc:subject>
  <dc:creator>temp Neogi</dc:creator>
  <cp:keywords/>
  <dc:description/>
  <cp:lastModifiedBy>Daniella Ferreira</cp:lastModifiedBy>
  <cp:revision>2</cp:revision>
  <cp:lastPrinted>2020-12-17T08:23:00Z</cp:lastPrinted>
  <dcterms:created xsi:type="dcterms:W3CDTF">2021-04-07T11:25:00Z</dcterms:created>
  <dcterms:modified xsi:type="dcterms:W3CDTF">2021-04-07T11:25:00Z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y fmtid="{D5CDD505-2E9C-101B-9397-08002B2CF9AE}" pid="3" name="Order">
    <vt:r8>1000</vt:r8>
  </property>
</Properties>
</file>