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0"/>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8D1724" w:rsidRPr="00F44035" w14:paraId="6A2AC0C1" w14:textId="77777777" w:rsidTr="008C1845">
        <w:trPr>
          <w:cantSplit/>
          <w:trHeight w:hRule="exact" w:val="851"/>
        </w:trPr>
        <w:tc>
          <w:tcPr>
            <w:tcW w:w="1276" w:type="dxa"/>
            <w:tcBorders>
              <w:bottom w:val="single" w:sz="4" w:space="0" w:color="auto"/>
            </w:tcBorders>
            <w:vAlign w:val="bottom"/>
          </w:tcPr>
          <w:p w14:paraId="7DC7474F" w14:textId="77777777" w:rsidR="00FB6500" w:rsidRPr="00FB6500" w:rsidRDefault="00FB6500" w:rsidP="00FB6500">
            <w:pPr>
              <w:spacing w:after="80"/>
            </w:pPr>
          </w:p>
        </w:tc>
        <w:tc>
          <w:tcPr>
            <w:tcW w:w="2268" w:type="dxa"/>
            <w:tcBorders>
              <w:bottom w:val="single" w:sz="4" w:space="0" w:color="auto"/>
            </w:tcBorders>
            <w:vAlign w:val="bottom"/>
          </w:tcPr>
          <w:p w14:paraId="61079696" w14:textId="77777777" w:rsidR="00FB6500" w:rsidRPr="00FB6500" w:rsidRDefault="00FB6500" w:rsidP="00FB6500">
            <w:pPr>
              <w:spacing w:after="80" w:line="300" w:lineRule="exact"/>
              <w:rPr>
                <w:b/>
                <w:sz w:val="24"/>
                <w:szCs w:val="24"/>
              </w:rPr>
            </w:pPr>
            <w:r w:rsidRPr="00FB6500">
              <w:rPr>
                <w:sz w:val="28"/>
                <w:szCs w:val="28"/>
              </w:rPr>
              <w:t>United Nations</w:t>
            </w:r>
          </w:p>
        </w:tc>
        <w:tc>
          <w:tcPr>
            <w:tcW w:w="6095" w:type="dxa"/>
            <w:gridSpan w:val="2"/>
            <w:tcBorders>
              <w:bottom w:val="single" w:sz="4" w:space="0" w:color="auto"/>
            </w:tcBorders>
            <w:vAlign w:val="bottom"/>
          </w:tcPr>
          <w:p w14:paraId="7B28E01D" w14:textId="50FA79E6" w:rsidR="00FB6500" w:rsidRPr="00060188" w:rsidRDefault="00FB6500" w:rsidP="00894CB6">
            <w:pPr>
              <w:suppressAutoHyphens w:val="0"/>
              <w:spacing w:after="20"/>
              <w:jc w:val="right"/>
              <w:rPr>
                <w:color w:val="1D1B11" w:themeColor="background2" w:themeShade="1A"/>
                <w:sz w:val="40"/>
              </w:rPr>
            </w:pPr>
            <w:r w:rsidRPr="00060188">
              <w:rPr>
                <w:color w:val="1D1B11" w:themeColor="background2" w:themeShade="1A"/>
                <w:sz w:val="40"/>
              </w:rPr>
              <w:t>CCPR</w:t>
            </w:r>
            <w:r w:rsidRPr="00060188">
              <w:rPr>
                <w:color w:val="1D1B11" w:themeColor="background2" w:themeShade="1A"/>
              </w:rPr>
              <w:t>/C/</w:t>
            </w:r>
            <w:r w:rsidR="008D1724" w:rsidRPr="00060188">
              <w:rPr>
                <w:color w:val="1D1B11" w:themeColor="background2" w:themeShade="1A"/>
              </w:rPr>
              <w:t>1</w:t>
            </w:r>
            <w:r w:rsidR="00894CB6">
              <w:rPr>
                <w:color w:val="1D1B11" w:themeColor="background2" w:themeShade="1A"/>
              </w:rPr>
              <w:t>30</w:t>
            </w:r>
            <w:r w:rsidRPr="00060188">
              <w:rPr>
                <w:color w:val="1D1B11" w:themeColor="background2" w:themeShade="1A"/>
              </w:rPr>
              <w:t>/D/</w:t>
            </w:r>
            <w:r w:rsidR="008D1724" w:rsidRPr="00060188">
              <w:rPr>
                <w:color w:val="1D1B11" w:themeColor="background2" w:themeShade="1A"/>
              </w:rPr>
              <w:t>2</w:t>
            </w:r>
            <w:r w:rsidR="00060188" w:rsidRPr="00060188">
              <w:rPr>
                <w:color w:val="1D1B11" w:themeColor="background2" w:themeShade="1A"/>
              </w:rPr>
              <w:t>4</w:t>
            </w:r>
            <w:r w:rsidR="00060B0C">
              <w:rPr>
                <w:color w:val="1D1B11" w:themeColor="background2" w:themeShade="1A"/>
              </w:rPr>
              <w:t>18</w:t>
            </w:r>
            <w:r w:rsidRPr="00060188">
              <w:rPr>
                <w:color w:val="1D1B11" w:themeColor="background2" w:themeShade="1A"/>
              </w:rPr>
              <w:t>/</w:t>
            </w:r>
            <w:r w:rsidR="00060188" w:rsidRPr="00060188">
              <w:rPr>
                <w:color w:val="1D1B11" w:themeColor="background2" w:themeShade="1A"/>
              </w:rPr>
              <w:t>2014</w:t>
            </w:r>
          </w:p>
        </w:tc>
      </w:tr>
      <w:tr w:rsidR="00FB6500" w:rsidRPr="00FB6500" w14:paraId="0EB73B65" w14:textId="77777777" w:rsidTr="008C1845">
        <w:trPr>
          <w:cantSplit/>
          <w:trHeight w:hRule="exact" w:val="2835"/>
        </w:trPr>
        <w:tc>
          <w:tcPr>
            <w:tcW w:w="1276" w:type="dxa"/>
            <w:tcBorders>
              <w:top w:val="single" w:sz="4" w:space="0" w:color="auto"/>
              <w:bottom w:val="single" w:sz="12" w:space="0" w:color="auto"/>
            </w:tcBorders>
          </w:tcPr>
          <w:p w14:paraId="05318EA6" w14:textId="77777777" w:rsidR="00FB6500" w:rsidRPr="00FB6500" w:rsidRDefault="00FB6500" w:rsidP="00FB6500">
            <w:pPr>
              <w:spacing w:before="120"/>
            </w:pPr>
            <w:r w:rsidRPr="00FB6500">
              <w:rPr>
                <w:noProof/>
                <w:lang w:eastAsia="en-GB"/>
              </w:rPr>
              <w:drawing>
                <wp:inline distT="0" distB="0" distL="0" distR="0" wp14:anchorId="2CBCBA03" wp14:editId="5F38C0BB">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B874F2" w14:textId="2E2DC316" w:rsidR="00FB6500" w:rsidRDefault="00FB6500" w:rsidP="00FB6500">
            <w:pPr>
              <w:spacing w:before="120" w:line="380" w:lineRule="exact"/>
              <w:rPr>
                <w:b/>
                <w:sz w:val="34"/>
                <w:szCs w:val="40"/>
              </w:rPr>
            </w:pPr>
            <w:r w:rsidRPr="00FB6500">
              <w:rPr>
                <w:b/>
                <w:sz w:val="34"/>
                <w:szCs w:val="40"/>
              </w:rPr>
              <w:t>International Covenant on</w:t>
            </w:r>
            <w:r w:rsidRPr="00FB6500">
              <w:rPr>
                <w:b/>
                <w:sz w:val="34"/>
                <w:szCs w:val="40"/>
              </w:rPr>
              <w:br/>
              <w:t>Civil and Political Rights</w:t>
            </w:r>
          </w:p>
          <w:p w14:paraId="2CA1E4C8" w14:textId="77777777" w:rsidR="001B274C" w:rsidRDefault="001B274C" w:rsidP="00FB6500">
            <w:pPr>
              <w:spacing w:before="120" w:line="380" w:lineRule="exact"/>
              <w:rPr>
                <w:b/>
                <w:sz w:val="34"/>
                <w:szCs w:val="40"/>
              </w:rPr>
            </w:pPr>
          </w:p>
          <w:p w14:paraId="036743B0" w14:textId="77777777" w:rsidR="001B274C" w:rsidRDefault="001B274C" w:rsidP="001B274C">
            <w:pPr>
              <w:spacing w:before="120" w:line="380" w:lineRule="exact"/>
              <w:rPr>
                <w:b/>
                <w:sz w:val="34"/>
                <w:szCs w:val="34"/>
              </w:rPr>
            </w:pPr>
            <w:r w:rsidRPr="000921E9">
              <w:rPr>
                <w:sz w:val="34"/>
                <w:szCs w:val="40"/>
              </w:rPr>
              <w:t>Advance unedited version</w:t>
            </w:r>
          </w:p>
          <w:p w14:paraId="593A244F" w14:textId="445CEBB1" w:rsidR="001B274C" w:rsidRPr="00FB6500" w:rsidRDefault="001B274C" w:rsidP="00FB6500">
            <w:pPr>
              <w:spacing w:before="120" w:line="380" w:lineRule="exact"/>
              <w:rPr>
                <w:sz w:val="34"/>
              </w:rPr>
            </w:pPr>
          </w:p>
        </w:tc>
        <w:tc>
          <w:tcPr>
            <w:tcW w:w="2835" w:type="dxa"/>
            <w:tcBorders>
              <w:top w:val="single" w:sz="4" w:space="0" w:color="auto"/>
              <w:bottom w:val="single" w:sz="12" w:space="0" w:color="auto"/>
            </w:tcBorders>
          </w:tcPr>
          <w:p w14:paraId="268FD8C5" w14:textId="194A63DF" w:rsidR="00B54943" w:rsidRPr="00B54943" w:rsidRDefault="00B54943" w:rsidP="00894CB6">
            <w:pPr>
              <w:spacing w:before="240" w:line="240" w:lineRule="exact"/>
            </w:pPr>
            <w:r w:rsidRPr="00B54943">
              <w:t xml:space="preserve">Distr.: </w:t>
            </w:r>
            <w:r w:rsidR="00894CB6">
              <w:rPr>
                <w:lang w:val="en-US"/>
              </w:rPr>
              <w:t>General</w:t>
            </w:r>
          </w:p>
          <w:p w14:paraId="777BD0E2" w14:textId="4F20E378" w:rsidR="00B54943" w:rsidRPr="00B54943" w:rsidRDefault="00894CB6" w:rsidP="00B54943">
            <w:pPr>
              <w:spacing w:line="240" w:lineRule="exact"/>
            </w:pPr>
            <w:r>
              <w:t>18 December</w:t>
            </w:r>
            <w:r w:rsidR="00FD58CC">
              <w:t xml:space="preserve"> 2020</w:t>
            </w:r>
          </w:p>
          <w:p w14:paraId="64096DB4" w14:textId="77777777" w:rsidR="00FB6500" w:rsidRPr="00FB6500" w:rsidRDefault="00FB6500" w:rsidP="00FB6500">
            <w:pPr>
              <w:suppressAutoHyphens w:val="0"/>
            </w:pPr>
          </w:p>
          <w:p w14:paraId="58C2791E" w14:textId="77777777" w:rsidR="00FB6500" w:rsidRPr="00FB6500" w:rsidRDefault="00FB6500" w:rsidP="00FB6500">
            <w:pPr>
              <w:suppressAutoHyphens w:val="0"/>
            </w:pPr>
            <w:r w:rsidRPr="00FB6500">
              <w:t>Original: English</w:t>
            </w:r>
          </w:p>
          <w:p w14:paraId="37AD4EDD" w14:textId="3BC35C2B" w:rsidR="00FB6500" w:rsidRPr="00FB6500" w:rsidRDefault="00FB6500" w:rsidP="00FB6500">
            <w:pPr>
              <w:suppressAutoHyphens w:val="0"/>
            </w:pPr>
          </w:p>
        </w:tc>
      </w:tr>
    </w:tbl>
    <w:p w14:paraId="266E53A1" w14:textId="77777777" w:rsidR="00FB6500" w:rsidRPr="00FD58CC" w:rsidRDefault="00FB6500" w:rsidP="00FB6500">
      <w:pPr>
        <w:spacing w:before="120"/>
        <w:rPr>
          <w:b/>
          <w:bCs/>
          <w:sz w:val="24"/>
        </w:rPr>
      </w:pPr>
      <w:r w:rsidRPr="00FD58CC">
        <w:rPr>
          <w:b/>
          <w:bCs/>
          <w:sz w:val="24"/>
        </w:rPr>
        <w:t>Human Rights Committee</w:t>
      </w:r>
    </w:p>
    <w:p w14:paraId="0CFC751B" w14:textId="4558BA6E" w:rsidR="00FB6500" w:rsidRPr="005449E3" w:rsidRDefault="00FB6500" w:rsidP="001C2B11">
      <w:pPr>
        <w:pStyle w:val="HChG"/>
      </w:pPr>
      <w:r w:rsidRPr="005449E3">
        <w:tab/>
      </w:r>
      <w:r w:rsidRPr="005449E3">
        <w:tab/>
      </w:r>
      <w:r w:rsidR="00894CB6" w:rsidRPr="00894CB6">
        <w:t xml:space="preserve">Views adopted by the Committee under article 5 (4) of the Optional Protocol, concerning </w:t>
      </w:r>
      <w:r w:rsidR="00894CB6">
        <w:t>c</w:t>
      </w:r>
      <w:r w:rsidR="00894CB6" w:rsidRPr="005449E3">
        <w:t xml:space="preserve">ommunication </w:t>
      </w:r>
      <w:r w:rsidRPr="005449E3">
        <w:t>No</w:t>
      </w:r>
      <w:r w:rsidRPr="005449E3">
        <w:rPr>
          <w:color w:val="1D1B11" w:themeColor="background2" w:themeShade="1A"/>
        </w:rPr>
        <w:t xml:space="preserve">. </w:t>
      </w:r>
      <w:r w:rsidR="00FD58CC" w:rsidRPr="001F350F">
        <w:rPr>
          <w:color w:val="1D1B11" w:themeColor="background2" w:themeShade="1A"/>
        </w:rPr>
        <w:t>2418</w:t>
      </w:r>
      <w:r w:rsidR="00500036" w:rsidRPr="001F350F">
        <w:rPr>
          <w:color w:val="1D1B11" w:themeColor="background2" w:themeShade="1A"/>
        </w:rPr>
        <w:t>/</w:t>
      </w:r>
      <w:r w:rsidR="008E7A26" w:rsidRPr="001F350F">
        <w:rPr>
          <w:color w:val="1D1B11" w:themeColor="background2" w:themeShade="1A"/>
        </w:rPr>
        <w:t>2014</w:t>
      </w:r>
      <w:r w:rsidR="00894CB6" w:rsidRPr="001C2B11">
        <w:rPr>
          <w:rStyle w:val="FootnoteReference"/>
          <w:b w:val="0"/>
          <w:color w:val="1D1B11" w:themeColor="background2" w:themeShade="1A"/>
          <w:sz w:val="20"/>
          <w:vertAlign w:val="baseline"/>
        </w:rPr>
        <w:footnoteReference w:customMarkFollows="1" w:id="2"/>
        <w:t>*</w:t>
      </w:r>
      <w:r w:rsidR="00894CB6" w:rsidRPr="001C2B11">
        <w:rPr>
          <w:color w:val="1D1B11" w:themeColor="background2" w:themeShade="1A"/>
          <w:vertAlign w:val="superscript"/>
        </w:rPr>
        <w:t>,</w:t>
      </w:r>
      <w:r w:rsidR="00894CB6" w:rsidRPr="001C2B11">
        <w:rPr>
          <w:rStyle w:val="FootnoteReference"/>
          <w:b w:val="0"/>
          <w:color w:val="1D1B11" w:themeColor="background2" w:themeShade="1A"/>
          <w:sz w:val="20"/>
          <w:vertAlign w:val="baseline"/>
        </w:rPr>
        <w:footnoteReference w:customMarkFollows="1" w:id="3"/>
        <w:t>**</w:t>
      </w:r>
    </w:p>
    <w:p w14:paraId="4C254049" w14:textId="40C550EC" w:rsidR="00FB6500" w:rsidRPr="005449E3" w:rsidRDefault="00FB6500">
      <w:pPr>
        <w:keepNext/>
        <w:keepLines/>
        <w:tabs>
          <w:tab w:val="right" w:pos="851"/>
        </w:tabs>
        <w:spacing w:before="360" w:after="240" w:line="270" w:lineRule="exact"/>
        <w:ind w:left="1134" w:right="1134" w:hanging="1134"/>
        <w:rPr>
          <w:rFonts w:eastAsia="MS Mincho"/>
          <w:b/>
          <w:sz w:val="24"/>
        </w:rPr>
      </w:pPr>
      <w:r w:rsidRPr="005449E3">
        <w:rPr>
          <w:rFonts w:eastAsia="MS Mincho"/>
          <w:b/>
          <w:sz w:val="24"/>
        </w:rPr>
        <w:tab/>
      </w:r>
      <w:r w:rsidRPr="005449E3">
        <w:rPr>
          <w:rFonts w:eastAsia="MS Mincho"/>
          <w:b/>
          <w:sz w:val="24"/>
        </w:rPr>
        <w:tab/>
      </w:r>
    </w:p>
    <w:tbl>
      <w:tblPr>
        <w:tblStyle w:val="TableGrid10"/>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FB6500" w:rsidRPr="005449E3" w14:paraId="554B8506" w14:textId="77777777" w:rsidTr="008C1845">
        <w:tc>
          <w:tcPr>
            <w:tcW w:w="3119" w:type="dxa"/>
          </w:tcPr>
          <w:p w14:paraId="4C200231" w14:textId="77777777" w:rsidR="00FB6500" w:rsidRPr="005449E3" w:rsidRDefault="00FB6500" w:rsidP="00FB6500">
            <w:pPr>
              <w:spacing w:after="120"/>
              <w:rPr>
                <w:rFonts w:eastAsia="SimSun"/>
                <w:i/>
                <w:lang w:eastAsia="zh-CN"/>
              </w:rPr>
            </w:pPr>
            <w:r w:rsidRPr="005449E3">
              <w:rPr>
                <w:rFonts w:eastAsia="SimSun"/>
                <w:i/>
                <w:lang w:eastAsia="zh-CN"/>
              </w:rPr>
              <w:t>Communication submitted by:</w:t>
            </w:r>
          </w:p>
        </w:tc>
        <w:tc>
          <w:tcPr>
            <w:tcW w:w="3685" w:type="dxa"/>
          </w:tcPr>
          <w:p w14:paraId="0300EB32" w14:textId="77777777" w:rsidR="00FB6500" w:rsidRPr="005449E3" w:rsidRDefault="00060B0C" w:rsidP="00FB6500">
            <w:pPr>
              <w:spacing w:after="120"/>
              <w:rPr>
                <w:rFonts w:eastAsia="SimSun"/>
                <w:lang w:eastAsia="zh-CN"/>
              </w:rPr>
            </w:pPr>
            <w:proofErr w:type="spellStart"/>
            <w:r w:rsidRPr="00060B0C">
              <w:rPr>
                <w:rFonts w:eastAsia="SimSun"/>
                <w:lang w:eastAsia="zh-CN"/>
              </w:rPr>
              <w:t>Tazabek</w:t>
            </w:r>
            <w:proofErr w:type="spellEnd"/>
            <w:r w:rsidRPr="00060B0C">
              <w:rPr>
                <w:rFonts w:eastAsia="SimSun"/>
                <w:lang w:eastAsia="zh-CN"/>
              </w:rPr>
              <w:t xml:space="preserve"> </w:t>
            </w:r>
            <w:proofErr w:type="spellStart"/>
            <w:r w:rsidRPr="00060B0C">
              <w:rPr>
                <w:rFonts w:eastAsia="SimSun"/>
                <w:lang w:eastAsia="zh-CN"/>
              </w:rPr>
              <w:t>S</w:t>
            </w:r>
            <w:r w:rsidR="00A94D2D">
              <w:rPr>
                <w:rFonts w:eastAsia="SimSun"/>
                <w:lang w:eastAsia="zh-CN"/>
              </w:rPr>
              <w:t>ambetbai</w:t>
            </w:r>
            <w:proofErr w:type="spellEnd"/>
            <w:r w:rsidR="00A94D2D">
              <w:rPr>
                <w:rFonts w:eastAsia="SimSun"/>
                <w:lang w:eastAsia="zh-CN"/>
              </w:rPr>
              <w:t xml:space="preserve"> </w:t>
            </w:r>
            <w:r w:rsidR="00A94D2D" w:rsidRPr="00A94D2D">
              <w:rPr>
                <w:rFonts w:eastAsia="SimSun"/>
                <w:lang w:eastAsia="zh-CN"/>
              </w:rPr>
              <w:t xml:space="preserve">(represented by counsel, </w:t>
            </w:r>
            <w:proofErr w:type="spellStart"/>
            <w:r w:rsidR="00A94D2D" w:rsidRPr="00A94D2D">
              <w:rPr>
                <w:rFonts w:eastAsia="SimSun"/>
                <w:lang w:eastAsia="zh-CN"/>
              </w:rPr>
              <w:t>Bakhytzhan</w:t>
            </w:r>
            <w:proofErr w:type="spellEnd"/>
            <w:r w:rsidR="00A94D2D" w:rsidRPr="00A94D2D">
              <w:rPr>
                <w:rFonts w:eastAsia="SimSun"/>
                <w:lang w:eastAsia="zh-CN"/>
              </w:rPr>
              <w:t xml:space="preserve"> </w:t>
            </w:r>
            <w:proofErr w:type="spellStart"/>
            <w:r w:rsidR="00A94D2D" w:rsidRPr="00A94D2D">
              <w:rPr>
                <w:rFonts w:eastAsia="SimSun"/>
                <w:lang w:eastAsia="zh-CN"/>
              </w:rPr>
              <w:t>Toregozhina</w:t>
            </w:r>
            <w:proofErr w:type="spellEnd"/>
            <w:r w:rsidR="00A94D2D" w:rsidRPr="00A94D2D">
              <w:rPr>
                <w:rFonts w:eastAsia="SimSun"/>
                <w:lang w:eastAsia="zh-CN"/>
              </w:rPr>
              <w:t>)</w:t>
            </w:r>
          </w:p>
        </w:tc>
      </w:tr>
      <w:tr w:rsidR="00FB6500" w:rsidRPr="005449E3" w14:paraId="751117AB" w14:textId="77777777" w:rsidTr="008C1845">
        <w:tc>
          <w:tcPr>
            <w:tcW w:w="3119" w:type="dxa"/>
          </w:tcPr>
          <w:p w14:paraId="4D3B294C" w14:textId="77777777" w:rsidR="00FB6500" w:rsidRPr="005449E3" w:rsidRDefault="00FB6500" w:rsidP="00FB6500">
            <w:pPr>
              <w:spacing w:after="120"/>
              <w:rPr>
                <w:rFonts w:eastAsia="SimSun"/>
                <w:i/>
                <w:lang w:eastAsia="zh-CN"/>
              </w:rPr>
            </w:pPr>
            <w:r w:rsidRPr="005449E3">
              <w:rPr>
                <w:rFonts w:eastAsia="SimSun"/>
                <w:i/>
                <w:lang w:eastAsia="zh-CN"/>
              </w:rPr>
              <w:t>Alleged victim:</w:t>
            </w:r>
          </w:p>
        </w:tc>
        <w:tc>
          <w:tcPr>
            <w:tcW w:w="3685" w:type="dxa"/>
          </w:tcPr>
          <w:p w14:paraId="71AC2B96" w14:textId="77777777" w:rsidR="00FB6500" w:rsidRPr="005449E3" w:rsidRDefault="00634A7D" w:rsidP="00FB6500">
            <w:pPr>
              <w:spacing w:after="120"/>
              <w:rPr>
                <w:rFonts w:eastAsia="SimSun"/>
                <w:lang w:eastAsia="zh-CN"/>
              </w:rPr>
            </w:pPr>
            <w:r w:rsidRPr="005449E3">
              <w:rPr>
                <w:rFonts w:eastAsia="SimSun"/>
                <w:lang w:eastAsia="zh-CN"/>
              </w:rPr>
              <w:t>The author</w:t>
            </w:r>
          </w:p>
        </w:tc>
      </w:tr>
      <w:tr w:rsidR="00FB6500" w:rsidRPr="005449E3" w14:paraId="28423679" w14:textId="77777777" w:rsidTr="008C1845">
        <w:tc>
          <w:tcPr>
            <w:tcW w:w="3119" w:type="dxa"/>
          </w:tcPr>
          <w:p w14:paraId="2BC5F6D4" w14:textId="77777777" w:rsidR="00FB6500" w:rsidRPr="005449E3" w:rsidRDefault="00FB6500" w:rsidP="00FB6500">
            <w:pPr>
              <w:spacing w:after="120"/>
              <w:rPr>
                <w:rFonts w:eastAsia="SimSun"/>
                <w:i/>
                <w:lang w:eastAsia="zh-CN"/>
              </w:rPr>
            </w:pPr>
            <w:r w:rsidRPr="005449E3">
              <w:rPr>
                <w:rFonts w:eastAsia="SimSun"/>
                <w:i/>
                <w:lang w:eastAsia="zh-CN"/>
              </w:rPr>
              <w:t>State party:</w:t>
            </w:r>
          </w:p>
        </w:tc>
        <w:tc>
          <w:tcPr>
            <w:tcW w:w="3685" w:type="dxa"/>
          </w:tcPr>
          <w:p w14:paraId="649AF8A8" w14:textId="77777777" w:rsidR="00FB6500" w:rsidRPr="005449E3" w:rsidRDefault="00F44035" w:rsidP="00FB6500">
            <w:pPr>
              <w:spacing w:after="120"/>
              <w:rPr>
                <w:rFonts w:eastAsia="SimSun"/>
                <w:lang w:eastAsia="zh-CN"/>
              </w:rPr>
            </w:pPr>
            <w:r w:rsidRPr="005449E3">
              <w:rPr>
                <w:rFonts w:eastAsia="SimSun"/>
                <w:lang w:eastAsia="zh-CN"/>
              </w:rPr>
              <w:t xml:space="preserve">Kazakhstan </w:t>
            </w:r>
          </w:p>
        </w:tc>
      </w:tr>
      <w:tr w:rsidR="00FB6500" w:rsidRPr="005449E3" w14:paraId="3C49BDD4" w14:textId="77777777" w:rsidTr="008C1845">
        <w:tc>
          <w:tcPr>
            <w:tcW w:w="3119" w:type="dxa"/>
          </w:tcPr>
          <w:p w14:paraId="0F3099F3" w14:textId="77777777" w:rsidR="00FB6500" w:rsidRPr="005449E3" w:rsidRDefault="00FB6500" w:rsidP="00FB6500">
            <w:pPr>
              <w:spacing w:after="120"/>
              <w:rPr>
                <w:rFonts w:eastAsia="SimSun"/>
                <w:i/>
                <w:lang w:eastAsia="zh-CN"/>
              </w:rPr>
            </w:pPr>
            <w:r w:rsidRPr="005449E3">
              <w:rPr>
                <w:rFonts w:eastAsia="SimSun"/>
                <w:i/>
                <w:lang w:eastAsia="zh-CN"/>
              </w:rPr>
              <w:t>Date of communication:</w:t>
            </w:r>
          </w:p>
        </w:tc>
        <w:tc>
          <w:tcPr>
            <w:tcW w:w="3685" w:type="dxa"/>
          </w:tcPr>
          <w:p w14:paraId="568EB886" w14:textId="77777777" w:rsidR="00FB6500" w:rsidRPr="005449E3" w:rsidRDefault="00060B0C" w:rsidP="00060B0C">
            <w:pPr>
              <w:spacing w:after="120"/>
            </w:pPr>
            <w:r>
              <w:t>7</w:t>
            </w:r>
            <w:r w:rsidRPr="005449E3">
              <w:t xml:space="preserve"> </w:t>
            </w:r>
            <w:r>
              <w:t>December</w:t>
            </w:r>
            <w:r w:rsidRPr="005449E3">
              <w:t xml:space="preserve"> 201</w:t>
            </w:r>
            <w:r>
              <w:t>2</w:t>
            </w:r>
            <w:r w:rsidRPr="005449E3">
              <w:t xml:space="preserve"> </w:t>
            </w:r>
            <w:r w:rsidR="00FB6500" w:rsidRPr="005449E3">
              <w:t>(initial submission)</w:t>
            </w:r>
          </w:p>
        </w:tc>
      </w:tr>
      <w:tr w:rsidR="00FB6500" w:rsidRPr="005449E3" w14:paraId="03C0ACC1" w14:textId="77777777" w:rsidTr="008C1845">
        <w:tc>
          <w:tcPr>
            <w:tcW w:w="3119" w:type="dxa"/>
          </w:tcPr>
          <w:p w14:paraId="74043CFD" w14:textId="77777777" w:rsidR="00FB6500" w:rsidRPr="005449E3" w:rsidRDefault="00FB6500" w:rsidP="00FB6500">
            <w:pPr>
              <w:spacing w:after="120"/>
              <w:rPr>
                <w:rFonts w:eastAsia="SimSun"/>
                <w:i/>
                <w:lang w:eastAsia="zh-CN"/>
              </w:rPr>
            </w:pPr>
            <w:r w:rsidRPr="005449E3">
              <w:rPr>
                <w:rFonts w:eastAsia="SimSun"/>
                <w:i/>
                <w:lang w:eastAsia="zh-CN"/>
              </w:rPr>
              <w:t>Document references:</w:t>
            </w:r>
          </w:p>
        </w:tc>
        <w:tc>
          <w:tcPr>
            <w:tcW w:w="3685" w:type="dxa"/>
          </w:tcPr>
          <w:p w14:paraId="61A4A0FB" w14:textId="65CB25A9" w:rsidR="00FB6500" w:rsidRPr="005449E3" w:rsidRDefault="00F44035" w:rsidP="007709A5">
            <w:pPr>
              <w:spacing w:after="120"/>
              <w:rPr>
                <w:rFonts w:eastAsia="SimSun"/>
                <w:lang w:eastAsia="zh-CN"/>
              </w:rPr>
            </w:pPr>
            <w:r w:rsidRPr="005449E3">
              <w:t>Special Rapporteur’s rule 9</w:t>
            </w:r>
            <w:r w:rsidR="007709A5">
              <w:t>2</w:t>
            </w:r>
            <w:r w:rsidRPr="005449E3">
              <w:t xml:space="preserve"> decision, transmitted to the State party on </w:t>
            </w:r>
            <w:r w:rsidR="00060B0C">
              <w:t>6</w:t>
            </w:r>
            <w:r w:rsidR="00060B0C" w:rsidRPr="005449E3">
              <w:t xml:space="preserve"> </w:t>
            </w:r>
            <w:r w:rsidRPr="005449E3">
              <w:t>June 2014 (not issued in document form)</w:t>
            </w:r>
          </w:p>
        </w:tc>
      </w:tr>
      <w:tr w:rsidR="00FB6500" w:rsidRPr="005449E3" w14:paraId="5D51B985" w14:textId="77777777" w:rsidTr="008C1845">
        <w:tc>
          <w:tcPr>
            <w:tcW w:w="3119" w:type="dxa"/>
          </w:tcPr>
          <w:p w14:paraId="11B02D5A" w14:textId="77777777" w:rsidR="00FB6500" w:rsidRPr="005449E3" w:rsidRDefault="00FB6500" w:rsidP="00FB6500">
            <w:pPr>
              <w:spacing w:after="120"/>
              <w:rPr>
                <w:rFonts w:eastAsia="SimSun"/>
                <w:i/>
                <w:lang w:eastAsia="zh-CN"/>
              </w:rPr>
            </w:pPr>
            <w:r w:rsidRPr="005449E3">
              <w:rPr>
                <w:rFonts w:eastAsia="SimSun"/>
                <w:i/>
                <w:lang w:eastAsia="zh-CN"/>
              </w:rPr>
              <w:t>Date of adoption of Views:</w:t>
            </w:r>
          </w:p>
        </w:tc>
        <w:tc>
          <w:tcPr>
            <w:tcW w:w="3685" w:type="dxa"/>
            <w:vAlign w:val="bottom"/>
          </w:tcPr>
          <w:p w14:paraId="2EC882E1" w14:textId="6CBE39EF" w:rsidR="00FB6500" w:rsidRPr="005449E3" w:rsidRDefault="00894CB6" w:rsidP="001525FB">
            <w:pPr>
              <w:spacing w:after="120"/>
              <w:rPr>
                <w:rFonts w:eastAsia="SimSun"/>
                <w:lang w:eastAsia="zh-CN"/>
              </w:rPr>
            </w:pPr>
            <w:r>
              <w:rPr>
                <w:rFonts w:eastAsia="SimSun"/>
                <w:lang w:eastAsia="zh-CN"/>
              </w:rPr>
              <w:t>30 October</w:t>
            </w:r>
            <w:r w:rsidR="008D30DE" w:rsidRPr="005449E3">
              <w:rPr>
                <w:rFonts w:eastAsia="SimSun"/>
                <w:lang w:eastAsia="zh-CN"/>
              </w:rPr>
              <w:t>20</w:t>
            </w:r>
            <w:r w:rsidR="007709A5">
              <w:rPr>
                <w:rFonts w:eastAsia="SimSun"/>
                <w:lang w:eastAsia="zh-CN"/>
              </w:rPr>
              <w:t>20</w:t>
            </w:r>
          </w:p>
        </w:tc>
      </w:tr>
      <w:tr w:rsidR="00FB6500" w:rsidRPr="005449E3" w14:paraId="2FF654A0" w14:textId="77777777" w:rsidTr="008C1845">
        <w:tc>
          <w:tcPr>
            <w:tcW w:w="3119" w:type="dxa"/>
          </w:tcPr>
          <w:p w14:paraId="2346FD9B" w14:textId="77777777" w:rsidR="00FB6500" w:rsidRPr="005449E3" w:rsidRDefault="00FB6500" w:rsidP="00FB6500">
            <w:pPr>
              <w:spacing w:after="120"/>
              <w:rPr>
                <w:rFonts w:eastAsia="SimSun"/>
                <w:i/>
                <w:lang w:eastAsia="zh-CN"/>
              </w:rPr>
            </w:pPr>
            <w:r w:rsidRPr="005449E3">
              <w:rPr>
                <w:rFonts w:eastAsia="SimSun"/>
                <w:i/>
                <w:iCs/>
                <w:lang w:eastAsia="zh-CN"/>
              </w:rPr>
              <w:t>Subject matter:</w:t>
            </w:r>
          </w:p>
        </w:tc>
        <w:tc>
          <w:tcPr>
            <w:tcW w:w="3685" w:type="dxa"/>
          </w:tcPr>
          <w:p w14:paraId="757BF86D" w14:textId="77777777" w:rsidR="00FB6500" w:rsidRPr="005449E3" w:rsidRDefault="00060B0C" w:rsidP="00060B0C">
            <w:pPr>
              <w:spacing w:after="120"/>
            </w:pPr>
            <w:r w:rsidRPr="00060B0C">
              <w:t xml:space="preserve">Apprehension and conviction for an administrative violation and sentencing to a fine for </w:t>
            </w:r>
            <w:r>
              <w:t>participating</w:t>
            </w:r>
            <w:r w:rsidRPr="00060B0C">
              <w:t xml:space="preserve"> </w:t>
            </w:r>
            <w:r w:rsidR="0048041F">
              <w:t xml:space="preserve">in </w:t>
            </w:r>
            <w:r w:rsidRPr="00060B0C">
              <w:t>a</w:t>
            </w:r>
            <w:r w:rsidR="0048041F">
              <w:t>n</w:t>
            </w:r>
            <w:r w:rsidRPr="00060B0C">
              <w:t xml:space="preserve"> unauthorised mass event</w:t>
            </w:r>
          </w:p>
        </w:tc>
      </w:tr>
      <w:tr w:rsidR="00FB6500" w:rsidRPr="005449E3" w14:paraId="01D9AE5F" w14:textId="77777777" w:rsidTr="008C1845">
        <w:tc>
          <w:tcPr>
            <w:tcW w:w="3119" w:type="dxa"/>
          </w:tcPr>
          <w:p w14:paraId="18194EAD" w14:textId="77777777" w:rsidR="00FB6500" w:rsidRPr="005449E3" w:rsidRDefault="00FB6500" w:rsidP="00FB6500">
            <w:pPr>
              <w:spacing w:after="120"/>
              <w:rPr>
                <w:rFonts w:eastAsia="SimSun"/>
                <w:i/>
                <w:iCs/>
                <w:lang w:eastAsia="zh-CN"/>
              </w:rPr>
            </w:pPr>
            <w:r w:rsidRPr="005449E3">
              <w:rPr>
                <w:rFonts w:eastAsia="SimSun"/>
                <w:i/>
                <w:iCs/>
                <w:lang w:eastAsia="zh-CN"/>
              </w:rPr>
              <w:t>Procedural issues</w:t>
            </w:r>
            <w:r w:rsidRPr="005449E3">
              <w:rPr>
                <w:rFonts w:eastAsia="SimSun"/>
                <w:i/>
                <w:lang w:eastAsia="zh-CN"/>
              </w:rPr>
              <w:t>:</w:t>
            </w:r>
          </w:p>
        </w:tc>
        <w:tc>
          <w:tcPr>
            <w:tcW w:w="3685" w:type="dxa"/>
          </w:tcPr>
          <w:p w14:paraId="1DEC0071" w14:textId="77777777" w:rsidR="00FB6500" w:rsidRPr="005449E3" w:rsidRDefault="00060B0C" w:rsidP="00FB6500">
            <w:pPr>
              <w:spacing w:after="120"/>
              <w:rPr>
                <w:rFonts w:eastAsia="SimSun"/>
                <w:lang w:eastAsia="zh-CN"/>
              </w:rPr>
            </w:pPr>
            <w:r w:rsidRPr="00060B0C">
              <w:t>Exhaustion of domestic remedies; substantiation of claims.</w:t>
            </w:r>
          </w:p>
        </w:tc>
      </w:tr>
      <w:tr w:rsidR="00FB6500" w:rsidRPr="005449E3" w14:paraId="38C57747" w14:textId="77777777" w:rsidTr="008C1845">
        <w:tc>
          <w:tcPr>
            <w:tcW w:w="3119" w:type="dxa"/>
          </w:tcPr>
          <w:p w14:paraId="17031249" w14:textId="77777777" w:rsidR="00FB6500" w:rsidRPr="005449E3" w:rsidRDefault="00FB6500" w:rsidP="00FB6500">
            <w:pPr>
              <w:keepNext/>
              <w:spacing w:after="120"/>
              <w:rPr>
                <w:rFonts w:eastAsia="SimSun"/>
                <w:i/>
                <w:iCs/>
                <w:lang w:eastAsia="zh-CN"/>
              </w:rPr>
            </w:pPr>
            <w:r w:rsidRPr="005449E3">
              <w:rPr>
                <w:rFonts w:eastAsia="SimSun"/>
                <w:i/>
                <w:iCs/>
                <w:lang w:eastAsia="zh-CN"/>
              </w:rPr>
              <w:t>Substantive issues:</w:t>
            </w:r>
          </w:p>
        </w:tc>
        <w:tc>
          <w:tcPr>
            <w:tcW w:w="3685" w:type="dxa"/>
          </w:tcPr>
          <w:p w14:paraId="6BE12E98" w14:textId="77777777" w:rsidR="00FB6500" w:rsidRPr="005449E3" w:rsidRDefault="00A031D5" w:rsidP="00060B0C">
            <w:pPr>
              <w:keepNext/>
              <w:spacing w:after="120"/>
            </w:pPr>
            <w:r w:rsidRPr="005449E3">
              <w:t>F</w:t>
            </w:r>
            <w:r w:rsidR="00B54943" w:rsidRPr="005449E3">
              <w:t>reedom of association</w:t>
            </w:r>
            <w:r w:rsidR="002F0CEE">
              <w:t>, freedom of expression</w:t>
            </w:r>
          </w:p>
        </w:tc>
      </w:tr>
      <w:tr w:rsidR="00FB6500" w:rsidRPr="005449E3" w14:paraId="0BDDC7FA" w14:textId="77777777" w:rsidTr="008C1845">
        <w:tc>
          <w:tcPr>
            <w:tcW w:w="3119" w:type="dxa"/>
          </w:tcPr>
          <w:p w14:paraId="0A7DB497" w14:textId="77777777" w:rsidR="00FB6500" w:rsidRPr="005449E3" w:rsidRDefault="00FB6500" w:rsidP="00FB6500">
            <w:pPr>
              <w:spacing w:after="120"/>
              <w:rPr>
                <w:rFonts w:eastAsia="SimSun"/>
                <w:i/>
                <w:iCs/>
                <w:lang w:eastAsia="zh-CN"/>
              </w:rPr>
            </w:pPr>
            <w:r w:rsidRPr="005449E3">
              <w:rPr>
                <w:rFonts w:eastAsia="SimSun"/>
                <w:i/>
                <w:iCs/>
                <w:lang w:eastAsia="zh-CN"/>
              </w:rPr>
              <w:t>Articles of the Covenant</w:t>
            </w:r>
            <w:r w:rsidRPr="005449E3">
              <w:rPr>
                <w:rFonts w:eastAsia="SimSun"/>
                <w:i/>
                <w:lang w:eastAsia="zh-CN"/>
              </w:rPr>
              <w:t>:</w:t>
            </w:r>
          </w:p>
        </w:tc>
        <w:tc>
          <w:tcPr>
            <w:tcW w:w="3685" w:type="dxa"/>
          </w:tcPr>
          <w:p w14:paraId="1385B783" w14:textId="77777777" w:rsidR="00FB6500" w:rsidRPr="005449E3" w:rsidRDefault="00634A7D" w:rsidP="00FB6500">
            <w:pPr>
              <w:spacing w:after="120"/>
              <w:rPr>
                <w:rFonts w:eastAsia="SimSun"/>
                <w:lang w:eastAsia="zh-CN"/>
              </w:rPr>
            </w:pPr>
            <w:r w:rsidRPr="005449E3">
              <w:rPr>
                <w:rFonts w:eastAsia="SimSun"/>
                <w:lang w:eastAsia="zh-CN"/>
              </w:rPr>
              <w:t>19</w:t>
            </w:r>
            <w:r w:rsidR="00060B0C">
              <w:rPr>
                <w:rFonts w:eastAsia="SimSun"/>
                <w:lang w:eastAsia="zh-CN"/>
              </w:rPr>
              <w:t xml:space="preserve"> (2)</w:t>
            </w:r>
            <w:r w:rsidRPr="005449E3">
              <w:rPr>
                <w:rFonts w:eastAsia="SimSun"/>
                <w:lang w:eastAsia="zh-CN"/>
              </w:rPr>
              <w:t xml:space="preserve">, </w:t>
            </w:r>
            <w:r w:rsidR="00B54943" w:rsidRPr="005449E3">
              <w:rPr>
                <w:rFonts w:eastAsia="SimSun"/>
                <w:lang w:eastAsia="zh-CN"/>
              </w:rPr>
              <w:t>21</w:t>
            </w:r>
          </w:p>
        </w:tc>
      </w:tr>
      <w:tr w:rsidR="00FB6500" w:rsidRPr="00FB6500" w14:paraId="41E0BE09" w14:textId="77777777" w:rsidTr="008C1845">
        <w:tc>
          <w:tcPr>
            <w:tcW w:w="3119" w:type="dxa"/>
          </w:tcPr>
          <w:p w14:paraId="564D7BD0" w14:textId="77777777" w:rsidR="00FB6500" w:rsidRPr="005449E3" w:rsidRDefault="00FB6500" w:rsidP="00FB6500">
            <w:pPr>
              <w:spacing w:after="120"/>
              <w:rPr>
                <w:rFonts w:eastAsia="SimSun"/>
                <w:i/>
                <w:iCs/>
                <w:lang w:eastAsia="zh-CN"/>
              </w:rPr>
            </w:pPr>
            <w:r w:rsidRPr="005449E3">
              <w:rPr>
                <w:rFonts w:eastAsia="SimSun"/>
                <w:i/>
                <w:iCs/>
                <w:lang w:eastAsia="zh-CN"/>
              </w:rPr>
              <w:t>Articles of the Optional Protocol:</w:t>
            </w:r>
          </w:p>
        </w:tc>
        <w:tc>
          <w:tcPr>
            <w:tcW w:w="3685" w:type="dxa"/>
          </w:tcPr>
          <w:p w14:paraId="7593CB07" w14:textId="77777777" w:rsidR="00FB6500" w:rsidRPr="008D30DE" w:rsidRDefault="00B54943" w:rsidP="00FB6500">
            <w:pPr>
              <w:spacing w:after="120"/>
              <w:rPr>
                <w:rFonts w:eastAsia="SimSun"/>
                <w:lang w:eastAsia="zh-CN"/>
              </w:rPr>
            </w:pPr>
            <w:r w:rsidRPr="005449E3">
              <w:t>2 and 5</w:t>
            </w:r>
          </w:p>
        </w:tc>
      </w:tr>
    </w:tbl>
    <w:p w14:paraId="65E727B9" w14:textId="77777777" w:rsidR="00FB6500" w:rsidRPr="00FB6500" w:rsidRDefault="00FB6500" w:rsidP="00FB6500">
      <w:pPr>
        <w:spacing w:before="240" w:after="120"/>
        <w:ind w:left="1134" w:right="1134"/>
        <w:jc w:val="both"/>
        <w:rPr>
          <w:rFonts w:eastAsia="SimSun"/>
          <w:lang w:eastAsia="zh-CN"/>
        </w:rPr>
      </w:pPr>
      <w:r w:rsidRPr="00FB6500">
        <w:rPr>
          <w:rFonts w:eastAsia="SimSun"/>
          <w:lang w:eastAsia="zh-CN"/>
        </w:rPr>
        <w:br w:type="page"/>
      </w:r>
    </w:p>
    <w:p w14:paraId="5D3A8A2E" w14:textId="1B8D973D" w:rsidR="00060B0C" w:rsidRPr="009D4036" w:rsidRDefault="00FD58CC" w:rsidP="001B5A35">
      <w:pPr>
        <w:pStyle w:val="SingleTxtG"/>
      </w:pPr>
      <w:r w:rsidRPr="001525FB">
        <w:lastRenderedPageBreak/>
        <w:t>1.</w:t>
      </w:r>
      <w:r w:rsidRPr="00B13C2B">
        <w:rPr>
          <w:sz w:val="24"/>
        </w:rPr>
        <w:tab/>
      </w:r>
      <w:r w:rsidR="00060B0C">
        <w:t>The a</w:t>
      </w:r>
      <w:r w:rsidR="00060B0C" w:rsidRPr="00FE7EBB">
        <w:t>uthor of the communication is Mr</w:t>
      </w:r>
      <w:r w:rsidR="00060B0C">
        <w:t xml:space="preserve">. </w:t>
      </w:r>
      <w:proofErr w:type="spellStart"/>
      <w:r w:rsidR="00060B0C">
        <w:t>Tazabek</w:t>
      </w:r>
      <w:proofErr w:type="spellEnd"/>
      <w:r w:rsidR="00060B0C">
        <w:t xml:space="preserve"> </w:t>
      </w:r>
      <w:proofErr w:type="spellStart"/>
      <w:r w:rsidR="00060B0C">
        <w:t>Sambetbai</w:t>
      </w:r>
      <w:proofErr w:type="spellEnd"/>
      <w:r w:rsidR="00060B0C">
        <w:rPr>
          <w:rStyle w:val="FootnoteReference"/>
        </w:rPr>
        <w:footnoteReference w:id="4"/>
      </w:r>
      <w:r w:rsidR="00060B0C">
        <w:t xml:space="preserve">, a Kazakh national born </w:t>
      </w:r>
      <w:r w:rsidR="0048041F">
        <w:t>in</w:t>
      </w:r>
      <w:r w:rsidR="00060B0C">
        <w:t xml:space="preserve"> 1980. He claims that </w:t>
      </w:r>
      <w:r w:rsidR="00060B0C" w:rsidRPr="001B5A35">
        <w:t>Kazakhstan</w:t>
      </w:r>
      <w:r w:rsidR="00060B0C">
        <w:t xml:space="preserve"> </w:t>
      </w:r>
      <w:r w:rsidR="00060B0C" w:rsidRPr="00FE7EBB">
        <w:t>has violated his rights under a</w:t>
      </w:r>
      <w:r w:rsidR="00060B0C">
        <w:t>rticle</w:t>
      </w:r>
      <w:r w:rsidR="00060B0C" w:rsidRPr="00FE7EBB">
        <w:t xml:space="preserve"> </w:t>
      </w:r>
      <w:r w:rsidR="00060B0C">
        <w:t xml:space="preserve">19 (2) and article 21, </w:t>
      </w:r>
      <w:r w:rsidR="00060B0C" w:rsidRPr="00FE7EBB">
        <w:t>of the International Covenant on Civil and Political</w:t>
      </w:r>
      <w:r w:rsidR="00060B0C">
        <w:t xml:space="preserve"> Rights.</w:t>
      </w:r>
      <w:r w:rsidR="00060B0C" w:rsidRPr="00FE7EBB">
        <w:t xml:space="preserve"> The Optional Protocol entered into force for </w:t>
      </w:r>
      <w:r w:rsidR="00060B0C">
        <w:t>Kazakhstan on 30 June 2009</w:t>
      </w:r>
      <w:r w:rsidR="00060B0C" w:rsidRPr="009D4036">
        <w:t>.</w:t>
      </w:r>
      <w:r w:rsidR="00060B0C">
        <w:t xml:space="preserve"> </w:t>
      </w:r>
      <w:r w:rsidR="00A94D2D" w:rsidRPr="009979CF">
        <w:rPr>
          <w:rFonts w:eastAsia="Verdana"/>
        </w:rPr>
        <w:t>The author is represented by counsel.</w:t>
      </w:r>
    </w:p>
    <w:p w14:paraId="40FE2B86" w14:textId="21EFCF56" w:rsidR="00B54943" w:rsidRPr="00B54943" w:rsidRDefault="00FD58CC" w:rsidP="001B5A35">
      <w:pPr>
        <w:pStyle w:val="H23G"/>
        <w:rPr>
          <w:rFonts w:eastAsia="Verdana"/>
        </w:rPr>
      </w:pPr>
      <w:r>
        <w:rPr>
          <w:rFonts w:eastAsia="Verdana"/>
        </w:rPr>
        <w:tab/>
      </w:r>
      <w:r>
        <w:rPr>
          <w:rFonts w:eastAsia="Verdana"/>
        </w:rPr>
        <w:tab/>
      </w:r>
      <w:r w:rsidR="00B54943" w:rsidRPr="00B54943">
        <w:rPr>
          <w:rFonts w:eastAsia="Verdana"/>
        </w:rPr>
        <w:t xml:space="preserve">The facts as </w:t>
      </w:r>
      <w:r w:rsidR="00B54943" w:rsidRPr="001B5A35">
        <w:rPr>
          <w:rFonts w:eastAsia="Verdana"/>
        </w:rPr>
        <w:t>presented</w:t>
      </w:r>
      <w:r w:rsidR="00B54943" w:rsidRPr="00B54943">
        <w:rPr>
          <w:rFonts w:eastAsia="Verdana"/>
        </w:rPr>
        <w:t xml:space="preserve"> by the author</w:t>
      </w:r>
    </w:p>
    <w:p w14:paraId="71D88859" w14:textId="77777777" w:rsidR="00B54943" w:rsidRPr="00B54943" w:rsidRDefault="00B54943" w:rsidP="001B5A35">
      <w:pPr>
        <w:pStyle w:val="SingleTxtG"/>
        <w:rPr>
          <w:rFonts w:eastAsia="Verdana"/>
        </w:rPr>
      </w:pPr>
      <w:r w:rsidRPr="00B54943">
        <w:rPr>
          <w:rFonts w:eastAsia="Verdana"/>
        </w:rPr>
        <w:t>2.1</w:t>
      </w:r>
      <w:r w:rsidRPr="00B54943">
        <w:rPr>
          <w:rFonts w:eastAsia="Verdana"/>
        </w:rPr>
        <w:tab/>
      </w:r>
      <w:r w:rsidR="00060B0C" w:rsidRPr="00060B0C">
        <w:rPr>
          <w:rFonts w:eastAsia="Verdana"/>
        </w:rPr>
        <w:t xml:space="preserve">On 28 April 2012, approximately at noon, the author, as a member of the opposition, participated and delivered a </w:t>
      </w:r>
      <w:r w:rsidR="00060B0C" w:rsidRPr="001B5A35">
        <w:rPr>
          <w:rFonts w:eastAsia="Verdana"/>
        </w:rPr>
        <w:t>speech</w:t>
      </w:r>
      <w:r w:rsidR="00060B0C" w:rsidRPr="00060B0C">
        <w:rPr>
          <w:rFonts w:eastAsia="Verdana"/>
        </w:rPr>
        <w:t xml:space="preserve"> in an unauthorised peaceful meeting on a public square in front of hotel ‘Kazakhstan’ in Almaty. Prior to the event, its organizers tried to obtain permission to hold it, but the</w:t>
      </w:r>
      <w:r w:rsidR="0048041F">
        <w:rPr>
          <w:rFonts w:eastAsia="Verdana"/>
        </w:rPr>
        <w:t>ir</w:t>
      </w:r>
      <w:r w:rsidR="00060B0C" w:rsidRPr="00060B0C">
        <w:rPr>
          <w:rFonts w:eastAsia="Verdana"/>
        </w:rPr>
        <w:t xml:space="preserve"> application was dismissed by the local municipality (further details are not provided). The author was not among the organizers of the event.  The meeting was held with the aim to protest against recent parliamentary and local municipality elections and to commemorate victims of the Zhanaozen massacre of 16 December 2011 that took place in Kazakhstan's western Mangystau Province. </w:t>
      </w:r>
    </w:p>
    <w:p w14:paraId="1AF3A1EA" w14:textId="1696CDF6" w:rsidR="00B54943" w:rsidRPr="00B54943" w:rsidRDefault="001525FB" w:rsidP="001B5A35">
      <w:pPr>
        <w:pStyle w:val="SingleTxtG"/>
        <w:rPr>
          <w:rFonts w:eastAsia="Verdana"/>
          <w:bCs/>
        </w:rPr>
      </w:pPr>
      <w:r>
        <w:rPr>
          <w:rFonts w:eastAsia="Verdana"/>
        </w:rPr>
        <w:t>2.2</w:t>
      </w:r>
      <w:r w:rsidR="00526C25">
        <w:rPr>
          <w:rFonts w:eastAsia="Verdana"/>
        </w:rPr>
        <w:tab/>
      </w:r>
      <w:r w:rsidR="00060B0C" w:rsidRPr="00060B0C">
        <w:rPr>
          <w:rFonts w:eastAsia="Verdana"/>
        </w:rPr>
        <w:t xml:space="preserve">The author explains that similar peaceful meetings were held on 17 and 28 January, on 25 February and on 24 </w:t>
      </w:r>
      <w:r w:rsidR="00060B0C" w:rsidRPr="001B5A35">
        <w:rPr>
          <w:rFonts w:eastAsia="Verdana"/>
        </w:rPr>
        <w:t>March</w:t>
      </w:r>
      <w:r w:rsidR="00060B0C" w:rsidRPr="00060B0C">
        <w:rPr>
          <w:rFonts w:eastAsia="Verdana"/>
        </w:rPr>
        <w:t xml:space="preserve"> 2012 and during those meetings many participants were arrested and were found guilty of having committed an administrative offence</w:t>
      </w:r>
      <w:r w:rsidR="0048041F">
        <w:rPr>
          <w:rStyle w:val="FootnoteReference"/>
          <w:rFonts w:eastAsia="Verdana"/>
        </w:rPr>
        <w:footnoteReference w:id="5"/>
      </w:r>
      <w:r w:rsidR="00060B0C" w:rsidRPr="00060B0C">
        <w:rPr>
          <w:rFonts w:eastAsia="Verdana"/>
        </w:rPr>
        <w:t xml:space="preserve">. </w:t>
      </w:r>
    </w:p>
    <w:p w14:paraId="0F9750EC" w14:textId="66AE2820" w:rsidR="00B54943" w:rsidRPr="00B54943" w:rsidRDefault="001525FB" w:rsidP="001B5A35">
      <w:pPr>
        <w:pStyle w:val="SingleTxtG"/>
        <w:rPr>
          <w:rFonts w:eastAsia="Verdana"/>
        </w:rPr>
      </w:pPr>
      <w:r>
        <w:rPr>
          <w:rFonts w:eastAsia="Verdana"/>
        </w:rPr>
        <w:t>2.3</w:t>
      </w:r>
      <w:r w:rsidR="00526C25">
        <w:rPr>
          <w:rFonts w:eastAsia="Verdana"/>
        </w:rPr>
        <w:tab/>
      </w:r>
      <w:r w:rsidR="00060B0C">
        <w:t xml:space="preserve">On 28 April 2012, the author was </w:t>
      </w:r>
      <w:r w:rsidR="00321AE0">
        <w:t xml:space="preserve">apprehended </w:t>
      </w:r>
      <w:r w:rsidR="00060B0C">
        <w:t xml:space="preserve">and immediately brought before the Specialised </w:t>
      </w:r>
      <w:r w:rsidR="00060B0C" w:rsidRPr="001B5A35">
        <w:t>Inter</w:t>
      </w:r>
      <w:r w:rsidR="0048041F">
        <w:t>-</w:t>
      </w:r>
      <w:r w:rsidR="00060B0C" w:rsidRPr="001B5A35">
        <w:t>district</w:t>
      </w:r>
      <w:r w:rsidR="00060B0C">
        <w:t xml:space="preserve"> Administrative Court of Almaty. </w:t>
      </w:r>
      <w:r w:rsidR="00060B0C" w:rsidRPr="00FD2775">
        <w:t xml:space="preserve">On </w:t>
      </w:r>
      <w:r w:rsidR="00060B0C">
        <w:t>the same date,</w:t>
      </w:r>
      <w:r w:rsidR="00060B0C" w:rsidRPr="00F04A82">
        <w:t xml:space="preserve"> he was </w:t>
      </w:r>
      <w:r w:rsidR="00060B0C">
        <w:t xml:space="preserve">found guilty of </w:t>
      </w:r>
      <w:r w:rsidR="00060B0C" w:rsidRPr="001B5A35">
        <w:t>participating</w:t>
      </w:r>
      <w:r w:rsidR="00060B0C">
        <w:t xml:space="preserve"> in an unauthorised mass event under article 317 (1) </w:t>
      </w:r>
      <w:r w:rsidR="00060B0C" w:rsidRPr="00F6532C">
        <w:t xml:space="preserve">of the Code of Administrative </w:t>
      </w:r>
      <w:r w:rsidR="00060B0C">
        <w:t>Offences</w:t>
      </w:r>
      <w:r w:rsidR="00060B0C" w:rsidRPr="00F6532C">
        <w:t xml:space="preserve"> of Kazak</w:t>
      </w:r>
      <w:r w:rsidR="00060B0C">
        <w:t>hstan (v</w:t>
      </w:r>
      <w:r w:rsidR="00060B0C" w:rsidRPr="00720B9E">
        <w:t xml:space="preserve">iolation of </w:t>
      </w:r>
      <w:r w:rsidR="00060B0C">
        <w:t xml:space="preserve">regulations governing the </w:t>
      </w:r>
      <w:r w:rsidR="00060B0C" w:rsidRPr="00720B9E">
        <w:t xml:space="preserve">organization or </w:t>
      </w:r>
      <w:r w:rsidR="00060B0C">
        <w:t xml:space="preserve">conduct of </w:t>
      </w:r>
      <w:r w:rsidR="00060B0C" w:rsidRPr="00720B9E">
        <w:t>meeting</w:t>
      </w:r>
      <w:r w:rsidR="00060B0C">
        <w:t>s</w:t>
      </w:r>
      <w:r w:rsidR="00060B0C" w:rsidRPr="00720B9E">
        <w:t>, procession</w:t>
      </w:r>
      <w:r w:rsidR="00060B0C">
        <w:t>s</w:t>
      </w:r>
      <w:r w:rsidR="00060B0C" w:rsidRPr="00720B9E">
        <w:t xml:space="preserve">, pickets, </w:t>
      </w:r>
      <w:r w:rsidR="00060B0C">
        <w:t>assemblies or other mass events) and was fined 30 743 tenge.</w:t>
      </w:r>
      <w:r w:rsidR="00060B0C">
        <w:rPr>
          <w:rStyle w:val="FootnoteReference"/>
        </w:rPr>
        <w:footnoteReference w:id="6"/>
      </w:r>
      <w:r w:rsidR="00060B0C" w:rsidRPr="00A04A68">
        <w:t xml:space="preserve"> </w:t>
      </w:r>
    </w:p>
    <w:p w14:paraId="3B082914" w14:textId="3D21D54F" w:rsidR="00B54943" w:rsidRPr="00B54943" w:rsidRDefault="001525FB" w:rsidP="001B5A35">
      <w:pPr>
        <w:pStyle w:val="SingleTxtG"/>
        <w:rPr>
          <w:rFonts w:eastAsia="Verdana"/>
        </w:rPr>
      </w:pPr>
      <w:r>
        <w:rPr>
          <w:rFonts w:eastAsia="Verdana"/>
        </w:rPr>
        <w:t>2.4</w:t>
      </w:r>
      <w:r w:rsidR="00526C25">
        <w:rPr>
          <w:rFonts w:eastAsia="Verdana"/>
        </w:rPr>
        <w:tab/>
      </w:r>
      <w:r w:rsidR="00060B0C">
        <w:t>On 7 May 2012, the author appealed the decision</w:t>
      </w:r>
      <w:r w:rsidR="00060B0C" w:rsidRPr="00996528">
        <w:t xml:space="preserve"> </w:t>
      </w:r>
      <w:r w:rsidR="00060B0C">
        <w:t xml:space="preserve">of </w:t>
      </w:r>
      <w:r w:rsidR="00060B0C" w:rsidRPr="00996528">
        <w:t>the</w:t>
      </w:r>
      <w:r w:rsidR="00060B0C" w:rsidRPr="003C17F7">
        <w:t xml:space="preserve"> </w:t>
      </w:r>
      <w:r w:rsidR="00060B0C">
        <w:t>Specialised</w:t>
      </w:r>
      <w:r w:rsidR="0048041F">
        <w:t xml:space="preserve"> Inter-district </w:t>
      </w:r>
      <w:r w:rsidR="00060B0C" w:rsidRPr="003C17F7">
        <w:t>Administrative Court</w:t>
      </w:r>
      <w:r w:rsidR="0048041F">
        <w:t xml:space="preserve"> </w:t>
      </w:r>
      <w:r w:rsidR="00060B0C">
        <w:t xml:space="preserve">before the Almaty City Court. On 10 May 2012, the Almaty City Court dismissed his appeal. </w:t>
      </w:r>
      <w:r w:rsidR="00060B0C" w:rsidRPr="00F27E7A">
        <w:t>Subsequently</w:t>
      </w:r>
      <w:r w:rsidR="00060B0C">
        <w:t xml:space="preserve">, the author lodged </w:t>
      </w:r>
      <w:r w:rsidR="002C4CBA">
        <w:t xml:space="preserve">a </w:t>
      </w:r>
      <w:r w:rsidR="00060B0C">
        <w:t>complaint, on 25 May 2012</w:t>
      </w:r>
      <w:r w:rsidR="00CF45E2">
        <w:t>,</w:t>
      </w:r>
      <w:r w:rsidR="00060B0C">
        <w:t xml:space="preserve"> to the Prosecutor General</w:t>
      </w:r>
      <w:r w:rsidR="00064513">
        <w:t>’s Office</w:t>
      </w:r>
      <w:r w:rsidR="00060B0C">
        <w:t xml:space="preserve"> contesting the judgment of 28 April 2012. </w:t>
      </w:r>
      <w:r w:rsidR="00064513">
        <w:t xml:space="preserve">On </w:t>
      </w:r>
      <w:r w:rsidR="002C4CBA">
        <w:t>31</w:t>
      </w:r>
      <w:r w:rsidR="00064513">
        <w:t xml:space="preserve"> </w:t>
      </w:r>
      <w:r w:rsidR="002C4CBA">
        <w:t>May</w:t>
      </w:r>
      <w:r w:rsidR="00064513">
        <w:t xml:space="preserve"> 2012, the </w:t>
      </w:r>
      <w:r w:rsidR="00064513" w:rsidRPr="00064513">
        <w:t xml:space="preserve">Prosecutor General’s Office </w:t>
      </w:r>
      <w:r w:rsidR="002C4CBA">
        <w:t xml:space="preserve">responded that an additional revision would be conducted. The complaint was </w:t>
      </w:r>
      <w:r w:rsidR="002C4CBA" w:rsidRPr="001B5A35">
        <w:t>forwarded</w:t>
      </w:r>
      <w:r w:rsidR="002C4CBA">
        <w:t xml:space="preserve"> to the Office of Prosecutor of Almaty, which, on 13 June 2012, rejected the complaint. On 27 July 2012, </w:t>
      </w:r>
      <w:r w:rsidR="002C4CBA" w:rsidRPr="002C4CBA">
        <w:t xml:space="preserve">the Prosecutor’s Office of </w:t>
      </w:r>
      <w:proofErr w:type="spellStart"/>
      <w:r w:rsidR="002C4CBA" w:rsidRPr="002C4CBA">
        <w:t>Medeusk</w:t>
      </w:r>
      <w:proofErr w:type="spellEnd"/>
      <w:r w:rsidR="002C4CBA" w:rsidRPr="002C4CBA">
        <w:t xml:space="preserve"> District </w:t>
      </w:r>
      <w:r w:rsidR="002C4CBA">
        <w:t>of Almaty also rejected the complaint.</w:t>
      </w:r>
      <w:r w:rsidR="002C4CBA">
        <w:rPr>
          <w:rStyle w:val="FootnoteReference"/>
          <w:bCs/>
        </w:rPr>
        <w:footnoteReference w:id="7"/>
      </w:r>
      <w:r w:rsidR="00CF45E2" w:rsidRPr="00CF45E2">
        <w:t xml:space="preserve"> </w:t>
      </w:r>
      <w:r w:rsidR="00CF45E2">
        <w:t>O</w:t>
      </w:r>
      <w:r w:rsidR="00CF45E2" w:rsidRPr="00CF45E2">
        <w:t>n 8 November 2012</w:t>
      </w:r>
      <w:r w:rsidR="00CF45E2">
        <w:t>, t</w:t>
      </w:r>
      <w:r w:rsidR="00CF45E2" w:rsidRPr="00CF45E2">
        <w:t xml:space="preserve">he author lodged </w:t>
      </w:r>
      <w:r w:rsidR="00CF45E2">
        <w:t xml:space="preserve">another complaint </w:t>
      </w:r>
      <w:r w:rsidR="00CF45E2" w:rsidRPr="00CF45E2">
        <w:t>to the Prosecutor General’s Office contesting the judgment of 28 April 2012; but in vain.</w:t>
      </w:r>
      <w:r w:rsidR="00CF45E2">
        <w:t xml:space="preserve"> </w:t>
      </w:r>
      <w:r w:rsidR="00060B0C">
        <w:t>He explains that he has exhausted all available domestic remedies</w:t>
      </w:r>
      <w:r w:rsidR="00B54943" w:rsidRPr="00B54943">
        <w:rPr>
          <w:rFonts w:eastAsia="Verdana"/>
        </w:rPr>
        <w:t>.</w:t>
      </w:r>
    </w:p>
    <w:p w14:paraId="431CB8B6" w14:textId="19974F73" w:rsidR="00B54943" w:rsidRPr="00B54943" w:rsidRDefault="00FD58CC" w:rsidP="001B5A35">
      <w:pPr>
        <w:pStyle w:val="H23G"/>
        <w:rPr>
          <w:rFonts w:eastAsia="Verdana"/>
        </w:rPr>
      </w:pPr>
      <w:r>
        <w:rPr>
          <w:rFonts w:eastAsia="Verdana"/>
        </w:rPr>
        <w:tab/>
      </w:r>
      <w:r>
        <w:rPr>
          <w:rFonts w:eastAsia="Verdana"/>
        </w:rPr>
        <w:tab/>
      </w:r>
      <w:r w:rsidR="00B54943" w:rsidRPr="00B54943">
        <w:rPr>
          <w:rFonts w:eastAsia="Verdana"/>
        </w:rPr>
        <w:t xml:space="preserve">The </w:t>
      </w:r>
      <w:r w:rsidR="00B54943" w:rsidRPr="001B5A35">
        <w:rPr>
          <w:rFonts w:eastAsia="Verdana"/>
        </w:rPr>
        <w:t>complaint</w:t>
      </w:r>
    </w:p>
    <w:p w14:paraId="3FE6ECCB" w14:textId="77777777" w:rsidR="00B54943" w:rsidRDefault="00B54943" w:rsidP="00B13C2B">
      <w:pPr>
        <w:pStyle w:val="SingleTxtG"/>
        <w:rPr>
          <w:rFonts w:eastAsia="Verdana"/>
        </w:rPr>
      </w:pPr>
      <w:r w:rsidRPr="00B54943">
        <w:rPr>
          <w:rFonts w:eastAsia="Verdana"/>
        </w:rPr>
        <w:t>3.1</w:t>
      </w:r>
      <w:r w:rsidRPr="00B54943">
        <w:rPr>
          <w:rFonts w:eastAsia="Verdana"/>
        </w:rPr>
        <w:tab/>
      </w:r>
      <w:r w:rsidR="00990001">
        <w:t>The a</w:t>
      </w:r>
      <w:r w:rsidR="00990001" w:rsidRPr="00FE7EBB">
        <w:t>uthor claims that the State party has violated his rights under article</w:t>
      </w:r>
      <w:r w:rsidR="00990001">
        <w:t xml:space="preserve"> 19, paragraph 2, of the Covenant, as his right to the </w:t>
      </w:r>
      <w:r w:rsidR="00990001" w:rsidRPr="00140DED">
        <w:t>freedom of expression</w:t>
      </w:r>
      <w:r w:rsidR="00990001">
        <w:t xml:space="preserve"> was not guaranteed.</w:t>
      </w:r>
    </w:p>
    <w:p w14:paraId="1916F6F3" w14:textId="1EE681B4" w:rsidR="00A74BB1" w:rsidRDefault="009B4C88" w:rsidP="001B5A35">
      <w:pPr>
        <w:pStyle w:val="SingleTxtG"/>
      </w:pPr>
      <w:r w:rsidRPr="009B4C88">
        <w:rPr>
          <w:rFonts w:eastAsia="Verdana"/>
          <w:lang w:val="en-US"/>
        </w:rPr>
        <w:t>3.</w:t>
      </w:r>
      <w:r>
        <w:rPr>
          <w:rFonts w:eastAsia="Verdana"/>
          <w:lang w:val="en-US"/>
        </w:rPr>
        <w:t>2</w:t>
      </w:r>
      <w:r w:rsidR="001525FB">
        <w:rPr>
          <w:rFonts w:eastAsia="Verdana"/>
          <w:lang w:val="en-US"/>
        </w:rPr>
        <w:tab/>
      </w:r>
      <w:r w:rsidR="00990001">
        <w:t>He further claims</w:t>
      </w:r>
      <w:r w:rsidR="00990001" w:rsidRPr="00FE7EBB">
        <w:t xml:space="preserve"> that his rights under </w:t>
      </w:r>
      <w:r w:rsidR="00990001">
        <w:t xml:space="preserve">article 21 </w:t>
      </w:r>
      <w:r w:rsidR="00990001" w:rsidRPr="00FE7EBB">
        <w:t>of the Covenant were violated</w:t>
      </w:r>
      <w:r w:rsidR="00990001">
        <w:t>, as the national authorities could not explain the reasons why the peaceful assembly of 28 April 2012 was prohibited.</w:t>
      </w:r>
    </w:p>
    <w:p w14:paraId="210C7B88" w14:textId="135F1F2D" w:rsidR="00E06571" w:rsidRDefault="001525FB" w:rsidP="001B5A35">
      <w:pPr>
        <w:pStyle w:val="SingleTxtG"/>
      </w:pPr>
      <w:r>
        <w:rPr>
          <w:bCs/>
        </w:rPr>
        <w:t>3.3</w:t>
      </w:r>
      <w:r w:rsidR="00526C25">
        <w:rPr>
          <w:bCs/>
        </w:rPr>
        <w:tab/>
      </w:r>
      <w:r w:rsidR="00A74BB1" w:rsidRPr="0072412E">
        <w:t>The author asks the Committee to urge the State party to hold accountable the persons resp</w:t>
      </w:r>
      <w:r w:rsidR="00A74BB1">
        <w:t xml:space="preserve">onsible for the </w:t>
      </w:r>
      <w:r w:rsidR="00A74BB1" w:rsidRPr="001B5A35">
        <w:t>violation</w:t>
      </w:r>
      <w:r w:rsidR="00A74BB1">
        <w:t xml:space="preserve"> of his rights</w:t>
      </w:r>
      <w:r w:rsidR="00A74BB1" w:rsidRPr="0072412E">
        <w:t xml:space="preserve">; to ensure that the unjustified restrictions </w:t>
      </w:r>
      <w:r w:rsidR="00A74BB1">
        <w:t>on</w:t>
      </w:r>
      <w:r w:rsidR="00A74BB1" w:rsidRPr="0072412E">
        <w:t xml:space="preserve"> freedom of assembly and freedom of expression are removed and that the re</w:t>
      </w:r>
      <w:r w:rsidR="00A74BB1">
        <w:t>levant</w:t>
      </w:r>
      <w:r w:rsidR="00A74BB1" w:rsidRPr="0072412E">
        <w:t xml:space="preserve"> legislation is in line with article</w:t>
      </w:r>
      <w:r w:rsidR="00A74BB1">
        <w:t>s</w:t>
      </w:r>
      <w:r w:rsidR="00A74BB1" w:rsidRPr="0072412E">
        <w:t xml:space="preserve"> 19 (2) and 21 of the Covenant; and to guarantee that the organization of peaceful assemblies and </w:t>
      </w:r>
      <w:r w:rsidR="00A74BB1">
        <w:t xml:space="preserve">the </w:t>
      </w:r>
      <w:r w:rsidR="00A74BB1" w:rsidRPr="0072412E">
        <w:t>expression of opinion do not result in punishment.</w:t>
      </w:r>
    </w:p>
    <w:p w14:paraId="76EBCD2C" w14:textId="77777777" w:rsidR="008F1636" w:rsidRPr="005D7178" w:rsidRDefault="00E06571" w:rsidP="00526C25">
      <w:pPr>
        <w:pStyle w:val="H23G"/>
      </w:pPr>
      <w:r>
        <w:lastRenderedPageBreak/>
        <w:tab/>
      </w:r>
      <w:r>
        <w:tab/>
      </w:r>
      <w:r w:rsidR="008F1636" w:rsidRPr="005D7178">
        <w:t>State party</w:t>
      </w:r>
      <w:r w:rsidR="005D7178">
        <w:t>’</w:t>
      </w:r>
      <w:r w:rsidR="008F1636" w:rsidRPr="005D7178">
        <w:t xml:space="preserve">s </w:t>
      </w:r>
      <w:r w:rsidR="008F1636" w:rsidRPr="00526C25">
        <w:t>submissions</w:t>
      </w:r>
      <w:r w:rsidR="008F1636" w:rsidRPr="005D7178">
        <w:t xml:space="preserve"> on admissibility</w:t>
      </w:r>
      <w:r>
        <w:t xml:space="preserve"> </w:t>
      </w:r>
    </w:p>
    <w:p w14:paraId="4F2AF6BD" w14:textId="77777777" w:rsidR="008E5BA2" w:rsidRDefault="00287DF0" w:rsidP="00526C25">
      <w:pPr>
        <w:pStyle w:val="SingleTxtG"/>
        <w:rPr>
          <w:rFonts w:eastAsia="SimSun"/>
          <w:lang w:eastAsia="zh-CN"/>
        </w:rPr>
      </w:pPr>
      <w:r>
        <w:t>4</w:t>
      </w:r>
      <w:r w:rsidR="00E06571">
        <w:t>.1</w:t>
      </w:r>
      <w:r w:rsidR="00E06571">
        <w:tab/>
        <w:t xml:space="preserve">On </w:t>
      </w:r>
      <w:r w:rsidR="00990001">
        <w:t xml:space="preserve">5 August </w:t>
      </w:r>
      <w:r w:rsidR="00E06571" w:rsidRPr="008D1724">
        <w:t>201</w:t>
      </w:r>
      <w:r w:rsidR="00990001">
        <w:t>4</w:t>
      </w:r>
      <w:r w:rsidR="008E5BA2" w:rsidRPr="004C5FE5">
        <w:t xml:space="preserve">, the State party </w:t>
      </w:r>
      <w:r w:rsidR="0048041F">
        <w:t xml:space="preserve">presented </w:t>
      </w:r>
      <w:r w:rsidR="008E5BA2" w:rsidRPr="004C5FE5">
        <w:t xml:space="preserve">its observations on the admissibility of the communication and requested the Committee to declare it inadmissible </w:t>
      </w:r>
      <w:r w:rsidR="0048041F">
        <w:t xml:space="preserve">as </w:t>
      </w:r>
      <w:r w:rsidR="008E5BA2" w:rsidRPr="007B4EB9">
        <w:rPr>
          <w:rFonts w:eastAsia="SimSun"/>
          <w:lang w:eastAsia="zh-CN"/>
        </w:rPr>
        <w:t xml:space="preserve">unsubstantiated under article 5(2)(b) of the Optional </w:t>
      </w:r>
      <w:r w:rsidR="0048041F">
        <w:rPr>
          <w:rFonts w:eastAsia="SimSun"/>
          <w:lang w:eastAsia="zh-CN"/>
        </w:rPr>
        <w:t>P</w:t>
      </w:r>
      <w:r w:rsidR="008E5BA2" w:rsidRPr="007B4EB9">
        <w:rPr>
          <w:rFonts w:eastAsia="SimSun"/>
          <w:lang w:eastAsia="zh-CN"/>
        </w:rPr>
        <w:t xml:space="preserve">rotocol. </w:t>
      </w:r>
    </w:p>
    <w:p w14:paraId="3E487DE9" w14:textId="4723A7DE" w:rsidR="008E5BA2" w:rsidRPr="008E5BA2" w:rsidRDefault="001525FB" w:rsidP="00526C25">
      <w:pPr>
        <w:pStyle w:val="SingleTxtG"/>
      </w:pPr>
      <w:r>
        <w:t>4.2</w:t>
      </w:r>
      <w:r w:rsidR="00526C25">
        <w:tab/>
      </w:r>
      <w:r w:rsidR="008E5BA2" w:rsidRPr="008E5BA2">
        <w:t>The State party re</w:t>
      </w:r>
      <w:r w:rsidR="0048041F">
        <w:t xml:space="preserve">calls </w:t>
      </w:r>
      <w:r w:rsidR="008E5BA2" w:rsidRPr="008E5BA2">
        <w:t>the fact</w:t>
      </w:r>
      <w:r w:rsidR="0048041F">
        <w:t>s</w:t>
      </w:r>
      <w:r w:rsidR="008E5BA2" w:rsidRPr="008E5BA2">
        <w:t xml:space="preserve"> of the events of 28 April 2012 and submits that the author had been convicted and sentenced to </w:t>
      </w:r>
      <w:r w:rsidR="008E5BA2">
        <w:t>an administrative fine</w:t>
      </w:r>
      <w:r w:rsidR="008E5BA2" w:rsidRPr="008E5BA2">
        <w:t xml:space="preserve"> for an administrative offence under article 373, paragraph </w:t>
      </w:r>
      <w:r w:rsidR="008E5BA2">
        <w:t>1</w:t>
      </w:r>
      <w:r w:rsidR="008E5BA2" w:rsidRPr="008E5BA2">
        <w:t>, of the Code of Administrative Violations of the Republic of Kazakhstan by the Specialized Int</w:t>
      </w:r>
      <w:r w:rsidR="0048041F">
        <w:t>e</w:t>
      </w:r>
      <w:r w:rsidR="008E5BA2" w:rsidRPr="008E5BA2">
        <w:t>r</w:t>
      </w:r>
      <w:r w:rsidR="0048041F">
        <w:t>-</w:t>
      </w:r>
      <w:r w:rsidR="008E5BA2" w:rsidRPr="008E5BA2">
        <w:t xml:space="preserve">district Administrative Court of </w:t>
      </w:r>
      <w:r w:rsidR="008E5BA2">
        <w:t>Almaty</w:t>
      </w:r>
      <w:r w:rsidR="008E5BA2" w:rsidRPr="008E5BA2">
        <w:t xml:space="preserve">, and that the above ruling had been confirmed on appeal on </w:t>
      </w:r>
      <w:r w:rsidR="008E5BA2">
        <w:t>10</w:t>
      </w:r>
      <w:r w:rsidR="008E5BA2" w:rsidRPr="008E5BA2">
        <w:t xml:space="preserve"> </w:t>
      </w:r>
      <w:r w:rsidR="008E5BA2">
        <w:t>May</w:t>
      </w:r>
      <w:r w:rsidR="008E5BA2" w:rsidRPr="008E5BA2">
        <w:t xml:space="preserve"> 201</w:t>
      </w:r>
      <w:r w:rsidR="008E5BA2">
        <w:t>2</w:t>
      </w:r>
      <w:r w:rsidR="008E5BA2" w:rsidRPr="008E5BA2">
        <w:t xml:space="preserve"> by the </w:t>
      </w:r>
      <w:r w:rsidR="008E5BA2">
        <w:t>Almaty</w:t>
      </w:r>
      <w:r w:rsidR="008E5BA2" w:rsidRPr="008E5BA2">
        <w:t xml:space="preserve"> City Court. The State party notes that the author submitted a request to the </w:t>
      </w:r>
      <w:r w:rsidR="00994B16">
        <w:t xml:space="preserve">Almaty Prosecutor’s Office and the </w:t>
      </w:r>
      <w:r w:rsidR="008E5BA2" w:rsidRPr="008E5BA2">
        <w:t xml:space="preserve">General Prosecutor’s Office to initiate a supervisory review of the Administrative Court’s decision before the Supreme Court; </w:t>
      </w:r>
      <w:r w:rsidR="0048041F">
        <w:t xml:space="preserve">his appeals </w:t>
      </w:r>
      <w:r w:rsidR="008E5BA2" w:rsidRPr="008E5BA2">
        <w:t>w</w:t>
      </w:r>
      <w:r w:rsidR="0048041F">
        <w:t>ere</w:t>
      </w:r>
      <w:r w:rsidR="008E5BA2" w:rsidRPr="008E5BA2">
        <w:t xml:space="preserve"> rejected.</w:t>
      </w:r>
    </w:p>
    <w:p w14:paraId="7E1337E5" w14:textId="4CC68E2E" w:rsidR="00F364AC" w:rsidRDefault="00994B16" w:rsidP="00994B16">
      <w:pPr>
        <w:pStyle w:val="SingleTxtG"/>
      </w:pPr>
      <w:r>
        <w:t>4.</w:t>
      </w:r>
      <w:r w:rsidR="00F364AC">
        <w:t>3</w:t>
      </w:r>
      <w:r w:rsidR="00526C25">
        <w:tab/>
      </w:r>
      <w:r w:rsidRPr="00994B16">
        <w:t>The State party submits that the format and the manner of the expression of societal, group or personal interests in public places, as well as certain limitations of the above, are established by Law No. 2126 of 17 March 1997 on the Order of Organization and Conduct of Peaceful Assemblies, Meetings, Processions, Pickets and Demonstrations in the Republic of Kazakhstan. According to article 9 of this law, failure to comply with such procedural requirements entails liability. The author had not addressed a request to the executive authorities and had not received a positive reply.</w:t>
      </w:r>
    </w:p>
    <w:p w14:paraId="42544DBE" w14:textId="464A9B1F" w:rsidR="00994B16" w:rsidRPr="00287DF0" w:rsidRDefault="00F364AC" w:rsidP="00526C25">
      <w:pPr>
        <w:pStyle w:val="SingleTxtG"/>
      </w:pPr>
      <w:r w:rsidRPr="00994B16">
        <w:t>4.</w:t>
      </w:r>
      <w:r>
        <w:t>4</w:t>
      </w:r>
      <w:r w:rsidR="00526C25">
        <w:tab/>
      </w:r>
      <w:r w:rsidRPr="0072412E">
        <w:rPr>
          <w:rFonts w:eastAsia="SimSun"/>
          <w:lang w:eastAsia="zh-CN"/>
        </w:rPr>
        <w:t xml:space="preserve">The State party recalls that the rights enshrined in articles 19 and 21 of the Covenant are subject to certain limitations. While stating that freedom of peaceful assembly is not </w:t>
      </w:r>
      <w:r w:rsidRPr="00243352">
        <w:rPr>
          <w:rFonts w:eastAsia="SimSun"/>
          <w:lang w:eastAsia="zh-CN"/>
        </w:rPr>
        <w:t xml:space="preserve">prohibited in Kazakhstan, the State party explains that a certain procedure </w:t>
      </w:r>
      <w:r w:rsidR="0048041F">
        <w:rPr>
          <w:rFonts w:eastAsia="SimSun"/>
          <w:lang w:eastAsia="zh-CN"/>
        </w:rPr>
        <w:t xml:space="preserve">has to be </w:t>
      </w:r>
      <w:r w:rsidRPr="00243352">
        <w:rPr>
          <w:rFonts w:eastAsia="SimSun"/>
          <w:lang w:eastAsia="zh-CN"/>
        </w:rPr>
        <w:t>follow</w:t>
      </w:r>
      <w:r w:rsidR="0048041F">
        <w:rPr>
          <w:rFonts w:eastAsia="SimSun"/>
          <w:lang w:eastAsia="zh-CN"/>
        </w:rPr>
        <w:t>ed</w:t>
      </w:r>
      <w:r w:rsidRPr="00243352">
        <w:rPr>
          <w:rFonts w:eastAsia="SimSun"/>
          <w:lang w:eastAsia="zh-CN"/>
        </w:rPr>
        <w:t xml:space="preserve"> to organize an assembly. The State party refers to articles 2, 7, and 10 of the Law on the </w:t>
      </w:r>
      <w:r w:rsidRPr="00501739">
        <w:rPr>
          <w:rFonts w:eastAsia="SimSun"/>
          <w:lang w:eastAsia="zh-CN"/>
        </w:rPr>
        <w:t xml:space="preserve">Procedure for </w:t>
      </w:r>
      <w:r>
        <w:rPr>
          <w:rFonts w:eastAsia="SimSun"/>
          <w:lang w:eastAsia="zh-CN"/>
        </w:rPr>
        <w:t xml:space="preserve">the </w:t>
      </w:r>
      <w:r w:rsidRPr="00501739">
        <w:rPr>
          <w:rFonts w:eastAsia="SimSun"/>
          <w:lang w:eastAsia="zh-CN"/>
        </w:rPr>
        <w:t>O</w:t>
      </w:r>
      <w:r w:rsidRPr="00243352">
        <w:rPr>
          <w:rFonts w:eastAsia="SimSun"/>
          <w:lang w:eastAsia="zh-CN"/>
        </w:rPr>
        <w:t xml:space="preserve">rganization and </w:t>
      </w:r>
      <w:r w:rsidRPr="00501739">
        <w:rPr>
          <w:rFonts w:eastAsia="SimSun"/>
          <w:lang w:eastAsia="zh-CN"/>
        </w:rPr>
        <w:t>C</w:t>
      </w:r>
      <w:r w:rsidRPr="00243352">
        <w:rPr>
          <w:rFonts w:eastAsia="SimSun"/>
          <w:lang w:eastAsia="zh-CN"/>
        </w:rPr>
        <w:t xml:space="preserve">onduct of </w:t>
      </w:r>
      <w:r w:rsidRPr="00501739">
        <w:rPr>
          <w:rFonts w:eastAsia="SimSun"/>
          <w:lang w:eastAsia="zh-CN"/>
        </w:rPr>
        <w:t>P</w:t>
      </w:r>
      <w:r w:rsidRPr="00243352">
        <w:rPr>
          <w:rFonts w:eastAsia="SimSun"/>
          <w:lang w:eastAsia="zh-CN"/>
        </w:rPr>
        <w:t xml:space="preserve">eaceful </w:t>
      </w:r>
      <w:r w:rsidRPr="00501739">
        <w:rPr>
          <w:rFonts w:eastAsia="SimSun"/>
          <w:lang w:eastAsia="zh-CN"/>
        </w:rPr>
        <w:t>A</w:t>
      </w:r>
      <w:r w:rsidRPr="00243352">
        <w:rPr>
          <w:rFonts w:eastAsia="SimSun"/>
          <w:lang w:eastAsia="zh-CN"/>
        </w:rPr>
        <w:t xml:space="preserve">ssemblies, </w:t>
      </w:r>
      <w:r w:rsidRPr="00501739">
        <w:rPr>
          <w:rFonts w:eastAsia="SimSun"/>
          <w:lang w:eastAsia="zh-CN"/>
        </w:rPr>
        <w:t>M</w:t>
      </w:r>
      <w:r w:rsidRPr="00243352">
        <w:rPr>
          <w:rFonts w:eastAsia="SimSun"/>
          <w:lang w:eastAsia="zh-CN"/>
        </w:rPr>
        <w:t xml:space="preserve">eetings, </w:t>
      </w:r>
      <w:r w:rsidRPr="00501739">
        <w:rPr>
          <w:rFonts w:eastAsia="SimSun"/>
          <w:lang w:eastAsia="zh-CN"/>
        </w:rPr>
        <w:t>P</w:t>
      </w:r>
      <w:r w:rsidRPr="00243352">
        <w:rPr>
          <w:rFonts w:eastAsia="SimSun"/>
          <w:lang w:eastAsia="zh-CN"/>
        </w:rPr>
        <w:t xml:space="preserve">rocessions, </w:t>
      </w:r>
      <w:r w:rsidRPr="00501739">
        <w:rPr>
          <w:rFonts w:eastAsia="SimSun"/>
          <w:lang w:eastAsia="zh-CN"/>
        </w:rPr>
        <w:t>P</w:t>
      </w:r>
      <w:r w:rsidRPr="00243352">
        <w:rPr>
          <w:rFonts w:eastAsia="SimSun"/>
          <w:lang w:eastAsia="zh-CN"/>
        </w:rPr>
        <w:t xml:space="preserve">ickets and </w:t>
      </w:r>
      <w:r w:rsidRPr="00501739">
        <w:rPr>
          <w:rFonts w:eastAsia="SimSun"/>
          <w:lang w:eastAsia="zh-CN"/>
        </w:rPr>
        <w:t>D</w:t>
      </w:r>
      <w:r w:rsidRPr="00243352">
        <w:rPr>
          <w:rFonts w:eastAsia="SimSun"/>
          <w:lang w:eastAsia="zh-CN"/>
        </w:rPr>
        <w:t>emonstrations, according</w:t>
      </w:r>
      <w:r w:rsidRPr="0072412E">
        <w:rPr>
          <w:rFonts w:eastAsia="SimSun"/>
          <w:lang w:eastAsia="zh-CN"/>
        </w:rPr>
        <w:t xml:space="preserve"> to </w:t>
      </w:r>
      <w:r w:rsidRPr="00B13C2B">
        <w:rPr>
          <w:rFonts w:eastAsia="SimSun"/>
        </w:rPr>
        <w:t>which</w:t>
      </w:r>
      <w:r>
        <w:rPr>
          <w:rFonts w:eastAsia="SimSun"/>
          <w:lang w:eastAsia="zh-CN"/>
        </w:rPr>
        <w:t>:</w:t>
      </w:r>
      <w:r w:rsidRPr="0072412E">
        <w:rPr>
          <w:rFonts w:eastAsia="SimSun"/>
          <w:lang w:eastAsia="zh-CN"/>
        </w:rPr>
        <w:t xml:space="preserve"> the organizers should request an authorization from the local executive authorities to hold an assembly; the local authorities </w:t>
      </w:r>
      <w:r>
        <w:rPr>
          <w:rFonts w:eastAsia="SimSun"/>
          <w:lang w:eastAsia="zh-CN"/>
        </w:rPr>
        <w:t xml:space="preserve">can </w:t>
      </w:r>
      <w:r w:rsidRPr="0072412E">
        <w:rPr>
          <w:rFonts w:eastAsia="SimSun"/>
          <w:lang w:eastAsia="zh-CN"/>
        </w:rPr>
        <w:t xml:space="preserve">prohibit a mass event </w:t>
      </w:r>
      <w:r>
        <w:rPr>
          <w:rFonts w:eastAsia="SimSun"/>
          <w:lang w:eastAsia="zh-CN"/>
        </w:rPr>
        <w:t>that</w:t>
      </w:r>
      <w:r w:rsidRPr="0072412E">
        <w:rPr>
          <w:rFonts w:eastAsia="SimSun"/>
          <w:lang w:eastAsia="zh-CN"/>
        </w:rPr>
        <w:t xml:space="preserve"> has an illegal aim</w:t>
      </w:r>
      <w:r w:rsidRPr="0072412E">
        <w:t xml:space="preserve"> </w:t>
      </w:r>
      <w:r w:rsidRPr="0072412E">
        <w:rPr>
          <w:rFonts w:eastAsia="SimSun"/>
          <w:lang w:eastAsia="zh-CN"/>
        </w:rPr>
        <w:t xml:space="preserve">or </w:t>
      </w:r>
      <w:r>
        <w:rPr>
          <w:rFonts w:eastAsia="SimSun"/>
          <w:lang w:eastAsia="zh-CN"/>
        </w:rPr>
        <w:t>the</w:t>
      </w:r>
      <w:r w:rsidRPr="0072412E">
        <w:rPr>
          <w:rFonts w:eastAsia="SimSun"/>
          <w:lang w:eastAsia="zh-CN"/>
        </w:rPr>
        <w:t xml:space="preserve"> conduct </w:t>
      </w:r>
      <w:r>
        <w:rPr>
          <w:rFonts w:eastAsia="SimSun"/>
          <w:lang w:eastAsia="zh-CN"/>
        </w:rPr>
        <w:t xml:space="preserve">of which </w:t>
      </w:r>
      <w:r w:rsidRPr="0072412E">
        <w:rPr>
          <w:rFonts w:eastAsia="SimSun"/>
          <w:lang w:eastAsia="zh-CN"/>
        </w:rPr>
        <w:t xml:space="preserve">threatens public order and the safety of citizens; </w:t>
      </w:r>
      <w:r>
        <w:rPr>
          <w:rFonts w:eastAsia="SimSun"/>
          <w:lang w:eastAsia="zh-CN"/>
        </w:rPr>
        <w:t xml:space="preserve">and </w:t>
      </w:r>
      <w:r w:rsidRPr="0072412E">
        <w:rPr>
          <w:rFonts w:eastAsia="SimSun"/>
          <w:lang w:eastAsia="zh-CN"/>
        </w:rPr>
        <w:t>the local authorities can set up additional requirements for holding mass events. The author obtain</w:t>
      </w:r>
      <w:r w:rsidR="0095072D">
        <w:rPr>
          <w:rFonts w:eastAsia="SimSun"/>
          <w:lang w:eastAsia="zh-CN"/>
        </w:rPr>
        <w:t>ed</w:t>
      </w:r>
      <w:r>
        <w:rPr>
          <w:rFonts w:eastAsia="SimSun"/>
          <w:lang w:eastAsia="zh-CN"/>
        </w:rPr>
        <w:t xml:space="preserve"> </w:t>
      </w:r>
      <w:r w:rsidR="0095072D">
        <w:rPr>
          <w:rFonts w:eastAsia="SimSun"/>
          <w:lang w:eastAsia="zh-CN"/>
        </w:rPr>
        <w:t xml:space="preserve">no </w:t>
      </w:r>
      <w:r w:rsidRPr="0072412E">
        <w:rPr>
          <w:rFonts w:eastAsia="SimSun"/>
          <w:lang w:eastAsia="zh-CN"/>
        </w:rPr>
        <w:t xml:space="preserve">such </w:t>
      </w:r>
      <w:r>
        <w:rPr>
          <w:rFonts w:eastAsia="SimSun"/>
          <w:lang w:eastAsia="zh-CN"/>
        </w:rPr>
        <w:t xml:space="preserve">an </w:t>
      </w:r>
      <w:r w:rsidRPr="0072412E">
        <w:rPr>
          <w:rFonts w:eastAsia="SimSun"/>
          <w:lang w:eastAsia="zh-CN"/>
        </w:rPr>
        <w:t xml:space="preserve">authorization. </w:t>
      </w:r>
      <w:r w:rsidR="00D86DDC">
        <w:rPr>
          <w:rFonts w:eastAsia="SimSun"/>
          <w:lang w:eastAsia="zh-CN"/>
        </w:rPr>
        <w:t>He</w:t>
      </w:r>
      <w:r w:rsidR="00D86DDC" w:rsidRPr="0072412E">
        <w:rPr>
          <w:rFonts w:eastAsia="SimSun"/>
          <w:lang w:eastAsia="zh-CN"/>
        </w:rPr>
        <w:t xml:space="preserve"> </w:t>
      </w:r>
      <w:r w:rsidRPr="0072412E">
        <w:rPr>
          <w:rFonts w:eastAsia="SimSun"/>
          <w:lang w:eastAsia="zh-CN"/>
        </w:rPr>
        <w:t xml:space="preserve">was </w:t>
      </w:r>
      <w:r w:rsidR="001E3C18">
        <w:rPr>
          <w:rFonts w:eastAsia="SimSun"/>
          <w:lang w:eastAsia="zh-CN"/>
        </w:rPr>
        <w:t xml:space="preserve">therefore </w:t>
      </w:r>
      <w:r w:rsidRPr="0072412E">
        <w:rPr>
          <w:rFonts w:eastAsia="SimSun"/>
          <w:lang w:eastAsia="zh-CN"/>
        </w:rPr>
        <w:t xml:space="preserve">sanctioned for violating the procedure for </w:t>
      </w:r>
      <w:r>
        <w:rPr>
          <w:rFonts w:eastAsia="SimSun"/>
          <w:lang w:eastAsia="zh-CN"/>
        </w:rPr>
        <w:t>holding</w:t>
      </w:r>
      <w:r w:rsidRPr="0072412E">
        <w:rPr>
          <w:rFonts w:eastAsia="SimSun"/>
          <w:lang w:eastAsia="zh-CN"/>
        </w:rPr>
        <w:t xml:space="preserve"> an assembly.</w:t>
      </w:r>
    </w:p>
    <w:p w14:paraId="37374E1C" w14:textId="372DD97E" w:rsidR="00F364AC" w:rsidRDefault="00994B16" w:rsidP="00B13C2B">
      <w:pPr>
        <w:pStyle w:val="SingleTxtG"/>
      </w:pPr>
      <w:r w:rsidRPr="0021352A">
        <w:t>4.5</w:t>
      </w:r>
      <w:r w:rsidR="00526C25">
        <w:tab/>
      </w:r>
      <w:r w:rsidRPr="0021352A">
        <w:t xml:space="preserve">The State party recalls that international human rights law recognises the need for certain limitations to be imposed on freedom of assembly. In Kazakhstan, special venues for assemblies have been allocated in order to protect the rights and freedoms of others and </w:t>
      </w:r>
      <w:r w:rsidR="0095072D">
        <w:t xml:space="preserve">the </w:t>
      </w:r>
      <w:r w:rsidRPr="0021352A">
        <w:t xml:space="preserve">public order. </w:t>
      </w:r>
      <w:r>
        <w:t xml:space="preserve">Thus, the State </w:t>
      </w:r>
      <w:r w:rsidRPr="00B13C2B">
        <w:t>party</w:t>
      </w:r>
      <w:r>
        <w:t xml:space="preserve"> claims that the realisation of the freedom of assembly in Kazakhstan is in full conformity with the Universal Declaration of Human Rights and the International Covenant on Civil and Political Rights. </w:t>
      </w:r>
    </w:p>
    <w:p w14:paraId="5FBC6B13" w14:textId="4E7A8B3D" w:rsidR="008E5BA2" w:rsidRDefault="001525FB" w:rsidP="001B5A35">
      <w:pPr>
        <w:pStyle w:val="SingleTxtG"/>
        <w:rPr>
          <w:rFonts w:eastAsia="SimSun"/>
          <w:lang w:eastAsia="zh-CN"/>
        </w:rPr>
      </w:pPr>
      <w:r>
        <w:t>4.6</w:t>
      </w:r>
      <w:r w:rsidR="00526C25">
        <w:tab/>
      </w:r>
      <w:r w:rsidR="00F364AC" w:rsidRPr="0072412E">
        <w:rPr>
          <w:rFonts w:eastAsia="SimSun"/>
          <w:lang w:eastAsia="zh-CN"/>
        </w:rPr>
        <w:t xml:space="preserve">The State party claims that the </w:t>
      </w:r>
      <w:r w:rsidR="00F364AC">
        <w:rPr>
          <w:rFonts w:eastAsia="SimSun"/>
          <w:lang w:eastAsia="zh-CN"/>
        </w:rPr>
        <w:t>national</w:t>
      </w:r>
      <w:r w:rsidR="00F364AC" w:rsidRPr="0072412E">
        <w:rPr>
          <w:rFonts w:eastAsia="SimSun"/>
          <w:lang w:eastAsia="zh-CN"/>
        </w:rPr>
        <w:t xml:space="preserve"> courts </w:t>
      </w:r>
      <w:r w:rsidR="00F364AC" w:rsidRPr="00FD014D">
        <w:rPr>
          <w:rFonts w:eastAsia="SimSun"/>
          <w:lang w:eastAsia="zh-CN"/>
        </w:rPr>
        <w:t xml:space="preserve">carefully </w:t>
      </w:r>
      <w:r w:rsidR="00F364AC" w:rsidRPr="0072412E">
        <w:rPr>
          <w:rFonts w:eastAsia="SimSun"/>
          <w:lang w:eastAsia="zh-CN"/>
        </w:rPr>
        <w:t xml:space="preserve">assessed </w:t>
      </w:r>
      <w:r w:rsidR="00F364AC">
        <w:rPr>
          <w:rFonts w:eastAsia="SimSun"/>
          <w:lang w:eastAsia="zh-CN"/>
        </w:rPr>
        <w:t xml:space="preserve">the author’s claims that </w:t>
      </w:r>
      <w:r w:rsidR="00F364AC" w:rsidRPr="0072412E">
        <w:rPr>
          <w:rFonts w:eastAsia="SimSun"/>
          <w:lang w:eastAsia="zh-CN"/>
        </w:rPr>
        <w:t xml:space="preserve">he did not commit any unlawful acts </w:t>
      </w:r>
      <w:r w:rsidR="00F364AC" w:rsidRPr="00B13C2B">
        <w:rPr>
          <w:rFonts w:eastAsia="SimSun"/>
        </w:rPr>
        <w:t>and</w:t>
      </w:r>
      <w:r w:rsidR="00F364AC" w:rsidRPr="0072412E">
        <w:rPr>
          <w:rFonts w:eastAsia="SimSun"/>
          <w:lang w:eastAsia="zh-CN"/>
        </w:rPr>
        <w:t xml:space="preserve"> found them unsubstantiated. The courts took into </w:t>
      </w:r>
      <w:r w:rsidR="00F364AC" w:rsidRPr="00243352">
        <w:rPr>
          <w:rFonts w:eastAsia="SimSun"/>
          <w:lang w:eastAsia="zh-CN"/>
        </w:rPr>
        <w:t xml:space="preserve">account the circumstances of the author’s case and found that the sanction applied was within the </w:t>
      </w:r>
      <w:r w:rsidR="00F364AC">
        <w:rPr>
          <w:rFonts w:eastAsia="SimSun"/>
          <w:lang w:eastAsia="zh-CN"/>
        </w:rPr>
        <w:t>limits set out in article 373 (1</w:t>
      </w:r>
      <w:r w:rsidR="00F364AC" w:rsidRPr="00243352">
        <w:rPr>
          <w:rFonts w:eastAsia="SimSun"/>
          <w:lang w:eastAsia="zh-CN"/>
        </w:rPr>
        <w:t>) of the Administrative Offences Code.</w:t>
      </w:r>
    </w:p>
    <w:p w14:paraId="5A64AF1D" w14:textId="55518574" w:rsidR="00E06571" w:rsidRPr="00F9319F" w:rsidRDefault="001525FB" w:rsidP="001B5A35">
      <w:pPr>
        <w:pStyle w:val="SingleTxtG"/>
        <w:rPr>
          <w:lang w:val="en-US"/>
        </w:rPr>
      </w:pPr>
      <w:r>
        <w:rPr>
          <w:rFonts w:eastAsia="SimSun"/>
          <w:lang w:eastAsia="zh-CN"/>
        </w:rPr>
        <w:t>4.7</w:t>
      </w:r>
      <w:r w:rsidR="00526C25">
        <w:rPr>
          <w:rFonts w:eastAsia="SimSun"/>
          <w:lang w:eastAsia="zh-CN"/>
        </w:rPr>
        <w:tab/>
      </w:r>
      <w:r w:rsidR="008E5BA2" w:rsidRPr="007B4EB9">
        <w:rPr>
          <w:rFonts w:eastAsia="SimSun"/>
          <w:lang w:eastAsia="zh-CN"/>
        </w:rPr>
        <w:t xml:space="preserve">The State party submits that article 40 of the Administrative Offences Code provides for an exceptional procedure under which the </w:t>
      </w:r>
      <w:r w:rsidR="008E5BA2" w:rsidRPr="00B13C2B">
        <w:rPr>
          <w:rFonts w:eastAsia="SimSun"/>
        </w:rPr>
        <w:t>author</w:t>
      </w:r>
      <w:r w:rsidR="008E5BA2" w:rsidRPr="007B4EB9">
        <w:rPr>
          <w:rFonts w:eastAsia="SimSun"/>
          <w:lang w:eastAsia="zh-CN"/>
        </w:rPr>
        <w:t xml:space="preserve"> could have requested the Prosecutor General to init</w:t>
      </w:r>
      <w:r w:rsidR="00F364AC">
        <w:rPr>
          <w:rFonts w:eastAsia="SimSun"/>
          <w:lang w:eastAsia="zh-CN"/>
        </w:rPr>
        <w:t xml:space="preserve">iate a supervisory </w:t>
      </w:r>
      <w:r w:rsidR="00F364AC" w:rsidRPr="001B5A35">
        <w:rPr>
          <w:rFonts w:eastAsia="SimSun"/>
        </w:rPr>
        <w:t>review</w:t>
      </w:r>
      <w:r w:rsidR="00F364AC">
        <w:rPr>
          <w:rFonts w:eastAsia="SimSun"/>
          <w:lang w:eastAsia="zh-CN"/>
        </w:rPr>
        <w:t xml:space="preserve"> in his</w:t>
      </w:r>
      <w:r w:rsidR="008E5BA2" w:rsidRPr="007B4EB9">
        <w:rPr>
          <w:rFonts w:eastAsia="SimSun"/>
          <w:lang w:eastAsia="zh-CN"/>
        </w:rPr>
        <w:t xml:space="preserve"> administrative case before the Supreme Court. By failing to resort to this procedure, the author has failed to exhaust domestic remedies.  </w:t>
      </w:r>
    </w:p>
    <w:p w14:paraId="639EC4FF" w14:textId="77777777" w:rsidR="008F1636" w:rsidRPr="005D7178" w:rsidRDefault="008F1636" w:rsidP="00B13C2B">
      <w:pPr>
        <w:pStyle w:val="H23G"/>
      </w:pPr>
      <w:r w:rsidRPr="005D7178">
        <w:tab/>
      </w:r>
      <w:r w:rsidRPr="005D7178">
        <w:tab/>
      </w:r>
      <w:r w:rsidR="00F364AC" w:rsidRPr="00F364AC">
        <w:t>Author’s comments on the State party’s observations on admissibility</w:t>
      </w:r>
    </w:p>
    <w:p w14:paraId="5CF86631" w14:textId="2D16C98B" w:rsidR="00BC246F" w:rsidRPr="00BC246F" w:rsidRDefault="00BC246F" w:rsidP="001B5A35">
      <w:pPr>
        <w:pStyle w:val="SingleTxtG"/>
      </w:pPr>
      <w:r w:rsidRPr="00BC246F">
        <w:t>5.1</w:t>
      </w:r>
      <w:r w:rsidRPr="00BC246F">
        <w:tab/>
        <w:t xml:space="preserve">On </w:t>
      </w:r>
      <w:r w:rsidR="003B5506">
        <w:t>2</w:t>
      </w:r>
      <w:r w:rsidR="00F364AC">
        <w:t>2</w:t>
      </w:r>
      <w:r w:rsidRPr="00BC246F">
        <w:t xml:space="preserve"> </w:t>
      </w:r>
      <w:r w:rsidR="00F364AC">
        <w:t>September</w:t>
      </w:r>
      <w:r w:rsidR="00F364AC" w:rsidRPr="00BC246F">
        <w:t xml:space="preserve"> </w:t>
      </w:r>
      <w:r w:rsidRPr="00BC246F">
        <w:t>201</w:t>
      </w:r>
      <w:r w:rsidR="00F364AC">
        <w:t>4</w:t>
      </w:r>
      <w:r w:rsidRPr="00BC246F">
        <w:t xml:space="preserve">, the author provided comments to the State party’s observations. </w:t>
      </w:r>
      <w:r w:rsidR="003B5506">
        <w:t>He</w:t>
      </w:r>
      <w:r w:rsidRPr="00BC246F">
        <w:t xml:space="preserve"> </w:t>
      </w:r>
      <w:r w:rsidR="004A3933" w:rsidRPr="00BC246F">
        <w:t>submit</w:t>
      </w:r>
      <w:r w:rsidR="004A3933">
        <w:t>s</w:t>
      </w:r>
      <w:r w:rsidRPr="00BC246F">
        <w:t xml:space="preserve"> that </w:t>
      </w:r>
      <w:r w:rsidRPr="00B13C2B">
        <w:t>although</w:t>
      </w:r>
      <w:r w:rsidRPr="00BC246F">
        <w:t>, according to the State party, the rights under articles 19 and 21 of the Covenant are guaranteed in Kazakhstan and can only be restricted under certain circumstances, the State party did not explain why it was necessary to sanction h</w:t>
      </w:r>
      <w:r w:rsidR="003B5506">
        <w:t>im</w:t>
      </w:r>
      <w:r w:rsidRPr="00BC246F">
        <w:t xml:space="preserve"> </w:t>
      </w:r>
      <w:r w:rsidR="006A705F">
        <w:t>with</w:t>
      </w:r>
      <w:r w:rsidR="006A705F" w:rsidRPr="00BC246F">
        <w:t xml:space="preserve"> </w:t>
      </w:r>
      <w:r w:rsidR="00F364AC">
        <w:t>an administrative fine</w:t>
      </w:r>
      <w:r w:rsidR="003B5506">
        <w:t>.</w:t>
      </w:r>
      <w:r w:rsidRPr="00BC246F">
        <w:t xml:space="preserve"> </w:t>
      </w:r>
    </w:p>
    <w:p w14:paraId="407553CC" w14:textId="77777777" w:rsidR="00BC246F" w:rsidRDefault="00BC246F" w:rsidP="001B5A35">
      <w:pPr>
        <w:pStyle w:val="SingleTxtG"/>
      </w:pPr>
      <w:r w:rsidRPr="00BC246F">
        <w:t>5.2</w:t>
      </w:r>
      <w:r w:rsidRPr="00BC246F">
        <w:tab/>
      </w:r>
      <w:r w:rsidR="00530A65">
        <w:t>He</w:t>
      </w:r>
      <w:r w:rsidRPr="00BC246F">
        <w:t xml:space="preserve"> claims that according to international obligations assumed by the State party, any restrictions on freedom of assembly </w:t>
      </w:r>
      <w:r w:rsidRPr="001B5A35">
        <w:t>should</w:t>
      </w:r>
      <w:r w:rsidRPr="00BC246F">
        <w:t xml:space="preserve"> be proportionate and applied depending on the specific circumstances of each case, that the involvement of the authorities in the process of </w:t>
      </w:r>
      <w:r w:rsidRPr="00BC246F">
        <w:lastRenderedPageBreak/>
        <w:t xml:space="preserve">organization of public events should be reduced to a minimum. The author alleges that the State party ignores and violates these principles. </w:t>
      </w:r>
    </w:p>
    <w:p w14:paraId="701C8575" w14:textId="5A201383" w:rsidR="004A3933" w:rsidRPr="00501739" w:rsidRDefault="001525FB" w:rsidP="004A3933">
      <w:pPr>
        <w:pStyle w:val="SingleTxtG"/>
        <w:rPr>
          <w:rFonts w:eastAsia="SimSun"/>
          <w:lang w:eastAsia="zh-CN"/>
        </w:rPr>
      </w:pPr>
      <w:r>
        <w:t>5.3</w:t>
      </w:r>
      <w:r w:rsidR="00526C25">
        <w:tab/>
      </w:r>
      <w:r w:rsidR="004A3933" w:rsidRPr="0072412E">
        <w:rPr>
          <w:rFonts w:eastAsia="SimSun"/>
          <w:lang w:eastAsia="zh-CN"/>
        </w:rPr>
        <w:t>The author claims hav</w:t>
      </w:r>
      <w:r w:rsidR="0095072D">
        <w:rPr>
          <w:rFonts w:eastAsia="SimSun"/>
          <w:lang w:eastAsia="zh-CN"/>
        </w:rPr>
        <w:t>ing</w:t>
      </w:r>
      <w:r w:rsidR="004A3933" w:rsidRPr="0072412E">
        <w:rPr>
          <w:rFonts w:eastAsia="SimSun"/>
          <w:lang w:eastAsia="zh-CN"/>
        </w:rPr>
        <w:t xml:space="preserve"> exhausted all available domestic remedies, including submitting </w:t>
      </w:r>
      <w:r w:rsidR="004A3933" w:rsidRPr="00F10E19">
        <w:rPr>
          <w:rFonts w:eastAsia="SimSun"/>
          <w:lang w:eastAsia="zh-CN"/>
        </w:rPr>
        <w:t xml:space="preserve">a request </w:t>
      </w:r>
      <w:r w:rsidR="004A3933" w:rsidRPr="0072412E">
        <w:rPr>
          <w:rFonts w:eastAsia="SimSun"/>
          <w:lang w:eastAsia="zh-CN"/>
        </w:rPr>
        <w:t xml:space="preserve">to the Prosecutor General’s Office </w:t>
      </w:r>
      <w:r w:rsidR="004A3933">
        <w:rPr>
          <w:rFonts w:eastAsia="SimSun"/>
          <w:lang w:eastAsia="zh-CN"/>
        </w:rPr>
        <w:t>to</w:t>
      </w:r>
      <w:r w:rsidR="004A3933" w:rsidRPr="0072412E">
        <w:rPr>
          <w:rFonts w:eastAsia="SimSun"/>
          <w:lang w:eastAsia="zh-CN"/>
        </w:rPr>
        <w:t xml:space="preserve"> initiat</w:t>
      </w:r>
      <w:r w:rsidR="004A3933">
        <w:rPr>
          <w:rFonts w:eastAsia="SimSun"/>
          <w:lang w:eastAsia="zh-CN"/>
        </w:rPr>
        <w:t xml:space="preserve">e a </w:t>
      </w:r>
      <w:r w:rsidR="004A3933" w:rsidRPr="0072412E">
        <w:rPr>
          <w:rFonts w:eastAsia="SimSun"/>
          <w:lang w:eastAsia="zh-CN"/>
        </w:rPr>
        <w:t>supervisory review before the Supreme Court</w:t>
      </w:r>
      <w:r w:rsidR="004A3933">
        <w:rPr>
          <w:rFonts w:eastAsia="SimSun"/>
          <w:lang w:eastAsia="zh-CN"/>
        </w:rPr>
        <w:t>. He also states that a</w:t>
      </w:r>
      <w:r w:rsidR="0095072D">
        <w:rPr>
          <w:rFonts w:eastAsia="SimSun"/>
          <w:lang w:eastAsia="zh-CN"/>
        </w:rPr>
        <w:t xml:space="preserve"> further </w:t>
      </w:r>
      <w:r w:rsidR="004A3933">
        <w:rPr>
          <w:rFonts w:eastAsia="SimSun"/>
          <w:lang w:eastAsia="zh-CN"/>
        </w:rPr>
        <w:t xml:space="preserve">complaint to the General Prosecutor </w:t>
      </w:r>
      <w:r w:rsidR="004A3933" w:rsidRPr="0072412E">
        <w:rPr>
          <w:rFonts w:eastAsia="SimSun"/>
          <w:lang w:eastAsia="zh-CN"/>
        </w:rPr>
        <w:t>is not an affective remedy</w:t>
      </w:r>
      <w:r w:rsidR="004A3933">
        <w:rPr>
          <w:rFonts w:eastAsia="SimSun"/>
          <w:lang w:eastAsia="zh-CN"/>
        </w:rPr>
        <w:t xml:space="preserve"> since he already received the response of the Prosecutor’s General Office signed by the Deputy General Prosecutor who had not found </w:t>
      </w:r>
      <w:r w:rsidR="004A3933">
        <w:rPr>
          <w:rFonts w:eastAsia="SimSun"/>
          <w:lang w:val="en-US" w:eastAsia="zh-CN"/>
        </w:rPr>
        <w:t xml:space="preserve">any </w:t>
      </w:r>
      <w:r w:rsidR="004A3933" w:rsidRPr="004A3933">
        <w:rPr>
          <w:rFonts w:eastAsia="SimSun"/>
          <w:lang w:eastAsia="zh-CN"/>
        </w:rPr>
        <w:t xml:space="preserve">grounds for </w:t>
      </w:r>
      <w:r w:rsidR="0095072D">
        <w:rPr>
          <w:rFonts w:eastAsia="SimSun"/>
          <w:lang w:eastAsia="zh-CN"/>
        </w:rPr>
        <w:t xml:space="preserve">introduction of a supervisory </w:t>
      </w:r>
      <w:r w:rsidR="004A3933" w:rsidRPr="004A3933">
        <w:rPr>
          <w:rFonts w:eastAsia="SimSun"/>
          <w:lang w:eastAsia="zh-CN"/>
        </w:rPr>
        <w:t>protest</w:t>
      </w:r>
      <w:r w:rsidR="0095072D">
        <w:rPr>
          <w:rFonts w:eastAsia="SimSun"/>
          <w:lang w:eastAsia="zh-CN"/>
        </w:rPr>
        <w:t xml:space="preserve"> motion</w:t>
      </w:r>
      <w:r w:rsidR="004A3933" w:rsidRPr="0072412E">
        <w:rPr>
          <w:rFonts w:eastAsia="SimSun"/>
          <w:lang w:eastAsia="zh-CN"/>
        </w:rPr>
        <w:t xml:space="preserve">. </w:t>
      </w:r>
    </w:p>
    <w:p w14:paraId="1138DD3B" w14:textId="77777777" w:rsidR="002F7A52" w:rsidRPr="00E26D38" w:rsidRDefault="003519C8" w:rsidP="001B5A35">
      <w:pPr>
        <w:pStyle w:val="H23G"/>
      </w:pPr>
      <w:r w:rsidRPr="003519C8">
        <w:tab/>
      </w:r>
      <w:r w:rsidRPr="003519C8">
        <w:tab/>
      </w:r>
      <w:r w:rsidR="002F7A52" w:rsidRPr="003E3616">
        <w:t xml:space="preserve">State party’s </w:t>
      </w:r>
      <w:r w:rsidR="002F7A52" w:rsidRPr="001B5A35">
        <w:t>submissions</w:t>
      </w:r>
      <w:r w:rsidR="002F7A52" w:rsidRPr="003E3616">
        <w:t xml:space="preserve"> on merits</w:t>
      </w:r>
    </w:p>
    <w:p w14:paraId="4D8BE07F" w14:textId="45093FB7" w:rsidR="002F7A52" w:rsidRDefault="002F7A52" w:rsidP="001B5A35">
      <w:pPr>
        <w:pStyle w:val="SingleTxtG"/>
      </w:pPr>
      <w:r w:rsidRPr="00E26D38">
        <w:t>6</w:t>
      </w:r>
      <w:r w:rsidR="001525FB">
        <w:t>.1</w:t>
      </w:r>
      <w:r w:rsidR="00526C25">
        <w:tab/>
      </w:r>
      <w:r w:rsidRPr="00E26D38">
        <w:t xml:space="preserve">On 7 January 2015, the State party submitted its observations on the merits. It contends that no violation of the author’s rights under articles 19, and 21 of the Covenant, occurred in the present case. It also reiterates </w:t>
      </w:r>
      <w:r w:rsidRPr="001B5A35">
        <w:t>its</w:t>
      </w:r>
      <w:r w:rsidRPr="00E26D38">
        <w:t xml:space="preserve"> inadmissibility argumentation.</w:t>
      </w:r>
      <w:r>
        <w:t xml:space="preserve">  </w:t>
      </w:r>
      <w:r w:rsidR="00E26D38">
        <w:t xml:space="preserve">The State party reiterates that </w:t>
      </w:r>
      <w:r w:rsidR="00E26D38" w:rsidRPr="00E26D38">
        <w:t>that freedom of peaceful assembly is not prohibited in Kazakhstan,</w:t>
      </w:r>
      <w:r w:rsidR="00E26D38">
        <w:t xml:space="preserve"> but</w:t>
      </w:r>
      <w:r w:rsidR="00E26D38" w:rsidRPr="00E26D38">
        <w:t xml:space="preserve"> </w:t>
      </w:r>
      <w:r w:rsidR="00E26D38">
        <w:t>is regulated by certain limitations</w:t>
      </w:r>
      <w:r w:rsidR="00E26D38" w:rsidRPr="00E26D38">
        <w:t>.</w:t>
      </w:r>
    </w:p>
    <w:p w14:paraId="0A304D98" w14:textId="74FD7975" w:rsidR="00A74BB1" w:rsidRPr="003E3616" w:rsidRDefault="001525FB" w:rsidP="001B5A35">
      <w:pPr>
        <w:pStyle w:val="SingleTxtG"/>
      </w:pPr>
      <w:r>
        <w:t>6.2</w:t>
      </w:r>
      <w:r w:rsidR="00526C25">
        <w:tab/>
      </w:r>
      <w:r w:rsidR="00626E15">
        <w:t xml:space="preserve">The State </w:t>
      </w:r>
      <w:r w:rsidR="00626E15" w:rsidRPr="001B5A35">
        <w:t>party</w:t>
      </w:r>
      <w:r w:rsidR="00626E15">
        <w:t xml:space="preserve"> submits that the author was found liable not for realisation of his right to freedom of </w:t>
      </w:r>
      <w:r w:rsidR="001460EA">
        <w:t>assembly</w:t>
      </w:r>
      <w:r w:rsidR="00626E15">
        <w:t>, bu</w:t>
      </w:r>
      <w:r w:rsidR="0095072D">
        <w:t>t</w:t>
      </w:r>
      <w:r w:rsidR="00626E15">
        <w:t xml:space="preserve"> for violation of the order of this right realization as prescribed by the law. </w:t>
      </w:r>
    </w:p>
    <w:p w14:paraId="7A1D7172" w14:textId="19A991D4" w:rsidR="00626E15" w:rsidRPr="00A74BB1" w:rsidRDefault="001B5A35" w:rsidP="001B5A35">
      <w:pPr>
        <w:pStyle w:val="H23G"/>
      </w:pPr>
      <w:r>
        <w:tab/>
      </w:r>
      <w:r>
        <w:tab/>
      </w:r>
      <w:r w:rsidR="00626E15" w:rsidRPr="00A74BB1">
        <w:t>Author’s comments on the State party’s observations on merits</w:t>
      </w:r>
    </w:p>
    <w:p w14:paraId="56960937" w14:textId="47B791FA" w:rsidR="00626E15" w:rsidRDefault="00626E15" w:rsidP="001B5A35">
      <w:pPr>
        <w:pStyle w:val="SingleTxtG"/>
      </w:pPr>
      <w:r>
        <w:t>7.1</w:t>
      </w:r>
      <w:r w:rsidR="00526C25">
        <w:tab/>
      </w:r>
      <w:r>
        <w:t>On 10</w:t>
      </w:r>
      <w:r w:rsidRPr="00626E15">
        <w:t xml:space="preserve"> </w:t>
      </w:r>
      <w:r>
        <w:t>March 2015</w:t>
      </w:r>
      <w:r w:rsidRPr="00626E15">
        <w:t xml:space="preserve">, the author provided comments to the State party’s observations. He submits that </w:t>
      </w:r>
      <w:r w:rsidRPr="001B5A35">
        <w:t>although</w:t>
      </w:r>
      <w:r w:rsidRPr="00626E15">
        <w:t xml:space="preserve">, according to the State party, the rights under articles 19 and 21 of the Covenant are guaranteed in Kazakhstan and can only be restricted under certain circumstances, the State party did not explain why it was necessary to sanction him </w:t>
      </w:r>
      <w:r w:rsidR="00FC5212">
        <w:t>with</w:t>
      </w:r>
      <w:r w:rsidR="00FC5212" w:rsidRPr="00626E15">
        <w:t xml:space="preserve"> </w:t>
      </w:r>
      <w:r w:rsidRPr="00626E15">
        <w:t>an administrative fine.</w:t>
      </w:r>
    </w:p>
    <w:p w14:paraId="54EC64E9" w14:textId="382257EC" w:rsidR="00A74BB1" w:rsidRPr="00501739" w:rsidRDefault="001525FB" w:rsidP="001B5A35">
      <w:pPr>
        <w:pStyle w:val="SingleTxtG"/>
        <w:rPr>
          <w:rFonts w:eastAsia="Verdana"/>
        </w:rPr>
      </w:pPr>
      <w:r>
        <w:rPr>
          <w:rFonts w:eastAsia="Verdana"/>
        </w:rPr>
        <w:t>7.2</w:t>
      </w:r>
      <w:r w:rsidR="00526C25">
        <w:rPr>
          <w:rFonts w:eastAsia="Verdana"/>
        </w:rPr>
        <w:tab/>
      </w:r>
      <w:r w:rsidR="00A74BB1" w:rsidRPr="00501739">
        <w:rPr>
          <w:rFonts w:eastAsia="Verdana"/>
        </w:rPr>
        <w:t xml:space="preserve">The author submits that, in </w:t>
      </w:r>
      <w:r w:rsidR="00A94D2D" w:rsidRPr="00501739">
        <w:rPr>
          <w:rFonts w:eastAsia="Verdana"/>
        </w:rPr>
        <w:t>h</w:t>
      </w:r>
      <w:r w:rsidR="00A94D2D">
        <w:rPr>
          <w:rFonts w:eastAsia="Verdana"/>
        </w:rPr>
        <w:t>is</w:t>
      </w:r>
      <w:r w:rsidR="00A94D2D" w:rsidRPr="00501739">
        <w:rPr>
          <w:rFonts w:eastAsia="Verdana"/>
        </w:rPr>
        <w:t xml:space="preserve"> </w:t>
      </w:r>
      <w:r w:rsidR="00A74BB1" w:rsidRPr="00501739">
        <w:rPr>
          <w:rFonts w:eastAsia="Verdana"/>
        </w:rPr>
        <w:t xml:space="preserve">case, the conviction and administrative sanction imposed were the </w:t>
      </w:r>
      <w:r w:rsidR="00A74BB1" w:rsidRPr="001B5A35">
        <w:rPr>
          <w:rFonts w:eastAsia="Verdana"/>
        </w:rPr>
        <w:t>consequence</w:t>
      </w:r>
      <w:r w:rsidR="00A74BB1" w:rsidRPr="00501739">
        <w:rPr>
          <w:rFonts w:eastAsia="Verdana"/>
        </w:rPr>
        <w:t xml:space="preserve"> of h</w:t>
      </w:r>
      <w:r w:rsidR="00A94D2D">
        <w:rPr>
          <w:rFonts w:eastAsia="Verdana"/>
        </w:rPr>
        <w:t>im</w:t>
      </w:r>
      <w:r w:rsidR="00A74BB1" w:rsidRPr="00501739">
        <w:rPr>
          <w:rFonts w:eastAsia="Verdana"/>
        </w:rPr>
        <w:t xml:space="preserve"> </w:t>
      </w:r>
      <w:r w:rsidR="00A94D2D">
        <w:rPr>
          <w:rFonts w:eastAsia="Verdana"/>
        </w:rPr>
        <w:t>participating in</w:t>
      </w:r>
      <w:r w:rsidR="00A94D2D" w:rsidRPr="00501739">
        <w:rPr>
          <w:rFonts w:eastAsia="Verdana"/>
        </w:rPr>
        <w:t xml:space="preserve"> </w:t>
      </w:r>
      <w:r w:rsidR="00A74BB1" w:rsidRPr="00501739">
        <w:rPr>
          <w:rFonts w:eastAsia="Verdana"/>
        </w:rPr>
        <w:t xml:space="preserve">a public assembly that had not been permitted by the local authorities. </w:t>
      </w:r>
      <w:r w:rsidR="00A94D2D">
        <w:rPr>
          <w:rFonts w:eastAsia="Verdana"/>
        </w:rPr>
        <w:t>H</w:t>
      </w:r>
      <w:r w:rsidR="00A74BB1" w:rsidRPr="00501739">
        <w:rPr>
          <w:rFonts w:eastAsia="Verdana"/>
        </w:rPr>
        <w:t>e maintains that, under such circumstances, h</w:t>
      </w:r>
      <w:r w:rsidR="00A94D2D">
        <w:rPr>
          <w:rFonts w:eastAsia="Verdana"/>
        </w:rPr>
        <w:t>is</w:t>
      </w:r>
      <w:r w:rsidR="00A74BB1" w:rsidRPr="00501739">
        <w:rPr>
          <w:rFonts w:eastAsia="Verdana"/>
        </w:rPr>
        <w:t xml:space="preserve"> conviction constitutes </w:t>
      </w:r>
      <w:r w:rsidR="00FC5212">
        <w:rPr>
          <w:rFonts w:eastAsia="Verdana"/>
        </w:rPr>
        <w:t xml:space="preserve">a </w:t>
      </w:r>
      <w:r w:rsidR="00A74BB1" w:rsidRPr="00501739">
        <w:rPr>
          <w:rFonts w:eastAsia="Verdana"/>
        </w:rPr>
        <w:t>restriction on h</w:t>
      </w:r>
      <w:r w:rsidR="00A94D2D">
        <w:rPr>
          <w:rFonts w:eastAsia="Verdana"/>
        </w:rPr>
        <w:t>is</w:t>
      </w:r>
      <w:r w:rsidR="00A74BB1" w:rsidRPr="00501739">
        <w:rPr>
          <w:rFonts w:eastAsia="Verdana"/>
        </w:rPr>
        <w:t xml:space="preserve"> freedom of assembly. </w:t>
      </w:r>
      <w:r w:rsidR="00D86DDC">
        <w:rPr>
          <w:rFonts w:eastAsia="Verdana"/>
        </w:rPr>
        <w:t>He</w:t>
      </w:r>
      <w:r w:rsidR="00D86DDC" w:rsidRPr="00501739">
        <w:rPr>
          <w:rFonts w:eastAsia="Verdana"/>
        </w:rPr>
        <w:t xml:space="preserve"> </w:t>
      </w:r>
      <w:r w:rsidR="00A74BB1" w:rsidRPr="00501739">
        <w:rPr>
          <w:rFonts w:eastAsia="Verdana"/>
        </w:rPr>
        <w:t xml:space="preserve">submits that the above restrictions are not compatible with article 21 of the Covenant. </w:t>
      </w:r>
    </w:p>
    <w:p w14:paraId="0BE827FF" w14:textId="77777777" w:rsidR="00A94D2D" w:rsidRPr="0072412E" w:rsidRDefault="00A94D2D" w:rsidP="001B5A35">
      <w:pPr>
        <w:pStyle w:val="SingleTxtG"/>
      </w:pPr>
      <w:r>
        <w:rPr>
          <w:rFonts w:eastAsia="Verdana"/>
        </w:rPr>
        <w:t>7</w:t>
      </w:r>
      <w:r w:rsidR="00A74BB1" w:rsidRPr="00501739">
        <w:rPr>
          <w:rFonts w:eastAsia="Verdana"/>
        </w:rPr>
        <w:t>.3</w:t>
      </w:r>
      <w:r w:rsidR="00A74BB1" w:rsidRPr="00501739">
        <w:rPr>
          <w:rFonts w:eastAsia="Verdana"/>
        </w:rPr>
        <w:tab/>
      </w:r>
      <w:r w:rsidRPr="0072412E">
        <w:t xml:space="preserve">The author recalls the observations of the Special Rapporteur on the rights to freedom of peaceful </w:t>
      </w:r>
      <w:r w:rsidRPr="00B13C2B">
        <w:t>assembly</w:t>
      </w:r>
      <w:r w:rsidRPr="0072412E">
        <w:t xml:space="preserve"> and of association</w:t>
      </w:r>
      <w:r>
        <w:t xml:space="preserve">, </w:t>
      </w:r>
      <w:r w:rsidR="0095072D">
        <w:t xml:space="preserve">according to which </w:t>
      </w:r>
      <w:r w:rsidRPr="0072412E">
        <w:t>the law is an expression of the peoples will and is therefore meant to serve the people. The rule of law implies that individuals are free to enjoy their human rights without prior authorization from State authorities</w:t>
      </w:r>
      <w:r>
        <w:t xml:space="preserve"> (</w:t>
      </w:r>
      <w:r w:rsidRPr="0072412E">
        <w:t>A/HRC/29/25/Add.2, para. 91</w:t>
      </w:r>
      <w:r>
        <w:t>)</w:t>
      </w:r>
      <w:r w:rsidRPr="0072412E">
        <w:t>.</w:t>
      </w:r>
    </w:p>
    <w:p w14:paraId="6496F199" w14:textId="1AA3661F" w:rsidR="00321AE0" w:rsidRPr="00DB53BD" w:rsidRDefault="00FD58CC" w:rsidP="001B5A35">
      <w:pPr>
        <w:pStyle w:val="H23G"/>
      </w:pPr>
      <w:r>
        <w:tab/>
      </w:r>
      <w:r>
        <w:tab/>
      </w:r>
      <w:r w:rsidR="00321AE0" w:rsidRPr="00DB53BD">
        <w:t xml:space="preserve">State party’s </w:t>
      </w:r>
      <w:r w:rsidR="00321AE0" w:rsidRPr="001B5A35">
        <w:t>additional</w:t>
      </w:r>
      <w:r w:rsidR="00321AE0" w:rsidRPr="00DB53BD">
        <w:t xml:space="preserve"> information </w:t>
      </w:r>
    </w:p>
    <w:p w14:paraId="0DBF7000" w14:textId="4A68C7E2" w:rsidR="00A94D2D" w:rsidRDefault="001525FB" w:rsidP="001B5A35">
      <w:pPr>
        <w:pStyle w:val="SingleTxtG"/>
      </w:pPr>
      <w:r>
        <w:t>8.1</w:t>
      </w:r>
      <w:r w:rsidR="00526C25">
        <w:tab/>
      </w:r>
      <w:r w:rsidR="00816319">
        <w:t xml:space="preserve">On 11 February 2016, </w:t>
      </w:r>
      <w:r w:rsidR="00615119">
        <w:t>t</w:t>
      </w:r>
      <w:r w:rsidR="00816319">
        <w:t>he State party submitted additional information</w:t>
      </w:r>
      <w:r w:rsidR="00615119">
        <w:t xml:space="preserve"> </w:t>
      </w:r>
      <w:proofErr w:type="gramStart"/>
      <w:r w:rsidR="00615119">
        <w:t xml:space="preserve">reiterating </w:t>
      </w:r>
      <w:r w:rsidR="00E82A3C">
        <w:t xml:space="preserve"> its</w:t>
      </w:r>
      <w:proofErr w:type="gramEnd"/>
      <w:r w:rsidR="00E82A3C">
        <w:t xml:space="preserve"> position in regard to the author’s submission. </w:t>
      </w:r>
    </w:p>
    <w:p w14:paraId="04385551" w14:textId="72E3E297" w:rsidR="00E82A3C" w:rsidRPr="001B5A35" w:rsidRDefault="001525FB" w:rsidP="001B5A35">
      <w:pPr>
        <w:pStyle w:val="SingleTxtG"/>
        <w:rPr>
          <w:rFonts w:eastAsia="SimSun"/>
        </w:rPr>
      </w:pPr>
      <w:r>
        <w:t>8.2</w:t>
      </w:r>
      <w:r w:rsidR="00526C25">
        <w:tab/>
      </w:r>
      <w:r w:rsidR="00E82A3C">
        <w:t>The State party re</w:t>
      </w:r>
      <w:r w:rsidR="00E82A3C" w:rsidRPr="001B5A35">
        <w:t>f</w:t>
      </w:r>
      <w:r w:rsidR="00E82A3C">
        <w:t xml:space="preserve">utes the author’s statement that there was no explanation for what reasons the limitation of the author’s rights were necessary. </w:t>
      </w:r>
      <w:r w:rsidR="00E82A3C" w:rsidRPr="0072412E">
        <w:rPr>
          <w:rFonts w:eastAsia="SimSun"/>
          <w:lang w:eastAsia="zh-CN"/>
        </w:rPr>
        <w:t xml:space="preserve">The State party recalls that the rights enshrined in articles 19 and 21 of the Covenant are subject to certain limitations. While stating that freedom of peaceful assembly is not </w:t>
      </w:r>
      <w:r w:rsidR="00E82A3C">
        <w:rPr>
          <w:rFonts w:eastAsia="SimSun"/>
          <w:lang w:eastAsia="zh-CN"/>
        </w:rPr>
        <w:t xml:space="preserve">prohibited in Kazakhstan, it could be </w:t>
      </w:r>
      <w:r w:rsidR="00E82A3C" w:rsidRPr="00BC16DC">
        <w:rPr>
          <w:rFonts w:eastAsia="SimSun"/>
          <w:lang w:eastAsia="zh-CN"/>
        </w:rPr>
        <w:t>restricted</w:t>
      </w:r>
      <w:r w:rsidR="00E82A3C" w:rsidRPr="0095072D">
        <w:rPr>
          <w:rFonts w:eastAsia="SimSun"/>
          <w:lang w:eastAsia="zh-CN"/>
        </w:rPr>
        <w:t xml:space="preserve"> i</w:t>
      </w:r>
      <w:r w:rsidR="00E82A3C" w:rsidRPr="00E82A3C">
        <w:rPr>
          <w:rFonts w:eastAsia="SimSun"/>
          <w:lang w:eastAsia="zh-CN"/>
        </w:rPr>
        <w:t>n the interests of national security or public safety, public order (</w:t>
      </w:r>
      <w:proofErr w:type="spellStart"/>
      <w:r w:rsidR="00E82A3C" w:rsidRPr="00E82A3C">
        <w:rPr>
          <w:rFonts w:eastAsia="SimSun"/>
          <w:lang w:eastAsia="zh-CN"/>
        </w:rPr>
        <w:t>ordre</w:t>
      </w:r>
      <w:proofErr w:type="spellEnd"/>
      <w:r w:rsidR="00E82A3C" w:rsidRPr="00E82A3C">
        <w:rPr>
          <w:rFonts w:eastAsia="SimSun"/>
          <w:lang w:eastAsia="zh-CN"/>
        </w:rPr>
        <w:t xml:space="preserve"> public), the protection of public health or morals or the protection of the rights and freedoms of others. </w:t>
      </w:r>
      <w:r w:rsidR="00E82A3C">
        <w:rPr>
          <w:rFonts w:eastAsia="SimSun"/>
          <w:lang w:eastAsia="zh-CN"/>
        </w:rPr>
        <w:t xml:space="preserve"> In Kazakhstan, the provision of public order is the most important element of human rights respect</w:t>
      </w:r>
      <w:r w:rsidR="002E6D85">
        <w:rPr>
          <w:rFonts w:eastAsia="SimSun"/>
          <w:lang w:eastAsia="zh-CN"/>
        </w:rPr>
        <w:t xml:space="preserve"> guaranteed by the law. The </w:t>
      </w:r>
      <w:r w:rsidR="002E6D85" w:rsidRPr="002E6D85">
        <w:rPr>
          <w:rFonts w:eastAsia="SimSun"/>
          <w:lang w:eastAsia="zh-CN"/>
        </w:rPr>
        <w:t>authorized official</w:t>
      </w:r>
      <w:r w:rsidR="002E6D85">
        <w:rPr>
          <w:rFonts w:eastAsia="SimSun"/>
          <w:lang w:val="en-US" w:eastAsia="zh-CN"/>
        </w:rPr>
        <w:t xml:space="preserve">s should </w:t>
      </w:r>
      <w:r w:rsidR="00C41AAF">
        <w:rPr>
          <w:rFonts w:eastAsia="SimSun"/>
          <w:lang w:val="en-US" w:eastAsia="zh-CN"/>
        </w:rPr>
        <w:t xml:space="preserve">stop violations of public order and administrative offences. </w:t>
      </w:r>
    </w:p>
    <w:p w14:paraId="002DC970" w14:textId="13027888" w:rsidR="002E6D85" w:rsidRDefault="002E6D85" w:rsidP="00A94D2D">
      <w:pPr>
        <w:pStyle w:val="SingleTxtG"/>
        <w:rPr>
          <w:lang w:val="en-US"/>
        </w:rPr>
      </w:pPr>
      <w:r>
        <w:t>8.</w:t>
      </w:r>
      <w:r w:rsidR="001525FB">
        <w:rPr>
          <w:lang w:val="en-US"/>
        </w:rPr>
        <w:t>3</w:t>
      </w:r>
      <w:r w:rsidR="00526C25">
        <w:rPr>
          <w:lang w:val="en-US"/>
        </w:rPr>
        <w:tab/>
      </w:r>
      <w:r>
        <w:rPr>
          <w:lang w:val="en-US"/>
        </w:rPr>
        <w:t xml:space="preserve">The State party also submits that the apprehension of the author was lawful and conducted in order to protect public order since the participants of the unauthorized assembly disturbed the people in the hotel and in the public square.  </w:t>
      </w:r>
      <w:r w:rsidR="00C41AAF">
        <w:rPr>
          <w:lang w:val="en-US"/>
        </w:rPr>
        <w:t>Thus, the author was apprehended and found liable for the participation in the unauthorized assembly in order to stop the violation of public order</w:t>
      </w:r>
      <w:r w:rsidR="008F39C7">
        <w:rPr>
          <w:lang w:val="en-US"/>
        </w:rPr>
        <w:t>. Th</w:t>
      </w:r>
      <w:r w:rsidR="0095072D">
        <w:rPr>
          <w:lang w:val="en-US"/>
        </w:rPr>
        <w:t>e</w:t>
      </w:r>
      <w:r w:rsidR="008F39C7">
        <w:rPr>
          <w:lang w:val="en-US"/>
        </w:rPr>
        <w:t xml:space="preserve"> measure </w:t>
      </w:r>
      <w:r w:rsidR="0095072D">
        <w:rPr>
          <w:lang w:val="en-US"/>
        </w:rPr>
        <w:t xml:space="preserve">applied against him </w:t>
      </w:r>
      <w:r w:rsidR="008F39C7">
        <w:rPr>
          <w:lang w:val="en-US"/>
        </w:rPr>
        <w:t xml:space="preserve">was the least limiting by nature and proportionate to the protected interest, </w:t>
      </w:r>
      <w:r w:rsidR="0095072D">
        <w:rPr>
          <w:lang w:val="en-US"/>
        </w:rPr>
        <w:t xml:space="preserve">i.e. </w:t>
      </w:r>
      <w:r w:rsidR="008F39C7">
        <w:rPr>
          <w:lang w:val="en-US"/>
        </w:rPr>
        <w:t xml:space="preserve">it was justified and proportionate. </w:t>
      </w:r>
    </w:p>
    <w:p w14:paraId="77958C53" w14:textId="48036EC9" w:rsidR="008F39C7" w:rsidRDefault="001525FB" w:rsidP="001B5A35">
      <w:pPr>
        <w:pStyle w:val="SingleTxtG"/>
        <w:rPr>
          <w:lang w:val="en-US"/>
        </w:rPr>
      </w:pPr>
      <w:r>
        <w:rPr>
          <w:lang w:val="en-US"/>
        </w:rPr>
        <w:lastRenderedPageBreak/>
        <w:t>8.4</w:t>
      </w:r>
      <w:r w:rsidR="00526C25">
        <w:rPr>
          <w:lang w:val="en-US"/>
        </w:rPr>
        <w:tab/>
      </w:r>
      <w:r w:rsidR="00D348BA">
        <w:rPr>
          <w:lang w:val="en-US"/>
        </w:rPr>
        <w:t xml:space="preserve">The State party submits that the citizens of Kazakhstan actively </w:t>
      </w:r>
      <w:r w:rsidR="008034DF">
        <w:rPr>
          <w:lang w:val="en-US"/>
        </w:rPr>
        <w:t>realize</w:t>
      </w:r>
      <w:r w:rsidR="00D348BA">
        <w:rPr>
          <w:lang w:val="en-US"/>
        </w:rPr>
        <w:t xml:space="preserve"> their rights to freedom of expression and freedom of assembly. During the period of 2012 – 2015, 130 public events were conducted. The author could request </w:t>
      </w:r>
      <w:r w:rsidR="00023265">
        <w:rPr>
          <w:lang w:val="en-US"/>
        </w:rPr>
        <w:t xml:space="preserve">an </w:t>
      </w:r>
      <w:r w:rsidR="00D348BA">
        <w:rPr>
          <w:lang w:val="en-US"/>
        </w:rPr>
        <w:t xml:space="preserve">authorization of a public event. </w:t>
      </w:r>
    </w:p>
    <w:p w14:paraId="3F3546A9" w14:textId="363679A8" w:rsidR="00D348BA" w:rsidRDefault="001525FB" w:rsidP="001B5A35">
      <w:pPr>
        <w:pStyle w:val="SingleTxtG"/>
        <w:rPr>
          <w:lang w:val="en-US"/>
        </w:rPr>
      </w:pPr>
      <w:r>
        <w:rPr>
          <w:lang w:val="en-US"/>
        </w:rPr>
        <w:t>8.5</w:t>
      </w:r>
      <w:r w:rsidR="00526C25">
        <w:rPr>
          <w:lang w:val="en-US"/>
        </w:rPr>
        <w:tab/>
      </w:r>
      <w:r w:rsidR="00D348BA">
        <w:rPr>
          <w:lang w:val="en-US"/>
        </w:rPr>
        <w:t xml:space="preserve">The State party also submits that the complaint of the author should be found inadmissible as </w:t>
      </w:r>
      <w:r w:rsidR="00D348BA" w:rsidRPr="00D348BA">
        <w:rPr>
          <w:lang w:val="en-US"/>
        </w:rPr>
        <w:t>incompatible with</w:t>
      </w:r>
      <w:r w:rsidR="00D348BA">
        <w:rPr>
          <w:lang w:val="en-US"/>
        </w:rPr>
        <w:t xml:space="preserve"> the provisions of the Covenant since </w:t>
      </w:r>
      <w:r w:rsidR="0095072D">
        <w:rPr>
          <w:lang w:val="en-US"/>
        </w:rPr>
        <w:t xml:space="preserve">a </w:t>
      </w:r>
      <w:r w:rsidR="00D348BA">
        <w:rPr>
          <w:lang w:val="en-US"/>
        </w:rPr>
        <w:t>violation claimed in a complain</w:t>
      </w:r>
      <w:r w:rsidR="0095072D">
        <w:rPr>
          <w:lang w:val="en-US"/>
        </w:rPr>
        <w:t>t</w:t>
      </w:r>
      <w:r w:rsidR="00D348BA">
        <w:rPr>
          <w:lang w:val="en-US"/>
        </w:rPr>
        <w:t xml:space="preserve"> should concern the rights which are protected by the Covenant; </w:t>
      </w:r>
      <w:r w:rsidR="003E0E17">
        <w:rPr>
          <w:lang w:val="en-US"/>
        </w:rPr>
        <w:t xml:space="preserve">the Committee </w:t>
      </w:r>
      <w:r w:rsidR="003E0E17" w:rsidRPr="003E0E17">
        <w:rPr>
          <w:lang w:val="en-US"/>
        </w:rPr>
        <w:t>is generally not in a position to review a sentence imposed by national courts, nor can it review the question of innocence or guilt</w:t>
      </w:r>
      <w:r w:rsidR="003E0E17">
        <w:rPr>
          <w:lang w:val="en-US"/>
        </w:rPr>
        <w:t xml:space="preserve">, and </w:t>
      </w:r>
      <w:r w:rsidR="003E0E17" w:rsidRPr="003E0E17">
        <w:rPr>
          <w:lang w:val="en-US"/>
        </w:rPr>
        <w:t xml:space="preserve">is generally not in a position to review the evaluation of facts and evidence made by the national courts and authorities, nor can it review the interpretation of domestic legislation unless </w:t>
      </w:r>
      <w:r w:rsidR="0095072D">
        <w:rPr>
          <w:lang w:val="en-US"/>
        </w:rPr>
        <w:t xml:space="preserve">if </w:t>
      </w:r>
      <w:r w:rsidR="003E0E17" w:rsidRPr="003E0E17">
        <w:rPr>
          <w:lang w:val="en-US"/>
        </w:rPr>
        <w:t>the author of the communication can demonstrate that such evaluation was arbitrary or amounted to a manifest error or denial of justice, or that the courts otherwise failed in their duty of independence and impartiality.</w:t>
      </w:r>
      <w:r w:rsidR="003E0E17">
        <w:rPr>
          <w:lang w:val="en-US"/>
        </w:rPr>
        <w:t xml:space="preserve"> </w:t>
      </w:r>
    </w:p>
    <w:p w14:paraId="79E4A904" w14:textId="0E5291D2" w:rsidR="003E0E17" w:rsidRDefault="001525FB" w:rsidP="001B5A35">
      <w:pPr>
        <w:pStyle w:val="SingleTxtG"/>
        <w:rPr>
          <w:lang w:val="en-US"/>
        </w:rPr>
      </w:pPr>
      <w:r>
        <w:rPr>
          <w:lang w:val="en-US"/>
        </w:rPr>
        <w:t>8.6</w:t>
      </w:r>
      <w:r w:rsidR="00526C25">
        <w:rPr>
          <w:lang w:val="en-US"/>
        </w:rPr>
        <w:tab/>
      </w:r>
      <w:r w:rsidR="00DB53BD">
        <w:rPr>
          <w:lang w:val="en-US"/>
        </w:rPr>
        <w:t xml:space="preserve">The State party submits that the claims of the author are not compatible with </w:t>
      </w:r>
      <w:r w:rsidR="0095072D">
        <w:rPr>
          <w:lang w:val="en-US"/>
        </w:rPr>
        <w:t xml:space="preserve">the </w:t>
      </w:r>
      <w:r w:rsidR="00DB53BD">
        <w:rPr>
          <w:lang w:val="en-US"/>
        </w:rPr>
        <w:t>above mentioned principles. The author request</w:t>
      </w:r>
      <w:r w:rsidR="00064513">
        <w:rPr>
          <w:lang w:val="en-US"/>
        </w:rPr>
        <w:t>s</w:t>
      </w:r>
      <w:r w:rsidR="00DB53BD">
        <w:rPr>
          <w:lang w:val="en-US"/>
        </w:rPr>
        <w:t xml:space="preserve"> the </w:t>
      </w:r>
      <w:r w:rsidR="00DB53BD" w:rsidRPr="001B5A35">
        <w:t>Committee</w:t>
      </w:r>
      <w:r w:rsidR="00DB53BD">
        <w:rPr>
          <w:lang w:val="en-US"/>
        </w:rPr>
        <w:t xml:space="preserve"> to go</w:t>
      </w:r>
      <w:r w:rsidR="00DB53BD" w:rsidRPr="00DB53BD">
        <w:rPr>
          <w:lang w:val="en-US"/>
        </w:rPr>
        <w:t xml:space="preserve"> beyond </w:t>
      </w:r>
      <w:r w:rsidR="00DB53BD">
        <w:rPr>
          <w:lang w:val="en-US"/>
        </w:rPr>
        <w:t xml:space="preserve">its </w:t>
      </w:r>
      <w:r w:rsidR="00DB53BD" w:rsidRPr="00DB53BD">
        <w:rPr>
          <w:lang w:val="en-US"/>
        </w:rPr>
        <w:t xml:space="preserve">competence and </w:t>
      </w:r>
      <w:r w:rsidR="00DB53BD">
        <w:rPr>
          <w:lang w:val="en-US"/>
        </w:rPr>
        <w:t xml:space="preserve">to </w:t>
      </w:r>
      <w:r w:rsidR="00DB53BD" w:rsidRPr="00DB53BD">
        <w:rPr>
          <w:lang w:val="en-US"/>
        </w:rPr>
        <w:t xml:space="preserve">intervene in the internal affairs of </w:t>
      </w:r>
      <w:r w:rsidR="0095072D">
        <w:rPr>
          <w:lang w:val="en-US"/>
        </w:rPr>
        <w:t xml:space="preserve">an </w:t>
      </w:r>
      <w:r w:rsidR="00DB53BD" w:rsidRPr="00DB53BD">
        <w:rPr>
          <w:lang w:val="en-US"/>
        </w:rPr>
        <w:t>independent State</w:t>
      </w:r>
      <w:r w:rsidR="00DB53BD">
        <w:rPr>
          <w:lang w:val="en-US"/>
        </w:rPr>
        <w:t>,</w:t>
      </w:r>
      <w:r w:rsidR="00DB53BD" w:rsidRPr="00DB53BD">
        <w:rPr>
          <w:lang w:val="en-US"/>
        </w:rPr>
        <w:t xml:space="preserve"> and </w:t>
      </w:r>
      <w:r w:rsidR="00DB53BD">
        <w:rPr>
          <w:lang w:val="en-US"/>
        </w:rPr>
        <w:t xml:space="preserve">to </w:t>
      </w:r>
      <w:r w:rsidR="00DB53BD" w:rsidRPr="00DB53BD">
        <w:rPr>
          <w:lang w:val="en-US"/>
        </w:rPr>
        <w:t>have a direct impact on public policies in the field of human rights</w:t>
      </w:r>
      <w:r w:rsidR="00DB53BD">
        <w:rPr>
          <w:lang w:val="en-US"/>
        </w:rPr>
        <w:t xml:space="preserve">. At the same time, the author did not </w:t>
      </w:r>
      <w:r w:rsidR="00064513">
        <w:rPr>
          <w:lang w:val="en-US"/>
        </w:rPr>
        <w:t xml:space="preserve">provide </w:t>
      </w:r>
      <w:r w:rsidR="00DB53BD">
        <w:rPr>
          <w:lang w:val="en-US"/>
        </w:rPr>
        <w:t>any motivated or expert conclusions that the national law on freedom of associations and freedom of expression</w:t>
      </w:r>
      <w:r w:rsidR="00AB43F4">
        <w:rPr>
          <w:lang w:val="en-US"/>
        </w:rPr>
        <w:t xml:space="preserve"> contradict</w:t>
      </w:r>
      <w:r w:rsidR="00064513">
        <w:rPr>
          <w:lang w:val="en-US"/>
        </w:rPr>
        <w:t>s</w:t>
      </w:r>
      <w:r w:rsidR="00AB43F4">
        <w:rPr>
          <w:lang w:val="en-US"/>
        </w:rPr>
        <w:t xml:space="preserve"> international standards. </w:t>
      </w:r>
    </w:p>
    <w:p w14:paraId="543506AC" w14:textId="30C8FEBF" w:rsidR="00AB43F4" w:rsidRDefault="001525FB">
      <w:pPr>
        <w:pStyle w:val="SingleTxtG"/>
        <w:rPr>
          <w:lang w:val="en-US"/>
        </w:rPr>
      </w:pPr>
      <w:r>
        <w:rPr>
          <w:lang w:val="en-US"/>
        </w:rPr>
        <w:t>8.7</w:t>
      </w:r>
      <w:r w:rsidR="00526C25">
        <w:rPr>
          <w:lang w:val="en-US"/>
        </w:rPr>
        <w:tab/>
      </w:r>
      <w:r w:rsidR="00AB43F4">
        <w:rPr>
          <w:lang w:val="en-US"/>
        </w:rPr>
        <w:t xml:space="preserve">The State party also submits that the appeal to the General Prosecutor is an effective remedy. The State party brought one example when the appeal to the General Prosecutor was successful. </w:t>
      </w:r>
    </w:p>
    <w:p w14:paraId="114DD705" w14:textId="4825932E" w:rsidR="00AB43F4" w:rsidRPr="001A0346" w:rsidRDefault="00FD58CC" w:rsidP="00B13C2B">
      <w:pPr>
        <w:pStyle w:val="H23G"/>
      </w:pPr>
      <w:r>
        <w:tab/>
      </w:r>
      <w:r>
        <w:tab/>
      </w:r>
      <w:r w:rsidR="008034DF" w:rsidRPr="001A0346">
        <w:t xml:space="preserve">Author’s comments on the State party’s additional information </w:t>
      </w:r>
    </w:p>
    <w:p w14:paraId="723E88D2" w14:textId="37F9FB01" w:rsidR="00023265" w:rsidRPr="002216E8" w:rsidRDefault="00023265" w:rsidP="001B5A35">
      <w:pPr>
        <w:pStyle w:val="SingleTxtG"/>
      </w:pPr>
      <w:r>
        <w:t>9</w:t>
      </w:r>
      <w:r w:rsidR="0095072D">
        <w:t>.</w:t>
      </w:r>
      <w:r w:rsidR="00526C25">
        <w:tab/>
      </w:r>
      <w:r w:rsidR="0095072D">
        <w:t>On</w:t>
      </w:r>
      <w:r w:rsidR="00BC16DC">
        <w:t xml:space="preserve"> 10 March </w:t>
      </w:r>
      <w:r w:rsidR="0095072D">
        <w:t>2016, t</w:t>
      </w:r>
      <w:r>
        <w:t xml:space="preserve">he author reiterated all previous information he submitted to the Committee claiming the communication admissible and substantiated. </w:t>
      </w:r>
    </w:p>
    <w:p w14:paraId="6413CE5B" w14:textId="140A8EC5" w:rsidR="00A74BB1" w:rsidRPr="001A0346" w:rsidRDefault="00FD58CC" w:rsidP="00B13C2B">
      <w:pPr>
        <w:pStyle w:val="H23G"/>
        <w:rPr>
          <w:rFonts w:eastAsia="Verdana"/>
        </w:rPr>
      </w:pPr>
      <w:r>
        <w:rPr>
          <w:rFonts w:eastAsia="Verdana"/>
        </w:rPr>
        <w:tab/>
      </w:r>
      <w:r>
        <w:rPr>
          <w:rFonts w:eastAsia="Verdana"/>
        </w:rPr>
        <w:tab/>
      </w:r>
      <w:r w:rsidR="002216E8" w:rsidRPr="001A0346">
        <w:rPr>
          <w:rFonts w:eastAsia="Verdana"/>
        </w:rPr>
        <w:t>State party’s additional information</w:t>
      </w:r>
    </w:p>
    <w:p w14:paraId="66E072D1" w14:textId="249DA17A" w:rsidR="002216E8" w:rsidRDefault="001525FB" w:rsidP="00A74BB1">
      <w:pPr>
        <w:spacing w:after="120"/>
        <w:ind w:left="1134" w:right="1134"/>
        <w:jc w:val="both"/>
        <w:rPr>
          <w:rFonts w:eastAsia="Verdana"/>
        </w:rPr>
      </w:pPr>
      <w:r>
        <w:rPr>
          <w:rFonts w:eastAsia="Verdana"/>
        </w:rPr>
        <w:t>10.1</w:t>
      </w:r>
      <w:r w:rsidR="00526C25">
        <w:rPr>
          <w:rFonts w:eastAsia="Verdana"/>
        </w:rPr>
        <w:tab/>
      </w:r>
      <w:r w:rsidR="00816319" w:rsidRPr="00816319">
        <w:rPr>
          <w:rFonts w:eastAsia="Verdana"/>
        </w:rPr>
        <w:t xml:space="preserve">On </w:t>
      </w:r>
      <w:r w:rsidR="00816319">
        <w:rPr>
          <w:rFonts w:eastAsia="Verdana"/>
        </w:rPr>
        <w:t>2</w:t>
      </w:r>
      <w:r w:rsidR="00816319" w:rsidRPr="00816319">
        <w:rPr>
          <w:rFonts w:eastAsia="Verdana"/>
        </w:rPr>
        <w:t xml:space="preserve"> </w:t>
      </w:r>
      <w:r w:rsidR="00816319">
        <w:rPr>
          <w:rFonts w:eastAsia="Verdana"/>
        </w:rPr>
        <w:t>April 2016,</w:t>
      </w:r>
      <w:r w:rsidR="00816319" w:rsidRPr="00816319">
        <w:rPr>
          <w:rFonts w:eastAsia="Verdana"/>
        </w:rPr>
        <w:t xml:space="preserve"> </w:t>
      </w:r>
      <w:r w:rsidR="00816319">
        <w:rPr>
          <w:rFonts w:eastAsia="Verdana"/>
        </w:rPr>
        <w:t>t</w:t>
      </w:r>
      <w:r w:rsidR="00816319" w:rsidRPr="00816319">
        <w:rPr>
          <w:rFonts w:eastAsia="Verdana"/>
        </w:rPr>
        <w:t xml:space="preserve">he State party submitted additional information. </w:t>
      </w:r>
    </w:p>
    <w:p w14:paraId="4BA19C22" w14:textId="65D17343" w:rsidR="00816319" w:rsidRDefault="00816319" w:rsidP="00B13C2B">
      <w:pPr>
        <w:pStyle w:val="SingleTxtG"/>
        <w:rPr>
          <w:rFonts w:eastAsia="Verdana"/>
        </w:rPr>
      </w:pPr>
      <w:r>
        <w:rPr>
          <w:rFonts w:eastAsia="Verdana"/>
        </w:rPr>
        <w:t>10.</w:t>
      </w:r>
      <w:r w:rsidR="0095072D">
        <w:rPr>
          <w:rFonts w:eastAsia="Verdana"/>
        </w:rPr>
        <w:t>2</w:t>
      </w:r>
      <w:r w:rsidR="00526C25">
        <w:rPr>
          <w:rFonts w:eastAsia="Verdana"/>
        </w:rPr>
        <w:tab/>
      </w:r>
      <w:r>
        <w:rPr>
          <w:rFonts w:eastAsia="Verdana"/>
        </w:rPr>
        <w:t>The State party submits that the complaint should be found inadmissible under article 3 of the Optional Protocol a</w:t>
      </w:r>
      <w:r w:rsidRPr="001B5A35">
        <w:rPr>
          <w:rFonts w:eastAsia="Verdana"/>
        </w:rPr>
        <w:t>nd rule 96 (b) of the Rules of Procedure since the author did not provide any information why</w:t>
      </w:r>
      <w:r>
        <w:rPr>
          <w:rFonts w:eastAsia="Verdana"/>
        </w:rPr>
        <w:t xml:space="preserve"> he was not able to submit his complaint himself when the Rules of Procedure allow to submit </w:t>
      </w:r>
      <w:r w:rsidR="00064513">
        <w:rPr>
          <w:rFonts w:eastAsia="Verdana"/>
        </w:rPr>
        <w:t xml:space="preserve">a </w:t>
      </w:r>
      <w:r>
        <w:rPr>
          <w:rFonts w:eastAsia="Verdana"/>
        </w:rPr>
        <w:t xml:space="preserve">complaint by means of representative when a person is not able to do it himself. </w:t>
      </w:r>
    </w:p>
    <w:p w14:paraId="11EFA6E3" w14:textId="7BA0BA41" w:rsidR="00BC16DC" w:rsidRDefault="001525FB" w:rsidP="001B5A35">
      <w:pPr>
        <w:pStyle w:val="SingleTxtG"/>
        <w:rPr>
          <w:rFonts w:eastAsia="Verdana"/>
        </w:rPr>
      </w:pPr>
      <w:r>
        <w:rPr>
          <w:rFonts w:eastAsia="Verdana"/>
        </w:rPr>
        <w:t>10.3</w:t>
      </w:r>
      <w:r w:rsidR="00526C25">
        <w:rPr>
          <w:rFonts w:eastAsia="Verdana"/>
        </w:rPr>
        <w:tab/>
      </w:r>
      <w:r w:rsidR="00BC16DC" w:rsidRPr="001B5A35">
        <w:rPr>
          <w:rFonts w:eastAsia="Verdana"/>
        </w:rPr>
        <w:t>The</w:t>
      </w:r>
      <w:r w:rsidR="00BC16DC">
        <w:rPr>
          <w:rFonts w:eastAsia="Verdana"/>
        </w:rPr>
        <w:t xml:space="preserve"> State party </w:t>
      </w:r>
      <w:r w:rsidR="00BC16DC" w:rsidRPr="001B5A35">
        <w:rPr>
          <w:rFonts w:eastAsia="Verdana"/>
        </w:rPr>
        <w:t>provided</w:t>
      </w:r>
      <w:r w:rsidR="00BC16DC">
        <w:rPr>
          <w:rFonts w:eastAsia="Verdana"/>
        </w:rPr>
        <w:t xml:space="preserve"> one more example </w:t>
      </w:r>
      <w:r w:rsidR="00BC16DC" w:rsidRPr="00BC16DC">
        <w:rPr>
          <w:rFonts w:eastAsia="Verdana"/>
        </w:rPr>
        <w:t>when the appeal to the General Prosecutor was successful</w:t>
      </w:r>
      <w:r w:rsidR="00BC16DC">
        <w:rPr>
          <w:rFonts w:eastAsia="Verdana"/>
        </w:rPr>
        <w:t>.</w:t>
      </w:r>
      <w:r w:rsidR="0017166B">
        <w:rPr>
          <w:rStyle w:val="FootnoteReference"/>
          <w:rFonts w:eastAsia="Verdana"/>
        </w:rPr>
        <w:footnoteReference w:id="8"/>
      </w:r>
      <w:r w:rsidR="00BC16DC">
        <w:rPr>
          <w:rFonts w:eastAsia="Verdana"/>
        </w:rPr>
        <w:t xml:space="preserve"> </w:t>
      </w:r>
    </w:p>
    <w:p w14:paraId="4638E9AA" w14:textId="346659F1" w:rsidR="008C00E7" w:rsidRPr="008C00E7" w:rsidRDefault="00FD58CC" w:rsidP="001B5A35">
      <w:pPr>
        <w:pStyle w:val="H23G"/>
      </w:pPr>
      <w:r>
        <w:tab/>
      </w:r>
      <w:r>
        <w:tab/>
      </w:r>
      <w:r w:rsidR="008C00E7" w:rsidRPr="008C00E7">
        <w:t xml:space="preserve">Issues and </w:t>
      </w:r>
      <w:r w:rsidR="008C00E7" w:rsidRPr="001B5A35">
        <w:t>proceedings</w:t>
      </w:r>
      <w:r w:rsidR="008C00E7" w:rsidRPr="008C00E7">
        <w:t xml:space="preserve"> before the Committee</w:t>
      </w:r>
    </w:p>
    <w:p w14:paraId="251BC282" w14:textId="13ACE128" w:rsidR="00B641C7" w:rsidRPr="001B5A35" w:rsidRDefault="001B5A35" w:rsidP="001B5A35">
      <w:pPr>
        <w:pStyle w:val="H4G"/>
      </w:pPr>
      <w:r>
        <w:tab/>
      </w:r>
      <w:r>
        <w:tab/>
      </w:r>
      <w:r w:rsidR="008C00E7" w:rsidRPr="001B5A35">
        <w:t>Consideration of admissibility</w:t>
      </w:r>
    </w:p>
    <w:p w14:paraId="1D9D5CF3" w14:textId="5B207719" w:rsidR="00B641C7" w:rsidRDefault="001A0346" w:rsidP="001B5A35">
      <w:pPr>
        <w:pStyle w:val="SingleTxtG"/>
      </w:pPr>
      <w:r>
        <w:t>11</w:t>
      </w:r>
      <w:r w:rsidR="008C00E7">
        <w:t>.1</w:t>
      </w:r>
      <w:r w:rsidR="00526C25">
        <w:tab/>
      </w:r>
      <w:r w:rsidR="008C00E7" w:rsidRPr="008C00E7">
        <w:t xml:space="preserve">Before considering </w:t>
      </w:r>
      <w:r w:rsidR="008C00E7" w:rsidRPr="001B5A35">
        <w:t>any</w:t>
      </w:r>
      <w:r w:rsidR="008C00E7" w:rsidRPr="008C00E7">
        <w:t xml:space="preserve"> claim contained in a communication, the Committee must decide, in accordance with </w:t>
      </w:r>
      <w:r w:rsidR="008C00E7" w:rsidRPr="00B13C2B">
        <w:t>rule</w:t>
      </w:r>
      <w:r w:rsidR="008C00E7" w:rsidRPr="003E3616">
        <w:t xml:space="preserve"> </w:t>
      </w:r>
      <w:r w:rsidRPr="003E3616">
        <w:t xml:space="preserve">97 </w:t>
      </w:r>
      <w:r w:rsidR="008C00E7" w:rsidRPr="008C00E7">
        <w:t>of its rules of procedure, whether the communication is admissi</w:t>
      </w:r>
      <w:r w:rsidR="00B641C7">
        <w:t>ble under the Optional Protocol.</w:t>
      </w:r>
    </w:p>
    <w:p w14:paraId="3903A182" w14:textId="6FCCCE90" w:rsidR="00B641C7" w:rsidRDefault="001A0346" w:rsidP="001B5A35">
      <w:pPr>
        <w:pStyle w:val="SingleTxtG"/>
      </w:pPr>
      <w:r>
        <w:t>11</w:t>
      </w:r>
      <w:r w:rsidR="00FB1F6C">
        <w:t>.2</w:t>
      </w:r>
      <w:r w:rsidR="00526C25">
        <w:tab/>
      </w:r>
      <w:r w:rsidR="008C00E7" w:rsidRPr="008C00E7">
        <w:t xml:space="preserve">As required under article 5 (2) (a) of the Optional Protocol, the Committee has ascertained that </w:t>
      </w:r>
      <w:r w:rsidR="008C00E7" w:rsidRPr="001B5A35">
        <w:t>the</w:t>
      </w:r>
      <w:r w:rsidR="008C00E7" w:rsidRPr="008C00E7">
        <w:t xml:space="preserve"> </w:t>
      </w:r>
      <w:r w:rsidR="008C00E7" w:rsidRPr="001B5A35">
        <w:t>same</w:t>
      </w:r>
      <w:r w:rsidR="008C00E7" w:rsidRPr="008C00E7">
        <w:t xml:space="preserve"> matter is not being examined under another procedure of international investigation or settlement.</w:t>
      </w:r>
    </w:p>
    <w:p w14:paraId="4F7F51C0" w14:textId="791FE9A5" w:rsidR="00C56D0E" w:rsidRPr="00C56D0E" w:rsidRDefault="001A0346" w:rsidP="00B2656F">
      <w:pPr>
        <w:pStyle w:val="SingleTxtG"/>
        <w:keepNext/>
        <w:keepLines/>
      </w:pPr>
      <w:r>
        <w:lastRenderedPageBreak/>
        <w:t>11</w:t>
      </w:r>
      <w:r w:rsidR="008C00E7" w:rsidRPr="0028434D">
        <w:t>.3</w:t>
      </w:r>
      <w:r w:rsidR="00526C25">
        <w:tab/>
      </w:r>
      <w:r w:rsidRPr="0072412E">
        <w:t xml:space="preserve">The </w:t>
      </w:r>
      <w:r w:rsidRPr="001B5A35">
        <w:t>Committee</w:t>
      </w:r>
      <w:r w:rsidRPr="0072412E">
        <w:t xml:space="preserve"> notes the </w:t>
      </w:r>
      <w:r w:rsidRPr="00B13C2B">
        <w:t>author’s</w:t>
      </w:r>
      <w:r w:rsidRPr="0072412E">
        <w:t xml:space="preserve"> claim that all available domestic remedies have been exhausted. It also notes the State party’s observation that the author has not requested the Prosecutor General to </w:t>
      </w:r>
      <w:r w:rsidRPr="001B5A35">
        <w:t>initiate</w:t>
      </w:r>
      <w:r w:rsidRPr="0072412E">
        <w:t xml:space="preserve"> supervisory review proceedings </w:t>
      </w:r>
      <w:r w:rsidR="0095072D">
        <w:t xml:space="preserve">under </w:t>
      </w:r>
      <w:r w:rsidR="0095072D" w:rsidRPr="007B4EB9">
        <w:rPr>
          <w:rFonts w:eastAsia="SimSun"/>
          <w:lang w:eastAsia="zh-CN"/>
        </w:rPr>
        <w:t xml:space="preserve">article 40 of the Administrative Offences Code </w:t>
      </w:r>
      <w:r w:rsidRPr="0072412E">
        <w:t xml:space="preserve">before the Supreme Court and that he has thus failed to exhaust domestic remedies. In this regard, the Committee notes that the author submitted a request </w:t>
      </w:r>
      <w:r>
        <w:t>to</w:t>
      </w:r>
      <w:r w:rsidRPr="0072412E">
        <w:t xml:space="preserve"> initiat</w:t>
      </w:r>
      <w:r>
        <w:t>e</w:t>
      </w:r>
      <w:r w:rsidRPr="0072412E">
        <w:t xml:space="preserve"> supervisory review </w:t>
      </w:r>
      <w:r>
        <w:t xml:space="preserve">proceedings </w:t>
      </w:r>
      <w:r w:rsidRPr="0072412E">
        <w:t xml:space="preserve">to the Prosecutor General’s </w:t>
      </w:r>
      <w:r>
        <w:t>O</w:t>
      </w:r>
      <w:r w:rsidRPr="0072412E">
        <w:t xml:space="preserve">ffice on </w:t>
      </w:r>
      <w:r w:rsidR="00DE2679" w:rsidRPr="00DE2679">
        <w:rPr>
          <w:spacing w:val="-1"/>
        </w:rPr>
        <w:t>25 May 2012 and on 8 November 2012</w:t>
      </w:r>
      <w:r w:rsidRPr="0072412E">
        <w:rPr>
          <w:spacing w:val="-1"/>
        </w:rPr>
        <w:t xml:space="preserve">. </w:t>
      </w:r>
      <w:r w:rsidR="00DE2679" w:rsidRPr="0072412E">
        <w:rPr>
          <w:spacing w:val="-1"/>
        </w:rPr>
        <w:t>H</w:t>
      </w:r>
      <w:r w:rsidR="00DE2679">
        <w:rPr>
          <w:spacing w:val="-1"/>
        </w:rPr>
        <w:t>is</w:t>
      </w:r>
      <w:r w:rsidR="00DE2679" w:rsidRPr="0072412E">
        <w:rPr>
          <w:spacing w:val="-1"/>
        </w:rPr>
        <w:t xml:space="preserve"> </w:t>
      </w:r>
      <w:r w:rsidR="009F1B75">
        <w:rPr>
          <w:spacing w:val="-1"/>
        </w:rPr>
        <w:t xml:space="preserve">first </w:t>
      </w:r>
      <w:r w:rsidRPr="0072412E">
        <w:rPr>
          <w:spacing w:val="-1"/>
        </w:rPr>
        <w:t xml:space="preserve">request </w:t>
      </w:r>
      <w:r w:rsidR="009F1B75" w:rsidRPr="0072412E">
        <w:rPr>
          <w:spacing w:val="-1"/>
        </w:rPr>
        <w:t>w</w:t>
      </w:r>
      <w:r w:rsidR="009F1B75">
        <w:rPr>
          <w:spacing w:val="-1"/>
        </w:rPr>
        <w:t>as</w:t>
      </w:r>
      <w:r w:rsidR="009F1B75" w:rsidRPr="0072412E">
        <w:rPr>
          <w:spacing w:val="-1"/>
        </w:rPr>
        <w:t xml:space="preserve"> </w:t>
      </w:r>
      <w:r w:rsidRPr="0072412E">
        <w:rPr>
          <w:spacing w:val="-1"/>
        </w:rPr>
        <w:t xml:space="preserve">rejected by the Prosecutor’s Office </w:t>
      </w:r>
      <w:r>
        <w:rPr>
          <w:spacing w:val="-1"/>
        </w:rPr>
        <w:t xml:space="preserve">of </w:t>
      </w:r>
      <w:r w:rsidRPr="00F96390">
        <w:rPr>
          <w:spacing w:val="-1"/>
        </w:rPr>
        <w:t xml:space="preserve">Almaty </w:t>
      </w:r>
      <w:r w:rsidRPr="0072412E">
        <w:rPr>
          <w:spacing w:val="-1"/>
        </w:rPr>
        <w:t xml:space="preserve">on </w:t>
      </w:r>
      <w:r w:rsidR="00DE2679">
        <w:rPr>
          <w:spacing w:val="-1"/>
        </w:rPr>
        <w:t>13</w:t>
      </w:r>
      <w:r w:rsidR="00DE2679" w:rsidRPr="0072412E">
        <w:rPr>
          <w:spacing w:val="-1"/>
        </w:rPr>
        <w:t xml:space="preserve"> </w:t>
      </w:r>
      <w:r w:rsidR="00DE2679">
        <w:rPr>
          <w:spacing w:val="-1"/>
        </w:rPr>
        <w:t>June</w:t>
      </w:r>
      <w:r w:rsidR="00DE2679" w:rsidRPr="0072412E">
        <w:rPr>
          <w:spacing w:val="-1"/>
        </w:rPr>
        <w:t xml:space="preserve"> 201</w:t>
      </w:r>
      <w:r w:rsidR="00DE2679">
        <w:rPr>
          <w:spacing w:val="-1"/>
        </w:rPr>
        <w:t>2</w:t>
      </w:r>
      <w:r w:rsidR="00DE2679" w:rsidRPr="0072412E">
        <w:rPr>
          <w:spacing w:val="-1"/>
        </w:rPr>
        <w:t xml:space="preserve"> </w:t>
      </w:r>
      <w:r w:rsidRPr="0072412E">
        <w:rPr>
          <w:spacing w:val="-1"/>
        </w:rPr>
        <w:t xml:space="preserve">and by </w:t>
      </w:r>
      <w:r w:rsidR="00064513" w:rsidRPr="0072412E">
        <w:rPr>
          <w:spacing w:val="-1"/>
        </w:rPr>
        <w:t>the Prosecutor’s</w:t>
      </w:r>
      <w:r w:rsidRPr="0072412E">
        <w:rPr>
          <w:spacing w:val="-1"/>
        </w:rPr>
        <w:t xml:space="preserve"> Office</w:t>
      </w:r>
      <w:r w:rsidR="009F1B75">
        <w:rPr>
          <w:spacing w:val="-1"/>
        </w:rPr>
        <w:t xml:space="preserve"> of </w:t>
      </w:r>
      <w:proofErr w:type="spellStart"/>
      <w:r w:rsidR="009F1B75">
        <w:rPr>
          <w:spacing w:val="-1"/>
        </w:rPr>
        <w:t>Medeusk</w:t>
      </w:r>
      <w:proofErr w:type="spellEnd"/>
      <w:r w:rsidR="009F1B75">
        <w:rPr>
          <w:spacing w:val="-1"/>
        </w:rPr>
        <w:t xml:space="preserve"> District</w:t>
      </w:r>
      <w:r w:rsidRPr="0072412E">
        <w:rPr>
          <w:spacing w:val="-1"/>
        </w:rPr>
        <w:t xml:space="preserve"> on </w:t>
      </w:r>
      <w:r w:rsidR="009F1B75" w:rsidRPr="0072412E">
        <w:rPr>
          <w:spacing w:val="-1"/>
        </w:rPr>
        <w:t>2</w:t>
      </w:r>
      <w:r w:rsidR="009F1B75">
        <w:rPr>
          <w:spacing w:val="-1"/>
        </w:rPr>
        <w:t>7</w:t>
      </w:r>
      <w:r w:rsidR="009F1B75" w:rsidRPr="0072412E">
        <w:rPr>
          <w:spacing w:val="-1"/>
        </w:rPr>
        <w:t xml:space="preserve"> </w:t>
      </w:r>
      <w:r w:rsidR="009F1B75">
        <w:rPr>
          <w:spacing w:val="-1"/>
        </w:rPr>
        <w:t>July</w:t>
      </w:r>
      <w:r w:rsidR="009F1B75" w:rsidRPr="0072412E">
        <w:rPr>
          <w:spacing w:val="-1"/>
        </w:rPr>
        <w:t xml:space="preserve"> 201</w:t>
      </w:r>
      <w:r w:rsidR="009F1B75">
        <w:rPr>
          <w:spacing w:val="-1"/>
        </w:rPr>
        <w:t>2</w:t>
      </w:r>
      <w:r w:rsidRPr="0072412E">
        <w:rPr>
          <w:spacing w:val="-1"/>
        </w:rPr>
        <w:t>.</w:t>
      </w:r>
      <w:r w:rsidR="009F1B75">
        <w:rPr>
          <w:rStyle w:val="FootnoteReference"/>
          <w:spacing w:val="-1"/>
        </w:rPr>
        <w:footnoteReference w:id="9"/>
      </w:r>
      <w:r w:rsidRPr="0072412E">
        <w:rPr>
          <w:spacing w:val="-1"/>
        </w:rPr>
        <w:t xml:space="preserve"> </w:t>
      </w:r>
      <w:r w:rsidR="00C56D0E" w:rsidRPr="00C56D0E">
        <w:t>The Committee recalls its jurisprudence, according to which a petition for supervisory review to a Prosecutor’s Office to review court decisions that have taken effect</w:t>
      </w:r>
      <w:r w:rsidR="003964D4">
        <w:t>,</w:t>
      </w:r>
      <w:r w:rsidR="00C56D0E" w:rsidRPr="00C56D0E">
        <w:t xml:space="preserve"> does not constitute a remedy which has to be exhausted for the purposes of article 5, paragraph 2 (b), of the Optional Protocol.</w:t>
      </w:r>
      <w:r w:rsidR="00C56D0E" w:rsidRPr="00C56D0E">
        <w:rPr>
          <w:vertAlign w:val="superscript"/>
        </w:rPr>
        <w:t xml:space="preserve"> </w:t>
      </w:r>
      <w:r w:rsidR="00C56D0E" w:rsidRPr="00C56D0E">
        <w:rPr>
          <w:vertAlign w:val="superscript"/>
          <w:lang w:val="de-DE"/>
        </w:rPr>
        <w:footnoteReference w:id="10"/>
      </w:r>
      <w:r w:rsidR="00C56D0E" w:rsidRPr="00C56D0E">
        <w:t xml:space="preserve"> Accordingly, it considers that it is not precluded by article 5, paragraph 2 (b), of the Optional Protocol from examining this part of the communication.”</w:t>
      </w:r>
    </w:p>
    <w:p w14:paraId="627004A5" w14:textId="29E1B077" w:rsidR="00E02323" w:rsidRDefault="00552E1D" w:rsidP="001B5A35">
      <w:pPr>
        <w:pStyle w:val="SingleTxtG"/>
      </w:pPr>
      <w:r>
        <w:t>11.4</w:t>
      </w:r>
      <w:r w:rsidR="00526C25">
        <w:tab/>
      </w:r>
      <w:r w:rsidR="00E02323" w:rsidRPr="00E02323">
        <w:t xml:space="preserve">The Committee takes note of the argument of the State party that the communication is inadmissible since it was submitted to the Committee by his counsel and not by the alleged victim himself. In that respect, the Committee recalls that rule 99 (b) of its rules of procedure states that a communication should normally be submitted by the individual personally or by a representative of that individual, but that a communication submitted on behalf of an alleged victim may, however, be accepted when it appears that the individual in question is unable to submit the communication personally.  In the present case, the Committee notes that the alleged victim submitted his complaint himself and later the author </w:t>
      </w:r>
      <w:r w:rsidR="003964D4">
        <w:t>obtained</w:t>
      </w:r>
      <w:r w:rsidR="00E02323" w:rsidRPr="00E02323">
        <w:t xml:space="preserve"> counsel</w:t>
      </w:r>
      <w:r w:rsidR="007709A5">
        <w:t>,</w:t>
      </w:r>
      <w:r w:rsidR="00E02323" w:rsidRPr="00E02323">
        <w:t xml:space="preserve"> who presented a duly signed power of attorney to represent him before the Committee. Accordingly, the Committee </w:t>
      </w:r>
      <w:r w:rsidR="009979CF">
        <w:t xml:space="preserve">considers that it </w:t>
      </w:r>
      <w:r w:rsidR="00E02323" w:rsidRPr="00E02323">
        <w:t>is not precluded by article 1 of the Optional Protocol from examining the communication.</w:t>
      </w:r>
    </w:p>
    <w:p w14:paraId="7E6F1C3B" w14:textId="78FADF5A" w:rsidR="00B641C7" w:rsidRDefault="009F1B75" w:rsidP="001B5A35">
      <w:pPr>
        <w:pStyle w:val="SingleTxtG"/>
        <w:rPr>
          <w:lang w:val="en-US"/>
        </w:rPr>
      </w:pPr>
      <w:r>
        <w:t>11</w:t>
      </w:r>
      <w:r w:rsidR="00FB1F6C">
        <w:t>.</w:t>
      </w:r>
      <w:r w:rsidR="00E02323">
        <w:t xml:space="preserve">5 </w:t>
      </w:r>
      <w:r w:rsidR="00526C25">
        <w:tab/>
      </w:r>
      <w:r w:rsidRPr="00536CE3">
        <w:rPr>
          <w:lang w:val="en-US"/>
        </w:rPr>
        <w:t>The Committee notes that the author</w:t>
      </w:r>
      <w:r>
        <w:rPr>
          <w:lang w:val="en-US"/>
        </w:rPr>
        <w:t>’s claim that his rights under articles 19</w:t>
      </w:r>
      <w:r w:rsidR="000A5960">
        <w:rPr>
          <w:lang w:val="en-US"/>
        </w:rPr>
        <w:t xml:space="preserve"> (2)</w:t>
      </w:r>
      <w:r>
        <w:rPr>
          <w:lang w:val="en-US"/>
        </w:rPr>
        <w:t xml:space="preserve"> and 21 have been violated, as he was sanctioned without justification for having participated in a peaceful </w:t>
      </w:r>
      <w:r w:rsidRPr="001B5A35">
        <w:t>assembly</w:t>
      </w:r>
      <w:r>
        <w:rPr>
          <w:lang w:val="en-US"/>
        </w:rPr>
        <w:t xml:space="preserve"> with others to protest </w:t>
      </w:r>
      <w:r w:rsidRPr="009F1B75">
        <w:rPr>
          <w:lang w:val="en-US"/>
        </w:rPr>
        <w:t xml:space="preserve">against recent parliamentary and local municipality elections </w:t>
      </w:r>
      <w:r w:rsidRPr="00526C25">
        <w:t>and</w:t>
      </w:r>
      <w:r w:rsidRPr="009F1B75">
        <w:rPr>
          <w:lang w:val="en-US"/>
        </w:rPr>
        <w:t xml:space="preserve"> to commemorate victims of the Zhanaozen massacre of 16 December 2011</w:t>
      </w:r>
      <w:r>
        <w:rPr>
          <w:lang w:val="en-US"/>
        </w:rPr>
        <w:t xml:space="preserve">. </w:t>
      </w:r>
      <w:r w:rsidRPr="008C00E7">
        <w:t xml:space="preserve">The Committee considers that </w:t>
      </w:r>
      <w:r>
        <w:t>th</w:t>
      </w:r>
      <w:r w:rsidR="000A5960">
        <w:t>ese</w:t>
      </w:r>
      <w:r>
        <w:t xml:space="preserve"> claim</w:t>
      </w:r>
      <w:r w:rsidR="000A5960">
        <w:t>s</w:t>
      </w:r>
      <w:r>
        <w:t xml:space="preserve"> has been sufficiently </w:t>
      </w:r>
      <w:r w:rsidRPr="008C00E7">
        <w:t xml:space="preserve">substantiated for the purposes of admissibility. It therefore declares </w:t>
      </w:r>
      <w:r w:rsidR="000A5960">
        <w:t>them</w:t>
      </w:r>
      <w:r w:rsidRPr="008C00E7">
        <w:t xml:space="preserve"> admissible and proceeds with their examination of the merits.</w:t>
      </w:r>
    </w:p>
    <w:p w14:paraId="630F3D21" w14:textId="44E23F20" w:rsidR="008C00E7" w:rsidRPr="00526C25" w:rsidRDefault="001B5A35" w:rsidP="001B5A35">
      <w:pPr>
        <w:pStyle w:val="H4G"/>
      </w:pPr>
      <w:r>
        <w:tab/>
      </w:r>
      <w:r>
        <w:tab/>
      </w:r>
      <w:r w:rsidR="008C00E7" w:rsidRPr="00526C25">
        <w:t>Consideration of the merits</w:t>
      </w:r>
    </w:p>
    <w:p w14:paraId="21E7369C" w14:textId="6FDBAFE8" w:rsidR="00B641C7" w:rsidRDefault="003A3D7B" w:rsidP="001B5A35">
      <w:pPr>
        <w:pStyle w:val="SingleTxtG"/>
      </w:pPr>
      <w:r>
        <w:t>12</w:t>
      </w:r>
      <w:r w:rsidR="00552E1D">
        <w:t>.1</w:t>
      </w:r>
      <w:r w:rsidR="00526C25">
        <w:tab/>
      </w:r>
      <w:r w:rsidR="008C00E7" w:rsidRPr="008C00E7">
        <w:t xml:space="preserve">The </w:t>
      </w:r>
      <w:r w:rsidR="008C00E7" w:rsidRPr="001B5A35">
        <w:t>Committee</w:t>
      </w:r>
      <w:r w:rsidR="008C00E7" w:rsidRPr="008C00E7">
        <w:t xml:space="preserve"> has </w:t>
      </w:r>
      <w:r w:rsidR="008C00E7" w:rsidRPr="00526C25">
        <w:t>considered</w:t>
      </w:r>
      <w:r w:rsidR="008C00E7" w:rsidRPr="008C00E7">
        <w:t xml:space="preserve"> the present communication in light of all the information submitted by the parties, in accordance with article 5 (1) of the Optional Protocol.</w:t>
      </w:r>
    </w:p>
    <w:p w14:paraId="117F6D95" w14:textId="000C075D" w:rsidR="00784A1E" w:rsidRPr="00752732" w:rsidRDefault="003A3D7B" w:rsidP="001C2B11">
      <w:pPr>
        <w:pStyle w:val="SingleTxtG"/>
      </w:pPr>
      <w:r>
        <w:t>12</w:t>
      </w:r>
      <w:r w:rsidR="00552E1D">
        <w:t>.2</w:t>
      </w:r>
      <w:r w:rsidR="00552E1D">
        <w:tab/>
      </w:r>
      <w:r w:rsidRPr="003A3D7B">
        <w:t>The Committee notes the author’s claim that, by imposing an administrative fine on h</w:t>
      </w:r>
      <w:r w:rsidR="005C3286">
        <w:t>im</w:t>
      </w:r>
      <w:r w:rsidRPr="003A3D7B">
        <w:t xml:space="preserve"> for participating in a peaceful event, the State party violated h</w:t>
      </w:r>
      <w:r w:rsidR="00A04368">
        <w:t>is</w:t>
      </w:r>
      <w:r w:rsidRPr="003A3D7B">
        <w:t xml:space="preserve"> rights to freedom of asse</w:t>
      </w:r>
      <w:r w:rsidR="005C3286">
        <w:t xml:space="preserve">mbly. The author contends that </w:t>
      </w:r>
      <w:r w:rsidRPr="003A3D7B">
        <w:t xml:space="preserve">he was apprehended </w:t>
      </w:r>
      <w:r w:rsidR="005C3286">
        <w:t>just after</w:t>
      </w:r>
      <w:r w:rsidRPr="003A3D7B">
        <w:t xml:space="preserve"> a peaceful protest. The State party argues that </w:t>
      </w:r>
      <w:r w:rsidR="00A04368">
        <w:t xml:space="preserve">in fact </w:t>
      </w:r>
      <w:r w:rsidRPr="003A3D7B">
        <w:t xml:space="preserve">the author was apprehended for participating in an </w:t>
      </w:r>
      <w:r w:rsidRPr="001C2B11">
        <w:rPr>
          <w:lang w:val="en-US"/>
        </w:rPr>
        <w:t>unauthorized</w:t>
      </w:r>
      <w:r w:rsidRPr="003A3D7B">
        <w:t xml:space="preserve"> public event.</w:t>
      </w:r>
      <w:r w:rsidR="00615119">
        <w:t xml:space="preserve"> </w:t>
      </w:r>
      <w:r w:rsidR="00784A1E" w:rsidRPr="002C14E6">
        <w:t xml:space="preserve">The Committee recalls that the right </w:t>
      </w:r>
      <w:r w:rsidR="00784A1E">
        <w:t>of</w:t>
      </w:r>
      <w:r w:rsidR="00784A1E" w:rsidRPr="002C14E6">
        <w:t xml:space="preserve"> peaceful assembly, as guaranteed under article 21 of the Covenant, is a fundamental human right that is essential for the public expression of an individual’s views and opinions and indispensable in a democratic society.</w:t>
      </w:r>
      <w:r w:rsidR="00784A1E" w:rsidRPr="002C14E6">
        <w:rPr>
          <w:sz w:val="18"/>
          <w:vertAlign w:val="superscript"/>
        </w:rPr>
        <w:footnoteReference w:id="11"/>
      </w:r>
      <w:r w:rsidR="00784A1E" w:rsidRPr="002C14E6">
        <w:t xml:space="preserve"> </w:t>
      </w:r>
      <w:r w:rsidR="00784A1E">
        <w:t>G</w:t>
      </w:r>
      <w:r w:rsidR="00784A1E" w:rsidRPr="00C77002">
        <w:t xml:space="preserve">iven the </w:t>
      </w:r>
      <w:r w:rsidR="00784A1E">
        <w:t xml:space="preserve">typically </w:t>
      </w:r>
      <w:r w:rsidR="00784A1E" w:rsidRPr="00C77002">
        <w:t xml:space="preserve">expressive nature of assemblies, participants must as far as possible be </w:t>
      </w:r>
      <w:r w:rsidR="00784A1E">
        <w:t>en</w:t>
      </w:r>
      <w:r w:rsidR="00784A1E" w:rsidRPr="00C77002">
        <w:t>able</w:t>
      </w:r>
      <w:r w:rsidR="00784A1E">
        <w:t>d</w:t>
      </w:r>
      <w:r w:rsidR="00784A1E" w:rsidRPr="00C77002">
        <w:t xml:space="preserve"> to conduct assemblies within “sight an</w:t>
      </w:r>
      <w:r w:rsidR="00784A1E">
        <w:t>d sound” of the target audience</w:t>
      </w:r>
      <w:r w:rsidR="00784A1E" w:rsidRPr="00C77002">
        <w:rPr>
          <w:vertAlign w:val="superscript"/>
          <w:lang w:val="fr-CH"/>
        </w:rPr>
        <w:footnoteReference w:id="12"/>
      </w:r>
      <w:r w:rsidR="00784A1E">
        <w:t xml:space="preserve"> </w:t>
      </w:r>
      <w:r w:rsidR="00784A1E" w:rsidRPr="002C14E6">
        <w:t>and no restriction on that right is permissible unless it is: (a) imposed in conformity with the law; and (b) necessary in a democratic society in the interests of national security or public safety, public order (</w:t>
      </w:r>
      <w:proofErr w:type="spellStart"/>
      <w:r w:rsidR="00784A1E" w:rsidRPr="002C14E6">
        <w:rPr>
          <w:i/>
          <w:iCs/>
        </w:rPr>
        <w:t>ordre</w:t>
      </w:r>
      <w:proofErr w:type="spellEnd"/>
      <w:r w:rsidR="00784A1E" w:rsidRPr="002C14E6">
        <w:rPr>
          <w:i/>
          <w:iCs/>
        </w:rPr>
        <w:t xml:space="preserve"> public</w:t>
      </w:r>
      <w:r w:rsidR="00784A1E" w:rsidRPr="002C14E6">
        <w:t xml:space="preserve">), the protection of public health or morals or the protection of the rights and freedoms of others. </w:t>
      </w:r>
      <w:r w:rsidR="00784A1E">
        <w:t>While t</w:t>
      </w:r>
      <w:r w:rsidR="00784A1E" w:rsidRPr="00C77002">
        <w:t xml:space="preserve">he right of peaceful assembly may </w:t>
      </w:r>
      <w:r w:rsidR="00784A1E">
        <w:t xml:space="preserve">in certain cases </w:t>
      </w:r>
      <w:r w:rsidR="00784A1E" w:rsidRPr="00C77002">
        <w:t>be limited, the onus is on the authorities to justify any restrictions</w:t>
      </w:r>
      <w:r w:rsidR="00784A1E">
        <w:t>.</w:t>
      </w:r>
      <w:r w:rsidR="00784A1E" w:rsidRPr="00C77002">
        <w:rPr>
          <w:rFonts w:eastAsia="SimSun"/>
          <w:vertAlign w:val="superscript"/>
          <w:lang w:val="fr-CH"/>
        </w:rPr>
        <w:footnoteReference w:id="13"/>
      </w:r>
      <w:r w:rsidR="00784A1E" w:rsidRPr="00C77002">
        <w:t xml:space="preserve">  </w:t>
      </w:r>
      <w:r w:rsidR="00784A1E">
        <w:t xml:space="preserve">Authorities must </w:t>
      </w:r>
      <w:r w:rsidR="00784A1E" w:rsidRPr="00C546BE">
        <w:t xml:space="preserve">be able </w:t>
      </w:r>
      <w:r w:rsidR="00784A1E" w:rsidRPr="00C546BE">
        <w:lastRenderedPageBreak/>
        <w:t>to</w:t>
      </w:r>
      <w:r w:rsidR="00784A1E">
        <w:t xml:space="preserve"> show that any r</w:t>
      </w:r>
      <w:r w:rsidR="00784A1E" w:rsidRPr="00C77002">
        <w:t xml:space="preserve">estrictions </w:t>
      </w:r>
      <w:r w:rsidR="00784A1E" w:rsidRPr="00C546BE">
        <w:t>meet the requirement of legality</w:t>
      </w:r>
      <w:r w:rsidR="00784A1E" w:rsidRPr="00C77002">
        <w:t xml:space="preserve">, and are </w:t>
      </w:r>
      <w:r w:rsidR="00784A1E" w:rsidRPr="00C546BE">
        <w:t>also</w:t>
      </w:r>
      <w:r w:rsidR="00784A1E">
        <w:t xml:space="preserve"> both </w:t>
      </w:r>
      <w:r w:rsidR="00784A1E" w:rsidRPr="00C77002">
        <w:t xml:space="preserve">necessary </w:t>
      </w:r>
      <w:r w:rsidR="00784A1E">
        <w:t xml:space="preserve">for </w:t>
      </w:r>
      <w:r w:rsidR="00784A1E" w:rsidRPr="00C77002">
        <w:t xml:space="preserve">and proportionate to </w:t>
      </w:r>
      <w:r w:rsidR="00784A1E">
        <w:t xml:space="preserve">at least one of </w:t>
      </w:r>
      <w:r w:rsidR="00784A1E" w:rsidRPr="00C77002">
        <w:t>the permissible grounds for restrict</w:t>
      </w:r>
      <w:r w:rsidR="00784A1E">
        <w:t>ions enumerated in article 21</w:t>
      </w:r>
      <w:r w:rsidR="00784A1E" w:rsidRPr="00C77002">
        <w:t>.</w:t>
      </w:r>
      <w:r w:rsidR="00784A1E">
        <w:t xml:space="preserve"> Where this onus is not met, article 21 is violated.</w:t>
      </w:r>
      <w:r w:rsidR="00784A1E" w:rsidRPr="00C77002">
        <w:rPr>
          <w:rFonts w:eastAsia="SimSun"/>
          <w:vertAlign w:val="superscript"/>
          <w:lang w:val="fr-CH"/>
        </w:rPr>
        <w:footnoteReference w:id="14"/>
      </w:r>
      <w:r w:rsidR="00784A1E" w:rsidRPr="00C77002">
        <w:t xml:space="preserve"> The imposition of any restrictions should be guided by the objective of facilitating the right, rather than seeking unnecessary and disproportionate limitations to it.</w:t>
      </w:r>
      <w:r w:rsidR="00784A1E" w:rsidRPr="00C77002">
        <w:rPr>
          <w:rFonts w:eastAsia="SimSun"/>
          <w:vertAlign w:val="superscript"/>
          <w:lang w:val="fr-CH"/>
        </w:rPr>
        <w:footnoteReference w:id="15"/>
      </w:r>
      <w:r w:rsidR="00784A1E" w:rsidRPr="00C77002">
        <w:t xml:space="preserve"> Restrictions</w:t>
      </w:r>
      <w:r w:rsidR="00784A1E">
        <w:t xml:space="preserve"> must not be discriminatory, impair the essence of the right, or</w:t>
      </w:r>
      <w:r w:rsidR="00784A1E" w:rsidRPr="00C77002">
        <w:t xml:space="preserve"> be aimed at discouraging participation in assemblies </w:t>
      </w:r>
      <w:r w:rsidR="00784A1E">
        <w:t>or</w:t>
      </w:r>
      <w:r w:rsidR="00784A1E" w:rsidRPr="00C77002">
        <w:t xml:space="preserve"> causing a chilling effect.</w:t>
      </w:r>
      <w:r w:rsidR="00784A1E">
        <w:rPr>
          <w:rStyle w:val="FootnoteReference"/>
        </w:rPr>
        <w:footnoteReference w:id="16"/>
      </w:r>
    </w:p>
    <w:p w14:paraId="0438265E" w14:textId="16C96380" w:rsidR="00784A1E" w:rsidRDefault="005C3286" w:rsidP="00B13C2B">
      <w:pPr>
        <w:pStyle w:val="SingleTxtG"/>
        <w:rPr>
          <w:rFonts w:eastAsia="SimSun"/>
          <w:lang w:eastAsia="zh-CN"/>
        </w:rPr>
      </w:pPr>
      <w:r>
        <w:t>12</w:t>
      </w:r>
      <w:r w:rsidR="008C00E7" w:rsidRPr="008C00E7">
        <w:t>.</w:t>
      </w:r>
      <w:r w:rsidR="00784A1E">
        <w:t>3</w:t>
      </w:r>
      <w:r w:rsidR="00526C25">
        <w:tab/>
      </w:r>
      <w:r w:rsidR="00784A1E" w:rsidRPr="004764F5">
        <w:rPr>
          <w:rFonts w:eastAsiaTheme="minorEastAsia"/>
          <w:lang w:val="en-US"/>
        </w:rPr>
        <w:t xml:space="preserve">The Committee observes that authorization regimes, where those wishing to assemble have to apply for </w:t>
      </w:r>
      <w:r w:rsidR="00784A1E" w:rsidRPr="00CC4945">
        <w:rPr>
          <w:rFonts w:eastAsiaTheme="minorEastAsia"/>
        </w:rPr>
        <w:t>permission</w:t>
      </w:r>
      <w:r w:rsidR="00784A1E" w:rsidRPr="004764F5">
        <w:rPr>
          <w:rFonts w:eastAsiaTheme="minorEastAsia"/>
          <w:lang w:val="en-US"/>
        </w:rPr>
        <w:t xml:space="preserve"> (or a permit) from the authorities to do so, undercut the idea that peaceful assembly is a basic right.</w:t>
      </w:r>
      <w:r w:rsidR="00784A1E" w:rsidRPr="004764F5">
        <w:rPr>
          <w:rFonts w:eastAsiaTheme="minorEastAsia"/>
          <w:vertAlign w:val="superscript"/>
          <w:lang w:val="fr-CH"/>
        </w:rPr>
        <w:footnoteReference w:id="17"/>
      </w:r>
      <w:r w:rsidR="00784A1E" w:rsidRPr="004764F5">
        <w:rPr>
          <w:rFonts w:eastAsiaTheme="minorEastAsia"/>
          <w:lang w:val="en-US"/>
        </w:rPr>
        <w:t xml:space="preserve"> Where such </w:t>
      </w:r>
      <w:proofErr w:type="gramStart"/>
      <w:r w:rsidR="00784A1E" w:rsidRPr="004764F5">
        <w:rPr>
          <w:rFonts w:eastAsiaTheme="minorEastAsia"/>
          <w:lang w:val="en-US"/>
        </w:rPr>
        <w:t xml:space="preserve">requirements </w:t>
      </w:r>
      <w:r w:rsidR="00F018AA">
        <w:rPr>
          <w:rFonts w:eastAsiaTheme="minorEastAsia"/>
          <w:lang w:val="en-US"/>
        </w:rPr>
        <w:t xml:space="preserve"> exist</w:t>
      </w:r>
      <w:proofErr w:type="gramEnd"/>
      <w:r w:rsidR="00784A1E" w:rsidRPr="004764F5">
        <w:rPr>
          <w:rFonts w:eastAsiaTheme="minorEastAsia"/>
          <w:lang w:val="en-US"/>
        </w:rPr>
        <w:t>, they must in practice function as a system of notification, with authorization being granted as a matter of course, in the absence of compelling reasons to do otherwise. Such systems should also not be overly bureaucratic.</w:t>
      </w:r>
      <w:r w:rsidR="00784A1E" w:rsidRPr="004764F5">
        <w:rPr>
          <w:rFonts w:eastAsiaTheme="minorEastAsia"/>
          <w:vertAlign w:val="superscript"/>
          <w:lang w:val="fr-CH"/>
        </w:rPr>
        <w:footnoteReference w:id="18"/>
      </w:r>
      <w:r w:rsidR="00784A1E" w:rsidRPr="004764F5">
        <w:t xml:space="preserve"> </w:t>
      </w:r>
      <w:r w:rsidR="00784A1E" w:rsidRPr="004764F5">
        <w:rPr>
          <w:rFonts w:eastAsiaTheme="minorEastAsia"/>
        </w:rPr>
        <w:t>Notification regimes, for their part, must not in practice function as authorization systems.</w:t>
      </w:r>
      <w:r w:rsidR="00784A1E" w:rsidRPr="004764F5">
        <w:rPr>
          <w:rFonts w:eastAsiaTheme="minorEastAsia"/>
          <w:vertAlign w:val="superscript"/>
          <w:lang w:val="fr-CH"/>
        </w:rPr>
        <w:footnoteReference w:id="19"/>
      </w:r>
      <w:r w:rsidR="00784A1E" w:rsidRPr="0019139A">
        <w:rPr>
          <w:rFonts w:eastAsia="SimSun"/>
          <w:lang w:eastAsia="zh-CN"/>
        </w:rPr>
        <w:t xml:space="preserve"> </w:t>
      </w:r>
    </w:p>
    <w:p w14:paraId="13065BC9" w14:textId="0B6AE2D1" w:rsidR="00B641C7" w:rsidRDefault="005C3286" w:rsidP="001B5A35">
      <w:pPr>
        <w:pStyle w:val="SingleTxtG"/>
      </w:pPr>
      <w:r>
        <w:t>1</w:t>
      </w:r>
      <w:r w:rsidR="0007359B">
        <w:t>2</w:t>
      </w:r>
      <w:r w:rsidR="00567D9E">
        <w:t>.</w:t>
      </w:r>
      <w:r w:rsidR="00135A54">
        <w:t>4</w:t>
      </w:r>
      <w:r w:rsidR="00526C25">
        <w:tab/>
      </w:r>
      <w:r w:rsidRPr="0072412E">
        <w:t>The Committee notes the author’s claim that the State party’s authorities or courts have n</w:t>
      </w:r>
      <w:r>
        <w:t>ot justified the imposition of his</w:t>
      </w:r>
      <w:r w:rsidRPr="0072412E">
        <w:t xml:space="preserve"> administrative fine for having participated in a </w:t>
      </w:r>
      <w:r w:rsidRPr="00E00184">
        <w:t xml:space="preserve">peaceful, albeit unauthorized assembly. The Committee also notes the State party’s submission that the restriction was imposed on the author in conformity with the Administrative Offences </w:t>
      </w:r>
      <w:r w:rsidRPr="00501739">
        <w:t xml:space="preserve">Code </w:t>
      </w:r>
      <w:r w:rsidRPr="00E00184">
        <w:t xml:space="preserve">and the provisions of the </w:t>
      </w:r>
      <w:r w:rsidR="00390CB9" w:rsidRPr="00390CB9">
        <w:t>Law on organizing and holding peaceful assemblies, meetings, marches, pickets and demonstrations</w:t>
      </w:r>
      <w:r w:rsidRPr="00E00184">
        <w:t>. The Committee also</w:t>
      </w:r>
      <w:r w:rsidRPr="0072412E">
        <w:t xml:space="preserve"> notes the State party’s argument that the requirement to file a request is aimed at protecting public order</w:t>
      </w:r>
      <w:r>
        <w:t>,</w:t>
      </w:r>
      <w:r w:rsidRPr="0072412E">
        <w:t xml:space="preserve"> as well as the rights and freedoms of other citizens. The Committee further notes, however, the author’s claim that, although the restriction may have been lawful under </w:t>
      </w:r>
      <w:r>
        <w:t>national</w:t>
      </w:r>
      <w:r w:rsidRPr="0072412E">
        <w:t xml:space="preserve"> law, h</w:t>
      </w:r>
      <w:r>
        <w:t xml:space="preserve">is </w:t>
      </w:r>
      <w:r w:rsidRPr="0072412E">
        <w:t>apprehension and conviction were unnecessary in a democratic society for the pursuance of the legitimate aims invoked by the State party. The author further argues that the protest</w:t>
      </w:r>
      <w:r>
        <w:t>,</w:t>
      </w:r>
      <w:r w:rsidRPr="0072412E">
        <w:t xml:space="preserve"> in response to an important issue </w:t>
      </w:r>
      <w:r>
        <w:t>–</w:t>
      </w:r>
      <w:r w:rsidR="00DC7C2E">
        <w:t xml:space="preserve"> </w:t>
      </w:r>
      <w:r w:rsidRPr="009F1B75">
        <w:rPr>
          <w:lang w:val="en-US"/>
        </w:rPr>
        <w:t xml:space="preserve">recent parliamentary and local municipality elections and </w:t>
      </w:r>
      <w:r w:rsidR="0007359B">
        <w:rPr>
          <w:lang w:val="en-US"/>
        </w:rPr>
        <w:t>commemoration of the</w:t>
      </w:r>
      <w:r w:rsidRPr="009F1B75">
        <w:rPr>
          <w:lang w:val="en-US"/>
        </w:rPr>
        <w:t xml:space="preserve"> victims of the Zhanaozen massacre of 16 December 2011</w:t>
      </w:r>
      <w:r w:rsidRPr="0072412E">
        <w:t xml:space="preserve"> </w:t>
      </w:r>
      <w:r>
        <w:t>–</w:t>
      </w:r>
      <w:r w:rsidRPr="0072412E">
        <w:t xml:space="preserve"> was peaceful and did not harm or endanger anyone or anything.</w:t>
      </w:r>
    </w:p>
    <w:p w14:paraId="50C4697E" w14:textId="6EFAE74E" w:rsidR="00390CB9" w:rsidRDefault="0007359B" w:rsidP="001C2B11">
      <w:pPr>
        <w:spacing w:after="120"/>
        <w:ind w:left="1134" w:right="1134"/>
        <w:jc w:val="both"/>
      </w:pPr>
      <w:r>
        <w:t>12</w:t>
      </w:r>
      <w:r w:rsidR="006860EB">
        <w:t>.</w:t>
      </w:r>
      <w:r w:rsidR="00135A54">
        <w:t>5</w:t>
      </w:r>
      <w:r w:rsidR="00526C25">
        <w:tab/>
      </w:r>
      <w:r w:rsidR="00390CB9" w:rsidRPr="002C14E6">
        <w:t xml:space="preserve">The Committee notes that the State party relied on the provisions of the law on public events, which requires a request to be made 10 days prior to the event and the permission of the local executive authorities, these constituting restrictions to the right </w:t>
      </w:r>
      <w:r w:rsidR="00390CB9">
        <w:t>of</w:t>
      </w:r>
      <w:r w:rsidR="00390CB9" w:rsidRPr="002C14E6">
        <w:t xml:space="preserve"> peaceful assembly. The Committee recalls that freedom of assembly is a right, not a privilege. Restrictions on this right, even if authorized by law, must also meet the criteria under the second sentence of article 21 of the Covenant</w:t>
      </w:r>
      <w:r w:rsidR="00390CB9">
        <w:t>,</w:t>
      </w:r>
      <w:r w:rsidR="00390CB9" w:rsidRPr="002C14E6">
        <w:t xml:space="preserve"> in order to comply with the Covenant. The Committee further notes the State party’s </w:t>
      </w:r>
      <w:r w:rsidR="00390CB9">
        <w:t xml:space="preserve">observation </w:t>
      </w:r>
      <w:r w:rsidR="00390CB9" w:rsidRPr="002C14E6">
        <w:t>that the author</w:t>
      </w:r>
      <w:r w:rsidR="00390CB9">
        <w:t xml:space="preserve">’s </w:t>
      </w:r>
      <w:r w:rsidR="00390CB9" w:rsidRPr="002C14E6">
        <w:t>apprehen</w:t>
      </w:r>
      <w:r w:rsidR="00390CB9">
        <w:t xml:space="preserve">sion was needed for the </w:t>
      </w:r>
      <w:r w:rsidR="00390CB9" w:rsidRPr="002C14E6">
        <w:t>protect</w:t>
      </w:r>
      <w:r w:rsidR="00390CB9">
        <w:t>ion of</w:t>
      </w:r>
      <w:r w:rsidR="00390CB9" w:rsidRPr="002C14E6">
        <w:t xml:space="preserve"> public order</w:t>
      </w:r>
      <w:r w:rsidR="00390CB9">
        <w:t>,</w:t>
      </w:r>
      <w:r w:rsidR="00390CB9" w:rsidRPr="002C14E6">
        <w:t xml:space="preserve"> because the participants in the assembly disturbed people </w:t>
      </w:r>
      <w:r w:rsidR="00390CB9">
        <w:t>and public transport functioning</w:t>
      </w:r>
      <w:r w:rsidR="00390CB9" w:rsidRPr="00484492">
        <w:rPr>
          <w:b/>
        </w:rPr>
        <w:t xml:space="preserve">. </w:t>
      </w:r>
      <w:r w:rsidR="00390CB9" w:rsidRPr="006C7149">
        <w:t>In this connection, the Committee observes that</w:t>
      </w:r>
      <w:r w:rsidR="00390CB9" w:rsidRPr="00484492">
        <w:rPr>
          <w:b/>
        </w:rPr>
        <w:t xml:space="preserve"> </w:t>
      </w:r>
      <w:r w:rsidR="00390CB9">
        <w:rPr>
          <w:color w:val="000000"/>
        </w:rPr>
        <w:t>r</w:t>
      </w:r>
      <w:r w:rsidR="00390CB9" w:rsidRPr="00C77002">
        <w:rPr>
          <w:color w:val="000000"/>
        </w:rPr>
        <w:t xml:space="preserve">estrictions imposed for the protection of </w:t>
      </w:r>
      <w:r w:rsidR="00390CB9">
        <w:rPr>
          <w:color w:val="000000"/>
        </w:rPr>
        <w:t>“</w:t>
      </w:r>
      <w:r w:rsidR="00390CB9" w:rsidRPr="00C77002">
        <w:rPr>
          <w:color w:val="000000"/>
        </w:rPr>
        <w:t xml:space="preserve">the rights and freedoms of others” may relate to the protection of Covenant or other </w:t>
      </w:r>
      <w:r w:rsidR="00390CB9">
        <w:rPr>
          <w:color w:val="000000"/>
        </w:rPr>
        <w:t>human</w:t>
      </w:r>
      <w:r w:rsidR="00390CB9" w:rsidRPr="00C77002">
        <w:rPr>
          <w:color w:val="000000"/>
        </w:rPr>
        <w:t xml:space="preserve"> rights of people not participating in the assembly. At the same time, </w:t>
      </w:r>
      <w:r w:rsidR="00390CB9">
        <w:rPr>
          <w:color w:val="000000"/>
        </w:rPr>
        <w:t xml:space="preserve">assemblies are a legitimate use of public and other spaces, and </w:t>
      </w:r>
      <w:r w:rsidR="00390CB9" w:rsidRPr="00C77002">
        <w:rPr>
          <w:color w:val="000000"/>
        </w:rPr>
        <w:t xml:space="preserve">since </w:t>
      </w:r>
      <w:r w:rsidR="00390CB9">
        <w:rPr>
          <w:color w:val="000000"/>
        </w:rPr>
        <w:t>they</w:t>
      </w:r>
      <w:r w:rsidR="00390CB9" w:rsidRPr="00C77002">
        <w:rPr>
          <w:color w:val="000000"/>
        </w:rPr>
        <w:t xml:space="preserve"> may entail by their very nature a certain level of disruption to ordinary life, such disruptions have to be accommodated, unless they impose a disproportionate burden, in which case the authorities must be able to provide detailed justification for any restrictions.</w:t>
      </w:r>
      <w:r w:rsidR="00390CB9" w:rsidRPr="00C77002">
        <w:rPr>
          <w:vertAlign w:val="superscript"/>
        </w:rPr>
        <w:footnoteReference w:id="20"/>
      </w:r>
      <w:r w:rsidR="00390CB9">
        <w:rPr>
          <w:color w:val="000000"/>
        </w:rPr>
        <w:t xml:space="preserve"> T</w:t>
      </w:r>
      <w:r w:rsidR="00390CB9" w:rsidRPr="00CF2E9D">
        <w:rPr>
          <w:color w:val="000000"/>
        </w:rPr>
        <w:t xml:space="preserve">he Committee </w:t>
      </w:r>
      <w:r w:rsidR="00390CB9">
        <w:rPr>
          <w:color w:val="000000"/>
        </w:rPr>
        <w:t xml:space="preserve">also </w:t>
      </w:r>
      <w:r w:rsidR="00390CB9" w:rsidRPr="00CF2E9D">
        <w:rPr>
          <w:color w:val="000000"/>
        </w:rPr>
        <w:t>observes that</w:t>
      </w:r>
      <w:r w:rsidR="00390CB9" w:rsidRPr="00C77002">
        <w:rPr>
          <w:color w:val="000000"/>
        </w:rPr>
        <w:t xml:space="preserve"> “</w:t>
      </w:r>
      <w:r w:rsidR="00390CB9">
        <w:rPr>
          <w:color w:val="000000"/>
        </w:rPr>
        <w:t>p</w:t>
      </w:r>
      <w:r w:rsidR="00390CB9" w:rsidRPr="00C77002">
        <w:rPr>
          <w:color w:val="000000"/>
        </w:rPr>
        <w:t>ublic order” refers to the sum of the rules that ensure the</w:t>
      </w:r>
      <w:r w:rsidR="00390CB9">
        <w:rPr>
          <w:color w:val="000000"/>
        </w:rPr>
        <w:t xml:space="preserve"> proper</w:t>
      </w:r>
      <w:r w:rsidR="00390CB9" w:rsidRPr="00C77002">
        <w:rPr>
          <w:color w:val="000000"/>
        </w:rPr>
        <w:t xml:space="preserve"> functioning of society, or the set of fundamental principles</w:t>
      </w:r>
      <w:r w:rsidR="00390CB9" w:rsidRPr="00C77002">
        <w:rPr>
          <w:color w:val="000000"/>
          <w:spacing w:val="14"/>
          <w:w w:val="105"/>
        </w:rPr>
        <w:t xml:space="preserve"> </w:t>
      </w:r>
      <w:r w:rsidR="00390CB9" w:rsidRPr="00C77002">
        <w:rPr>
          <w:color w:val="000000"/>
          <w:spacing w:val="-3"/>
          <w:w w:val="105"/>
        </w:rPr>
        <w:t>o</w:t>
      </w:r>
      <w:r w:rsidR="00390CB9" w:rsidRPr="00C77002">
        <w:rPr>
          <w:color w:val="000000"/>
          <w:w w:val="105"/>
        </w:rPr>
        <w:t>n</w:t>
      </w:r>
      <w:r w:rsidR="00390CB9" w:rsidRPr="00C77002">
        <w:rPr>
          <w:color w:val="000000"/>
          <w:spacing w:val="13"/>
          <w:w w:val="105"/>
        </w:rPr>
        <w:t xml:space="preserve"> </w:t>
      </w:r>
      <w:r w:rsidR="00390CB9" w:rsidRPr="00C77002">
        <w:rPr>
          <w:color w:val="000000"/>
          <w:spacing w:val="-3"/>
          <w:w w:val="105"/>
        </w:rPr>
        <w:t>whic</w:t>
      </w:r>
      <w:r w:rsidR="00390CB9" w:rsidRPr="00C77002">
        <w:rPr>
          <w:color w:val="000000"/>
          <w:w w:val="105"/>
        </w:rPr>
        <w:t>h</w:t>
      </w:r>
      <w:r w:rsidR="00390CB9" w:rsidRPr="00C77002">
        <w:rPr>
          <w:color w:val="000000"/>
          <w:spacing w:val="13"/>
          <w:w w:val="105"/>
        </w:rPr>
        <w:t xml:space="preserve"> </w:t>
      </w:r>
      <w:r w:rsidR="00390CB9" w:rsidRPr="00C77002">
        <w:rPr>
          <w:color w:val="000000"/>
          <w:spacing w:val="-3"/>
          <w:w w:val="105"/>
        </w:rPr>
        <w:t>societ</w:t>
      </w:r>
      <w:r w:rsidR="00390CB9" w:rsidRPr="00C77002">
        <w:rPr>
          <w:color w:val="000000"/>
          <w:w w:val="105"/>
        </w:rPr>
        <w:t>y</w:t>
      </w:r>
      <w:r w:rsidR="00390CB9" w:rsidRPr="00C77002">
        <w:rPr>
          <w:color w:val="000000"/>
          <w:spacing w:val="14"/>
          <w:w w:val="105"/>
        </w:rPr>
        <w:t xml:space="preserve"> </w:t>
      </w:r>
      <w:r w:rsidR="00390CB9" w:rsidRPr="00C77002">
        <w:rPr>
          <w:color w:val="000000"/>
          <w:spacing w:val="-3"/>
          <w:w w:val="105"/>
        </w:rPr>
        <w:t>i</w:t>
      </w:r>
      <w:r w:rsidR="00390CB9" w:rsidRPr="00C77002">
        <w:rPr>
          <w:color w:val="000000"/>
          <w:w w:val="105"/>
        </w:rPr>
        <w:t>s</w:t>
      </w:r>
      <w:r w:rsidR="00390CB9" w:rsidRPr="00C77002">
        <w:rPr>
          <w:color w:val="000000"/>
          <w:spacing w:val="13"/>
          <w:w w:val="105"/>
        </w:rPr>
        <w:t xml:space="preserve"> </w:t>
      </w:r>
      <w:r w:rsidR="00390CB9" w:rsidRPr="00C77002">
        <w:rPr>
          <w:color w:val="000000"/>
          <w:spacing w:val="-3"/>
          <w:w w:val="105"/>
        </w:rPr>
        <w:t>founded, which</w:t>
      </w:r>
      <w:r w:rsidR="00390CB9" w:rsidRPr="00C77002">
        <w:rPr>
          <w:color w:val="000000"/>
        </w:rPr>
        <w:t xml:space="preserve"> also </w:t>
      </w:r>
      <w:r w:rsidR="00390CB9" w:rsidRPr="00C77002">
        <w:rPr>
          <w:color w:val="000000"/>
          <w:spacing w:val="-3"/>
          <w:w w:val="105"/>
        </w:rPr>
        <w:t>entails respec</w:t>
      </w:r>
      <w:r w:rsidR="00390CB9" w:rsidRPr="00C77002">
        <w:rPr>
          <w:color w:val="000000"/>
          <w:w w:val="105"/>
        </w:rPr>
        <w:t>t</w:t>
      </w:r>
      <w:r w:rsidR="00390CB9" w:rsidRPr="00C77002">
        <w:rPr>
          <w:color w:val="000000"/>
          <w:spacing w:val="18"/>
          <w:w w:val="105"/>
        </w:rPr>
        <w:t xml:space="preserve"> </w:t>
      </w:r>
      <w:r w:rsidR="00390CB9" w:rsidRPr="00C77002">
        <w:rPr>
          <w:color w:val="000000"/>
          <w:spacing w:val="-4"/>
          <w:w w:val="105"/>
        </w:rPr>
        <w:t>fo</w:t>
      </w:r>
      <w:r w:rsidR="00390CB9" w:rsidRPr="00C77002">
        <w:rPr>
          <w:color w:val="000000"/>
          <w:w w:val="105"/>
        </w:rPr>
        <w:t>r</w:t>
      </w:r>
      <w:r w:rsidR="00390CB9" w:rsidRPr="00C77002">
        <w:rPr>
          <w:color w:val="000000"/>
          <w:spacing w:val="18"/>
          <w:w w:val="105"/>
        </w:rPr>
        <w:t xml:space="preserve"> </w:t>
      </w:r>
      <w:r w:rsidR="00390CB9" w:rsidRPr="00C77002">
        <w:rPr>
          <w:color w:val="000000"/>
          <w:spacing w:val="-3"/>
          <w:w w:val="105"/>
        </w:rPr>
        <w:t>huma</w:t>
      </w:r>
      <w:r w:rsidR="00390CB9" w:rsidRPr="00C77002">
        <w:rPr>
          <w:color w:val="000000"/>
          <w:w w:val="105"/>
        </w:rPr>
        <w:t>n</w:t>
      </w:r>
      <w:r w:rsidR="00390CB9" w:rsidRPr="00C77002">
        <w:rPr>
          <w:color w:val="000000"/>
          <w:spacing w:val="19"/>
          <w:w w:val="105"/>
        </w:rPr>
        <w:t xml:space="preserve"> </w:t>
      </w:r>
      <w:r w:rsidR="00390CB9" w:rsidRPr="00C77002">
        <w:rPr>
          <w:color w:val="000000"/>
          <w:spacing w:val="-3"/>
          <w:w w:val="105"/>
        </w:rPr>
        <w:t>rights, including the right of peaceful assembly.</w:t>
      </w:r>
      <w:r w:rsidR="00390CB9" w:rsidRPr="00C77002">
        <w:rPr>
          <w:vertAlign w:val="superscript"/>
          <w:lang w:val="fr-CH"/>
        </w:rPr>
        <w:footnoteReference w:id="21"/>
      </w:r>
      <w:r w:rsidR="00390CB9" w:rsidRPr="00C77002">
        <w:rPr>
          <w:color w:val="000000"/>
          <w:spacing w:val="-3"/>
          <w:w w:val="105"/>
        </w:rPr>
        <w:t xml:space="preserve"> States parties should not rely on </w:t>
      </w:r>
      <w:r w:rsidR="00390CB9">
        <w:rPr>
          <w:color w:val="000000"/>
          <w:spacing w:val="-3"/>
          <w:w w:val="105"/>
        </w:rPr>
        <w:t>a</w:t>
      </w:r>
      <w:r w:rsidR="00390CB9" w:rsidRPr="00C77002">
        <w:rPr>
          <w:color w:val="000000"/>
          <w:spacing w:val="-3"/>
          <w:w w:val="105"/>
        </w:rPr>
        <w:t xml:space="preserve"> vague </w:t>
      </w:r>
      <w:r w:rsidR="00390CB9">
        <w:rPr>
          <w:color w:val="000000"/>
          <w:spacing w:val="-3"/>
          <w:w w:val="105"/>
        </w:rPr>
        <w:t>definition</w:t>
      </w:r>
      <w:r w:rsidR="00390CB9" w:rsidRPr="00C77002">
        <w:rPr>
          <w:color w:val="000000"/>
          <w:spacing w:val="-3"/>
          <w:w w:val="105"/>
        </w:rPr>
        <w:t xml:space="preserve"> of </w:t>
      </w:r>
      <w:r w:rsidR="00390CB9" w:rsidRPr="00C77002">
        <w:rPr>
          <w:color w:val="000000"/>
        </w:rPr>
        <w:t xml:space="preserve">“public order” </w:t>
      </w:r>
      <w:r w:rsidR="00390CB9" w:rsidRPr="00C77002">
        <w:rPr>
          <w:color w:val="000000"/>
          <w:spacing w:val="-3"/>
          <w:w w:val="105"/>
        </w:rPr>
        <w:t>to justify over</w:t>
      </w:r>
      <w:r w:rsidR="00390CB9">
        <w:rPr>
          <w:color w:val="000000"/>
          <w:spacing w:val="-3"/>
          <w:w w:val="105"/>
        </w:rPr>
        <w:t>-</w:t>
      </w:r>
      <w:r w:rsidR="00390CB9" w:rsidRPr="00C77002">
        <w:rPr>
          <w:color w:val="000000"/>
          <w:spacing w:val="-3"/>
          <w:w w:val="105"/>
        </w:rPr>
        <w:t xml:space="preserve">broad </w:t>
      </w:r>
      <w:r w:rsidR="00390CB9" w:rsidRPr="00C77002">
        <w:rPr>
          <w:color w:val="000000"/>
          <w:spacing w:val="-3"/>
          <w:w w:val="105"/>
        </w:rPr>
        <w:lastRenderedPageBreak/>
        <w:t>restrictions on the right of peaceful assembly.</w:t>
      </w:r>
      <w:r w:rsidR="00390CB9" w:rsidRPr="00C77002">
        <w:rPr>
          <w:vertAlign w:val="superscript"/>
          <w:lang w:val="fr-CH"/>
        </w:rPr>
        <w:footnoteReference w:id="22"/>
      </w:r>
      <w:r w:rsidR="00390CB9" w:rsidRPr="00C77002">
        <w:rPr>
          <w:color w:val="000000"/>
          <w:spacing w:val="-3"/>
          <w:w w:val="105"/>
        </w:rPr>
        <w:t xml:space="preserve"> </w:t>
      </w:r>
      <w:r w:rsidR="00390CB9" w:rsidRPr="00C77002">
        <w:rPr>
          <w:color w:val="000000"/>
        </w:rPr>
        <w:t xml:space="preserve">Peaceful assemblies </w:t>
      </w:r>
      <w:r w:rsidR="00390CB9">
        <w:rPr>
          <w:color w:val="000000"/>
        </w:rPr>
        <w:t>can</w:t>
      </w:r>
      <w:r w:rsidR="00390CB9" w:rsidRPr="00C77002">
        <w:rPr>
          <w:color w:val="000000"/>
        </w:rPr>
        <w:t xml:space="preserve"> in some cases </w:t>
      </w:r>
      <w:r w:rsidR="00390CB9">
        <w:rPr>
          <w:color w:val="000000"/>
        </w:rPr>
        <w:t xml:space="preserve">be </w:t>
      </w:r>
      <w:r w:rsidR="00390CB9" w:rsidRPr="00C77002">
        <w:rPr>
          <w:color w:val="000000"/>
        </w:rPr>
        <w:t xml:space="preserve">inherently </w:t>
      </w:r>
      <w:r w:rsidR="00390CB9">
        <w:rPr>
          <w:color w:val="000000"/>
        </w:rPr>
        <w:t xml:space="preserve">or deliberately </w:t>
      </w:r>
      <w:r w:rsidR="00390CB9" w:rsidRPr="00C77002">
        <w:rPr>
          <w:color w:val="000000"/>
        </w:rPr>
        <w:t>disruptive</w:t>
      </w:r>
      <w:r w:rsidR="00390CB9">
        <w:rPr>
          <w:color w:val="000000"/>
        </w:rPr>
        <w:t xml:space="preserve"> and require a significant degree of toleration</w:t>
      </w:r>
      <w:r w:rsidR="00390CB9" w:rsidRPr="00C77002">
        <w:rPr>
          <w:color w:val="000000"/>
        </w:rPr>
        <w:t xml:space="preserve">. “Public order” and “law and order” are not synonyms, and the prohibition of “public disorder” in domestic law should not be used </w:t>
      </w:r>
      <w:r w:rsidR="00390CB9">
        <w:rPr>
          <w:color w:val="000000"/>
        </w:rPr>
        <w:t xml:space="preserve">unduly to restrict </w:t>
      </w:r>
      <w:r w:rsidR="00390CB9" w:rsidRPr="00C77002">
        <w:rPr>
          <w:color w:val="000000"/>
        </w:rPr>
        <w:t>peaceful assemblies.</w:t>
      </w:r>
      <w:r w:rsidR="00390CB9">
        <w:rPr>
          <w:rStyle w:val="FootnoteReference"/>
          <w:color w:val="000000"/>
        </w:rPr>
        <w:footnoteReference w:id="23"/>
      </w:r>
      <w:r w:rsidR="00390CB9" w:rsidRPr="00C77002">
        <w:rPr>
          <w:color w:val="000000"/>
        </w:rPr>
        <w:t xml:space="preserve"> </w:t>
      </w:r>
      <w:r w:rsidR="00390CB9" w:rsidRPr="002C14E6">
        <w:t xml:space="preserve">However, the Committee notes that the State party has not provided any specifics as </w:t>
      </w:r>
      <w:r w:rsidR="00390CB9">
        <w:t xml:space="preserve">to </w:t>
      </w:r>
      <w:r w:rsidR="00390CB9" w:rsidRPr="002C14E6">
        <w:t xml:space="preserve">the nature of the disturbance occasioned by the assembly in question, nor any information as to how it crossed the threshold of permissible disruption to be tolerated. </w:t>
      </w:r>
    </w:p>
    <w:p w14:paraId="5E7041F9" w14:textId="2E7A6312" w:rsidR="00011E10" w:rsidRDefault="00390CB9" w:rsidP="00390CB9">
      <w:pPr>
        <w:pStyle w:val="SingleTxtG"/>
        <w:rPr>
          <w:color w:val="000000"/>
          <w:spacing w:val="-3"/>
          <w:w w:val="105"/>
        </w:rPr>
      </w:pPr>
      <w:r>
        <w:t>1</w:t>
      </w:r>
      <w:r w:rsidR="006860EB">
        <w:t>2.</w:t>
      </w:r>
      <w:r w:rsidR="00135A54">
        <w:t>6</w:t>
      </w:r>
      <w:r>
        <w:t xml:space="preserve"> </w:t>
      </w:r>
      <w:r w:rsidRPr="002C14E6">
        <w:t xml:space="preserve">The Committee recalls that </w:t>
      </w:r>
      <w:r w:rsidRPr="00C77002">
        <w:t xml:space="preserve">Article 21 provides that any restrictions must be </w:t>
      </w:r>
      <w:r>
        <w:t>“</w:t>
      </w:r>
      <w:r w:rsidRPr="00580A19">
        <w:rPr>
          <w:iCs/>
          <w:color w:val="000000"/>
        </w:rPr>
        <w:t>necessary</w:t>
      </w:r>
      <w:r w:rsidRPr="00C77002">
        <w:rPr>
          <w:color w:val="000000"/>
        </w:rPr>
        <w:t xml:space="preserve"> in a democratic society</w:t>
      </w:r>
      <w:r>
        <w:rPr>
          <w:color w:val="000000"/>
        </w:rPr>
        <w:t>”</w:t>
      </w:r>
      <w:r w:rsidRPr="00C77002">
        <w:rPr>
          <w:color w:val="000000"/>
        </w:rPr>
        <w:t xml:space="preserve">. </w:t>
      </w:r>
      <w:r>
        <w:t>R</w:t>
      </w:r>
      <w:r w:rsidRPr="00C77002">
        <w:t xml:space="preserve">estrictions </w:t>
      </w:r>
      <w:r>
        <w:t xml:space="preserve">must therefore be </w:t>
      </w:r>
      <w:r>
        <w:rPr>
          <w:i/>
        </w:rPr>
        <w:t xml:space="preserve">necessary </w:t>
      </w:r>
      <w:r>
        <w:t xml:space="preserve">and </w:t>
      </w:r>
      <w:r w:rsidRPr="00CC4945">
        <w:t>proportionate</w:t>
      </w:r>
      <w:r w:rsidRPr="00C77002">
        <w:t xml:space="preserve"> in the context of a society based on democracy, </w:t>
      </w:r>
      <w:r>
        <w:t xml:space="preserve">the rule of law, </w:t>
      </w:r>
      <w:r w:rsidRPr="00C77002">
        <w:t>political pluralism and human rights, as opposed to being merely reasonable or expedient.</w:t>
      </w:r>
      <w:r w:rsidRPr="00C77002">
        <w:rPr>
          <w:rFonts w:eastAsia="SimSun"/>
          <w:vertAlign w:val="superscript"/>
          <w:lang w:val="fr-CH"/>
        </w:rPr>
        <w:footnoteReference w:id="24"/>
      </w:r>
      <w:r>
        <w:t xml:space="preserve"> </w:t>
      </w:r>
      <w:r>
        <w:rPr>
          <w:color w:val="000000"/>
        </w:rPr>
        <w:t>Such r</w:t>
      </w:r>
      <w:r w:rsidRPr="00C77002">
        <w:rPr>
          <w:color w:val="000000"/>
        </w:rPr>
        <w:t>estriction</w:t>
      </w:r>
      <w:r>
        <w:rPr>
          <w:color w:val="000000"/>
        </w:rPr>
        <w:t>s must be appropriate</w:t>
      </w:r>
      <w:r w:rsidRPr="00C77002">
        <w:rPr>
          <w:color w:val="000000"/>
        </w:rPr>
        <w:t xml:space="preserve"> </w:t>
      </w:r>
      <w:r w:rsidRPr="00C77002">
        <w:t>respons</w:t>
      </w:r>
      <w:r>
        <w:t>es</w:t>
      </w:r>
      <w:r w:rsidRPr="00C77002">
        <w:t xml:space="preserve"> to a pressing social need</w:t>
      </w:r>
      <w:r>
        <w:t>,</w:t>
      </w:r>
      <w:r w:rsidRPr="00C77002">
        <w:t xml:space="preserve"> related to one of the permissible grounds </w:t>
      </w:r>
      <w:r>
        <w:t>in</w:t>
      </w:r>
      <w:r w:rsidRPr="00C77002">
        <w:t xml:space="preserve"> article 21. They must also be the least intrusive among the measures that might serve the relevant protective function.</w:t>
      </w:r>
      <w:r w:rsidRPr="00AC2BB8">
        <w:rPr>
          <w:rStyle w:val="FootnoteReference"/>
        </w:rPr>
        <w:footnoteReference w:id="25"/>
      </w:r>
      <w:r w:rsidRPr="00C77002">
        <w:t xml:space="preserve"> </w:t>
      </w:r>
      <w:r>
        <w:t>M</w:t>
      </w:r>
      <w:r w:rsidRPr="00C77002">
        <w:t xml:space="preserve">oreover, </w:t>
      </w:r>
      <w:r>
        <w:t>they have to</w:t>
      </w:r>
      <w:r w:rsidRPr="00C77002">
        <w:t xml:space="preserve"> be </w:t>
      </w:r>
      <w:r w:rsidRPr="001B1DED">
        <w:rPr>
          <w:iCs/>
        </w:rPr>
        <w:t>proportionate</w:t>
      </w:r>
      <w:r w:rsidRPr="00C77002">
        <w:t xml:space="preserve">, which requires a value assessment, </w:t>
      </w:r>
      <w:r>
        <w:t>weighing</w:t>
      </w:r>
      <w:r w:rsidRPr="00C77002">
        <w:t xml:space="preserve"> the nature and </w:t>
      </w:r>
      <w:r w:rsidRPr="00E61CC8">
        <w:t>detrimental impact</w:t>
      </w:r>
      <w:r w:rsidRPr="00C77002">
        <w:t xml:space="preserve"> of the interference</w:t>
      </w:r>
      <w:r>
        <w:t xml:space="preserve"> on the exercise of the right</w:t>
      </w:r>
      <w:r w:rsidRPr="00C77002">
        <w:t xml:space="preserve"> against the </w:t>
      </w:r>
      <w:r>
        <w:t>resultant benefit to one of the grounds</w:t>
      </w:r>
      <w:r w:rsidRPr="00C77002">
        <w:t xml:space="preserve"> for interfering.</w:t>
      </w:r>
      <w:r w:rsidRPr="00C77002">
        <w:rPr>
          <w:rFonts w:eastAsia="SimSun"/>
          <w:vertAlign w:val="superscript"/>
          <w:lang w:val="fr-CH"/>
        </w:rPr>
        <w:footnoteReference w:id="26"/>
      </w:r>
      <w:r w:rsidRPr="00C77002">
        <w:t xml:space="preserve"> If the </w:t>
      </w:r>
      <w:r w:rsidRPr="00E61CC8">
        <w:t>detriment</w:t>
      </w:r>
      <w:r w:rsidRPr="00C77002">
        <w:t xml:space="preserve"> outweighs the </w:t>
      </w:r>
      <w:r w:rsidRPr="00E61CC8">
        <w:t>benefit</w:t>
      </w:r>
      <w:r w:rsidRPr="00C77002">
        <w:t>, the restriction is disproportionate and thus not permissible.</w:t>
      </w:r>
      <w:r>
        <w:t xml:space="preserve"> </w:t>
      </w:r>
      <w:r w:rsidRPr="002C14E6">
        <w:t xml:space="preserve">The </w:t>
      </w:r>
      <w:r w:rsidRPr="00CC4945">
        <w:t>Committee</w:t>
      </w:r>
      <w:r w:rsidRPr="002C14E6">
        <w:t xml:space="preserve"> further observes that the State party has not demonstrated that the author’s administrative fine</w:t>
      </w:r>
      <w:r w:rsidRPr="002C14E6">
        <w:rPr>
          <w:color w:val="8DB3E2" w:themeColor="text2" w:themeTint="66"/>
        </w:rPr>
        <w:t xml:space="preserve"> </w:t>
      </w:r>
      <w:r w:rsidRPr="002C14E6">
        <w:t xml:space="preserve">for participating in a peaceful public protest was necessary in a democratic society to pursue a legitimate aim or was proportionate to such an aim in accordance with the strict requirements under the second sentence of article 21 of the Covenant. </w:t>
      </w:r>
      <w:r>
        <w:t>The Committee also recalls that a</w:t>
      </w:r>
      <w:r w:rsidRPr="00D605B8">
        <w:t>ny restrictions on participation in peaceful assemblies should be based on a differentiated or individualized assessment of the conduct of the participants and the assembly concerned. Blanket restrictions on peaceful assemblies are presumptively disproportionate.</w:t>
      </w:r>
      <w:r>
        <w:t xml:space="preserve"> </w:t>
      </w:r>
      <w:r>
        <w:rPr>
          <w:rStyle w:val="FootnoteReference"/>
        </w:rPr>
        <w:footnoteReference w:id="27"/>
      </w:r>
      <w:r>
        <w:t>For these reasons,</w:t>
      </w:r>
      <w:r w:rsidRPr="002C14E6">
        <w:t xml:space="preserve"> the Committee concludes</w:t>
      </w:r>
      <w:r>
        <w:t xml:space="preserve"> that </w:t>
      </w:r>
      <w:r w:rsidRPr="004C6930">
        <w:t xml:space="preserve">the </w:t>
      </w:r>
      <w:r>
        <w:t>State party</w:t>
      </w:r>
      <w:r w:rsidRPr="004C6930">
        <w:t xml:space="preserve"> failed to justify the res</w:t>
      </w:r>
      <w:r>
        <w:t xml:space="preserve">triction of the author’s right, </w:t>
      </w:r>
      <w:r w:rsidRPr="004C6930">
        <w:t>especially since the author was not an organiser of this event</w:t>
      </w:r>
      <w:r>
        <w:t xml:space="preserve">, thus </w:t>
      </w:r>
      <w:r w:rsidRPr="002C14E6">
        <w:t>the State party has violated article 21 of the Covenant.</w:t>
      </w:r>
    </w:p>
    <w:p w14:paraId="75FBF81F" w14:textId="4D68C4C6" w:rsidR="0007359B" w:rsidRPr="001C2B11" w:rsidRDefault="006860EB" w:rsidP="001C2B11">
      <w:pPr>
        <w:spacing w:after="120"/>
        <w:ind w:left="1134" w:right="1134"/>
        <w:jc w:val="both"/>
        <w:rPr>
          <w:color w:val="000000"/>
          <w:spacing w:val="-3"/>
          <w:w w:val="105"/>
        </w:rPr>
      </w:pPr>
      <w:r>
        <w:rPr>
          <w:color w:val="000000"/>
          <w:spacing w:val="-3"/>
          <w:w w:val="105"/>
        </w:rPr>
        <w:t>12.</w:t>
      </w:r>
      <w:r w:rsidR="00135A54">
        <w:rPr>
          <w:color w:val="000000"/>
          <w:spacing w:val="-3"/>
          <w:w w:val="105"/>
        </w:rPr>
        <w:t>7</w:t>
      </w:r>
      <w:r w:rsidR="00011E10">
        <w:rPr>
          <w:color w:val="000000"/>
          <w:spacing w:val="-3"/>
          <w:w w:val="105"/>
        </w:rPr>
        <w:t xml:space="preserve"> </w:t>
      </w:r>
      <w:r w:rsidR="00011E10" w:rsidRPr="008D2C34">
        <w:t xml:space="preserve">The Committee </w:t>
      </w:r>
      <w:r w:rsidR="00011E10" w:rsidRPr="003B156F">
        <w:t xml:space="preserve">also </w:t>
      </w:r>
      <w:r w:rsidR="00011E10" w:rsidRPr="008D2C34">
        <w:t>n</w:t>
      </w:r>
      <w:r w:rsidR="00011E10">
        <w:t>otes the author’s claim that his</w:t>
      </w:r>
      <w:r w:rsidR="00011E10" w:rsidRPr="008D2C34">
        <w:t xml:space="preserve"> right to freedom of expression under articles 19 of the Covenant </w:t>
      </w:r>
      <w:r w:rsidR="00011E10">
        <w:t>was</w:t>
      </w:r>
      <w:r w:rsidR="00011E10" w:rsidRPr="00342178">
        <w:t xml:space="preserve"> violated</w:t>
      </w:r>
      <w:r w:rsidR="00011E10" w:rsidRPr="008D2C34">
        <w:t>. The Committee must therefore decide whether the limitations imposed on the author are allowed under one of the permissible restrictions laid out in article 19 (3) of the Covenant.</w:t>
      </w:r>
    </w:p>
    <w:p w14:paraId="068E15DE" w14:textId="4751CCE0" w:rsidR="00784A1E" w:rsidRPr="0072412E" w:rsidRDefault="00784A1E" w:rsidP="00390CB9">
      <w:pPr>
        <w:pStyle w:val="SingleTxtG"/>
      </w:pPr>
      <w:r w:rsidRPr="00784A1E">
        <w:t>12.</w:t>
      </w:r>
      <w:r w:rsidR="00135A54">
        <w:t>8</w:t>
      </w:r>
      <w:r w:rsidRPr="00784A1E">
        <w:tab/>
        <w:t>The Committee notes that sanctioning the author for expressing his views through participation in a public protest interfered with his right to impart information and ideas of any kind, as protected under article 19 (2) of the Covenant. The Committee recalls that article 19 (3) of the Covenant allows certain restrictions, but these shall only be such as are provided by law and are necessary for respect of the rights or reputations of others and for the protection of national security or of public order (</w:t>
      </w:r>
      <w:proofErr w:type="spellStart"/>
      <w:r w:rsidRPr="00784A1E">
        <w:rPr>
          <w:i/>
        </w:rPr>
        <w:t>ordre</w:t>
      </w:r>
      <w:proofErr w:type="spellEnd"/>
      <w:r w:rsidRPr="00784A1E">
        <w:rPr>
          <w:i/>
        </w:rPr>
        <w:t xml:space="preserve"> public</w:t>
      </w:r>
      <w:r w:rsidRPr="00784A1E">
        <w:t>) or of public health or morals. The Committee refers to its general comment No. 34 (2011) on the freedoms of opinion and expression, in which it stated that those freedoms were indispensable conditions for the full development of the person and were essential for any society. These freedoms constitute the foundation stone for every free and democratic society. Any restriction on the exercise of those freedoms must conform to the strict tests of necessity and proportionality. Restrictions must be applied only for those purposes for which they were prescribed and must be directly related to the specific need on which they were predicated. The Committee recalls that it is for the State party to demonstrate that the restrictions on the author’s rights under article 19 were necessary and proportionate.</w:t>
      </w:r>
      <w:r w:rsidRPr="00784A1E">
        <w:rPr>
          <w:vertAlign w:val="superscript"/>
        </w:rPr>
        <w:footnoteReference w:id="28"/>
      </w:r>
      <w:r w:rsidRPr="00784A1E">
        <w:t xml:space="preserve"> </w:t>
      </w:r>
    </w:p>
    <w:p w14:paraId="0B9F520B" w14:textId="3D2C24C1" w:rsidR="00390CB9" w:rsidRDefault="0007359B" w:rsidP="00390CB9">
      <w:pPr>
        <w:pStyle w:val="SingleTxtG"/>
      </w:pPr>
      <w:r>
        <w:t>12</w:t>
      </w:r>
      <w:r w:rsidRPr="0072412E">
        <w:t>.</w:t>
      </w:r>
      <w:r w:rsidR="00135A54">
        <w:t>9</w:t>
      </w:r>
      <w:r w:rsidRPr="0072412E">
        <w:tab/>
      </w:r>
      <w:r w:rsidR="00390CB9" w:rsidRPr="008D2C34">
        <w:t xml:space="preserve">Regarding the restriction on the author’s freedom of expression, the Committee recalls that political speech enjoys a heightened level of accommodation and protection as a form of </w:t>
      </w:r>
      <w:r w:rsidR="00390CB9" w:rsidRPr="008D2C34">
        <w:lastRenderedPageBreak/>
        <w:t>expression.</w:t>
      </w:r>
      <w:r w:rsidR="00390CB9" w:rsidRPr="008D2C34">
        <w:rPr>
          <w:sz w:val="18"/>
          <w:vertAlign w:val="superscript"/>
        </w:rPr>
        <w:footnoteReference w:id="29"/>
      </w:r>
      <w:r w:rsidR="00390CB9" w:rsidRPr="008D2C34">
        <w:t xml:space="preserve"> The Committee notes the author’s claim that the assembly was held to protest against </w:t>
      </w:r>
      <w:r w:rsidR="00390CB9" w:rsidRPr="00390CB9">
        <w:t>recently conducted elections and to commemorate the victims of the Zhanaozen massacre of 16 December 2011</w:t>
      </w:r>
      <w:r w:rsidR="00390CB9" w:rsidRPr="008D2C34">
        <w:t>. In the absence of any pertinent information from the State party explaining how the restriction was in line with the provisions of article 19 (3) of the Covenant (</w:t>
      </w:r>
      <w:r w:rsidR="00390CB9" w:rsidRPr="003B156F">
        <w:t>para.</w:t>
      </w:r>
      <w:r w:rsidR="00390CB9" w:rsidRPr="008D2C34">
        <w:t xml:space="preserve"> 4.9), the Committee concludes that the author’s rights under article 19 (2) of the Covenant have been violated.</w:t>
      </w:r>
    </w:p>
    <w:p w14:paraId="4157BFF1" w14:textId="27E22BCF" w:rsidR="0007359B" w:rsidRPr="00501739" w:rsidRDefault="0007359B" w:rsidP="0007359B">
      <w:pPr>
        <w:pStyle w:val="SingleTxtG"/>
        <w:rPr>
          <w:highlight w:val="green"/>
        </w:rPr>
      </w:pPr>
      <w:r w:rsidRPr="0072412E">
        <w:t>1</w:t>
      </w:r>
      <w:r w:rsidR="009D29DC">
        <w:t>3</w:t>
      </w:r>
      <w:r w:rsidRPr="0072412E">
        <w:t>.</w:t>
      </w:r>
      <w:r w:rsidRPr="0072412E">
        <w:tab/>
      </w:r>
      <w:r w:rsidRPr="0007359B">
        <w:t>The Committee, acting under article 5 (4) of the Optional Protocol, is of the view that the facts before it disclose a violation by the State party of articles 19 (2) and 21 of the Covenant.</w:t>
      </w:r>
    </w:p>
    <w:p w14:paraId="5E6B549E" w14:textId="618AD9F3" w:rsidR="0007359B" w:rsidRPr="0072412E" w:rsidRDefault="009D29DC" w:rsidP="001B5A35">
      <w:pPr>
        <w:pStyle w:val="SingleTxtG"/>
      </w:pPr>
      <w:r>
        <w:t>14</w:t>
      </w:r>
      <w:r w:rsidR="0007359B" w:rsidRPr="0007359B">
        <w:t>.</w:t>
      </w:r>
      <w:r w:rsidR="0007359B" w:rsidRPr="0007359B">
        <w:tab/>
        <w:t xml:space="preserve">Pursuant to article 2 (3) (a) of the Covenant, the State party is under an obligation to provide the </w:t>
      </w:r>
      <w:r w:rsidR="0007359B" w:rsidRPr="001B5A35">
        <w:t>author</w:t>
      </w:r>
      <w:r w:rsidR="0007359B" w:rsidRPr="0007359B">
        <w:t xml:space="preserve"> with an effective remedy. This requires it to make full reparation to individuals whose Covenant rights have been violated. Accordingly, the State party is obligated, </w:t>
      </w:r>
      <w:r w:rsidR="0007359B" w:rsidRPr="0007359B">
        <w:rPr>
          <w:iCs/>
        </w:rPr>
        <w:t>inter alia,</w:t>
      </w:r>
      <w:r w:rsidR="0007359B" w:rsidRPr="0007359B">
        <w:t xml:space="preserve"> to take appropriate steps to provide the author with adequate compensation and reimbursement of any legal costs incurred by </w:t>
      </w:r>
      <w:r w:rsidR="0041097D" w:rsidRPr="0007359B">
        <w:t>h</w:t>
      </w:r>
      <w:r w:rsidR="0041097D">
        <w:t>im</w:t>
      </w:r>
      <w:r w:rsidR="0007359B" w:rsidRPr="0007359B">
        <w:t>. The State party is also under an obligation to take all steps necessary to prevent similar violations from occurring in the future.</w:t>
      </w:r>
      <w:r w:rsidR="0007359B" w:rsidRPr="0072412E">
        <w:t xml:space="preserve"> In this connection, the Committee reiterates that, pursuant to its obligations under article 2 (2) of the Covenant, the State party should review its legislation with a view to ensuring that the rights under article </w:t>
      </w:r>
      <w:r w:rsidR="00390CB9">
        <w:t xml:space="preserve">19 (2) and </w:t>
      </w:r>
      <w:r w:rsidR="0007359B" w:rsidRPr="0072412E">
        <w:t>21 of the Covenant, including organiz</w:t>
      </w:r>
      <w:r w:rsidR="0007359B">
        <w:t>ing</w:t>
      </w:r>
      <w:r w:rsidR="0007359B" w:rsidRPr="0072412E">
        <w:t xml:space="preserve"> and conduct</w:t>
      </w:r>
      <w:r w:rsidR="0007359B">
        <w:t>ing</w:t>
      </w:r>
      <w:r w:rsidR="0007359B" w:rsidRPr="0072412E">
        <w:t xml:space="preserve"> peaceful assemblies, meetings, processions, pickets and demonstrations, may be fully enjoyed in the State party. </w:t>
      </w:r>
    </w:p>
    <w:p w14:paraId="569A29F5" w14:textId="523F944C" w:rsidR="0007359B" w:rsidRPr="0072412E" w:rsidRDefault="009D29DC" w:rsidP="001B5A35">
      <w:pPr>
        <w:pStyle w:val="SingleTxtG"/>
        <w:rPr>
          <w:u w:val="single"/>
        </w:rPr>
      </w:pPr>
      <w:r>
        <w:t>15</w:t>
      </w:r>
      <w:r w:rsidR="0007359B" w:rsidRPr="0072412E">
        <w:t>.</w:t>
      </w:r>
      <w:r w:rsidR="0007359B" w:rsidRPr="0072412E">
        <w:tab/>
      </w:r>
      <w:r w:rsidR="0007359B" w:rsidRPr="0007359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w:t>
      </w:r>
      <w:r w:rsidR="0007359B" w:rsidRPr="00B13C2B">
        <w:t>Committee</w:t>
      </w:r>
      <w:r w:rsidR="0007359B" w:rsidRPr="0007359B">
        <w:t xml:space="preserve"> wishes to receive from the State party, within 180 days, information about the measures taken to give effect to the Committee’s Views. The State party is also requested to publish the present Views and disseminate them widely in the official languages of the State party.</w:t>
      </w:r>
    </w:p>
    <w:p w14:paraId="73487FCE" w14:textId="77777777" w:rsidR="0007359B" w:rsidRPr="0072412E" w:rsidRDefault="0007359B" w:rsidP="0007359B">
      <w:pPr>
        <w:pStyle w:val="SingleTxtG"/>
        <w:spacing w:before="240" w:after="0"/>
        <w:jc w:val="center"/>
        <w:rPr>
          <w:u w:val="single"/>
        </w:rPr>
      </w:pPr>
      <w:r w:rsidRPr="0072412E">
        <w:tab/>
      </w:r>
      <w:r w:rsidRPr="0072412E">
        <w:rPr>
          <w:u w:val="single"/>
        </w:rPr>
        <w:tab/>
      </w:r>
      <w:r w:rsidRPr="0072412E">
        <w:rPr>
          <w:u w:val="single"/>
        </w:rPr>
        <w:tab/>
      </w:r>
      <w:r w:rsidRPr="0072412E">
        <w:rPr>
          <w:u w:val="single"/>
        </w:rPr>
        <w:tab/>
      </w:r>
    </w:p>
    <w:sectPr w:rsidR="0007359B" w:rsidRPr="0072412E" w:rsidSect="00B2656F">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6069D" w14:textId="77777777" w:rsidR="000524E0" w:rsidRDefault="000524E0"/>
  </w:endnote>
  <w:endnote w:type="continuationSeparator" w:id="0">
    <w:p w14:paraId="0BC8BBD7" w14:textId="77777777" w:rsidR="000524E0" w:rsidRDefault="000524E0"/>
  </w:endnote>
  <w:endnote w:type="continuationNotice" w:id="1">
    <w:p w14:paraId="1C56BF6F" w14:textId="77777777" w:rsidR="000524E0" w:rsidRDefault="00052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DF7B" w14:textId="7101E3A2" w:rsidR="005C3286" w:rsidRPr="009E2CF9" w:rsidRDefault="005C3286" w:rsidP="009E2CF9">
    <w:pPr>
      <w:pStyle w:val="Footer"/>
      <w:tabs>
        <w:tab w:val="right" w:pos="9598"/>
      </w:tabs>
    </w:pPr>
    <w:r w:rsidRPr="009E2CF9">
      <w:rPr>
        <w:b/>
        <w:sz w:val="18"/>
      </w:rPr>
      <w:fldChar w:fldCharType="begin"/>
    </w:r>
    <w:r w:rsidRPr="009E2CF9">
      <w:rPr>
        <w:b/>
        <w:sz w:val="18"/>
      </w:rPr>
      <w:instrText xml:space="preserve"> PAGE  \* MERGEFORMAT </w:instrText>
    </w:r>
    <w:r w:rsidRPr="009E2CF9">
      <w:rPr>
        <w:b/>
        <w:sz w:val="18"/>
      </w:rPr>
      <w:fldChar w:fldCharType="separate"/>
    </w:r>
    <w:r w:rsidR="001C2B11">
      <w:rPr>
        <w:b/>
        <w:noProof/>
        <w:sz w:val="18"/>
      </w:rPr>
      <w:t>8</w:t>
    </w:r>
    <w:r w:rsidRPr="009E2CF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929573"/>
      <w:docPartObj>
        <w:docPartGallery w:val="Page Numbers (Bottom of Page)"/>
        <w:docPartUnique/>
      </w:docPartObj>
    </w:sdtPr>
    <w:sdtEndPr>
      <w:rPr>
        <w:b/>
        <w:noProof/>
      </w:rPr>
    </w:sdtEndPr>
    <w:sdtContent>
      <w:p w14:paraId="37D4DD10" w14:textId="789E1A37" w:rsidR="00D82EA2" w:rsidRPr="00D82EA2" w:rsidRDefault="00D82EA2" w:rsidP="00D82EA2">
        <w:pPr>
          <w:pStyle w:val="Footer"/>
          <w:jc w:val="right"/>
          <w:rPr>
            <w:b/>
          </w:rPr>
        </w:pPr>
        <w:r w:rsidRPr="00D82EA2">
          <w:rPr>
            <w:b/>
          </w:rPr>
          <w:fldChar w:fldCharType="begin"/>
        </w:r>
        <w:r w:rsidRPr="00D82EA2">
          <w:rPr>
            <w:b/>
          </w:rPr>
          <w:instrText xml:space="preserve"> PAGE   \* MERGEFORMAT </w:instrText>
        </w:r>
        <w:r w:rsidRPr="00D82EA2">
          <w:rPr>
            <w:b/>
          </w:rPr>
          <w:fldChar w:fldCharType="separate"/>
        </w:r>
        <w:r w:rsidR="001C2B11">
          <w:rPr>
            <w:b/>
            <w:noProof/>
          </w:rPr>
          <w:t>9</w:t>
        </w:r>
        <w:r w:rsidRPr="00D82EA2">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B3FC" w14:textId="10030DC1" w:rsidR="005C3286" w:rsidRPr="00ED625E" w:rsidRDefault="00ED625E" w:rsidP="00ED625E">
    <w:pPr>
      <w:pStyle w:val="Footer"/>
      <w:ind w:right="1134"/>
      <w:rPr>
        <w:rFonts w:asciiTheme="majorBidi" w:hAnsiTheme="majorBidi" w:cstheme="majorBidi"/>
        <w:sz w:val="20"/>
      </w:rPr>
    </w:pPr>
    <w:r w:rsidRPr="00ED625E">
      <w:rPr>
        <w:rFonts w:asciiTheme="majorBidi" w:hAnsiTheme="majorBidi" w:cstheme="majorBidi"/>
        <w:noProof/>
        <w:sz w:val="20"/>
        <w:lang w:eastAsia="en-GB"/>
      </w:rPr>
      <w:drawing>
        <wp:anchor distT="0" distB="0" distL="114300" distR="114300" simplePos="0" relativeHeight="251659264" behindDoc="1" locked="1" layoutInCell="1" allowOverlap="1" wp14:anchorId="3DF11457" wp14:editId="64A61F5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8ABC88" w14:textId="2F3C9113" w:rsidR="00ED625E" w:rsidRPr="00ED625E" w:rsidRDefault="00ED625E" w:rsidP="00ED625E">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647CEECB" wp14:editId="24C376E9">
          <wp:simplePos x="0" y="0"/>
          <wp:positionH relativeFrom="margin">
            <wp:posOffset>5478780</wp:posOffset>
          </wp:positionH>
          <wp:positionV relativeFrom="margin">
            <wp:posOffset>8794750</wp:posOffset>
          </wp:positionV>
          <wp:extent cx="561975" cy="561975"/>
          <wp:effectExtent l="0" t="0" r="9525" b="9525"/>
          <wp:wrapNone/>
          <wp:docPr id="1" name="Picture 1" descr="https://undocs.org/m2/QRCode.ashx?DS=CCPR/C/128/DR/2418/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DR/2418/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EDD9" w14:textId="77777777" w:rsidR="000524E0" w:rsidRPr="000B175B" w:rsidRDefault="000524E0" w:rsidP="000B175B">
      <w:pPr>
        <w:tabs>
          <w:tab w:val="right" w:pos="2155"/>
        </w:tabs>
        <w:spacing w:after="80"/>
        <w:ind w:left="680"/>
        <w:rPr>
          <w:u w:val="single"/>
        </w:rPr>
      </w:pPr>
      <w:r>
        <w:rPr>
          <w:u w:val="single"/>
        </w:rPr>
        <w:tab/>
      </w:r>
    </w:p>
  </w:footnote>
  <w:footnote w:type="continuationSeparator" w:id="0">
    <w:p w14:paraId="47EC70B3" w14:textId="77777777" w:rsidR="000524E0" w:rsidRPr="00FC68B7" w:rsidRDefault="000524E0" w:rsidP="00FC68B7">
      <w:pPr>
        <w:tabs>
          <w:tab w:val="left" w:pos="2155"/>
        </w:tabs>
        <w:spacing w:after="80"/>
        <w:ind w:left="680"/>
        <w:rPr>
          <w:u w:val="single"/>
        </w:rPr>
      </w:pPr>
      <w:r>
        <w:rPr>
          <w:u w:val="single"/>
        </w:rPr>
        <w:tab/>
      </w:r>
    </w:p>
  </w:footnote>
  <w:footnote w:type="continuationNotice" w:id="1">
    <w:p w14:paraId="7325E5CF" w14:textId="77777777" w:rsidR="000524E0" w:rsidRDefault="000524E0"/>
  </w:footnote>
  <w:footnote w:id="2">
    <w:p w14:paraId="19CD9DA0" w14:textId="66E4EE94" w:rsidR="00894CB6" w:rsidRPr="00894CB6" w:rsidRDefault="00894CB6">
      <w:pPr>
        <w:pStyle w:val="FootnoteText"/>
      </w:pPr>
      <w:r>
        <w:rPr>
          <w:rStyle w:val="FootnoteReference"/>
        </w:rPr>
        <w:tab/>
      </w:r>
      <w:r w:rsidRPr="001C2B11">
        <w:rPr>
          <w:rStyle w:val="FootnoteReference"/>
          <w:sz w:val="20"/>
          <w:vertAlign w:val="baseline"/>
        </w:rPr>
        <w:t>*</w:t>
      </w:r>
      <w:r>
        <w:rPr>
          <w:rStyle w:val="FootnoteReference"/>
          <w:sz w:val="20"/>
          <w:vertAlign w:val="baseline"/>
        </w:rPr>
        <w:tab/>
      </w:r>
      <w:r w:rsidRPr="00E70274">
        <w:t>Adopted by the Committee at its 130th session (12 October – 6 November 2020).</w:t>
      </w:r>
    </w:p>
  </w:footnote>
  <w:footnote w:id="3">
    <w:p w14:paraId="57C4BE0A" w14:textId="77777777" w:rsidR="00894CB6" w:rsidRPr="00E70274" w:rsidRDefault="00894CB6" w:rsidP="00894CB6">
      <w:pPr>
        <w:pStyle w:val="FootnoteText"/>
      </w:pPr>
      <w:r>
        <w:rPr>
          <w:rStyle w:val="FootnoteReference"/>
        </w:rPr>
        <w:tab/>
      </w:r>
      <w:r w:rsidRPr="001C2B11">
        <w:rPr>
          <w:rStyle w:val="FootnoteReference"/>
          <w:sz w:val="20"/>
          <w:vertAlign w:val="baseline"/>
        </w:rPr>
        <w:t>**</w:t>
      </w:r>
      <w:r>
        <w:rPr>
          <w:rStyle w:val="FootnoteReference"/>
          <w:sz w:val="20"/>
          <w:vertAlign w:val="baseline"/>
        </w:rPr>
        <w:tab/>
      </w:r>
      <w:r w:rsidRPr="00E70274">
        <w:t xml:space="preserve">The following members of the Committee participated in the examination of the communication: </w:t>
      </w:r>
    </w:p>
    <w:p w14:paraId="31BB640B" w14:textId="41965A6C" w:rsidR="00894CB6" w:rsidRPr="00E70274" w:rsidRDefault="00894CB6" w:rsidP="00894CB6">
      <w:pPr>
        <w:pStyle w:val="FootnoteText"/>
      </w:pPr>
      <w:r w:rsidRPr="00E70274">
        <w:tab/>
      </w:r>
      <w:r w:rsidRPr="00E70274">
        <w:tab/>
        <w:t xml:space="preserve">Tania María Abdo </w:t>
      </w:r>
      <w:proofErr w:type="spellStart"/>
      <w:r w:rsidRPr="00E70274">
        <w:t>Rocholl</w:t>
      </w:r>
      <w:proofErr w:type="spellEnd"/>
      <w:r w:rsidRPr="00E70274">
        <w:t xml:space="preserve">, </w:t>
      </w:r>
      <w:proofErr w:type="spellStart"/>
      <w:r w:rsidRPr="00E70274">
        <w:t>Yadh</w:t>
      </w:r>
      <w:proofErr w:type="spellEnd"/>
      <w:r w:rsidRPr="00E70274">
        <w:t xml:space="preserve"> Ben </w:t>
      </w:r>
      <w:proofErr w:type="spellStart"/>
      <w:r w:rsidRPr="00E70274">
        <w:t>Achour</w:t>
      </w:r>
      <w:proofErr w:type="spellEnd"/>
      <w:r w:rsidRPr="00E70274">
        <w:t xml:space="preserve">, </w:t>
      </w:r>
      <w:proofErr w:type="spellStart"/>
      <w:r w:rsidRPr="00E70274">
        <w:t>Arif</w:t>
      </w:r>
      <w:proofErr w:type="spellEnd"/>
      <w:r w:rsidRPr="00E70274">
        <w:t xml:space="preserve"> </w:t>
      </w:r>
      <w:proofErr w:type="spellStart"/>
      <w:r w:rsidRPr="00E70274">
        <w:t>Bulkan</w:t>
      </w:r>
      <w:proofErr w:type="spellEnd"/>
      <w:r w:rsidRPr="00E70274">
        <w:t xml:space="preserve">, Ahmed Amin </w:t>
      </w:r>
      <w:proofErr w:type="spellStart"/>
      <w:r w:rsidRPr="00E70274">
        <w:t>Fathalla</w:t>
      </w:r>
      <w:proofErr w:type="spellEnd"/>
      <w:r w:rsidRPr="00E70274">
        <w:t xml:space="preserve">, Christof </w:t>
      </w:r>
      <w:proofErr w:type="spellStart"/>
      <w:r w:rsidRPr="00E70274">
        <w:t>Heyns</w:t>
      </w:r>
      <w:proofErr w:type="spellEnd"/>
      <w:r w:rsidRPr="00E70274">
        <w:t xml:space="preserve">, Shuichi </w:t>
      </w:r>
      <w:proofErr w:type="spellStart"/>
      <w:r w:rsidRPr="00E70274">
        <w:t>Furuya</w:t>
      </w:r>
      <w:proofErr w:type="spellEnd"/>
      <w:r w:rsidRPr="00E70274">
        <w:t xml:space="preserve">, </w:t>
      </w:r>
      <w:proofErr w:type="spellStart"/>
      <w:r w:rsidRPr="00E70274">
        <w:t>Bamariam</w:t>
      </w:r>
      <w:proofErr w:type="spellEnd"/>
      <w:r w:rsidRPr="00E70274">
        <w:t xml:space="preserve"> </w:t>
      </w:r>
      <w:proofErr w:type="spellStart"/>
      <w:r w:rsidRPr="00E70274">
        <w:t>Koita</w:t>
      </w:r>
      <w:proofErr w:type="spellEnd"/>
      <w:r w:rsidRPr="00E70274">
        <w:t xml:space="preserve">, Duncan </w:t>
      </w:r>
      <w:proofErr w:type="spellStart"/>
      <w:r w:rsidRPr="00E70274">
        <w:t>Laki</w:t>
      </w:r>
      <w:proofErr w:type="spellEnd"/>
      <w:r w:rsidRPr="00E70274">
        <w:t xml:space="preserve"> </w:t>
      </w:r>
      <w:proofErr w:type="spellStart"/>
      <w:r w:rsidRPr="00E70274">
        <w:t>Muhumuza</w:t>
      </w:r>
      <w:proofErr w:type="spellEnd"/>
      <w:r w:rsidRPr="00E70274">
        <w:t>, David Moore,</w:t>
      </w:r>
      <w:r w:rsidR="00615119">
        <w:t xml:space="preserve"> </w:t>
      </w:r>
      <w:r w:rsidRPr="00E70274">
        <w:t xml:space="preserve">Photini </w:t>
      </w:r>
      <w:proofErr w:type="spellStart"/>
      <w:r w:rsidRPr="00E70274">
        <w:t>Pazartzis</w:t>
      </w:r>
      <w:proofErr w:type="spellEnd"/>
      <w:r w:rsidRPr="00E70274">
        <w:t xml:space="preserve">, </w:t>
      </w:r>
      <w:proofErr w:type="spellStart"/>
      <w:r w:rsidRPr="00E70274">
        <w:t>Hernán</w:t>
      </w:r>
      <w:proofErr w:type="spellEnd"/>
      <w:r w:rsidRPr="00E70274">
        <w:t xml:space="preserve"> Quezada Cabrera, </w:t>
      </w:r>
      <w:proofErr w:type="spellStart"/>
      <w:r w:rsidRPr="00E70274">
        <w:t>Vasilka</w:t>
      </w:r>
      <w:proofErr w:type="spellEnd"/>
      <w:r w:rsidRPr="00E70274">
        <w:t xml:space="preserve"> </w:t>
      </w:r>
      <w:proofErr w:type="spellStart"/>
      <w:r w:rsidRPr="00E70274">
        <w:t>Sancin</w:t>
      </w:r>
      <w:proofErr w:type="spellEnd"/>
      <w:r w:rsidRPr="00E70274">
        <w:t xml:space="preserve">, José Manuel Santos </w:t>
      </w:r>
      <w:proofErr w:type="spellStart"/>
      <w:r w:rsidRPr="00E70274">
        <w:t>Pais</w:t>
      </w:r>
      <w:proofErr w:type="spellEnd"/>
      <w:r w:rsidRPr="00E70274">
        <w:t xml:space="preserve">, Yuval </w:t>
      </w:r>
      <w:proofErr w:type="spellStart"/>
      <w:r w:rsidRPr="00E70274">
        <w:t>Shany</w:t>
      </w:r>
      <w:proofErr w:type="spellEnd"/>
      <w:r w:rsidRPr="00E70274">
        <w:t xml:space="preserve">, Hélène Tigroudja, Andreas Zimmermann and Gentian </w:t>
      </w:r>
      <w:proofErr w:type="spellStart"/>
      <w:r w:rsidRPr="00E70274">
        <w:t>Zyberi</w:t>
      </w:r>
      <w:proofErr w:type="spellEnd"/>
      <w:r w:rsidRPr="00E70274">
        <w:t>.</w:t>
      </w:r>
    </w:p>
    <w:p w14:paraId="298E2269" w14:textId="4465C464" w:rsidR="00894CB6" w:rsidRPr="00894CB6" w:rsidRDefault="00894CB6">
      <w:pPr>
        <w:pStyle w:val="FootnoteText"/>
      </w:pPr>
    </w:p>
  </w:footnote>
  <w:footnote w:id="4">
    <w:p w14:paraId="340B242A" w14:textId="3BE51E14" w:rsidR="005C3286" w:rsidRPr="00526C25" w:rsidRDefault="00526C25" w:rsidP="00526C25">
      <w:pPr>
        <w:pStyle w:val="FootnoteText"/>
      </w:pPr>
      <w:r>
        <w:tab/>
      </w:r>
      <w:r w:rsidR="005C3286" w:rsidRPr="00526C25">
        <w:rPr>
          <w:rStyle w:val="FootnoteReference"/>
        </w:rPr>
        <w:footnoteRef/>
      </w:r>
      <w:r w:rsidRPr="00526C25">
        <w:rPr>
          <w:rStyle w:val="FootnoteReference"/>
          <w:vertAlign w:val="baseline"/>
        </w:rPr>
        <w:tab/>
      </w:r>
      <w:r w:rsidR="005C3286" w:rsidRPr="00526C25">
        <w:t xml:space="preserve">The author is a civil society activist and participated as a candidate in the parliamentary and local municipality elections in January 2012.  </w:t>
      </w:r>
    </w:p>
  </w:footnote>
  <w:footnote w:id="5">
    <w:p w14:paraId="2A77283D" w14:textId="59C40E02" w:rsidR="0048041F" w:rsidRPr="00526C25" w:rsidRDefault="00526C25" w:rsidP="00526C25">
      <w:pPr>
        <w:pStyle w:val="FootnoteText"/>
      </w:pPr>
      <w:r w:rsidRPr="00526C25">
        <w:tab/>
      </w:r>
      <w:r w:rsidR="0048041F" w:rsidRPr="00526C25">
        <w:rPr>
          <w:rStyle w:val="FootnoteReference"/>
        </w:rPr>
        <w:footnoteRef/>
      </w:r>
      <w:r w:rsidRPr="00526C25">
        <w:tab/>
      </w:r>
      <w:r w:rsidR="0048041F" w:rsidRPr="00526C25">
        <w:t>I</w:t>
      </w:r>
      <w:r w:rsidR="0048041F" w:rsidRPr="00526C25">
        <w:rPr>
          <w:rFonts w:eastAsia="Verdana"/>
        </w:rPr>
        <w:t>t appears from the author’s complaint that the organizers of the mentioned meetings tried, without success, to obtain prior permissions to hold these meetings</w:t>
      </w:r>
      <w:r w:rsidR="001525FB">
        <w:rPr>
          <w:rFonts w:eastAsia="Verdana"/>
        </w:rPr>
        <w:t>.</w:t>
      </w:r>
    </w:p>
  </w:footnote>
  <w:footnote w:id="6">
    <w:p w14:paraId="5D5BC51A" w14:textId="07F68F16" w:rsidR="005C3286" w:rsidRPr="00526C25" w:rsidRDefault="00526C25" w:rsidP="00526C25">
      <w:pPr>
        <w:pStyle w:val="FootnoteText"/>
      </w:pPr>
      <w:r w:rsidRPr="00526C25">
        <w:tab/>
      </w:r>
      <w:r w:rsidR="005C3286" w:rsidRPr="00526C25">
        <w:rPr>
          <w:rStyle w:val="FootnoteReference"/>
        </w:rPr>
        <w:footnoteRef/>
      </w:r>
      <w:r w:rsidRPr="00526C25">
        <w:tab/>
      </w:r>
      <w:r w:rsidR="005C3286" w:rsidRPr="00526C25">
        <w:t>Approximately 150 USD.</w:t>
      </w:r>
    </w:p>
  </w:footnote>
  <w:footnote w:id="7">
    <w:p w14:paraId="24A56378" w14:textId="66BE3F89" w:rsidR="002C4CBA" w:rsidRPr="00526C25" w:rsidRDefault="001525FB" w:rsidP="00526C25">
      <w:pPr>
        <w:pStyle w:val="FootnoteText"/>
      </w:pPr>
      <w:r>
        <w:tab/>
      </w:r>
      <w:r w:rsidR="002C4CBA" w:rsidRPr="00526C25">
        <w:rPr>
          <w:rStyle w:val="FootnoteReference"/>
        </w:rPr>
        <w:footnoteRef/>
      </w:r>
      <w:r w:rsidR="00526C25">
        <w:tab/>
      </w:r>
      <w:r w:rsidR="00526C25">
        <w:tab/>
      </w:r>
      <w:r w:rsidR="002C4CBA" w:rsidRPr="00526C25">
        <w:t xml:space="preserve">The complaint was forwarded by the Office of Prosecutor of Almaty. </w:t>
      </w:r>
    </w:p>
  </w:footnote>
  <w:footnote w:id="8">
    <w:p w14:paraId="5EFE4B22" w14:textId="55211B6E" w:rsidR="0017166B" w:rsidRPr="00B13C2B" w:rsidRDefault="00FD58CC" w:rsidP="00B13C2B">
      <w:pPr>
        <w:pStyle w:val="FootnoteText"/>
      </w:pPr>
      <w:r>
        <w:tab/>
      </w:r>
      <w:r w:rsidR="0017166B" w:rsidRPr="00B13C2B">
        <w:rPr>
          <w:rStyle w:val="FootnoteReference"/>
        </w:rPr>
        <w:footnoteRef/>
      </w:r>
      <w:r w:rsidRPr="00B13C2B">
        <w:rPr>
          <w:rStyle w:val="FootnoteReference"/>
        </w:rPr>
        <w:tab/>
      </w:r>
      <w:r w:rsidR="0017166B" w:rsidRPr="00B13C2B">
        <w:t>The case of sanctioning for participation in the unauthorised event in the form of administrative detention, which based on the protest of prosecutor, was reviewed by the court. The court replaced the admini</w:t>
      </w:r>
      <w:r w:rsidR="001525FB">
        <w:t>strative detention with a fine.</w:t>
      </w:r>
    </w:p>
  </w:footnote>
  <w:footnote w:id="9">
    <w:p w14:paraId="41C75F33" w14:textId="1C83617B" w:rsidR="005C3286" w:rsidRPr="00B13C2B" w:rsidRDefault="00FD58CC" w:rsidP="00B13C2B">
      <w:pPr>
        <w:pStyle w:val="FootnoteText"/>
      </w:pPr>
      <w:r>
        <w:tab/>
      </w:r>
      <w:r w:rsidR="005C3286" w:rsidRPr="00B13C2B">
        <w:rPr>
          <w:rStyle w:val="FootnoteReference"/>
        </w:rPr>
        <w:footnoteRef/>
      </w:r>
      <w:r>
        <w:tab/>
      </w:r>
      <w:r w:rsidR="005C3286" w:rsidRPr="00B13C2B">
        <w:t xml:space="preserve">There is no information about the respond on the second request to the Prosecutor General’s Office of 8 November 2012. </w:t>
      </w:r>
    </w:p>
  </w:footnote>
  <w:footnote w:id="10">
    <w:p w14:paraId="20843687" w14:textId="2BD81A6C" w:rsidR="00C56D0E" w:rsidRPr="00552E1D" w:rsidRDefault="00FD58CC" w:rsidP="00C56D0E">
      <w:pPr>
        <w:pStyle w:val="FootnoteText"/>
      </w:pPr>
      <w:r>
        <w:tab/>
      </w:r>
      <w:r w:rsidR="00C56D0E" w:rsidRPr="00B13C2B">
        <w:rPr>
          <w:rStyle w:val="FootnoteTextChar1"/>
          <w:vertAlign w:val="superscript"/>
        </w:rPr>
        <w:footnoteRef/>
      </w:r>
      <w:r w:rsidR="00C56D0E" w:rsidRPr="00B13C2B">
        <w:rPr>
          <w:rStyle w:val="FootnoteTextChar1"/>
          <w:vertAlign w:val="superscript"/>
        </w:rPr>
        <w:tab/>
      </w:r>
      <w:r w:rsidR="00C56D0E" w:rsidRPr="00B13C2B">
        <w:rPr>
          <w:rStyle w:val="FootnoteTextChar1"/>
        </w:rPr>
        <w:t>Communication No. 1873/2009, Alekseev v. the Russian Federation, Views adopted on 25 October</w:t>
      </w:r>
      <w:r w:rsidR="00C56D0E" w:rsidRPr="00B13C2B">
        <w:t xml:space="preserve"> 2013, at para 8.4. </w:t>
      </w:r>
    </w:p>
  </w:footnote>
  <w:footnote w:id="11">
    <w:p w14:paraId="609BAF37" w14:textId="77777777" w:rsidR="00784A1E" w:rsidRPr="00217670" w:rsidRDefault="00784A1E" w:rsidP="00784A1E">
      <w:pPr>
        <w:pStyle w:val="FootnoteText"/>
        <w:ind w:right="1152"/>
        <w:rPr>
          <w:lang w:val="es-ES"/>
        </w:rPr>
      </w:pPr>
      <w:r>
        <w:tab/>
      </w:r>
      <w:r w:rsidRPr="0072412E">
        <w:rPr>
          <w:rStyle w:val="FootnoteReference"/>
        </w:rPr>
        <w:footnoteRef/>
      </w:r>
      <w:r w:rsidRPr="0072412E">
        <w:tab/>
      </w:r>
      <w:r w:rsidRPr="004C6930">
        <w:t>General Comment No.  37, (2020), para.</w:t>
      </w:r>
      <w:r>
        <w:t>1</w:t>
      </w:r>
      <w:r w:rsidRPr="004C6930">
        <w:t>.</w:t>
      </w:r>
    </w:p>
  </w:footnote>
  <w:footnote w:id="12">
    <w:p w14:paraId="4F9DB2C3" w14:textId="77777777" w:rsidR="00784A1E" w:rsidRPr="00217670" w:rsidRDefault="00784A1E" w:rsidP="00784A1E">
      <w:pPr>
        <w:pStyle w:val="FootnoteText"/>
        <w:rPr>
          <w:szCs w:val="18"/>
          <w:lang w:val="es-ES"/>
        </w:rPr>
      </w:pPr>
      <w:r w:rsidRPr="00217670">
        <w:rPr>
          <w:szCs w:val="18"/>
          <w:lang w:val="es-ES"/>
        </w:rPr>
        <w:tab/>
      </w:r>
      <w:r w:rsidRPr="00037AFF">
        <w:rPr>
          <w:rStyle w:val="FootnoteReference"/>
          <w:szCs w:val="18"/>
        </w:rPr>
        <w:footnoteRef/>
      </w:r>
      <w:r w:rsidRPr="00217670">
        <w:rPr>
          <w:szCs w:val="18"/>
          <w:lang w:val="es-ES"/>
        </w:rPr>
        <w:tab/>
      </w:r>
      <w:proofErr w:type="spellStart"/>
      <w:r>
        <w:rPr>
          <w:szCs w:val="18"/>
          <w:lang w:val="es-ES"/>
        </w:rPr>
        <w:t>Ibid</w:t>
      </w:r>
      <w:proofErr w:type="spellEnd"/>
      <w:r>
        <w:rPr>
          <w:szCs w:val="18"/>
          <w:lang w:val="es-ES"/>
        </w:rPr>
        <w:t>, para. 22,</w:t>
      </w:r>
      <w:r w:rsidRPr="007E2D25">
        <w:rPr>
          <w:szCs w:val="18"/>
          <w:lang w:val="es-ES"/>
        </w:rPr>
        <w:t xml:space="preserve"> </w:t>
      </w:r>
      <w:proofErr w:type="spellStart"/>
      <w:r>
        <w:rPr>
          <w:szCs w:val="18"/>
          <w:lang w:val="es-ES"/>
        </w:rPr>
        <w:t>see</w:t>
      </w:r>
      <w:proofErr w:type="spellEnd"/>
      <w:r>
        <w:rPr>
          <w:szCs w:val="18"/>
          <w:lang w:val="es-ES"/>
        </w:rPr>
        <w:t xml:space="preserve"> </w:t>
      </w:r>
      <w:proofErr w:type="spellStart"/>
      <w:r>
        <w:rPr>
          <w:szCs w:val="18"/>
          <w:lang w:val="es-ES"/>
        </w:rPr>
        <w:t>also</w:t>
      </w:r>
      <w:proofErr w:type="spellEnd"/>
      <w:r w:rsidRPr="00217670">
        <w:rPr>
          <w:i/>
          <w:iCs/>
          <w:szCs w:val="18"/>
          <w:lang w:val="es-ES"/>
        </w:rPr>
        <w:t xml:space="preserve"> </w:t>
      </w:r>
      <w:proofErr w:type="spellStart"/>
      <w:r w:rsidRPr="00217670">
        <w:rPr>
          <w:i/>
          <w:iCs/>
          <w:szCs w:val="18"/>
          <w:lang w:val="es-ES"/>
        </w:rPr>
        <w:t>Strizhak</w:t>
      </w:r>
      <w:proofErr w:type="spellEnd"/>
      <w:r w:rsidRPr="00217670">
        <w:rPr>
          <w:i/>
          <w:iCs/>
          <w:szCs w:val="18"/>
          <w:lang w:val="es-ES"/>
        </w:rPr>
        <w:t xml:space="preserve"> v. </w:t>
      </w:r>
      <w:proofErr w:type="spellStart"/>
      <w:r w:rsidRPr="00217670">
        <w:rPr>
          <w:i/>
          <w:iCs/>
          <w:szCs w:val="18"/>
          <w:lang w:val="es-ES"/>
        </w:rPr>
        <w:t>Belarus</w:t>
      </w:r>
      <w:proofErr w:type="spellEnd"/>
      <w:r w:rsidRPr="00217670">
        <w:rPr>
          <w:iCs/>
          <w:szCs w:val="18"/>
          <w:lang w:val="es-ES"/>
        </w:rPr>
        <w:t>, (CCPR/C/124/D/2260/2013), para. 6.5</w:t>
      </w:r>
      <w:r>
        <w:rPr>
          <w:szCs w:val="18"/>
          <w:lang w:val="es-ES"/>
        </w:rPr>
        <w:t>.</w:t>
      </w:r>
    </w:p>
  </w:footnote>
  <w:footnote w:id="13">
    <w:p w14:paraId="6FDFBE40" w14:textId="77777777" w:rsidR="00784A1E" w:rsidRPr="00037AFF" w:rsidRDefault="00784A1E" w:rsidP="00784A1E">
      <w:pPr>
        <w:pStyle w:val="FootnoteText"/>
      </w:pPr>
      <w:r w:rsidRPr="00217670">
        <w:rPr>
          <w:lang w:val="es-ES"/>
        </w:rPr>
        <w:tab/>
      </w:r>
      <w:r w:rsidRPr="00037AFF">
        <w:rPr>
          <w:rStyle w:val="FootnoteReference"/>
          <w:szCs w:val="18"/>
        </w:rPr>
        <w:footnoteRef/>
      </w:r>
      <w:r w:rsidRPr="00217670">
        <w:rPr>
          <w:lang w:val="es-ES"/>
        </w:rPr>
        <w:tab/>
      </w:r>
      <w:proofErr w:type="spellStart"/>
      <w:r w:rsidRPr="00217670">
        <w:rPr>
          <w:i/>
          <w:lang w:val="es-ES"/>
        </w:rPr>
        <w:t>Gryb</w:t>
      </w:r>
      <w:proofErr w:type="spellEnd"/>
      <w:r w:rsidRPr="00217670">
        <w:rPr>
          <w:i/>
          <w:lang w:val="es-ES"/>
        </w:rPr>
        <w:t xml:space="preserve"> v. </w:t>
      </w:r>
      <w:proofErr w:type="spellStart"/>
      <w:r w:rsidRPr="00217670">
        <w:rPr>
          <w:i/>
          <w:lang w:val="es-ES"/>
        </w:rPr>
        <w:t>Belarus</w:t>
      </w:r>
      <w:proofErr w:type="spellEnd"/>
      <w:r w:rsidRPr="00217670">
        <w:rPr>
          <w:i/>
          <w:lang w:val="es-ES"/>
        </w:rPr>
        <w:t xml:space="preserve"> </w:t>
      </w:r>
      <w:r w:rsidRPr="00217670">
        <w:rPr>
          <w:iCs/>
          <w:lang w:val="es-ES"/>
        </w:rPr>
        <w:t>(</w:t>
      </w:r>
      <w:r w:rsidRPr="00217670">
        <w:rPr>
          <w:lang w:val="es-ES"/>
        </w:rPr>
        <w:t xml:space="preserve">CCPR/C/108/D/1316/2004), para. </w:t>
      </w:r>
      <w:r w:rsidRPr="00037AFF">
        <w:t xml:space="preserve">13.4. </w:t>
      </w:r>
    </w:p>
  </w:footnote>
  <w:footnote w:id="14">
    <w:p w14:paraId="75928E2A" w14:textId="77777777" w:rsidR="00784A1E" w:rsidRPr="00037AFF" w:rsidRDefault="00784A1E" w:rsidP="00784A1E">
      <w:pPr>
        <w:pStyle w:val="FootnoteText"/>
        <w:rPr>
          <w:szCs w:val="18"/>
        </w:rPr>
      </w:pPr>
      <w:r w:rsidRPr="00037AFF">
        <w:rPr>
          <w:szCs w:val="18"/>
        </w:rPr>
        <w:tab/>
      </w:r>
      <w:r w:rsidRPr="00037AFF">
        <w:rPr>
          <w:rStyle w:val="FootnoteReference"/>
          <w:szCs w:val="18"/>
        </w:rPr>
        <w:footnoteRef/>
      </w:r>
      <w:r w:rsidRPr="00037AFF">
        <w:rPr>
          <w:szCs w:val="18"/>
        </w:rPr>
        <w:tab/>
      </w:r>
      <w:proofErr w:type="spellStart"/>
      <w:r w:rsidRPr="00037AFF">
        <w:rPr>
          <w:i/>
          <w:szCs w:val="18"/>
        </w:rPr>
        <w:t>Chebotareva</w:t>
      </w:r>
      <w:proofErr w:type="spellEnd"/>
      <w:r w:rsidRPr="00037AFF">
        <w:rPr>
          <w:i/>
          <w:szCs w:val="18"/>
        </w:rPr>
        <w:t xml:space="preserve"> v. Russian Federation</w:t>
      </w:r>
      <w:r w:rsidRPr="00037AFF">
        <w:rPr>
          <w:szCs w:val="18"/>
        </w:rPr>
        <w:t xml:space="preserve"> (CCPR/C/104/D/1866/2009), para. 9.3.</w:t>
      </w:r>
    </w:p>
  </w:footnote>
  <w:footnote w:id="15">
    <w:p w14:paraId="1264D746" w14:textId="77777777" w:rsidR="00784A1E" w:rsidRPr="00217670" w:rsidRDefault="00784A1E" w:rsidP="00784A1E">
      <w:pPr>
        <w:pStyle w:val="FootnoteText"/>
        <w:rPr>
          <w:szCs w:val="18"/>
          <w:lang w:val="es-ES"/>
        </w:rPr>
      </w:pPr>
      <w:r w:rsidRPr="00037AFF">
        <w:rPr>
          <w:szCs w:val="18"/>
        </w:rPr>
        <w:tab/>
      </w:r>
      <w:r w:rsidRPr="00037AFF">
        <w:rPr>
          <w:rStyle w:val="FootnoteReference"/>
          <w:szCs w:val="18"/>
        </w:rPr>
        <w:footnoteRef/>
      </w:r>
      <w:r w:rsidRPr="00037AFF">
        <w:rPr>
          <w:szCs w:val="18"/>
        </w:rPr>
        <w:tab/>
      </w:r>
      <w:proofErr w:type="spellStart"/>
      <w:r w:rsidRPr="00037AFF">
        <w:rPr>
          <w:i/>
          <w:szCs w:val="18"/>
        </w:rPr>
        <w:t>Turchenyak</w:t>
      </w:r>
      <w:proofErr w:type="spellEnd"/>
      <w:r w:rsidRPr="00037AFF">
        <w:rPr>
          <w:i/>
          <w:szCs w:val="18"/>
        </w:rPr>
        <w:t xml:space="preserve"> and others v. Belarus</w:t>
      </w:r>
      <w:r w:rsidRPr="00037AFF">
        <w:rPr>
          <w:szCs w:val="18"/>
        </w:rPr>
        <w:t xml:space="preserve"> (CCPR/C/108/D/1948/2010 and Corr.1), para. </w:t>
      </w:r>
      <w:r w:rsidRPr="00217670">
        <w:rPr>
          <w:szCs w:val="18"/>
          <w:lang w:val="es-ES"/>
        </w:rPr>
        <w:t>7.4.</w:t>
      </w:r>
    </w:p>
  </w:footnote>
  <w:footnote w:id="16">
    <w:p w14:paraId="41A34F34" w14:textId="77777777" w:rsidR="00784A1E" w:rsidRPr="00217670" w:rsidRDefault="00784A1E" w:rsidP="00784A1E">
      <w:pPr>
        <w:pStyle w:val="FootnoteText"/>
        <w:rPr>
          <w:lang w:val="es-ES"/>
        </w:rPr>
      </w:pPr>
      <w:r w:rsidRPr="00217670">
        <w:rPr>
          <w:lang w:val="es-ES"/>
        </w:rPr>
        <w:tab/>
      </w:r>
      <w:r>
        <w:rPr>
          <w:rStyle w:val="FootnoteReference"/>
        </w:rPr>
        <w:footnoteRef/>
      </w:r>
      <w:r w:rsidRPr="00217670">
        <w:rPr>
          <w:lang w:val="es-ES"/>
        </w:rPr>
        <w:t xml:space="preserve"> </w:t>
      </w:r>
      <w:r w:rsidRPr="00217670">
        <w:rPr>
          <w:lang w:val="es-ES"/>
        </w:rPr>
        <w:tab/>
        <w:t xml:space="preserve">General </w:t>
      </w:r>
      <w:proofErr w:type="spellStart"/>
      <w:r w:rsidRPr="00217670">
        <w:rPr>
          <w:lang w:val="es-ES"/>
        </w:rPr>
        <w:t>Comment</w:t>
      </w:r>
      <w:proofErr w:type="spellEnd"/>
      <w:r w:rsidRPr="00217670">
        <w:rPr>
          <w:lang w:val="es-ES"/>
        </w:rPr>
        <w:t xml:space="preserve"> No.  37, (2020), para. 36.</w:t>
      </w:r>
    </w:p>
  </w:footnote>
  <w:footnote w:id="17">
    <w:p w14:paraId="24E1E91B" w14:textId="77777777" w:rsidR="00784A1E" w:rsidRPr="00217670" w:rsidRDefault="00784A1E" w:rsidP="00784A1E">
      <w:pPr>
        <w:pStyle w:val="FootnoteText"/>
        <w:rPr>
          <w:szCs w:val="18"/>
          <w:lang w:val="es-ES"/>
        </w:rPr>
      </w:pPr>
      <w:r w:rsidRPr="00217670">
        <w:rPr>
          <w:szCs w:val="18"/>
          <w:lang w:val="es-ES"/>
        </w:rPr>
        <w:tab/>
      </w:r>
      <w:r w:rsidRPr="00531C92">
        <w:rPr>
          <w:rStyle w:val="FootnoteReference"/>
          <w:szCs w:val="18"/>
        </w:rPr>
        <w:footnoteRef/>
      </w:r>
      <w:r w:rsidRPr="00217670">
        <w:rPr>
          <w:szCs w:val="18"/>
          <w:lang w:val="es-ES"/>
        </w:rPr>
        <w:tab/>
        <w:t xml:space="preserve">CCPR/C/MAR/CO/6, para. 45; CCPR/C/GMB/CO/2, para. </w:t>
      </w:r>
      <w:r w:rsidRPr="00531C92">
        <w:rPr>
          <w:szCs w:val="18"/>
        </w:rPr>
        <w:t xml:space="preserve">41; </w:t>
      </w:r>
      <w:r>
        <w:rPr>
          <w:szCs w:val="18"/>
        </w:rPr>
        <w:t xml:space="preserve">and </w:t>
      </w:r>
      <w:r w:rsidRPr="00531C92">
        <w:rPr>
          <w:szCs w:val="18"/>
        </w:rPr>
        <w:t xml:space="preserve">ACHPR, </w:t>
      </w:r>
      <w:r w:rsidRPr="0007589E">
        <w:rPr>
          <w:i/>
          <w:szCs w:val="18"/>
        </w:rPr>
        <w:t>Guidelines on Freedom of Association and Assembly in Africa</w:t>
      </w:r>
      <w:r w:rsidRPr="00531C92">
        <w:rPr>
          <w:szCs w:val="18"/>
        </w:rPr>
        <w:t xml:space="preserve">, para. </w:t>
      </w:r>
      <w:r w:rsidRPr="00217670">
        <w:rPr>
          <w:szCs w:val="18"/>
          <w:lang w:val="es-ES"/>
        </w:rPr>
        <w:t>71.</w:t>
      </w:r>
    </w:p>
  </w:footnote>
  <w:footnote w:id="18">
    <w:p w14:paraId="09B88256" w14:textId="77777777" w:rsidR="00784A1E" w:rsidRPr="00217670" w:rsidRDefault="00784A1E" w:rsidP="00784A1E">
      <w:pPr>
        <w:pStyle w:val="FootnoteText"/>
        <w:rPr>
          <w:lang w:val="es-ES"/>
        </w:rPr>
      </w:pPr>
      <w:r w:rsidRPr="00217670">
        <w:rPr>
          <w:lang w:val="es-ES"/>
        </w:rPr>
        <w:tab/>
      </w:r>
      <w:r w:rsidRPr="00531C92">
        <w:rPr>
          <w:rStyle w:val="FootnoteReference"/>
          <w:szCs w:val="18"/>
        </w:rPr>
        <w:footnoteRef/>
      </w:r>
      <w:r w:rsidRPr="00217670">
        <w:rPr>
          <w:lang w:val="es-ES"/>
        </w:rPr>
        <w:tab/>
      </w:r>
      <w:proofErr w:type="spellStart"/>
      <w:r w:rsidRPr="00217670">
        <w:rPr>
          <w:lang w:val="es-ES"/>
        </w:rPr>
        <w:t>Poliakov</w:t>
      </w:r>
      <w:proofErr w:type="spellEnd"/>
      <w:r w:rsidRPr="00217670">
        <w:rPr>
          <w:lang w:val="es-ES"/>
        </w:rPr>
        <w:t xml:space="preserve"> v. </w:t>
      </w:r>
      <w:proofErr w:type="spellStart"/>
      <w:r w:rsidRPr="00217670">
        <w:rPr>
          <w:lang w:val="es-ES"/>
        </w:rPr>
        <w:t>Belarus</w:t>
      </w:r>
      <w:proofErr w:type="spellEnd"/>
      <w:r w:rsidRPr="00217670">
        <w:rPr>
          <w:lang w:val="es-ES"/>
        </w:rPr>
        <w:t>, para. 8.3.</w:t>
      </w:r>
    </w:p>
  </w:footnote>
  <w:footnote w:id="19">
    <w:p w14:paraId="066CC256" w14:textId="77777777" w:rsidR="00784A1E" w:rsidRPr="00217670" w:rsidRDefault="00784A1E" w:rsidP="00784A1E">
      <w:pPr>
        <w:pStyle w:val="FootnoteText"/>
        <w:rPr>
          <w:lang w:val="es-ES"/>
        </w:rPr>
      </w:pPr>
      <w:r w:rsidRPr="00217670">
        <w:rPr>
          <w:lang w:val="es-ES"/>
        </w:rPr>
        <w:tab/>
      </w:r>
      <w:r w:rsidRPr="00531C92">
        <w:rPr>
          <w:rStyle w:val="FootnoteReference"/>
          <w:szCs w:val="18"/>
        </w:rPr>
        <w:footnoteRef/>
      </w:r>
      <w:r w:rsidRPr="00217670">
        <w:rPr>
          <w:lang w:val="es-ES"/>
        </w:rPr>
        <w:tab/>
      </w:r>
      <w:r w:rsidRPr="004C6930">
        <w:rPr>
          <w:lang w:val="es-ES"/>
        </w:rPr>
        <w:t xml:space="preserve">General </w:t>
      </w:r>
      <w:proofErr w:type="spellStart"/>
      <w:r w:rsidRPr="004C6930">
        <w:rPr>
          <w:lang w:val="es-ES"/>
        </w:rPr>
        <w:t>Comment</w:t>
      </w:r>
      <w:proofErr w:type="spellEnd"/>
      <w:r w:rsidRPr="004C6930">
        <w:rPr>
          <w:lang w:val="es-ES"/>
        </w:rPr>
        <w:t xml:space="preserve"> No.  37, (20</w:t>
      </w:r>
      <w:r>
        <w:rPr>
          <w:lang w:val="es-ES"/>
        </w:rPr>
        <w:t xml:space="preserve">20), para. 73, </w:t>
      </w:r>
      <w:r w:rsidRPr="00217670">
        <w:rPr>
          <w:lang w:val="es-ES"/>
        </w:rPr>
        <w:t>CCPR/C/JOR/CO/5, para. 32.</w:t>
      </w:r>
    </w:p>
  </w:footnote>
  <w:footnote w:id="20">
    <w:p w14:paraId="44DA711F" w14:textId="77777777" w:rsidR="00390CB9" w:rsidRPr="00217670" w:rsidRDefault="00390CB9" w:rsidP="00390CB9">
      <w:pPr>
        <w:pStyle w:val="FootnoteText"/>
        <w:rPr>
          <w:lang w:val="es-ES"/>
        </w:rPr>
      </w:pPr>
      <w:r w:rsidRPr="00217670">
        <w:rPr>
          <w:lang w:val="es-ES"/>
        </w:rPr>
        <w:tab/>
      </w:r>
      <w:r w:rsidRPr="00037AFF">
        <w:rPr>
          <w:rStyle w:val="FootnoteReference"/>
          <w:szCs w:val="18"/>
        </w:rPr>
        <w:footnoteRef/>
      </w:r>
      <w:r w:rsidRPr="00217670">
        <w:rPr>
          <w:lang w:val="es-ES"/>
        </w:rPr>
        <w:tab/>
      </w:r>
      <w:proofErr w:type="spellStart"/>
      <w:r w:rsidRPr="00217670">
        <w:rPr>
          <w:lang w:val="es-ES"/>
        </w:rPr>
        <w:t>Stambrovsky</w:t>
      </w:r>
      <w:proofErr w:type="spellEnd"/>
      <w:r w:rsidRPr="00217670">
        <w:rPr>
          <w:i/>
          <w:lang w:val="es-ES"/>
        </w:rPr>
        <w:t xml:space="preserve"> v. </w:t>
      </w:r>
      <w:proofErr w:type="spellStart"/>
      <w:r w:rsidRPr="00217670">
        <w:rPr>
          <w:i/>
          <w:lang w:val="es-ES"/>
        </w:rPr>
        <w:t>Belarus</w:t>
      </w:r>
      <w:proofErr w:type="spellEnd"/>
      <w:r w:rsidRPr="00217670">
        <w:rPr>
          <w:lang w:val="es-ES"/>
        </w:rPr>
        <w:t xml:space="preserve"> (CCPR/C/112/D/1987/2010), para. 7.6; </w:t>
      </w:r>
      <w:proofErr w:type="spellStart"/>
      <w:r w:rsidRPr="00217670">
        <w:rPr>
          <w:i/>
          <w:lang w:val="es-ES"/>
        </w:rPr>
        <w:t>Pugach</w:t>
      </w:r>
      <w:proofErr w:type="spellEnd"/>
      <w:r w:rsidRPr="00217670">
        <w:rPr>
          <w:i/>
          <w:lang w:val="es-ES"/>
        </w:rPr>
        <w:t xml:space="preserve"> v. </w:t>
      </w:r>
      <w:proofErr w:type="spellStart"/>
      <w:r w:rsidRPr="00217670">
        <w:rPr>
          <w:i/>
          <w:lang w:val="es-ES"/>
        </w:rPr>
        <w:t>Belarus</w:t>
      </w:r>
      <w:proofErr w:type="spellEnd"/>
      <w:r w:rsidRPr="00217670">
        <w:rPr>
          <w:lang w:val="es-ES"/>
        </w:rPr>
        <w:t xml:space="preserve"> (CCPR/C/114/D/1984/2010), para. 7.8.</w:t>
      </w:r>
    </w:p>
  </w:footnote>
  <w:footnote w:id="21">
    <w:p w14:paraId="0B3281EA" w14:textId="77777777" w:rsidR="00390CB9" w:rsidRPr="00217670" w:rsidRDefault="00390CB9" w:rsidP="00390CB9">
      <w:pPr>
        <w:pStyle w:val="FootnoteText"/>
        <w:rPr>
          <w:szCs w:val="18"/>
          <w:lang w:val="es-ES"/>
        </w:rPr>
      </w:pPr>
      <w:r w:rsidRPr="00217670">
        <w:rPr>
          <w:szCs w:val="18"/>
          <w:lang w:val="es-ES"/>
        </w:rPr>
        <w:tab/>
      </w:r>
      <w:r w:rsidRPr="00037AFF">
        <w:rPr>
          <w:rStyle w:val="FootnoteReference"/>
          <w:szCs w:val="18"/>
        </w:rPr>
        <w:footnoteRef/>
      </w:r>
      <w:r w:rsidRPr="00217670">
        <w:rPr>
          <w:szCs w:val="18"/>
          <w:lang w:val="es-ES"/>
        </w:rPr>
        <w:tab/>
      </w:r>
      <w:r w:rsidRPr="00B50620">
        <w:rPr>
          <w:szCs w:val="18"/>
          <w:lang w:val="es-ES"/>
        </w:rPr>
        <w:t xml:space="preserve">Siracusa </w:t>
      </w:r>
      <w:proofErr w:type="spellStart"/>
      <w:r w:rsidRPr="00B50620">
        <w:rPr>
          <w:szCs w:val="18"/>
          <w:lang w:val="es-ES"/>
        </w:rPr>
        <w:t>Principles</w:t>
      </w:r>
      <w:proofErr w:type="spellEnd"/>
      <w:r w:rsidRPr="00B50620">
        <w:rPr>
          <w:szCs w:val="18"/>
          <w:lang w:val="es-ES"/>
        </w:rPr>
        <w:t>., para. 22.</w:t>
      </w:r>
    </w:p>
  </w:footnote>
  <w:footnote w:id="22">
    <w:p w14:paraId="2BAEA4B5" w14:textId="77777777" w:rsidR="00390CB9" w:rsidRPr="00217670" w:rsidRDefault="00390CB9" w:rsidP="00390CB9">
      <w:pPr>
        <w:pStyle w:val="FootnoteText"/>
        <w:rPr>
          <w:szCs w:val="18"/>
          <w:lang w:val="es-ES"/>
        </w:rPr>
      </w:pPr>
      <w:r w:rsidRPr="00217670">
        <w:rPr>
          <w:szCs w:val="18"/>
          <w:lang w:val="es-ES"/>
        </w:rPr>
        <w:tab/>
      </w:r>
      <w:r w:rsidRPr="00037AFF">
        <w:rPr>
          <w:rStyle w:val="FootnoteReference"/>
          <w:szCs w:val="18"/>
        </w:rPr>
        <w:footnoteRef/>
      </w:r>
      <w:r w:rsidRPr="00217670">
        <w:rPr>
          <w:szCs w:val="18"/>
          <w:lang w:val="es-ES"/>
        </w:rPr>
        <w:tab/>
        <w:t>CCPR/C/KAZ/CO/1, para. 26; CCPR/C/DZA/CO/4, para. 45.</w:t>
      </w:r>
    </w:p>
  </w:footnote>
  <w:footnote w:id="23">
    <w:p w14:paraId="65F17E28" w14:textId="77777777" w:rsidR="00390CB9" w:rsidRPr="00217670" w:rsidRDefault="00390CB9" w:rsidP="00390CB9">
      <w:pPr>
        <w:pStyle w:val="FootnoteText"/>
        <w:rPr>
          <w:lang w:val="es-ES"/>
        </w:rPr>
      </w:pPr>
      <w:r w:rsidRPr="00217670">
        <w:rPr>
          <w:lang w:val="es-ES"/>
        </w:rPr>
        <w:tab/>
      </w:r>
      <w:r>
        <w:rPr>
          <w:rStyle w:val="FootnoteReference"/>
        </w:rPr>
        <w:footnoteRef/>
      </w:r>
      <w:r w:rsidRPr="00217670">
        <w:rPr>
          <w:lang w:val="es-ES"/>
        </w:rPr>
        <w:tab/>
        <w:t xml:space="preserve">General </w:t>
      </w:r>
      <w:proofErr w:type="spellStart"/>
      <w:r w:rsidRPr="00217670">
        <w:rPr>
          <w:lang w:val="es-ES"/>
        </w:rPr>
        <w:t>Comment</w:t>
      </w:r>
      <w:proofErr w:type="spellEnd"/>
      <w:r w:rsidRPr="00217670">
        <w:rPr>
          <w:lang w:val="es-ES"/>
        </w:rPr>
        <w:t xml:space="preserve"> No.  37, (2020), para. 44.</w:t>
      </w:r>
    </w:p>
  </w:footnote>
  <w:footnote w:id="24">
    <w:p w14:paraId="499A8521" w14:textId="77777777" w:rsidR="00390CB9" w:rsidRPr="00217670" w:rsidRDefault="00390CB9" w:rsidP="00390CB9">
      <w:pPr>
        <w:pStyle w:val="FootnoteText"/>
        <w:rPr>
          <w:lang w:val="es-ES"/>
        </w:rPr>
      </w:pPr>
      <w:r w:rsidRPr="00217670">
        <w:rPr>
          <w:lang w:val="es-ES"/>
        </w:rPr>
        <w:tab/>
      </w:r>
      <w:r w:rsidRPr="00037AFF">
        <w:rPr>
          <w:rStyle w:val="FootnoteReference"/>
          <w:szCs w:val="18"/>
        </w:rPr>
        <w:footnoteRef/>
      </w:r>
      <w:r w:rsidRPr="00217670">
        <w:rPr>
          <w:lang w:val="es-ES"/>
        </w:rPr>
        <w:tab/>
      </w:r>
      <w:proofErr w:type="spellStart"/>
      <w:r>
        <w:rPr>
          <w:lang w:val="es-ES"/>
        </w:rPr>
        <w:t>Ibid</w:t>
      </w:r>
      <w:proofErr w:type="spellEnd"/>
      <w:r w:rsidRPr="00217670">
        <w:rPr>
          <w:lang w:val="es-ES"/>
        </w:rPr>
        <w:t>, para. 40.</w:t>
      </w:r>
    </w:p>
  </w:footnote>
  <w:footnote w:id="25">
    <w:p w14:paraId="47F22046" w14:textId="77777777" w:rsidR="00390CB9" w:rsidRPr="00037AFF" w:rsidRDefault="00390CB9" w:rsidP="00390CB9">
      <w:pPr>
        <w:pStyle w:val="FootnoteText"/>
      </w:pPr>
      <w:r w:rsidRPr="00217670">
        <w:rPr>
          <w:lang w:val="es-ES"/>
        </w:rPr>
        <w:tab/>
      </w:r>
      <w:r w:rsidRPr="00037AFF">
        <w:rPr>
          <w:rStyle w:val="FootnoteReference"/>
        </w:rPr>
        <w:footnoteRef/>
      </w:r>
      <w:r w:rsidRPr="00217670">
        <w:rPr>
          <w:lang w:val="es-ES"/>
        </w:rPr>
        <w:tab/>
      </w:r>
      <w:proofErr w:type="spellStart"/>
      <w:r w:rsidRPr="00217670">
        <w:rPr>
          <w:i/>
          <w:szCs w:val="18"/>
          <w:lang w:val="es-ES"/>
        </w:rPr>
        <w:t>Toregozhina</w:t>
      </w:r>
      <w:proofErr w:type="spellEnd"/>
      <w:r w:rsidRPr="00217670">
        <w:rPr>
          <w:i/>
          <w:szCs w:val="18"/>
          <w:lang w:val="es-ES"/>
        </w:rPr>
        <w:t xml:space="preserve"> v. </w:t>
      </w:r>
      <w:proofErr w:type="spellStart"/>
      <w:r w:rsidRPr="00217670">
        <w:rPr>
          <w:i/>
          <w:szCs w:val="18"/>
          <w:lang w:val="es-ES"/>
        </w:rPr>
        <w:t>Kazakhstan</w:t>
      </w:r>
      <w:proofErr w:type="spellEnd"/>
      <w:r w:rsidRPr="00217670">
        <w:rPr>
          <w:szCs w:val="18"/>
          <w:lang w:val="es-ES"/>
        </w:rPr>
        <w:t xml:space="preserve"> (CCPR/C/112/D/2137/2012), para. </w:t>
      </w:r>
      <w:r w:rsidRPr="00037AFF">
        <w:rPr>
          <w:szCs w:val="18"/>
        </w:rPr>
        <w:t>7.4.</w:t>
      </w:r>
    </w:p>
  </w:footnote>
  <w:footnote w:id="26">
    <w:p w14:paraId="2ECCFCBD" w14:textId="77777777" w:rsidR="00390CB9" w:rsidRPr="00037AFF" w:rsidRDefault="00390CB9" w:rsidP="00390CB9">
      <w:pPr>
        <w:pStyle w:val="FootnoteText"/>
        <w:jc w:val="both"/>
        <w:rPr>
          <w:szCs w:val="18"/>
        </w:rPr>
      </w:pPr>
      <w:r w:rsidRPr="00037AFF">
        <w:rPr>
          <w:szCs w:val="18"/>
        </w:rPr>
        <w:tab/>
      </w:r>
      <w:r w:rsidRPr="00037AFF">
        <w:rPr>
          <w:rStyle w:val="FootnoteReference"/>
          <w:szCs w:val="18"/>
        </w:rPr>
        <w:footnoteRef/>
      </w:r>
      <w:r w:rsidRPr="00037AFF">
        <w:rPr>
          <w:szCs w:val="18"/>
        </w:rPr>
        <w:tab/>
      </w:r>
      <w:r w:rsidRPr="00617C36">
        <w:t>General Comment No.  37, (2020), para.</w:t>
      </w:r>
      <w:r w:rsidRPr="003B156F">
        <w:t xml:space="preserve"> 40</w:t>
      </w:r>
      <w:r w:rsidRPr="00617C36">
        <w:t>.</w:t>
      </w:r>
    </w:p>
  </w:footnote>
  <w:footnote w:id="27">
    <w:p w14:paraId="0908BA4D" w14:textId="41254A03" w:rsidR="00390CB9" w:rsidRPr="003B156F" w:rsidRDefault="00894CB6" w:rsidP="00390CB9">
      <w:pPr>
        <w:pStyle w:val="FootnoteText"/>
        <w:rPr>
          <w:lang w:val="en-US"/>
        </w:rPr>
      </w:pPr>
      <w:r>
        <w:tab/>
      </w:r>
      <w:r w:rsidR="00390CB9">
        <w:rPr>
          <w:rStyle w:val="FootnoteReference"/>
        </w:rPr>
        <w:footnoteRef/>
      </w:r>
      <w:r w:rsidR="00390CB9">
        <w:t xml:space="preserve"> </w:t>
      </w:r>
      <w:r>
        <w:tab/>
      </w:r>
      <w:r w:rsidR="00390CB9">
        <w:t>Ibid</w:t>
      </w:r>
      <w:r w:rsidR="00390CB9" w:rsidRPr="00BF2A8D">
        <w:t xml:space="preserve">, para. </w:t>
      </w:r>
      <w:r w:rsidR="00390CB9">
        <w:t>38.</w:t>
      </w:r>
    </w:p>
  </w:footnote>
  <w:footnote w:id="28">
    <w:p w14:paraId="75D3D005" w14:textId="77777777" w:rsidR="00784A1E" w:rsidRPr="00B13C2B" w:rsidRDefault="00784A1E" w:rsidP="00784A1E">
      <w:pPr>
        <w:pStyle w:val="FootnoteText"/>
      </w:pPr>
      <w:r>
        <w:tab/>
      </w:r>
      <w:r w:rsidRPr="00B13C2B">
        <w:rPr>
          <w:rStyle w:val="FootnoteReference"/>
        </w:rPr>
        <w:footnoteRef/>
      </w:r>
      <w:r w:rsidRPr="00B13C2B">
        <w:tab/>
        <w:t xml:space="preserve">See, for example, </w:t>
      </w:r>
      <w:proofErr w:type="spellStart"/>
      <w:r w:rsidRPr="00B13C2B">
        <w:t>Pivonos</w:t>
      </w:r>
      <w:proofErr w:type="spellEnd"/>
      <w:r w:rsidRPr="00B13C2B">
        <w:t xml:space="preserve"> v. Belarus (CCPR/C/106/D/1830/2008), para. 9.3; and </w:t>
      </w:r>
      <w:proofErr w:type="spellStart"/>
      <w:r w:rsidRPr="00B13C2B">
        <w:t>Olechkevitch</w:t>
      </w:r>
      <w:proofErr w:type="spellEnd"/>
      <w:r w:rsidRPr="00B13C2B">
        <w:t xml:space="preserve"> v. Belarus (CCPR/C/107/D/1785/2008), para.  8.5. </w:t>
      </w:r>
    </w:p>
  </w:footnote>
  <w:footnote w:id="29">
    <w:p w14:paraId="0ECEA572" w14:textId="77777777" w:rsidR="00390CB9" w:rsidRDefault="00390CB9" w:rsidP="00390CB9">
      <w:pPr>
        <w:pStyle w:val="FootnoteText"/>
      </w:pPr>
      <w:r>
        <w:tab/>
      </w:r>
      <w:r>
        <w:rPr>
          <w:rStyle w:val="FootnoteReference"/>
        </w:rPr>
        <w:footnoteRef/>
      </w:r>
      <w:r>
        <w:t xml:space="preserve"> </w:t>
      </w:r>
      <w:r>
        <w:tab/>
      </w:r>
      <w:r w:rsidRPr="00531C92">
        <w:t xml:space="preserve">General </w:t>
      </w:r>
      <w:r w:rsidRPr="00CC4945">
        <w:t>comment</w:t>
      </w:r>
      <w:r w:rsidRPr="00531C92">
        <w:t xml:space="preserve"> No. 34 (2011) paras. 34, 37–38</w:t>
      </w:r>
      <w:r>
        <w:t xml:space="preserve"> and 42-43.</w:t>
      </w:r>
      <w:r w:rsidRPr="00531C9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9639"/>
    </w:tblGrid>
    <w:tr w:rsidR="005C3286" w:rsidRPr="00634A7D" w14:paraId="70456725" w14:textId="77777777" w:rsidTr="008C1845">
      <w:trPr>
        <w:cantSplit/>
        <w:trHeight w:hRule="exact" w:val="851"/>
      </w:trPr>
      <w:tc>
        <w:tcPr>
          <w:tcW w:w="6095" w:type="dxa"/>
          <w:tcBorders>
            <w:bottom w:val="single" w:sz="4" w:space="0" w:color="auto"/>
          </w:tcBorders>
          <w:vAlign w:val="bottom"/>
        </w:tcPr>
        <w:p w14:paraId="5AD9CAC9" w14:textId="4FCED174" w:rsidR="00CF45E2" w:rsidRPr="00634A7D" w:rsidRDefault="001C2B11" w:rsidP="00894CB6">
          <w:pPr>
            <w:pStyle w:val="Header"/>
          </w:pPr>
          <w:r w:rsidRPr="001C2B11">
            <w:t>Advance unedited version</w:t>
          </w:r>
          <w:r>
            <w:t xml:space="preserve"> </w:t>
          </w:r>
          <w:r w:rsidR="00745D2B">
            <w:t>CCPR/C/</w:t>
          </w:r>
          <w:r w:rsidR="00CF45E2" w:rsidRPr="00CF45E2">
            <w:t>1</w:t>
          </w:r>
          <w:r w:rsidR="00894CB6">
            <w:t>30</w:t>
          </w:r>
          <w:r w:rsidR="00CF45E2" w:rsidRPr="00CF45E2">
            <w:t>/D/2418/2014</w:t>
          </w:r>
        </w:p>
      </w:tc>
    </w:tr>
  </w:tbl>
  <w:p w14:paraId="3192E663" w14:textId="7F8E7809" w:rsidR="005C3286" w:rsidRPr="00634A7D" w:rsidRDefault="00D82EA2" w:rsidP="00D82EA2">
    <w:pPr>
      <w:pStyle w:val="Header"/>
      <w:pBdr>
        <w:bottom w:val="none" w:sz="0" w:space="0" w:color="auto"/>
      </w:pBdr>
      <w:tabs>
        <w:tab w:val="left" w:pos="429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02E5" w14:textId="38E16AE7" w:rsidR="00CF45E2" w:rsidRPr="009E2CF9" w:rsidRDefault="001C2B11" w:rsidP="00CF45E2">
    <w:pPr>
      <w:pStyle w:val="Header"/>
      <w:jc w:val="right"/>
    </w:pPr>
    <w:r w:rsidRPr="001C2B11">
      <w:t>Advance unedited version</w:t>
    </w:r>
    <w:r>
      <w:t xml:space="preserve"> </w:t>
    </w:r>
    <w:r w:rsidR="00CF45E2" w:rsidRPr="00CF45E2">
      <w:t>CCPR/C/1</w:t>
    </w:r>
    <w:r w:rsidR="00894CB6">
      <w:t>30</w:t>
    </w:r>
    <w:r w:rsidR="00CF45E2" w:rsidRPr="00CF45E2">
      <w:t>/D/2418/2014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1164E"/>
    <w:multiLevelType w:val="hybridMultilevel"/>
    <w:tmpl w:val="7BC0E788"/>
    <w:lvl w:ilvl="0" w:tplc="465241CC">
      <w:start w:val="1"/>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6" w15:restartNumberingAfterBreak="0">
    <w:nsid w:val="54B44E7E"/>
    <w:multiLevelType w:val="hybridMultilevel"/>
    <w:tmpl w:val="28103E68"/>
    <w:lvl w:ilvl="0" w:tplc="D596607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6"/>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CL"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6" w:nlCheck="1" w:checkStyle="0"/>
  <w:activeWritingStyle w:appName="MSWord" w:lang="es-E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DC"/>
    <w:rsid w:val="000067F4"/>
    <w:rsid w:val="00007338"/>
    <w:rsid w:val="000078CA"/>
    <w:rsid w:val="00011E10"/>
    <w:rsid w:val="00023265"/>
    <w:rsid w:val="00030724"/>
    <w:rsid w:val="00030A15"/>
    <w:rsid w:val="0004007E"/>
    <w:rsid w:val="00041A91"/>
    <w:rsid w:val="00050F6B"/>
    <w:rsid w:val="000524E0"/>
    <w:rsid w:val="000531F3"/>
    <w:rsid w:val="0005487E"/>
    <w:rsid w:val="00056BE3"/>
    <w:rsid w:val="00057DF4"/>
    <w:rsid w:val="00057E97"/>
    <w:rsid w:val="00060188"/>
    <w:rsid w:val="000607D1"/>
    <w:rsid w:val="00060B0C"/>
    <w:rsid w:val="00060C3A"/>
    <w:rsid w:val="00064513"/>
    <w:rsid w:val="00064776"/>
    <w:rsid w:val="000726BE"/>
    <w:rsid w:val="00072C8C"/>
    <w:rsid w:val="000733B5"/>
    <w:rsid w:val="0007359B"/>
    <w:rsid w:val="00081815"/>
    <w:rsid w:val="0008312D"/>
    <w:rsid w:val="00086B35"/>
    <w:rsid w:val="00092B09"/>
    <w:rsid w:val="000931C0"/>
    <w:rsid w:val="0009778C"/>
    <w:rsid w:val="00097FDC"/>
    <w:rsid w:val="000A5960"/>
    <w:rsid w:val="000B175B"/>
    <w:rsid w:val="000B3A0F"/>
    <w:rsid w:val="000B4EF7"/>
    <w:rsid w:val="000C2C03"/>
    <w:rsid w:val="000C2D2E"/>
    <w:rsid w:val="000C72DF"/>
    <w:rsid w:val="000E0415"/>
    <w:rsid w:val="000E709D"/>
    <w:rsid w:val="000F7797"/>
    <w:rsid w:val="000F79FA"/>
    <w:rsid w:val="001103AA"/>
    <w:rsid w:val="001200E4"/>
    <w:rsid w:val="00135A54"/>
    <w:rsid w:val="001460EA"/>
    <w:rsid w:val="001525FB"/>
    <w:rsid w:val="001549D9"/>
    <w:rsid w:val="00154C43"/>
    <w:rsid w:val="00155D8C"/>
    <w:rsid w:val="001566FE"/>
    <w:rsid w:val="00162282"/>
    <w:rsid w:val="00165F3A"/>
    <w:rsid w:val="0017166B"/>
    <w:rsid w:val="00183968"/>
    <w:rsid w:val="001933D3"/>
    <w:rsid w:val="001A0346"/>
    <w:rsid w:val="001A12D1"/>
    <w:rsid w:val="001A6686"/>
    <w:rsid w:val="001A693D"/>
    <w:rsid w:val="001B017F"/>
    <w:rsid w:val="001B12DF"/>
    <w:rsid w:val="001B274C"/>
    <w:rsid w:val="001B4B04"/>
    <w:rsid w:val="001B5196"/>
    <w:rsid w:val="001B5A35"/>
    <w:rsid w:val="001C2B11"/>
    <w:rsid w:val="001C6663"/>
    <w:rsid w:val="001C7895"/>
    <w:rsid w:val="001D0C8C"/>
    <w:rsid w:val="001D26DF"/>
    <w:rsid w:val="001D3A03"/>
    <w:rsid w:val="001E04C0"/>
    <w:rsid w:val="001E120B"/>
    <w:rsid w:val="001E3C18"/>
    <w:rsid w:val="001F144C"/>
    <w:rsid w:val="001F20C3"/>
    <w:rsid w:val="001F2A7F"/>
    <w:rsid w:val="001F350F"/>
    <w:rsid w:val="001F6419"/>
    <w:rsid w:val="00202DA8"/>
    <w:rsid w:val="00205236"/>
    <w:rsid w:val="00211E0B"/>
    <w:rsid w:val="00212750"/>
    <w:rsid w:val="0021352A"/>
    <w:rsid w:val="002216E8"/>
    <w:rsid w:val="00225EA8"/>
    <w:rsid w:val="0023210C"/>
    <w:rsid w:val="00240270"/>
    <w:rsid w:val="00251004"/>
    <w:rsid w:val="00253341"/>
    <w:rsid w:val="00260FEC"/>
    <w:rsid w:val="002653E3"/>
    <w:rsid w:val="00267CD1"/>
    <w:rsid w:val="00267F5F"/>
    <w:rsid w:val="002764FC"/>
    <w:rsid w:val="0028434D"/>
    <w:rsid w:val="00286B4D"/>
    <w:rsid w:val="00287DF0"/>
    <w:rsid w:val="002937F7"/>
    <w:rsid w:val="00295241"/>
    <w:rsid w:val="002A2075"/>
    <w:rsid w:val="002A6DF6"/>
    <w:rsid w:val="002B7AA3"/>
    <w:rsid w:val="002C0B3B"/>
    <w:rsid w:val="002C4CBA"/>
    <w:rsid w:val="002D1A22"/>
    <w:rsid w:val="002D1CD5"/>
    <w:rsid w:val="002D4F83"/>
    <w:rsid w:val="002E6D85"/>
    <w:rsid w:val="002F0CEE"/>
    <w:rsid w:val="002F175C"/>
    <w:rsid w:val="002F3B05"/>
    <w:rsid w:val="002F7A52"/>
    <w:rsid w:val="00304074"/>
    <w:rsid w:val="00321AE0"/>
    <w:rsid w:val="003229D8"/>
    <w:rsid w:val="00323ECC"/>
    <w:rsid w:val="003274F7"/>
    <w:rsid w:val="00343AB0"/>
    <w:rsid w:val="003519C8"/>
    <w:rsid w:val="00352709"/>
    <w:rsid w:val="00353530"/>
    <w:rsid w:val="00354A1E"/>
    <w:rsid w:val="00355EB4"/>
    <w:rsid w:val="00361FBC"/>
    <w:rsid w:val="00363B99"/>
    <w:rsid w:val="003648C8"/>
    <w:rsid w:val="00365D47"/>
    <w:rsid w:val="00367567"/>
    <w:rsid w:val="00371178"/>
    <w:rsid w:val="0037667C"/>
    <w:rsid w:val="00376752"/>
    <w:rsid w:val="00376C0B"/>
    <w:rsid w:val="00390CB9"/>
    <w:rsid w:val="003964D4"/>
    <w:rsid w:val="00396D3E"/>
    <w:rsid w:val="003A3D7B"/>
    <w:rsid w:val="003A6810"/>
    <w:rsid w:val="003A6FCF"/>
    <w:rsid w:val="003B3E13"/>
    <w:rsid w:val="003B5506"/>
    <w:rsid w:val="003C2CC4"/>
    <w:rsid w:val="003C557E"/>
    <w:rsid w:val="003C5EE1"/>
    <w:rsid w:val="003C6596"/>
    <w:rsid w:val="003D4A37"/>
    <w:rsid w:val="003D4B23"/>
    <w:rsid w:val="003E098C"/>
    <w:rsid w:val="003E0E17"/>
    <w:rsid w:val="003E3616"/>
    <w:rsid w:val="003F55DF"/>
    <w:rsid w:val="003F78B6"/>
    <w:rsid w:val="00403FBE"/>
    <w:rsid w:val="004053FF"/>
    <w:rsid w:val="00406E0A"/>
    <w:rsid w:val="0041097D"/>
    <w:rsid w:val="00410C89"/>
    <w:rsid w:val="00413AC1"/>
    <w:rsid w:val="00424D90"/>
    <w:rsid w:val="00426B9B"/>
    <w:rsid w:val="00430D40"/>
    <w:rsid w:val="004325CB"/>
    <w:rsid w:val="00434454"/>
    <w:rsid w:val="00436B33"/>
    <w:rsid w:val="00442A83"/>
    <w:rsid w:val="0045495B"/>
    <w:rsid w:val="004702C8"/>
    <w:rsid w:val="00474364"/>
    <w:rsid w:val="0048041F"/>
    <w:rsid w:val="00483F46"/>
    <w:rsid w:val="00485AD9"/>
    <w:rsid w:val="00487488"/>
    <w:rsid w:val="00494C0C"/>
    <w:rsid w:val="004A3933"/>
    <w:rsid w:val="004A43EB"/>
    <w:rsid w:val="004A6EFC"/>
    <w:rsid w:val="004E796E"/>
    <w:rsid w:val="004F76CB"/>
    <w:rsid w:val="00500036"/>
    <w:rsid w:val="00502A0D"/>
    <w:rsid w:val="005040A6"/>
    <w:rsid w:val="00507221"/>
    <w:rsid w:val="0052136D"/>
    <w:rsid w:val="005255F9"/>
    <w:rsid w:val="00526C25"/>
    <w:rsid w:val="0052775E"/>
    <w:rsid w:val="00530A65"/>
    <w:rsid w:val="00536CE3"/>
    <w:rsid w:val="005420F2"/>
    <w:rsid w:val="005449E3"/>
    <w:rsid w:val="005454A3"/>
    <w:rsid w:val="00547BDA"/>
    <w:rsid w:val="00552E1D"/>
    <w:rsid w:val="0055394B"/>
    <w:rsid w:val="005616BF"/>
    <w:rsid w:val="005628B6"/>
    <w:rsid w:val="00567D9E"/>
    <w:rsid w:val="0057445E"/>
    <w:rsid w:val="00577770"/>
    <w:rsid w:val="00577915"/>
    <w:rsid w:val="0058309D"/>
    <w:rsid w:val="005836A6"/>
    <w:rsid w:val="00583A61"/>
    <w:rsid w:val="005848B3"/>
    <w:rsid w:val="00590A14"/>
    <w:rsid w:val="00593E99"/>
    <w:rsid w:val="00597051"/>
    <w:rsid w:val="005977E4"/>
    <w:rsid w:val="005B34D3"/>
    <w:rsid w:val="005B3A5A"/>
    <w:rsid w:val="005B3DB3"/>
    <w:rsid w:val="005C3286"/>
    <w:rsid w:val="005C6A3B"/>
    <w:rsid w:val="005D0AAE"/>
    <w:rsid w:val="005D7178"/>
    <w:rsid w:val="005F7717"/>
    <w:rsid w:val="005F7B75"/>
    <w:rsid w:val="006001EE"/>
    <w:rsid w:val="00605042"/>
    <w:rsid w:val="00605288"/>
    <w:rsid w:val="00611FC4"/>
    <w:rsid w:val="00615119"/>
    <w:rsid w:val="006176FB"/>
    <w:rsid w:val="00626E15"/>
    <w:rsid w:val="006302EB"/>
    <w:rsid w:val="0063197C"/>
    <w:rsid w:val="00634A7D"/>
    <w:rsid w:val="00640B26"/>
    <w:rsid w:val="00652D0A"/>
    <w:rsid w:val="00662BB6"/>
    <w:rsid w:val="00665BA8"/>
    <w:rsid w:val="00671FEF"/>
    <w:rsid w:val="00684C21"/>
    <w:rsid w:val="006860EB"/>
    <w:rsid w:val="006A705F"/>
    <w:rsid w:val="006D37AF"/>
    <w:rsid w:val="006D4525"/>
    <w:rsid w:val="006D51D0"/>
    <w:rsid w:val="006E564B"/>
    <w:rsid w:val="006E7191"/>
    <w:rsid w:val="006F6B02"/>
    <w:rsid w:val="00703577"/>
    <w:rsid w:val="00707FB6"/>
    <w:rsid w:val="0072632A"/>
    <w:rsid w:val="007327D5"/>
    <w:rsid w:val="00740D0E"/>
    <w:rsid w:val="007452A7"/>
    <w:rsid w:val="00745D2B"/>
    <w:rsid w:val="007629C8"/>
    <w:rsid w:val="00764A42"/>
    <w:rsid w:val="007709A5"/>
    <w:rsid w:val="00784A1E"/>
    <w:rsid w:val="00793899"/>
    <w:rsid w:val="007B10E1"/>
    <w:rsid w:val="007B6BA5"/>
    <w:rsid w:val="007B710A"/>
    <w:rsid w:val="007B7AB4"/>
    <w:rsid w:val="007C3390"/>
    <w:rsid w:val="007C4F4B"/>
    <w:rsid w:val="007C784F"/>
    <w:rsid w:val="007E0B2D"/>
    <w:rsid w:val="007F0358"/>
    <w:rsid w:val="007F6611"/>
    <w:rsid w:val="007F79E6"/>
    <w:rsid w:val="008010E5"/>
    <w:rsid w:val="0080184A"/>
    <w:rsid w:val="008034DF"/>
    <w:rsid w:val="00813F15"/>
    <w:rsid w:val="0081425B"/>
    <w:rsid w:val="00815D24"/>
    <w:rsid w:val="00816319"/>
    <w:rsid w:val="008242D7"/>
    <w:rsid w:val="008244A8"/>
    <w:rsid w:val="008257B1"/>
    <w:rsid w:val="00843767"/>
    <w:rsid w:val="00847E53"/>
    <w:rsid w:val="00864C53"/>
    <w:rsid w:val="008679D9"/>
    <w:rsid w:val="0087353A"/>
    <w:rsid w:val="00873AF2"/>
    <w:rsid w:val="00876969"/>
    <w:rsid w:val="00883BD3"/>
    <w:rsid w:val="00886C93"/>
    <w:rsid w:val="00894CB6"/>
    <w:rsid w:val="00897980"/>
    <w:rsid w:val="008979B1"/>
    <w:rsid w:val="008A1DB2"/>
    <w:rsid w:val="008A6B25"/>
    <w:rsid w:val="008A6C4F"/>
    <w:rsid w:val="008A786A"/>
    <w:rsid w:val="008B2335"/>
    <w:rsid w:val="008C00E7"/>
    <w:rsid w:val="008C1845"/>
    <w:rsid w:val="008C25A9"/>
    <w:rsid w:val="008D1724"/>
    <w:rsid w:val="008D30DE"/>
    <w:rsid w:val="008D3B59"/>
    <w:rsid w:val="008D4A38"/>
    <w:rsid w:val="008D5EB9"/>
    <w:rsid w:val="008D6FE5"/>
    <w:rsid w:val="008D72B0"/>
    <w:rsid w:val="008E0555"/>
    <w:rsid w:val="008E0678"/>
    <w:rsid w:val="008E5B47"/>
    <w:rsid w:val="008E5BA2"/>
    <w:rsid w:val="008E7A26"/>
    <w:rsid w:val="008F1636"/>
    <w:rsid w:val="008F39C7"/>
    <w:rsid w:val="008F6296"/>
    <w:rsid w:val="00910F40"/>
    <w:rsid w:val="0091168A"/>
    <w:rsid w:val="00912C08"/>
    <w:rsid w:val="00914D38"/>
    <w:rsid w:val="0091523A"/>
    <w:rsid w:val="00917327"/>
    <w:rsid w:val="00920078"/>
    <w:rsid w:val="0092127F"/>
    <w:rsid w:val="00921C29"/>
    <w:rsid w:val="009223CA"/>
    <w:rsid w:val="0092313E"/>
    <w:rsid w:val="009258A7"/>
    <w:rsid w:val="00933B09"/>
    <w:rsid w:val="00935583"/>
    <w:rsid w:val="00940F93"/>
    <w:rsid w:val="009429DC"/>
    <w:rsid w:val="00945049"/>
    <w:rsid w:val="00945C09"/>
    <w:rsid w:val="00945F55"/>
    <w:rsid w:val="0095072D"/>
    <w:rsid w:val="00951269"/>
    <w:rsid w:val="00951D0E"/>
    <w:rsid w:val="0095347F"/>
    <w:rsid w:val="0096785C"/>
    <w:rsid w:val="00971254"/>
    <w:rsid w:val="009725D9"/>
    <w:rsid w:val="00972DB1"/>
    <w:rsid w:val="009760F3"/>
    <w:rsid w:val="009849FE"/>
    <w:rsid w:val="00990001"/>
    <w:rsid w:val="009909F5"/>
    <w:rsid w:val="00994B16"/>
    <w:rsid w:val="009979CF"/>
    <w:rsid w:val="009A0E8D"/>
    <w:rsid w:val="009A4916"/>
    <w:rsid w:val="009B26E7"/>
    <w:rsid w:val="009B4123"/>
    <w:rsid w:val="009B4C88"/>
    <w:rsid w:val="009C5BB1"/>
    <w:rsid w:val="009D29DC"/>
    <w:rsid w:val="009E2CF9"/>
    <w:rsid w:val="009F1B75"/>
    <w:rsid w:val="009F384A"/>
    <w:rsid w:val="009F4092"/>
    <w:rsid w:val="009F584B"/>
    <w:rsid w:val="00A00A3F"/>
    <w:rsid w:val="00A01200"/>
    <w:rsid w:val="00A01489"/>
    <w:rsid w:val="00A031D5"/>
    <w:rsid w:val="00A04368"/>
    <w:rsid w:val="00A31B6F"/>
    <w:rsid w:val="00A338F1"/>
    <w:rsid w:val="00A33B24"/>
    <w:rsid w:val="00A37D33"/>
    <w:rsid w:val="00A42CDA"/>
    <w:rsid w:val="00A43CF5"/>
    <w:rsid w:val="00A45BE3"/>
    <w:rsid w:val="00A533DE"/>
    <w:rsid w:val="00A5407A"/>
    <w:rsid w:val="00A552C4"/>
    <w:rsid w:val="00A609B0"/>
    <w:rsid w:val="00A62535"/>
    <w:rsid w:val="00A64FD8"/>
    <w:rsid w:val="00A66E99"/>
    <w:rsid w:val="00A676F2"/>
    <w:rsid w:val="00A72F22"/>
    <w:rsid w:val="00A7360F"/>
    <w:rsid w:val="00A748A6"/>
    <w:rsid w:val="00A74BB1"/>
    <w:rsid w:val="00A769F4"/>
    <w:rsid w:val="00A776B4"/>
    <w:rsid w:val="00A81EAD"/>
    <w:rsid w:val="00A83BBB"/>
    <w:rsid w:val="00A86E1D"/>
    <w:rsid w:val="00A87F1B"/>
    <w:rsid w:val="00A94361"/>
    <w:rsid w:val="00A94D2D"/>
    <w:rsid w:val="00AA293C"/>
    <w:rsid w:val="00AB43F4"/>
    <w:rsid w:val="00AB4AEB"/>
    <w:rsid w:val="00AC2E51"/>
    <w:rsid w:val="00AC31CD"/>
    <w:rsid w:val="00AD123E"/>
    <w:rsid w:val="00AD767A"/>
    <w:rsid w:val="00AF0319"/>
    <w:rsid w:val="00B10F78"/>
    <w:rsid w:val="00B13C2B"/>
    <w:rsid w:val="00B13E9B"/>
    <w:rsid w:val="00B14F29"/>
    <w:rsid w:val="00B2656F"/>
    <w:rsid w:val="00B30179"/>
    <w:rsid w:val="00B339A7"/>
    <w:rsid w:val="00B33A86"/>
    <w:rsid w:val="00B34C85"/>
    <w:rsid w:val="00B4736F"/>
    <w:rsid w:val="00B51F54"/>
    <w:rsid w:val="00B530DA"/>
    <w:rsid w:val="00B54943"/>
    <w:rsid w:val="00B55906"/>
    <w:rsid w:val="00B56E4A"/>
    <w:rsid w:val="00B56E9C"/>
    <w:rsid w:val="00B641C7"/>
    <w:rsid w:val="00B64B1F"/>
    <w:rsid w:val="00B65301"/>
    <w:rsid w:val="00B6553F"/>
    <w:rsid w:val="00B66E5E"/>
    <w:rsid w:val="00B70BD2"/>
    <w:rsid w:val="00B77D05"/>
    <w:rsid w:val="00B804D6"/>
    <w:rsid w:val="00B81206"/>
    <w:rsid w:val="00B81DFC"/>
    <w:rsid w:val="00B81E12"/>
    <w:rsid w:val="00B9067B"/>
    <w:rsid w:val="00B968FF"/>
    <w:rsid w:val="00B96F20"/>
    <w:rsid w:val="00BB55E2"/>
    <w:rsid w:val="00BC06AB"/>
    <w:rsid w:val="00BC16DC"/>
    <w:rsid w:val="00BC246F"/>
    <w:rsid w:val="00BC2C23"/>
    <w:rsid w:val="00BC74E9"/>
    <w:rsid w:val="00BC7529"/>
    <w:rsid w:val="00BE0C8E"/>
    <w:rsid w:val="00BF5011"/>
    <w:rsid w:val="00BF68A8"/>
    <w:rsid w:val="00BF7AD3"/>
    <w:rsid w:val="00BF7BAB"/>
    <w:rsid w:val="00C045E0"/>
    <w:rsid w:val="00C07B15"/>
    <w:rsid w:val="00C1170C"/>
    <w:rsid w:val="00C11A03"/>
    <w:rsid w:val="00C21654"/>
    <w:rsid w:val="00C21AB5"/>
    <w:rsid w:val="00C31678"/>
    <w:rsid w:val="00C41AAF"/>
    <w:rsid w:val="00C43338"/>
    <w:rsid w:val="00C463DD"/>
    <w:rsid w:val="00C4724C"/>
    <w:rsid w:val="00C54B36"/>
    <w:rsid w:val="00C56D0E"/>
    <w:rsid w:val="00C629A0"/>
    <w:rsid w:val="00C71831"/>
    <w:rsid w:val="00C74122"/>
    <w:rsid w:val="00C745C3"/>
    <w:rsid w:val="00C773E8"/>
    <w:rsid w:val="00C82E93"/>
    <w:rsid w:val="00C96B26"/>
    <w:rsid w:val="00CA1485"/>
    <w:rsid w:val="00CD0A23"/>
    <w:rsid w:val="00CD51F9"/>
    <w:rsid w:val="00CD5549"/>
    <w:rsid w:val="00CE4A8F"/>
    <w:rsid w:val="00CE5F40"/>
    <w:rsid w:val="00CF2B35"/>
    <w:rsid w:val="00CF45E2"/>
    <w:rsid w:val="00D014AE"/>
    <w:rsid w:val="00D02D99"/>
    <w:rsid w:val="00D03D6E"/>
    <w:rsid w:val="00D17EDA"/>
    <w:rsid w:val="00D2031B"/>
    <w:rsid w:val="00D23A44"/>
    <w:rsid w:val="00D25FE2"/>
    <w:rsid w:val="00D32FE9"/>
    <w:rsid w:val="00D348BA"/>
    <w:rsid w:val="00D403E0"/>
    <w:rsid w:val="00D43252"/>
    <w:rsid w:val="00D464BA"/>
    <w:rsid w:val="00D47EEA"/>
    <w:rsid w:val="00D56669"/>
    <w:rsid w:val="00D64D7D"/>
    <w:rsid w:val="00D750EC"/>
    <w:rsid w:val="00D761C4"/>
    <w:rsid w:val="00D76DE1"/>
    <w:rsid w:val="00D82EA2"/>
    <w:rsid w:val="00D84872"/>
    <w:rsid w:val="00D86DDC"/>
    <w:rsid w:val="00D87A77"/>
    <w:rsid w:val="00D91F98"/>
    <w:rsid w:val="00D95303"/>
    <w:rsid w:val="00D978C6"/>
    <w:rsid w:val="00DA0132"/>
    <w:rsid w:val="00DA3111"/>
    <w:rsid w:val="00DA3C1C"/>
    <w:rsid w:val="00DA4F12"/>
    <w:rsid w:val="00DB0C79"/>
    <w:rsid w:val="00DB53BD"/>
    <w:rsid w:val="00DB7D67"/>
    <w:rsid w:val="00DC7C2E"/>
    <w:rsid w:val="00DD60D1"/>
    <w:rsid w:val="00DE2679"/>
    <w:rsid w:val="00DF0508"/>
    <w:rsid w:val="00DF4125"/>
    <w:rsid w:val="00DF64DD"/>
    <w:rsid w:val="00E02143"/>
    <w:rsid w:val="00E02323"/>
    <w:rsid w:val="00E0600B"/>
    <w:rsid w:val="00E06571"/>
    <w:rsid w:val="00E146D1"/>
    <w:rsid w:val="00E22E05"/>
    <w:rsid w:val="00E2493B"/>
    <w:rsid w:val="00E26D38"/>
    <w:rsid w:val="00E27346"/>
    <w:rsid w:val="00E373BA"/>
    <w:rsid w:val="00E378FB"/>
    <w:rsid w:val="00E43260"/>
    <w:rsid w:val="00E50D0C"/>
    <w:rsid w:val="00E51814"/>
    <w:rsid w:val="00E57BD8"/>
    <w:rsid w:val="00E71BC8"/>
    <w:rsid w:val="00E7260F"/>
    <w:rsid w:val="00E73025"/>
    <w:rsid w:val="00E737DB"/>
    <w:rsid w:val="00E779FC"/>
    <w:rsid w:val="00E818E7"/>
    <w:rsid w:val="00E82263"/>
    <w:rsid w:val="00E82A3C"/>
    <w:rsid w:val="00E853D0"/>
    <w:rsid w:val="00E900BE"/>
    <w:rsid w:val="00E96630"/>
    <w:rsid w:val="00EA4C9B"/>
    <w:rsid w:val="00EB2581"/>
    <w:rsid w:val="00ED14F3"/>
    <w:rsid w:val="00ED625E"/>
    <w:rsid w:val="00ED7A2A"/>
    <w:rsid w:val="00EF1D7F"/>
    <w:rsid w:val="00F00577"/>
    <w:rsid w:val="00F01272"/>
    <w:rsid w:val="00F018AA"/>
    <w:rsid w:val="00F1050C"/>
    <w:rsid w:val="00F10FEE"/>
    <w:rsid w:val="00F142B7"/>
    <w:rsid w:val="00F20C3D"/>
    <w:rsid w:val="00F364AC"/>
    <w:rsid w:val="00F43E9E"/>
    <w:rsid w:val="00F44035"/>
    <w:rsid w:val="00F55986"/>
    <w:rsid w:val="00F634A2"/>
    <w:rsid w:val="00F661BA"/>
    <w:rsid w:val="00F80A67"/>
    <w:rsid w:val="00F846E4"/>
    <w:rsid w:val="00F8714B"/>
    <w:rsid w:val="00F9057C"/>
    <w:rsid w:val="00F906D7"/>
    <w:rsid w:val="00F92F62"/>
    <w:rsid w:val="00F9319F"/>
    <w:rsid w:val="00F93781"/>
    <w:rsid w:val="00F959A8"/>
    <w:rsid w:val="00FB1F6C"/>
    <w:rsid w:val="00FB613B"/>
    <w:rsid w:val="00FB6500"/>
    <w:rsid w:val="00FC02BD"/>
    <w:rsid w:val="00FC2FDA"/>
    <w:rsid w:val="00FC5212"/>
    <w:rsid w:val="00FC68B7"/>
    <w:rsid w:val="00FC7B77"/>
    <w:rsid w:val="00FD3676"/>
    <w:rsid w:val="00FD58CC"/>
    <w:rsid w:val="00FE106A"/>
    <w:rsid w:val="00FF17FC"/>
    <w:rsid w:val="00FF7295"/>
    <w:rsid w:val="00FF7D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74B584"/>
  <w15:docId w15:val="{B5C761AC-07DB-4D0D-B9E7-C10183B7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Footnote Refernece,callou"/>
    <w:link w:val="Appelnotedebasde"/>
    <w:uiPriority w:val="99"/>
    <w:qFormat/>
    <w:rsid w:val="007B6BA5"/>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Footnote Text C"/>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95347F"/>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BalloonText">
    <w:name w:val="Balloon Text"/>
    <w:basedOn w:val="Normal"/>
    <w:link w:val="BalloonTextChar"/>
    <w:semiHidden/>
    <w:unhideWhenUsed/>
    <w:rsid w:val="00BC75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7529"/>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00577"/>
    <w:pPr>
      <w:spacing w:line="240" w:lineRule="auto"/>
    </w:pPr>
    <w:rPr>
      <w:b/>
      <w:bCs/>
    </w:rPr>
  </w:style>
  <w:style w:type="character" w:customStyle="1" w:styleId="CommentTextChar">
    <w:name w:val="Comment Text Char"/>
    <w:basedOn w:val="DefaultParagraphFont"/>
    <w:link w:val="CommentText"/>
    <w:semiHidden/>
    <w:rsid w:val="00F00577"/>
    <w:rPr>
      <w:lang w:val="en-GB" w:eastAsia="en-US"/>
    </w:rPr>
  </w:style>
  <w:style w:type="character" w:customStyle="1" w:styleId="CommentSubjectChar">
    <w:name w:val="Comment Subject Char"/>
    <w:basedOn w:val="CommentTextChar"/>
    <w:link w:val="CommentSubject"/>
    <w:semiHidden/>
    <w:rsid w:val="00F00577"/>
    <w:rPr>
      <w:b/>
      <w:bCs/>
      <w:lang w:val="en-GB" w:eastAsia="en-US"/>
    </w:rPr>
  </w:style>
  <w:style w:type="character" w:customStyle="1" w:styleId="FootnoteTextChar">
    <w:name w:val="Footnote Text Char"/>
    <w:aliases w:val="5_G Char,Footnote Text Char Char Char Char Char Char,Footnote Text Char Char Char Char Char1,Footnote reference Char1,FA Fu Char,Footnote Text Char Char Char Char2,Footnote Reference1 Char1, Char Char1,Char Char1,ft Char1"/>
    <w:basedOn w:val="DefaultParagraphFont"/>
    <w:link w:val="FootnoteText"/>
    <w:uiPriority w:val="99"/>
    <w:rsid w:val="009B4123"/>
    <w:rPr>
      <w:sz w:val="18"/>
      <w:lang w:val="en-GB" w:eastAsia="en-US"/>
    </w:rPr>
  </w:style>
  <w:style w:type="table" w:customStyle="1" w:styleId="TableGrid10">
    <w:name w:val="Table Grid1"/>
    <w:basedOn w:val="TableNormal"/>
    <w:next w:val="TableGrid"/>
    <w:rsid w:val="00FB6500"/>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064776"/>
    <w:rPr>
      <w:lang w:val="en-GB" w:eastAsia="en-US"/>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sid w:val="00064776"/>
    <w:rPr>
      <w:rFonts w:eastAsia="SimSun"/>
      <w:sz w:val="18"/>
      <w:szCs w:val="20"/>
      <w:lang w:val="en-US" w:eastAsia="zh-CN"/>
    </w:rPr>
  </w:style>
  <w:style w:type="character" w:customStyle="1" w:styleId="SingleTxtGChar">
    <w:name w:val="_ Single Txt_G Char"/>
    <w:link w:val="SingleTxtG"/>
    <w:locked/>
    <w:rsid w:val="00287DF0"/>
    <w:rPr>
      <w:lang w:val="en-GB" w:eastAsia="en-US"/>
    </w:rPr>
  </w:style>
  <w:style w:type="paragraph" w:styleId="ListParagraph">
    <w:name w:val="List Paragraph"/>
    <w:basedOn w:val="Normal"/>
    <w:uiPriority w:val="34"/>
    <w:qFormat/>
    <w:rsid w:val="003B5506"/>
    <w:pPr>
      <w:ind w:left="720"/>
      <w:contextualSpacing/>
    </w:pPr>
  </w:style>
  <w:style w:type="paragraph" w:styleId="Revision">
    <w:name w:val="Revision"/>
    <w:hidden/>
    <w:uiPriority w:val="99"/>
    <w:semiHidden/>
    <w:rsid w:val="001549D9"/>
    <w:rPr>
      <w:lang w:val="en-GB" w:eastAsia="en-US"/>
    </w:rPr>
  </w:style>
  <w:style w:type="character" w:customStyle="1" w:styleId="HeaderChar">
    <w:name w:val="Header Char"/>
    <w:aliases w:val="6_G Char"/>
    <w:basedOn w:val="DefaultParagraphFont"/>
    <w:link w:val="Header"/>
    <w:uiPriority w:val="99"/>
    <w:rsid w:val="00D82EA2"/>
    <w:rPr>
      <w:b/>
      <w:sz w:val="18"/>
      <w:lang w:val="en-GB" w:eastAsia="en-US"/>
    </w:rPr>
  </w:style>
  <w:style w:type="character" w:customStyle="1" w:styleId="FooterChar">
    <w:name w:val="Footer Char"/>
    <w:aliases w:val="3_G Char"/>
    <w:basedOn w:val="DefaultParagraphFont"/>
    <w:link w:val="Footer"/>
    <w:uiPriority w:val="99"/>
    <w:rsid w:val="00D82EA2"/>
    <w:rPr>
      <w:sz w:val="16"/>
      <w:lang w:val="en-GB"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784A1E"/>
    <w:pPr>
      <w:suppressAutoHyphens w:val="0"/>
      <w:spacing w:before="120" w:after="120" w:line="240" w:lineRule="auto"/>
    </w:pPr>
    <w:rPr>
      <w:sz w:val="18"/>
      <w:vertAlign w:val="superscript"/>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1A733-D7A1-41F6-977B-4EB7B55F7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3A1F68-4E74-4CAF-B0B7-3DAB3B8683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33C47B-42A2-4EA8-B39B-5059E0DBC4A6}">
  <ds:schemaRefs>
    <ds:schemaRef ds:uri="http://schemas.openxmlformats.org/officeDocument/2006/bibliography"/>
  </ds:schemaRefs>
</ds:datastoreItem>
</file>

<file path=customXml/itemProps4.xml><?xml version="1.0" encoding="utf-8"?>
<ds:datastoreItem xmlns:ds="http://schemas.openxmlformats.org/officeDocument/2006/customXml" ds:itemID="{6A87B823-E66C-4C8A-814E-E37A70337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4665</Words>
  <Characters>26596</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CCPR/C/128/DR/2418/2014</vt:lpstr>
      <vt:lpstr>CCPR/C/WG/125/DR/2034/2011</vt:lpstr>
    </vt:vector>
  </TitlesOfParts>
  <Company>CSD</Company>
  <LinksUpToDate>false</LinksUpToDate>
  <CharactersWithSpaces>31199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CCPR/C/128/DR/2418/2014</dc:title>
  <dc:subject>2000856</dc:subject>
  <dc:creator>Pauline Escalante</dc:creator>
  <cp:keywords>CCPR/C/106/D/1891/2009</cp:keywords>
  <dc:description>final</dc:description>
  <cp:lastModifiedBy>Daniella Ferreira</cp:lastModifiedBy>
  <cp:revision>2</cp:revision>
  <cp:lastPrinted>2020-12-18T15:53:00Z</cp:lastPrinted>
  <dcterms:created xsi:type="dcterms:W3CDTF">2021-03-10T14:49:00Z</dcterms:created>
  <dcterms:modified xsi:type="dcterms:W3CDTF">2021-03-10T14:49:00Z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