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415BA0" w14:paraId="5BC294E6" w14:textId="77777777" w:rsidTr="00B6553F">
        <w:trPr>
          <w:cantSplit/>
          <w:trHeight w:hRule="exact" w:val="851"/>
        </w:trPr>
        <w:tc>
          <w:tcPr>
            <w:tcW w:w="1276" w:type="dxa"/>
            <w:tcBorders>
              <w:bottom w:val="single" w:sz="4" w:space="0" w:color="auto"/>
            </w:tcBorders>
            <w:vAlign w:val="bottom"/>
          </w:tcPr>
          <w:p w14:paraId="477AC5C9" w14:textId="77777777" w:rsidR="000128E3" w:rsidRPr="00523D32" w:rsidRDefault="000128E3" w:rsidP="00B6553F">
            <w:pPr>
              <w:spacing w:after="80"/>
            </w:pPr>
          </w:p>
        </w:tc>
        <w:tc>
          <w:tcPr>
            <w:tcW w:w="2268" w:type="dxa"/>
            <w:tcBorders>
              <w:bottom w:val="single" w:sz="4" w:space="0" w:color="auto"/>
            </w:tcBorders>
            <w:vAlign w:val="bottom"/>
          </w:tcPr>
          <w:p w14:paraId="4C027EB2" w14:textId="77777777" w:rsidR="000128E3" w:rsidRPr="00415BA0" w:rsidRDefault="000128E3" w:rsidP="00B6553F">
            <w:pPr>
              <w:spacing w:after="80" w:line="300" w:lineRule="exact"/>
              <w:rPr>
                <w:b/>
              </w:rPr>
            </w:pPr>
            <w:r w:rsidRPr="00415BA0">
              <w:rPr>
                <w:sz w:val="28"/>
                <w:szCs w:val="28"/>
              </w:rPr>
              <w:t>United Nations</w:t>
            </w:r>
          </w:p>
        </w:tc>
        <w:tc>
          <w:tcPr>
            <w:tcW w:w="6095" w:type="dxa"/>
            <w:gridSpan w:val="2"/>
            <w:tcBorders>
              <w:bottom w:val="single" w:sz="4" w:space="0" w:color="auto"/>
            </w:tcBorders>
            <w:vAlign w:val="bottom"/>
          </w:tcPr>
          <w:p w14:paraId="16C341DE" w14:textId="01DDA2A3" w:rsidR="000128E3" w:rsidRPr="00415BA0" w:rsidRDefault="000128E3" w:rsidP="00A23F68">
            <w:pPr>
              <w:jc w:val="right"/>
            </w:pPr>
            <w:r w:rsidRPr="00415BA0">
              <w:rPr>
                <w:sz w:val="40"/>
              </w:rPr>
              <w:t>CCPR</w:t>
            </w:r>
            <w:r w:rsidR="00431FE1" w:rsidRPr="004C1896">
              <w:rPr>
                <w:sz w:val="20"/>
                <w:szCs w:val="20"/>
              </w:rPr>
              <w:t>/C/</w:t>
            </w:r>
            <w:r w:rsidR="00A23F68" w:rsidRPr="004C1896">
              <w:rPr>
                <w:sz w:val="20"/>
                <w:szCs w:val="20"/>
              </w:rPr>
              <w:t>1</w:t>
            </w:r>
            <w:r w:rsidR="00A23F68">
              <w:rPr>
                <w:sz w:val="20"/>
                <w:szCs w:val="20"/>
              </w:rPr>
              <w:t>30</w:t>
            </w:r>
            <w:r w:rsidRPr="004C1896">
              <w:rPr>
                <w:sz w:val="20"/>
                <w:szCs w:val="20"/>
              </w:rPr>
              <w:t>/D</w:t>
            </w:r>
            <w:r w:rsidR="009C7EFD" w:rsidRPr="004C1896">
              <w:rPr>
                <w:sz w:val="20"/>
                <w:szCs w:val="20"/>
              </w:rPr>
              <w:t>/2</w:t>
            </w:r>
            <w:r w:rsidR="00D5016D">
              <w:rPr>
                <w:sz w:val="20"/>
                <w:szCs w:val="20"/>
              </w:rPr>
              <w:t>330</w:t>
            </w:r>
            <w:r w:rsidRPr="004C1896">
              <w:rPr>
                <w:sz w:val="20"/>
                <w:szCs w:val="20"/>
              </w:rPr>
              <w:t>/201</w:t>
            </w:r>
            <w:r w:rsidR="00784C0F">
              <w:rPr>
                <w:sz w:val="20"/>
                <w:szCs w:val="20"/>
              </w:rPr>
              <w:t>4</w:t>
            </w:r>
          </w:p>
        </w:tc>
      </w:tr>
      <w:tr w:rsidR="000128E3" w:rsidRPr="00415BA0" w14:paraId="7CC51013" w14:textId="77777777" w:rsidTr="00B6553F">
        <w:trPr>
          <w:cantSplit/>
          <w:trHeight w:hRule="exact" w:val="2835"/>
        </w:trPr>
        <w:tc>
          <w:tcPr>
            <w:tcW w:w="1276" w:type="dxa"/>
            <w:tcBorders>
              <w:top w:val="single" w:sz="4" w:space="0" w:color="auto"/>
              <w:bottom w:val="single" w:sz="12" w:space="0" w:color="auto"/>
            </w:tcBorders>
          </w:tcPr>
          <w:p w14:paraId="52D71EAF" w14:textId="77777777" w:rsidR="000128E3" w:rsidRPr="00415BA0" w:rsidRDefault="00F145AF" w:rsidP="00B6553F">
            <w:pPr>
              <w:spacing w:before="120"/>
            </w:pPr>
            <w:r w:rsidRPr="00415BA0">
              <w:rPr>
                <w:noProof/>
                <w:lang w:val="en-GB" w:eastAsia="en-GB" w:bidi="ar-SA"/>
              </w:rPr>
              <w:drawing>
                <wp:inline distT="0" distB="0" distL="0" distR="0" wp14:anchorId="2130D588" wp14:editId="697C83AB">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37ECEB" w14:textId="77777777" w:rsidR="00C7385F" w:rsidRDefault="000128E3" w:rsidP="00267F5F">
            <w:pPr>
              <w:spacing w:before="120" w:line="380" w:lineRule="exact"/>
              <w:rPr>
                <w:b/>
                <w:sz w:val="34"/>
                <w:szCs w:val="40"/>
              </w:rPr>
            </w:pPr>
            <w:r w:rsidRPr="00415BA0">
              <w:rPr>
                <w:b/>
                <w:sz w:val="34"/>
                <w:szCs w:val="40"/>
              </w:rPr>
              <w:t>International Covenant on</w:t>
            </w:r>
            <w:r w:rsidRPr="00415BA0">
              <w:rPr>
                <w:b/>
                <w:sz w:val="34"/>
                <w:szCs w:val="40"/>
              </w:rPr>
              <w:br/>
              <w:t>Civil and Political Rights</w:t>
            </w:r>
          </w:p>
          <w:p w14:paraId="2F738160" w14:textId="77777777" w:rsidR="00BB3886" w:rsidRDefault="00BB3886" w:rsidP="00BB3886">
            <w:pPr>
              <w:spacing w:before="120" w:line="380" w:lineRule="exact"/>
              <w:rPr>
                <w:b/>
                <w:sz w:val="34"/>
                <w:szCs w:val="34"/>
              </w:rPr>
            </w:pPr>
            <w:r w:rsidRPr="000921E9">
              <w:rPr>
                <w:sz w:val="34"/>
                <w:szCs w:val="40"/>
              </w:rPr>
              <w:t>Advance unedited version</w:t>
            </w:r>
          </w:p>
          <w:p w14:paraId="21C10554" w14:textId="4D613B97" w:rsidR="00BB3886" w:rsidRPr="00415BA0" w:rsidRDefault="00BB3886" w:rsidP="00267F5F">
            <w:pPr>
              <w:spacing w:before="120" w:line="380" w:lineRule="exact"/>
              <w:rPr>
                <w:b/>
                <w:sz w:val="34"/>
                <w:szCs w:val="40"/>
              </w:rPr>
            </w:pPr>
          </w:p>
        </w:tc>
        <w:tc>
          <w:tcPr>
            <w:tcW w:w="2835" w:type="dxa"/>
            <w:tcBorders>
              <w:top w:val="single" w:sz="4" w:space="0" w:color="auto"/>
              <w:bottom w:val="single" w:sz="12" w:space="0" w:color="auto"/>
            </w:tcBorders>
          </w:tcPr>
          <w:p w14:paraId="04F6349F" w14:textId="54E24D92" w:rsidR="00FC70CA" w:rsidRPr="00763570" w:rsidRDefault="00FC70CA" w:rsidP="00EF792A">
            <w:pPr>
              <w:spacing w:before="240" w:line="240" w:lineRule="exact"/>
              <w:rPr>
                <w:sz w:val="20"/>
                <w:szCs w:val="20"/>
                <w:lang w:eastAsia="en-GB"/>
              </w:rPr>
            </w:pPr>
            <w:r w:rsidRPr="004C1896">
              <w:rPr>
                <w:sz w:val="20"/>
                <w:szCs w:val="20"/>
              </w:rPr>
              <w:t xml:space="preserve">Distr.: </w:t>
            </w:r>
            <w:r w:rsidR="00A23F68">
              <w:rPr>
                <w:sz w:val="20"/>
                <w:szCs w:val="20"/>
              </w:rPr>
              <w:t>General</w:t>
            </w:r>
          </w:p>
          <w:p w14:paraId="744D67B7" w14:textId="2C1C3008" w:rsidR="00FC70CA" w:rsidRPr="004C1896" w:rsidRDefault="00A23F68" w:rsidP="00BB3886">
            <w:pPr>
              <w:spacing w:line="240" w:lineRule="exact"/>
              <w:rPr>
                <w:sz w:val="20"/>
                <w:szCs w:val="20"/>
              </w:rPr>
            </w:pPr>
            <w:r>
              <w:rPr>
                <w:sz w:val="20"/>
                <w:szCs w:val="20"/>
              </w:rPr>
              <w:t>1</w:t>
            </w:r>
            <w:r w:rsidR="0021484E">
              <w:rPr>
                <w:sz w:val="20"/>
                <w:szCs w:val="20"/>
              </w:rPr>
              <w:t>7</w:t>
            </w:r>
            <w:r>
              <w:rPr>
                <w:sz w:val="20"/>
                <w:szCs w:val="20"/>
              </w:rPr>
              <w:t xml:space="preserve"> December</w:t>
            </w:r>
            <w:r w:rsidR="00942EA0">
              <w:rPr>
                <w:sz w:val="20"/>
                <w:szCs w:val="20"/>
              </w:rPr>
              <w:t xml:space="preserve"> 2020</w:t>
            </w:r>
          </w:p>
          <w:p w14:paraId="5890BAE9" w14:textId="77777777" w:rsidR="00FC70CA" w:rsidRPr="004C1896" w:rsidRDefault="00FC70CA" w:rsidP="00FC70CA">
            <w:pPr>
              <w:spacing w:line="240" w:lineRule="exact"/>
              <w:rPr>
                <w:sz w:val="20"/>
                <w:szCs w:val="20"/>
              </w:rPr>
            </w:pPr>
          </w:p>
          <w:p w14:paraId="435F57FB" w14:textId="77777777" w:rsidR="00FC70CA" w:rsidRPr="004C1896" w:rsidRDefault="00FC70CA" w:rsidP="00FC70CA">
            <w:pPr>
              <w:spacing w:line="240" w:lineRule="exact"/>
              <w:rPr>
                <w:sz w:val="20"/>
                <w:szCs w:val="20"/>
              </w:rPr>
            </w:pPr>
            <w:r w:rsidRPr="004C1896">
              <w:rPr>
                <w:sz w:val="20"/>
                <w:szCs w:val="20"/>
              </w:rPr>
              <w:t>Original: English</w:t>
            </w:r>
          </w:p>
          <w:p w14:paraId="2E8D460C" w14:textId="77777777" w:rsidR="000128E3" w:rsidRPr="00415BA0" w:rsidRDefault="000128E3" w:rsidP="00EF792A">
            <w:pPr>
              <w:spacing w:line="240" w:lineRule="exact"/>
            </w:pPr>
          </w:p>
        </w:tc>
      </w:tr>
    </w:tbl>
    <w:p w14:paraId="2F06A150" w14:textId="77777777" w:rsidR="008C017D" w:rsidRPr="00415BA0" w:rsidRDefault="008C017D" w:rsidP="008C017D">
      <w:pPr>
        <w:spacing w:line="20" w:lineRule="exact"/>
        <w:rPr>
          <w:b/>
          <w:sz w:val="2"/>
        </w:rPr>
      </w:pPr>
    </w:p>
    <w:p w14:paraId="2C675002" w14:textId="77777777" w:rsidR="00FC70CA" w:rsidRPr="00415BA0" w:rsidRDefault="00FC70CA" w:rsidP="00FC70CA">
      <w:pPr>
        <w:spacing w:before="120"/>
        <w:rPr>
          <w:b/>
        </w:rPr>
      </w:pPr>
      <w:r w:rsidRPr="00415BA0">
        <w:rPr>
          <w:b/>
        </w:rPr>
        <w:t>Human Rights Committee</w:t>
      </w:r>
    </w:p>
    <w:p w14:paraId="53DEAEB9" w14:textId="4EA3F70E" w:rsidR="008A5196" w:rsidRPr="00763570" w:rsidRDefault="00FC70CA" w:rsidP="00FC70CA">
      <w:pPr>
        <w:pStyle w:val="HChG"/>
        <w:rPr>
          <w:sz w:val="20"/>
        </w:rPr>
      </w:pPr>
      <w:r w:rsidRPr="00415BA0">
        <w:tab/>
      </w:r>
      <w:r w:rsidRPr="00415BA0">
        <w:tab/>
      </w:r>
      <w:r w:rsidR="00A23F68" w:rsidRPr="00F22198">
        <w:t xml:space="preserve">Views adopted by the Committee under article 5 (4) of the Optional Protocol, concerning </w:t>
      </w:r>
      <w:r w:rsidR="00A23F68">
        <w:t>c</w:t>
      </w:r>
      <w:r w:rsidR="008A5196" w:rsidRPr="00415BA0">
        <w:t xml:space="preserve">ommunication No. </w:t>
      </w:r>
      <w:r w:rsidR="00CB6C91" w:rsidRPr="00415BA0">
        <w:t>2</w:t>
      </w:r>
      <w:r w:rsidR="00D5016D">
        <w:t>330</w:t>
      </w:r>
      <w:r w:rsidR="00CB6C91" w:rsidRPr="00415BA0">
        <w:t>/201</w:t>
      </w:r>
      <w:r w:rsidR="00784C0F">
        <w:t>4</w:t>
      </w:r>
      <w:r w:rsidR="00A23F68" w:rsidRPr="00BB3886">
        <w:rPr>
          <w:rStyle w:val="FootnoteReference"/>
          <w:sz w:val="20"/>
          <w:vertAlign w:val="baseline"/>
        </w:rPr>
        <w:footnoteReference w:customMarkFollows="1" w:id="2"/>
        <w:t>*</w:t>
      </w:r>
      <w:r w:rsidR="00A23F68">
        <w:rPr>
          <w:sz w:val="20"/>
        </w:rPr>
        <w:t>,</w:t>
      </w:r>
      <w:r w:rsidR="00A23F68" w:rsidRPr="00BB3886">
        <w:rPr>
          <w:rStyle w:val="FootnoteReference"/>
          <w:sz w:val="20"/>
          <w:vertAlign w:val="baseline"/>
        </w:rPr>
        <w:footnoteReference w:customMarkFollows="1" w:id="3"/>
        <w:t>**</w:t>
      </w:r>
    </w:p>
    <w:p w14:paraId="20E1E1C6" w14:textId="5C293A29" w:rsidR="00F00858" w:rsidRPr="00320C35" w:rsidRDefault="008A5196">
      <w:pPr>
        <w:pStyle w:val="H1G"/>
      </w:pPr>
      <w:r w:rsidRPr="00415BA0">
        <w:tab/>
      </w:r>
      <w:r w:rsidRPr="00415BA0">
        <w:tab/>
      </w:r>
    </w:p>
    <w:p w14:paraId="149F385B" w14:textId="77777777" w:rsidR="000128E3" w:rsidRPr="00415BA0" w:rsidRDefault="00683EF7" w:rsidP="00985865">
      <w:pPr>
        <w:pStyle w:val="SingleTxtG"/>
        <w:ind w:left="4536" w:hanging="3402"/>
        <w:jc w:val="left"/>
      </w:pPr>
      <w:r w:rsidRPr="00415BA0">
        <w:rPr>
          <w:i/>
        </w:rPr>
        <w:t>Communication s</w:t>
      </w:r>
      <w:r w:rsidR="000128E3" w:rsidRPr="00415BA0">
        <w:rPr>
          <w:i/>
        </w:rPr>
        <w:t>ubmitted by:</w:t>
      </w:r>
      <w:r w:rsidR="000128E3" w:rsidRPr="00415BA0">
        <w:tab/>
      </w:r>
      <w:r w:rsidR="00D5016D">
        <w:t xml:space="preserve">Svetlana </w:t>
      </w:r>
      <w:proofErr w:type="spellStart"/>
      <w:r w:rsidR="00D5016D">
        <w:t>Goldade</w:t>
      </w:r>
      <w:proofErr w:type="spellEnd"/>
      <w:r w:rsidR="00E44AAA">
        <w:t>,</w:t>
      </w:r>
      <w:r w:rsidR="00D012D4">
        <w:t xml:space="preserve"> </w:t>
      </w:r>
      <w:r w:rsidR="00784C0F" w:rsidRPr="001565BB">
        <w:t xml:space="preserve">not </w:t>
      </w:r>
      <w:r w:rsidR="005E2E34" w:rsidRPr="001565BB">
        <w:t xml:space="preserve">represented </w:t>
      </w:r>
      <w:r w:rsidR="00784C0F" w:rsidRPr="001565BB">
        <w:t>by counsel</w:t>
      </w:r>
    </w:p>
    <w:p w14:paraId="3B41C337" w14:textId="77777777" w:rsidR="000128E3" w:rsidRPr="00415BA0" w:rsidRDefault="000128E3" w:rsidP="007113A4">
      <w:pPr>
        <w:pStyle w:val="SingleTxtG"/>
        <w:ind w:left="4536" w:hanging="3402"/>
        <w:jc w:val="left"/>
      </w:pPr>
      <w:r w:rsidRPr="00415BA0">
        <w:rPr>
          <w:i/>
        </w:rPr>
        <w:t>Alleged victim</w:t>
      </w:r>
      <w:r w:rsidR="00FC344D">
        <w:rPr>
          <w:i/>
        </w:rPr>
        <w:t>s</w:t>
      </w:r>
      <w:r w:rsidRPr="00415BA0">
        <w:rPr>
          <w:i/>
        </w:rPr>
        <w:t>:</w:t>
      </w:r>
      <w:r w:rsidRPr="00415BA0">
        <w:tab/>
      </w:r>
      <w:r w:rsidR="00C4319B">
        <w:t>T</w:t>
      </w:r>
      <w:r w:rsidR="00DD26A8" w:rsidRPr="00415BA0">
        <w:t>he author</w:t>
      </w:r>
      <w:r w:rsidR="00D71F3C">
        <w:t xml:space="preserve">, Anatoly </w:t>
      </w:r>
      <w:proofErr w:type="spellStart"/>
      <w:r w:rsidR="00D71F3C">
        <w:t>Poplavny</w:t>
      </w:r>
      <w:proofErr w:type="spellEnd"/>
      <w:r w:rsidR="00D71F3C">
        <w:t xml:space="preserve"> and Leonid </w:t>
      </w:r>
      <w:proofErr w:type="spellStart"/>
      <w:r w:rsidR="00D71F3C">
        <w:t>Sudalenko</w:t>
      </w:r>
      <w:proofErr w:type="spellEnd"/>
      <w:r w:rsidR="00D71F3C">
        <w:t xml:space="preserve"> </w:t>
      </w:r>
    </w:p>
    <w:p w14:paraId="64EAEBBF" w14:textId="77777777" w:rsidR="000128E3" w:rsidRPr="00415BA0" w:rsidRDefault="000128E3" w:rsidP="007113A4">
      <w:pPr>
        <w:pStyle w:val="SingleTxtG"/>
        <w:ind w:left="4536" w:hanging="3402"/>
        <w:jc w:val="left"/>
      </w:pPr>
      <w:r w:rsidRPr="00415BA0">
        <w:rPr>
          <w:i/>
        </w:rPr>
        <w:t>State party:</w:t>
      </w:r>
      <w:r w:rsidRPr="00415BA0">
        <w:tab/>
      </w:r>
      <w:r w:rsidR="00691A52">
        <w:t>Belarus</w:t>
      </w:r>
    </w:p>
    <w:p w14:paraId="2362E544" w14:textId="77777777" w:rsidR="000128E3" w:rsidRPr="00415BA0" w:rsidRDefault="000128E3" w:rsidP="007113A4">
      <w:pPr>
        <w:pStyle w:val="SingleTxtG"/>
        <w:ind w:left="4536" w:hanging="3402"/>
        <w:jc w:val="left"/>
      </w:pPr>
      <w:r w:rsidRPr="00415BA0">
        <w:rPr>
          <w:i/>
        </w:rPr>
        <w:t>Date</w:t>
      </w:r>
      <w:r w:rsidR="00602B75" w:rsidRPr="00415BA0">
        <w:rPr>
          <w:i/>
        </w:rPr>
        <w:t>s</w:t>
      </w:r>
      <w:r w:rsidRPr="00415BA0">
        <w:rPr>
          <w:i/>
        </w:rPr>
        <w:t xml:space="preserve"> of communication:</w:t>
      </w:r>
      <w:r w:rsidRPr="00415BA0">
        <w:tab/>
      </w:r>
      <w:r w:rsidR="00D5016D">
        <w:t>11</w:t>
      </w:r>
      <w:r w:rsidR="000F375D">
        <w:t xml:space="preserve"> </w:t>
      </w:r>
      <w:r w:rsidR="00D5016D">
        <w:t xml:space="preserve">April </w:t>
      </w:r>
      <w:r w:rsidR="00B22683">
        <w:t>201</w:t>
      </w:r>
      <w:r w:rsidR="00E44AAA">
        <w:t>3</w:t>
      </w:r>
      <w:r w:rsidRPr="00415BA0">
        <w:t xml:space="preserve"> (initial submission)</w:t>
      </w:r>
    </w:p>
    <w:p w14:paraId="2402243E" w14:textId="77777777" w:rsidR="000128E3" w:rsidRPr="00415BA0" w:rsidRDefault="000128E3" w:rsidP="007113A4">
      <w:pPr>
        <w:pStyle w:val="SingleTxtG"/>
        <w:ind w:left="4536" w:hanging="3402"/>
        <w:jc w:val="left"/>
      </w:pPr>
      <w:r w:rsidRPr="00415BA0">
        <w:rPr>
          <w:i/>
        </w:rPr>
        <w:t>Document references:</w:t>
      </w:r>
      <w:r w:rsidRPr="00415BA0">
        <w:tab/>
      </w:r>
      <w:r w:rsidRPr="0034792E">
        <w:t xml:space="preserve">Special Rapporteur’s rule </w:t>
      </w:r>
      <w:r w:rsidR="00736AA8" w:rsidRPr="0034792E">
        <w:t>9</w:t>
      </w:r>
      <w:r w:rsidR="00942EA0">
        <w:t>2</w:t>
      </w:r>
      <w:r w:rsidR="00736AA8" w:rsidRPr="0034792E">
        <w:t xml:space="preserve"> </w:t>
      </w:r>
      <w:r w:rsidRPr="0034792E">
        <w:t xml:space="preserve">decision, transmitted to the State party on </w:t>
      </w:r>
      <w:r w:rsidR="00D5016D">
        <w:t>10</w:t>
      </w:r>
      <w:r w:rsidR="0034792E" w:rsidRPr="0034792E">
        <w:t xml:space="preserve"> J</w:t>
      </w:r>
      <w:r w:rsidR="00D5016D">
        <w:t>anuary</w:t>
      </w:r>
      <w:r w:rsidR="0034792E" w:rsidRPr="0034792E">
        <w:t xml:space="preserve"> </w:t>
      </w:r>
      <w:r w:rsidR="00B22683" w:rsidRPr="0034792E">
        <w:t>201</w:t>
      </w:r>
      <w:r w:rsidR="00784C0F">
        <w:t>4</w:t>
      </w:r>
      <w:r w:rsidR="00841306" w:rsidRPr="0034792E">
        <w:t xml:space="preserve"> </w:t>
      </w:r>
      <w:r w:rsidRPr="0034792E">
        <w:t>(not issued in document form)</w:t>
      </w:r>
    </w:p>
    <w:p w14:paraId="01351D64" w14:textId="34A9195A" w:rsidR="000128E3" w:rsidRPr="00415BA0" w:rsidRDefault="000128E3" w:rsidP="007113A4">
      <w:pPr>
        <w:pStyle w:val="SingleTxtG"/>
        <w:ind w:left="4536" w:hanging="3402"/>
        <w:jc w:val="left"/>
        <w:rPr>
          <w:i/>
        </w:rPr>
      </w:pPr>
      <w:r w:rsidRPr="00415BA0">
        <w:rPr>
          <w:i/>
        </w:rPr>
        <w:t>Date of adoption of Views:</w:t>
      </w:r>
      <w:r w:rsidRPr="00415BA0">
        <w:tab/>
      </w:r>
      <w:r w:rsidR="00DD7A17">
        <w:t>6 November</w:t>
      </w:r>
      <w:r w:rsidR="00E44AAA">
        <w:t xml:space="preserve"> </w:t>
      </w:r>
      <w:r w:rsidRPr="00415BA0">
        <w:t>20</w:t>
      </w:r>
      <w:r w:rsidR="00D5016D">
        <w:t>20</w:t>
      </w:r>
    </w:p>
    <w:p w14:paraId="6DB54803" w14:textId="77777777" w:rsidR="000128E3" w:rsidRPr="00D07086" w:rsidRDefault="000128E3" w:rsidP="007113A4">
      <w:pPr>
        <w:pStyle w:val="SingleTxtG"/>
        <w:ind w:left="4536" w:hanging="3402"/>
        <w:jc w:val="left"/>
      </w:pPr>
      <w:r w:rsidRPr="00415BA0">
        <w:rPr>
          <w:i/>
          <w:iCs/>
        </w:rPr>
        <w:t>Subject matter:</w:t>
      </w:r>
      <w:r w:rsidRPr="00415BA0">
        <w:tab/>
      </w:r>
      <w:r w:rsidR="00691A52" w:rsidRPr="00C346A0">
        <w:t>Sanction for participating in a peaceful assembly</w:t>
      </w:r>
    </w:p>
    <w:p w14:paraId="5E988E41" w14:textId="77777777" w:rsidR="000128E3" w:rsidRPr="00D07086" w:rsidRDefault="000128E3" w:rsidP="007113A4">
      <w:pPr>
        <w:pStyle w:val="SingleTxtG"/>
        <w:ind w:left="4536" w:hanging="3402"/>
        <w:jc w:val="left"/>
        <w:rPr>
          <w:lang w:val="en-US"/>
        </w:rPr>
      </w:pPr>
      <w:r w:rsidRPr="001565BB">
        <w:rPr>
          <w:i/>
          <w:iCs/>
        </w:rPr>
        <w:t xml:space="preserve">Procedural issue: </w:t>
      </w:r>
      <w:r w:rsidRPr="001565BB">
        <w:rPr>
          <w:i/>
          <w:iCs/>
        </w:rPr>
        <w:tab/>
      </w:r>
      <w:r w:rsidR="00EE7275" w:rsidRPr="001565BB">
        <w:t>Exhaustion of domestic remedies</w:t>
      </w:r>
      <w:r w:rsidR="00F25C4A" w:rsidRPr="00D07086">
        <w:rPr>
          <w:iCs/>
          <w:lang w:val="en-US"/>
        </w:rPr>
        <w:t xml:space="preserve"> </w:t>
      </w:r>
    </w:p>
    <w:p w14:paraId="1D964009" w14:textId="77777777" w:rsidR="000128E3" w:rsidRPr="004E0E9F" w:rsidRDefault="000128E3" w:rsidP="007113A4">
      <w:pPr>
        <w:pStyle w:val="SingleTxtG"/>
        <w:ind w:left="4536" w:hanging="3402"/>
        <w:jc w:val="left"/>
      </w:pPr>
      <w:r w:rsidRPr="00D07086">
        <w:rPr>
          <w:i/>
          <w:iCs/>
        </w:rPr>
        <w:t xml:space="preserve">Substantive issues: </w:t>
      </w:r>
      <w:r w:rsidRPr="00D07086">
        <w:rPr>
          <w:i/>
          <w:iCs/>
        </w:rPr>
        <w:tab/>
      </w:r>
      <w:r w:rsidR="00691A52">
        <w:rPr>
          <w:iCs/>
        </w:rPr>
        <w:t>Freedom of expression; freedom of assembly</w:t>
      </w:r>
    </w:p>
    <w:p w14:paraId="28236CBE" w14:textId="07C9E276" w:rsidR="00364901" w:rsidRPr="00143694" w:rsidRDefault="000128E3" w:rsidP="003C4DEF">
      <w:pPr>
        <w:pStyle w:val="SingleTxtG"/>
        <w:ind w:left="4536" w:hanging="3402"/>
        <w:jc w:val="left"/>
        <w:rPr>
          <w:lang w:val="en-US"/>
        </w:rPr>
      </w:pPr>
      <w:r w:rsidRPr="00415BA0">
        <w:rPr>
          <w:i/>
          <w:iCs/>
        </w:rPr>
        <w:t>Articles of the Covenant:</w:t>
      </w:r>
      <w:r w:rsidRPr="00415BA0">
        <w:t xml:space="preserve"> </w:t>
      </w:r>
      <w:r w:rsidRPr="00415BA0">
        <w:tab/>
      </w:r>
      <w:r w:rsidR="009A2F7C">
        <w:t xml:space="preserve">19 and 21, </w:t>
      </w:r>
      <w:r w:rsidR="007513A7">
        <w:t xml:space="preserve">read </w:t>
      </w:r>
      <w:r w:rsidR="00F50587">
        <w:t xml:space="preserve">alone and </w:t>
      </w:r>
      <w:r w:rsidR="009A2F7C">
        <w:t>in conjunction with 2</w:t>
      </w:r>
      <w:r w:rsidR="008F5BD5">
        <w:t xml:space="preserve"> (2) and (3)</w:t>
      </w:r>
      <w:r w:rsidR="00691A52">
        <w:t xml:space="preserve"> </w:t>
      </w:r>
    </w:p>
    <w:p w14:paraId="720F75D5" w14:textId="77777777" w:rsidR="003C4DEF" w:rsidRDefault="000128E3" w:rsidP="003C4DEF">
      <w:pPr>
        <w:pStyle w:val="SingleTxtG"/>
        <w:ind w:left="4536" w:hanging="3402"/>
        <w:jc w:val="left"/>
        <w:rPr>
          <w:iCs/>
        </w:rPr>
      </w:pPr>
      <w:r w:rsidRPr="00415BA0">
        <w:rPr>
          <w:i/>
          <w:iCs/>
        </w:rPr>
        <w:t>Articles of the Optional Protocol:</w:t>
      </w:r>
      <w:r w:rsidRPr="00415BA0">
        <w:rPr>
          <w:i/>
          <w:iCs/>
        </w:rPr>
        <w:tab/>
      </w:r>
      <w:r w:rsidR="0029607D" w:rsidRPr="004E0E9F">
        <w:rPr>
          <w:iCs/>
        </w:rPr>
        <w:t>2 and</w:t>
      </w:r>
      <w:r w:rsidR="005F7079" w:rsidRPr="004E0E9F">
        <w:rPr>
          <w:iCs/>
        </w:rPr>
        <w:t xml:space="preserve"> </w:t>
      </w:r>
      <w:r w:rsidR="004F56A1" w:rsidRPr="004E0E9F">
        <w:rPr>
          <w:iCs/>
        </w:rPr>
        <w:t>5(2)(b)</w:t>
      </w:r>
    </w:p>
    <w:p w14:paraId="56287127" w14:textId="77777777" w:rsidR="002B252F" w:rsidRDefault="002B252F">
      <w:pPr>
        <w:rPr>
          <w:sz w:val="20"/>
          <w:szCs w:val="20"/>
          <w:lang w:val="en-GB" w:bidi="ar-SA"/>
        </w:rPr>
      </w:pPr>
      <w:r>
        <w:br w:type="page"/>
      </w:r>
    </w:p>
    <w:p w14:paraId="06AE0A32" w14:textId="66E5C07C" w:rsidR="00A90413" w:rsidRDefault="001E1235" w:rsidP="00942EA0">
      <w:pPr>
        <w:pStyle w:val="SingleTxtG"/>
      </w:pPr>
      <w:r w:rsidRPr="00415BA0">
        <w:lastRenderedPageBreak/>
        <w:t>1.</w:t>
      </w:r>
      <w:r w:rsidRPr="00415BA0">
        <w:tab/>
      </w:r>
      <w:r w:rsidR="008F5BD5" w:rsidRPr="003E4C04">
        <w:t xml:space="preserve">The author of the communication </w:t>
      </w:r>
      <w:r w:rsidR="00DD5A37">
        <w:t>is</w:t>
      </w:r>
      <w:r w:rsidR="008F5BD5" w:rsidRPr="003E4C04">
        <w:t xml:space="preserve"> </w:t>
      </w:r>
      <w:r w:rsidR="008F5BD5">
        <w:t xml:space="preserve">Svetlana </w:t>
      </w:r>
      <w:proofErr w:type="spellStart"/>
      <w:r w:rsidR="008F5BD5">
        <w:t>Goldade</w:t>
      </w:r>
      <w:proofErr w:type="spellEnd"/>
      <w:r w:rsidR="008F5BD5">
        <w:t xml:space="preserve">, </w:t>
      </w:r>
      <w:r w:rsidR="00DD5A37">
        <w:t>a</w:t>
      </w:r>
      <w:r w:rsidR="008F5BD5" w:rsidRPr="003E4C04">
        <w:t xml:space="preserve"> </w:t>
      </w:r>
      <w:r w:rsidR="00DD5A37">
        <w:t xml:space="preserve">citizen </w:t>
      </w:r>
      <w:r w:rsidR="008F5BD5" w:rsidRPr="003E4C04">
        <w:t>of Belarus born in 19</w:t>
      </w:r>
      <w:r w:rsidR="008F5BD5">
        <w:t>46</w:t>
      </w:r>
      <w:r w:rsidR="00DD5A37">
        <w:t xml:space="preserve">. She submits the </w:t>
      </w:r>
      <w:r w:rsidR="00DD5A37" w:rsidRPr="00942EA0">
        <w:t>communication</w:t>
      </w:r>
      <w:r w:rsidR="00DD5A37">
        <w:t xml:space="preserve"> on her own behalf and on behalf of Anatoly </w:t>
      </w:r>
      <w:proofErr w:type="spellStart"/>
      <w:r w:rsidR="00DD5A37">
        <w:t>Poplavny</w:t>
      </w:r>
      <w:proofErr w:type="spellEnd"/>
      <w:r w:rsidR="00DD5A37">
        <w:t xml:space="preserve"> and Leonid </w:t>
      </w:r>
      <w:proofErr w:type="spellStart"/>
      <w:r w:rsidR="00DD5A37">
        <w:t>Sudalenko</w:t>
      </w:r>
      <w:proofErr w:type="spellEnd"/>
      <w:r w:rsidR="008F5BD5">
        <w:t xml:space="preserve">, </w:t>
      </w:r>
      <w:r w:rsidR="005707E6">
        <w:t xml:space="preserve">Belarusian citizens </w:t>
      </w:r>
      <w:r w:rsidR="00DD5A37">
        <w:t xml:space="preserve">born in </w:t>
      </w:r>
      <w:r w:rsidR="008F5BD5">
        <w:t>1958 and 1966</w:t>
      </w:r>
      <w:r w:rsidR="005707E6">
        <w:t>,</w:t>
      </w:r>
      <w:r w:rsidR="00DD5A37">
        <w:t xml:space="preserve"> respectively</w:t>
      </w:r>
      <w:r w:rsidR="008F5BD5" w:rsidRPr="003E4C04">
        <w:t xml:space="preserve">. </w:t>
      </w:r>
      <w:r w:rsidR="003E6EE4">
        <w:t xml:space="preserve">She </w:t>
      </w:r>
      <w:r w:rsidR="008F5BD5" w:rsidRPr="003E4C04">
        <w:t>claim</w:t>
      </w:r>
      <w:r w:rsidR="003E6EE4">
        <w:t>s</w:t>
      </w:r>
      <w:r w:rsidR="008F5BD5" w:rsidRPr="003E4C04">
        <w:t xml:space="preserve"> that the</w:t>
      </w:r>
      <w:r w:rsidR="003E6EE4">
        <w:t>y are victims of violations by the</w:t>
      </w:r>
      <w:r w:rsidR="008F5BD5" w:rsidRPr="003E4C04">
        <w:t xml:space="preserve"> State party </w:t>
      </w:r>
      <w:r w:rsidR="003E6EE4">
        <w:t xml:space="preserve">of </w:t>
      </w:r>
      <w:r w:rsidR="008F5BD5">
        <w:t>their</w:t>
      </w:r>
      <w:r w:rsidR="008F5BD5" w:rsidRPr="003E4C04">
        <w:t xml:space="preserve"> rights under articles 19 and 21, read </w:t>
      </w:r>
      <w:r w:rsidR="00F50587">
        <w:t xml:space="preserve">alone and </w:t>
      </w:r>
      <w:r w:rsidR="008F5BD5" w:rsidRPr="003E4C04">
        <w:t>in conjunction with 2</w:t>
      </w:r>
      <w:r w:rsidR="008F5BD5">
        <w:t xml:space="preserve"> (2) and (3)</w:t>
      </w:r>
      <w:r w:rsidR="008F5BD5" w:rsidRPr="003E4C04">
        <w:t xml:space="preserve">, of the Covenant. The Optional Protocol entered into force for the State party on 30 December 1992. The author </w:t>
      </w:r>
      <w:r w:rsidR="003E6EE4">
        <w:t>is</w:t>
      </w:r>
      <w:r w:rsidR="008F5BD5" w:rsidRPr="003E4C04">
        <w:t xml:space="preserve"> not represented by counsel</w:t>
      </w:r>
      <w:r w:rsidR="00A90413" w:rsidRPr="00A90413">
        <w:t xml:space="preserve">. </w:t>
      </w:r>
    </w:p>
    <w:p w14:paraId="5DC9DEE1" w14:textId="77777777" w:rsidR="000128E3" w:rsidRPr="00415BA0" w:rsidRDefault="000128E3" w:rsidP="00781C83">
      <w:pPr>
        <w:pStyle w:val="H23G"/>
      </w:pPr>
      <w:r w:rsidRPr="00415BA0">
        <w:tab/>
      </w:r>
      <w:r w:rsidRPr="00415BA0">
        <w:tab/>
        <w:t>The facts as submitted by the author</w:t>
      </w:r>
    </w:p>
    <w:p w14:paraId="247838DA" w14:textId="77777777" w:rsidR="006A259C" w:rsidRPr="00D214D0" w:rsidRDefault="006A259C" w:rsidP="00942EA0">
      <w:pPr>
        <w:pStyle w:val="SingleTxtG"/>
        <w:rPr>
          <w:lang w:val="en-US"/>
        </w:rPr>
      </w:pPr>
      <w:r w:rsidRPr="00A8768E">
        <w:t>2.1</w:t>
      </w:r>
      <w:r>
        <w:tab/>
      </w:r>
      <w:r w:rsidR="00B93DF9" w:rsidRPr="00382793">
        <w:t>On</w:t>
      </w:r>
      <w:r w:rsidR="00B93DF9">
        <w:t xml:space="preserve"> 10</w:t>
      </w:r>
      <w:r w:rsidR="00B93DF9" w:rsidRPr="00382793">
        <w:t xml:space="preserve"> </w:t>
      </w:r>
      <w:r w:rsidR="00B93DF9">
        <w:t>July 2012</w:t>
      </w:r>
      <w:r w:rsidR="00B93DF9" w:rsidRPr="00382793">
        <w:t>, the author</w:t>
      </w:r>
      <w:r w:rsidR="003E6EE4">
        <w:t xml:space="preserve"> and the </w:t>
      </w:r>
      <w:r w:rsidR="005707E6">
        <w:t>tw</w:t>
      </w:r>
      <w:r w:rsidR="00EB0109">
        <w:t>o</w:t>
      </w:r>
      <w:r w:rsidR="005707E6">
        <w:t xml:space="preserve"> other </w:t>
      </w:r>
      <w:r w:rsidR="003E6EE4">
        <w:t>alleged victims</w:t>
      </w:r>
      <w:r w:rsidR="00B93DF9" w:rsidRPr="00382793">
        <w:t xml:space="preserve"> filed an application to the Gomel </w:t>
      </w:r>
      <w:r w:rsidR="00A47ED8" w:rsidRPr="00942EA0">
        <w:t>City</w:t>
      </w:r>
      <w:r w:rsidR="00A47ED8">
        <w:t xml:space="preserve"> </w:t>
      </w:r>
      <w:r w:rsidR="00B93DF9" w:rsidRPr="00382793">
        <w:t>Executive Committee</w:t>
      </w:r>
      <w:r w:rsidR="00FC344D">
        <w:t>, a local municipal authority</w:t>
      </w:r>
      <w:r w:rsidR="00A47ED8">
        <w:t xml:space="preserve"> for a city of approximately 500,000 inhabitants</w:t>
      </w:r>
      <w:r w:rsidR="00FC344D">
        <w:t>,</w:t>
      </w:r>
      <w:r w:rsidR="00FC344D" w:rsidRPr="00382793">
        <w:t xml:space="preserve"> </w:t>
      </w:r>
      <w:r w:rsidR="00E41603">
        <w:t>for</w:t>
      </w:r>
      <w:r w:rsidR="00B93DF9">
        <w:t xml:space="preserve"> a</w:t>
      </w:r>
      <w:r w:rsidR="00B93DF9" w:rsidRPr="00382793">
        <w:t xml:space="preserve"> picket</w:t>
      </w:r>
      <w:r w:rsidR="00E41603">
        <w:t xml:space="preserve"> </w:t>
      </w:r>
      <w:r w:rsidR="005707E6">
        <w:t xml:space="preserve">which was supposed to take place </w:t>
      </w:r>
      <w:r w:rsidR="00E41603" w:rsidRPr="00382793">
        <w:t xml:space="preserve">on </w:t>
      </w:r>
      <w:r w:rsidR="00E41603">
        <w:t>4 August 2012</w:t>
      </w:r>
      <w:r w:rsidR="00B93DF9" w:rsidRPr="00382793">
        <w:t xml:space="preserve"> on </w:t>
      </w:r>
      <w:r w:rsidR="00B93DF9">
        <w:t>a</w:t>
      </w:r>
      <w:r w:rsidR="00B93DF9" w:rsidRPr="00382793">
        <w:t xml:space="preserve"> square </w:t>
      </w:r>
      <w:r w:rsidR="00B93DF9">
        <w:t xml:space="preserve">close to the department store “Gomel” </w:t>
      </w:r>
      <w:r w:rsidR="00B93DF9" w:rsidRPr="00382793">
        <w:t xml:space="preserve">to </w:t>
      </w:r>
      <w:r w:rsidR="00B93DF9">
        <w:t xml:space="preserve">protest </w:t>
      </w:r>
      <w:r w:rsidR="007C7F61">
        <w:t xml:space="preserve">against the criminal prosecution </w:t>
      </w:r>
      <w:r w:rsidR="00B93DF9">
        <w:t xml:space="preserve">of </w:t>
      </w:r>
      <w:r w:rsidR="00B93DF9" w:rsidRPr="00382793">
        <w:t xml:space="preserve">the human rights defender Aleksander </w:t>
      </w:r>
      <w:proofErr w:type="spellStart"/>
      <w:r w:rsidR="00B93DF9" w:rsidRPr="00382793">
        <w:t>Belyatsky</w:t>
      </w:r>
      <w:proofErr w:type="spellEnd"/>
      <w:r w:rsidR="00B93DF9">
        <w:t xml:space="preserve"> and </w:t>
      </w:r>
      <w:r w:rsidR="007C7F61">
        <w:t>several other political activists</w:t>
      </w:r>
      <w:r w:rsidR="00F415E0">
        <w:t>.</w:t>
      </w:r>
      <w:r w:rsidRPr="00A8768E">
        <w:t xml:space="preserve">  </w:t>
      </w:r>
    </w:p>
    <w:p w14:paraId="3329D83D" w14:textId="77777777" w:rsidR="00474FC2" w:rsidRDefault="006A259C" w:rsidP="006A259C">
      <w:pPr>
        <w:pStyle w:val="SingleTxtG"/>
        <w:rPr>
          <w:lang w:val="en-US"/>
        </w:rPr>
      </w:pPr>
      <w:r w:rsidRPr="006A259C">
        <w:t>2.2</w:t>
      </w:r>
      <w:r w:rsidRPr="006A259C">
        <w:tab/>
      </w:r>
      <w:r w:rsidR="00B93DF9" w:rsidRPr="00382793">
        <w:t>On 1</w:t>
      </w:r>
      <w:r w:rsidR="00B93DF9">
        <w:t>9</w:t>
      </w:r>
      <w:r w:rsidR="00B93DF9" w:rsidRPr="00382793">
        <w:t xml:space="preserve"> </w:t>
      </w:r>
      <w:r w:rsidR="00B93DF9">
        <w:t>July</w:t>
      </w:r>
      <w:r w:rsidR="00B93DF9" w:rsidRPr="00382793">
        <w:t xml:space="preserve"> 201</w:t>
      </w:r>
      <w:r w:rsidR="00B93DF9">
        <w:t>2</w:t>
      </w:r>
      <w:r w:rsidR="00B93DF9" w:rsidRPr="00382793">
        <w:t>, the Executive Committee</w:t>
      </w:r>
      <w:r w:rsidR="00FC344D">
        <w:t xml:space="preserve"> </w:t>
      </w:r>
      <w:r w:rsidR="00E41603">
        <w:t>refused to allow the picket</w:t>
      </w:r>
      <w:r w:rsidR="00B93DF9">
        <w:t xml:space="preserve"> on the grounds that </w:t>
      </w:r>
      <w:r w:rsidR="00B93DF9" w:rsidRPr="000B7A95">
        <w:t>the authors</w:t>
      </w:r>
      <w:r w:rsidR="00E41603">
        <w:t xml:space="preserve"> </w:t>
      </w:r>
      <w:r w:rsidR="00B93DF9" w:rsidRPr="000B7A95">
        <w:t xml:space="preserve">did not fulfil the requirements of the </w:t>
      </w:r>
      <w:r w:rsidR="00A47ED8">
        <w:t xml:space="preserve">Executive </w:t>
      </w:r>
      <w:r w:rsidR="00FC344D">
        <w:t xml:space="preserve">Committee’s </w:t>
      </w:r>
      <w:r w:rsidR="00B93DF9" w:rsidRPr="000B7A95">
        <w:t xml:space="preserve">decision No. 299 </w:t>
      </w:r>
      <w:r w:rsidR="00A47ED8">
        <w:t>dated</w:t>
      </w:r>
      <w:r w:rsidR="00A47ED8" w:rsidRPr="000B7A95">
        <w:t xml:space="preserve"> 2 April 2008 </w:t>
      </w:r>
      <w:r w:rsidR="00B93DF9" w:rsidRPr="000B7A95">
        <w:t xml:space="preserve">“On mass </w:t>
      </w:r>
      <w:r w:rsidR="00E41603">
        <w:t xml:space="preserve">events </w:t>
      </w:r>
      <w:r w:rsidR="00B93DF9" w:rsidRPr="000B7A95">
        <w:t xml:space="preserve">in the </w:t>
      </w:r>
      <w:r w:rsidR="00E41603">
        <w:t xml:space="preserve">city of </w:t>
      </w:r>
      <w:r w:rsidR="00B93DF9" w:rsidRPr="000B7A95">
        <w:t>Gomel”. Th</w:t>
      </w:r>
      <w:r w:rsidR="005707E6">
        <w:t>is</w:t>
      </w:r>
      <w:r w:rsidR="00B93DF9" w:rsidRPr="000B7A95">
        <w:t xml:space="preserve"> decision requires organisers to </w:t>
      </w:r>
      <w:r w:rsidR="00E41603">
        <w:t xml:space="preserve">hold </w:t>
      </w:r>
      <w:r w:rsidR="00B93DF9" w:rsidRPr="000B7A95">
        <w:t xml:space="preserve">public events in </w:t>
      </w:r>
      <w:r w:rsidR="00F415E0">
        <w:t>a single remote</w:t>
      </w:r>
      <w:r w:rsidR="00B93DF9" w:rsidRPr="000B7A95">
        <w:t xml:space="preserve"> location</w:t>
      </w:r>
      <w:r w:rsidR="00FC344D">
        <w:t xml:space="preserve"> </w:t>
      </w:r>
      <w:r w:rsidR="00B93DF9" w:rsidRPr="000B7A95">
        <w:t xml:space="preserve">and, prior to the event, to </w:t>
      </w:r>
      <w:r w:rsidR="002F6F7C">
        <w:t xml:space="preserve">conclude service contracts with </w:t>
      </w:r>
      <w:r w:rsidR="00EE48AC">
        <w:t xml:space="preserve">the local police so </w:t>
      </w:r>
      <w:r w:rsidR="00A47ED8">
        <w:t xml:space="preserve">that </w:t>
      </w:r>
      <w:r w:rsidR="00EE48AC">
        <w:t xml:space="preserve">they can </w:t>
      </w:r>
      <w:r w:rsidR="00A47ED8">
        <w:t xml:space="preserve">maintain </w:t>
      </w:r>
      <w:r w:rsidR="00EE48AC">
        <w:t xml:space="preserve">public order and safety during the event, </w:t>
      </w:r>
      <w:r w:rsidR="002F6F7C">
        <w:t xml:space="preserve">with </w:t>
      </w:r>
      <w:r w:rsidR="00EE48AC">
        <w:t xml:space="preserve">the local hospital so they can have medical professionals present for medical emergencies, and </w:t>
      </w:r>
      <w:r w:rsidR="002F6F7C">
        <w:t>with</w:t>
      </w:r>
      <w:r w:rsidR="00F415E0">
        <w:t xml:space="preserve"> </w:t>
      </w:r>
      <w:r w:rsidR="00EE48AC">
        <w:t xml:space="preserve">the local road </w:t>
      </w:r>
      <w:proofErr w:type="spellStart"/>
      <w:r w:rsidR="00EE48AC">
        <w:t>maintanence</w:t>
      </w:r>
      <w:proofErr w:type="spellEnd"/>
      <w:r w:rsidR="00EE48AC">
        <w:t xml:space="preserve"> entity to </w:t>
      </w:r>
      <w:r w:rsidR="00B93DF9" w:rsidRPr="000B7A95">
        <w:t xml:space="preserve">clean after the event. </w:t>
      </w:r>
      <w:r w:rsidR="009A2DAD">
        <w:t xml:space="preserve">The </w:t>
      </w:r>
      <w:r w:rsidR="005707E6">
        <w:t xml:space="preserve">author claims that the </w:t>
      </w:r>
      <w:r w:rsidR="009A2DAD">
        <w:t xml:space="preserve">application was refused </w:t>
      </w:r>
      <w:r w:rsidR="00B93DF9" w:rsidRPr="000B7A95">
        <w:t>because the</w:t>
      </w:r>
      <w:r w:rsidR="003E6EE4">
        <w:t xml:space="preserve"> </w:t>
      </w:r>
      <w:r w:rsidR="009A2DAD">
        <w:t xml:space="preserve">protest </w:t>
      </w:r>
      <w:r w:rsidR="00A47ED8">
        <w:t xml:space="preserve">was </w:t>
      </w:r>
      <w:r w:rsidR="005707E6">
        <w:t xml:space="preserve">planned </w:t>
      </w:r>
      <w:r w:rsidR="00A47ED8">
        <w:t>to take place at</w:t>
      </w:r>
      <w:r w:rsidR="009A2DAD">
        <w:t xml:space="preserve"> a </w:t>
      </w:r>
      <w:r w:rsidR="00B93DF9" w:rsidRPr="000B7A95">
        <w:t xml:space="preserve">location </w:t>
      </w:r>
      <w:r w:rsidR="009A2DAD">
        <w:t xml:space="preserve">different from the </w:t>
      </w:r>
      <w:r w:rsidR="005707E6">
        <w:t xml:space="preserve">standing </w:t>
      </w:r>
      <w:r w:rsidR="009A2DAD">
        <w:t xml:space="preserve">one </w:t>
      </w:r>
      <w:r w:rsidR="005707E6">
        <w:t xml:space="preserve">as </w:t>
      </w:r>
      <w:r w:rsidR="00B93DF9" w:rsidRPr="000B7A95">
        <w:t xml:space="preserve">designated </w:t>
      </w:r>
      <w:r w:rsidR="009A2DAD">
        <w:t xml:space="preserve">by the </w:t>
      </w:r>
      <w:r w:rsidR="009A2DAD" w:rsidRPr="000B7A95">
        <w:t>Executive Committee</w:t>
      </w:r>
      <w:r w:rsidR="00F415E0">
        <w:t>,</w:t>
      </w:r>
      <w:r w:rsidR="009A2DAD" w:rsidRPr="000B7A95">
        <w:t xml:space="preserve"> </w:t>
      </w:r>
      <w:r w:rsidR="00B93DF9" w:rsidRPr="000B7A95">
        <w:t xml:space="preserve">and because </w:t>
      </w:r>
      <w:r w:rsidR="00A47ED8">
        <w:t xml:space="preserve">the author and the alleged victims </w:t>
      </w:r>
      <w:r w:rsidR="00B93DF9" w:rsidRPr="000B7A95">
        <w:t xml:space="preserve">had failed </w:t>
      </w:r>
      <w:r w:rsidR="00F415E0">
        <w:t xml:space="preserve">to contract </w:t>
      </w:r>
      <w:r w:rsidR="00B93DF9" w:rsidRPr="000B7A95">
        <w:t>t</w:t>
      </w:r>
      <w:r w:rsidR="009A2DAD">
        <w:t>he police</w:t>
      </w:r>
      <w:r w:rsidR="005707E6">
        <w:t xml:space="preserve"> or</w:t>
      </w:r>
      <w:r w:rsidR="009A2DAD">
        <w:t xml:space="preserve"> medical and cleaning services prior to the planned event.</w:t>
      </w:r>
      <w:r w:rsidR="009555A5">
        <w:rPr>
          <w:lang w:val="en-US"/>
        </w:rPr>
        <w:t xml:space="preserve"> </w:t>
      </w:r>
    </w:p>
    <w:p w14:paraId="67597C37" w14:textId="77777777" w:rsidR="006A259C" w:rsidRDefault="009555A5" w:rsidP="006A259C">
      <w:pPr>
        <w:pStyle w:val="SingleTxtG"/>
        <w:rPr>
          <w:lang w:val="en-US"/>
        </w:rPr>
      </w:pPr>
      <w:r>
        <w:rPr>
          <w:lang w:val="en-US"/>
        </w:rPr>
        <w:t>2.3</w:t>
      </w:r>
      <w:r>
        <w:rPr>
          <w:lang w:val="en-US"/>
        </w:rPr>
        <w:tab/>
      </w:r>
      <w:r w:rsidR="00B93DF9" w:rsidRPr="00382793">
        <w:t xml:space="preserve">On </w:t>
      </w:r>
      <w:r w:rsidR="00B93DF9">
        <w:t>31</w:t>
      </w:r>
      <w:r w:rsidR="00B93DF9" w:rsidRPr="00382793">
        <w:t xml:space="preserve"> </w:t>
      </w:r>
      <w:r w:rsidR="00B93DF9">
        <w:t>July 2012</w:t>
      </w:r>
      <w:r w:rsidR="00B93DF9" w:rsidRPr="00382793">
        <w:t xml:space="preserve">, the </w:t>
      </w:r>
      <w:r w:rsidR="003E6EE4">
        <w:t>author and the alleged victims</w:t>
      </w:r>
      <w:r w:rsidR="003E6EE4" w:rsidRPr="000B7A95">
        <w:t xml:space="preserve"> </w:t>
      </w:r>
      <w:r w:rsidR="00B93DF9">
        <w:t xml:space="preserve">submitted an </w:t>
      </w:r>
      <w:r w:rsidR="00B93DF9" w:rsidRPr="00382793">
        <w:t>appeal</w:t>
      </w:r>
      <w:r w:rsidR="00B93DF9">
        <w:t xml:space="preserve"> against the </w:t>
      </w:r>
      <w:r w:rsidR="00B93DF9" w:rsidRPr="00382793">
        <w:t>decision of the Executive Committee</w:t>
      </w:r>
      <w:r w:rsidR="00B93DF9">
        <w:t xml:space="preserve"> </w:t>
      </w:r>
      <w:r w:rsidR="00B93DF9" w:rsidRPr="00382793">
        <w:t>to the Central District Court of Gomel</w:t>
      </w:r>
      <w:r w:rsidR="00B93DF9">
        <w:t xml:space="preserve">. On 23 August 2012, </w:t>
      </w:r>
      <w:r w:rsidR="00B93DF9" w:rsidRPr="00382793">
        <w:t>the Central District Court of Gomel</w:t>
      </w:r>
      <w:r w:rsidR="00B93DF9">
        <w:t xml:space="preserve"> dismissed the</w:t>
      </w:r>
      <w:r w:rsidR="005707E6">
        <w:t>ir</w:t>
      </w:r>
      <w:r w:rsidR="00B93DF9">
        <w:t xml:space="preserve"> appeal and </w:t>
      </w:r>
      <w:r w:rsidR="009A2DAD">
        <w:t xml:space="preserve">upheld </w:t>
      </w:r>
      <w:r w:rsidR="00B93DF9">
        <w:t>the decision of the Executive Committee as lawful</w:t>
      </w:r>
      <w:r w:rsidR="003356AF">
        <w:t>.</w:t>
      </w:r>
    </w:p>
    <w:p w14:paraId="6EFF44EF" w14:textId="77777777" w:rsidR="00E67A23" w:rsidRDefault="00700FDF" w:rsidP="00700FDF">
      <w:pPr>
        <w:pStyle w:val="SingleTxtG"/>
      </w:pPr>
      <w:r>
        <w:rPr>
          <w:lang w:val="en-US"/>
        </w:rPr>
        <w:t>2.4</w:t>
      </w:r>
      <w:r w:rsidR="00D26E13">
        <w:rPr>
          <w:lang w:val="en-US"/>
        </w:rPr>
        <w:tab/>
      </w:r>
      <w:r w:rsidR="00B93DF9">
        <w:t xml:space="preserve">On an unspecified date, the </w:t>
      </w:r>
      <w:r w:rsidR="003E6EE4">
        <w:t>author and the alleged victims</w:t>
      </w:r>
      <w:r w:rsidR="003E6EE4" w:rsidRPr="000B7A95">
        <w:t xml:space="preserve"> </w:t>
      </w:r>
      <w:r w:rsidR="00B93DF9" w:rsidRPr="00382793">
        <w:t xml:space="preserve">filed a cassation appeal to the Gomel Regional Court, which </w:t>
      </w:r>
      <w:r w:rsidR="009A2DAD">
        <w:t xml:space="preserve">was </w:t>
      </w:r>
      <w:r w:rsidR="00B93DF9" w:rsidRPr="00382793">
        <w:t xml:space="preserve">rejected on </w:t>
      </w:r>
      <w:r w:rsidR="00EE0222">
        <w:t>4 October</w:t>
      </w:r>
      <w:r w:rsidR="00B93DF9" w:rsidRPr="00382793">
        <w:t xml:space="preserve"> 201</w:t>
      </w:r>
      <w:r w:rsidR="00EE0222">
        <w:t>2</w:t>
      </w:r>
      <w:r w:rsidR="00B93DF9" w:rsidRPr="00382793">
        <w:t>.</w:t>
      </w:r>
      <w:r w:rsidR="003E6EE4">
        <w:t xml:space="preserve"> </w:t>
      </w:r>
      <w:r w:rsidR="00B93DF9">
        <w:t xml:space="preserve">On </w:t>
      </w:r>
      <w:r w:rsidR="007271F9">
        <w:t>unspecified dates, the</w:t>
      </w:r>
      <w:r w:rsidR="003E6EE4">
        <w:t>y</w:t>
      </w:r>
      <w:r w:rsidR="007271F9">
        <w:t xml:space="preserve"> petitioned the </w:t>
      </w:r>
      <w:r w:rsidR="00A47ED8">
        <w:t xml:space="preserve">chairpersons of the </w:t>
      </w:r>
      <w:r w:rsidR="007271F9">
        <w:t xml:space="preserve">Gomel Regional Court and the Supreme Court of Belarus </w:t>
      </w:r>
      <w:r w:rsidR="005707E6">
        <w:t xml:space="preserve">seeking </w:t>
      </w:r>
      <w:r w:rsidR="007271F9">
        <w:t xml:space="preserve">a supervisory review of the ruling by the Central District Court of Gomel. On </w:t>
      </w:r>
      <w:r w:rsidR="00B93DF9">
        <w:t>2</w:t>
      </w:r>
      <w:r w:rsidR="007271F9">
        <w:t>1</w:t>
      </w:r>
      <w:r w:rsidR="00B93DF9">
        <w:t xml:space="preserve"> January 2013</w:t>
      </w:r>
      <w:r w:rsidR="007271F9">
        <w:t xml:space="preserve"> and 18 March 2013 respectively</w:t>
      </w:r>
      <w:r w:rsidR="00B93DF9">
        <w:t xml:space="preserve">, </w:t>
      </w:r>
      <w:r w:rsidR="007271F9">
        <w:t xml:space="preserve">both courts </w:t>
      </w:r>
      <w:r w:rsidR="00B93DF9">
        <w:t>rejected the</w:t>
      </w:r>
      <w:r w:rsidR="005707E6">
        <w:t>ir</w:t>
      </w:r>
      <w:r w:rsidR="00B93DF9">
        <w:t xml:space="preserve"> </w:t>
      </w:r>
      <w:r w:rsidR="007271F9">
        <w:t>petitions</w:t>
      </w:r>
      <w:r w:rsidR="00170F0A">
        <w:t xml:space="preserve">. </w:t>
      </w:r>
    </w:p>
    <w:p w14:paraId="520487CC" w14:textId="77777777" w:rsidR="00E67A23" w:rsidRDefault="00E67A23" w:rsidP="00315930">
      <w:pPr>
        <w:pStyle w:val="SingleTxtG"/>
      </w:pPr>
      <w:r>
        <w:t>2.5</w:t>
      </w:r>
      <w:r>
        <w:tab/>
      </w:r>
      <w:r w:rsidR="00B93DF9" w:rsidRPr="00382793">
        <w:t xml:space="preserve">The </w:t>
      </w:r>
      <w:r w:rsidR="003E6EE4">
        <w:t xml:space="preserve">author </w:t>
      </w:r>
      <w:r w:rsidR="00B93DF9">
        <w:t>submit</w:t>
      </w:r>
      <w:r w:rsidR="003E6EE4">
        <w:t>s</w:t>
      </w:r>
      <w:r w:rsidR="00B93DF9" w:rsidRPr="00382793">
        <w:t xml:space="preserve"> </w:t>
      </w:r>
      <w:r w:rsidR="003E6EE4">
        <w:t xml:space="preserve">that she has </w:t>
      </w:r>
      <w:r w:rsidR="00B93DF9" w:rsidRPr="00382793">
        <w:t xml:space="preserve">exhausted all available and effective domestic remedies. </w:t>
      </w:r>
      <w:r w:rsidR="003E6EE4">
        <w:t>She r</w:t>
      </w:r>
      <w:r w:rsidR="00B93DF9" w:rsidRPr="00382793">
        <w:t>efer</w:t>
      </w:r>
      <w:r w:rsidR="003E6EE4">
        <w:t>s</w:t>
      </w:r>
      <w:r w:rsidR="00B93DF9" w:rsidRPr="00382793">
        <w:t xml:space="preserve"> to the Human Rights Committee’s jurisprudence</w:t>
      </w:r>
      <w:r w:rsidR="00624B2D">
        <w:rPr>
          <w:rStyle w:val="FootnoteReference"/>
        </w:rPr>
        <w:footnoteReference w:id="4"/>
      </w:r>
      <w:r w:rsidR="00B93DF9">
        <w:t xml:space="preserve"> </w:t>
      </w:r>
      <w:r w:rsidR="003E6EE4">
        <w:t xml:space="preserve">and notes </w:t>
      </w:r>
      <w:r w:rsidR="00B93DF9" w:rsidRPr="00382793">
        <w:t xml:space="preserve">that </w:t>
      </w:r>
      <w:r w:rsidR="003E6EE4">
        <w:t xml:space="preserve">she </w:t>
      </w:r>
      <w:r w:rsidR="00B93DF9" w:rsidRPr="00382793">
        <w:t xml:space="preserve">did not file an application for supervisory review to the Prosecutor’s Office, since it did not constitute </w:t>
      </w:r>
      <w:r w:rsidR="00B93DF9">
        <w:t>an effective domestic remedy</w:t>
      </w:r>
      <w:r w:rsidR="00315930">
        <w:t>.</w:t>
      </w:r>
    </w:p>
    <w:p w14:paraId="12DA8A6F" w14:textId="77777777" w:rsidR="000128E3" w:rsidRPr="00415BA0" w:rsidRDefault="000128E3" w:rsidP="00F12D79">
      <w:pPr>
        <w:pStyle w:val="H23G"/>
      </w:pPr>
      <w:r w:rsidRPr="00415BA0">
        <w:tab/>
      </w:r>
      <w:r w:rsidRPr="00415BA0">
        <w:tab/>
        <w:t>The complaint</w:t>
      </w:r>
    </w:p>
    <w:p w14:paraId="64FD7853" w14:textId="563E5F18" w:rsidR="006A259C" w:rsidRPr="00F5202F" w:rsidRDefault="006A259C" w:rsidP="00062CFF">
      <w:pPr>
        <w:pStyle w:val="SingleTxtG"/>
      </w:pPr>
      <w:r w:rsidRPr="00D91D4F">
        <w:t>3.1</w:t>
      </w:r>
      <w:r w:rsidRPr="00D91D4F">
        <w:tab/>
      </w:r>
      <w:r w:rsidR="00111AD2" w:rsidRPr="00DD4680">
        <w:t>The author claim</w:t>
      </w:r>
      <w:r w:rsidR="003E6EE4">
        <w:t>s</w:t>
      </w:r>
      <w:r w:rsidR="00062CFF">
        <w:t xml:space="preserve"> that the </w:t>
      </w:r>
      <w:r w:rsidR="00062CFF" w:rsidRPr="000B7A95">
        <w:t xml:space="preserve">decision of the Gomel City Executive Committee of 2 April 2008 No. 299 “On mass </w:t>
      </w:r>
      <w:r w:rsidR="00062CFF">
        <w:t xml:space="preserve">events </w:t>
      </w:r>
      <w:r w:rsidR="00062CFF" w:rsidRPr="000B7A95">
        <w:t xml:space="preserve">in the </w:t>
      </w:r>
      <w:r w:rsidR="00062CFF">
        <w:t xml:space="preserve">city of </w:t>
      </w:r>
      <w:r w:rsidR="00062CFF" w:rsidRPr="000B7A95">
        <w:t>Gomel”</w:t>
      </w:r>
      <w:r w:rsidR="00062CFF">
        <w:t xml:space="preserve"> unduly restricts her </w:t>
      </w:r>
      <w:r w:rsidR="00A47ED8">
        <w:t xml:space="preserve">and the alleged victims’ </w:t>
      </w:r>
      <w:r w:rsidR="00062CFF">
        <w:t xml:space="preserve">freedom of expression and the right of peaceful assembly by imposing on the organizers of public events an obligation to </w:t>
      </w:r>
      <w:r w:rsidR="002F6F7C">
        <w:t>conclude</w:t>
      </w:r>
      <w:r w:rsidR="00062CFF">
        <w:t xml:space="preserve"> service</w:t>
      </w:r>
      <w:r w:rsidR="002F6F7C">
        <w:t xml:space="preserve"> contracts</w:t>
      </w:r>
      <w:r w:rsidR="00062CFF">
        <w:t xml:space="preserve"> </w:t>
      </w:r>
      <w:r w:rsidR="002F6F7C">
        <w:t>with</w:t>
      </w:r>
      <w:r w:rsidR="00062CFF">
        <w:t xml:space="preserve"> the local police, medical personnel and local road </w:t>
      </w:r>
      <w:proofErr w:type="spellStart"/>
      <w:r w:rsidR="00062CFF">
        <w:t>maintanence</w:t>
      </w:r>
      <w:proofErr w:type="spellEnd"/>
      <w:r w:rsidR="00062CFF">
        <w:t xml:space="preserve"> entity, and by designating a single remote</w:t>
      </w:r>
      <w:r w:rsidR="00062CFF" w:rsidRPr="000B7A95">
        <w:t xml:space="preserve"> location</w:t>
      </w:r>
      <w:r w:rsidR="00062CFF">
        <w:t xml:space="preserve"> for all public events held in Gomel, a city of 500,000 inhabitants. She also claims that </w:t>
      </w:r>
      <w:r w:rsidR="00111AD2" w:rsidRPr="00DD4680">
        <w:t xml:space="preserve">the authorities </w:t>
      </w:r>
      <w:r w:rsidR="00062CFF">
        <w:t xml:space="preserve">and courts </w:t>
      </w:r>
      <w:r w:rsidR="00111AD2" w:rsidRPr="00DD4680">
        <w:t xml:space="preserve">did not </w:t>
      </w:r>
      <w:r w:rsidR="007513A7">
        <w:t>specify a</w:t>
      </w:r>
      <w:r w:rsidR="00111AD2" w:rsidRPr="00DD4680">
        <w:t xml:space="preserve"> legitimate aim </w:t>
      </w:r>
      <w:r w:rsidR="005707E6">
        <w:t xml:space="preserve">for the restriction of </w:t>
      </w:r>
      <w:r w:rsidR="00062CFF">
        <w:lastRenderedPageBreak/>
        <w:t xml:space="preserve">her </w:t>
      </w:r>
      <w:r w:rsidR="00A47ED8">
        <w:t xml:space="preserve">and the alleged victims’ </w:t>
      </w:r>
      <w:r w:rsidR="00111AD2" w:rsidRPr="00DD4680">
        <w:t>rights</w:t>
      </w:r>
      <w:r w:rsidR="00062CFF">
        <w:t xml:space="preserve">, and </w:t>
      </w:r>
      <w:r w:rsidR="00111AD2" w:rsidRPr="00DD4680">
        <w:t>consider</w:t>
      </w:r>
      <w:r w:rsidR="003E6EE4">
        <w:t>s</w:t>
      </w:r>
      <w:r w:rsidR="00111AD2" w:rsidRPr="00DD4680">
        <w:t xml:space="preserve"> that the prohibition </w:t>
      </w:r>
      <w:r w:rsidR="00111AD2">
        <w:t>of</w:t>
      </w:r>
      <w:r w:rsidR="00111AD2" w:rsidRPr="00DD4680">
        <w:t xml:space="preserve"> peaceful</w:t>
      </w:r>
      <w:r w:rsidR="00111AD2">
        <w:t xml:space="preserve"> assembly</w:t>
      </w:r>
      <w:r w:rsidR="00111AD2" w:rsidRPr="00DD4680">
        <w:t xml:space="preserve"> by the local authorities was not necessary in the interests of national security, public order or public health or rights and freedoms of others</w:t>
      </w:r>
      <w:r w:rsidR="00A47ED8">
        <w:t>, thus violating her</w:t>
      </w:r>
      <w:r w:rsidR="00A47ED8" w:rsidRPr="00DD4680">
        <w:t xml:space="preserve"> </w:t>
      </w:r>
      <w:r w:rsidR="00A47ED8">
        <w:t xml:space="preserve">and the alleged victims’ </w:t>
      </w:r>
      <w:r w:rsidR="00A47ED8" w:rsidRPr="00DD4680">
        <w:t>rights under article</w:t>
      </w:r>
      <w:r w:rsidR="00A47ED8">
        <w:t>s</w:t>
      </w:r>
      <w:r w:rsidR="00A47ED8" w:rsidRPr="00DD4680">
        <w:t xml:space="preserve"> 19 and 21, both read </w:t>
      </w:r>
      <w:r w:rsidR="00F50587">
        <w:t xml:space="preserve">alone and </w:t>
      </w:r>
      <w:r w:rsidR="00A47ED8" w:rsidRPr="00DD4680">
        <w:t>in conjunction with article 2</w:t>
      </w:r>
      <w:r w:rsidR="00A47ED8">
        <w:t xml:space="preserve"> (</w:t>
      </w:r>
      <w:r w:rsidR="00A47ED8" w:rsidRPr="00DD4680">
        <w:t>2</w:t>
      </w:r>
      <w:r w:rsidR="00A47ED8">
        <w:t>)</w:t>
      </w:r>
      <w:r w:rsidR="00A47ED8" w:rsidRPr="00DD4680">
        <w:t xml:space="preserve"> and </w:t>
      </w:r>
      <w:r w:rsidR="00A47ED8">
        <w:t>(</w:t>
      </w:r>
      <w:r w:rsidR="00A47ED8" w:rsidRPr="00DD4680">
        <w:t>3</w:t>
      </w:r>
      <w:r w:rsidR="00A47ED8">
        <w:t>)</w:t>
      </w:r>
      <w:r w:rsidR="00A47ED8" w:rsidRPr="00DD4680">
        <w:t>, of the Covenant</w:t>
      </w:r>
      <w:r w:rsidR="00D26553">
        <w:t>.</w:t>
      </w:r>
      <w:r w:rsidRPr="00F5202F">
        <w:t xml:space="preserve"> </w:t>
      </w:r>
    </w:p>
    <w:p w14:paraId="6AFDE43D" w14:textId="77777777" w:rsidR="00586999" w:rsidRDefault="006A259C" w:rsidP="00613549">
      <w:pPr>
        <w:pStyle w:val="SingleTxtG"/>
      </w:pPr>
      <w:r w:rsidRPr="00E901BD">
        <w:t>3.</w:t>
      </w:r>
      <w:r w:rsidR="00A47ED8">
        <w:t>2</w:t>
      </w:r>
      <w:r w:rsidRPr="00E901BD">
        <w:tab/>
      </w:r>
      <w:r w:rsidR="00111AD2">
        <w:t xml:space="preserve">The author </w:t>
      </w:r>
      <w:r w:rsidR="003E6EE4">
        <w:t xml:space="preserve">refers to </w:t>
      </w:r>
      <w:r w:rsidR="00111AD2" w:rsidRPr="001404D4">
        <w:t>the Committee’s view</w:t>
      </w:r>
      <w:r w:rsidR="003E6EE4">
        <w:t>s</w:t>
      </w:r>
      <w:r w:rsidR="00111AD2" w:rsidRPr="001404D4">
        <w:t xml:space="preserve"> </w:t>
      </w:r>
      <w:r w:rsidR="00866B68">
        <w:t xml:space="preserve">in </w:t>
      </w:r>
      <w:proofErr w:type="spellStart"/>
      <w:r w:rsidR="00866B68" w:rsidRPr="00CA47C3">
        <w:rPr>
          <w:i/>
        </w:rPr>
        <w:t>Shumilin</w:t>
      </w:r>
      <w:proofErr w:type="spellEnd"/>
      <w:r w:rsidR="00866B68" w:rsidRPr="00CA47C3">
        <w:rPr>
          <w:i/>
        </w:rPr>
        <w:t xml:space="preserve"> v. Belarus</w:t>
      </w:r>
      <w:r w:rsidR="00CA47C3">
        <w:rPr>
          <w:i/>
        </w:rPr>
        <w:t>,</w:t>
      </w:r>
      <w:r w:rsidR="00866B68">
        <w:t xml:space="preserve"> where </w:t>
      </w:r>
      <w:r w:rsidR="00786831">
        <w:t>the Committee</w:t>
      </w:r>
      <w:r w:rsidR="00866B68">
        <w:t xml:space="preserve"> requested that</w:t>
      </w:r>
      <w:r w:rsidR="00111AD2" w:rsidRPr="001404D4">
        <w:t xml:space="preserve"> the State party review</w:t>
      </w:r>
      <w:r w:rsidR="00866B68">
        <w:t>s</w:t>
      </w:r>
      <w:r w:rsidR="00111AD2" w:rsidRPr="001404D4">
        <w:t xml:space="preserve"> its legislation, in particular the Law on Mass Events, a</w:t>
      </w:r>
      <w:r w:rsidR="005707E6">
        <w:t xml:space="preserve">s well as </w:t>
      </w:r>
      <w:r w:rsidR="00111AD2" w:rsidRPr="001404D4">
        <w:t>its application, to ensure its conformity with the requirements</w:t>
      </w:r>
      <w:r w:rsidR="00111AD2">
        <w:t xml:space="preserve"> of article 19 of the Covenant, </w:t>
      </w:r>
      <w:r w:rsidR="00866B68">
        <w:t xml:space="preserve">and submits that this recommendation still </w:t>
      </w:r>
      <w:r w:rsidR="00111AD2">
        <w:t>has not been implement</w:t>
      </w:r>
      <w:r w:rsidR="00866B68">
        <w:t>ed</w:t>
      </w:r>
      <w:r w:rsidR="00111AD2">
        <w:t xml:space="preserve"> by Belarus</w:t>
      </w:r>
      <w:r w:rsidR="00315930">
        <w:t>.</w:t>
      </w:r>
      <w:r w:rsidR="001802E1" w:rsidRPr="001802E1">
        <w:rPr>
          <w:rStyle w:val="FootnoteReference"/>
        </w:rPr>
        <w:t xml:space="preserve"> </w:t>
      </w:r>
      <w:r w:rsidR="001802E1">
        <w:rPr>
          <w:rStyle w:val="FootnoteReference"/>
        </w:rPr>
        <w:footnoteReference w:id="5"/>
      </w:r>
    </w:p>
    <w:p w14:paraId="2929DB11" w14:textId="77777777" w:rsidR="000128E3" w:rsidRPr="00415BA0" w:rsidRDefault="000128E3" w:rsidP="004E5671">
      <w:pPr>
        <w:pStyle w:val="H23G"/>
        <w:tabs>
          <w:tab w:val="left" w:pos="1134"/>
          <w:tab w:val="left" w:pos="1701"/>
          <w:tab w:val="left" w:pos="2268"/>
          <w:tab w:val="left" w:pos="2835"/>
          <w:tab w:val="left" w:pos="3402"/>
          <w:tab w:val="left" w:pos="3969"/>
          <w:tab w:val="left" w:pos="4536"/>
          <w:tab w:val="left" w:pos="7035"/>
        </w:tabs>
      </w:pPr>
      <w:r w:rsidRPr="00415BA0">
        <w:tab/>
      </w:r>
      <w:r w:rsidRPr="00415BA0">
        <w:tab/>
        <w:t>State party’s observations</w:t>
      </w:r>
      <w:r w:rsidR="00E17CD1" w:rsidRPr="00415BA0">
        <w:t xml:space="preserve"> </w:t>
      </w:r>
      <w:r w:rsidR="004C69F9" w:rsidRPr="00415BA0">
        <w:t>on admiss</w:t>
      </w:r>
      <w:r w:rsidR="00E17CD1" w:rsidRPr="00415BA0">
        <w:t>i</w:t>
      </w:r>
      <w:r w:rsidR="004C69F9" w:rsidRPr="00415BA0">
        <w:t>bility</w:t>
      </w:r>
    </w:p>
    <w:p w14:paraId="45C5EC06" w14:textId="77777777" w:rsidR="007F134D" w:rsidRPr="00890485" w:rsidRDefault="001E1235" w:rsidP="007F134D">
      <w:pPr>
        <w:pStyle w:val="SingleTxtG"/>
      </w:pPr>
      <w:r w:rsidRPr="00415BA0">
        <w:t>4.</w:t>
      </w:r>
      <w:r w:rsidR="00FC5B9A">
        <w:t>1</w:t>
      </w:r>
      <w:r w:rsidR="000128E3" w:rsidRPr="00415BA0">
        <w:tab/>
      </w:r>
      <w:r w:rsidR="00607635" w:rsidRPr="00415BA0">
        <w:t xml:space="preserve">By </w:t>
      </w:r>
      <w:r w:rsidR="003C74C5">
        <w:t xml:space="preserve">a </w:t>
      </w:r>
      <w:r w:rsidR="009D26D2" w:rsidRPr="00415BA0">
        <w:t xml:space="preserve">note </w:t>
      </w:r>
      <w:proofErr w:type="spellStart"/>
      <w:r w:rsidR="009D26D2" w:rsidRPr="00415BA0">
        <w:t>verbale</w:t>
      </w:r>
      <w:proofErr w:type="spellEnd"/>
      <w:r w:rsidR="00BF4AA2" w:rsidRPr="00415BA0">
        <w:t xml:space="preserve"> </w:t>
      </w:r>
      <w:r w:rsidR="00D11301">
        <w:t>dated</w:t>
      </w:r>
      <w:r w:rsidR="005A0DD8" w:rsidRPr="00415BA0">
        <w:t xml:space="preserve"> </w:t>
      </w:r>
      <w:r w:rsidR="007271F9">
        <w:t xml:space="preserve">26 March </w:t>
      </w:r>
      <w:r w:rsidR="00EC1345" w:rsidRPr="00415BA0">
        <w:t>201</w:t>
      </w:r>
      <w:r w:rsidR="007271F9">
        <w:t>5</w:t>
      </w:r>
      <w:r w:rsidR="00EC1345" w:rsidRPr="00415BA0">
        <w:t>,</w:t>
      </w:r>
      <w:r w:rsidR="009D26D2" w:rsidRPr="00415BA0">
        <w:t xml:space="preserve"> t</w:t>
      </w:r>
      <w:r w:rsidR="003721BC" w:rsidRPr="00415BA0">
        <w:t>he State pa</w:t>
      </w:r>
      <w:r w:rsidR="00BF4AA2" w:rsidRPr="00415BA0">
        <w:t xml:space="preserve">rty </w:t>
      </w:r>
      <w:r w:rsidR="007F62EF">
        <w:t xml:space="preserve">submitted its observations on admissibility of the communication. </w:t>
      </w:r>
      <w:r w:rsidR="008450F3">
        <w:rPr>
          <w:lang w:val="en-US"/>
        </w:rPr>
        <w:t xml:space="preserve">The State party </w:t>
      </w:r>
      <w:r w:rsidR="007F134D">
        <w:t>submit</w:t>
      </w:r>
      <w:r w:rsidR="00E76E7F">
        <w:t xml:space="preserve">s </w:t>
      </w:r>
      <w:r w:rsidR="007F134D">
        <w:t>that w</w:t>
      </w:r>
      <w:r w:rsidR="007F134D" w:rsidRPr="00890485">
        <w:t>hile</w:t>
      </w:r>
      <w:r w:rsidR="007F134D">
        <w:t xml:space="preserve"> it</w:t>
      </w:r>
      <w:r w:rsidR="007F134D" w:rsidRPr="00890485">
        <w:t xml:space="preserve"> recogniz</w:t>
      </w:r>
      <w:r w:rsidR="007F134D">
        <w:t>e</w:t>
      </w:r>
      <w:r w:rsidR="00E76E7F">
        <w:t>s</w:t>
      </w:r>
      <w:r w:rsidR="007F134D" w:rsidRPr="00890485">
        <w:t xml:space="preserve"> the Committee’s competence to receive and consider communications from </w:t>
      </w:r>
      <w:r w:rsidR="00E76E7F">
        <w:t xml:space="preserve">victims </w:t>
      </w:r>
      <w:r w:rsidR="005707E6">
        <w:t xml:space="preserve">claiming </w:t>
      </w:r>
      <w:r w:rsidR="007F134D" w:rsidRPr="00890485">
        <w:t>violation</w:t>
      </w:r>
      <w:r w:rsidR="00D45F2D">
        <w:t>s</w:t>
      </w:r>
      <w:r w:rsidR="007F134D" w:rsidRPr="00890485">
        <w:t xml:space="preserve"> of their rights under the Covenant, </w:t>
      </w:r>
      <w:r w:rsidR="007F134D">
        <w:t xml:space="preserve">it </w:t>
      </w:r>
      <w:r w:rsidR="00E76E7F">
        <w:t xml:space="preserve">does not recognize the Committee’s competence to consider communications </w:t>
      </w:r>
      <w:r w:rsidR="006C63D8">
        <w:t>from third parties who represent alleged victims</w:t>
      </w:r>
      <w:r w:rsidR="007F134D" w:rsidRPr="00890485">
        <w:t>.</w:t>
      </w:r>
      <w:r w:rsidR="006C63D8">
        <w:t xml:space="preserve"> The State party argues that article 1 of the Optional Protocol does not give the right to the author of </w:t>
      </w:r>
      <w:r w:rsidR="005707E6">
        <w:t>a</w:t>
      </w:r>
      <w:r w:rsidR="006C63D8">
        <w:t xml:space="preserve"> communication to represent interests of </w:t>
      </w:r>
      <w:r w:rsidR="005707E6">
        <w:t xml:space="preserve">other </w:t>
      </w:r>
      <w:r w:rsidR="00866B68">
        <w:t xml:space="preserve">victims </w:t>
      </w:r>
      <w:r w:rsidR="006C63D8">
        <w:t>mentioned in the communication.</w:t>
      </w:r>
    </w:p>
    <w:p w14:paraId="54FC7BA5" w14:textId="77777777" w:rsidR="00C71385" w:rsidRDefault="007F134D" w:rsidP="007F134D">
      <w:pPr>
        <w:pStyle w:val="SingleTxtG"/>
      </w:pPr>
      <w:r>
        <w:t>4.2</w:t>
      </w:r>
      <w:r>
        <w:tab/>
      </w:r>
      <w:r w:rsidRPr="00890485">
        <w:t xml:space="preserve">The State party </w:t>
      </w:r>
      <w:r w:rsidR="00B44E16">
        <w:t>rejects the author’s assertion that she has exhausted all available domestic remedies</w:t>
      </w:r>
      <w:r w:rsidR="00C71385">
        <w:t xml:space="preserve"> as required by article 2 of the Optional Protocol. The State party submits that the Optional Protocol does not contain a condition of “effectiveness” of domestic remedies, thus all available domestic remedies shall be fully exhausted before a communication can be submitted to the Committee. </w:t>
      </w:r>
    </w:p>
    <w:p w14:paraId="75203E22" w14:textId="77777777" w:rsidR="007F134D" w:rsidRPr="00890485" w:rsidRDefault="00C71385" w:rsidP="00C71385">
      <w:pPr>
        <w:pStyle w:val="SingleTxtG"/>
      </w:pPr>
      <w:r>
        <w:t>4.3</w:t>
      </w:r>
      <w:r>
        <w:tab/>
        <w:t>The State party submits that since the communication had been registered in violation of the provisions of the Optional Protocol, it will stop its cooperation with regard to it.</w:t>
      </w:r>
      <w:r w:rsidR="007F134D" w:rsidRPr="00890485">
        <w:t xml:space="preserve"> </w:t>
      </w:r>
    </w:p>
    <w:p w14:paraId="70FC8C58" w14:textId="77777777" w:rsidR="006B759E" w:rsidRPr="005656EA" w:rsidRDefault="006B759E" w:rsidP="006B759E">
      <w:pPr>
        <w:pStyle w:val="H23G"/>
      </w:pPr>
      <w:r>
        <w:tab/>
      </w:r>
      <w:r>
        <w:tab/>
      </w:r>
      <w:r w:rsidRPr="005656EA">
        <w:t xml:space="preserve">Author’s </w:t>
      </w:r>
      <w:r>
        <w:t xml:space="preserve">comments on the State party’s </w:t>
      </w:r>
      <w:r w:rsidRPr="005656EA">
        <w:t>observations</w:t>
      </w:r>
      <w:r>
        <w:t xml:space="preserve"> on admissibility</w:t>
      </w:r>
    </w:p>
    <w:p w14:paraId="23A0FEB0" w14:textId="77777777" w:rsidR="00D71F3C" w:rsidRDefault="006B759E" w:rsidP="006B759E">
      <w:pPr>
        <w:pStyle w:val="SingleTxtG"/>
        <w:rPr>
          <w:bCs/>
          <w:lang w:val="en-US"/>
        </w:rPr>
      </w:pPr>
      <w:r>
        <w:t>5.</w:t>
      </w:r>
      <w:r w:rsidR="00D345F5">
        <w:t>1</w:t>
      </w:r>
      <w:r>
        <w:tab/>
      </w:r>
      <w:r>
        <w:rPr>
          <w:bCs/>
          <w:lang w:val="en-US"/>
        </w:rPr>
        <w:t xml:space="preserve">By a letter dated </w:t>
      </w:r>
      <w:r w:rsidR="007F134D">
        <w:rPr>
          <w:bCs/>
          <w:lang w:val="en-US"/>
        </w:rPr>
        <w:t>1</w:t>
      </w:r>
      <w:r w:rsidR="00D71F3C">
        <w:rPr>
          <w:bCs/>
          <w:lang w:val="en-US"/>
        </w:rPr>
        <w:t>4</w:t>
      </w:r>
      <w:r w:rsidR="007F134D">
        <w:rPr>
          <w:bCs/>
          <w:lang w:val="en-US"/>
        </w:rPr>
        <w:t xml:space="preserve"> </w:t>
      </w:r>
      <w:r w:rsidR="00D71F3C">
        <w:rPr>
          <w:bCs/>
          <w:lang w:val="en-US"/>
        </w:rPr>
        <w:t xml:space="preserve">May </w:t>
      </w:r>
      <w:r>
        <w:rPr>
          <w:bCs/>
          <w:lang w:val="en-US"/>
        </w:rPr>
        <w:t>201</w:t>
      </w:r>
      <w:r w:rsidR="007F134D">
        <w:rPr>
          <w:bCs/>
          <w:lang w:val="en-US"/>
        </w:rPr>
        <w:t>5</w:t>
      </w:r>
      <w:r>
        <w:rPr>
          <w:bCs/>
          <w:lang w:val="en-US"/>
        </w:rPr>
        <w:t>, the author</w:t>
      </w:r>
      <w:r w:rsidR="009E6B9E">
        <w:rPr>
          <w:bCs/>
          <w:lang w:val="en-US"/>
        </w:rPr>
        <w:t xml:space="preserve"> </w:t>
      </w:r>
      <w:r>
        <w:rPr>
          <w:bCs/>
          <w:lang w:val="en-US"/>
        </w:rPr>
        <w:t xml:space="preserve">provided </w:t>
      </w:r>
      <w:r w:rsidR="00866B68">
        <w:rPr>
          <w:bCs/>
          <w:lang w:val="en-US"/>
        </w:rPr>
        <w:t>her</w:t>
      </w:r>
      <w:r>
        <w:rPr>
          <w:bCs/>
          <w:lang w:val="en-US"/>
        </w:rPr>
        <w:t xml:space="preserve"> comments on the State party</w:t>
      </w:r>
      <w:r w:rsidR="00CF0F43">
        <w:rPr>
          <w:bCs/>
          <w:lang w:val="en-US"/>
        </w:rPr>
        <w:t>’s</w:t>
      </w:r>
      <w:r>
        <w:rPr>
          <w:bCs/>
          <w:lang w:val="en-US"/>
        </w:rPr>
        <w:t xml:space="preserve"> observations on admissibility. </w:t>
      </w:r>
      <w:r w:rsidR="00866B68">
        <w:rPr>
          <w:bCs/>
          <w:lang w:val="en-US"/>
        </w:rPr>
        <w:t xml:space="preserve">She </w:t>
      </w:r>
      <w:r w:rsidR="00D71F3C">
        <w:rPr>
          <w:bCs/>
          <w:lang w:val="en-US"/>
        </w:rPr>
        <w:t>note</w:t>
      </w:r>
      <w:r w:rsidR="00866B68">
        <w:rPr>
          <w:bCs/>
          <w:lang w:val="en-US"/>
        </w:rPr>
        <w:t>s</w:t>
      </w:r>
      <w:r w:rsidR="00D71F3C">
        <w:rPr>
          <w:bCs/>
          <w:lang w:val="en-US"/>
        </w:rPr>
        <w:t xml:space="preserve"> that in line with the Committee’s jurisprudence, a person submitting a communication before the Committee</w:t>
      </w:r>
      <w:r w:rsidR="00377A88">
        <w:rPr>
          <w:bCs/>
          <w:lang w:val="en-US"/>
        </w:rPr>
        <w:t xml:space="preserve"> may indicate indefinite number of victims. The author refers to</w:t>
      </w:r>
      <w:r w:rsidR="001802E1">
        <w:rPr>
          <w:bCs/>
          <w:lang w:val="en-US"/>
        </w:rPr>
        <w:t xml:space="preserve"> the Committee’s views in</w:t>
      </w:r>
      <w:r w:rsidR="00377A88">
        <w:rPr>
          <w:bCs/>
          <w:lang w:val="en-US"/>
        </w:rPr>
        <w:t xml:space="preserve"> </w:t>
      </w:r>
      <w:proofErr w:type="spellStart"/>
      <w:r w:rsidR="00377A88" w:rsidRPr="001802E1">
        <w:rPr>
          <w:bCs/>
          <w:i/>
          <w:lang w:val="en-US"/>
        </w:rPr>
        <w:t>Kalyakin</w:t>
      </w:r>
      <w:proofErr w:type="spellEnd"/>
      <w:r w:rsidR="00377A88" w:rsidRPr="001802E1">
        <w:rPr>
          <w:bCs/>
          <w:i/>
          <w:lang w:val="en-US"/>
        </w:rPr>
        <w:t xml:space="preserve"> v. Belarus</w:t>
      </w:r>
      <w:r w:rsidR="00377A88">
        <w:rPr>
          <w:bCs/>
          <w:lang w:val="en-US"/>
        </w:rPr>
        <w:t>, where the Committee found a violation of the author’s rights, as well the rights of 20 other victims under the Covenant.</w:t>
      </w:r>
      <w:r w:rsidR="001802E1">
        <w:rPr>
          <w:rStyle w:val="FootnoteReference"/>
          <w:bCs/>
          <w:lang w:val="en-US"/>
        </w:rPr>
        <w:footnoteReference w:id="6"/>
      </w:r>
      <w:r w:rsidR="00377A88">
        <w:rPr>
          <w:bCs/>
          <w:lang w:val="en-US"/>
        </w:rPr>
        <w:t xml:space="preserve"> </w:t>
      </w:r>
    </w:p>
    <w:p w14:paraId="72575D02" w14:textId="77777777" w:rsidR="00CA47C3" w:rsidRDefault="00CA47C3" w:rsidP="006B759E">
      <w:pPr>
        <w:pStyle w:val="SingleTxtG"/>
      </w:pPr>
      <w:r>
        <w:rPr>
          <w:bCs/>
          <w:lang w:val="en-US"/>
        </w:rPr>
        <w:t>5.2</w:t>
      </w:r>
      <w:r>
        <w:rPr>
          <w:bCs/>
          <w:lang w:val="en-US"/>
        </w:rPr>
        <w:tab/>
        <w:t xml:space="preserve">With regard to the exhaustion of domestic remedies, the author notes that the remedies should not only be available, but also effective. She submits that she has not complained to </w:t>
      </w:r>
      <w:r w:rsidR="007839FD" w:rsidRPr="007A760F">
        <w:t>a prosecutor</w:t>
      </w:r>
      <w:r w:rsidR="007839FD">
        <w:t>’</w:t>
      </w:r>
      <w:r w:rsidR="007839FD" w:rsidRPr="007A760F">
        <w:t>s office</w:t>
      </w:r>
      <w:r>
        <w:rPr>
          <w:bCs/>
          <w:lang w:val="en-US"/>
        </w:rPr>
        <w:t xml:space="preserve"> </w:t>
      </w:r>
      <w:r w:rsidR="00786831">
        <w:rPr>
          <w:bCs/>
          <w:lang w:val="en-US"/>
        </w:rPr>
        <w:t xml:space="preserve">because she </w:t>
      </w:r>
      <w:r w:rsidR="00786831">
        <w:t>does not consider the supervisory review procedure to be an effective remedy.</w:t>
      </w:r>
    </w:p>
    <w:p w14:paraId="1C9802F9" w14:textId="77777777" w:rsidR="00786831" w:rsidRDefault="00786831" w:rsidP="00786831">
      <w:pPr>
        <w:pStyle w:val="SingleTxtG"/>
      </w:pPr>
      <w:r>
        <w:t>5.3</w:t>
      </w:r>
      <w:r>
        <w:tab/>
      </w:r>
      <w:r>
        <w:rPr>
          <w:bCs/>
          <w:lang w:val="en-US"/>
        </w:rPr>
        <w:t xml:space="preserve">As for the arguments referring to the competence of the Committee to consider the communication, the author </w:t>
      </w:r>
      <w:r>
        <w:t xml:space="preserve">submits that, by becoming a State party to the Optional Protocol, Belarus </w:t>
      </w:r>
      <w:r w:rsidR="005707E6">
        <w:t xml:space="preserve">has </w:t>
      </w:r>
      <w:r>
        <w:t xml:space="preserve">recognized not only the Committee’s competence to issue decisions regarding the existence or absence of violations of the Covenant but also, in accordance with article 40 (4) of the Covenant, to transmit its reports, and such general comments as it may consider appropriate, to the States parties. The role of the Committee ultimately includes </w:t>
      </w:r>
      <w:r>
        <w:lastRenderedPageBreak/>
        <w:t>interpreting the provisions of the Covenant and developing jurisprudence</w:t>
      </w:r>
      <w:r w:rsidR="005707E6">
        <w:t xml:space="preserve"> </w:t>
      </w:r>
      <w:proofErr w:type="spellStart"/>
      <w:r w:rsidR="005707E6">
        <w:t>tehreon</w:t>
      </w:r>
      <w:proofErr w:type="spellEnd"/>
      <w:r>
        <w:t xml:space="preserve">. By refusing to recognize the standard practices, methods of work and precedents of the Committee, Belarus in </w:t>
      </w:r>
      <w:r w:rsidR="005707E6">
        <w:t xml:space="preserve">fact </w:t>
      </w:r>
      <w:r>
        <w:t xml:space="preserve">refuses to recognize its competence to interpret the Covenant, which contradicts the objective and </w:t>
      </w:r>
      <w:r w:rsidR="005707E6">
        <w:t xml:space="preserve">the aim </w:t>
      </w:r>
      <w:r>
        <w:t xml:space="preserve">of the Covenant. The State party is obliged not only to implement the decisions of the Committee, but also to recognize its standards, practices, methods of work and precedents. The above argument is based on the most important principle of international law, </w:t>
      </w:r>
      <w:r>
        <w:rPr>
          <w:i/>
          <w:iCs/>
        </w:rPr>
        <w:t xml:space="preserve">pacta sunt </w:t>
      </w:r>
      <w:proofErr w:type="spellStart"/>
      <w:r>
        <w:rPr>
          <w:i/>
          <w:iCs/>
        </w:rPr>
        <w:t>servanda</w:t>
      </w:r>
      <w:proofErr w:type="spellEnd"/>
      <w:r>
        <w:rPr>
          <w:i/>
          <w:iCs/>
        </w:rPr>
        <w:t>,</w:t>
      </w:r>
      <w:r>
        <w:t xml:space="preserve"> according to which every treaty in force is binding upon the parties to it and must be observed by them in good faith.</w:t>
      </w:r>
    </w:p>
    <w:p w14:paraId="0EB6DE01" w14:textId="77777777" w:rsidR="007A5149" w:rsidRDefault="007A5149" w:rsidP="00852731">
      <w:pPr>
        <w:pStyle w:val="H23G"/>
      </w:pPr>
      <w:r w:rsidRPr="00415BA0">
        <w:tab/>
      </w:r>
      <w:r>
        <w:tab/>
      </w:r>
      <w:r w:rsidRPr="00415BA0">
        <w:t>Issues and proceedings before the Committee</w:t>
      </w:r>
    </w:p>
    <w:p w14:paraId="186F9426" w14:textId="77777777" w:rsidR="00A93A8D" w:rsidRPr="00ED06EC" w:rsidRDefault="00A93A8D" w:rsidP="00A93A8D">
      <w:pPr>
        <w:pStyle w:val="H4G"/>
      </w:pPr>
      <w:r>
        <w:tab/>
      </w:r>
      <w:r>
        <w:tab/>
        <w:t xml:space="preserve">Lack of cooperation by the </w:t>
      </w:r>
      <w:r w:rsidRPr="00ED06EC">
        <w:t>State party</w:t>
      </w:r>
    </w:p>
    <w:p w14:paraId="0B9329BC" w14:textId="77777777" w:rsidR="00A93A8D" w:rsidRDefault="00A93A8D" w:rsidP="00A93A8D">
      <w:pPr>
        <w:pStyle w:val="SingleTxtG"/>
      </w:pPr>
      <w:r>
        <w:t>6.1</w:t>
      </w:r>
      <w:r>
        <w:tab/>
      </w:r>
      <w:r w:rsidRPr="003973D0">
        <w:t>The Committee notes the State party’s assertion that</w:t>
      </w:r>
      <w:r w:rsidRPr="00EF2567">
        <w:t xml:space="preserve"> </w:t>
      </w:r>
      <w:r w:rsidR="00C27549">
        <w:t>the communication has been registered in violation of the provisions of the Optional Protocol, and t</w:t>
      </w:r>
      <w:r w:rsidR="00C40E0F">
        <w:t>hat</w:t>
      </w:r>
      <w:r w:rsidR="00C27549">
        <w:t xml:space="preserve"> it will stop its cooperation with regard to this communication</w:t>
      </w:r>
      <w:r w:rsidRPr="003973D0">
        <w:t>.</w:t>
      </w:r>
    </w:p>
    <w:p w14:paraId="27B4C00E" w14:textId="77777777" w:rsidR="00A93A8D" w:rsidRDefault="00A93A8D" w:rsidP="00A93A8D">
      <w:pPr>
        <w:pStyle w:val="SingleTxtG"/>
      </w:pPr>
      <w:r>
        <w:t>6</w:t>
      </w:r>
      <w:r w:rsidRPr="00A10891">
        <w:t>.2</w:t>
      </w:r>
      <w:r w:rsidRPr="00A10891">
        <w:tab/>
        <w:t>The Committee observes that</w:t>
      </w:r>
      <w:r>
        <w:t>,</w:t>
      </w:r>
      <w:r w:rsidRPr="00A10891">
        <w:t xml:space="preserve"> by adhering to the Optional Protocol, a State party to the Covenant recognizes the competence of the Committee to receive and consider communications from individuals claiming to be victims of violations of any of the rights set forth i</w:t>
      </w:r>
      <w:r>
        <w:t xml:space="preserve">n the Covenant (preamble and </w:t>
      </w:r>
      <w:proofErr w:type="spellStart"/>
      <w:r>
        <w:t>ar</w:t>
      </w:r>
      <w:r>
        <w:rPr>
          <w:lang w:val="en-US"/>
        </w:rPr>
        <w:t>ticle</w:t>
      </w:r>
      <w:proofErr w:type="spellEnd"/>
      <w:r w:rsidRPr="00A10891">
        <w:t xml:space="preserve"> 1). Implicit in a State</w:t>
      </w:r>
      <w:r>
        <w:t xml:space="preserve"> party’</w:t>
      </w:r>
      <w:r w:rsidRPr="00A10891">
        <w:t>s adherence to the Optional Protocol is an undertaking to cooperate with the Committee in good faith so as to permit and enable it to consider such communications</w:t>
      </w:r>
      <w:r>
        <w:t>,</w:t>
      </w:r>
      <w:r w:rsidRPr="00A10891">
        <w:t xml:space="preserve"> and after examination</w:t>
      </w:r>
      <w:r>
        <w:t xml:space="preserve"> thereof</w:t>
      </w:r>
      <w:r w:rsidRPr="00A10891">
        <w:t xml:space="preserve">, to forward its Views to the State party and </w:t>
      </w:r>
      <w:r>
        <w:t xml:space="preserve">to </w:t>
      </w:r>
      <w:r w:rsidRPr="00A10891">
        <w:t>the individual (art. 5</w:t>
      </w:r>
      <w:r>
        <w:t xml:space="preserve"> </w:t>
      </w:r>
      <w:r w:rsidRPr="00A10891">
        <w:t>(1) and (4)). It is incompatible with th</w:t>
      </w:r>
      <w:r>
        <w:t>o</w:t>
      </w:r>
      <w:r w:rsidRPr="00A10891">
        <w:t>se obligations for a State party to take any action that would prevent or frustrate the Committee in its consideration and examination of a communication and in the expression of its Views.</w:t>
      </w:r>
      <w:r>
        <w:t xml:space="preserve"> </w:t>
      </w:r>
      <w:r w:rsidRPr="001E79A8">
        <w:t>It is for the Committee to determine whether a case should be registered. By failing to accept the competence of the Committee to determine whether a communication shall be registered and by declaring outright that it will not accept the Committee’s determination of the admissibility and of the merits of the communications, the State party has violated its obligations under article 1 of the Optional Protocol</w:t>
      </w:r>
      <w:r>
        <w:t>.</w:t>
      </w:r>
      <w:r w:rsidRPr="005C4D93">
        <w:rPr>
          <w:vertAlign w:val="superscript"/>
        </w:rPr>
        <w:footnoteReference w:id="7"/>
      </w:r>
    </w:p>
    <w:p w14:paraId="5C3899BF" w14:textId="77777777" w:rsidR="007A5149" w:rsidRPr="005C4358" w:rsidRDefault="00F31954" w:rsidP="00F31954">
      <w:pPr>
        <w:pStyle w:val="H4G"/>
      </w:pPr>
      <w:r>
        <w:tab/>
      </w:r>
      <w:r>
        <w:tab/>
      </w:r>
      <w:proofErr w:type="spellStart"/>
      <w:r w:rsidR="007A5149" w:rsidRPr="005C4358">
        <w:t>Consid</w:t>
      </w:r>
      <w:proofErr w:type="spellEnd"/>
      <w:r>
        <w:tab/>
      </w:r>
      <w:proofErr w:type="spellStart"/>
      <w:r w:rsidR="007A5149" w:rsidRPr="005C4358">
        <w:t>erations</w:t>
      </w:r>
      <w:proofErr w:type="spellEnd"/>
      <w:r w:rsidR="007A5149" w:rsidRPr="005C4358">
        <w:t xml:space="preserve"> of admissibility</w:t>
      </w:r>
    </w:p>
    <w:p w14:paraId="026F2B3A" w14:textId="77777777" w:rsidR="007A5149" w:rsidRDefault="005C6DBE" w:rsidP="00F31954">
      <w:pPr>
        <w:pStyle w:val="SingleTxtG"/>
      </w:pPr>
      <w:r>
        <w:t>7</w:t>
      </w:r>
      <w:r w:rsidR="007A5149" w:rsidRPr="00A10891">
        <w:t>.1</w:t>
      </w:r>
      <w:r w:rsidR="007A5149" w:rsidRPr="00A10891">
        <w:tab/>
        <w:t>Before considering any claim contained in a communication, the Committee must decide, in accordance with rule 9</w:t>
      </w:r>
      <w:r w:rsidR="00C64311">
        <w:t>7</w:t>
      </w:r>
      <w:r w:rsidR="007A5149" w:rsidRPr="00A10891">
        <w:t xml:space="preserve"> of its rules of procedure, whether the communication is admissible under the Optional Protocol.</w:t>
      </w:r>
    </w:p>
    <w:p w14:paraId="7DDA06B1" w14:textId="77777777" w:rsidR="00A93A8D" w:rsidRDefault="005C6DBE" w:rsidP="00F31954">
      <w:pPr>
        <w:pStyle w:val="SingleTxtG"/>
      </w:pPr>
      <w:r>
        <w:t>7</w:t>
      </w:r>
      <w:r w:rsidR="00A93A8D" w:rsidRPr="00A10891">
        <w:t>.2</w:t>
      </w:r>
      <w:r w:rsidR="00A93A8D" w:rsidRPr="00A10891">
        <w:tab/>
        <w:t xml:space="preserve">The Committee has ascertained, as required under article 5(2)(a) of the Optional </w:t>
      </w:r>
      <w:r w:rsidR="00A93A8D" w:rsidRPr="00F31954">
        <w:t>Protocol</w:t>
      </w:r>
      <w:r w:rsidR="00A93A8D" w:rsidRPr="00A10891">
        <w:t>, that the same matter is not being examined under another procedure of international investigation or settlement.</w:t>
      </w:r>
    </w:p>
    <w:p w14:paraId="303F9E1A" w14:textId="77777777" w:rsidR="00C40E0F" w:rsidRDefault="005C6DBE" w:rsidP="00F31954">
      <w:pPr>
        <w:pStyle w:val="SingleTxtG"/>
      </w:pPr>
      <w:r>
        <w:t>7</w:t>
      </w:r>
      <w:r w:rsidR="007A5149">
        <w:t>.</w:t>
      </w:r>
      <w:r w:rsidR="00A93A8D">
        <w:t>3</w:t>
      </w:r>
      <w:r w:rsidR="007A5149">
        <w:tab/>
      </w:r>
      <w:r w:rsidR="00A93A8D" w:rsidRPr="007A760F">
        <w:t>The Committee note</w:t>
      </w:r>
      <w:r w:rsidR="00A93A8D">
        <w:t>s</w:t>
      </w:r>
      <w:r w:rsidR="00A93A8D" w:rsidRPr="007A760F">
        <w:t xml:space="preserve"> </w:t>
      </w:r>
      <w:r w:rsidR="00C40E0F">
        <w:t xml:space="preserve">that the author has not complained under the supervisory review procedure to the Prosecutor General of Belarus. In this connection, it notes </w:t>
      </w:r>
      <w:r w:rsidR="00A93A8D" w:rsidRPr="007A760F">
        <w:t>the State party</w:t>
      </w:r>
      <w:r w:rsidR="00A93A8D">
        <w:t>’</w:t>
      </w:r>
      <w:r w:rsidR="00A93A8D" w:rsidRPr="007A760F">
        <w:t xml:space="preserve">s assertion that the author has failed to </w:t>
      </w:r>
      <w:r w:rsidR="00A93A8D">
        <w:t xml:space="preserve">exhaust </w:t>
      </w:r>
      <w:r w:rsidR="00F91B3B">
        <w:t xml:space="preserve">all available </w:t>
      </w:r>
      <w:r w:rsidR="00A93A8D">
        <w:t>domestic remedies</w:t>
      </w:r>
      <w:r w:rsidR="00C40E0F">
        <w:t xml:space="preserve"> and that </w:t>
      </w:r>
      <w:r w:rsidR="00C077F9">
        <w:t xml:space="preserve">the Optional Protocol does not contain a condition of “effectiveness” of domestic remedies, thus all available domestic remedies shall be fully exhausted before a communication can be submitted to the Committee. </w:t>
      </w:r>
      <w:r w:rsidR="00A93A8D">
        <w:t xml:space="preserve">The Committee also notes the author’s </w:t>
      </w:r>
      <w:r w:rsidR="007839FD">
        <w:t>argument</w:t>
      </w:r>
      <w:r w:rsidR="00A93A8D">
        <w:t xml:space="preserve"> that </w:t>
      </w:r>
      <w:r w:rsidR="00C077F9">
        <w:t>s</w:t>
      </w:r>
      <w:r w:rsidR="00E03193">
        <w:t xml:space="preserve">he </w:t>
      </w:r>
      <w:r w:rsidR="00C077F9">
        <w:t xml:space="preserve">submitted an </w:t>
      </w:r>
      <w:r w:rsidR="00C077F9" w:rsidRPr="00382793">
        <w:t>appeal</w:t>
      </w:r>
      <w:r w:rsidR="00C077F9">
        <w:t xml:space="preserve"> against the </w:t>
      </w:r>
      <w:r w:rsidR="00C077F9" w:rsidRPr="00382793">
        <w:t>decision of the Gomel City Executive Committee</w:t>
      </w:r>
      <w:r w:rsidR="00C077F9">
        <w:t xml:space="preserve"> </w:t>
      </w:r>
      <w:r w:rsidR="00C077F9" w:rsidRPr="00382793">
        <w:t>to the Central District Court of Gomel</w:t>
      </w:r>
      <w:r w:rsidR="00C077F9">
        <w:t xml:space="preserve">, which was dismissed on 23 August 2012. </w:t>
      </w:r>
      <w:r w:rsidR="00647564">
        <w:t xml:space="preserve">She further </w:t>
      </w:r>
      <w:r w:rsidR="00647564" w:rsidRPr="00382793">
        <w:t xml:space="preserve">filed a cassation appeal to the Gomel Regional Court, which </w:t>
      </w:r>
      <w:r w:rsidR="00647564">
        <w:t xml:space="preserve">was </w:t>
      </w:r>
      <w:r w:rsidR="00647564" w:rsidRPr="00382793">
        <w:t xml:space="preserve">rejected on </w:t>
      </w:r>
      <w:r w:rsidR="00647564">
        <w:t>4 October</w:t>
      </w:r>
      <w:r w:rsidR="00647564" w:rsidRPr="00382793">
        <w:t xml:space="preserve"> 201</w:t>
      </w:r>
      <w:r w:rsidR="00647564">
        <w:t xml:space="preserve">2, and petitioned the Gomel Regional Court and the Supreme Court of </w:t>
      </w:r>
      <w:r w:rsidR="00647564">
        <w:lastRenderedPageBreak/>
        <w:t>Belarus for a supervisory review, which also were rejected on 21 January 2013 and 18 March 2013 respectively.</w:t>
      </w:r>
      <w:r w:rsidR="00812002">
        <w:t xml:space="preserve"> The Committee </w:t>
      </w:r>
      <w:r w:rsidR="007C7F61">
        <w:t>further</w:t>
      </w:r>
      <w:r w:rsidR="00812002">
        <w:t xml:space="preserve"> notes the author’s submission that </w:t>
      </w:r>
      <w:r w:rsidR="007C7F61">
        <w:t>s</w:t>
      </w:r>
      <w:r w:rsidR="00812002">
        <w:t xml:space="preserve">he has not submitted a petition under the supervisory review procedure to </w:t>
      </w:r>
      <w:r w:rsidR="00C40E0F">
        <w:t xml:space="preserve">the </w:t>
      </w:r>
      <w:r w:rsidR="007839FD" w:rsidRPr="007A760F">
        <w:t>prosecutor</w:t>
      </w:r>
      <w:r w:rsidR="007839FD">
        <w:t>’</w:t>
      </w:r>
      <w:r w:rsidR="007839FD" w:rsidRPr="007A760F">
        <w:t>s office</w:t>
      </w:r>
      <w:r w:rsidR="007839FD">
        <w:rPr>
          <w:bCs/>
          <w:lang w:val="en-US"/>
        </w:rPr>
        <w:t xml:space="preserve"> </w:t>
      </w:r>
      <w:r w:rsidR="00812002">
        <w:t xml:space="preserve">because </w:t>
      </w:r>
      <w:r w:rsidR="007C7F61">
        <w:t>s</w:t>
      </w:r>
      <w:r w:rsidR="00812002">
        <w:t xml:space="preserve">he does not consider it to be an effective remedy. </w:t>
      </w:r>
    </w:p>
    <w:p w14:paraId="13A12849" w14:textId="4F17A96D" w:rsidR="00C077F9" w:rsidRPr="007C7F61" w:rsidRDefault="007A7505" w:rsidP="00F31954">
      <w:pPr>
        <w:pStyle w:val="SingleTxtG"/>
        <w:rPr>
          <w:lang w:val="en-US"/>
        </w:rPr>
      </w:pPr>
      <w:r>
        <w:t>7.4</w:t>
      </w:r>
      <w:r w:rsidR="00196D06">
        <w:tab/>
      </w:r>
      <w:r w:rsidR="00812002" w:rsidRPr="007A760F">
        <w:t>The Committee recalls its jurisprudence, according to which a petition to a prosecutor</w:t>
      </w:r>
      <w:r w:rsidR="00812002">
        <w:t>’</w:t>
      </w:r>
      <w:r w:rsidR="00812002" w:rsidRPr="007A760F">
        <w:t>s office requesting a review of court decisions that have taken effect does not constitute a remedy that has to be exhausted for the purposes of article 5</w:t>
      </w:r>
      <w:r w:rsidR="00812002">
        <w:t xml:space="preserve"> </w:t>
      </w:r>
      <w:r w:rsidR="00812002" w:rsidRPr="007A760F">
        <w:t>(2)</w:t>
      </w:r>
      <w:r w:rsidR="00812002">
        <w:t xml:space="preserve"> </w:t>
      </w:r>
      <w:r w:rsidR="00812002" w:rsidRPr="007A760F">
        <w:t>(b) of the Optional Protocol.</w:t>
      </w:r>
      <w:r w:rsidR="00812002" w:rsidRPr="0098566E">
        <w:rPr>
          <w:rStyle w:val="FootnoteReference"/>
        </w:rPr>
        <w:footnoteReference w:id="8"/>
      </w:r>
      <w:r w:rsidR="00812002">
        <w:t xml:space="preserve"> </w:t>
      </w:r>
      <w:r w:rsidR="00812002" w:rsidRPr="007A760F">
        <w:t>Accordingly, the Committee considers that it is not precluded by article 5 (2) (b) of the Optional Protocol from examining the present communication.</w:t>
      </w:r>
      <w:r w:rsidR="007839FD">
        <w:t xml:space="preserve"> </w:t>
      </w:r>
    </w:p>
    <w:p w14:paraId="28932E05" w14:textId="79ECBC5D" w:rsidR="009E0C18" w:rsidRDefault="002A22EB" w:rsidP="00F31954">
      <w:pPr>
        <w:pStyle w:val="SingleTxtG"/>
      </w:pPr>
      <w:r>
        <w:t>7.</w:t>
      </w:r>
      <w:r w:rsidR="00C40E0F">
        <w:t>5</w:t>
      </w:r>
      <w:r w:rsidR="009017CF">
        <w:tab/>
      </w:r>
      <w:r w:rsidR="009E0C18" w:rsidRPr="005744E5">
        <w:rPr>
          <w:color w:val="000000"/>
        </w:rPr>
        <w:t xml:space="preserve">The Committee takes note of the author’s submission that the State party violated its obligations under </w:t>
      </w:r>
      <w:r w:rsidR="009E0C18" w:rsidRPr="00C346A0">
        <w:rPr>
          <w:color w:val="000000"/>
        </w:rPr>
        <w:t>article 2</w:t>
      </w:r>
      <w:r w:rsidR="009E0C18">
        <w:rPr>
          <w:color w:val="000000"/>
        </w:rPr>
        <w:t xml:space="preserve"> (</w:t>
      </w:r>
      <w:r w:rsidR="009E0C18" w:rsidRPr="002B2065">
        <w:rPr>
          <w:color w:val="000000"/>
        </w:rPr>
        <w:t>2</w:t>
      </w:r>
      <w:r w:rsidR="009E0C18">
        <w:rPr>
          <w:color w:val="000000"/>
        </w:rPr>
        <w:t>)</w:t>
      </w:r>
      <w:r w:rsidR="009E0C18" w:rsidRPr="002B2065">
        <w:rPr>
          <w:color w:val="000000"/>
        </w:rPr>
        <w:t>, read in conjunction with articles 19 and 21</w:t>
      </w:r>
      <w:r w:rsidR="009E0C18">
        <w:rPr>
          <w:color w:val="000000"/>
        </w:rPr>
        <w:t xml:space="preserve"> </w:t>
      </w:r>
      <w:r w:rsidR="009E0C18" w:rsidRPr="002B2065">
        <w:rPr>
          <w:color w:val="000000"/>
        </w:rPr>
        <w:t xml:space="preserve">of the Covenant. The Committee </w:t>
      </w:r>
      <w:proofErr w:type="spellStart"/>
      <w:r w:rsidR="00EB0109">
        <w:rPr>
          <w:color w:val="000000"/>
        </w:rPr>
        <w:t>reiteares</w:t>
      </w:r>
      <w:proofErr w:type="spellEnd"/>
      <w:r w:rsidR="00EB0109">
        <w:rPr>
          <w:color w:val="000000"/>
        </w:rPr>
        <w:t xml:space="preserve"> </w:t>
      </w:r>
      <w:r w:rsidR="009E0C18" w:rsidRPr="002B2065">
        <w:rPr>
          <w:color w:val="000000"/>
        </w:rPr>
        <w:t xml:space="preserve">that the provisions of article 2 cannot be invoked in a claim in a communication under the Optional Protocol in conjunction with other provisions of the Covenant, except when the failure by the State party to observe its obligations under article 2 is the </w:t>
      </w:r>
      <w:r w:rsidR="009E0C18" w:rsidRPr="00C346A0">
        <w:rPr>
          <w:color w:val="000000"/>
        </w:rPr>
        <w:t>proximate</w:t>
      </w:r>
      <w:r w:rsidR="009E0C18" w:rsidRPr="002B2065">
        <w:rPr>
          <w:color w:val="000000"/>
        </w:rPr>
        <w:t xml:space="preserve"> </w:t>
      </w:r>
      <w:r w:rsidR="009E0C18" w:rsidRPr="00C346A0">
        <w:rPr>
          <w:color w:val="000000"/>
        </w:rPr>
        <w:t>cause of a distinct violation</w:t>
      </w:r>
      <w:r w:rsidR="009E0C18" w:rsidRPr="002B2065">
        <w:rPr>
          <w:color w:val="000000"/>
        </w:rPr>
        <w:t xml:space="preserve"> of the Covenant directly affecting the individual claiming to be a victim.</w:t>
      </w:r>
      <w:r w:rsidR="009E0C18" w:rsidRPr="002B2065">
        <w:rPr>
          <w:rStyle w:val="FootnoteReference"/>
          <w:color w:val="000000"/>
          <w:sz w:val="20"/>
        </w:rPr>
        <w:footnoteReference w:id="9"/>
      </w:r>
      <w:r w:rsidR="009E0C18" w:rsidRPr="002B2065">
        <w:rPr>
          <w:color w:val="000000"/>
        </w:rPr>
        <w:t xml:space="preserve"> The Committee notes, however, that the author has already alleged a violation of his rights under articles 19 and 21, resulting from the interpretation and application of the existing laws of the State party, and the Committee does not consider examination of whether the State party has also violated its general obligations under article 2</w:t>
      </w:r>
      <w:r w:rsidR="009E0C18">
        <w:rPr>
          <w:color w:val="000000"/>
        </w:rPr>
        <w:t xml:space="preserve"> (</w:t>
      </w:r>
      <w:r w:rsidR="009E0C18" w:rsidRPr="002B2065">
        <w:rPr>
          <w:color w:val="000000"/>
        </w:rPr>
        <w:t>2</w:t>
      </w:r>
      <w:r w:rsidR="009E0C18">
        <w:rPr>
          <w:color w:val="000000"/>
        </w:rPr>
        <w:t>)</w:t>
      </w:r>
      <w:r w:rsidR="009E0C18" w:rsidRPr="002B2065">
        <w:rPr>
          <w:color w:val="000000"/>
        </w:rPr>
        <w:t>, read in conjunction with articles 19 and 21</w:t>
      </w:r>
      <w:r w:rsidR="009E0C18">
        <w:rPr>
          <w:color w:val="000000"/>
        </w:rPr>
        <w:t xml:space="preserve"> </w:t>
      </w:r>
      <w:r w:rsidR="009E0C18" w:rsidRPr="002B2065">
        <w:rPr>
          <w:color w:val="000000"/>
        </w:rPr>
        <w:t xml:space="preserve">of the Covenant, </w:t>
      </w:r>
      <w:r w:rsidR="009E0C18" w:rsidRPr="00C346A0">
        <w:rPr>
          <w:color w:val="000000"/>
        </w:rPr>
        <w:t>to be distinct from examination of the violation of the author’s rights under article</w:t>
      </w:r>
      <w:r w:rsidR="009E0C18">
        <w:rPr>
          <w:color w:val="000000"/>
        </w:rPr>
        <w:t>s</w:t>
      </w:r>
      <w:r w:rsidR="009E0C18" w:rsidRPr="00C346A0">
        <w:rPr>
          <w:color w:val="000000"/>
        </w:rPr>
        <w:t> 19 and 21 of the Covenant</w:t>
      </w:r>
      <w:r w:rsidR="009E0C18" w:rsidRPr="002B2065">
        <w:rPr>
          <w:color w:val="000000"/>
        </w:rPr>
        <w:t xml:space="preserve">. The Committee therefore considers that the author’s claims in that regard are incompatible with article 2 of the Covenant and </w:t>
      </w:r>
      <w:r w:rsidR="00EB0109">
        <w:rPr>
          <w:color w:val="000000"/>
        </w:rPr>
        <w:t xml:space="preserve">thus </w:t>
      </w:r>
      <w:r w:rsidR="009E0C18" w:rsidRPr="002B2065">
        <w:rPr>
          <w:color w:val="000000"/>
        </w:rPr>
        <w:t>inadmissible under article 3 of the Optional Protocol</w:t>
      </w:r>
    </w:p>
    <w:p w14:paraId="315943D1" w14:textId="476578FC" w:rsidR="002A22EB" w:rsidRDefault="009E0C18" w:rsidP="00F31954">
      <w:pPr>
        <w:pStyle w:val="SingleTxtG"/>
      </w:pPr>
      <w:r>
        <w:t>7.</w:t>
      </w:r>
      <w:r w:rsidR="00196D06">
        <w:t>6</w:t>
      </w:r>
      <w:r>
        <w:tab/>
      </w:r>
      <w:r w:rsidR="005C2FF1">
        <w:t xml:space="preserve">In the absence of any information provided by the State party on the facts of this communication, the Committee considers that the author has sufficiently substantiated her claims under articles 19 and 21, read </w:t>
      </w:r>
      <w:r w:rsidR="00F50587">
        <w:t xml:space="preserve">alone and </w:t>
      </w:r>
      <w:r w:rsidR="005C2FF1">
        <w:t xml:space="preserve">in conjunction with article 2 (3), of the Covenant, for the purposes of admissibility </w:t>
      </w:r>
      <w:r w:rsidR="002A22EB">
        <w:t>and proceeds with their consideration of the merits.</w:t>
      </w:r>
    </w:p>
    <w:p w14:paraId="488B8623" w14:textId="77777777" w:rsidR="0053339D" w:rsidRPr="00852731" w:rsidRDefault="00F31954" w:rsidP="00F31954">
      <w:pPr>
        <w:pStyle w:val="H4G"/>
      </w:pPr>
      <w:r>
        <w:tab/>
      </w:r>
      <w:r>
        <w:tab/>
      </w:r>
      <w:r w:rsidR="0053339D" w:rsidRPr="00852731">
        <w:tab/>
        <w:t>Consideration of the merits</w:t>
      </w:r>
    </w:p>
    <w:p w14:paraId="2BA5C50F" w14:textId="77777777" w:rsidR="0053339D" w:rsidRDefault="004C3345" w:rsidP="00F31954">
      <w:pPr>
        <w:pStyle w:val="SingleTxtG"/>
      </w:pPr>
      <w:r>
        <w:t>8</w:t>
      </w:r>
      <w:r w:rsidR="0053339D" w:rsidRPr="00727948">
        <w:t>.1</w:t>
      </w:r>
      <w:r w:rsidR="0053339D" w:rsidRPr="00727948">
        <w:tab/>
        <w:t>The Committee has considered the communication in the light of all the information submitted to it by the parties, in accordance with article 5(1) of the Optional Protocol.</w:t>
      </w:r>
    </w:p>
    <w:p w14:paraId="703D7C12" w14:textId="77A296E4" w:rsidR="005509BD" w:rsidRDefault="002A22EB" w:rsidP="00062CFF">
      <w:pPr>
        <w:pStyle w:val="SingleTxtG"/>
      </w:pPr>
      <w:r>
        <w:rPr>
          <w:lang w:val="en-US"/>
        </w:rPr>
        <w:t>8</w:t>
      </w:r>
      <w:r w:rsidR="003A17F3">
        <w:rPr>
          <w:lang w:val="en-US"/>
        </w:rPr>
        <w:t>.2</w:t>
      </w:r>
      <w:r w:rsidR="003A17F3">
        <w:rPr>
          <w:lang w:val="en-US"/>
        </w:rPr>
        <w:tab/>
      </w:r>
      <w:r w:rsidR="005509BD">
        <w:t>The Committee notes the author’s claim that her and the alleged victims’</w:t>
      </w:r>
      <w:r w:rsidR="005509BD" w:rsidRPr="00382793">
        <w:t xml:space="preserve"> </w:t>
      </w:r>
      <w:r w:rsidR="005509BD">
        <w:t xml:space="preserve">right of peaceful assembly under article 21 of the Covenant was violated by the refusal of the municipal authorities to allow the picket to be held. </w:t>
      </w:r>
      <w:r w:rsidR="005509BD" w:rsidRPr="00520C6A">
        <w:t>In its general comment № 37 (2020) on the right of peaceful assembly, the Committee states that peaceful assemblies may in principle be conducted in all spaces to which the public has access or should have access, such as public squares and streets.</w:t>
      </w:r>
      <w:r w:rsidR="005509BD" w:rsidRPr="00520C6A">
        <w:rPr>
          <w:vertAlign w:val="superscript"/>
        </w:rPr>
        <w:footnoteReference w:id="10"/>
      </w:r>
      <w:r w:rsidR="005509BD" w:rsidRPr="00520C6A">
        <w:t xml:space="preserve"> Peaceful assemblies should not be relegated to remote areas where they cannot effectively capture the attention of those who are being addressed, or the general public. As a general rule, there can be no blanket ban on all assemblies in the capital city, in all public places except one specific location within a city or outside the city centre, or on all the streets in a city. The Committee further notes that the requirements for </w:t>
      </w:r>
      <w:r w:rsidR="005509BD" w:rsidRPr="00520C6A">
        <w:lastRenderedPageBreak/>
        <w:t>participants or organizers either to arrange for or to contribute towards the costs of policing or security, medical assistance or cleaning, or other public services associated with peaceful assemblies are generally not compatible with article 21.</w:t>
      </w:r>
      <w:r w:rsidR="005509BD" w:rsidRPr="00520C6A">
        <w:rPr>
          <w:vertAlign w:val="superscript"/>
        </w:rPr>
        <w:footnoteReference w:id="11"/>
      </w:r>
    </w:p>
    <w:p w14:paraId="4106C810" w14:textId="53E5429C" w:rsidR="005509BD" w:rsidRDefault="005509BD" w:rsidP="00062CFF">
      <w:pPr>
        <w:pStyle w:val="SingleTxtG"/>
      </w:pPr>
      <w:r>
        <w:t>8.3</w:t>
      </w:r>
      <w:r>
        <w:tab/>
        <w:t>The Committee further recalls that the right of peaceful assembly, as guaranteed under article 21 of the Covenant, is a fundamental human right that is essential for public expression of an individual’s views and opinions and is indispensable in a democratic society. This right entails the possibility of organizing and participating in a peaceful assembly, including a stationary assembly (such as a picket) in a public location. The organizers of an assembly generally have the right to choose a location within sight and sound of their target audience, and no restriction to this right is permissible, unless it (a) is imposed in conformity with the law; and (b) is necessary in a democratic society, in the interests of national security or public safety, public order (</w:t>
      </w:r>
      <w:proofErr w:type="spellStart"/>
      <w:r>
        <w:t>ordre</w:t>
      </w:r>
      <w:proofErr w:type="spellEnd"/>
      <w:r>
        <w:t xml:space="preserve"> public),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of facilitating the right, rather than seeking unnecessary or disproportionate limitations to it. The State party is thus under an obligation to justify the limitation of the right protected by article 21 of the Covenant.</w:t>
      </w:r>
      <w:r w:rsidRPr="00654CF8">
        <w:rPr>
          <w:rStyle w:val="FootnoteReference"/>
        </w:rPr>
        <w:footnoteReference w:id="12"/>
      </w:r>
    </w:p>
    <w:p w14:paraId="156F10C6" w14:textId="1E0EFE0C" w:rsidR="005509BD" w:rsidRDefault="005509BD" w:rsidP="005509BD">
      <w:pPr>
        <w:pStyle w:val="SingleTxtG"/>
      </w:pPr>
      <w:r>
        <w:t>8</w:t>
      </w:r>
      <w:r w:rsidRPr="00654CF8">
        <w:t>.</w:t>
      </w:r>
      <w:r>
        <w:t>4</w:t>
      </w:r>
      <w:r w:rsidRPr="00654CF8">
        <w:tab/>
      </w:r>
      <w:r>
        <w:t>In the present case, the Committee must consider whether the restrictions imposed on the author’s and the alleged victims’ right of peaceful assembly are justified under any of the criteria set out in the second sentence of article 21 of the Covenant. In light of the information available on file, the Committee notes that neither the municipal authorities nor the domestic courts have provided any justification or explanation as to how, in practice, the author’s and the alleged victims’ protest would have violated the interests of national security or public safety, public order (</w:t>
      </w:r>
      <w:proofErr w:type="spellStart"/>
      <w:r w:rsidRPr="005509BD">
        <w:rPr>
          <w:i/>
        </w:rPr>
        <w:t>ordre</w:t>
      </w:r>
      <w:proofErr w:type="spellEnd"/>
      <w:r w:rsidRPr="005509BD">
        <w:rPr>
          <w:i/>
        </w:rPr>
        <w:t xml:space="preserve"> public</w:t>
      </w:r>
      <w:r>
        <w:t xml:space="preserve">), the protection of public health or morals or the protection of the rights and freedoms of others, as set out in article 21 of the Covenant. </w:t>
      </w:r>
      <w:r w:rsidRPr="00520C6A">
        <w:t>The State party also failed to show that any alternative measures were taken to facilitate the exercise of the author’s rights under article 21</w:t>
      </w:r>
      <w:r>
        <w:t>.</w:t>
      </w:r>
    </w:p>
    <w:p w14:paraId="0D6D1A15" w14:textId="70E7ADB9" w:rsidR="005509BD" w:rsidRDefault="005509BD" w:rsidP="005509BD">
      <w:pPr>
        <w:pStyle w:val="SingleTxtG"/>
        <w:rPr>
          <w:lang w:val="en-US"/>
        </w:rPr>
      </w:pPr>
      <w:r>
        <w:t>8.7</w:t>
      </w:r>
      <w:r>
        <w:tab/>
        <w:t xml:space="preserve">In the absence of any explanation by the State party regarding the matter, the Committee </w:t>
      </w:r>
      <w:r w:rsidRPr="00942EA0">
        <w:t>concludes</w:t>
      </w:r>
      <w:r>
        <w:t xml:space="preserve"> that, in the present case, the State party has violated the author’s and the alleged victims’</w:t>
      </w:r>
      <w:r w:rsidRPr="00382793">
        <w:t xml:space="preserve"> </w:t>
      </w:r>
      <w:r>
        <w:t xml:space="preserve">rights under article 21, read </w:t>
      </w:r>
      <w:r w:rsidR="00F50587">
        <w:t xml:space="preserve">alone and </w:t>
      </w:r>
      <w:r>
        <w:t>in conjunction with article 2 (3), of the Covenant.</w:t>
      </w:r>
    </w:p>
    <w:p w14:paraId="118589D9" w14:textId="441FE3D3" w:rsidR="00062CFF" w:rsidRDefault="00F06F44" w:rsidP="00062CFF">
      <w:pPr>
        <w:pStyle w:val="SingleTxtG"/>
      </w:pPr>
      <w:r>
        <w:t>8.8</w:t>
      </w:r>
      <w:r>
        <w:tab/>
      </w:r>
      <w:r w:rsidRPr="00964ECA">
        <w:rPr>
          <w:lang w:val="en-US"/>
        </w:rPr>
        <w:t>The Committee also notes the author’s claim that h</w:t>
      </w:r>
      <w:r>
        <w:rPr>
          <w:lang w:val="en-US"/>
        </w:rPr>
        <w:t>er</w:t>
      </w:r>
      <w:r w:rsidRPr="00964ECA">
        <w:rPr>
          <w:lang w:val="en-US"/>
        </w:rPr>
        <w:t xml:space="preserve"> </w:t>
      </w:r>
      <w:r>
        <w:t>and the alleged victims’</w:t>
      </w:r>
      <w:r w:rsidRPr="00382793">
        <w:t xml:space="preserve"> </w:t>
      </w:r>
      <w:r w:rsidRPr="00964ECA">
        <w:rPr>
          <w:lang w:val="en-US"/>
        </w:rPr>
        <w:t xml:space="preserve">right to freedom of expression has been restricted unlawfully, as </w:t>
      </w:r>
      <w:r>
        <w:rPr>
          <w:lang w:val="en-US"/>
        </w:rPr>
        <w:t>t</w:t>
      </w:r>
      <w:r w:rsidRPr="00964ECA">
        <w:rPr>
          <w:lang w:val="en-US"/>
        </w:rPr>
        <w:t>he</w:t>
      </w:r>
      <w:r>
        <w:rPr>
          <w:lang w:val="en-US"/>
        </w:rPr>
        <w:t>y</w:t>
      </w:r>
      <w:r w:rsidRPr="00964ECA">
        <w:rPr>
          <w:lang w:val="en-US"/>
        </w:rPr>
        <w:t xml:space="preserve"> w</w:t>
      </w:r>
      <w:r>
        <w:rPr>
          <w:lang w:val="en-US"/>
        </w:rPr>
        <w:t>ere</w:t>
      </w:r>
      <w:r w:rsidRPr="00964ECA">
        <w:rPr>
          <w:lang w:val="en-US"/>
        </w:rPr>
        <w:t xml:space="preserve"> refused authorization to hold</w:t>
      </w:r>
      <w:r>
        <w:rPr>
          <w:lang w:val="en-US"/>
        </w:rPr>
        <w:t xml:space="preserve"> a</w:t>
      </w:r>
      <w:r w:rsidRPr="00964ECA">
        <w:rPr>
          <w:lang w:val="en-US"/>
        </w:rPr>
        <w:t xml:space="preserve"> picket</w:t>
      </w:r>
      <w:r>
        <w:rPr>
          <w:lang w:val="en-US"/>
        </w:rPr>
        <w:t xml:space="preserve"> </w:t>
      </w:r>
      <w:r w:rsidRPr="00382793">
        <w:t xml:space="preserve">to </w:t>
      </w:r>
      <w:r>
        <w:t>protest against the criminal prosecution of several political activists</w:t>
      </w:r>
      <w:r w:rsidRPr="00AC5842">
        <w:rPr>
          <w:lang w:val="en"/>
        </w:rPr>
        <w:t xml:space="preserve">. </w:t>
      </w:r>
      <w:r w:rsidRPr="00964ECA">
        <w:rPr>
          <w:lang w:val="en-US"/>
        </w:rPr>
        <w:t>The Committee considers that the legal issue before it is to decide whether the prohibition on holding a public picket imposed on the author by the city executive authorities of the State party amounts to a violation of article 19 of the Covenant.</w:t>
      </w:r>
    </w:p>
    <w:p w14:paraId="4B06028D" w14:textId="3A544FB3" w:rsidR="002F6F7C" w:rsidRDefault="00F241E7" w:rsidP="00F241E7">
      <w:pPr>
        <w:pStyle w:val="SingleTxtG"/>
      </w:pPr>
      <w:r>
        <w:t>8</w:t>
      </w:r>
      <w:r w:rsidRPr="00654CF8">
        <w:t>.</w:t>
      </w:r>
      <w:r w:rsidR="00F06F44">
        <w:t>9</w:t>
      </w:r>
      <w:r w:rsidRPr="00654CF8">
        <w:tab/>
        <w:t>The Committee recalls its general comment No. 34 (2011) on the freedoms of opinion and expression, in which it stated, inter alia, that the freedom of expression was essential for any society and constituted a foundation stone for every free and democratic society.</w:t>
      </w:r>
      <w:r w:rsidRPr="00654CF8">
        <w:rPr>
          <w:rStyle w:val="FootnoteReference"/>
        </w:rPr>
        <w:footnoteReference w:id="13"/>
      </w:r>
      <w:r w:rsidRPr="00654CF8">
        <w:t xml:space="preserve"> It notes that article 19 (3) of the Convention allows for certain restrictions on the freedom of expression, including the freedom to impart information and ideas, only to the extent that those restrictions are provided for by law and only if they are necessary (a) for respect of the rights or reputation of others; or (b) for the protection of national security or public order (</w:t>
      </w:r>
      <w:proofErr w:type="spellStart"/>
      <w:r w:rsidRPr="002747DD">
        <w:rPr>
          <w:i/>
          <w:iCs/>
        </w:rPr>
        <w:t>ordre</w:t>
      </w:r>
      <w:proofErr w:type="spellEnd"/>
      <w:r w:rsidRPr="002747DD">
        <w:rPr>
          <w:i/>
          <w:iCs/>
        </w:rPr>
        <w:t xml:space="preserve"> public</w:t>
      </w:r>
      <w:r w:rsidRPr="00654CF8">
        <w:t xml:space="preserve">), or of public health or morals. Finally, any restriction on </w:t>
      </w:r>
      <w:r w:rsidRPr="00654CF8">
        <w:lastRenderedPageBreak/>
        <w:t>freedom of expression must not be overbroad in nature – that is, it must be the least intrusive among the measures that might achieve the relevant protective function and proportionate to the interest to be protected.</w:t>
      </w:r>
      <w:r w:rsidRPr="00654CF8">
        <w:rPr>
          <w:rStyle w:val="FootnoteReference"/>
        </w:rPr>
        <w:footnoteReference w:id="14"/>
      </w:r>
      <w:r w:rsidRPr="00654CF8">
        <w:t xml:space="preserve"> The Committee recalls that </w:t>
      </w:r>
      <w:r w:rsidR="00F50587">
        <w:t>the onus is on</w:t>
      </w:r>
      <w:r w:rsidRPr="00654CF8">
        <w:t xml:space="preserve"> the State party to demonstrate that the restrictions on the author</w:t>
      </w:r>
      <w:r>
        <w:t>’</w:t>
      </w:r>
      <w:r w:rsidRPr="00654CF8">
        <w:t>s rights under article 19 of the Covenant were necessary and proportionate.</w:t>
      </w:r>
      <w:r w:rsidRPr="00654CF8">
        <w:rPr>
          <w:rStyle w:val="FootnoteReference"/>
        </w:rPr>
        <w:footnoteReference w:id="15"/>
      </w:r>
      <w:r w:rsidRPr="00654CF8">
        <w:t xml:space="preserve"> </w:t>
      </w:r>
    </w:p>
    <w:p w14:paraId="409CC852" w14:textId="4F825321" w:rsidR="002F6F7C" w:rsidRDefault="002F6F7C" w:rsidP="00F241E7">
      <w:pPr>
        <w:pStyle w:val="SingleTxtG"/>
      </w:pPr>
      <w:r>
        <w:t>8.</w:t>
      </w:r>
      <w:r w:rsidR="00C2613F">
        <w:t>10</w:t>
      </w:r>
      <w:r>
        <w:tab/>
        <w:t xml:space="preserve">The Committee notes that the refusal to authorize the picket was based on the </w:t>
      </w:r>
      <w:r w:rsidRPr="000B7A95">
        <w:t xml:space="preserve">decision of the Gomel City Executive Committee of 2 April 2008 No. 299 “On mass </w:t>
      </w:r>
      <w:r>
        <w:t xml:space="preserve">events </w:t>
      </w:r>
      <w:r w:rsidRPr="000B7A95">
        <w:t xml:space="preserve">in the </w:t>
      </w:r>
      <w:r>
        <w:t xml:space="preserve">city of </w:t>
      </w:r>
      <w:r w:rsidRPr="000B7A95">
        <w:t>Gomel”</w:t>
      </w:r>
      <w:r>
        <w:t>. The Committee observes, however, that neither the State party nor the national courts have provided any explanations as to how such restrictions, namely limiting peaceful assemblies to a certain predetermined location and requiring that the organizers conclude service contracts with a number of government agencies in order to hold a peaceful assembly, were justified pursuant to the conditions of necessity and proportionality set out in article 19 (3) of the Covenant. In the absence of any explanation by the State party, the Committee concludes that the rights of the author</w:t>
      </w:r>
      <w:r w:rsidR="003A7B41">
        <w:t xml:space="preserve"> and the alleged victims</w:t>
      </w:r>
      <w:r>
        <w:t xml:space="preserve"> under article 19 (2), read </w:t>
      </w:r>
      <w:r w:rsidR="00F50587">
        <w:t xml:space="preserve">alone and </w:t>
      </w:r>
      <w:r>
        <w:t>in conjunction with article 2 (3), of the Covenant have been violated</w:t>
      </w:r>
      <w:r w:rsidR="0019289A">
        <w:t>.</w:t>
      </w:r>
    </w:p>
    <w:p w14:paraId="3E95C698" w14:textId="2480313F" w:rsidR="00F241E7" w:rsidRPr="00654CF8" w:rsidRDefault="00EF792A" w:rsidP="00F241E7">
      <w:pPr>
        <w:pStyle w:val="SingleTxtG"/>
      </w:pPr>
      <w:r>
        <w:t>9</w:t>
      </w:r>
      <w:r w:rsidR="00524A48">
        <w:t>.</w:t>
      </w:r>
      <w:r w:rsidR="00524A48">
        <w:tab/>
      </w:r>
      <w:r w:rsidR="003A7B41">
        <w:t xml:space="preserve">The Committee, acting under article 5 (4) of the Optional Protocol, is of the view that the facts before it disclose a violation by the State party of the author’s and the alleged victims rights under articles 19 (2) and 21, read </w:t>
      </w:r>
      <w:r w:rsidR="00F50587">
        <w:t xml:space="preserve">alone and </w:t>
      </w:r>
      <w:r w:rsidR="003A7B41">
        <w:t>in conjunction with article 2 (3), of the Covenant. The Committee reiterates its conclusion that the State party has also violated its obligations under article 1 of the Optional Protocol</w:t>
      </w:r>
      <w:r w:rsidR="00F241E7" w:rsidRPr="00654CF8">
        <w:t xml:space="preserve">. </w:t>
      </w:r>
    </w:p>
    <w:p w14:paraId="12F07FC7" w14:textId="64EE1673" w:rsidR="00F241E7" w:rsidRPr="00654CF8" w:rsidRDefault="00EF792A" w:rsidP="00942EA0">
      <w:pPr>
        <w:pStyle w:val="SingleTxtG"/>
      </w:pPr>
      <w:r>
        <w:t>10</w:t>
      </w:r>
      <w:r w:rsidR="00F241E7" w:rsidRPr="00654CF8">
        <w:t>.</w:t>
      </w:r>
      <w:r w:rsidR="00F241E7" w:rsidRPr="00654CF8">
        <w:tab/>
        <w:t xml:space="preserve">Pursuant to article 2 (3) (a) of the Covenant, the State party is under an obligation to provide the author </w:t>
      </w:r>
      <w:r w:rsidR="003A7B41">
        <w:t>and the victims</w:t>
      </w:r>
      <w:r w:rsidR="003A7B41" w:rsidRPr="00382793">
        <w:t xml:space="preserve"> </w:t>
      </w:r>
      <w:r w:rsidR="00F241E7" w:rsidRPr="00654CF8">
        <w:t xml:space="preserve">with an effective remedy. This requires it to make full reparation to individuals </w:t>
      </w:r>
      <w:r w:rsidR="00F241E7" w:rsidRPr="00942EA0">
        <w:t>whose</w:t>
      </w:r>
      <w:r w:rsidR="00F241E7" w:rsidRPr="00654CF8">
        <w:t xml:space="preserve"> Covenant rights have been violated. Accordingly, the State party is obligated, inter alia, to provide </w:t>
      </w:r>
      <w:r w:rsidR="003A7B41">
        <w:t>the author and the victims</w:t>
      </w:r>
      <w:r w:rsidR="003A7B41" w:rsidRPr="00382793">
        <w:t xml:space="preserve"> </w:t>
      </w:r>
      <w:r w:rsidR="00F241E7" w:rsidRPr="00654CF8">
        <w:t>with adequate compensation. The State party is also under an obligation to take all steps necessary to prevent similar violations from occurring in the future, in particular by reviewing its national legislation and the implementation thereof in order to make it compatible with its obligations to adopt measures able to give effect to the rights recognized by articles 19 and 21</w:t>
      </w:r>
      <w:r w:rsidR="001E3129">
        <w:t xml:space="preserve"> of the Covenant</w:t>
      </w:r>
      <w:r w:rsidR="00F241E7" w:rsidRPr="00654CF8">
        <w:t>.</w:t>
      </w:r>
    </w:p>
    <w:p w14:paraId="2F629E81" w14:textId="1CE02E71" w:rsidR="00F241E7" w:rsidRDefault="0019289A" w:rsidP="00F241E7">
      <w:pPr>
        <w:pStyle w:val="SingleTxtG"/>
      </w:pPr>
      <w:r>
        <w:t>1</w:t>
      </w:r>
      <w:r w:rsidR="00EF792A">
        <w:t>1</w:t>
      </w:r>
      <w:r w:rsidR="00F241E7" w:rsidRPr="00654CF8">
        <w:t>.</w:t>
      </w:r>
      <w:r w:rsidR="00F241E7" w:rsidRPr="00654CF8">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F241E7">
        <w:t>’</w:t>
      </w:r>
      <w:r w:rsidR="00F241E7" w:rsidRPr="00654CF8">
        <w:t xml:space="preserve">s Views. The State party is also requested to publish the present Views and to have them widely disseminated in the official languages of the State party. </w:t>
      </w:r>
    </w:p>
    <w:p w14:paraId="756790F4" w14:textId="77777777" w:rsidR="00C61B92" w:rsidRPr="00C60CA2" w:rsidRDefault="00C60CA2" w:rsidP="00C60CA2">
      <w:pPr>
        <w:pStyle w:val="SingleTxtG"/>
        <w:spacing w:before="240" w:after="0"/>
        <w:jc w:val="center"/>
        <w:rPr>
          <w:u w:val="single"/>
        </w:rPr>
      </w:pPr>
      <w:r>
        <w:rPr>
          <w:u w:val="single"/>
        </w:rPr>
        <w:tab/>
      </w:r>
      <w:r>
        <w:rPr>
          <w:u w:val="single"/>
        </w:rPr>
        <w:tab/>
      </w:r>
      <w:r>
        <w:rPr>
          <w:u w:val="single"/>
        </w:rPr>
        <w:tab/>
      </w:r>
      <w:r w:rsidR="00F31954">
        <w:rPr>
          <w:u w:val="single"/>
        </w:rPr>
        <w:tab/>
      </w:r>
    </w:p>
    <w:sectPr w:rsidR="00C61B92" w:rsidRPr="00C60CA2" w:rsidSect="001B2141">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276"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F4A13" w14:textId="77777777" w:rsidR="00F85F48" w:rsidRDefault="00F85F48"/>
  </w:endnote>
  <w:endnote w:type="continuationSeparator" w:id="0">
    <w:p w14:paraId="6593245D" w14:textId="77777777" w:rsidR="00F85F48" w:rsidRDefault="00F85F48"/>
  </w:endnote>
  <w:endnote w:type="continuationNotice" w:id="1">
    <w:p w14:paraId="2F158F2A" w14:textId="77777777" w:rsidR="00F85F48" w:rsidRDefault="00F85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39T30Lfz">
    <w:altName w:val="Symbol"/>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16DE" w14:textId="7650940C" w:rsidR="00524A48" w:rsidRPr="00781C83" w:rsidRDefault="00524A48"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BB3886">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FE76" w14:textId="6F41A245" w:rsidR="00524A48" w:rsidRPr="000C4F81" w:rsidRDefault="00524A48" w:rsidP="00781C83">
    <w:pPr>
      <w:pStyle w:val="Footer"/>
      <w:tabs>
        <w:tab w:val="right" w:pos="9638"/>
      </w:tabs>
      <w:rPr>
        <w:b/>
        <w:bCs/>
        <w:sz w:val="18"/>
      </w:rPr>
    </w:pPr>
    <w:r>
      <w:rPr>
        <w:b/>
        <w:sz w:val="18"/>
      </w:rPr>
      <w:tab/>
    </w:r>
    <w:r w:rsidRPr="000C4F81">
      <w:rPr>
        <w:b/>
        <w:bCs/>
        <w:sz w:val="18"/>
      </w:rPr>
      <w:fldChar w:fldCharType="begin"/>
    </w:r>
    <w:r w:rsidRPr="000C4F81">
      <w:rPr>
        <w:b/>
        <w:bCs/>
        <w:sz w:val="18"/>
      </w:rPr>
      <w:instrText xml:space="preserve"> PAGE  \* MERGEFORMAT </w:instrText>
    </w:r>
    <w:r w:rsidRPr="000C4F81">
      <w:rPr>
        <w:b/>
        <w:bCs/>
        <w:sz w:val="18"/>
      </w:rPr>
      <w:fldChar w:fldCharType="separate"/>
    </w:r>
    <w:r w:rsidR="00BB3886">
      <w:rPr>
        <w:b/>
        <w:bCs/>
        <w:noProof/>
        <w:sz w:val="18"/>
      </w:rPr>
      <w:t>7</w:t>
    </w:r>
    <w:r w:rsidRPr="000C4F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E771" w14:textId="11C2D5F3" w:rsidR="00524A48" w:rsidRDefault="00407830" w:rsidP="00407830">
    <w:pPr>
      <w:pStyle w:val="Footer"/>
      <w:ind w:right="1134"/>
      <w:rPr>
        <w:rFonts w:asciiTheme="majorBidi" w:hAnsiTheme="majorBidi" w:cstheme="majorBidi"/>
        <w:sz w:val="20"/>
      </w:rPr>
    </w:pPr>
    <w:r>
      <w:rPr>
        <w:rFonts w:ascii="C39T30Lfz" w:hAnsi="C39T30Lfz" w:cstheme="majorBidi"/>
        <w:noProof/>
        <w:sz w:val="56"/>
        <w:lang w:eastAsia="en-GB"/>
      </w:rPr>
      <w:drawing>
        <wp:anchor distT="0" distB="0" distL="114300" distR="114300" simplePos="0" relativeHeight="251660288" behindDoc="0" locked="0" layoutInCell="1" allowOverlap="1" wp14:anchorId="3E47310E" wp14:editId="40793E8B">
          <wp:simplePos x="0" y="0"/>
          <wp:positionH relativeFrom="margin">
            <wp:posOffset>5533371</wp:posOffset>
          </wp:positionH>
          <wp:positionV relativeFrom="margin">
            <wp:posOffset>7893998</wp:posOffset>
          </wp:positionV>
          <wp:extent cx="561975" cy="561975"/>
          <wp:effectExtent l="0" t="0" r="9525" b="9525"/>
          <wp:wrapNone/>
          <wp:docPr id="2" name="Picture 1" descr="https://undocs.org/m2/QRCode.ashx?DS=CCPR/C/128/DR/233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DR/2330/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830">
      <w:rPr>
        <w:rFonts w:asciiTheme="majorBidi" w:hAnsiTheme="majorBidi" w:cstheme="majorBidi"/>
        <w:noProof/>
        <w:sz w:val="20"/>
        <w:lang w:eastAsia="en-GB"/>
      </w:rPr>
      <w:drawing>
        <wp:anchor distT="0" distB="0" distL="114300" distR="114300" simplePos="0" relativeHeight="251659264" behindDoc="1" locked="1" layoutInCell="1" allowOverlap="1" wp14:anchorId="4EABA249" wp14:editId="57A375A0">
          <wp:simplePos x="0" y="0"/>
          <wp:positionH relativeFrom="margin">
            <wp:posOffset>4374515</wp:posOffset>
          </wp:positionH>
          <wp:positionV relativeFrom="margin">
            <wp:posOffset>8244205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EECC9" w14:textId="77777777" w:rsidR="00F85F48" w:rsidRPr="000B175B" w:rsidRDefault="00F85F48" w:rsidP="000B175B">
      <w:pPr>
        <w:tabs>
          <w:tab w:val="right" w:pos="2155"/>
        </w:tabs>
        <w:spacing w:after="80"/>
        <w:ind w:left="680"/>
        <w:rPr>
          <w:u w:val="single"/>
        </w:rPr>
      </w:pPr>
      <w:r>
        <w:rPr>
          <w:u w:val="single"/>
        </w:rPr>
        <w:tab/>
      </w:r>
    </w:p>
  </w:footnote>
  <w:footnote w:type="continuationSeparator" w:id="0">
    <w:p w14:paraId="49CEFFE7" w14:textId="77777777" w:rsidR="00F85F48" w:rsidRPr="00FC68B7" w:rsidRDefault="00F85F48" w:rsidP="00FC68B7">
      <w:pPr>
        <w:tabs>
          <w:tab w:val="left" w:pos="2155"/>
        </w:tabs>
        <w:spacing w:after="80"/>
        <w:ind w:left="680"/>
        <w:rPr>
          <w:u w:val="single"/>
        </w:rPr>
      </w:pPr>
      <w:r>
        <w:rPr>
          <w:u w:val="single"/>
        </w:rPr>
        <w:tab/>
      </w:r>
    </w:p>
  </w:footnote>
  <w:footnote w:type="continuationNotice" w:id="1">
    <w:p w14:paraId="0C90C506" w14:textId="77777777" w:rsidR="00F85F48" w:rsidRDefault="00F85F48"/>
  </w:footnote>
  <w:footnote w:id="2">
    <w:p w14:paraId="5EC6C1CA" w14:textId="00B2B1B9" w:rsidR="00A23F68" w:rsidRPr="00616F58" w:rsidRDefault="00A23F68">
      <w:pPr>
        <w:pStyle w:val="FootnoteText"/>
      </w:pPr>
      <w:r w:rsidRPr="00BB3886">
        <w:rPr>
          <w:rStyle w:val="FootnoteReference"/>
          <w:vertAlign w:val="baseline"/>
        </w:rPr>
        <w:tab/>
        <w:t>*</w:t>
      </w:r>
      <w:r w:rsidRPr="00BB3886">
        <w:t xml:space="preserve"> </w:t>
      </w:r>
      <w:r w:rsidRPr="00BB3886">
        <w:tab/>
        <w:t xml:space="preserve">Adopted by the Committee at its </w:t>
      </w:r>
      <w:r w:rsidRPr="00616F58">
        <w:t>130</w:t>
      </w:r>
      <w:r w:rsidRPr="00BB3886">
        <w:t>th session (</w:t>
      </w:r>
      <w:r w:rsidRPr="00616F58">
        <w:t>12 October – 6 November 2020</w:t>
      </w:r>
      <w:r w:rsidRPr="00BB3886">
        <w:t>).</w:t>
      </w:r>
      <w:r w:rsidRPr="00BB3886">
        <w:rPr>
          <w:rStyle w:val="FootnoteReference"/>
          <w:vertAlign w:val="baseline"/>
        </w:rPr>
        <w:tab/>
      </w:r>
    </w:p>
  </w:footnote>
  <w:footnote w:id="3">
    <w:p w14:paraId="2226A234" w14:textId="77777777" w:rsidR="00616F58" w:rsidRPr="00616F58" w:rsidRDefault="00A23F68">
      <w:pPr>
        <w:pStyle w:val="FootnoteText"/>
      </w:pPr>
      <w:r w:rsidRPr="00BB3886">
        <w:rPr>
          <w:rStyle w:val="FootnoteReference"/>
          <w:vertAlign w:val="baseline"/>
        </w:rPr>
        <w:tab/>
        <w:t>**</w:t>
      </w:r>
      <w:r w:rsidRPr="00BB3886">
        <w:rPr>
          <w:rStyle w:val="FootnoteReference"/>
          <w:vertAlign w:val="baseline"/>
        </w:rPr>
        <w:tab/>
      </w:r>
      <w:r w:rsidR="00616F58" w:rsidRPr="00616F58">
        <w:t xml:space="preserve">The following members of the Committee participated in the examination of the communication: </w:t>
      </w:r>
    </w:p>
    <w:p w14:paraId="6AF60B62" w14:textId="61A61531" w:rsidR="00D21C4F" w:rsidRPr="00616F58" w:rsidRDefault="00616F58">
      <w:pPr>
        <w:pStyle w:val="FootnoteText"/>
      </w:pPr>
      <w:r w:rsidRPr="00616F58">
        <w:tab/>
      </w:r>
      <w:r w:rsidRPr="00616F58">
        <w:tab/>
        <w:t xml:space="preserve">Tania María Abdo </w:t>
      </w:r>
      <w:proofErr w:type="spellStart"/>
      <w:r w:rsidRPr="00616F58">
        <w:t>Rocholl</w:t>
      </w:r>
      <w:proofErr w:type="spellEnd"/>
      <w:r w:rsidRPr="00616F58">
        <w:t xml:space="preserve">, </w:t>
      </w:r>
      <w:proofErr w:type="spellStart"/>
      <w:r w:rsidRPr="00616F58">
        <w:t>Yadh</w:t>
      </w:r>
      <w:proofErr w:type="spellEnd"/>
      <w:r w:rsidRPr="00616F58">
        <w:t xml:space="preserve"> Ben </w:t>
      </w:r>
      <w:proofErr w:type="spellStart"/>
      <w:r w:rsidRPr="00616F58">
        <w:t>Achour</w:t>
      </w:r>
      <w:proofErr w:type="spellEnd"/>
      <w:r w:rsidRPr="00616F58">
        <w:t xml:space="preserve">, </w:t>
      </w:r>
      <w:proofErr w:type="spellStart"/>
      <w:r w:rsidRPr="00616F58">
        <w:t>Arif</w:t>
      </w:r>
      <w:proofErr w:type="spellEnd"/>
      <w:r w:rsidR="005020F4">
        <w:t xml:space="preserve"> </w:t>
      </w:r>
      <w:proofErr w:type="spellStart"/>
      <w:r w:rsidR="005020F4">
        <w:t>Bulkan</w:t>
      </w:r>
      <w:proofErr w:type="spellEnd"/>
      <w:r w:rsidR="005020F4">
        <w:t xml:space="preserve">, Ahmed Amin </w:t>
      </w:r>
      <w:proofErr w:type="spellStart"/>
      <w:r w:rsidR="005020F4">
        <w:t>Fathalla</w:t>
      </w:r>
      <w:proofErr w:type="spellEnd"/>
      <w:r w:rsidR="005020F4">
        <w:t xml:space="preserve">, </w:t>
      </w:r>
      <w:r w:rsidRPr="00616F58">
        <w:t xml:space="preserve">Christof </w:t>
      </w:r>
      <w:proofErr w:type="spellStart"/>
      <w:r w:rsidRPr="00616F58">
        <w:t>Heyns</w:t>
      </w:r>
      <w:proofErr w:type="spellEnd"/>
      <w:r w:rsidRPr="00616F58">
        <w:t xml:space="preserve">, Shuichi </w:t>
      </w:r>
      <w:proofErr w:type="spellStart"/>
      <w:r w:rsidRPr="00616F58">
        <w:t>Furuya</w:t>
      </w:r>
      <w:proofErr w:type="spellEnd"/>
      <w:r w:rsidRPr="00616F58">
        <w:t xml:space="preserve">, </w:t>
      </w:r>
      <w:proofErr w:type="spellStart"/>
      <w:r w:rsidRPr="00616F58">
        <w:t>Bamariam</w:t>
      </w:r>
      <w:proofErr w:type="spellEnd"/>
      <w:r w:rsidRPr="00616F58">
        <w:t xml:space="preserve"> </w:t>
      </w:r>
      <w:proofErr w:type="spellStart"/>
      <w:r w:rsidRPr="00616F58">
        <w:t>Koita</w:t>
      </w:r>
      <w:proofErr w:type="spellEnd"/>
      <w:r w:rsidRPr="00616F58">
        <w:t xml:space="preserve">, Duncan </w:t>
      </w:r>
      <w:proofErr w:type="spellStart"/>
      <w:r w:rsidRPr="00616F58">
        <w:t>Laki</w:t>
      </w:r>
      <w:proofErr w:type="spellEnd"/>
      <w:r w:rsidRPr="00616F58">
        <w:t xml:space="preserve"> </w:t>
      </w:r>
      <w:proofErr w:type="spellStart"/>
      <w:r w:rsidRPr="00616F58">
        <w:t>Muhumuza</w:t>
      </w:r>
      <w:proofErr w:type="spellEnd"/>
      <w:r w:rsidRPr="00616F58">
        <w:t xml:space="preserve">, David Moore ,Photini </w:t>
      </w:r>
      <w:proofErr w:type="spellStart"/>
      <w:r w:rsidRPr="00616F58">
        <w:t>Pazartzis</w:t>
      </w:r>
      <w:proofErr w:type="spellEnd"/>
      <w:r w:rsidRPr="00616F58">
        <w:t xml:space="preserve">, </w:t>
      </w:r>
      <w:proofErr w:type="spellStart"/>
      <w:r w:rsidRPr="00616F58">
        <w:t>Hernán</w:t>
      </w:r>
      <w:proofErr w:type="spellEnd"/>
      <w:r w:rsidRPr="00616F58">
        <w:t xml:space="preserve"> Quezada Cabrera, </w:t>
      </w:r>
      <w:proofErr w:type="spellStart"/>
      <w:r w:rsidRPr="00616F58">
        <w:t>Vasilka</w:t>
      </w:r>
      <w:proofErr w:type="spellEnd"/>
      <w:r w:rsidRPr="00616F58">
        <w:t xml:space="preserve"> </w:t>
      </w:r>
      <w:proofErr w:type="spellStart"/>
      <w:r w:rsidRPr="00616F58">
        <w:t>Sancin</w:t>
      </w:r>
      <w:proofErr w:type="spellEnd"/>
      <w:r w:rsidRPr="00616F58">
        <w:t xml:space="preserve">, José Manuel Santos </w:t>
      </w:r>
      <w:proofErr w:type="spellStart"/>
      <w:r w:rsidRPr="00616F58">
        <w:t>Pais</w:t>
      </w:r>
      <w:proofErr w:type="spellEnd"/>
      <w:r w:rsidRPr="00616F58">
        <w:t xml:space="preserve">, Yuval </w:t>
      </w:r>
      <w:proofErr w:type="spellStart"/>
      <w:r w:rsidRPr="00616F58">
        <w:t>Shany</w:t>
      </w:r>
      <w:proofErr w:type="spellEnd"/>
      <w:r w:rsidRPr="00616F58">
        <w:t xml:space="preserve">, Hélène Tigroudja, Andreas Zimmermann and Gentian </w:t>
      </w:r>
      <w:proofErr w:type="spellStart"/>
      <w:r w:rsidRPr="00616F58">
        <w:t>Zyberi</w:t>
      </w:r>
      <w:proofErr w:type="spellEnd"/>
      <w:r w:rsidR="00D21C4F" w:rsidRPr="00EF792A">
        <w:t>.</w:t>
      </w:r>
    </w:p>
    <w:p w14:paraId="30E87A8F" w14:textId="77777777" w:rsidR="00D21C4F" w:rsidRPr="00616F58" w:rsidRDefault="00D21C4F">
      <w:pPr>
        <w:pStyle w:val="FootnoteText"/>
      </w:pPr>
    </w:p>
  </w:footnote>
  <w:footnote w:id="4">
    <w:p w14:paraId="2527189E" w14:textId="36EEB76C" w:rsidR="00524A48" w:rsidRPr="007A7505" w:rsidRDefault="00524A48" w:rsidP="00942EA0">
      <w:pPr>
        <w:pStyle w:val="FootnoteText"/>
        <w:rPr>
          <w:lang w:val="es-ES"/>
        </w:rPr>
      </w:pPr>
      <w:r>
        <w:tab/>
      </w:r>
      <w:r>
        <w:rPr>
          <w:rStyle w:val="FootnoteReference"/>
        </w:rPr>
        <w:footnoteRef/>
      </w:r>
      <w:r w:rsidRPr="007A7505">
        <w:rPr>
          <w:lang w:val="es-ES"/>
        </w:rPr>
        <w:tab/>
      </w:r>
      <w:r w:rsidRPr="007A7505">
        <w:rPr>
          <w:lang w:val="es-ES"/>
        </w:rPr>
        <w:tab/>
      </w:r>
      <w:proofErr w:type="spellStart"/>
      <w:r w:rsidRPr="007A7505">
        <w:rPr>
          <w:i/>
          <w:lang w:val="es-ES"/>
        </w:rPr>
        <w:t>Tulzhenkova</w:t>
      </w:r>
      <w:proofErr w:type="spellEnd"/>
      <w:r w:rsidRPr="007A7505">
        <w:rPr>
          <w:i/>
          <w:lang w:val="es-ES"/>
        </w:rPr>
        <w:t xml:space="preserve"> v. </w:t>
      </w:r>
      <w:proofErr w:type="spellStart"/>
      <w:r w:rsidRPr="007A7505">
        <w:rPr>
          <w:lang w:val="es-ES"/>
        </w:rPr>
        <w:t>Belarus</w:t>
      </w:r>
      <w:proofErr w:type="spellEnd"/>
      <w:r w:rsidRPr="007A7505">
        <w:rPr>
          <w:lang w:val="es-ES"/>
        </w:rPr>
        <w:t xml:space="preserve"> (CCPR/C/103/D/1838/2008).</w:t>
      </w:r>
    </w:p>
  </w:footnote>
  <w:footnote w:id="5">
    <w:p w14:paraId="67E822C3" w14:textId="1E29CCC8" w:rsidR="00524A48" w:rsidRPr="007A7505" w:rsidRDefault="00524A48" w:rsidP="00942EA0">
      <w:pPr>
        <w:pStyle w:val="FootnoteText"/>
        <w:rPr>
          <w:lang w:val="es-ES"/>
        </w:rPr>
      </w:pPr>
      <w:r w:rsidRPr="007A7505">
        <w:rPr>
          <w:lang w:val="es-ES"/>
        </w:rPr>
        <w:tab/>
      </w:r>
      <w:r w:rsidRPr="001802E1">
        <w:rPr>
          <w:rStyle w:val="FootnoteReference"/>
          <w:sz w:val="20"/>
        </w:rPr>
        <w:footnoteRef/>
      </w:r>
      <w:r w:rsidRPr="007A7505">
        <w:rPr>
          <w:lang w:val="es-ES"/>
        </w:rPr>
        <w:tab/>
      </w:r>
      <w:r w:rsidRPr="007A7505">
        <w:rPr>
          <w:i/>
          <w:lang w:val="es-ES"/>
        </w:rPr>
        <w:tab/>
      </w:r>
      <w:proofErr w:type="spellStart"/>
      <w:r w:rsidRPr="007A7505">
        <w:rPr>
          <w:i/>
          <w:lang w:val="es-ES"/>
        </w:rPr>
        <w:t>Shumilin</w:t>
      </w:r>
      <w:proofErr w:type="spellEnd"/>
      <w:r w:rsidRPr="007A7505">
        <w:rPr>
          <w:i/>
          <w:lang w:val="es-ES"/>
        </w:rPr>
        <w:t xml:space="preserve"> v. </w:t>
      </w:r>
      <w:proofErr w:type="spellStart"/>
      <w:r w:rsidRPr="007A7505">
        <w:rPr>
          <w:i/>
          <w:lang w:val="es-ES"/>
        </w:rPr>
        <w:t>Belarus</w:t>
      </w:r>
      <w:proofErr w:type="spellEnd"/>
      <w:r w:rsidRPr="007A7505">
        <w:rPr>
          <w:lang w:val="es-ES"/>
        </w:rPr>
        <w:t xml:space="preserve"> (CCPR/C/105/D/1784/2008), para. 11.</w:t>
      </w:r>
    </w:p>
  </w:footnote>
  <w:footnote w:id="6">
    <w:p w14:paraId="4F8A89FA" w14:textId="48FDF012" w:rsidR="00524A48" w:rsidRPr="001802E1" w:rsidRDefault="00524A48" w:rsidP="00942EA0">
      <w:pPr>
        <w:pStyle w:val="FootnoteText"/>
      </w:pPr>
      <w:r w:rsidRPr="007A7505">
        <w:rPr>
          <w:lang w:val="es-ES"/>
        </w:rPr>
        <w:tab/>
      </w:r>
      <w:r w:rsidRPr="001802E1">
        <w:rPr>
          <w:rStyle w:val="FootnoteReference"/>
          <w:sz w:val="20"/>
        </w:rPr>
        <w:footnoteRef/>
      </w:r>
      <w:r w:rsidRPr="007A7505">
        <w:rPr>
          <w:lang w:val="es-ES"/>
        </w:rPr>
        <w:tab/>
      </w:r>
      <w:r w:rsidRPr="007A7505">
        <w:rPr>
          <w:lang w:val="es-ES"/>
        </w:rPr>
        <w:tab/>
      </w:r>
      <w:proofErr w:type="spellStart"/>
      <w:r w:rsidRPr="007A7505">
        <w:rPr>
          <w:i/>
          <w:lang w:val="es-ES"/>
        </w:rPr>
        <w:t>Kalyakin</w:t>
      </w:r>
      <w:proofErr w:type="spellEnd"/>
      <w:r w:rsidRPr="007A7505">
        <w:rPr>
          <w:i/>
          <w:lang w:val="es-ES"/>
        </w:rPr>
        <w:t xml:space="preserve"> v. </w:t>
      </w:r>
      <w:proofErr w:type="spellStart"/>
      <w:r w:rsidRPr="007A7505">
        <w:rPr>
          <w:i/>
          <w:lang w:val="es-ES"/>
        </w:rPr>
        <w:t>Belarus</w:t>
      </w:r>
      <w:proofErr w:type="spellEnd"/>
      <w:r w:rsidRPr="007A7505">
        <w:rPr>
          <w:lang w:val="es-ES"/>
        </w:rPr>
        <w:t xml:space="preserve"> (CCPR/C/112/D/2153/2012), para. </w:t>
      </w:r>
      <w:r w:rsidRPr="001802E1">
        <w:t>9.5.</w:t>
      </w:r>
    </w:p>
  </w:footnote>
  <w:footnote w:id="7">
    <w:p w14:paraId="10DC0E52" w14:textId="77777777" w:rsidR="00524A48" w:rsidRPr="004A2FA4" w:rsidRDefault="00942EA0" w:rsidP="00942EA0">
      <w:pPr>
        <w:pStyle w:val="FootnoteText"/>
      </w:pPr>
      <w:r>
        <w:tab/>
      </w:r>
      <w:r w:rsidR="00524A48">
        <w:rPr>
          <w:rStyle w:val="FootnoteReference"/>
        </w:rPr>
        <w:footnoteRef/>
      </w:r>
      <w:r w:rsidR="00524A48">
        <w:tab/>
      </w:r>
      <w:r w:rsidR="00524A48" w:rsidRPr="00AB5D75">
        <w:t xml:space="preserve">See, </w:t>
      </w:r>
      <w:r w:rsidR="00524A48">
        <w:t>for example</w:t>
      </w:r>
      <w:r w:rsidR="00524A48" w:rsidRPr="00AB5D75">
        <w:t xml:space="preserve">, </w:t>
      </w:r>
      <w:proofErr w:type="spellStart"/>
      <w:r w:rsidR="00524A48" w:rsidRPr="009813CA">
        <w:rPr>
          <w:i/>
          <w:iCs/>
        </w:rPr>
        <w:t>Levinov</w:t>
      </w:r>
      <w:proofErr w:type="spellEnd"/>
      <w:r w:rsidR="00524A48" w:rsidRPr="009813CA">
        <w:rPr>
          <w:i/>
          <w:iCs/>
        </w:rPr>
        <w:t xml:space="preserve"> v. </w:t>
      </w:r>
      <w:r w:rsidR="00524A48" w:rsidRPr="00942EA0">
        <w:t>Belarus</w:t>
      </w:r>
      <w:r w:rsidR="00524A48" w:rsidRPr="002B0DD9">
        <w:t xml:space="preserve"> </w:t>
      </w:r>
      <w:r w:rsidR="00524A48">
        <w:t>(CCPR/C/105/D/</w:t>
      </w:r>
      <w:r w:rsidR="00524A48" w:rsidRPr="00AB5D75">
        <w:t>1867/2009, 1936, 1975</w:t>
      </w:r>
      <w:r w:rsidR="00524A48">
        <w:t xml:space="preserve">, </w:t>
      </w:r>
      <w:r w:rsidR="00524A48" w:rsidRPr="00AB5D75">
        <w:t>1977</w:t>
      </w:r>
      <w:r w:rsidR="00524A48">
        <w:t>–</w:t>
      </w:r>
      <w:r w:rsidR="00524A48" w:rsidRPr="00AB5D75">
        <w:t>1981</w:t>
      </w:r>
      <w:r w:rsidR="00524A48">
        <w:t xml:space="preserve">, </w:t>
      </w:r>
      <w:r w:rsidR="00524A48" w:rsidRPr="00AB5D75">
        <w:t>2010/2010</w:t>
      </w:r>
      <w:r w:rsidR="00524A48">
        <w:t xml:space="preserve">), para. 8.2, and </w:t>
      </w:r>
      <w:proofErr w:type="spellStart"/>
      <w:r w:rsidR="00524A48">
        <w:rPr>
          <w:i/>
        </w:rPr>
        <w:t>Poplavny</w:t>
      </w:r>
      <w:proofErr w:type="spellEnd"/>
      <w:r w:rsidR="00524A48">
        <w:rPr>
          <w:i/>
        </w:rPr>
        <w:t xml:space="preserve"> v. Belarus</w:t>
      </w:r>
      <w:r w:rsidR="00524A48">
        <w:rPr>
          <w:iCs/>
        </w:rPr>
        <w:t xml:space="preserve"> (CCPR/C/115/D/2019/2010), </w:t>
      </w:r>
      <w:r w:rsidR="00524A48" w:rsidRPr="00AB5D75">
        <w:t>para.</w:t>
      </w:r>
      <w:r w:rsidR="00524A48">
        <w:t xml:space="preserve"> 6</w:t>
      </w:r>
      <w:r w:rsidR="00524A48" w:rsidRPr="00AB5D75">
        <w:t>.</w:t>
      </w:r>
      <w:r w:rsidR="00524A48">
        <w:t>2</w:t>
      </w:r>
      <w:r w:rsidR="00524A48" w:rsidRPr="00AB5D75">
        <w:t>.</w:t>
      </w:r>
      <w:r w:rsidR="00524A48">
        <w:t xml:space="preserve"> </w:t>
      </w:r>
    </w:p>
  </w:footnote>
  <w:footnote w:id="8">
    <w:p w14:paraId="651E12BD" w14:textId="77777777" w:rsidR="00524A48" w:rsidRPr="007A6FA4" w:rsidRDefault="00524A48" w:rsidP="00942EA0">
      <w:pPr>
        <w:pStyle w:val="FootnoteText"/>
        <w:rPr>
          <w:lang w:val="es-SV"/>
        </w:rPr>
      </w:pPr>
      <w:r>
        <w:tab/>
      </w:r>
      <w:r w:rsidRPr="0098566E">
        <w:rPr>
          <w:rStyle w:val="FootnoteReference"/>
        </w:rPr>
        <w:footnoteRef/>
      </w:r>
      <w:r>
        <w:tab/>
        <w:t xml:space="preserve">See </w:t>
      </w:r>
      <w:r>
        <w:rPr>
          <w:i/>
        </w:rPr>
        <w:t>Alekseev v. Russian Federation</w:t>
      </w:r>
      <w:r>
        <w:t xml:space="preserve"> (</w:t>
      </w:r>
      <w:r w:rsidRPr="00BB2D00">
        <w:t>CCPR/C/109/D/1873/2009</w:t>
      </w:r>
      <w:r>
        <w:t xml:space="preserve">), para. </w:t>
      </w:r>
      <w:r w:rsidRPr="007A6FA4">
        <w:rPr>
          <w:lang w:val="es-SV"/>
        </w:rPr>
        <w:t xml:space="preserve">8.4; </w:t>
      </w:r>
      <w:r w:rsidRPr="007A6FA4">
        <w:rPr>
          <w:i/>
          <w:lang w:val="es-SV"/>
        </w:rPr>
        <w:t>Lozenko</w:t>
      </w:r>
      <w:r w:rsidRPr="007A6FA4">
        <w:rPr>
          <w:lang w:val="es-SV"/>
        </w:rPr>
        <w:t xml:space="preserve"> </w:t>
      </w:r>
      <w:r w:rsidRPr="007A6FA4">
        <w:rPr>
          <w:i/>
          <w:lang w:val="es-SV"/>
        </w:rPr>
        <w:t>v. Belarus</w:t>
      </w:r>
      <w:r w:rsidRPr="007A6FA4">
        <w:rPr>
          <w:lang w:val="es-SV"/>
        </w:rPr>
        <w:t xml:space="preserve"> (CCPR/C/112/D/1929/2010), para. 6.3</w:t>
      </w:r>
      <w:r>
        <w:rPr>
          <w:lang w:val="es-SV"/>
        </w:rPr>
        <w:t>;</w:t>
      </w:r>
      <w:r w:rsidRPr="007A6FA4">
        <w:rPr>
          <w:lang w:val="es-SV" w:eastAsia="en-GB"/>
        </w:rPr>
        <w:t xml:space="preserve"> </w:t>
      </w:r>
      <w:r w:rsidRPr="007A6FA4">
        <w:rPr>
          <w:i/>
          <w:iCs/>
          <w:lang w:val="es-SV" w:eastAsia="en-GB"/>
        </w:rPr>
        <w:t>Sudalenko v.</w:t>
      </w:r>
      <w:r w:rsidRPr="007A6FA4">
        <w:rPr>
          <w:lang w:val="es-SV" w:eastAsia="en-GB"/>
        </w:rPr>
        <w:t xml:space="preserve"> </w:t>
      </w:r>
      <w:r w:rsidRPr="007A6FA4">
        <w:rPr>
          <w:i/>
          <w:iCs/>
          <w:lang w:val="es-SV" w:eastAsia="en-GB"/>
        </w:rPr>
        <w:t>Belarus</w:t>
      </w:r>
      <w:r w:rsidRPr="007A6FA4">
        <w:rPr>
          <w:iCs/>
          <w:lang w:val="es-SV" w:eastAsia="en-GB"/>
        </w:rPr>
        <w:t xml:space="preserve"> (CCPR/C/115/D/2016/2010)</w:t>
      </w:r>
      <w:r w:rsidRPr="007A6FA4">
        <w:rPr>
          <w:lang w:val="es-SV" w:eastAsia="en-GB"/>
        </w:rPr>
        <w:t>, para. 7.3</w:t>
      </w:r>
      <w:r>
        <w:rPr>
          <w:lang w:val="es-SV" w:eastAsia="en-GB"/>
        </w:rPr>
        <w:t>;</w:t>
      </w:r>
      <w:r w:rsidRPr="007A6FA4">
        <w:rPr>
          <w:lang w:val="es-SV" w:eastAsia="en-GB"/>
        </w:rPr>
        <w:t xml:space="preserve"> </w:t>
      </w:r>
      <w:r w:rsidRPr="007A6FA4">
        <w:rPr>
          <w:i/>
          <w:lang w:val="es-SV" w:eastAsia="en-GB"/>
        </w:rPr>
        <w:t>Koreshkov v. Belarus</w:t>
      </w:r>
      <w:r w:rsidRPr="007A6FA4">
        <w:rPr>
          <w:lang w:val="es-SV" w:eastAsia="en-GB"/>
        </w:rPr>
        <w:t xml:space="preserve"> (CCPR/C/121/D/2168/2012), para. 7.3</w:t>
      </w:r>
      <w:r>
        <w:rPr>
          <w:lang w:val="es-SV" w:eastAsia="en-GB"/>
        </w:rPr>
        <w:t>;</w:t>
      </w:r>
      <w:r w:rsidRPr="007A6FA4">
        <w:rPr>
          <w:lang w:val="es-SV" w:eastAsia="en-GB"/>
        </w:rPr>
        <w:t xml:space="preserve"> and </w:t>
      </w:r>
      <w:r w:rsidRPr="007A6FA4">
        <w:rPr>
          <w:i/>
          <w:lang w:val="es-SV" w:eastAsia="en-GB"/>
        </w:rPr>
        <w:t>Abromchik v. Belarus</w:t>
      </w:r>
      <w:r w:rsidRPr="007A6FA4">
        <w:rPr>
          <w:lang w:val="es-SV" w:eastAsia="en-GB"/>
        </w:rPr>
        <w:t xml:space="preserve"> (CCPR/C/122/D/2228/2012), para 9.3.</w:t>
      </w:r>
    </w:p>
  </w:footnote>
  <w:footnote w:id="9">
    <w:p w14:paraId="1E79FC08" w14:textId="77777777" w:rsidR="009E0C18" w:rsidRDefault="009E0C18" w:rsidP="00942EA0">
      <w:pPr>
        <w:pStyle w:val="FootnoteText"/>
      </w:pPr>
      <w:r w:rsidRPr="007A7505">
        <w:rPr>
          <w:lang w:val="es-ES"/>
        </w:rPr>
        <w:tab/>
      </w:r>
      <w:r w:rsidRPr="008E6F38">
        <w:rPr>
          <w:vertAlign w:val="superscript"/>
        </w:rPr>
        <w:footnoteRef/>
      </w:r>
      <w:r w:rsidRPr="007A7505">
        <w:rPr>
          <w:lang w:val="es-ES"/>
        </w:rPr>
        <w:tab/>
      </w:r>
      <w:proofErr w:type="spellStart"/>
      <w:r w:rsidR="00FC344D" w:rsidRPr="007A7505">
        <w:rPr>
          <w:szCs w:val="18"/>
          <w:lang w:val="es-ES"/>
        </w:rPr>
        <w:t>See</w:t>
      </w:r>
      <w:proofErr w:type="spellEnd"/>
      <w:r w:rsidR="00FC344D" w:rsidRPr="007A7505">
        <w:rPr>
          <w:szCs w:val="18"/>
          <w:lang w:val="es-ES"/>
        </w:rPr>
        <w:t xml:space="preserve"> </w:t>
      </w:r>
      <w:proofErr w:type="spellStart"/>
      <w:r w:rsidR="003A7B41" w:rsidRPr="007A7505">
        <w:rPr>
          <w:i/>
          <w:lang w:val="es-ES"/>
        </w:rPr>
        <w:t>Zhukovsky</w:t>
      </w:r>
      <w:proofErr w:type="spellEnd"/>
      <w:r w:rsidR="003A7B41" w:rsidRPr="007A7505">
        <w:rPr>
          <w:i/>
          <w:lang w:val="es-ES"/>
        </w:rPr>
        <w:t xml:space="preserve"> </w:t>
      </w:r>
      <w:r w:rsidRPr="007A7505">
        <w:rPr>
          <w:i/>
          <w:lang w:val="es-ES"/>
        </w:rPr>
        <w:t xml:space="preserve">v. </w:t>
      </w:r>
      <w:proofErr w:type="spellStart"/>
      <w:r w:rsidRPr="007A7505">
        <w:rPr>
          <w:i/>
          <w:lang w:val="es-ES"/>
        </w:rPr>
        <w:t>Belarus</w:t>
      </w:r>
      <w:proofErr w:type="spellEnd"/>
      <w:r w:rsidR="003A7B41" w:rsidRPr="007A7505">
        <w:rPr>
          <w:lang w:val="es-ES"/>
        </w:rPr>
        <w:t xml:space="preserve"> (CCPR/C/127/2724/2016)</w:t>
      </w:r>
      <w:r w:rsidRPr="007A7505">
        <w:rPr>
          <w:lang w:val="es-ES"/>
        </w:rPr>
        <w:t xml:space="preserve">, para. </w:t>
      </w:r>
      <w:r w:rsidR="003A7B41" w:rsidRPr="007A7505">
        <w:rPr>
          <w:lang w:val="es-ES"/>
        </w:rPr>
        <w:t>6</w:t>
      </w:r>
      <w:r w:rsidRPr="007A7505">
        <w:rPr>
          <w:lang w:val="es-ES"/>
        </w:rPr>
        <w:t xml:space="preserve">.4; </w:t>
      </w:r>
      <w:proofErr w:type="spellStart"/>
      <w:r w:rsidR="003A7B41" w:rsidRPr="007A7505">
        <w:rPr>
          <w:i/>
          <w:lang w:val="es-ES"/>
        </w:rPr>
        <w:t>Zhukovsky</w:t>
      </w:r>
      <w:proofErr w:type="spellEnd"/>
      <w:r w:rsidR="003A7B41" w:rsidRPr="007A7505">
        <w:rPr>
          <w:i/>
          <w:lang w:val="es-ES"/>
        </w:rPr>
        <w:t xml:space="preserve"> v. </w:t>
      </w:r>
      <w:proofErr w:type="spellStart"/>
      <w:r w:rsidR="003A7B41" w:rsidRPr="007A7505">
        <w:rPr>
          <w:i/>
          <w:lang w:val="es-ES"/>
        </w:rPr>
        <w:t>Belarus</w:t>
      </w:r>
      <w:proofErr w:type="spellEnd"/>
      <w:r w:rsidR="003A7B41" w:rsidRPr="007A7505">
        <w:rPr>
          <w:lang w:val="es-ES"/>
        </w:rPr>
        <w:t xml:space="preserve"> (CCPR/C/127/2955/2017), para. </w:t>
      </w:r>
      <w:r w:rsidR="003A7B41">
        <w:t>6</w:t>
      </w:r>
      <w:r w:rsidR="003A7B41" w:rsidRPr="008E6F38">
        <w:t>.4</w:t>
      </w:r>
      <w:r w:rsidR="00FC344D">
        <w:t xml:space="preserve">; </w:t>
      </w:r>
      <w:proofErr w:type="spellStart"/>
      <w:r w:rsidR="00FC344D" w:rsidRPr="00942EA0">
        <w:t>Zhukovsky</w:t>
      </w:r>
      <w:proofErr w:type="spellEnd"/>
      <w:r w:rsidR="00FC344D" w:rsidRPr="007A6FA4">
        <w:rPr>
          <w:i/>
        </w:rPr>
        <w:t xml:space="preserve"> v. Belarus</w:t>
      </w:r>
      <w:r w:rsidR="00FC344D">
        <w:t xml:space="preserve"> (CCPR/C/127/3067/2017)</w:t>
      </w:r>
      <w:r w:rsidR="00FC344D" w:rsidRPr="008E6F38">
        <w:t xml:space="preserve">, para. </w:t>
      </w:r>
      <w:r w:rsidR="00FC344D">
        <w:t>6</w:t>
      </w:r>
      <w:r w:rsidR="00FC344D" w:rsidRPr="008E6F38">
        <w:t>.</w:t>
      </w:r>
      <w:r w:rsidR="00FC344D">
        <w:t>6</w:t>
      </w:r>
      <w:r w:rsidRPr="008E6F38">
        <w:t>.</w:t>
      </w:r>
    </w:p>
  </w:footnote>
  <w:footnote w:id="10">
    <w:p w14:paraId="33839B65" w14:textId="77777777" w:rsidR="005509BD" w:rsidRDefault="005509BD" w:rsidP="005509BD">
      <w:pPr>
        <w:pStyle w:val="FootnoteText"/>
      </w:pPr>
      <w:r>
        <w:tab/>
      </w:r>
      <w:r>
        <w:rPr>
          <w:rStyle w:val="FootnoteReference"/>
        </w:rPr>
        <w:footnoteRef/>
      </w:r>
      <w:r>
        <w:t xml:space="preserve"> </w:t>
      </w:r>
      <w:r>
        <w:tab/>
      </w:r>
      <w:r>
        <w:tab/>
      </w:r>
      <w:r w:rsidRPr="0066034B">
        <w:t>General comment No. 3</w:t>
      </w:r>
      <w:r>
        <w:t>7</w:t>
      </w:r>
      <w:r w:rsidRPr="0066034B">
        <w:t xml:space="preserve"> (20</w:t>
      </w:r>
      <w:r>
        <w:t>20</w:t>
      </w:r>
      <w:r w:rsidRPr="0066034B">
        <w:t xml:space="preserve">) on the </w:t>
      </w:r>
      <w:r>
        <w:t xml:space="preserve">right of peaceful assembly, </w:t>
      </w:r>
      <w:r w:rsidRPr="0066034B">
        <w:t xml:space="preserve">para. </w:t>
      </w:r>
      <w:r>
        <w:t>55</w:t>
      </w:r>
      <w:r w:rsidRPr="00104287">
        <w:rPr>
          <w:lang w:val="en-GB"/>
        </w:rPr>
        <w:t>.</w:t>
      </w:r>
    </w:p>
  </w:footnote>
  <w:footnote w:id="11">
    <w:p w14:paraId="5AED4130" w14:textId="77777777" w:rsidR="005509BD" w:rsidRDefault="005509BD" w:rsidP="005509BD">
      <w:pPr>
        <w:pStyle w:val="FootnoteText"/>
        <w:rPr>
          <w:szCs w:val="18"/>
        </w:rPr>
      </w:pPr>
      <w:r>
        <w:rPr>
          <w:szCs w:val="18"/>
        </w:rPr>
        <w:tab/>
      </w:r>
      <w:r>
        <w:rPr>
          <w:rStyle w:val="FootnoteReference"/>
        </w:rPr>
        <w:footnoteRef/>
      </w:r>
      <w:r>
        <w:rPr>
          <w:szCs w:val="18"/>
        </w:rPr>
        <w:tab/>
        <w:t>Ibid., para 64.</w:t>
      </w:r>
    </w:p>
  </w:footnote>
  <w:footnote w:id="12">
    <w:p w14:paraId="1149F18D" w14:textId="77777777" w:rsidR="005509BD" w:rsidRPr="00E044C7" w:rsidRDefault="005509BD" w:rsidP="005509BD">
      <w:pPr>
        <w:pStyle w:val="FootnoteText"/>
      </w:pPr>
      <w:r w:rsidRPr="00E044C7">
        <w:rPr>
          <w:lang w:val="es-ES_tradnl"/>
        </w:rPr>
        <w:tab/>
      </w:r>
      <w:r w:rsidRPr="00654CF8">
        <w:rPr>
          <w:rStyle w:val="FootnoteReference"/>
        </w:rPr>
        <w:footnoteRef/>
      </w:r>
      <w:r w:rsidRPr="00E044C7">
        <w:rPr>
          <w:lang w:val="es-ES_tradnl"/>
        </w:rPr>
        <w:tab/>
      </w:r>
      <w:proofErr w:type="spellStart"/>
      <w:r w:rsidRPr="00E044C7">
        <w:rPr>
          <w:i/>
          <w:iCs/>
          <w:lang w:val="es-ES_tradnl" w:eastAsia="en-GB"/>
        </w:rPr>
        <w:t>Poplavny</w:t>
      </w:r>
      <w:proofErr w:type="spellEnd"/>
      <w:r w:rsidRPr="00E044C7">
        <w:rPr>
          <w:i/>
          <w:iCs/>
          <w:lang w:val="es-ES_tradnl" w:eastAsia="en-GB"/>
        </w:rPr>
        <w:t xml:space="preserve"> v</w:t>
      </w:r>
      <w:r w:rsidRPr="00E044C7">
        <w:rPr>
          <w:lang w:val="es-ES_tradnl" w:eastAsia="en-GB"/>
        </w:rPr>
        <w:t xml:space="preserve">. </w:t>
      </w:r>
      <w:proofErr w:type="spellStart"/>
      <w:r w:rsidRPr="00E044C7">
        <w:rPr>
          <w:i/>
          <w:iCs/>
          <w:lang w:val="es-ES_tradnl" w:eastAsia="en-GB"/>
        </w:rPr>
        <w:t>Belarus</w:t>
      </w:r>
      <w:proofErr w:type="spellEnd"/>
      <w:r w:rsidRPr="00E044C7">
        <w:rPr>
          <w:lang w:val="es-ES_tradnl" w:eastAsia="en-GB"/>
        </w:rPr>
        <w:t xml:space="preserve"> (CCPR/C/115/D/2019/2010), para. </w:t>
      </w:r>
      <w:r w:rsidRPr="00E044C7">
        <w:rPr>
          <w:lang w:eastAsia="en-GB"/>
        </w:rPr>
        <w:t>8.4.</w:t>
      </w:r>
      <w:r w:rsidRPr="00E044C7">
        <w:t xml:space="preserve"> </w:t>
      </w:r>
    </w:p>
  </w:footnote>
  <w:footnote w:id="13">
    <w:p w14:paraId="48C68A82" w14:textId="77777777" w:rsidR="00524A48" w:rsidRPr="00E044C7" w:rsidRDefault="00524A48" w:rsidP="00942EA0">
      <w:pPr>
        <w:pStyle w:val="FootnoteText"/>
        <w:rPr>
          <w:lang w:val="es-ES_tradnl"/>
        </w:rPr>
      </w:pPr>
      <w:r w:rsidRPr="00E044C7">
        <w:tab/>
      </w:r>
      <w:r w:rsidRPr="00654CF8">
        <w:rPr>
          <w:rStyle w:val="FootnoteReference"/>
        </w:rPr>
        <w:footnoteRef/>
      </w:r>
      <w:r w:rsidRPr="00E044C7">
        <w:tab/>
        <w:t xml:space="preserve">General comment No. </w:t>
      </w:r>
      <w:r w:rsidRPr="00942EA0">
        <w:t>34</w:t>
      </w:r>
      <w:r w:rsidRPr="00E044C7">
        <w:t xml:space="preserve"> (2011) on the freedoms of opinion and expression, para. </w:t>
      </w:r>
      <w:r w:rsidRPr="00E044C7">
        <w:rPr>
          <w:lang w:val="es-ES_tradnl"/>
        </w:rPr>
        <w:t>2.</w:t>
      </w:r>
    </w:p>
  </w:footnote>
  <w:footnote w:id="14">
    <w:p w14:paraId="03BC81A2" w14:textId="77777777" w:rsidR="00524A48" w:rsidRPr="00E044C7" w:rsidRDefault="00524A48" w:rsidP="00F241E7">
      <w:pPr>
        <w:pStyle w:val="FootnoteText"/>
        <w:rPr>
          <w:lang w:val="es-ES_tradnl"/>
        </w:rPr>
      </w:pPr>
      <w:r w:rsidRPr="00E044C7">
        <w:rPr>
          <w:lang w:val="es-ES_tradnl"/>
        </w:rPr>
        <w:tab/>
      </w:r>
      <w:r w:rsidRPr="00654CF8">
        <w:rPr>
          <w:rStyle w:val="FootnoteReference"/>
        </w:rPr>
        <w:footnoteRef/>
      </w:r>
      <w:r w:rsidRPr="00E044C7">
        <w:rPr>
          <w:rFonts w:eastAsia="Arial Unicode MS" w:hAnsi="Arial Unicode MS" w:cs="Arial Unicode MS"/>
          <w:lang w:val="es-ES_tradnl"/>
        </w:rPr>
        <w:tab/>
      </w:r>
      <w:proofErr w:type="spellStart"/>
      <w:r w:rsidRPr="00E044C7">
        <w:rPr>
          <w:rFonts w:eastAsia="Arial Unicode MS" w:hAnsi="Arial Unicode MS" w:cs="Arial Unicode MS"/>
          <w:lang w:val="es-ES_tradnl"/>
        </w:rPr>
        <w:t>Ibid</w:t>
      </w:r>
      <w:proofErr w:type="spellEnd"/>
      <w:r w:rsidRPr="00E044C7">
        <w:rPr>
          <w:rFonts w:eastAsia="Arial Unicode MS" w:hAnsi="Arial Unicode MS" w:cs="Arial Unicode MS"/>
          <w:lang w:val="es-ES_tradnl"/>
        </w:rPr>
        <w:t>., para. 34.</w:t>
      </w:r>
    </w:p>
  </w:footnote>
  <w:footnote w:id="15">
    <w:p w14:paraId="71C5E69C" w14:textId="77777777" w:rsidR="00524A48" w:rsidRPr="00E044C7" w:rsidRDefault="00524A48" w:rsidP="00942EA0">
      <w:pPr>
        <w:pStyle w:val="FootnoteText"/>
        <w:rPr>
          <w:lang w:val="es-ES_tradnl"/>
        </w:rPr>
      </w:pPr>
      <w:r w:rsidRPr="00E044C7">
        <w:rPr>
          <w:lang w:val="es-ES_tradnl"/>
        </w:rPr>
        <w:tab/>
      </w:r>
      <w:r w:rsidRPr="00654CF8">
        <w:rPr>
          <w:rStyle w:val="FootnoteReference"/>
        </w:rPr>
        <w:footnoteRef/>
      </w:r>
      <w:r w:rsidRPr="00E044C7">
        <w:rPr>
          <w:lang w:val="es-ES_tradnl"/>
        </w:rPr>
        <w:tab/>
      </w:r>
      <w:proofErr w:type="spellStart"/>
      <w:r w:rsidRPr="00E044C7">
        <w:rPr>
          <w:i/>
          <w:lang w:val="es-ES_tradnl"/>
        </w:rPr>
        <w:t>Androsenko</w:t>
      </w:r>
      <w:proofErr w:type="spellEnd"/>
      <w:r w:rsidRPr="00E044C7">
        <w:rPr>
          <w:i/>
          <w:lang w:val="es-ES_tradnl"/>
        </w:rPr>
        <w:t xml:space="preserve"> v. </w:t>
      </w:r>
      <w:proofErr w:type="spellStart"/>
      <w:r w:rsidRPr="00E044C7">
        <w:rPr>
          <w:i/>
          <w:lang w:val="es-ES_tradnl"/>
        </w:rPr>
        <w:t>Belarus</w:t>
      </w:r>
      <w:proofErr w:type="spellEnd"/>
      <w:r w:rsidRPr="00E044C7">
        <w:rPr>
          <w:lang w:val="es-ES_tradnl"/>
        </w:rPr>
        <w:t xml:space="preserve"> (</w:t>
      </w:r>
      <w:r w:rsidRPr="007A7505">
        <w:rPr>
          <w:lang w:val="es-ES"/>
        </w:rPr>
        <w:t>CCPR</w:t>
      </w:r>
      <w:r w:rsidRPr="00E044C7">
        <w:rPr>
          <w:lang w:val="es-ES_tradnl"/>
        </w:rPr>
        <w:t>/C/116/D/2092/2011), para.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3EBD" w14:textId="5F99AEC9" w:rsidR="00524A48" w:rsidRPr="00781C83" w:rsidRDefault="00BB3886" w:rsidP="00A23F68">
    <w:pPr>
      <w:pStyle w:val="Header"/>
      <w:pBdr>
        <w:bottom w:val="single" w:sz="4" w:space="0" w:color="auto"/>
      </w:pBdr>
    </w:pPr>
    <w:r w:rsidRPr="00BB3886">
      <w:t>Advance unedited version</w:t>
    </w:r>
    <w:r>
      <w:t xml:space="preserve"> </w:t>
    </w:r>
    <w:r w:rsidR="00524A48">
      <w:t>CCPR</w:t>
    </w:r>
    <w:r w:rsidR="00524A48" w:rsidRPr="00607635">
      <w:t>/</w:t>
    </w:r>
    <w:r w:rsidR="00524A48" w:rsidRPr="00415BA0">
      <w:t>C/1</w:t>
    </w:r>
    <w:r w:rsidR="00A23F68">
      <w:t>30</w:t>
    </w:r>
    <w:r w:rsidR="00524A48" w:rsidRPr="00415BA0">
      <w:t>/D2</w:t>
    </w:r>
    <w:r w:rsidR="00524A48">
      <w:t>330</w:t>
    </w:r>
    <w:r w:rsidR="00524A48" w:rsidRPr="00415BA0">
      <w:t>/201</w:t>
    </w:r>
    <w:r w:rsidR="00524A48">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5529" w14:textId="32D612CB" w:rsidR="00524A48" w:rsidRPr="00781C83" w:rsidRDefault="00BB3886">
    <w:pPr>
      <w:pStyle w:val="Header"/>
      <w:pBdr>
        <w:bottom w:val="single" w:sz="4" w:space="0" w:color="auto"/>
      </w:pBdr>
      <w:jc w:val="right"/>
    </w:pPr>
    <w:r w:rsidRPr="00BB3886">
      <w:t>Advance unedited version</w:t>
    </w:r>
    <w:r>
      <w:t xml:space="preserve"> </w:t>
    </w:r>
    <w:r w:rsidR="00524A48">
      <w:t>CCPR</w:t>
    </w:r>
    <w:r w:rsidR="00524A48" w:rsidRPr="00607635">
      <w:t>/</w:t>
    </w:r>
    <w:r w:rsidR="00524A48" w:rsidRPr="00415BA0">
      <w:t>C/1</w:t>
    </w:r>
    <w:r w:rsidR="00A23F68">
      <w:t>30</w:t>
    </w:r>
    <w:r w:rsidR="00524A48" w:rsidRPr="00415BA0">
      <w:t>/D/2</w:t>
    </w:r>
    <w:r w:rsidR="00524A48">
      <w:t>330</w:t>
    </w:r>
    <w:r w:rsidR="00524A48" w:rsidRPr="00415BA0">
      <w:t>/201</w:t>
    </w:r>
    <w:r w:rsidR="00524A4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2D5F4D31"/>
    <w:multiLevelType w:val="multilevel"/>
    <w:tmpl w:val="2856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6"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5"/>
  </w:num>
  <w:num w:numId="4">
    <w:abstractNumId w:val="1"/>
  </w:num>
  <w:num w:numId="5">
    <w:abstractNumId w:val="6"/>
  </w:num>
  <w:num w:numId="6">
    <w:abstractNumId w:val="8"/>
  </w:num>
  <w:num w:numId="7">
    <w:abstractNumId w:val="2"/>
  </w:num>
  <w:num w:numId="8">
    <w:abstractNumId w:val="4"/>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s-SV"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03BB"/>
    <w:rsid w:val="000011C1"/>
    <w:rsid w:val="00002773"/>
    <w:rsid w:val="00003ABF"/>
    <w:rsid w:val="000044E2"/>
    <w:rsid w:val="00005BD8"/>
    <w:rsid w:val="00006D75"/>
    <w:rsid w:val="000072A9"/>
    <w:rsid w:val="0000757A"/>
    <w:rsid w:val="00010484"/>
    <w:rsid w:val="000128E3"/>
    <w:rsid w:val="000129BC"/>
    <w:rsid w:val="00012A71"/>
    <w:rsid w:val="000135C3"/>
    <w:rsid w:val="00013B77"/>
    <w:rsid w:val="00013C4A"/>
    <w:rsid w:val="00013FFE"/>
    <w:rsid w:val="000143DE"/>
    <w:rsid w:val="00015935"/>
    <w:rsid w:val="000161B1"/>
    <w:rsid w:val="00016DB6"/>
    <w:rsid w:val="000178D8"/>
    <w:rsid w:val="000205BB"/>
    <w:rsid w:val="00020F51"/>
    <w:rsid w:val="000222FF"/>
    <w:rsid w:val="000227DC"/>
    <w:rsid w:val="00022CC7"/>
    <w:rsid w:val="000240F7"/>
    <w:rsid w:val="00024133"/>
    <w:rsid w:val="00025269"/>
    <w:rsid w:val="00025370"/>
    <w:rsid w:val="00025418"/>
    <w:rsid w:val="00025856"/>
    <w:rsid w:val="00025B51"/>
    <w:rsid w:val="00025D41"/>
    <w:rsid w:val="00026B06"/>
    <w:rsid w:val="000272B3"/>
    <w:rsid w:val="00027A45"/>
    <w:rsid w:val="00031D46"/>
    <w:rsid w:val="00031D9B"/>
    <w:rsid w:val="00032A3A"/>
    <w:rsid w:val="00032EDF"/>
    <w:rsid w:val="0003387B"/>
    <w:rsid w:val="00034637"/>
    <w:rsid w:val="00034DE4"/>
    <w:rsid w:val="00035F0E"/>
    <w:rsid w:val="00035FA7"/>
    <w:rsid w:val="00036D15"/>
    <w:rsid w:val="00037807"/>
    <w:rsid w:val="00037AD0"/>
    <w:rsid w:val="000404F2"/>
    <w:rsid w:val="0004092D"/>
    <w:rsid w:val="00040CAE"/>
    <w:rsid w:val="000415D6"/>
    <w:rsid w:val="00041994"/>
    <w:rsid w:val="000419D2"/>
    <w:rsid w:val="00044035"/>
    <w:rsid w:val="000444F2"/>
    <w:rsid w:val="000448FF"/>
    <w:rsid w:val="00044DAB"/>
    <w:rsid w:val="00044EE9"/>
    <w:rsid w:val="00050F6B"/>
    <w:rsid w:val="00052674"/>
    <w:rsid w:val="00053842"/>
    <w:rsid w:val="00053B87"/>
    <w:rsid w:val="00055096"/>
    <w:rsid w:val="0005668D"/>
    <w:rsid w:val="0005782B"/>
    <w:rsid w:val="00057E97"/>
    <w:rsid w:val="00057F1A"/>
    <w:rsid w:val="00060074"/>
    <w:rsid w:val="00060C3A"/>
    <w:rsid w:val="00062CFF"/>
    <w:rsid w:val="00063B22"/>
    <w:rsid w:val="00064B7C"/>
    <w:rsid w:val="00066476"/>
    <w:rsid w:val="00067250"/>
    <w:rsid w:val="000711B4"/>
    <w:rsid w:val="00071FC0"/>
    <w:rsid w:val="000727E4"/>
    <w:rsid w:val="00072B13"/>
    <w:rsid w:val="00072C8C"/>
    <w:rsid w:val="000733B5"/>
    <w:rsid w:val="00074EE4"/>
    <w:rsid w:val="0007628F"/>
    <w:rsid w:val="000772FF"/>
    <w:rsid w:val="00077BC4"/>
    <w:rsid w:val="00081815"/>
    <w:rsid w:val="0008278D"/>
    <w:rsid w:val="0008317C"/>
    <w:rsid w:val="00083322"/>
    <w:rsid w:val="000856F6"/>
    <w:rsid w:val="000908FA"/>
    <w:rsid w:val="000919EE"/>
    <w:rsid w:val="000931C0"/>
    <w:rsid w:val="00093C0B"/>
    <w:rsid w:val="00094068"/>
    <w:rsid w:val="00094C48"/>
    <w:rsid w:val="000967E8"/>
    <w:rsid w:val="000970C1"/>
    <w:rsid w:val="00097416"/>
    <w:rsid w:val="000A0A3D"/>
    <w:rsid w:val="000A0FB7"/>
    <w:rsid w:val="000A2283"/>
    <w:rsid w:val="000A22AD"/>
    <w:rsid w:val="000A34F4"/>
    <w:rsid w:val="000A442E"/>
    <w:rsid w:val="000A50A8"/>
    <w:rsid w:val="000A6B47"/>
    <w:rsid w:val="000A7D92"/>
    <w:rsid w:val="000B175B"/>
    <w:rsid w:val="000B1788"/>
    <w:rsid w:val="000B1A95"/>
    <w:rsid w:val="000B1F33"/>
    <w:rsid w:val="000B31F7"/>
    <w:rsid w:val="000B3A0F"/>
    <w:rsid w:val="000B4A49"/>
    <w:rsid w:val="000B4EF7"/>
    <w:rsid w:val="000B6CA3"/>
    <w:rsid w:val="000B77CE"/>
    <w:rsid w:val="000C0CFF"/>
    <w:rsid w:val="000C1E04"/>
    <w:rsid w:val="000C2570"/>
    <w:rsid w:val="000C2C03"/>
    <w:rsid w:val="000C2D2E"/>
    <w:rsid w:val="000C2E06"/>
    <w:rsid w:val="000C4C42"/>
    <w:rsid w:val="000C4F81"/>
    <w:rsid w:val="000C6F58"/>
    <w:rsid w:val="000C71A2"/>
    <w:rsid w:val="000C7321"/>
    <w:rsid w:val="000C769F"/>
    <w:rsid w:val="000C7C9A"/>
    <w:rsid w:val="000D0785"/>
    <w:rsid w:val="000D0A22"/>
    <w:rsid w:val="000D1DA6"/>
    <w:rsid w:val="000D2FB4"/>
    <w:rsid w:val="000D4E61"/>
    <w:rsid w:val="000D5039"/>
    <w:rsid w:val="000D56AE"/>
    <w:rsid w:val="000D7119"/>
    <w:rsid w:val="000D71AC"/>
    <w:rsid w:val="000E0415"/>
    <w:rsid w:val="000E0A4F"/>
    <w:rsid w:val="000E0C6B"/>
    <w:rsid w:val="000E0E8E"/>
    <w:rsid w:val="000E10B6"/>
    <w:rsid w:val="000E133E"/>
    <w:rsid w:val="000E2BE1"/>
    <w:rsid w:val="000E42FA"/>
    <w:rsid w:val="000E4735"/>
    <w:rsid w:val="000E536B"/>
    <w:rsid w:val="000E567F"/>
    <w:rsid w:val="000E5F6E"/>
    <w:rsid w:val="000E645D"/>
    <w:rsid w:val="000E6AD2"/>
    <w:rsid w:val="000E7797"/>
    <w:rsid w:val="000E7B78"/>
    <w:rsid w:val="000F03D7"/>
    <w:rsid w:val="000F0852"/>
    <w:rsid w:val="000F0A23"/>
    <w:rsid w:val="000F0C6A"/>
    <w:rsid w:val="000F0DAA"/>
    <w:rsid w:val="000F14F5"/>
    <w:rsid w:val="000F1BE3"/>
    <w:rsid w:val="000F277A"/>
    <w:rsid w:val="000F2B93"/>
    <w:rsid w:val="000F375D"/>
    <w:rsid w:val="000F3E44"/>
    <w:rsid w:val="000F4E65"/>
    <w:rsid w:val="000F570E"/>
    <w:rsid w:val="000F648B"/>
    <w:rsid w:val="000F64A9"/>
    <w:rsid w:val="000F691C"/>
    <w:rsid w:val="000F6BEA"/>
    <w:rsid w:val="000F76E4"/>
    <w:rsid w:val="000F76FA"/>
    <w:rsid w:val="000F7E69"/>
    <w:rsid w:val="0010135A"/>
    <w:rsid w:val="00101383"/>
    <w:rsid w:val="001015D7"/>
    <w:rsid w:val="001018A9"/>
    <w:rsid w:val="00101CC4"/>
    <w:rsid w:val="00102AC0"/>
    <w:rsid w:val="001037D9"/>
    <w:rsid w:val="00103A7A"/>
    <w:rsid w:val="00104EB3"/>
    <w:rsid w:val="00105EAF"/>
    <w:rsid w:val="00106602"/>
    <w:rsid w:val="0010694D"/>
    <w:rsid w:val="00107601"/>
    <w:rsid w:val="001103AA"/>
    <w:rsid w:val="00110C53"/>
    <w:rsid w:val="0011184E"/>
    <w:rsid w:val="00111AAA"/>
    <w:rsid w:val="00111AD2"/>
    <w:rsid w:val="00111B07"/>
    <w:rsid w:val="0011434F"/>
    <w:rsid w:val="00114AD2"/>
    <w:rsid w:val="00115ABE"/>
    <w:rsid w:val="00115DDE"/>
    <w:rsid w:val="00117CC9"/>
    <w:rsid w:val="00117EA3"/>
    <w:rsid w:val="00121F92"/>
    <w:rsid w:val="00123048"/>
    <w:rsid w:val="00123C95"/>
    <w:rsid w:val="00123D22"/>
    <w:rsid w:val="00124014"/>
    <w:rsid w:val="0012427D"/>
    <w:rsid w:val="00124442"/>
    <w:rsid w:val="001245B3"/>
    <w:rsid w:val="00124DDE"/>
    <w:rsid w:val="00124EA1"/>
    <w:rsid w:val="001252BD"/>
    <w:rsid w:val="00125565"/>
    <w:rsid w:val="00125C47"/>
    <w:rsid w:val="00125DB6"/>
    <w:rsid w:val="001306DD"/>
    <w:rsid w:val="001315E3"/>
    <w:rsid w:val="00131853"/>
    <w:rsid w:val="0013235B"/>
    <w:rsid w:val="00132519"/>
    <w:rsid w:val="00132619"/>
    <w:rsid w:val="00132E4D"/>
    <w:rsid w:val="00133611"/>
    <w:rsid w:val="00133871"/>
    <w:rsid w:val="00133C93"/>
    <w:rsid w:val="001349A9"/>
    <w:rsid w:val="001360FC"/>
    <w:rsid w:val="0013670D"/>
    <w:rsid w:val="001372BA"/>
    <w:rsid w:val="00141A12"/>
    <w:rsid w:val="00142286"/>
    <w:rsid w:val="00143694"/>
    <w:rsid w:val="00145CA7"/>
    <w:rsid w:val="00146792"/>
    <w:rsid w:val="0015032A"/>
    <w:rsid w:val="00151CCD"/>
    <w:rsid w:val="00153530"/>
    <w:rsid w:val="00154F56"/>
    <w:rsid w:val="0015515E"/>
    <w:rsid w:val="00155CE2"/>
    <w:rsid w:val="00155FA1"/>
    <w:rsid w:val="00156376"/>
    <w:rsid w:val="001565BB"/>
    <w:rsid w:val="001576E2"/>
    <w:rsid w:val="00157DFB"/>
    <w:rsid w:val="00160FB9"/>
    <w:rsid w:val="00161077"/>
    <w:rsid w:val="00161364"/>
    <w:rsid w:val="00161B02"/>
    <w:rsid w:val="00161BAD"/>
    <w:rsid w:val="00161C6C"/>
    <w:rsid w:val="001649C8"/>
    <w:rsid w:val="00165896"/>
    <w:rsid w:val="00165F3A"/>
    <w:rsid w:val="001675E4"/>
    <w:rsid w:val="001676A8"/>
    <w:rsid w:val="00170114"/>
    <w:rsid w:val="00170F0A"/>
    <w:rsid w:val="00171C45"/>
    <w:rsid w:val="0017277A"/>
    <w:rsid w:val="00172B2B"/>
    <w:rsid w:val="00173A07"/>
    <w:rsid w:val="00174011"/>
    <w:rsid w:val="0017551B"/>
    <w:rsid w:val="00175A57"/>
    <w:rsid w:val="001761C2"/>
    <w:rsid w:val="0017676A"/>
    <w:rsid w:val="00176BF6"/>
    <w:rsid w:val="00176FE1"/>
    <w:rsid w:val="00177188"/>
    <w:rsid w:val="00177A2D"/>
    <w:rsid w:val="00177BC5"/>
    <w:rsid w:val="00177D69"/>
    <w:rsid w:val="001802E1"/>
    <w:rsid w:val="0018052F"/>
    <w:rsid w:val="00180619"/>
    <w:rsid w:val="00181068"/>
    <w:rsid w:val="00182A46"/>
    <w:rsid w:val="00183968"/>
    <w:rsid w:val="00183C6C"/>
    <w:rsid w:val="00184926"/>
    <w:rsid w:val="00185588"/>
    <w:rsid w:val="001861C1"/>
    <w:rsid w:val="00187952"/>
    <w:rsid w:val="0019289A"/>
    <w:rsid w:val="00193B80"/>
    <w:rsid w:val="0019468C"/>
    <w:rsid w:val="00194BB8"/>
    <w:rsid w:val="00194C49"/>
    <w:rsid w:val="00194E30"/>
    <w:rsid w:val="0019538A"/>
    <w:rsid w:val="00195FA5"/>
    <w:rsid w:val="00196CDF"/>
    <w:rsid w:val="00196D06"/>
    <w:rsid w:val="001975D8"/>
    <w:rsid w:val="001977D2"/>
    <w:rsid w:val="001A0434"/>
    <w:rsid w:val="001A079F"/>
    <w:rsid w:val="001A09DE"/>
    <w:rsid w:val="001A1064"/>
    <w:rsid w:val="001A149B"/>
    <w:rsid w:val="001A188E"/>
    <w:rsid w:val="001A250A"/>
    <w:rsid w:val="001A2576"/>
    <w:rsid w:val="001A2E0B"/>
    <w:rsid w:val="001A30F9"/>
    <w:rsid w:val="001A3662"/>
    <w:rsid w:val="001A44F4"/>
    <w:rsid w:val="001A457F"/>
    <w:rsid w:val="001A5755"/>
    <w:rsid w:val="001A58D1"/>
    <w:rsid w:val="001A62D6"/>
    <w:rsid w:val="001A660B"/>
    <w:rsid w:val="001A6686"/>
    <w:rsid w:val="001A6E68"/>
    <w:rsid w:val="001A723C"/>
    <w:rsid w:val="001A7754"/>
    <w:rsid w:val="001B1953"/>
    <w:rsid w:val="001B2141"/>
    <w:rsid w:val="001B3687"/>
    <w:rsid w:val="001B368C"/>
    <w:rsid w:val="001B400C"/>
    <w:rsid w:val="001B4041"/>
    <w:rsid w:val="001B4B04"/>
    <w:rsid w:val="001B4F72"/>
    <w:rsid w:val="001B55BE"/>
    <w:rsid w:val="001B734D"/>
    <w:rsid w:val="001B7CF6"/>
    <w:rsid w:val="001C031B"/>
    <w:rsid w:val="001C276E"/>
    <w:rsid w:val="001C2DCB"/>
    <w:rsid w:val="001C326D"/>
    <w:rsid w:val="001C538B"/>
    <w:rsid w:val="001C6016"/>
    <w:rsid w:val="001C657F"/>
    <w:rsid w:val="001C6663"/>
    <w:rsid w:val="001C6B47"/>
    <w:rsid w:val="001C70B8"/>
    <w:rsid w:val="001C7895"/>
    <w:rsid w:val="001D04B8"/>
    <w:rsid w:val="001D08FF"/>
    <w:rsid w:val="001D0A36"/>
    <w:rsid w:val="001D0C8C"/>
    <w:rsid w:val="001D2097"/>
    <w:rsid w:val="001D26DF"/>
    <w:rsid w:val="001D2754"/>
    <w:rsid w:val="001D2861"/>
    <w:rsid w:val="001D384D"/>
    <w:rsid w:val="001D3A03"/>
    <w:rsid w:val="001D4B84"/>
    <w:rsid w:val="001D4DCF"/>
    <w:rsid w:val="001D5307"/>
    <w:rsid w:val="001D5C81"/>
    <w:rsid w:val="001D68E1"/>
    <w:rsid w:val="001E06D9"/>
    <w:rsid w:val="001E0966"/>
    <w:rsid w:val="001E10EC"/>
    <w:rsid w:val="001E1235"/>
    <w:rsid w:val="001E14B4"/>
    <w:rsid w:val="001E16A3"/>
    <w:rsid w:val="001E175D"/>
    <w:rsid w:val="001E1A5C"/>
    <w:rsid w:val="001E3129"/>
    <w:rsid w:val="001E33AB"/>
    <w:rsid w:val="001E357C"/>
    <w:rsid w:val="001E3A36"/>
    <w:rsid w:val="001E48A9"/>
    <w:rsid w:val="001E6800"/>
    <w:rsid w:val="001E68DA"/>
    <w:rsid w:val="001F11C8"/>
    <w:rsid w:val="001F2774"/>
    <w:rsid w:val="001F468C"/>
    <w:rsid w:val="001F6654"/>
    <w:rsid w:val="001F6BB9"/>
    <w:rsid w:val="001F740A"/>
    <w:rsid w:val="001F7FC8"/>
    <w:rsid w:val="00200A64"/>
    <w:rsid w:val="00200CC4"/>
    <w:rsid w:val="002012C3"/>
    <w:rsid w:val="00202385"/>
    <w:rsid w:val="00202806"/>
    <w:rsid w:val="00202DA8"/>
    <w:rsid w:val="002039DE"/>
    <w:rsid w:val="002040DE"/>
    <w:rsid w:val="00204A72"/>
    <w:rsid w:val="00205B96"/>
    <w:rsid w:val="0020739A"/>
    <w:rsid w:val="00210AE2"/>
    <w:rsid w:val="00210CE0"/>
    <w:rsid w:val="002117EE"/>
    <w:rsid w:val="00211E0B"/>
    <w:rsid w:val="00212027"/>
    <w:rsid w:val="00212373"/>
    <w:rsid w:val="0021245A"/>
    <w:rsid w:val="002130C2"/>
    <w:rsid w:val="0021484E"/>
    <w:rsid w:val="00214B06"/>
    <w:rsid w:val="00216A79"/>
    <w:rsid w:val="0021746E"/>
    <w:rsid w:val="00217CED"/>
    <w:rsid w:val="00217DDD"/>
    <w:rsid w:val="00222072"/>
    <w:rsid w:val="0022219E"/>
    <w:rsid w:val="002222A7"/>
    <w:rsid w:val="00222DFC"/>
    <w:rsid w:val="0022501D"/>
    <w:rsid w:val="0022665C"/>
    <w:rsid w:val="00226F53"/>
    <w:rsid w:val="00230A26"/>
    <w:rsid w:val="00230BE5"/>
    <w:rsid w:val="002310A9"/>
    <w:rsid w:val="002313C7"/>
    <w:rsid w:val="00231675"/>
    <w:rsid w:val="00231C9F"/>
    <w:rsid w:val="0023210C"/>
    <w:rsid w:val="00232832"/>
    <w:rsid w:val="00232D9D"/>
    <w:rsid w:val="002340C1"/>
    <w:rsid w:val="00235CC1"/>
    <w:rsid w:val="00236D66"/>
    <w:rsid w:val="002414CD"/>
    <w:rsid w:val="002431F8"/>
    <w:rsid w:val="00243ABE"/>
    <w:rsid w:val="00243DD1"/>
    <w:rsid w:val="00244127"/>
    <w:rsid w:val="00244A62"/>
    <w:rsid w:val="00244EDE"/>
    <w:rsid w:val="002450F8"/>
    <w:rsid w:val="00245DF8"/>
    <w:rsid w:val="00246C6C"/>
    <w:rsid w:val="00250361"/>
    <w:rsid w:val="002503F6"/>
    <w:rsid w:val="00251C31"/>
    <w:rsid w:val="00252170"/>
    <w:rsid w:val="00253E54"/>
    <w:rsid w:val="00255D2B"/>
    <w:rsid w:val="002569AF"/>
    <w:rsid w:val="0025725A"/>
    <w:rsid w:val="00261F5D"/>
    <w:rsid w:val="002632E7"/>
    <w:rsid w:val="002633C4"/>
    <w:rsid w:val="0026447F"/>
    <w:rsid w:val="002649FE"/>
    <w:rsid w:val="00264CD2"/>
    <w:rsid w:val="00265136"/>
    <w:rsid w:val="002652CE"/>
    <w:rsid w:val="00267449"/>
    <w:rsid w:val="00267CEE"/>
    <w:rsid w:val="00267F5F"/>
    <w:rsid w:val="0027131E"/>
    <w:rsid w:val="0027161C"/>
    <w:rsid w:val="00271A38"/>
    <w:rsid w:val="00272ADF"/>
    <w:rsid w:val="002742DD"/>
    <w:rsid w:val="002743EE"/>
    <w:rsid w:val="002744F0"/>
    <w:rsid w:val="0027570D"/>
    <w:rsid w:val="0027608A"/>
    <w:rsid w:val="002767FA"/>
    <w:rsid w:val="00276852"/>
    <w:rsid w:val="00276C20"/>
    <w:rsid w:val="00277370"/>
    <w:rsid w:val="00280C5F"/>
    <w:rsid w:val="00280D66"/>
    <w:rsid w:val="00281129"/>
    <w:rsid w:val="00281E46"/>
    <w:rsid w:val="002824C8"/>
    <w:rsid w:val="002834E0"/>
    <w:rsid w:val="00284FD1"/>
    <w:rsid w:val="00285DBC"/>
    <w:rsid w:val="0028645E"/>
    <w:rsid w:val="00286730"/>
    <w:rsid w:val="00286B4D"/>
    <w:rsid w:val="002903BD"/>
    <w:rsid w:val="00290D48"/>
    <w:rsid w:val="00290F51"/>
    <w:rsid w:val="002915E7"/>
    <w:rsid w:val="00291877"/>
    <w:rsid w:val="0029502C"/>
    <w:rsid w:val="0029607D"/>
    <w:rsid w:val="002974A6"/>
    <w:rsid w:val="00297F4A"/>
    <w:rsid w:val="002A005D"/>
    <w:rsid w:val="002A0192"/>
    <w:rsid w:val="002A01DD"/>
    <w:rsid w:val="002A03BE"/>
    <w:rsid w:val="002A0BDD"/>
    <w:rsid w:val="002A1D8A"/>
    <w:rsid w:val="002A22EB"/>
    <w:rsid w:val="002A239B"/>
    <w:rsid w:val="002A34B0"/>
    <w:rsid w:val="002A4421"/>
    <w:rsid w:val="002A48AC"/>
    <w:rsid w:val="002A5021"/>
    <w:rsid w:val="002A5E37"/>
    <w:rsid w:val="002B0FC2"/>
    <w:rsid w:val="002B1375"/>
    <w:rsid w:val="002B252F"/>
    <w:rsid w:val="002B2CF2"/>
    <w:rsid w:val="002B3574"/>
    <w:rsid w:val="002B3DA5"/>
    <w:rsid w:val="002B3F1E"/>
    <w:rsid w:val="002B47DD"/>
    <w:rsid w:val="002B4AC8"/>
    <w:rsid w:val="002B52F2"/>
    <w:rsid w:val="002B56E0"/>
    <w:rsid w:val="002B5FE8"/>
    <w:rsid w:val="002B6C74"/>
    <w:rsid w:val="002B7745"/>
    <w:rsid w:val="002B7C4F"/>
    <w:rsid w:val="002C027A"/>
    <w:rsid w:val="002C032D"/>
    <w:rsid w:val="002C051F"/>
    <w:rsid w:val="002C15A4"/>
    <w:rsid w:val="002C3C84"/>
    <w:rsid w:val="002C4B41"/>
    <w:rsid w:val="002C4E74"/>
    <w:rsid w:val="002C5711"/>
    <w:rsid w:val="002C5BCD"/>
    <w:rsid w:val="002C6BED"/>
    <w:rsid w:val="002C6E42"/>
    <w:rsid w:val="002C70BF"/>
    <w:rsid w:val="002D06E5"/>
    <w:rsid w:val="002D09B5"/>
    <w:rsid w:val="002D0F50"/>
    <w:rsid w:val="002D1C94"/>
    <w:rsid w:val="002D28BC"/>
    <w:rsid w:val="002D2D50"/>
    <w:rsid w:val="002D3837"/>
    <w:rsid w:val="002D38A3"/>
    <w:rsid w:val="002D3A6B"/>
    <w:rsid w:val="002D3AF5"/>
    <w:rsid w:val="002D46DB"/>
    <w:rsid w:val="002D49A0"/>
    <w:rsid w:val="002D5E46"/>
    <w:rsid w:val="002D5EC0"/>
    <w:rsid w:val="002D5ECE"/>
    <w:rsid w:val="002D6106"/>
    <w:rsid w:val="002D727C"/>
    <w:rsid w:val="002E0305"/>
    <w:rsid w:val="002E0B71"/>
    <w:rsid w:val="002E1323"/>
    <w:rsid w:val="002E490D"/>
    <w:rsid w:val="002E4AD6"/>
    <w:rsid w:val="002E5CB8"/>
    <w:rsid w:val="002F039C"/>
    <w:rsid w:val="002F053D"/>
    <w:rsid w:val="002F14CA"/>
    <w:rsid w:val="002F175C"/>
    <w:rsid w:val="002F199D"/>
    <w:rsid w:val="002F4E01"/>
    <w:rsid w:val="002F56D8"/>
    <w:rsid w:val="002F5896"/>
    <w:rsid w:val="002F5D0C"/>
    <w:rsid w:val="002F5DCB"/>
    <w:rsid w:val="002F6F7C"/>
    <w:rsid w:val="002F709A"/>
    <w:rsid w:val="002F772E"/>
    <w:rsid w:val="002F781E"/>
    <w:rsid w:val="002F7A1E"/>
    <w:rsid w:val="00300FEE"/>
    <w:rsid w:val="00301072"/>
    <w:rsid w:val="0030138D"/>
    <w:rsid w:val="00301BD4"/>
    <w:rsid w:val="00301E0F"/>
    <w:rsid w:val="00302657"/>
    <w:rsid w:val="00302727"/>
    <w:rsid w:val="00302B44"/>
    <w:rsid w:val="003047D3"/>
    <w:rsid w:val="00306124"/>
    <w:rsid w:val="0031056D"/>
    <w:rsid w:val="00310E7B"/>
    <w:rsid w:val="00310F2C"/>
    <w:rsid w:val="0031167A"/>
    <w:rsid w:val="003121FB"/>
    <w:rsid w:val="00314A18"/>
    <w:rsid w:val="00314A97"/>
    <w:rsid w:val="00315930"/>
    <w:rsid w:val="003161E5"/>
    <w:rsid w:val="0031790F"/>
    <w:rsid w:val="00320E07"/>
    <w:rsid w:val="00320F32"/>
    <w:rsid w:val="00321BF2"/>
    <w:rsid w:val="003220F0"/>
    <w:rsid w:val="00322881"/>
    <w:rsid w:val="003229D8"/>
    <w:rsid w:val="0032348D"/>
    <w:rsid w:val="00323A2B"/>
    <w:rsid w:val="00325973"/>
    <w:rsid w:val="00326293"/>
    <w:rsid w:val="0032709F"/>
    <w:rsid w:val="00327502"/>
    <w:rsid w:val="00330830"/>
    <w:rsid w:val="00331781"/>
    <w:rsid w:val="00332B1E"/>
    <w:rsid w:val="00332C29"/>
    <w:rsid w:val="00332D5C"/>
    <w:rsid w:val="003335F5"/>
    <w:rsid w:val="00333893"/>
    <w:rsid w:val="00333921"/>
    <w:rsid w:val="00333E0C"/>
    <w:rsid w:val="003356AF"/>
    <w:rsid w:val="00335B22"/>
    <w:rsid w:val="00335D6C"/>
    <w:rsid w:val="00336FB0"/>
    <w:rsid w:val="00337A47"/>
    <w:rsid w:val="00340252"/>
    <w:rsid w:val="00341C35"/>
    <w:rsid w:val="00342D6C"/>
    <w:rsid w:val="0034486F"/>
    <w:rsid w:val="00344DC3"/>
    <w:rsid w:val="00345256"/>
    <w:rsid w:val="00345A46"/>
    <w:rsid w:val="003464C6"/>
    <w:rsid w:val="003465C8"/>
    <w:rsid w:val="003467FE"/>
    <w:rsid w:val="00346980"/>
    <w:rsid w:val="00346DE7"/>
    <w:rsid w:val="003472A7"/>
    <w:rsid w:val="0034792E"/>
    <w:rsid w:val="0035049F"/>
    <w:rsid w:val="00350592"/>
    <w:rsid w:val="00350C23"/>
    <w:rsid w:val="00351B94"/>
    <w:rsid w:val="00352709"/>
    <w:rsid w:val="00352D2B"/>
    <w:rsid w:val="00354AA8"/>
    <w:rsid w:val="00355BD5"/>
    <w:rsid w:val="003568A5"/>
    <w:rsid w:val="00356997"/>
    <w:rsid w:val="00356EEF"/>
    <w:rsid w:val="00360EAD"/>
    <w:rsid w:val="0036213E"/>
    <w:rsid w:val="00362869"/>
    <w:rsid w:val="00362F0A"/>
    <w:rsid w:val="003634F2"/>
    <w:rsid w:val="0036440C"/>
    <w:rsid w:val="00364789"/>
    <w:rsid w:val="00364901"/>
    <w:rsid w:val="003652A0"/>
    <w:rsid w:val="00365AB4"/>
    <w:rsid w:val="003661AB"/>
    <w:rsid w:val="0036645D"/>
    <w:rsid w:val="00367567"/>
    <w:rsid w:val="003705C9"/>
    <w:rsid w:val="00371178"/>
    <w:rsid w:val="003713E0"/>
    <w:rsid w:val="003719B4"/>
    <w:rsid w:val="0037204F"/>
    <w:rsid w:val="003721BC"/>
    <w:rsid w:val="00372E2F"/>
    <w:rsid w:val="00372E90"/>
    <w:rsid w:val="003730DD"/>
    <w:rsid w:val="0037316A"/>
    <w:rsid w:val="00374609"/>
    <w:rsid w:val="00374D5A"/>
    <w:rsid w:val="0037541D"/>
    <w:rsid w:val="00375C88"/>
    <w:rsid w:val="003762A0"/>
    <w:rsid w:val="0037720E"/>
    <w:rsid w:val="00377A88"/>
    <w:rsid w:val="00377DBE"/>
    <w:rsid w:val="003800DE"/>
    <w:rsid w:val="0038104D"/>
    <w:rsid w:val="00381975"/>
    <w:rsid w:val="00381DBA"/>
    <w:rsid w:val="003821D3"/>
    <w:rsid w:val="00382EE8"/>
    <w:rsid w:val="0038336C"/>
    <w:rsid w:val="003838DA"/>
    <w:rsid w:val="00383F4C"/>
    <w:rsid w:val="00383F7E"/>
    <w:rsid w:val="00384789"/>
    <w:rsid w:val="003849C4"/>
    <w:rsid w:val="0038609D"/>
    <w:rsid w:val="00386A7B"/>
    <w:rsid w:val="00386AC2"/>
    <w:rsid w:val="00386EF5"/>
    <w:rsid w:val="003871ED"/>
    <w:rsid w:val="00390A83"/>
    <w:rsid w:val="00392121"/>
    <w:rsid w:val="00392A35"/>
    <w:rsid w:val="003930A4"/>
    <w:rsid w:val="00393666"/>
    <w:rsid w:val="003942F0"/>
    <w:rsid w:val="003945BF"/>
    <w:rsid w:val="00394A4C"/>
    <w:rsid w:val="00395395"/>
    <w:rsid w:val="0039556A"/>
    <w:rsid w:val="00396BAE"/>
    <w:rsid w:val="00397223"/>
    <w:rsid w:val="003973D0"/>
    <w:rsid w:val="00397C6E"/>
    <w:rsid w:val="003A0062"/>
    <w:rsid w:val="003A0984"/>
    <w:rsid w:val="003A0A87"/>
    <w:rsid w:val="003A1602"/>
    <w:rsid w:val="003A17F3"/>
    <w:rsid w:val="003A22FB"/>
    <w:rsid w:val="003A3C43"/>
    <w:rsid w:val="003A4AFB"/>
    <w:rsid w:val="003A5380"/>
    <w:rsid w:val="003A5830"/>
    <w:rsid w:val="003A589E"/>
    <w:rsid w:val="003A6810"/>
    <w:rsid w:val="003A6BB4"/>
    <w:rsid w:val="003A7B41"/>
    <w:rsid w:val="003B067B"/>
    <w:rsid w:val="003B1704"/>
    <w:rsid w:val="003B1756"/>
    <w:rsid w:val="003B483A"/>
    <w:rsid w:val="003B4890"/>
    <w:rsid w:val="003B4C5C"/>
    <w:rsid w:val="003B59D4"/>
    <w:rsid w:val="003B6175"/>
    <w:rsid w:val="003C02AB"/>
    <w:rsid w:val="003C1635"/>
    <w:rsid w:val="003C1A26"/>
    <w:rsid w:val="003C2CC4"/>
    <w:rsid w:val="003C305B"/>
    <w:rsid w:val="003C46CA"/>
    <w:rsid w:val="003C4DEF"/>
    <w:rsid w:val="003C558C"/>
    <w:rsid w:val="003C74C5"/>
    <w:rsid w:val="003D022D"/>
    <w:rsid w:val="003D0290"/>
    <w:rsid w:val="003D0F8F"/>
    <w:rsid w:val="003D1310"/>
    <w:rsid w:val="003D2644"/>
    <w:rsid w:val="003D2AA6"/>
    <w:rsid w:val="003D3CF9"/>
    <w:rsid w:val="003D4143"/>
    <w:rsid w:val="003D4794"/>
    <w:rsid w:val="003D4B23"/>
    <w:rsid w:val="003E1596"/>
    <w:rsid w:val="003E1C43"/>
    <w:rsid w:val="003E219E"/>
    <w:rsid w:val="003E3065"/>
    <w:rsid w:val="003E347A"/>
    <w:rsid w:val="003E3CF4"/>
    <w:rsid w:val="003E64CC"/>
    <w:rsid w:val="003E66D3"/>
    <w:rsid w:val="003E6D09"/>
    <w:rsid w:val="003E6EE4"/>
    <w:rsid w:val="003E6F7E"/>
    <w:rsid w:val="003E723E"/>
    <w:rsid w:val="003F285B"/>
    <w:rsid w:val="003F3D04"/>
    <w:rsid w:val="003F4C1D"/>
    <w:rsid w:val="003F56E2"/>
    <w:rsid w:val="003F5948"/>
    <w:rsid w:val="003F6100"/>
    <w:rsid w:val="00400ACF"/>
    <w:rsid w:val="00400DDC"/>
    <w:rsid w:val="00401429"/>
    <w:rsid w:val="004016C9"/>
    <w:rsid w:val="00401BF0"/>
    <w:rsid w:val="00402458"/>
    <w:rsid w:val="00403387"/>
    <w:rsid w:val="00403BAA"/>
    <w:rsid w:val="0040413A"/>
    <w:rsid w:val="004050B9"/>
    <w:rsid w:val="00405473"/>
    <w:rsid w:val="00406047"/>
    <w:rsid w:val="00407830"/>
    <w:rsid w:val="0041050D"/>
    <w:rsid w:val="00410C89"/>
    <w:rsid w:val="00410FB0"/>
    <w:rsid w:val="004113B2"/>
    <w:rsid w:val="00412A50"/>
    <w:rsid w:val="00413EA1"/>
    <w:rsid w:val="004147D4"/>
    <w:rsid w:val="00414931"/>
    <w:rsid w:val="00414B35"/>
    <w:rsid w:val="00415BA0"/>
    <w:rsid w:val="004175B5"/>
    <w:rsid w:val="0041795A"/>
    <w:rsid w:val="004179B3"/>
    <w:rsid w:val="00420855"/>
    <w:rsid w:val="004210B3"/>
    <w:rsid w:val="00421AEC"/>
    <w:rsid w:val="00421AF1"/>
    <w:rsid w:val="00421F1E"/>
    <w:rsid w:val="004223A7"/>
    <w:rsid w:val="00422680"/>
    <w:rsid w:val="004228D5"/>
    <w:rsid w:val="00422F31"/>
    <w:rsid w:val="00424479"/>
    <w:rsid w:val="00424AD8"/>
    <w:rsid w:val="004255D6"/>
    <w:rsid w:val="0042621F"/>
    <w:rsid w:val="00426B9B"/>
    <w:rsid w:val="004271CD"/>
    <w:rsid w:val="00430F99"/>
    <w:rsid w:val="004311E3"/>
    <w:rsid w:val="00431FE1"/>
    <w:rsid w:val="004321D9"/>
    <w:rsid w:val="004325CB"/>
    <w:rsid w:val="004327E0"/>
    <w:rsid w:val="004331A3"/>
    <w:rsid w:val="004346B9"/>
    <w:rsid w:val="0043559E"/>
    <w:rsid w:val="00435D83"/>
    <w:rsid w:val="00436142"/>
    <w:rsid w:val="00436B33"/>
    <w:rsid w:val="00440B14"/>
    <w:rsid w:val="00440E04"/>
    <w:rsid w:val="0044155F"/>
    <w:rsid w:val="00442A83"/>
    <w:rsid w:val="00442E22"/>
    <w:rsid w:val="00442F2A"/>
    <w:rsid w:val="00442F63"/>
    <w:rsid w:val="00443039"/>
    <w:rsid w:val="0044307B"/>
    <w:rsid w:val="0044393A"/>
    <w:rsid w:val="00443EE9"/>
    <w:rsid w:val="00446B75"/>
    <w:rsid w:val="00450A3B"/>
    <w:rsid w:val="0045120D"/>
    <w:rsid w:val="004514F6"/>
    <w:rsid w:val="0045263F"/>
    <w:rsid w:val="004536EF"/>
    <w:rsid w:val="0045495B"/>
    <w:rsid w:val="00455148"/>
    <w:rsid w:val="00455775"/>
    <w:rsid w:val="00455900"/>
    <w:rsid w:val="00455AF4"/>
    <w:rsid w:val="00456152"/>
    <w:rsid w:val="00456EB9"/>
    <w:rsid w:val="0045741F"/>
    <w:rsid w:val="00457E0B"/>
    <w:rsid w:val="00460E2A"/>
    <w:rsid w:val="00461924"/>
    <w:rsid w:val="00464B11"/>
    <w:rsid w:val="00465707"/>
    <w:rsid w:val="00466844"/>
    <w:rsid w:val="00466B4C"/>
    <w:rsid w:val="00467903"/>
    <w:rsid w:val="0046795E"/>
    <w:rsid w:val="0047073D"/>
    <w:rsid w:val="0047261F"/>
    <w:rsid w:val="0047326D"/>
    <w:rsid w:val="004734D9"/>
    <w:rsid w:val="00473781"/>
    <w:rsid w:val="00473963"/>
    <w:rsid w:val="00473E83"/>
    <w:rsid w:val="00474FC2"/>
    <w:rsid w:val="00480086"/>
    <w:rsid w:val="004821F5"/>
    <w:rsid w:val="00482AEE"/>
    <w:rsid w:val="00483042"/>
    <w:rsid w:val="004832AC"/>
    <w:rsid w:val="004838A6"/>
    <w:rsid w:val="00483D1D"/>
    <w:rsid w:val="00483EF4"/>
    <w:rsid w:val="004843A1"/>
    <w:rsid w:val="004844FF"/>
    <w:rsid w:val="00484B45"/>
    <w:rsid w:val="0048637B"/>
    <w:rsid w:val="00486877"/>
    <w:rsid w:val="00487256"/>
    <w:rsid w:val="0048737D"/>
    <w:rsid w:val="00487488"/>
    <w:rsid w:val="0049219B"/>
    <w:rsid w:val="00493CC2"/>
    <w:rsid w:val="00494846"/>
    <w:rsid w:val="0049638D"/>
    <w:rsid w:val="00496796"/>
    <w:rsid w:val="004976F2"/>
    <w:rsid w:val="004A189A"/>
    <w:rsid w:val="004A2281"/>
    <w:rsid w:val="004A28A7"/>
    <w:rsid w:val="004A3889"/>
    <w:rsid w:val="004A3F45"/>
    <w:rsid w:val="004A4149"/>
    <w:rsid w:val="004A5C21"/>
    <w:rsid w:val="004A62B2"/>
    <w:rsid w:val="004A6616"/>
    <w:rsid w:val="004B01EE"/>
    <w:rsid w:val="004B3D5D"/>
    <w:rsid w:val="004B459B"/>
    <w:rsid w:val="004B4963"/>
    <w:rsid w:val="004B7D6C"/>
    <w:rsid w:val="004C0353"/>
    <w:rsid w:val="004C0946"/>
    <w:rsid w:val="004C1896"/>
    <w:rsid w:val="004C2A01"/>
    <w:rsid w:val="004C30BF"/>
    <w:rsid w:val="004C3345"/>
    <w:rsid w:val="004C3EE1"/>
    <w:rsid w:val="004C49B5"/>
    <w:rsid w:val="004C4A2B"/>
    <w:rsid w:val="004C4B7C"/>
    <w:rsid w:val="004C547C"/>
    <w:rsid w:val="004C6269"/>
    <w:rsid w:val="004C69F9"/>
    <w:rsid w:val="004C7072"/>
    <w:rsid w:val="004C71A0"/>
    <w:rsid w:val="004D1CEB"/>
    <w:rsid w:val="004D2C5D"/>
    <w:rsid w:val="004D2F1B"/>
    <w:rsid w:val="004D3837"/>
    <w:rsid w:val="004D401C"/>
    <w:rsid w:val="004D4AAD"/>
    <w:rsid w:val="004D4B6F"/>
    <w:rsid w:val="004D5BEC"/>
    <w:rsid w:val="004D5FF9"/>
    <w:rsid w:val="004D6BAF"/>
    <w:rsid w:val="004D71B4"/>
    <w:rsid w:val="004E0E9F"/>
    <w:rsid w:val="004E1541"/>
    <w:rsid w:val="004E1FF5"/>
    <w:rsid w:val="004E2AAE"/>
    <w:rsid w:val="004E325E"/>
    <w:rsid w:val="004E37AA"/>
    <w:rsid w:val="004E3A06"/>
    <w:rsid w:val="004E3FD1"/>
    <w:rsid w:val="004E3FD2"/>
    <w:rsid w:val="004E4D62"/>
    <w:rsid w:val="004E5671"/>
    <w:rsid w:val="004E5800"/>
    <w:rsid w:val="004E617F"/>
    <w:rsid w:val="004E64A6"/>
    <w:rsid w:val="004F1364"/>
    <w:rsid w:val="004F372F"/>
    <w:rsid w:val="004F3A01"/>
    <w:rsid w:val="004F4869"/>
    <w:rsid w:val="004F5078"/>
    <w:rsid w:val="004F56A1"/>
    <w:rsid w:val="004F7EDB"/>
    <w:rsid w:val="0050121C"/>
    <w:rsid w:val="0050139F"/>
    <w:rsid w:val="005015E6"/>
    <w:rsid w:val="00501CFD"/>
    <w:rsid w:val="005020F4"/>
    <w:rsid w:val="005022F1"/>
    <w:rsid w:val="005038B2"/>
    <w:rsid w:val="0050410E"/>
    <w:rsid w:val="005058FF"/>
    <w:rsid w:val="00506BA6"/>
    <w:rsid w:val="00507341"/>
    <w:rsid w:val="005114F6"/>
    <w:rsid w:val="00511A20"/>
    <w:rsid w:val="00511F0E"/>
    <w:rsid w:val="00512945"/>
    <w:rsid w:val="00512D8B"/>
    <w:rsid w:val="00513028"/>
    <w:rsid w:val="00513196"/>
    <w:rsid w:val="005132CE"/>
    <w:rsid w:val="00514916"/>
    <w:rsid w:val="00514BFF"/>
    <w:rsid w:val="005160F2"/>
    <w:rsid w:val="00516701"/>
    <w:rsid w:val="00516A5D"/>
    <w:rsid w:val="00516A6A"/>
    <w:rsid w:val="00520C9E"/>
    <w:rsid w:val="0052136D"/>
    <w:rsid w:val="00522BB7"/>
    <w:rsid w:val="00523D32"/>
    <w:rsid w:val="0052434D"/>
    <w:rsid w:val="0052469C"/>
    <w:rsid w:val="00524A48"/>
    <w:rsid w:val="00524C98"/>
    <w:rsid w:val="00525395"/>
    <w:rsid w:val="00526E19"/>
    <w:rsid w:val="0052775E"/>
    <w:rsid w:val="00527B53"/>
    <w:rsid w:val="00530F9C"/>
    <w:rsid w:val="0053339D"/>
    <w:rsid w:val="00533633"/>
    <w:rsid w:val="00533CAC"/>
    <w:rsid w:val="00533EFD"/>
    <w:rsid w:val="00534179"/>
    <w:rsid w:val="005354A2"/>
    <w:rsid w:val="005409DC"/>
    <w:rsid w:val="005420F2"/>
    <w:rsid w:val="00542BC7"/>
    <w:rsid w:val="00543070"/>
    <w:rsid w:val="005479E7"/>
    <w:rsid w:val="00547A47"/>
    <w:rsid w:val="00547B4A"/>
    <w:rsid w:val="00547C4A"/>
    <w:rsid w:val="005509BD"/>
    <w:rsid w:val="00550BDA"/>
    <w:rsid w:val="00550D3B"/>
    <w:rsid w:val="005519D0"/>
    <w:rsid w:val="00552689"/>
    <w:rsid w:val="00553373"/>
    <w:rsid w:val="00553EA9"/>
    <w:rsid w:val="005545F1"/>
    <w:rsid w:val="00555A8C"/>
    <w:rsid w:val="0055703E"/>
    <w:rsid w:val="005577F5"/>
    <w:rsid w:val="00557818"/>
    <w:rsid w:val="00560D05"/>
    <w:rsid w:val="005618F9"/>
    <w:rsid w:val="005628B6"/>
    <w:rsid w:val="00562B61"/>
    <w:rsid w:val="00562F4D"/>
    <w:rsid w:val="00564714"/>
    <w:rsid w:val="005655F7"/>
    <w:rsid w:val="005656EA"/>
    <w:rsid w:val="00565779"/>
    <w:rsid w:val="00565A54"/>
    <w:rsid w:val="00565EA8"/>
    <w:rsid w:val="0056624F"/>
    <w:rsid w:val="005704D1"/>
    <w:rsid w:val="005707E6"/>
    <w:rsid w:val="0057161F"/>
    <w:rsid w:val="00571BB4"/>
    <w:rsid w:val="00571CA9"/>
    <w:rsid w:val="005722B3"/>
    <w:rsid w:val="0057376F"/>
    <w:rsid w:val="00573E04"/>
    <w:rsid w:val="0057407A"/>
    <w:rsid w:val="0057414A"/>
    <w:rsid w:val="0057494C"/>
    <w:rsid w:val="00574EB0"/>
    <w:rsid w:val="0057568F"/>
    <w:rsid w:val="00577334"/>
    <w:rsid w:val="00580700"/>
    <w:rsid w:val="00580F3F"/>
    <w:rsid w:val="005814A2"/>
    <w:rsid w:val="00581E3C"/>
    <w:rsid w:val="005848B3"/>
    <w:rsid w:val="005853D7"/>
    <w:rsid w:val="00585B4E"/>
    <w:rsid w:val="00585C7B"/>
    <w:rsid w:val="00586059"/>
    <w:rsid w:val="00586999"/>
    <w:rsid w:val="00586ABA"/>
    <w:rsid w:val="0058726B"/>
    <w:rsid w:val="005905E2"/>
    <w:rsid w:val="00590F87"/>
    <w:rsid w:val="005915EB"/>
    <w:rsid w:val="005928DF"/>
    <w:rsid w:val="00592C4A"/>
    <w:rsid w:val="00592C4B"/>
    <w:rsid w:val="00592D66"/>
    <w:rsid w:val="00592EFD"/>
    <w:rsid w:val="00593E87"/>
    <w:rsid w:val="00594628"/>
    <w:rsid w:val="00594CF0"/>
    <w:rsid w:val="0059507A"/>
    <w:rsid w:val="005952A9"/>
    <w:rsid w:val="00595476"/>
    <w:rsid w:val="00595627"/>
    <w:rsid w:val="00596EFC"/>
    <w:rsid w:val="005977BA"/>
    <w:rsid w:val="00597BF3"/>
    <w:rsid w:val="00597E6E"/>
    <w:rsid w:val="005A02CA"/>
    <w:rsid w:val="005A0312"/>
    <w:rsid w:val="005A0327"/>
    <w:rsid w:val="005A0376"/>
    <w:rsid w:val="005A0415"/>
    <w:rsid w:val="005A084E"/>
    <w:rsid w:val="005A0C1C"/>
    <w:rsid w:val="005A0DD8"/>
    <w:rsid w:val="005A104A"/>
    <w:rsid w:val="005A15B5"/>
    <w:rsid w:val="005A1B1D"/>
    <w:rsid w:val="005A1DE1"/>
    <w:rsid w:val="005A27AA"/>
    <w:rsid w:val="005A2F4B"/>
    <w:rsid w:val="005A35A0"/>
    <w:rsid w:val="005A3B8B"/>
    <w:rsid w:val="005A3B99"/>
    <w:rsid w:val="005A4888"/>
    <w:rsid w:val="005A533E"/>
    <w:rsid w:val="005A6316"/>
    <w:rsid w:val="005A72E7"/>
    <w:rsid w:val="005A7430"/>
    <w:rsid w:val="005A7C89"/>
    <w:rsid w:val="005A7F8F"/>
    <w:rsid w:val="005B180A"/>
    <w:rsid w:val="005B3052"/>
    <w:rsid w:val="005B31F6"/>
    <w:rsid w:val="005B3C41"/>
    <w:rsid w:val="005B3DB3"/>
    <w:rsid w:val="005B501A"/>
    <w:rsid w:val="005B5F27"/>
    <w:rsid w:val="005B6292"/>
    <w:rsid w:val="005B703A"/>
    <w:rsid w:val="005C0CF6"/>
    <w:rsid w:val="005C1CC7"/>
    <w:rsid w:val="005C25B0"/>
    <w:rsid w:val="005C280C"/>
    <w:rsid w:val="005C2FF1"/>
    <w:rsid w:val="005C3BBF"/>
    <w:rsid w:val="005C3CE3"/>
    <w:rsid w:val="005C4358"/>
    <w:rsid w:val="005C458B"/>
    <w:rsid w:val="005C4D93"/>
    <w:rsid w:val="005C53D3"/>
    <w:rsid w:val="005C5760"/>
    <w:rsid w:val="005C64E0"/>
    <w:rsid w:val="005C674E"/>
    <w:rsid w:val="005C6C4F"/>
    <w:rsid w:val="005C6D98"/>
    <w:rsid w:val="005C6DBE"/>
    <w:rsid w:val="005C6F04"/>
    <w:rsid w:val="005C7BB2"/>
    <w:rsid w:val="005D0C76"/>
    <w:rsid w:val="005D0E65"/>
    <w:rsid w:val="005D2672"/>
    <w:rsid w:val="005D2B66"/>
    <w:rsid w:val="005D2DFC"/>
    <w:rsid w:val="005D3075"/>
    <w:rsid w:val="005D30B8"/>
    <w:rsid w:val="005D3F18"/>
    <w:rsid w:val="005D3FB5"/>
    <w:rsid w:val="005D4877"/>
    <w:rsid w:val="005D4A98"/>
    <w:rsid w:val="005D542D"/>
    <w:rsid w:val="005D5721"/>
    <w:rsid w:val="005D594F"/>
    <w:rsid w:val="005D5AF5"/>
    <w:rsid w:val="005D5FE7"/>
    <w:rsid w:val="005D763C"/>
    <w:rsid w:val="005D7B9A"/>
    <w:rsid w:val="005E01D5"/>
    <w:rsid w:val="005E06C2"/>
    <w:rsid w:val="005E111E"/>
    <w:rsid w:val="005E2D2C"/>
    <w:rsid w:val="005E2E34"/>
    <w:rsid w:val="005E3F67"/>
    <w:rsid w:val="005E40A3"/>
    <w:rsid w:val="005E40FD"/>
    <w:rsid w:val="005E4BCE"/>
    <w:rsid w:val="005E5034"/>
    <w:rsid w:val="005E55FC"/>
    <w:rsid w:val="005E5EF6"/>
    <w:rsid w:val="005E783D"/>
    <w:rsid w:val="005E7981"/>
    <w:rsid w:val="005F1216"/>
    <w:rsid w:val="005F14FB"/>
    <w:rsid w:val="005F1B2D"/>
    <w:rsid w:val="005F494A"/>
    <w:rsid w:val="005F5024"/>
    <w:rsid w:val="005F561D"/>
    <w:rsid w:val="005F5699"/>
    <w:rsid w:val="005F575F"/>
    <w:rsid w:val="005F57AD"/>
    <w:rsid w:val="005F6327"/>
    <w:rsid w:val="005F7079"/>
    <w:rsid w:val="005F7717"/>
    <w:rsid w:val="005F7B75"/>
    <w:rsid w:val="005F7F93"/>
    <w:rsid w:val="00600057"/>
    <w:rsid w:val="006001EE"/>
    <w:rsid w:val="00600DB9"/>
    <w:rsid w:val="00601CA8"/>
    <w:rsid w:val="00602B75"/>
    <w:rsid w:val="006032B5"/>
    <w:rsid w:val="00603976"/>
    <w:rsid w:val="00603DAF"/>
    <w:rsid w:val="00605042"/>
    <w:rsid w:val="00605C12"/>
    <w:rsid w:val="00606B2B"/>
    <w:rsid w:val="00606F62"/>
    <w:rsid w:val="00607635"/>
    <w:rsid w:val="0061115C"/>
    <w:rsid w:val="00611FC4"/>
    <w:rsid w:val="006123D4"/>
    <w:rsid w:val="006125CC"/>
    <w:rsid w:val="00613549"/>
    <w:rsid w:val="00613963"/>
    <w:rsid w:val="00614C50"/>
    <w:rsid w:val="00616894"/>
    <w:rsid w:val="00616F58"/>
    <w:rsid w:val="006176FB"/>
    <w:rsid w:val="00621DE8"/>
    <w:rsid w:val="00622D13"/>
    <w:rsid w:val="00622D42"/>
    <w:rsid w:val="00622E3D"/>
    <w:rsid w:val="00623021"/>
    <w:rsid w:val="00623C4A"/>
    <w:rsid w:val="00624677"/>
    <w:rsid w:val="00624B2D"/>
    <w:rsid w:val="00624F12"/>
    <w:rsid w:val="006258F4"/>
    <w:rsid w:val="00625FB0"/>
    <w:rsid w:val="006264FB"/>
    <w:rsid w:val="00626D71"/>
    <w:rsid w:val="006274AD"/>
    <w:rsid w:val="00627697"/>
    <w:rsid w:val="00627FB0"/>
    <w:rsid w:val="00630676"/>
    <w:rsid w:val="00631010"/>
    <w:rsid w:val="00632287"/>
    <w:rsid w:val="006343E4"/>
    <w:rsid w:val="00635006"/>
    <w:rsid w:val="006354FD"/>
    <w:rsid w:val="00636EFE"/>
    <w:rsid w:val="006405BC"/>
    <w:rsid w:val="00640B26"/>
    <w:rsid w:val="00640BDA"/>
    <w:rsid w:val="0064129E"/>
    <w:rsid w:val="006417FE"/>
    <w:rsid w:val="006420AC"/>
    <w:rsid w:val="0064226F"/>
    <w:rsid w:val="00642AE8"/>
    <w:rsid w:val="006436B5"/>
    <w:rsid w:val="00643F54"/>
    <w:rsid w:val="006441F7"/>
    <w:rsid w:val="00647564"/>
    <w:rsid w:val="006478E6"/>
    <w:rsid w:val="00651C52"/>
    <w:rsid w:val="00652675"/>
    <w:rsid w:val="00652D0A"/>
    <w:rsid w:val="00654341"/>
    <w:rsid w:val="00654777"/>
    <w:rsid w:val="006548ED"/>
    <w:rsid w:val="00655721"/>
    <w:rsid w:val="006572E9"/>
    <w:rsid w:val="0065732B"/>
    <w:rsid w:val="00661597"/>
    <w:rsid w:val="006617E2"/>
    <w:rsid w:val="006619EB"/>
    <w:rsid w:val="00662BB6"/>
    <w:rsid w:val="00664204"/>
    <w:rsid w:val="0066494F"/>
    <w:rsid w:val="00664C49"/>
    <w:rsid w:val="0066644D"/>
    <w:rsid w:val="00672576"/>
    <w:rsid w:val="00673B41"/>
    <w:rsid w:val="00674026"/>
    <w:rsid w:val="006743E9"/>
    <w:rsid w:val="00674D94"/>
    <w:rsid w:val="006752A4"/>
    <w:rsid w:val="00676BAE"/>
    <w:rsid w:val="0067729C"/>
    <w:rsid w:val="0068043D"/>
    <w:rsid w:val="00680461"/>
    <w:rsid w:val="00681BC7"/>
    <w:rsid w:val="006820ED"/>
    <w:rsid w:val="00682284"/>
    <w:rsid w:val="006838C8"/>
    <w:rsid w:val="00683EEF"/>
    <w:rsid w:val="00683EF7"/>
    <w:rsid w:val="00684C21"/>
    <w:rsid w:val="006853D1"/>
    <w:rsid w:val="0068555B"/>
    <w:rsid w:val="0068599A"/>
    <w:rsid w:val="00685FA6"/>
    <w:rsid w:val="006864A3"/>
    <w:rsid w:val="00686BD1"/>
    <w:rsid w:val="00687350"/>
    <w:rsid w:val="0068743C"/>
    <w:rsid w:val="00691A52"/>
    <w:rsid w:val="00691F84"/>
    <w:rsid w:val="00692BBE"/>
    <w:rsid w:val="00692F9B"/>
    <w:rsid w:val="006930D8"/>
    <w:rsid w:val="0069416D"/>
    <w:rsid w:val="00694695"/>
    <w:rsid w:val="00694AE6"/>
    <w:rsid w:val="00696929"/>
    <w:rsid w:val="0069763E"/>
    <w:rsid w:val="006976A6"/>
    <w:rsid w:val="006A0E69"/>
    <w:rsid w:val="006A1427"/>
    <w:rsid w:val="006A1764"/>
    <w:rsid w:val="006A24AA"/>
    <w:rsid w:val="006A259C"/>
    <w:rsid w:val="006A2BE0"/>
    <w:rsid w:val="006A53B5"/>
    <w:rsid w:val="006A703F"/>
    <w:rsid w:val="006A7737"/>
    <w:rsid w:val="006B04B5"/>
    <w:rsid w:val="006B0995"/>
    <w:rsid w:val="006B0CD2"/>
    <w:rsid w:val="006B1514"/>
    <w:rsid w:val="006B180F"/>
    <w:rsid w:val="006B3157"/>
    <w:rsid w:val="006B3232"/>
    <w:rsid w:val="006B409F"/>
    <w:rsid w:val="006B4AA4"/>
    <w:rsid w:val="006B51B9"/>
    <w:rsid w:val="006B595B"/>
    <w:rsid w:val="006B5AB9"/>
    <w:rsid w:val="006B5CC6"/>
    <w:rsid w:val="006B6574"/>
    <w:rsid w:val="006B7228"/>
    <w:rsid w:val="006B759E"/>
    <w:rsid w:val="006C014A"/>
    <w:rsid w:val="006C082A"/>
    <w:rsid w:val="006C15BE"/>
    <w:rsid w:val="006C1FAE"/>
    <w:rsid w:val="006C2C6A"/>
    <w:rsid w:val="006C32BC"/>
    <w:rsid w:val="006C3AD1"/>
    <w:rsid w:val="006C4887"/>
    <w:rsid w:val="006C48BB"/>
    <w:rsid w:val="006C547F"/>
    <w:rsid w:val="006C5B28"/>
    <w:rsid w:val="006C63D8"/>
    <w:rsid w:val="006C654C"/>
    <w:rsid w:val="006C692F"/>
    <w:rsid w:val="006C7A23"/>
    <w:rsid w:val="006D2401"/>
    <w:rsid w:val="006D2B97"/>
    <w:rsid w:val="006D37AF"/>
    <w:rsid w:val="006D3D02"/>
    <w:rsid w:val="006D51D0"/>
    <w:rsid w:val="006D6CE7"/>
    <w:rsid w:val="006D75C7"/>
    <w:rsid w:val="006E0BAF"/>
    <w:rsid w:val="006E0F06"/>
    <w:rsid w:val="006E1779"/>
    <w:rsid w:val="006E1A90"/>
    <w:rsid w:val="006E1D16"/>
    <w:rsid w:val="006E1D8A"/>
    <w:rsid w:val="006E3134"/>
    <w:rsid w:val="006E34B9"/>
    <w:rsid w:val="006E37EC"/>
    <w:rsid w:val="006E3FDB"/>
    <w:rsid w:val="006E4789"/>
    <w:rsid w:val="006E564B"/>
    <w:rsid w:val="006E6797"/>
    <w:rsid w:val="006E6FAF"/>
    <w:rsid w:val="006E7191"/>
    <w:rsid w:val="006E7487"/>
    <w:rsid w:val="006F2D79"/>
    <w:rsid w:val="006F36AC"/>
    <w:rsid w:val="006F371E"/>
    <w:rsid w:val="006F3DA5"/>
    <w:rsid w:val="006F5BB1"/>
    <w:rsid w:val="006F6DDB"/>
    <w:rsid w:val="006F7622"/>
    <w:rsid w:val="00700DA3"/>
    <w:rsid w:val="00700FDF"/>
    <w:rsid w:val="0070353B"/>
    <w:rsid w:val="00703577"/>
    <w:rsid w:val="00704100"/>
    <w:rsid w:val="007052C3"/>
    <w:rsid w:val="007053C1"/>
    <w:rsid w:val="00705625"/>
    <w:rsid w:val="00706402"/>
    <w:rsid w:val="00707BF0"/>
    <w:rsid w:val="007113A4"/>
    <w:rsid w:val="00711F00"/>
    <w:rsid w:val="00712C65"/>
    <w:rsid w:val="0071329D"/>
    <w:rsid w:val="00713546"/>
    <w:rsid w:val="00713B23"/>
    <w:rsid w:val="0071450D"/>
    <w:rsid w:val="00715299"/>
    <w:rsid w:val="00715AD0"/>
    <w:rsid w:val="007161EB"/>
    <w:rsid w:val="007175E1"/>
    <w:rsid w:val="00717631"/>
    <w:rsid w:val="00720196"/>
    <w:rsid w:val="00720EA0"/>
    <w:rsid w:val="0072149D"/>
    <w:rsid w:val="0072226B"/>
    <w:rsid w:val="0072352E"/>
    <w:rsid w:val="00725549"/>
    <w:rsid w:val="00725F30"/>
    <w:rsid w:val="0072632A"/>
    <w:rsid w:val="00726F57"/>
    <w:rsid w:val="007271F9"/>
    <w:rsid w:val="00727B35"/>
    <w:rsid w:val="00731F2D"/>
    <w:rsid w:val="007327D5"/>
    <w:rsid w:val="00732B51"/>
    <w:rsid w:val="00732C3D"/>
    <w:rsid w:val="00734BAC"/>
    <w:rsid w:val="00735CA1"/>
    <w:rsid w:val="00736AA8"/>
    <w:rsid w:val="00736E08"/>
    <w:rsid w:val="00740255"/>
    <w:rsid w:val="007405D8"/>
    <w:rsid w:val="007417BC"/>
    <w:rsid w:val="00743842"/>
    <w:rsid w:val="007439B3"/>
    <w:rsid w:val="007453C4"/>
    <w:rsid w:val="00745A0C"/>
    <w:rsid w:val="00746BB2"/>
    <w:rsid w:val="00746F1E"/>
    <w:rsid w:val="00751074"/>
    <w:rsid w:val="00751147"/>
    <w:rsid w:val="007513A7"/>
    <w:rsid w:val="0075146A"/>
    <w:rsid w:val="007523EF"/>
    <w:rsid w:val="00752DBA"/>
    <w:rsid w:val="00753BA9"/>
    <w:rsid w:val="007551B4"/>
    <w:rsid w:val="00757FD0"/>
    <w:rsid w:val="0076033B"/>
    <w:rsid w:val="0076037F"/>
    <w:rsid w:val="00760F53"/>
    <w:rsid w:val="007624CA"/>
    <w:rsid w:val="00762596"/>
    <w:rsid w:val="007627EE"/>
    <w:rsid w:val="007629C8"/>
    <w:rsid w:val="00762DF8"/>
    <w:rsid w:val="00763570"/>
    <w:rsid w:val="00764878"/>
    <w:rsid w:val="00764914"/>
    <w:rsid w:val="00764992"/>
    <w:rsid w:val="0076609B"/>
    <w:rsid w:val="00767016"/>
    <w:rsid w:val="007709DF"/>
    <w:rsid w:val="007723A1"/>
    <w:rsid w:val="00772C49"/>
    <w:rsid w:val="00775788"/>
    <w:rsid w:val="007757D4"/>
    <w:rsid w:val="00776265"/>
    <w:rsid w:val="0077671F"/>
    <w:rsid w:val="0077703D"/>
    <w:rsid w:val="007779C1"/>
    <w:rsid w:val="00777DF8"/>
    <w:rsid w:val="007802BD"/>
    <w:rsid w:val="007812BA"/>
    <w:rsid w:val="00781360"/>
    <w:rsid w:val="007818F4"/>
    <w:rsid w:val="00781C83"/>
    <w:rsid w:val="007826F5"/>
    <w:rsid w:val="00782F90"/>
    <w:rsid w:val="0078300D"/>
    <w:rsid w:val="007839FD"/>
    <w:rsid w:val="00784231"/>
    <w:rsid w:val="00784BCF"/>
    <w:rsid w:val="00784C0F"/>
    <w:rsid w:val="00784C71"/>
    <w:rsid w:val="00785623"/>
    <w:rsid w:val="00786831"/>
    <w:rsid w:val="007868E9"/>
    <w:rsid w:val="00786EFA"/>
    <w:rsid w:val="00786F3A"/>
    <w:rsid w:val="00787953"/>
    <w:rsid w:val="00787E5D"/>
    <w:rsid w:val="0079151D"/>
    <w:rsid w:val="00791C81"/>
    <w:rsid w:val="007925AE"/>
    <w:rsid w:val="007925E8"/>
    <w:rsid w:val="00794424"/>
    <w:rsid w:val="00794B4A"/>
    <w:rsid w:val="00795F7A"/>
    <w:rsid w:val="007965DB"/>
    <w:rsid w:val="00797D4C"/>
    <w:rsid w:val="007A102A"/>
    <w:rsid w:val="007A1319"/>
    <w:rsid w:val="007A182A"/>
    <w:rsid w:val="007A1D62"/>
    <w:rsid w:val="007A26E3"/>
    <w:rsid w:val="007A2815"/>
    <w:rsid w:val="007A401C"/>
    <w:rsid w:val="007A4383"/>
    <w:rsid w:val="007A5149"/>
    <w:rsid w:val="007A6D4B"/>
    <w:rsid w:val="007A6DE6"/>
    <w:rsid w:val="007A7505"/>
    <w:rsid w:val="007A7897"/>
    <w:rsid w:val="007B0D02"/>
    <w:rsid w:val="007B19F4"/>
    <w:rsid w:val="007B1D5B"/>
    <w:rsid w:val="007B1E62"/>
    <w:rsid w:val="007B415A"/>
    <w:rsid w:val="007B5249"/>
    <w:rsid w:val="007B5F65"/>
    <w:rsid w:val="007B6A5D"/>
    <w:rsid w:val="007B6BA5"/>
    <w:rsid w:val="007B7ABE"/>
    <w:rsid w:val="007C07AB"/>
    <w:rsid w:val="007C203A"/>
    <w:rsid w:val="007C3390"/>
    <w:rsid w:val="007C3A7C"/>
    <w:rsid w:val="007C3AA8"/>
    <w:rsid w:val="007C3D25"/>
    <w:rsid w:val="007C3F74"/>
    <w:rsid w:val="007C3FFB"/>
    <w:rsid w:val="007C4F4B"/>
    <w:rsid w:val="007C5032"/>
    <w:rsid w:val="007C58E8"/>
    <w:rsid w:val="007C784F"/>
    <w:rsid w:val="007C7C57"/>
    <w:rsid w:val="007C7F61"/>
    <w:rsid w:val="007D0063"/>
    <w:rsid w:val="007D0270"/>
    <w:rsid w:val="007D1085"/>
    <w:rsid w:val="007D126C"/>
    <w:rsid w:val="007D18F4"/>
    <w:rsid w:val="007D3316"/>
    <w:rsid w:val="007D3677"/>
    <w:rsid w:val="007D38FE"/>
    <w:rsid w:val="007D42B0"/>
    <w:rsid w:val="007D4542"/>
    <w:rsid w:val="007D5803"/>
    <w:rsid w:val="007E00C2"/>
    <w:rsid w:val="007E047B"/>
    <w:rsid w:val="007E0B2D"/>
    <w:rsid w:val="007E1318"/>
    <w:rsid w:val="007E16D9"/>
    <w:rsid w:val="007E3050"/>
    <w:rsid w:val="007E32DC"/>
    <w:rsid w:val="007E3DF7"/>
    <w:rsid w:val="007E3E13"/>
    <w:rsid w:val="007E4007"/>
    <w:rsid w:val="007E4739"/>
    <w:rsid w:val="007E5179"/>
    <w:rsid w:val="007E6F98"/>
    <w:rsid w:val="007F0685"/>
    <w:rsid w:val="007F1247"/>
    <w:rsid w:val="007F134D"/>
    <w:rsid w:val="007F1E75"/>
    <w:rsid w:val="007F31D9"/>
    <w:rsid w:val="007F3A2C"/>
    <w:rsid w:val="007F5739"/>
    <w:rsid w:val="007F5AA8"/>
    <w:rsid w:val="007F62EF"/>
    <w:rsid w:val="007F6611"/>
    <w:rsid w:val="007F6AD0"/>
    <w:rsid w:val="007F7246"/>
    <w:rsid w:val="007F75D2"/>
    <w:rsid w:val="007F7E17"/>
    <w:rsid w:val="00801CCC"/>
    <w:rsid w:val="008022BF"/>
    <w:rsid w:val="008030B9"/>
    <w:rsid w:val="00803767"/>
    <w:rsid w:val="00803EEC"/>
    <w:rsid w:val="00804689"/>
    <w:rsid w:val="008053C7"/>
    <w:rsid w:val="00806AAA"/>
    <w:rsid w:val="008076A7"/>
    <w:rsid w:val="008105B8"/>
    <w:rsid w:val="00810C74"/>
    <w:rsid w:val="008111BA"/>
    <w:rsid w:val="00812002"/>
    <w:rsid w:val="00812971"/>
    <w:rsid w:val="0081367C"/>
    <w:rsid w:val="00813793"/>
    <w:rsid w:val="00814F95"/>
    <w:rsid w:val="0081534F"/>
    <w:rsid w:val="0081547F"/>
    <w:rsid w:val="00815845"/>
    <w:rsid w:val="00815ADE"/>
    <w:rsid w:val="00815C52"/>
    <w:rsid w:val="008163F8"/>
    <w:rsid w:val="00816972"/>
    <w:rsid w:val="00816B96"/>
    <w:rsid w:val="0081741E"/>
    <w:rsid w:val="0081770E"/>
    <w:rsid w:val="00817C6E"/>
    <w:rsid w:val="008216A5"/>
    <w:rsid w:val="00821A8D"/>
    <w:rsid w:val="00821FEC"/>
    <w:rsid w:val="008242D7"/>
    <w:rsid w:val="00824F1B"/>
    <w:rsid w:val="00825659"/>
    <w:rsid w:val="008257B1"/>
    <w:rsid w:val="00825F45"/>
    <w:rsid w:val="0082607D"/>
    <w:rsid w:val="00826086"/>
    <w:rsid w:val="00827317"/>
    <w:rsid w:val="008274A4"/>
    <w:rsid w:val="008310C1"/>
    <w:rsid w:val="008310F0"/>
    <w:rsid w:val="00831359"/>
    <w:rsid w:val="008320F6"/>
    <w:rsid w:val="00833415"/>
    <w:rsid w:val="00833511"/>
    <w:rsid w:val="00834953"/>
    <w:rsid w:val="00835EA6"/>
    <w:rsid w:val="00837553"/>
    <w:rsid w:val="00840104"/>
    <w:rsid w:val="0084035B"/>
    <w:rsid w:val="0084126F"/>
    <w:rsid w:val="00841306"/>
    <w:rsid w:val="00842EE6"/>
    <w:rsid w:val="00843767"/>
    <w:rsid w:val="008446BC"/>
    <w:rsid w:val="008450F3"/>
    <w:rsid w:val="0084558B"/>
    <w:rsid w:val="00845FA8"/>
    <w:rsid w:val="00846ED4"/>
    <w:rsid w:val="00851259"/>
    <w:rsid w:val="00852731"/>
    <w:rsid w:val="00852B57"/>
    <w:rsid w:val="00853008"/>
    <w:rsid w:val="008538AB"/>
    <w:rsid w:val="008538BE"/>
    <w:rsid w:val="00853DFB"/>
    <w:rsid w:val="00855897"/>
    <w:rsid w:val="008579E7"/>
    <w:rsid w:val="00857E2C"/>
    <w:rsid w:val="00861BCE"/>
    <w:rsid w:val="008621E0"/>
    <w:rsid w:val="00862362"/>
    <w:rsid w:val="00862558"/>
    <w:rsid w:val="008641D8"/>
    <w:rsid w:val="008655A1"/>
    <w:rsid w:val="008655A9"/>
    <w:rsid w:val="008658CB"/>
    <w:rsid w:val="00865FDE"/>
    <w:rsid w:val="00866651"/>
    <w:rsid w:val="008668FA"/>
    <w:rsid w:val="008669C2"/>
    <w:rsid w:val="00866B68"/>
    <w:rsid w:val="00866B86"/>
    <w:rsid w:val="00866FD4"/>
    <w:rsid w:val="0086733B"/>
    <w:rsid w:val="00867815"/>
    <w:rsid w:val="008678D8"/>
    <w:rsid w:val="008679D9"/>
    <w:rsid w:val="00871051"/>
    <w:rsid w:val="00871842"/>
    <w:rsid w:val="0087204B"/>
    <w:rsid w:val="00874ECD"/>
    <w:rsid w:val="00875FE5"/>
    <w:rsid w:val="008809FB"/>
    <w:rsid w:val="00880F4C"/>
    <w:rsid w:val="008817F2"/>
    <w:rsid w:val="00883D53"/>
    <w:rsid w:val="00884110"/>
    <w:rsid w:val="00884494"/>
    <w:rsid w:val="008854BE"/>
    <w:rsid w:val="00885F41"/>
    <w:rsid w:val="0088636B"/>
    <w:rsid w:val="00886FFA"/>
    <w:rsid w:val="008908B6"/>
    <w:rsid w:val="0089139E"/>
    <w:rsid w:val="00891599"/>
    <w:rsid w:val="008926B5"/>
    <w:rsid w:val="00893C7B"/>
    <w:rsid w:val="00894F8B"/>
    <w:rsid w:val="0089521A"/>
    <w:rsid w:val="00895430"/>
    <w:rsid w:val="008955B9"/>
    <w:rsid w:val="008975D6"/>
    <w:rsid w:val="008979B1"/>
    <w:rsid w:val="008A0014"/>
    <w:rsid w:val="008A09FA"/>
    <w:rsid w:val="008A10D2"/>
    <w:rsid w:val="008A110D"/>
    <w:rsid w:val="008A1DB2"/>
    <w:rsid w:val="008A2431"/>
    <w:rsid w:val="008A2621"/>
    <w:rsid w:val="008A2B09"/>
    <w:rsid w:val="008A3CFA"/>
    <w:rsid w:val="008A4733"/>
    <w:rsid w:val="008A5196"/>
    <w:rsid w:val="008A61F6"/>
    <w:rsid w:val="008A62CB"/>
    <w:rsid w:val="008A6B25"/>
    <w:rsid w:val="008A6BB4"/>
    <w:rsid w:val="008A6C4F"/>
    <w:rsid w:val="008A778A"/>
    <w:rsid w:val="008B1EE4"/>
    <w:rsid w:val="008B2335"/>
    <w:rsid w:val="008B2485"/>
    <w:rsid w:val="008B33A0"/>
    <w:rsid w:val="008B388D"/>
    <w:rsid w:val="008B3D95"/>
    <w:rsid w:val="008B4E06"/>
    <w:rsid w:val="008B50B5"/>
    <w:rsid w:val="008B5152"/>
    <w:rsid w:val="008B6178"/>
    <w:rsid w:val="008B630A"/>
    <w:rsid w:val="008B7C8C"/>
    <w:rsid w:val="008C017D"/>
    <w:rsid w:val="008C0E41"/>
    <w:rsid w:val="008C3A85"/>
    <w:rsid w:val="008C3FED"/>
    <w:rsid w:val="008C4EDC"/>
    <w:rsid w:val="008D0854"/>
    <w:rsid w:val="008D0FBA"/>
    <w:rsid w:val="008D1459"/>
    <w:rsid w:val="008D196F"/>
    <w:rsid w:val="008D2503"/>
    <w:rsid w:val="008D3AD8"/>
    <w:rsid w:val="008D4A3E"/>
    <w:rsid w:val="008D4BF5"/>
    <w:rsid w:val="008D4D0B"/>
    <w:rsid w:val="008D4DE1"/>
    <w:rsid w:val="008D52B1"/>
    <w:rsid w:val="008D5553"/>
    <w:rsid w:val="008D5CEF"/>
    <w:rsid w:val="008D7D80"/>
    <w:rsid w:val="008E0104"/>
    <w:rsid w:val="008E0678"/>
    <w:rsid w:val="008E1567"/>
    <w:rsid w:val="008E1FE2"/>
    <w:rsid w:val="008E27EC"/>
    <w:rsid w:val="008E29F8"/>
    <w:rsid w:val="008E3011"/>
    <w:rsid w:val="008E36FD"/>
    <w:rsid w:val="008E4C4F"/>
    <w:rsid w:val="008E5320"/>
    <w:rsid w:val="008E6A47"/>
    <w:rsid w:val="008E7D8C"/>
    <w:rsid w:val="008F11A1"/>
    <w:rsid w:val="008F142A"/>
    <w:rsid w:val="008F1D58"/>
    <w:rsid w:val="008F1F6A"/>
    <w:rsid w:val="008F23AC"/>
    <w:rsid w:val="008F2587"/>
    <w:rsid w:val="008F2ED3"/>
    <w:rsid w:val="008F34D7"/>
    <w:rsid w:val="008F4AF5"/>
    <w:rsid w:val="008F4C04"/>
    <w:rsid w:val="008F5BD5"/>
    <w:rsid w:val="008F6CC3"/>
    <w:rsid w:val="008F78BA"/>
    <w:rsid w:val="008F7EF1"/>
    <w:rsid w:val="00900EB6"/>
    <w:rsid w:val="00901409"/>
    <w:rsid w:val="009017CF"/>
    <w:rsid w:val="00901CCF"/>
    <w:rsid w:val="0090237B"/>
    <w:rsid w:val="00902668"/>
    <w:rsid w:val="00902936"/>
    <w:rsid w:val="00902F09"/>
    <w:rsid w:val="00902FE8"/>
    <w:rsid w:val="00903876"/>
    <w:rsid w:val="00905FD2"/>
    <w:rsid w:val="00906255"/>
    <w:rsid w:val="009067DD"/>
    <w:rsid w:val="009073CC"/>
    <w:rsid w:val="00910F40"/>
    <w:rsid w:val="00911303"/>
    <w:rsid w:val="0091171C"/>
    <w:rsid w:val="00912256"/>
    <w:rsid w:val="00912C08"/>
    <w:rsid w:val="00913616"/>
    <w:rsid w:val="00913F5E"/>
    <w:rsid w:val="0091460C"/>
    <w:rsid w:val="00914B6E"/>
    <w:rsid w:val="009152C3"/>
    <w:rsid w:val="009158A4"/>
    <w:rsid w:val="00916567"/>
    <w:rsid w:val="00921409"/>
    <w:rsid w:val="009223CA"/>
    <w:rsid w:val="00922845"/>
    <w:rsid w:val="00925889"/>
    <w:rsid w:val="009259AB"/>
    <w:rsid w:val="009300BA"/>
    <w:rsid w:val="00930860"/>
    <w:rsid w:val="00930D71"/>
    <w:rsid w:val="009331C0"/>
    <w:rsid w:val="0093413A"/>
    <w:rsid w:val="00934AB2"/>
    <w:rsid w:val="0093571E"/>
    <w:rsid w:val="00935836"/>
    <w:rsid w:val="00935941"/>
    <w:rsid w:val="00936533"/>
    <w:rsid w:val="009370F0"/>
    <w:rsid w:val="0093754A"/>
    <w:rsid w:val="00937974"/>
    <w:rsid w:val="00937DFB"/>
    <w:rsid w:val="00940F93"/>
    <w:rsid w:val="00941AB8"/>
    <w:rsid w:val="00941CEE"/>
    <w:rsid w:val="0094236B"/>
    <w:rsid w:val="00942EA0"/>
    <w:rsid w:val="00943157"/>
    <w:rsid w:val="00943FBA"/>
    <w:rsid w:val="00945549"/>
    <w:rsid w:val="00945A23"/>
    <w:rsid w:val="0094712A"/>
    <w:rsid w:val="009502AF"/>
    <w:rsid w:val="00950AF4"/>
    <w:rsid w:val="00951522"/>
    <w:rsid w:val="00951A9F"/>
    <w:rsid w:val="00951C8A"/>
    <w:rsid w:val="00951EAC"/>
    <w:rsid w:val="00952427"/>
    <w:rsid w:val="0095337E"/>
    <w:rsid w:val="0095347F"/>
    <w:rsid w:val="0095403A"/>
    <w:rsid w:val="00955194"/>
    <w:rsid w:val="009555A5"/>
    <w:rsid w:val="00955F34"/>
    <w:rsid w:val="009568BE"/>
    <w:rsid w:val="00956A6B"/>
    <w:rsid w:val="0095745B"/>
    <w:rsid w:val="00962B3A"/>
    <w:rsid w:val="00964E2E"/>
    <w:rsid w:val="00965361"/>
    <w:rsid w:val="00965D94"/>
    <w:rsid w:val="009669EA"/>
    <w:rsid w:val="00966D7C"/>
    <w:rsid w:val="00967F59"/>
    <w:rsid w:val="009701C4"/>
    <w:rsid w:val="00970A75"/>
    <w:rsid w:val="00971C45"/>
    <w:rsid w:val="00972495"/>
    <w:rsid w:val="00972C0E"/>
    <w:rsid w:val="009735A8"/>
    <w:rsid w:val="009735EF"/>
    <w:rsid w:val="00973B67"/>
    <w:rsid w:val="009740CC"/>
    <w:rsid w:val="0097450D"/>
    <w:rsid w:val="00974A2F"/>
    <w:rsid w:val="00974EF5"/>
    <w:rsid w:val="00975230"/>
    <w:rsid w:val="009759CB"/>
    <w:rsid w:val="00975C63"/>
    <w:rsid w:val="00975C94"/>
    <w:rsid w:val="00975E5F"/>
    <w:rsid w:val="00975F51"/>
    <w:rsid w:val="009760F3"/>
    <w:rsid w:val="009801D2"/>
    <w:rsid w:val="00980F20"/>
    <w:rsid w:val="009812E7"/>
    <w:rsid w:val="00982EF1"/>
    <w:rsid w:val="00983C0B"/>
    <w:rsid w:val="00984349"/>
    <w:rsid w:val="00984A06"/>
    <w:rsid w:val="00985506"/>
    <w:rsid w:val="00985865"/>
    <w:rsid w:val="009862A4"/>
    <w:rsid w:val="009863EF"/>
    <w:rsid w:val="009901E3"/>
    <w:rsid w:val="00990941"/>
    <w:rsid w:val="009909F5"/>
    <w:rsid w:val="0099366E"/>
    <w:rsid w:val="009938A1"/>
    <w:rsid w:val="00993D77"/>
    <w:rsid w:val="00995F7E"/>
    <w:rsid w:val="0099754D"/>
    <w:rsid w:val="00997A0C"/>
    <w:rsid w:val="009A01E5"/>
    <w:rsid w:val="009A0E8D"/>
    <w:rsid w:val="009A1452"/>
    <w:rsid w:val="009A2DAD"/>
    <w:rsid w:val="009A2DE4"/>
    <w:rsid w:val="009A2F7C"/>
    <w:rsid w:val="009A446A"/>
    <w:rsid w:val="009A46D6"/>
    <w:rsid w:val="009A56EA"/>
    <w:rsid w:val="009A5E1E"/>
    <w:rsid w:val="009A6988"/>
    <w:rsid w:val="009A6BE6"/>
    <w:rsid w:val="009A7439"/>
    <w:rsid w:val="009B090D"/>
    <w:rsid w:val="009B262C"/>
    <w:rsid w:val="009B26E7"/>
    <w:rsid w:val="009B2CFB"/>
    <w:rsid w:val="009B2EF2"/>
    <w:rsid w:val="009B3B6D"/>
    <w:rsid w:val="009B4E10"/>
    <w:rsid w:val="009B50A8"/>
    <w:rsid w:val="009B519A"/>
    <w:rsid w:val="009B6134"/>
    <w:rsid w:val="009B63C7"/>
    <w:rsid w:val="009B685A"/>
    <w:rsid w:val="009C00AE"/>
    <w:rsid w:val="009C2850"/>
    <w:rsid w:val="009C2B94"/>
    <w:rsid w:val="009C2C0D"/>
    <w:rsid w:val="009C353A"/>
    <w:rsid w:val="009C4874"/>
    <w:rsid w:val="009C6AEC"/>
    <w:rsid w:val="009C77E5"/>
    <w:rsid w:val="009C7EFD"/>
    <w:rsid w:val="009D04AC"/>
    <w:rsid w:val="009D065F"/>
    <w:rsid w:val="009D0B1B"/>
    <w:rsid w:val="009D1D59"/>
    <w:rsid w:val="009D22A2"/>
    <w:rsid w:val="009D26D2"/>
    <w:rsid w:val="009D28AB"/>
    <w:rsid w:val="009D36CF"/>
    <w:rsid w:val="009D3DC1"/>
    <w:rsid w:val="009D4BB8"/>
    <w:rsid w:val="009D5361"/>
    <w:rsid w:val="009D5673"/>
    <w:rsid w:val="009D6030"/>
    <w:rsid w:val="009D6527"/>
    <w:rsid w:val="009D687B"/>
    <w:rsid w:val="009D6EEE"/>
    <w:rsid w:val="009D76B0"/>
    <w:rsid w:val="009D7894"/>
    <w:rsid w:val="009D7E85"/>
    <w:rsid w:val="009E0C18"/>
    <w:rsid w:val="009E11CB"/>
    <w:rsid w:val="009E1F63"/>
    <w:rsid w:val="009E2898"/>
    <w:rsid w:val="009E2F54"/>
    <w:rsid w:val="009E36BD"/>
    <w:rsid w:val="009E445F"/>
    <w:rsid w:val="009E577B"/>
    <w:rsid w:val="009E6A7F"/>
    <w:rsid w:val="009E6B9E"/>
    <w:rsid w:val="009E6CCC"/>
    <w:rsid w:val="009E74F7"/>
    <w:rsid w:val="009E78DD"/>
    <w:rsid w:val="009E7D26"/>
    <w:rsid w:val="009F08B1"/>
    <w:rsid w:val="009F192B"/>
    <w:rsid w:val="009F2AC1"/>
    <w:rsid w:val="009F3272"/>
    <w:rsid w:val="009F40E9"/>
    <w:rsid w:val="009F50D1"/>
    <w:rsid w:val="009F5905"/>
    <w:rsid w:val="009F5D91"/>
    <w:rsid w:val="009F6734"/>
    <w:rsid w:val="009F6A2A"/>
    <w:rsid w:val="00A004B1"/>
    <w:rsid w:val="00A00A3F"/>
    <w:rsid w:val="00A00E39"/>
    <w:rsid w:val="00A012C3"/>
    <w:rsid w:val="00A01489"/>
    <w:rsid w:val="00A0184E"/>
    <w:rsid w:val="00A01E7F"/>
    <w:rsid w:val="00A030AB"/>
    <w:rsid w:val="00A036B3"/>
    <w:rsid w:val="00A0569C"/>
    <w:rsid w:val="00A05D55"/>
    <w:rsid w:val="00A069BB"/>
    <w:rsid w:val="00A07872"/>
    <w:rsid w:val="00A10474"/>
    <w:rsid w:val="00A104CD"/>
    <w:rsid w:val="00A11A0C"/>
    <w:rsid w:val="00A11AD7"/>
    <w:rsid w:val="00A12518"/>
    <w:rsid w:val="00A1306D"/>
    <w:rsid w:val="00A130FE"/>
    <w:rsid w:val="00A141C6"/>
    <w:rsid w:val="00A1439A"/>
    <w:rsid w:val="00A14D3B"/>
    <w:rsid w:val="00A151CB"/>
    <w:rsid w:val="00A15A08"/>
    <w:rsid w:val="00A16256"/>
    <w:rsid w:val="00A16536"/>
    <w:rsid w:val="00A176A5"/>
    <w:rsid w:val="00A1776E"/>
    <w:rsid w:val="00A230A0"/>
    <w:rsid w:val="00A23F68"/>
    <w:rsid w:val="00A23FDA"/>
    <w:rsid w:val="00A2561D"/>
    <w:rsid w:val="00A2597E"/>
    <w:rsid w:val="00A25E9B"/>
    <w:rsid w:val="00A262B7"/>
    <w:rsid w:val="00A266D4"/>
    <w:rsid w:val="00A2698E"/>
    <w:rsid w:val="00A277D1"/>
    <w:rsid w:val="00A31B81"/>
    <w:rsid w:val="00A32F02"/>
    <w:rsid w:val="00A33679"/>
    <w:rsid w:val="00A338F1"/>
    <w:rsid w:val="00A3470F"/>
    <w:rsid w:val="00A3630E"/>
    <w:rsid w:val="00A36331"/>
    <w:rsid w:val="00A36BE3"/>
    <w:rsid w:val="00A36C2F"/>
    <w:rsid w:val="00A36F80"/>
    <w:rsid w:val="00A37DD8"/>
    <w:rsid w:val="00A4110D"/>
    <w:rsid w:val="00A4143D"/>
    <w:rsid w:val="00A4192B"/>
    <w:rsid w:val="00A4263D"/>
    <w:rsid w:val="00A44615"/>
    <w:rsid w:val="00A446F6"/>
    <w:rsid w:val="00A455A7"/>
    <w:rsid w:val="00A45DB8"/>
    <w:rsid w:val="00A45DFE"/>
    <w:rsid w:val="00A46729"/>
    <w:rsid w:val="00A4722B"/>
    <w:rsid w:val="00A47396"/>
    <w:rsid w:val="00A4753A"/>
    <w:rsid w:val="00A47ED8"/>
    <w:rsid w:val="00A50EFE"/>
    <w:rsid w:val="00A50F81"/>
    <w:rsid w:val="00A52C35"/>
    <w:rsid w:val="00A534F8"/>
    <w:rsid w:val="00A53B60"/>
    <w:rsid w:val="00A55F52"/>
    <w:rsid w:val="00A57155"/>
    <w:rsid w:val="00A601E0"/>
    <w:rsid w:val="00A6098E"/>
    <w:rsid w:val="00A60C3C"/>
    <w:rsid w:val="00A60E9F"/>
    <w:rsid w:val="00A61815"/>
    <w:rsid w:val="00A62026"/>
    <w:rsid w:val="00A62162"/>
    <w:rsid w:val="00A622BD"/>
    <w:rsid w:val="00A6232D"/>
    <w:rsid w:val="00A6571D"/>
    <w:rsid w:val="00A674AA"/>
    <w:rsid w:val="00A703CE"/>
    <w:rsid w:val="00A708BB"/>
    <w:rsid w:val="00A70B9B"/>
    <w:rsid w:val="00A710E2"/>
    <w:rsid w:val="00A71B51"/>
    <w:rsid w:val="00A71DF5"/>
    <w:rsid w:val="00A724B7"/>
    <w:rsid w:val="00A7276C"/>
    <w:rsid w:val="00A72F22"/>
    <w:rsid w:val="00A7360F"/>
    <w:rsid w:val="00A73EDD"/>
    <w:rsid w:val="00A748A6"/>
    <w:rsid w:val="00A75355"/>
    <w:rsid w:val="00A763AB"/>
    <w:rsid w:val="00A769F4"/>
    <w:rsid w:val="00A776B4"/>
    <w:rsid w:val="00A77C66"/>
    <w:rsid w:val="00A808A3"/>
    <w:rsid w:val="00A8191A"/>
    <w:rsid w:val="00A81C8D"/>
    <w:rsid w:val="00A82504"/>
    <w:rsid w:val="00A826D1"/>
    <w:rsid w:val="00A83A6F"/>
    <w:rsid w:val="00A84062"/>
    <w:rsid w:val="00A8467B"/>
    <w:rsid w:val="00A853AE"/>
    <w:rsid w:val="00A85674"/>
    <w:rsid w:val="00A86C7C"/>
    <w:rsid w:val="00A86F19"/>
    <w:rsid w:val="00A871D5"/>
    <w:rsid w:val="00A87251"/>
    <w:rsid w:val="00A872E8"/>
    <w:rsid w:val="00A8780F"/>
    <w:rsid w:val="00A90413"/>
    <w:rsid w:val="00A9044C"/>
    <w:rsid w:val="00A90C5B"/>
    <w:rsid w:val="00A90E23"/>
    <w:rsid w:val="00A91499"/>
    <w:rsid w:val="00A91DBE"/>
    <w:rsid w:val="00A937E1"/>
    <w:rsid w:val="00A93A8D"/>
    <w:rsid w:val="00A93CCD"/>
    <w:rsid w:val="00A93EFC"/>
    <w:rsid w:val="00A94361"/>
    <w:rsid w:val="00A95B69"/>
    <w:rsid w:val="00A96457"/>
    <w:rsid w:val="00A96799"/>
    <w:rsid w:val="00A96D68"/>
    <w:rsid w:val="00AA0619"/>
    <w:rsid w:val="00AA0F58"/>
    <w:rsid w:val="00AA13F2"/>
    <w:rsid w:val="00AA271E"/>
    <w:rsid w:val="00AA293C"/>
    <w:rsid w:val="00AA2D0D"/>
    <w:rsid w:val="00AA42C6"/>
    <w:rsid w:val="00AA4F43"/>
    <w:rsid w:val="00AA7652"/>
    <w:rsid w:val="00AB0C1D"/>
    <w:rsid w:val="00AB112C"/>
    <w:rsid w:val="00AB19FA"/>
    <w:rsid w:val="00AB1FB2"/>
    <w:rsid w:val="00AB3179"/>
    <w:rsid w:val="00AB4E1A"/>
    <w:rsid w:val="00AB5043"/>
    <w:rsid w:val="00AB551C"/>
    <w:rsid w:val="00AB5A41"/>
    <w:rsid w:val="00AB5D75"/>
    <w:rsid w:val="00AB7014"/>
    <w:rsid w:val="00AB7523"/>
    <w:rsid w:val="00AB7C6D"/>
    <w:rsid w:val="00AC0318"/>
    <w:rsid w:val="00AC03E4"/>
    <w:rsid w:val="00AC0A14"/>
    <w:rsid w:val="00AC0D25"/>
    <w:rsid w:val="00AC1844"/>
    <w:rsid w:val="00AC44DA"/>
    <w:rsid w:val="00AC4840"/>
    <w:rsid w:val="00AC4A9B"/>
    <w:rsid w:val="00AC5A0B"/>
    <w:rsid w:val="00AC63A2"/>
    <w:rsid w:val="00AC647E"/>
    <w:rsid w:val="00AC72E3"/>
    <w:rsid w:val="00AC77EA"/>
    <w:rsid w:val="00AD001C"/>
    <w:rsid w:val="00AD10F3"/>
    <w:rsid w:val="00AD1591"/>
    <w:rsid w:val="00AD1C54"/>
    <w:rsid w:val="00AD29A1"/>
    <w:rsid w:val="00AD3346"/>
    <w:rsid w:val="00AD392F"/>
    <w:rsid w:val="00AD3CF1"/>
    <w:rsid w:val="00AD46B8"/>
    <w:rsid w:val="00AD6EA8"/>
    <w:rsid w:val="00AD7999"/>
    <w:rsid w:val="00AD7F26"/>
    <w:rsid w:val="00AE1E6E"/>
    <w:rsid w:val="00AE24FE"/>
    <w:rsid w:val="00AE2860"/>
    <w:rsid w:val="00AE309F"/>
    <w:rsid w:val="00AE3157"/>
    <w:rsid w:val="00AE43F1"/>
    <w:rsid w:val="00AE4EC2"/>
    <w:rsid w:val="00AE5108"/>
    <w:rsid w:val="00AE5404"/>
    <w:rsid w:val="00AE6933"/>
    <w:rsid w:val="00AE77A2"/>
    <w:rsid w:val="00AF1A44"/>
    <w:rsid w:val="00AF1DD9"/>
    <w:rsid w:val="00AF1E8E"/>
    <w:rsid w:val="00AF2509"/>
    <w:rsid w:val="00AF256C"/>
    <w:rsid w:val="00AF2634"/>
    <w:rsid w:val="00AF2B38"/>
    <w:rsid w:val="00AF4244"/>
    <w:rsid w:val="00AF523F"/>
    <w:rsid w:val="00AF5CCF"/>
    <w:rsid w:val="00AF6B23"/>
    <w:rsid w:val="00AF6C3B"/>
    <w:rsid w:val="00AF6DA6"/>
    <w:rsid w:val="00AF7094"/>
    <w:rsid w:val="00B0018B"/>
    <w:rsid w:val="00B01B34"/>
    <w:rsid w:val="00B0282C"/>
    <w:rsid w:val="00B02B00"/>
    <w:rsid w:val="00B02BAA"/>
    <w:rsid w:val="00B03215"/>
    <w:rsid w:val="00B033CC"/>
    <w:rsid w:val="00B0380C"/>
    <w:rsid w:val="00B04335"/>
    <w:rsid w:val="00B04509"/>
    <w:rsid w:val="00B04543"/>
    <w:rsid w:val="00B05BD9"/>
    <w:rsid w:val="00B0682A"/>
    <w:rsid w:val="00B06D66"/>
    <w:rsid w:val="00B07138"/>
    <w:rsid w:val="00B072C0"/>
    <w:rsid w:val="00B07A6A"/>
    <w:rsid w:val="00B10872"/>
    <w:rsid w:val="00B11238"/>
    <w:rsid w:val="00B11420"/>
    <w:rsid w:val="00B11C54"/>
    <w:rsid w:val="00B12229"/>
    <w:rsid w:val="00B1277B"/>
    <w:rsid w:val="00B128E8"/>
    <w:rsid w:val="00B12BB4"/>
    <w:rsid w:val="00B12E1C"/>
    <w:rsid w:val="00B138BF"/>
    <w:rsid w:val="00B13E9B"/>
    <w:rsid w:val="00B1421A"/>
    <w:rsid w:val="00B142F7"/>
    <w:rsid w:val="00B15987"/>
    <w:rsid w:val="00B15993"/>
    <w:rsid w:val="00B165FC"/>
    <w:rsid w:val="00B16FC0"/>
    <w:rsid w:val="00B17560"/>
    <w:rsid w:val="00B17A87"/>
    <w:rsid w:val="00B17F46"/>
    <w:rsid w:val="00B17F54"/>
    <w:rsid w:val="00B201CC"/>
    <w:rsid w:val="00B20B3C"/>
    <w:rsid w:val="00B2177C"/>
    <w:rsid w:val="00B22683"/>
    <w:rsid w:val="00B241FA"/>
    <w:rsid w:val="00B2507F"/>
    <w:rsid w:val="00B25B7B"/>
    <w:rsid w:val="00B2707A"/>
    <w:rsid w:val="00B27CC0"/>
    <w:rsid w:val="00B3000E"/>
    <w:rsid w:val="00B30179"/>
    <w:rsid w:val="00B32131"/>
    <w:rsid w:val="00B339A7"/>
    <w:rsid w:val="00B33F29"/>
    <w:rsid w:val="00B34616"/>
    <w:rsid w:val="00B34A3F"/>
    <w:rsid w:val="00B3561D"/>
    <w:rsid w:val="00B369CE"/>
    <w:rsid w:val="00B3784A"/>
    <w:rsid w:val="00B37AAE"/>
    <w:rsid w:val="00B37BAE"/>
    <w:rsid w:val="00B41837"/>
    <w:rsid w:val="00B41ACB"/>
    <w:rsid w:val="00B427FA"/>
    <w:rsid w:val="00B43A0B"/>
    <w:rsid w:val="00B443E2"/>
    <w:rsid w:val="00B44E16"/>
    <w:rsid w:val="00B46096"/>
    <w:rsid w:val="00B4718F"/>
    <w:rsid w:val="00B47380"/>
    <w:rsid w:val="00B47841"/>
    <w:rsid w:val="00B5092B"/>
    <w:rsid w:val="00B510CC"/>
    <w:rsid w:val="00B512C7"/>
    <w:rsid w:val="00B515D4"/>
    <w:rsid w:val="00B54CEA"/>
    <w:rsid w:val="00B55F37"/>
    <w:rsid w:val="00B56A03"/>
    <w:rsid w:val="00B56E4A"/>
    <w:rsid w:val="00B56E9C"/>
    <w:rsid w:val="00B5752F"/>
    <w:rsid w:val="00B60748"/>
    <w:rsid w:val="00B6380E"/>
    <w:rsid w:val="00B639A0"/>
    <w:rsid w:val="00B63FAE"/>
    <w:rsid w:val="00B64727"/>
    <w:rsid w:val="00B64AC0"/>
    <w:rsid w:val="00B64B1F"/>
    <w:rsid w:val="00B6548B"/>
    <w:rsid w:val="00B654DC"/>
    <w:rsid w:val="00B6553F"/>
    <w:rsid w:val="00B65D1D"/>
    <w:rsid w:val="00B66E5E"/>
    <w:rsid w:val="00B6735D"/>
    <w:rsid w:val="00B6750C"/>
    <w:rsid w:val="00B67817"/>
    <w:rsid w:val="00B67C9C"/>
    <w:rsid w:val="00B67F79"/>
    <w:rsid w:val="00B705E0"/>
    <w:rsid w:val="00B70C5B"/>
    <w:rsid w:val="00B716A0"/>
    <w:rsid w:val="00B73863"/>
    <w:rsid w:val="00B753D1"/>
    <w:rsid w:val="00B760CE"/>
    <w:rsid w:val="00B76F9C"/>
    <w:rsid w:val="00B77D05"/>
    <w:rsid w:val="00B77EB1"/>
    <w:rsid w:val="00B81202"/>
    <w:rsid w:val="00B81206"/>
    <w:rsid w:val="00B81E12"/>
    <w:rsid w:val="00B82156"/>
    <w:rsid w:val="00B8236D"/>
    <w:rsid w:val="00B83A07"/>
    <w:rsid w:val="00B846C0"/>
    <w:rsid w:val="00B84C4B"/>
    <w:rsid w:val="00B84CBE"/>
    <w:rsid w:val="00B84D8C"/>
    <w:rsid w:val="00B857DE"/>
    <w:rsid w:val="00B85908"/>
    <w:rsid w:val="00B861DB"/>
    <w:rsid w:val="00B86B5F"/>
    <w:rsid w:val="00B8736F"/>
    <w:rsid w:val="00B874C1"/>
    <w:rsid w:val="00B876FC"/>
    <w:rsid w:val="00B87898"/>
    <w:rsid w:val="00B878B3"/>
    <w:rsid w:val="00B879F3"/>
    <w:rsid w:val="00B9067B"/>
    <w:rsid w:val="00B90DB9"/>
    <w:rsid w:val="00B90F27"/>
    <w:rsid w:val="00B929B0"/>
    <w:rsid w:val="00B93B25"/>
    <w:rsid w:val="00B93DF9"/>
    <w:rsid w:val="00B94491"/>
    <w:rsid w:val="00B945D3"/>
    <w:rsid w:val="00B94B8D"/>
    <w:rsid w:val="00B95B8E"/>
    <w:rsid w:val="00B95FC8"/>
    <w:rsid w:val="00B96520"/>
    <w:rsid w:val="00B96941"/>
    <w:rsid w:val="00B97005"/>
    <w:rsid w:val="00B97172"/>
    <w:rsid w:val="00BA015E"/>
    <w:rsid w:val="00BA0CA7"/>
    <w:rsid w:val="00BA1EDB"/>
    <w:rsid w:val="00BA287E"/>
    <w:rsid w:val="00BA29D1"/>
    <w:rsid w:val="00BA4341"/>
    <w:rsid w:val="00BA5322"/>
    <w:rsid w:val="00BA5B72"/>
    <w:rsid w:val="00BB03E1"/>
    <w:rsid w:val="00BB1A68"/>
    <w:rsid w:val="00BB22D5"/>
    <w:rsid w:val="00BB2DB0"/>
    <w:rsid w:val="00BB3491"/>
    <w:rsid w:val="00BB37C3"/>
    <w:rsid w:val="00BB3886"/>
    <w:rsid w:val="00BB53B1"/>
    <w:rsid w:val="00BB577C"/>
    <w:rsid w:val="00BB7F1B"/>
    <w:rsid w:val="00BC01E3"/>
    <w:rsid w:val="00BC05BC"/>
    <w:rsid w:val="00BC0B15"/>
    <w:rsid w:val="00BC186C"/>
    <w:rsid w:val="00BC1B7F"/>
    <w:rsid w:val="00BC1F01"/>
    <w:rsid w:val="00BC298A"/>
    <w:rsid w:val="00BC29B5"/>
    <w:rsid w:val="00BC2C23"/>
    <w:rsid w:val="00BC2C92"/>
    <w:rsid w:val="00BC48F3"/>
    <w:rsid w:val="00BC4B5D"/>
    <w:rsid w:val="00BC5681"/>
    <w:rsid w:val="00BC5A8B"/>
    <w:rsid w:val="00BC6B1E"/>
    <w:rsid w:val="00BC70AB"/>
    <w:rsid w:val="00BC74E9"/>
    <w:rsid w:val="00BD035A"/>
    <w:rsid w:val="00BD1277"/>
    <w:rsid w:val="00BD21E3"/>
    <w:rsid w:val="00BD22C3"/>
    <w:rsid w:val="00BD2AEB"/>
    <w:rsid w:val="00BD41BF"/>
    <w:rsid w:val="00BD43B9"/>
    <w:rsid w:val="00BD4B0E"/>
    <w:rsid w:val="00BD5EB3"/>
    <w:rsid w:val="00BD6209"/>
    <w:rsid w:val="00BD6B0A"/>
    <w:rsid w:val="00BD6FD3"/>
    <w:rsid w:val="00BD7EA8"/>
    <w:rsid w:val="00BE07C8"/>
    <w:rsid w:val="00BE0B12"/>
    <w:rsid w:val="00BE2C31"/>
    <w:rsid w:val="00BE2F99"/>
    <w:rsid w:val="00BE31D1"/>
    <w:rsid w:val="00BE325F"/>
    <w:rsid w:val="00BE3A3E"/>
    <w:rsid w:val="00BE4C2C"/>
    <w:rsid w:val="00BE7640"/>
    <w:rsid w:val="00BE76EE"/>
    <w:rsid w:val="00BE7732"/>
    <w:rsid w:val="00BF0697"/>
    <w:rsid w:val="00BF09D4"/>
    <w:rsid w:val="00BF1BB0"/>
    <w:rsid w:val="00BF1D74"/>
    <w:rsid w:val="00BF21FF"/>
    <w:rsid w:val="00BF3D9D"/>
    <w:rsid w:val="00BF4AA2"/>
    <w:rsid w:val="00BF5A65"/>
    <w:rsid w:val="00BF5B2C"/>
    <w:rsid w:val="00BF60AD"/>
    <w:rsid w:val="00BF68A8"/>
    <w:rsid w:val="00BF6DBF"/>
    <w:rsid w:val="00C006A7"/>
    <w:rsid w:val="00C00A5E"/>
    <w:rsid w:val="00C021FE"/>
    <w:rsid w:val="00C03905"/>
    <w:rsid w:val="00C0401B"/>
    <w:rsid w:val="00C043AB"/>
    <w:rsid w:val="00C04F50"/>
    <w:rsid w:val="00C050EF"/>
    <w:rsid w:val="00C0693A"/>
    <w:rsid w:val="00C0718D"/>
    <w:rsid w:val="00C077F9"/>
    <w:rsid w:val="00C11207"/>
    <w:rsid w:val="00C11A03"/>
    <w:rsid w:val="00C12CE1"/>
    <w:rsid w:val="00C137B6"/>
    <w:rsid w:val="00C13B55"/>
    <w:rsid w:val="00C14199"/>
    <w:rsid w:val="00C14A79"/>
    <w:rsid w:val="00C15217"/>
    <w:rsid w:val="00C154D2"/>
    <w:rsid w:val="00C15938"/>
    <w:rsid w:val="00C15C4D"/>
    <w:rsid w:val="00C16605"/>
    <w:rsid w:val="00C168CA"/>
    <w:rsid w:val="00C16DCB"/>
    <w:rsid w:val="00C17658"/>
    <w:rsid w:val="00C176E9"/>
    <w:rsid w:val="00C20559"/>
    <w:rsid w:val="00C20C88"/>
    <w:rsid w:val="00C218AA"/>
    <w:rsid w:val="00C22595"/>
    <w:rsid w:val="00C227E8"/>
    <w:rsid w:val="00C227EF"/>
    <w:rsid w:val="00C2284D"/>
    <w:rsid w:val="00C237CB"/>
    <w:rsid w:val="00C2613F"/>
    <w:rsid w:val="00C2617F"/>
    <w:rsid w:val="00C2623D"/>
    <w:rsid w:val="00C2698D"/>
    <w:rsid w:val="00C26BB5"/>
    <w:rsid w:val="00C27549"/>
    <w:rsid w:val="00C27C77"/>
    <w:rsid w:val="00C27D00"/>
    <w:rsid w:val="00C305FF"/>
    <w:rsid w:val="00C31235"/>
    <w:rsid w:val="00C319DE"/>
    <w:rsid w:val="00C31D00"/>
    <w:rsid w:val="00C3279A"/>
    <w:rsid w:val="00C33045"/>
    <w:rsid w:val="00C33936"/>
    <w:rsid w:val="00C33B92"/>
    <w:rsid w:val="00C33BD4"/>
    <w:rsid w:val="00C34341"/>
    <w:rsid w:val="00C34926"/>
    <w:rsid w:val="00C36CA4"/>
    <w:rsid w:val="00C37106"/>
    <w:rsid w:val="00C37550"/>
    <w:rsid w:val="00C40796"/>
    <w:rsid w:val="00C40E0F"/>
    <w:rsid w:val="00C40EE4"/>
    <w:rsid w:val="00C41957"/>
    <w:rsid w:val="00C41EE0"/>
    <w:rsid w:val="00C42783"/>
    <w:rsid w:val="00C4279B"/>
    <w:rsid w:val="00C42964"/>
    <w:rsid w:val="00C42AEC"/>
    <w:rsid w:val="00C4319B"/>
    <w:rsid w:val="00C4482F"/>
    <w:rsid w:val="00C44D68"/>
    <w:rsid w:val="00C463DD"/>
    <w:rsid w:val="00C46474"/>
    <w:rsid w:val="00C46A14"/>
    <w:rsid w:val="00C4723D"/>
    <w:rsid w:val="00C4724C"/>
    <w:rsid w:val="00C50356"/>
    <w:rsid w:val="00C51795"/>
    <w:rsid w:val="00C51960"/>
    <w:rsid w:val="00C51B7F"/>
    <w:rsid w:val="00C51F77"/>
    <w:rsid w:val="00C52916"/>
    <w:rsid w:val="00C52F3D"/>
    <w:rsid w:val="00C5392D"/>
    <w:rsid w:val="00C539D4"/>
    <w:rsid w:val="00C54F73"/>
    <w:rsid w:val="00C55779"/>
    <w:rsid w:val="00C561E4"/>
    <w:rsid w:val="00C6017C"/>
    <w:rsid w:val="00C606D3"/>
    <w:rsid w:val="00C60CA2"/>
    <w:rsid w:val="00C615FB"/>
    <w:rsid w:val="00C61B92"/>
    <w:rsid w:val="00C61F13"/>
    <w:rsid w:val="00C629A0"/>
    <w:rsid w:val="00C6410D"/>
    <w:rsid w:val="00C64311"/>
    <w:rsid w:val="00C64A07"/>
    <w:rsid w:val="00C659A9"/>
    <w:rsid w:val="00C65F90"/>
    <w:rsid w:val="00C702EE"/>
    <w:rsid w:val="00C709C4"/>
    <w:rsid w:val="00C71385"/>
    <w:rsid w:val="00C719BD"/>
    <w:rsid w:val="00C71BBF"/>
    <w:rsid w:val="00C7385F"/>
    <w:rsid w:val="00C745C3"/>
    <w:rsid w:val="00C761CC"/>
    <w:rsid w:val="00C77867"/>
    <w:rsid w:val="00C77C10"/>
    <w:rsid w:val="00C80264"/>
    <w:rsid w:val="00C815DC"/>
    <w:rsid w:val="00C82175"/>
    <w:rsid w:val="00C822D7"/>
    <w:rsid w:val="00C82416"/>
    <w:rsid w:val="00C8504E"/>
    <w:rsid w:val="00C8561F"/>
    <w:rsid w:val="00C860F7"/>
    <w:rsid w:val="00C866DB"/>
    <w:rsid w:val="00C9045B"/>
    <w:rsid w:val="00C909F8"/>
    <w:rsid w:val="00C9177A"/>
    <w:rsid w:val="00C9183C"/>
    <w:rsid w:val="00C91B0C"/>
    <w:rsid w:val="00C91BBB"/>
    <w:rsid w:val="00C921CF"/>
    <w:rsid w:val="00C9298D"/>
    <w:rsid w:val="00C934B4"/>
    <w:rsid w:val="00C940C1"/>
    <w:rsid w:val="00C94BC7"/>
    <w:rsid w:val="00C96D26"/>
    <w:rsid w:val="00CA026A"/>
    <w:rsid w:val="00CA1389"/>
    <w:rsid w:val="00CA2882"/>
    <w:rsid w:val="00CA3A14"/>
    <w:rsid w:val="00CA40C1"/>
    <w:rsid w:val="00CA47C3"/>
    <w:rsid w:val="00CA56DE"/>
    <w:rsid w:val="00CA5848"/>
    <w:rsid w:val="00CA7C33"/>
    <w:rsid w:val="00CA7D62"/>
    <w:rsid w:val="00CB0002"/>
    <w:rsid w:val="00CB1B90"/>
    <w:rsid w:val="00CB21C9"/>
    <w:rsid w:val="00CB25DD"/>
    <w:rsid w:val="00CB27E8"/>
    <w:rsid w:val="00CB2CED"/>
    <w:rsid w:val="00CB335D"/>
    <w:rsid w:val="00CB41B9"/>
    <w:rsid w:val="00CB4487"/>
    <w:rsid w:val="00CB6C91"/>
    <w:rsid w:val="00CB6DD9"/>
    <w:rsid w:val="00CB787B"/>
    <w:rsid w:val="00CB7F90"/>
    <w:rsid w:val="00CC04F4"/>
    <w:rsid w:val="00CC06D1"/>
    <w:rsid w:val="00CC0DF3"/>
    <w:rsid w:val="00CC1F58"/>
    <w:rsid w:val="00CC241F"/>
    <w:rsid w:val="00CC2420"/>
    <w:rsid w:val="00CC327C"/>
    <w:rsid w:val="00CC4C0C"/>
    <w:rsid w:val="00CC5BCE"/>
    <w:rsid w:val="00CC664C"/>
    <w:rsid w:val="00CC7484"/>
    <w:rsid w:val="00CC7652"/>
    <w:rsid w:val="00CC7755"/>
    <w:rsid w:val="00CD09B3"/>
    <w:rsid w:val="00CD0C45"/>
    <w:rsid w:val="00CD2663"/>
    <w:rsid w:val="00CD2A3B"/>
    <w:rsid w:val="00CD386B"/>
    <w:rsid w:val="00CD52E0"/>
    <w:rsid w:val="00CD5808"/>
    <w:rsid w:val="00CD645A"/>
    <w:rsid w:val="00CD6F25"/>
    <w:rsid w:val="00CD70B8"/>
    <w:rsid w:val="00CD7703"/>
    <w:rsid w:val="00CE1494"/>
    <w:rsid w:val="00CE1672"/>
    <w:rsid w:val="00CE170A"/>
    <w:rsid w:val="00CE1BE5"/>
    <w:rsid w:val="00CE2140"/>
    <w:rsid w:val="00CE3E66"/>
    <w:rsid w:val="00CE47D4"/>
    <w:rsid w:val="00CE4904"/>
    <w:rsid w:val="00CE4A8F"/>
    <w:rsid w:val="00CE4D40"/>
    <w:rsid w:val="00CE51F5"/>
    <w:rsid w:val="00CE5876"/>
    <w:rsid w:val="00CE5F5D"/>
    <w:rsid w:val="00CE673A"/>
    <w:rsid w:val="00CE7317"/>
    <w:rsid w:val="00CE7349"/>
    <w:rsid w:val="00CF0F43"/>
    <w:rsid w:val="00CF20BA"/>
    <w:rsid w:val="00CF21B3"/>
    <w:rsid w:val="00CF2919"/>
    <w:rsid w:val="00CF2C0D"/>
    <w:rsid w:val="00CF2C2A"/>
    <w:rsid w:val="00CF2FC3"/>
    <w:rsid w:val="00CF3E3C"/>
    <w:rsid w:val="00CF4CDC"/>
    <w:rsid w:val="00CF6255"/>
    <w:rsid w:val="00CF7083"/>
    <w:rsid w:val="00CF76CE"/>
    <w:rsid w:val="00CF7D0F"/>
    <w:rsid w:val="00D00223"/>
    <w:rsid w:val="00D012D4"/>
    <w:rsid w:val="00D01C8B"/>
    <w:rsid w:val="00D0217D"/>
    <w:rsid w:val="00D02CA3"/>
    <w:rsid w:val="00D03039"/>
    <w:rsid w:val="00D035CD"/>
    <w:rsid w:val="00D0482C"/>
    <w:rsid w:val="00D04B04"/>
    <w:rsid w:val="00D0590D"/>
    <w:rsid w:val="00D05B69"/>
    <w:rsid w:val="00D06910"/>
    <w:rsid w:val="00D06EAB"/>
    <w:rsid w:val="00D07060"/>
    <w:rsid w:val="00D07086"/>
    <w:rsid w:val="00D07BF5"/>
    <w:rsid w:val="00D103AB"/>
    <w:rsid w:val="00D107D6"/>
    <w:rsid w:val="00D11301"/>
    <w:rsid w:val="00D1131C"/>
    <w:rsid w:val="00D1134A"/>
    <w:rsid w:val="00D122F4"/>
    <w:rsid w:val="00D13038"/>
    <w:rsid w:val="00D13CB2"/>
    <w:rsid w:val="00D141CF"/>
    <w:rsid w:val="00D14C17"/>
    <w:rsid w:val="00D16450"/>
    <w:rsid w:val="00D2031B"/>
    <w:rsid w:val="00D20933"/>
    <w:rsid w:val="00D20B52"/>
    <w:rsid w:val="00D213F2"/>
    <w:rsid w:val="00D214D0"/>
    <w:rsid w:val="00D21C4F"/>
    <w:rsid w:val="00D21D87"/>
    <w:rsid w:val="00D21E61"/>
    <w:rsid w:val="00D2276A"/>
    <w:rsid w:val="00D2305C"/>
    <w:rsid w:val="00D236D5"/>
    <w:rsid w:val="00D23C28"/>
    <w:rsid w:val="00D24040"/>
    <w:rsid w:val="00D257E7"/>
    <w:rsid w:val="00D25FE2"/>
    <w:rsid w:val="00D26553"/>
    <w:rsid w:val="00D2672E"/>
    <w:rsid w:val="00D26E13"/>
    <w:rsid w:val="00D270EF"/>
    <w:rsid w:val="00D27315"/>
    <w:rsid w:val="00D3007F"/>
    <w:rsid w:val="00D33CD6"/>
    <w:rsid w:val="00D345F5"/>
    <w:rsid w:val="00D34E31"/>
    <w:rsid w:val="00D354E1"/>
    <w:rsid w:val="00D3669F"/>
    <w:rsid w:val="00D377FC"/>
    <w:rsid w:val="00D37E6D"/>
    <w:rsid w:val="00D41FE9"/>
    <w:rsid w:val="00D42E65"/>
    <w:rsid w:val="00D431EB"/>
    <w:rsid w:val="00D43252"/>
    <w:rsid w:val="00D4394C"/>
    <w:rsid w:val="00D44D04"/>
    <w:rsid w:val="00D45303"/>
    <w:rsid w:val="00D45485"/>
    <w:rsid w:val="00D45F2D"/>
    <w:rsid w:val="00D46294"/>
    <w:rsid w:val="00D46BA9"/>
    <w:rsid w:val="00D473D1"/>
    <w:rsid w:val="00D47963"/>
    <w:rsid w:val="00D47B2C"/>
    <w:rsid w:val="00D47EEA"/>
    <w:rsid w:val="00D5016D"/>
    <w:rsid w:val="00D50C86"/>
    <w:rsid w:val="00D50E8D"/>
    <w:rsid w:val="00D50EE6"/>
    <w:rsid w:val="00D51532"/>
    <w:rsid w:val="00D5167F"/>
    <w:rsid w:val="00D51C4E"/>
    <w:rsid w:val="00D537C3"/>
    <w:rsid w:val="00D53C0B"/>
    <w:rsid w:val="00D53CC8"/>
    <w:rsid w:val="00D56CCE"/>
    <w:rsid w:val="00D577D8"/>
    <w:rsid w:val="00D579D6"/>
    <w:rsid w:val="00D57E1D"/>
    <w:rsid w:val="00D60739"/>
    <w:rsid w:val="00D61B09"/>
    <w:rsid w:val="00D6279C"/>
    <w:rsid w:val="00D64A83"/>
    <w:rsid w:val="00D64D91"/>
    <w:rsid w:val="00D65841"/>
    <w:rsid w:val="00D65878"/>
    <w:rsid w:val="00D66B78"/>
    <w:rsid w:val="00D70A01"/>
    <w:rsid w:val="00D71187"/>
    <w:rsid w:val="00D712FE"/>
    <w:rsid w:val="00D71F3C"/>
    <w:rsid w:val="00D725AD"/>
    <w:rsid w:val="00D73195"/>
    <w:rsid w:val="00D73357"/>
    <w:rsid w:val="00D73754"/>
    <w:rsid w:val="00D750F6"/>
    <w:rsid w:val="00D77AEF"/>
    <w:rsid w:val="00D81CA4"/>
    <w:rsid w:val="00D82605"/>
    <w:rsid w:val="00D8294D"/>
    <w:rsid w:val="00D82B3A"/>
    <w:rsid w:val="00D8324A"/>
    <w:rsid w:val="00D841C4"/>
    <w:rsid w:val="00D8586C"/>
    <w:rsid w:val="00D86D31"/>
    <w:rsid w:val="00D871B4"/>
    <w:rsid w:val="00D87C94"/>
    <w:rsid w:val="00D90984"/>
    <w:rsid w:val="00D90A8D"/>
    <w:rsid w:val="00D90F93"/>
    <w:rsid w:val="00D9150D"/>
    <w:rsid w:val="00D918EE"/>
    <w:rsid w:val="00D91CDB"/>
    <w:rsid w:val="00D91D4F"/>
    <w:rsid w:val="00D9204F"/>
    <w:rsid w:val="00D921BD"/>
    <w:rsid w:val="00D93F44"/>
    <w:rsid w:val="00D95303"/>
    <w:rsid w:val="00D9535A"/>
    <w:rsid w:val="00D9565A"/>
    <w:rsid w:val="00D95A82"/>
    <w:rsid w:val="00D96442"/>
    <w:rsid w:val="00D9732B"/>
    <w:rsid w:val="00D978C6"/>
    <w:rsid w:val="00D97FB9"/>
    <w:rsid w:val="00DA083A"/>
    <w:rsid w:val="00DA0F6C"/>
    <w:rsid w:val="00DA16D9"/>
    <w:rsid w:val="00DA1948"/>
    <w:rsid w:val="00DA2765"/>
    <w:rsid w:val="00DA3111"/>
    <w:rsid w:val="00DA33D4"/>
    <w:rsid w:val="00DA3A42"/>
    <w:rsid w:val="00DA3C1C"/>
    <w:rsid w:val="00DA3DC3"/>
    <w:rsid w:val="00DA49AA"/>
    <w:rsid w:val="00DA53E6"/>
    <w:rsid w:val="00DA6B8E"/>
    <w:rsid w:val="00DA7238"/>
    <w:rsid w:val="00DA7412"/>
    <w:rsid w:val="00DA764F"/>
    <w:rsid w:val="00DA7B26"/>
    <w:rsid w:val="00DB0C79"/>
    <w:rsid w:val="00DB208A"/>
    <w:rsid w:val="00DB2FE6"/>
    <w:rsid w:val="00DB3C10"/>
    <w:rsid w:val="00DB45B8"/>
    <w:rsid w:val="00DB5B2F"/>
    <w:rsid w:val="00DB775E"/>
    <w:rsid w:val="00DC0CAC"/>
    <w:rsid w:val="00DC0FCD"/>
    <w:rsid w:val="00DC112C"/>
    <w:rsid w:val="00DC128E"/>
    <w:rsid w:val="00DC2663"/>
    <w:rsid w:val="00DC290C"/>
    <w:rsid w:val="00DC4569"/>
    <w:rsid w:val="00DC4F03"/>
    <w:rsid w:val="00DC651A"/>
    <w:rsid w:val="00DC6DBB"/>
    <w:rsid w:val="00DC6E39"/>
    <w:rsid w:val="00DC71FF"/>
    <w:rsid w:val="00DC721B"/>
    <w:rsid w:val="00DC77DC"/>
    <w:rsid w:val="00DC7EEC"/>
    <w:rsid w:val="00DD013D"/>
    <w:rsid w:val="00DD0339"/>
    <w:rsid w:val="00DD0FC2"/>
    <w:rsid w:val="00DD1B10"/>
    <w:rsid w:val="00DD26A8"/>
    <w:rsid w:val="00DD2781"/>
    <w:rsid w:val="00DD2F26"/>
    <w:rsid w:val="00DD3D73"/>
    <w:rsid w:val="00DD4B86"/>
    <w:rsid w:val="00DD5A37"/>
    <w:rsid w:val="00DD7A17"/>
    <w:rsid w:val="00DD7FAC"/>
    <w:rsid w:val="00DE000C"/>
    <w:rsid w:val="00DE010A"/>
    <w:rsid w:val="00DE35C2"/>
    <w:rsid w:val="00DE3E91"/>
    <w:rsid w:val="00DE3F50"/>
    <w:rsid w:val="00DE5C04"/>
    <w:rsid w:val="00DE6F09"/>
    <w:rsid w:val="00DE7867"/>
    <w:rsid w:val="00DE79A8"/>
    <w:rsid w:val="00DF0447"/>
    <w:rsid w:val="00DF0840"/>
    <w:rsid w:val="00DF179D"/>
    <w:rsid w:val="00DF1E57"/>
    <w:rsid w:val="00DF374D"/>
    <w:rsid w:val="00DF3F04"/>
    <w:rsid w:val="00DF4996"/>
    <w:rsid w:val="00DF5076"/>
    <w:rsid w:val="00DF50FB"/>
    <w:rsid w:val="00DF56AC"/>
    <w:rsid w:val="00DF5756"/>
    <w:rsid w:val="00DF5A2D"/>
    <w:rsid w:val="00DF5EFA"/>
    <w:rsid w:val="00DF67AC"/>
    <w:rsid w:val="00DF6941"/>
    <w:rsid w:val="00DF6C8D"/>
    <w:rsid w:val="00DF6E87"/>
    <w:rsid w:val="00DF740E"/>
    <w:rsid w:val="00DF7914"/>
    <w:rsid w:val="00E00251"/>
    <w:rsid w:val="00E0121B"/>
    <w:rsid w:val="00E012C9"/>
    <w:rsid w:val="00E013A9"/>
    <w:rsid w:val="00E01753"/>
    <w:rsid w:val="00E03193"/>
    <w:rsid w:val="00E03890"/>
    <w:rsid w:val="00E0462F"/>
    <w:rsid w:val="00E04914"/>
    <w:rsid w:val="00E04B7E"/>
    <w:rsid w:val="00E05998"/>
    <w:rsid w:val="00E065B0"/>
    <w:rsid w:val="00E07C3D"/>
    <w:rsid w:val="00E10CF1"/>
    <w:rsid w:val="00E138E5"/>
    <w:rsid w:val="00E13BBE"/>
    <w:rsid w:val="00E13CA7"/>
    <w:rsid w:val="00E14467"/>
    <w:rsid w:val="00E15945"/>
    <w:rsid w:val="00E17496"/>
    <w:rsid w:val="00E17CD1"/>
    <w:rsid w:val="00E209FD"/>
    <w:rsid w:val="00E21BB8"/>
    <w:rsid w:val="00E21D75"/>
    <w:rsid w:val="00E21FBA"/>
    <w:rsid w:val="00E2260E"/>
    <w:rsid w:val="00E23B99"/>
    <w:rsid w:val="00E23FBD"/>
    <w:rsid w:val="00E24886"/>
    <w:rsid w:val="00E25E54"/>
    <w:rsid w:val="00E26103"/>
    <w:rsid w:val="00E27346"/>
    <w:rsid w:val="00E3011C"/>
    <w:rsid w:val="00E3191A"/>
    <w:rsid w:val="00E3235C"/>
    <w:rsid w:val="00E334A0"/>
    <w:rsid w:val="00E33D68"/>
    <w:rsid w:val="00E3477A"/>
    <w:rsid w:val="00E352FB"/>
    <w:rsid w:val="00E376E4"/>
    <w:rsid w:val="00E37733"/>
    <w:rsid w:val="00E3785F"/>
    <w:rsid w:val="00E40420"/>
    <w:rsid w:val="00E41603"/>
    <w:rsid w:val="00E41EBB"/>
    <w:rsid w:val="00E43EC4"/>
    <w:rsid w:val="00E4406C"/>
    <w:rsid w:val="00E44542"/>
    <w:rsid w:val="00E44AAA"/>
    <w:rsid w:val="00E44B03"/>
    <w:rsid w:val="00E4520D"/>
    <w:rsid w:val="00E51BCB"/>
    <w:rsid w:val="00E53400"/>
    <w:rsid w:val="00E542F7"/>
    <w:rsid w:val="00E54361"/>
    <w:rsid w:val="00E5597B"/>
    <w:rsid w:val="00E5731A"/>
    <w:rsid w:val="00E61332"/>
    <w:rsid w:val="00E62BDD"/>
    <w:rsid w:val="00E632CC"/>
    <w:rsid w:val="00E63316"/>
    <w:rsid w:val="00E63CD8"/>
    <w:rsid w:val="00E64C60"/>
    <w:rsid w:val="00E65396"/>
    <w:rsid w:val="00E65C41"/>
    <w:rsid w:val="00E66A03"/>
    <w:rsid w:val="00E66C40"/>
    <w:rsid w:val="00E67476"/>
    <w:rsid w:val="00E67A23"/>
    <w:rsid w:val="00E67F91"/>
    <w:rsid w:val="00E71252"/>
    <w:rsid w:val="00E71BC8"/>
    <w:rsid w:val="00E7260F"/>
    <w:rsid w:val="00E7543A"/>
    <w:rsid w:val="00E7582C"/>
    <w:rsid w:val="00E759A9"/>
    <w:rsid w:val="00E75F22"/>
    <w:rsid w:val="00E76A04"/>
    <w:rsid w:val="00E76E7F"/>
    <w:rsid w:val="00E77107"/>
    <w:rsid w:val="00E779FC"/>
    <w:rsid w:val="00E80528"/>
    <w:rsid w:val="00E8058A"/>
    <w:rsid w:val="00E80B72"/>
    <w:rsid w:val="00E81E7C"/>
    <w:rsid w:val="00E82675"/>
    <w:rsid w:val="00E848D3"/>
    <w:rsid w:val="00E85E43"/>
    <w:rsid w:val="00E86349"/>
    <w:rsid w:val="00E863FD"/>
    <w:rsid w:val="00E879CB"/>
    <w:rsid w:val="00E90155"/>
    <w:rsid w:val="00E901BD"/>
    <w:rsid w:val="00E91421"/>
    <w:rsid w:val="00E93CD3"/>
    <w:rsid w:val="00E94088"/>
    <w:rsid w:val="00E9408F"/>
    <w:rsid w:val="00E946BA"/>
    <w:rsid w:val="00E95575"/>
    <w:rsid w:val="00E96630"/>
    <w:rsid w:val="00E96A37"/>
    <w:rsid w:val="00E97027"/>
    <w:rsid w:val="00E97852"/>
    <w:rsid w:val="00EA0821"/>
    <w:rsid w:val="00EA1886"/>
    <w:rsid w:val="00EA3104"/>
    <w:rsid w:val="00EA31F7"/>
    <w:rsid w:val="00EA5005"/>
    <w:rsid w:val="00EA53C3"/>
    <w:rsid w:val="00EA5836"/>
    <w:rsid w:val="00EB0109"/>
    <w:rsid w:val="00EB04C1"/>
    <w:rsid w:val="00EB16A9"/>
    <w:rsid w:val="00EB1AA1"/>
    <w:rsid w:val="00EB1ECC"/>
    <w:rsid w:val="00EB2581"/>
    <w:rsid w:val="00EB327A"/>
    <w:rsid w:val="00EB60B3"/>
    <w:rsid w:val="00EB689F"/>
    <w:rsid w:val="00EB7049"/>
    <w:rsid w:val="00EC1345"/>
    <w:rsid w:val="00EC1C71"/>
    <w:rsid w:val="00EC28F3"/>
    <w:rsid w:val="00EC347A"/>
    <w:rsid w:val="00EC4754"/>
    <w:rsid w:val="00EC542F"/>
    <w:rsid w:val="00ED00C7"/>
    <w:rsid w:val="00ED06EC"/>
    <w:rsid w:val="00ED1386"/>
    <w:rsid w:val="00ED140E"/>
    <w:rsid w:val="00ED1515"/>
    <w:rsid w:val="00ED5317"/>
    <w:rsid w:val="00ED7A2A"/>
    <w:rsid w:val="00EE0222"/>
    <w:rsid w:val="00EE0B0F"/>
    <w:rsid w:val="00EE1A90"/>
    <w:rsid w:val="00EE1B4E"/>
    <w:rsid w:val="00EE370F"/>
    <w:rsid w:val="00EE48AC"/>
    <w:rsid w:val="00EE5084"/>
    <w:rsid w:val="00EE5A36"/>
    <w:rsid w:val="00EE5BD5"/>
    <w:rsid w:val="00EE5E84"/>
    <w:rsid w:val="00EE6199"/>
    <w:rsid w:val="00EE711E"/>
    <w:rsid w:val="00EE7275"/>
    <w:rsid w:val="00EE744F"/>
    <w:rsid w:val="00EE77B7"/>
    <w:rsid w:val="00EF0235"/>
    <w:rsid w:val="00EF09E6"/>
    <w:rsid w:val="00EF1D7F"/>
    <w:rsid w:val="00EF1EF6"/>
    <w:rsid w:val="00EF434A"/>
    <w:rsid w:val="00EF5073"/>
    <w:rsid w:val="00EF54E8"/>
    <w:rsid w:val="00EF571E"/>
    <w:rsid w:val="00EF65BA"/>
    <w:rsid w:val="00EF792A"/>
    <w:rsid w:val="00F004E2"/>
    <w:rsid w:val="00F00858"/>
    <w:rsid w:val="00F01334"/>
    <w:rsid w:val="00F02C8E"/>
    <w:rsid w:val="00F02FDB"/>
    <w:rsid w:val="00F03190"/>
    <w:rsid w:val="00F03535"/>
    <w:rsid w:val="00F03A99"/>
    <w:rsid w:val="00F03C8A"/>
    <w:rsid w:val="00F04CDE"/>
    <w:rsid w:val="00F05290"/>
    <w:rsid w:val="00F06702"/>
    <w:rsid w:val="00F06F44"/>
    <w:rsid w:val="00F100FA"/>
    <w:rsid w:val="00F10238"/>
    <w:rsid w:val="00F10A25"/>
    <w:rsid w:val="00F10A44"/>
    <w:rsid w:val="00F10E0C"/>
    <w:rsid w:val="00F1114D"/>
    <w:rsid w:val="00F12D79"/>
    <w:rsid w:val="00F137BE"/>
    <w:rsid w:val="00F1389A"/>
    <w:rsid w:val="00F145AF"/>
    <w:rsid w:val="00F148F2"/>
    <w:rsid w:val="00F151BD"/>
    <w:rsid w:val="00F15243"/>
    <w:rsid w:val="00F1539A"/>
    <w:rsid w:val="00F16FA2"/>
    <w:rsid w:val="00F20424"/>
    <w:rsid w:val="00F20C3D"/>
    <w:rsid w:val="00F21FF9"/>
    <w:rsid w:val="00F2311F"/>
    <w:rsid w:val="00F23820"/>
    <w:rsid w:val="00F23914"/>
    <w:rsid w:val="00F23B86"/>
    <w:rsid w:val="00F23E8E"/>
    <w:rsid w:val="00F241E7"/>
    <w:rsid w:val="00F24655"/>
    <w:rsid w:val="00F25118"/>
    <w:rsid w:val="00F2528A"/>
    <w:rsid w:val="00F25822"/>
    <w:rsid w:val="00F25C4A"/>
    <w:rsid w:val="00F25E5E"/>
    <w:rsid w:val="00F26BC3"/>
    <w:rsid w:val="00F27F80"/>
    <w:rsid w:val="00F301C6"/>
    <w:rsid w:val="00F305D7"/>
    <w:rsid w:val="00F308FF"/>
    <w:rsid w:val="00F30F1F"/>
    <w:rsid w:val="00F318C1"/>
    <w:rsid w:val="00F31954"/>
    <w:rsid w:val="00F31FB3"/>
    <w:rsid w:val="00F323A7"/>
    <w:rsid w:val="00F32635"/>
    <w:rsid w:val="00F32778"/>
    <w:rsid w:val="00F3365E"/>
    <w:rsid w:val="00F36AFD"/>
    <w:rsid w:val="00F36C66"/>
    <w:rsid w:val="00F37D09"/>
    <w:rsid w:val="00F405B9"/>
    <w:rsid w:val="00F415E0"/>
    <w:rsid w:val="00F4204E"/>
    <w:rsid w:val="00F421C4"/>
    <w:rsid w:val="00F42733"/>
    <w:rsid w:val="00F434FD"/>
    <w:rsid w:val="00F4380B"/>
    <w:rsid w:val="00F43B36"/>
    <w:rsid w:val="00F43E9E"/>
    <w:rsid w:val="00F4418A"/>
    <w:rsid w:val="00F44474"/>
    <w:rsid w:val="00F44B68"/>
    <w:rsid w:val="00F453A1"/>
    <w:rsid w:val="00F4561A"/>
    <w:rsid w:val="00F45731"/>
    <w:rsid w:val="00F45EE4"/>
    <w:rsid w:val="00F46BB8"/>
    <w:rsid w:val="00F46CDD"/>
    <w:rsid w:val="00F47817"/>
    <w:rsid w:val="00F47C47"/>
    <w:rsid w:val="00F50587"/>
    <w:rsid w:val="00F5202F"/>
    <w:rsid w:val="00F53F0E"/>
    <w:rsid w:val="00F549D0"/>
    <w:rsid w:val="00F55AE7"/>
    <w:rsid w:val="00F56D24"/>
    <w:rsid w:val="00F63797"/>
    <w:rsid w:val="00F64208"/>
    <w:rsid w:val="00F647F9"/>
    <w:rsid w:val="00F64FCD"/>
    <w:rsid w:val="00F656E4"/>
    <w:rsid w:val="00F65E7F"/>
    <w:rsid w:val="00F667CF"/>
    <w:rsid w:val="00F6721A"/>
    <w:rsid w:val="00F67B7A"/>
    <w:rsid w:val="00F67E72"/>
    <w:rsid w:val="00F70FF2"/>
    <w:rsid w:val="00F712DF"/>
    <w:rsid w:val="00F713E3"/>
    <w:rsid w:val="00F71BF6"/>
    <w:rsid w:val="00F749AF"/>
    <w:rsid w:val="00F75F5B"/>
    <w:rsid w:val="00F76E01"/>
    <w:rsid w:val="00F7744E"/>
    <w:rsid w:val="00F82380"/>
    <w:rsid w:val="00F8265D"/>
    <w:rsid w:val="00F837C7"/>
    <w:rsid w:val="00F8448A"/>
    <w:rsid w:val="00F8521C"/>
    <w:rsid w:val="00F85600"/>
    <w:rsid w:val="00F85716"/>
    <w:rsid w:val="00F85C54"/>
    <w:rsid w:val="00F85F48"/>
    <w:rsid w:val="00F86121"/>
    <w:rsid w:val="00F86289"/>
    <w:rsid w:val="00F878CB"/>
    <w:rsid w:val="00F90553"/>
    <w:rsid w:val="00F9057C"/>
    <w:rsid w:val="00F906D7"/>
    <w:rsid w:val="00F90D6C"/>
    <w:rsid w:val="00F90D84"/>
    <w:rsid w:val="00F90EA8"/>
    <w:rsid w:val="00F90FD3"/>
    <w:rsid w:val="00F910E4"/>
    <w:rsid w:val="00F9190E"/>
    <w:rsid w:val="00F91B3B"/>
    <w:rsid w:val="00F91F48"/>
    <w:rsid w:val="00F91FD2"/>
    <w:rsid w:val="00F92055"/>
    <w:rsid w:val="00F93781"/>
    <w:rsid w:val="00F956EB"/>
    <w:rsid w:val="00F9669A"/>
    <w:rsid w:val="00F96BA5"/>
    <w:rsid w:val="00F976E7"/>
    <w:rsid w:val="00F97ADD"/>
    <w:rsid w:val="00FA1481"/>
    <w:rsid w:val="00FA1718"/>
    <w:rsid w:val="00FA32C0"/>
    <w:rsid w:val="00FA380F"/>
    <w:rsid w:val="00FA447C"/>
    <w:rsid w:val="00FA4B7B"/>
    <w:rsid w:val="00FA56DB"/>
    <w:rsid w:val="00FA5D93"/>
    <w:rsid w:val="00FA61D5"/>
    <w:rsid w:val="00FA6BE1"/>
    <w:rsid w:val="00FA6E39"/>
    <w:rsid w:val="00FB04B6"/>
    <w:rsid w:val="00FB1408"/>
    <w:rsid w:val="00FB1B6F"/>
    <w:rsid w:val="00FB1D0C"/>
    <w:rsid w:val="00FB293C"/>
    <w:rsid w:val="00FB42D3"/>
    <w:rsid w:val="00FB4B15"/>
    <w:rsid w:val="00FB5EB5"/>
    <w:rsid w:val="00FB613B"/>
    <w:rsid w:val="00FB6F7F"/>
    <w:rsid w:val="00FB7622"/>
    <w:rsid w:val="00FB7B32"/>
    <w:rsid w:val="00FC0A83"/>
    <w:rsid w:val="00FC20C0"/>
    <w:rsid w:val="00FC22CD"/>
    <w:rsid w:val="00FC2CFD"/>
    <w:rsid w:val="00FC3365"/>
    <w:rsid w:val="00FC344D"/>
    <w:rsid w:val="00FC3BC4"/>
    <w:rsid w:val="00FC5381"/>
    <w:rsid w:val="00FC5B9A"/>
    <w:rsid w:val="00FC6453"/>
    <w:rsid w:val="00FC68B7"/>
    <w:rsid w:val="00FC70CA"/>
    <w:rsid w:val="00FD0381"/>
    <w:rsid w:val="00FD0A8A"/>
    <w:rsid w:val="00FD0BF9"/>
    <w:rsid w:val="00FD1616"/>
    <w:rsid w:val="00FD1954"/>
    <w:rsid w:val="00FD23D3"/>
    <w:rsid w:val="00FD436D"/>
    <w:rsid w:val="00FD4FB8"/>
    <w:rsid w:val="00FD7631"/>
    <w:rsid w:val="00FD7B6E"/>
    <w:rsid w:val="00FE106A"/>
    <w:rsid w:val="00FE1292"/>
    <w:rsid w:val="00FE358C"/>
    <w:rsid w:val="00FE52FC"/>
    <w:rsid w:val="00FE5EE9"/>
    <w:rsid w:val="00FE6DC3"/>
    <w:rsid w:val="00FE7356"/>
    <w:rsid w:val="00FE7EF7"/>
    <w:rsid w:val="00FF0FD2"/>
    <w:rsid w:val="00FF1D1B"/>
    <w:rsid w:val="00FF3434"/>
    <w:rsid w:val="00FF3FD6"/>
    <w:rsid w:val="00FF49A1"/>
    <w:rsid w:val="00FF67E9"/>
    <w:rsid w:val="00FF6837"/>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uz-Cyrl-UZ"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D3EF17"/>
  <w15:docId w15:val="{5B30F783-1D51-4DF3-AE06-53A6961B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83"/>
    <w:rPr>
      <w:sz w:val="24"/>
      <w:szCs w:val="24"/>
      <w:lang w:val="en-US" w:eastAsia="en-US" w:bidi="he-IL"/>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uppressAutoHyphens/>
      <w:outlineLvl w:val="1"/>
    </w:pPr>
    <w:rPr>
      <w:sz w:val="20"/>
      <w:szCs w:val="20"/>
      <w:lang w:val="en-GB" w:bidi="ar-SA"/>
    </w:rPr>
  </w:style>
  <w:style w:type="paragraph" w:styleId="Heading3">
    <w:name w:val="heading 3"/>
    <w:basedOn w:val="Normal"/>
    <w:next w:val="Normal"/>
    <w:link w:val="Heading3Char"/>
    <w:uiPriority w:val="99"/>
    <w:qFormat/>
    <w:rsid w:val="000272B3"/>
    <w:pPr>
      <w:suppressAutoHyphens/>
      <w:outlineLvl w:val="2"/>
    </w:pPr>
    <w:rPr>
      <w:sz w:val="20"/>
      <w:szCs w:val="20"/>
      <w:lang w:val="en-GB" w:bidi="ar-SA"/>
    </w:rPr>
  </w:style>
  <w:style w:type="paragraph" w:styleId="Heading4">
    <w:name w:val="heading 4"/>
    <w:basedOn w:val="Normal"/>
    <w:next w:val="Normal"/>
    <w:link w:val="Heading4Char"/>
    <w:uiPriority w:val="99"/>
    <w:qFormat/>
    <w:rsid w:val="000272B3"/>
    <w:pPr>
      <w:suppressAutoHyphens/>
      <w:outlineLvl w:val="3"/>
    </w:pPr>
    <w:rPr>
      <w:sz w:val="20"/>
      <w:szCs w:val="20"/>
      <w:lang w:val="en-GB" w:bidi="ar-SA"/>
    </w:rPr>
  </w:style>
  <w:style w:type="paragraph" w:styleId="Heading5">
    <w:name w:val="heading 5"/>
    <w:basedOn w:val="Normal"/>
    <w:next w:val="Normal"/>
    <w:link w:val="Heading5Char"/>
    <w:uiPriority w:val="99"/>
    <w:qFormat/>
    <w:rsid w:val="000272B3"/>
    <w:pPr>
      <w:suppressAutoHyphens/>
      <w:outlineLvl w:val="4"/>
    </w:pPr>
    <w:rPr>
      <w:sz w:val="20"/>
      <w:szCs w:val="20"/>
      <w:lang w:val="en-GB" w:bidi="ar-SA"/>
    </w:rPr>
  </w:style>
  <w:style w:type="paragraph" w:styleId="Heading6">
    <w:name w:val="heading 6"/>
    <w:basedOn w:val="Normal"/>
    <w:next w:val="Normal"/>
    <w:link w:val="Heading6Char"/>
    <w:uiPriority w:val="99"/>
    <w:qFormat/>
    <w:rsid w:val="000272B3"/>
    <w:pPr>
      <w:suppressAutoHyphens/>
      <w:outlineLvl w:val="5"/>
    </w:pPr>
    <w:rPr>
      <w:sz w:val="20"/>
      <w:szCs w:val="20"/>
      <w:lang w:val="en-GB" w:bidi="ar-SA"/>
    </w:rPr>
  </w:style>
  <w:style w:type="paragraph" w:styleId="Heading7">
    <w:name w:val="heading 7"/>
    <w:basedOn w:val="Normal"/>
    <w:next w:val="Normal"/>
    <w:link w:val="Heading7Char"/>
    <w:uiPriority w:val="99"/>
    <w:qFormat/>
    <w:rsid w:val="000272B3"/>
    <w:pPr>
      <w:suppressAutoHyphens/>
      <w:outlineLvl w:val="6"/>
    </w:pPr>
    <w:rPr>
      <w:sz w:val="20"/>
      <w:szCs w:val="20"/>
      <w:lang w:val="en-GB" w:bidi="ar-SA"/>
    </w:rPr>
  </w:style>
  <w:style w:type="paragraph" w:styleId="Heading8">
    <w:name w:val="heading 8"/>
    <w:basedOn w:val="Normal"/>
    <w:next w:val="Normal"/>
    <w:link w:val="Heading8Char"/>
    <w:uiPriority w:val="99"/>
    <w:qFormat/>
    <w:rsid w:val="000272B3"/>
    <w:pPr>
      <w:suppressAutoHyphens/>
      <w:outlineLvl w:val="7"/>
    </w:pPr>
    <w:rPr>
      <w:sz w:val="20"/>
      <w:szCs w:val="20"/>
      <w:lang w:val="en-GB" w:bidi="ar-SA"/>
    </w:rPr>
  </w:style>
  <w:style w:type="paragraph" w:styleId="Heading9">
    <w:name w:val="heading 9"/>
    <w:basedOn w:val="Normal"/>
    <w:next w:val="Normal"/>
    <w:link w:val="Heading9Char"/>
    <w:uiPriority w:val="99"/>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uppressAutoHyphens/>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locked/>
    <w:rsid w:val="006743E9"/>
    <w:rPr>
      <w:rFonts w:ascii="Tahoma" w:hAnsi="Tahoma"/>
      <w:sz w:val="16"/>
      <w:lang w:eastAsia="en-US"/>
    </w:rPr>
  </w:style>
  <w:style w:type="paragraph" w:customStyle="1" w:styleId="SingleTxtG">
    <w:name w:val="_ Single Txt_G"/>
    <w:basedOn w:val="Normal"/>
    <w:link w:val="SingleTxtGChar"/>
    <w:qFormat/>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uiPriority w:val="99"/>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link w:val="HeaderChar"/>
    <w:uiPriority w:val="99"/>
    <w:rsid w:val="000272B3"/>
    <w:pPr>
      <w:pBdr>
        <w:bottom w:val="single" w:sz="4" w:space="4" w:color="auto"/>
      </w:pBdr>
      <w:suppressAutoHyphens/>
    </w:pPr>
    <w:rPr>
      <w:b/>
      <w:sz w:val="18"/>
      <w:szCs w:val="20"/>
      <w:lang w:val="en-GB" w:bidi="ar-SA"/>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1"/>
    <w:qFormat/>
    <w:rsid w:val="004D71B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eastAsia="zh-CN" w:bidi="ar-SA"/>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uiPriority w:val="99"/>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uiPriority w:val="99"/>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uiPriority w:val="99"/>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pPr>
      <w:suppressAutoHyphens/>
      <w:spacing w:line="240" w:lineRule="atLeast"/>
    </w:pPr>
    <w:rPr>
      <w:sz w:val="20"/>
      <w:szCs w:val="20"/>
      <w:lang w:val="en-GB" w:bidi="ar-SA"/>
    </w:rPr>
  </w:style>
  <w:style w:type="character" w:customStyle="1" w:styleId="CommentTextChar">
    <w:name w:val="Comment Text Char"/>
    <w:basedOn w:val="DefaultParagraphFont"/>
    <w:link w:val="CommentText"/>
    <w:uiPriority w:val="99"/>
    <w:locked/>
    <w:rsid w:val="00161B02"/>
    <w:rPr>
      <w:lang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f,Ref"/>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sz w:val="20"/>
      <w:szCs w:val="20"/>
      <w:lang w:val="en-GB" w:eastAsia="zh-CN" w:bidi="ar-SA"/>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styleId="Emphasis">
    <w:name w:val="Emphasis"/>
    <w:basedOn w:val="DefaultParagraphFont"/>
    <w:uiPriority w:val="20"/>
    <w:qFormat/>
    <w:locked/>
    <w:rsid w:val="00F301C6"/>
    <w:rPr>
      <w:i/>
      <w:iCs/>
    </w:rPr>
  </w:style>
  <w:style w:type="character" w:customStyle="1" w:styleId="apple-converted-space">
    <w:name w:val="apple-converted-space"/>
    <w:basedOn w:val="DefaultParagraphFont"/>
    <w:rsid w:val="00F301C6"/>
  </w:style>
  <w:style w:type="paragraph" w:styleId="NormalWeb">
    <w:name w:val="Normal (Web)"/>
    <w:basedOn w:val="Normal"/>
    <w:uiPriority w:val="99"/>
    <w:semiHidden/>
    <w:unhideWhenUsed/>
    <w:rsid w:val="00D73357"/>
    <w:pPr>
      <w:spacing w:before="100" w:beforeAutospacing="1" w:after="100" w:afterAutospacing="1"/>
    </w:pPr>
    <w:rPr>
      <w:lang w:val="en-GB" w:eastAsia="en-GB" w:bidi="ar-SA"/>
    </w:rPr>
  </w:style>
  <w:style w:type="character" w:customStyle="1" w:styleId="shorttext">
    <w:name w:val="short_text"/>
    <w:rsid w:val="00E44AAA"/>
  </w:style>
  <w:style w:type="character" w:customStyle="1" w:styleId="hps">
    <w:name w:val="hps"/>
    <w:rsid w:val="00E44AAA"/>
  </w:style>
  <w:style w:type="character" w:customStyle="1" w:styleId="p">
    <w:name w:val="p"/>
    <w:basedOn w:val="DefaultParagraphFont"/>
    <w:rsid w:val="0025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0009">
      <w:bodyDiv w:val="1"/>
      <w:marLeft w:val="0"/>
      <w:marRight w:val="0"/>
      <w:marTop w:val="0"/>
      <w:marBottom w:val="0"/>
      <w:divBdr>
        <w:top w:val="none" w:sz="0" w:space="0" w:color="auto"/>
        <w:left w:val="none" w:sz="0" w:space="0" w:color="auto"/>
        <w:bottom w:val="none" w:sz="0" w:space="0" w:color="auto"/>
        <w:right w:val="none" w:sz="0" w:space="0" w:color="auto"/>
      </w:divBdr>
      <w:divsChild>
        <w:div w:id="666134112">
          <w:marLeft w:val="0"/>
          <w:marRight w:val="0"/>
          <w:marTop w:val="0"/>
          <w:marBottom w:val="0"/>
          <w:divBdr>
            <w:top w:val="none" w:sz="0" w:space="0" w:color="auto"/>
            <w:left w:val="none" w:sz="0" w:space="0" w:color="auto"/>
            <w:bottom w:val="none" w:sz="0" w:space="0" w:color="auto"/>
            <w:right w:val="none" w:sz="0" w:space="0" w:color="auto"/>
          </w:divBdr>
        </w:div>
      </w:divsChild>
    </w:div>
    <w:div w:id="357968925">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
    <w:div w:id="1227838613">
      <w:bodyDiv w:val="1"/>
      <w:marLeft w:val="0"/>
      <w:marRight w:val="0"/>
      <w:marTop w:val="0"/>
      <w:marBottom w:val="0"/>
      <w:divBdr>
        <w:top w:val="none" w:sz="0" w:space="0" w:color="auto"/>
        <w:left w:val="none" w:sz="0" w:space="0" w:color="auto"/>
        <w:bottom w:val="none" w:sz="0" w:space="0" w:color="auto"/>
        <w:right w:val="none" w:sz="0" w:space="0" w:color="auto"/>
      </w:divBdr>
    </w:div>
    <w:div w:id="1311322838">
      <w:bodyDiv w:val="1"/>
      <w:marLeft w:val="0"/>
      <w:marRight w:val="0"/>
      <w:marTop w:val="0"/>
      <w:marBottom w:val="0"/>
      <w:divBdr>
        <w:top w:val="none" w:sz="0" w:space="0" w:color="auto"/>
        <w:left w:val="none" w:sz="0" w:space="0" w:color="auto"/>
        <w:bottom w:val="none" w:sz="0" w:space="0" w:color="auto"/>
        <w:right w:val="none" w:sz="0" w:space="0" w:color="auto"/>
      </w:divBdr>
    </w:div>
    <w:div w:id="1332757930">
      <w:bodyDiv w:val="1"/>
      <w:marLeft w:val="0"/>
      <w:marRight w:val="0"/>
      <w:marTop w:val="0"/>
      <w:marBottom w:val="0"/>
      <w:divBdr>
        <w:top w:val="none" w:sz="0" w:space="0" w:color="auto"/>
        <w:left w:val="none" w:sz="0" w:space="0" w:color="auto"/>
        <w:bottom w:val="none" w:sz="0" w:space="0" w:color="auto"/>
        <w:right w:val="none" w:sz="0" w:space="0" w:color="auto"/>
      </w:divBdr>
    </w:div>
    <w:div w:id="1438066757">
      <w:bodyDiv w:val="1"/>
      <w:marLeft w:val="0"/>
      <w:marRight w:val="0"/>
      <w:marTop w:val="0"/>
      <w:marBottom w:val="0"/>
      <w:divBdr>
        <w:top w:val="none" w:sz="0" w:space="0" w:color="auto"/>
        <w:left w:val="none" w:sz="0" w:space="0" w:color="auto"/>
        <w:bottom w:val="none" w:sz="0" w:space="0" w:color="auto"/>
        <w:right w:val="none" w:sz="0" w:space="0" w:color="auto"/>
      </w:divBdr>
    </w:div>
    <w:div w:id="1578204142">
      <w:bodyDiv w:val="1"/>
      <w:marLeft w:val="0"/>
      <w:marRight w:val="0"/>
      <w:marTop w:val="0"/>
      <w:marBottom w:val="0"/>
      <w:divBdr>
        <w:top w:val="none" w:sz="0" w:space="0" w:color="auto"/>
        <w:left w:val="none" w:sz="0" w:space="0" w:color="auto"/>
        <w:bottom w:val="none" w:sz="0" w:space="0" w:color="auto"/>
        <w:right w:val="none" w:sz="0" w:space="0" w:color="auto"/>
      </w:divBdr>
    </w:div>
    <w:div w:id="1873569407">
      <w:bodyDiv w:val="1"/>
      <w:marLeft w:val="0"/>
      <w:marRight w:val="0"/>
      <w:marTop w:val="0"/>
      <w:marBottom w:val="0"/>
      <w:divBdr>
        <w:top w:val="none" w:sz="0" w:space="0" w:color="auto"/>
        <w:left w:val="none" w:sz="0" w:space="0" w:color="auto"/>
        <w:bottom w:val="none" w:sz="0" w:space="0" w:color="auto"/>
        <w:right w:val="none" w:sz="0" w:space="0" w:color="auto"/>
      </w:divBdr>
    </w:div>
    <w:div w:id="206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481A-CDFB-493E-B24B-FB10E7720279}">
  <ds:schemaRefs>
    <ds:schemaRef ds:uri="http://schemas.microsoft.com/sharepoint/v3/contenttype/forms"/>
  </ds:schemaRefs>
</ds:datastoreItem>
</file>

<file path=customXml/itemProps2.xml><?xml version="1.0" encoding="utf-8"?>
<ds:datastoreItem xmlns:ds="http://schemas.openxmlformats.org/officeDocument/2006/customXml" ds:itemID="{8C9EF5EB-4C51-4883-B015-3B1F5678C7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133BC-0CE7-4DFF-AAA5-C3A5C1500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F48180-8EBF-44F3-B84A-FB8E09FF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3362</Words>
  <Characters>19166</Characters>
  <Application>Microsoft Office Word</Application>
  <DocSecurity>0</DocSecurity>
  <Lines>159</Lines>
  <Paragraphs>44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CCPR/C/128/DR/2330/2014</vt:lpstr>
      <vt:lpstr>CCPR/C/128/DR/2330/2014</vt:lpstr>
      <vt:lpstr>1807161</vt:lpstr>
    </vt:vector>
  </TitlesOfParts>
  <Company>CSD</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CCPR/C/128/DR/2330/2014</dc:title>
  <dc:subject>2001085</dc:subject>
  <dc:creator>temp Neogi</dc:creator>
  <cp:keywords/>
  <dc:description/>
  <cp:lastModifiedBy>Daniella Ferreira</cp:lastModifiedBy>
  <cp:revision>2</cp:revision>
  <cp:lastPrinted>2020-12-17T08:21:00Z</cp:lastPrinted>
  <dcterms:created xsi:type="dcterms:W3CDTF">2021-03-10T14:43:00Z</dcterms:created>
  <dcterms:modified xsi:type="dcterms:W3CDTF">2021-03-10T14:43:00Z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