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FE2F6D3" w14:textId="77777777" w:rsidTr="00F603F4">
        <w:trPr>
          <w:cantSplit/>
          <w:trHeight w:hRule="exact" w:val="851"/>
        </w:trPr>
        <w:tc>
          <w:tcPr>
            <w:tcW w:w="1276" w:type="dxa"/>
            <w:tcBorders>
              <w:bottom w:val="single" w:sz="4" w:space="0" w:color="auto"/>
            </w:tcBorders>
            <w:vAlign w:val="bottom"/>
          </w:tcPr>
          <w:p w14:paraId="329A8BD9" w14:textId="77777777" w:rsidR="00165C15" w:rsidRDefault="00165C15" w:rsidP="00F603F4">
            <w:pPr>
              <w:spacing w:after="80"/>
            </w:pPr>
          </w:p>
        </w:tc>
        <w:tc>
          <w:tcPr>
            <w:tcW w:w="2268" w:type="dxa"/>
            <w:tcBorders>
              <w:bottom w:val="single" w:sz="4" w:space="0" w:color="auto"/>
            </w:tcBorders>
            <w:vAlign w:val="bottom"/>
          </w:tcPr>
          <w:p w14:paraId="6DF3DC78" w14:textId="77777777" w:rsidR="00165C15" w:rsidRPr="00B97172" w:rsidRDefault="00165C15" w:rsidP="00F603F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5DE33A" w14:textId="5369BE33" w:rsidR="00165C15" w:rsidRPr="006A31AE" w:rsidRDefault="006A31AE" w:rsidP="000C7BBD">
            <w:pPr>
              <w:suppressAutoHyphens w:val="0"/>
              <w:spacing w:after="20"/>
              <w:jc w:val="right"/>
              <w:rPr>
                <w:sz w:val="40"/>
              </w:rPr>
            </w:pPr>
            <w:r w:rsidRPr="006A31AE">
              <w:rPr>
                <w:sz w:val="40"/>
              </w:rPr>
              <w:t>CCPR</w:t>
            </w:r>
            <w:r>
              <w:t>/C/</w:t>
            </w:r>
            <w:r w:rsidR="009A7A71">
              <w:t>12</w:t>
            </w:r>
            <w:r w:rsidR="000C7BBD">
              <w:t>9</w:t>
            </w:r>
            <w:r w:rsidRPr="00466CBC">
              <w:t>/</w:t>
            </w:r>
            <w:r>
              <w:t>D/</w:t>
            </w:r>
            <w:r w:rsidR="000C7BBD" w:rsidRPr="007B20A6">
              <w:t>3106</w:t>
            </w:r>
            <w:r w:rsidR="005F5F92">
              <w:t>/2018</w:t>
            </w:r>
            <w:r w:rsidR="005E60C6" w:rsidRPr="007B20A6">
              <w:t>-3122</w:t>
            </w:r>
            <w:r>
              <w:t>/</w:t>
            </w:r>
            <w:r w:rsidR="006A25CB">
              <w:t>201</w:t>
            </w:r>
            <w:r w:rsidR="000C7BBD">
              <w:t>8</w:t>
            </w:r>
          </w:p>
        </w:tc>
      </w:tr>
      <w:tr w:rsidR="00165C15" w14:paraId="40B7B5E2" w14:textId="77777777" w:rsidTr="00232AC6">
        <w:trPr>
          <w:cantSplit/>
          <w:trHeight w:hRule="exact" w:val="2567"/>
        </w:trPr>
        <w:tc>
          <w:tcPr>
            <w:tcW w:w="1276" w:type="dxa"/>
            <w:tcBorders>
              <w:top w:val="single" w:sz="4" w:space="0" w:color="auto"/>
              <w:bottom w:val="single" w:sz="12" w:space="0" w:color="auto"/>
            </w:tcBorders>
          </w:tcPr>
          <w:p w14:paraId="1123AC76" w14:textId="77777777" w:rsidR="00165C15" w:rsidRDefault="00165C15" w:rsidP="00F603F4">
            <w:pPr>
              <w:spacing w:before="120"/>
            </w:pPr>
            <w:r>
              <w:rPr>
                <w:noProof/>
                <w:lang w:eastAsia="en-GB"/>
              </w:rPr>
              <w:drawing>
                <wp:inline distT="0" distB="0" distL="0" distR="0" wp14:anchorId="4D23436A" wp14:editId="5CDE18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39D076" w14:textId="77777777" w:rsidR="00165C15" w:rsidRDefault="00165C15" w:rsidP="00F603F4">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64B548D7" w14:textId="77777777" w:rsidR="00B526C4" w:rsidRDefault="00B526C4" w:rsidP="00B526C4">
            <w:pPr>
              <w:spacing w:before="120" w:line="380" w:lineRule="exact"/>
              <w:rPr>
                <w:b/>
                <w:sz w:val="34"/>
                <w:szCs w:val="40"/>
              </w:rPr>
            </w:pPr>
            <w:r w:rsidRPr="000921E9">
              <w:rPr>
                <w:sz w:val="34"/>
                <w:szCs w:val="40"/>
              </w:rPr>
              <w:t>Advance unedited version</w:t>
            </w:r>
          </w:p>
          <w:p w14:paraId="209BDA00" w14:textId="26631C1A" w:rsidR="00B526C4" w:rsidRPr="00267F5F" w:rsidRDefault="00B526C4" w:rsidP="00F603F4">
            <w:pPr>
              <w:spacing w:before="120" w:line="380" w:lineRule="exact"/>
              <w:rPr>
                <w:sz w:val="34"/>
              </w:rPr>
            </w:pPr>
          </w:p>
        </w:tc>
        <w:tc>
          <w:tcPr>
            <w:tcW w:w="2835" w:type="dxa"/>
            <w:tcBorders>
              <w:top w:val="single" w:sz="4" w:space="0" w:color="auto"/>
              <w:bottom w:val="single" w:sz="12" w:space="0" w:color="auto"/>
            </w:tcBorders>
          </w:tcPr>
          <w:p w14:paraId="1606EF25" w14:textId="158314E3" w:rsidR="00165C15" w:rsidRDefault="006A31AE" w:rsidP="00F603F4">
            <w:pPr>
              <w:suppressAutoHyphens w:val="0"/>
              <w:spacing w:before="240" w:line="240" w:lineRule="exact"/>
            </w:pPr>
            <w:r>
              <w:t xml:space="preserve">Distr.: </w:t>
            </w:r>
            <w:r w:rsidR="007A1333">
              <w:t>General</w:t>
            </w:r>
          </w:p>
          <w:p w14:paraId="23111A50" w14:textId="3B8D8E21" w:rsidR="006A31AE" w:rsidRPr="003125C4" w:rsidRDefault="00F00A76" w:rsidP="00764B1F">
            <w:pPr>
              <w:suppressAutoHyphens w:val="0"/>
            </w:pPr>
            <w:r>
              <w:t>23 November</w:t>
            </w:r>
            <w:r w:rsidR="003125C4" w:rsidRPr="003125C4">
              <w:t xml:space="preserve"> 20</w:t>
            </w:r>
            <w:r w:rsidR="000C7BBD">
              <w:t>20</w:t>
            </w:r>
          </w:p>
          <w:p w14:paraId="622B278F" w14:textId="77777777" w:rsidR="006A31AE" w:rsidRDefault="006A31AE" w:rsidP="00F603F4">
            <w:pPr>
              <w:suppressAutoHyphens w:val="0"/>
            </w:pPr>
          </w:p>
          <w:p w14:paraId="2C997124" w14:textId="77777777" w:rsidR="00584186" w:rsidRDefault="00584186" w:rsidP="00584186">
            <w:pPr>
              <w:suppressAutoHyphens w:val="0"/>
            </w:pPr>
            <w:r>
              <w:t>Original: English</w:t>
            </w:r>
          </w:p>
          <w:p w14:paraId="159643E7" w14:textId="14C90528" w:rsidR="006A31AE" w:rsidRDefault="006A31AE" w:rsidP="00584186">
            <w:pPr>
              <w:suppressAutoHyphens w:val="0"/>
            </w:pPr>
          </w:p>
        </w:tc>
      </w:tr>
    </w:tbl>
    <w:p w14:paraId="62C96515" w14:textId="77777777" w:rsidR="00584186" w:rsidRPr="007E2028" w:rsidRDefault="00584186" w:rsidP="00584186">
      <w:pPr>
        <w:spacing w:before="120"/>
        <w:rPr>
          <w:b/>
          <w:bCs/>
          <w:sz w:val="24"/>
        </w:rPr>
      </w:pPr>
      <w:r w:rsidRPr="007E2028">
        <w:rPr>
          <w:b/>
          <w:bCs/>
          <w:sz w:val="24"/>
        </w:rPr>
        <w:t>Human Rights Committee</w:t>
      </w:r>
    </w:p>
    <w:p w14:paraId="160B22F0" w14:textId="60990442" w:rsidR="006A31AE" w:rsidRPr="00A0282D" w:rsidRDefault="00584186">
      <w:pPr>
        <w:pStyle w:val="HChG"/>
        <w:rPr>
          <w:rFonts w:eastAsia="MS Mincho"/>
        </w:rPr>
      </w:pPr>
      <w:r w:rsidRPr="002F3906">
        <w:tab/>
      </w:r>
      <w:r w:rsidRPr="002F3906">
        <w:tab/>
      </w:r>
      <w:r w:rsidR="007A1333" w:rsidRPr="00B526C4">
        <w:rPr>
          <w:b w:val="0"/>
        </w:rPr>
        <w:t>Views adopted by the Committee under article 5 (4) of the Optional Protocol, concerning c</w:t>
      </w:r>
      <w:r w:rsidRPr="00B526C4">
        <w:rPr>
          <w:b w:val="0"/>
        </w:rPr>
        <w:t>ommunication</w:t>
      </w:r>
      <w:r w:rsidR="005E60C6" w:rsidRPr="00B526C4">
        <w:rPr>
          <w:b w:val="0"/>
        </w:rPr>
        <w:t>s</w:t>
      </w:r>
      <w:r w:rsidRPr="00B526C4">
        <w:rPr>
          <w:b w:val="0"/>
        </w:rPr>
        <w:t xml:space="preserve"> No</w:t>
      </w:r>
      <w:r w:rsidR="005E60C6" w:rsidRPr="00B526C4">
        <w:rPr>
          <w:b w:val="0"/>
        </w:rPr>
        <w:t>s</w:t>
      </w:r>
      <w:r w:rsidRPr="00B526C4">
        <w:rPr>
          <w:b w:val="0"/>
        </w:rPr>
        <w:t xml:space="preserve">. </w:t>
      </w:r>
      <w:r w:rsidR="007313B3" w:rsidRPr="00B526C4">
        <w:rPr>
          <w:b w:val="0"/>
        </w:rPr>
        <w:t>3106/2018, 3107/2018, 3108/2018, 3109/2018, 3110/2018, 3111/2018, 3112/2018, 3113/2018, 3114/2018, 3115/2018, 3116/2018, 3117/2018, 3118/2018, 3119/2018, 3120/2018, 3121/2018 and 3122/2018</w:t>
      </w:r>
      <w:r w:rsidR="007A1333" w:rsidRPr="00B526C4">
        <w:rPr>
          <w:b w:val="0"/>
        </w:rPr>
        <w:footnoteReference w:customMarkFollows="1" w:id="1"/>
        <w:t>*,</w:t>
      </w:r>
      <w:r w:rsidR="007A1333" w:rsidRPr="00B526C4">
        <w:rPr>
          <w:b w:val="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6A31AE" w:rsidRPr="005F5F92" w14:paraId="6DBCD953" w14:textId="77777777" w:rsidTr="00525607">
        <w:tc>
          <w:tcPr>
            <w:tcW w:w="3119" w:type="dxa"/>
          </w:tcPr>
          <w:p w14:paraId="44481347" w14:textId="476AA216" w:rsidR="006A31AE" w:rsidRDefault="006A31AE" w:rsidP="005553FD">
            <w:pPr>
              <w:pStyle w:val="SingleTxtG"/>
              <w:ind w:left="0" w:right="0"/>
              <w:jc w:val="left"/>
              <w:rPr>
                <w:i/>
              </w:rPr>
            </w:pPr>
            <w:r w:rsidRPr="007F4B1A">
              <w:rPr>
                <w:i/>
              </w:rPr>
              <w:t>Communication</w:t>
            </w:r>
            <w:r w:rsidR="005E60C6">
              <w:rPr>
                <w:i/>
              </w:rPr>
              <w:t>s</w:t>
            </w:r>
            <w:r w:rsidRPr="007F4B1A">
              <w:rPr>
                <w:i/>
              </w:rPr>
              <w:t xml:space="preserve"> submitted by:</w:t>
            </w:r>
          </w:p>
        </w:tc>
        <w:tc>
          <w:tcPr>
            <w:tcW w:w="3685" w:type="dxa"/>
          </w:tcPr>
          <w:p w14:paraId="1C185D37" w14:textId="3F517A17" w:rsidR="006A31AE" w:rsidRPr="005F5F92" w:rsidRDefault="00117646" w:rsidP="00764B1F">
            <w:pPr>
              <w:pStyle w:val="SingleTxtG"/>
              <w:ind w:left="0" w:right="0"/>
            </w:pPr>
            <w:r w:rsidRPr="007A6435">
              <w:t>A.G.</w:t>
            </w:r>
            <w:r w:rsidR="000D0D05">
              <w:t>, I.Y., I.O., S.U., B.K., Y.C., T.M., H.A., S.M., M.K., R.K., A.K., B.D., G.C., A.D., E.A. and M.B.</w:t>
            </w:r>
            <w:r w:rsidR="007A6435" w:rsidRPr="00D7773F">
              <w:t xml:space="preserve">  </w:t>
            </w:r>
            <w:r w:rsidR="007A6435" w:rsidRPr="005F5F92">
              <w:t xml:space="preserve"> </w:t>
            </w:r>
            <w:r w:rsidR="00B63BFB" w:rsidRPr="00D7773F">
              <w:t xml:space="preserve"> </w:t>
            </w:r>
          </w:p>
        </w:tc>
      </w:tr>
      <w:tr w:rsidR="006A31AE" w14:paraId="65CE1B2A" w14:textId="77777777" w:rsidTr="00525607">
        <w:tc>
          <w:tcPr>
            <w:tcW w:w="3119" w:type="dxa"/>
          </w:tcPr>
          <w:p w14:paraId="00EA36E6" w14:textId="77777777" w:rsidR="006A31AE" w:rsidRPr="00FD511F" w:rsidRDefault="006A31AE" w:rsidP="00472B37">
            <w:pPr>
              <w:pStyle w:val="SingleTxtG"/>
              <w:ind w:left="0" w:right="0"/>
              <w:jc w:val="left"/>
              <w:rPr>
                <w:i/>
              </w:rPr>
            </w:pPr>
            <w:r>
              <w:rPr>
                <w:i/>
              </w:rPr>
              <w:t>Alleged victim</w:t>
            </w:r>
            <w:r w:rsidR="00E2485C">
              <w:rPr>
                <w:i/>
              </w:rPr>
              <w:t>s</w:t>
            </w:r>
            <w:r w:rsidRPr="00FD511F">
              <w:rPr>
                <w:i/>
              </w:rPr>
              <w:t>:</w:t>
            </w:r>
          </w:p>
        </w:tc>
        <w:tc>
          <w:tcPr>
            <w:tcW w:w="3685" w:type="dxa"/>
          </w:tcPr>
          <w:p w14:paraId="3448BED7" w14:textId="3D9E7A90" w:rsidR="006A31AE" w:rsidRPr="00395056" w:rsidRDefault="00A20865" w:rsidP="004836B7">
            <w:pPr>
              <w:pStyle w:val="SingleTxtG"/>
              <w:ind w:left="0" w:right="0"/>
              <w:jc w:val="left"/>
            </w:pPr>
            <w:r w:rsidRPr="00A20865">
              <w:t>The auth</w:t>
            </w:r>
            <w:r w:rsidR="00472B37">
              <w:t>or</w:t>
            </w:r>
            <w:r w:rsidR="005E60C6">
              <w:t>s and their families</w:t>
            </w:r>
          </w:p>
        </w:tc>
      </w:tr>
      <w:tr w:rsidR="006A31AE" w14:paraId="176A2A33" w14:textId="77777777" w:rsidTr="00525607">
        <w:tc>
          <w:tcPr>
            <w:tcW w:w="3119" w:type="dxa"/>
          </w:tcPr>
          <w:p w14:paraId="2EF51687" w14:textId="77777777" w:rsidR="006A31AE" w:rsidRPr="00FD511F" w:rsidRDefault="006A31AE" w:rsidP="005553FD">
            <w:pPr>
              <w:pStyle w:val="SingleTxtG"/>
              <w:ind w:left="0" w:right="0"/>
              <w:jc w:val="left"/>
              <w:rPr>
                <w:i/>
              </w:rPr>
            </w:pPr>
            <w:r>
              <w:rPr>
                <w:i/>
              </w:rPr>
              <w:t>State party</w:t>
            </w:r>
            <w:r w:rsidRPr="00FD511F">
              <w:rPr>
                <w:i/>
              </w:rPr>
              <w:t>:</w:t>
            </w:r>
          </w:p>
        </w:tc>
        <w:tc>
          <w:tcPr>
            <w:tcW w:w="3685" w:type="dxa"/>
          </w:tcPr>
          <w:p w14:paraId="0B6E095F" w14:textId="77777777" w:rsidR="006A31AE" w:rsidRPr="00395056" w:rsidRDefault="000C7BBD" w:rsidP="005553FD">
            <w:pPr>
              <w:pStyle w:val="SingleTxtG"/>
              <w:ind w:left="0" w:right="0"/>
              <w:jc w:val="left"/>
            </w:pPr>
            <w:r>
              <w:t>Angola</w:t>
            </w:r>
          </w:p>
        </w:tc>
      </w:tr>
      <w:tr w:rsidR="006A31AE" w14:paraId="723FCF57" w14:textId="77777777" w:rsidTr="00525607">
        <w:tc>
          <w:tcPr>
            <w:tcW w:w="3119" w:type="dxa"/>
          </w:tcPr>
          <w:p w14:paraId="5EE1B234" w14:textId="42967820" w:rsidR="006A31AE" w:rsidRPr="006F1AA2" w:rsidRDefault="006A31AE" w:rsidP="005553FD">
            <w:pPr>
              <w:pStyle w:val="SingleTxtG"/>
              <w:ind w:left="0" w:right="0"/>
              <w:jc w:val="left"/>
              <w:rPr>
                <w:i/>
              </w:rPr>
            </w:pPr>
            <w:r w:rsidRPr="006F1AA2">
              <w:rPr>
                <w:i/>
              </w:rPr>
              <w:t>Date of communication</w:t>
            </w:r>
            <w:r w:rsidR="00B63BFB">
              <w:rPr>
                <w:i/>
              </w:rPr>
              <w:t>s</w:t>
            </w:r>
            <w:r w:rsidRPr="006F1AA2">
              <w:rPr>
                <w:i/>
              </w:rPr>
              <w:t>:</w:t>
            </w:r>
          </w:p>
        </w:tc>
        <w:tc>
          <w:tcPr>
            <w:tcW w:w="3685" w:type="dxa"/>
          </w:tcPr>
          <w:p w14:paraId="137E6044" w14:textId="67EB9DC1" w:rsidR="006A31AE" w:rsidRPr="006F1AA2" w:rsidRDefault="00CD1431" w:rsidP="00472B37">
            <w:pPr>
              <w:spacing w:after="120"/>
              <w:jc w:val="both"/>
            </w:pPr>
            <w:r w:rsidRPr="00CD1431">
              <w:t>19 January 2018</w:t>
            </w:r>
            <w:r w:rsidR="006F1AA2" w:rsidRPr="006F1AA2">
              <w:t xml:space="preserve"> </w:t>
            </w:r>
            <w:r w:rsidR="006A31AE" w:rsidRPr="006F1AA2">
              <w:t>(initial submission</w:t>
            </w:r>
            <w:r w:rsidR="00B63BFB">
              <w:t>s</w:t>
            </w:r>
            <w:r w:rsidR="006A31AE" w:rsidRPr="006F1AA2">
              <w:t>)</w:t>
            </w:r>
          </w:p>
        </w:tc>
      </w:tr>
      <w:tr w:rsidR="006A31AE" w14:paraId="28078E95" w14:textId="77777777" w:rsidTr="00525607">
        <w:tc>
          <w:tcPr>
            <w:tcW w:w="3119" w:type="dxa"/>
          </w:tcPr>
          <w:p w14:paraId="1502371E" w14:textId="77777777" w:rsidR="006A31AE" w:rsidRPr="00FD511F" w:rsidRDefault="006A31AE" w:rsidP="005553FD">
            <w:pPr>
              <w:pStyle w:val="SingleTxtG"/>
              <w:ind w:left="0" w:right="0"/>
              <w:jc w:val="left"/>
              <w:rPr>
                <w:i/>
              </w:rPr>
            </w:pPr>
            <w:r>
              <w:rPr>
                <w:i/>
              </w:rPr>
              <w:t>Document references</w:t>
            </w:r>
            <w:r w:rsidRPr="00FD511F">
              <w:rPr>
                <w:i/>
              </w:rPr>
              <w:t>:</w:t>
            </w:r>
          </w:p>
        </w:tc>
        <w:tc>
          <w:tcPr>
            <w:tcW w:w="3685" w:type="dxa"/>
          </w:tcPr>
          <w:p w14:paraId="11092CC7" w14:textId="77777777" w:rsidR="006A31AE" w:rsidRDefault="00424273" w:rsidP="00CD1431">
            <w:pPr>
              <w:pStyle w:val="SingleTxtG"/>
              <w:ind w:left="0" w:right="0"/>
            </w:pPr>
            <w:r>
              <w:t>De</w:t>
            </w:r>
            <w:r w:rsidR="00813E50">
              <w:t>cision taken pursuant to rule 92</w:t>
            </w:r>
            <w:r>
              <w:t xml:space="preserve"> of the Committee’s rules of procedure, tran</w:t>
            </w:r>
            <w:r w:rsidR="00CD1431">
              <w:t>smitted to the State party on 9 February 2018</w:t>
            </w:r>
            <w:r>
              <w:rPr>
                <w:color w:val="FF0000"/>
              </w:rPr>
              <w:t xml:space="preserve"> </w:t>
            </w:r>
            <w:r>
              <w:t>(not issued in document form)</w:t>
            </w:r>
          </w:p>
        </w:tc>
      </w:tr>
      <w:tr w:rsidR="006A31AE" w14:paraId="610D3F1F" w14:textId="77777777" w:rsidTr="00525607">
        <w:tc>
          <w:tcPr>
            <w:tcW w:w="3119" w:type="dxa"/>
          </w:tcPr>
          <w:p w14:paraId="44F5BE20" w14:textId="77777777" w:rsidR="006A31AE" w:rsidRPr="00FD511F" w:rsidRDefault="006A31AE" w:rsidP="005553FD">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14:paraId="228B9CDB" w14:textId="69453423" w:rsidR="006A31AE" w:rsidRDefault="007A1333" w:rsidP="00E2485C">
            <w:pPr>
              <w:pStyle w:val="SingleTxtG"/>
              <w:ind w:left="0" w:right="0"/>
              <w:jc w:val="left"/>
            </w:pPr>
            <w:r>
              <w:t>21</w:t>
            </w:r>
            <w:r w:rsidR="00E2485C">
              <w:t xml:space="preserve"> July</w:t>
            </w:r>
            <w:r w:rsidR="006F1AA2" w:rsidRPr="003125C4">
              <w:t xml:space="preserve"> 20</w:t>
            </w:r>
            <w:r w:rsidR="00E2485C">
              <w:t>20</w:t>
            </w:r>
          </w:p>
        </w:tc>
      </w:tr>
      <w:tr w:rsidR="006A31AE" w14:paraId="4C341EE5" w14:textId="77777777" w:rsidTr="00525607">
        <w:tc>
          <w:tcPr>
            <w:tcW w:w="3119" w:type="dxa"/>
          </w:tcPr>
          <w:p w14:paraId="543B5FA1" w14:textId="77777777" w:rsidR="006A31AE" w:rsidRPr="00FD511F" w:rsidRDefault="006A31AE" w:rsidP="005553FD">
            <w:pPr>
              <w:pStyle w:val="SingleTxtG"/>
              <w:ind w:left="0" w:right="0"/>
              <w:jc w:val="left"/>
              <w:rPr>
                <w:i/>
              </w:rPr>
            </w:pPr>
            <w:r>
              <w:rPr>
                <w:i/>
                <w:iCs/>
              </w:rPr>
              <w:t>Subject matter:</w:t>
            </w:r>
          </w:p>
        </w:tc>
        <w:tc>
          <w:tcPr>
            <w:tcW w:w="3685" w:type="dxa"/>
          </w:tcPr>
          <w:p w14:paraId="04D07564" w14:textId="77777777" w:rsidR="006A31AE" w:rsidRPr="008D1EBF" w:rsidRDefault="00A67924" w:rsidP="00A67924">
            <w:pPr>
              <w:pStyle w:val="SingleTxtG"/>
              <w:ind w:left="0" w:right="0"/>
            </w:pPr>
            <w:r>
              <w:t>Deportation</w:t>
            </w:r>
            <w:r w:rsidR="00E2485C">
              <w:t xml:space="preserve"> to Turkey</w:t>
            </w:r>
          </w:p>
        </w:tc>
      </w:tr>
      <w:tr w:rsidR="006A31AE" w14:paraId="66DE3F29" w14:textId="77777777" w:rsidTr="00525607">
        <w:tc>
          <w:tcPr>
            <w:tcW w:w="3119" w:type="dxa"/>
          </w:tcPr>
          <w:p w14:paraId="06921F6C" w14:textId="7EAAADC1" w:rsidR="006A31AE" w:rsidRPr="007763BF" w:rsidRDefault="00E9523D" w:rsidP="005553FD">
            <w:pPr>
              <w:pStyle w:val="SingleTxtG"/>
              <w:ind w:left="0" w:right="0"/>
              <w:jc w:val="left"/>
              <w:rPr>
                <w:i/>
                <w:iCs/>
              </w:rPr>
            </w:pPr>
            <w:r w:rsidRPr="007763BF">
              <w:rPr>
                <w:i/>
                <w:iCs/>
              </w:rPr>
              <w:t>Procedural issue</w:t>
            </w:r>
            <w:r w:rsidR="006A31AE" w:rsidRPr="007763BF">
              <w:rPr>
                <w:i/>
              </w:rPr>
              <w:t>:</w:t>
            </w:r>
          </w:p>
        </w:tc>
        <w:tc>
          <w:tcPr>
            <w:tcW w:w="3685" w:type="dxa"/>
          </w:tcPr>
          <w:p w14:paraId="2ECC18C0" w14:textId="77777777" w:rsidR="006A31AE" w:rsidRPr="007763BF" w:rsidRDefault="00117646" w:rsidP="00117646">
            <w:pPr>
              <w:pStyle w:val="SingleTxtG"/>
              <w:ind w:left="0" w:right="0"/>
            </w:pPr>
            <w:r w:rsidRPr="00117646">
              <w:t>Non-e</w:t>
            </w:r>
            <w:r w:rsidR="008E4287">
              <w:t>xhaustion of domestic remedies</w:t>
            </w:r>
          </w:p>
        </w:tc>
      </w:tr>
      <w:tr w:rsidR="006A31AE" w14:paraId="1F39C786" w14:textId="77777777" w:rsidTr="00525607">
        <w:tc>
          <w:tcPr>
            <w:tcW w:w="3119" w:type="dxa"/>
          </w:tcPr>
          <w:p w14:paraId="7729F7AF" w14:textId="77777777" w:rsidR="006A31AE" w:rsidRPr="007763BF" w:rsidRDefault="006A31AE" w:rsidP="005553FD">
            <w:pPr>
              <w:pStyle w:val="SingleTxtG"/>
              <w:keepNext/>
              <w:ind w:left="0" w:right="0"/>
              <w:jc w:val="left"/>
              <w:rPr>
                <w:i/>
                <w:iCs/>
              </w:rPr>
            </w:pPr>
            <w:r w:rsidRPr="007763BF">
              <w:rPr>
                <w:i/>
                <w:iCs/>
              </w:rPr>
              <w:t>Substantive issues:</w:t>
            </w:r>
          </w:p>
        </w:tc>
        <w:tc>
          <w:tcPr>
            <w:tcW w:w="3685" w:type="dxa"/>
          </w:tcPr>
          <w:p w14:paraId="200FF514" w14:textId="77777777" w:rsidR="006A31AE" w:rsidRPr="007763BF" w:rsidRDefault="00117646" w:rsidP="006363D8">
            <w:pPr>
              <w:keepNext/>
              <w:spacing w:after="120"/>
              <w:jc w:val="both"/>
            </w:pPr>
            <w:r>
              <w:rPr>
                <w:lang w:val="en-US"/>
              </w:rPr>
              <w:t>R</w:t>
            </w:r>
            <w:r w:rsidR="00E2485C" w:rsidRPr="00E2485C">
              <w:rPr>
                <w:lang w:val="en-US"/>
              </w:rPr>
              <w:t>isk of torture, cruel, inhuman or degrading treatment or punishment; non-refoulement</w:t>
            </w:r>
          </w:p>
        </w:tc>
      </w:tr>
      <w:tr w:rsidR="006A31AE" w14:paraId="7B06E3D7" w14:textId="77777777" w:rsidTr="00525607">
        <w:tc>
          <w:tcPr>
            <w:tcW w:w="3119" w:type="dxa"/>
          </w:tcPr>
          <w:p w14:paraId="06A82F8F" w14:textId="77777777" w:rsidR="006A31AE" w:rsidRPr="007763BF" w:rsidRDefault="006A31AE" w:rsidP="005553FD">
            <w:pPr>
              <w:pStyle w:val="SingleTxtG"/>
              <w:ind w:left="0" w:right="0"/>
              <w:jc w:val="left"/>
              <w:rPr>
                <w:i/>
                <w:iCs/>
              </w:rPr>
            </w:pPr>
            <w:r w:rsidRPr="007763BF">
              <w:rPr>
                <w:i/>
                <w:iCs/>
              </w:rPr>
              <w:t>Articles of the Covenant</w:t>
            </w:r>
            <w:r w:rsidRPr="007763BF">
              <w:rPr>
                <w:i/>
              </w:rPr>
              <w:t>:</w:t>
            </w:r>
          </w:p>
        </w:tc>
        <w:tc>
          <w:tcPr>
            <w:tcW w:w="3685" w:type="dxa"/>
          </w:tcPr>
          <w:p w14:paraId="7D35262F" w14:textId="77777777" w:rsidR="006A31AE" w:rsidRPr="007763BF" w:rsidRDefault="00117646" w:rsidP="00410B5A">
            <w:pPr>
              <w:pStyle w:val="SingleTxtG"/>
              <w:ind w:left="0" w:right="0"/>
              <w:jc w:val="left"/>
            </w:pPr>
            <w:r>
              <w:t xml:space="preserve">7, 13 and </w:t>
            </w:r>
            <w:r w:rsidR="00472B37">
              <w:t>14</w:t>
            </w:r>
          </w:p>
        </w:tc>
      </w:tr>
      <w:tr w:rsidR="006A31AE" w14:paraId="519EFE72" w14:textId="77777777" w:rsidTr="00525607">
        <w:tc>
          <w:tcPr>
            <w:tcW w:w="3119" w:type="dxa"/>
          </w:tcPr>
          <w:p w14:paraId="525F983B" w14:textId="77777777" w:rsidR="006A31AE" w:rsidRPr="007763BF" w:rsidRDefault="006A31AE" w:rsidP="00A532A4">
            <w:pPr>
              <w:pStyle w:val="SingleTxtG"/>
              <w:ind w:left="0" w:right="0"/>
              <w:jc w:val="left"/>
              <w:rPr>
                <w:i/>
                <w:iCs/>
              </w:rPr>
            </w:pPr>
            <w:r w:rsidRPr="007763BF">
              <w:rPr>
                <w:i/>
                <w:iCs/>
              </w:rPr>
              <w:t>Article of the Optional Protocol:</w:t>
            </w:r>
          </w:p>
        </w:tc>
        <w:tc>
          <w:tcPr>
            <w:tcW w:w="3685" w:type="dxa"/>
          </w:tcPr>
          <w:p w14:paraId="385FE347" w14:textId="77777777" w:rsidR="006A31AE" w:rsidRPr="007763BF" w:rsidRDefault="00E256E5" w:rsidP="00A90A19">
            <w:pPr>
              <w:pStyle w:val="SingleTxtG"/>
              <w:ind w:left="0" w:right="0"/>
              <w:jc w:val="left"/>
            </w:pPr>
            <w:r w:rsidRPr="007763BF">
              <w:t>2</w:t>
            </w:r>
          </w:p>
        </w:tc>
      </w:tr>
    </w:tbl>
    <w:p w14:paraId="5B944B95" w14:textId="77777777" w:rsidR="00287032" w:rsidRDefault="00287032" w:rsidP="00287032">
      <w:pPr>
        <w:pStyle w:val="SingleTxtG"/>
        <w:spacing w:before="240"/>
      </w:pPr>
      <w:r>
        <w:br w:type="page"/>
      </w:r>
    </w:p>
    <w:p w14:paraId="3EB4E71B" w14:textId="3621AAA5" w:rsidR="005E60C6" w:rsidRDefault="00287032" w:rsidP="008E251C">
      <w:pPr>
        <w:pStyle w:val="SingleTxtG"/>
      </w:pPr>
      <w:r>
        <w:lastRenderedPageBreak/>
        <w:t>1.</w:t>
      </w:r>
      <w:r w:rsidR="004C3708">
        <w:t>1</w:t>
      </w:r>
      <w:r>
        <w:tab/>
      </w:r>
      <w:r w:rsidR="00410B5A" w:rsidRPr="00410B5A">
        <w:t>The au</w:t>
      </w:r>
      <w:r w:rsidR="00472B37">
        <w:t>thor</w:t>
      </w:r>
      <w:r w:rsidR="005E60C6">
        <w:t>s</w:t>
      </w:r>
      <w:r w:rsidR="00472B37">
        <w:t xml:space="preserve"> of the </w:t>
      </w:r>
      <w:r w:rsidR="005E60C6">
        <w:t xml:space="preserve">17 </w:t>
      </w:r>
      <w:r w:rsidR="00472B37">
        <w:t>communication</w:t>
      </w:r>
      <w:r w:rsidR="005E60C6">
        <w:t xml:space="preserve">s </w:t>
      </w:r>
      <w:r w:rsidR="00A32D73">
        <w:t xml:space="preserve">and their families on whose behalf they present the case </w:t>
      </w:r>
      <w:r w:rsidR="005E60C6">
        <w:t>are</w:t>
      </w:r>
      <w:r w:rsidR="00A32D73">
        <w:t xml:space="preserve"> Turkish nationals</w:t>
      </w:r>
      <w:r w:rsidR="005E60C6">
        <w:t>:</w:t>
      </w:r>
    </w:p>
    <w:p w14:paraId="60397835" w14:textId="74D8D3B3" w:rsidR="005E60C6" w:rsidRDefault="00BC2E32" w:rsidP="007B20A6">
      <w:pPr>
        <w:pStyle w:val="SingleTxtG"/>
        <w:numPr>
          <w:ilvl w:val="0"/>
          <w:numId w:val="10"/>
        </w:numPr>
      </w:pPr>
      <w:r>
        <w:t>A.G.</w:t>
      </w:r>
      <w:r w:rsidR="008E251C">
        <w:t>,</w:t>
      </w:r>
      <w:r w:rsidR="00015AFE">
        <w:t xml:space="preserve"> born i</w:t>
      </w:r>
      <w:r w:rsidR="008E251C">
        <w:t xml:space="preserve">n </w:t>
      </w:r>
      <w:r w:rsidRPr="00BC2E32">
        <w:t>1978</w:t>
      </w:r>
      <w:r w:rsidR="005E60C6">
        <w:t>, who</w:t>
      </w:r>
      <w:r w:rsidR="00117646" w:rsidRPr="00117646">
        <w:t xml:space="preserve"> p</w:t>
      </w:r>
      <w:r>
        <w:t>resents the communication on his</w:t>
      </w:r>
      <w:r w:rsidR="00117646" w:rsidRPr="00117646">
        <w:t xml:space="preserve"> own behalf and on behalf of </w:t>
      </w:r>
      <w:r>
        <w:t xml:space="preserve">his wife, </w:t>
      </w:r>
      <w:r w:rsidRPr="00BC2E32">
        <w:t>E</w:t>
      </w:r>
      <w:r>
        <w:t xml:space="preserve">.G., born </w:t>
      </w:r>
      <w:r w:rsidR="00015AFE">
        <w:t>i</w:t>
      </w:r>
      <w:r>
        <w:t>n 1977,</w:t>
      </w:r>
      <w:r w:rsidRPr="00BC2E32">
        <w:t xml:space="preserve"> and </w:t>
      </w:r>
      <w:r>
        <w:t xml:space="preserve">of </w:t>
      </w:r>
      <w:r w:rsidRPr="00BC2E32">
        <w:t xml:space="preserve">their three children born </w:t>
      </w:r>
      <w:r>
        <w:t xml:space="preserve">in Turkey: </w:t>
      </w:r>
      <w:r w:rsidR="00015AFE">
        <w:t xml:space="preserve">O.Y. (2003), </w:t>
      </w:r>
      <w:r>
        <w:t>A.E. (2006) and E.Y.</w:t>
      </w:r>
      <w:r w:rsidRPr="00BC2E32">
        <w:t xml:space="preserve"> (2010)</w:t>
      </w:r>
      <w:r w:rsidR="00117646">
        <w:t>.</w:t>
      </w:r>
      <w:r w:rsidR="00CE3947">
        <w:t xml:space="preserve"> </w:t>
      </w:r>
      <w:r w:rsidR="00CE3947" w:rsidRPr="000B18A0">
        <w:rPr>
          <w:lang w:val="en-US"/>
        </w:rPr>
        <w:t>The</w:t>
      </w:r>
      <w:r w:rsidR="00CE3947">
        <w:rPr>
          <w:lang w:val="en-US"/>
        </w:rPr>
        <w:t>y</w:t>
      </w:r>
      <w:r w:rsidR="00CE3947" w:rsidRPr="000B18A0">
        <w:rPr>
          <w:lang w:val="en-US"/>
        </w:rPr>
        <w:t xml:space="preserve"> </w:t>
      </w:r>
      <w:r w:rsidR="00CE3947">
        <w:rPr>
          <w:lang w:val="en-US"/>
        </w:rPr>
        <w:t>moved</w:t>
      </w:r>
      <w:r w:rsidR="00CE3947" w:rsidRPr="000B18A0">
        <w:rPr>
          <w:lang w:val="en-US"/>
        </w:rPr>
        <w:t xml:space="preserve"> to Angola in 2014</w:t>
      </w:r>
      <w:r w:rsidR="00FA4E24">
        <w:rPr>
          <w:lang w:val="en-US"/>
        </w:rPr>
        <w:t xml:space="preserve">, after having lived in </w:t>
      </w:r>
      <w:r w:rsidR="00FA4E24" w:rsidRPr="000B18A0">
        <w:rPr>
          <w:lang w:val="en-US"/>
        </w:rPr>
        <w:t>South Africa</w:t>
      </w:r>
      <w:r w:rsidR="00FA4E24">
        <w:rPr>
          <w:lang w:val="en-US"/>
        </w:rPr>
        <w:t xml:space="preserve"> from 2010 to 2014</w:t>
      </w:r>
      <w:r w:rsidR="004E0DEB">
        <w:rPr>
          <w:lang w:val="en-US"/>
        </w:rPr>
        <w:t>;</w:t>
      </w:r>
    </w:p>
    <w:p w14:paraId="25D33C4E" w14:textId="3D3E6D58" w:rsidR="00FA4E24" w:rsidRDefault="005E60C6" w:rsidP="007B20A6">
      <w:pPr>
        <w:pStyle w:val="SingleTxtG"/>
        <w:numPr>
          <w:ilvl w:val="0"/>
          <w:numId w:val="10"/>
        </w:numPr>
      </w:pPr>
      <w:r w:rsidRPr="005E60C6">
        <w:t>I</w:t>
      </w:r>
      <w:r>
        <w:t>.</w:t>
      </w:r>
      <w:r w:rsidRPr="005E60C6">
        <w:t>Y</w:t>
      </w:r>
      <w:r>
        <w:t>.</w:t>
      </w:r>
      <w:r w:rsidRPr="005E60C6">
        <w:t xml:space="preserve">, born </w:t>
      </w:r>
      <w:r>
        <w:t>i</w:t>
      </w:r>
      <w:r w:rsidRPr="005E60C6">
        <w:t xml:space="preserve">n </w:t>
      </w:r>
      <w:r>
        <w:t>1991, who</w:t>
      </w:r>
      <w:r w:rsidRPr="00117646">
        <w:t xml:space="preserve"> p</w:t>
      </w:r>
      <w:r>
        <w:t>resents the communication on his</w:t>
      </w:r>
      <w:r w:rsidRPr="00117646">
        <w:t xml:space="preserve"> own behalf and on behalf of </w:t>
      </w:r>
      <w:r>
        <w:t>his wife</w:t>
      </w:r>
      <w:r w:rsidRPr="005E60C6">
        <w:t>, N</w:t>
      </w:r>
      <w:r>
        <w:t>.</w:t>
      </w:r>
      <w:r w:rsidRPr="005E60C6">
        <w:t>K</w:t>
      </w:r>
      <w:r>
        <w:t>.</w:t>
      </w:r>
      <w:r w:rsidRPr="005E60C6">
        <w:t xml:space="preserve">, born </w:t>
      </w:r>
      <w:r>
        <w:t>i</w:t>
      </w:r>
      <w:r w:rsidRPr="005E60C6">
        <w:t>n 1991, and their daughter, S.S.Y.</w:t>
      </w:r>
      <w:r>
        <w:t xml:space="preserve"> (</w:t>
      </w:r>
      <w:r w:rsidRPr="005E60C6">
        <w:t>2017</w:t>
      </w:r>
      <w:r>
        <w:t>)</w:t>
      </w:r>
      <w:r w:rsidR="003A5439">
        <w:t>,</w:t>
      </w:r>
      <w:r>
        <w:t xml:space="preserve"> born</w:t>
      </w:r>
      <w:r w:rsidRPr="005E60C6">
        <w:t xml:space="preserve"> in Angola. They moved t</w:t>
      </w:r>
      <w:r w:rsidR="00CE3947">
        <w:t>o Angola in October 2012</w:t>
      </w:r>
      <w:r w:rsidR="004E0DEB">
        <w:t>;</w:t>
      </w:r>
    </w:p>
    <w:p w14:paraId="46453670" w14:textId="1EF5916D" w:rsidR="00B069F7" w:rsidRDefault="00FA4E24" w:rsidP="007B20A6">
      <w:pPr>
        <w:pStyle w:val="SingleTxtG"/>
        <w:numPr>
          <w:ilvl w:val="0"/>
          <w:numId w:val="10"/>
        </w:numPr>
      </w:pPr>
      <w:r>
        <w:t>I</w:t>
      </w:r>
      <w:r w:rsidRPr="004836B7">
        <w:t xml:space="preserve">.O., born </w:t>
      </w:r>
      <w:r>
        <w:t>i</w:t>
      </w:r>
      <w:r w:rsidRPr="004836B7">
        <w:t xml:space="preserve">n </w:t>
      </w:r>
      <w:r>
        <w:t>1987, who</w:t>
      </w:r>
      <w:r w:rsidRPr="00117646">
        <w:t xml:space="preserve"> p</w:t>
      </w:r>
      <w:r>
        <w:t>resents the communication on his</w:t>
      </w:r>
      <w:r w:rsidRPr="00117646">
        <w:t xml:space="preserve"> own behalf and on behalf of </w:t>
      </w:r>
      <w:r>
        <w:t>his wife</w:t>
      </w:r>
      <w:r w:rsidRPr="004836B7">
        <w:t>, B</w:t>
      </w:r>
      <w:r>
        <w:t>.</w:t>
      </w:r>
      <w:r w:rsidRPr="004836B7">
        <w:t>O</w:t>
      </w:r>
      <w:r>
        <w:t>.</w:t>
      </w:r>
      <w:r w:rsidRPr="004836B7">
        <w:t xml:space="preserve">, born </w:t>
      </w:r>
      <w:r>
        <w:t>i</w:t>
      </w:r>
      <w:r w:rsidRPr="004836B7">
        <w:t>n 1990, and their son, H.E.O.</w:t>
      </w:r>
      <w:r>
        <w:t xml:space="preserve"> (2016)</w:t>
      </w:r>
      <w:r w:rsidRPr="004836B7">
        <w:t xml:space="preserve">, born in Angola. They moved to Angola in 2015, after </w:t>
      </w:r>
      <w:r>
        <w:t xml:space="preserve">having lived in Yemen </w:t>
      </w:r>
      <w:r w:rsidRPr="004836B7">
        <w:t>from 2005 to 2015</w:t>
      </w:r>
      <w:r w:rsidR="004E0DEB">
        <w:t>;</w:t>
      </w:r>
    </w:p>
    <w:p w14:paraId="19D48104" w14:textId="4DD8CEE0" w:rsidR="00531097" w:rsidRDefault="00B069F7" w:rsidP="007B20A6">
      <w:pPr>
        <w:pStyle w:val="SingleTxtG"/>
        <w:numPr>
          <w:ilvl w:val="0"/>
          <w:numId w:val="10"/>
        </w:numPr>
      </w:pPr>
      <w:r w:rsidRPr="004836B7">
        <w:t>S</w:t>
      </w:r>
      <w:r>
        <w:t>.</w:t>
      </w:r>
      <w:r w:rsidRPr="004836B7">
        <w:t>U</w:t>
      </w:r>
      <w:r>
        <w:t>.</w:t>
      </w:r>
      <w:r w:rsidRPr="004836B7">
        <w:t xml:space="preserve">, born </w:t>
      </w:r>
      <w:r>
        <w:t>i</w:t>
      </w:r>
      <w:r w:rsidRPr="004836B7">
        <w:t>n 1990. She moved to Angola in September 2013</w:t>
      </w:r>
      <w:r w:rsidR="004E0DEB">
        <w:t>;</w:t>
      </w:r>
    </w:p>
    <w:p w14:paraId="69865A62" w14:textId="11853DC5" w:rsidR="00531097" w:rsidRDefault="00531097" w:rsidP="007B20A6">
      <w:pPr>
        <w:pStyle w:val="SingleTxtG"/>
        <w:numPr>
          <w:ilvl w:val="0"/>
          <w:numId w:val="10"/>
        </w:numPr>
      </w:pPr>
      <w:r w:rsidRPr="00531097">
        <w:t>B</w:t>
      </w:r>
      <w:r>
        <w:t>.K.</w:t>
      </w:r>
      <w:r w:rsidRPr="00531097">
        <w:t xml:space="preserve">, born </w:t>
      </w:r>
      <w:r>
        <w:t>i</w:t>
      </w:r>
      <w:r w:rsidRPr="00531097">
        <w:t xml:space="preserve">n </w:t>
      </w:r>
      <w:r>
        <w:t>1984, who</w:t>
      </w:r>
      <w:r w:rsidRPr="00117646">
        <w:t xml:space="preserve"> p</w:t>
      </w:r>
      <w:r>
        <w:t>resents the communication on his</w:t>
      </w:r>
      <w:r w:rsidRPr="00117646">
        <w:t xml:space="preserve"> own behalf and on behalf of </w:t>
      </w:r>
      <w:r>
        <w:t>his wife</w:t>
      </w:r>
      <w:r w:rsidRPr="00531097">
        <w:t>, B</w:t>
      </w:r>
      <w:r>
        <w:t>.</w:t>
      </w:r>
      <w:r w:rsidRPr="00531097">
        <w:t>K</w:t>
      </w:r>
      <w:r>
        <w:t>.</w:t>
      </w:r>
      <w:r w:rsidRPr="00531097">
        <w:t xml:space="preserve">, born </w:t>
      </w:r>
      <w:r>
        <w:t>i</w:t>
      </w:r>
      <w:r w:rsidRPr="00531097">
        <w:t>n 1985, and their daughter, C.I.K.</w:t>
      </w:r>
      <w:r>
        <w:t xml:space="preserve"> (2013)</w:t>
      </w:r>
      <w:r w:rsidRPr="00531097">
        <w:t>, born in Turkey. They moved to Ango</w:t>
      </w:r>
      <w:r>
        <w:t>la in August 2015</w:t>
      </w:r>
      <w:r w:rsidR="004E0DEB">
        <w:t>;</w:t>
      </w:r>
    </w:p>
    <w:p w14:paraId="654BFBEE" w14:textId="3F9F729A" w:rsidR="00531097" w:rsidRDefault="00531097" w:rsidP="007B20A6">
      <w:pPr>
        <w:pStyle w:val="SingleTxtG"/>
        <w:numPr>
          <w:ilvl w:val="0"/>
          <w:numId w:val="10"/>
        </w:numPr>
      </w:pPr>
      <w:r w:rsidRPr="00531097">
        <w:t>Y</w:t>
      </w:r>
      <w:r>
        <w:t>.</w:t>
      </w:r>
      <w:r w:rsidRPr="00531097">
        <w:t>C</w:t>
      </w:r>
      <w:r>
        <w:t>.</w:t>
      </w:r>
      <w:r w:rsidRPr="00531097">
        <w:t xml:space="preserve">, born </w:t>
      </w:r>
      <w:r>
        <w:t>i</w:t>
      </w:r>
      <w:r w:rsidRPr="00531097">
        <w:t>n 1989. He moved to Angol</w:t>
      </w:r>
      <w:r>
        <w:t>a in August 2015</w:t>
      </w:r>
      <w:r w:rsidR="004E0DEB">
        <w:t>;</w:t>
      </w:r>
    </w:p>
    <w:p w14:paraId="0DF1AB77" w14:textId="62FC5516" w:rsidR="00531097" w:rsidRDefault="00531097" w:rsidP="007B20A6">
      <w:pPr>
        <w:pStyle w:val="SingleTxtG"/>
        <w:numPr>
          <w:ilvl w:val="0"/>
          <w:numId w:val="10"/>
        </w:numPr>
      </w:pPr>
      <w:r w:rsidRPr="00531097">
        <w:t>T</w:t>
      </w:r>
      <w:r>
        <w:t>.</w:t>
      </w:r>
      <w:r w:rsidRPr="00531097">
        <w:t>M</w:t>
      </w:r>
      <w:r>
        <w:t>.</w:t>
      </w:r>
      <w:r w:rsidRPr="00531097">
        <w:t xml:space="preserve">, born </w:t>
      </w:r>
      <w:r>
        <w:t>i</w:t>
      </w:r>
      <w:r w:rsidRPr="00531097">
        <w:t>n 1989</w:t>
      </w:r>
      <w:r>
        <w:t xml:space="preserve">, </w:t>
      </w:r>
      <w:r w:rsidRPr="00531097">
        <w:t>who presents the communication on his own behalf and on behalf of his wife</w:t>
      </w:r>
      <w:r>
        <w:t>,</w:t>
      </w:r>
      <w:r w:rsidRPr="00531097">
        <w:t xml:space="preserve"> E</w:t>
      </w:r>
      <w:r>
        <w:t>.</w:t>
      </w:r>
      <w:r w:rsidRPr="00531097">
        <w:t>M</w:t>
      </w:r>
      <w:r>
        <w:t>.</w:t>
      </w:r>
      <w:r w:rsidRPr="00531097">
        <w:t xml:space="preserve">, born </w:t>
      </w:r>
      <w:r>
        <w:t>i</w:t>
      </w:r>
      <w:r w:rsidRPr="00531097">
        <w:t>n 1991, and their son, I.C.M.</w:t>
      </w:r>
      <w:r>
        <w:t xml:space="preserve"> (2017)</w:t>
      </w:r>
      <w:r w:rsidRPr="00531097">
        <w:t xml:space="preserve">, born </w:t>
      </w:r>
      <w:r>
        <w:t xml:space="preserve">in Angola. </w:t>
      </w:r>
      <w:r w:rsidRPr="00531097">
        <w:t xml:space="preserve">They moved to Angola in December 2015, after </w:t>
      </w:r>
      <w:r>
        <w:t>having lived in South Africa and Zambia from 2012 to 2015</w:t>
      </w:r>
      <w:r w:rsidR="004E0DEB">
        <w:t>;</w:t>
      </w:r>
    </w:p>
    <w:p w14:paraId="11C645F7" w14:textId="0559105A" w:rsidR="00743349" w:rsidRDefault="00531097" w:rsidP="007B20A6">
      <w:pPr>
        <w:pStyle w:val="SingleTxtG"/>
        <w:numPr>
          <w:ilvl w:val="0"/>
          <w:numId w:val="10"/>
        </w:numPr>
      </w:pPr>
      <w:r w:rsidRPr="00531097">
        <w:t>H</w:t>
      </w:r>
      <w:r>
        <w:t>.</w:t>
      </w:r>
      <w:r w:rsidRPr="00531097">
        <w:t>A</w:t>
      </w:r>
      <w:r>
        <w:t>.</w:t>
      </w:r>
      <w:r w:rsidRPr="00531097">
        <w:t xml:space="preserve">, born </w:t>
      </w:r>
      <w:r>
        <w:t>i</w:t>
      </w:r>
      <w:r w:rsidRPr="00531097">
        <w:t>n 1978</w:t>
      </w:r>
      <w:r>
        <w:t xml:space="preserve">, </w:t>
      </w:r>
      <w:r w:rsidRPr="00531097">
        <w:t>who presents the communication on his own behalf and on behalf of his wife, A</w:t>
      </w:r>
      <w:r>
        <w:t>.</w:t>
      </w:r>
      <w:r w:rsidRPr="00531097">
        <w:t>A</w:t>
      </w:r>
      <w:r>
        <w:t>.</w:t>
      </w:r>
      <w:r w:rsidRPr="00531097">
        <w:t xml:space="preserve">, born </w:t>
      </w:r>
      <w:r>
        <w:t>i</w:t>
      </w:r>
      <w:r w:rsidRPr="00531097">
        <w:t xml:space="preserve">n 1980, and their children </w:t>
      </w:r>
      <w:r w:rsidR="009E1EA2">
        <w:t>born in Turkey: Y.S.A. (</w:t>
      </w:r>
      <w:r w:rsidRPr="00531097">
        <w:t>2010) and M.F.A. (2005). They moved to Angola in October 2</w:t>
      </w:r>
      <w:r w:rsidR="009E1EA2">
        <w:t>012</w:t>
      </w:r>
      <w:r w:rsidR="004E0DEB">
        <w:t>;</w:t>
      </w:r>
    </w:p>
    <w:p w14:paraId="7FA34D46" w14:textId="44D4FAA0" w:rsidR="00743349" w:rsidRDefault="000E767C" w:rsidP="007B20A6">
      <w:pPr>
        <w:pStyle w:val="SingleTxtG"/>
        <w:numPr>
          <w:ilvl w:val="0"/>
          <w:numId w:val="10"/>
        </w:numPr>
      </w:pPr>
      <w:r>
        <w:t>S.</w:t>
      </w:r>
      <w:r w:rsidR="00743349" w:rsidRPr="00743349">
        <w:t>M</w:t>
      </w:r>
      <w:r w:rsidR="00743349">
        <w:t>.</w:t>
      </w:r>
      <w:r w:rsidR="00743349" w:rsidRPr="00743349">
        <w:t xml:space="preserve">, born </w:t>
      </w:r>
      <w:r w:rsidR="00743349">
        <w:t>i</w:t>
      </w:r>
      <w:r w:rsidR="00743349" w:rsidRPr="00743349">
        <w:t>n 1989</w:t>
      </w:r>
      <w:r w:rsidR="00743349">
        <w:t xml:space="preserve">, </w:t>
      </w:r>
      <w:r w:rsidR="00743349" w:rsidRPr="00531097">
        <w:t>who presents the commun</w:t>
      </w:r>
      <w:r w:rsidR="00743349">
        <w:t>ication on her</w:t>
      </w:r>
      <w:r w:rsidR="00743349" w:rsidRPr="00531097">
        <w:t xml:space="preserve"> own </w:t>
      </w:r>
      <w:r w:rsidR="00743349">
        <w:t>behalf and on behalf of</w:t>
      </w:r>
      <w:r w:rsidR="00743349" w:rsidRPr="00743349">
        <w:t xml:space="preserve"> her husband, P</w:t>
      </w:r>
      <w:r w:rsidR="00743349">
        <w:t>.</w:t>
      </w:r>
      <w:r w:rsidR="00743349" w:rsidRPr="00743349">
        <w:t>M</w:t>
      </w:r>
      <w:r w:rsidR="00743349">
        <w:t>.</w:t>
      </w:r>
      <w:r w:rsidR="00743349" w:rsidRPr="00743349">
        <w:t xml:space="preserve">, born </w:t>
      </w:r>
      <w:r w:rsidR="00743349">
        <w:t>i</w:t>
      </w:r>
      <w:r w:rsidR="00743349" w:rsidRPr="00743349">
        <w:t>n 1990 in Turkmenistan (Turkmen nationality), and their daughter, N.E.M.</w:t>
      </w:r>
      <w:r w:rsidR="00743349">
        <w:t xml:space="preserve"> (2015)</w:t>
      </w:r>
      <w:r w:rsidR="00743349" w:rsidRPr="00743349">
        <w:t xml:space="preserve">, born in Turkey. They moved to Angola in August 2014, after </w:t>
      </w:r>
      <w:r w:rsidR="009C26EF">
        <w:t>S.</w:t>
      </w:r>
      <w:r w:rsidR="00743349">
        <w:t xml:space="preserve">M. had </w:t>
      </w:r>
      <w:r w:rsidR="00743349" w:rsidRPr="00743349">
        <w:t>studied in Cambodia</w:t>
      </w:r>
      <w:r w:rsidR="004E0DEB">
        <w:t>;</w:t>
      </w:r>
    </w:p>
    <w:p w14:paraId="6834EB61" w14:textId="399FB33A" w:rsidR="00743349" w:rsidRDefault="00743349" w:rsidP="007B20A6">
      <w:pPr>
        <w:pStyle w:val="SingleTxtG"/>
        <w:numPr>
          <w:ilvl w:val="0"/>
          <w:numId w:val="10"/>
        </w:numPr>
      </w:pPr>
      <w:r w:rsidRPr="00743349">
        <w:t>M</w:t>
      </w:r>
      <w:r>
        <w:t>.</w:t>
      </w:r>
      <w:r w:rsidRPr="00743349">
        <w:t>K</w:t>
      </w:r>
      <w:r>
        <w:t>.</w:t>
      </w:r>
      <w:r w:rsidRPr="00743349">
        <w:t xml:space="preserve">, born </w:t>
      </w:r>
      <w:r>
        <w:t>i</w:t>
      </w:r>
      <w:r w:rsidRPr="00743349">
        <w:t>n 1990. She left Turkey in 2012, when she went to Malawi to work as a math teacher. She moved to Angola in January 2016, after</w:t>
      </w:r>
      <w:r>
        <w:t xml:space="preserve"> having lived in Malawi from 2012 to 2015</w:t>
      </w:r>
      <w:r w:rsidR="004E0DEB">
        <w:t>;</w:t>
      </w:r>
    </w:p>
    <w:p w14:paraId="2D534E4D" w14:textId="3EAB8F83" w:rsidR="003E0A97" w:rsidRDefault="00743349" w:rsidP="007B20A6">
      <w:pPr>
        <w:pStyle w:val="SingleTxtG"/>
        <w:numPr>
          <w:ilvl w:val="0"/>
          <w:numId w:val="10"/>
        </w:numPr>
      </w:pPr>
      <w:r w:rsidRPr="00743349">
        <w:t>R</w:t>
      </w:r>
      <w:r>
        <w:t>.</w:t>
      </w:r>
      <w:r w:rsidRPr="00743349">
        <w:t>K</w:t>
      </w:r>
      <w:r>
        <w:t>.</w:t>
      </w:r>
      <w:r w:rsidRPr="00743349">
        <w:t xml:space="preserve">, born </w:t>
      </w:r>
      <w:r>
        <w:t>i</w:t>
      </w:r>
      <w:r w:rsidRPr="00743349">
        <w:t xml:space="preserve">n </w:t>
      </w:r>
      <w:r>
        <w:t xml:space="preserve">1982, </w:t>
      </w:r>
      <w:r w:rsidRPr="00531097">
        <w:t>who presents the communication on his own behalf and on behalf of his wife</w:t>
      </w:r>
      <w:r w:rsidRPr="00743349">
        <w:t>, N</w:t>
      </w:r>
      <w:r>
        <w:t>.</w:t>
      </w:r>
      <w:r w:rsidRPr="00743349">
        <w:t>T</w:t>
      </w:r>
      <w:r>
        <w:t>.</w:t>
      </w:r>
      <w:r w:rsidRPr="00743349">
        <w:t>K</w:t>
      </w:r>
      <w:r>
        <w:t>.</w:t>
      </w:r>
      <w:r w:rsidRPr="00743349">
        <w:t xml:space="preserve">, born </w:t>
      </w:r>
      <w:r>
        <w:t>i</w:t>
      </w:r>
      <w:r w:rsidRPr="00743349">
        <w:t>n 1981, and their daughter, Z.K.</w:t>
      </w:r>
      <w:r>
        <w:t xml:space="preserve"> (2016)</w:t>
      </w:r>
      <w:r w:rsidRPr="00743349">
        <w:t xml:space="preserve">, born in Turkey. They moved to Angola in January 2016, after </w:t>
      </w:r>
      <w:r>
        <w:t>having lived in South Africa and Zambia from 2008 to 2015</w:t>
      </w:r>
      <w:r w:rsidR="004E0DEB">
        <w:t>;</w:t>
      </w:r>
    </w:p>
    <w:p w14:paraId="69BDA3F8" w14:textId="56AD6D74" w:rsidR="0058151C" w:rsidRDefault="003E0A97" w:rsidP="007B20A6">
      <w:pPr>
        <w:pStyle w:val="SingleTxtG"/>
        <w:numPr>
          <w:ilvl w:val="0"/>
          <w:numId w:val="10"/>
        </w:numPr>
      </w:pPr>
      <w:r w:rsidRPr="003E0A97">
        <w:t>A</w:t>
      </w:r>
      <w:r>
        <w:t>.</w:t>
      </w:r>
      <w:r w:rsidRPr="003E0A97">
        <w:t>K</w:t>
      </w:r>
      <w:r>
        <w:t>.</w:t>
      </w:r>
      <w:r w:rsidRPr="003E0A97">
        <w:t xml:space="preserve">, born </w:t>
      </w:r>
      <w:r>
        <w:t>i</w:t>
      </w:r>
      <w:r w:rsidRPr="003E0A97">
        <w:t>n 1959,</w:t>
      </w:r>
      <w:r>
        <w:t xml:space="preserve"> </w:t>
      </w:r>
      <w:r w:rsidRPr="00531097">
        <w:t>who presents the communication on his own behalf and on behalf of his wife</w:t>
      </w:r>
      <w:r w:rsidR="000E767C">
        <w:t>, S</w:t>
      </w:r>
      <w:r>
        <w:t>.</w:t>
      </w:r>
      <w:r w:rsidRPr="003E0A97">
        <w:t>K</w:t>
      </w:r>
      <w:r>
        <w:t>.</w:t>
      </w:r>
      <w:r w:rsidRPr="003E0A97">
        <w:t xml:space="preserve">, born </w:t>
      </w:r>
      <w:r>
        <w:t>i</w:t>
      </w:r>
      <w:r w:rsidRPr="003E0A97">
        <w:t xml:space="preserve">n 1964. They </w:t>
      </w:r>
      <w:r>
        <w:t>moved to Angola in August 2016</w:t>
      </w:r>
      <w:r w:rsidR="004E0DEB">
        <w:t>;</w:t>
      </w:r>
    </w:p>
    <w:p w14:paraId="05633BB2" w14:textId="564CE550" w:rsidR="0058151C" w:rsidRDefault="00571F76" w:rsidP="007B20A6">
      <w:pPr>
        <w:pStyle w:val="SingleTxtG"/>
        <w:numPr>
          <w:ilvl w:val="0"/>
          <w:numId w:val="10"/>
        </w:numPr>
      </w:pPr>
      <w:r w:rsidRPr="00571F76">
        <w:t>B</w:t>
      </w:r>
      <w:r w:rsidR="0058151C">
        <w:t>.</w:t>
      </w:r>
      <w:r w:rsidRPr="00571F76">
        <w:t>D</w:t>
      </w:r>
      <w:r w:rsidR="0058151C">
        <w:t>.</w:t>
      </w:r>
      <w:r w:rsidRPr="00571F76">
        <w:t xml:space="preserve">, born </w:t>
      </w:r>
      <w:r w:rsidR="0058151C">
        <w:t>i</w:t>
      </w:r>
      <w:r w:rsidRPr="00571F76">
        <w:t xml:space="preserve">n </w:t>
      </w:r>
      <w:r w:rsidR="0058151C">
        <w:t xml:space="preserve">1987, </w:t>
      </w:r>
      <w:r w:rsidR="0058151C" w:rsidRPr="00531097">
        <w:t>who presents the communication on his own behalf and on behalf of his wife</w:t>
      </w:r>
      <w:r w:rsidRPr="00571F76">
        <w:t>, G</w:t>
      </w:r>
      <w:r w:rsidR="0058151C">
        <w:t>.</w:t>
      </w:r>
      <w:r w:rsidRPr="00571F76">
        <w:t>B</w:t>
      </w:r>
      <w:r w:rsidR="0058151C">
        <w:t>.</w:t>
      </w:r>
      <w:r w:rsidRPr="00571F76">
        <w:t>D</w:t>
      </w:r>
      <w:r w:rsidR="0058151C">
        <w:t>.</w:t>
      </w:r>
      <w:r w:rsidRPr="00571F76">
        <w:t xml:space="preserve">, born </w:t>
      </w:r>
      <w:r w:rsidR="0058151C">
        <w:t>i</w:t>
      </w:r>
      <w:r w:rsidRPr="00571F76">
        <w:t>n 1990</w:t>
      </w:r>
      <w:r w:rsidR="0058151C">
        <w:t>,</w:t>
      </w:r>
      <w:r w:rsidRPr="00571F76">
        <w:t xml:space="preserve"> and their daughter, A.N.D.</w:t>
      </w:r>
      <w:r w:rsidR="0058151C">
        <w:t xml:space="preserve"> (2017)</w:t>
      </w:r>
      <w:r w:rsidRPr="00571F76">
        <w:t xml:space="preserve">, born in Angola. They moved to Angola in 2014, after </w:t>
      </w:r>
      <w:r w:rsidR="0058151C">
        <w:t xml:space="preserve">having </w:t>
      </w:r>
      <w:r w:rsidR="004F1F14">
        <w:t xml:space="preserve">lived </w:t>
      </w:r>
      <w:r w:rsidR="0058151C">
        <w:t>in the United States and in South Africa from 2012 to 2014</w:t>
      </w:r>
      <w:r w:rsidR="004E0DEB">
        <w:t>;</w:t>
      </w:r>
    </w:p>
    <w:p w14:paraId="37B72CC6" w14:textId="5F0616A9" w:rsidR="0058151C" w:rsidRDefault="0058151C" w:rsidP="007B20A6">
      <w:pPr>
        <w:pStyle w:val="SingleTxtG"/>
        <w:numPr>
          <w:ilvl w:val="0"/>
          <w:numId w:val="10"/>
        </w:numPr>
      </w:pPr>
      <w:r w:rsidRPr="0058151C">
        <w:t>G</w:t>
      </w:r>
      <w:r>
        <w:t>.</w:t>
      </w:r>
      <w:r w:rsidRPr="0058151C">
        <w:t>C</w:t>
      </w:r>
      <w:r>
        <w:t>.</w:t>
      </w:r>
      <w:r w:rsidRPr="0058151C">
        <w:t xml:space="preserve">, born </w:t>
      </w:r>
      <w:r>
        <w:t>i</w:t>
      </w:r>
      <w:r w:rsidRPr="0058151C">
        <w:t xml:space="preserve">n 1991. He moved to </w:t>
      </w:r>
      <w:r>
        <w:t>Angola in July 2015</w:t>
      </w:r>
      <w:r w:rsidR="004E0DEB">
        <w:t>;</w:t>
      </w:r>
    </w:p>
    <w:p w14:paraId="2EE2F84F" w14:textId="07A0411E" w:rsidR="0058151C" w:rsidRDefault="0058151C" w:rsidP="007B20A6">
      <w:pPr>
        <w:pStyle w:val="SingleTxtG"/>
        <w:numPr>
          <w:ilvl w:val="0"/>
          <w:numId w:val="10"/>
        </w:numPr>
      </w:pPr>
      <w:r w:rsidRPr="0058151C">
        <w:t>A</w:t>
      </w:r>
      <w:r>
        <w:t>.</w:t>
      </w:r>
      <w:r w:rsidRPr="0058151C">
        <w:t>D</w:t>
      </w:r>
      <w:r>
        <w:t>.</w:t>
      </w:r>
      <w:r w:rsidRPr="0058151C">
        <w:t xml:space="preserve">, born </w:t>
      </w:r>
      <w:r>
        <w:t>i</w:t>
      </w:r>
      <w:r w:rsidRPr="0058151C">
        <w:t>n 1987.</w:t>
      </w:r>
      <w:r>
        <w:t xml:space="preserve"> She moved</w:t>
      </w:r>
      <w:r w:rsidRPr="0058151C">
        <w:t xml:space="preserve"> to Angola in October 2016, after </w:t>
      </w:r>
      <w:r>
        <w:t>having lived in Kenya and Madagascar from 2008 to 2016</w:t>
      </w:r>
      <w:r w:rsidR="004E0DEB">
        <w:t>;</w:t>
      </w:r>
    </w:p>
    <w:p w14:paraId="705B9A5A" w14:textId="29EEC8B5" w:rsidR="00EE6B6A" w:rsidRDefault="0058151C" w:rsidP="007B20A6">
      <w:pPr>
        <w:pStyle w:val="SingleTxtG"/>
        <w:numPr>
          <w:ilvl w:val="0"/>
          <w:numId w:val="10"/>
        </w:numPr>
      </w:pPr>
      <w:r w:rsidRPr="0058151C">
        <w:t>E</w:t>
      </w:r>
      <w:r>
        <w:t>.</w:t>
      </w:r>
      <w:r w:rsidRPr="0058151C">
        <w:t>A</w:t>
      </w:r>
      <w:r>
        <w:t>.</w:t>
      </w:r>
      <w:r w:rsidRPr="0058151C">
        <w:t xml:space="preserve">, born </w:t>
      </w:r>
      <w:r>
        <w:t>i</w:t>
      </w:r>
      <w:r w:rsidRPr="0058151C">
        <w:t>n 19</w:t>
      </w:r>
      <w:r>
        <w:t xml:space="preserve">85, </w:t>
      </w:r>
      <w:r w:rsidRPr="00531097">
        <w:t>who presents the communication on his own behalf and on behalf of his wife</w:t>
      </w:r>
      <w:r w:rsidRPr="0058151C">
        <w:t>, F</w:t>
      </w:r>
      <w:r>
        <w:t>.</w:t>
      </w:r>
      <w:r w:rsidRPr="0058151C">
        <w:t>A</w:t>
      </w:r>
      <w:r>
        <w:t>.</w:t>
      </w:r>
      <w:r w:rsidRPr="0058151C">
        <w:t xml:space="preserve">, born </w:t>
      </w:r>
      <w:r>
        <w:t>i</w:t>
      </w:r>
      <w:r w:rsidRPr="0058151C">
        <w:t xml:space="preserve">n </w:t>
      </w:r>
      <w:r>
        <w:t>1985, and their son,</w:t>
      </w:r>
      <w:r w:rsidRPr="0058151C">
        <w:t xml:space="preserve"> F.A.A.</w:t>
      </w:r>
      <w:r>
        <w:t xml:space="preserve"> (2016)</w:t>
      </w:r>
      <w:r w:rsidRPr="0058151C">
        <w:t>, born in Turkey. They</w:t>
      </w:r>
      <w:r w:rsidR="000D206F">
        <w:t xml:space="preserve"> moved to Angola in March 2012</w:t>
      </w:r>
      <w:r w:rsidR="004E0DEB">
        <w:t>;</w:t>
      </w:r>
    </w:p>
    <w:p w14:paraId="2B43CBB6" w14:textId="0A9AA6F9" w:rsidR="005E60C6" w:rsidRDefault="00EE6B6A" w:rsidP="007B20A6">
      <w:pPr>
        <w:pStyle w:val="SingleTxtG"/>
        <w:numPr>
          <w:ilvl w:val="0"/>
          <w:numId w:val="10"/>
        </w:numPr>
      </w:pPr>
      <w:r w:rsidRPr="00EE6B6A">
        <w:t>M</w:t>
      </w:r>
      <w:r>
        <w:t>.</w:t>
      </w:r>
      <w:r w:rsidRPr="00EE6B6A">
        <w:t>B</w:t>
      </w:r>
      <w:r>
        <w:t>.,</w:t>
      </w:r>
      <w:r w:rsidRPr="00EE6B6A">
        <w:t xml:space="preserve"> born </w:t>
      </w:r>
      <w:r>
        <w:t>i</w:t>
      </w:r>
      <w:r w:rsidRPr="00EE6B6A">
        <w:t>n 1984</w:t>
      </w:r>
      <w:r>
        <w:t xml:space="preserve">, </w:t>
      </w:r>
      <w:r w:rsidRPr="00531097">
        <w:t>who presents the communication on his own behalf and on behalf of his wife</w:t>
      </w:r>
      <w:r>
        <w:t>,</w:t>
      </w:r>
      <w:r w:rsidRPr="00EE6B6A">
        <w:t xml:space="preserve"> B</w:t>
      </w:r>
      <w:r>
        <w:t>.</w:t>
      </w:r>
      <w:r w:rsidRPr="00EE6B6A">
        <w:t>B</w:t>
      </w:r>
      <w:r>
        <w:t>.</w:t>
      </w:r>
      <w:r w:rsidRPr="00EE6B6A">
        <w:t xml:space="preserve">, born </w:t>
      </w:r>
      <w:r>
        <w:t>i</w:t>
      </w:r>
      <w:r w:rsidRPr="00EE6B6A">
        <w:t xml:space="preserve">n </w:t>
      </w:r>
      <w:r>
        <w:t>1989, and their two children,</w:t>
      </w:r>
      <w:r w:rsidRPr="00EE6B6A">
        <w:t xml:space="preserve"> E.B.B. (2016</w:t>
      </w:r>
      <w:r>
        <w:t>)</w:t>
      </w:r>
      <w:r w:rsidRPr="00EE6B6A">
        <w:t xml:space="preserve"> and M.S.B. (2014</w:t>
      </w:r>
      <w:r>
        <w:t xml:space="preserve">), born </w:t>
      </w:r>
      <w:r w:rsidRPr="00EE6B6A">
        <w:t>in Turkey. They moved to Angola in Januar</w:t>
      </w:r>
      <w:r>
        <w:t>y 2011.</w:t>
      </w:r>
    </w:p>
    <w:p w14:paraId="06F99D55" w14:textId="0126FA86" w:rsidR="008F39E8" w:rsidRDefault="005E60C6" w:rsidP="00B06435">
      <w:pPr>
        <w:pStyle w:val="SingleTxtG"/>
      </w:pPr>
      <w:r>
        <w:lastRenderedPageBreak/>
        <w:t>1.2</w:t>
      </w:r>
      <w:r>
        <w:tab/>
      </w:r>
      <w:r w:rsidR="00A32D73">
        <w:t>T</w:t>
      </w:r>
      <w:r w:rsidR="007D5A07">
        <w:t>he author</w:t>
      </w:r>
      <w:r>
        <w:t xml:space="preserve">s </w:t>
      </w:r>
      <w:r w:rsidR="00BD1D80">
        <w:t xml:space="preserve">allege that their return to Turkey would violate their rights under </w:t>
      </w:r>
      <w:r w:rsidR="007D5A07" w:rsidRPr="00B06435">
        <w:t>articles</w:t>
      </w:r>
      <w:r w:rsidR="007D5A07">
        <w:t xml:space="preserve"> 7, 13</w:t>
      </w:r>
      <w:r w:rsidR="007D5A07" w:rsidRPr="007D5A07">
        <w:t xml:space="preserve"> and 14 o</w:t>
      </w:r>
      <w:r w:rsidR="007D5A07">
        <w:t>f the Covenant</w:t>
      </w:r>
      <w:r w:rsidR="008E251C" w:rsidRPr="008E251C">
        <w:t xml:space="preserve">. The Optional Protocol entered into force for </w:t>
      </w:r>
      <w:r w:rsidR="00993757">
        <w:t xml:space="preserve">Angola </w:t>
      </w:r>
      <w:r w:rsidR="00993757" w:rsidRPr="00993757">
        <w:t>on 10 April 1992.</w:t>
      </w:r>
      <w:r w:rsidR="008E251C" w:rsidRPr="008E251C">
        <w:t xml:space="preserve"> The author</w:t>
      </w:r>
      <w:r w:rsidR="003C2698">
        <w:t>s are</w:t>
      </w:r>
      <w:r w:rsidR="008E251C" w:rsidRPr="008E251C">
        <w:t xml:space="preserve"> </w:t>
      </w:r>
      <w:r w:rsidR="00BD1D80">
        <w:t>un</w:t>
      </w:r>
      <w:r w:rsidR="000C7BBD">
        <w:t>represented</w:t>
      </w:r>
      <w:r w:rsidR="008E251C" w:rsidRPr="008E251C">
        <w:t>.</w:t>
      </w:r>
    </w:p>
    <w:p w14:paraId="31156A4C" w14:textId="40FA9A46" w:rsidR="00993757" w:rsidRPr="00A42021" w:rsidRDefault="00BF13F3" w:rsidP="00B06435">
      <w:pPr>
        <w:pStyle w:val="SingleTxtG"/>
        <w:rPr>
          <w:lang w:val="en-US"/>
        </w:rPr>
      </w:pPr>
      <w:r>
        <w:t>1.</w:t>
      </w:r>
      <w:r w:rsidR="005E60C6">
        <w:t>3</w:t>
      </w:r>
      <w:r>
        <w:tab/>
        <w:t>On 9 February 2018</w:t>
      </w:r>
      <w:r w:rsidR="00993757" w:rsidRPr="00853037">
        <w:t xml:space="preserve">, </w:t>
      </w:r>
      <w:r w:rsidR="00993757" w:rsidRPr="00FB5092">
        <w:rPr>
          <w:lang w:val="en-US"/>
        </w:rPr>
        <w:t xml:space="preserve">pursuant to </w:t>
      </w:r>
      <w:bookmarkStart w:id="0" w:name="_Hlk14967300"/>
      <w:r w:rsidR="00993757" w:rsidRPr="00FB5092">
        <w:rPr>
          <w:lang w:val="en-US"/>
        </w:rPr>
        <w:t>rule 92 of its rules of procedure</w:t>
      </w:r>
      <w:r w:rsidR="00993757">
        <w:rPr>
          <w:lang w:val="en-US"/>
        </w:rPr>
        <w:t xml:space="preserve"> (now rule 94)</w:t>
      </w:r>
      <w:r w:rsidR="00993757" w:rsidRPr="00FB5092">
        <w:rPr>
          <w:lang w:val="en-US"/>
        </w:rPr>
        <w:t>,</w:t>
      </w:r>
      <w:r w:rsidR="00993757">
        <w:rPr>
          <w:rStyle w:val="FootnoteReference"/>
          <w:lang w:val="en-US"/>
        </w:rPr>
        <w:footnoteReference w:id="3"/>
      </w:r>
      <w:r w:rsidR="00993757" w:rsidRPr="007234C4">
        <w:rPr>
          <w:lang w:val="en-US"/>
        </w:rPr>
        <w:t xml:space="preserve"> </w:t>
      </w:r>
      <w:bookmarkEnd w:id="0"/>
      <w:r w:rsidR="00993757" w:rsidRPr="00FB5092">
        <w:rPr>
          <w:lang w:val="en-US"/>
        </w:rPr>
        <w:t>the Committee, acting through its Special Rapporteur</w:t>
      </w:r>
      <w:r w:rsidR="00272B31">
        <w:rPr>
          <w:lang w:val="en-US"/>
        </w:rPr>
        <w:t>s</w:t>
      </w:r>
      <w:r w:rsidR="00993757" w:rsidRPr="00FB5092">
        <w:rPr>
          <w:lang w:val="en-US"/>
        </w:rPr>
        <w:t xml:space="preserve"> on new communications and interim </w:t>
      </w:r>
      <w:r w:rsidR="00993757" w:rsidRPr="007234C4">
        <w:t>measures, requested the State party</w:t>
      </w:r>
      <w:r w:rsidR="00993757">
        <w:rPr>
          <w:lang w:val="en-US"/>
        </w:rPr>
        <w:t xml:space="preserve"> to </w:t>
      </w:r>
      <w:r w:rsidR="00993757">
        <w:t xml:space="preserve">refrain from </w:t>
      </w:r>
      <w:r>
        <w:t xml:space="preserve">extraditing </w:t>
      </w:r>
      <w:r w:rsidR="00993757">
        <w:rPr>
          <w:lang w:val="en-US"/>
        </w:rPr>
        <w:t>the author</w:t>
      </w:r>
      <w:r w:rsidR="005E60C6">
        <w:rPr>
          <w:lang w:val="en-US"/>
        </w:rPr>
        <w:t>s</w:t>
      </w:r>
      <w:r w:rsidR="00993757">
        <w:rPr>
          <w:lang w:val="en-US"/>
        </w:rPr>
        <w:t xml:space="preserve"> </w:t>
      </w:r>
      <w:r w:rsidR="007D5A07">
        <w:rPr>
          <w:lang w:val="en-US"/>
        </w:rPr>
        <w:t xml:space="preserve">and </w:t>
      </w:r>
      <w:r w:rsidR="005E60C6">
        <w:rPr>
          <w:lang w:val="en-US"/>
        </w:rPr>
        <w:t>their</w:t>
      </w:r>
      <w:r w:rsidR="007D5A07">
        <w:rPr>
          <w:lang w:val="en-US"/>
        </w:rPr>
        <w:t xml:space="preserve"> famil</w:t>
      </w:r>
      <w:r w:rsidR="005E60C6">
        <w:rPr>
          <w:lang w:val="en-US"/>
        </w:rPr>
        <w:t>ies</w:t>
      </w:r>
      <w:r w:rsidR="007D5A07">
        <w:rPr>
          <w:lang w:val="en-US"/>
        </w:rPr>
        <w:t xml:space="preserve"> </w:t>
      </w:r>
      <w:r w:rsidR="00993757">
        <w:rPr>
          <w:lang w:val="en-US"/>
        </w:rPr>
        <w:t xml:space="preserve">to </w:t>
      </w:r>
      <w:r>
        <w:rPr>
          <w:lang w:val="en-US"/>
        </w:rPr>
        <w:t>Turkey</w:t>
      </w:r>
      <w:r w:rsidR="007D5A07">
        <w:rPr>
          <w:lang w:val="en-US"/>
        </w:rPr>
        <w:t xml:space="preserve"> while their</w:t>
      </w:r>
      <w:r w:rsidR="00993757">
        <w:rPr>
          <w:lang w:val="en-US"/>
        </w:rPr>
        <w:t xml:space="preserve"> case</w:t>
      </w:r>
      <w:r w:rsidR="005E60C6">
        <w:rPr>
          <w:lang w:val="en-US"/>
        </w:rPr>
        <w:t>s</w:t>
      </w:r>
      <w:r w:rsidR="00993757">
        <w:rPr>
          <w:lang w:val="en-US"/>
        </w:rPr>
        <w:t xml:space="preserve"> w</w:t>
      </w:r>
      <w:r w:rsidR="005E60C6">
        <w:rPr>
          <w:lang w:val="en-US"/>
        </w:rPr>
        <w:t>ere</w:t>
      </w:r>
      <w:r w:rsidR="00993757">
        <w:rPr>
          <w:lang w:val="en-US"/>
        </w:rPr>
        <w:t xml:space="preserve"> under consideration by the Committee.</w:t>
      </w:r>
    </w:p>
    <w:p w14:paraId="1D9BA3BA" w14:textId="25B7E2BE" w:rsidR="00987575" w:rsidRPr="00180493" w:rsidRDefault="004A59DF" w:rsidP="004A59DF">
      <w:pPr>
        <w:pStyle w:val="H23G"/>
      </w:pPr>
      <w:r>
        <w:tab/>
      </w:r>
      <w:r>
        <w:tab/>
      </w:r>
      <w:r w:rsidR="00410B5A" w:rsidRPr="00410B5A">
        <w:t xml:space="preserve">The facts as presented </w:t>
      </w:r>
      <w:r w:rsidR="00E04C6F">
        <w:t>by the author</w:t>
      </w:r>
      <w:r w:rsidR="005E60C6">
        <w:t>s</w:t>
      </w:r>
    </w:p>
    <w:p w14:paraId="76E4E04C" w14:textId="606C3F46" w:rsidR="005B1146" w:rsidRDefault="002928E9" w:rsidP="005B1146">
      <w:pPr>
        <w:pStyle w:val="SingleTxtG"/>
        <w:rPr>
          <w:lang w:val="en-US"/>
        </w:rPr>
      </w:pPr>
      <w:r>
        <w:t>2.1</w:t>
      </w:r>
      <w:r>
        <w:tab/>
      </w:r>
      <w:r w:rsidR="000B18A0">
        <w:t>The author</w:t>
      </w:r>
      <w:r w:rsidR="003C2698">
        <w:t>s</w:t>
      </w:r>
      <w:r w:rsidR="000B18A0" w:rsidRPr="000B18A0">
        <w:rPr>
          <w:lang w:val="en-US"/>
        </w:rPr>
        <w:t xml:space="preserve"> </w:t>
      </w:r>
      <w:r w:rsidR="00135DB6">
        <w:rPr>
          <w:lang w:val="en-US"/>
        </w:rPr>
        <w:t>are</w:t>
      </w:r>
      <w:r w:rsidR="00135DB6">
        <w:t xml:space="preserve"> followers</w:t>
      </w:r>
      <w:r w:rsidR="00135DB6" w:rsidRPr="005B1146">
        <w:t xml:space="preserve"> of the teachings of Fethullah </w:t>
      </w:r>
      <w:proofErr w:type="spellStart"/>
      <w:r w:rsidR="00135DB6" w:rsidRPr="005B1146">
        <w:t>Gülen</w:t>
      </w:r>
      <w:proofErr w:type="spellEnd"/>
      <w:r w:rsidR="00135DB6">
        <w:rPr>
          <w:lang w:val="en-US"/>
        </w:rPr>
        <w:t xml:space="preserve"> and </w:t>
      </w:r>
      <w:r w:rsidR="00BD1D80">
        <w:rPr>
          <w:lang w:val="en-US"/>
        </w:rPr>
        <w:t>travelled</w:t>
      </w:r>
      <w:r w:rsidR="00BD1D80" w:rsidRPr="000B18A0">
        <w:rPr>
          <w:lang w:val="en-US"/>
        </w:rPr>
        <w:t xml:space="preserve"> </w:t>
      </w:r>
      <w:r w:rsidR="000B18A0" w:rsidRPr="000B18A0">
        <w:rPr>
          <w:lang w:val="en-US"/>
        </w:rPr>
        <w:t xml:space="preserve">to Angola </w:t>
      </w:r>
      <w:r w:rsidR="003C2698">
        <w:rPr>
          <w:lang w:val="en-US"/>
        </w:rPr>
        <w:t>between 2011 and 2016</w:t>
      </w:r>
      <w:r w:rsidR="000B18A0" w:rsidRPr="000B18A0">
        <w:rPr>
          <w:lang w:val="en-US"/>
        </w:rPr>
        <w:t xml:space="preserve">, after </w:t>
      </w:r>
      <w:r w:rsidR="003C2698">
        <w:rPr>
          <w:lang w:val="en-US"/>
        </w:rPr>
        <w:t>getting</w:t>
      </w:r>
      <w:r w:rsidR="000B18A0">
        <w:rPr>
          <w:lang w:val="en-US"/>
        </w:rPr>
        <w:t xml:space="preserve"> positions as teachers</w:t>
      </w:r>
      <w:r w:rsidR="00135DB6">
        <w:rPr>
          <w:rStyle w:val="FootnoteReference"/>
          <w:lang w:val="en-US"/>
        </w:rPr>
        <w:footnoteReference w:id="4"/>
      </w:r>
      <w:r w:rsidR="005B1146" w:rsidRPr="005B1146">
        <w:t xml:space="preserve"> in the </w:t>
      </w:r>
      <w:proofErr w:type="spellStart"/>
      <w:r w:rsidR="005B1146" w:rsidRPr="00E15C38">
        <w:t>Colégio</w:t>
      </w:r>
      <w:proofErr w:type="spellEnd"/>
      <w:r w:rsidR="005B1146" w:rsidRPr="00E15C38">
        <w:t xml:space="preserve"> </w:t>
      </w:r>
      <w:proofErr w:type="spellStart"/>
      <w:r w:rsidR="005B1146" w:rsidRPr="00E15C38">
        <w:t>Esperança</w:t>
      </w:r>
      <w:proofErr w:type="spellEnd"/>
      <w:r w:rsidR="005B1146" w:rsidRPr="00E15C38">
        <w:t xml:space="preserve"> </w:t>
      </w:r>
      <w:proofErr w:type="spellStart"/>
      <w:r w:rsidR="005B1146" w:rsidRPr="00E15C38">
        <w:t>Internacional</w:t>
      </w:r>
      <w:proofErr w:type="spellEnd"/>
      <w:r w:rsidR="005B1146" w:rsidRPr="005B1146">
        <w:t>,</w:t>
      </w:r>
      <w:r w:rsidR="005B1146" w:rsidRPr="005B1146">
        <w:rPr>
          <w:vertAlign w:val="superscript"/>
        </w:rPr>
        <w:footnoteReference w:id="5"/>
      </w:r>
      <w:r w:rsidR="005B1146" w:rsidRPr="005B1146">
        <w:t xml:space="preserve"> one of the hundreds of schools supported by the movement worldwide and following the </w:t>
      </w:r>
      <w:proofErr w:type="spellStart"/>
      <w:r w:rsidR="005B1146" w:rsidRPr="005B1146">
        <w:t>Gülen</w:t>
      </w:r>
      <w:proofErr w:type="spellEnd"/>
      <w:r w:rsidR="005B1146" w:rsidRPr="005B1146">
        <w:t xml:space="preserve"> ideals.</w:t>
      </w:r>
      <w:r w:rsidR="00D360CC">
        <w:t xml:space="preserve"> The school operated</w:t>
      </w:r>
      <w:r w:rsidR="005B1146" w:rsidRPr="005B1146">
        <w:t xml:space="preserve"> for many years without any problems and </w:t>
      </w:r>
      <w:r w:rsidR="002163DE">
        <w:t>became</w:t>
      </w:r>
      <w:r w:rsidR="005B1146" w:rsidRPr="005B1146">
        <w:t xml:space="preserve"> one of the best and well-respected schools in Angola.</w:t>
      </w:r>
    </w:p>
    <w:p w14:paraId="457DB99F" w14:textId="77777777" w:rsidR="00B137E0" w:rsidRDefault="00BA4EC1" w:rsidP="001E2C99">
      <w:pPr>
        <w:pStyle w:val="SingleTxtG"/>
      </w:pPr>
      <w:r>
        <w:t>2.2</w:t>
      </w:r>
      <w:r>
        <w:tab/>
      </w:r>
      <w:r w:rsidR="005B1146" w:rsidRPr="005B1146">
        <w:t xml:space="preserve">However, </w:t>
      </w:r>
      <w:r w:rsidR="001E2C99">
        <w:t xml:space="preserve">following </w:t>
      </w:r>
      <w:r w:rsidR="001E2C99" w:rsidRPr="001E2C99">
        <w:t>the attempted coup d’état of July 2016</w:t>
      </w:r>
      <w:r w:rsidR="005B1146" w:rsidRPr="005B1146">
        <w:t xml:space="preserve">, the Turkish Government has been putting pressure on governments worldwide to close Turkish international schools associated with the </w:t>
      </w:r>
      <w:proofErr w:type="spellStart"/>
      <w:r w:rsidR="005B1146" w:rsidRPr="005B1146">
        <w:t>Gülen</w:t>
      </w:r>
      <w:proofErr w:type="spellEnd"/>
      <w:r w:rsidR="005B1146" w:rsidRPr="005B1146">
        <w:t xml:space="preserve"> movement, and expel teachers and other Turkish nationals living abroad who are perceived as followers of the movement.</w:t>
      </w:r>
      <w:r w:rsidR="00D360CC">
        <w:t xml:space="preserve"> </w:t>
      </w:r>
      <w:r w:rsidR="005B1146" w:rsidRPr="005B1146">
        <w:t xml:space="preserve">The Angolan Government has not been </w:t>
      </w:r>
      <w:r w:rsidR="00B137E0">
        <w:t>immune to the Turkish pressure.</w:t>
      </w:r>
    </w:p>
    <w:p w14:paraId="0346E5E7" w14:textId="2374CFA8" w:rsidR="005B1146" w:rsidRPr="005B1146" w:rsidRDefault="00B137E0" w:rsidP="001E2C99">
      <w:pPr>
        <w:pStyle w:val="SingleTxtG"/>
      </w:pPr>
      <w:r>
        <w:t>2.3</w:t>
      </w:r>
      <w:r>
        <w:tab/>
      </w:r>
      <w:r w:rsidR="005B1146" w:rsidRPr="005B1146">
        <w:t xml:space="preserve">After several visits from Turkish governmental officials, on 3 October 2016, the Angolan President issued a Decree ordering the closure of the Turkish school </w:t>
      </w:r>
      <w:proofErr w:type="spellStart"/>
      <w:r w:rsidR="0029529D" w:rsidRPr="00E15C38">
        <w:t>Colégio</w:t>
      </w:r>
      <w:proofErr w:type="spellEnd"/>
      <w:r w:rsidR="0029529D" w:rsidRPr="00E15C38">
        <w:t xml:space="preserve"> </w:t>
      </w:r>
      <w:proofErr w:type="spellStart"/>
      <w:r w:rsidR="0029529D" w:rsidRPr="00E15C38">
        <w:t>Esperança</w:t>
      </w:r>
      <w:proofErr w:type="spellEnd"/>
      <w:r w:rsidR="0029529D" w:rsidRPr="00E15C38">
        <w:t xml:space="preserve"> </w:t>
      </w:r>
      <w:proofErr w:type="spellStart"/>
      <w:r w:rsidR="0029529D" w:rsidRPr="00E15C38">
        <w:t>Internacional</w:t>
      </w:r>
      <w:proofErr w:type="spellEnd"/>
      <w:r w:rsidR="0029529D" w:rsidRPr="005B1146" w:rsidDel="0029529D">
        <w:t xml:space="preserve"> </w:t>
      </w:r>
      <w:r w:rsidR="005B1146" w:rsidRPr="005B1146">
        <w:t>and the expulsion of all Turkish citizens affiliated with the school.</w:t>
      </w:r>
      <w:r w:rsidR="005B1146" w:rsidRPr="005B1146">
        <w:rPr>
          <w:vertAlign w:val="superscript"/>
        </w:rPr>
        <w:footnoteReference w:id="6"/>
      </w:r>
      <w:r w:rsidR="005B1146" w:rsidRPr="005B1146">
        <w:t xml:space="preserve"> The decree itself was neither presented to any of the concerned asylum-seekers in Angola, nor to the </w:t>
      </w:r>
      <w:r w:rsidR="001E2C99" w:rsidRPr="001E2C99">
        <w:t>Office of the United Nations High Com</w:t>
      </w:r>
      <w:r w:rsidR="001E2C99">
        <w:t>missioner for Refugees</w:t>
      </w:r>
      <w:r w:rsidR="005B1146" w:rsidRPr="005B1146">
        <w:t xml:space="preserve"> </w:t>
      </w:r>
      <w:r w:rsidR="00E01F05">
        <w:t xml:space="preserve">(UNHCR) </w:t>
      </w:r>
      <w:r w:rsidR="005B1146" w:rsidRPr="005B1146">
        <w:t xml:space="preserve">in Angola. </w:t>
      </w:r>
      <w:r w:rsidR="00C744F4">
        <w:t>O</w:t>
      </w:r>
      <w:r w:rsidR="005B1146" w:rsidRPr="005B1146">
        <w:t xml:space="preserve">n 5 October 2016, three members of the Ministry of Interior went to the school </w:t>
      </w:r>
      <w:r w:rsidR="00AC1EBE">
        <w:t xml:space="preserve">to </w:t>
      </w:r>
      <w:r w:rsidR="005B1146" w:rsidRPr="005B1146">
        <w:t xml:space="preserve">inform the Director and the Deputy-Principal that the school was </w:t>
      </w:r>
      <w:r w:rsidR="00C744F4">
        <w:t xml:space="preserve">to be </w:t>
      </w:r>
      <w:r w:rsidR="005B1146" w:rsidRPr="005B1146">
        <w:t>closed following a high-level decision by the President of Angola. No written document was presented by the government officials.</w:t>
      </w:r>
    </w:p>
    <w:p w14:paraId="51EE79ED" w14:textId="7A33EE83" w:rsidR="005B1146" w:rsidRPr="005B1146" w:rsidRDefault="001E2C99" w:rsidP="005B1146">
      <w:pPr>
        <w:pStyle w:val="SingleTxtG"/>
      </w:pPr>
      <w:r>
        <w:t>2.4</w:t>
      </w:r>
      <w:r w:rsidR="005B1146" w:rsidRPr="005B1146">
        <w:tab/>
        <w:t xml:space="preserve">On 10 February 2017, the </w:t>
      </w:r>
      <w:proofErr w:type="spellStart"/>
      <w:r w:rsidR="005B1146" w:rsidRPr="00E15C38">
        <w:t>Colégio</w:t>
      </w:r>
      <w:proofErr w:type="spellEnd"/>
      <w:r w:rsidR="005B1146" w:rsidRPr="00E15C38">
        <w:t xml:space="preserve"> </w:t>
      </w:r>
      <w:proofErr w:type="spellStart"/>
      <w:r w:rsidR="005B1146" w:rsidRPr="00E15C38">
        <w:t>Esperança</w:t>
      </w:r>
      <w:proofErr w:type="spellEnd"/>
      <w:r w:rsidR="005B1146" w:rsidRPr="00E15C38">
        <w:t xml:space="preserve"> </w:t>
      </w:r>
      <w:proofErr w:type="spellStart"/>
      <w:r w:rsidR="005B1146" w:rsidRPr="00E15C38">
        <w:t>Internacional</w:t>
      </w:r>
      <w:proofErr w:type="spellEnd"/>
      <w:r w:rsidR="005B1146" w:rsidRPr="005B1146">
        <w:t xml:space="preserve"> was officially closed by the Ministry of Education. Several police officers came to the school and brutally took all the Turkish teachers a</w:t>
      </w:r>
      <w:r w:rsidR="00B270AF">
        <w:t>nd other family members present – including children –</w:t>
      </w:r>
      <w:r w:rsidR="005B1146" w:rsidRPr="005B1146">
        <w:t xml:space="preserve"> into two vehicles, a bus with tinted windows and bar</w:t>
      </w:r>
      <w:r w:rsidR="00E01F05">
        <w:t xml:space="preserve">s, and a police van. The </w:t>
      </w:r>
      <w:r w:rsidR="00E01F05" w:rsidRPr="00AC1EBE">
        <w:t>author</w:t>
      </w:r>
      <w:r w:rsidR="00143E74">
        <w:t>s</w:t>
      </w:r>
      <w:r w:rsidR="000B3109">
        <w:t xml:space="preserve"> </w:t>
      </w:r>
      <w:r w:rsidR="007B20A6">
        <w:t>who</w:t>
      </w:r>
      <w:r w:rsidR="009D1C90">
        <w:t xml:space="preserve"> were </w:t>
      </w:r>
      <w:r w:rsidR="000B3109">
        <w:t>present at the school that day</w:t>
      </w:r>
      <w:r w:rsidR="000B3109">
        <w:rPr>
          <w:rStyle w:val="FootnoteReference"/>
        </w:rPr>
        <w:footnoteReference w:id="7"/>
      </w:r>
      <w:r w:rsidR="00143E74">
        <w:t xml:space="preserve"> and their families</w:t>
      </w:r>
      <w:r w:rsidR="00D775EB">
        <w:t xml:space="preserve"> </w:t>
      </w:r>
      <w:r w:rsidR="005B1146" w:rsidRPr="005B1146">
        <w:t>w</w:t>
      </w:r>
      <w:r w:rsidR="00D775EB">
        <w:t>ere</w:t>
      </w:r>
      <w:r w:rsidR="005B1146" w:rsidRPr="005B1146">
        <w:t xml:space="preserve"> threatened and screamed </w:t>
      </w:r>
      <w:r w:rsidR="0090461F">
        <w:t>at</w:t>
      </w:r>
      <w:r w:rsidR="0090461F" w:rsidRPr="005B1146">
        <w:t xml:space="preserve"> </w:t>
      </w:r>
      <w:r w:rsidR="005B1146" w:rsidRPr="005B1146">
        <w:t>by the police officers,</w:t>
      </w:r>
      <w:r w:rsidR="00D775EB">
        <w:t xml:space="preserve"> and </w:t>
      </w:r>
      <w:r w:rsidR="00B452FF">
        <w:t>“</w:t>
      </w:r>
      <w:r w:rsidR="00D775EB">
        <w:t>treated as</w:t>
      </w:r>
      <w:r w:rsidR="00E01F05">
        <w:t xml:space="preserve"> common criminal</w:t>
      </w:r>
      <w:r w:rsidR="00D775EB">
        <w:t>s</w:t>
      </w:r>
      <w:r w:rsidR="007B20A6">
        <w:t>.</w:t>
      </w:r>
      <w:r w:rsidR="00B452FF">
        <w:t>”</w:t>
      </w:r>
      <w:r w:rsidR="005B1146" w:rsidRPr="005B1146">
        <w:t xml:space="preserve"> </w:t>
      </w:r>
      <w:r w:rsidR="00B452FF">
        <w:t>A</w:t>
      </w:r>
      <w:r w:rsidR="005B1146" w:rsidRPr="005B1146">
        <w:t>fter driving fo</w:t>
      </w:r>
      <w:r w:rsidR="00E01F05">
        <w:t>r around 20 minutes, the author</w:t>
      </w:r>
      <w:r w:rsidR="00143E74">
        <w:t>s</w:t>
      </w:r>
      <w:r w:rsidR="00D775EB">
        <w:t xml:space="preserve"> </w:t>
      </w:r>
      <w:r w:rsidR="005B1146" w:rsidRPr="005B1146">
        <w:t>w</w:t>
      </w:r>
      <w:r w:rsidR="00D775EB">
        <w:t>ere</w:t>
      </w:r>
      <w:r w:rsidR="005B1146" w:rsidRPr="005B1146">
        <w:t xml:space="preserve"> taken back to the school.</w:t>
      </w:r>
      <w:r w:rsidR="00B452FF">
        <w:t xml:space="preserve"> Upon arrival</w:t>
      </w:r>
      <w:r w:rsidR="00E01F05">
        <w:t xml:space="preserve"> at the school, the</w:t>
      </w:r>
      <w:r w:rsidR="00D775EB">
        <w:t xml:space="preserve">y were </w:t>
      </w:r>
      <w:r w:rsidR="005B1146" w:rsidRPr="005B1146">
        <w:t xml:space="preserve">informed that </w:t>
      </w:r>
      <w:r w:rsidR="00D775EB">
        <w:t>t</w:t>
      </w:r>
      <w:r w:rsidR="00E01F05">
        <w:t>he</w:t>
      </w:r>
      <w:r w:rsidR="00D775EB">
        <w:t xml:space="preserve">y were </w:t>
      </w:r>
      <w:r w:rsidR="005B1146" w:rsidRPr="005B1146">
        <w:t xml:space="preserve">not </w:t>
      </w:r>
      <w:r w:rsidR="00B452FF">
        <w:t xml:space="preserve">going </w:t>
      </w:r>
      <w:r w:rsidR="005B1146" w:rsidRPr="005B1146">
        <w:t xml:space="preserve">to be </w:t>
      </w:r>
      <w:r w:rsidR="00E01F05">
        <w:t xml:space="preserve">deported that day, but </w:t>
      </w:r>
      <w:r w:rsidR="00B452FF">
        <w:t xml:space="preserve">would be </w:t>
      </w:r>
      <w:r w:rsidR="00E01F05">
        <w:t>allowed five</w:t>
      </w:r>
      <w:r w:rsidR="005B1146" w:rsidRPr="005B1146">
        <w:t xml:space="preserve"> days to leave the country with </w:t>
      </w:r>
      <w:r w:rsidR="00D775EB">
        <w:t>their families</w:t>
      </w:r>
      <w:r w:rsidR="005B1146" w:rsidRPr="005B1146">
        <w:t xml:space="preserve">. </w:t>
      </w:r>
      <w:r w:rsidR="00D775EB">
        <w:t xml:space="preserve">Their </w:t>
      </w:r>
      <w:r w:rsidR="005B1146" w:rsidRPr="005B1146">
        <w:t>passport</w:t>
      </w:r>
      <w:r w:rsidR="00D775EB">
        <w:t>s were</w:t>
      </w:r>
      <w:r w:rsidR="005B1146" w:rsidRPr="005B1146">
        <w:t xml:space="preserve"> collected by the police officers. No information </w:t>
      </w:r>
      <w:r w:rsidR="00D775EB">
        <w:t>or reasons were</w:t>
      </w:r>
      <w:r w:rsidR="005B1146" w:rsidRPr="005B1146">
        <w:t xml:space="preserve"> given to</w:t>
      </w:r>
      <w:r w:rsidR="00E01F05">
        <w:t xml:space="preserve"> </w:t>
      </w:r>
      <w:r w:rsidR="00D775EB">
        <w:t>them</w:t>
      </w:r>
      <w:r w:rsidR="005B1146" w:rsidRPr="005B1146">
        <w:t xml:space="preserve"> </w:t>
      </w:r>
      <w:r w:rsidR="00D775EB">
        <w:t>f</w:t>
      </w:r>
      <w:r w:rsidR="005B1146" w:rsidRPr="005B1146">
        <w:t>or being ordered to leave the country.</w:t>
      </w:r>
    </w:p>
    <w:p w14:paraId="44C85CFB" w14:textId="48BC5D5F" w:rsidR="005B1146" w:rsidRPr="005B1146" w:rsidRDefault="00E01F05" w:rsidP="005B1146">
      <w:pPr>
        <w:pStyle w:val="SingleTxtG"/>
      </w:pPr>
      <w:r>
        <w:t>2.5</w:t>
      </w:r>
      <w:r w:rsidR="00D775EB">
        <w:tab/>
        <w:t>The author</w:t>
      </w:r>
      <w:r w:rsidR="0076085E">
        <w:t>s present at the school on</w:t>
      </w:r>
      <w:r w:rsidR="0076085E" w:rsidRPr="0076085E">
        <w:t xml:space="preserve"> 10 February 2017</w:t>
      </w:r>
      <w:r w:rsidR="005B1146" w:rsidRPr="005B1146">
        <w:t xml:space="preserve"> w</w:t>
      </w:r>
      <w:r w:rsidR="00D775EB">
        <w:t>ere</w:t>
      </w:r>
      <w:r w:rsidR="005B1146" w:rsidRPr="005B1146">
        <w:t xml:space="preserve"> allowed to remain in the school dorms until </w:t>
      </w:r>
      <w:r w:rsidR="00D775EB">
        <w:t>t</w:t>
      </w:r>
      <w:r w:rsidR="005B1146" w:rsidRPr="005B1146">
        <w:t>he</w:t>
      </w:r>
      <w:r w:rsidR="00D775EB">
        <w:t>y</w:t>
      </w:r>
      <w:r w:rsidR="005B1146" w:rsidRPr="005B1146">
        <w:t xml:space="preserve"> would leave the country. However, after contacting some high </w:t>
      </w:r>
      <w:r w:rsidR="00357333" w:rsidRPr="005B1146">
        <w:t>rank</w:t>
      </w:r>
      <w:r w:rsidR="00357333">
        <w:t>ing</w:t>
      </w:r>
      <w:r w:rsidR="00357333" w:rsidRPr="005B1146">
        <w:t xml:space="preserve"> </w:t>
      </w:r>
      <w:r w:rsidR="005B1146" w:rsidRPr="005B1146">
        <w:t xml:space="preserve">police officers whose children also attended the school, the police officers allowed </w:t>
      </w:r>
      <w:r w:rsidR="00D775EB">
        <w:t>them</w:t>
      </w:r>
      <w:r w:rsidR="005B1146" w:rsidRPr="005B1146">
        <w:t xml:space="preserve"> to leave</w:t>
      </w:r>
      <w:r w:rsidR="00B452FF">
        <w:t xml:space="preserve"> the school</w:t>
      </w:r>
      <w:r w:rsidR="00981C7B">
        <w:t>’s</w:t>
      </w:r>
      <w:r w:rsidR="00C744F4">
        <w:t xml:space="preserve"> premises</w:t>
      </w:r>
      <w:r w:rsidR="005B1146" w:rsidRPr="005B1146">
        <w:t>.</w:t>
      </w:r>
      <w:r w:rsidR="005B1146" w:rsidRPr="005B1146">
        <w:rPr>
          <w:vertAlign w:val="superscript"/>
        </w:rPr>
        <w:footnoteReference w:id="8"/>
      </w:r>
    </w:p>
    <w:p w14:paraId="55A3D888" w14:textId="4C175302" w:rsidR="005B1146" w:rsidRPr="005B1146" w:rsidRDefault="00E01F05" w:rsidP="005B1146">
      <w:pPr>
        <w:pStyle w:val="SingleTxtG"/>
      </w:pPr>
      <w:r>
        <w:t>2.6</w:t>
      </w:r>
      <w:r w:rsidR="005B1146" w:rsidRPr="005B1146">
        <w:tab/>
        <w:t>The school remained closed from 10 February to 20 March 2017</w:t>
      </w:r>
      <w:r>
        <w:t>,</w:t>
      </w:r>
      <w:r w:rsidR="005B1146" w:rsidRPr="005B1146">
        <w:t xml:space="preserve"> and the ownership was transferred free of charge to an Angolan businessperson. This was part of a provisional </w:t>
      </w:r>
      <w:r w:rsidR="005B1146" w:rsidRPr="005B1146">
        <w:lastRenderedPageBreak/>
        <w:t xml:space="preserve">agreement whereby the Angolan authorities authorized the school to reopen and the teachers to continue working until the new school administration could find international replacements. However, </w:t>
      </w:r>
      <w:r w:rsidR="00357333">
        <w:t>by</w:t>
      </w:r>
      <w:r>
        <w:t xml:space="preserve"> February 2017 the author</w:t>
      </w:r>
      <w:r w:rsidR="0076085E">
        <w:t>s</w:t>
      </w:r>
      <w:r w:rsidR="00D775EB">
        <w:t xml:space="preserve"> </w:t>
      </w:r>
      <w:r w:rsidR="005B1146" w:rsidRPr="005B1146">
        <w:t xml:space="preserve">requested international protection </w:t>
      </w:r>
      <w:r w:rsidR="0029529D">
        <w:t>from</w:t>
      </w:r>
      <w:r w:rsidR="005B1146" w:rsidRPr="005B1146">
        <w:t xml:space="preserve"> the </w:t>
      </w:r>
      <w:r>
        <w:t>UNHCR</w:t>
      </w:r>
      <w:r w:rsidR="005B1146" w:rsidRPr="005B1146">
        <w:t xml:space="preserve"> in Luanda. Due to the suspension of the government asylum procedures and the high risk of </w:t>
      </w:r>
      <w:r w:rsidR="005B1146" w:rsidRPr="005B1146">
        <w:rPr>
          <w:i/>
        </w:rPr>
        <w:t>refoulement</w:t>
      </w:r>
      <w:r>
        <w:t>, protection letter</w:t>
      </w:r>
      <w:r w:rsidR="00D775EB">
        <w:t>s</w:t>
      </w:r>
      <w:r>
        <w:t xml:space="preserve"> w</w:t>
      </w:r>
      <w:r w:rsidR="00D775EB">
        <w:t>ere</w:t>
      </w:r>
      <w:r w:rsidR="005B1146" w:rsidRPr="005B1146">
        <w:t xml:space="preserve"> issued to </w:t>
      </w:r>
      <w:r>
        <w:t>the</w:t>
      </w:r>
      <w:r w:rsidR="00D775EB">
        <w:t>m and their families</w:t>
      </w:r>
      <w:r>
        <w:t>,</w:t>
      </w:r>
      <w:r w:rsidR="005B1146" w:rsidRPr="005B1146">
        <w:t xml:space="preserve"> and also transmitted to the Government of Angola.</w:t>
      </w:r>
    </w:p>
    <w:p w14:paraId="09B6C0F6" w14:textId="2D6F355B" w:rsidR="005B1146" w:rsidRPr="005B1146" w:rsidRDefault="00E01F05" w:rsidP="005B1146">
      <w:pPr>
        <w:pStyle w:val="SingleTxtG"/>
      </w:pPr>
      <w:r>
        <w:t>2.7</w:t>
      </w:r>
      <w:r w:rsidR="005B1146" w:rsidRPr="005B1146">
        <w:tab/>
        <w:t>H</w:t>
      </w:r>
      <w:r>
        <w:t xml:space="preserve">owever, </w:t>
      </w:r>
      <w:r w:rsidR="001F1369">
        <w:t xml:space="preserve">the pressure continued for the </w:t>
      </w:r>
      <w:r w:rsidR="0076085E">
        <w:t>authors</w:t>
      </w:r>
      <w:r w:rsidR="001F1369">
        <w:t xml:space="preserve"> to leave the country. I</w:t>
      </w:r>
      <w:r>
        <w:t>n May 2017, the</w:t>
      </w:r>
      <w:r w:rsidR="0076085E">
        <w:t>y</w:t>
      </w:r>
      <w:r w:rsidR="005B1146" w:rsidRPr="005B1146">
        <w:t xml:space="preserve"> w</w:t>
      </w:r>
      <w:r w:rsidR="00D775EB">
        <w:t>ere</w:t>
      </w:r>
      <w:r w:rsidR="005B1146" w:rsidRPr="005B1146">
        <w:t xml:space="preserve"> requested by the new Angolan director of the school to </w:t>
      </w:r>
      <w:proofErr w:type="gramStart"/>
      <w:r w:rsidR="005B1146" w:rsidRPr="005B1146">
        <w:t xml:space="preserve">organize </w:t>
      </w:r>
      <w:r w:rsidR="00C744F4">
        <w:t xml:space="preserve"> their</w:t>
      </w:r>
      <w:proofErr w:type="gramEnd"/>
      <w:r w:rsidR="005B1146" w:rsidRPr="005B1146">
        <w:t xml:space="preserve"> departure</w:t>
      </w:r>
      <w:r w:rsidR="00C744F4">
        <w:t xml:space="preserve">, according to </w:t>
      </w:r>
      <w:r w:rsidR="005B1146" w:rsidRPr="005B1146">
        <w:t>instruction</w:t>
      </w:r>
      <w:r w:rsidR="00C744F4">
        <w:t>s</w:t>
      </w:r>
      <w:r w:rsidR="005B1146" w:rsidRPr="005B1146">
        <w:t xml:space="preserve"> given by the Angolan Migration and Foreigners Service (SME). The Turkish asylum-seekers were divided into groups and a list was prepared, indicating which families or individuals should depart first.</w:t>
      </w:r>
    </w:p>
    <w:p w14:paraId="431551E4" w14:textId="4F659309" w:rsidR="005B1146" w:rsidRDefault="00E01F05" w:rsidP="00B06435">
      <w:pPr>
        <w:pStyle w:val="SingleTxtG"/>
      </w:pPr>
      <w:r>
        <w:t>2.8</w:t>
      </w:r>
      <w:r w:rsidR="005B1146" w:rsidRPr="005B1146">
        <w:tab/>
        <w:t>Despite the issuance of protection letters</w:t>
      </w:r>
      <w:r w:rsidR="000E647C">
        <w:t xml:space="preserve"> and</w:t>
      </w:r>
      <w:r w:rsidR="005B1146" w:rsidRPr="005B1146">
        <w:t xml:space="preserve"> several meetings by the former UNHCR Representative and former Acting Representative for Angola, the </w:t>
      </w:r>
      <w:r>
        <w:t>State party maintained</w:t>
      </w:r>
      <w:r w:rsidR="005B1146" w:rsidRPr="005B1146">
        <w:t xml:space="preserve"> its position that the Turkish asylum-seekers </w:t>
      </w:r>
      <w:r w:rsidR="0029529D">
        <w:t>were to abide by</w:t>
      </w:r>
      <w:r w:rsidR="005B1146" w:rsidRPr="005B1146">
        <w:t xml:space="preserve"> the Presidential Decree without having their asylum claims assessed. </w:t>
      </w:r>
      <w:r w:rsidR="0029529D">
        <w:t>T</w:t>
      </w:r>
      <w:r w:rsidR="005B1146" w:rsidRPr="005B1146">
        <w:t xml:space="preserve">he Presidential Decree </w:t>
      </w:r>
      <w:r w:rsidR="0029529D">
        <w:t xml:space="preserve">referred to State security </w:t>
      </w:r>
      <w:r w:rsidR="005B1146" w:rsidRPr="005B1146">
        <w:t>as the reason for the expulsion</w:t>
      </w:r>
      <w:r w:rsidR="00D775EB">
        <w:t xml:space="preserve"> of the </w:t>
      </w:r>
      <w:r w:rsidR="0043231E">
        <w:t xml:space="preserve">Turkish </w:t>
      </w:r>
      <w:r w:rsidR="00D775EB">
        <w:t>teachers and their</w:t>
      </w:r>
      <w:r>
        <w:t xml:space="preserve"> famil</w:t>
      </w:r>
      <w:r w:rsidR="00D775EB">
        <w:t>ies. However, the Turkish teachers</w:t>
      </w:r>
      <w:r w:rsidR="005B1146" w:rsidRPr="005B1146">
        <w:t xml:space="preserve"> </w:t>
      </w:r>
      <w:r w:rsidR="00D775EB">
        <w:t xml:space="preserve">were </w:t>
      </w:r>
      <w:r w:rsidR="005B1146" w:rsidRPr="005B1146">
        <w:t xml:space="preserve">not presented with any charges or any allegations. Conversely, the </w:t>
      </w:r>
      <w:r>
        <w:t>State party</w:t>
      </w:r>
      <w:r w:rsidR="005B1146" w:rsidRPr="005B1146">
        <w:t xml:space="preserve"> has kept</w:t>
      </w:r>
      <w:r w:rsidR="00D775EB">
        <w:t xml:space="preserve"> them</w:t>
      </w:r>
      <w:r>
        <w:t xml:space="preserve"> </w:t>
      </w:r>
      <w:r w:rsidR="005B1146" w:rsidRPr="005B1146">
        <w:t xml:space="preserve">in a </w:t>
      </w:r>
      <w:r w:rsidR="00A60700">
        <w:t>precarious</w:t>
      </w:r>
      <w:r w:rsidR="00A60700" w:rsidRPr="005B1146">
        <w:t xml:space="preserve"> </w:t>
      </w:r>
      <w:r w:rsidR="005B1146" w:rsidRPr="005B1146">
        <w:t xml:space="preserve">situation, allowing </w:t>
      </w:r>
      <w:r w:rsidR="00D775EB">
        <w:t>them</w:t>
      </w:r>
      <w:r>
        <w:t xml:space="preserve"> </w:t>
      </w:r>
      <w:r w:rsidR="005B1146" w:rsidRPr="005B1146">
        <w:t>to work for the school, albeit still maintain</w:t>
      </w:r>
      <w:r>
        <w:t xml:space="preserve">ing </w:t>
      </w:r>
      <w:r w:rsidR="002E5349">
        <w:t xml:space="preserve">in place </w:t>
      </w:r>
      <w:r w:rsidR="005B1146" w:rsidRPr="005B1146">
        <w:t xml:space="preserve">the Presidential Decree </w:t>
      </w:r>
      <w:r w:rsidR="0016243C">
        <w:t>ordering</w:t>
      </w:r>
      <w:r w:rsidR="002E5349">
        <w:t xml:space="preserve"> them to</w:t>
      </w:r>
      <w:r w:rsidR="005B1146" w:rsidRPr="005B1146">
        <w:t xml:space="preserve"> leave the c</w:t>
      </w:r>
      <w:r>
        <w:t>ountry. As a result, the author</w:t>
      </w:r>
      <w:r w:rsidR="0076085E">
        <w:t>s</w:t>
      </w:r>
      <w:r w:rsidR="005B1146" w:rsidRPr="005B1146">
        <w:t xml:space="preserve"> </w:t>
      </w:r>
      <w:r w:rsidR="00D775EB">
        <w:t>are</w:t>
      </w:r>
      <w:r>
        <w:t xml:space="preserve"> </w:t>
      </w:r>
      <w:r w:rsidR="005B1146" w:rsidRPr="005B1146">
        <w:t>in a legal limbo, unable to access the asylum procedures in Angola and also unable to legally remain in the country because the</w:t>
      </w:r>
      <w:r>
        <w:t xml:space="preserve"> State party</w:t>
      </w:r>
      <w:r w:rsidR="005B1146" w:rsidRPr="005B1146">
        <w:t xml:space="preserve"> </w:t>
      </w:r>
      <w:r w:rsidR="00A60700">
        <w:t>has</w:t>
      </w:r>
      <w:r w:rsidR="00A60700" w:rsidRPr="005B1146">
        <w:t xml:space="preserve"> </w:t>
      </w:r>
      <w:r w:rsidR="005B1146" w:rsidRPr="005B1146">
        <w:t>not renew</w:t>
      </w:r>
      <w:r w:rsidR="00A60700">
        <w:t>ed</w:t>
      </w:r>
      <w:r w:rsidR="005B1146" w:rsidRPr="005B1146">
        <w:t xml:space="preserve"> their work visas, while </w:t>
      </w:r>
      <w:r w:rsidR="00D775EB">
        <w:t>t</w:t>
      </w:r>
      <w:r>
        <w:t>he</w:t>
      </w:r>
      <w:r w:rsidR="00D775EB">
        <w:t>y</w:t>
      </w:r>
      <w:r w:rsidR="005B1146" w:rsidRPr="005B1146">
        <w:t xml:space="preserve"> face a permanent threat of </w:t>
      </w:r>
      <w:r w:rsidR="005B1146" w:rsidRPr="005B1146">
        <w:rPr>
          <w:i/>
        </w:rPr>
        <w:t>refoulement</w:t>
      </w:r>
      <w:r w:rsidR="005B1146" w:rsidRPr="005B1146">
        <w:t>.</w:t>
      </w:r>
    </w:p>
    <w:p w14:paraId="23F37E55" w14:textId="02D7AF63" w:rsidR="0053366E" w:rsidRDefault="00BC480C" w:rsidP="00B06435">
      <w:pPr>
        <w:pStyle w:val="SingleTxtG"/>
      </w:pPr>
      <w:r>
        <w:t>2.9</w:t>
      </w:r>
      <w:r>
        <w:tab/>
      </w:r>
      <w:r w:rsidRPr="00BC480C">
        <w:t>The</w:t>
      </w:r>
      <w:r w:rsidR="004F16AC">
        <w:t xml:space="preserve"> </w:t>
      </w:r>
      <w:r w:rsidRPr="00BC480C">
        <w:t xml:space="preserve">status and </w:t>
      </w:r>
      <w:r w:rsidRPr="00B06435">
        <w:t>treatment</w:t>
      </w:r>
      <w:r w:rsidRPr="00BC480C">
        <w:t xml:space="preserve"> of asylum-seekers and refugees in Angola is governed by </w:t>
      </w:r>
      <w:r w:rsidR="002C6D4F">
        <w:t xml:space="preserve">the </w:t>
      </w:r>
      <w:r w:rsidR="00B85C8B" w:rsidRPr="00B85C8B">
        <w:t>Right of Asylum and Refugee Status Act</w:t>
      </w:r>
      <w:r w:rsidR="002C6D4F" w:rsidRPr="00BC480C">
        <w:t xml:space="preserve"> </w:t>
      </w:r>
      <w:r w:rsidR="002C6D4F">
        <w:t xml:space="preserve">– </w:t>
      </w:r>
      <w:r w:rsidRPr="00BC480C">
        <w:t>La</w:t>
      </w:r>
      <w:r w:rsidR="00E15C38">
        <w:t xml:space="preserve">w </w:t>
      </w:r>
      <w:r w:rsidRPr="00BC480C">
        <w:t xml:space="preserve">10/15 – adopted on 17 June 2015. The law provides that asylum-seekers’ cases </w:t>
      </w:r>
      <w:r w:rsidR="0029529D">
        <w:t>should</w:t>
      </w:r>
      <w:r w:rsidRPr="00BC480C">
        <w:t xml:space="preserve"> be </w:t>
      </w:r>
      <w:r w:rsidR="002C6D4F">
        <w:t xml:space="preserve">transmitted </w:t>
      </w:r>
      <w:r w:rsidRPr="00BC480C">
        <w:t xml:space="preserve">to the National Council for Refugees (NCR). However, almost two years </w:t>
      </w:r>
      <w:r w:rsidR="002C6D4F">
        <w:t>after the adoption of</w:t>
      </w:r>
      <w:r w:rsidRPr="00BC480C">
        <w:t xml:space="preserve"> Law 10/15</w:t>
      </w:r>
      <w:r w:rsidR="002C6D4F">
        <w:t xml:space="preserve">, the NCR is yet to be created. As </w:t>
      </w:r>
      <w:r w:rsidR="0053366E" w:rsidRPr="0053366E">
        <w:t>reported by the UN Special Rapporteur on the Human Rights of Migrants on his mission to Angola, “since the promulgation of the new Asylum Law No. 10/15 of June 2015, the previous system for refugee status determination has been discontinued. The regulation necessary for the establishment of a new refugee status determination system has yet to be adopted. The resulting legal gap has existed since June 2015 and is extremely prejudicial to asylum seekers, who are provided with no alternative status and no documentation.”</w:t>
      </w:r>
      <w:r w:rsidR="0053366E" w:rsidRPr="0053366E">
        <w:rPr>
          <w:vertAlign w:val="superscript"/>
        </w:rPr>
        <w:footnoteReference w:id="9"/>
      </w:r>
      <w:r w:rsidR="0053366E" w:rsidRPr="0053366E">
        <w:t xml:space="preserve"> Therefore, since the adoption of the new law, no asylum-seekers have had their claims asse</w:t>
      </w:r>
      <w:r w:rsidR="00361772">
        <w:t xml:space="preserve">ssed. As such, </w:t>
      </w:r>
      <w:r w:rsidR="00A60700">
        <w:t xml:space="preserve">despite being </w:t>
      </w:r>
      <w:r w:rsidR="00361772">
        <w:t>asylum-seeker</w:t>
      </w:r>
      <w:r w:rsidR="00F95546">
        <w:t>s</w:t>
      </w:r>
      <w:r w:rsidR="0053366E" w:rsidRPr="0053366E">
        <w:t xml:space="preserve"> who fear returning to Turkey due to a fear of being persecuted and subjected to torture or other inhumane or cruel treatment, the au</w:t>
      </w:r>
      <w:r w:rsidR="00361772">
        <w:t>thor</w:t>
      </w:r>
      <w:r w:rsidR="0076085E">
        <w:t>s</w:t>
      </w:r>
      <w:r w:rsidR="0053366E" w:rsidRPr="0053366E">
        <w:t xml:space="preserve"> </w:t>
      </w:r>
      <w:r w:rsidR="00785FAB">
        <w:t xml:space="preserve">and </w:t>
      </w:r>
      <w:r w:rsidR="0076085E">
        <w:t>their families</w:t>
      </w:r>
      <w:r w:rsidR="00785FAB">
        <w:t xml:space="preserve"> </w:t>
      </w:r>
      <w:r w:rsidR="0053366E" w:rsidRPr="0053366E">
        <w:t>cannot resort to the Angolan asylum-system for protection.</w:t>
      </w:r>
    </w:p>
    <w:p w14:paraId="4F4248F0" w14:textId="1161FF5A" w:rsidR="00BA3416" w:rsidRPr="0053366E" w:rsidRDefault="00BA3416" w:rsidP="00B06435">
      <w:pPr>
        <w:pStyle w:val="SingleTxtG"/>
      </w:pPr>
      <w:r>
        <w:t>2.10</w:t>
      </w:r>
      <w:r w:rsidRPr="0053366E">
        <w:tab/>
        <w:t xml:space="preserve">Moreover, the unwarranted, lengthy delay in the implementation of the Asylum Law No. 10/15 has prevented asylum-seekers and refugees, including children, from accessing services such as education and healthcare. Furthermore, the indefinite halt </w:t>
      </w:r>
      <w:r w:rsidR="00357333">
        <w:t>in</w:t>
      </w:r>
      <w:r w:rsidR="00357333" w:rsidRPr="0053366E">
        <w:t xml:space="preserve"> </w:t>
      </w:r>
      <w:r w:rsidR="00A60700">
        <w:t xml:space="preserve">the </w:t>
      </w:r>
      <w:r w:rsidRPr="0053366E">
        <w:t xml:space="preserve">issuing </w:t>
      </w:r>
      <w:r w:rsidR="00981C7B">
        <w:t xml:space="preserve">of </w:t>
      </w:r>
      <w:r w:rsidRPr="0053366E">
        <w:t xml:space="preserve">identification documents for asylum-seekers and refugees has exacerbated the socio-economic challenges that they face in Angola. Additionally, as Asylum Law 10/15 has not been implemented, even </w:t>
      </w:r>
      <w:r w:rsidRPr="00B06435">
        <w:t>individuals</w:t>
      </w:r>
      <w:r w:rsidRPr="0053366E">
        <w:t xml:space="preserve"> who fall within the family reunification criteria cannot be recognized as re</w:t>
      </w:r>
      <w:r>
        <w:t>fugees. T</w:t>
      </w:r>
      <w:r w:rsidRPr="0053366E">
        <w:t xml:space="preserve">he inevitable result is that the lack of government identification documents puts asylum-seekers and refugees at risk of </w:t>
      </w:r>
      <w:r w:rsidRPr="0053366E">
        <w:rPr>
          <w:i/>
        </w:rPr>
        <w:t>refoulement</w:t>
      </w:r>
      <w:r w:rsidRPr="0053366E">
        <w:t xml:space="preserve">, in contravention </w:t>
      </w:r>
      <w:r w:rsidR="00F95546">
        <w:t>of</w:t>
      </w:r>
      <w:r w:rsidR="00F95546" w:rsidRPr="0053366E">
        <w:t xml:space="preserve"> </w:t>
      </w:r>
      <w:r w:rsidRPr="0053366E">
        <w:t xml:space="preserve">article 33 of the 1951 Refugee Convention, since they have no proof that they are </w:t>
      </w:r>
      <w:r>
        <w:t>seeking asylum in Angola. A</w:t>
      </w:r>
      <w:r w:rsidRPr="0053366E">
        <w:t>lthough Asylum Law 10/15 is not yet in force, article 29 (4) of the Law on the Legal Regime of Foreign Citizens already provides safeguards against the expulsion of refugees to countries where they might be persecuted for political, racial or religious reasons, or where their lives might be in danger.</w:t>
      </w:r>
      <w:r w:rsidRPr="0053366E">
        <w:rPr>
          <w:vertAlign w:val="superscript"/>
        </w:rPr>
        <w:footnoteReference w:id="10"/>
      </w:r>
    </w:p>
    <w:p w14:paraId="3CF4F2A8" w14:textId="77777777" w:rsidR="004D2B1E" w:rsidRPr="00496E90" w:rsidRDefault="004D2B1E" w:rsidP="00B06435">
      <w:pPr>
        <w:pStyle w:val="H23G"/>
      </w:pPr>
      <w:r>
        <w:lastRenderedPageBreak/>
        <w:tab/>
      </w:r>
      <w:r>
        <w:tab/>
      </w:r>
      <w:r w:rsidRPr="00C23B4C">
        <w:t xml:space="preserve">The </w:t>
      </w:r>
      <w:r w:rsidRPr="00B06435">
        <w:t>complaint</w:t>
      </w:r>
    </w:p>
    <w:p w14:paraId="1C0DFE36" w14:textId="737C8257" w:rsidR="0012275A" w:rsidRPr="005B1146" w:rsidRDefault="005C5724" w:rsidP="005C5724">
      <w:pPr>
        <w:pStyle w:val="SingleTxtG"/>
      </w:pPr>
      <w:r>
        <w:t>3.1</w:t>
      </w:r>
      <w:r>
        <w:tab/>
        <w:t>The</w:t>
      </w:r>
      <w:r w:rsidR="00E74B47" w:rsidRPr="00E74B47">
        <w:t xml:space="preserve"> expulsion order issued by the </w:t>
      </w:r>
      <w:r w:rsidR="00E74B47">
        <w:t>State party</w:t>
      </w:r>
      <w:r w:rsidR="00E74B47" w:rsidRPr="00E74B47">
        <w:t xml:space="preserve">, which determines the expulsion of all Turkish </w:t>
      </w:r>
      <w:r w:rsidR="0029529D">
        <w:t>nationals</w:t>
      </w:r>
      <w:r w:rsidR="0029529D" w:rsidRPr="00E74B47">
        <w:t xml:space="preserve"> </w:t>
      </w:r>
      <w:r w:rsidR="00E74B47" w:rsidRPr="00E74B47">
        <w:t xml:space="preserve">in Angola associated with </w:t>
      </w:r>
      <w:r w:rsidR="00E74B47" w:rsidRPr="00E24EB6">
        <w:t xml:space="preserve">the </w:t>
      </w:r>
      <w:proofErr w:type="spellStart"/>
      <w:r w:rsidR="00E74B47" w:rsidRPr="00E24EB6">
        <w:t>Colégio</w:t>
      </w:r>
      <w:proofErr w:type="spellEnd"/>
      <w:r w:rsidR="00E74B47" w:rsidRPr="00E24EB6">
        <w:t xml:space="preserve"> </w:t>
      </w:r>
      <w:proofErr w:type="spellStart"/>
      <w:r w:rsidR="00E74B47" w:rsidRPr="00E24EB6">
        <w:t>Esperança</w:t>
      </w:r>
      <w:proofErr w:type="spellEnd"/>
      <w:r w:rsidR="00E74B47" w:rsidRPr="00E24EB6">
        <w:t xml:space="preserve"> </w:t>
      </w:r>
      <w:proofErr w:type="spellStart"/>
      <w:r w:rsidR="00E74B47" w:rsidRPr="00E24EB6">
        <w:t>Internacional</w:t>
      </w:r>
      <w:proofErr w:type="spellEnd"/>
      <w:r w:rsidR="00E74B47">
        <w:t xml:space="preserve">, including </w:t>
      </w:r>
      <w:r>
        <w:t>the author</w:t>
      </w:r>
      <w:r w:rsidR="0076085E">
        <w:t>s</w:t>
      </w:r>
      <w:r w:rsidR="00E74B47" w:rsidRPr="00E74B47">
        <w:t xml:space="preserve">, exposes </w:t>
      </w:r>
      <w:r w:rsidR="0076085E">
        <w:t>them and their families</w:t>
      </w:r>
      <w:r w:rsidR="00E74B47" w:rsidRPr="00E74B47">
        <w:t xml:space="preserve"> to </w:t>
      </w:r>
      <w:r w:rsidR="009D1C90">
        <w:t>a risk</w:t>
      </w:r>
      <w:r w:rsidR="00E74B47" w:rsidRPr="00E74B47">
        <w:t xml:space="preserve"> of being forcibly returned to Turkey where, due to their open association with the </w:t>
      </w:r>
      <w:proofErr w:type="spellStart"/>
      <w:r w:rsidR="00E74B47" w:rsidRPr="00E74B47">
        <w:t>Gülen</w:t>
      </w:r>
      <w:proofErr w:type="spellEnd"/>
      <w:r w:rsidR="00E74B47" w:rsidRPr="00E74B47">
        <w:t xml:space="preserve"> movement, they would undoubtedly be subjected to violations that amount to the acts proscribed by </w:t>
      </w:r>
      <w:r w:rsidR="000C24A0">
        <w:t>article 7 of the Covenant.</w:t>
      </w:r>
      <w:r w:rsidR="00BA3416">
        <w:t xml:space="preserve"> </w:t>
      </w:r>
      <w:r w:rsidR="00E74B47" w:rsidRPr="00E74B47">
        <w:t>Such a conclusion is based on the concrete situation in Turkey for those with real or perceived asso</w:t>
      </w:r>
      <w:r w:rsidR="00BA3416">
        <w:t xml:space="preserve">ciation with the </w:t>
      </w:r>
      <w:proofErr w:type="spellStart"/>
      <w:r w:rsidR="00BA3416">
        <w:t>Gülen</w:t>
      </w:r>
      <w:proofErr w:type="spellEnd"/>
      <w:r w:rsidR="00BA3416">
        <w:t xml:space="preserve"> movement,</w:t>
      </w:r>
      <w:r w:rsidR="000C24A0">
        <w:rPr>
          <w:rStyle w:val="FootnoteReference"/>
        </w:rPr>
        <w:footnoteReference w:id="11"/>
      </w:r>
      <w:r w:rsidR="000C24A0">
        <w:t xml:space="preserve"> </w:t>
      </w:r>
      <w:r w:rsidR="00AD04FE">
        <w:t>also reported</w:t>
      </w:r>
      <w:r w:rsidR="00BA3416">
        <w:t xml:space="preserve"> by </w:t>
      </w:r>
      <w:r w:rsidR="000C24A0" w:rsidRPr="00FF0CEC">
        <w:t>the UN Special Rapporteur on Torture, after a visit to Turkey between 2</w:t>
      </w:r>
      <w:r w:rsidR="00BA3416">
        <w:t>7 November and 2 December 2016.</w:t>
      </w:r>
      <w:r w:rsidR="00AD04FE">
        <w:rPr>
          <w:rStyle w:val="FootnoteReference"/>
        </w:rPr>
        <w:footnoteReference w:id="12"/>
      </w:r>
    </w:p>
    <w:p w14:paraId="5FDE15A9" w14:textId="61277977" w:rsidR="00E74B47" w:rsidRPr="00E74B47" w:rsidRDefault="005C5724" w:rsidP="00E74B47">
      <w:pPr>
        <w:pStyle w:val="SingleTxtG"/>
      </w:pPr>
      <w:r>
        <w:t>3.2</w:t>
      </w:r>
      <w:r w:rsidR="00E74B47" w:rsidRPr="00E74B47">
        <w:tab/>
      </w:r>
      <w:r w:rsidR="00E74B47">
        <w:t>The author</w:t>
      </w:r>
      <w:r w:rsidR="0076085E">
        <w:t>s</w:t>
      </w:r>
      <w:r w:rsidR="00E74B47" w:rsidRPr="00E74B47">
        <w:t xml:space="preserve"> </w:t>
      </w:r>
      <w:r w:rsidR="0038155F">
        <w:t xml:space="preserve">complain </w:t>
      </w:r>
      <w:r w:rsidR="00E74B47" w:rsidRPr="00E74B47">
        <w:t>that Turkey has been violating the right</w:t>
      </w:r>
      <w:r w:rsidR="00DD1565">
        <w:t>s</w:t>
      </w:r>
      <w:r w:rsidR="00E74B47" w:rsidRPr="00E74B47">
        <w:t xml:space="preserve"> to a fair trial and t</w:t>
      </w:r>
      <w:r w:rsidR="00E74B47">
        <w:t>o</w:t>
      </w:r>
      <w:r w:rsidR="00E74B47" w:rsidRPr="00E74B47">
        <w:t xml:space="preserve"> due process of law through the treatment afforded to those with real or perceived affiliation with the </w:t>
      </w:r>
      <w:proofErr w:type="spellStart"/>
      <w:r w:rsidR="00E74B47" w:rsidRPr="00E74B47">
        <w:t>Gülen</w:t>
      </w:r>
      <w:proofErr w:type="spellEnd"/>
      <w:r w:rsidR="00E74B47" w:rsidRPr="00E74B47">
        <w:t xml:space="preserve"> movement, who have been accused of being terrorists. Therefore, if returned to Turkey, </w:t>
      </w:r>
      <w:r w:rsidR="0076085E">
        <w:t>t</w:t>
      </w:r>
      <w:r w:rsidR="00E74B47" w:rsidRPr="00E74B47">
        <w:t>he</w:t>
      </w:r>
      <w:r w:rsidR="0076085E">
        <w:t>y</w:t>
      </w:r>
      <w:r w:rsidR="00E74B47" w:rsidRPr="00E74B47">
        <w:t xml:space="preserve"> face a high probability of having</w:t>
      </w:r>
      <w:r w:rsidR="0076085E">
        <w:t xml:space="preserve"> their</w:t>
      </w:r>
      <w:r w:rsidR="00E74B47" w:rsidRPr="00E74B47">
        <w:t xml:space="preserve"> right</w:t>
      </w:r>
      <w:r w:rsidR="00565F29">
        <w:t>s</w:t>
      </w:r>
      <w:r w:rsidR="00E74B47" w:rsidRPr="00E74B47">
        <w:t xml:space="preserve"> enshrined in article 14 violated, and thus suffer the same fate as thousands of people arrested, indicted or simply fired just by the mere fact of i</w:t>
      </w:r>
      <w:r w:rsidR="00E74B47">
        <w:t xml:space="preserve">dentifying themselves with the </w:t>
      </w:r>
      <w:proofErr w:type="spellStart"/>
      <w:r w:rsidR="00E74B47">
        <w:t>Hizmet</w:t>
      </w:r>
      <w:proofErr w:type="spellEnd"/>
      <w:r w:rsidR="00E74B47">
        <w:t xml:space="preserve"> movement. D</w:t>
      </w:r>
      <w:r w:rsidR="00E74B47" w:rsidRPr="00E74B47">
        <w:t>enial of a fair trial by Turkey to thos</w:t>
      </w:r>
      <w:r w:rsidR="00E74B47">
        <w:t>e seemingly</w:t>
      </w:r>
      <w:r w:rsidR="00E74B47" w:rsidRPr="00E74B47">
        <w:t xml:space="preserve"> affiliated to the </w:t>
      </w:r>
      <w:proofErr w:type="spellStart"/>
      <w:r w:rsidR="00E74B47" w:rsidRPr="00E74B47">
        <w:t>Gülen</w:t>
      </w:r>
      <w:proofErr w:type="spellEnd"/>
      <w:r w:rsidR="00E74B47" w:rsidRPr="00E74B47">
        <w:t xml:space="preserve"> movement and the treatment received by them from the Turkish authorities undeniably subj</w:t>
      </w:r>
      <w:r w:rsidR="00E74B47">
        <w:t>ect the author</w:t>
      </w:r>
      <w:r w:rsidR="0076085E">
        <w:t>s</w:t>
      </w:r>
      <w:r w:rsidR="00E74B47" w:rsidRPr="00E74B47">
        <w:t xml:space="preserve"> to the risk of irreparable harm, as it </w:t>
      </w:r>
      <w:r w:rsidR="00E74B47">
        <w:t xml:space="preserve">increases the probability that </w:t>
      </w:r>
      <w:r w:rsidR="0076085E">
        <w:t>t</w:t>
      </w:r>
      <w:r w:rsidR="00E74B47">
        <w:t>he</w:t>
      </w:r>
      <w:r w:rsidR="0076085E">
        <w:t>y</w:t>
      </w:r>
      <w:r w:rsidR="00E74B47" w:rsidRPr="00E74B47">
        <w:t xml:space="preserve"> might be arbitrarily deprived of </w:t>
      </w:r>
      <w:r w:rsidR="0076085E">
        <w:t>their</w:t>
      </w:r>
      <w:r w:rsidR="00E74B47" w:rsidRPr="00E74B47">
        <w:t xml:space="preserve"> liberty and subjected to treatment proscribed by article 7</w:t>
      </w:r>
      <w:r w:rsidR="0038155F">
        <w:t xml:space="preserve"> of the Covenant</w:t>
      </w:r>
      <w:r w:rsidR="00E74B47" w:rsidRPr="00E74B47">
        <w:t>.</w:t>
      </w:r>
    </w:p>
    <w:p w14:paraId="65F1EF80" w14:textId="778DD557" w:rsidR="00FF0CEC" w:rsidRPr="00E74B47" w:rsidRDefault="005C5724" w:rsidP="003846CE">
      <w:pPr>
        <w:pStyle w:val="SingleTxtG"/>
      </w:pPr>
      <w:r>
        <w:t>3.3</w:t>
      </w:r>
      <w:r w:rsidR="00E74B47" w:rsidRPr="00E74B47">
        <w:tab/>
        <w:t>Finally, the author</w:t>
      </w:r>
      <w:r w:rsidR="0076085E">
        <w:t>s</w:t>
      </w:r>
      <w:r w:rsidR="00E74B47" w:rsidRPr="00E74B47">
        <w:t xml:space="preserve"> invoke </w:t>
      </w:r>
      <w:r w:rsidR="00565F29">
        <w:t xml:space="preserve">a violation of </w:t>
      </w:r>
      <w:r w:rsidR="00E74B47" w:rsidRPr="00E74B47">
        <w:t>article 13</w:t>
      </w:r>
      <w:r w:rsidR="003C2331">
        <w:t xml:space="preserve"> </w:t>
      </w:r>
      <w:r w:rsidR="00565F29">
        <w:t xml:space="preserve">of the Covenant </w:t>
      </w:r>
      <w:r w:rsidR="003C2331">
        <w:t xml:space="preserve">in the sense </w:t>
      </w:r>
      <w:r w:rsidR="00E74B47" w:rsidRPr="00E74B47">
        <w:t xml:space="preserve">that one shall have the </w:t>
      </w:r>
      <w:r w:rsidR="00565F29">
        <w:t>righ</w:t>
      </w:r>
      <w:r w:rsidR="00E61966">
        <w:t>t</w:t>
      </w:r>
      <w:r w:rsidR="00565F29" w:rsidRPr="00E74B47">
        <w:t xml:space="preserve"> </w:t>
      </w:r>
      <w:r w:rsidR="00E74B47" w:rsidRPr="00E74B47">
        <w:t xml:space="preserve">to contest </w:t>
      </w:r>
      <w:r w:rsidR="003C2331">
        <w:t>an</w:t>
      </w:r>
      <w:r w:rsidR="00E74B47" w:rsidRPr="00E74B47">
        <w:t xml:space="preserve"> expulsion order and have the case reviewed by a co</w:t>
      </w:r>
      <w:r w:rsidR="003C2331">
        <w:t>mpetent authority prior to</w:t>
      </w:r>
      <w:r w:rsidR="00E74B47" w:rsidRPr="00E74B47">
        <w:t xml:space="preserve"> re</w:t>
      </w:r>
      <w:r w:rsidR="0038155F">
        <w:t xml:space="preserve">moval from a country. </w:t>
      </w:r>
      <w:r w:rsidR="003C2331">
        <w:t>As t</w:t>
      </w:r>
      <w:r w:rsidR="00E74B47" w:rsidRPr="00E74B47">
        <w:t xml:space="preserve">he expulsion order issued by the President of Angola was not publicly issued and was never officially and formally delivered </w:t>
      </w:r>
      <w:r w:rsidR="003C2331">
        <w:t>to the author</w:t>
      </w:r>
      <w:r w:rsidR="0076085E">
        <w:t>s</w:t>
      </w:r>
      <w:r w:rsidR="003C2331">
        <w:t>,</w:t>
      </w:r>
      <w:r w:rsidR="00E74B47">
        <w:t xml:space="preserve"> </w:t>
      </w:r>
      <w:r w:rsidR="0076085E">
        <w:t>t</w:t>
      </w:r>
      <w:r w:rsidR="00E74B47">
        <w:t>he</w:t>
      </w:r>
      <w:r w:rsidR="0076085E">
        <w:t>y</w:t>
      </w:r>
      <w:r w:rsidR="00E74B47" w:rsidRPr="00E74B47">
        <w:t xml:space="preserve"> w</w:t>
      </w:r>
      <w:r w:rsidR="0076085E">
        <w:t>ere</w:t>
      </w:r>
      <w:r w:rsidR="00E74B47" w:rsidRPr="00E74B47">
        <w:t xml:space="preserve"> never given the </w:t>
      </w:r>
      <w:r w:rsidR="00565F29">
        <w:t>opportunity</w:t>
      </w:r>
      <w:r w:rsidR="00565F29" w:rsidRPr="00E74B47">
        <w:t xml:space="preserve"> </w:t>
      </w:r>
      <w:r w:rsidR="00E74B47" w:rsidRPr="00E74B47">
        <w:t xml:space="preserve">to present </w:t>
      </w:r>
      <w:r w:rsidR="0076085E">
        <w:t>their</w:t>
      </w:r>
      <w:r w:rsidR="0076085E" w:rsidRPr="00E74B47">
        <w:t xml:space="preserve"> </w:t>
      </w:r>
      <w:r w:rsidR="00E74B47" w:rsidRPr="00E74B47">
        <w:t xml:space="preserve">arguments against </w:t>
      </w:r>
      <w:r w:rsidR="0076085E">
        <w:t>their</w:t>
      </w:r>
      <w:r w:rsidR="00E74B47" w:rsidRPr="00E74B47">
        <w:t xml:space="preserve"> expulsion. </w:t>
      </w:r>
      <w:r w:rsidR="003C2331">
        <w:t xml:space="preserve">According </w:t>
      </w:r>
      <w:r w:rsidR="00E74B47">
        <w:t>to paragraph</w:t>
      </w:r>
      <w:r w:rsidR="00E74B47" w:rsidRPr="00E74B47">
        <w:t xml:space="preserve"> 15 of General Co</w:t>
      </w:r>
      <w:r w:rsidR="003C2331">
        <w:t>mment No. 31,</w:t>
      </w:r>
      <w:r w:rsidR="00E74B47" w:rsidRPr="00E74B47">
        <w:t xml:space="preserve"> the expulsion cannot be arbitrary and, not only </w:t>
      </w:r>
      <w:r w:rsidR="005E3875" w:rsidRPr="00E74B47">
        <w:t xml:space="preserve">must </w:t>
      </w:r>
      <w:r w:rsidR="00E74B47" w:rsidRPr="00E74B47">
        <w:t xml:space="preserve">the </w:t>
      </w:r>
      <w:r w:rsidR="005E3875">
        <w:t xml:space="preserve">reviewing </w:t>
      </w:r>
      <w:r w:rsidR="00E74B47" w:rsidRPr="00E74B47">
        <w:t xml:space="preserve">authority be independent and impartial, but the State must also guarantee that individuals have access to effective remedies to vindicate alleged violations of rights under the Covenant. Therefore, by not allowing hitherto access to the proper expulsion order and by not providing the </w:t>
      </w:r>
      <w:r w:rsidR="0049259A" w:rsidRPr="00E74B47">
        <w:t>reason</w:t>
      </w:r>
      <w:r w:rsidR="0049259A">
        <w:t>s</w:t>
      </w:r>
      <w:r w:rsidR="0049259A" w:rsidRPr="00E74B47">
        <w:t xml:space="preserve"> </w:t>
      </w:r>
      <w:r w:rsidR="0049259A">
        <w:t xml:space="preserve">for </w:t>
      </w:r>
      <w:r w:rsidR="00E74B47" w:rsidRPr="00E74B47">
        <w:t xml:space="preserve">the said order, </w:t>
      </w:r>
      <w:r w:rsidR="00E74B47">
        <w:t>the State party</w:t>
      </w:r>
      <w:r w:rsidR="00E74B47" w:rsidRPr="00E74B47">
        <w:t xml:space="preserve"> is in breach of its obligations under article 13</w:t>
      </w:r>
      <w:r w:rsidR="003C2331">
        <w:t xml:space="preserve"> of the Covenant</w:t>
      </w:r>
      <w:r w:rsidR="00E74B47" w:rsidRPr="00E74B47">
        <w:t>.</w:t>
      </w:r>
    </w:p>
    <w:p w14:paraId="0D7DEC0D" w14:textId="173E6CE9" w:rsidR="0017198F" w:rsidRPr="0017198F" w:rsidRDefault="003846CE" w:rsidP="0017198F">
      <w:pPr>
        <w:pStyle w:val="SingleTxtG"/>
      </w:pPr>
      <w:r>
        <w:t>3</w:t>
      </w:r>
      <w:r w:rsidR="0017198F">
        <w:t>.</w:t>
      </w:r>
      <w:r w:rsidR="004717DF">
        <w:t>4</w:t>
      </w:r>
      <w:r w:rsidR="0017198F">
        <w:tab/>
        <w:t xml:space="preserve">As </w:t>
      </w:r>
      <w:r w:rsidR="0020442D">
        <w:t xml:space="preserve">for </w:t>
      </w:r>
      <w:r w:rsidR="0017198F">
        <w:t>the exhaustion of domestic remedies, the author</w:t>
      </w:r>
      <w:r w:rsidR="0076085E">
        <w:t>s</w:t>
      </w:r>
      <w:r w:rsidR="0017198F">
        <w:t xml:space="preserve"> recall that d</w:t>
      </w:r>
      <w:r w:rsidR="0017198F" w:rsidRPr="0017198F">
        <w:t>ue to the threat of depo</w:t>
      </w:r>
      <w:r w:rsidR="0017198F">
        <w:t>rtation or expulsion from the State party</w:t>
      </w:r>
      <w:r w:rsidR="0017198F" w:rsidRPr="0017198F">
        <w:t xml:space="preserve"> resulting from the Presidential Decree and after being unable to apply for asylum through the national authorities</w:t>
      </w:r>
      <w:r w:rsidR="0017198F">
        <w:t xml:space="preserve">, </w:t>
      </w:r>
      <w:r w:rsidR="0076085E">
        <w:t>t</w:t>
      </w:r>
      <w:r w:rsidR="0017198F" w:rsidRPr="0017198F">
        <w:t>he</w:t>
      </w:r>
      <w:r w:rsidR="0076085E">
        <w:t>y</w:t>
      </w:r>
      <w:r w:rsidR="0017198F" w:rsidRPr="0017198F">
        <w:t xml:space="preserve"> </w:t>
      </w:r>
      <w:r w:rsidR="000F3AD4">
        <w:t>appealed to</w:t>
      </w:r>
      <w:r w:rsidR="0017198F" w:rsidRPr="0017198F">
        <w:t xml:space="preserve"> UNHCR for international protection</w:t>
      </w:r>
      <w:r w:rsidR="000F3AD4">
        <w:t xml:space="preserve"> together with the other teachers</w:t>
      </w:r>
      <w:r w:rsidR="0017198F" w:rsidRPr="0017198F">
        <w:t>. As a result, in February 2017, the</w:t>
      </w:r>
      <w:r w:rsidR="00743057">
        <w:t>y</w:t>
      </w:r>
      <w:r w:rsidR="0017198F">
        <w:t xml:space="preserve"> were</w:t>
      </w:r>
      <w:r w:rsidR="0017198F" w:rsidRPr="0017198F">
        <w:t xml:space="preserve"> given protection letter</w:t>
      </w:r>
      <w:r w:rsidR="0017198F">
        <w:t>s</w:t>
      </w:r>
      <w:r w:rsidR="0017198F" w:rsidRPr="0017198F">
        <w:t xml:space="preserve"> by UNHCR</w:t>
      </w:r>
      <w:r w:rsidR="0017198F" w:rsidRPr="0017198F">
        <w:rPr>
          <w:vertAlign w:val="superscript"/>
        </w:rPr>
        <w:footnoteReference w:id="13"/>
      </w:r>
      <w:r w:rsidR="0017198F" w:rsidRPr="0017198F">
        <w:t xml:space="preserve"> and were later informed that their asylum claims had been handed over to the </w:t>
      </w:r>
      <w:r w:rsidR="0017198F">
        <w:t xml:space="preserve">Angolan </w:t>
      </w:r>
      <w:r w:rsidR="0017198F" w:rsidRPr="0017198F">
        <w:t>government by UNHCR.</w:t>
      </w:r>
    </w:p>
    <w:p w14:paraId="32D56D70" w14:textId="0BA0515C" w:rsidR="0017198F" w:rsidRPr="0017198F" w:rsidRDefault="003846CE" w:rsidP="0017198F">
      <w:pPr>
        <w:pStyle w:val="SingleTxtG"/>
      </w:pPr>
      <w:r>
        <w:t>3</w:t>
      </w:r>
      <w:r w:rsidR="0017198F" w:rsidRPr="0017198F">
        <w:t>.</w:t>
      </w:r>
      <w:r w:rsidR="004717DF">
        <w:t>5</w:t>
      </w:r>
      <w:r w:rsidR="0017198F" w:rsidRPr="0017198F">
        <w:tab/>
      </w:r>
      <w:r w:rsidR="00743057">
        <w:t>According to the author</w:t>
      </w:r>
      <w:r w:rsidR="0076085E">
        <w:t>s</w:t>
      </w:r>
      <w:r w:rsidR="00743057">
        <w:t>,</w:t>
      </w:r>
      <w:r w:rsidR="0017198F" w:rsidRPr="0017198F">
        <w:t xml:space="preserve"> on 12 June 2017, the UNHCR’s Regional Representation for Southern</w:t>
      </w:r>
      <w:r w:rsidR="000F3AD4">
        <w:t xml:space="preserve"> Africa</w:t>
      </w:r>
      <w:r w:rsidR="0017198F" w:rsidRPr="0017198F">
        <w:t xml:space="preserve"> submitted an intervention to the then Vice President of the Republic of Angola, requesting the forced removal to be halted for all the concerned asylum-seekers subjected to the expulsion order. </w:t>
      </w:r>
      <w:r w:rsidR="00743057">
        <w:t>O</w:t>
      </w:r>
      <w:r w:rsidR="0017198F" w:rsidRPr="0017198F">
        <w:t xml:space="preserve">n 26 June 2017, the same UNHCR Regional Representation submitted a second intervention to the Vice President, again requesting the forced removal to be halted and assurances to be given that no </w:t>
      </w:r>
      <w:r w:rsidR="0017198F" w:rsidRPr="0017198F">
        <w:rPr>
          <w:i/>
        </w:rPr>
        <w:t>refoulement</w:t>
      </w:r>
      <w:r w:rsidR="0017198F" w:rsidRPr="0017198F">
        <w:t xml:space="preserve"> will take place.</w:t>
      </w:r>
      <w:r w:rsidR="0017198F" w:rsidRPr="0017198F">
        <w:rPr>
          <w:vertAlign w:val="superscript"/>
        </w:rPr>
        <w:footnoteReference w:id="14"/>
      </w:r>
      <w:r w:rsidR="0017198F" w:rsidRPr="0017198F">
        <w:t xml:space="preserve"> By January 2018, no response </w:t>
      </w:r>
      <w:r w:rsidR="00743057">
        <w:t xml:space="preserve">was </w:t>
      </w:r>
      <w:r w:rsidR="0017198F" w:rsidRPr="0017198F">
        <w:t xml:space="preserve">received from the </w:t>
      </w:r>
      <w:r w:rsidR="00743057">
        <w:t>State party</w:t>
      </w:r>
      <w:r w:rsidR="0017198F" w:rsidRPr="0017198F">
        <w:t xml:space="preserve"> on the request to halt the forced deportati</w:t>
      </w:r>
      <w:r w:rsidR="00743057">
        <w:t>ons</w:t>
      </w:r>
      <w:r w:rsidR="0017198F" w:rsidRPr="0017198F">
        <w:t>.</w:t>
      </w:r>
    </w:p>
    <w:p w14:paraId="40D43CCD" w14:textId="79CDD2F8" w:rsidR="0017198F" w:rsidRPr="0017198F" w:rsidRDefault="003846CE" w:rsidP="0017198F">
      <w:pPr>
        <w:pStyle w:val="SingleTxtG"/>
      </w:pPr>
      <w:r>
        <w:t>3</w:t>
      </w:r>
      <w:r w:rsidR="0017198F" w:rsidRPr="0017198F">
        <w:t>.</w:t>
      </w:r>
      <w:r w:rsidR="004717DF">
        <w:t>6</w:t>
      </w:r>
      <w:r w:rsidR="0017198F" w:rsidRPr="0017198F">
        <w:tab/>
      </w:r>
      <w:r w:rsidR="000F3AD4">
        <w:t xml:space="preserve">The </w:t>
      </w:r>
      <w:r w:rsidR="0017198F" w:rsidRPr="0017198F">
        <w:t>author</w:t>
      </w:r>
      <w:r w:rsidR="0076085E">
        <w:t>s</w:t>
      </w:r>
      <w:r w:rsidR="000F3AD4">
        <w:t xml:space="preserve"> consider that</w:t>
      </w:r>
      <w:r w:rsidR="0017198F" w:rsidRPr="0017198F">
        <w:t xml:space="preserve">, given that the Presidential Decree has not been cancelled and that there is an imminent threat of </w:t>
      </w:r>
      <w:r w:rsidR="0017198F" w:rsidRPr="0017198F">
        <w:rPr>
          <w:i/>
        </w:rPr>
        <w:t>refoulement</w:t>
      </w:r>
      <w:r w:rsidR="0017198F" w:rsidRPr="0017198F">
        <w:t xml:space="preserve">, it would be </w:t>
      </w:r>
      <w:r w:rsidR="00743057">
        <w:t xml:space="preserve">futile and/or dangerous for </w:t>
      </w:r>
      <w:r w:rsidR="0076085E">
        <w:t>them</w:t>
      </w:r>
      <w:r w:rsidR="0017198F" w:rsidRPr="0017198F">
        <w:t xml:space="preserve"> to try to resort to the Angolan judiciary or to do any more than what </w:t>
      </w:r>
      <w:r w:rsidR="00743057">
        <w:t xml:space="preserve">has been hitherto attempted. </w:t>
      </w:r>
      <w:r w:rsidR="0076085E">
        <w:t xml:space="preserve">They </w:t>
      </w:r>
      <w:r w:rsidR="0017198F" w:rsidRPr="0017198F">
        <w:t xml:space="preserve">base this allegation on what the US Department of State calls “institutional </w:t>
      </w:r>
      <w:r w:rsidR="0017198F" w:rsidRPr="0017198F">
        <w:lastRenderedPageBreak/>
        <w:t>weaknesses in the judicial system” of Angola, which is affected by, inter alia, factors “such as political influence in the decision-making process.”</w:t>
      </w:r>
      <w:r w:rsidR="0017198F" w:rsidRPr="0017198F">
        <w:rPr>
          <w:vertAlign w:val="superscript"/>
        </w:rPr>
        <w:footnoteReference w:id="15"/>
      </w:r>
    </w:p>
    <w:p w14:paraId="292D5985" w14:textId="3ADF190B" w:rsidR="0017198F" w:rsidRPr="0017198F" w:rsidRDefault="003846CE" w:rsidP="0017198F">
      <w:pPr>
        <w:pStyle w:val="SingleTxtG"/>
      </w:pPr>
      <w:r>
        <w:t>3</w:t>
      </w:r>
      <w:r w:rsidR="004717DF">
        <w:t>.7</w:t>
      </w:r>
      <w:r w:rsidR="00075A07">
        <w:tab/>
        <w:t>The author</w:t>
      </w:r>
      <w:r w:rsidR="004E610E">
        <w:t>s</w:t>
      </w:r>
      <w:r w:rsidR="00075A07">
        <w:t xml:space="preserve"> invoke </w:t>
      </w:r>
      <w:r w:rsidR="0017198F" w:rsidRPr="0017198F">
        <w:t>the existence of a consistent and pervasive slowness affecting the Angolan judicial system that severely hampers access to justice and the general efficiency of the Judiciary when adjudicating lawsuits.</w:t>
      </w:r>
      <w:r w:rsidR="000F3AD4">
        <w:rPr>
          <w:rStyle w:val="FootnoteReference"/>
        </w:rPr>
        <w:footnoteReference w:id="16"/>
      </w:r>
      <w:r w:rsidR="000F3AD4">
        <w:t xml:space="preserve"> </w:t>
      </w:r>
      <w:r w:rsidR="0017198F" w:rsidRPr="0017198F">
        <w:t>Noting such a reality, the Committee declared during its 107</w:t>
      </w:r>
      <w:r w:rsidR="0017198F" w:rsidRPr="0017198F">
        <w:rPr>
          <w:vertAlign w:val="superscript"/>
        </w:rPr>
        <w:t>th</w:t>
      </w:r>
      <w:r w:rsidR="0017198F" w:rsidRPr="0017198F">
        <w:t xml:space="preserve"> session that it “is concerned at the reported lack of independence as well as corruption of the judiciary, and the insufficient number of judges, lawyers, tribunals and courts, all of which may create difficulties regarding access to justice. The Committee is further concerned at the prohibi</w:t>
      </w:r>
      <w:r w:rsidR="00D9637B">
        <w:t xml:space="preserve">tive cost of legal fees, which </w:t>
      </w:r>
      <w:r w:rsidR="0017198F" w:rsidRPr="0017198F">
        <w:t>may prevent some citizens, in particular disadvantaged persons and those living in rural area</w:t>
      </w:r>
      <w:r w:rsidR="001A270D">
        <w:t>s, from accessing justice (art. </w:t>
      </w:r>
      <w:r w:rsidR="0017198F" w:rsidRPr="0017198F">
        <w:t>14).”</w:t>
      </w:r>
      <w:r w:rsidR="0017198F" w:rsidRPr="0017198F">
        <w:rPr>
          <w:vertAlign w:val="superscript"/>
        </w:rPr>
        <w:footnoteReference w:id="17"/>
      </w:r>
    </w:p>
    <w:p w14:paraId="4BCFFD03" w14:textId="3A66E0EE" w:rsidR="0017198F" w:rsidRPr="0017198F" w:rsidRDefault="003846CE" w:rsidP="00B06435">
      <w:pPr>
        <w:pStyle w:val="SingleTxtG"/>
      </w:pPr>
      <w:r>
        <w:t>3</w:t>
      </w:r>
      <w:r w:rsidR="000F3AD4">
        <w:t>.8</w:t>
      </w:r>
      <w:r w:rsidR="009510B1">
        <w:tab/>
        <w:t>B</w:t>
      </w:r>
      <w:r w:rsidR="0017198F" w:rsidRPr="0017198F">
        <w:t xml:space="preserve">efore transferring the ownership of the school to an Angolan national, two different procedures were </w:t>
      </w:r>
      <w:r w:rsidR="009510B1">
        <w:t>filed by the school</w:t>
      </w:r>
      <w:r w:rsidR="005E5B9A">
        <w:t>’s</w:t>
      </w:r>
      <w:r w:rsidR="009510B1">
        <w:t xml:space="preserve"> lawyers:</w:t>
      </w:r>
      <w:r w:rsidR="0017198F" w:rsidRPr="0017198F">
        <w:t xml:space="preserve"> one petition dated 10 October 2016 was addressed to the President of the Republic to halt any possible deportations or exclusion actions amounting to </w:t>
      </w:r>
      <w:r w:rsidR="0017198F" w:rsidRPr="0017198F">
        <w:rPr>
          <w:i/>
        </w:rPr>
        <w:t>refoulement</w:t>
      </w:r>
      <w:r w:rsidR="009510B1">
        <w:t>, and</w:t>
      </w:r>
      <w:r w:rsidR="0017198F" w:rsidRPr="0017198F">
        <w:t xml:space="preserve"> the other petition, dated 12 October 2016 and based on the right of access to information provided in article 69 of the Angolan Constitution, was submitted to the Supreme Court requesting access to any document related to the closing of the school and the possible </w:t>
      </w:r>
      <w:r w:rsidR="0017198F" w:rsidRPr="00B06435">
        <w:t>expulsion</w:t>
      </w:r>
      <w:r w:rsidR="0017198F" w:rsidRPr="0017198F">
        <w:t xml:space="preserve"> of the Turkish teachers and their families.</w:t>
      </w:r>
      <w:r w:rsidR="0017198F" w:rsidRPr="0017198F">
        <w:rPr>
          <w:vertAlign w:val="superscript"/>
        </w:rPr>
        <w:footnoteReference w:id="18"/>
      </w:r>
      <w:r w:rsidR="0017198F" w:rsidRPr="0017198F">
        <w:t xml:space="preserve"> However, until February 2017, when the ownership of the school was transferred and the contract with the Law Firm responsible for the procedures expired, no response was given to either of the procedures.</w:t>
      </w:r>
    </w:p>
    <w:p w14:paraId="052A30B0" w14:textId="17CFEB92" w:rsidR="0017198F" w:rsidRPr="0017198F" w:rsidRDefault="003846CE" w:rsidP="00B06435">
      <w:pPr>
        <w:pStyle w:val="SingleTxtG"/>
      </w:pPr>
      <w:r>
        <w:t>3</w:t>
      </w:r>
      <w:r w:rsidR="0017198F" w:rsidRPr="0017198F">
        <w:t>.</w:t>
      </w:r>
      <w:r w:rsidR="009510B1">
        <w:t>9</w:t>
      </w:r>
      <w:r w:rsidR="0017198F" w:rsidRPr="0017198F">
        <w:tab/>
        <w:t xml:space="preserve">Based on the aforementioned, and considering </w:t>
      </w:r>
      <w:r w:rsidR="004E610E">
        <w:t>their</w:t>
      </w:r>
      <w:r w:rsidR="00685F00">
        <w:t xml:space="preserve"> </w:t>
      </w:r>
      <w:r w:rsidR="0017198F" w:rsidRPr="0017198F">
        <w:t xml:space="preserve">precarious situation in Angola, where an expulsion order subsists and the threat of </w:t>
      </w:r>
      <w:r w:rsidR="0017198F" w:rsidRPr="0017198F">
        <w:rPr>
          <w:i/>
        </w:rPr>
        <w:t>refoulement</w:t>
      </w:r>
      <w:r w:rsidR="0017198F" w:rsidRPr="0017198F">
        <w:t xml:space="preserve"> is imminent, the author</w:t>
      </w:r>
      <w:r w:rsidR="004E610E">
        <w:t>s</w:t>
      </w:r>
      <w:r w:rsidR="0017198F" w:rsidRPr="0017198F">
        <w:t xml:space="preserve"> consider indisputable that resorting to other national remedies would indelibly expose</w:t>
      </w:r>
      <w:r w:rsidR="00685F00">
        <w:t xml:space="preserve"> </w:t>
      </w:r>
      <w:r w:rsidR="004E610E">
        <w:t xml:space="preserve">them </w:t>
      </w:r>
      <w:r w:rsidR="00685F00">
        <w:t>t</w:t>
      </w:r>
      <w:r w:rsidR="0017198F" w:rsidRPr="0017198F">
        <w:t xml:space="preserve">o further risk. Moreover, </w:t>
      </w:r>
      <w:r w:rsidR="00685F00">
        <w:t>it is h</w:t>
      </w:r>
      <w:r w:rsidR="0017198F" w:rsidRPr="0017198F">
        <w:t xml:space="preserve">ighly likely that resorting to the Judiciary or other administrative procedures would </w:t>
      </w:r>
      <w:r w:rsidR="001F4D42">
        <w:t>be</w:t>
      </w:r>
      <w:r w:rsidR="001F4D42" w:rsidRPr="0017198F">
        <w:t xml:space="preserve"> </w:t>
      </w:r>
      <w:r w:rsidR="0017198F" w:rsidRPr="0017198F">
        <w:t xml:space="preserve">ineffective, particularly considering the influence of the Executive Power over the judicial system and the apparent willingness of the Government to disregard international norms prohibiting </w:t>
      </w:r>
      <w:r w:rsidR="0017198F" w:rsidRPr="0017198F">
        <w:rPr>
          <w:i/>
        </w:rPr>
        <w:t>refoulement</w:t>
      </w:r>
      <w:r w:rsidR="0017198F" w:rsidRPr="0017198F">
        <w:t>, since the expulsion order remains valid despite all UNHCR interventions.</w:t>
      </w:r>
    </w:p>
    <w:p w14:paraId="3E9A8630" w14:textId="41A10645" w:rsidR="00032B00" w:rsidRPr="00C23B4C" w:rsidRDefault="003846CE" w:rsidP="003846CE">
      <w:pPr>
        <w:pStyle w:val="SingleTxtG"/>
      </w:pPr>
      <w:r>
        <w:t>3</w:t>
      </w:r>
      <w:r w:rsidR="0017198F" w:rsidRPr="0017198F">
        <w:t>.</w:t>
      </w:r>
      <w:r w:rsidR="009510B1">
        <w:t>10</w:t>
      </w:r>
      <w:r w:rsidR="0017198F" w:rsidRPr="0017198F">
        <w:tab/>
        <w:t>In conclusion, in the absence of a first instance as well as an appeal instance for refugee status determination, there are no mechanisms available for accessing international protection. Neither are domestic courts considered a viable option due to the reasons presented above. As such, there are no other reasonable national re</w:t>
      </w:r>
      <w:r w:rsidR="00685F00">
        <w:t>medies available for the author</w:t>
      </w:r>
      <w:r w:rsidR="004E610E">
        <w:t>s</w:t>
      </w:r>
      <w:r w:rsidR="0017198F" w:rsidRPr="0017198F">
        <w:t xml:space="preserve"> to suspend the expulsion.</w:t>
      </w:r>
    </w:p>
    <w:p w14:paraId="491AA665" w14:textId="77777777" w:rsidR="004D2B1E" w:rsidRPr="00C23B4C" w:rsidRDefault="004D2B1E" w:rsidP="00B06435">
      <w:pPr>
        <w:pStyle w:val="H23G"/>
      </w:pPr>
      <w:r w:rsidRPr="00C23B4C">
        <w:tab/>
      </w:r>
      <w:r w:rsidRPr="00C23B4C">
        <w:tab/>
        <w:t xml:space="preserve">State party’s observations on </w:t>
      </w:r>
      <w:r w:rsidRPr="00B06435">
        <w:t>admissibility</w:t>
      </w:r>
      <w:r w:rsidRPr="00C23B4C">
        <w:t xml:space="preserve"> and the merits</w:t>
      </w:r>
    </w:p>
    <w:p w14:paraId="1E6E4B0F" w14:textId="6766FDE8" w:rsidR="0078564A" w:rsidRDefault="004D2B1E" w:rsidP="00664EAB">
      <w:pPr>
        <w:pStyle w:val="SingleTxtG"/>
      </w:pPr>
      <w:r w:rsidRPr="00C23B4C">
        <w:t>4.1</w:t>
      </w:r>
      <w:r w:rsidRPr="00C23B4C">
        <w:tab/>
        <w:t xml:space="preserve">On </w:t>
      </w:r>
      <w:r w:rsidR="004912AE">
        <w:t>9 August</w:t>
      </w:r>
      <w:r w:rsidR="00F91080">
        <w:t xml:space="preserve"> 201</w:t>
      </w:r>
      <w:r w:rsidR="004912AE">
        <w:t>8</w:t>
      </w:r>
      <w:r w:rsidRPr="00C23B4C">
        <w:t xml:space="preserve">, </w:t>
      </w:r>
      <w:r w:rsidR="00F91080" w:rsidRPr="00F91080">
        <w:t>the State party submitted its observations on admissibility and merits.</w:t>
      </w:r>
      <w:r w:rsidR="00AE1BDB">
        <w:t xml:space="preserve"> It considers that </w:t>
      </w:r>
      <w:r w:rsidR="00620DD5">
        <w:t xml:space="preserve">some of </w:t>
      </w:r>
      <w:r w:rsidR="00AE1BDB">
        <w:t>t</w:t>
      </w:r>
      <w:r w:rsidR="00F91080" w:rsidRPr="00F91080">
        <w:t xml:space="preserve">he </w:t>
      </w:r>
      <w:r w:rsidR="00620DD5">
        <w:t>information provided by the author</w:t>
      </w:r>
      <w:r w:rsidR="004E610E">
        <w:t>s</w:t>
      </w:r>
      <w:r w:rsidR="00620DD5">
        <w:t xml:space="preserve"> is </w:t>
      </w:r>
      <w:r w:rsidR="006114D1">
        <w:t>inaccurate and in any event exaggerated</w:t>
      </w:r>
      <w:r w:rsidR="006D51A3">
        <w:t xml:space="preserve">, in particular the alleged lack of legal protection </w:t>
      </w:r>
      <w:r w:rsidR="00E43A4F">
        <w:t>of</w:t>
      </w:r>
      <w:r w:rsidR="006D51A3">
        <w:t xml:space="preserve"> claimants in Angola.</w:t>
      </w:r>
    </w:p>
    <w:p w14:paraId="0842342D" w14:textId="037CB2C0" w:rsidR="008A336C" w:rsidRDefault="00E24EB6" w:rsidP="00B06435">
      <w:pPr>
        <w:pStyle w:val="SingleTxtG"/>
      </w:pPr>
      <w:r>
        <w:t>4.2</w:t>
      </w:r>
      <w:r>
        <w:tab/>
        <w:t xml:space="preserve">The State party mentions that </w:t>
      </w:r>
      <w:r w:rsidRPr="00E24EB6">
        <w:t xml:space="preserve">the </w:t>
      </w:r>
      <w:proofErr w:type="spellStart"/>
      <w:r w:rsidRPr="00E24EB6">
        <w:t>Colégio</w:t>
      </w:r>
      <w:proofErr w:type="spellEnd"/>
      <w:r w:rsidRPr="00E24EB6">
        <w:t xml:space="preserve"> </w:t>
      </w:r>
      <w:proofErr w:type="spellStart"/>
      <w:r w:rsidRPr="00E24EB6">
        <w:t>Esperança</w:t>
      </w:r>
      <w:proofErr w:type="spellEnd"/>
      <w:r w:rsidRPr="00E24EB6">
        <w:t xml:space="preserve"> </w:t>
      </w:r>
      <w:proofErr w:type="spellStart"/>
      <w:r w:rsidRPr="00E24EB6">
        <w:t>Internacional</w:t>
      </w:r>
      <w:proofErr w:type="spellEnd"/>
      <w:r>
        <w:t xml:space="preserve"> was closed for irregularities at the moment of its registration, the same as happened with other educational institutions which were functioning irregularly. During the administrative process, the Turkish teachers were </w:t>
      </w:r>
      <w:r w:rsidRPr="00B06435">
        <w:t>initially</w:t>
      </w:r>
      <w:r>
        <w:t xml:space="preserve"> invited to leave the country, but after being heard, they submitted a request for special protection through the UNHCR.</w:t>
      </w:r>
      <w:r w:rsidR="0025057B">
        <w:t xml:space="preserve"> </w:t>
      </w:r>
      <w:r w:rsidR="00E77071">
        <w:t xml:space="preserve">They now </w:t>
      </w:r>
      <w:r w:rsidR="00E77071" w:rsidRPr="00E77071">
        <w:t xml:space="preserve">enjoy protection under the </w:t>
      </w:r>
      <w:r w:rsidR="00B85C8B">
        <w:t>Right of Asylum and Refugee Status Act</w:t>
      </w:r>
      <w:r w:rsidR="00E77071">
        <w:t xml:space="preserve">, </w:t>
      </w:r>
      <w:r w:rsidR="00E77071" w:rsidRPr="00E77071">
        <w:t xml:space="preserve">while </w:t>
      </w:r>
      <w:r w:rsidR="00E77071">
        <w:t>awaiting a</w:t>
      </w:r>
      <w:r w:rsidR="00E77071" w:rsidRPr="00E77071">
        <w:t xml:space="preserve"> final decision </w:t>
      </w:r>
      <w:r w:rsidR="00E15C38">
        <w:t>to their</w:t>
      </w:r>
      <w:r w:rsidR="00E77071">
        <w:t xml:space="preserve"> </w:t>
      </w:r>
      <w:r w:rsidR="00E77071">
        <w:lastRenderedPageBreak/>
        <w:t>requests</w:t>
      </w:r>
      <w:r w:rsidR="00B42439">
        <w:t xml:space="preserve">, which will be examined by the </w:t>
      </w:r>
      <w:r w:rsidR="00B42439" w:rsidRPr="00B42439">
        <w:t>National Council for Refugees (NCR)</w:t>
      </w:r>
      <w:r w:rsidR="00B42439">
        <w:t xml:space="preserve"> and, if necessary, by the tribunals.</w:t>
      </w:r>
    </w:p>
    <w:p w14:paraId="6ED85EE3" w14:textId="5E19B0FC" w:rsidR="00B42439" w:rsidRDefault="006261AC" w:rsidP="00664EAB">
      <w:pPr>
        <w:pStyle w:val="SingleTxtG"/>
      </w:pPr>
      <w:r>
        <w:t>4.3</w:t>
      </w:r>
      <w:r>
        <w:tab/>
        <w:t>T</w:t>
      </w:r>
      <w:r w:rsidR="00B42439">
        <w:t xml:space="preserve">he State party </w:t>
      </w:r>
      <w:r>
        <w:t xml:space="preserve">considers that it </w:t>
      </w:r>
      <w:r w:rsidR="00B42439">
        <w:t>has acted in accordance with legal principles, with the Covenant and with the Convention r</w:t>
      </w:r>
      <w:r w:rsidR="00B42439" w:rsidRPr="00B42439">
        <w:t>elating to the Status of Refugees</w:t>
      </w:r>
      <w:r w:rsidR="00B42439">
        <w:t xml:space="preserve">. </w:t>
      </w:r>
      <w:r>
        <w:t>And given that t</w:t>
      </w:r>
      <w:r w:rsidR="00B42439">
        <w:t xml:space="preserve">he proceedings initiated in 2016 </w:t>
      </w:r>
      <w:r>
        <w:t>are still pending, the State party submits that the author</w:t>
      </w:r>
      <w:r w:rsidR="004E610E">
        <w:t>s</w:t>
      </w:r>
      <w:r>
        <w:t xml:space="preserve"> ha</w:t>
      </w:r>
      <w:r w:rsidR="004E610E">
        <w:t>ve</w:t>
      </w:r>
      <w:r>
        <w:t xml:space="preserve"> not exhausted all domestic remedies.</w:t>
      </w:r>
    </w:p>
    <w:p w14:paraId="7DBD21AC" w14:textId="1AA7A1C5" w:rsidR="00570919" w:rsidRPr="00496E90" w:rsidRDefault="00570919" w:rsidP="00B06435">
      <w:pPr>
        <w:pStyle w:val="H23G"/>
      </w:pPr>
      <w:r>
        <w:tab/>
      </w:r>
      <w:r>
        <w:tab/>
      </w:r>
      <w:r w:rsidR="001D745A" w:rsidRPr="001D745A">
        <w:t>Author</w:t>
      </w:r>
      <w:r w:rsidR="004E610E">
        <w:t>s</w:t>
      </w:r>
      <w:r w:rsidR="001D745A">
        <w:t>’</w:t>
      </w:r>
      <w:r w:rsidR="001D745A" w:rsidRPr="001D745A">
        <w:t xml:space="preserve"> comments on the State party’s observations on </w:t>
      </w:r>
      <w:r w:rsidR="001D745A" w:rsidRPr="00B06435">
        <w:t>admissibility</w:t>
      </w:r>
      <w:r w:rsidR="001D745A" w:rsidRPr="001D745A">
        <w:t xml:space="preserve"> and the merits</w:t>
      </w:r>
    </w:p>
    <w:p w14:paraId="5BC1C363" w14:textId="0F20DE22" w:rsidR="00F41545" w:rsidRDefault="00570919" w:rsidP="001D745A">
      <w:pPr>
        <w:pStyle w:val="SingleTxtG"/>
      </w:pPr>
      <w:r w:rsidRPr="00496E90">
        <w:t>5.1</w:t>
      </w:r>
      <w:r w:rsidRPr="00496E90">
        <w:tab/>
      </w:r>
      <w:r w:rsidR="001D745A" w:rsidRPr="001D745A">
        <w:t xml:space="preserve">In </w:t>
      </w:r>
      <w:r w:rsidR="004E610E">
        <w:t>their</w:t>
      </w:r>
      <w:r w:rsidR="00F41545">
        <w:t xml:space="preserve"> comments of 17</w:t>
      </w:r>
      <w:r w:rsidR="00BD524D">
        <w:t xml:space="preserve"> December</w:t>
      </w:r>
      <w:r w:rsidR="00F41545">
        <w:t xml:space="preserve"> 2018</w:t>
      </w:r>
      <w:r w:rsidR="001D745A" w:rsidRPr="001D745A">
        <w:t>, the author</w:t>
      </w:r>
      <w:r w:rsidR="004E610E">
        <w:t>s</w:t>
      </w:r>
      <w:r w:rsidR="001D745A" w:rsidRPr="001D745A">
        <w:t xml:space="preserve"> </w:t>
      </w:r>
      <w:r w:rsidR="002B7DC0">
        <w:t xml:space="preserve">mention that </w:t>
      </w:r>
      <w:r w:rsidR="004E610E">
        <w:t>t</w:t>
      </w:r>
      <w:r w:rsidR="002B7DC0">
        <w:t>he</w:t>
      </w:r>
      <w:r w:rsidR="004E610E">
        <w:t>y</w:t>
      </w:r>
      <w:r w:rsidR="002B7DC0">
        <w:t xml:space="preserve"> and </w:t>
      </w:r>
      <w:r w:rsidR="004E610E">
        <w:t>their</w:t>
      </w:r>
      <w:r w:rsidR="002B7DC0">
        <w:t xml:space="preserve"> famil</w:t>
      </w:r>
      <w:r w:rsidR="004E610E">
        <w:t>ies</w:t>
      </w:r>
      <w:r w:rsidR="002B7DC0">
        <w:t xml:space="preserve"> have been living in the State party with the protection letter</w:t>
      </w:r>
      <w:r w:rsidR="00D9637B">
        <w:t>s</w:t>
      </w:r>
      <w:r w:rsidR="002B7DC0">
        <w:t xml:space="preserve"> provided by the UNHCR on 11 February 2017. But even with such protection letters, </w:t>
      </w:r>
      <w:r w:rsidR="002B4743">
        <w:t xml:space="preserve">following the pressure placed on them, </w:t>
      </w:r>
      <w:r w:rsidR="002B7DC0">
        <w:t xml:space="preserve">five Turkish families </w:t>
      </w:r>
      <w:r w:rsidR="002B4743">
        <w:t>left</w:t>
      </w:r>
      <w:r w:rsidR="002B7DC0">
        <w:t xml:space="preserve"> the State party by August 2017.</w:t>
      </w:r>
      <w:r w:rsidR="002B7DC0">
        <w:rPr>
          <w:rStyle w:val="FootnoteReference"/>
        </w:rPr>
        <w:footnoteReference w:id="19"/>
      </w:r>
      <w:r w:rsidR="002B7DC0">
        <w:t xml:space="preserve"> However, the author</w:t>
      </w:r>
      <w:r w:rsidR="004E610E">
        <w:t>s</w:t>
      </w:r>
      <w:r w:rsidR="002B7DC0">
        <w:t xml:space="preserve"> declare that</w:t>
      </w:r>
      <w:r w:rsidR="00DA71C4">
        <w:t>,</w:t>
      </w:r>
      <w:r w:rsidR="002B7DC0">
        <w:t xml:space="preserve"> </w:t>
      </w:r>
      <w:r w:rsidR="00DA71C4">
        <w:t xml:space="preserve">after August 2017, </w:t>
      </w:r>
      <w:r w:rsidR="002B7DC0">
        <w:t xml:space="preserve">no pressure has been placed </w:t>
      </w:r>
      <w:r w:rsidR="00DA71C4">
        <w:t xml:space="preserve">on </w:t>
      </w:r>
      <w:r w:rsidR="004E610E">
        <w:t>them</w:t>
      </w:r>
      <w:r w:rsidR="00DA71C4">
        <w:t xml:space="preserve"> or</w:t>
      </w:r>
      <w:r w:rsidR="002B7DC0">
        <w:t xml:space="preserve"> </w:t>
      </w:r>
      <w:r w:rsidR="004E610E">
        <w:t xml:space="preserve">their </w:t>
      </w:r>
      <w:r w:rsidR="002B7DC0">
        <w:t>famil</w:t>
      </w:r>
      <w:r w:rsidR="004E610E">
        <w:t>ies</w:t>
      </w:r>
      <w:r w:rsidR="002B7DC0">
        <w:t xml:space="preserve"> by the State party to leave the country.</w:t>
      </w:r>
    </w:p>
    <w:p w14:paraId="33718934" w14:textId="6E5C3EE8" w:rsidR="002B7DC0" w:rsidRDefault="002B7DC0" w:rsidP="001D745A">
      <w:pPr>
        <w:pStyle w:val="SingleTxtG"/>
      </w:pPr>
      <w:r>
        <w:t>5.2</w:t>
      </w:r>
      <w:r>
        <w:tab/>
      </w:r>
      <w:r w:rsidR="00DA71C4">
        <w:t>The author</w:t>
      </w:r>
      <w:r w:rsidR="004E610E">
        <w:t>s</w:t>
      </w:r>
      <w:r w:rsidR="00DA71C4">
        <w:t xml:space="preserve"> also submit that </w:t>
      </w:r>
      <w:r w:rsidR="001115BE">
        <w:t xml:space="preserve">during a meeting with the UNHCR in November 2018, </w:t>
      </w:r>
      <w:r w:rsidR="004E610E">
        <w:t>t</w:t>
      </w:r>
      <w:r w:rsidR="001115BE">
        <w:t>he</w:t>
      </w:r>
      <w:r w:rsidR="004E610E">
        <w:t>y</w:t>
      </w:r>
      <w:r w:rsidR="001115BE">
        <w:t xml:space="preserve"> were informed about some improvements on their case.</w:t>
      </w:r>
      <w:r w:rsidR="00343894">
        <w:t xml:space="preserve"> They were informed that the new </w:t>
      </w:r>
      <w:r w:rsidR="00343894" w:rsidRPr="00B42439">
        <w:t>National Council for Refugees</w:t>
      </w:r>
      <w:r w:rsidR="00343894">
        <w:t xml:space="preserve"> had been established and that</w:t>
      </w:r>
      <w:r w:rsidR="006440F1">
        <w:t xml:space="preserve"> UNHCR was in dialogue with the Council to obtain refugee status for the teachers concerned and their family members.</w:t>
      </w:r>
    </w:p>
    <w:p w14:paraId="25A95A5F" w14:textId="5EB29E92" w:rsidR="00182833" w:rsidRDefault="004F3D0E" w:rsidP="003257E5">
      <w:pPr>
        <w:pStyle w:val="SingleTxtG"/>
      </w:pPr>
      <w:r>
        <w:t>5.3</w:t>
      </w:r>
      <w:r>
        <w:tab/>
        <w:t>Finally, the author</w:t>
      </w:r>
      <w:r w:rsidR="004E610E">
        <w:t>s</w:t>
      </w:r>
      <w:r>
        <w:t xml:space="preserve"> </w:t>
      </w:r>
      <w:r w:rsidR="00813B40">
        <w:t>express</w:t>
      </w:r>
      <w:r w:rsidR="004E610E">
        <w:t xml:space="preserve"> their</w:t>
      </w:r>
      <w:r w:rsidR="00813B40">
        <w:t xml:space="preserve"> wish to live as refugee</w:t>
      </w:r>
      <w:r w:rsidR="004E610E">
        <w:t>s</w:t>
      </w:r>
      <w:r w:rsidR="00813B40">
        <w:t xml:space="preserve"> in the State party and to contribute to its education. </w:t>
      </w:r>
      <w:r w:rsidR="004E610E">
        <w:t xml:space="preserve">They </w:t>
      </w:r>
      <w:r w:rsidR="00813B40">
        <w:t xml:space="preserve">allege that Turkey has not provided </w:t>
      </w:r>
      <w:r w:rsidR="004E610E">
        <w:t>them</w:t>
      </w:r>
      <w:r w:rsidR="00F01FBE">
        <w:t xml:space="preserve"> with any document.</w:t>
      </w:r>
      <w:r w:rsidR="00F01FBE">
        <w:rPr>
          <w:rStyle w:val="FootnoteReference"/>
        </w:rPr>
        <w:footnoteReference w:id="20"/>
      </w:r>
      <w:r w:rsidR="00F01FBE">
        <w:t xml:space="preserve"> </w:t>
      </w:r>
      <w:r w:rsidR="004E610E">
        <w:t xml:space="preserve">They </w:t>
      </w:r>
      <w:r w:rsidR="00797CEB">
        <w:t>also refer to human rights abuses of tens of thousands of educators working in Turkey, allegedly reported by the United Nations, by the European Union, by Amnesty International and by other human rights organizations.</w:t>
      </w:r>
      <w:r w:rsidR="00797CEB">
        <w:rPr>
          <w:rStyle w:val="FootnoteReference"/>
        </w:rPr>
        <w:footnoteReference w:id="21"/>
      </w:r>
      <w:r w:rsidR="00797CEB">
        <w:t xml:space="preserve"> The author</w:t>
      </w:r>
      <w:r w:rsidR="004E610E">
        <w:t>s</w:t>
      </w:r>
      <w:r w:rsidR="00813B40">
        <w:t xml:space="preserve"> therefore </w:t>
      </w:r>
      <w:r w:rsidR="00797CEB">
        <w:t xml:space="preserve">believe that </w:t>
      </w:r>
      <w:r w:rsidR="004E610E">
        <w:t>t</w:t>
      </w:r>
      <w:r w:rsidR="00797CEB">
        <w:t>he</w:t>
      </w:r>
      <w:r w:rsidR="004E610E">
        <w:t>y</w:t>
      </w:r>
      <w:r w:rsidR="00797CEB">
        <w:t xml:space="preserve"> and </w:t>
      </w:r>
      <w:r w:rsidR="004E610E">
        <w:t xml:space="preserve">their </w:t>
      </w:r>
      <w:r w:rsidR="00797CEB">
        <w:t>famil</w:t>
      </w:r>
      <w:r w:rsidR="004E610E">
        <w:t>ies</w:t>
      </w:r>
      <w:r w:rsidR="00797CEB">
        <w:t xml:space="preserve"> will be in danger if they return to Turkey, hence they seek</w:t>
      </w:r>
      <w:r w:rsidR="00813B40">
        <w:t xml:space="preserve"> asylum in the State party.</w:t>
      </w:r>
      <w:r w:rsidR="003257E5">
        <w:rPr>
          <w:rStyle w:val="FootnoteReference"/>
        </w:rPr>
        <w:footnoteReference w:id="22"/>
      </w:r>
    </w:p>
    <w:p w14:paraId="6CFCB71D" w14:textId="77777777" w:rsidR="00D95DA1" w:rsidRPr="00D95DA1" w:rsidRDefault="00D95DA1" w:rsidP="00B06435">
      <w:pPr>
        <w:pStyle w:val="H23G"/>
        <w:rPr>
          <w:rFonts w:eastAsia="SimSun"/>
          <w:lang w:eastAsia="zh-CN"/>
        </w:rPr>
      </w:pPr>
      <w:r w:rsidRPr="00D95DA1">
        <w:rPr>
          <w:rFonts w:eastAsia="SimSun"/>
          <w:lang w:eastAsia="zh-CN"/>
        </w:rPr>
        <w:tab/>
      </w:r>
      <w:r w:rsidRPr="00D95DA1">
        <w:rPr>
          <w:rFonts w:eastAsia="SimSun"/>
          <w:lang w:eastAsia="zh-CN"/>
        </w:rPr>
        <w:tab/>
        <w:t>Issues and proceedings before the Committee</w:t>
      </w:r>
    </w:p>
    <w:p w14:paraId="3609D41D" w14:textId="77777777" w:rsidR="00D95DA1" w:rsidRPr="00D95DA1" w:rsidRDefault="00D95DA1" w:rsidP="00B06435">
      <w:pPr>
        <w:pStyle w:val="H4G"/>
        <w:rPr>
          <w:rFonts w:eastAsia="SimSun"/>
          <w:lang w:eastAsia="zh-CN"/>
        </w:rPr>
      </w:pPr>
      <w:r w:rsidRPr="00D95DA1">
        <w:rPr>
          <w:rFonts w:eastAsia="SimSun"/>
          <w:lang w:eastAsia="zh-CN"/>
        </w:rPr>
        <w:tab/>
      </w:r>
      <w:r w:rsidRPr="00D95DA1">
        <w:rPr>
          <w:rFonts w:eastAsia="SimSun"/>
          <w:lang w:eastAsia="zh-CN"/>
        </w:rPr>
        <w:tab/>
        <w:t xml:space="preserve">Consideration of </w:t>
      </w:r>
      <w:r w:rsidRPr="00B06435">
        <w:rPr>
          <w:rFonts w:eastAsia="SimSun"/>
        </w:rPr>
        <w:t>admissibility</w:t>
      </w:r>
    </w:p>
    <w:p w14:paraId="321B2AB0" w14:textId="77777777" w:rsidR="00D95DA1" w:rsidRDefault="00C94B78" w:rsidP="00516F2B">
      <w:pPr>
        <w:pStyle w:val="SingleTxtG"/>
      </w:pPr>
      <w:r>
        <w:t>6</w:t>
      </w:r>
      <w:r w:rsidR="00D95DA1" w:rsidRPr="00D95DA1">
        <w:t>.1</w:t>
      </w:r>
      <w:r w:rsidR="00D95DA1" w:rsidRPr="00D95DA1">
        <w:tab/>
      </w:r>
      <w:r w:rsidR="00564758" w:rsidRPr="00564758">
        <w:t>Before considering any claims contained in a communication, the Committee must decide, in accordance with rule 9</w:t>
      </w:r>
      <w:r w:rsidR="006036B6">
        <w:t>7</w:t>
      </w:r>
      <w:r w:rsidR="00564758" w:rsidRPr="00564758">
        <w:t xml:space="preserve"> of its rules of procedure, whether it is admissible under the Optional Protocol.</w:t>
      </w:r>
    </w:p>
    <w:p w14:paraId="574166B8" w14:textId="77777777" w:rsidR="001D702E" w:rsidRDefault="001D702E" w:rsidP="00516F2B">
      <w:pPr>
        <w:pStyle w:val="SingleTxtG"/>
      </w:pPr>
      <w:r>
        <w:t>6.2</w:t>
      </w:r>
      <w:r>
        <w:tab/>
      </w:r>
      <w:r w:rsidRPr="001D702E">
        <w:t>The Committee has ascertained, as required under article 5</w:t>
      </w:r>
      <w:r>
        <w:t>(</w:t>
      </w:r>
      <w:r w:rsidRPr="001D702E">
        <w:t>2</w:t>
      </w:r>
      <w:r>
        <w:t>)(a)</w:t>
      </w:r>
      <w:r w:rsidRPr="001D702E">
        <w:t xml:space="preserve"> of the Optional Protocol, that the same matter is not being examined under another procedure of international investigation or settlement.</w:t>
      </w:r>
    </w:p>
    <w:p w14:paraId="030E974F" w14:textId="0C6B6592" w:rsidR="00C94B78" w:rsidRDefault="001D702E" w:rsidP="00B06435">
      <w:pPr>
        <w:pStyle w:val="SingleTxtG"/>
      </w:pPr>
      <w:r>
        <w:t>6.3</w:t>
      </w:r>
      <w:r>
        <w:tab/>
      </w:r>
      <w:r w:rsidR="00842A73">
        <w:t xml:space="preserve">The Committee notes the State party’s submission that the authors have failed to exhaust domestic remedies regarding their claims, because their requests are awaiting a final determination and the proceedings they initiated in 2016 are still pending. </w:t>
      </w:r>
      <w:r w:rsidR="000D6088">
        <w:t xml:space="preserve">The Committee </w:t>
      </w:r>
      <w:r w:rsidR="00D43B8A">
        <w:t xml:space="preserve">further </w:t>
      </w:r>
      <w:r w:rsidR="000D6088">
        <w:t>notes the author</w:t>
      </w:r>
      <w:r w:rsidR="004E610E">
        <w:t>s</w:t>
      </w:r>
      <w:r w:rsidR="000D6088">
        <w:t xml:space="preserve">’ claim </w:t>
      </w:r>
      <w:r w:rsidR="009D2F3C">
        <w:t xml:space="preserve">about the lack of an </w:t>
      </w:r>
      <w:r w:rsidR="00565F29">
        <w:t xml:space="preserve">effective </w:t>
      </w:r>
      <w:r w:rsidR="009D2F3C">
        <w:t xml:space="preserve">domestic remedy </w:t>
      </w:r>
      <w:r w:rsidR="000D6088">
        <w:t xml:space="preserve">that </w:t>
      </w:r>
      <w:r w:rsidR="009D2F3C">
        <w:t xml:space="preserve">would allow </w:t>
      </w:r>
      <w:r w:rsidR="004E610E">
        <w:t>them</w:t>
      </w:r>
      <w:r w:rsidR="009D2F3C">
        <w:t xml:space="preserve"> to contest the Presidential Decree that ordered </w:t>
      </w:r>
      <w:r w:rsidR="004E610E">
        <w:t>their</w:t>
      </w:r>
      <w:r w:rsidR="009D2F3C">
        <w:t xml:space="preserve"> expulsion. </w:t>
      </w:r>
      <w:r w:rsidR="00D43B8A">
        <w:t>In this regard the Committee observes that a</w:t>
      </w:r>
      <w:r w:rsidR="00D43B8A" w:rsidRPr="0053366E">
        <w:t xml:space="preserve"> new Asylum Law No. 10/15 </w:t>
      </w:r>
      <w:r w:rsidR="00D43B8A">
        <w:t>was promulgated in</w:t>
      </w:r>
      <w:r w:rsidR="00D43B8A" w:rsidRPr="0053366E">
        <w:t xml:space="preserve"> June 2015</w:t>
      </w:r>
      <w:r w:rsidR="00D43B8A">
        <w:t xml:space="preserve"> but not yet brought into force</w:t>
      </w:r>
      <w:r w:rsidR="00D43B8A" w:rsidRPr="0053366E">
        <w:t>,</w:t>
      </w:r>
      <w:r w:rsidR="00D43B8A">
        <w:t xml:space="preserve"> while</w:t>
      </w:r>
      <w:r w:rsidR="00D43B8A" w:rsidRPr="0053366E">
        <w:t xml:space="preserve"> the previous system for refugee status determination has been discontinued</w:t>
      </w:r>
      <w:r w:rsidR="00D43B8A">
        <w:t>, leaving a gap in the legal system for the determination of refugee claims</w:t>
      </w:r>
      <w:r w:rsidR="00D43B8A" w:rsidRPr="0053366E">
        <w:t xml:space="preserve">. </w:t>
      </w:r>
      <w:r w:rsidR="00CE53EA">
        <w:lastRenderedPageBreak/>
        <w:t>T</w:t>
      </w:r>
      <w:r w:rsidR="001B3D0E">
        <w:t>he Committee recalls that in its 2019 c</w:t>
      </w:r>
      <w:r w:rsidR="001B3D0E" w:rsidRPr="001B3D0E">
        <w:t>oncluding observations on the second periodic report of Angola</w:t>
      </w:r>
      <w:r w:rsidR="001C0B68">
        <w:t>,</w:t>
      </w:r>
      <w:r w:rsidR="001B3D0E">
        <w:t xml:space="preserve"> </w:t>
      </w:r>
      <w:r w:rsidR="001B3D0E" w:rsidRPr="001B3D0E">
        <w:t xml:space="preserve">it </w:t>
      </w:r>
      <w:r w:rsidR="001B3D0E">
        <w:t xml:space="preserve">expressed regret on </w:t>
      </w:r>
      <w:r w:rsidR="001B3D0E" w:rsidRPr="001B3D0E">
        <w:t>the lack of implementation mechanisms for the law on the right to asylum and refugee status adopted in 2015, including the lack of asylum procedures</w:t>
      </w:r>
      <w:r w:rsidR="001B3D0E">
        <w:t>.</w:t>
      </w:r>
      <w:r w:rsidR="001B3D0E">
        <w:rPr>
          <w:rStyle w:val="FootnoteReference"/>
        </w:rPr>
        <w:footnoteReference w:id="23"/>
      </w:r>
      <w:r w:rsidR="00DD6B40">
        <w:t xml:space="preserve"> </w:t>
      </w:r>
      <w:r w:rsidR="00FC35E6" w:rsidRPr="00FC35E6">
        <w:t xml:space="preserve">In view of the lack of </w:t>
      </w:r>
      <w:r w:rsidR="00FC35E6">
        <w:t xml:space="preserve">any </w:t>
      </w:r>
      <w:r w:rsidR="00D43B8A">
        <w:t xml:space="preserve">explanation or other </w:t>
      </w:r>
      <w:r w:rsidR="00FC35E6" w:rsidRPr="00FC35E6">
        <w:t xml:space="preserve">relevant information provided by the State party on this matter, the Committee concludes that the State party has failed to demonstrate the </w:t>
      </w:r>
      <w:r w:rsidR="00FC35E6">
        <w:t xml:space="preserve">existence of </w:t>
      </w:r>
      <w:r w:rsidR="0016243C">
        <w:t>any</w:t>
      </w:r>
      <w:r w:rsidR="00FC35E6">
        <w:t xml:space="preserve"> </w:t>
      </w:r>
      <w:r w:rsidR="0016243C">
        <w:t xml:space="preserve">domestic </w:t>
      </w:r>
      <w:r w:rsidR="00FC35E6" w:rsidRPr="00FC35E6">
        <w:t xml:space="preserve">remedies available for </w:t>
      </w:r>
      <w:r w:rsidR="00FC35E6">
        <w:t>contesting an expulsion decree in order to enable the author</w:t>
      </w:r>
      <w:r w:rsidR="004E610E">
        <w:t>s</w:t>
      </w:r>
      <w:r w:rsidR="00FC35E6">
        <w:t xml:space="preserve"> </w:t>
      </w:r>
      <w:r w:rsidR="00FC35E6" w:rsidRPr="00FC35E6">
        <w:t>to assert</w:t>
      </w:r>
      <w:r w:rsidR="00FC35E6">
        <w:t xml:space="preserve"> </w:t>
      </w:r>
      <w:r w:rsidR="004E610E">
        <w:t>their</w:t>
      </w:r>
      <w:r w:rsidR="00FC35E6">
        <w:t xml:space="preserve"> rights under the Covenant</w:t>
      </w:r>
      <w:r w:rsidR="00FC35E6" w:rsidRPr="00FC35E6">
        <w:t>.</w:t>
      </w:r>
      <w:r w:rsidR="00FC35E6">
        <w:t xml:space="preserve"> T</w:t>
      </w:r>
      <w:r w:rsidR="00C94B78" w:rsidRPr="00797DFF">
        <w:t xml:space="preserve">he Committee considers </w:t>
      </w:r>
      <w:r w:rsidR="00FC35E6">
        <w:t xml:space="preserve">therefore </w:t>
      </w:r>
      <w:r w:rsidR="00C94B78" w:rsidRPr="00797DFF">
        <w:t xml:space="preserve">that it is not precluded </w:t>
      </w:r>
      <w:r w:rsidR="00E61966">
        <w:t>by</w:t>
      </w:r>
      <w:r w:rsidR="00C94B78" w:rsidRPr="00797DFF">
        <w:t xml:space="preserve"> article 5(2)(b) of the Optional Protocol</w:t>
      </w:r>
      <w:r w:rsidR="00E61966" w:rsidRPr="00E61966">
        <w:t xml:space="preserve"> </w:t>
      </w:r>
      <w:r w:rsidR="00E61966">
        <w:t>from examining the communication</w:t>
      </w:r>
      <w:r w:rsidR="00C94B78" w:rsidRPr="00797DFF">
        <w:t>.</w:t>
      </w:r>
    </w:p>
    <w:p w14:paraId="61CF6BD8" w14:textId="744815F2" w:rsidR="00FC35E6" w:rsidRDefault="00692F74" w:rsidP="00C94B78">
      <w:pPr>
        <w:pStyle w:val="SingleTxtG"/>
        <w:rPr>
          <w:lang w:val="en-US"/>
        </w:rPr>
      </w:pPr>
      <w:r>
        <w:t>6.4</w:t>
      </w:r>
      <w:r>
        <w:tab/>
        <w:t>The Committee</w:t>
      </w:r>
      <w:r w:rsidR="00E435C6">
        <w:t xml:space="preserve"> </w:t>
      </w:r>
      <w:r w:rsidR="0041169C">
        <w:t xml:space="preserve">takes </w:t>
      </w:r>
      <w:r w:rsidR="00E435C6">
        <w:t>note</w:t>
      </w:r>
      <w:r w:rsidR="0041169C">
        <w:t xml:space="preserve"> of</w:t>
      </w:r>
      <w:r w:rsidR="00E435C6">
        <w:t xml:space="preserve"> the author</w:t>
      </w:r>
      <w:r w:rsidR="004E610E">
        <w:t>s</w:t>
      </w:r>
      <w:r w:rsidR="00C04B8B">
        <w:t>’</w:t>
      </w:r>
      <w:r w:rsidR="00E435C6">
        <w:t xml:space="preserve"> claims under article 14 of the Covenant </w:t>
      </w:r>
      <w:r w:rsidR="00E04999">
        <w:t xml:space="preserve">that if returned to Turkey, they would face the risks </w:t>
      </w:r>
      <w:r w:rsidR="00C04B8B">
        <w:t xml:space="preserve">of being </w:t>
      </w:r>
      <w:r w:rsidR="008A65FE">
        <w:t xml:space="preserve">subjected to an unfair trial, </w:t>
      </w:r>
      <w:r w:rsidR="00E04999">
        <w:t>convicted</w:t>
      </w:r>
      <w:r w:rsidR="00C04B8B">
        <w:t xml:space="preserve"> based on their </w:t>
      </w:r>
      <w:r w:rsidR="0041169C">
        <w:t xml:space="preserve">open </w:t>
      </w:r>
      <w:r w:rsidR="00C04B8B">
        <w:t xml:space="preserve">association with the </w:t>
      </w:r>
      <w:proofErr w:type="spellStart"/>
      <w:r w:rsidR="00C04B8B">
        <w:t>Hizmet</w:t>
      </w:r>
      <w:proofErr w:type="spellEnd"/>
      <w:r w:rsidR="00C04B8B">
        <w:t xml:space="preserve"> movement, </w:t>
      </w:r>
      <w:r w:rsidR="00E04999">
        <w:t xml:space="preserve">and being </w:t>
      </w:r>
      <w:r w:rsidR="00C04B8B">
        <w:t>arbitrarily detained and ill-treated.</w:t>
      </w:r>
      <w:r w:rsidR="008A65FE">
        <w:t xml:space="preserve"> </w:t>
      </w:r>
      <w:r w:rsidR="00C04B8B">
        <w:t xml:space="preserve">The Committee </w:t>
      </w:r>
      <w:r w:rsidR="0041169C">
        <w:t>considers</w:t>
      </w:r>
      <w:r w:rsidR="008A65FE">
        <w:t xml:space="preserve">, however, </w:t>
      </w:r>
      <w:r w:rsidR="0041169C">
        <w:t>that these claims cannot be dissociated from those presented under article 7</w:t>
      </w:r>
      <w:r w:rsidR="008A65FE">
        <w:t xml:space="preserve"> of the Covenant, and will therefore examine them under that article and not under article 14</w:t>
      </w:r>
      <w:r w:rsidR="00E435C6" w:rsidRPr="00E435C6">
        <w:rPr>
          <w:lang w:val="en-US"/>
        </w:rPr>
        <w:t>.</w:t>
      </w:r>
    </w:p>
    <w:p w14:paraId="6D691582" w14:textId="0C7ECABF" w:rsidR="00735297" w:rsidRPr="00C43CCD" w:rsidRDefault="00735297" w:rsidP="00B06435">
      <w:pPr>
        <w:pStyle w:val="SingleTxtG"/>
      </w:pPr>
      <w:r>
        <w:rPr>
          <w:lang w:val="en-US"/>
        </w:rPr>
        <w:t>6.5</w:t>
      </w:r>
      <w:r>
        <w:rPr>
          <w:lang w:val="en-US"/>
        </w:rPr>
        <w:tab/>
      </w:r>
      <w:r w:rsidRPr="00C43CCD">
        <w:t>The Committee considers</w:t>
      </w:r>
      <w:r w:rsidR="008A65FE">
        <w:t xml:space="preserve"> </w:t>
      </w:r>
      <w:r w:rsidRPr="00C43CCD">
        <w:t>that the author</w:t>
      </w:r>
      <w:r w:rsidR="004E610E">
        <w:t>s</w:t>
      </w:r>
      <w:r>
        <w:t>’</w:t>
      </w:r>
      <w:r w:rsidRPr="00C43CCD">
        <w:t xml:space="preserve"> claims under articles </w:t>
      </w:r>
      <w:r>
        <w:t>7 and 13</w:t>
      </w:r>
      <w:r w:rsidRPr="00C43CCD">
        <w:t xml:space="preserve"> of the Covenant</w:t>
      </w:r>
      <w:r w:rsidR="000A304D">
        <w:t>,</w:t>
      </w:r>
      <w:r w:rsidR="00E61966">
        <w:t xml:space="preserve"> </w:t>
      </w:r>
      <w:r w:rsidRPr="00C43CCD">
        <w:t>have been sufficiently substantiated for purposes of admissibility</w:t>
      </w:r>
      <w:r w:rsidR="00AF2E67">
        <w:t xml:space="preserve">. The Committee thus declares </w:t>
      </w:r>
      <w:r w:rsidR="00981C7B">
        <w:t xml:space="preserve">these </w:t>
      </w:r>
      <w:r w:rsidR="00AF2E67">
        <w:t>claims admissible</w:t>
      </w:r>
      <w:r w:rsidRPr="00C43CCD">
        <w:t xml:space="preserve"> and proceeds </w:t>
      </w:r>
      <w:r>
        <w:t>with their</w:t>
      </w:r>
      <w:r w:rsidRPr="00C43CCD">
        <w:t xml:space="preserve"> examination o</w:t>
      </w:r>
      <w:r>
        <w:t>f</w:t>
      </w:r>
      <w:r w:rsidRPr="00C43CCD">
        <w:t xml:space="preserve"> the merits.</w:t>
      </w:r>
    </w:p>
    <w:p w14:paraId="736B1D7A" w14:textId="77777777" w:rsidR="00735297" w:rsidRPr="008732E9" w:rsidRDefault="00735297" w:rsidP="00B06435">
      <w:pPr>
        <w:pStyle w:val="H23G"/>
        <w:rPr>
          <w:rFonts w:eastAsia="MS Mincho"/>
        </w:rPr>
      </w:pPr>
      <w:r w:rsidRPr="00C43CCD">
        <w:rPr>
          <w:rFonts w:eastAsia="MS Mincho"/>
          <w:i/>
        </w:rPr>
        <w:tab/>
      </w:r>
      <w:r w:rsidRPr="00C43CCD">
        <w:rPr>
          <w:rFonts w:eastAsia="MS Mincho"/>
          <w:i/>
        </w:rPr>
        <w:tab/>
      </w:r>
      <w:r w:rsidRPr="008732E9">
        <w:rPr>
          <w:rFonts w:eastAsia="MS Mincho"/>
        </w:rPr>
        <w:t>Consideration of the merits</w:t>
      </w:r>
    </w:p>
    <w:p w14:paraId="6F56B7E5" w14:textId="77777777" w:rsidR="00735297" w:rsidRPr="00B06435" w:rsidRDefault="00735297" w:rsidP="00B06435">
      <w:pPr>
        <w:pStyle w:val="SingleTxtG"/>
      </w:pPr>
      <w:r>
        <w:t>7</w:t>
      </w:r>
      <w:r w:rsidRPr="00C43CCD">
        <w:t>.1</w:t>
      </w:r>
      <w:r w:rsidRPr="00C43CCD">
        <w:tab/>
      </w:r>
      <w:r w:rsidRPr="002C421D">
        <w:t xml:space="preserve">The Committee has considered the present communication in the light of all the information made available to </w:t>
      </w:r>
      <w:r w:rsidRPr="00B06435">
        <w:t>it</w:t>
      </w:r>
      <w:r w:rsidRPr="002C421D">
        <w:t xml:space="preserve"> by the parties, as required under article 5</w:t>
      </w:r>
      <w:r>
        <w:t xml:space="preserve"> </w:t>
      </w:r>
      <w:r w:rsidRPr="002C421D">
        <w:t>(1) of the Optional Protocol.</w:t>
      </w:r>
    </w:p>
    <w:p w14:paraId="6CD9BFA7" w14:textId="25435F3E" w:rsidR="00735297" w:rsidRDefault="00735297" w:rsidP="00735297">
      <w:pPr>
        <w:pStyle w:val="SingleTxtG"/>
      </w:pPr>
      <w:r>
        <w:rPr>
          <w:rFonts w:eastAsia="MS Mincho"/>
        </w:rPr>
        <w:t>7</w:t>
      </w:r>
      <w:r w:rsidRPr="00C43CCD">
        <w:rPr>
          <w:rFonts w:eastAsia="MS Mincho"/>
        </w:rPr>
        <w:t>.2</w:t>
      </w:r>
      <w:r w:rsidRPr="00C43CCD">
        <w:rPr>
          <w:rFonts w:eastAsia="MS Mincho"/>
        </w:rPr>
        <w:tab/>
        <w:t>The</w:t>
      </w:r>
      <w:r w:rsidR="00401CC3">
        <w:t xml:space="preserve"> Committee notes that the State party has not replied to the author</w:t>
      </w:r>
      <w:r w:rsidR="004E610E">
        <w:t>s</w:t>
      </w:r>
      <w:r w:rsidR="00401CC3">
        <w:t>’ claims concerning the merits of the case.</w:t>
      </w:r>
      <w:r w:rsidR="00401CC3" w:rsidRPr="00401CC3">
        <w:t xml:space="preserve"> In the absence of any explanations from the State party in this respect, due weight must be given to the author</w:t>
      </w:r>
      <w:r w:rsidR="004E610E">
        <w:t>s</w:t>
      </w:r>
      <w:r w:rsidR="001E692C">
        <w:t>’</w:t>
      </w:r>
      <w:r w:rsidR="00401CC3" w:rsidRPr="00401CC3">
        <w:t xml:space="preserve"> allegations, provided they have been sufficiently substantiated.</w:t>
      </w:r>
    </w:p>
    <w:p w14:paraId="789A666C" w14:textId="39DCB77D" w:rsidR="00356F4A" w:rsidRDefault="00401CC3" w:rsidP="001E692C">
      <w:pPr>
        <w:pStyle w:val="SingleTxtG"/>
      </w:pPr>
      <w:r>
        <w:t>7.3</w:t>
      </w:r>
      <w:r>
        <w:tab/>
      </w:r>
      <w:r w:rsidR="001E692C" w:rsidRPr="001E692C">
        <w:t>The Committee notes the author</w:t>
      </w:r>
      <w:r w:rsidR="004E610E">
        <w:t>s</w:t>
      </w:r>
      <w:r w:rsidR="001E692C">
        <w:t>’</w:t>
      </w:r>
      <w:r w:rsidR="001E692C" w:rsidRPr="001E692C">
        <w:t xml:space="preserve"> claim that deporting </w:t>
      </w:r>
      <w:r w:rsidR="004E610E">
        <w:t>them</w:t>
      </w:r>
      <w:r w:rsidR="001E692C">
        <w:t xml:space="preserve"> and </w:t>
      </w:r>
      <w:r w:rsidR="004E610E">
        <w:t>their</w:t>
      </w:r>
      <w:r w:rsidR="001E692C">
        <w:t xml:space="preserve"> famil</w:t>
      </w:r>
      <w:r w:rsidR="004E610E">
        <w:t>ies</w:t>
      </w:r>
      <w:r w:rsidR="001E692C">
        <w:t xml:space="preserve"> to Turkey</w:t>
      </w:r>
      <w:r w:rsidR="001E692C" w:rsidRPr="001E692C">
        <w:t xml:space="preserve"> would expose them to a risk of irreparable harm, in violation of article 7 of the Covenant.</w:t>
      </w:r>
      <w:r w:rsidR="001E692C">
        <w:t xml:space="preserve"> The Committee notes the author</w:t>
      </w:r>
      <w:r w:rsidR="004E610E">
        <w:t>s</w:t>
      </w:r>
      <w:r w:rsidR="001E692C">
        <w:t xml:space="preserve">’ argument that </w:t>
      </w:r>
      <w:r w:rsidR="004E610E">
        <w:t>t</w:t>
      </w:r>
      <w:r w:rsidR="001E692C">
        <w:t>he</w:t>
      </w:r>
      <w:r w:rsidR="004E610E">
        <w:t>y</w:t>
      </w:r>
      <w:r w:rsidR="001E692C">
        <w:t xml:space="preserve"> and </w:t>
      </w:r>
      <w:r w:rsidR="004E610E">
        <w:t>their</w:t>
      </w:r>
      <w:r w:rsidR="001E692C">
        <w:t xml:space="preserve"> famil</w:t>
      </w:r>
      <w:r w:rsidR="004E610E">
        <w:t>ies</w:t>
      </w:r>
      <w:r w:rsidR="001E692C">
        <w:t xml:space="preserve"> would face </w:t>
      </w:r>
      <w:r w:rsidR="00356F4A">
        <w:t>persecution by the Turkish authorities as a consequence of their</w:t>
      </w:r>
      <w:r w:rsidR="00356F4A" w:rsidRPr="00E74B47">
        <w:t xml:space="preserve"> real or perceived asso</w:t>
      </w:r>
      <w:r w:rsidR="00356F4A">
        <w:t xml:space="preserve">ciation with the </w:t>
      </w:r>
      <w:proofErr w:type="spellStart"/>
      <w:r w:rsidR="00356F4A">
        <w:t>Gülen</w:t>
      </w:r>
      <w:proofErr w:type="spellEnd"/>
      <w:r w:rsidR="00356F4A">
        <w:t xml:space="preserve"> movement.</w:t>
      </w:r>
    </w:p>
    <w:p w14:paraId="565827B5" w14:textId="73CE12FF" w:rsidR="00401CC3" w:rsidRDefault="00356F4A" w:rsidP="00B06435">
      <w:pPr>
        <w:pStyle w:val="SingleTxtG"/>
      </w:pPr>
      <w:r>
        <w:t>7.4</w:t>
      </w:r>
      <w:r w:rsidR="001E692C" w:rsidRPr="004610B0">
        <w:tab/>
        <w:t>The Committe</w:t>
      </w:r>
      <w:r w:rsidR="00DD19D1">
        <w:t xml:space="preserve">e recalls its </w:t>
      </w:r>
      <w:r w:rsidR="00DD19D1" w:rsidRPr="00B06435">
        <w:t>G</w:t>
      </w:r>
      <w:r w:rsidR="001E692C" w:rsidRPr="004610B0">
        <w:t xml:space="preserve">eneral </w:t>
      </w:r>
      <w:r w:rsidR="00DD19D1">
        <w:t>C</w:t>
      </w:r>
      <w:r w:rsidR="001E692C" w:rsidRPr="004610B0">
        <w:t>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risk must be personal</w:t>
      </w:r>
      <w:r w:rsidR="001E692C" w:rsidRPr="004610B0">
        <w:rPr>
          <w:vertAlign w:val="superscript"/>
        </w:rPr>
        <w:footnoteReference w:id="24"/>
      </w:r>
      <w:r w:rsidR="001E692C" w:rsidRPr="004610B0">
        <w:t xml:space="preserve"> and there is a high threshold for providing substantial grounds to establish that a real risk of irreparable harm exists.</w:t>
      </w:r>
      <w:r w:rsidR="001E692C" w:rsidRPr="004610B0">
        <w:rPr>
          <w:vertAlign w:val="superscript"/>
        </w:rPr>
        <w:footnoteReference w:id="25"/>
      </w:r>
      <w:r w:rsidR="001E692C" w:rsidRPr="004610B0">
        <w:t xml:space="preserve"> Thus, all relevant facts and circumstances must be considered, including the general human rights situation in the author’s country of origin.</w:t>
      </w:r>
      <w:r w:rsidR="001E692C" w:rsidRPr="004610B0">
        <w:rPr>
          <w:vertAlign w:val="superscript"/>
        </w:rPr>
        <w:footnoteReference w:id="26"/>
      </w:r>
      <w:r w:rsidR="00B1796C">
        <w:t xml:space="preserve"> T</w:t>
      </w:r>
      <w:r w:rsidR="001E692C" w:rsidRPr="004610B0">
        <w:rPr>
          <w:lang w:val="en-US"/>
        </w:rPr>
        <w:t xml:space="preserve">he Committee </w:t>
      </w:r>
      <w:r w:rsidR="00B1796C">
        <w:rPr>
          <w:lang w:val="en-US"/>
        </w:rPr>
        <w:t xml:space="preserve">also </w:t>
      </w:r>
      <w:r w:rsidR="001E692C" w:rsidRPr="004610B0">
        <w:rPr>
          <w:lang w:val="en-US"/>
        </w:rPr>
        <w:t>recalls that it is generally for the organs of States parties to examine the facts and evidence of the case in question in order to determine whether such a risk exists,</w:t>
      </w:r>
      <w:r w:rsidR="001E692C" w:rsidRPr="004610B0">
        <w:rPr>
          <w:vertAlign w:val="superscript"/>
          <w:lang w:val="en-US"/>
        </w:rPr>
        <w:footnoteReference w:id="27"/>
      </w:r>
      <w:r w:rsidR="001E692C" w:rsidRPr="004610B0">
        <w:rPr>
          <w:lang w:val="en-US"/>
        </w:rPr>
        <w:t xml:space="preserve"> unless it can be established that the assessment was clearly arbitrary or amounted to a manifest error or denial of justice.</w:t>
      </w:r>
      <w:r w:rsidR="001E692C" w:rsidRPr="004610B0">
        <w:rPr>
          <w:vertAlign w:val="superscript"/>
          <w:lang w:val="en-US"/>
        </w:rPr>
        <w:footnoteReference w:id="28"/>
      </w:r>
    </w:p>
    <w:p w14:paraId="0EF828F1" w14:textId="778AEF65" w:rsidR="00E435C6" w:rsidRDefault="00B1796C" w:rsidP="00B06435">
      <w:pPr>
        <w:pStyle w:val="SingleTxtG"/>
      </w:pPr>
      <w:r>
        <w:t>7.5</w:t>
      </w:r>
      <w:r>
        <w:tab/>
      </w:r>
      <w:r w:rsidR="009E1903">
        <w:t xml:space="preserve">The Committee notes that in the present case, </w:t>
      </w:r>
      <w:r w:rsidR="005425B1">
        <w:t xml:space="preserve">the State party has not demonstrated that the administrative and/or judicial authorities have </w:t>
      </w:r>
      <w:r w:rsidR="000A304D">
        <w:t xml:space="preserve">conducted an individualized </w:t>
      </w:r>
      <w:r w:rsidR="000A304D">
        <w:lastRenderedPageBreak/>
        <w:t xml:space="preserve">assessment of </w:t>
      </w:r>
      <w:r w:rsidR="005425B1">
        <w:t>the author</w:t>
      </w:r>
      <w:r w:rsidR="001A6AB9">
        <w:t>s</w:t>
      </w:r>
      <w:r w:rsidR="005425B1">
        <w:t>’ case</w:t>
      </w:r>
      <w:r w:rsidR="001A6AB9">
        <w:t>s</w:t>
      </w:r>
      <w:r w:rsidR="005425B1">
        <w:t xml:space="preserve"> in order to determine whether </w:t>
      </w:r>
      <w:r w:rsidR="005425B1" w:rsidRPr="004610B0">
        <w:t>there are substantial grounds for believing that there is a real risk of irreparable harm</w:t>
      </w:r>
      <w:r w:rsidR="0048137F">
        <w:t>,</w:t>
      </w:r>
      <w:r w:rsidR="005425B1" w:rsidRPr="004610B0">
        <w:t xml:space="preserve"> such as </w:t>
      </w:r>
      <w:r w:rsidR="005425B1" w:rsidRPr="00B06435">
        <w:t>that</w:t>
      </w:r>
      <w:r w:rsidR="005425B1" w:rsidRPr="004610B0">
        <w:t xml:space="preserve"> contemplate</w:t>
      </w:r>
      <w:r w:rsidR="005425B1">
        <w:t>d by article</w:t>
      </w:r>
      <w:r w:rsidR="005425B1" w:rsidRPr="004610B0">
        <w:t xml:space="preserve"> 7 of the Covenant</w:t>
      </w:r>
      <w:r w:rsidR="0048137F">
        <w:t>,</w:t>
      </w:r>
      <w:r w:rsidR="005425B1">
        <w:t xml:space="preserve"> if the author</w:t>
      </w:r>
      <w:r w:rsidR="001A6AB9">
        <w:t>s</w:t>
      </w:r>
      <w:r w:rsidR="005425B1">
        <w:t xml:space="preserve"> and </w:t>
      </w:r>
      <w:r w:rsidR="001A6AB9">
        <w:t>their</w:t>
      </w:r>
      <w:r w:rsidR="005425B1">
        <w:t xml:space="preserve"> famil</w:t>
      </w:r>
      <w:r w:rsidR="001A6AB9">
        <w:t>ies</w:t>
      </w:r>
      <w:r w:rsidR="005425B1">
        <w:t xml:space="preserve"> are removed from Angola. According to the State party’s observations, almost two years after initiating proceedings against the author</w:t>
      </w:r>
      <w:r w:rsidR="001A6AB9">
        <w:t>s</w:t>
      </w:r>
      <w:r w:rsidR="0048137F">
        <w:t xml:space="preserve"> for their</w:t>
      </w:r>
      <w:r w:rsidR="005425B1">
        <w:t xml:space="preserve"> removal from Angola there </w:t>
      </w:r>
      <w:r w:rsidR="00091DD4">
        <w:t xml:space="preserve">has been </w:t>
      </w:r>
      <w:r w:rsidR="005425B1">
        <w:t>no decision</w:t>
      </w:r>
      <w:r w:rsidR="00797F2E">
        <w:t xml:space="preserve"> in </w:t>
      </w:r>
      <w:r w:rsidR="001A6AB9">
        <w:t>their</w:t>
      </w:r>
      <w:r w:rsidR="00797F2E">
        <w:t xml:space="preserve"> case by the </w:t>
      </w:r>
      <w:r w:rsidR="00797F2E" w:rsidRPr="00035BFF">
        <w:t>National Council for Refugees</w:t>
      </w:r>
      <w:r w:rsidR="005425B1">
        <w:t>. The Committee recalls that</w:t>
      </w:r>
      <w:r w:rsidR="000A1E4F">
        <w:t>,</w:t>
      </w:r>
      <w:r w:rsidR="005425B1">
        <w:t xml:space="preserve"> in its 2019 c</w:t>
      </w:r>
      <w:r w:rsidR="005425B1" w:rsidRPr="001B3D0E">
        <w:t>oncluding observations on the second periodic report of Angola</w:t>
      </w:r>
      <w:r w:rsidR="005425B1">
        <w:t xml:space="preserve">, </w:t>
      </w:r>
      <w:r w:rsidR="005425B1" w:rsidRPr="001B3D0E">
        <w:t xml:space="preserve">it </w:t>
      </w:r>
      <w:r w:rsidR="005425B1">
        <w:t>expressed concern about reports of mass expulsions of migrants and asylum seekers, including those in need of international protection, without carrying out the necessary individual assessments.</w:t>
      </w:r>
      <w:r w:rsidR="005425B1">
        <w:rPr>
          <w:rStyle w:val="FootnoteReference"/>
        </w:rPr>
        <w:footnoteReference w:id="29"/>
      </w:r>
    </w:p>
    <w:p w14:paraId="0B097DE1" w14:textId="280EE470" w:rsidR="00D36BA5" w:rsidRDefault="00797F2E" w:rsidP="00B06435">
      <w:pPr>
        <w:pStyle w:val="SingleTxtG"/>
      </w:pPr>
      <w:r>
        <w:t>7.6</w:t>
      </w:r>
      <w:r>
        <w:tab/>
      </w:r>
      <w:r>
        <w:rPr>
          <w:lang w:val="en-US"/>
        </w:rPr>
        <w:t>T</w:t>
      </w:r>
      <w:r w:rsidRPr="006C3ABB">
        <w:rPr>
          <w:lang w:val="en-US"/>
        </w:rPr>
        <w:t xml:space="preserve">he Committee recalls that States parties should give sufficient weight to the real and personal risk </w:t>
      </w:r>
      <w:r>
        <w:rPr>
          <w:lang w:val="en-US"/>
        </w:rPr>
        <w:t xml:space="preserve">that </w:t>
      </w:r>
      <w:r w:rsidRPr="006C3ABB">
        <w:rPr>
          <w:lang w:val="en-US"/>
        </w:rPr>
        <w:t xml:space="preserve">a person might face if </w:t>
      </w:r>
      <w:r w:rsidRPr="00B06435">
        <w:t>deported</w:t>
      </w:r>
      <w:r w:rsidRPr="006C3ABB">
        <w:rPr>
          <w:lang w:val="en-US"/>
        </w:rPr>
        <w:t xml:space="preserve"> and considers that it </w:t>
      </w:r>
      <w:r w:rsidR="00C33044">
        <w:rPr>
          <w:lang w:val="en-US"/>
        </w:rPr>
        <w:t>i</w:t>
      </w:r>
      <w:r w:rsidRPr="006C3ABB">
        <w:rPr>
          <w:lang w:val="en-US"/>
        </w:rPr>
        <w:t>s incumbent upon the State party to undertake an individualized assessment of the risk that the author</w:t>
      </w:r>
      <w:r w:rsidR="004836B7">
        <w:rPr>
          <w:lang w:val="en-US"/>
        </w:rPr>
        <w:t>s</w:t>
      </w:r>
      <w:r>
        <w:rPr>
          <w:lang w:val="en-US"/>
        </w:rPr>
        <w:t xml:space="preserve"> and </w:t>
      </w:r>
      <w:r w:rsidR="004836B7">
        <w:rPr>
          <w:lang w:val="en-US"/>
        </w:rPr>
        <w:t>their</w:t>
      </w:r>
      <w:r w:rsidR="00C33044">
        <w:rPr>
          <w:lang w:val="en-US"/>
        </w:rPr>
        <w:t xml:space="preserve"> famil</w:t>
      </w:r>
      <w:r w:rsidR="004836B7">
        <w:rPr>
          <w:lang w:val="en-US"/>
        </w:rPr>
        <w:t>ies</w:t>
      </w:r>
      <w:r>
        <w:rPr>
          <w:lang w:val="en-US"/>
        </w:rPr>
        <w:t xml:space="preserve"> would face in </w:t>
      </w:r>
      <w:r w:rsidR="000A1E4F">
        <w:rPr>
          <w:lang w:val="en-US"/>
        </w:rPr>
        <w:t xml:space="preserve">case of return to </w:t>
      </w:r>
      <w:r w:rsidR="00C33044">
        <w:rPr>
          <w:lang w:val="en-US"/>
        </w:rPr>
        <w:t>Turkey</w:t>
      </w:r>
      <w:r>
        <w:rPr>
          <w:lang w:val="en-US"/>
        </w:rPr>
        <w:t xml:space="preserve">. </w:t>
      </w:r>
      <w:r w:rsidRPr="00F71066">
        <w:rPr>
          <w:lang w:val="en-US"/>
        </w:rPr>
        <w:t xml:space="preserve">In </w:t>
      </w:r>
      <w:r w:rsidR="00C33044">
        <w:rPr>
          <w:lang w:val="en-US"/>
        </w:rPr>
        <w:t xml:space="preserve">the </w:t>
      </w:r>
      <w:r w:rsidR="004F1EA1">
        <w:rPr>
          <w:lang w:val="en-US"/>
        </w:rPr>
        <w:t>absence of an</w:t>
      </w:r>
      <w:r w:rsidR="007D2C2A">
        <w:rPr>
          <w:lang w:val="en-US"/>
        </w:rPr>
        <w:t>y</w:t>
      </w:r>
      <w:r w:rsidR="004F1EA1">
        <w:rPr>
          <w:lang w:val="en-US"/>
        </w:rPr>
        <w:t xml:space="preserve"> </w:t>
      </w:r>
      <w:r w:rsidR="000A1E4F">
        <w:rPr>
          <w:lang w:val="en-US"/>
        </w:rPr>
        <w:t xml:space="preserve">apparent </w:t>
      </w:r>
      <w:r w:rsidR="004F1EA1">
        <w:rPr>
          <w:lang w:val="en-US"/>
        </w:rPr>
        <w:t>assessment</w:t>
      </w:r>
      <w:r w:rsidR="004F1EA1" w:rsidRPr="004F1EA1">
        <w:rPr>
          <w:lang w:val="en-US"/>
        </w:rPr>
        <w:t xml:space="preserve"> </w:t>
      </w:r>
      <w:r w:rsidR="004F1EA1">
        <w:rPr>
          <w:lang w:val="en-US"/>
        </w:rPr>
        <w:t xml:space="preserve">which </w:t>
      </w:r>
      <w:r w:rsidR="004F1EA1" w:rsidRPr="006C3ABB">
        <w:rPr>
          <w:lang w:val="en-US"/>
        </w:rPr>
        <w:t>take</w:t>
      </w:r>
      <w:r w:rsidR="004F1EA1">
        <w:rPr>
          <w:lang w:val="en-US"/>
        </w:rPr>
        <w:t>s</w:t>
      </w:r>
      <w:r w:rsidR="004F1EA1" w:rsidRPr="006C3ABB">
        <w:rPr>
          <w:lang w:val="en-US"/>
        </w:rPr>
        <w:t xml:space="preserve"> into due consideration the </w:t>
      </w:r>
      <w:r w:rsidR="004F1EA1">
        <w:rPr>
          <w:lang w:val="en-US"/>
        </w:rPr>
        <w:t>consequences of the author</w:t>
      </w:r>
      <w:r w:rsidR="004836B7">
        <w:rPr>
          <w:lang w:val="en-US"/>
        </w:rPr>
        <w:t>s</w:t>
      </w:r>
      <w:r w:rsidR="004F1EA1">
        <w:rPr>
          <w:lang w:val="en-US"/>
        </w:rPr>
        <w:t xml:space="preserve">’ personal </w:t>
      </w:r>
      <w:r w:rsidR="000A1E4F">
        <w:rPr>
          <w:lang w:val="en-US"/>
        </w:rPr>
        <w:t xml:space="preserve">and family </w:t>
      </w:r>
      <w:r w:rsidR="004F1EA1">
        <w:rPr>
          <w:lang w:val="en-US"/>
        </w:rPr>
        <w:t xml:space="preserve">situation in </w:t>
      </w:r>
      <w:r w:rsidR="004836B7">
        <w:rPr>
          <w:lang w:val="en-US"/>
        </w:rPr>
        <w:t>their</w:t>
      </w:r>
      <w:r w:rsidR="004F1EA1">
        <w:rPr>
          <w:lang w:val="en-US"/>
        </w:rPr>
        <w:t xml:space="preserve"> country of origin</w:t>
      </w:r>
      <w:r w:rsidRPr="00F71066">
        <w:rPr>
          <w:lang w:val="en-US"/>
        </w:rPr>
        <w:t>, the Committee considers that the State party</w:t>
      </w:r>
      <w:r>
        <w:rPr>
          <w:lang w:val="en-US"/>
        </w:rPr>
        <w:t xml:space="preserve"> </w:t>
      </w:r>
      <w:r w:rsidR="000A1E4F">
        <w:rPr>
          <w:lang w:val="en-US"/>
        </w:rPr>
        <w:t>failed</w:t>
      </w:r>
      <w:r w:rsidRPr="00F71066">
        <w:rPr>
          <w:lang w:val="en-US"/>
        </w:rPr>
        <w:t xml:space="preserve"> to assess the author</w:t>
      </w:r>
      <w:r w:rsidR="004836B7">
        <w:rPr>
          <w:lang w:val="en-US"/>
        </w:rPr>
        <w:t>s</w:t>
      </w:r>
      <w:r w:rsidR="00C33044">
        <w:rPr>
          <w:lang w:val="en-US"/>
        </w:rPr>
        <w:t>’</w:t>
      </w:r>
      <w:r w:rsidRPr="00F71066">
        <w:rPr>
          <w:lang w:val="en-US"/>
        </w:rPr>
        <w:t xml:space="preserve"> </w:t>
      </w:r>
      <w:r>
        <w:rPr>
          <w:lang w:val="en-US"/>
        </w:rPr>
        <w:t xml:space="preserve">real, </w:t>
      </w:r>
      <w:r w:rsidRPr="00F71066">
        <w:rPr>
          <w:lang w:val="en-US"/>
        </w:rPr>
        <w:t xml:space="preserve">personal and foreseeable </w:t>
      </w:r>
      <w:r w:rsidR="00C33044">
        <w:rPr>
          <w:lang w:val="en-US"/>
        </w:rPr>
        <w:t>risk of returning to Turkey</w:t>
      </w:r>
      <w:r w:rsidR="000A1E4F">
        <w:rPr>
          <w:lang w:val="en-US"/>
        </w:rPr>
        <w:t xml:space="preserve"> in light of </w:t>
      </w:r>
      <w:r w:rsidR="001C0B68">
        <w:rPr>
          <w:lang w:val="en-US"/>
        </w:rPr>
        <w:t xml:space="preserve">its </w:t>
      </w:r>
      <w:r w:rsidR="001C0B68">
        <w:rPr>
          <w:i/>
          <w:iCs/>
          <w:lang w:val="en-US"/>
        </w:rPr>
        <w:t>non-refoul</w:t>
      </w:r>
      <w:r w:rsidR="00C01B8A">
        <w:rPr>
          <w:i/>
          <w:iCs/>
          <w:lang w:val="en-US"/>
        </w:rPr>
        <w:t>e</w:t>
      </w:r>
      <w:r w:rsidR="001C0B68">
        <w:rPr>
          <w:i/>
          <w:iCs/>
          <w:lang w:val="en-US"/>
        </w:rPr>
        <w:t xml:space="preserve">ment </w:t>
      </w:r>
      <w:r w:rsidR="001C0B68">
        <w:rPr>
          <w:lang w:val="en-US"/>
        </w:rPr>
        <w:t xml:space="preserve">obligations under </w:t>
      </w:r>
      <w:r w:rsidR="000A1E4F">
        <w:rPr>
          <w:lang w:val="en-US"/>
        </w:rPr>
        <w:t>article 7 of the Covenant</w:t>
      </w:r>
      <w:r w:rsidR="004F1EA1">
        <w:rPr>
          <w:lang w:val="en-US"/>
        </w:rPr>
        <w:t>.</w:t>
      </w:r>
    </w:p>
    <w:p w14:paraId="26EA0DF1" w14:textId="50B34998" w:rsidR="0062726E" w:rsidRDefault="0062726E" w:rsidP="00B06435">
      <w:pPr>
        <w:pStyle w:val="SingleTxtG"/>
      </w:pPr>
      <w:r>
        <w:t>7.7</w:t>
      </w:r>
      <w:r>
        <w:tab/>
        <w:t xml:space="preserve">The Committee then notes the authors’ </w:t>
      </w:r>
      <w:r w:rsidR="00D72C33">
        <w:t xml:space="preserve">uncontested </w:t>
      </w:r>
      <w:r>
        <w:t xml:space="preserve">claim under article </w:t>
      </w:r>
      <w:r w:rsidRPr="0062726E">
        <w:t xml:space="preserve">13 of the Covenant </w:t>
      </w:r>
      <w:r>
        <w:t>t</w:t>
      </w:r>
      <w:r w:rsidRPr="0062726E">
        <w:t>hat they did not have the opportunity to challenge their deportation decision</w:t>
      </w:r>
      <w:r>
        <w:t xml:space="preserve">. </w:t>
      </w:r>
      <w:r w:rsidR="008C649D">
        <w:t xml:space="preserve">The Committee recalls that </w:t>
      </w:r>
      <w:r w:rsidR="008C649D" w:rsidRPr="00B06435">
        <w:t>article</w:t>
      </w:r>
      <w:r w:rsidR="008C649D">
        <w:t xml:space="preserve"> 13 of the Covenant provid</w:t>
      </w:r>
      <w:r w:rsidR="0024411F">
        <w:t>es that</w:t>
      </w:r>
      <w:r w:rsidR="008C649D">
        <w:t xml:space="preserve"> “</w:t>
      </w:r>
      <w:r w:rsidR="0024411F">
        <w:t>[a]</w:t>
      </w:r>
      <w:r w:rsidR="00A643B5">
        <w:t>n</w:t>
      </w:r>
      <w:r w:rsidR="00A643B5" w:rsidRPr="00A643B5">
        <w:t xml:space="preserve">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r w:rsidR="0024411F">
        <w:t>.”</w:t>
      </w:r>
    </w:p>
    <w:p w14:paraId="54A4F7AF" w14:textId="65E80DE4" w:rsidR="00021953" w:rsidRDefault="0024411F" w:rsidP="00B06435">
      <w:pPr>
        <w:pStyle w:val="SingleTxtG"/>
      </w:pPr>
      <w:r>
        <w:t>7.8</w:t>
      </w:r>
      <w:r>
        <w:tab/>
        <w:t>The Committee first notes that it is not in dispute that the authors were “lawfully in the territory” of the State party.</w:t>
      </w:r>
      <w:r w:rsidR="00AF24EC">
        <w:t xml:space="preserve"> It then recalls its </w:t>
      </w:r>
      <w:r w:rsidR="00DD19D1">
        <w:t>General C</w:t>
      </w:r>
      <w:r w:rsidR="00AF24EC" w:rsidRPr="00AF24EC">
        <w:t>omment No. 15</w:t>
      </w:r>
      <w:r w:rsidR="00AF24EC">
        <w:t xml:space="preserve"> (1986) on t</w:t>
      </w:r>
      <w:r w:rsidR="00AF24EC" w:rsidRPr="00AF24EC">
        <w:t>he position of aliens under the Covenant</w:t>
      </w:r>
      <w:r w:rsidR="00AF24EC">
        <w:t>,</w:t>
      </w:r>
      <w:r w:rsidR="00AF24EC" w:rsidRPr="00AF24EC">
        <w:t xml:space="preserve"> </w:t>
      </w:r>
      <w:r w:rsidR="00AF24EC">
        <w:t>in which it refers to the obligation of the States parties to give an alien</w:t>
      </w:r>
      <w:r w:rsidR="00AF24EC" w:rsidRPr="00AF24EC">
        <w:t xml:space="preserve"> full facilities for pursuing his </w:t>
      </w:r>
      <w:r w:rsidR="00AF24EC">
        <w:t xml:space="preserve">or her </w:t>
      </w:r>
      <w:r w:rsidR="00AF24EC" w:rsidRPr="00AF24EC">
        <w:t xml:space="preserve">remedy against expulsion so that this right will in all the circumstances of his </w:t>
      </w:r>
      <w:r w:rsidR="00AF24EC">
        <w:t xml:space="preserve">or her </w:t>
      </w:r>
      <w:r w:rsidR="00AF24EC" w:rsidRPr="00AF24EC">
        <w:t>case be an effective one</w:t>
      </w:r>
      <w:r w:rsidR="00AF24EC">
        <w:t xml:space="preserve"> (para. 10). In the circumstances of the case, the Committee</w:t>
      </w:r>
      <w:r>
        <w:t xml:space="preserve"> notes that </w:t>
      </w:r>
      <w:r w:rsidR="00AC3F80">
        <w:t xml:space="preserve">the authors </w:t>
      </w:r>
      <w:r w:rsidR="00F125EA">
        <w:t xml:space="preserve">were not informed about the reasons </w:t>
      </w:r>
      <w:r w:rsidR="00D72C33">
        <w:t>for</w:t>
      </w:r>
      <w:r w:rsidR="00F125EA">
        <w:t xml:space="preserve"> their expulsion and </w:t>
      </w:r>
      <w:r w:rsidR="00AC3F80">
        <w:t>were not given an effective remedy to challenge their expulsion</w:t>
      </w:r>
      <w:r w:rsidR="00CF09A5">
        <w:t>,</w:t>
      </w:r>
      <w:r w:rsidR="00AC3F80">
        <w:t xml:space="preserve"> </w:t>
      </w:r>
      <w:r w:rsidR="00CF09A5">
        <w:t xml:space="preserve">to submit reasons against their expulsion </w:t>
      </w:r>
      <w:r w:rsidR="00AC3F80">
        <w:t>and</w:t>
      </w:r>
      <w:r w:rsidR="00CF09A5">
        <w:t xml:space="preserve"> to have their case reviewed by </w:t>
      </w:r>
      <w:r w:rsidR="001C0B68">
        <w:t xml:space="preserve">a </w:t>
      </w:r>
      <w:r w:rsidR="00CF09A5">
        <w:t>competent authority.</w:t>
      </w:r>
      <w:r w:rsidR="00CF09A5">
        <w:rPr>
          <w:rStyle w:val="FootnoteReference"/>
        </w:rPr>
        <w:footnoteReference w:id="30"/>
      </w:r>
      <w:r w:rsidR="00CF09A5">
        <w:t xml:space="preserve"> The Committee further notes</w:t>
      </w:r>
      <w:r w:rsidR="00AC3F80">
        <w:t xml:space="preserve"> that</w:t>
      </w:r>
      <w:r w:rsidR="00D55FC8">
        <w:t>,</w:t>
      </w:r>
      <w:r w:rsidR="00AC3F80">
        <w:t xml:space="preserve"> </w:t>
      </w:r>
      <w:r w:rsidR="00D5342B">
        <w:t xml:space="preserve">even if the Presidential Decree </w:t>
      </w:r>
      <w:r w:rsidR="00875C06">
        <w:t xml:space="preserve">issued on </w:t>
      </w:r>
      <w:r w:rsidR="00875C06" w:rsidRPr="00834323">
        <w:t>3 October 2016</w:t>
      </w:r>
      <w:r w:rsidR="00875C06">
        <w:t xml:space="preserve"> </w:t>
      </w:r>
      <w:r w:rsidR="00D5342B">
        <w:t xml:space="preserve">invokes the Angolan Constitution, </w:t>
      </w:r>
      <w:r w:rsidR="00AC3F80">
        <w:t>the State party has not shown that there were compelling reasons of n</w:t>
      </w:r>
      <w:r w:rsidR="00D5342B">
        <w:t>ational security to deprive the authors</w:t>
      </w:r>
      <w:r w:rsidR="00AC3F80">
        <w:t xml:space="preserve"> of </w:t>
      </w:r>
      <w:r w:rsidR="001C0B68">
        <w:t>access to a</w:t>
      </w:r>
      <w:r w:rsidR="00AC3F80">
        <w:t xml:space="preserve"> remedy.</w:t>
      </w:r>
      <w:r w:rsidR="00AC3F80">
        <w:rPr>
          <w:rStyle w:val="FootnoteReference"/>
        </w:rPr>
        <w:footnoteReference w:id="31"/>
      </w:r>
    </w:p>
    <w:p w14:paraId="1010F394" w14:textId="06E21959" w:rsidR="00F125EA" w:rsidRDefault="00834323" w:rsidP="00B06435">
      <w:pPr>
        <w:pStyle w:val="SingleTxtG"/>
      </w:pPr>
      <w:r>
        <w:t>7.9</w:t>
      </w:r>
      <w:r>
        <w:tab/>
        <w:t xml:space="preserve">Moreover, the Committee notes that the Presidential Decree </w:t>
      </w:r>
      <w:r w:rsidRPr="00834323">
        <w:t>order</w:t>
      </w:r>
      <w:r>
        <w:t>ed</w:t>
      </w:r>
      <w:r w:rsidRPr="00834323">
        <w:t xml:space="preserve"> the expulsion of all Turkish citizens affiliated with the school </w:t>
      </w:r>
      <w:proofErr w:type="spellStart"/>
      <w:r w:rsidRPr="00834323">
        <w:t>Colégio</w:t>
      </w:r>
      <w:proofErr w:type="spellEnd"/>
      <w:r w:rsidRPr="00834323">
        <w:t xml:space="preserve"> </w:t>
      </w:r>
      <w:proofErr w:type="spellStart"/>
      <w:r w:rsidRPr="00834323">
        <w:t>Esperança</w:t>
      </w:r>
      <w:proofErr w:type="spellEnd"/>
      <w:r w:rsidRPr="00834323">
        <w:t xml:space="preserve"> </w:t>
      </w:r>
      <w:proofErr w:type="spellStart"/>
      <w:r w:rsidRPr="00834323">
        <w:t>Internacional</w:t>
      </w:r>
      <w:proofErr w:type="spellEnd"/>
      <w:r w:rsidR="00D85B5C">
        <w:t xml:space="preserve">. In this connection, the Committee </w:t>
      </w:r>
      <w:r w:rsidR="00D85B5C" w:rsidRPr="00B06435">
        <w:t>recalls</w:t>
      </w:r>
      <w:r w:rsidR="00D85B5C">
        <w:t xml:space="preserve"> its </w:t>
      </w:r>
      <w:r w:rsidR="00DD19D1">
        <w:t>General C</w:t>
      </w:r>
      <w:r w:rsidR="00D85B5C" w:rsidRPr="00AF24EC">
        <w:t>omment No. 15</w:t>
      </w:r>
      <w:r w:rsidR="00D85B5C">
        <w:t xml:space="preserve"> </w:t>
      </w:r>
      <w:r w:rsidR="00F125EA">
        <w:t xml:space="preserve">that article 13 of the Covenant </w:t>
      </w:r>
      <w:r w:rsidR="00F125EA" w:rsidRPr="00F125EA">
        <w:t>entitles each alien to a decision in his</w:t>
      </w:r>
      <w:r w:rsidR="00F125EA">
        <w:t xml:space="preserve"> or her</w:t>
      </w:r>
      <w:r w:rsidR="00F125EA" w:rsidRPr="00F125EA">
        <w:t xml:space="preserve"> own case and, hence, article 13 would not be satisfied with laws or decisions providing for collective or mass expulsions</w:t>
      </w:r>
      <w:r w:rsidR="00D85B5C">
        <w:t xml:space="preserve"> (para. 10)</w:t>
      </w:r>
      <w:r w:rsidR="00D85B5C" w:rsidRPr="00D85B5C">
        <w:t>.</w:t>
      </w:r>
      <w:r w:rsidR="00F125EA">
        <w:t xml:space="preserve"> </w:t>
      </w:r>
      <w:r w:rsidR="00F125EA" w:rsidRPr="00F125EA">
        <w:t>Accordingly, th</w:t>
      </w:r>
      <w:r w:rsidR="00875C06">
        <w:t xml:space="preserve">e Committee is of the view that the Presidential Decree issued on </w:t>
      </w:r>
      <w:r w:rsidR="00875C06" w:rsidRPr="00834323">
        <w:t>3 October 2016</w:t>
      </w:r>
      <w:r w:rsidR="00875C06">
        <w:t xml:space="preserve"> </w:t>
      </w:r>
      <w:r w:rsidR="00F125EA">
        <w:t>in relation to the authors</w:t>
      </w:r>
      <w:r w:rsidR="00F125EA" w:rsidRPr="00F125EA">
        <w:t xml:space="preserve"> collectively with no consideration of individual cases</w:t>
      </w:r>
      <w:r w:rsidR="00F125EA">
        <w:t xml:space="preserve"> and </w:t>
      </w:r>
      <w:r w:rsidR="00875C06">
        <w:t>the lack of an effective</w:t>
      </w:r>
      <w:r w:rsidR="00875C06" w:rsidRPr="00875C06">
        <w:t xml:space="preserve"> remedy</w:t>
      </w:r>
      <w:r w:rsidR="00875C06">
        <w:t xml:space="preserve"> for the authors</w:t>
      </w:r>
      <w:r w:rsidR="00875C06" w:rsidRPr="00875C06">
        <w:t xml:space="preserve"> to challenge their expulsion, to submit reasons against their expulsion and to have their case reviewed by the competent authority</w:t>
      </w:r>
      <w:r w:rsidR="0048137F">
        <w:t>,</w:t>
      </w:r>
      <w:r w:rsidR="00875C06">
        <w:t xml:space="preserve"> amount to a violation of article 13 of the Covenant.</w:t>
      </w:r>
    </w:p>
    <w:p w14:paraId="062EDE55" w14:textId="516ED503" w:rsidR="00797F2E" w:rsidRDefault="00D36BA5" w:rsidP="00797F2E">
      <w:pPr>
        <w:pStyle w:val="SingleTxtG"/>
        <w:rPr>
          <w:lang w:val="en-US"/>
        </w:rPr>
      </w:pPr>
      <w:r>
        <w:rPr>
          <w:lang w:val="en-US"/>
        </w:rPr>
        <w:t>8</w:t>
      </w:r>
      <w:r w:rsidR="00797F2E">
        <w:rPr>
          <w:lang w:val="en-US"/>
        </w:rPr>
        <w:t>.</w:t>
      </w:r>
      <w:r w:rsidR="00797F2E">
        <w:rPr>
          <w:lang w:val="en-US"/>
        </w:rPr>
        <w:tab/>
      </w:r>
      <w:r w:rsidR="00797F2E" w:rsidRPr="006C3ABB">
        <w:rPr>
          <w:lang w:val="en-US"/>
        </w:rPr>
        <w:t>The Co</w:t>
      </w:r>
      <w:r w:rsidR="00797F2E">
        <w:rPr>
          <w:lang w:val="en-US"/>
        </w:rPr>
        <w:t>mmittee, acting under article 5</w:t>
      </w:r>
      <w:r w:rsidR="00797F2E" w:rsidRPr="006C3ABB">
        <w:rPr>
          <w:lang w:val="en-US"/>
        </w:rPr>
        <w:t>(4) of the Optional Protocol to the International Covenant on Civil and Political Rights, is of the view that the author</w:t>
      </w:r>
      <w:r w:rsidR="004836B7">
        <w:rPr>
          <w:lang w:val="en-US"/>
        </w:rPr>
        <w:t>s</w:t>
      </w:r>
      <w:r>
        <w:rPr>
          <w:lang w:val="en-US"/>
        </w:rPr>
        <w:t>’ removal to Turkey</w:t>
      </w:r>
      <w:r w:rsidR="00797F2E">
        <w:rPr>
          <w:lang w:val="en-US"/>
        </w:rPr>
        <w:t>, if implemented</w:t>
      </w:r>
      <w:r w:rsidR="001D6CC6">
        <w:rPr>
          <w:lang w:val="en-US"/>
        </w:rPr>
        <w:t xml:space="preserve"> in the absence of a </w:t>
      </w:r>
      <w:r w:rsidR="001D6CC6">
        <w:t xml:space="preserve">procedure which guarantees a proper assessment of </w:t>
      </w:r>
      <w:r w:rsidR="001D6CC6" w:rsidRPr="006C3ABB">
        <w:rPr>
          <w:lang w:val="en-US"/>
        </w:rPr>
        <w:t xml:space="preserve">the real </w:t>
      </w:r>
      <w:r w:rsidR="001D6CC6" w:rsidRPr="006C3ABB">
        <w:rPr>
          <w:lang w:val="en-US"/>
        </w:rPr>
        <w:lastRenderedPageBreak/>
        <w:t xml:space="preserve">and personal risk </w:t>
      </w:r>
      <w:r w:rsidR="001D6CC6">
        <w:rPr>
          <w:lang w:val="en-US"/>
        </w:rPr>
        <w:t xml:space="preserve">that </w:t>
      </w:r>
      <w:r w:rsidR="001D6CC6" w:rsidRPr="006C3ABB">
        <w:rPr>
          <w:lang w:val="en-US"/>
        </w:rPr>
        <w:t>a person might face if deported</w:t>
      </w:r>
      <w:r w:rsidR="00797F2E">
        <w:rPr>
          <w:lang w:val="en-US"/>
        </w:rPr>
        <w:t xml:space="preserve">, would violate </w:t>
      </w:r>
      <w:r w:rsidR="001D6CC6">
        <w:rPr>
          <w:lang w:val="en-US"/>
        </w:rPr>
        <w:t>the rights of the author</w:t>
      </w:r>
      <w:r w:rsidR="004836B7">
        <w:rPr>
          <w:lang w:val="en-US"/>
        </w:rPr>
        <w:t>s</w:t>
      </w:r>
      <w:r w:rsidR="001D6CC6">
        <w:rPr>
          <w:lang w:val="en-US"/>
        </w:rPr>
        <w:t xml:space="preserve"> and </w:t>
      </w:r>
      <w:r w:rsidR="004836B7">
        <w:rPr>
          <w:lang w:val="en-US"/>
        </w:rPr>
        <w:t xml:space="preserve">their </w:t>
      </w:r>
      <w:r w:rsidR="001D6CC6">
        <w:rPr>
          <w:lang w:val="en-US"/>
        </w:rPr>
        <w:t>famil</w:t>
      </w:r>
      <w:r w:rsidR="004836B7">
        <w:rPr>
          <w:lang w:val="en-US"/>
        </w:rPr>
        <w:t>ies</w:t>
      </w:r>
      <w:r w:rsidR="001D6CC6">
        <w:rPr>
          <w:lang w:val="en-US"/>
        </w:rPr>
        <w:t xml:space="preserve"> </w:t>
      </w:r>
      <w:r w:rsidR="00797F2E" w:rsidRPr="006C3ABB">
        <w:rPr>
          <w:lang w:val="en-US"/>
        </w:rPr>
        <w:t>under article</w:t>
      </w:r>
      <w:r w:rsidR="00F125EA">
        <w:rPr>
          <w:lang w:val="en-US"/>
        </w:rPr>
        <w:t>s</w:t>
      </w:r>
      <w:r w:rsidR="00797F2E" w:rsidRPr="006C3ABB">
        <w:rPr>
          <w:lang w:val="en-US"/>
        </w:rPr>
        <w:t xml:space="preserve"> 7 </w:t>
      </w:r>
      <w:r w:rsidR="00F125EA">
        <w:rPr>
          <w:lang w:val="en-US"/>
        </w:rPr>
        <w:t xml:space="preserve">and 13 </w:t>
      </w:r>
      <w:r w:rsidR="00797F2E" w:rsidRPr="006C3ABB">
        <w:rPr>
          <w:lang w:val="en-US"/>
        </w:rPr>
        <w:t>of the Covenant.</w:t>
      </w:r>
    </w:p>
    <w:p w14:paraId="4F142231" w14:textId="7ECECD15" w:rsidR="00797F2E" w:rsidRDefault="00D36BA5" w:rsidP="00797F2E">
      <w:pPr>
        <w:pStyle w:val="SingleTxtG"/>
        <w:rPr>
          <w:lang w:val="en-US"/>
        </w:rPr>
      </w:pPr>
      <w:r>
        <w:rPr>
          <w:lang w:val="en-US"/>
        </w:rPr>
        <w:t>9</w:t>
      </w:r>
      <w:r w:rsidR="00797F2E">
        <w:rPr>
          <w:lang w:val="en-US"/>
        </w:rPr>
        <w:t>.</w:t>
      </w:r>
      <w:r w:rsidR="00797F2E">
        <w:rPr>
          <w:lang w:val="en-US"/>
        </w:rPr>
        <w:tab/>
        <w:t>In accordance with article 2</w:t>
      </w:r>
      <w:r w:rsidR="00797F2E" w:rsidRPr="006C3ABB">
        <w:rPr>
          <w:lang w:val="en-US"/>
        </w:rPr>
        <w:t>(1) of the Covenant, which establishes that States parties undertake to respect and to ensure to all individuals within their territory and subject to their jurisdiction the rights recognized in the Covenant, the State party is under an obligation to proceed to a review of the author</w:t>
      </w:r>
      <w:r w:rsidR="004836B7">
        <w:rPr>
          <w:lang w:val="en-US"/>
        </w:rPr>
        <w:t>s</w:t>
      </w:r>
      <w:r>
        <w:rPr>
          <w:lang w:val="en-US"/>
        </w:rPr>
        <w:t>’</w:t>
      </w:r>
      <w:r w:rsidR="00797F2E" w:rsidRPr="006C3ABB">
        <w:rPr>
          <w:lang w:val="en-US"/>
        </w:rPr>
        <w:t xml:space="preserve"> case</w:t>
      </w:r>
      <w:r w:rsidR="004836B7">
        <w:rPr>
          <w:lang w:val="en-US"/>
        </w:rPr>
        <w:t>s</w:t>
      </w:r>
      <w:r w:rsidR="00797F2E" w:rsidRPr="006C3ABB">
        <w:rPr>
          <w:lang w:val="en-US"/>
        </w:rPr>
        <w:t xml:space="preserve"> taking into account the State party’s obligations under the Covenant and the Committee’s present Views. The State party is also requested to refrain from expelling the author</w:t>
      </w:r>
      <w:r w:rsidR="004836B7">
        <w:rPr>
          <w:lang w:val="en-US"/>
        </w:rPr>
        <w:t>s</w:t>
      </w:r>
      <w:r>
        <w:rPr>
          <w:lang w:val="en-US"/>
        </w:rPr>
        <w:t xml:space="preserve"> and </w:t>
      </w:r>
      <w:r w:rsidR="004836B7">
        <w:rPr>
          <w:lang w:val="en-US"/>
        </w:rPr>
        <w:t>their</w:t>
      </w:r>
      <w:r>
        <w:rPr>
          <w:lang w:val="en-US"/>
        </w:rPr>
        <w:t xml:space="preserve"> famil</w:t>
      </w:r>
      <w:r w:rsidR="004836B7">
        <w:rPr>
          <w:lang w:val="en-US"/>
        </w:rPr>
        <w:t>ies</w:t>
      </w:r>
      <w:r w:rsidR="00797F2E" w:rsidRPr="006C3ABB">
        <w:rPr>
          <w:lang w:val="en-US"/>
        </w:rPr>
        <w:t xml:space="preserve"> </w:t>
      </w:r>
      <w:r w:rsidR="00C01B8A">
        <w:rPr>
          <w:lang w:val="en-US"/>
        </w:rPr>
        <w:t>until</w:t>
      </w:r>
      <w:r w:rsidR="00797F2E" w:rsidRPr="006C3ABB">
        <w:rPr>
          <w:lang w:val="en-US"/>
        </w:rPr>
        <w:t xml:space="preserve"> </w:t>
      </w:r>
      <w:r w:rsidR="00797F2E">
        <w:rPr>
          <w:lang w:val="en-US"/>
        </w:rPr>
        <w:t>their</w:t>
      </w:r>
      <w:r w:rsidR="00797F2E" w:rsidRPr="006C3ABB">
        <w:rPr>
          <w:lang w:val="en-US"/>
        </w:rPr>
        <w:t xml:space="preserve"> request for asylum is </w:t>
      </w:r>
      <w:r w:rsidR="00C01B8A">
        <w:rPr>
          <w:lang w:val="en-US"/>
        </w:rPr>
        <w:t xml:space="preserve">properly </w:t>
      </w:r>
      <w:r w:rsidR="00797F2E" w:rsidRPr="006C3ABB">
        <w:rPr>
          <w:lang w:val="en-US"/>
        </w:rPr>
        <w:t>considered.</w:t>
      </w:r>
      <w:r w:rsidR="000A1E4F">
        <w:rPr>
          <w:lang w:val="en-US"/>
        </w:rPr>
        <w:t xml:space="preserve"> </w:t>
      </w:r>
      <w:r w:rsidR="000A1E4F" w:rsidRPr="00AF19E5">
        <w:t>The State party is also under an obligation to take all steps necessary to prevent similar violations from occurring in the future</w:t>
      </w:r>
      <w:r w:rsidR="000A1E4F">
        <w:t xml:space="preserve">, including by ensuring </w:t>
      </w:r>
      <w:r w:rsidR="000A1E4F" w:rsidRPr="00DB7848">
        <w:t>the</w:t>
      </w:r>
      <w:r w:rsidR="000A1E4F">
        <w:t xml:space="preserve"> prompt</w:t>
      </w:r>
      <w:r w:rsidR="000A1E4F" w:rsidRPr="00DB7848">
        <w:t xml:space="preserve"> implementation of the law on the right to asylum and refugee status</w:t>
      </w:r>
      <w:r w:rsidR="000A1E4F">
        <w:t>,</w:t>
      </w:r>
      <w:r w:rsidR="000A1E4F" w:rsidRPr="00DB7848">
        <w:t xml:space="preserve"> and</w:t>
      </w:r>
      <w:r w:rsidR="000A1E4F">
        <w:t xml:space="preserve"> by</w:t>
      </w:r>
      <w:r w:rsidR="000A1E4F" w:rsidRPr="00DB7848">
        <w:t xml:space="preserve"> put</w:t>
      </w:r>
      <w:r w:rsidR="000A1E4F">
        <w:t>ting</w:t>
      </w:r>
      <w:r w:rsidR="000A1E4F" w:rsidRPr="00DB7848">
        <w:t xml:space="preserve"> in place fair and effective asylum procedures, offering effective protection against </w:t>
      </w:r>
      <w:r w:rsidR="000A1E4F" w:rsidRPr="00DB7848">
        <w:rPr>
          <w:i/>
        </w:rPr>
        <w:t>refoulement</w:t>
      </w:r>
      <w:r w:rsidR="000A1E4F">
        <w:t>.</w:t>
      </w:r>
      <w:r w:rsidR="000A1E4F">
        <w:rPr>
          <w:rStyle w:val="FootnoteReference"/>
        </w:rPr>
        <w:footnoteReference w:id="32"/>
      </w:r>
    </w:p>
    <w:p w14:paraId="52709E4C" w14:textId="77777777" w:rsidR="00797F2E" w:rsidRDefault="00D36BA5" w:rsidP="00797F2E">
      <w:pPr>
        <w:pStyle w:val="SingleTxtG"/>
      </w:pPr>
      <w:r>
        <w:rPr>
          <w:lang w:val="en-US"/>
        </w:rPr>
        <w:t>10</w:t>
      </w:r>
      <w:r w:rsidR="00797F2E">
        <w:rPr>
          <w:lang w:val="en-US"/>
        </w:rPr>
        <w:t>.</w:t>
      </w:r>
      <w:r w:rsidR="00797F2E">
        <w:rPr>
          <w:lang w:val="en-US"/>
        </w:rPr>
        <w:tab/>
      </w:r>
      <w:r w:rsidR="00797F2E" w:rsidRPr="006C3ABB">
        <w:rPr>
          <w:lang w:val="en-US"/>
        </w:rPr>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w:t>
      </w:r>
      <w:r w:rsidR="00797F2E">
        <w:rPr>
          <w:lang w:val="en-US"/>
        </w:rPr>
        <w:t xml:space="preserve">present </w:t>
      </w:r>
      <w:r w:rsidR="00797F2E" w:rsidRPr="006C3ABB">
        <w:rPr>
          <w:lang w:val="en-US"/>
        </w:rPr>
        <w:t>Views</w:t>
      </w:r>
      <w:r w:rsidR="00797F2E">
        <w:rPr>
          <w:lang w:val="en-US"/>
        </w:rPr>
        <w:t xml:space="preserve"> and disseminate them widely in the official languages of the State party</w:t>
      </w:r>
      <w:r w:rsidR="00797F2E" w:rsidRPr="006C3ABB">
        <w:rPr>
          <w:lang w:val="en-US"/>
        </w:rPr>
        <w:t>.</w:t>
      </w:r>
    </w:p>
    <w:p w14:paraId="4575A40C" w14:textId="77777777" w:rsidR="006A31AE" w:rsidRPr="00106A43" w:rsidRDefault="006A31AE" w:rsidP="006A31AE">
      <w:pPr>
        <w:spacing w:before="240"/>
        <w:jc w:val="center"/>
        <w:rPr>
          <w:u w:val="single"/>
        </w:rPr>
      </w:pPr>
      <w:r>
        <w:rPr>
          <w:u w:val="single"/>
        </w:rPr>
        <w:tab/>
      </w:r>
      <w:r>
        <w:rPr>
          <w:u w:val="single"/>
        </w:rPr>
        <w:tab/>
      </w:r>
      <w:r>
        <w:rPr>
          <w:u w:val="single"/>
        </w:rPr>
        <w:tab/>
      </w:r>
    </w:p>
    <w:sectPr w:rsidR="006A31AE" w:rsidRPr="00106A43" w:rsidSect="00C658F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C9722" w14:textId="77777777" w:rsidR="00B36DBC" w:rsidRPr="00B903E5" w:rsidRDefault="00B36DBC" w:rsidP="00B903E5">
      <w:pPr>
        <w:pStyle w:val="Footer"/>
      </w:pPr>
    </w:p>
  </w:endnote>
  <w:endnote w:type="continuationSeparator" w:id="0">
    <w:p w14:paraId="5644A48A" w14:textId="77777777" w:rsidR="00B36DBC" w:rsidRPr="00B903E5" w:rsidRDefault="00B36DB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7164" w14:textId="2B75BD17" w:rsidR="0076085E" w:rsidRPr="006A31AE" w:rsidRDefault="0076085E"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F00A76">
      <w:rPr>
        <w:b/>
        <w:noProof/>
        <w:sz w:val="18"/>
      </w:rPr>
      <w:t>10</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0909" w14:textId="33A9B199" w:rsidR="0076085E" w:rsidRPr="006A31AE" w:rsidRDefault="0076085E"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F00A76">
      <w:rPr>
        <w:b/>
        <w:noProof/>
        <w:sz w:val="18"/>
      </w:rPr>
      <w:t>9</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8A08" w14:textId="6EA81A08" w:rsidR="00571780" w:rsidRDefault="00571780" w:rsidP="00571780">
    <w:pPr>
      <w:pStyle w:val="Footer"/>
    </w:pPr>
    <w:r>
      <w:rPr>
        <w:noProof/>
        <w:lang w:eastAsia="en-GB"/>
      </w:rPr>
      <w:drawing>
        <wp:anchor distT="0" distB="0" distL="114300" distR="114300" simplePos="0" relativeHeight="251659264" behindDoc="1" locked="1" layoutInCell="1" allowOverlap="1" wp14:anchorId="0011E7C8" wp14:editId="49F59D8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948C" w14:textId="77777777" w:rsidR="00B36DBC" w:rsidRPr="00B903E5" w:rsidRDefault="00B36DBC" w:rsidP="00B903E5">
      <w:pPr>
        <w:tabs>
          <w:tab w:val="right" w:pos="2155"/>
        </w:tabs>
        <w:spacing w:after="80" w:line="240" w:lineRule="auto"/>
        <w:ind w:left="680"/>
      </w:pPr>
      <w:r>
        <w:rPr>
          <w:u w:val="single"/>
        </w:rPr>
        <w:tab/>
      </w:r>
    </w:p>
  </w:footnote>
  <w:footnote w:type="continuationSeparator" w:id="0">
    <w:p w14:paraId="0D438066" w14:textId="77777777" w:rsidR="00B36DBC" w:rsidRPr="00B903E5" w:rsidRDefault="00B36DBC" w:rsidP="00B903E5">
      <w:pPr>
        <w:tabs>
          <w:tab w:val="right" w:pos="2155"/>
        </w:tabs>
        <w:spacing w:after="80" w:line="240" w:lineRule="auto"/>
        <w:ind w:left="680"/>
      </w:pPr>
      <w:r>
        <w:rPr>
          <w:u w:val="single"/>
        </w:rPr>
        <w:tab/>
      </w:r>
    </w:p>
  </w:footnote>
  <w:footnote w:id="1">
    <w:p w14:paraId="3EBE494E" w14:textId="72769369" w:rsidR="007A1333" w:rsidRPr="00B526C4" w:rsidRDefault="007A1333" w:rsidP="00A0282D">
      <w:pPr>
        <w:pStyle w:val="FootnoteText"/>
      </w:pPr>
      <w:r w:rsidRPr="00B526C4">
        <w:rPr>
          <w:rStyle w:val="FootnoteReference"/>
          <w:vertAlign w:val="baseline"/>
        </w:rPr>
        <w:tab/>
        <w:t>*</w:t>
      </w:r>
      <w:r w:rsidRPr="00B526C4">
        <w:rPr>
          <w:rStyle w:val="FootnoteReference"/>
          <w:vertAlign w:val="baseline"/>
        </w:rPr>
        <w:tab/>
      </w:r>
      <w:r w:rsidRPr="00B526C4">
        <w:t>Adopted by the Committee at its 129th session (29 June-24 July 2020).</w:t>
      </w:r>
    </w:p>
  </w:footnote>
  <w:footnote w:id="2">
    <w:p w14:paraId="250F0416" w14:textId="29369860" w:rsidR="007A1333" w:rsidRPr="00B05B3C" w:rsidRDefault="007A1333" w:rsidP="00B526C4">
      <w:pPr>
        <w:pStyle w:val="FootnoteText"/>
      </w:pPr>
      <w:r w:rsidRPr="00B526C4">
        <w:rPr>
          <w:rStyle w:val="FootnoteReference"/>
          <w:vertAlign w:val="baseline"/>
        </w:rPr>
        <w:tab/>
        <w:t>**</w:t>
      </w:r>
      <w:r w:rsidRPr="00B526C4">
        <w:rPr>
          <w:rStyle w:val="FootnoteReference"/>
          <w:vertAlign w:val="baseline"/>
        </w:rPr>
        <w:tab/>
      </w:r>
      <w:r w:rsidRPr="00B526C4">
        <w:t xml:space="preserve">The following members of the Committee participated in the examination of the communication: Tania María Abdo </w:t>
      </w:r>
      <w:proofErr w:type="spellStart"/>
      <w:r w:rsidRPr="00B526C4">
        <w:t>Rocholl</w:t>
      </w:r>
      <w:proofErr w:type="spellEnd"/>
      <w:r w:rsidRPr="00B526C4">
        <w:t xml:space="preserve">, </w:t>
      </w:r>
      <w:proofErr w:type="spellStart"/>
      <w:r w:rsidRPr="00B526C4">
        <w:t>Yadh</w:t>
      </w:r>
      <w:proofErr w:type="spellEnd"/>
      <w:r w:rsidRPr="00B526C4">
        <w:t xml:space="preserve"> Ben </w:t>
      </w:r>
      <w:proofErr w:type="spellStart"/>
      <w:r w:rsidRPr="00B526C4">
        <w:t>Achour</w:t>
      </w:r>
      <w:proofErr w:type="spellEnd"/>
      <w:r w:rsidRPr="00B526C4">
        <w:t xml:space="preserve">, </w:t>
      </w:r>
      <w:proofErr w:type="spellStart"/>
      <w:r w:rsidRPr="00B526C4">
        <w:t>Arif</w:t>
      </w:r>
      <w:proofErr w:type="spellEnd"/>
      <w:r w:rsidRPr="00B526C4">
        <w:t xml:space="preserve"> </w:t>
      </w:r>
      <w:proofErr w:type="spellStart"/>
      <w:r w:rsidRPr="00B526C4">
        <w:t>Bulkan</w:t>
      </w:r>
      <w:proofErr w:type="spellEnd"/>
      <w:r w:rsidRPr="00B526C4">
        <w:t xml:space="preserve">, Shuichi </w:t>
      </w:r>
      <w:proofErr w:type="spellStart"/>
      <w:r w:rsidRPr="00B526C4">
        <w:t>Furuya</w:t>
      </w:r>
      <w:proofErr w:type="spellEnd"/>
      <w:r w:rsidRPr="00B526C4">
        <w:t xml:space="preserve">, </w:t>
      </w:r>
      <w:proofErr w:type="spellStart"/>
      <w:r w:rsidRPr="00B526C4">
        <w:t>Bamariam</w:t>
      </w:r>
      <w:proofErr w:type="spellEnd"/>
      <w:r w:rsidRPr="00B526C4">
        <w:t xml:space="preserve"> </w:t>
      </w:r>
      <w:proofErr w:type="spellStart"/>
      <w:r w:rsidRPr="00B526C4">
        <w:t>Koita</w:t>
      </w:r>
      <w:proofErr w:type="spellEnd"/>
      <w:r w:rsidRPr="00B526C4">
        <w:t xml:space="preserve">, Marcia </w:t>
      </w:r>
      <w:proofErr w:type="spellStart"/>
      <w:r w:rsidRPr="00B526C4">
        <w:t>Kran</w:t>
      </w:r>
      <w:proofErr w:type="spellEnd"/>
      <w:r w:rsidRPr="00B526C4">
        <w:t xml:space="preserve">, Duncan </w:t>
      </w:r>
      <w:proofErr w:type="spellStart"/>
      <w:r w:rsidRPr="00B526C4">
        <w:t>Laki</w:t>
      </w:r>
      <w:proofErr w:type="spellEnd"/>
      <w:r w:rsidRPr="00B526C4">
        <w:t xml:space="preserve"> </w:t>
      </w:r>
      <w:proofErr w:type="spellStart"/>
      <w:r w:rsidRPr="00B526C4">
        <w:t>Muhumuza</w:t>
      </w:r>
      <w:proofErr w:type="spellEnd"/>
      <w:r w:rsidRPr="00B526C4">
        <w:t xml:space="preserve">, Photini </w:t>
      </w:r>
      <w:proofErr w:type="spellStart"/>
      <w:r w:rsidRPr="00B526C4">
        <w:t>Pazartzis</w:t>
      </w:r>
      <w:proofErr w:type="spellEnd"/>
      <w:r w:rsidRPr="00B526C4">
        <w:t xml:space="preserve">, </w:t>
      </w:r>
      <w:proofErr w:type="spellStart"/>
      <w:r w:rsidRPr="00B526C4">
        <w:t>Hernán</w:t>
      </w:r>
      <w:proofErr w:type="spellEnd"/>
      <w:r w:rsidRPr="00B526C4">
        <w:t xml:space="preserve"> Quezada Cabrera, </w:t>
      </w:r>
      <w:proofErr w:type="spellStart"/>
      <w:r w:rsidRPr="00B526C4">
        <w:t>Vasilka</w:t>
      </w:r>
      <w:proofErr w:type="spellEnd"/>
      <w:r w:rsidRPr="00B526C4">
        <w:t xml:space="preserve"> </w:t>
      </w:r>
      <w:proofErr w:type="spellStart"/>
      <w:r w:rsidRPr="00B526C4">
        <w:t>Sancin</w:t>
      </w:r>
      <w:proofErr w:type="spellEnd"/>
      <w:r w:rsidRPr="00B526C4">
        <w:t xml:space="preserve">, José Manuel Santos </w:t>
      </w:r>
      <w:proofErr w:type="spellStart"/>
      <w:r w:rsidRPr="00B526C4">
        <w:t>Pais</w:t>
      </w:r>
      <w:proofErr w:type="spellEnd"/>
      <w:r w:rsidRPr="00B526C4">
        <w:t xml:space="preserve">, Yuval </w:t>
      </w:r>
      <w:proofErr w:type="spellStart"/>
      <w:r w:rsidRPr="00B526C4">
        <w:t>Shany</w:t>
      </w:r>
      <w:proofErr w:type="spellEnd"/>
      <w:r w:rsidRPr="00B526C4">
        <w:t xml:space="preserve">, Hélène Tigroudja, Andreas Zimmermann and Gentian </w:t>
      </w:r>
      <w:proofErr w:type="spellStart"/>
      <w:r w:rsidRPr="00B526C4">
        <w:t>Zyberi</w:t>
      </w:r>
      <w:proofErr w:type="spellEnd"/>
      <w:r w:rsidRPr="00B05B3C">
        <w:rPr>
          <w:bCs/>
        </w:rPr>
        <w:t>.</w:t>
      </w:r>
    </w:p>
  </w:footnote>
  <w:footnote w:id="3">
    <w:p w14:paraId="32872CFE" w14:textId="77777777" w:rsidR="0076085E" w:rsidRPr="009A6FE1" w:rsidRDefault="0076085E" w:rsidP="00BF13F3">
      <w:pPr>
        <w:pStyle w:val="FootnoteText"/>
        <w:jc w:val="both"/>
        <w:rPr>
          <w:lang w:val="en-US"/>
        </w:rPr>
      </w:pPr>
      <w:r>
        <w:tab/>
      </w:r>
      <w:r>
        <w:rPr>
          <w:rStyle w:val="FootnoteReference"/>
        </w:rPr>
        <w:footnoteRef/>
      </w:r>
      <w:r>
        <w:tab/>
      </w:r>
      <w:r w:rsidRPr="009A6FE1">
        <w:t xml:space="preserve">This is the </w:t>
      </w:r>
      <w:r>
        <w:t>rule</w:t>
      </w:r>
      <w:r w:rsidRPr="009A6FE1">
        <w:t xml:space="preserve"> under the Committee</w:t>
      </w:r>
      <w:r>
        <w:t>’</w:t>
      </w:r>
      <w:r w:rsidRPr="009A6FE1">
        <w:t>s former rules of procedure (CCPR/C/3/Rev.10). The equivalent provision under the current rules of procedure (CCPR/C/3/Rev.11) is rule 94.</w:t>
      </w:r>
    </w:p>
  </w:footnote>
  <w:footnote w:id="4">
    <w:p w14:paraId="5767EEA3" w14:textId="2F2968EE" w:rsidR="0076085E" w:rsidRDefault="0076085E">
      <w:pPr>
        <w:pStyle w:val="FootnoteText"/>
      </w:pPr>
      <w:r>
        <w:tab/>
      </w:r>
      <w:r>
        <w:rPr>
          <w:rStyle w:val="FootnoteReference"/>
        </w:rPr>
        <w:footnoteRef/>
      </w:r>
      <w:r>
        <w:tab/>
        <w:t xml:space="preserve">I.Y. </w:t>
      </w:r>
      <w:r w:rsidRPr="00135DB6">
        <w:t>came to work as an accountant for the school</w:t>
      </w:r>
      <w:r>
        <w:t>.</w:t>
      </w:r>
    </w:p>
  </w:footnote>
  <w:footnote w:id="5">
    <w:p w14:paraId="06D5CD3D" w14:textId="77777777" w:rsidR="0076085E" w:rsidRPr="000274FF" w:rsidRDefault="0076085E" w:rsidP="00B06435">
      <w:pPr>
        <w:pStyle w:val="FootnoteText"/>
      </w:pPr>
      <w:r>
        <w:tab/>
      </w:r>
      <w:r w:rsidRPr="000274FF">
        <w:rPr>
          <w:rStyle w:val="FootnoteReference"/>
        </w:rPr>
        <w:footnoteRef/>
      </w:r>
      <w:r>
        <w:tab/>
      </w:r>
      <w:r w:rsidRPr="000274FF">
        <w:t>The school accounts for some 747 students.</w:t>
      </w:r>
    </w:p>
  </w:footnote>
  <w:footnote w:id="6">
    <w:p w14:paraId="532F6324" w14:textId="77777777" w:rsidR="0076085E" w:rsidRPr="00634636" w:rsidRDefault="0076085E" w:rsidP="005B1146">
      <w:pPr>
        <w:pStyle w:val="FootnoteText"/>
      </w:pPr>
      <w:r>
        <w:tab/>
      </w:r>
      <w:r w:rsidRPr="00634636">
        <w:rPr>
          <w:rStyle w:val="FootnoteReference"/>
        </w:rPr>
        <w:footnoteRef/>
      </w:r>
      <w:r>
        <w:tab/>
        <w:t>Copy to</w:t>
      </w:r>
      <w:r w:rsidRPr="00634636">
        <w:t xml:space="preserve"> the file.</w:t>
      </w:r>
    </w:p>
  </w:footnote>
  <w:footnote w:id="7">
    <w:p w14:paraId="7352616E" w14:textId="74FD4F7E" w:rsidR="0076085E" w:rsidRDefault="0076085E" w:rsidP="00B06435">
      <w:pPr>
        <w:pStyle w:val="FootnoteText"/>
      </w:pPr>
      <w:r>
        <w:tab/>
      </w:r>
      <w:r>
        <w:rPr>
          <w:rStyle w:val="FootnoteReference"/>
        </w:rPr>
        <w:footnoteRef/>
      </w:r>
      <w:r>
        <w:tab/>
        <w:t xml:space="preserve">B.K., H.A., A.K. and A.D. were not at the school when the police came. According to B.K. and A.K., when hearing about what happened with their colleagues, a group of 10 persons drove in two cars to the UNHCR office in Luanda to ask for help. No other information </w:t>
      </w:r>
      <w:r w:rsidR="00C744F4">
        <w:t xml:space="preserve">was presented to the Committee </w:t>
      </w:r>
      <w:r>
        <w:t xml:space="preserve">on </w:t>
      </w:r>
      <w:r w:rsidR="00C744F4">
        <w:t>the identity of</w:t>
      </w:r>
      <w:r>
        <w:t xml:space="preserve"> the 10 persons.</w:t>
      </w:r>
    </w:p>
  </w:footnote>
  <w:footnote w:id="8">
    <w:p w14:paraId="5BFB4EF1" w14:textId="4C0D9468" w:rsidR="0076085E" w:rsidRPr="00FF7AF3" w:rsidRDefault="0076085E" w:rsidP="005B1146">
      <w:pPr>
        <w:pStyle w:val="FootnoteText"/>
        <w:jc w:val="both"/>
      </w:pPr>
      <w:r>
        <w:tab/>
      </w:r>
      <w:r w:rsidRPr="00FF7AF3">
        <w:rPr>
          <w:rStyle w:val="FootnoteReference"/>
        </w:rPr>
        <w:footnoteRef/>
      </w:r>
      <w:r>
        <w:tab/>
      </w:r>
      <w:r w:rsidRPr="00FF7AF3">
        <w:t>The author</w:t>
      </w:r>
      <w:r>
        <w:t>s</w:t>
      </w:r>
      <w:r w:rsidRPr="00FF7AF3">
        <w:t xml:space="preserve"> do not specify the exa</w:t>
      </w:r>
      <w:r>
        <w:t>ct number of days during which they</w:t>
      </w:r>
      <w:r w:rsidRPr="00FF7AF3">
        <w:t xml:space="preserve"> w</w:t>
      </w:r>
      <w:r>
        <w:t>ere</w:t>
      </w:r>
      <w:r w:rsidRPr="00FF7AF3">
        <w:t xml:space="preserve"> forced to stay in the school’s dorms.</w:t>
      </w:r>
    </w:p>
  </w:footnote>
  <w:footnote w:id="9">
    <w:p w14:paraId="53105ED9" w14:textId="77777777" w:rsidR="0076085E" w:rsidRPr="00FE31C8" w:rsidRDefault="0076085E" w:rsidP="0053366E">
      <w:pPr>
        <w:pStyle w:val="FootnoteText"/>
        <w:jc w:val="both"/>
      </w:pPr>
      <w:r>
        <w:tab/>
      </w:r>
      <w:r w:rsidRPr="00FE31C8">
        <w:rPr>
          <w:rStyle w:val="FootnoteReference"/>
        </w:rPr>
        <w:footnoteRef/>
      </w:r>
      <w:r>
        <w:tab/>
      </w:r>
      <w:r w:rsidRPr="00FE31C8">
        <w:t>Report of the Special Rapporteur on the human rights of migrants on his mission to Angola, 25 April 2017, A/HRC/35/25/Add.1</w:t>
      </w:r>
      <w:r>
        <w:t>, p</w:t>
      </w:r>
      <w:r w:rsidRPr="00FE31C8">
        <w:t>ara. 41.</w:t>
      </w:r>
    </w:p>
  </w:footnote>
  <w:footnote w:id="10">
    <w:p w14:paraId="361388DE" w14:textId="77777777" w:rsidR="0076085E" w:rsidRPr="000F7B0A" w:rsidRDefault="0076085E" w:rsidP="00BA3416">
      <w:pPr>
        <w:pStyle w:val="FootnoteText"/>
      </w:pPr>
      <w:r>
        <w:tab/>
      </w:r>
      <w:r w:rsidRPr="000F7B0A">
        <w:rPr>
          <w:rStyle w:val="FootnoteReference"/>
        </w:rPr>
        <w:footnoteRef/>
      </w:r>
      <w:r>
        <w:tab/>
      </w:r>
      <w:r w:rsidRPr="00107781">
        <w:t>Report of the Special Rapporteur on the human rights of migrants on his mission to Angola</w:t>
      </w:r>
      <w:r w:rsidRPr="000F7B0A">
        <w:t>, para. 33</w:t>
      </w:r>
      <w:r>
        <w:t>.</w:t>
      </w:r>
    </w:p>
  </w:footnote>
  <w:footnote w:id="11">
    <w:p w14:paraId="267684EA" w14:textId="400342E8" w:rsidR="0076085E" w:rsidRDefault="0076085E" w:rsidP="00B06435">
      <w:pPr>
        <w:pStyle w:val="FootnoteText"/>
      </w:pPr>
      <w:r>
        <w:tab/>
      </w:r>
      <w:r>
        <w:rPr>
          <w:rStyle w:val="FootnoteReference"/>
        </w:rPr>
        <w:footnoteRef/>
      </w:r>
      <w:r>
        <w:tab/>
        <w:t xml:space="preserve">The authors refer to reports by the US Department of State, Freedom House, Amnesty International and Human Rights Watch, </w:t>
      </w:r>
      <w:r w:rsidRPr="004717DF">
        <w:t xml:space="preserve">which document stances of torture and ill-treatment in prison directed against supporters of the </w:t>
      </w:r>
      <w:proofErr w:type="spellStart"/>
      <w:r w:rsidRPr="004717DF">
        <w:t>Gülen</w:t>
      </w:r>
      <w:proofErr w:type="spellEnd"/>
      <w:r w:rsidRPr="004717DF">
        <w:t xml:space="preserve"> movement</w:t>
      </w:r>
      <w:r>
        <w:t>.</w:t>
      </w:r>
    </w:p>
  </w:footnote>
  <w:footnote w:id="12">
    <w:p w14:paraId="2BD5DDCD" w14:textId="77777777" w:rsidR="0076085E" w:rsidRDefault="0076085E" w:rsidP="00B06435">
      <w:pPr>
        <w:pStyle w:val="FootnoteText"/>
      </w:pPr>
      <w:r>
        <w:tab/>
      </w:r>
      <w:r>
        <w:rPr>
          <w:rStyle w:val="FootnoteReference"/>
        </w:rPr>
        <w:footnoteRef/>
      </w:r>
      <w:r>
        <w:tab/>
      </w:r>
      <w:hyperlink r:id="rId1" w:history="1">
        <w:r>
          <w:rPr>
            <w:rStyle w:val="Hyperlink"/>
          </w:rPr>
          <w:t>https://www.ohchr.org/EN/NewsEvents/Pages/DisplayNews.aspx?NewsID=20976&amp;LangID=E</w:t>
        </w:r>
      </w:hyperlink>
      <w:r>
        <w:t>.</w:t>
      </w:r>
    </w:p>
  </w:footnote>
  <w:footnote w:id="13">
    <w:p w14:paraId="46AABE50" w14:textId="75E9A59E" w:rsidR="0076085E" w:rsidRPr="00F80209" w:rsidRDefault="0076085E" w:rsidP="00B06435">
      <w:pPr>
        <w:pStyle w:val="FootnoteText"/>
      </w:pPr>
      <w:r>
        <w:tab/>
      </w:r>
      <w:r w:rsidRPr="00F80209">
        <w:rPr>
          <w:rStyle w:val="FootnoteReference"/>
        </w:rPr>
        <w:footnoteRef/>
      </w:r>
      <w:r>
        <w:tab/>
        <w:t>The author</w:t>
      </w:r>
      <w:r w:rsidR="004E610E">
        <w:t>s</w:t>
      </w:r>
      <w:r>
        <w:t xml:space="preserve"> provide twelve-</w:t>
      </w:r>
      <w:r w:rsidRPr="00B06435">
        <w:t>month</w:t>
      </w:r>
      <w:r>
        <w:t xml:space="preserve"> valid </w:t>
      </w:r>
      <w:r w:rsidRPr="00F80209">
        <w:t>asylum-seeker certificate</w:t>
      </w:r>
      <w:r w:rsidR="004E610E">
        <w:t>s</w:t>
      </w:r>
      <w:r w:rsidRPr="00F80209">
        <w:t xml:space="preserve"> dated 25 July 2017.</w:t>
      </w:r>
    </w:p>
  </w:footnote>
  <w:footnote w:id="14">
    <w:p w14:paraId="1F53EFC9" w14:textId="77777777" w:rsidR="0076085E" w:rsidRPr="00D26C7B" w:rsidRDefault="0076085E" w:rsidP="00B06435">
      <w:pPr>
        <w:pStyle w:val="FootnoteText"/>
      </w:pPr>
      <w:r>
        <w:tab/>
      </w:r>
      <w:r w:rsidRPr="00D26C7B">
        <w:rPr>
          <w:rStyle w:val="FootnoteReference"/>
        </w:rPr>
        <w:footnoteRef/>
      </w:r>
      <w:r>
        <w:tab/>
        <w:t>Copies of these two</w:t>
      </w:r>
      <w:r w:rsidRPr="00D26C7B">
        <w:t xml:space="preserve"> letters</w:t>
      </w:r>
      <w:r>
        <w:t xml:space="preserve"> </w:t>
      </w:r>
      <w:r w:rsidRPr="00B06435">
        <w:t>are</w:t>
      </w:r>
      <w:r>
        <w:t xml:space="preserve"> not provided</w:t>
      </w:r>
      <w:r w:rsidRPr="00D26C7B">
        <w:t>.</w:t>
      </w:r>
    </w:p>
  </w:footnote>
  <w:footnote w:id="15">
    <w:p w14:paraId="7222BAFF" w14:textId="77777777" w:rsidR="0076085E" w:rsidRPr="00CE7CE5" w:rsidRDefault="0076085E" w:rsidP="00B06435">
      <w:pPr>
        <w:pStyle w:val="FootnoteText"/>
      </w:pPr>
      <w:r>
        <w:tab/>
      </w:r>
      <w:r w:rsidRPr="00CE7CE5">
        <w:rPr>
          <w:rStyle w:val="FootnoteReference"/>
        </w:rPr>
        <w:footnoteRef/>
      </w:r>
      <w:r>
        <w:tab/>
        <w:t xml:space="preserve">US Department of State, </w:t>
      </w:r>
      <w:r w:rsidRPr="00CE7CE5">
        <w:t xml:space="preserve">2016 Country Reports on Human Rights Practices </w:t>
      </w:r>
      <w:r>
        <w:t xml:space="preserve">– Angola, 3 </w:t>
      </w:r>
      <w:r w:rsidRPr="00CE7CE5">
        <w:t>March 2017</w:t>
      </w:r>
      <w:r>
        <w:t xml:space="preserve">, available at </w:t>
      </w:r>
      <w:hyperlink r:id="rId2" w:history="1">
        <w:r>
          <w:rPr>
            <w:rStyle w:val="Hyperlink"/>
          </w:rPr>
          <w:t>https://www.state.gov/</w:t>
        </w:r>
        <w:r w:rsidRPr="00B06435">
          <w:rPr>
            <w:rStyle w:val="Hyperlink"/>
            <w:color w:val="auto"/>
            <w:u w:val="none"/>
          </w:rPr>
          <w:t>reports</w:t>
        </w:r>
        <w:r>
          <w:rPr>
            <w:rStyle w:val="Hyperlink"/>
          </w:rPr>
          <w:t>/2016-country-reports-on-human-rights-practices/angola/</w:t>
        </w:r>
      </w:hyperlink>
      <w:r>
        <w:t>.</w:t>
      </w:r>
    </w:p>
  </w:footnote>
  <w:footnote w:id="16">
    <w:p w14:paraId="396CC5B1" w14:textId="77777777" w:rsidR="0076085E" w:rsidRDefault="0076085E" w:rsidP="00B06435">
      <w:pPr>
        <w:pStyle w:val="FootnoteText"/>
      </w:pPr>
      <w:r>
        <w:tab/>
      </w:r>
      <w:r>
        <w:rPr>
          <w:rStyle w:val="FootnoteReference"/>
        </w:rPr>
        <w:footnoteRef/>
      </w:r>
      <w:r>
        <w:tab/>
        <w:t xml:space="preserve">Freedom House, </w:t>
      </w:r>
      <w:r w:rsidRPr="00C13CC7">
        <w:t>Freedom in the World 2017</w:t>
      </w:r>
      <w:r>
        <w:t xml:space="preserve"> – Angola, 2017, available at </w:t>
      </w:r>
      <w:hyperlink r:id="rId3" w:history="1">
        <w:r w:rsidRPr="002E2B52">
          <w:rPr>
            <w:rStyle w:val="Hyperlink"/>
          </w:rPr>
          <w:t>https://freedomhouse.org/country/angola/freedom-world/2017</w:t>
        </w:r>
      </w:hyperlink>
      <w:r>
        <w:t xml:space="preserve">, and </w:t>
      </w:r>
      <w:r w:rsidRPr="00A45575">
        <w:t>US Department of State, 2016 Country Reports on Human Rights Practices – Angola</w:t>
      </w:r>
      <w:r w:rsidRPr="00C13CC7">
        <w:t>.</w:t>
      </w:r>
    </w:p>
  </w:footnote>
  <w:footnote w:id="17">
    <w:p w14:paraId="1CE8F749" w14:textId="77777777" w:rsidR="0076085E" w:rsidRPr="00D571E4" w:rsidRDefault="0076085E" w:rsidP="00B06435">
      <w:pPr>
        <w:pStyle w:val="FootnoteText"/>
      </w:pPr>
      <w:r>
        <w:tab/>
      </w:r>
      <w:r w:rsidRPr="00D571E4">
        <w:rPr>
          <w:rStyle w:val="FootnoteReference"/>
        </w:rPr>
        <w:footnoteRef/>
      </w:r>
      <w:r>
        <w:tab/>
      </w:r>
      <w:r w:rsidRPr="00D571E4">
        <w:t xml:space="preserve">Concluding observations on the </w:t>
      </w:r>
      <w:r w:rsidRPr="00B06435">
        <w:t>initial</w:t>
      </w:r>
      <w:r w:rsidRPr="00D571E4">
        <w:t xml:space="preserve"> report of Angola, adopted by the Committee at its 107</w:t>
      </w:r>
      <w:r w:rsidRPr="00D571E4">
        <w:rPr>
          <w:vertAlign w:val="superscript"/>
        </w:rPr>
        <w:t>th</w:t>
      </w:r>
      <w:r>
        <w:t xml:space="preserve"> </w:t>
      </w:r>
      <w:r w:rsidRPr="00D571E4">
        <w:t>session (11–28 March 2013)</w:t>
      </w:r>
      <w:r>
        <w:t xml:space="preserve">, </w:t>
      </w:r>
      <w:r w:rsidRPr="00D571E4">
        <w:t>29 April 2013</w:t>
      </w:r>
      <w:r>
        <w:t>, para. 20.</w:t>
      </w:r>
    </w:p>
  </w:footnote>
  <w:footnote w:id="18">
    <w:p w14:paraId="30637926" w14:textId="77777777" w:rsidR="0076085E" w:rsidRPr="005A2089" w:rsidRDefault="0076085E" w:rsidP="00B06435">
      <w:pPr>
        <w:pStyle w:val="FootnoteText"/>
      </w:pPr>
      <w:r>
        <w:tab/>
      </w:r>
      <w:r w:rsidRPr="005A2089">
        <w:rPr>
          <w:rStyle w:val="FootnoteReference"/>
        </w:rPr>
        <w:footnoteRef/>
      </w:r>
      <w:r>
        <w:tab/>
        <w:t xml:space="preserve">Copies of the two </w:t>
      </w:r>
      <w:r w:rsidRPr="00B06435">
        <w:t>petitions</w:t>
      </w:r>
      <w:r>
        <w:t xml:space="preserve"> attached.</w:t>
      </w:r>
    </w:p>
  </w:footnote>
  <w:footnote w:id="19">
    <w:p w14:paraId="732B612C" w14:textId="1F83A858" w:rsidR="0076085E" w:rsidRDefault="0076085E" w:rsidP="002B7DC0">
      <w:pPr>
        <w:pStyle w:val="FootnoteText"/>
        <w:jc w:val="both"/>
      </w:pPr>
      <w:r>
        <w:tab/>
      </w:r>
      <w:r>
        <w:rPr>
          <w:rStyle w:val="FootnoteReference"/>
        </w:rPr>
        <w:footnoteRef/>
      </w:r>
      <w:r>
        <w:tab/>
        <w:t>The author</w:t>
      </w:r>
      <w:r w:rsidR="004E610E">
        <w:t>s</w:t>
      </w:r>
      <w:r>
        <w:t xml:space="preserve"> mention that these families did not go back to Turkey, but went to other countries.</w:t>
      </w:r>
    </w:p>
  </w:footnote>
  <w:footnote w:id="20">
    <w:p w14:paraId="623BC1EE" w14:textId="4A7DDA27" w:rsidR="0076085E" w:rsidRDefault="0076085E" w:rsidP="00E04999">
      <w:pPr>
        <w:pStyle w:val="FootnoteText"/>
        <w:jc w:val="both"/>
      </w:pPr>
      <w:r>
        <w:tab/>
      </w:r>
      <w:r>
        <w:rPr>
          <w:rStyle w:val="FootnoteReference"/>
        </w:rPr>
        <w:footnoteRef/>
      </w:r>
      <w:r>
        <w:tab/>
        <w:t xml:space="preserve">Without giving details, </w:t>
      </w:r>
      <w:r w:rsidR="004E610E">
        <w:t>t</w:t>
      </w:r>
      <w:r>
        <w:t>he</w:t>
      </w:r>
      <w:r w:rsidR="004E610E">
        <w:t>y</w:t>
      </w:r>
      <w:r>
        <w:t xml:space="preserve"> </w:t>
      </w:r>
      <w:r w:rsidRPr="00B06435">
        <w:t>submits</w:t>
      </w:r>
      <w:r>
        <w:t xml:space="preserve"> that the children of three families born in Angola have not been given passports by the Turkish Embassy. The passports of five children of two families have also expired, and the validity of the passports of other children will expire soon as well.</w:t>
      </w:r>
    </w:p>
  </w:footnote>
  <w:footnote w:id="21">
    <w:p w14:paraId="298BA57F" w14:textId="77777777" w:rsidR="0076085E" w:rsidRDefault="0076085E">
      <w:pPr>
        <w:pStyle w:val="FootnoteText"/>
      </w:pPr>
      <w:r>
        <w:tab/>
      </w:r>
      <w:r>
        <w:rPr>
          <w:rStyle w:val="FootnoteReference"/>
        </w:rPr>
        <w:footnoteRef/>
      </w:r>
      <w:r>
        <w:tab/>
        <w:t>No further details.</w:t>
      </w:r>
    </w:p>
  </w:footnote>
  <w:footnote w:id="22">
    <w:p w14:paraId="6D58D166" w14:textId="350C9C40" w:rsidR="0076085E" w:rsidRDefault="0076085E" w:rsidP="00E04999">
      <w:pPr>
        <w:pStyle w:val="FootnoteText"/>
        <w:jc w:val="both"/>
      </w:pPr>
      <w:r>
        <w:tab/>
      </w:r>
      <w:r>
        <w:rPr>
          <w:rStyle w:val="FootnoteReference"/>
        </w:rPr>
        <w:footnoteRef/>
      </w:r>
      <w:r>
        <w:tab/>
      </w:r>
      <w:r w:rsidR="0010311F">
        <w:t>W</w:t>
      </w:r>
      <w:r w:rsidR="00E04999" w:rsidRPr="008B0349">
        <w:t>hile the draft decision was being finalized</w:t>
      </w:r>
      <w:r>
        <w:t>, the author</w:t>
      </w:r>
      <w:r w:rsidR="004E610E">
        <w:t>s</w:t>
      </w:r>
      <w:r>
        <w:t xml:space="preserve"> </w:t>
      </w:r>
      <w:r w:rsidR="00E04999">
        <w:t>indicated</w:t>
      </w:r>
      <w:r>
        <w:t xml:space="preserve"> that there has been no improvement</w:t>
      </w:r>
      <w:r w:rsidR="00E04999">
        <w:t xml:space="preserve"> in their situation</w:t>
      </w:r>
      <w:r>
        <w:t xml:space="preserve">. </w:t>
      </w:r>
      <w:r w:rsidR="009D1C90">
        <w:t>They</w:t>
      </w:r>
      <w:r>
        <w:t xml:space="preserve"> allege</w:t>
      </w:r>
      <w:r w:rsidR="00E04999">
        <w:t>d</w:t>
      </w:r>
      <w:r>
        <w:t xml:space="preserve"> that the </w:t>
      </w:r>
      <w:r w:rsidRPr="00B42439">
        <w:t>National Council for Refugees</w:t>
      </w:r>
      <w:r>
        <w:t xml:space="preserve"> has </w:t>
      </w:r>
      <w:r w:rsidR="008B0349">
        <w:t xml:space="preserve">still </w:t>
      </w:r>
      <w:r>
        <w:t xml:space="preserve">not registered the case of the Turkish teachers and </w:t>
      </w:r>
      <w:r w:rsidRPr="00B06435">
        <w:t>that</w:t>
      </w:r>
      <w:r>
        <w:t xml:space="preserve"> their </w:t>
      </w:r>
      <w:r w:rsidR="00E04999">
        <w:t xml:space="preserve">own </w:t>
      </w:r>
      <w:r>
        <w:t>case</w:t>
      </w:r>
      <w:r w:rsidR="00E04999">
        <w:t>s ha</w:t>
      </w:r>
      <w:r w:rsidR="008B0349">
        <w:t>ve</w:t>
      </w:r>
      <w:r w:rsidR="00E04999">
        <w:t xml:space="preserve"> been</w:t>
      </w:r>
      <w:r>
        <w:t xml:space="preserve"> pending for more than three years. While acknowledging that the Angolan authorities allow them to work, their passports are still at the immigration service and the only legal document</w:t>
      </w:r>
      <w:r w:rsidR="00E04999">
        <w:t>s</w:t>
      </w:r>
      <w:r>
        <w:t xml:space="preserve"> they have are the UNHCR protection letters. However, if they wish to go to the bank</w:t>
      </w:r>
      <w:r w:rsidR="00E04999">
        <w:t xml:space="preserve"> for instance</w:t>
      </w:r>
      <w:r>
        <w:t>, they need to show a passport with a valid visa</w:t>
      </w:r>
      <w:r w:rsidR="00E04999">
        <w:t xml:space="preserve">, and they have not been able to travel for the last four </w:t>
      </w:r>
      <w:proofErr w:type="gramStart"/>
      <w:r w:rsidR="00E04999">
        <w:t>years</w:t>
      </w:r>
      <w:r>
        <w:t>..</w:t>
      </w:r>
      <w:proofErr w:type="gramEnd"/>
    </w:p>
  </w:footnote>
  <w:footnote w:id="23">
    <w:p w14:paraId="03663536" w14:textId="77777777" w:rsidR="0076085E" w:rsidRDefault="0076085E" w:rsidP="00B06435">
      <w:pPr>
        <w:pStyle w:val="FootnoteText"/>
      </w:pPr>
      <w:r>
        <w:tab/>
      </w:r>
      <w:r>
        <w:rPr>
          <w:rStyle w:val="FootnoteReference"/>
        </w:rPr>
        <w:footnoteRef/>
      </w:r>
      <w:r>
        <w:tab/>
      </w:r>
      <w:r w:rsidRPr="001B3D0E">
        <w:t xml:space="preserve">Concluding </w:t>
      </w:r>
      <w:r w:rsidRPr="00B06435">
        <w:t>observations</w:t>
      </w:r>
      <w:r w:rsidRPr="001B3D0E">
        <w:t xml:space="preserve"> on the second periodic report of Angola</w:t>
      </w:r>
      <w:r>
        <w:t xml:space="preserve"> (</w:t>
      </w:r>
      <w:r w:rsidRPr="001B3D0E">
        <w:t>CCPR/C/AGO/CO/2</w:t>
      </w:r>
      <w:r>
        <w:t xml:space="preserve">), </w:t>
      </w:r>
      <w:r w:rsidRPr="001B3D0E">
        <w:t>22 March 2019</w:t>
      </w:r>
      <w:r>
        <w:t>, para. 39.</w:t>
      </w:r>
    </w:p>
  </w:footnote>
  <w:footnote w:id="24">
    <w:p w14:paraId="0314158A" w14:textId="77777777" w:rsidR="0076085E" w:rsidRPr="00CE53EA" w:rsidRDefault="0076085E" w:rsidP="00B06435">
      <w:pPr>
        <w:pStyle w:val="FootnoteText"/>
      </w:pPr>
      <w:r w:rsidRPr="00B05B3C">
        <w:tab/>
      </w:r>
      <w:r w:rsidRPr="000767D8">
        <w:rPr>
          <w:rStyle w:val="FootnoteReference"/>
        </w:rPr>
        <w:footnoteRef/>
      </w:r>
      <w:r w:rsidRPr="00D36BA5">
        <w:tab/>
      </w:r>
      <w:r w:rsidRPr="00D36BA5">
        <w:rPr>
          <w:i/>
        </w:rPr>
        <w:t>K. v. Denmark</w:t>
      </w:r>
      <w:r w:rsidRPr="00D36BA5">
        <w:t xml:space="preserve"> (CCPR/C/114/D/2393/2014), para. </w:t>
      </w:r>
      <w:r w:rsidRPr="0061653A">
        <w:t xml:space="preserve">7.3, and </w:t>
      </w:r>
      <w:r w:rsidRPr="0061653A">
        <w:rPr>
          <w:i/>
        </w:rPr>
        <w:t>P.T. v. Denmark</w:t>
      </w:r>
      <w:r w:rsidRPr="0061653A">
        <w:t xml:space="preserve"> (CCPR/C/113/D/</w:t>
      </w:r>
      <w:r w:rsidRPr="00B06435">
        <w:t>2272</w:t>
      </w:r>
      <w:r w:rsidRPr="0061653A">
        <w:t xml:space="preserve">/2013), para. </w:t>
      </w:r>
      <w:r w:rsidRPr="00CE53EA">
        <w:t>7.2.</w:t>
      </w:r>
    </w:p>
  </w:footnote>
  <w:footnote w:id="25">
    <w:p w14:paraId="348AF619" w14:textId="77777777" w:rsidR="0076085E" w:rsidRPr="00F051F1" w:rsidRDefault="0076085E" w:rsidP="001E692C">
      <w:pPr>
        <w:pStyle w:val="FootnoteText"/>
        <w:rPr>
          <w:lang w:val="es-ES"/>
        </w:rPr>
      </w:pPr>
      <w:r w:rsidRPr="00CE53EA">
        <w:tab/>
      </w:r>
      <w:r w:rsidRPr="000767D8">
        <w:rPr>
          <w:rStyle w:val="FootnoteReference"/>
        </w:rPr>
        <w:footnoteRef/>
      </w:r>
      <w:r w:rsidRPr="00CE53EA">
        <w:tab/>
      </w:r>
      <w:r w:rsidRPr="00CE53EA">
        <w:rPr>
          <w:i/>
        </w:rPr>
        <w:t>X v. Sweden</w:t>
      </w:r>
      <w:r w:rsidRPr="00CE53EA">
        <w:t xml:space="preserve"> (CCPR/C/103/D/1833/2008), para. </w:t>
      </w:r>
      <w:r w:rsidRPr="00F051F1">
        <w:rPr>
          <w:lang w:val="es-ES"/>
        </w:rPr>
        <w:t>5.18.</w:t>
      </w:r>
    </w:p>
  </w:footnote>
  <w:footnote w:id="26">
    <w:p w14:paraId="520FE1F1" w14:textId="77777777" w:rsidR="0076085E" w:rsidRPr="00B05B3C" w:rsidRDefault="0076085E" w:rsidP="00B06435">
      <w:pPr>
        <w:pStyle w:val="FootnoteText"/>
        <w:rPr>
          <w:lang w:val="es-ES"/>
        </w:rPr>
      </w:pPr>
      <w:r w:rsidRPr="00F051F1">
        <w:rPr>
          <w:lang w:val="es-ES"/>
        </w:rPr>
        <w:tab/>
      </w:r>
      <w:r w:rsidRPr="000767D8">
        <w:rPr>
          <w:rStyle w:val="FootnoteReference"/>
        </w:rPr>
        <w:footnoteRef/>
      </w:r>
      <w:r>
        <w:rPr>
          <w:lang w:val="es-ES"/>
        </w:rPr>
        <w:tab/>
      </w:r>
      <w:proofErr w:type="spellStart"/>
      <w:r w:rsidRPr="00AD430C">
        <w:rPr>
          <w:lang w:val="es-ES"/>
        </w:rPr>
        <w:t>Ibid</w:t>
      </w:r>
      <w:proofErr w:type="spellEnd"/>
      <w:r>
        <w:rPr>
          <w:lang w:val="es-ES"/>
        </w:rPr>
        <w:t>.</w:t>
      </w:r>
    </w:p>
  </w:footnote>
  <w:footnote w:id="27">
    <w:p w14:paraId="465BC89F" w14:textId="77777777" w:rsidR="0076085E" w:rsidRPr="00D36BA5" w:rsidRDefault="0076085E" w:rsidP="00B06435">
      <w:pPr>
        <w:pStyle w:val="FootnoteText"/>
      </w:pPr>
      <w:r w:rsidRPr="00B05B3C">
        <w:rPr>
          <w:lang w:val="es-ES"/>
        </w:rPr>
        <w:tab/>
      </w:r>
      <w:r w:rsidRPr="000767D8">
        <w:rPr>
          <w:rStyle w:val="FootnoteReference"/>
        </w:rPr>
        <w:footnoteRef/>
      </w:r>
      <w:r w:rsidRPr="00B05B3C">
        <w:rPr>
          <w:lang w:val="es-ES"/>
        </w:rPr>
        <w:tab/>
      </w:r>
      <w:proofErr w:type="spellStart"/>
      <w:r w:rsidRPr="00B05B3C">
        <w:rPr>
          <w:i/>
          <w:lang w:val="es-ES"/>
        </w:rPr>
        <w:t>Pillai</w:t>
      </w:r>
      <w:proofErr w:type="spellEnd"/>
      <w:r w:rsidRPr="00B05B3C">
        <w:rPr>
          <w:i/>
          <w:lang w:val="es-ES"/>
        </w:rPr>
        <w:t xml:space="preserve"> et al. v. </w:t>
      </w:r>
      <w:proofErr w:type="spellStart"/>
      <w:r w:rsidRPr="00B05B3C">
        <w:rPr>
          <w:i/>
          <w:lang w:val="es-ES"/>
        </w:rPr>
        <w:t>Canada</w:t>
      </w:r>
      <w:proofErr w:type="spellEnd"/>
      <w:r w:rsidRPr="00B05B3C">
        <w:rPr>
          <w:lang w:val="es-ES"/>
        </w:rPr>
        <w:t xml:space="preserve"> (CCPR/C/101/D/1763/2008</w:t>
      </w:r>
      <w:r w:rsidRPr="00E8120C">
        <w:rPr>
          <w:lang w:val="es-ES"/>
        </w:rPr>
        <w:t xml:space="preserve">), para. </w:t>
      </w:r>
      <w:r w:rsidRPr="000927A6">
        <w:rPr>
          <w:lang w:val="es-ES"/>
        </w:rPr>
        <w:t>11.4</w:t>
      </w:r>
      <w:r w:rsidRPr="00CD48E3">
        <w:rPr>
          <w:lang w:val="es-SV"/>
        </w:rPr>
        <w:t>,</w:t>
      </w:r>
      <w:r w:rsidRPr="000927A6">
        <w:rPr>
          <w:lang w:val="es-ES"/>
        </w:rPr>
        <w:t xml:space="preserve"> and </w:t>
      </w:r>
      <w:r w:rsidRPr="000927A6">
        <w:rPr>
          <w:i/>
          <w:lang w:val="es-SV"/>
        </w:rPr>
        <w:t>Z.H.</w:t>
      </w:r>
      <w:r w:rsidRPr="000927A6">
        <w:rPr>
          <w:i/>
          <w:lang w:val="es-ES"/>
        </w:rPr>
        <w:t xml:space="preserve"> v. Australia</w:t>
      </w:r>
      <w:r w:rsidRPr="000927A6">
        <w:rPr>
          <w:lang w:val="es-ES"/>
        </w:rPr>
        <w:t xml:space="preserve"> (CCPR/C/107/D/1957/2010), para. </w:t>
      </w:r>
      <w:r w:rsidRPr="00D36BA5">
        <w:t>9.3.</w:t>
      </w:r>
    </w:p>
  </w:footnote>
  <w:footnote w:id="28">
    <w:p w14:paraId="4A2C4F15" w14:textId="77777777" w:rsidR="0076085E" w:rsidRPr="00D36BA5" w:rsidRDefault="0076085E" w:rsidP="00B06435">
      <w:pPr>
        <w:pStyle w:val="FootnoteText"/>
      </w:pPr>
      <w:r w:rsidRPr="00D36BA5">
        <w:tab/>
      </w:r>
      <w:r w:rsidRPr="000767D8">
        <w:rPr>
          <w:rStyle w:val="FootnoteReference"/>
        </w:rPr>
        <w:footnoteRef/>
      </w:r>
      <w:r w:rsidRPr="00D36BA5">
        <w:tab/>
        <w:t xml:space="preserve">For example, </w:t>
      </w:r>
      <w:r w:rsidRPr="00D36BA5">
        <w:rPr>
          <w:i/>
        </w:rPr>
        <w:t>K. v. Denmark</w:t>
      </w:r>
      <w:r w:rsidRPr="00D36BA5">
        <w:t>, para. 7.4.</w:t>
      </w:r>
    </w:p>
  </w:footnote>
  <w:footnote w:id="29">
    <w:p w14:paraId="20E2B1DF" w14:textId="77777777" w:rsidR="0076085E" w:rsidRDefault="0076085E" w:rsidP="00B06435">
      <w:pPr>
        <w:pStyle w:val="FootnoteText"/>
      </w:pPr>
      <w:r>
        <w:tab/>
      </w:r>
      <w:r>
        <w:rPr>
          <w:rStyle w:val="FootnoteReference"/>
        </w:rPr>
        <w:footnoteRef/>
      </w:r>
      <w:r>
        <w:tab/>
      </w:r>
      <w:r w:rsidRPr="001B3D0E">
        <w:t>Concluding observations</w:t>
      </w:r>
      <w:r>
        <w:t>, para. 39.</w:t>
      </w:r>
    </w:p>
  </w:footnote>
  <w:footnote w:id="30">
    <w:p w14:paraId="0DF73DDD" w14:textId="36339E16" w:rsidR="00CF09A5" w:rsidRPr="00AD430C" w:rsidRDefault="00CF09A5" w:rsidP="00B06435">
      <w:pPr>
        <w:pStyle w:val="FootnoteText"/>
        <w:rPr>
          <w:lang w:val="es-ES"/>
        </w:rPr>
      </w:pPr>
      <w:r>
        <w:tab/>
      </w:r>
      <w:r>
        <w:rPr>
          <w:rStyle w:val="FootnoteReference"/>
        </w:rPr>
        <w:footnoteRef/>
      </w:r>
      <w:r w:rsidRPr="00847C36">
        <w:tab/>
      </w:r>
      <w:proofErr w:type="spellStart"/>
      <w:r w:rsidR="00847C36" w:rsidRPr="00847C36">
        <w:rPr>
          <w:i/>
        </w:rPr>
        <w:t>Giry</w:t>
      </w:r>
      <w:proofErr w:type="spellEnd"/>
      <w:r w:rsidR="00847C36" w:rsidRPr="00847C36">
        <w:rPr>
          <w:i/>
        </w:rPr>
        <w:t xml:space="preserve"> v. Dominican </w:t>
      </w:r>
      <w:r w:rsidR="00847C36" w:rsidRPr="00B06435">
        <w:t>Republic</w:t>
      </w:r>
      <w:r w:rsidR="00847C36" w:rsidRPr="00847C36">
        <w:t xml:space="preserve">, Communication no. </w:t>
      </w:r>
      <w:r w:rsidR="00847C36">
        <w:t xml:space="preserve">193/1985, para. </w:t>
      </w:r>
      <w:r w:rsidR="00847C36" w:rsidRPr="00D9637B">
        <w:rPr>
          <w:lang w:val="es-ES"/>
        </w:rPr>
        <w:t xml:space="preserve">5.5, and </w:t>
      </w:r>
      <w:proofErr w:type="spellStart"/>
      <w:r w:rsidRPr="00CF09A5">
        <w:rPr>
          <w:i/>
          <w:lang w:val="es-ES"/>
        </w:rPr>
        <w:t>Ahani</w:t>
      </w:r>
      <w:proofErr w:type="spellEnd"/>
      <w:r w:rsidRPr="00CF09A5">
        <w:rPr>
          <w:i/>
          <w:lang w:val="es-ES"/>
        </w:rPr>
        <w:t xml:space="preserve"> v. </w:t>
      </w:r>
      <w:proofErr w:type="spellStart"/>
      <w:r w:rsidRPr="00CF09A5">
        <w:rPr>
          <w:i/>
          <w:lang w:val="es-ES"/>
        </w:rPr>
        <w:t>Canada</w:t>
      </w:r>
      <w:proofErr w:type="spellEnd"/>
      <w:r w:rsidRPr="00D9637B">
        <w:rPr>
          <w:lang w:val="es-ES"/>
        </w:rPr>
        <w:t xml:space="preserve"> (</w:t>
      </w:r>
      <w:r w:rsidRPr="00CF09A5">
        <w:rPr>
          <w:lang w:val="es-ES"/>
        </w:rPr>
        <w:t>CCPR/C/80/D/1051/2002</w:t>
      </w:r>
      <w:r>
        <w:rPr>
          <w:lang w:val="es-ES"/>
        </w:rPr>
        <w:t>), para. 10.8.</w:t>
      </w:r>
    </w:p>
  </w:footnote>
  <w:footnote w:id="31">
    <w:p w14:paraId="1AC96603" w14:textId="213A3549" w:rsidR="00AC3F80" w:rsidRPr="00AC3F80" w:rsidRDefault="00AC3F80" w:rsidP="00AC3F80">
      <w:pPr>
        <w:pStyle w:val="FootnoteText"/>
        <w:jc w:val="both"/>
      </w:pPr>
      <w:r w:rsidRPr="00D9637B">
        <w:rPr>
          <w:lang w:val="es-ES"/>
        </w:rPr>
        <w:tab/>
      </w:r>
      <w:r>
        <w:rPr>
          <w:rStyle w:val="FootnoteReference"/>
        </w:rPr>
        <w:footnoteRef/>
      </w:r>
      <w:r w:rsidRPr="00D9637B">
        <w:rPr>
          <w:lang w:val="es-ES"/>
        </w:rPr>
        <w:tab/>
      </w:r>
      <w:proofErr w:type="spellStart"/>
      <w:r w:rsidRPr="00D9637B">
        <w:rPr>
          <w:i/>
          <w:lang w:val="es-ES"/>
        </w:rPr>
        <w:t>Hammel</w:t>
      </w:r>
      <w:proofErr w:type="spellEnd"/>
      <w:r w:rsidRPr="00D9637B">
        <w:rPr>
          <w:i/>
          <w:lang w:val="es-ES"/>
        </w:rPr>
        <w:t xml:space="preserve"> v. Madagascar</w:t>
      </w:r>
      <w:r w:rsidRPr="00D9637B">
        <w:rPr>
          <w:lang w:val="es-ES"/>
        </w:rPr>
        <w:t xml:space="preserve">, </w:t>
      </w:r>
      <w:proofErr w:type="spellStart"/>
      <w:r w:rsidRPr="00D9637B">
        <w:rPr>
          <w:lang w:val="es-ES"/>
        </w:rPr>
        <w:t>Communication</w:t>
      </w:r>
      <w:proofErr w:type="spellEnd"/>
      <w:r w:rsidRPr="00D9637B">
        <w:rPr>
          <w:lang w:val="es-ES"/>
        </w:rPr>
        <w:t xml:space="preserve"> no. </w:t>
      </w:r>
      <w:r w:rsidRPr="00AC3F80">
        <w:rPr>
          <w:lang w:val="es-ES"/>
        </w:rPr>
        <w:t>155/1983</w:t>
      </w:r>
      <w:r>
        <w:rPr>
          <w:lang w:val="es-ES"/>
        </w:rPr>
        <w:t>,</w:t>
      </w:r>
      <w:r w:rsidRPr="00AC3F80">
        <w:rPr>
          <w:lang w:val="es-ES"/>
        </w:rPr>
        <w:t xml:space="preserve"> </w:t>
      </w:r>
      <w:r w:rsidRPr="00D9637B">
        <w:rPr>
          <w:lang w:val="es-ES"/>
        </w:rPr>
        <w:t xml:space="preserve">para. </w:t>
      </w:r>
      <w:r w:rsidRPr="00AC3F80">
        <w:t>19.2.</w:t>
      </w:r>
    </w:p>
  </w:footnote>
  <w:footnote w:id="32">
    <w:p w14:paraId="6D0105E7" w14:textId="0654BDA2" w:rsidR="0076085E" w:rsidRPr="00021953" w:rsidRDefault="0076085E" w:rsidP="00B06435">
      <w:pPr>
        <w:pStyle w:val="FootnoteText"/>
      </w:pPr>
      <w:r w:rsidRPr="00AC3F80">
        <w:tab/>
      </w:r>
      <w:r>
        <w:rPr>
          <w:rStyle w:val="FootnoteReference"/>
        </w:rPr>
        <w:footnoteRef/>
      </w:r>
      <w:r w:rsidRPr="00021953">
        <w:tab/>
        <w:t>Ibid.,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9AA3" w14:textId="7734AF2A" w:rsidR="0076085E" w:rsidRPr="001C7C93" w:rsidRDefault="00B526C4" w:rsidP="006A31AE">
    <w:pPr>
      <w:pStyle w:val="Header"/>
      <w:rPr>
        <w:color w:val="FF0000"/>
      </w:rPr>
    </w:pPr>
    <w:r w:rsidRPr="00B526C4">
      <w:t>Advance unedited version</w:t>
    </w:r>
    <w:r>
      <w:t xml:space="preserve"> </w:t>
    </w:r>
    <w:r w:rsidR="0076085E" w:rsidRPr="006A31AE">
      <w:t>CCPR</w:t>
    </w:r>
    <w:r w:rsidR="0076085E">
      <w:t>/C/129</w:t>
    </w:r>
    <w:r w:rsidR="0076085E" w:rsidRPr="001C7C93">
      <w:t>/</w:t>
    </w:r>
    <w:r w:rsidR="0076085E">
      <w:t>D/3106</w:t>
    </w:r>
    <w:r w:rsidR="000D0D05">
      <w:t>/2018</w:t>
    </w:r>
    <w:r w:rsidR="004836B7">
      <w:t>-3122</w:t>
    </w:r>
    <w:r w:rsidR="0076085E">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5A54" w14:textId="3B30DDC9" w:rsidR="0076085E" w:rsidRPr="00CD426C" w:rsidRDefault="00B526C4" w:rsidP="00CD426C">
    <w:pPr>
      <w:pStyle w:val="Header"/>
      <w:jc w:val="right"/>
    </w:pPr>
    <w:r w:rsidRPr="00B526C4">
      <w:t>Advance unedited version</w:t>
    </w:r>
    <w:r>
      <w:t xml:space="preserve"> </w:t>
    </w:r>
    <w:r w:rsidR="0076085E" w:rsidRPr="006A31AE">
      <w:t>CCPR</w:t>
    </w:r>
    <w:r w:rsidR="0076085E">
      <w:t>/C/129</w:t>
    </w:r>
    <w:r w:rsidR="0076085E" w:rsidRPr="001C7C93">
      <w:t>/</w:t>
    </w:r>
    <w:r w:rsidR="0076085E">
      <w:t>D/3106</w:t>
    </w:r>
    <w:r w:rsidR="000D0D05">
      <w:t>/2018</w:t>
    </w:r>
    <w:r w:rsidR="004836B7">
      <w:t>-3122</w:t>
    </w:r>
    <w:r w:rsidR="0076085E">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8B42EC"/>
    <w:multiLevelType w:val="hybridMultilevel"/>
    <w:tmpl w:val="8F3EC5F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EB44A3C"/>
    <w:multiLevelType w:val="hybridMultilevel"/>
    <w:tmpl w:val="2B6AF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567"/>
  <w:hyphenationZone w:val="425"/>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33EA"/>
    <w:rsid w:val="00004980"/>
    <w:rsid w:val="00012F61"/>
    <w:rsid w:val="000154BB"/>
    <w:rsid w:val="00015AFE"/>
    <w:rsid w:val="00021953"/>
    <w:rsid w:val="00023807"/>
    <w:rsid w:val="00024A2A"/>
    <w:rsid w:val="00027427"/>
    <w:rsid w:val="000300D7"/>
    <w:rsid w:val="00032B00"/>
    <w:rsid w:val="00037C49"/>
    <w:rsid w:val="00040E82"/>
    <w:rsid w:val="00046E92"/>
    <w:rsid w:val="0005765D"/>
    <w:rsid w:val="00063F51"/>
    <w:rsid w:val="0006523D"/>
    <w:rsid w:val="000661DA"/>
    <w:rsid w:val="00070FB2"/>
    <w:rsid w:val="00071470"/>
    <w:rsid w:val="00073FBC"/>
    <w:rsid w:val="00075A07"/>
    <w:rsid w:val="00077572"/>
    <w:rsid w:val="00077B45"/>
    <w:rsid w:val="000813E1"/>
    <w:rsid w:val="00090414"/>
    <w:rsid w:val="00091DD4"/>
    <w:rsid w:val="000927A6"/>
    <w:rsid w:val="0009305C"/>
    <w:rsid w:val="00093640"/>
    <w:rsid w:val="000A032E"/>
    <w:rsid w:val="000A1237"/>
    <w:rsid w:val="000A1CA9"/>
    <w:rsid w:val="000A1E4F"/>
    <w:rsid w:val="000A304D"/>
    <w:rsid w:val="000A3BED"/>
    <w:rsid w:val="000A45D9"/>
    <w:rsid w:val="000A45E9"/>
    <w:rsid w:val="000A6CE1"/>
    <w:rsid w:val="000B18A0"/>
    <w:rsid w:val="000B257A"/>
    <w:rsid w:val="000B28D6"/>
    <w:rsid w:val="000B3109"/>
    <w:rsid w:val="000C24A0"/>
    <w:rsid w:val="000C33DE"/>
    <w:rsid w:val="000C7386"/>
    <w:rsid w:val="000C7BBD"/>
    <w:rsid w:val="000D0D05"/>
    <w:rsid w:val="000D206F"/>
    <w:rsid w:val="000D378B"/>
    <w:rsid w:val="000D6088"/>
    <w:rsid w:val="000D6696"/>
    <w:rsid w:val="000D6B2F"/>
    <w:rsid w:val="000E23C1"/>
    <w:rsid w:val="000E25D3"/>
    <w:rsid w:val="000E3827"/>
    <w:rsid w:val="000E647C"/>
    <w:rsid w:val="000E767C"/>
    <w:rsid w:val="000E79F7"/>
    <w:rsid w:val="000F042B"/>
    <w:rsid w:val="000F138E"/>
    <w:rsid w:val="000F3AD4"/>
    <w:rsid w:val="000F4B27"/>
    <w:rsid w:val="000F63A1"/>
    <w:rsid w:val="000F6717"/>
    <w:rsid w:val="000F7F7C"/>
    <w:rsid w:val="0010269D"/>
    <w:rsid w:val="0010311F"/>
    <w:rsid w:val="00103FE7"/>
    <w:rsid w:val="00104A5B"/>
    <w:rsid w:val="00107781"/>
    <w:rsid w:val="001115BE"/>
    <w:rsid w:val="0011220A"/>
    <w:rsid w:val="0011510D"/>
    <w:rsid w:val="00117646"/>
    <w:rsid w:val="00120C3C"/>
    <w:rsid w:val="001211F9"/>
    <w:rsid w:val="001217E0"/>
    <w:rsid w:val="0012275A"/>
    <w:rsid w:val="00123717"/>
    <w:rsid w:val="001245BC"/>
    <w:rsid w:val="00126A55"/>
    <w:rsid w:val="00130F33"/>
    <w:rsid w:val="00131D7A"/>
    <w:rsid w:val="00134C68"/>
    <w:rsid w:val="00135862"/>
    <w:rsid w:val="00135DB6"/>
    <w:rsid w:val="00142AF6"/>
    <w:rsid w:val="00143E74"/>
    <w:rsid w:val="00144F03"/>
    <w:rsid w:val="0015009D"/>
    <w:rsid w:val="00150953"/>
    <w:rsid w:val="0015582D"/>
    <w:rsid w:val="00156B2F"/>
    <w:rsid w:val="00157B59"/>
    <w:rsid w:val="001611E6"/>
    <w:rsid w:val="00161AB0"/>
    <w:rsid w:val="00161CB6"/>
    <w:rsid w:val="0016243C"/>
    <w:rsid w:val="0016399D"/>
    <w:rsid w:val="001646F8"/>
    <w:rsid w:val="00165C15"/>
    <w:rsid w:val="0017198F"/>
    <w:rsid w:val="00172982"/>
    <w:rsid w:val="00180493"/>
    <w:rsid w:val="001811D5"/>
    <w:rsid w:val="00182383"/>
    <w:rsid w:val="00182833"/>
    <w:rsid w:val="00182F48"/>
    <w:rsid w:val="00184EDC"/>
    <w:rsid w:val="0018576C"/>
    <w:rsid w:val="00187844"/>
    <w:rsid w:val="001917A6"/>
    <w:rsid w:val="001A270D"/>
    <w:rsid w:val="001A369C"/>
    <w:rsid w:val="001A6AB9"/>
    <w:rsid w:val="001A7727"/>
    <w:rsid w:val="001B2154"/>
    <w:rsid w:val="001B3D0E"/>
    <w:rsid w:val="001B5C14"/>
    <w:rsid w:val="001B6715"/>
    <w:rsid w:val="001B7AB6"/>
    <w:rsid w:val="001C0B68"/>
    <w:rsid w:val="001C328E"/>
    <w:rsid w:val="001C3DB0"/>
    <w:rsid w:val="001C4028"/>
    <w:rsid w:val="001C574D"/>
    <w:rsid w:val="001C7C93"/>
    <w:rsid w:val="001D6992"/>
    <w:rsid w:val="001D6CC6"/>
    <w:rsid w:val="001D702E"/>
    <w:rsid w:val="001D745A"/>
    <w:rsid w:val="001E142C"/>
    <w:rsid w:val="001E2C99"/>
    <w:rsid w:val="001E692C"/>
    <w:rsid w:val="001F1369"/>
    <w:rsid w:val="001F273A"/>
    <w:rsid w:val="001F48DC"/>
    <w:rsid w:val="001F4D42"/>
    <w:rsid w:val="00203052"/>
    <w:rsid w:val="0020442D"/>
    <w:rsid w:val="0020459F"/>
    <w:rsid w:val="00207C51"/>
    <w:rsid w:val="00210FB5"/>
    <w:rsid w:val="00213CAE"/>
    <w:rsid w:val="00213D68"/>
    <w:rsid w:val="0021633F"/>
    <w:rsid w:val="002163DE"/>
    <w:rsid w:val="00220A57"/>
    <w:rsid w:val="00220C79"/>
    <w:rsid w:val="00221FEB"/>
    <w:rsid w:val="00224799"/>
    <w:rsid w:val="00226C15"/>
    <w:rsid w:val="002327ED"/>
    <w:rsid w:val="00232AC6"/>
    <w:rsid w:val="00235A9F"/>
    <w:rsid w:val="00236931"/>
    <w:rsid w:val="002377D1"/>
    <w:rsid w:val="0024019E"/>
    <w:rsid w:val="0024232F"/>
    <w:rsid w:val="0024411F"/>
    <w:rsid w:val="00244A47"/>
    <w:rsid w:val="00244A48"/>
    <w:rsid w:val="00247E2C"/>
    <w:rsid w:val="0025057B"/>
    <w:rsid w:val="00255E07"/>
    <w:rsid w:val="002616BF"/>
    <w:rsid w:val="00262D20"/>
    <w:rsid w:val="00263A0C"/>
    <w:rsid w:val="00265180"/>
    <w:rsid w:val="0026687A"/>
    <w:rsid w:val="002671BF"/>
    <w:rsid w:val="00267444"/>
    <w:rsid w:val="00271D3B"/>
    <w:rsid w:val="00272B31"/>
    <w:rsid w:val="00275502"/>
    <w:rsid w:val="002831A9"/>
    <w:rsid w:val="0028337B"/>
    <w:rsid w:val="00287032"/>
    <w:rsid w:val="00287F04"/>
    <w:rsid w:val="002928E9"/>
    <w:rsid w:val="0029529D"/>
    <w:rsid w:val="00295764"/>
    <w:rsid w:val="00296CD2"/>
    <w:rsid w:val="00297089"/>
    <w:rsid w:val="002A760B"/>
    <w:rsid w:val="002B0391"/>
    <w:rsid w:val="002B3ADD"/>
    <w:rsid w:val="002B3EBD"/>
    <w:rsid w:val="002B4743"/>
    <w:rsid w:val="002B7DC0"/>
    <w:rsid w:val="002B7EAD"/>
    <w:rsid w:val="002C2D37"/>
    <w:rsid w:val="002C5E30"/>
    <w:rsid w:val="002C6D4F"/>
    <w:rsid w:val="002C7772"/>
    <w:rsid w:val="002D119C"/>
    <w:rsid w:val="002D25A0"/>
    <w:rsid w:val="002D28AB"/>
    <w:rsid w:val="002D2C85"/>
    <w:rsid w:val="002D418E"/>
    <w:rsid w:val="002D6C53"/>
    <w:rsid w:val="002D716B"/>
    <w:rsid w:val="002D77A8"/>
    <w:rsid w:val="002E5349"/>
    <w:rsid w:val="002E547C"/>
    <w:rsid w:val="002E58FC"/>
    <w:rsid w:val="002F0E29"/>
    <w:rsid w:val="002F1EF5"/>
    <w:rsid w:val="002F4DC1"/>
    <w:rsid w:val="002F5595"/>
    <w:rsid w:val="002F7C74"/>
    <w:rsid w:val="00302CC8"/>
    <w:rsid w:val="00302D1D"/>
    <w:rsid w:val="00304A50"/>
    <w:rsid w:val="00310E2D"/>
    <w:rsid w:val="0031145C"/>
    <w:rsid w:val="00311C3E"/>
    <w:rsid w:val="003125C4"/>
    <w:rsid w:val="00313224"/>
    <w:rsid w:val="00315A29"/>
    <w:rsid w:val="00320C17"/>
    <w:rsid w:val="00321CC6"/>
    <w:rsid w:val="0032513A"/>
    <w:rsid w:val="003257E5"/>
    <w:rsid w:val="003348F0"/>
    <w:rsid w:val="00334F6A"/>
    <w:rsid w:val="00340440"/>
    <w:rsid w:val="00342AC8"/>
    <w:rsid w:val="00343894"/>
    <w:rsid w:val="00345E42"/>
    <w:rsid w:val="003463DE"/>
    <w:rsid w:val="0034668E"/>
    <w:rsid w:val="003479B0"/>
    <w:rsid w:val="00351412"/>
    <w:rsid w:val="0035185A"/>
    <w:rsid w:val="00352DC8"/>
    <w:rsid w:val="00356F4A"/>
    <w:rsid w:val="00357333"/>
    <w:rsid w:val="00361183"/>
    <w:rsid w:val="003615CA"/>
    <w:rsid w:val="00361772"/>
    <w:rsid w:val="0036464E"/>
    <w:rsid w:val="00365623"/>
    <w:rsid w:val="00367C79"/>
    <w:rsid w:val="00370D72"/>
    <w:rsid w:val="00371F79"/>
    <w:rsid w:val="00377842"/>
    <w:rsid w:val="0038155F"/>
    <w:rsid w:val="003846CE"/>
    <w:rsid w:val="0038602B"/>
    <w:rsid w:val="0038634B"/>
    <w:rsid w:val="00390AAB"/>
    <w:rsid w:val="00392E7A"/>
    <w:rsid w:val="00395056"/>
    <w:rsid w:val="003967E4"/>
    <w:rsid w:val="00397369"/>
    <w:rsid w:val="003A1F69"/>
    <w:rsid w:val="003A2D41"/>
    <w:rsid w:val="003A3151"/>
    <w:rsid w:val="003A5439"/>
    <w:rsid w:val="003B4550"/>
    <w:rsid w:val="003B5F0D"/>
    <w:rsid w:val="003B6110"/>
    <w:rsid w:val="003C22A5"/>
    <w:rsid w:val="003C2331"/>
    <w:rsid w:val="003C2698"/>
    <w:rsid w:val="003C2D5C"/>
    <w:rsid w:val="003D24A4"/>
    <w:rsid w:val="003D67FF"/>
    <w:rsid w:val="003E0A97"/>
    <w:rsid w:val="003E3DF5"/>
    <w:rsid w:val="003E59A2"/>
    <w:rsid w:val="003E5DD0"/>
    <w:rsid w:val="003F0B57"/>
    <w:rsid w:val="003F4AF1"/>
    <w:rsid w:val="0040098E"/>
    <w:rsid w:val="00401400"/>
    <w:rsid w:val="00401CC3"/>
    <w:rsid w:val="00402FA2"/>
    <w:rsid w:val="004101FF"/>
    <w:rsid w:val="00410B5A"/>
    <w:rsid w:val="0041169C"/>
    <w:rsid w:val="00412C5D"/>
    <w:rsid w:val="00413ADA"/>
    <w:rsid w:val="004167CF"/>
    <w:rsid w:val="00417220"/>
    <w:rsid w:val="00417C31"/>
    <w:rsid w:val="0042004A"/>
    <w:rsid w:val="00424273"/>
    <w:rsid w:val="00425F28"/>
    <w:rsid w:val="00426E54"/>
    <w:rsid w:val="00427AA2"/>
    <w:rsid w:val="0043052C"/>
    <w:rsid w:val="00430770"/>
    <w:rsid w:val="0043231E"/>
    <w:rsid w:val="004409D4"/>
    <w:rsid w:val="00442825"/>
    <w:rsid w:val="004442BF"/>
    <w:rsid w:val="00452CA7"/>
    <w:rsid w:val="00454C10"/>
    <w:rsid w:val="004610B0"/>
    <w:rsid w:val="00461253"/>
    <w:rsid w:val="004619B8"/>
    <w:rsid w:val="00463287"/>
    <w:rsid w:val="00463BB6"/>
    <w:rsid w:val="004640B2"/>
    <w:rsid w:val="00465CA7"/>
    <w:rsid w:val="00467CC1"/>
    <w:rsid w:val="004717DF"/>
    <w:rsid w:val="00472B37"/>
    <w:rsid w:val="004744E8"/>
    <w:rsid w:val="00480A61"/>
    <w:rsid w:val="0048137F"/>
    <w:rsid w:val="00481D62"/>
    <w:rsid w:val="004836B7"/>
    <w:rsid w:val="004846CF"/>
    <w:rsid w:val="00487C03"/>
    <w:rsid w:val="004912AE"/>
    <w:rsid w:val="0049259A"/>
    <w:rsid w:val="0049313F"/>
    <w:rsid w:val="004960D5"/>
    <w:rsid w:val="004A0799"/>
    <w:rsid w:val="004A59DF"/>
    <w:rsid w:val="004A6F12"/>
    <w:rsid w:val="004A71DC"/>
    <w:rsid w:val="004A75C8"/>
    <w:rsid w:val="004B5E18"/>
    <w:rsid w:val="004B6D99"/>
    <w:rsid w:val="004C1B6F"/>
    <w:rsid w:val="004C36A9"/>
    <w:rsid w:val="004C3708"/>
    <w:rsid w:val="004D2B1E"/>
    <w:rsid w:val="004D5B18"/>
    <w:rsid w:val="004D6600"/>
    <w:rsid w:val="004D74B1"/>
    <w:rsid w:val="004E0DEB"/>
    <w:rsid w:val="004E254B"/>
    <w:rsid w:val="004E360A"/>
    <w:rsid w:val="004E610E"/>
    <w:rsid w:val="004F16AC"/>
    <w:rsid w:val="004F1A64"/>
    <w:rsid w:val="004F1EA1"/>
    <w:rsid w:val="004F1F14"/>
    <w:rsid w:val="004F2343"/>
    <w:rsid w:val="004F3D0E"/>
    <w:rsid w:val="004F53D7"/>
    <w:rsid w:val="004F55AE"/>
    <w:rsid w:val="004F5EDD"/>
    <w:rsid w:val="005042C2"/>
    <w:rsid w:val="00506401"/>
    <w:rsid w:val="0051379D"/>
    <w:rsid w:val="00514E48"/>
    <w:rsid w:val="00516A0A"/>
    <w:rsid w:val="00516F2B"/>
    <w:rsid w:val="00522333"/>
    <w:rsid w:val="00525607"/>
    <w:rsid w:val="005305A6"/>
    <w:rsid w:val="00531097"/>
    <w:rsid w:val="0053366E"/>
    <w:rsid w:val="005342D9"/>
    <w:rsid w:val="005422D4"/>
    <w:rsid w:val="005424C0"/>
    <w:rsid w:val="005425B1"/>
    <w:rsid w:val="005426F4"/>
    <w:rsid w:val="00550F35"/>
    <w:rsid w:val="00551569"/>
    <w:rsid w:val="00552BA6"/>
    <w:rsid w:val="00552F68"/>
    <w:rsid w:val="005553FD"/>
    <w:rsid w:val="00561259"/>
    <w:rsid w:val="00562B43"/>
    <w:rsid w:val="00564758"/>
    <w:rsid w:val="00565F29"/>
    <w:rsid w:val="00566A7E"/>
    <w:rsid w:val="00570919"/>
    <w:rsid w:val="00571780"/>
    <w:rsid w:val="00571F76"/>
    <w:rsid w:val="00572181"/>
    <w:rsid w:val="00575898"/>
    <w:rsid w:val="00576D31"/>
    <w:rsid w:val="0057729F"/>
    <w:rsid w:val="0058005E"/>
    <w:rsid w:val="005802CB"/>
    <w:rsid w:val="0058151C"/>
    <w:rsid w:val="00581FE3"/>
    <w:rsid w:val="00584186"/>
    <w:rsid w:val="00590280"/>
    <w:rsid w:val="005904F0"/>
    <w:rsid w:val="00591235"/>
    <w:rsid w:val="00592A9F"/>
    <w:rsid w:val="005A1C64"/>
    <w:rsid w:val="005A2E75"/>
    <w:rsid w:val="005A6BCB"/>
    <w:rsid w:val="005A6E36"/>
    <w:rsid w:val="005B02AC"/>
    <w:rsid w:val="005B1146"/>
    <w:rsid w:val="005B53E5"/>
    <w:rsid w:val="005C4CFD"/>
    <w:rsid w:val="005C5724"/>
    <w:rsid w:val="005C59D0"/>
    <w:rsid w:val="005D1364"/>
    <w:rsid w:val="005E1356"/>
    <w:rsid w:val="005E3875"/>
    <w:rsid w:val="005E5B9A"/>
    <w:rsid w:val="005E60C6"/>
    <w:rsid w:val="005F2318"/>
    <w:rsid w:val="005F3F0C"/>
    <w:rsid w:val="005F5F92"/>
    <w:rsid w:val="005F6C6F"/>
    <w:rsid w:val="00601853"/>
    <w:rsid w:val="006036B6"/>
    <w:rsid w:val="00604E90"/>
    <w:rsid w:val="006114D1"/>
    <w:rsid w:val="00613363"/>
    <w:rsid w:val="0061369E"/>
    <w:rsid w:val="00615544"/>
    <w:rsid w:val="0061653A"/>
    <w:rsid w:val="0061739C"/>
    <w:rsid w:val="00617776"/>
    <w:rsid w:val="00620891"/>
    <w:rsid w:val="00620DD5"/>
    <w:rsid w:val="006216D4"/>
    <w:rsid w:val="006219C5"/>
    <w:rsid w:val="006261AC"/>
    <w:rsid w:val="0062726E"/>
    <w:rsid w:val="00634E55"/>
    <w:rsid w:val="006363D8"/>
    <w:rsid w:val="0063703F"/>
    <w:rsid w:val="006420E7"/>
    <w:rsid w:val="006440F1"/>
    <w:rsid w:val="0064464D"/>
    <w:rsid w:val="0065749A"/>
    <w:rsid w:val="0066491A"/>
    <w:rsid w:val="00664BD9"/>
    <w:rsid w:val="00664EAB"/>
    <w:rsid w:val="0066561A"/>
    <w:rsid w:val="00671529"/>
    <w:rsid w:val="00672063"/>
    <w:rsid w:val="00673B74"/>
    <w:rsid w:val="0067479E"/>
    <w:rsid w:val="00676170"/>
    <w:rsid w:val="0068307E"/>
    <w:rsid w:val="00683762"/>
    <w:rsid w:val="00685ACF"/>
    <w:rsid w:val="00685F00"/>
    <w:rsid w:val="00690CC8"/>
    <w:rsid w:val="00692F74"/>
    <w:rsid w:val="006934D9"/>
    <w:rsid w:val="006A1A7C"/>
    <w:rsid w:val="006A25CB"/>
    <w:rsid w:val="006A31AE"/>
    <w:rsid w:val="006A5B75"/>
    <w:rsid w:val="006A7E91"/>
    <w:rsid w:val="006B170D"/>
    <w:rsid w:val="006B242D"/>
    <w:rsid w:val="006B4C2C"/>
    <w:rsid w:val="006B7DE5"/>
    <w:rsid w:val="006C5576"/>
    <w:rsid w:val="006C7E8C"/>
    <w:rsid w:val="006C7FD8"/>
    <w:rsid w:val="006D3FF6"/>
    <w:rsid w:val="006D4D2F"/>
    <w:rsid w:val="006D51A3"/>
    <w:rsid w:val="006D65D3"/>
    <w:rsid w:val="006D6ABA"/>
    <w:rsid w:val="006E7AC3"/>
    <w:rsid w:val="006F0699"/>
    <w:rsid w:val="006F153F"/>
    <w:rsid w:val="006F1AA2"/>
    <w:rsid w:val="006F2382"/>
    <w:rsid w:val="006F275C"/>
    <w:rsid w:val="006F301E"/>
    <w:rsid w:val="006F785B"/>
    <w:rsid w:val="007013A8"/>
    <w:rsid w:val="007038C1"/>
    <w:rsid w:val="00705395"/>
    <w:rsid w:val="007056D0"/>
    <w:rsid w:val="00706330"/>
    <w:rsid w:val="00706F1E"/>
    <w:rsid w:val="00707466"/>
    <w:rsid w:val="007114CD"/>
    <w:rsid w:val="0071515E"/>
    <w:rsid w:val="007167F0"/>
    <w:rsid w:val="00717348"/>
    <w:rsid w:val="0071791D"/>
    <w:rsid w:val="007179F6"/>
    <w:rsid w:val="00717E30"/>
    <w:rsid w:val="00720F42"/>
    <w:rsid w:val="00722BE6"/>
    <w:rsid w:val="00724109"/>
    <w:rsid w:val="007268F9"/>
    <w:rsid w:val="007313B3"/>
    <w:rsid w:val="00735297"/>
    <w:rsid w:val="00737F4A"/>
    <w:rsid w:val="00740CC1"/>
    <w:rsid w:val="00741262"/>
    <w:rsid w:val="00743057"/>
    <w:rsid w:val="007432E8"/>
    <w:rsid w:val="00743349"/>
    <w:rsid w:val="00743CAF"/>
    <w:rsid w:val="00743E68"/>
    <w:rsid w:val="007449F9"/>
    <w:rsid w:val="00745273"/>
    <w:rsid w:val="00755EBD"/>
    <w:rsid w:val="007561C3"/>
    <w:rsid w:val="0076085E"/>
    <w:rsid w:val="00761EEC"/>
    <w:rsid w:val="00764B1F"/>
    <w:rsid w:val="00766229"/>
    <w:rsid w:val="0076643A"/>
    <w:rsid w:val="00767272"/>
    <w:rsid w:val="007706E3"/>
    <w:rsid w:val="00772602"/>
    <w:rsid w:val="00773C72"/>
    <w:rsid w:val="007763BF"/>
    <w:rsid w:val="0077667D"/>
    <w:rsid w:val="00777F15"/>
    <w:rsid w:val="00781B01"/>
    <w:rsid w:val="007821C3"/>
    <w:rsid w:val="0078564A"/>
    <w:rsid w:val="00785FAB"/>
    <w:rsid w:val="00790BD6"/>
    <w:rsid w:val="00797CEB"/>
    <w:rsid w:val="00797F2E"/>
    <w:rsid w:val="007A0426"/>
    <w:rsid w:val="007A1333"/>
    <w:rsid w:val="007A296C"/>
    <w:rsid w:val="007A53FF"/>
    <w:rsid w:val="007A6435"/>
    <w:rsid w:val="007A697F"/>
    <w:rsid w:val="007B0DB4"/>
    <w:rsid w:val="007B0E09"/>
    <w:rsid w:val="007B20A6"/>
    <w:rsid w:val="007B32D6"/>
    <w:rsid w:val="007B34AF"/>
    <w:rsid w:val="007C1B97"/>
    <w:rsid w:val="007C52B0"/>
    <w:rsid w:val="007C747B"/>
    <w:rsid w:val="007C7ADD"/>
    <w:rsid w:val="007D0C57"/>
    <w:rsid w:val="007D0F11"/>
    <w:rsid w:val="007D2C2A"/>
    <w:rsid w:val="007D4DA1"/>
    <w:rsid w:val="007D554C"/>
    <w:rsid w:val="007D5A07"/>
    <w:rsid w:val="007E0DC1"/>
    <w:rsid w:val="007E1FEE"/>
    <w:rsid w:val="007E581A"/>
    <w:rsid w:val="007E67ED"/>
    <w:rsid w:val="0080181F"/>
    <w:rsid w:val="008032BD"/>
    <w:rsid w:val="00803654"/>
    <w:rsid w:val="008053B9"/>
    <w:rsid w:val="008061C1"/>
    <w:rsid w:val="00806356"/>
    <w:rsid w:val="008113B5"/>
    <w:rsid w:val="00813B40"/>
    <w:rsid w:val="00813E50"/>
    <w:rsid w:val="00816DE5"/>
    <w:rsid w:val="00817E57"/>
    <w:rsid w:val="00817E90"/>
    <w:rsid w:val="00821020"/>
    <w:rsid w:val="00822A84"/>
    <w:rsid w:val="0082438F"/>
    <w:rsid w:val="00832849"/>
    <w:rsid w:val="00833466"/>
    <w:rsid w:val="00833CFF"/>
    <w:rsid w:val="00834323"/>
    <w:rsid w:val="00834741"/>
    <w:rsid w:val="00836B71"/>
    <w:rsid w:val="00840104"/>
    <w:rsid w:val="00842606"/>
    <w:rsid w:val="00842A73"/>
    <w:rsid w:val="0084567B"/>
    <w:rsid w:val="00845B4F"/>
    <w:rsid w:val="00845E52"/>
    <w:rsid w:val="00847C36"/>
    <w:rsid w:val="008575B2"/>
    <w:rsid w:val="008629B7"/>
    <w:rsid w:val="008719E6"/>
    <w:rsid w:val="00875430"/>
    <w:rsid w:val="00875C06"/>
    <w:rsid w:val="00875EAC"/>
    <w:rsid w:val="0087629D"/>
    <w:rsid w:val="00880532"/>
    <w:rsid w:val="00880690"/>
    <w:rsid w:val="0088117F"/>
    <w:rsid w:val="00885B95"/>
    <w:rsid w:val="00892609"/>
    <w:rsid w:val="0089463E"/>
    <w:rsid w:val="00897037"/>
    <w:rsid w:val="008973B3"/>
    <w:rsid w:val="008A1720"/>
    <w:rsid w:val="008A336C"/>
    <w:rsid w:val="008A3642"/>
    <w:rsid w:val="008A4BE5"/>
    <w:rsid w:val="008A65FE"/>
    <w:rsid w:val="008B0349"/>
    <w:rsid w:val="008B2136"/>
    <w:rsid w:val="008B3BBC"/>
    <w:rsid w:val="008B6A14"/>
    <w:rsid w:val="008B7913"/>
    <w:rsid w:val="008C0022"/>
    <w:rsid w:val="008C16B0"/>
    <w:rsid w:val="008C1E61"/>
    <w:rsid w:val="008C649D"/>
    <w:rsid w:val="008D0423"/>
    <w:rsid w:val="008D1EBF"/>
    <w:rsid w:val="008D2966"/>
    <w:rsid w:val="008D3450"/>
    <w:rsid w:val="008D3AF9"/>
    <w:rsid w:val="008D6DC8"/>
    <w:rsid w:val="008D7D3B"/>
    <w:rsid w:val="008E251C"/>
    <w:rsid w:val="008E3B61"/>
    <w:rsid w:val="008E4287"/>
    <w:rsid w:val="008F0A54"/>
    <w:rsid w:val="008F1D6F"/>
    <w:rsid w:val="008F3120"/>
    <w:rsid w:val="008F390F"/>
    <w:rsid w:val="008F3915"/>
    <w:rsid w:val="008F39E8"/>
    <w:rsid w:val="00903ACE"/>
    <w:rsid w:val="0090461F"/>
    <w:rsid w:val="00906BD4"/>
    <w:rsid w:val="00920C27"/>
    <w:rsid w:val="009219BD"/>
    <w:rsid w:val="009248C4"/>
    <w:rsid w:val="00925FAC"/>
    <w:rsid w:val="00935AE6"/>
    <w:rsid w:val="00935F4C"/>
    <w:rsid w:val="00937293"/>
    <w:rsid w:val="009411B4"/>
    <w:rsid w:val="009425E7"/>
    <w:rsid w:val="00943224"/>
    <w:rsid w:val="009445EA"/>
    <w:rsid w:val="00944F91"/>
    <w:rsid w:val="009510B1"/>
    <w:rsid w:val="00954F19"/>
    <w:rsid w:val="00956DAD"/>
    <w:rsid w:val="00957634"/>
    <w:rsid w:val="00960444"/>
    <w:rsid w:val="0096506C"/>
    <w:rsid w:val="00966F0C"/>
    <w:rsid w:val="0097198F"/>
    <w:rsid w:val="0097340A"/>
    <w:rsid w:val="00981C7B"/>
    <w:rsid w:val="00987575"/>
    <w:rsid w:val="00991FD4"/>
    <w:rsid w:val="00993757"/>
    <w:rsid w:val="009939D3"/>
    <w:rsid w:val="00994FD9"/>
    <w:rsid w:val="009966DA"/>
    <w:rsid w:val="009A1175"/>
    <w:rsid w:val="009A271E"/>
    <w:rsid w:val="009A291C"/>
    <w:rsid w:val="009A3293"/>
    <w:rsid w:val="009A7A71"/>
    <w:rsid w:val="009B2685"/>
    <w:rsid w:val="009B2A48"/>
    <w:rsid w:val="009B7396"/>
    <w:rsid w:val="009B7773"/>
    <w:rsid w:val="009C227E"/>
    <w:rsid w:val="009C26EF"/>
    <w:rsid w:val="009C2DF4"/>
    <w:rsid w:val="009D0139"/>
    <w:rsid w:val="009D1C90"/>
    <w:rsid w:val="009D2F3C"/>
    <w:rsid w:val="009E02C5"/>
    <w:rsid w:val="009E1068"/>
    <w:rsid w:val="009E1903"/>
    <w:rsid w:val="009E1EA2"/>
    <w:rsid w:val="009F284D"/>
    <w:rsid w:val="009F5CDC"/>
    <w:rsid w:val="009F64B0"/>
    <w:rsid w:val="009F71B1"/>
    <w:rsid w:val="009F777F"/>
    <w:rsid w:val="00A0282D"/>
    <w:rsid w:val="00A04B32"/>
    <w:rsid w:val="00A06841"/>
    <w:rsid w:val="00A1241A"/>
    <w:rsid w:val="00A17222"/>
    <w:rsid w:val="00A20479"/>
    <w:rsid w:val="00A20865"/>
    <w:rsid w:val="00A23459"/>
    <w:rsid w:val="00A25BCA"/>
    <w:rsid w:val="00A2636B"/>
    <w:rsid w:val="00A322B2"/>
    <w:rsid w:val="00A32D73"/>
    <w:rsid w:val="00A33125"/>
    <w:rsid w:val="00A33208"/>
    <w:rsid w:val="00A33881"/>
    <w:rsid w:val="00A368A0"/>
    <w:rsid w:val="00A42021"/>
    <w:rsid w:val="00A45575"/>
    <w:rsid w:val="00A46A9F"/>
    <w:rsid w:val="00A50C7D"/>
    <w:rsid w:val="00A51019"/>
    <w:rsid w:val="00A532A4"/>
    <w:rsid w:val="00A57A6A"/>
    <w:rsid w:val="00A60700"/>
    <w:rsid w:val="00A60B7D"/>
    <w:rsid w:val="00A60CBD"/>
    <w:rsid w:val="00A61809"/>
    <w:rsid w:val="00A643B5"/>
    <w:rsid w:val="00A64433"/>
    <w:rsid w:val="00A67924"/>
    <w:rsid w:val="00A70230"/>
    <w:rsid w:val="00A775CF"/>
    <w:rsid w:val="00A800E0"/>
    <w:rsid w:val="00A81380"/>
    <w:rsid w:val="00A82872"/>
    <w:rsid w:val="00A834A1"/>
    <w:rsid w:val="00A834CE"/>
    <w:rsid w:val="00A90A19"/>
    <w:rsid w:val="00A931EE"/>
    <w:rsid w:val="00A953CA"/>
    <w:rsid w:val="00A97270"/>
    <w:rsid w:val="00AA2C26"/>
    <w:rsid w:val="00AA5293"/>
    <w:rsid w:val="00AA6E66"/>
    <w:rsid w:val="00AB1C50"/>
    <w:rsid w:val="00AB29B8"/>
    <w:rsid w:val="00AB3421"/>
    <w:rsid w:val="00AB4068"/>
    <w:rsid w:val="00AB6E0D"/>
    <w:rsid w:val="00AC1EBE"/>
    <w:rsid w:val="00AC1FBF"/>
    <w:rsid w:val="00AC366D"/>
    <w:rsid w:val="00AC3F80"/>
    <w:rsid w:val="00AD04FE"/>
    <w:rsid w:val="00AD36AF"/>
    <w:rsid w:val="00AD36DE"/>
    <w:rsid w:val="00AD430C"/>
    <w:rsid w:val="00AD5DC3"/>
    <w:rsid w:val="00AD5FE2"/>
    <w:rsid w:val="00AE0983"/>
    <w:rsid w:val="00AE1BDB"/>
    <w:rsid w:val="00AE5123"/>
    <w:rsid w:val="00AE5B2C"/>
    <w:rsid w:val="00AE6F1C"/>
    <w:rsid w:val="00AF2059"/>
    <w:rsid w:val="00AF24EC"/>
    <w:rsid w:val="00AF2E67"/>
    <w:rsid w:val="00AF7726"/>
    <w:rsid w:val="00B018E2"/>
    <w:rsid w:val="00B02010"/>
    <w:rsid w:val="00B06045"/>
    <w:rsid w:val="00B06435"/>
    <w:rsid w:val="00B069F7"/>
    <w:rsid w:val="00B06C58"/>
    <w:rsid w:val="00B078CA"/>
    <w:rsid w:val="00B10EA2"/>
    <w:rsid w:val="00B132E2"/>
    <w:rsid w:val="00B137E0"/>
    <w:rsid w:val="00B1796C"/>
    <w:rsid w:val="00B2613E"/>
    <w:rsid w:val="00B270AF"/>
    <w:rsid w:val="00B27807"/>
    <w:rsid w:val="00B30306"/>
    <w:rsid w:val="00B31320"/>
    <w:rsid w:val="00B339FA"/>
    <w:rsid w:val="00B3527E"/>
    <w:rsid w:val="00B36DBC"/>
    <w:rsid w:val="00B36F57"/>
    <w:rsid w:val="00B37D39"/>
    <w:rsid w:val="00B42439"/>
    <w:rsid w:val="00B42B8B"/>
    <w:rsid w:val="00B444B7"/>
    <w:rsid w:val="00B4514A"/>
    <w:rsid w:val="00B4521F"/>
    <w:rsid w:val="00B452FF"/>
    <w:rsid w:val="00B459C5"/>
    <w:rsid w:val="00B477A1"/>
    <w:rsid w:val="00B526C4"/>
    <w:rsid w:val="00B557ED"/>
    <w:rsid w:val="00B56ED4"/>
    <w:rsid w:val="00B6230D"/>
    <w:rsid w:val="00B63BFB"/>
    <w:rsid w:val="00B64E3C"/>
    <w:rsid w:val="00B65FC3"/>
    <w:rsid w:val="00B71791"/>
    <w:rsid w:val="00B738C1"/>
    <w:rsid w:val="00B809A6"/>
    <w:rsid w:val="00B80D16"/>
    <w:rsid w:val="00B81847"/>
    <w:rsid w:val="00B83813"/>
    <w:rsid w:val="00B85C8B"/>
    <w:rsid w:val="00B878A3"/>
    <w:rsid w:val="00B903E5"/>
    <w:rsid w:val="00B909A3"/>
    <w:rsid w:val="00BA281F"/>
    <w:rsid w:val="00BA3416"/>
    <w:rsid w:val="00BA3E9B"/>
    <w:rsid w:val="00BA4EC1"/>
    <w:rsid w:val="00BB49CE"/>
    <w:rsid w:val="00BB49FA"/>
    <w:rsid w:val="00BB6070"/>
    <w:rsid w:val="00BB6D0B"/>
    <w:rsid w:val="00BB77EF"/>
    <w:rsid w:val="00BB7963"/>
    <w:rsid w:val="00BB7D2B"/>
    <w:rsid w:val="00BC09B5"/>
    <w:rsid w:val="00BC2E32"/>
    <w:rsid w:val="00BC4456"/>
    <w:rsid w:val="00BC480C"/>
    <w:rsid w:val="00BC5EBE"/>
    <w:rsid w:val="00BC7C3A"/>
    <w:rsid w:val="00BC7F92"/>
    <w:rsid w:val="00BD0857"/>
    <w:rsid w:val="00BD1D80"/>
    <w:rsid w:val="00BD4586"/>
    <w:rsid w:val="00BD524D"/>
    <w:rsid w:val="00BD53FC"/>
    <w:rsid w:val="00BE127C"/>
    <w:rsid w:val="00BE3944"/>
    <w:rsid w:val="00BE6AD9"/>
    <w:rsid w:val="00BF13F3"/>
    <w:rsid w:val="00BF344E"/>
    <w:rsid w:val="00BF3E4A"/>
    <w:rsid w:val="00BF536B"/>
    <w:rsid w:val="00C00FB4"/>
    <w:rsid w:val="00C01B8A"/>
    <w:rsid w:val="00C04B8B"/>
    <w:rsid w:val="00C04BCF"/>
    <w:rsid w:val="00C16163"/>
    <w:rsid w:val="00C20532"/>
    <w:rsid w:val="00C2241F"/>
    <w:rsid w:val="00C23B4C"/>
    <w:rsid w:val="00C2732B"/>
    <w:rsid w:val="00C27D57"/>
    <w:rsid w:val="00C3111D"/>
    <w:rsid w:val="00C33044"/>
    <w:rsid w:val="00C35A27"/>
    <w:rsid w:val="00C44CF3"/>
    <w:rsid w:val="00C467BC"/>
    <w:rsid w:val="00C50326"/>
    <w:rsid w:val="00C506F6"/>
    <w:rsid w:val="00C50D03"/>
    <w:rsid w:val="00C5400B"/>
    <w:rsid w:val="00C6095C"/>
    <w:rsid w:val="00C61999"/>
    <w:rsid w:val="00C62C7C"/>
    <w:rsid w:val="00C658FE"/>
    <w:rsid w:val="00C71A9A"/>
    <w:rsid w:val="00C73A16"/>
    <w:rsid w:val="00C744F4"/>
    <w:rsid w:val="00C75B77"/>
    <w:rsid w:val="00C80BFC"/>
    <w:rsid w:val="00C85765"/>
    <w:rsid w:val="00C937B8"/>
    <w:rsid w:val="00C94B78"/>
    <w:rsid w:val="00C952FF"/>
    <w:rsid w:val="00C95FB0"/>
    <w:rsid w:val="00CA4988"/>
    <w:rsid w:val="00CA6397"/>
    <w:rsid w:val="00CB0F4E"/>
    <w:rsid w:val="00CB306B"/>
    <w:rsid w:val="00CB52D1"/>
    <w:rsid w:val="00CB7537"/>
    <w:rsid w:val="00CC2AD3"/>
    <w:rsid w:val="00CC49DC"/>
    <w:rsid w:val="00CC5343"/>
    <w:rsid w:val="00CC6695"/>
    <w:rsid w:val="00CD0F5A"/>
    <w:rsid w:val="00CD1431"/>
    <w:rsid w:val="00CD172F"/>
    <w:rsid w:val="00CD426C"/>
    <w:rsid w:val="00CD524B"/>
    <w:rsid w:val="00CD56F8"/>
    <w:rsid w:val="00CD6270"/>
    <w:rsid w:val="00CD7381"/>
    <w:rsid w:val="00CD7A5A"/>
    <w:rsid w:val="00CE0344"/>
    <w:rsid w:val="00CE3947"/>
    <w:rsid w:val="00CE53EA"/>
    <w:rsid w:val="00CE6D3B"/>
    <w:rsid w:val="00CF09A5"/>
    <w:rsid w:val="00CF0B5A"/>
    <w:rsid w:val="00CF48C8"/>
    <w:rsid w:val="00D054D2"/>
    <w:rsid w:val="00D058D2"/>
    <w:rsid w:val="00D10219"/>
    <w:rsid w:val="00D11F2E"/>
    <w:rsid w:val="00D207D9"/>
    <w:rsid w:val="00D240BE"/>
    <w:rsid w:val="00D27354"/>
    <w:rsid w:val="00D31C45"/>
    <w:rsid w:val="00D360CC"/>
    <w:rsid w:val="00D36BA5"/>
    <w:rsid w:val="00D418FD"/>
    <w:rsid w:val="00D4324B"/>
    <w:rsid w:val="00D43B8A"/>
    <w:rsid w:val="00D4600E"/>
    <w:rsid w:val="00D517DA"/>
    <w:rsid w:val="00D5342B"/>
    <w:rsid w:val="00D55FC8"/>
    <w:rsid w:val="00D56AE7"/>
    <w:rsid w:val="00D60227"/>
    <w:rsid w:val="00D616A6"/>
    <w:rsid w:val="00D618E8"/>
    <w:rsid w:val="00D61A8D"/>
    <w:rsid w:val="00D639F8"/>
    <w:rsid w:val="00D67050"/>
    <w:rsid w:val="00D723D8"/>
    <w:rsid w:val="00D72C33"/>
    <w:rsid w:val="00D743D0"/>
    <w:rsid w:val="00D75470"/>
    <w:rsid w:val="00D75D12"/>
    <w:rsid w:val="00D775EB"/>
    <w:rsid w:val="00D7773F"/>
    <w:rsid w:val="00D77EF6"/>
    <w:rsid w:val="00D8091A"/>
    <w:rsid w:val="00D85B5C"/>
    <w:rsid w:val="00D85EFB"/>
    <w:rsid w:val="00D9340C"/>
    <w:rsid w:val="00D938C7"/>
    <w:rsid w:val="00D95DA1"/>
    <w:rsid w:val="00D9637B"/>
    <w:rsid w:val="00D96905"/>
    <w:rsid w:val="00DA0393"/>
    <w:rsid w:val="00DA1BB7"/>
    <w:rsid w:val="00DA5373"/>
    <w:rsid w:val="00DA6730"/>
    <w:rsid w:val="00DA71C4"/>
    <w:rsid w:val="00DA72A8"/>
    <w:rsid w:val="00DB061E"/>
    <w:rsid w:val="00DB1841"/>
    <w:rsid w:val="00DB1C96"/>
    <w:rsid w:val="00DB2269"/>
    <w:rsid w:val="00DB505C"/>
    <w:rsid w:val="00DB70FA"/>
    <w:rsid w:val="00DB7848"/>
    <w:rsid w:val="00DB7D24"/>
    <w:rsid w:val="00DC25C4"/>
    <w:rsid w:val="00DC2628"/>
    <w:rsid w:val="00DC3200"/>
    <w:rsid w:val="00DC7B8B"/>
    <w:rsid w:val="00DD1565"/>
    <w:rsid w:val="00DD19D1"/>
    <w:rsid w:val="00DD342E"/>
    <w:rsid w:val="00DD6B40"/>
    <w:rsid w:val="00DD70B6"/>
    <w:rsid w:val="00DE2D6A"/>
    <w:rsid w:val="00DE46B3"/>
    <w:rsid w:val="00DE5A1F"/>
    <w:rsid w:val="00DE5EB1"/>
    <w:rsid w:val="00DE6E93"/>
    <w:rsid w:val="00DF2DBD"/>
    <w:rsid w:val="00DF3610"/>
    <w:rsid w:val="00DF3B35"/>
    <w:rsid w:val="00DF4318"/>
    <w:rsid w:val="00DF5055"/>
    <w:rsid w:val="00DF6ACD"/>
    <w:rsid w:val="00E01F05"/>
    <w:rsid w:val="00E02C2B"/>
    <w:rsid w:val="00E0358D"/>
    <w:rsid w:val="00E04999"/>
    <w:rsid w:val="00E04C6F"/>
    <w:rsid w:val="00E12930"/>
    <w:rsid w:val="00E15C38"/>
    <w:rsid w:val="00E16517"/>
    <w:rsid w:val="00E2485C"/>
    <w:rsid w:val="00E24EB6"/>
    <w:rsid w:val="00E256E5"/>
    <w:rsid w:val="00E26154"/>
    <w:rsid w:val="00E269B7"/>
    <w:rsid w:val="00E26B15"/>
    <w:rsid w:val="00E2781F"/>
    <w:rsid w:val="00E30230"/>
    <w:rsid w:val="00E30C1D"/>
    <w:rsid w:val="00E3373B"/>
    <w:rsid w:val="00E33BDA"/>
    <w:rsid w:val="00E362FB"/>
    <w:rsid w:val="00E367DF"/>
    <w:rsid w:val="00E435C6"/>
    <w:rsid w:val="00E43A4F"/>
    <w:rsid w:val="00E46386"/>
    <w:rsid w:val="00E61966"/>
    <w:rsid w:val="00E62B22"/>
    <w:rsid w:val="00E63551"/>
    <w:rsid w:val="00E64887"/>
    <w:rsid w:val="00E71E69"/>
    <w:rsid w:val="00E7275F"/>
    <w:rsid w:val="00E74B47"/>
    <w:rsid w:val="00E77071"/>
    <w:rsid w:val="00E8221B"/>
    <w:rsid w:val="00E82908"/>
    <w:rsid w:val="00E830BB"/>
    <w:rsid w:val="00E848D2"/>
    <w:rsid w:val="00E85505"/>
    <w:rsid w:val="00E923E1"/>
    <w:rsid w:val="00E92BB1"/>
    <w:rsid w:val="00E9523D"/>
    <w:rsid w:val="00E9629D"/>
    <w:rsid w:val="00E97828"/>
    <w:rsid w:val="00EA0990"/>
    <w:rsid w:val="00EA13EB"/>
    <w:rsid w:val="00EA2F0E"/>
    <w:rsid w:val="00EA3F1C"/>
    <w:rsid w:val="00EA4571"/>
    <w:rsid w:val="00EA56C6"/>
    <w:rsid w:val="00EB145C"/>
    <w:rsid w:val="00EB4FD1"/>
    <w:rsid w:val="00EB76CB"/>
    <w:rsid w:val="00EC14CF"/>
    <w:rsid w:val="00EC1B8B"/>
    <w:rsid w:val="00EC3D7A"/>
    <w:rsid w:val="00EC601E"/>
    <w:rsid w:val="00ED2B20"/>
    <w:rsid w:val="00ED6C48"/>
    <w:rsid w:val="00EE1819"/>
    <w:rsid w:val="00EE2696"/>
    <w:rsid w:val="00EE5601"/>
    <w:rsid w:val="00EE6B6A"/>
    <w:rsid w:val="00EE757D"/>
    <w:rsid w:val="00EE7AD5"/>
    <w:rsid w:val="00EF74FD"/>
    <w:rsid w:val="00F006D8"/>
    <w:rsid w:val="00F00A76"/>
    <w:rsid w:val="00F01FBE"/>
    <w:rsid w:val="00F11F42"/>
    <w:rsid w:val="00F125EA"/>
    <w:rsid w:val="00F130D7"/>
    <w:rsid w:val="00F16AE6"/>
    <w:rsid w:val="00F1772B"/>
    <w:rsid w:val="00F17A09"/>
    <w:rsid w:val="00F20832"/>
    <w:rsid w:val="00F24FDA"/>
    <w:rsid w:val="00F274EA"/>
    <w:rsid w:val="00F41545"/>
    <w:rsid w:val="00F41F0F"/>
    <w:rsid w:val="00F4255A"/>
    <w:rsid w:val="00F42787"/>
    <w:rsid w:val="00F51EB2"/>
    <w:rsid w:val="00F55D92"/>
    <w:rsid w:val="00F57539"/>
    <w:rsid w:val="00F57A55"/>
    <w:rsid w:val="00F603F4"/>
    <w:rsid w:val="00F6325B"/>
    <w:rsid w:val="00F639EE"/>
    <w:rsid w:val="00F6504C"/>
    <w:rsid w:val="00F653E9"/>
    <w:rsid w:val="00F657AA"/>
    <w:rsid w:val="00F65F5D"/>
    <w:rsid w:val="00F66306"/>
    <w:rsid w:val="00F70F9E"/>
    <w:rsid w:val="00F73199"/>
    <w:rsid w:val="00F7648E"/>
    <w:rsid w:val="00F76E45"/>
    <w:rsid w:val="00F77127"/>
    <w:rsid w:val="00F832B6"/>
    <w:rsid w:val="00F85884"/>
    <w:rsid w:val="00F86A3A"/>
    <w:rsid w:val="00F87FD3"/>
    <w:rsid w:val="00F91080"/>
    <w:rsid w:val="00F918D6"/>
    <w:rsid w:val="00F94B2B"/>
    <w:rsid w:val="00F95546"/>
    <w:rsid w:val="00F95FD9"/>
    <w:rsid w:val="00F969C5"/>
    <w:rsid w:val="00FA1378"/>
    <w:rsid w:val="00FA1D0B"/>
    <w:rsid w:val="00FA4E24"/>
    <w:rsid w:val="00FA560D"/>
    <w:rsid w:val="00FA57FA"/>
    <w:rsid w:val="00FB0ADF"/>
    <w:rsid w:val="00FB564B"/>
    <w:rsid w:val="00FB788C"/>
    <w:rsid w:val="00FC35E6"/>
    <w:rsid w:val="00FC3777"/>
    <w:rsid w:val="00FC44EA"/>
    <w:rsid w:val="00FC799F"/>
    <w:rsid w:val="00FC7F71"/>
    <w:rsid w:val="00FD1607"/>
    <w:rsid w:val="00FD3A4D"/>
    <w:rsid w:val="00FE0578"/>
    <w:rsid w:val="00FE51D4"/>
    <w:rsid w:val="00FE60C1"/>
    <w:rsid w:val="00FF048A"/>
    <w:rsid w:val="00FF0CEC"/>
    <w:rsid w:val="00FF141B"/>
    <w:rsid w:val="00FF46F9"/>
    <w:rsid w:val="00FF47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2F8FB7"/>
  <w15:docId w15:val="{F2CD999C-0DFB-4640-B932-BF4D75A1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Appel note de bas de p."/>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4D2B1E"/>
    <w:rPr>
      <w:rFonts w:ascii="Times New Roman" w:hAnsi="Times New Roman" w:cs="Times New Roman"/>
      <w:sz w:val="20"/>
      <w:szCs w:val="20"/>
    </w:rPr>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6A7E"/>
    <w:rPr>
      <w:color w:val="0000FF" w:themeColor="hyperlink"/>
      <w:u w:val="single"/>
    </w:rPr>
  </w:style>
  <w:style w:type="paragraph" w:styleId="NoSpacing">
    <w:name w:val="No Spacing"/>
    <w:uiPriority w:val="1"/>
    <w:qFormat/>
    <w:rsid w:val="00C27D57"/>
    <w:pPr>
      <w:spacing w:after="0" w:line="240" w:lineRule="auto"/>
    </w:pPr>
    <w:rPr>
      <w:rFonts w:ascii="Calibri" w:eastAsia="Calibri" w:hAnsi="Calibri" w:cs="Times New Roman"/>
      <w:lang w:eastAsia="en-US"/>
    </w:rPr>
  </w:style>
  <w:style w:type="character" w:styleId="CommentReference">
    <w:name w:val="annotation reference"/>
    <w:basedOn w:val="DefaultParagraphFont"/>
    <w:unhideWhenUsed/>
    <w:rsid w:val="00EA56C6"/>
    <w:rPr>
      <w:sz w:val="16"/>
      <w:szCs w:val="16"/>
    </w:rPr>
  </w:style>
  <w:style w:type="paragraph" w:styleId="CommentText">
    <w:name w:val="annotation text"/>
    <w:basedOn w:val="Normal"/>
    <w:link w:val="CommentTextChar"/>
    <w:uiPriority w:val="99"/>
    <w:semiHidden/>
    <w:unhideWhenUsed/>
    <w:rsid w:val="00EA56C6"/>
    <w:pPr>
      <w:spacing w:line="240" w:lineRule="auto"/>
    </w:pPr>
  </w:style>
  <w:style w:type="character" w:customStyle="1" w:styleId="CommentTextChar">
    <w:name w:val="Comment Text Char"/>
    <w:basedOn w:val="DefaultParagraphFont"/>
    <w:link w:val="CommentText"/>
    <w:uiPriority w:val="99"/>
    <w:semiHidden/>
    <w:rsid w:val="00EA56C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A56C6"/>
    <w:rPr>
      <w:b/>
      <w:bCs/>
    </w:rPr>
  </w:style>
  <w:style w:type="character" w:customStyle="1" w:styleId="CommentSubjectChar">
    <w:name w:val="Comment Subject Char"/>
    <w:basedOn w:val="CommentTextChar"/>
    <w:link w:val="CommentSubject"/>
    <w:uiPriority w:val="99"/>
    <w:semiHidden/>
    <w:rsid w:val="00EA56C6"/>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220A57"/>
    <w:rPr>
      <w:color w:val="800080" w:themeColor="followedHyperlink"/>
      <w:u w:val="single"/>
    </w:rPr>
  </w:style>
  <w:style w:type="paragraph" w:styleId="ListParagraph">
    <w:name w:val="List Paragraph"/>
    <w:basedOn w:val="Normal"/>
    <w:uiPriority w:val="34"/>
    <w:rsid w:val="00FA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66141415">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461264195">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84986584">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898133464">
      <w:bodyDiv w:val="1"/>
      <w:marLeft w:val="0"/>
      <w:marRight w:val="0"/>
      <w:marTop w:val="0"/>
      <w:marBottom w:val="0"/>
      <w:divBdr>
        <w:top w:val="none" w:sz="0" w:space="0" w:color="auto"/>
        <w:left w:val="none" w:sz="0" w:space="0" w:color="auto"/>
        <w:bottom w:val="none" w:sz="0" w:space="0" w:color="auto"/>
        <w:right w:val="none" w:sz="0" w:space="0" w:color="auto"/>
      </w:divBdr>
      <w:divsChild>
        <w:div w:id="1074013947">
          <w:marLeft w:val="0"/>
          <w:marRight w:val="0"/>
          <w:marTop w:val="0"/>
          <w:marBottom w:val="0"/>
          <w:divBdr>
            <w:top w:val="none" w:sz="0" w:space="0" w:color="auto"/>
            <w:left w:val="none" w:sz="0" w:space="0" w:color="auto"/>
            <w:bottom w:val="none" w:sz="0" w:space="0" w:color="auto"/>
            <w:right w:val="none" w:sz="0" w:space="0" w:color="auto"/>
          </w:divBdr>
        </w:div>
        <w:div w:id="1626810479">
          <w:marLeft w:val="0"/>
          <w:marRight w:val="0"/>
          <w:marTop w:val="0"/>
          <w:marBottom w:val="0"/>
          <w:divBdr>
            <w:top w:val="none" w:sz="0" w:space="0" w:color="auto"/>
            <w:left w:val="none" w:sz="0" w:space="0" w:color="auto"/>
            <w:bottom w:val="none" w:sz="0" w:space="0" w:color="auto"/>
            <w:right w:val="none" w:sz="0" w:space="0" w:color="auto"/>
          </w:divBdr>
        </w:div>
        <w:div w:id="2112042409">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134836875">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4788791">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freedomhouse.org/country/angola/freedom-world/2017" TargetMode="External"/><Relationship Id="rId2" Type="http://schemas.openxmlformats.org/officeDocument/2006/relationships/hyperlink" Target="https://www.state.gov/reports/2016-country-reports-on-human-rights-practices/angola/" TargetMode="External"/><Relationship Id="rId1" Type="http://schemas.openxmlformats.org/officeDocument/2006/relationships/hyperlink" Target="https://www.ohchr.org/EN/NewsEvents/Pages/DisplayNews.aspx?NewsID=20976&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230BC-7DB7-4261-A53E-6F59D295D73E}">
  <ds:schemaRefs>
    <ds:schemaRef ds:uri="http://schemas.openxmlformats.org/officeDocument/2006/bibliography"/>
  </ds:schemaRefs>
</ds:datastoreItem>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2A463955-B686-4541-8DAD-2EDE1B17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4961</Words>
  <Characters>28278</Characters>
  <Application>Microsoft Office Word</Application>
  <DocSecurity>0</DocSecurity>
  <Lines>235</Lines>
  <Paragraphs>66</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CCPR/C/129/DR/3106/2018-3122/2018</vt:lpstr>
      <vt:lpstr>CCPR/C/WG/129/DR/3106/2018-3122/2018</vt:lpstr>
      <vt:lpstr>CCPR/C/WG/125/DR/2345/2014</vt:lpstr>
    </vt:vector>
  </TitlesOfParts>
  <Company>DCM</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CCPR/C/129/DR/3106/2018-3122/2018</dc:title>
  <dc:subject>2008850</dc:subject>
  <dc:creator>Generic Desk Anglais</dc:creator>
  <cp:keywords/>
  <dc:description/>
  <cp:lastModifiedBy>Daniella Ferreira</cp:lastModifiedBy>
  <cp:revision>2</cp:revision>
  <cp:lastPrinted>2020-11-23T16:50:00Z</cp:lastPrinted>
  <dcterms:created xsi:type="dcterms:W3CDTF">2021-02-26T13:23:00Z</dcterms:created>
  <dcterms:modified xsi:type="dcterms:W3CDTF">2021-02-26T13:23:00Z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