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791CFC0D" w14:textId="77777777" w:rsidTr="00DC046E">
        <w:trPr>
          <w:cantSplit/>
          <w:trHeight w:hRule="exact" w:val="851"/>
        </w:trPr>
        <w:tc>
          <w:tcPr>
            <w:tcW w:w="1276" w:type="dxa"/>
            <w:tcBorders>
              <w:bottom w:val="single" w:sz="4" w:space="0" w:color="auto"/>
            </w:tcBorders>
            <w:vAlign w:val="bottom"/>
          </w:tcPr>
          <w:p w14:paraId="0DDA5E18" w14:textId="77777777" w:rsidR="00B56E9C" w:rsidRDefault="00B56E9C" w:rsidP="00DC046E">
            <w:pPr>
              <w:spacing w:after="80"/>
            </w:pPr>
          </w:p>
        </w:tc>
        <w:tc>
          <w:tcPr>
            <w:tcW w:w="2268" w:type="dxa"/>
            <w:tcBorders>
              <w:bottom w:val="single" w:sz="4" w:space="0" w:color="auto"/>
            </w:tcBorders>
            <w:vAlign w:val="bottom"/>
          </w:tcPr>
          <w:p w14:paraId="0D58739F" w14:textId="77777777" w:rsidR="00B56E9C" w:rsidRPr="00B97172" w:rsidRDefault="00B56E9C" w:rsidP="00DC046E">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585762" w14:textId="66CD711B" w:rsidR="00B56E9C" w:rsidRPr="00D47EEA" w:rsidRDefault="002473AB" w:rsidP="00B115A1">
            <w:pPr>
              <w:jc w:val="right"/>
            </w:pPr>
            <w:r w:rsidRPr="002473AB">
              <w:rPr>
                <w:sz w:val="40"/>
              </w:rPr>
              <w:t>CCPR</w:t>
            </w:r>
            <w:r>
              <w:t>/C</w:t>
            </w:r>
            <w:r w:rsidR="00D041C0">
              <w:t>/</w:t>
            </w:r>
            <w:r>
              <w:t>129/D/</w:t>
            </w:r>
            <w:r w:rsidRPr="00060188">
              <w:rPr>
                <w:color w:val="1D1B11" w:themeColor="background2" w:themeShade="1A"/>
              </w:rPr>
              <w:t>2</w:t>
            </w:r>
            <w:r>
              <w:rPr>
                <w:color w:val="1D1B11" w:themeColor="background2" w:themeShade="1A"/>
              </w:rPr>
              <w:t>503</w:t>
            </w:r>
            <w:r w:rsidRPr="00060188">
              <w:rPr>
                <w:color w:val="1D1B11" w:themeColor="background2" w:themeShade="1A"/>
              </w:rPr>
              <w:t>/2014</w:t>
            </w:r>
          </w:p>
        </w:tc>
      </w:tr>
      <w:tr w:rsidR="00B56E9C" w14:paraId="39E6D27D" w14:textId="77777777" w:rsidTr="00DC046E">
        <w:trPr>
          <w:cantSplit/>
          <w:trHeight w:hRule="exact" w:val="2835"/>
        </w:trPr>
        <w:tc>
          <w:tcPr>
            <w:tcW w:w="1276" w:type="dxa"/>
            <w:tcBorders>
              <w:top w:val="single" w:sz="4" w:space="0" w:color="auto"/>
              <w:bottom w:val="single" w:sz="12" w:space="0" w:color="auto"/>
            </w:tcBorders>
          </w:tcPr>
          <w:p w14:paraId="67FE7A6D" w14:textId="77777777" w:rsidR="00B56E9C" w:rsidRDefault="004076CD" w:rsidP="00DC046E">
            <w:pPr>
              <w:spacing w:before="120"/>
            </w:pPr>
            <w:r>
              <w:rPr>
                <w:noProof/>
                <w:lang w:eastAsia="en-GB"/>
              </w:rPr>
              <w:drawing>
                <wp:inline distT="0" distB="0" distL="0" distR="0" wp14:anchorId="51A03424" wp14:editId="09FD3A7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80640F" w14:textId="77777777" w:rsidR="00B56E9C" w:rsidRDefault="00B56E9C" w:rsidP="00DC046E">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27AE1DF4" w14:textId="77777777" w:rsidR="009F589D" w:rsidRDefault="009F589D" w:rsidP="00DC046E">
            <w:pPr>
              <w:spacing w:before="120" w:line="380" w:lineRule="exact"/>
              <w:rPr>
                <w:b/>
                <w:sz w:val="34"/>
                <w:szCs w:val="40"/>
              </w:rPr>
            </w:pPr>
          </w:p>
          <w:p w14:paraId="0A80C375" w14:textId="77777777" w:rsidR="009F589D" w:rsidRDefault="009F589D" w:rsidP="009F589D">
            <w:pPr>
              <w:spacing w:before="120" w:line="380" w:lineRule="exact"/>
              <w:rPr>
                <w:b/>
                <w:sz w:val="34"/>
                <w:szCs w:val="34"/>
              </w:rPr>
            </w:pPr>
            <w:r w:rsidRPr="000921E9">
              <w:rPr>
                <w:sz w:val="34"/>
                <w:szCs w:val="40"/>
              </w:rPr>
              <w:t>Advance unedited version</w:t>
            </w:r>
          </w:p>
          <w:p w14:paraId="28ABA39B" w14:textId="118B4A4D" w:rsidR="009F589D" w:rsidRPr="00267F5F" w:rsidRDefault="009F589D" w:rsidP="00DC046E">
            <w:pPr>
              <w:spacing w:before="120" w:line="380" w:lineRule="exact"/>
              <w:rPr>
                <w:sz w:val="34"/>
              </w:rPr>
            </w:pPr>
          </w:p>
        </w:tc>
        <w:tc>
          <w:tcPr>
            <w:tcW w:w="2835" w:type="dxa"/>
            <w:tcBorders>
              <w:top w:val="single" w:sz="4" w:space="0" w:color="auto"/>
              <w:bottom w:val="single" w:sz="12" w:space="0" w:color="auto"/>
            </w:tcBorders>
          </w:tcPr>
          <w:p w14:paraId="5BB03C63" w14:textId="0FED1A26" w:rsidR="00B56E9C" w:rsidRDefault="002473AB" w:rsidP="00B2127E">
            <w:pPr>
              <w:spacing w:before="240" w:line="240" w:lineRule="exact"/>
            </w:pPr>
            <w:r>
              <w:t xml:space="preserve">Distr.: </w:t>
            </w:r>
            <w:r w:rsidR="00B115A1">
              <w:t>General</w:t>
            </w:r>
          </w:p>
          <w:p w14:paraId="1610D3E9" w14:textId="77777777" w:rsidR="007B1330" w:rsidRDefault="007B1330" w:rsidP="00B2127E">
            <w:pPr>
              <w:spacing w:before="240" w:line="240" w:lineRule="exact"/>
            </w:pPr>
          </w:p>
          <w:p w14:paraId="13097BF5" w14:textId="457AEFAE" w:rsidR="002473AB" w:rsidRDefault="00F26111" w:rsidP="007B1330">
            <w:pPr>
              <w:spacing w:line="240" w:lineRule="exact"/>
            </w:pPr>
            <w:r>
              <w:t>2</w:t>
            </w:r>
            <w:r w:rsidR="00B115A1">
              <w:t xml:space="preserve"> December</w:t>
            </w:r>
            <w:r w:rsidR="002473AB">
              <w:t>2020</w:t>
            </w:r>
          </w:p>
          <w:p w14:paraId="6DE51F3F" w14:textId="77777777" w:rsidR="002473AB" w:rsidRDefault="002473AB" w:rsidP="002473AB">
            <w:pPr>
              <w:spacing w:line="240" w:lineRule="exact"/>
            </w:pPr>
          </w:p>
          <w:p w14:paraId="09ECAB67" w14:textId="77777777" w:rsidR="002473AB" w:rsidRDefault="002473AB" w:rsidP="002473AB">
            <w:pPr>
              <w:spacing w:line="240" w:lineRule="exact"/>
            </w:pPr>
            <w:r>
              <w:t>Original: English</w:t>
            </w:r>
          </w:p>
          <w:p w14:paraId="5778371A" w14:textId="1849C8D2" w:rsidR="002473AB" w:rsidRDefault="002473AB" w:rsidP="002473AB">
            <w:pPr>
              <w:spacing w:line="240" w:lineRule="exact"/>
            </w:pPr>
          </w:p>
        </w:tc>
      </w:tr>
    </w:tbl>
    <w:p w14:paraId="6725CA6B" w14:textId="77777777" w:rsidR="002473AB" w:rsidRPr="00E124CE" w:rsidRDefault="002473AB" w:rsidP="002473AB">
      <w:pPr>
        <w:spacing w:before="120"/>
        <w:rPr>
          <w:b/>
          <w:sz w:val="24"/>
          <w:szCs w:val="24"/>
        </w:rPr>
      </w:pPr>
      <w:r w:rsidRPr="00E124CE">
        <w:rPr>
          <w:b/>
          <w:sz w:val="24"/>
          <w:szCs w:val="24"/>
        </w:rPr>
        <w:t>Human Rights Committee</w:t>
      </w:r>
    </w:p>
    <w:p w14:paraId="5F3A4AC3" w14:textId="174BFC38" w:rsidR="002473AB" w:rsidRPr="007B1330" w:rsidRDefault="002473AB" w:rsidP="007B1330">
      <w:pPr>
        <w:pStyle w:val="HChG"/>
        <w:rPr>
          <w:b w:val="0"/>
        </w:rPr>
      </w:pPr>
      <w:r>
        <w:tab/>
      </w:r>
      <w:r>
        <w:tab/>
      </w:r>
      <w:r w:rsidR="006E64C3" w:rsidRPr="007B1330">
        <w:t>Views adopted by the Committee under article 5 (4) of the Optional Protocol, concerning c</w:t>
      </w:r>
      <w:r w:rsidRPr="007B1330">
        <w:t>ommunication No. 2503/2014</w:t>
      </w:r>
      <w:r w:rsidR="00B115A1" w:rsidRPr="007B1330">
        <w:rPr>
          <w:rStyle w:val="FootnoteReference"/>
          <w:sz w:val="28"/>
          <w:vertAlign w:val="baseline"/>
        </w:rPr>
        <w:footnoteReference w:customMarkFollows="1" w:id="2"/>
        <w:t>*</w:t>
      </w:r>
      <w:r w:rsidR="00B115A1" w:rsidRPr="007B1330">
        <w:t>,</w:t>
      </w:r>
      <w:r w:rsidR="00B115A1" w:rsidRPr="007B1330">
        <w:rPr>
          <w:rStyle w:val="FootnoteReference"/>
          <w:sz w:val="28"/>
          <w:vertAlign w:val="baseline"/>
        </w:rPr>
        <w:footnoteReference w:customMarkFollows="1" w:id="3"/>
        <w:t>**</w:t>
      </w:r>
    </w:p>
    <w:p w14:paraId="5A52F461" w14:textId="5FCF5B94" w:rsidR="002473AB" w:rsidRPr="005449E3" w:rsidRDefault="002473AB">
      <w:pPr>
        <w:keepNext/>
        <w:keepLines/>
        <w:tabs>
          <w:tab w:val="right" w:pos="851"/>
        </w:tabs>
        <w:spacing w:before="360" w:after="240" w:line="270" w:lineRule="exact"/>
        <w:ind w:left="1134" w:right="1134" w:hanging="1134"/>
        <w:rPr>
          <w:b/>
          <w:sz w:val="24"/>
        </w:rPr>
      </w:pPr>
      <w:r w:rsidRPr="005449E3">
        <w:rPr>
          <w:b/>
          <w:sz w:val="24"/>
        </w:rPr>
        <w:tab/>
      </w:r>
      <w:r w:rsidRPr="005449E3">
        <w:rPr>
          <w:b/>
          <w:sz w:val="24"/>
        </w:rPr>
        <w:tab/>
      </w:r>
    </w:p>
    <w:tbl>
      <w:tblPr>
        <w:tblStyle w:val="TableGrid1"/>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2473AB" w:rsidRPr="005449E3" w14:paraId="2F2CB230" w14:textId="77777777" w:rsidTr="005719C1">
        <w:tc>
          <w:tcPr>
            <w:tcW w:w="3119" w:type="dxa"/>
          </w:tcPr>
          <w:p w14:paraId="3B760967" w14:textId="77777777" w:rsidR="002473AB" w:rsidRPr="005449E3" w:rsidRDefault="002473AB" w:rsidP="005719C1">
            <w:pPr>
              <w:spacing w:after="120"/>
              <w:rPr>
                <w:rFonts w:eastAsia="SimSun"/>
                <w:i/>
                <w:lang w:eastAsia="zh-CN"/>
              </w:rPr>
            </w:pPr>
            <w:r w:rsidRPr="005449E3">
              <w:rPr>
                <w:rFonts w:eastAsia="SimSun"/>
                <w:i/>
                <w:lang w:eastAsia="zh-CN"/>
              </w:rPr>
              <w:t>Communication submitted by:</w:t>
            </w:r>
          </w:p>
        </w:tc>
        <w:tc>
          <w:tcPr>
            <w:tcW w:w="3685" w:type="dxa"/>
          </w:tcPr>
          <w:p w14:paraId="3A5377EE" w14:textId="77777777" w:rsidR="002473AB" w:rsidRPr="005449E3" w:rsidRDefault="002473AB" w:rsidP="005719C1">
            <w:pPr>
              <w:spacing w:after="120"/>
              <w:rPr>
                <w:rFonts w:eastAsia="SimSun"/>
                <w:lang w:eastAsia="zh-CN"/>
              </w:rPr>
            </w:pPr>
            <w:proofErr w:type="spellStart"/>
            <w:r w:rsidRPr="00A94D2D">
              <w:rPr>
                <w:rFonts w:eastAsia="SimSun"/>
                <w:lang w:eastAsia="zh-CN"/>
              </w:rPr>
              <w:t>Bakhytzhan</w:t>
            </w:r>
            <w:proofErr w:type="spellEnd"/>
            <w:r w:rsidRPr="00A94D2D">
              <w:rPr>
                <w:rFonts w:eastAsia="SimSun"/>
                <w:lang w:eastAsia="zh-CN"/>
              </w:rPr>
              <w:t xml:space="preserve"> </w:t>
            </w:r>
            <w:proofErr w:type="spellStart"/>
            <w:r w:rsidRPr="00A94D2D">
              <w:rPr>
                <w:rFonts w:eastAsia="SimSun"/>
                <w:lang w:eastAsia="zh-CN"/>
              </w:rPr>
              <w:t>Toregozhina</w:t>
            </w:r>
            <w:proofErr w:type="spellEnd"/>
          </w:p>
        </w:tc>
      </w:tr>
      <w:tr w:rsidR="002473AB" w:rsidRPr="005449E3" w14:paraId="3ECD4C9F" w14:textId="77777777" w:rsidTr="005719C1">
        <w:tc>
          <w:tcPr>
            <w:tcW w:w="3119" w:type="dxa"/>
          </w:tcPr>
          <w:p w14:paraId="60BCB546" w14:textId="77777777" w:rsidR="002473AB" w:rsidRPr="005449E3" w:rsidRDefault="002473AB" w:rsidP="005719C1">
            <w:pPr>
              <w:spacing w:after="120"/>
              <w:rPr>
                <w:rFonts w:eastAsia="SimSun"/>
                <w:i/>
                <w:lang w:eastAsia="zh-CN"/>
              </w:rPr>
            </w:pPr>
            <w:r w:rsidRPr="005449E3">
              <w:rPr>
                <w:rFonts w:eastAsia="SimSun"/>
                <w:i/>
                <w:lang w:eastAsia="zh-CN"/>
              </w:rPr>
              <w:t>Alleged victim:</w:t>
            </w:r>
          </w:p>
        </w:tc>
        <w:tc>
          <w:tcPr>
            <w:tcW w:w="3685" w:type="dxa"/>
          </w:tcPr>
          <w:p w14:paraId="42833677" w14:textId="77777777" w:rsidR="002473AB" w:rsidRPr="005449E3" w:rsidRDefault="002473AB" w:rsidP="005719C1">
            <w:pPr>
              <w:spacing w:after="120"/>
              <w:rPr>
                <w:rFonts w:eastAsia="SimSun"/>
                <w:lang w:eastAsia="zh-CN"/>
              </w:rPr>
            </w:pPr>
            <w:r w:rsidRPr="005449E3">
              <w:rPr>
                <w:rFonts w:eastAsia="SimSun"/>
                <w:lang w:eastAsia="zh-CN"/>
              </w:rPr>
              <w:t>The author</w:t>
            </w:r>
          </w:p>
        </w:tc>
      </w:tr>
      <w:tr w:rsidR="002473AB" w:rsidRPr="005449E3" w14:paraId="3E71EBBC" w14:textId="77777777" w:rsidTr="005719C1">
        <w:tc>
          <w:tcPr>
            <w:tcW w:w="3119" w:type="dxa"/>
          </w:tcPr>
          <w:p w14:paraId="65013DFC" w14:textId="77777777" w:rsidR="002473AB" w:rsidRPr="005449E3" w:rsidRDefault="002473AB" w:rsidP="005719C1">
            <w:pPr>
              <w:spacing w:after="120"/>
              <w:rPr>
                <w:rFonts w:eastAsia="SimSun"/>
                <w:i/>
                <w:lang w:eastAsia="zh-CN"/>
              </w:rPr>
            </w:pPr>
            <w:r w:rsidRPr="005449E3">
              <w:rPr>
                <w:rFonts w:eastAsia="SimSun"/>
                <w:i/>
                <w:lang w:eastAsia="zh-CN"/>
              </w:rPr>
              <w:t>State party:</w:t>
            </w:r>
          </w:p>
        </w:tc>
        <w:tc>
          <w:tcPr>
            <w:tcW w:w="3685" w:type="dxa"/>
          </w:tcPr>
          <w:p w14:paraId="7BB3DEA9" w14:textId="77777777" w:rsidR="002473AB" w:rsidRPr="005449E3" w:rsidRDefault="002473AB" w:rsidP="005719C1">
            <w:pPr>
              <w:spacing w:after="120"/>
              <w:rPr>
                <w:rFonts w:eastAsia="SimSun"/>
                <w:lang w:eastAsia="zh-CN"/>
              </w:rPr>
            </w:pPr>
            <w:r w:rsidRPr="005449E3">
              <w:rPr>
                <w:rFonts w:eastAsia="SimSun"/>
                <w:lang w:eastAsia="zh-CN"/>
              </w:rPr>
              <w:t xml:space="preserve">Kazakhstan </w:t>
            </w:r>
          </w:p>
        </w:tc>
      </w:tr>
      <w:tr w:rsidR="002473AB" w:rsidRPr="005449E3" w14:paraId="78E881DB" w14:textId="77777777" w:rsidTr="005719C1">
        <w:tc>
          <w:tcPr>
            <w:tcW w:w="3119" w:type="dxa"/>
          </w:tcPr>
          <w:p w14:paraId="336D6C55" w14:textId="77777777" w:rsidR="002473AB" w:rsidRPr="005449E3" w:rsidRDefault="002473AB" w:rsidP="005719C1">
            <w:pPr>
              <w:spacing w:after="120"/>
              <w:rPr>
                <w:rFonts w:eastAsia="SimSun"/>
                <w:i/>
                <w:lang w:eastAsia="zh-CN"/>
              </w:rPr>
            </w:pPr>
            <w:r w:rsidRPr="005449E3">
              <w:rPr>
                <w:rFonts w:eastAsia="SimSun"/>
                <w:i/>
                <w:lang w:eastAsia="zh-CN"/>
              </w:rPr>
              <w:t>Date of communication:</w:t>
            </w:r>
          </w:p>
        </w:tc>
        <w:tc>
          <w:tcPr>
            <w:tcW w:w="3685" w:type="dxa"/>
          </w:tcPr>
          <w:p w14:paraId="07E1B4FA" w14:textId="77777777" w:rsidR="002473AB" w:rsidRPr="005449E3" w:rsidRDefault="002473AB" w:rsidP="005719C1">
            <w:pPr>
              <w:spacing w:after="120"/>
            </w:pPr>
            <w:r>
              <w:t>13</w:t>
            </w:r>
            <w:r w:rsidRPr="005449E3">
              <w:t xml:space="preserve"> </w:t>
            </w:r>
            <w:r>
              <w:t>June</w:t>
            </w:r>
            <w:r w:rsidRPr="005449E3">
              <w:t xml:space="preserve"> 201</w:t>
            </w:r>
            <w:r>
              <w:t>4</w:t>
            </w:r>
            <w:r w:rsidRPr="005449E3">
              <w:t xml:space="preserve"> (initial submission)</w:t>
            </w:r>
          </w:p>
        </w:tc>
      </w:tr>
      <w:tr w:rsidR="002473AB" w:rsidRPr="005449E3" w14:paraId="170B616E" w14:textId="77777777" w:rsidTr="005719C1">
        <w:tc>
          <w:tcPr>
            <w:tcW w:w="3119" w:type="dxa"/>
          </w:tcPr>
          <w:p w14:paraId="0ACAA0C1" w14:textId="77777777" w:rsidR="002473AB" w:rsidRPr="005449E3" w:rsidRDefault="002473AB" w:rsidP="005719C1">
            <w:pPr>
              <w:spacing w:after="120"/>
              <w:rPr>
                <w:rFonts w:eastAsia="SimSun"/>
                <w:i/>
                <w:lang w:eastAsia="zh-CN"/>
              </w:rPr>
            </w:pPr>
            <w:r w:rsidRPr="005449E3">
              <w:rPr>
                <w:rFonts w:eastAsia="SimSun"/>
                <w:i/>
                <w:lang w:eastAsia="zh-CN"/>
              </w:rPr>
              <w:t>Document references:</w:t>
            </w:r>
          </w:p>
        </w:tc>
        <w:tc>
          <w:tcPr>
            <w:tcW w:w="3685" w:type="dxa"/>
          </w:tcPr>
          <w:p w14:paraId="1A85B8B3" w14:textId="77777777" w:rsidR="002473AB" w:rsidRPr="005449E3" w:rsidRDefault="002473AB" w:rsidP="005719C1">
            <w:pPr>
              <w:spacing w:after="120"/>
              <w:rPr>
                <w:rFonts w:eastAsia="SimSun"/>
                <w:lang w:eastAsia="zh-CN"/>
              </w:rPr>
            </w:pPr>
            <w:r w:rsidRPr="005449E3">
              <w:t xml:space="preserve">Special Rapporteur’s rule 97 decision, transmitted to the State party on </w:t>
            </w:r>
            <w:r>
              <w:t>11</w:t>
            </w:r>
            <w:r w:rsidRPr="005449E3">
              <w:t xml:space="preserve"> </w:t>
            </w:r>
            <w:r>
              <w:t>December</w:t>
            </w:r>
            <w:r w:rsidRPr="005449E3">
              <w:t xml:space="preserve"> 2014 (not issued in document form)</w:t>
            </w:r>
          </w:p>
        </w:tc>
      </w:tr>
      <w:tr w:rsidR="002473AB" w:rsidRPr="005449E3" w14:paraId="1C2E1408" w14:textId="77777777" w:rsidTr="005719C1">
        <w:tc>
          <w:tcPr>
            <w:tcW w:w="3119" w:type="dxa"/>
          </w:tcPr>
          <w:p w14:paraId="2AA5677E" w14:textId="77777777" w:rsidR="002473AB" w:rsidRPr="005449E3" w:rsidRDefault="002473AB" w:rsidP="005719C1">
            <w:pPr>
              <w:spacing w:after="120"/>
              <w:rPr>
                <w:rFonts w:eastAsia="SimSun"/>
                <w:i/>
                <w:lang w:eastAsia="zh-CN"/>
              </w:rPr>
            </w:pPr>
            <w:r w:rsidRPr="005449E3">
              <w:rPr>
                <w:rFonts w:eastAsia="SimSun"/>
                <w:i/>
                <w:lang w:eastAsia="zh-CN"/>
              </w:rPr>
              <w:t>Date of adoption of Views:</w:t>
            </w:r>
          </w:p>
        </w:tc>
        <w:tc>
          <w:tcPr>
            <w:tcW w:w="3685" w:type="dxa"/>
            <w:vAlign w:val="bottom"/>
          </w:tcPr>
          <w:p w14:paraId="26801EE6" w14:textId="30F932A1" w:rsidR="002473AB" w:rsidRPr="005449E3" w:rsidRDefault="006E64C3" w:rsidP="005719C1">
            <w:pPr>
              <w:spacing w:after="120"/>
              <w:rPr>
                <w:rFonts w:eastAsia="SimSun"/>
                <w:lang w:eastAsia="zh-CN"/>
              </w:rPr>
            </w:pPr>
            <w:r>
              <w:rPr>
                <w:rFonts w:eastAsia="SimSun"/>
                <w:lang w:eastAsia="zh-CN"/>
              </w:rPr>
              <w:t>23 July</w:t>
            </w:r>
            <w:r w:rsidRPr="005449E3">
              <w:rPr>
                <w:rFonts w:eastAsia="SimSun"/>
                <w:lang w:eastAsia="zh-CN"/>
              </w:rPr>
              <w:t xml:space="preserve"> </w:t>
            </w:r>
            <w:r w:rsidR="002473AB" w:rsidRPr="005449E3">
              <w:rPr>
                <w:rFonts w:eastAsia="SimSun"/>
                <w:lang w:eastAsia="zh-CN"/>
              </w:rPr>
              <w:t>20</w:t>
            </w:r>
            <w:r w:rsidR="002473AB">
              <w:rPr>
                <w:rFonts w:eastAsia="SimSun"/>
                <w:lang w:eastAsia="zh-CN"/>
              </w:rPr>
              <w:t>20</w:t>
            </w:r>
          </w:p>
        </w:tc>
      </w:tr>
      <w:tr w:rsidR="002473AB" w:rsidRPr="005449E3" w14:paraId="4DE658DE" w14:textId="77777777" w:rsidTr="005719C1">
        <w:tc>
          <w:tcPr>
            <w:tcW w:w="3119" w:type="dxa"/>
          </w:tcPr>
          <w:p w14:paraId="2EC32C68" w14:textId="77777777" w:rsidR="002473AB" w:rsidRPr="005449E3" w:rsidRDefault="002473AB" w:rsidP="005719C1">
            <w:pPr>
              <w:spacing w:after="120"/>
              <w:rPr>
                <w:rFonts w:eastAsia="SimSun"/>
                <w:i/>
                <w:lang w:eastAsia="zh-CN"/>
              </w:rPr>
            </w:pPr>
            <w:r w:rsidRPr="005449E3">
              <w:rPr>
                <w:rFonts w:eastAsia="SimSun"/>
                <w:i/>
                <w:iCs/>
                <w:lang w:eastAsia="zh-CN"/>
              </w:rPr>
              <w:t>Subject matter:</w:t>
            </w:r>
          </w:p>
        </w:tc>
        <w:tc>
          <w:tcPr>
            <w:tcW w:w="3685" w:type="dxa"/>
          </w:tcPr>
          <w:p w14:paraId="108B5FC9" w14:textId="77777777" w:rsidR="002473AB" w:rsidRPr="005449E3" w:rsidRDefault="002473AB" w:rsidP="005719C1">
            <w:pPr>
              <w:spacing w:after="120"/>
            </w:pPr>
            <w:r>
              <w:t>Refusal of authoriz</w:t>
            </w:r>
            <w:r w:rsidRPr="008D1EBF">
              <w:t>ation to hold a peaceful assembly</w:t>
            </w:r>
          </w:p>
        </w:tc>
      </w:tr>
      <w:tr w:rsidR="002473AB" w:rsidRPr="005449E3" w14:paraId="4E8F3834" w14:textId="77777777" w:rsidTr="005719C1">
        <w:tc>
          <w:tcPr>
            <w:tcW w:w="3119" w:type="dxa"/>
          </w:tcPr>
          <w:p w14:paraId="18EC14FE" w14:textId="77777777" w:rsidR="002473AB" w:rsidRPr="005449E3" w:rsidRDefault="002473AB" w:rsidP="005719C1">
            <w:pPr>
              <w:spacing w:after="120"/>
              <w:rPr>
                <w:rFonts w:eastAsia="SimSun"/>
                <w:i/>
                <w:iCs/>
                <w:lang w:eastAsia="zh-CN"/>
              </w:rPr>
            </w:pPr>
            <w:r w:rsidRPr="005449E3">
              <w:rPr>
                <w:rFonts w:eastAsia="SimSun"/>
                <w:i/>
                <w:iCs/>
                <w:lang w:eastAsia="zh-CN"/>
              </w:rPr>
              <w:t>Procedural issues</w:t>
            </w:r>
            <w:r w:rsidRPr="005449E3">
              <w:rPr>
                <w:rFonts w:eastAsia="SimSun"/>
                <w:i/>
                <w:lang w:eastAsia="zh-CN"/>
              </w:rPr>
              <w:t>:</w:t>
            </w:r>
          </w:p>
        </w:tc>
        <w:tc>
          <w:tcPr>
            <w:tcW w:w="3685" w:type="dxa"/>
          </w:tcPr>
          <w:p w14:paraId="33EE0DAB" w14:textId="77777777" w:rsidR="002473AB" w:rsidRPr="005449E3" w:rsidRDefault="002473AB" w:rsidP="005719C1">
            <w:pPr>
              <w:spacing w:after="120"/>
              <w:rPr>
                <w:rFonts w:eastAsia="SimSun"/>
                <w:lang w:eastAsia="zh-CN"/>
              </w:rPr>
            </w:pPr>
            <w:r w:rsidRPr="00487477">
              <w:t>Exhaustion of domestic remedies; substantiation of claims.</w:t>
            </w:r>
          </w:p>
        </w:tc>
      </w:tr>
      <w:tr w:rsidR="002473AB" w:rsidRPr="005449E3" w14:paraId="2E69589A" w14:textId="77777777" w:rsidTr="005719C1">
        <w:tc>
          <w:tcPr>
            <w:tcW w:w="3119" w:type="dxa"/>
          </w:tcPr>
          <w:p w14:paraId="676C0FFC" w14:textId="77777777" w:rsidR="002473AB" w:rsidRPr="005449E3" w:rsidRDefault="002473AB" w:rsidP="005719C1">
            <w:pPr>
              <w:keepNext/>
              <w:spacing w:after="120"/>
              <w:rPr>
                <w:rFonts w:eastAsia="SimSun"/>
                <w:i/>
                <w:iCs/>
                <w:lang w:eastAsia="zh-CN"/>
              </w:rPr>
            </w:pPr>
            <w:r w:rsidRPr="005449E3">
              <w:rPr>
                <w:rFonts w:eastAsia="SimSun"/>
                <w:i/>
                <w:iCs/>
                <w:lang w:eastAsia="zh-CN"/>
              </w:rPr>
              <w:t>Substantive issues:</w:t>
            </w:r>
          </w:p>
        </w:tc>
        <w:tc>
          <w:tcPr>
            <w:tcW w:w="3685" w:type="dxa"/>
          </w:tcPr>
          <w:p w14:paraId="37AE225F" w14:textId="77777777" w:rsidR="002473AB" w:rsidRPr="005449E3" w:rsidRDefault="002473AB" w:rsidP="005719C1">
            <w:pPr>
              <w:keepNext/>
              <w:spacing w:after="120"/>
            </w:pPr>
            <w:r w:rsidRPr="005449E3">
              <w:t>Freedom of association</w:t>
            </w:r>
          </w:p>
        </w:tc>
      </w:tr>
      <w:tr w:rsidR="002473AB" w:rsidRPr="005449E3" w14:paraId="5AB16D14" w14:textId="77777777" w:rsidTr="005719C1">
        <w:tc>
          <w:tcPr>
            <w:tcW w:w="3119" w:type="dxa"/>
          </w:tcPr>
          <w:p w14:paraId="1A78C75E" w14:textId="77777777" w:rsidR="002473AB" w:rsidRPr="005449E3" w:rsidRDefault="002473AB" w:rsidP="005719C1">
            <w:pPr>
              <w:spacing w:after="120"/>
              <w:rPr>
                <w:rFonts w:eastAsia="SimSun"/>
                <w:i/>
                <w:iCs/>
                <w:lang w:eastAsia="zh-CN"/>
              </w:rPr>
            </w:pPr>
            <w:r w:rsidRPr="005449E3">
              <w:rPr>
                <w:rFonts w:eastAsia="SimSun"/>
                <w:i/>
                <w:iCs/>
                <w:lang w:eastAsia="zh-CN"/>
              </w:rPr>
              <w:t>Articles of the Covenant</w:t>
            </w:r>
            <w:r w:rsidRPr="005449E3">
              <w:rPr>
                <w:rFonts w:eastAsia="SimSun"/>
                <w:i/>
                <w:lang w:eastAsia="zh-CN"/>
              </w:rPr>
              <w:t>:</w:t>
            </w:r>
          </w:p>
        </w:tc>
        <w:tc>
          <w:tcPr>
            <w:tcW w:w="3685" w:type="dxa"/>
          </w:tcPr>
          <w:p w14:paraId="26851633" w14:textId="77777777" w:rsidR="002473AB" w:rsidRPr="005449E3" w:rsidRDefault="002473AB" w:rsidP="005719C1">
            <w:pPr>
              <w:spacing w:after="120"/>
              <w:rPr>
                <w:rFonts w:eastAsia="SimSun"/>
                <w:lang w:eastAsia="zh-CN"/>
              </w:rPr>
            </w:pPr>
            <w:r>
              <w:rPr>
                <w:rFonts w:eastAsia="SimSun"/>
                <w:lang w:eastAsia="zh-CN"/>
              </w:rPr>
              <w:t xml:space="preserve">19, </w:t>
            </w:r>
            <w:r w:rsidRPr="005449E3">
              <w:rPr>
                <w:rFonts w:eastAsia="SimSun"/>
                <w:lang w:eastAsia="zh-CN"/>
              </w:rPr>
              <w:t>21</w:t>
            </w:r>
          </w:p>
        </w:tc>
      </w:tr>
      <w:tr w:rsidR="002473AB" w:rsidRPr="00FB6500" w14:paraId="0D783013" w14:textId="77777777" w:rsidTr="005719C1">
        <w:tc>
          <w:tcPr>
            <w:tcW w:w="3119" w:type="dxa"/>
          </w:tcPr>
          <w:p w14:paraId="63B28E33" w14:textId="77777777" w:rsidR="002473AB" w:rsidRPr="005449E3" w:rsidRDefault="002473AB" w:rsidP="005719C1">
            <w:pPr>
              <w:spacing w:after="120"/>
              <w:rPr>
                <w:rFonts w:eastAsia="SimSun"/>
                <w:i/>
                <w:iCs/>
                <w:lang w:eastAsia="zh-CN"/>
              </w:rPr>
            </w:pPr>
            <w:r w:rsidRPr="005449E3">
              <w:rPr>
                <w:rFonts w:eastAsia="SimSun"/>
                <w:i/>
                <w:iCs/>
                <w:lang w:eastAsia="zh-CN"/>
              </w:rPr>
              <w:t>Articles of the Optional Protocol:</w:t>
            </w:r>
          </w:p>
        </w:tc>
        <w:tc>
          <w:tcPr>
            <w:tcW w:w="3685" w:type="dxa"/>
          </w:tcPr>
          <w:p w14:paraId="540636FB" w14:textId="77777777" w:rsidR="002473AB" w:rsidRPr="008D30DE" w:rsidRDefault="002473AB" w:rsidP="005719C1">
            <w:pPr>
              <w:spacing w:after="120"/>
              <w:rPr>
                <w:rFonts w:eastAsia="SimSun"/>
                <w:lang w:eastAsia="zh-CN"/>
              </w:rPr>
            </w:pPr>
            <w:r w:rsidRPr="00487477">
              <w:t>2 and 5</w:t>
            </w:r>
          </w:p>
        </w:tc>
      </w:tr>
    </w:tbl>
    <w:p w14:paraId="56D90A2A" w14:textId="7E977AF0" w:rsidR="002473AB" w:rsidRPr="00E124CE" w:rsidRDefault="002473AB" w:rsidP="007373FA">
      <w:pPr>
        <w:pStyle w:val="SingleTxtG"/>
      </w:pPr>
      <w:r w:rsidRPr="00FB6500">
        <w:rPr>
          <w:rFonts w:eastAsia="SimSun"/>
          <w:lang w:eastAsia="zh-CN"/>
        </w:rPr>
        <w:br w:type="page"/>
      </w:r>
    </w:p>
    <w:p w14:paraId="5F67CF1D" w14:textId="441326E8" w:rsidR="002473AB" w:rsidRPr="00CF1341" w:rsidRDefault="00684FA6" w:rsidP="002473AB">
      <w:pPr>
        <w:pStyle w:val="SingleTxtG"/>
      </w:pPr>
      <w:r>
        <w:lastRenderedPageBreak/>
        <w:t>1.</w:t>
      </w:r>
      <w:r>
        <w:tab/>
      </w:r>
      <w:r w:rsidR="002473AB">
        <w:t>The a</w:t>
      </w:r>
      <w:r w:rsidR="002473AB" w:rsidRPr="00FE7EBB">
        <w:t xml:space="preserve">uthor is </w:t>
      </w:r>
      <w:r w:rsidR="002473AB" w:rsidRPr="002D6EB5">
        <w:t xml:space="preserve">Ms. </w:t>
      </w:r>
      <w:proofErr w:type="spellStart"/>
      <w:r w:rsidR="002473AB" w:rsidRPr="002D6EB5">
        <w:t>Bakhytzhan</w:t>
      </w:r>
      <w:proofErr w:type="spellEnd"/>
      <w:r w:rsidR="002473AB" w:rsidRPr="002D6EB5">
        <w:t xml:space="preserve"> </w:t>
      </w:r>
      <w:proofErr w:type="spellStart"/>
      <w:r w:rsidR="002473AB" w:rsidRPr="002D6EB5">
        <w:t>Toregozhina</w:t>
      </w:r>
      <w:proofErr w:type="spellEnd"/>
      <w:r w:rsidR="002473AB">
        <w:rPr>
          <w:rStyle w:val="FootnoteReference"/>
        </w:rPr>
        <w:footnoteReference w:id="4"/>
      </w:r>
      <w:r w:rsidR="002473AB">
        <w:t xml:space="preserve">, a Kazakh national born in 1962. She claims that Kazakhstan </w:t>
      </w:r>
      <w:r w:rsidR="002473AB" w:rsidRPr="00FE7EBB">
        <w:t>has violated h</w:t>
      </w:r>
      <w:r w:rsidR="002473AB">
        <w:t>er</w:t>
      </w:r>
      <w:r w:rsidR="002473AB" w:rsidRPr="00FE7EBB">
        <w:t xml:space="preserve"> rights under</w:t>
      </w:r>
      <w:r w:rsidR="002473AB">
        <w:t xml:space="preserve"> article 21 </w:t>
      </w:r>
      <w:r w:rsidR="002473AB" w:rsidRPr="00FE7EBB">
        <w:t>of the International Covenant on Civil and Political</w:t>
      </w:r>
      <w:r w:rsidR="002473AB">
        <w:t xml:space="preserve"> Rights.</w:t>
      </w:r>
      <w:r w:rsidR="002473AB" w:rsidRPr="00FE7EBB">
        <w:t xml:space="preserve"> The Optional Protocol entered into force for </w:t>
      </w:r>
      <w:r w:rsidR="002473AB">
        <w:t>Kazakhstan on 30 June 2009</w:t>
      </w:r>
      <w:r w:rsidR="002473AB" w:rsidRPr="009D4036">
        <w:t>.</w:t>
      </w:r>
      <w:r w:rsidR="002473AB">
        <w:t xml:space="preserve"> </w:t>
      </w:r>
      <w:r w:rsidR="002473AB" w:rsidRPr="009979CF">
        <w:rPr>
          <w:rFonts w:eastAsia="Verdana"/>
        </w:rPr>
        <w:t xml:space="preserve">The author is </w:t>
      </w:r>
      <w:r w:rsidR="002473AB">
        <w:rPr>
          <w:rFonts w:eastAsia="Verdana"/>
        </w:rPr>
        <w:t xml:space="preserve">not </w:t>
      </w:r>
      <w:r w:rsidR="002473AB" w:rsidRPr="009979CF">
        <w:rPr>
          <w:rFonts w:eastAsia="Verdana"/>
        </w:rPr>
        <w:t>represented by counsel.</w:t>
      </w:r>
    </w:p>
    <w:p w14:paraId="2C816DEB" w14:textId="77777777" w:rsidR="002473AB" w:rsidRPr="00B54943" w:rsidRDefault="002473AB" w:rsidP="002473AB">
      <w:pPr>
        <w:pStyle w:val="H23G"/>
        <w:rPr>
          <w:rFonts w:eastAsia="Verdana"/>
        </w:rPr>
      </w:pPr>
      <w:r>
        <w:rPr>
          <w:rFonts w:eastAsia="Verdana"/>
        </w:rPr>
        <w:tab/>
      </w:r>
      <w:r>
        <w:rPr>
          <w:rFonts w:eastAsia="Verdana"/>
        </w:rPr>
        <w:tab/>
      </w:r>
      <w:r w:rsidRPr="00B54943">
        <w:rPr>
          <w:rFonts w:eastAsia="Verdana"/>
        </w:rPr>
        <w:t>The facts as presented by the author</w:t>
      </w:r>
    </w:p>
    <w:p w14:paraId="7C6296CD" w14:textId="77777777" w:rsidR="002473AB" w:rsidRDefault="002473AB" w:rsidP="007373FA">
      <w:pPr>
        <w:pStyle w:val="SingleTxtG"/>
      </w:pPr>
      <w:r w:rsidRPr="00B54943">
        <w:rPr>
          <w:rFonts w:eastAsia="Verdana"/>
        </w:rPr>
        <w:t>2.1</w:t>
      </w:r>
      <w:r w:rsidRPr="00B54943">
        <w:rPr>
          <w:rFonts w:eastAsia="Verdana"/>
        </w:rPr>
        <w:tab/>
      </w:r>
      <w:r w:rsidRPr="0062353F">
        <w:t xml:space="preserve">The author is head of the non-governmental organization “Ar. Rukh. </w:t>
      </w:r>
      <w:proofErr w:type="spellStart"/>
      <w:r w:rsidRPr="0062353F">
        <w:t>Khak</w:t>
      </w:r>
      <w:proofErr w:type="spellEnd"/>
      <w:r w:rsidRPr="0062353F">
        <w:t xml:space="preserve">”. On 1 March 2012, she </w:t>
      </w:r>
      <w:r>
        <w:t xml:space="preserve">applied to </w:t>
      </w:r>
      <w:r w:rsidRPr="0062353F">
        <w:t xml:space="preserve">the </w:t>
      </w:r>
      <w:proofErr w:type="spellStart"/>
      <w:r w:rsidRPr="0062353F">
        <w:t>Akimat</w:t>
      </w:r>
      <w:proofErr w:type="spellEnd"/>
      <w:r w:rsidRPr="0062353F">
        <w:rPr>
          <w:sz w:val="18"/>
          <w:vertAlign w:val="superscript"/>
        </w:rPr>
        <w:footnoteReference w:id="5"/>
      </w:r>
      <w:r w:rsidRPr="0062353F">
        <w:t xml:space="preserve"> of Almaty, </w:t>
      </w:r>
      <w:r>
        <w:t xml:space="preserve">with a </w:t>
      </w:r>
      <w:r w:rsidRPr="0062353F">
        <w:t>request</w:t>
      </w:r>
      <w:r>
        <w:t xml:space="preserve"> for an </w:t>
      </w:r>
      <w:r w:rsidRPr="0062353F">
        <w:t>authorization to hold a peaceful assembly (meeting)</w:t>
      </w:r>
      <w:r w:rsidRPr="0062353F">
        <w:rPr>
          <w:sz w:val="18"/>
          <w:vertAlign w:val="superscript"/>
        </w:rPr>
        <w:footnoteReference w:id="6"/>
      </w:r>
      <w:r w:rsidRPr="0062353F">
        <w:t xml:space="preserve"> entitled “100 Days after the Shooting of People in Zhanaozen”, </w:t>
      </w:r>
      <w:r>
        <w:t xml:space="preserve">to take </w:t>
      </w:r>
      <w:r w:rsidRPr="007373FA">
        <w:t>place</w:t>
      </w:r>
      <w:r>
        <w:t xml:space="preserve"> </w:t>
      </w:r>
      <w:r w:rsidRPr="0062353F">
        <w:t>on 24</w:t>
      </w:r>
      <w:r>
        <w:t xml:space="preserve"> March 2012</w:t>
      </w:r>
      <w:r w:rsidRPr="0062353F">
        <w:t xml:space="preserve">, on the square in front of the Palace of the Republic, </w:t>
      </w:r>
      <w:r>
        <w:t xml:space="preserve">organised </w:t>
      </w:r>
      <w:r w:rsidRPr="0062353F">
        <w:t xml:space="preserve">by the Monument to </w:t>
      </w:r>
      <w:proofErr w:type="spellStart"/>
      <w:r w:rsidRPr="0062353F">
        <w:t>Abai</w:t>
      </w:r>
      <w:proofErr w:type="spellEnd"/>
      <w:r w:rsidRPr="0062353F">
        <w:t xml:space="preserve"> </w:t>
      </w:r>
      <w:proofErr w:type="spellStart"/>
      <w:r w:rsidRPr="0062353F">
        <w:t>Qunanbaiuli</w:t>
      </w:r>
      <w:proofErr w:type="spellEnd"/>
      <w:r w:rsidRPr="0062353F">
        <w:t xml:space="preserve">. </w:t>
      </w:r>
      <w:r>
        <w:t xml:space="preserve">In her application, </w:t>
      </w:r>
      <w:r w:rsidRPr="00872F70">
        <w:t xml:space="preserve">the author provided a list of twenty nine alternative locations in Almaty, should the </w:t>
      </w:r>
      <w:proofErr w:type="spellStart"/>
      <w:r w:rsidRPr="00872F70">
        <w:t>Akimat</w:t>
      </w:r>
      <w:proofErr w:type="spellEnd"/>
      <w:r w:rsidRPr="00872F70">
        <w:t xml:space="preserve"> decide that it would not be possible to organize the meeting on the square in front of the Palace of the Republic.</w:t>
      </w:r>
    </w:p>
    <w:p w14:paraId="6D402CC8" w14:textId="5908E1FE" w:rsidR="002473AB" w:rsidRDefault="00684FA6" w:rsidP="007373FA">
      <w:pPr>
        <w:pStyle w:val="SingleTxtG"/>
      </w:pPr>
      <w:r>
        <w:t>2.2</w:t>
      </w:r>
      <w:r w:rsidR="007373FA">
        <w:tab/>
      </w:r>
      <w:r w:rsidR="002473AB" w:rsidRPr="00872F70">
        <w:t xml:space="preserve">On 19 March 2012, the author received a refusal from the </w:t>
      </w:r>
      <w:proofErr w:type="spellStart"/>
      <w:r w:rsidR="002473AB" w:rsidRPr="00872F70">
        <w:t>Akimat</w:t>
      </w:r>
      <w:proofErr w:type="spellEnd"/>
      <w:r w:rsidR="002473AB" w:rsidRPr="00872F70">
        <w:t xml:space="preserve"> of Almaty to authorize the </w:t>
      </w:r>
      <w:r w:rsidR="002473AB" w:rsidRPr="002473AB">
        <w:t>meeting</w:t>
      </w:r>
      <w:r w:rsidR="002473AB" w:rsidRPr="00872F70">
        <w:t xml:space="preserve"> </w:t>
      </w:r>
      <w:r w:rsidR="002473AB" w:rsidRPr="007373FA">
        <w:t>in</w:t>
      </w:r>
      <w:r w:rsidR="002473AB" w:rsidRPr="00872F70">
        <w:t xml:space="preserve"> any of the 30 </w:t>
      </w:r>
      <w:r w:rsidR="002473AB">
        <w:t>proposed locations</w:t>
      </w:r>
      <w:r w:rsidR="002473AB" w:rsidRPr="00872F70">
        <w:t>.</w:t>
      </w:r>
      <w:r w:rsidR="002473AB" w:rsidRPr="00872F70">
        <w:rPr>
          <w:sz w:val="18"/>
          <w:vertAlign w:val="superscript"/>
        </w:rPr>
        <w:footnoteReference w:id="7"/>
      </w:r>
      <w:r w:rsidR="002473AB" w:rsidRPr="00872F70">
        <w:t xml:space="preserve"> </w:t>
      </w:r>
      <w:r w:rsidR="002473AB">
        <w:t xml:space="preserve">The </w:t>
      </w:r>
      <w:proofErr w:type="spellStart"/>
      <w:r w:rsidR="002473AB">
        <w:t>Akimat</w:t>
      </w:r>
      <w:proofErr w:type="spellEnd"/>
      <w:r w:rsidR="002473AB">
        <w:t xml:space="preserve"> based its refusal on the Almaty </w:t>
      </w:r>
      <w:proofErr w:type="spellStart"/>
      <w:r w:rsidR="002473AB">
        <w:t>Maslikhat</w:t>
      </w:r>
      <w:proofErr w:type="spellEnd"/>
      <w:r w:rsidR="002473AB">
        <w:rPr>
          <w:rStyle w:val="FootnoteReference"/>
        </w:rPr>
        <w:footnoteReference w:id="8"/>
      </w:r>
      <w:r w:rsidR="002473AB">
        <w:t xml:space="preserve"> Decision No 167 of 29 July 2005 (hereinafter Decision No 167) which </w:t>
      </w:r>
      <w:r w:rsidR="002473AB">
        <w:rPr>
          <w:rFonts w:ascii="Times" w:eastAsia="SimSun" w:hAnsi="Times"/>
          <w:lang w:eastAsia="zh-CN"/>
        </w:rPr>
        <w:t>recommends</w:t>
      </w:r>
      <w:r w:rsidR="002473AB" w:rsidRPr="00EE5898">
        <w:rPr>
          <w:rFonts w:ascii="Times" w:eastAsia="SimSun" w:hAnsi="Times"/>
          <w:lang w:eastAsia="zh-CN"/>
        </w:rPr>
        <w:t xml:space="preserve"> the organization of all non-governmental public events of a “social and political nature” solely on the square behind the cinema “</w:t>
      </w:r>
      <w:proofErr w:type="spellStart"/>
      <w:r w:rsidR="002473AB" w:rsidRPr="00EE5898">
        <w:rPr>
          <w:rFonts w:ascii="Times" w:eastAsia="SimSun" w:hAnsi="Times"/>
          <w:lang w:eastAsia="zh-CN"/>
        </w:rPr>
        <w:t>Sary</w:t>
      </w:r>
      <w:proofErr w:type="spellEnd"/>
      <w:r w:rsidR="002473AB" w:rsidRPr="00EE5898">
        <w:rPr>
          <w:rFonts w:ascii="Times" w:eastAsia="SimSun" w:hAnsi="Times"/>
          <w:lang w:eastAsia="zh-CN"/>
        </w:rPr>
        <w:t xml:space="preserve"> </w:t>
      </w:r>
      <w:proofErr w:type="spellStart"/>
      <w:r w:rsidR="002473AB" w:rsidRPr="00EE5898">
        <w:rPr>
          <w:rFonts w:ascii="Times" w:eastAsia="SimSun" w:hAnsi="Times"/>
          <w:lang w:eastAsia="zh-CN"/>
        </w:rPr>
        <w:t>Arka</w:t>
      </w:r>
      <w:proofErr w:type="spellEnd"/>
      <w:r w:rsidR="002473AB" w:rsidRPr="00EE5898">
        <w:rPr>
          <w:rFonts w:ascii="Times" w:eastAsia="SimSun" w:hAnsi="Times"/>
          <w:lang w:eastAsia="zh-CN"/>
        </w:rPr>
        <w:t xml:space="preserve">”. Pursuant to the same decision of the </w:t>
      </w:r>
      <w:proofErr w:type="spellStart"/>
      <w:r w:rsidR="002473AB" w:rsidRPr="00EE5898">
        <w:rPr>
          <w:rFonts w:ascii="Times" w:eastAsia="SimSun" w:hAnsi="Times"/>
          <w:lang w:eastAsia="zh-CN"/>
        </w:rPr>
        <w:t>Maslikhat</w:t>
      </w:r>
      <w:proofErr w:type="spellEnd"/>
      <w:r w:rsidR="002473AB" w:rsidRPr="00EE5898">
        <w:rPr>
          <w:rFonts w:ascii="Times" w:eastAsia="SimSun" w:hAnsi="Times"/>
          <w:lang w:eastAsia="zh-CN"/>
        </w:rPr>
        <w:t xml:space="preserve"> of Almaty, official events of the national and local levels organized by relevant state bodies, as well as other events with the participation of high-level state officials and leadership of Almaty, are to be held on the Republic Square. Other squares and </w:t>
      </w:r>
      <w:r w:rsidR="002473AB" w:rsidRPr="007373FA">
        <w:rPr>
          <w:rFonts w:eastAsia="SimSun"/>
        </w:rPr>
        <w:t>garden</w:t>
      </w:r>
      <w:r w:rsidR="002473AB" w:rsidRPr="00EE5898">
        <w:rPr>
          <w:rFonts w:ascii="Times" w:eastAsia="SimSun" w:hAnsi="Times"/>
          <w:lang w:eastAsia="zh-CN"/>
        </w:rPr>
        <w:t xml:space="preserve"> squares are to be used for holding official, cultural and entertainment activities </w:t>
      </w:r>
      <w:r w:rsidR="002473AB" w:rsidRPr="00EE5898">
        <w:rPr>
          <w:rFonts w:eastAsia="SimSun"/>
          <w:color w:val="222222"/>
          <w:lang w:val="en" w:eastAsia="zh-CN"/>
        </w:rPr>
        <w:t>in accordance with their architectural and functional purpose</w:t>
      </w:r>
      <w:r w:rsidR="002473AB" w:rsidRPr="00EE5898">
        <w:rPr>
          <w:rFonts w:eastAsia="SimSun"/>
          <w:color w:val="222222"/>
          <w:lang w:eastAsia="zh-CN"/>
        </w:rPr>
        <w:t>s</w:t>
      </w:r>
      <w:r w:rsidR="002473AB" w:rsidRPr="00EE5898">
        <w:rPr>
          <w:rFonts w:eastAsia="SimSun"/>
          <w:color w:val="222222"/>
          <w:lang w:val="en" w:eastAsia="zh-CN"/>
        </w:rPr>
        <w:t>.</w:t>
      </w:r>
      <w:r w:rsidR="002473AB">
        <w:rPr>
          <w:rFonts w:eastAsia="SimSun"/>
          <w:color w:val="222222"/>
          <w:lang w:val="en" w:eastAsia="zh-CN"/>
        </w:rPr>
        <w:t xml:space="preserve"> </w:t>
      </w:r>
      <w:r w:rsidR="002473AB">
        <w:t xml:space="preserve">According to the author, the Decision No 167 is </w:t>
      </w:r>
      <w:r w:rsidR="002473AB" w:rsidRPr="00D90599">
        <w:t xml:space="preserve">always </w:t>
      </w:r>
      <w:r w:rsidR="002473AB">
        <w:t xml:space="preserve">used by the </w:t>
      </w:r>
      <w:proofErr w:type="spellStart"/>
      <w:r w:rsidR="002473AB">
        <w:t>Akimat</w:t>
      </w:r>
      <w:proofErr w:type="spellEnd"/>
      <w:r w:rsidR="002473AB">
        <w:t xml:space="preserve"> as a ground for refusal for all gatherings which are not carried out at the </w:t>
      </w:r>
      <w:r w:rsidR="002473AB" w:rsidRPr="00EE5898">
        <w:rPr>
          <w:rFonts w:ascii="Times" w:eastAsia="SimSun" w:hAnsi="Times"/>
          <w:lang w:eastAsia="zh-CN"/>
        </w:rPr>
        <w:t>cinema “</w:t>
      </w:r>
      <w:proofErr w:type="spellStart"/>
      <w:r w:rsidR="002473AB" w:rsidRPr="00EE5898">
        <w:rPr>
          <w:rFonts w:ascii="Times" w:eastAsia="SimSun" w:hAnsi="Times"/>
          <w:lang w:eastAsia="zh-CN"/>
        </w:rPr>
        <w:t>Sary</w:t>
      </w:r>
      <w:proofErr w:type="spellEnd"/>
      <w:r w:rsidR="002473AB" w:rsidRPr="00EE5898">
        <w:rPr>
          <w:rFonts w:ascii="Times" w:eastAsia="SimSun" w:hAnsi="Times"/>
          <w:lang w:eastAsia="zh-CN"/>
        </w:rPr>
        <w:t xml:space="preserve"> </w:t>
      </w:r>
      <w:proofErr w:type="spellStart"/>
      <w:r w:rsidR="002473AB" w:rsidRPr="00EE5898">
        <w:rPr>
          <w:rFonts w:ascii="Times" w:eastAsia="SimSun" w:hAnsi="Times"/>
          <w:lang w:eastAsia="zh-CN"/>
        </w:rPr>
        <w:t>Arka</w:t>
      </w:r>
      <w:proofErr w:type="spellEnd"/>
      <w:r w:rsidR="002473AB" w:rsidRPr="00EE5898">
        <w:rPr>
          <w:rFonts w:ascii="Times" w:eastAsia="SimSun" w:hAnsi="Times"/>
          <w:lang w:eastAsia="zh-CN"/>
        </w:rPr>
        <w:t>”</w:t>
      </w:r>
      <w:r w:rsidR="002473AB">
        <w:t>.</w:t>
      </w:r>
    </w:p>
    <w:p w14:paraId="5202EDAA" w14:textId="79FFE45F" w:rsidR="002473AB" w:rsidRPr="00EE5898" w:rsidRDefault="00684FA6" w:rsidP="002473AB">
      <w:pPr>
        <w:pStyle w:val="SingleTxtG"/>
        <w:rPr>
          <w:rFonts w:ascii="Times" w:eastAsia="SimSun" w:hAnsi="Times"/>
          <w:lang w:eastAsia="zh-CN"/>
        </w:rPr>
      </w:pPr>
      <w:r>
        <w:rPr>
          <w:rFonts w:ascii="Times" w:eastAsia="SimSun" w:hAnsi="Times"/>
          <w:lang w:eastAsia="zh-CN"/>
        </w:rPr>
        <w:t>2.3</w:t>
      </w:r>
      <w:r w:rsidR="007373FA">
        <w:rPr>
          <w:rFonts w:ascii="Times" w:eastAsia="SimSun" w:hAnsi="Times"/>
          <w:lang w:eastAsia="zh-CN"/>
        </w:rPr>
        <w:tab/>
      </w:r>
      <w:r w:rsidR="002473AB" w:rsidRPr="00EE5898">
        <w:t xml:space="preserve">Because the remote location </w:t>
      </w:r>
      <w:r w:rsidR="002473AB">
        <w:t xml:space="preserve">offered by the </w:t>
      </w:r>
      <w:proofErr w:type="spellStart"/>
      <w:r w:rsidR="002473AB">
        <w:t>A</w:t>
      </w:r>
      <w:r w:rsidR="002473AB" w:rsidRPr="00EE5898">
        <w:t>kimat</w:t>
      </w:r>
      <w:proofErr w:type="spellEnd"/>
      <w:r w:rsidR="002473AB" w:rsidRPr="00EE5898">
        <w:t xml:space="preserve"> was not suitable for the purpose of the gathering, the author decided to carry it out in a different location, which she considered suitable. As a result</w:t>
      </w:r>
      <w:r w:rsidR="002473AB">
        <w:t>,</w:t>
      </w:r>
      <w:r w:rsidR="002473AB" w:rsidRPr="00EE5898">
        <w:t xml:space="preserve"> she was fined for </w:t>
      </w:r>
      <w:r w:rsidR="002473AB">
        <w:t xml:space="preserve">having committed </w:t>
      </w:r>
      <w:r w:rsidR="002473AB" w:rsidRPr="00EE5898">
        <w:t xml:space="preserve">an administrative offence </w:t>
      </w:r>
      <w:r w:rsidR="002473AB">
        <w:t xml:space="preserve">for </w:t>
      </w:r>
      <w:r w:rsidR="002473AB" w:rsidRPr="00EE5898">
        <w:t>holding an unauthorized gathering.</w:t>
      </w:r>
      <w:r w:rsidR="002473AB">
        <w:t xml:space="preserve"> According to the author, this</w:t>
      </w:r>
      <w:r w:rsidR="002473AB" w:rsidRPr="00EE5898">
        <w:t xml:space="preserve"> submission to the Committee does not relate to this particular gathering and sanctions imposed in relation to it but to </w:t>
      </w:r>
      <w:r w:rsidR="002473AB">
        <w:t xml:space="preserve">the </w:t>
      </w:r>
      <w:r w:rsidR="002473AB" w:rsidRPr="00EE5898">
        <w:t>Decision No 167. The gathering is given as an example of the general effect of this Decision.</w:t>
      </w:r>
    </w:p>
    <w:p w14:paraId="55647A15" w14:textId="3CB0B84C" w:rsidR="007373FA" w:rsidRDefault="00684FA6" w:rsidP="00156761">
      <w:pPr>
        <w:pStyle w:val="SingleTxtG"/>
      </w:pPr>
      <w:r>
        <w:t>2.4</w:t>
      </w:r>
      <w:r w:rsidR="007373FA">
        <w:tab/>
      </w:r>
      <w:r w:rsidR="002473AB">
        <w:t xml:space="preserve">On 10 August </w:t>
      </w:r>
      <w:r w:rsidR="002473AB" w:rsidRPr="007373FA">
        <w:t>2012</w:t>
      </w:r>
      <w:r w:rsidR="002473AB">
        <w:t xml:space="preserve">, the author applied to the </w:t>
      </w:r>
      <w:proofErr w:type="spellStart"/>
      <w:r w:rsidR="00156761">
        <w:t>Almalinsk</w:t>
      </w:r>
      <w:proofErr w:type="spellEnd"/>
      <w:r w:rsidR="00156761">
        <w:t xml:space="preserve"> District Court of Almaty </w:t>
      </w:r>
      <w:r w:rsidR="002473AB">
        <w:t>with a request to repeal the Decision No 167 as it breaches the Constitution and international standards on freedom of peaceful assembly.</w:t>
      </w:r>
      <w:r w:rsidR="002473AB">
        <w:rPr>
          <w:rStyle w:val="FootnoteReference"/>
        </w:rPr>
        <w:footnoteReference w:id="9"/>
      </w:r>
      <w:r w:rsidR="002473AB">
        <w:t xml:space="preserve"> The author claimed that this decision is not registered in the</w:t>
      </w:r>
      <w:r w:rsidR="002473AB" w:rsidRPr="00110A7A">
        <w:t xml:space="preserve"> judicial authorities</w:t>
      </w:r>
      <w:r w:rsidR="002473AB">
        <w:rPr>
          <w:lang w:val="en-US"/>
        </w:rPr>
        <w:t xml:space="preserve">; thus, it is not a </w:t>
      </w:r>
      <w:r w:rsidR="002473AB" w:rsidRPr="00110A7A">
        <w:rPr>
          <w:lang w:val="en-US"/>
        </w:rPr>
        <w:t xml:space="preserve">binding </w:t>
      </w:r>
      <w:r w:rsidR="002473AB">
        <w:rPr>
          <w:lang w:val="en-US"/>
        </w:rPr>
        <w:t>legal document.</w:t>
      </w:r>
      <w:r w:rsidR="002473AB" w:rsidRPr="00110A7A">
        <w:rPr>
          <w:lang w:val="en-US"/>
        </w:rPr>
        <w:t xml:space="preserve"> </w:t>
      </w:r>
      <w:r w:rsidR="002473AB">
        <w:t xml:space="preserve"> On 5 September 2012, the </w:t>
      </w:r>
      <w:proofErr w:type="spellStart"/>
      <w:r w:rsidR="002473AB">
        <w:t>Almalinsk</w:t>
      </w:r>
      <w:proofErr w:type="spellEnd"/>
      <w:r w:rsidR="002473AB">
        <w:t xml:space="preserve"> </w:t>
      </w:r>
      <w:r w:rsidR="002C7165">
        <w:t>District</w:t>
      </w:r>
      <w:r w:rsidR="002473AB">
        <w:t xml:space="preserve"> Court </w:t>
      </w:r>
      <w:r w:rsidR="002C7165">
        <w:t xml:space="preserve">of Almaty </w:t>
      </w:r>
      <w:r w:rsidR="002473AB">
        <w:t xml:space="preserve">rejected the author’s request saying that the complaint was time barred. At the same time, the Court found that the Decision No 167 was </w:t>
      </w:r>
      <w:r w:rsidR="002473AB">
        <w:lastRenderedPageBreak/>
        <w:t>adopted in</w:t>
      </w:r>
      <w:r w:rsidR="009F3B9C">
        <w:t xml:space="preserve"> </w:t>
      </w:r>
      <w:r w:rsidR="007373FA">
        <w:t xml:space="preserve">accordance with </w:t>
      </w:r>
      <w:r w:rsidR="007373FA" w:rsidRPr="007373FA">
        <w:t>the</w:t>
      </w:r>
      <w:r w:rsidR="007373FA">
        <w:t xml:space="preserve"> law and does not violate the rights of individuals. The Court found groundless the arguments of the author about breaches of the international standards, saying that the local authorities have the right to impose additional regulations on the organization of public gatherings.</w:t>
      </w:r>
    </w:p>
    <w:p w14:paraId="0AAC63FB" w14:textId="5C2831B0" w:rsidR="007373FA" w:rsidRDefault="007373FA" w:rsidP="007373FA">
      <w:pPr>
        <w:pStyle w:val="SingleTxtG"/>
      </w:pPr>
      <w:r>
        <w:rPr>
          <w:rFonts w:eastAsia="Verdana"/>
          <w:bCs/>
        </w:rPr>
        <w:t>2.5</w:t>
      </w:r>
      <w:r>
        <w:rPr>
          <w:rFonts w:eastAsia="Verdana"/>
          <w:bCs/>
        </w:rPr>
        <w:tab/>
      </w:r>
      <w:r>
        <w:t xml:space="preserve">On 17 </w:t>
      </w:r>
      <w:r w:rsidRPr="007373FA">
        <w:t>September</w:t>
      </w:r>
      <w:r>
        <w:t xml:space="preserve"> 2012, the author appealed to the Almaty City Court arguing that the </w:t>
      </w:r>
      <w:proofErr w:type="spellStart"/>
      <w:r>
        <w:t>Almalinsk</w:t>
      </w:r>
      <w:proofErr w:type="spellEnd"/>
      <w:r>
        <w:t xml:space="preserve"> </w:t>
      </w:r>
      <w:r w:rsidR="002C7165">
        <w:t>District</w:t>
      </w:r>
      <w:r>
        <w:t xml:space="preserve"> Court </w:t>
      </w:r>
      <w:r w:rsidR="002C7165">
        <w:t xml:space="preserve">of Almaty </w:t>
      </w:r>
      <w:r>
        <w:t>failed to consider her complaint in substance and asking to refer her case for a new hearing. On 23 October 2012, the Almaty City Court confirmed the regional court’s judgment.</w:t>
      </w:r>
    </w:p>
    <w:p w14:paraId="12843A53" w14:textId="65B668AC" w:rsidR="007373FA" w:rsidRDefault="007373FA" w:rsidP="007373FA">
      <w:pPr>
        <w:pStyle w:val="SingleTxtG"/>
      </w:pPr>
      <w:r>
        <w:rPr>
          <w:rFonts w:eastAsia="Verdana"/>
          <w:bCs/>
        </w:rPr>
        <w:t>2.6</w:t>
      </w:r>
      <w:r>
        <w:rPr>
          <w:rFonts w:eastAsia="Verdana"/>
          <w:bCs/>
        </w:rPr>
        <w:tab/>
      </w:r>
      <w:r>
        <w:t>On 29 March 2013, the author submitted a cassation appeal to the Almaty City Court, which was rejected on 22 April 2013.</w:t>
      </w:r>
    </w:p>
    <w:p w14:paraId="75BE4715" w14:textId="068CAE32" w:rsidR="007373FA" w:rsidRPr="00B54943" w:rsidRDefault="00684FA6" w:rsidP="007373FA">
      <w:pPr>
        <w:pStyle w:val="SingleTxtG"/>
        <w:rPr>
          <w:rFonts w:eastAsia="Verdana"/>
          <w:bCs/>
        </w:rPr>
      </w:pPr>
      <w:r>
        <w:t>2.7</w:t>
      </w:r>
      <w:r w:rsidR="007373FA">
        <w:tab/>
        <w:t xml:space="preserve">On 13 May 2013, the author submitted a request for a supervisory review to the Supreme Court of Kazakhstan. On </w:t>
      </w:r>
      <w:r w:rsidR="007373FA" w:rsidRPr="007373FA">
        <w:t>12</w:t>
      </w:r>
      <w:r w:rsidR="007373FA">
        <w:t xml:space="preserve"> September 2013, having found no breach of material or procedural provisions by the lower courts, the Supreme Court rejected the author’s request for a supervisory review. </w:t>
      </w:r>
    </w:p>
    <w:p w14:paraId="1FB9F508" w14:textId="729F1C21" w:rsidR="007373FA" w:rsidRPr="00B54943" w:rsidRDefault="00684FA6" w:rsidP="00684FA6">
      <w:pPr>
        <w:pStyle w:val="H23G"/>
        <w:rPr>
          <w:rFonts w:eastAsia="Verdana"/>
        </w:rPr>
      </w:pPr>
      <w:r>
        <w:rPr>
          <w:rFonts w:eastAsia="Verdana"/>
        </w:rPr>
        <w:tab/>
      </w:r>
      <w:r>
        <w:rPr>
          <w:rFonts w:eastAsia="Verdana"/>
        </w:rPr>
        <w:tab/>
      </w:r>
      <w:r w:rsidR="007373FA" w:rsidRPr="00B54943">
        <w:rPr>
          <w:rFonts w:eastAsia="Verdana"/>
        </w:rPr>
        <w:t>The complaint</w:t>
      </w:r>
    </w:p>
    <w:p w14:paraId="3BF9E5E2" w14:textId="2623AD4C" w:rsidR="007373FA" w:rsidRDefault="00684FA6" w:rsidP="007373FA">
      <w:pPr>
        <w:pStyle w:val="SingleTxtG"/>
      </w:pPr>
      <w:r>
        <w:t>3.</w:t>
      </w:r>
      <w:r w:rsidR="007373FA">
        <w:tab/>
        <w:t xml:space="preserve">The author affirms that the </w:t>
      </w:r>
      <w:r w:rsidR="007373FA" w:rsidRPr="005B01DE">
        <w:t xml:space="preserve">Decision No 167 </w:t>
      </w:r>
      <w:r w:rsidR="007373FA">
        <w:t xml:space="preserve">violates her rights under article 21 of the Covenant because it </w:t>
      </w:r>
      <w:r w:rsidR="007373FA" w:rsidRPr="00D90599">
        <w:t>limits</w:t>
      </w:r>
      <w:r w:rsidR="007373FA">
        <w:t xml:space="preserve"> her right to hold a mass event in the venue of her choice on the basis of the aims of  mass events, the target group, etc. without explaining the aim of </w:t>
      </w:r>
      <w:r w:rsidR="007373FA" w:rsidRPr="00D90599">
        <w:t>this limitation;</w:t>
      </w:r>
      <w:r w:rsidR="007373FA">
        <w:t xml:space="preserve"> t</w:t>
      </w:r>
      <w:r w:rsidR="007373FA" w:rsidRPr="005B01DE">
        <w:t>he sanctions applied to her directly stem from the Decision No 167</w:t>
      </w:r>
      <w:r w:rsidR="007373FA">
        <w:t>; and it has discriminatory nature since it identified only one venue for non-state mass events in comparison with all squares and public gardens for state mass events.</w:t>
      </w:r>
    </w:p>
    <w:p w14:paraId="7CF4EEDB" w14:textId="77777777" w:rsidR="007373FA" w:rsidRPr="007373FA" w:rsidRDefault="007373FA" w:rsidP="007373FA">
      <w:pPr>
        <w:pStyle w:val="H23G"/>
      </w:pPr>
      <w:r>
        <w:tab/>
      </w:r>
      <w:r>
        <w:tab/>
      </w:r>
      <w:r w:rsidRPr="00CF1341">
        <w:t xml:space="preserve">State party’s submissions on admissibility </w:t>
      </w:r>
      <w:r>
        <w:t>and merits</w:t>
      </w:r>
    </w:p>
    <w:p w14:paraId="5B7C4D01" w14:textId="77777777" w:rsidR="007373FA" w:rsidRDefault="007373FA" w:rsidP="007373FA">
      <w:pPr>
        <w:pStyle w:val="SingleTxtG"/>
        <w:rPr>
          <w:rFonts w:eastAsia="SimSun"/>
          <w:lang w:eastAsia="zh-CN"/>
        </w:rPr>
      </w:pPr>
      <w:r>
        <w:t>4.1</w:t>
      </w:r>
      <w:r>
        <w:tab/>
        <w:t xml:space="preserve">On 19 </w:t>
      </w:r>
      <w:r w:rsidRPr="007373FA">
        <w:t>October</w:t>
      </w:r>
      <w:r>
        <w:t xml:space="preserve"> </w:t>
      </w:r>
      <w:r w:rsidRPr="008D1724">
        <w:t>201</w:t>
      </w:r>
      <w:r>
        <w:t>5</w:t>
      </w:r>
      <w:r w:rsidRPr="004C5FE5">
        <w:t xml:space="preserve">, the State party </w:t>
      </w:r>
      <w:r>
        <w:t xml:space="preserve">presented </w:t>
      </w:r>
      <w:r w:rsidRPr="004C5FE5">
        <w:t xml:space="preserve">its observations on the admissibility of the communication and requested the Committee to declare it inadmissible </w:t>
      </w:r>
      <w:r>
        <w:t xml:space="preserve">as </w:t>
      </w:r>
      <w:r w:rsidRPr="007B4EB9">
        <w:rPr>
          <w:rFonts w:eastAsia="SimSun"/>
          <w:lang w:eastAsia="zh-CN"/>
        </w:rPr>
        <w:t xml:space="preserve">unsubstantiated. </w:t>
      </w:r>
    </w:p>
    <w:p w14:paraId="4AA30C89" w14:textId="2FEFCF77" w:rsidR="007373FA" w:rsidRPr="008E5BA2" w:rsidRDefault="00684FA6" w:rsidP="007373FA">
      <w:pPr>
        <w:spacing w:after="120"/>
        <w:ind w:left="1134" w:right="1134"/>
        <w:jc w:val="both"/>
      </w:pPr>
      <w:r>
        <w:t>4.2</w:t>
      </w:r>
      <w:r w:rsidR="007373FA">
        <w:tab/>
      </w:r>
      <w:r w:rsidR="007373FA" w:rsidRPr="008E5BA2">
        <w:t>The State party re</w:t>
      </w:r>
      <w:r w:rsidR="007373FA">
        <w:t xml:space="preserve">calls </w:t>
      </w:r>
      <w:r w:rsidR="007373FA" w:rsidRPr="008E5BA2">
        <w:t>the fact</w:t>
      </w:r>
      <w:r w:rsidR="007373FA">
        <w:t>s</w:t>
      </w:r>
      <w:r w:rsidR="007373FA" w:rsidRPr="008E5BA2">
        <w:t xml:space="preserve"> of the </w:t>
      </w:r>
      <w:r w:rsidR="007373FA">
        <w:t xml:space="preserve">case and observes that the courts considered </w:t>
      </w:r>
      <w:r w:rsidR="00221AF4">
        <w:t xml:space="preserve">and rejected </w:t>
      </w:r>
      <w:r w:rsidR="007373FA">
        <w:t xml:space="preserve">the arguments of the author that Decision No 167 </w:t>
      </w:r>
      <w:r w:rsidR="007373FA" w:rsidRPr="005201DA">
        <w:t>contradicted</w:t>
      </w:r>
      <w:r w:rsidR="007373FA">
        <w:t xml:space="preserve"> national and international human rights standards. The legality of the courts’ decisions was verified by the Office of Prosecutors of Almaty and the Prosecutor General’s Office. </w:t>
      </w:r>
    </w:p>
    <w:p w14:paraId="6C24B032" w14:textId="35A832E6" w:rsidR="007373FA" w:rsidRPr="005C45E9" w:rsidRDefault="00684FA6" w:rsidP="007373FA">
      <w:pPr>
        <w:pStyle w:val="SingleTxtG"/>
        <w:rPr>
          <w:rFonts w:eastAsia="SimSun"/>
          <w:lang w:eastAsia="zh-CN"/>
        </w:rPr>
      </w:pPr>
      <w:r>
        <w:t>4.3</w:t>
      </w:r>
      <w:r w:rsidR="007373FA">
        <w:tab/>
        <w:t>A</w:t>
      </w:r>
      <w:r w:rsidR="007373FA" w:rsidRPr="005C45E9">
        <w:rPr>
          <w:rFonts w:eastAsia="SimSun"/>
          <w:lang w:eastAsia="zh-CN"/>
        </w:rPr>
        <w:t xml:space="preserve">rticle 32 of the </w:t>
      </w:r>
      <w:r w:rsidR="007373FA">
        <w:rPr>
          <w:rFonts w:eastAsia="SimSun"/>
          <w:lang w:eastAsia="zh-CN"/>
        </w:rPr>
        <w:t xml:space="preserve">Kazakh </w:t>
      </w:r>
      <w:r w:rsidR="007373FA" w:rsidRPr="005C45E9">
        <w:rPr>
          <w:rFonts w:eastAsia="SimSun"/>
          <w:lang w:eastAsia="zh-CN"/>
        </w:rPr>
        <w:t xml:space="preserve">Constitution guarantees the right of citizens to gather peacefully and to hold meetings, rallies, demonstrations, street processions and pickets. The realization of this right, however, may be restricted by law in the interests of state security, public order, protection of </w:t>
      </w:r>
      <w:r w:rsidR="007373FA" w:rsidRPr="007373FA">
        <w:rPr>
          <w:rFonts w:eastAsia="SimSun"/>
        </w:rPr>
        <w:t>health</w:t>
      </w:r>
      <w:r w:rsidR="007373FA" w:rsidRPr="005C45E9">
        <w:rPr>
          <w:rFonts w:eastAsia="SimSun"/>
          <w:lang w:eastAsia="zh-CN"/>
        </w:rPr>
        <w:t xml:space="preserve">, rights and freedoms of others. The format and the manner of the expression of societal, group or personal interests in public places, as well as certain limitations of the above, are established by </w:t>
      </w:r>
      <w:r w:rsidR="007373FA" w:rsidRPr="005C45E9">
        <w:rPr>
          <w:rFonts w:eastAsia="Verdana"/>
          <w:lang w:eastAsia="zh-CN"/>
        </w:rPr>
        <w:t xml:space="preserve">Law No. 2126 of 17 March 1995 on the Order of Organization and Conduct of Peaceful Assemblies, Meetings, Processions, Pickets and Demonstrations. </w:t>
      </w:r>
      <w:r w:rsidR="007373FA">
        <w:rPr>
          <w:rFonts w:eastAsia="SimSun"/>
          <w:lang w:eastAsia="zh-CN"/>
        </w:rPr>
        <w:t xml:space="preserve">Article 10 of the law allows the local executive bodies to regulate the order of organisation of public events based on the local conditions’ requirements. </w:t>
      </w:r>
    </w:p>
    <w:p w14:paraId="5688527E" w14:textId="14543683" w:rsidR="007373FA" w:rsidRDefault="007373FA" w:rsidP="007373FA">
      <w:pPr>
        <w:pStyle w:val="SingleTxtG"/>
      </w:pPr>
      <w:r w:rsidRPr="00994B16">
        <w:t>4.</w:t>
      </w:r>
      <w:r>
        <w:t>4</w:t>
      </w:r>
      <w:r>
        <w:tab/>
        <w:t xml:space="preserve">The State party submits that </w:t>
      </w:r>
      <w:r w:rsidRPr="00C94C1B">
        <w:t xml:space="preserve"> pursuant to the Law on the Order of Organization and Conduct of Peaceful Assemblies, Meetings, Processions, Pickets and Demonstrations, organizers should obtain from local executive bodies an authorization prior to holding a public event.  </w:t>
      </w:r>
      <w:r>
        <w:t xml:space="preserve">According to the article 5 of the Law, mass events should be hold in a designated venue. </w:t>
      </w:r>
      <w:r w:rsidRPr="00C94C1B">
        <w:t xml:space="preserve"> </w:t>
      </w:r>
    </w:p>
    <w:p w14:paraId="46D18E01" w14:textId="409BC85D" w:rsidR="007373FA" w:rsidRDefault="00684FA6" w:rsidP="007373FA">
      <w:pPr>
        <w:pStyle w:val="SingleTxtG"/>
        <w:rPr>
          <w:rFonts w:ascii="Times" w:eastAsia="SimSun" w:hAnsi="Times"/>
          <w:lang w:eastAsia="zh-CN"/>
        </w:rPr>
      </w:pPr>
      <w:r>
        <w:t>4.5</w:t>
      </w:r>
      <w:r w:rsidR="007373FA">
        <w:tab/>
      </w:r>
      <w:r w:rsidR="007373FA">
        <w:rPr>
          <w:rFonts w:eastAsia="SimSun"/>
          <w:lang w:eastAsia="zh-CN"/>
        </w:rPr>
        <w:t>T</w:t>
      </w:r>
      <w:r w:rsidR="007373FA" w:rsidRPr="00C94C1B">
        <w:rPr>
          <w:rFonts w:eastAsia="SimSun"/>
          <w:lang w:eastAsia="zh-CN"/>
        </w:rPr>
        <w:t xml:space="preserve">he State party submits that </w:t>
      </w:r>
      <w:r w:rsidR="007373FA">
        <w:rPr>
          <w:rFonts w:eastAsia="SimSun"/>
          <w:lang w:eastAsia="zh-CN"/>
        </w:rPr>
        <w:t xml:space="preserve">in </w:t>
      </w:r>
      <w:r w:rsidR="007373FA" w:rsidRPr="007373FA">
        <w:rPr>
          <w:rFonts w:eastAsia="SimSun"/>
        </w:rPr>
        <w:t>order</w:t>
      </w:r>
      <w:r w:rsidR="007373FA">
        <w:rPr>
          <w:rFonts w:eastAsia="SimSun"/>
          <w:lang w:eastAsia="zh-CN"/>
        </w:rPr>
        <w:t xml:space="preserve"> to guarantee the protection </w:t>
      </w:r>
      <w:r w:rsidR="007373FA" w:rsidRPr="001C4F75">
        <w:rPr>
          <w:rFonts w:eastAsia="SimSun"/>
          <w:lang w:eastAsia="zh-CN"/>
        </w:rPr>
        <w:t>th</w:t>
      </w:r>
      <w:r w:rsidR="007373FA">
        <w:rPr>
          <w:rFonts w:eastAsia="SimSun"/>
          <w:lang w:eastAsia="zh-CN"/>
        </w:rPr>
        <w:t xml:space="preserve">e rights and freedoms of others and public safety, normal functioning of public transport and infrastructure, and protection of green plantings and architectural objects, the </w:t>
      </w:r>
      <w:r w:rsidR="007373FA">
        <w:t xml:space="preserve">Decision No 167 </w:t>
      </w:r>
      <w:r w:rsidR="007373FA">
        <w:rPr>
          <w:rFonts w:ascii="Times" w:eastAsia="SimSun" w:hAnsi="Times"/>
          <w:lang w:eastAsia="zh-CN"/>
        </w:rPr>
        <w:t xml:space="preserve">recommended </w:t>
      </w:r>
      <w:r w:rsidR="007373FA" w:rsidRPr="001C4F75">
        <w:rPr>
          <w:rFonts w:ascii="Times" w:eastAsia="SimSun" w:hAnsi="Times"/>
          <w:lang w:eastAsia="zh-CN"/>
        </w:rPr>
        <w:t>the organization of all non-governmental public events of “social and political nature” on the square behind the cinema “</w:t>
      </w:r>
      <w:proofErr w:type="spellStart"/>
      <w:r w:rsidR="007373FA" w:rsidRPr="001C4F75">
        <w:rPr>
          <w:rFonts w:ascii="Times" w:eastAsia="SimSun" w:hAnsi="Times"/>
          <w:lang w:eastAsia="zh-CN"/>
        </w:rPr>
        <w:t>Sary</w:t>
      </w:r>
      <w:proofErr w:type="spellEnd"/>
      <w:r w:rsidR="007373FA" w:rsidRPr="001C4F75">
        <w:rPr>
          <w:rFonts w:ascii="Times" w:eastAsia="SimSun" w:hAnsi="Times"/>
          <w:lang w:eastAsia="zh-CN"/>
        </w:rPr>
        <w:t xml:space="preserve"> </w:t>
      </w:r>
      <w:proofErr w:type="spellStart"/>
      <w:r w:rsidR="007373FA" w:rsidRPr="001C4F75">
        <w:rPr>
          <w:rFonts w:ascii="Times" w:eastAsia="SimSun" w:hAnsi="Times"/>
          <w:lang w:eastAsia="zh-CN"/>
        </w:rPr>
        <w:t>Arka</w:t>
      </w:r>
      <w:proofErr w:type="spellEnd"/>
      <w:r w:rsidR="007373FA" w:rsidRPr="001C4F75">
        <w:rPr>
          <w:rFonts w:ascii="Times" w:eastAsia="SimSun" w:hAnsi="Times"/>
          <w:lang w:eastAsia="zh-CN"/>
        </w:rPr>
        <w:t>”</w:t>
      </w:r>
      <w:r w:rsidR="007373FA">
        <w:rPr>
          <w:rFonts w:ascii="Times" w:eastAsia="SimSun" w:hAnsi="Times"/>
          <w:lang w:eastAsia="zh-CN"/>
        </w:rPr>
        <w:t>.</w:t>
      </w:r>
    </w:p>
    <w:p w14:paraId="70419B38" w14:textId="6CB10415" w:rsidR="007373FA" w:rsidRDefault="00684FA6" w:rsidP="007373FA">
      <w:pPr>
        <w:pStyle w:val="SingleTxtG"/>
        <w:rPr>
          <w:rFonts w:ascii="Times" w:eastAsia="SimSun" w:hAnsi="Times"/>
          <w:lang w:eastAsia="zh-CN"/>
        </w:rPr>
      </w:pPr>
      <w:r>
        <w:rPr>
          <w:rFonts w:ascii="Times" w:eastAsia="SimSun" w:hAnsi="Times"/>
          <w:lang w:eastAsia="zh-CN"/>
        </w:rPr>
        <w:t>4.6</w:t>
      </w:r>
      <w:r w:rsidR="007373FA">
        <w:rPr>
          <w:rFonts w:ascii="Times" w:eastAsia="SimSun" w:hAnsi="Times"/>
          <w:lang w:eastAsia="zh-CN"/>
        </w:rPr>
        <w:tab/>
        <w:t>T</w:t>
      </w:r>
      <w:r w:rsidR="007373FA" w:rsidRPr="001C4F75">
        <w:rPr>
          <w:rFonts w:ascii="Times" w:eastAsia="SimSun" w:hAnsi="Times"/>
          <w:lang w:eastAsia="zh-CN"/>
        </w:rPr>
        <w:t xml:space="preserve">he </w:t>
      </w:r>
      <w:r w:rsidR="007373FA">
        <w:t xml:space="preserve">Decision No 167 </w:t>
      </w:r>
      <w:r w:rsidR="007373FA">
        <w:rPr>
          <w:rFonts w:ascii="Times" w:eastAsia="SimSun" w:hAnsi="Times"/>
          <w:lang w:eastAsia="zh-CN"/>
        </w:rPr>
        <w:t xml:space="preserve">was taken by an authorised body, within its competence, in accordance </w:t>
      </w:r>
      <w:r w:rsidR="007373FA" w:rsidRPr="001C4F75">
        <w:rPr>
          <w:rFonts w:ascii="Times" w:eastAsia="SimSun" w:hAnsi="Times"/>
          <w:lang w:eastAsia="zh-CN"/>
        </w:rPr>
        <w:t>to the Law on the Order of Organization and Conduct of Peaceful Assemblies, Meetings, Processions, Pickets and Demonstrations</w:t>
      </w:r>
      <w:r w:rsidR="007373FA">
        <w:rPr>
          <w:rFonts w:ascii="Times" w:eastAsia="SimSun" w:hAnsi="Times"/>
          <w:lang w:eastAsia="zh-CN"/>
        </w:rPr>
        <w:t xml:space="preserve"> on the basis of national legislation and </w:t>
      </w:r>
      <w:r w:rsidR="007373FA">
        <w:rPr>
          <w:rFonts w:ascii="Times" w:eastAsia="SimSun" w:hAnsi="Times"/>
          <w:lang w:eastAsia="zh-CN"/>
        </w:rPr>
        <w:lastRenderedPageBreak/>
        <w:t>international norms in order to protect rights of others based on the will of the majority population of Almaty.</w:t>
      </w:r>
    </w:p>
    <w:p w14:paraId="1FECB1E6" w14:textId="6254CEBB" w:rsidR="007373FA" w:rsidRPr="003B76C8" w:rsidRDefault="00684FA6" w:rsidP="007373FA">
      <w:pPr>
        <w:pStyle w:val="SingleTxtG"/>
        <w:rPr>
          <w:rFonts w:ascii="Times" w:eastAsia="SimSun" w:hAnsi="Times"/>
          <w:lang w:eastAsia="zh-CN"/>
        </w:rPr>
      </w:pPr>
      <w:r>
        <w:rPr>
          <w:rFonts w:ascii="Times" w:eastAsia="SimSun" w:hAnsi="Times"/>
          <w:lang w:eastAsia="zh-CN"/>
        </w:rPr>
        <w:t>4.7</w:t>
      </w:r>
      <w:r>
        <w:rPr>
          <w:rFonts w:ascii="Times" w:eastAsia="SimSun" w:hAnsi="Times"/>
          <w:lang w:eastAsia="zh-CN"/>
        </w:rPr>
        <w:tab/>
      </w:r>
      <w:r w:rsidR="007373FA">
        <w:rPr>
          <w:rFonts w:ascii="Times" w:eastAsia="SimSun" w:hAnsi="Times"/>
          <w:lang w:eastAsia="zh-CN"/>
        </w:rPr>
        <w:t xml:space="preserve">The State party observes that the author refused to hold the mass event in the designated venue. </w:t>
      </w:r>
    </w:p>
    <w:p w14:paraId="56719673" w14:textId="47D81F22" w:rsidR="007373FA" w:rsidRDefault="00684FA6" w:rsidP="007373FA">
      <w:pPr>
        <w:pStyle w:val="SingleTxtG"/>
        <w:rPr>
          <w:rFonts w:eastAsia="SimSun"/>
          <w:lang w:eastAsia="zh-CN"/>
        </w:rPr>
      </w:pPr>
      <w:r>
        <w:t>4.8</w:t>
      </w:r>
      <w:r w:rsidR="007373FA">
        <w:tab/>
      </w:r>
      <w:r w:rsidR="007373FA" w:rsidRPr="003F3F70">
        <w:rPr>
          <w:rFonts w:eastAsia="SimSun"/>
          <w:lang w:eastAsia="zh-CN"/>
        </w:rPr>
        <w:t>The State party recalls that international human rights law</w:t>
      </w:r>
      <w:r w:rsidR="007373FA">
        <w:rPr>
          <w:rFonts w:eastAsia="SimSun"/>
          <w:lang w:eastAsia="zh-CN"/>
        </w:rPr>
        <w:t xml:space="preserve"> allows imposition of </w:t>
      </w:r>
      <w:r w:rsidR="007373FA" w:rsidRPr="003F3F70">
        <w:rPr>
          <w:rFonts w:eastAsia="SimSun"/>
          <w:lang w:eastAsia="zh-CN"/>
        </w:rPr>
        <w:t xml:space="preserve">limitations on freedom of assembly. </w:t>
      </w:r>
      <w:r w:rsidR="007373FA" w:rsidRPr="003B76C8">
        <w:rPr>
          <w:rFonts w:eastAsia="SimSun"/>
          <w:lang w:eastAsia="zh-CN"/>
        </w:rPr>
        <w:t>In order to protect the rights and freedoms of others, public order, as well as the transportation system and other infrastructure in the Republic of Kazakhstan, the State party’s authorities have designated special locations for non-governmental public events. Currently, almost each regional capital, and some districts have such designated areas, based on decisions of local executive bodies</w:t>
      </w:r>
      <w:r>
        <w:rPr>
          <w:rFonts w:eastAsia="SimSun"/>
          <w:lang w:eastAsia="zh-CN"/>
        </w:rPr>
        <w:t>.</w:t>
      </w:r>
    </w:p>
    <w:p w14:paraId="5EA5A812" w14:textId="263FCA9B" w:rsidR="007373FA" w:rsidRDefault="00684FA6" w:rsidP="007373FA">
      <w:pPr>
        <w:pStyle w:val="SingleTxtG"/>
      </w:pPr>
      <w:r>
        <w:rPr>
          <w:rFonts w:eastAsia="SimSun"/>
          <w:lang w:eastAsia="zh-CN"/>
        </w:rPr>
        <w:t>4.9</w:t>
      </w:r>
      <w:r w:rsidR="007373FA">
        <w:rPr>
          <w:rFonts w:eastAsia="SimSun"/>
          <w:lang w:eastAsia="zh-CN"/>
        </w:rPr>
        <w:tab/>
      </w:r>
      <w:r w:rsidR="007373FA">
        <w:t>The State party further submits that it studied the practice of several other countries and found that the restrictions on public events in some countries were more stringent than in Kazakhstan. In New York, for example, it is necessary to request permission 45 days before the event planned, and to indicate the route of the event. The city authorities have a right to move the location of the event. Other countries, such as Sweden, have a “black list” of organizers of previously prohibited or dispersed demonstrations. In France, local authorities have a right to prohibit any demonstration, and in the United Kingdom, the authorities have a right to introduce “temporary bans”. Also in the United Kingdom, street events are allowed only after receiving permission from police authorities. In Germany, any “mass event, meeting, or a demonstration” inside or outside must be permitted by the authorities.</w:t>
      </w:r>
    </w:p>
    <w:p w14:paraId="142DA2C4" w14:textId="1BE1060C" w:rsidR="007373FA" w:rsidRPr="00F9319F" w:rsidRDefault="00684FA6" w:rsidP="007373FA">
      <w:pPr>
        <w:pStyle w:val="SingleTxtG"/>
        <w:rPr>
          <w:lang w:val="en-US"/>
        </w:rPr>
      </w:pPr>
      <w:r>
        <w:t>4.10</w:t>
      </w:r>
      <w:r w:rsidR="007373FA">
        <w:tab/>
        <w:t xml:space="preserve">The State party submits that the communication is unsubstantiated. </w:t>
      </w:r>
    </w:p>
    <w:p w14:paraId="35CA0615" w14:textId="77777777" w:rsidR="007373FA" w:rsidRPr="005D7178" w:rsidRDefault="007373FA" w:rsidP="007373FA">
      <w:pPr>
        <w:pStyle w:val="H23G"/>
      </w:pPr>
      <w:r w:rsidRPr="005D7178">
        <w:tab/>
      </w:r>
      <w:r w:rsidRPr="005D7178">
        <w:tab/>
      </w:r>
      <w:r w:rsidRPr="00F364AC">
        <w:t xml:space="preserve">Author’s comments on the </w:t>
      </w:r>
      <w:r w:rsidRPr="007373FA">
        <w:t>State</w:t>
      </w:r>
      <w:r w:rsidRPr="00F364AC">
        <w:t xml:space="preserve"> party’s observations on admissibility</w:t>
      </w:r>
      <w:r>
        <w:t xml:space="preserve"> and merits</w:t>
      </w:r>
    </w:p>
    <w:p w14:paraId="2258150B" w14:textId="77777777" w:rsidR="007373FA" w:rsidRPr="00BC246F" w:rsidRDefault="007373FA" w:rsidP="007373FA">
      <w:pPr>
        <w:pStyle w:val="SingleTxtG"/>
      </w:pPr>
      <w:r w:rsidRPr="00BC246F">
        <w:t>5.1</w:t>
      </w:r>
      <w:r w:rsidRPr="00BC246F">
        <w:tab/>
        <w:t xml:space="preserve">On </w:t>
      </w:r>
      <w:r>
        <w:t>24</w:t>
      </w:r>
      <w:r w:rsidRPr="00BC246F">
        <w:t xml:space="preserve"> </w:t>
      </w:r>
      <w:r>
        <w:t>November</w:t>
      </w:r>
      <w:r w:rsidRPr="00BC246F">
        <w:t xml:space="preserve"> 201</w:t>
      </w:r>
      <w:r>
        <w:t>6</w:t>
      </w:r>
      <w:r w:rsidRPr="00BC246F">
        <w:t xml:space="preserve">, the author provided comments to the State party’s observations. </w:t>
      </w:r>
      <w:r>
        <w:t>She</w:t>
      </w:r>
      <w:r w:rsidRPr="00BC246F">
        <w:t xml:space="preserve"> submit</w:t>
      </w:r>
      <w:r>
        <w:t>s</w:t>
      </w:r>
      <w:r w:rsidRPr="00BC246F">
        <w:t xml:space="preserve"> that </w:t>
      </w:r>
      <w:r>
        <w:t xml:space="preserve">the Decision No 167 </w:t>
      </w:r>
      <w:r w:rsidRPr="005201DA">
        <w:t>limits her realisation of the freedom of assembly</w:t>
      </w:r>
      <w:r>
        <w:t xml:space="preserve"> and expression, and violates her rights under articles 19</w:t>
      </w:r>
      <w:r>
        <w:rPr>
          <w:rStyle w:val="FootnoteReference"/>
        </w:rPr>
        <w:footnoteReference w:id="10"/>
      </w:r>
      <w:r>
        <w:t xml:space="preserve"> and 21 of the Covenant. All applications for a mass event not in the</w:t>
      </w:r>
      <w:r w:rsidRPr="00BC6DCF">
        <w:t xml:space="preserve"> squar</w:t>
      </w:r>
      <w:r>
        <w:t>e behind the cinema “</w:t>
      </w:r>
      <w:proofErr w:type="spellStart"/>
      <w:r>
        <w:t>Sary</w:t>
      </w:r>
      <w:proofErr w:type="spellEnd"/>
      <w:r>
        <w:t xml:space="preserve"> </w:t>
      </w:r>
      <w:proofErr w:type="spellStart"/>
      <w:r>
        <w:t>Arka</w:t>
      </w:r>
      <w:proofErr w:type="spellEnd"/>
      <w:r>
        <w:t xml:space="preserve">” are systematically rejected. </w:t>
      </w:r>
    </w:p>
    <w:p w14:paraId="282C106D" w14:textId="77777777" w:rsidR="007373FA" w:rsidRDefault="007373FA" w:rsidP="007373FA">
      <w:pPr>
        <w:pStyle w:val="SingleTxtG"/>
      </w:pPr>
      <w:r w:rsidRPr="00BC246F">
        <w:t>5.2</w:t>
      </w:r>
      <w:r w:rsidRPr="00BC246F">
        <w:tab/>
      </w:r>
      <w:r>
        <w:t xml:space="preserve">The author </w:t>
      </w:r>
      <w:r w:rsidRPr="007373FA">
        <w:t>claims</w:t>
      </w:r>
      <w:r>
        <w:t xml:space="preserve"> that as a consequence of the Decision No 167, she has to hold assemblies without an authorisation that results in the imposition of administrative sanctions on her. The Decision, providing for a single location for mass events, also discriminates the non-state initiatives. </w:t>
      </w:r>
    </w:p>
    <w:p w14:paraId="3D7EFFBD" w14:textId="1AFFC452" w:rsidR="007373FA" w:rsidRDefault="00684FA6" w:rsidP="007373FA">
      <w:pPr>
        <w:pStyle w:val="SingleTxtG"/>
      </w:pPr>
      <w:r>
        <w:t>5.3</w:t>
      </w:r>
      <w:r w:rsidR="007373FA">
        <w:tab/>
        <w:t xml:space="preserve">The author submits that the freedom of assembly is a right, not a privilege. Its implementation cannot </w:t>
      </w:r>
      <w:r w:rsidR="007373FA" w:rsidRPr="007373FA">
        <w:t>depend</w:t>
      </w:r>
      <w:r w:rsidR="007373FA">
        <w:t xml:space="preserve"> on the authorisation of the </w:t>
      </w:r>
      <w:proofErr w:type="spellStart"/>
      <w:r w:rsidR="007373FA">
        <w:t>Akimat</w:t>
      </w:r>
      <w:proofErr w:type="spellEnd"/>
      <w:r w:rsidR="007373FA">
        <w:t xml:space="preserve">. She believes that the government should introduce a notification system for mass events organization to assist implementation of the freedom of assembly. There should be a possibility to hold spontaneous mass events without prior authorisation. </w:t>
      </w:r>
    </w:p>
    <w:p w14:paraId="4C25BCD7" w14:textId="77777777" w:rsidR="007373FA" w:rsidRPr="00DB53BD" w:rsidRDefault="007373FA" w:rsidP="007373FA">
      <w:pPr>
        <w:pStyle w:val="H23G"/>
      </w:pPr>
      <w:r>
        <w:tab/>
      </w:r>
      <w:r>
        <w:tab/>
      </w:r>
      <w:r w:rsidRPr="00DB53BD">
        <w:t xml:space="preserve">State party’s additional information </w:t>
      </w:r>
    </w:p>
    <w:p w14:paraId="5ECA735F" w14:textId="6C3B0BB8" w:rsidR="007373FA" w:rsidRDefault="00684FA6" w:rsidP="007373FA">
      <w:pPr>
        <w:pStyle w:val="SingleTxtG"/>
      </w:pPr>
      <w:r>
        <w:t>6.1</w:t>
      </w:r>
      <w:r w:rsidR="007373FA">
        <w:tab/>
      </w:r>
      <w:r w:rsidR="007373FA" w:rsidRPr="0072412E">
        <w:t>On</w:t>
      </w:r>
      <w:r w:rsidR="007373FA">
        <w:t xml:space="preserve"> 12 January 2017, The State party submitted additional information. </w:t>
      </w:r>
    </w:p>
    <w:p w14:paraId="17B8F99A" w14:textId="5A6F47FA" w:rsidR="007373FA" w:rsidRDefault="00684FA6" w:rsidP="007373FA">
      <w:pPr>
        <w:pStyle w:val="SingleTxtG"/>
      </w:pPr>
      <w:r>
        <w:t>6.2</w:t>
      </w:r>
      <w:r w:rsidR="007373FA">
        <w:tab/>
        <w:t xml:space="preserve">It observes that the imposed limitation to the freedom of assembly in particular relating to the venue of the mass evens is compliant with the provisions on the Covenant. The Decision No 167 was </w:t>
      </w:r>
      <w:r w:rsidR="007373FA" w:rsidRPr="007373FA">
        <w:t>adopted</w:t>
      </w:r>
      <w:r w:rsidR="007373FA" w:rsidRPr="00926B39">
        <w:t xml:space="preserve"> by </w:t>
      </w:r>
      <w:r w:rsidR="007373FA">
        <w:t>a</w:t>
      </w:r>
      <w:r w:rsidR="007373FA" w:rsidRPr="00926B39">
        <w:t xml:space="preserve"> </w:t>
      </w:r>
      <w:r w:rsidR="007373FA">
        <w:t xml:space="preserve">legitimate body, within its competence. </w:t>
      </w:r>
    </w:p>
    <w:p w14:paraId="2E4C469D" w14:textId="3CFFE2B7" w:rsidR="007373FA" w:rsidRDefault="00684FA6" w:rsidP="007373FA">
      <w:pPr>
        <w:pStyle w:val="SingleTxtG"/>
      </w:pPr>
      <w:r>
        <w:t>6.3</w:t>
      </w:r>
      <w:r w:rsidR="007373FA">
        <w:tab/>
        <w:t xml:space="preserve">The State party submits that the Decision No 167 does not discriminate based on political grounds. The decision only recommends the venues for mass events. So, the </w:t>
      </w:r>
      <w:proofErr w:type="spellStart"/>
      <w:r w:rsidR="007373FA">
        <w:t>Akimat</w:t>
      </w:r>
      <w:proofErr w:type="spellEnd"/>
      <w:r w:rsidR="007373FA">
        <w:t xml:space="preserve"> can identify the venue - </w:t>
      </w:r>
      <w:r w:rsidR="007373FA" w:rsidRPr="008F6EBB">
        <w:t>the square behind the cinema “</w:t>
      </w:r>
      <w:proofErr w:type="spellStart"/>
      <w:r w:rsidR="007373FA" w:rsidRPr="008F6EBB">
        <w:t>Sary</w:t>
      </w:r>
      <w:proofErr w:type="spellEnd"/>
      <w:r w:rsidR="007373FA" w:rsidRPr="008F6EBB">
        <w:t xml:space="preserve"> </w:t>
      </w:r>
      <w:proofErr w:type="spellStart"/>
      <w:r w:rsidR="007373FA" w:rsidRPr="008F6EBB">
        <w:t>Arka</w:t>
      </w:r>
      <w:proofErr w:type="spellEnd"/>
      <w:r w:rsidR="007373FA" w:rsidRPr="008F6EBB">
        <w:t>”</w:t>
      </w:r>
      <w:r w:rsidR="007373FA">
        <w:t xml:space="preserve"> – for official and all other events</w:t>
      </w:r>
      <w:r w:rsidR="007373FA" w:rsidRPr="008F6EBB">
        <w:t xml:space="preserve"> </w:t>
      </w:r>
      <w:r w:rsidR="007373FA">
        <w:t xml:space="preserve">depending on the circumstances. </w:t>
      </w:r>
    </w:p>
    <w:p w14:paraId="3F3DBB51" w14:textId="017BDDCA" w:rsidR="007373FA" w:rsidRPr="007B7451" w:rsidRDefault="00684FA6" w:rsidP="007373FA">
      <w:pPr>
        <w:pStyle w:val="SingleTxtG"/>
      </w:pPr>
      <w:r>
        <w:t>6.4</w:t>
      </w:r>
      <w:r w:rsidR="007373FA">
        <w:tab/>
        <w:t xml:space="preserve">The State party also contests the author’s arguments that the realisation of freedom of expression and assembly is limited in Kazakhstan. It notes that during the period 2012-2016, 140 different mass events were conducted; and the requirements of the law were observed by </w:t>
      </w:r>
      <w:r w:rsidR="007373FA">
        <w:lastRenderedPageBreak/>
        <w:t xml:space="preserve">the organizers. Thus, the author is not prevented from organising a mass event, provided that she respects the law. </w:t>
      </w:r>
    </w:p>
    <w:p w14:paraId="3E47FACD" w14:textId="77777777" w:rsidR="007373FA" w:rsidRPr="008C00E7" w:rsidRDefault="007373FA" w:rsidP="007373FA">
      <w:pPr>
        <w:pStyle w:val="H23G"/>
      </w:pPr>
      <w:r>
        <w:tab/>
      </w:r>
      <w:r>
        <w:tab/>
      </w:r>
      <w:r w:rsidRPr="008C00E7">
        <w:t>Issues and proceedings before the Committee</w:t>
      </w:r>
    </w:p>
    <w:p w14:paraId="6A6D6549" w14:textId="7E303EA9" w:rsidR="007373FA" w:rsidRDefault="00684FA6" w:rsidP="00684FA6">
      <w:pPr>
        <w:pStyle w:val="H4G"/>
      </w:pPr>
      <w:r>
        <w:tab/>
      </w:r>
      <w:r>
        <w:tab/>
      </w:r>
      <w:r w:rsidR="007373FA" w:rsidRPr="008C00E7">
        <w:t>Consideration of admissibility</w:t>
      </w:r>
    </w:p>
    <w:p w14:paraId="2A0AC044" w14:textId="43C24717" w:rsidR="007373FA" w:rsidRDefault="00684FA6" w:rsidP="007373FA">
      <w:pPr>
        <w:pStyle w:val="SingleTxtG"/>
      </w:pPr>
      <w:r>
        <w:t>7.1</w:t>
      </w:r>
      <w:r w:rsidR="007373FA">
        <w:tab/>
      </w:r>
      <w:r w:rsidR="007373FA" w:rsidRPr="008C00E7">
        <w:t xml:space="preserve">Before </w:t>
      </w:r>
      <w:r w:rsidR="007373FA" w:rsidRPr="007373FA">
        <w:t>considering</w:t>
      </w:r>
      <w:r w:rsidR="007373FA" w:rsidRPr="008C00E7">
        <w:t xml:space="preserve"> any claim contained in a communication, the Committee must decide, in accordance with </w:t>
      </w:r>
      <w:r w:rsidR="007373FA" w:rsidRPr="003E3616">
        <w:t xml:space="preserve">rule 97 </w:t>
      </w:r>
      <w:r w:rsidR="007373FA" w:rsidRPr="008C00E7">
        <w:t>of its rules of procedure, whether the communication is admissi</w:t>
      </w:r>
      <w:r w:rsidR="007373FA">
        <w:t>ble under the Optional Protocol.</w:t>
      </w:r>
    </w:p>
    <w:p w14:paraId="797EC3CC" w14:textId="262343B2" w:rsidR="007373FA" w:rsidRDefault="00684FA6" w:rsidP="007373FA">
      <w:pPr>
        <w:pStyle w:val="SingleTxtG"/>
      </w:pPr>
      <w:r>
        <w:t>7.2</w:t>
      </w:r>
      <w:r w:rsidR="007373FA">
        <w:tab/>
      </w:r>
      <w:r w:rsidR="007373FA" w:rsidRPr="008C00E7">
        <w:t>As required under article 5 (2) (a) of the Optional Protocol, the Committee has ascertained that the same matter is not being examined under another procedure of international investigation or settlement.</w:t>
      </w:r>
    </w:p>
    <w:p w14:paraId="0F2A6AD0" w14:textId="0A5483D2" w:rsidR="007373FA" w:rsidRDefault="007373FA" w:rsidP="007373FA">
      <w:pPr>
        <w:pStyle w:val="SingleTxtG"/>
      </w:pPr>
      <w:r>
        <w:t>7</w:t>
      </w:r>
      <w:r w:rsidR="00684FA6">
        <w:t>.3</w:t>
      </w:r>
      <w:r w:rsidR="00684FA6">
        <w:tab/>
      </w:r>
      <w:r w:rsidRPr="00EE0324">
        <w:t>The Committee notes that the State party has not contested that the domestic remedies have been exhausted. Accordingly, the Committee finds that it is not precluded by article 5 (2) (b)</w:t>
      </w:r>
      <w:r>
        <w:tab/>
      </w:r>
      <w:r w:rsidRPr="00EE0324">
        <w:t>from examining the present communication.</w:t>
      </w:r>
    </w:p>
    <w:p w14:paraId="4E14725F" w14:textId="1B3AEF25" w:rsidR="007373FA" w:rsidRDefault="00684FA6" w:rsidP="007373FA">
      <w:pPr>
        <w:pStyle w:val="SingleTxtG"/>
        <w:rPr>
          <w:lang w:val="en-US"/>
        </w:rPr>
      </w:pPr>
      <w:r>
        <w:t>7.</w:t>
      </w:r>
      <w:r w:rsidR="006F4075">
        <w:t>4</w:t>
      </w:r>
      <w:r w:rsidR="007373FA">
        <w:tab/>
      </w:r>
      <w:r w:rsidR="007373FA" w:rsidRPr="00536CE3">
        <w:rPr>
          <w:lang w:val="en-US"/>
        </w:rPr>
        <w:t>The Committee notes that the author</w:t>
      </w:r>
      <w:r w:rsidR="007373FA">
        <w:rPr>
          <w:lang w:val="en-US"/>
        </w:rPr>
        <w:t>’s claim</w:t>
      </w:r>
      <w:r w:rsidR="0004498C">
        <w:rPr>
          <w:lang w:val="en-US"/>
        </w:rPr>
        <w:t>s</w:t>
      </w:r>
      <w:r w:rsidR="007373FA">
        <w:rPr>
          <w:lang w:val="en-US"/>
        </w:rPr>
        <w:t xml:space="preserve"> that her rights under article</w:t>
      </w:r>
      <w:r w:rsidR="0004498C">
        <w:rPr>
          <w:lang w:val="en-US"/>
        </w:rPr>
        <w:t>s</w:t>
      </w:r>
      <w:r w:rsidR="007373FA">
        <w:rPr>
          <w:lang w:val="en-US"/>
        </w:rPr>
        <w:t xml:space="preserve"> </w:t>
      </w:r>
      <w:r w:rsidR="002853F2">
        <w:rPr>
          <w:lang w:val="en-US"/>
        </w:rPr>
        <w:t>19 and 2</w:t>
      </w:r>
      <w:r w:rsidR="007373FA">
        <w:rPr>
          <w:lang w:val="en-US"/>
        </w:rPr>
        <w:t xml:space="preserve">1 have been violated, as the </w:t>
      </w:r>
      <w:r w:rsidR="007373FA">
        <w:t xml:space="preserve">Decision No 167 </w:t>
      </w:r>
      <w:r w:rsidR="007373FA">
        <w:rPr>
          <w:lang w:val="en-US"/>
        </w:rPr>
        <w:t xml:space="preserve">limits her right to hold a mass event on the venue of her choice. </w:t>
      </w:r>
      <w:r w:rsidR="007373FA" w:rsidRPr="008C00E7">
        <w:t xml:space="preserve">The Committee considers that </w:t>
      </w:r>
      <w:r w:rsidR="007373FA">
        <w:t xml:space="preserve">these claims have been sufficiently </w:t>
      </w:r>
      <w:r w:rsidR="007373FA" w:rsidRPr="008C00E7">
        <w:t xml:space="preserve">substantiated for the purposes of admissibility. It therefore declares </w:t>
      </w:r>
      <w:r w:rsidR="007373FA">
        <w:t>them</w:t>
      </w:r>
      <w:r w:rsidR="007373FA" w:rsidRPr="008C00E7">
        <w:t xml:space="preserve"> admissible and proceeds with their examination of the merits.</w:t>
      </w:r>
    </w:p>
    <w:p w14:paraId="0174781D" w14:textId="6404CEAF" w:rsidR="007373FA" w:rsidRDefault="00684FA6" w:rsidP="00684FA6">
      <w:pPr>
        <w:pStyle w:val="H4G"/>
      </w:pPr>
      <w:r>
        <w:tab/>
      </w:r>
      <w:r>
        <w:tab/>
      </w:r>
      <w:r w:rsidR="007373FA" w:rsidRPr="008C00E7">
        <w:t>Consideration of the merits</w:t>
      </w:r>
    </w:p>
    <w:p w14:paraId="1FF44592" w14:textId="58214BFC" w:rsidR="007373FA" w:rsidRDefault="007373FA" w:rsidP="007373FA">
      <w:pPr>
        <w:pStyle w:val="SingleTxtG"/>
      </w:pPr>
      <w:r w:rsidRPr="006A012B">
        <w:t>8</w:t>
      </w:r>
      <w:r w:rsidR="00684FA6">
        <w:t>.1</w:t>
      </w:r>
      <w:r>
        <w:tab/>
      </w:r>
      <w:r w:rsidRPr="008C00E7">
        <w:t xml:space="preserve">The </w:t>
      </w:r>
      <w:r w:rsidRPr="007373FA">
        <w:t>Committee</w:t>
      </w:r>
      <w:r w:rsidRPr="008C00E7">
        <w:t xml:space="preserve"> has considered the present communication in light of all the information submitted by the parties, in accordance with article 5 (1) of the Optional Protocol.</w:t>
      </w:r>
    </w:p>
    <w:p w14:paraId="791DA2AA" w14:textId="244914A1" w:rsidR="007373FA" w:rsidRDefault="007373FA" w:rsidP="007373FA">
      <w:pPr>
        <w:pStyle w:val="SingleTxtG"/>
        <w:rPr>
          <w:lang w:val="en-US"/>
        </w:rPr>
      </w:pPr>
      <w:r w:rsidRPr="002E3350">
        <w:t>8</w:t>
      </w:r>
      <w:r w:rsidR="00684FA6">
        <w:rPr>
          <w:lang w:val="en-US"/>
        </w:rPr>
        <w:t>.2</w:t>
      </w:r>
      <w:r>
        <w:rPr>
          <w:lang w:val="en-US"/>
        </w:rPr>
        <w:tab/>
      </w:r>
      <w:r w:rsidRPr="00E07AAD">
        <w:rPr>
          <w:lang w:val="en-US"/>
        </w:rPr>
        <w:t>The Committee has taken note of the author’s cl</w:t>
      </w:r>
      <w:r>
        <w:rPr>
          <w:lang w:val="en-US"/>
        </w:rPr>
        <w:t>aim of a violation of her right under article 21</w:t>
      </w:r>
      <w:r w:rsidRPr="00E07AAD">
        <w:rPr>
          <w:lang w:val="en-US"/>
        </w:rPr>
        <w:t xml:space="preserve"> of the Covenant</w:t>
      </w:r>
      <w:r>
        <w:rPr>
          <w:lang w:val="en-US"/>
        </w:rPr>
        <w:t xml:space="preserve"> by the adoption and implementation</w:t>
      </w:r>
      <w:r w:rsidRPr="00E07AAD">
        <w:rPr>
          <w:lang w:val="en-US"/>
        </w:rPr>
        <w:t xml:space="preserve"> </w:t>
      </w:r>
      <w:r>
        <w:rPr>
          <w:lang w:val="en-US"/>
        </w:rPr>
        <w:t xml:space="preserve">of </w:t>
      </w:r>
      <w:r w:rsidRPr="00664A3D">
        <w:t xml:space="preserve">the </w:t>
      </w:r>
      <w:r>
        <w:t>Decision No 167</w:t>
      </w:r>
      <w:r w:rsidRPr="00664A3D">
        <w:t>,</w:t>
      </w:r>
      <w:r>
        <w:t xml:space="preserve"> in particular, </w:t>
      </w:r>
      <w:r w:rsidRPr="00945B38">
        <w:t>in the case of the author’s application for an assembly entitled “100 Days after the Shooting of People in Zhanaozen”</w:t>
      </w:r>
      <w:r>
        <w:t xml:space="preserve"> in the venue of her choice</w:t>
      </w:r>
      <w:r w:rsidRPr="00945B38">
        <w:t xml:space="preserve">, </w:t>
      </w:r>
      <w:r>
        <w:t xml:space="preserve">which was planned to take place </w:t>
      </w:r>
      <w:r w:rsidRPr="00945B38">
        <w:t>on 24 March 2012.</w:t>
      </w:r>
    </w:p>
    <w:p w14:paraId="00F64F8B" w14:textId="369D4164" w:rsidR="007373FA" w:rsidRDefault="007373FA" w:rsidP="007373FA">
      <w:pPr>
        <w:pStyle w:val="SingleTxtG"/>
      </w:pPr>
      <w:r w:rsidRPr="006A012B">
        <w:t>8</w:t>
      </w:r>
      <w:r w:rsidR="00684FA6">
        <w:t>.3</w:t>
      </w:r>
      <w:r>
        <w:tab/>
      </w:r>
      <w:r w:rsidRPr="0072412E">
        <w:t>The Committee recalls that the right to peaceful assembly, as guaranteed under article 21 of the Covenant, is a fundamental human right that is essential for the public expression of an individual’s views and opinions and indispensable in a democratic society.</w:t>
      </w:r>
      <w:r w:rsidRPr="0072412E">
        <w:rPr>
          <w:sz w:val="18"/>
          <w:vertAlign w:val="superscript"/>
        </w:rPr>
        <w:footnoteReference w:id="11"/>
      </w:r>
      <w:r w:rsidRPr="0072412E">
        <w:t xml:space="preserve"> </w:t>
      </w:r>
      <w:r>
        <w:t xml:space="preserve">The Committee further note that </w:t>
      </w:r>
      <w:r w:rsidRPr="0072412E">
        <w:t xml:space="preserve">no restriction </w:t>
      </w:r>
      <w:r>
        <w:t>on</w:t>
      </w:r>
      <w:r w:rsidRPr="0072412E">
        <w:t xml:space="preserve"> that right is permissible unless it is: (a) imposed in conformity with the law; and (b) necessary in a democratic society in the interests of national security or public safety, public order (</w:t>
      </w:r>
      <w:proofErr w:type="spellStart"/>
      <w:r w:rsidRPr="0072412E">
        <w:rPr>
          <w:i/>
          <w:iCs/>
        </w:rPr>
        <w:t>ordre</w:t>
      </w:r>
      <w:proofErr w:type="spellEnd"/>
      <w:r w:rsidRPr="0072412E">
        <w:rPr>
          <w:i/>
          <w:iCs/>
        </w:rPr>
        <w:t xml:space="preserve"> public</w:t>
      </w:r>
      <w:r w:rsidRPr="0072412E">
        <w:t xml:space="preserve">), </w:t>
      </w:r>
      <w:r>
        <w:t xml:space="preserve">the </w:t>
      </w:r>
      <w:r w:rsidRPr="0072412E">
        <w:t xml:space="preserve">protection of public health or morals or </w:t>
      </w:r>
      <w:r>
        <w:t xml:space="preserve">the </w:t>
      </w:r>
      <w:r w:rsidRPr="0072412E">
        <w:t xml:space="preserve">protection of the rights and freedoms of others. When a State party imposes </w:t>
      </w:r>
      <w:r w:rsidRPr="007373FA">
        <w:t>restrictions</w:t>
      </w:r>
      <w:r w:rsidRPr="0072412E">
        <w:t xml:space="preserve"> with the aim of reconciling an individual’s right of peaceful assembly and the aforementioned interests of general concern, it should be guided by the objective of facilitating the right, rather than seeking unnecessary or disproportionate limitations to it.</w:t>
      </w:r>
      <w:r w:rsidRPr="0072412E">
        <w:rPr>
          <w:sz w:val="18"/>
          <w:vertAlign w:val="superscript"/>
        </w:rPr>
        <w:footnoteReference w:id="12"/>
      </w:r>
      <w:r w:rsidRPr="0072412E">
        <w:t xml:space="preserve"> The State party is thus under </w:t>
      </w:r>
      <w:r>
        <w:t>an</w:t>
      </w:r>
      <w:r w:rsidRPr="0072412E">
        <w:t xml:space="preserve"> obligation to justify the limitation of the right protected by article 21 of the Covenant</w:t>
      </w:r>
      <w:r w:rsidRPr="00501739">
        <w:t xml:space="preserve"> and to demonstrate that it does not serve as </w:t>
      </w:r>
      <w:r>
        <w:t xml:space="preserve">a </w:t>
      </w:r>
      <w:r w:rsidRPr="00501739">
        <w:t xml:space="preserve">disproportionate obstacle </w:t>
      </w:r>
      <w:r>
        <w:t>to</w:t>
      </w:r>
      <w:r w:rsidRPr="00501739">
        <w:t xml:space="preserve"> the exercise of the right</w:t>
      </w:r>
      <w:r w:rsidRPr="0072412E">
        <w:t>.</w:t>
      </w:r>
      <w:r w:rsidRPr="0072412E">
        <w:rPr>
          <w:sz w:val="18"/>
          <w:vertAlign w:val="superscript"/>
        </w:rPr>
        <w:footnoteReference w:id="13"/>
      </w:r>
    </w:p>
    <w:p w14:paraId="04563DAC" w14:textId="148ADD3C" w:rsidR="007373FA" w:rsidRDefault="00684FA6" w:rsidP="007373FA">
      <w:pPr>
        <w:spacing w:after="120"/>
        <w:ind w:left="1134" w:right="1134"/>
        <w:jc w:val="both"/>
      </w:pPr>
      <w:r>
        <w:t>8.4</w:t>
      </w:r>
      <w:r w:rsidR="007373FA">
        <w:tab/>
        <w:t xml:space="preserve">In the present case, the Committee observes that both the State party and the author agree that </w:t>
      </w:r>
      <w:r w:rsidR="007373FA" w:rsidRPr="00664A3D">
        <w:t xml:space="preserve">the </w:t>
      </w:r>
      <w:r w:rsidR="007373FA">
        <w:t xml:space="preserve">Decision No 167 imposes limitations to the freedom of assembly, but the parties disagree as to whether the limitation in question was permissible. </w:t>
      </w:r>
    </w:p>
    <w:p w14:paraId="7B88AF79" w14:textId="3EF518D0" w:rsidR="007373FA" w:rsidRDefault="00684FA6" w:rsidP="007373FA">
      <w:pPr>
        <w:pStyle w:val="SingleTxtG"/>
        <w:rPr>
          <w:rFonts w:eastAsia="SimSun"/>
          <w:lang w:eastAsia="zh-CN"/>
        </w:rPr>
      </w:pPr>
      <w:r>
        <w:t>8.5</w:t>
      </w:r>
      <w:r w:rsidR="007373FA">
        <w:tab/>
        <w:t xml:space="preserve">The Committee notes the State Party’s observation that the </w:t>
      </w:r>
      <w:r w:rsidR="007373FA" w:rsidRPr="005C45E9">
        <w:rPr>
          <w:rFonts w:eastAsia="Verdana"/>
          <w:lang w:eastAsia="zh-CN"/>
        </w:rPr>
        <w:t>Law No. 2126 of 17 March 1995 on the Order of Organization and Conduct of Peaceful Assemblies, Meetings, Processions, Pickets and Demonstrations in the Repub</w:t>
      </w:r>
      <w:r w:rsidR="007373FA">
        <w:rPr>
          <w:rFonts w:eastAsia="Verdana"/>
          <w:lang w:eastAsia="zh-CN"/>
        </w:rPr>
        <w:t>lic of Kazakhstan,</w:t>
      </w:r>
      <w:r w:rsidR="007373FA" w:rsidRPr="005C45E9">
        <w:rPr>
          <w:rFonts w:eastAsia="Verdana"/>
          <w:lang w:eastAsia="zh-CN"/>
        </w:rPr>
        <w:t xml:space="preserve"> </w:t>
      </w:r>
      <w:r w:rsidR="007373FA">
        <w:rPr>
          <w:rFonts w:eastAsia="Verdana"/>
          <w:lang w:eastAsia="zh-CN"/>
        </w:rPr>
        <w:t>in its a</w:t>
      </w:r>
      <w:r w:rsidR="007373FA">
        <w:rPr>
          <w:rFonts w:eastAsia="SimSun"/>
          <w:lang w:eastAsia="zh-CN"/>
        </w:rPr>
        <w:t xml:space="preserve">rticle 10, allows </w:t>
      </w:r>
      <w:r w:rsidR="007373FA" w:rsidRPr="005C45E9">
        <w:rPr>
          <w:rFonts w:eastAsia="SimSun"/>
          <w:lang w:eastAsia="zh-CN"/>
        </w:rPr>
        <w:t>the local executive bodies to</w:t>
      </w:r>
      <w:r w:rsidR="007373FA">
        <w:rPr>
          <w:rFonts w:eastAsia="SimSun"/>
          <w:lang w:eastAsia="zh-CN"/>
        </w:rPr>
        <w:t xml:space="preserve"> regulate the organization of public events based on the local conditions requirements. </w:t>
      </w:r>
      <w:r w:rsidR="007373FA" w:rsidRPr="00971266">
        <w:t xml:space="preserve">The Committee </w:t>
      </w:r>
      <w:r w:rsidR="007373FA">
        <w:t xml:space="preserve">also </w:t>
      </w:r>
      <w:r w:rsidR="007373FA" w:rsidRPr="00971266">
        <w:t xml:space="preserve">notes the State party </w:t>
      </w:r>
      <w:r w:rsidR="007373FA">
        <w:t>explanation</w:t>
      </w:r>
      <w:r w:rsidR="007373FA" w:rsidRPr="00971266">
        <w:t xml:space="preserve"> that</w:t>
      </w:r>
      <w:r w:rsidR="007373FA">
        <w:t xml:space="preserve"> </w:t>
      </w:r>
      <w:r w:rsidR="007373FA">
        <w:lastRenderedPageBreak/>
        <w:t xml:space="preserve">Decision No 167 was adopted </w:t>
      </w:r>
      <w:r w:rsidR="007373FA" w:rsidRPr="00971266">
        <w:t>in order to guarantee the protection the rights and freedoms of others and public safety, normal functioning of public transport and infrastructure, and protection of green plant</w:t>
      </w:r>
      <w:r w:rsidR="007373FA">
        <w:t xml:space="preserve">ings and architectural objects; that is why </w:t>
      </w:r>
      <w:r w:rsidR="007373FA" w:rsidRPr="00971266">
        <w:t>the square behind the cinema “</w:t>
      </w:r>
      <w:proofErr w:type="spellStart"/>
      <w:r w:rsidR="007373FA" w:rsidRPr="00971266">
        <w:t>Sary</w:t>
      </w:r>
      <w:proofErr w:type="spellEnd"/>
      <w:r w:rsidR="007373FA" w:rsidRPr="00971266">
        <w:t xml:space="preserve"> </w:t>
      </w:r>
      <w:proofErr w:type="spellStart"/>
      <w:r w:rsidR="007373FA" w:rsidRPr="00971266">
        <w:t>Arka</w:t>
      </w:r>
      <w:proofErr w:type="spellEnd"/>
      <w:r w:rsidR="007373FA" w:rsidRPr="00971266">
        <w:t>”</w:t>
      </w:r>
      <w:r w:rsidR="007373FA">
        <w:t xml:space="preserve"> was identified as venue for </w:t>
      </w:r>
      <w:r w:rsidR="007373FA" w:rsidRPr="00D15590">
        <w:t>all non-governmental public events of a “social and political nature”</w:t>
      </w:r>
      <w:r w:rsidR="007373FA" w:rsidRPr="00971266">
        <w:t>.</w:t>
      </w:r>
    </w:p>
    <w:p w14:paraId="45C09EF0" w14:textId="71480AF2" w:rsidR="007373FA" w:rsidRDefault="00684FA6" w:rsidP="007373FA">
      <w:pPr>
        <w:pStyle w:val="SingleTxtG"/>
      </w:pPr>
      <w:r>
        <w:rPr>
          <w:rFonts w:eastAsia="SimSun"/>
          <w:lang w:eastAsia="zh-CN"/>
        </w:rPr>
        <w:t>8.6</w:t>
      </w:r>
      <w:r w:rsidR="007373FA">
        <w:rPr>
          <w:rFonts w:eastAsia="SimSun"/>
          <w:lang w:eastAsia="zh-CN"/>
        </w:rPr>
        <w:tab/>
      </w:r>
      <w:r w:rsidR="007373FA" w:rsidRPr="003B7F5F">
        <w:t>The</w:t>
      </w:r>
      <w:r w:rsidR="007373FA">
        <w:t xml:space="preserve"> Committee considers that </w:t>
      </w:r>
      <w:r w:rsidR="007373FA" w:rsidRPr="003B7F5F">
        <w:t>peaceful assemblies may in principle be conducted in all places to which the public has access or should have access by virtue of article 12 of the Covenant and other related rights, such as public squares and streets.</w:t>
      </w:r>
      <w:r w:rsidR="007373FA">
        <w:t xml:space="preserve"> </w:t>
      </w:r>
      <w:r w:rsidR="007373FA" w:rsidRPr="00415E61">
        <w:t xml:space="preserve">The </w:t>
      </w:r>
      <w:r w:rsidR="007373FA">
        <w:t xml:space="preserve">Committee also notes that </w:t>
      </w:r>
      <w:r w:rsidR="007373FA" w:rsidRPr="00415E61">
        <w:t xml:space="preserve">participants </w:t>
      </w:r>
      <w:r w:rsidR="007373FA">
        <w:t xml:space="preserve">in an assembly </w:t>
      </w:r>
      <w:r w:rsidR="007373FA" w:rsidRPr="00415E61">
        <w:t>should, as far as possible, be allowed to assemble “within sight and sound” of their target audience.</w:t>
      </w:r>
      <w:r w:rsidR="007373FA" w:rsidRPr="00415E61">
        <w:rPr>
          <w:sz w:val="18"/>
          <w:vertAlign w:val="superscript"/>
          <w:lang w:val="fr-CH"/>
        </w:rPr>
        <w:footnoteReference w:id="14"/>
      </w:r>
      <w:r w:rsidR="007373FA" w:rsidRPr="00415E61">
        <w:t xml:space="preserve"> Location, like timing, is often central to the expressive rationale of assemblies. Participants may not be relegated to remote areas where they cannot capture the attention of those who are being addressed or the general public.</w:t>
      </w:r>
      <w:r w:rsidR="007373FA" w:rsidRPr="00415E61">
        <w:rPr>
          <w:sz w:val="18"/>
          <w:vertAlign w:val="superscript"/>
          <w:lang w:val="fr-CH"/>
        </w:rPr>
        <w:footnoteReference w:id="15"/>
      </w:r>
      <w:r w:rsidR="007373FA" w:rsidRPr="00415E61">
        <w:t xml:space="preserve"> General prohibitions on assemblies across the entire capital,</w:t>
      </w:r>
      <w:r w:rsidR="007373FA" w:rsidRPr="00415E61">
        <w:rPr>
          <w:sz w:val="18"/>
          <w:vertAlign w:val="superscript"/>
          <w:lang w:val="fr-CH"/>
        </w:rPr>
        <w:footnoteReference w:id="16"/>
      </w:r>
      <w:r w:rsidR="007373FA" w:rsidRPr="00415E61">
        <w:t xml:space="preserve"> any public location except a single specified place, either in a city,</w:t>
      </w:r>
      <w:r w:rsidR="007373FA" w:rsidRPr="00415E61">
        <w:rPr>
          <w:sz w:val="18"/>
          <w:vertAlign w:val="superscript"/>
          <w:lang w:val="fr-CH"/>
        </w:rPr>
        <w:footnoteReference w:id="17"/>
      </w:r>
      <w:r w:rsidR="007373FA" w:rsidRPr="00415E61">
        <w:t xml:space="preserve"> or outside the city centre,</w:t>
      </w:r>
      <w:r w:rsidR="007373FA" w:rsidRPr="00415E61">
        <w:rPr>
          <w:sz w:val="18"/>
          <w:vertAlign w:val="superscript"/>
          <w:lang w:val="fr-CH"/>
        </w:rPr>
        <w:footnoteReference w:id="18"/>
      </w:r>
      <w:r w:rsidR="007373FA" w:rsidRPr="00415E61">
        <w:t xml:space="preserve"> or more general prohibitions such as “the streets”, may not be imposed.</w:t>
      </w:r>
      <w:r w:rsidR="007373FA">
        <w:t xml:space="preserve"> </w:t>
      </w:r>
    </w:p>
    <w:p w14:paraId="099E4006" w14:textId="03508801" w:rsidR="007373FA" w:rsidRPr="00684FA6" w:rsidRDefault="00684FA6" w:rsidP="007373FA">
      <w:pPr>
        <w:pStyle w:val="SingleTxtG"/>
        <w:rPr>
          <w:rFonts w:eastAsia="SimSun"/>
          <w:lang w:eastAsia="zh-CN"/>
        </w:rPr>
      </w:pPr>
      <w:r>
        <w:rPr>
          <w:rFonts w:eastAsia="SimSun"/>
          <w:lang w:eastAsia="zh-CN"/>
        </w:rPr>
        <w:t>8.7</w:t>
      </w:r>
      <w:r w:rsidR="007373FA">
        <w:rPr>
          <w:rFonts w:eastAsia="SimSun"/>
          <w:lang w:eastAsia="zh-CN"/>
        </w:rPr>
        <w:tab/>
      </w:r>
      <w:r w:rsidR="007373FA" w:rsidRPr="000C224B">
        <w:t xml:space="preserve">The Committee </w:t>
      </w:r>
      <w:r w:rsidR="007373FA">
        <w:t>further</w:t>
      </w:r>
      <w:r w:rsidR="007373FA" w:rsidRPr="000C224B">
        <w:t xml:space="preserve"> </w:t>
      </w:r>
      <w:r w:rsidR="007373FA">
        <w:t xml:space="preserve">considers </w:t>
      </w:r>
      <w:r w:rsidR="007373FA" w:rsidRPr="000C224B">
        <w:t>that it is in the nature of assemblies that they sometime disrupt the daily exercise of rights such as freedom of movement. This has to be tolerated, unless it imposes a disproportionate burden, in which case detailed grounds for limitations must be provided. Claims that an assembly will result in the undue disruption of traffic and the movement of pedestrians must be substantiated to allow a full assessment.</w:t>
      </w:r>
      <w:r w:rsidR="007373FA" w:rsidRPr="000C224B">
        <w:rPr>
          <w:sz w:val="18"/>
          <w:vertAlign w:val="superscript"/>
          <w:lang w:val="fr-CH"/>
        </w:rPr>
        <w:footnoteReference w:id="19"/>
      </w:r>
    </w:p>
    <w:p w14:paraId="170AC9B3" w14:textId="08792096" w:rsidR="007373FA" w:rsidRPr="001377F6" w:rsidRDefault="007373FA" w:rsidP="007373FA">
      <w:pPr>
        <w:pStyle w:val="SingleTxtG"/>
        <w:rPr>
          <w:lang w:eastAsia="ja-JP"/>
        </w:rPr>
      </w:pPr>
      <w:r>
        <w:rPr>
          <w:rFonts w:hint="eastAsia"/>
          <w:lang w:eastAsia="ja-JP"/>
        </w:rPr>
        <w:t>8</w:t>
      </w:r>
      <w:r w:rsidR="00684FA6">
        <w:rPr>
          <w:lang w:eastAsia="ja-JP"/>
        </w:rPr>
        <w:t>.8</w:t>
      </w:r>
      <w:r>
        <w:rPr>
          <w:lang w:eastAsia="ja-JP"/>
        </w:rPr>
        <w:tab/>
        <w:t>The Committee, however, considers that the State party did not sufficiently explain why the prohibition of the public events of “social and political nature” except in the square behind the cinema “</w:t>
      </w:r>
      <w:proofErr w:type="spellStart"/>
      <w:r w:rsidRPr="007373FA">
        <w:t>Sary</w:t>
      </w:r>
      <w:proofErr w:type="spellEnd"/>
      <w:r>
        <w:rPr>
          <w:lang w:eastAsia="ja-JP"/>
        </w:rPr>
        <w:t xml:space="preserve"> </w:t>
      </w:r>
      <w:proofErr w:type="spellStart"/>
      <w:r>
        <w:rPr>
          <w:lang w:eastAsia="ja-JP"/>
        </w:rPr>
        <w:t>Arka</w:t>
      </w:r>
      <w:proofErr w:type="spellEnd"/>
      <w:r>
        <w:rPr>
          <w:lang w:eastAsia="ja-JP"/>
        </w:rPr>
        <w:t xml:space="preserve">” was necessary for the purpose that the Law No. 2126 envisaged and to what extent such a measure imposed on the event the author had planned to hold was proportionate to that purpose. </w:t>
      </w:r>
      <w:r w:rsidRPr="00144060">
        <w:t xml:space="preserve">The Committee accordingly considers that in this case, the State party failed to demonstrate the necessity and proportionality of the imposed </w:t>
      </w:r>
      <w:r>
        <w:t xml:space="preserve">limitations </w:t>
      </w:r>
      <w:r w:rsidRPr="00144060">
        <w:t>to the author’</w:t>
      </w:r>
      <w:r>
        <w:t>s freedom of assembly</w:t>
      </w:r>
      <w:r w:rsidRPr="00654349">
        <w:t>.</w:t>
      </w:r>
      <w:r w:rsidR="002853F2" w:rsidRPr="00654349">
        <w:t xml:space="preserve"> The State party did not indicate also which other official events of national and local levels organized by relevant state bodies were conducted in the square</w:t>
      </w:r>
      <w:r w:rsidR="006F4075" w:rsidRPr="00654349">
        <w:t xml:space="preserve"> behind the cinema “</w:t>
      </w:r>
      <w:proofErr w:type="spellStart"/>
      <w:r w:rsidR="006F4075" w:rsidRPr="00654349">
        <w:t>Sary</w:t>
      </w:r>
      <w:proofErr w:type="spellEnd"/>
      <w:r w:rsidR="006F4075" w:rsidRPr="00654349">
        <w:t xml:space="preserve"> </w:t>
      </w:r>
      <w:proofErr w:type="spellStart"/>
      <w:r w:rsidR="006F4075" w:rsidRPr="00654349">
        <w:t>Arka</w:t>
      </w:r>
      <w:proofErr w:type="spellEnd"/>
      <w:r w:rsidR="006F4075" w:rsidRPr="00654349">
        <w:t>”</w:t>
      </w:r>
      <w:r w:rsidR="006F4075" w:rsidRPr="008416D5">
        <w:t xml:space="preserve"> (see para. 6.3)</w:t>
      </w:r>
    </w:p>
    <w:p w14:paraId="13E88F41" w14:textId="7A4B8438" w:rsidR="007373FA" w:rsidRPr="003350CE" w:rsidRDefault="00684FA6" w:rsidP="007373FA">
      <w:pPr>
        <w:pStyle w:val="SingleTxtG"/>
      </w:pPr>
      <w:r>
        <w:t>8.9</w:t>
      </w:r>
      <w:r w:rsidR="007373FA">
        <w:tab/>
        <w:t xml:space="preserve">The Committee notes the author’s claim that </w:t>
      </w:r>
      <w:r w:rsidR="007373FA" w:rsidRPr="00664A3D">
        <w:t xml:space="preserve">the </w:t>
      </w:r>
      <w:r w:rsidR="007373FA">
        <w:t xml:space="preserve">Decision No 167 </w:t>
      </w:r>
      <w:r w:rsidR="007373FA" w:rsidRPr="00DD4CDF">
        <w:t>has discriminatory nature since it</w:t>
      </w:r>
      <w:r w:rsidR="007373FA">
        <w:t xml:space="preserve"> assigned</w:t>
      </w:r>
      <w:r w:rsidR="007373FA" w:rsidRPr="00DD4CDF">
        <w:t xml:space="preserve"> only one venue for non-state mass events in comparison with all squares and public gardens for state mass events.</w:t>
      </w:r>
      <w:r w:rsidR="007373FA">
        <w:t xml:space="preserve"> The Committee notes the State party’s argument that </w:t>
      </w:r>
      <w:r w:rsidR="007373FA" w:rsidRPr="00664A3D">
        <w:t xml:space="preserve">the </w:t>
      </w:r>
      <w:r w:rsidR="007373FA">
        <w:t>Decision No 167 does not discriminate based on political grounds,</w:t>
      </w:r>
      <w:r>
        <w:t xml:space="preserve"> and that the venue recommended</w:t>
      </w:r>
      <w:r w:rsidR="007373FA">
        <w:t xml:space="preserve"> - </w:t>
      </w:r>
      <w:r w:rsidR="007373FA" w:rsidRPr="00971266">
        <w:t>the square behind the cinema “</w:t>
      </w:r>
      <w:proofErr w:type="spellStart"/>
      <w:r w:rsidR="007373FA" w:rsidRPr="00971266">
        <w:t>Sary</w:t>
      </w:r>
      <w:proofErr w:type="spellEnd"/>
      <w:r w:rsidR="007373FA" w:rsidRPr="00971266">
        <w:t xml:space="preserve"> </w:t>
      </w:r>
      <w:proofErr w:type="spellStart"/>
      <w:r w:rsidR="007373FA" w:rsidRPr="00971266">
        <w:t>Arka</w:t>
      </w:r>
      <w:proofErr w:type="spellEnd"/>
      <w:r w:rsidR="007373FA" w:rsidRPr="00971266">
        <w:t>”</w:t>
      </w:r>
      <w:r w:rsidR="007373FA">
        <w:t xml:space="preserve">- can be also used for the </w:t>
      </w:r>
      <w:r w:rsidR="007373FA" w:rsidRPr="00EE5898">
        <w:rPr>
          <w:rFonts w:ascii="Times" w:eastAsia="SimSun" w:hAnsi="Times"/>
          <w:lang w:eastAsia="zh-CN"/>
        </w:rPr>
        <w:t xml:space="preserve">official events of the national and local levels organized by relevant state bodies, as well </w:t>
      </w:r>
      <w:r w:rsidR="007373FA" w:rsidRPr="002853F2">
        <w:rPr>
          <w:rFonts w:ascii="Times" w:eastAsia="SimSun" w:hAnsi="Times"/>
          <w:lang w:eastAsia="zh-CN"/>
        </w:rPr>
        <w:t>as other events with the participation of high-level state officials and leadership of Almaty</w:t>
      </w:r>
      <w:r w:rsidR="007373FA" w:rsidRPr="002853F2">
        <w:t>.</w:t>
      </w:r>
      <w:r w:rsidR="002853F2" w:rsidRPr="002853F2">
        <w:rPr>
          <w:lang w:val="en-US"/>
        </w:rPr>
        <w:t xml:space="preserve"> </w:t>
      </w:r>
    </w:p>
    <w:p w14:paraId="5BCC5F11" w14:textId="7F13FFD7" w:rsidR="007373FA" w:rsidRPr="00646A69" w:rsidRDefault="00684FA6" w:rsidP="007373FA">
      <w:pPr>
        <w:pStyle w:val="SingleTxtG"/>
        <w:rPr>
          <w:color w:val="000000"/>
          <w:lang w:val="en-US"/>
        </w:rPr>
      </w:pPr>
      <w:r>
        <w:t>8.10</w:t>
      </w:r>
      <w:r w:rsidR="007373FA">
        <w:tab/>
        <w:t xml:space="preserve">The Committee </w:t>
      </w:r>
      <w:r w:rsidR="007373FA" w:rsidRPr="00A86B40">
        <w:t xml:space="preserve">recalls that participants </w:t>
      </w:r>
      <w:r w:rsidR="00B23C31">
        <w:t>should</w:t>
      </w:r>
      <w:r w:rsidR="00B23C31" w:rsidRPr="00A86B40">
        <w:t xml:space="preserve"> </w:t>
      </w:r>
      <w:r w:rsidR="007373FA" w:rsidRPr="00A86B40">
        <w:t xml:space="preserve">freely determine the purpose of a peaceful assembly to advance ideas and aspirational goals in the public domain, and to establish the extent of support for or opposition to those ideas and goals. </w:t>
      </w:r>
      <w:r w:rsidR="007373FA">
        <w:t xml:space="preserve">The Committee notes that the restrictions must not </w:t>
      </w:r>
      <w:r w:rsidR="007373FA" w:rsidRPr="007373FA">
        <w:t>be</w:t>
      </w:r>
      <w:r w:rsidR="007373FA">
        <w:t xml:space="preserve"> discriminatory and t</w:t>
      </w:r>
      <w:r w:rsidR="007373FA" w:rsidRPr="003B7F5F">
        <w:t xml:space="preserve">he regulation of the time, place and manner of assemblies is generally content neutral, and </w:t>
      </w:r>
      <w:r w:rsidR="007373FA">
        <w:t xml:space="preserve">that if </w:t>
      </w:r>
      <w:r w:rsidR="007373FA" w:rsidRPr="003B7F5F">
        <w:t>there is more scope for limitations that affect these elements, the onus remains on the authorities to justify any such restriction.</w:t>
      </w:r>
      <w:r w:rsidR="007373FA" w:rsidRPr="003B7F5F">
        <w:rPr>
          <w:sz w:val="18"/>
          <w:vertAlign w:val="superscript"/>
          <w:lang w:val="fr-CH"/>
        </w:rPr>
        <w:footnoteReference w:id="20"/>
      </w:r>
      <w:r w:rsidR="007373FA" w:rsidRPr="00B870D8">
        <w:t xml:space="preserve"> </w:t>
      </w:r>
      <w:r w:rsidR="007373FA" w:rsidRPr="002853F2">
        <w:t xml:space="preserve">The Committee, however, considers that in this case, the State party’s applied restrictions to the author’s right to assembly directly related to the </w:t>
      </w:r>
      <w:r w:rsidR="007373FA" w:rsidRPr="006F4075">
        <w:t xml:space="preserve">nature of public event, namely, official event organized by relevant state body or socio-political </w:t>
      </w:r>
      <w:r w:rsidR="007373FA" w:rsidRPr="002853F2">
        <w:rPr>
          <w:lang w:val="en-US"/>
        </w:rPr>
        <w:t>event organized by non-state subject.</w:t>
      </w:r>
      <w:r w:rsidR="00E04C4D">
        <w:rPr>
          <w:lang w:val="en-US"/>
        </w:rPr>
        <w:t xml:space="preserve"> </w:t>
      </w:r>
    </w:p>
    <w:p w14:paraId="4A6800B1" w14:textId="08356F4B" w:rsidR="007373FA" w:rsidRDefault="007373FA" w:rsidP="007373FA">
      <w:pPr>
        <w:pStyle w:val="SingleTxtG"/>
      </w:pPr>
      <w:r w:rsidRPr="00D90599">
        <w:lastRenderedPageBreak/>
        <w:t>8.1</w:t>
      </w:r>
      <w:r w:rsidR="00684FA6">
        <w:t>1</w:t>
      </w:r>
      <w:r>
        <w:tab/>
        <w:t>I</w:t>
      </w:r>
      <w:r w:rsidRPr="004D03BA">
        <w:t xml:space="preserve">n </w:t>
      </w:r>
      <w:r>
        <w:t xml:space="preserve">the </w:t>
      </w:r>
      <w:r w:rsidRPr="004D03BA">
        <w:t xml:space="preserve">absence of any explanations from the State party </w:t>
      </w:r>
      <w:r>
        <w:t>to justify the different treatment</w:t>
      </w:r>
      <w:r w:rsidRPr="004D03BA">
        <w:t xml:space="preserve">, </w:t>
      </w:r>
      <w:r>
        <w:rPr>
          <w:rFonts w:eastAsia="SimSun"/>
          <w:lang w:eastAsia="zh-CN"/>
        </w:rPr>
        <w:t>t</w:t>
      </w:r>
      <w:r w:rsidRPr="00450134">
        <w:rPr>
          <w:rFonts w:eastAsia="SimSun"/>
          <w:lang w:eastAsia="zh-CN"/>
        </w:rPr>
        <w:t xml:space="preserve">he Committee considers that the State party </w:t>
      </w:r>
      <w:r>
        <w:rPr>
          <w:rFonts w:eastAsia="SimSun"/>
          <w:lang w:eastAsia="zh-CN"/>
        </w:rPr>
        <w:t>has</w:t>
      </w:r>
      <w:r w:rsidRPr="00450134">
        <w:rPr>
          <w:rFonts w:eastAsia="SimSun"/>
          <w:lang w:eastAsia="zh-CN"/>
        </w:rPr>
        <w:t xml:space="preserve"> failed to establish that the </w:t>
      </w:r>
      <w:r w:rsidRPr="007C06FC">
        <w:rPr>
          <w:rFonts w:eastAsia="SimSun"/>
          <w:lang w:eastAsia="zh-CN"/>
        </w:rPr>
        <w:t>restriction imposed on the author’</w:t>
      </w:r>
      <w:r>
        <w:rPr>
          <w:rFonts w:eastAsia="SimSun"/>
          <w:lang w:eastAsia="zh-CN"/>
        </w:rPr>
        <w:t xml:space="preserve">s right to peaceful assembly </w:t>
      </w:r>
      <w:r w:rsidRPr="00450134">
        <w:rPr>
          <w:rFonts w:eastAsia="SimSun"/>
          <w:lang w:eastAsia="zh-CN"/>
        </w:rPr>
        <w:t xml:space="preserve">was based on reasonable and objective criteria and in pursuit of an aim that is legitimate under the Covenant, and that the </w:t>
      </w:r>
      <w:r>
        <w:rPr>
          <w:rFonts w:eastAsia="SimSun"/>
          <w:lang w:eastAsia="zh-CN"/>
        </w:rPr>
        <w:t>adoption and implementation of the decision No 167</w:t>
      </w:r>
      <w:r w:rsidRPr="00450134">
        <w:rPr>
          <w:rFonts w:eastAsia="SimSun"/>
          <w:lang w:eastAsia="zh-CN"/>
        </w:rPr>
        <w:t xml:space="preserve"> therefore </w:t>
      </w:r>
      <w:r>
        <w:rPr>
          <w:rFonts w:eastAsia="SimSun"/>
          <w:lang w:eastAsia="zh-CN"/>
        </w:rPr>
        <w:t>amounted to</w:t>
      </w:r>
      <w:r>
        <w:t xml:space="preserve"> a violation of the author’s rights under article 21 of the Covenant.</w:t>
      </w:r>
    </w:p>
    <w:p w14:paraId="04FB51F6" w14:textId="7CE02B07" w:rsidR="002853F2" w:rsidRDefault="002853F2" w:rsidP="007373FA">
      <w:pPr>
        <w:pStyle w:val="SingleTxtG"/>
      </w:pPr>
      <w:r>
        <w:t>8.12</w:t>
      </w:r>
      <w:r w:rsidR="00DC4D08">
        <w:tab/>
      </w:r>
      <w:r w:rsidRPr="002853F2">
        <w:t>Having a found a violation of Article 21</w:t>
      </w:r>
      <w:r w:rsidR="006F4075">
        <w:t xml:space="preserve"> of the Co</w:t>
      </w:r>
      <w:r w:rsidR="00654349">
        <w:t>venant</w:t>
      </w:r>
      <w:r w:rsidRPr="002853F2">
        <w:t>, the Committee decides not to examine the claim under Article 19.</w:t>
      </w:r>
    </w:p>
    <w:p w14:paraId="12EF6743" w14:textId="519EDB77" w:rsidR="007373FA" w:rsidRPr="00501739" w:rsidRDefault="007373FA" w:rsidP="007373FA">
      <w:pPr>
        <w:pStyle w:val="SingleTxtG"/>
        <w:rPr>
          <w:highlight w:val="green"/>
        </w:rPr>
      </w:pPr>
      <w:r>
        <w:t>9</w:t>
      </w:r>
      <w:r w:rsidRPr="0072412E">
        <w:t>.</w:t>
      </w:r>
      <w:r w:rsidRPr="0072412E">
        <w:tab/>
      </w:r>
      <w:r w:rsidRPr="0007359B">
        <w:t xml:space="preserve">The Committee, acting under article 5 (4) of the Optional Protocol, is of the view that the facts before it disclose a violation by the State party of </w:t>
      </w:r>
      <w:r>
        <w:t xml:space="preserve">the author’s rights under </w:t>
      </w:r>
      <w:r w:rsidRPr="00822F16">
        <w:t>article 21</w:t>
      </w:r>
      <w:r>
        <w:t xml:space="preserve"> of the Covenant</w:t>
      </w:r>
      <w:r w:rsidRPr="0007359B">
        <w:t>.</w:t>
      </w:r>
    </w:p>
    <w:p w14:paraId="05592A78" w14:textId="24FAB9A7" w:rsidR="007373FA" w:rsidRPr="0072412E" w:rsidRDefault="007373FA" w:rsidP="007373FA">
      <w:pPr>
        <w:pStyle w:val="SingleTxtG"/>
      </w:pPr>
      <w:r>
        <w:t>10</w:t>
      </w:r>
      <w:r w:rsidRPr="0007359B">
        <w:t>.</w:t>
      </w:r>
      <w:r w:rsidRPr="0007359B">
        <w:tab/>
        <w:t>Pursuant to article 2 (3) (a) of the Covenant, the State party is under an obligation to provide the author with an effective remedy. This requires it to make full reparation to individuals whose Covenant rights have been violated</w:t>
      </w:r>
      <w:r w:rsidR="00C34CE6">
        <w:t xml:space="preserve">. Accordingly the State party is obligated, </w:t>
      </w:r>
      <w:r w:rsidR="00C34CE6" w:rsidRPr="00487477">
        <w:rPr>
          <w:i/>
        </w:rPr>
        <w:t>inter alia</w:t>
      </w:r>
      <w:r w:rsidR="00C34CE6">
        <w:t>, to provide the author with</w:t>
      </w:r>
      <w:r>
        <w:t xml:space="preserve"> adequate compensation</w:t>
      </w:r>
      <w:r w:rsidR="00DF2E4F">
        <w:t xml:space="preserve"> and reimbursement of her</w:t>
      </w:r>
      <w:r w:rsidR="00624B38" w:rsidRPr="00624B38">
        <w:t xml:space="preserve"> court expenses</w:t>
      </w:r>
      <w:r w:rsidRPr="0007359B">
        <w:t>.  The State party is also under an obligation to take all steps necessary to prevent similar violations from occurring in the future.</w:t>
      </w:r>
      <w:r w:rsidRPr="0072412E">
        <w:t xml:space="preserve"> In this connection, the Committee reiterates that, pursuant to its obligations under article 2 (2) of the Covenant, the State party </w:t>
      </w:r>
      <w:r w:rsidR="002853F2">
        <w:t xml:space="preserve">should </w:t>
      </w:r>
      <w:r w:rsidRPr="0072412E">
        <w:t>review its legislation with a view to ensuring that the rights under article 21 of the Covenant, including organiz</w:t>
      </w:r>
      <w:r>
        <w:t>ing</w:t>
      </w:r>
      <w:r w:rsidRPr="0072412E">
        <w:t xml:space="preserve"> and conduct</w:t>
      </w:r>
      <w:r>
        <w:t>ing</w:t>
      </w:r>
      <w:r w:rsidRPr="0072412E">
        <w:t xml:space="preserve"> peaceful assemblies, meetings, processions, pickets and demonstrations, may be fully enjoyed in the State party. </w:t>
      </w:r>
    </w:p>
    <w:p w14:paraId="48BEE8C1" w14:textId="77777777" w:rsidR="002473AB" w:rsidRDefault="007373FA" w:rsidP="007373FA">
      <w:pPr>
        <w:pStyle w:val="SingleTxtG"/>
      </w:pPr>
      <w:r>
        <w:t>11</w:t>
      </w:r>
      <w:r w:rsidRPr="0072412E">
        <w:t>.</w:t>
      </w:r>
      <w:r w:rsidRPr="0072412E">
        <w:tab/>
      </w:r>
      <w:r w:rsidRPr="0007359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Committee’s Views. The State party is also requested to publish the present Views and disseminate them widely in the official language</w:t>
      </w:r>
      <w:r>
        <w:t>s</w:t>
      </w:r>
      <w:r w:rsidRPr="0007359B">
        <w:t xml:space="preserve"> of the State party</w:t>
      </w:r>
      <w:r>
        <w:t>.</w:t>
      </w:r>
    </w:p>
    <w:p w14:paraId="5EF3FF91" w14:textId="48D6BD30" w:rsidR="007373FA" w:rsidRPr="007373FA" w:rsidRDefault="007373FA" w:rsidP="007373FA">
      <w:pPr>
        <w:pStyle w:val="SingleTxtG"/>
        <w:spacing w:before="240" w:after="0"/>
        <w:jc w:val="center"/>
        <w:rPr>
          <w:rFonts w:eastAsia="SimSun"/>
          <w:u w:val="single"/>
          <w:lang w:eastAsia="zh-CN"/>
        </w:rPr>
      </w:pPr>
      <w:r>
        <w:rPr>
          <w:u w:val="single"/>
        </w:rPr>
        <w:tab/>
      </w:r>
      <w:r>
        <w:rPr>
          <w:u w:val="single"/>
        </w:rPr>
        <w:tab/>
      </w:r>
      <w:r>
        <w:rPr>
          <w:u w:val="single"/>
        </w:rPr>
        <w:tab/>
      </w:r>
      <w:r w:rsidR="00684FA6">
        <w:rPr>
          <w:u w:val="single"/>
        </w:rPr>
        <w:tab/>
      </w:r>
    </w:p>
    <w:sectPr w:rsidR="007373FA" w:rsidRPr="007373FA" w:rsidSect="002473A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EC00" w14:textId="77777777" w:rsidR="00FF0BE5" w:rsidRDefault="00FF0BE5"/>
  </w:endnote>
  <w:endnote w:type="continuationSeparator" w:id="0">
    <w:p w14:paraId="598B3416" w14:textId="77777777" w:rsidR="00FF0BE5" w:rsidRDefault="00FF0BE5"/>
  </w:endnote>
  <w:endnote w:type="continuationNotice" w:id="1">
    <w:p w14:paraId="396551F1" w14:textId="77777777" w:rsidR="00FF0BE5" w:rsidRDefault="00FF0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D404" w14:textId="5DCA03F9" w:rsidR="002473AB" w:rsidRPr="002473AB" w:rsidRDefault="002473AB" w:rsidP="002473AB">
    <w:pPr>
      <w:pStyle w:val="Footer"/>
      <w:tabs>
        <w:tab w:val="right" w:pos="9638"/>
      </w:tabs>
      <w:rPr>
        <w:sz w:val="18"/>
      </w:rPr>
    </w:pPr>
    <w:r w:rsidRPr="002473AB">
      <w:rPr>
        <w:b/>
        <w:sz w:val="18"/>
      </w:rPr>
      <w:fldChar w:fldCharType="begin"/>
    </w:r>
    <w:r w:rsidRPr="002473AB">
      <w:rPr>
        <w:b/>
        <w:sz w:val="18"/>
      </w:rPr>
      <w:instrText xml:space="preserve"> PAGE  \* MERGEFORMAT </w:instrText>
    </w:r>
    <w:r w:rsidRPr="002473AB">
      <w:rPr>
        <w:b/>
        <w:sz w:val="18"/>
      </w:rPr>
      <w:fldChar w:fldCharType="separate"/>
    </w:r>
    <w:r w:rsidR="007B1330">
      <w:rPr>
        <w:b/>
        <w:noProof/>
        <w:sz w:val="18"/>
      </w:rPr>
      <w:t>6</w:t>
    </w:r>
    <w:r w:rsidRPr="002473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59A5" w14:textId="77744355" w:rsidR="002473AB" w:rsidRPr="002473AB" w:rsidRDefault="002473AB" w:rsidP="002473AB">
    <w:pPr>
      <w:pStyle w:val="Footer"/>
      <w:tabs>
        <w:tab w:val="right" w:pos="9638"/>
      </w:tabs>
      <w:rPr>
        <w:b/>
        <w:sz w:val="18"/>
      </w:rPr>
    </w:pPr>
    <w:r>
      <w:tab/>
    </w:r>
    <w:r w:rsidRPr="002473AB">
      <w:rPr>
        <w:b/>
        <w:sz w:val="18"/>
      </w:rPr>
      <w:fldChar w:fldCharType="begin"/>
    </w:r>
    <w:r w:rsidRPr="002473AB">
      <w:rPr>
        <w:b/>
        <w:sz w:val="18"/>
      </w:rPr>
      <w:instrText xml:space="preserve"> PAGE  \* MERGEFORMAT </w:instrText>
    </w:r>
    <w:r w:rsidRPr="002473AB">
      <w:rPr>
        <w:b/>
        <w:sz w:val="18"/>
      </w:rPr>
      <w:fldChar w:fldCharType="separate"/>
    </w:r>
    <w:r w:rsidR="007B1330">
      <w:rPr>
        <w:b/>
        <w:noProof/>
        <w:sz w:val="18"/>
      </w:rPr>
      <w:t>7</w:t>
    </w:r>
    <w:r w:rsidRPr="002473A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7C163" w14:textId="5C42F7EE" w:rsidR="002951BF" w:rsidRDefault="0001408E" w:rsidP="0001408E">
    <w:pPr>
      <w:pStyle w:val="Footer"/>
    </w:pPr>
    <w:r>
      <w:rPr>
        <w:noProof/>
        <w:lang w:eastAsia="en-GB"/>
      </w:rPr>
      <w:drawing>
        <wp:anchor distT="0" distB="0" distL="114300" distR="114300" simplePos="0" relativeHeight="251659264" behindDoc="1" locked="1" layoutInCell="1" allowOverlap="1" wp14:anchorId="3304C541" wp14:editId="59102AB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D53D" w14:textId="77777777" w:rsidR="00FF0BE5" w:rsidRPr="000B175B" w:rsidRDefault="00FF0BE5" w:rsidP="000B175B">
      <w:pPr>
        <w:tabs>
          <w:tab w:val="right" w:pos="2155"/>
        </w:tabs>
        <w:spacing w:after="80"/>
        <w:ind w:left="680"/>
        <w:rPr>
          <w:u w:val="single"/>
        </w:rPr>
      </w:pPr>
      <w:r>
        <w:rPr>
          <w:u w:val="single"/>
        </w:rPr>
        <w:tab/>
      </w:r>
    </w:p>
  </w:footnote>
  <w:footnote w:type="continuationSeparator" w:id="0">
    <w:p w14:paraId="595EB428" w14:textId="77777777" w:rsidR="00FF0BE5" w:rsidRPr="00FC68B7" w:rsidRDefault="00FF0BE5" w:rsidP="00FC68B7">
      <w:pPr>
        <w:tabs>
          <w:tab w:val="left" w:pos="2155"/>
        </w:tabs>
        <w:spacing w:after="80"/>
        <w:ind w:left="680"/>
        <w:rPr>
          <w:u w:val="single"/>
        </w:rPr>
      </w:pPr>
      <w:r>
        <w:rPr>
          <w:u w:val="single"/>
        </w:rPr>
        <w:tab/>
      </w:r>
    </w:p>
  </w:footnote>
  <w:footnote w:type="continuationNotice" w:id="1">
    <w:p w14:paraId="1FD85376" w14:textId="77777777" w:rsidR="00FF0BE5" w:rsidRDefault="00FF0BE5"/>
  </w:footnote>
  <w:footnote w:id="2">
    <w:p w14:paraId="0885594A" w14:textId="40F766DB" w:rsidR="00B115A1" w:rsidRPr="00B115A1" w:rsidRDefault="00B115A1">
      <w:pPr>
        <w:pStyle w:val="FootnoteText"/>
      </w:pPr>
      <w:r>
        <w:rPr>
          <w:rStyle w:val="FootnoteReference"/>
        </w:rPr>
        <w:tab/>
      </w:r>
      <w:r w:rsidRPr="007B1330">
        <w:rPr>
          <w:rStyle w:val="FootnoteReference"/>
          <w:sz w:val="20"/>
          <w:vertAlign w:val="baseline"/>
        </w:rPr>
        <w:t>*</w:t>
      </w:r>
      <w:r>
        <w:rPr>
          <w:rStyle w:val="FootnoteReference"/>
          <w:sz w:val="20"/>
          <w:vertAlign w:val="baseline"/>
        </w:rPr>
        <w:tab/>
      </w:r>
      <w:r w:rsidR="006E64C3" w:rsidRPr="00FD6356">
        <w:t>Ado</w:t>
      </w:r>
      <w:r w:rsidR="006E64C3">
        <w:t>pted by the Committee at its 129</w:t>
      </w:r>
      <w:r w:rsidR="006E64C3" w:rsidRPr="00FD6356">
        <w:t>th session (2</w:t>
      </w:r>
      <w:r w:rsidR="006E64C3">
        <w:t>9 June –24</w:t>
      </w:r>
      <w:r w:rsidR="006E64C3" w:rsidRPr="00FD6356">
        <w:t xml:space="preserve"> </w:t>
      </w:r>
      <w:r w:rsidR="006E64C3">
        <w:t>July</w:t>
      </w:r>
      <w:r w:rsidR="006E64C3" w:rsidRPr="00FD6356">
        <w:t xml:space="preserve"> 2020)</w:t>
      </w:r>
      <w:r w:rsidR="006E64C3">
        <w:t>.</w:t>
      </w:r>
    </w:p>
  </w:footnote>
  <w:footnote w:id="3">
    <w:p w14:paraId="1A560F8A" w14:textId="515EBF5E" w:rsidR="006E64C3" w:rsidRPr="004948E9" w:rsidRDefault="00B115A1" w:rsidP="006E64C3">
      <w:pPr>
        <w:pStyle w:val="FootnoteText"/>
      </w:pPr>
      <w:r>
        <w:rPr>
          <w:rStyle w:val="FootnoteReference"/>
        </w:rPr>
        <w:tab/>
      </w:r>
      <w:r w:rsidRPr="007B1330">
        <w:rPr>
          <w:rStyle w:val="FootnoteReference"/>
          <w:sz w:val="20"/>
          <w:vertAlign w:val="baseline"/>
        </w:rPr>
        <w:t>**</w:t>
      </w:r>
      <w:r>
        <w:rPr>
          <w:rStyle w:val="FootnoteReference"/>
          <w:sz w:val="20"/>
          <w:vertAlign w:val="baseline"/>
        </w:rPr>
        <w:tab/>
      </w:r>
      <w:r w:rsidR="006E64C3" w:rsidRPr="00AA7B79">
        <w:t xml:space="preserve">The following members of the </w:t>
      </w:r>
      <w:r w:rsidR="006E64C3">
        <w:t>Committee</w:t>
      </w:r>
      <w:r w:rsidR="006E64C3" w:rsidRPr="00AA7B79">
        <w:t xml:space="preserve"> participated in the examination of the present communication:</w:t>
      </w:r>
      <w:r w:rsidR="006E64C3" w:rsidRPr="00AA7B79">
        <w:rPr>
          <w:bCs/>
        </w:rPr>
        <w:t xml:space="preserve"> </w:t>
      </w:r>
      <w:r w:rsidR="006E64C3">
        <w:rPr>
          <w:bCs/>
        </w:rPr>
        <w:t xml:space="preserve">Tania Abdo </w:t>
      </w:r>
      <w:proofErr w:type="spellStart"/>
      <w:r w:rsidR="006E64C3">
        <w:rPr>
          <w:bCs/>
        </w:rPr>
        <w:t>Rocholl</w:t>
      </w:r>
      <w:proofErr w:type="spellEnd"/>
      <w:r w:rsidR="006E64C3">
        <w:rPr>
          <w:bCs/>
        </w:rPr>
        <w:t xml:space="preserve">, </w:t>
      </w:r>
      <w:proofErr w:type="spellStart"/>
      <w:r w:rsidR="006E64C3">
        <w:rPr>
          <w:bCs/>
        </w:rPr>
        <w:t>Yadh</w:t>
      </w:r>
      <w:proofErr w:type="spellEnd"/>
      <w:r w:rsidR="006E64C3">
        <w:rPr>
          <w:bCs/>
        </w:rPr>
        <w:t xml:space="preserve"> Ben </w:t>
      </w:r>
      <w:proofErr w:type="spellStart"/>
      <w:r w:rsidR="006E64C3">
        <w:rPr>
          <w:bCs/>
        </w:rPr>
        <w:t>Achour</w:t>
      </w:r>
      <w:proofErr w:type="spellEnd"/>
      <w:r w:rsidR="006E64C3">
        <w:rPr>
          <w:bCs/>
        </w:rPr>
        <w:t xml:space="preserve">, </w:t>
      </w:r>
      <w:proofErr w:type="spellStart"/>
      <w:r w:rsidR="006E64C3" w:rsidRPr="00AA7B79">
        <w:rPr>
          <w:bCs/>
        </w:rPr>
        <w:t>Arif</w:t>
      </w:r>
      <w:proofErr w:type="spellEnd"/>
      <w:r w:rsidR="006E64C3" w:rsidRPr="00AA7B79">
        <w:rPr>
          <w:bCs/>
        </w:rPr>
        <w:t xml:space="preserve"> </w:t>
      </w:r>
      <w:proofErr w:type="spellStart"/>
      <w:r w:rsidR="006E64C3" w:rsidRPr="00AA7B79">
        <w:rPr>
          <w:bCs/>
        </w:rPr>
        <w:t>Bulkan</w:t>
      </w:r>
      <w:proofErr w:type="spellEnd"/>
      <w:r w:rsidR="006E64C3" w:rsidRPr="00AA7B79">
        <w:rPr>
          <w:bCs/>
        </w:rPr>
        <w:t xml:space="preserve">, </w:t>
      </w:r>
      <w:r w:rsidR="00B2127E">
        <w:rPr>
          <w:bCs/>
        </w:rPr>
        <w:t xml:space="preserve">Ahmed Amin </w:t>
      </w:r>
      <w:proofErr w:type="spellStart"/>
      <w:r w:rsidR="00B2127E">
        <w:rPr>
          <w:bCs/>
        </w:rPr>
        <w:t>Fathalla</w:t>
      </w:r>
      <w:proofErr w:type="spellEnd"/>
      <w:r w:rsidR="00B2127E">
        <w:rPr>
          <w:bCs/>
        </w:rPr>
        <w:t xml:space="preserve">, </w:t>
      </w:r>
      <w:r w:rsidR="006E64C3" w:rsidRPr="00AA7B79">
        <w:rPr>
          <w:bCs/>
        </w:rPr>
        <w:t xml:space="preserve">Shuichi </w:t>
      </w:r>
      <w:proofErr w:type="spellStart"/>
      <w:r w:rsidR="006E64C3" w:rsidRPr="00AA7B79">
        <w:rPr>
          <w:bCs/>
        </w:rPr>
        <w:t>Furuya</w:t>
      </w:r>
      <w:proofErr w:type="spellEnd"/>
      <w:r w:rsidR="006E64C3" w:rsidRPr="00AA7B79">
        <w:rPr>
          <w:bCs/>
        </w:rPr>
        <w:t xml:space="preserve">, </w:t>
      </w:r>
      <w:r w:rsidR="006E64C3">
        <w:rPr>
          <w:bCs/>
        </w:rPr>
        <w:t xml:space="preserve">Christof </w:t>
      </w:r>
      <w:proofErr w:type="spellStart"/>
      <w:r w:rsidR="006E64C3">
        <w:rPr>
          <w:bCs/>
        </w:rPr>
        <w:t>Heyns</w:t>
      </w:r>
      <w:proofErr w:type="spellEnd"/>
      <w:r w:rsidR="006E64C3">
        <w:rPr>
          <w:bCs/>
        </w:rPr>
        <w:t xml:space="preserve">, </w:t>
      </w:r>
      <w:proofErr w:type="spellStart"/>
      <w:r w:rsidR="006E64C3">
        <w:rPr>
          <w:bCs/>
        </w:rPr>
        <w:t>Bamariam</w:t>
      </w:r>
      <w:proofErr w:type="spellEnd"/>
      <w:r w:rsidR="006E64C3">
        <w:rPr>
          <w:bCs/>
        </w:rPr>
        <w:t xml:space="preserve"> </w:t>
      </w:r>
      <w:proofErr w:type="spellStart"/>
      <w:r w:rsidR="006E64C3">
        <w:rPr>
          <w:bCs/>
        </w:rPr>
        <w:t>Koita</w:t>
      </w:r>
      <w:proofErr w:type="spellEnd"/>
      <w:r w:rsidR="006E64C3">
        <w:rPr>
          <w:bCs/>
        </w:rPr>
        <w:t xml:space="preserve">, Marcia </w:t>
      </w:r>
      <w:r w:rsidR="00B2127E">
        <w:rPr>
          <w:bCs/>
        </w:rPr>
        <w:t xml:space="preserve">V. </w:t>
      </w:r>
      <w:proofErr w:type="spellStart"/>
      <w:r w:rsidR="006E64C3">
        <w:rPr>
          <w:bCs/>
        </w:rPr>
        <w:t>Kran</w:t>
      </w:r>
      <w:proofErr w:type="spellEnd"/>
      <w:r w:rsidR="006E64C3">
        <w:rPr>
          <w:bCs/>
        </w:rPr>
        <w:t xml:space="preserve">, Duncan </w:t>
      </w:r>
      <w:proofErr w:type="spellStart"/>
      <w:r w:rsidR="006E64C3">
        <w:rPr>
          <w:bCs/>
        </w:rPr>
        <w:t>Laki</w:t>
      </w:r>
      <w:proofErr w:type="spellEnd"/>
      <w:r w:rsidR="006E64C3">
        <w:rPr>
          <w:bCs/>
        </w:rPr>
        <w:t xml:space="preserve"> </w:t>
      </w:r>
      <w:proofErr w:type="spellStart"/>
      <w:r w:rsidR="006E64C3">
        <w:rPr>
          <w:bCs/>
        </w:rPr>
        <w:t>Muhumuza</w:t>
      </w:r>
      <w:proofErr w:type="spellEnd"/>
      <w:r w:rsidR="006E64C3">
        <w:rPr>
          <w:bCs/>
        </w:rPr>
        <w:t xml:space="preserve">, </w:t>
      </w:r>
      <w:r w:rsidR="006E64C3" w:rsidRPr="00AA7B79">
        <w:rPr>
          <w:bCs/>
        </w:rPr>
        <w:t xml:space="preserve">Photini </w:t>
      </w:r>
      <w:proofErr w:type="spellStart"/>
      <w:r w:rsidR="006E64C3" w:rsidRPr="00AA7B79">
        <w:rPr>
          <w:bCs/>
        </w:rPr>
        <w:t>Pazartzis</w:t>
      </w:r>
      <w:proofErr w:type="spellEnd"/>
      <w:r w:rsidR="006E64C3" w:rsidRPr="00AA7B79">
        <w:rPr>
          <w:bCs/>
        </w:rPr>
        <w:t>,</w:t>
      </w:r>
      <w:r w:rsidR="006E64C3">
        <w:rPr>
          <w:bCs/>
        </w:rPr>
        <w:t xml:space="preserve"> </w:t>
      </w:r>
      <w:proofErr w:type="spellStart"/>
      <w:r w:rsidR="006E64C3" w:rsidRPr="00837E52">
        <w:rPr>
          <w:bCs/>
        </w:rPr>
        <w:t>Hernán</w:t>
      </w:r>
      <w:proofErr w:type="spellEnd"/>
      <w:r w:rsidR="006E64C3">
        <w:rPr>
          <w:bCs/>
        </w:rPr>
        <w:t xml:space="preserve"> Quezada, </w:t>
      </w:r>
      <w:proofErr w:type="spellStart"/>
      <w:r w:rsidR="006E64C3">
        <w:rPr>
          <w:bCs/>
        </w:rPr>
        <w:t>Vasilka</w:t>
      </w:r>
      <w:proofErr w:type="spellEnd"/>
      <w:r w:rsidR="006E64C3">
        <w:rPr>
          <w:bCs/>
        </w:rPr>
        <w:t xml:space="preserve"> </w:t>
      </w:r>
      <w:proofErr w:type="spellStart"/>
      <w:r w:rsidR="006E64C3">
        <w:rPr>
          <w:bCs/>
        </w:rPr>
        <w:t>Sancin</w:t>
      </w:r>
      <w:proofErr w:type="spellEnd"/>
      <w:r w:rsidR="006E64C3">
        <w:rPr>
          <w:bCs/>
        </w:rPr>
        <w:t>,</w:t>
      </w:r>
      <w:r w:rsidR="006E64C3" w:rsidRPr="00AA7B79">
        <w:rPr>
          <w:bCs/>
        </w:rPr>
        <w:t xml:space="preserve"> José Manuel Santos </w:t>
      </w:r>
      <w:proofErr w:type="spellStart"/>
      <w:r w:rsidR="006E64C3" w:rsidRPr="00AA7B79">
        <w:rPr>
          <w:bCs/>
        </w:rPr>
        <w:t>Pais</w:t>
      </w:r>
      <w:proofErr w:type="spellEnd"/>
      <w:r w:rsidR="006E64C3" w:rsidRPr="00AA7B79">
        <w:rPr>
          <w:bCs/>
        </w:rPr>
        <w:t>,</w:t>
      </w:r>
      <w:r w:rsidR="006E64C3">
        <w:rPr>
          <w:bCs/>
        </w:rPr>
        <w:t xml:space="preserve"> Yuval </w:t>
      </w:r>
      <w:proofErr w:type="spellStart"/>
      <w:r w:rsidR="006E64C3">
        <w:rPr>
          <w:bCs/>
        </w:rPr>
        <w:t>Shany</w:t>
      </w:r>
      <w:proofErr w:type="spellEnd"/>
      <w:r w:rsidR="006E64C3">
        <w:rPr>
          <w:bCs/>
        </w:rPr>
        <w:t xml:space="preserve">, Hélène Tigroudja, Andreas Zimmermann </w:t>
      </w:r>
      <w:r w:rsidR="006E64C3" w:rsidRPr="00AA7B79">
        <w:rPr>
          <w:bCs/>
        </w:rPr>
        <w:t xml:space="preserve">and Gentian </w:t>
      </w:r>
      <w:proofErr w:type="spellStart"/>
      <w:r w:rsidR="006E64C3" w:rsidRPr="00AA7B79">
        <w:rPr>
          <w:bCs/>
        </w:rPr>
        <w:t>Zyberi</w:t>
      </w:r>
      <w:proofErr w:type="spellEnd"/>
      <w:r w:rsidR="006E64C3">
        <w:rPr>
          <w:bCs/>
        </w:rPr>
        <w:t>.</w:t>
      </w:r>
    </w:p>
    <w:p w14:paraId="5D2E4BE5" w14:textId="6933A5D9" w:rsidR="00B115A1" w:rsidRPr="00B115A1" w:rsidRDefault="00B115A1">
      <w:pPr>
        <w:pStyle w:val="FootnoteText"/>
      </w:pPr>
    </w:p>
  </w:footnote>
  <w:footnote w:id="4">
    <w:p w14:paraId="32DEBB7F" w14:textId="55FE9020" w:rsidR="002473AB" w:rsidRPr="00F6532C" w:rsidRDefault="00684FA6" w:rsidP="00684FA6">
      <w:pPr>
        <w:pStyle w:val="FootnoteText"/>
      </w:pPr>
      <w:r>
        <w:tab/>
      </w:r>
      <w:r w:rsidR="002473AB" w:rsidRPr="00F6532C">
        <w:rPr>
          <w:rStyle w:val="FootnoteReference"/>
        </w:rPr>
        <w:footnoteRef/>
      </w:r>
      <w:r>
        <w:tab/>
      </w:r>
      <w:r w:rsidR="002473AB" w:rsidRPr="00F6532C">
        <w:t xml:space="preserve">The author is a civil society </w:t>
      </w:r>
      <w:r w:rsidR="002473AB" w:rsidRPr="002473AB">
        <w:t>activist</w:t>
      </w:r>
      <w:r w:rsidR="002473AB" w:rsidRPr="00F6532C">
        <w:t xml:space="preserve">. </w:t>
      </w:r>
      <w:r w:rsidR="002473AB">
        <w:t xml:space="preserve"> </w:t>
      </w:r>
    </w:p>
  </w:footnote>
  <w:footnote w:id="5">
    <w:p w14:paraId="25CBCEF4" w14:textId="77777777" w:rsidR="002473AB" w:rsidRPr="00A92F50" w:rsidRDefault="002473AB" w:rsidP="002473AB">
      <w:pPr>
        <w:pStyle w:val="FootnoteText"/>
        <w:ind w:left="1152" w:right="1152"/>
      </w:pPr>
      <w:r>
        <w:tab/>
      </w:r>
      <w:r>
        <w:rPr>
          <w:rStyle w:val="FootnoteReference"/>
        </w:rPr>
        <w:footnoteRef/>
      </w:r>
      <w:r>
        <w:tab/>
      </w:r>
      <w:r w:rsidRPr="000F471C">
        <w:rPr>
          <w:szCs w:val="18"/>
        </w:rPr>
        <w:t>Equivalent of a mayor’s office</w:t>
      </w:r>
      <w:r>
        <w:rPr>
          <w:szCs w:val="18"/>
        </w:rPr>
        <w:t xml:space="preserve"> (municipal, district or provincial government)</w:t>
      </w:r>
      <w:r w:rsidRPr="000F471C">
        <w:rPr>
          <w:szCs w:val="18"/>
        </w:rPr>
        <w:t>.</w:t>
      </w:r>
    </w:p>
  </w:footnote>
  <w:footnote w:id="6">
    <w:p w14:paraId="16CF3BFD" w14:textId="77777777" w:rsidR="002473AB" w:rsidRPr="002473AB" w:rsidRDefault="002473AB" w:rsidP="002473AB">
      <w:pPr>
        <w:pStyle w:val="FootnoteText"/>
      </w:pPr>
      <w:r>
        <w:tab/>
      </w:r>
      <w:r>
        <w:rPr>
          <w:rStyle w:val="FootnoteReference"/>
        </w:rPr>
        <w:footnoteRef/>
      </w:r>
      <w:r>
        <w:tab/>
        <w:t>Pursuant to the Law on the Order of O</w:t>
      </w:r>
      <w:r w:rsidRPr="000F471C">
        <w:t xml:space="preserve">rganization and </w:t>
      </w:r>
      <w:r>
        <w:t>C</w:t>
      </w:r>
      <w:r w:rsidRPr="000F471C">
        <w:t xml:space="preserve">onduct of </w:t>
      </w:r>
      <w:r>
        <w:t>P</w:t>
      </w:r>
      <w:r w:rsidRPr="000F471C">
        <w:t xml:space="preserve">eaceful </w:t>
      </w:r>
      <w:r>
        <w:t>A</w:t>
      </w:r>
      <w:r w:rsidRPr="000F471C">
        <w:t xml:space="preserve">ssemblies, </w:t>
      </w:r>
      <w:r>
        <w:t>M</w:t>
      </w:r>
      <w:r w:rsidRPr="000F471C">
        <w:t xml:space="preserve">eetings, </w:t>
      </w:r>
      <w:r>
        <w:t>P</w:t>
      </w:r>
      <w:r w:rsidRPr="000F471C">
        <w:t xml:space="preserve">rocessions, </w:t>
      </w:r>
      <w:r>
        <w:t>P</w:t>
      </w:r>
      <w:r w:rsidRPr="000F471C">
        <w:t xml:space="preserve">ickets </w:t>
      </w:r>
      <w:r w:rsidRPr="002473AB">
        <w:t>and</w:t>
      </w:r>
      <w:r w:rsidRPr="000F471C">
        <w:t xml:space="preserve"> </w:t>
      </w:r>
      <w:r>
        <w:t>De</w:t>
      </w:r>
      <w:r w:rsidRPr="000F471C">
        <w:t>monstrations</w:t>
      </w:r>
      <w:r>
        <w:t xml:space="preserve"> in the Republic of Kazakhstan of 17 March 1995, an organizer of a peaceful assembly should submit an application to a local executive body, requesting authorization to hold such an assembly, at least 10 days prior to the intended event. Once the organizer receives a written authorization to hold the peaceful assembly, it is considered as an “authorized” one. All peaceful assemblies organized in the absence of a written authorization are considered as “unauthorized” and their organizers and participants are systematically brought to administrative responsibility. </w:t>
      </w:r>
    </w:p>
  </w:footnote>
  <w:footnote w:id="7">
    <w:p w14:paraId="273D081E" w14:textId="2DE6FA04" w:rsidR="002473AB" w:rsidRPr="00552D99" w:rsidRDefault="002473AB" w:rsidP="002473AB">
      <w:pPr>
        <w:pStyle w:val="FootnoteText"/>
      </w:pPr>
      <w:r>
        <w:tab/>
      </w:r>
      <w:r>
        <w:rPr>
          <w:rStyle w:val="FootnoteReference"/>
        </w:rPr>
        <w:footnoteRef/>
      </w:r>
      <w:r>
        <w:tab/>
        <w:t xml:space="preserve">As transpires from the </w:t>
      </w:r>
      <w:r w:rsidRPr="00552D99">
        <w:t>d</w:t>
      </w:r>
      <w:r w:rsidR="002C7165">
        <w:t xml:space="preserve">ecision of the Second </w:t>
      </w:r>
      <w:proofErr w:type="spellStart"/>
      <w:r w:rsidR="002C7165">
        <w:t>Almalinsk</w:t>
      </w:r>
      <w:proofErr w:type="spellEnd"/>
      <w:r w:rsidRPr="00552D99">
        <w:t xml:space="preserve"> </w:t>
      </w:r>
      <w:r w:rsidR="002C7165">
        <w:t>Region</w:t>
      </w:r>
      <w:r w:rsidRPr="00552D99">
        <w:t xml:space="preserve"> Court of Almaty of 19 June 2012, the author organized the so-called unauthorised meeting on 24 March 2012 to commemorate the shooting of people </w:t>
      </w:r>
      <w:r w:rsidRPr="002473AB">
        <w:t>in</w:t>
      </w:r>
      <w:r w:rsidRPr="00552D99">
        <w:t xml:space="preserve"> Zhanaozen. She was subsequently brought to administrative responsibility for having violated the legislation on organizing and holding peaceful assemblies.</w:t>
      </w:r>
      <w:r>
        <w:t xml:space="preserve"> </w:t>
      </w:r>
    </w:p>
  </w:footnote>
  <w:footnote w:id="8">
    <w:p w14:paraId="6B6D2B02" w14:textId="20ABAA78" w:rsidR="002473AB" w:rsidRPr="00B52230" w:rsidRDefault="007373FA" w:rsidP="002473AB">
      <w:pPr>
        <w:pStyle w:val="FootnoteText"/>
      </w:pPr>
      <w:r>
        <w:tab/>
      </w:r>
      <w:r w:rsidR="002473AB">
        <w:rPr>
          <w:rStyle w:val="FootnoteReference"/>
        </w:rPr>
        <w:footnoteRef/>
      </w:r>
      <w:r>
        <w:tab/>
      </w:r>
      <w:r w:rsidR="002473AB" w:rsidRPr="00B52230">
        <w:t>Equivalent of the city council, i.e. an elected, local representative body (a local government) in regions and districts of Kazakhstan.</w:t>
      </w:r>
    </w:p>
  </w:footnote>
  <w:footnote w:id="9">
    <w:p w14:paraId="5617C9D6" w14:textId="2658053F" w:rsidR="002473AB" w:rsidRDefault="007373FA" w:rsidP="002473AB">
      <w:pPr>
        <w:pStyle w:val="FootnoteText"/>
      </w:pPr>
      <w:r>
        <w:tab/>
      </w:r>
      <w:r w:rsidR="002473AB">
        <w:rPr>
          <w:rStyle w:val="FootnoteReference"/>
        </w:rPr>
        <w:footnoteRef/>
      </w:r>
      <w:r>
        <w:tab/>
      </w:r>
      <w:r w:rsidR="002473AB">
        <w:t xml:space="preserve">The author’s request was of a general character and was not directly linked to the fine imposed on her for the gathering referred to in para 2.3.  </w:t>
      </w:r>
    </w:p>
  </w:footnote>
  <w:footnote w:id="10">
    <w:p w14:paraId="69A6F5F9" w14:textId="443E298E" w:rsidR="007373FA" w:rsidRPr="00D72A2B" w:rsidRDefault="00684FA6" w:rsidP="00684FA6">
      <w:pPr>
        <w:pStyle w:val="FootnoteText"/>
      </w:pPr>
      <w:r>
        <w:tab/>
      </w:r>
      <w:r w:rsidR="007373FA">
        <w:rPr>
          <w:rStyle w:val="FootnoteReference"/>
        </w:rPr>
        <w:footnoteRef/>
      </w:r>
      <w:r>
        <w:tab/>
      </w:r>
      <w:r w:rsidR="007373FA">
        <w:t xml:space="preserve">The author did not invoke article 19 in her initial complaint. </w:t>
      </w:r>
    </w:p>
  </w:footnote>
  <w:footnote w:id="11">
    <w:p w14:paraId="45374C7D" w14:textId="77777777" w:rsidR="007373FA" w:rsidRPr="00684FA6" w:rsidRDefault="0017018C" w:rsidP="0017018C">
      <w:pPr>
        <w:pStyle w:val="FootnoteText"/>
        <w:rPr>
          <w:lang w:val="es-ES"/>
        </w:rPr>
      </w:pPr>
      <w:r>
        <w:tab/>
      </w:r>
      <w:r w:rsidR="007373FA" w:rsidRPr="0072412E">
        <w:rPr>
          <w:rStyle w:val="FootnoteReference"/>
        </w:rPr>
        <w:footnoteRef/>
      </w:r>
      <w:r w:rsidR="007373FA" w:rsidRPr="0072412E">
        <w:tab/>
        <w:t>See, for example,</w:t>
      </w:r>
      <w:r w:rsidR="007373FA">
        <w:t xml:space="preserve"> </w:t>
      </w:r>
      <w:proofErr w:type="spellStart"/>
      <w:r w:rsidR="007373FA" w:rsidRPr="00501739">
        <w:rPr>
          <w:i/>
          <w:iCs/>
        </w:rPr>
        <w:t>Korol</w:t>
      </w:r>
      <w:proofErr w:type="spellEnd"/>
      <w:r w:rsidR="007373FA" w:rsidRPr="00501739">
        <w:rPr>
          <w:i/>
          <w:iCs/>
        </w:rPr>
        <w:t xml:space="preserve"> v. </w:t>
      </w:r>
      <w:r w:rsidR="007373FA" w:rsidRPr="0017018C">
        <w:t>Belarus</w:t>
      </w:r>
      <w:r w:rsidR="007373FA" w:rsidRPr="0072412E">
        <w:t xml:space="preserve"> (CCPR/C/117/D/2089/2011), para. </w:t>
      </w:r>
      <w:r w:rsidR="007373FA" w:rsidRPr="00684FA6">
        <w:rPr>
          <w:lang w:val="es-ES"/>
        </w:rPr>
        <w:t xml:space="preserve">7.5. </w:t>
      </w:r>
    </w:p>
  </w:footnote>
  <w:footnote w:id="12">
    <w:p w14:paraId="757E3AFD" w14:textId="77777777" w:rsidR="007373FA" w:rsidRPr="00684FA6" w:rsidRDefault="0017018C" w:rsidP="0017018C">
      <w:pPr>
        <w:pStyle w:val="FootnoteText"/>
        <w:rPr>
          <w:lang w:val="es-ES"/>
        </w:rPr>
      </w:pPr>
      <w:r w:rsidRPr="00684FA6">
        <w:rPr>
          <w:lang w:val="es-ES"/>
        </w:rPr>
        <w:tab/>
      </w:r>
      <w:r w:rsidR="007373FA" w:rsidRPr="0072412E">
        <w:rPr>
          <w:rStyle w:val="FootnoteReference"/>
        </w:rPr>
        <w:footnoteRef/>
      </w:r>
      <w:r w:rsidR="007373FA" w:rsidRPr="00684FA6">
        <w:rPr>
          <w:lang w:val="es-ES"/>
        </w:rPr>
        <w:tab/>
      </w:r>
      <w:r w:rsidRPr="00684FA6">
        <w:rPr>
          <w:lang w:val="es-ES"/>
        </w:rPr>
        <w:tab/>
      </w:r>
      <w:proofErr w:type="spellStart"/>
      <w:r w:rsidR="007373FA" w:rsidRPr="00684FA6">
        <w:rPr>
          <w:lang w:val="es-ES"/>
        </w:rPr>
        <w:t>Ibid</w:t>
      </w:r>
      <w:proofErr w:type="spellEnd"/>
      <w:r w:rsidR="007373FA" w:rsidRPr="00684FA6">
        <w:rPr>
          <w:lang w:val="es-ES"/>
        </w:rPr>
        <w:t>.</w:t>
      </w:r>
    </w:p>
  </w:footnote>
  <w:footnote w:id="13">
    <w:p w14:paraId="06A9E51D" w14:textId="77777777" w:rsidR="007373FA" w:rsidRPr="00684FA6" w:rsidRDefault="007373FA" w:rsidP="0017018C">
      <w:pPr>
        <w:pStyle w:val="FootnoteText"/>
        <w:rPr>
          <w:lang w:val="es-ES"/>
        </w:rPr>
      </w:pPr>
      <w:r w:rsidRPr="00684FA6">
        <w:rPr>
          <w:lang w:val="es-ES"/>
        </w:rPr>
        <w:tab/>
      </w:r>
      <w:r w:rsidRPr="0072412E">
        <w:rPr>
          <w:rStyle w:val="FootnoteReference"/>
        </w:rPr>
        <w:footnoteRef/>
      </w:r>
      <w:r w:rsidRPr="00684FA6">
        <w:rPr>
          <w:lang w:val="es-ES"/>
        </w:rPr>
        <w:tab/>
      </w:r>
      <w:proofErr w:type="spellStart"/>
      <w:r w:rsidRPr="00684FA6">
        <w:rPr>
          <w:lang w:val="es-ES"/>
        </w:rPr>
        <w:t>See</w:t>
      </w:r>
      <w:proofErr w:type="spellEnd"/>
      <w:r w:rsidRPr="00684FA6">
        <w:rPr>
          <w:lang w:val="es-ES"/>
        </w:rPr>
        <w:t xml:space="preserve"> </w:t>
      </w:r>
      <w:proofErr w:type="spellStart"/>
      <w:r w:rsidRPr="00684FA6">
        <w:rPr>
          <w:lang w:val="es-ES"/>
        </w:rPr>
        <w:t>Poplavny</w:t>
      </w:r>
      <w:proofErr w:type="spellEnd"/>
      <w:r w:rsidRPr="00684FA6">
        <w:rPr>
          <w:i/>
          <w:iCs/>
          <w:lang w:val="es-ES"/>
        </w:rPr>
        <w:t xml:space="preserve"> v. Belarus</w:t>
      </w:r>
      <w:r w:rsidRPr="00684FA6">
        <w:rPr>
          <w:lang w:val="es-ES"/>
        </w:rPr>
        <w:t xml:space="preserve"> (CCPR/C/115/D/2019/2010), para. 8.4.</w:t>
      </w:r>
    </w:p>
  </w:footnote>
  <w:footnote w:id="14">
    <w:p w14:paraId="3EC73DE9" w14:textId="77777777" w:rsidR="007373FA" w:rsidRPr="002417BD" w:rsidRDefault="007373FA" w:rsidP="007373FA">
      <w:pPr>
        <w:pStyle w:val="FootnoteText"/>
        <w:rPr>
          <w:szCs w:val="18"/>
          <w:lang w:val="es-ES"/>
        </w:rPr>
      </w:pPr>
      <w:r w:rsidRPr="002417BD">
        <w:rPr>
          <w:lang w:val="es-ES"/>
        </w:rPr>
        <w:tab/>
      </w:r>
      <w:r w:rsidRPr="004A6832">
        <w:rPr>
          <w:rStyle w:val="FootnoteReference"/>
        </w:rPr>
        <w:footnoteRef/>
      </w:r>
      <w:r w:rsidRPr="002417BD">
        <w:rPr>
          <w:szCs w:val="18"/>
          <w:lang w:val="es-ES"/>
        </w:rPr>
        <w:tab/>
      </w:r>
      <w:proofErr w:type="spellStart"/>
      <w:r w:rsidRPr="002417BD">
        <w:rPr>
          <w:i/>
          <w:szCs w:val="18"/>
          <w:lang w:val="es-ES"/>
        </w:rPr>
        <w:t>Turchenyak</w:t>
      </w:r>
      <w:proofErr w:type="spellEnd"/>
      <w:r w:rsidRPr="002417BD">
        <w:rPr>
          <w:i/>
          <w:szCs w:val="18"/>
          <w:lang w:val="es-ES"/>
        </w:rPr>
        <w:t xml:space="preserve"> et al. v. Belarus</w:t>
      </w:r>
      <w:r w:rsidRPr="002417BD">
        <w:rPr>
          <w:szCs w:val="18"/>
          <w:lang w:val="es-ES"/>
        </w:rPr>
        <w:t xml:space="preserve">, para. 7.4. </w:t>
      </w:r>
    </w:p>
  </w:footnote>
  <w:footnote w:id="15">
    <w:p w14:paraId="7C9EEC35" w14:textId="77777777" w:rsidR="007373FA" w:rsidRPr="002417BD" w:rsidRDefault="007373FA" w:rsidP="007373FA">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szCs w:val="18"/>
          <w:lang w:val="es-ES"/>
        </w:rPr>
        <w:t>Ibid</w:t>
      </w:r>
      <w:proofErr w:type="spellEnd"/>
      <w:r w:rsidRPr="002417BD">
        <w:rPr>
          <w:szCs w:val="18"/>
          <w:lang w:val="es-ES"/>
        </w:rPr>
        <w:t>.; CCPR/C/KAZ/CO/1, para. 26.</w:t>
      </w:r>
    </w:p>
  </w:footnote>
  <w:footnote w:id="16">
    <w:p w14:paraId="77D8A1EA" w14:textId="77777777" w:rsidR="007373FA" w:rsidRPr="002417BD" w:rsidRDefault="007373FA" w:rsidP="007373FA">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CCPR/C/DZA/CO/4, para. 45.</w:t>
      </w:r>
    </w:p>
  </w:footnote>
  <w:footnote w:id="17">
    <w:p w14:paraId="4CC8872B" w14:textId="77777777" w:rsidR="007373FA" w:rsidRPr="002417BD" w:rsidRDefault="007373FA" w:rsidP="007373FA">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Turchenyak</w:t>
      </w:r>
      <w:proofErr w:type="spellEnd"/>
      <w:r w:rsidRPr="002417BD">
        <w:rPr>
          <w:i/>
          <w:szCs w:val="18"/>
          <w:lang w:val="es-ES"/>
        </w:rPr>
        <w:t xml:space="preserve"> et al. v. Belarus</w:t>
      </w:r>
      <w:r w:rsidRPr="002417BD">
        <w:rPr>
          <w:szCs w:val="18"/>
          <w:lang w:val="es-ES"/>
        </w:rPr>
        <w:t>, para. 7.5.</w:t>
      </w:r>
    </w:p>
  </w:footnote>
  <w:footnote w:id="18">
    <w:p w14:paraId="43F64B85" w14:textId="77777777" w:rsidR="007373FA" w:rsidRPr="00684FA6" w:rsidRDefault="007373FA" w:rsidP="007373FA">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Sudalenko</w:t>
      </w:r>
      <w:proofErr w:type="spellEnd"/>
      <w:r w:rsidRPr="002417BD">
        <w:rPr>
          <w:i/>
          <w:szCs w:val="18"/>
          <w:lang w:val="es-ES"/>
        </w:rPr>
        <w:t xml:space="preserve"> v. Belarus</w:t>
      </w:r>
      <w:r w:rsidRPr="002417BD">
        <w:rPr>
          <w:szCs w:val="18"/>
          <w:lang w:val="es-ES"/>
        </w:rPr>
        <w:t xml:space="preserve"> (CCPR/C/113/D/1992/2010), para. </w:t>
      </w:r>
      <w:r w:rsidRPr="00684FA6">
        <w:rPr>
          <w:szCs w:val="18"/>
          <w:lang w:val="es-ES"/>
        </w:rPr>
        <w:t>8.5.</w:t>
      </w:r>
    </w:p>
  </w:footnote>
  <w:footnote w:id="19">
    <w:p w14:paraId="5ABC116B" w14:textId="5E149DC6" w:rsidR="007373FA" w:rsidRPr="002417BD" w:rsidRDefault="007373FA" w:rsidP="007373FA">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Stambrovsky</w:t>
      </w:r>
      <w:proofErr w:type="spellEnd"/>
      <w:r w:rsidRPr="002417BD">
        <w:rPr>
          <w:i/>
          <w:szCs w:val="18"/>
          <w:lang w:val="es-ES"/>
        </w:rPr>
        <w:t xml:space="preserve"> v. Belarus</w:t>
      </w:r>
      <w:r w:rsidRPr="002417BD">
        <w:rPr>
          <w:szCs w:val="18"/>
          <w:lang w:val="es-ES"/>
        </w:rPr>
        <w:t xml:space="preserve"> </w:t>
      </w:r>
      <w:r w:rsidRPr="0096657F">
        <w:rPr>
          <w:szCs w:val="18"/>
          <w:lang w:val="es-ES"/>
        </w:rPr>
        <w:t>(CCPR/C/11</w:t>
      </w:r>
      <w:r w:rsidRPr="002417BD">
        <w:rPr>
          <w:szCs w:val="18"/>
          <w:lang w:val="es-ES"/>
        </w:rPr>
        <w:t>2</w:t>
      </w:r>
      <w:r w:rsidRPr="0096657F">
        <w:rPr>
          <w:szCs w:val="18"/>
          <w:lang w:val="es-ES"/>
        </w:rPr>
        <w:t>/D/</w:t>
      </w:r>
      <w:r w:rsidRPr="002417BD">
        <w:rPr>
          <w:szCs w:val="18"/>
          <w:lang w:val="es-ES"/>
        </w:rPr>
        <w:t xml:space="preserve">1987/2010), para. 7.6; </w:t>
      </w:r>
      <w:proofErr w:type="spellStart"/>
      <w:r w:rsidRPr="002417BD">
        <w:rPr>
          <w:i/>
          <w:szCs w:val="18"/>
          <w:lang w:val="es-ES"/>
        </w:rPr>
        <w:t>Pugach</w:t>
      </w:r>
      <w:proofErr w:type="spellEnd"/>
      <w:r w:rsidRPr="002417BD">
        <w:rPr>
          <w:i/>
          <w:szCs w:val="18"/>
          <w:lang w:val="es-ES"/>
        </w:rPr>
        <w:t xml:space="preserve"> v. Belarus</w:t>
      </w:r>
      <w:r w:rsidRPr="002417BD">
        <w:rPr>
          <w:szCs w:val="18"/>
          <w:lang w:val="es-ES"/>
        </w:rPr>
        <w:t xml:space="preserve"> </w:t>
      </w:r>
      <w:r w:rsidRPr="00610EB7">
        <w:rPr>
          <w:szCs w:val="18"/>
          <w:lang w:val="es-ES"/>
        </w:rPr>
        <w:t>(CCPR/C/11</w:t>
      </w:r>
      <w:r w:rsidRPr="002417BD">
        <w:rPr>
          <w:szCs w:val="18"/>
          <w:lang w:val="es-ES"/>
        </w:rPr>
        <w:t>4</w:t>
      </w:r>
      <w:r w:rsidRPr="00610EB7">
        <w:rPr>
          <w:szCs w:val="18"/>
          <w:lang w:val="es-ES"/>
        </w:rPr>
        <w:t>/D/</w:t>
      </w:r>
      <w:r w:rsidRPr="002417BD">
        <w:rPr>
          <w:szCs w:val="18"/>
          <w:lang w:val="es-ES"/>
        </w:rPr>
        <w:t>1984/2010), para. 7.8</w:t>
      </w:r>
      <w:r w:rsidR="00684FA6">
        <w:rPr>
          <w:szCs w:val="18"/>
          <w:lang w:val="es-ES"/>
        </w:rPr>
        <w:t>.</w:t>
      </w:r>
    </w:p>
  </w:footnote>
  <w:footnote w:id="20">
    <w:p w14:paraId="7BF5297B" w14:textId="77777777" w:rsidR="007373FA" w:rsidRPr="00F641CD" w:rsidRDefault="007373FA" w:rsidP="007373FA">
      <w:pPr>
        <w:pStyle w:val="FootnoteText"/>
        <w:rPr>
          <w:szCs w:val="18"/>
          <w:lang w:val="en-US"/>
        </w:rPr>
      </w:pPr>
      <w:r w:rsidRPr="00A05B29">
        <w:rPr>
          <w:szCs w:val="18"/>
        </w:rPr>
        <w:tab/>
      </w:r>
      <w:r w:rsidRPr="004A6832">
        <w:rPr>
          <w:rStyle w:val="FootnoteReference"/>
        </w:rPr>
        <w:footnoteRef/>
      </w:r>
      <w:r w:rsidRPr="00DB3F3A">
        <w:rPr>
          <w:szCs w:val="18"/>
        </w:rPr>
        <w:tab/>
      </w:r>
      <w:r w:rsidRPr="00BB2E55">
        <w:rPr>
          <w:szCs w:val="18"/>
          <w:lang w:val="en-US"/>
        </w:rPr>
        <w:t>OSCE</w:t>
      </w:r>
      <w:r>
        <w:rPr>
          <w:szCs w:val="18"/>
          <w:lang w:val="en-US"/>
        </w:rPr>
        <w:t>,</w:t>
      </w:r>
      <w:r w:rsidRPr="00BB2E55">
        <w:rPr>
          <w:szCs w:val="18"/>
          <w:lang w:val="en-US"/>
        </w:rPr>
        <w:t xml:space="preserve"> </w:t>
      </w:r>
      <w:r w:rsidRPr="00DB3F3A">
        <w:rPr>
          <w:i/>
          <w:iCs/>
          <w:szCs w:val="18"/>
        </w:rPr>
        <w:t>Guidelines on</w:t>
      </w:r>
      <w:r w:rsidRPr="00DB3F3A">
        <w:rPr>
          <w:szCs w:val="18"/>
        </w:rPr>
        <w:t xml:space="preserve"> </w:t>
      </w:r>
      <w:r w:rsidRPr="00DB3F3A">
        <w:rPr>
          <w:i/>
          <w:iCs/>
          <w:szCs w:val="18"/>
        </w:rPr>
        <w:t>Freedom of Peaceful Assembly</w:t>
      </w:r>
      <w:r w:rsidRPr="00F641CD">
        <w:rPr>
          <w:szCs w:val="18"/>
          <w:lang w:val="en-US"/>
        </w:rPr>
        <w:t>, para</w:t>
      </w:r>
      <w:r>
        <w:rPr>
          <w:szCs w:val="18"/>
          <w:lang w:val="en-US"/>
        </w:rPr>
        <w:t>.</w:t>
      </w:r>
      <w:r w:rsidRPr="00F641CD">
        <w:rPr>
          <w:szCs w:val="18"/>
          <w:lang w:val="en-US"/>
        </w:rPr>
        <w:t xml:space="preserve"> </w:t>
      </w:r>
      <w:r>
        <w:rPr>
          <w:szCs w:val="18"/>
          <w:lang w:val="en-US"/>
        </w:rPr>
        <w:t>70</w:t>
      </w:r>
      <w:r w:rsidRPr="00F641CD">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2AFB" w14:textId="6318199C" w:rsidR="002473AB" w:rsidRPr="002473AB" w:rsidRDefault="009F589D" w:rsidP="00B115A1">
    <w:pPr>
      <w:pStyle w:val="Header"/>
    </w:pPr>
    <w:r w:rsidRPr="009F589D">
      <w:t>Advance unedited version</w:t>
    </w:r>
    <w:r>
      <w:t xml:space="preserve"> </w:t>
    </w:r>
    <w:r w:rsidR="006D47FF">
      <w:t>CCPR/C/129/D/2503/2014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A443" w14:textId="2E9B6EAF" w:rsidR="002473AB" w:rsidRPr="002473AB" w:rsidRDefault="009F589D">
    <w:pPr>
      <w:pStyle w:val="Header"/>
      <w:jc w:val="right"/>
    </w:pPr>
    <w:r w:rsidRPr="009F589D">
      <w:t>Advance unedited version</w:t>
    </w:r>
    <w:r>
      <w:t xml:space="preserve"> </w:t>
    </w:r>
    <w:r w:rsidR="006D47FF">
      <w:t>CCPR/C/129/D/2503/2014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5CC5A" w14:textId="088AAEDF" w:rsidR="00D041C0" w:rsidRDefault="00D041C0" w:rsidP="008416D5">
    <w:pPr>
      <w:pStyle w:val="Header"/>
      <w:tabs>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41164E"/>
    <w:multiLevelType w:val="hybridMultilevel"/>
    <w:tmpl w:val="7BC0E788"/>
    <w:lvl w:ilvl="0" w:tplc="465241CC">
      <w:start w:val="1"/>
      <w:numFmt w:val="decimal"/>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AB"/>
    <w:rsid w:val="0001408E"/>
    <w:rsid w:val="000272B3"/>
    <w:rsid w:val="0004498C"/>
    <w:rsid w:val="00050F6B"/>
    <w:rsid w:val="00057E97"/>
    <w:rsid w:val="00060C3A"/>
    <w:rsid w:val="00072C8C"/>
    <w:rsid w:val="000733B5"/>
    <w:rsid w:val="00081815"/>
    <w:rsid w:val="000826BE"/>
    <w:rsid w:val="000931C0"/>
    <w:rsid w:val="000B175B"/>
    <w:rsid w:val="000B3A0F"/>
    <w:rsid w:val="000B4EF7"/>
    <w:rsid w:val="000C2C03"/>
    <w:rsid w:val="000C2D2E"/>
    <w:rsid w:val="000E0415"/>
    <w:rsid w:val="001103AA"/>
    <w:rsid w:val="00156761"/>
    <w:rsid w:val="00165F3A"/>
    <w:rsid w:val="0017018C"/>
    <w:rsid w:val="00183968"/>
    <w:rsid w:val="001A6686"/>
    <w:rsid w:val="001B4B04"/>
    <w:rsid w:val="001C6663"/>
    <w:rsid w:val="001C7895"/>
    <w:rsid w:val="001D0C8C"/>
    <w:rsid w:val="001D26DF"/>
    <w:rsid w:val="001D3A03"/>
    <w:rsid w:val="001E6C31"/>
    <w:rsid w:val="00202DA8"/>
    <w:rsid w:val="00211E0B"/>
    <w:rsid w:val="00221AF4"/>
    <w:rsid w:val="0023210C"/>
    <w:rsid w:val="002473AB"/>
    <w:rsid w:val="00267F5F"/>
    <w:rsid w:val="002853F2"/>
    <w:rsid w:val="00286B4D"/>
    <w:rsid w:val="002951BF"/>
    <w:rsid w:val="002C7165"/>
    <w:rsid w:val="002F175C"/>
    <w:rsid w:val="003229D8"/>
    <w:rsid w:val="00352709"/>
    <w:rsid w:val="00367567"/>
    <w:rsid w:val="00371178"/>
    <w:rsid w:val="0038336C"/>
    <w:rsid w:val="003A6810"/>
    <w:rsid w:val="003C2CC4"/>
    <w:rsid w:val="003D4B23"/>
    <w:rsid w:val="004076CD"/>
    <w:rsid w:val="00410C89"/>
    <w:rsid w:val="00426B9B"/>
    <w:rsid w:val="004325CB"/>
    <w:rsid w:val="00436B33"/>
    <w:rsid w:val="00442A83"/>
    <w:rsid w:val="00451DF0"/>
    <w:rsid w:val="0045495B"/>
    <w:rsid w:val="00487477"/>
    <w:rsid w:val="00487488"/>
    <w:rsid w:val="004C0026"/>
    <w:rsid w:val="004C0F2D"/>
    <w:rsid w:val="0052136D"/>
    <w:rsid w:val="0052775E"/>
    <w:rsid w:val="005420F2"/>
    <w:rsid w:val="00550D6E"/>
    <w:rsid w:val="005628B6"/>
    <w:rsid w:val="00572096"/>
    <w:rsid w:val="00576729"/>
    <w:rsid w:val="005848B3"/>
    <w:rsid w:val="005B3DB3"/>
    <w:rsid w:val="005C1A98"/>
    <w:rsid w:val="005C700F"/>
    <w:rsid w:val="005F7717"/>
    <w:rsid w:val="005F7B75"/>
    <w:rsid w:val="006001EE"/>
    <w:rsid w:val="00605042"/>
    <w:rsid w:val="00611FC4"/>
    <w:rsid w:val="006176FB"/>
    <w:rsid w:val="00624B38"/>
    <w:rsid w:val="0063059B"/>
    <w:rsid w:val="006402A4"/>
    <w:rsid w:val="00640B26"/>
    <w:rsid w:val="00652D0A"/>
    <w:rsid w:val="00654349"/>
    <w:rsid w:val="00662BB6"/>
    <w:rsid w:val="00684C21"/>
    <w:rsid w:val="00684FA6"/>
    <w:rsid w:val="006D37AF"/>
    <w:rsid w:val="006D47FF"/>
    <w:rsid w:val="006D51D0"/>
    <w:rsid w:val="006E564B"/>
    <w:rsid w:val="006E64C3"/>
    <w:rsid w:val="006E7191"/>
    <w:rsid w:val="006F4075"/>
    <w:rsid w:val="00703577"/>
    <w:rsid w:val="0072632A"/>
    <w:rsid w:val="007327D5"/>
    <w:rsid w:val="007373FA"/>
    <w:rsid w:val="007629C8"/>
    <w:rsid w:val="007A4C34"/>
    <w:rsid w:val="007B1330"/>
    <w:rsid w:val="007B4176"/>
    <w:rsid w:val="007B6BA5"/>
    <w:rsid w:val="007C3390"/>
    <w:rsid w:val="007C4F4B"/>
    <w:rsid w:val="007C784F"/>
    <w:rsid w:val="007D2E78"/>
    <w:rsid w:val="007D6219"/>
    <w:rsid w:val="007E0B2D"/>
    <w:rsid w:val="007E4117"/>
    <w:rsid w:val="007F6611"/>
    <w:rsid w:val="008105B8"/>
    <w:rsid w:val="008242D7"/>
    <w:rsid w:val="008257B1"/>
    <w:rsid w:val="008416D5"/>
    <w:rsid w:val="00843767"/>
    <w:rsid w:val="0086779C"/>
    <w:rsid w:val="008679D9"/>
    <w:rsid w:val="008979B1"/>
    <w:rsid w:val="008A1DB2"/>
    <w:rsid w:val="008A6B25"/>
    <w:rsid w:val="008A6C4F"/>
    <w:rsid w:val="008B2335"/>
    <w:rsid w:val="008C5D8A"/>
    <w:rsid w:val="008D1D04"/>
    <w:rsid w:val="008E0678"/>
    <w:rsid w:val="008F45C0"/>
    <w:rsid w:val="00910F40"/>
    <w:rsid w:val="00912C08"/>
    <w:rsid w:val="009223CA"/>
    <w:rsid w:val="00940F93"/>
    <w:rsid w:val="0095347F"/>
    <w:rsid w:val="009760F3"/>
    <w:rsid w:val="0097647A"/>
    <w:rsid w:val="009909F5"/>
    <w:rsid w:val="009A0E8D"/>
    <w:rsid w:val="009B26E7"/>
    <w:rsid w:val="009C2D1D"/>
    <w:rsid w:val="009E2F52"/>
    <w:rsid w:val="009E71E7"/>
    <w:rsid w:val="009F3B9C"/>
    <w:rsid w:val="009F589D"/>
    <w:rsid w:val="00A00A3F"/>
    <w:rsid w:val="00A01489"/>
    <w:rsid w:val="00A263A8"/>
    <w:rsid w:val="00A338F1"/>
    <w:rsid w:val="00A44615"/>
    <w:rsid w:val="00A72F22"/>
    <w:rsid w:val="00A7360F"/>
    <w:rsid w:val="00A748A6"/>
    <w:rsid w:val="00A769F4"/>
    <w:rsid w:val="00A776B4"/>
    <w:rsid w:val="00A94361"/>
    <w:rsid w:val="00AA293C"/>
    <w:rsid w:val="00B115A1"/>
    <w:rsid w:val="00B13E9B"/>
    <w:rsid w:val="00B2127E"/>
    <w:rsid w:val="00B23C31"/>
    <w:rsid w:val="00B30179"/>
    <w:rsid w:val="00B339A7"/>
    <w:rsid w:val="00B343BB"/>
    <w:rsid w:val="00B56E4A"/>
    <w:rsid w:val="00B56E9C"/>
    <w:rsid w:val="00B64B1F"/>
    <w:rsid w:val="00B6553F"/>
    <w:rsid w:val="00B66E5E"/>
    <w:rsid w:val="00B77D05"/>
    <w:rsid w:val="00B81206"/>
    <w:rsid w:val="00B81E12"/>
    <w:rsid w:val="00B9067B"/>
    <w:rsid w:val="00BC2C23"/>
    <w:rsid w:val="00BC74E9"/>
    <w:rsid w:val="00BF68A8"/>
    <w:rsid w:val="00C11A03"/>
    <w:rsid w:val="00C34CE6"/>
    <w:rsid w:val="00C463DD"/>
    <w:rsid w:val="00C4724C"/>
    <w:rsid w:val="00C629A0"/>
    <w:rsid w:val="00C745C3"/>
    <w:rsid w:val="00CE4A8F"/>
    <w:rsid w:val="00D041C0"/>
    <w:rsid w:val="00D2031B"/>
    <w:rsid w:val="00D25FE2"/>
    <w:rsid w:val="00D43252"/>
    <w:rsid w:val="00D47EEA"/>
    <w:rsid w:val="00D807A3"/>
    <w:rsid w:val="00D95303"/>
    <w:rsid w:val="00D978C6"/>
    <w:rsid w:val="00DA3111"/>
    <w:rsid w:val="00DA3C1C"/>
    <w:rsid w:val="00DB0C79"/>
    <w:rsid w:val="00DB3B97"/>
    <w:rsid w:val="00DC046E"/>
    <w:rsid w:val="00DC4D08"/>
    <w:rsid w:val="00DD373D"/>
    <w:rsid w:val="00DD5B12"/>
    <w:rsid w:val="00DF2E4F"/>
    <w:rsid w:val="00E04C4D"/>
    <w:rsid w:val="00E2198C"/>
    <w:rsid w:val="00E27346"/>
    <w:rsid w:val="00E71BC8"/>
    <w:rsid w:val="00E7260F"/>
    <w:rsid w:val="00E779FC"/>
    <w:rsid w:val="00E96630"/>
    <w:rsid w:val="00EB2581"/>
    <w:rsid w:val="00ED7A2A"/>
    <w:rsid w:val="00EF1D7F"/>
    <w:rsid w:val="00F14764"/>
    <w:rsid w:val="00F20C3D"/>
    <w:rsid w:val="00F26111"/>
    <w:rsid w:val="00F43E9E"/>
    <w:rsid w:val="00F837D9"/>
    <w:rsid w:val="00F9057C"/>
    <w:rsid w:val="00F906D7"/>
    <w:rsid w:val="00F93781"/>
    <w:rsid w:val="00FB613B"/>
    <w:rsid w:val="00FC33EC"/>
    <w:rsid w:val="00FC68B7"/>
    <w:rsid w:val="00FE106A"/>
    <w:rsid w:val="00FF0BE5"/>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3FA6"/>
  <w15:docId w15:val="{EDB3695B-2AC1-4A84-957E-8C2C32DF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EC"/>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semiHidden/>
    <w:qFormat/>
    <w:rsid w:val="000272B3"/>
    <w:pPr>
      <w:spacing w:line="240" w:lineRule="auto"/>
      <w:outlineLvl w:val="1"/>
    </w:pPr>
  </w:style>
  <w:style w:type="paragraph" w:styleId="Heading3">
    <w:name w:val="heading 3"/>
    <w:basedOn w:val="Normal"/>
    <w:next w:val="Normal"/>
    <w:semiHidden/>
    <w:qFormat/>
    <w:rsid w:val="000272B3"/>
    <w:pPr>
      <w:spacing w:line="240" w:lineRule="auto"/>
      <w:outlineLvl w:val="2"/>
    </w:pPr>
  </w:style>
  <w:style w:type="paragraph" w:styleId="Heading4">
    <w:name w:val="heading 4"/>
    <w:basedOn w:val="Normal"/>
    <w:next w:val="Normal"/>
    <w:semiHidden/>
    <w:qFormat/>
    <w:rsid w:val="000272B3"/>
    <w:pPr>
      <w:spacing w:line="240" w:lineRule="auto"/>
      <w:outlineLvl w:val="3"/>
    </w:pPr>
  </w:style>
  <w:style w:type="paragraph" w:styleId="Heading5">
    <w:name w:val="heading 5"/>
    <w:basedOn w:val="Normal"/>
    <w:next w:val="Normal"/>
    <w:semiHidden/>
    <w:qFormat/>
    <w:rsid w:val="000272B3"/>
    <w:pPr>
      <w:spacing w:line="240" w:lineRule="auto"/>
      <w:outlineLvl w:val="4"/>
    </w:pPr>
  </w:style>
  <w:style w:type="paragraph" w:styleId="Heading6">
    <w:name w:val="heading 6"/>
    <w:basedOn w:val="Normal"/>
    <w:next w:val="Normal"/>
    <w:semiHidden/>
    <w:qFormat/>
    <w:rsid w:val="000272B3"/>
    <w:pPr>
      <w:spacing w:line="240" w:lineRule="auto"/>
      <w:outlineLvl w:val="5"/>
    </w:pPr>
  </w:style>
  <w:style w:type="paragraph" w:styleId="Heading7">
    <w:name w:val="heading 7"/>
    <w:basedOn w:val="Normal"/>
    <w:next w:val="Normal"/>
    <w:semiHidden/>
    <w:qFormat/>
    <w:rsid w:val="000272B3"/>
    <w:pPr>
      <w:spacing w:line="240" w:lineRule="auto"/>
      <w:outlineLvl w:val="6"/>
    </w:pPr>
  </w:style>
  <w:style w:type="paragraph" w:styleId="Heading8">
    <w:name w:val="heading 8"/>
    <w:basedOn w:val="Normal"/>
    <w:next w:val="Normal"/>
    <w:semiHidden/>
    <w:qFormat/>
    <w:rsid w:val="000272B3"/>
    <w:pPr>
      <w:spacing w:line="240" w:lineRule="auto"/>
      <w:outlineLvl w:val="7"/>
    </w:pPr>
  </w:style>
  <w:style w:type="paragraph" w:styleId="Heading9">
    <w:name w:val="heading 9"/>
    <w:basedOn w:val="Normal"/>
    <w:next w:val="Normal"/>
    <w:semiHidden/>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qFormat/>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0272B3"/>
    <w:rPr>
      <w:color w:val="auto"/>
      <w:u w:val="none"/>
    </w:rPr>
  </w:style>
  <w:style w:type="character" w:styleId="FollowedHyperlink">
    <w:name w:val="FollowedHyperlink"/>
    <w:basedOn w:val="DefaultParagraphFont"/>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272B3"/>
    <w:rPr>
      <w:rFonts w:ascii="Times New Roman" w:hAnsi="Times New Roman"/>
      <w:sz w:val="18"/>
      <w:vertAlign w:val="superscript"/>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Ref,Footnote Refernece,callou"/>
    <w:basedOn w:val="DefaultParagraphFont"/>
    <w:link w:val="Appelnotedebasde"/>
    <w:qFormat/>
    <w:rsid w:val="000272B3"/>
    <w:rPr>
      <w:rFonts w:ascii="Times New Roman" w:hAnsi="Times New Roman"/>
      <w:sz w:val="18"/>
      <w:vertAlign w:val="superscript"/>
    </w:rPr>
  </w:style>
  <w:style w:type="character" w:styleId="PageNumber">
    <w:name w:val="page number"/>
    <w:aliases w:val="7_G"/>
    <w:basedOn w:val="DefaultParagraphFont"/>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Footer">
    <w:name w:val="footer"/>
    <w:aliases w:val="3_G"/>
    <w:basedOn w:val="Normal"/>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FC3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link w:val="FootnoteText"/>
    <w:rsid w:val="002473AB"/>
    <w:rPr>
      <w:sz w:val="18"/>
      <w:lang w:val="en-GB" w:eastAsia="en-US"/>
    </w:rPr>
  </w:style>
  <w:style w:type="table" w:customStyle="1" w:styleId="TableGrid1">
    <w:name w:val="Table Grid1"/>
    <w:basedOn w:val="TableNormal"/>
    <w:next w:val="TableGrid"/>
    <w:rsid w:val="002473AB"/>
    <w:pPr>
      <w:suppressAutoHyphens/>
      <w:spacing w:line="240" w:lineRule="atLeast"/>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locked/>
    <w:rsid w:val="002473AB"/>
    <w:rPr>
      <w:lang w:val="en-GB" w:eastAsia="en-US"/>
    </w:rPr>
  </w:style>
  <w:style w:type="paragraph" w:styleId="ListParagraph">
    <w:name w:val="List Paragraph"/>
    <w:basedOn w:val="Normal"/>
    <w:uiPriority w:val="34"/>
    <w:qFormat/>
    <w:rsid w:val="002473AB"/>
    <w:pPr>
      <w:ind w:left="720"/>
      <w:contextualSpacing/>
    </w:pPr>
    <w:rPr>
      <w:rFonts w:eastAsia="MS Mincho"/>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rsid w:val="002473AB"/>
    <w:pPr>
      <w:suppressAutoHyphens w:val="0"/>
      <w:spacing w:before="120" w:after="120" w:line="240" w:lineRule="auto"/>
    </w:pPr>
    <w:rPr>
      <w:sz w:val="18"/>
      <w:vertAlign w:val="superscript"/>
      <w:lang w:val="fr-FR" w:eastAsia="fr-FR"/>
    </w:rPr>
  </w:style>
  <w:style w:type="character" w:styleId="CommentReference">
    <w:name w:val="annotation reference"/>
    <w:basedOn w:val="DefaultParagraphFont"/>
    <w:semiHidden/>
    <w:unhideWhenUsed/>
    <w:rsid w:val="00DD5B12"/>
    <w:rPr>
      <w:sz w:val="16"/>
      <w:szCs w:val="16"/>
    </w:rPr>
  </w:style>
  <w:style w:type="paragraph" w:styleId="CommentText">
    <w:name w:val="annotation text"/>
    <w:basedOn w:val="Normal"/>
    <w:link w:val="CommentTextChar"/>
    <w:semiHidden/>
    <w:unhideWhenUsed/>
    <w:rsid w:val="00DD5B12"/>
    <w:pPr>
      <w:spacing w:line="240" w:lineRule="auto"/>
    </w:pPr>
  </w:style>
  <w:style w:type="character" w:customStyle="1" w:styleId="CommentTextChar">
    <w:name w:val="Comment Text Char"/>
    <w:basedOn w:val="DefaultParagraphFont"/>
    <w:link w:val="CommentText"/>
    <w:semiHidden/>
    <w:rsid w:val="00DD5B12"/>
    <w:rPr>
      <w:lang w:val="en-GB" w:eastAsia="en-US"/>
    </w:rPr>
  </w:style>
  <w:style w:type="paragraph" w:styleId="CommentSubject">
    <w:name w:val="annotation subject"/>
    <w:basedOn w:val="CommentText"/>
    <w:next w:val="CommentText"/>
    <w:link w:val="CommentSubjectChar"/>
    <w:semiHidden/>
    <w:unhideWhenUsed/>
    <w:rsid w:val="00DD5B12"/>
    <w:rPr>
      <w:b/>
      <w:bCs/>
    </w:rPr>
  </w:style>
  <w:style w:type="character" w:customStyle="1" w:styleId="CommentSubjectChar">
    <w:name w:val="Comment Subject Char"/>
    <w:basedOn w:val="CommentTextChar"/>
    <w:link w:val="CommentSubject"/>
    <w:semiHidden/>
    <w:rsid w:val="00DD5B1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CPR\CCPR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13DE9-6A46-463C-9CA3-77D5DCEA97AE}">
  <ds:schemaRefs>
    <ds:schemaRef ds:uri="http://schemas.microsoft.com/sharepoint/v3/contenttype/forms"/>
  </ds:schemaRefs>
</ds:datastoreItem>
</file>

<file path=customXml/itemProps2.xml><?xml version="1.0" encoding="utf-8"?>
<ds:datastoreItem xmlns:ds="http://schemas.openxmlformats.org/officeDocument/2006/customXml" ds:itemID="{3495827F-EF1F-449F-89B9-1ADBBB1E6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A741B0-274A-4EE0-A1AA-DDDB2276A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C:\UN-Docs2017\Templates\CCPR\CCPR_E.dotm</Template>
  <TotalTime>0</TotalTime>
  <Pages>7</Pages>
  <Words>3298</Words>
  <Characters>18799</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CCPR/C/129/DR/2503/2014</vt:lpstr>
      <vt:lpstr>United Nations</vt:lpstr>
    </vt:vector>
  </TitlesOfParts>
  <Company>CSD</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CCPR/C/129/DR/2503/2014</dc:title>
  <dc:subject>2008457</dc:subject>
  <dc:creator>ABDELAZIM Mohamed</dc:creator>
  <cp:keywords/>
  <dc:description/>
  <cp:lastModifiedBy>Daniella Ferreira</cp:lastModifiedBy>
  <cp:revision>2</cp:revision>
  <cp:lastPrinted>2020-04-23T11:17:00Z</cp:lastPrinted>
  <dcterms:created xsi:type="dcterms:W3CDTF">2021-02-26T12:18:00Z</dcterms:created>
  <dcterms:modified xsi:type="dcterms:W3CDTF">2021-02-26T12:18:00Z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