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415BA0" w14:paraId="6CE1B708" w14:textId="77777777" w:rsidTr="00B6553F">
        <w:trPr>
          <w:cantSplit/>
          <w:trHeight w:hRule="exact" w:val="851"/>
        </w:trPr>
        <w:tc>
          <w:tcPr>
            <w:tcW w:w="1276" w:type="dxa"/>
            <w:tcBorders>
              <w:bottom w:val="single" w:sz="4" w:space="0" w:color="auto"/>
            </w:tcBorders>
            <w:vAlign w:val="bottom"/>
          </w:tcPr>
          <w:p w14:paraId="33C73ABA" w14:textId="77777777" w:rsidR="000128E3" w:rsidRPr="000B4A49" w:rsidRDefault="000128E3" w:rsidP="00B6553F">
            <w:pPr>
              <w:spacing w:after="80"/>
            </w:pPr>
          </w:p>
        </w:tc>
        <w:tc>
          <w:tcPr>
            <w:tcW w:w="2268" w:type="dxa"/>
            <w:tcBorders>
              <w:bottom w:val="single" w:sz="4" w:space="0" w:color="auto"/>
            </w:tcBorders>
            <w:vAlign w:val="bottom"/>
          </w:tcPr>
          <w:p w14:paraId="7D24C8DC" w14:textId="77777777" w:rsidR="000128E3" w:rsidRPr="00415BA0" w:rsidRDefault="000128E3" w:rsidP="00B6553F">
            <w:pPr>
              <w:spacing w:after="80" w:line="300" w:lineRule="exact"/>
              <w:rPr>
                <w:b/>
              </w:rPr>
            </w:pPr>
            <w:r w:rsidRPr="00415BA0">
              <w:rPr>
                <w:sz w:val="28"/>
                <w:szCs w:val="28"/>
              </w:rPr>
              <w:t>United Nations</w:t>
            </w:r>
          </w:p>
        </w:tc>
        <w:tc>
          <w:tcPr>
            <w:tcW w:w="6095" w:type="dxa"/>
            <w:gridSpan w:val="2"/>
            <w:tcBorders>
              <w:bottom w:val="single" w:sz="4" w:space="0" w:color="auto"/>
            </w:tcBorders>
            <w:vAlign w:val="bottom"/>
          </w:tcPr>
          <w:p w14:paraId="073A9138" w14:textId="77279C9B" w:rsidR="000128E3" w:rsidRPr="00415BA0" w:rsidRDefault="000128E3" w:rsidP="00EC5EA9">
            <w:pPr>
              <w:jc w:val="right"/>
            </w:pPr>
            <w:r w:rsidRPr="00415BA0">
              <w:rPr>
                <w:sz w:val="40"/>
              </w:rPr>
              <w:t>CCPR</w:t>
            </w:r>
            <w:r w:rsidR="00431FE1" w:rsidRPr="00415BA0">
              <w:t>/</w:t>
            </w:r>
            <w:r w:rsidR="00431FE1" w:rsidRPr="00763BE8">
              <w:rPr>
                <w:sz w:val="20"/>
              </w:rPr>
              <w:t>C</w:t>
            </w:r>
            <w:r w:rsidR="00BD49BA" w:rsidRPr="00763BE8">
              <w:rPr>
                <w:sz w:val="20"/>
              </w:rPr>
              <w:t>/</w:t>
            </w:r>
            <w:r w:rsidR="00431FE1" w:rsidRPr="00763BE8">
              <w:rPr>
                <w:sz w:val="20"/>
              </w:rPr>
              <w:t>1</w:t>
            </w:r>
            <w:r w:rsidR="001E3A36" w:rsidRPr="00763BE8">
              <w:rPr>
                <w:sz w:val="20"/>
              </w:rPr>
              <w:t>2</w:t>
            </w:r>
            <w:r w:rsidR="00F142FF" w:rsidRPr="00763BE8">
              <w:rPr>
                <w:sz w:val="20"/>
              </w:rPr>
              <w:t>9</w:t>
            </w:r>
            <w:r w:rsidRPr="00763BE8">
              <w:rPr>
                <w:sz w:val="20"/>
              </w:rPr>
              <w:t>/D</w:t>
            </w:r>
            <w:r w:rsidR="009C7EFD" w:rsidRPr="00763BE8">
              <w:rPr>
                <w:sz w:val="20"/>
              </w:rPr>
              <w:t>/2</w:t>
            </w:r>
            <w:r w:rsidR="00F142FF" w:rsidRPr="00763BE8">
              <w:rPr>
                <w:sz w:val="20"/>
              </w:rPr>
              <w:t>404</w:t>
            </w:r>
            <w:r w:rsidRPr="00763BE8">
              <w:rPr>
                <w:sz w:val="20"/>
              </w:rPr>
              <w:t>/201</w:t>
            </w:r>
            <w:r w:rsidR="00F142FF" w:rsidRPr="00763BE8">
              <w:rPr>
                <w:sz w:val="20"/>
              </w:rPr>
              <w:t>4</w:t>
            </w:r>
          </w:p>
        </w:tc>
      </w:tr>
      <w:tr w:rsidR="000128E3" w:rsidRPr="00415BA0" w14:paraId="09E84155" w14:textId="77777777" w:rsidTr="00B6553F">
        <w:trPr>
          <w:cantSplit/>
          <w:trHeight w:hRule="exact" w:val="2835"/>
        </w:trPr>
        <w:tc>
          <w:tcPr>
            <w:tcW w:w="1276" w:type="dxa"/>
            <w:tcBorders>
              <w:top w:val="single" w:sz="4" w:space="0" w:color="auto"/>
              <w:bottom w:val="single" w:sz="12" w:space="0" w:color="auto"/>
            </w:tcBorders>
          </w:tcPr>
          <w:p w14:paraId="2A3795C2" w14:textId="77777777" w:rsidR="000128E3" w:rsidRPr="00415BA0" w:rsidRDefault="00F145AF" w:rsidP="00B6553F">
            <w:pPr>
              <w:spacing w:before="120"/>
            </w:pPr>
            <w:r w:rsidRPr="00415BA0">
              <w:rPr>
                <w:noProof/>
                <w:lang w:val="en-GB" w:eastAsia="en-GB" w:bidi="ar-SA"/>
              </w:rPr>
              <w:drawing>
                <wp:inline distT="0" distB="0" distL="0" distR="0" wp14:anchorId="4B8543F2" wp14:editId="528C8589">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45E16C" w14:textId="77777777" w:rsidR="00C7385F" w:rsidRDefault="000128E3" w:rsidP="00267F5F">
            <w:pPr>
              <w:spacing w:before="120" w:line="380" w:lineRule="exact"/>
              <w:rPr>
                <w:b/>
                <w:sz w:val="34"/>
                <w:szCs w:val="40"/>
              </w:rPr>
            </w:pPr>
            <w:r w:rsidRPr="00415BA0">
              <w:rPr>
                <w:b/>
                <w:sz w:val="34"/>
                <w:szCs w:val="40"/>
              </w:rPr>
              <w:t>International Covenant on</w:t>
            </w:r>
            <w:r w:rsidRPr="00415BA0">
              <w:rPr>
                <w:b/>
                <w:sz w:val="34"/>
                <w:szCs w:val="40"/>
              </w:rPr>
              <w:br/>
              <w:t>Civil and Political Rights</w:t>
            </w:r>
          </w:p>
          <w:p w14:paraId="538D9155" w14:textId="77777777" w:rsidR="0019163A" w:rsidRDefault="0019163A" w:rsidP="00267F5F">
            <w:pPr>
              <w:spacing w:before="120" w:line="380" w:lineRule="exact"/>
              <w:rPr>
                <w:b/>
                <w:sz w:val="34"/>
                <w:szCs w:val="40"/>
              </w:rPr>
            </w:pPr>
          </w:p>
          <w:p w14:paraId="790D42AA" w14:textId="77777777" w:rsidR="0019163A" w:rsidRDefault="0019163A" w:rsidP="0019163A">
            <w:pPr>
              <w:spacing w:before="120" w:line="380" w:lineRule="exact"/>
              <w:rPr>
                <w:b/>
                <w:sz w:val="34"/>
                <w:szCs w:val="34"/>
              </w:rPr>
            </w:pPr>
            <w:r w:rsidRPr="000921E9">
              <w:rPr>
                <w:sz w:val="34"/>
                <w:szCs w:val="40"/>
              </w:rPr>
              <w:t>Advance unedited version</w:t>
            </w:r>
          </w:p>
          <w:p w14:paraId="31790407" w14:textId="5DE5CA45" w:rsidR="0019163A" w:rsidRPr="00415BA0" w:rsidRDefault="0019163A" w:rsidP="00267F5F">
            <w:pPr>
              <w:spacing w:before="120" w:line="380" w:lineRule="exact"/>
              <w:rPr>
                <w:b/>
                <w:sz w:val="34"/>
                <w:szCs w:val="40"/>
              </w:rPr>
            </w:pPr>
          </w:p>
        </w:tc>
        <w:tc>
          <w:tcPr>
            <w:tcW w:w="2835" w:type="dxa"/>
            <w:tcBorders>
              <w:top w:val="single" w:sz="4" w:space="0" w:color="auto"/>
              <w:bottom w:val="single" w:sz="12" w:space="0" w:color="auto"/>
            </w:tcBorders>
          </w:tcPr>
          <w:p w14:paraId="0A9C3E23" w14:textId="6775E711" w:rsidR="00FC70CA" w:rsidRPr="001D4FC3" w:rsidRDefault="00FC70CA" w:rsidP="00E112FA">
            <w:pPr>
              <w:spacing w:before="240" w:line="240" w:lineRule="exact"/>
              <w:rPr>
                <w:sz w:val="20"/>
                <w:szCs w:val="20"/>
                <w:lang w:eastAsia="en-GB"/>
              </w:rPr>
            </w:pPr>
            <w:r w:rsidRPr="001D4FC3">
              <w:rPr>
                <w:sz w:val="20"/>
                <w:szCs w:val="20"/>
              </w:rPr>
              <w:t xml:space="preserve">Distr.: </w:t>
            </w:r>
            <w:r w:rsidR="00EC5EA9">
              <w:rPr>
                <w:sz w:val="20"/>
                <w:szCs w:val="20"/>
              </w:rPr>
              <w:t>General</w:t>
            </w:r>
          </w:p>
          <w:p w14:paraId="27088408" w14:textId="4290AA65" w:rsidR="00FC70CA" w:rsidRPr="001D4FC3" w:rsidRDefault="0019163A" w:rsidP="001D4FC3">
            <w:pPr>
              <w:spacing w:line="240" w:lineRule="exact"/>
              <w:rPr>
                <w:sz w:val="20"/>
                <w:szCs w:val="20"/>
              </w:rPr>
            </w:pPr>
            <w:r>
              <w:rPr>
                <w:sz w:val="20"/>
                <w:szCs w:val="20"/>
              </w:rPr>
              <w:t>14</w:t>
            </w:r>
            <w:r w:rsidR="00EC5EA9">
              <w:rPr>
                <w:sz w:val="20"/>
                <w:szCs w:val="20"/>
              </w:rPr>
              <w:t xml:space="preserve"> December</w:t>
            </w:r>
            <w:r w:rsidR="001D4FC3" w:rsidRPr="001D4FC3">
              <w:rPr>
                <w:sz w:val="20"/>
                <w:szCs w:val="20"/>
              </w:rPr>
              <w:t xml:space="preserve"> </w:t>
            </w:r>
            <w:r w:rsidR="00FC70CA" w:rsidRPr="001D4FC3">
              <w:rPr>
                <w:sz w:val="20"/>
                <w:szCs w:val="20"/>
              </w:rPr>
              <w:t>20</w:t>
            </w:r>
            <w:r w:rsidR="000203CD" w:rsidRPr="001D4FC3">
              <w:rPr>
                <w:sz w:val="20"/>
                <w:szCs w:val="20"/>
              </w:rPr>
              <w:t>20</w:t>
            </w:r>
          </w:p>
          <w:p w14:paraId="0CBDED0B" w14:textId="77777777" w:rsidR="00FC70CA" w:rsidRPr="001D4FC3" w:rsidRDefault="00FC70CA" w:rsidP="00FC70CA">
            <w:pPr>
              <w:spacing w:line="240" w:lineRule="exact"/>
              <w:rPr>
                <w:sz w:val="20"/>
                <w:szCs w:val="20"/>
              </w:rPr>
            </w:pPr>
          </w:p>
          <w:p w14:paraId="6D3B7312" w14:textId="77777777" w:rsidR="00FC70CA" w:rsidRPr="001D4FC3" w:rsidRDefault="00FC70CA" w:rsidP="00FC70CA">
            <w:pPr>
              <w:spacing w:line="240" w:lineRule="exact"/>
              <w:rPr>
                <w:sz w:val="20"/>
                <w:szCs w:val="20"/>
              </w:rPr>
            </w:pPr>
            <w:r w:rsidRPr="001D4FC3">
              <w:rPr>
                <w:sz w:val="20"/>
                <w:szCs w:val="20"/>
              </w:rPr>
              <w:t>Original: English</w:t>
            </w:r>
          </w:p>
          <w:p w14:paraId="347F1227" w14:textId="77777777" w:rsidR="000128E3" w:rsidRPr="00415BA0" w:rsidRDefault="000128E3" w:rsidP="00E112FA">
            <w:pPr>
              <w:spacing w:line="240" w:lineRule="exact"/>
            </w:pPr>
          </w:p>
        </w:tc>
      </w:tr>
    </w:tbl>
    <w:p w14:paraId="2E1F0138" w14:textId="77777777" w:rsidR="008C017D" w:rsidRPr="00415BA0" w:rsidRDefault="008C017D" w:rsidP="008C017D">
      <w:pPr>
        <w:spacing w:line="20" w:lineRule="exact"/>
        <w:rPr>
          <w:b/>
          <w:sz w:val="2"/>
        </w:rPr>
      </w:pPr>
    </w:p>
    <w:p w14:paraId="232CBD7E" w14:textId="77777777" w:rsidR="001D4FC3" w:rsidRPr="00C94AC7" w:rsidRDefault="001D4FC3" w:rsidP="001D4FC3">
      <w:pPr>
        <w:spacing w:before="120"/>
        <w:rPr>
          <w:b/>
        </w:rPr>
      </w:pPr>
      <w:r w:rsidRPr="00C94AC7">
        <w:rPr>
          <w:b/>
        </w:rPr>
        <w:t>Human Rights Committee</w:t>
      </w:r>
    </w:p>
    <w:p w14:paraId="6A6D675A" w14:textId="3CFF0D8A" w:rsidR="008A5196" w:rsidRPr="0019163A" w:rsidRDefault="00FC70CA" w:rsidP="0019163A">
      <w:pPr>
        <w:pStyle w:val="HChG"/>
      </w:pPr>
      <w:r w:rsidRPr="00415BA0">
        <w:tab/>
      </w:r>
      <w:r w:rsidRPr="00415BA0">
        <w:tab/>
      </w:r>
      <w:r w:rsidR="00EC5EA9" w:rsidRPr="0019163A">
        <w:t>Views adopted by the Committee under article 5 (4) of the Optional Protocol, concerning c</w:t>
      </w:r>
      <w:r w:rsidR="008A5196" w:rsidRPr="0019163A">
        <w:t xml:space="preserve">ommunication No. </w:t>
      </w:r>
      <w:r w:rsidR="008428C9" w:rsidRPr="0019163A">
        <w:t>2</w:t>
      </w:r>
      <w:r w:rsidR="00F142FF" w:rsidRPr="0019163A">
        <w:t>404</w:t>
      </w:r>
      <w:r w:rsidR="00CB6C91" w:rsidRPr="0019163A">
        <w:t>/201</w:t>
      </w:r>
      <w:r w:rsidR="00F142FF" w:rsidRPr="0019163A">
        <w:t>4</w:t>
      </w:r>
      <w:r w:rsidR="00EC5EA9" w:rsidRPr="0019163A">
        <w:rPr>
          <w:rStyle w:val="FootnoteReference"/>
          <w:sz w:val="28"/>
          <w:vertAlign w:val="baseline"/>
        </w:rPr>
        <w:footnoteReference w:customMarkFollows="1" w:id="2"/>
        <w:t>*</w:t>
      </w:r>
      <w:r w:rsidR="00EC5EA9" w:rsidRPr="0019163A">
        <w:t>,</w:t>
      </w:r>
      <w:r w:rsidR="00EC5EA9" w:rsidRPr="0019163A">
        <w:rPr>
          <w:rStyle w:val="FootnoteReference"/>
          <w:sz w:val="28"/>
          <w:vertAlign w:val="baseline"/>
        </w:rPr>
        <w:footnoteReference w:customMarkFollows="1" w:id="3"/>
        <w:t>**</w:t>
      </w:r>
    </w:p>
    <w:p w14:paraId="0222D4A5" w14:textId="4C9743F3" w:rsidR="000128E3" w:rsidRPr="00415BA0" w:rsidRDefault="008A5196">
      <w:pPr>
        <w:pStyle w:val="H1G"/>
      </w:pPr>
      <w:r w:rsidRPr="00415BA0">
        <w:rPr>
          <w:rFonts w:eastAsia="MS Mincho"/>
        </w:rPr>
        <w:tab/>
      </w:r>
      <w:r w:rsidRPr="00415BA0">
        <w:rPr>
          <w:rFonts w:eastAsia="MS Mincho"/>
        </w:rPr>
        <w:tab/>
      </w:r>
    </w:p>
    <w:p w14:paraId="0D447577" w14:textId="1CBD9F66" w:rsidR="000128E3" w:rsidRPr="00415BA0" w:rsidRDefault="00683EF7" w:rsidP="00985865">
      <w:pPr>
        <w:pStyle w:val="SingleTxtG"/>
        <w:ind w:left="4536" w:hanging="3402"/>
        <w:jc w:val="left"/>
      </w:pPr>
      <w:r w:rsidRPr="00415BA0">
        <w:rPr>
          <w:i/>
        </w:rPr>
        <w:t>Communication s</w:t>
      </w:r>
      <w:r w:rsidR="000128E3" w:rsidRPr="00415BA0">
        <w:rPr>
          <w:i/>
        </w:rPr>
        <w:t>ubmitted by:</w:t>
      </w:r>
      <w:r w:rsidR="000128E3" w:rsidRPr="00415BA0">
        <w:tab/>
      </w:r>
      <w:r w:rsidR="00F142FF">
        <w:t>Vladimir</w:t>
      </w:r>
      <w:r w:rsidR="000203CD">
        <w:t xml:space="preserve"> </w:t>
      </w:r>
      <w:proofErr w:type="spellStart"/>
      <w:r w:rsidR="000203CD">
        <w:t>Ma</w:t>
      </w:r>
      <w:r w:rsidR="00F142FF">
        <w:t>lei</w:t>
      </w:r>
      <w:proofErr w:type="spellEnd"/>
      <w:r w:rsidR="000F2B93">
        <w:rPr>
          <w:lang w:val="en-US"/>
        </w:rPr>
        <w:t xml:space="preserve"> </w:t>
      </w:r>
      <w:r w:rsidR="009A1452" w:rsidRPr="00415BA0">
        <w:t>(</w:t>
      </w:r>
      <w:r w:rsidR="00D012D4">
        <w:t xml:space="preserve">not </w:t>
      </w:r>
      <w:r w:rsidR="005E2E34">
        <w:t xml:space="preserve">represented by </w:t>
      </w:r>
      <w:r w:rsidR="00D012D4">
        <w:t>counsel</w:t>
      </w:r>
      <w:r w:rsidR="000128E3" w:rsidRPr="00415BA0">
        <w:t>)</w:t>
      </w:r>
    </w:p>
    <w:p w14:paraId="165B2091" w14:textId="2BFE69B9" w:rsidR="000128E3" w:rsidRPr="00415BA0" w:rsidRDefault="000128E3" w:rsidP="007113A4">
      <w:pPr>
        <w:pStyle w:val="SingleTxtG"/>
        <w:ind w:left="4536" w:hanging="3402"/>
        <w:jc w:val="left"/>
      </w:pPr>
      <w:r w:rsidRPr="00415BA0">
        <w:rPr>
          <w:i/>
        </w:rPr>
        <w:t>Alleged victim:</w:t>
      </w:r>
      <w:r w:rsidRPr="00415BA0">
        <w:tab/>
      </w:r>
      <w:r w:rsidR="00D7781D">
        <w:t>T</w:t>
      </w:r>
      <w:r w:rsidR="00DD26A8" w:rsidRPr="00415BA0">
        <w:t>he author</w:t>
      </w:r>
    </w:p>
    <w:p w14:paraId="40FD05FA" w14:textId="77777777" w:rsidR="000128E3" w:rsidRPr="00415BA0" w:rsidRDefault="000128E3" w:rsidP="007113A4">
      <w:pPr>
        <w:pStyle w:val="SingleTxtG"/>
        <w:ind w:left="4536" w:hanging="3402"/>
        <w:jc w:val="left"/>
      </w:pPr>
      <w:r w:rsidRPr="00415BA0">
        <w:rPr>
          <w:i/>
        </w:rPr>
        <w:t>State party:</w:t>
      </w:r>
      <w:r w:rsidRPr="00415BA0">
        <w:tab/>
      </w:r>
      <w:r w:rsidR="00B22683" w:rsidRPr="008216A5">
        <w:t>Belarus</w:t>
      </w:r>
    </w:p>
    <w:p w14:paraId="45DB11F6" w14:textId="73446085" w:rsidR="000128E3" w:rsidRPr="00415BA0" w:rsidRDefault="000128E3" w:rsidP="007113A4">
      <w:pPr>
        <w:pStyle w:val="SingleTxtG"/>
        <w:ind w:left="4536" w:hanging="3402"/>
        <w:jc w:val="left"/>
      </w:pPr>
      <w:r w:rsidRPr="00415BA0">
        <w:rPr>
          <w:i/>
        </w:rPr>
        <w:t>Date of communication:</w:t>
      </w:r>
      <w:r w:rsidRPr="00415BA0">
        <w:tab/>
      </w:r>
      <w:r w:rsidR="00F142FF">
        <w:t>23 December</w:t>
      </w:r>
      <w:r w:rsidR="000203CD">
        <w:t xml:space="preserve"> 201</w:t>
      </w:r>
      <w:r w:rsidR="00F142FF">
        <w:t>2</w:t>
      </w:r>
      <w:r w:rsidRPr="00415BA0">
        <w:t xml:space="preserve"> (initial submission)</w:t>
      </w:r>
    </w:p>
    <w:p w14:paraId="004CED20" w14:textId="67300F0A" w:rsidR="000128E3" w:rsidRPr="00415BA0" w:rsidRDefault="000128E3" w:rsidP="005B2DFC">
      <w:pPr>
        <w:pStyle w:val="SingleTxtG"/>
        <w:ind w:left="4536" w:hanging="3402"/>
        <w:jc w:val="left"/>
      </w:pPr>
      <w:r w:rsidRPr="00415BA0">
        <w:rPr>
          <w:i/>
        </w:rPr>
        <w:t>Document references:</w:t>
      </w:r>
      <w:r w:rsidRPr="00415BA0">
        <w:tab/>
      </w:r>
      <w:r w:rsidRPr="0034792E">
        <w:t>Special Rapporteur’s rule 9</w:t>
      </w:r>
      <w:r w:rsidR="005B2DFC">
        <w:t>2</w:t>
      </w:r>
      <w:r w:rsidRPr="0034792E">
        <w:t xml:space="preserve"> decision, transmitted to the State party on </w:t>
      </w:r>
      <w:r w:rsidR="00F142FF">
        <w:t>28 May</w:t>
      </w:r>
      <w:r w:rsidR="008428C9">
        <w:t xml:space="preserve"> </w:t>
      </w:r>
      <w:r w:rsidR="00B22683" w:rsidRPr="0034792E">
        <w:t>201</w:t>
      </w:r>
      <w:r w:rsidR="00F142FF">
        <w:t>4</w:t>
      </w:r>
      <w:r w:rsidR="00841306" w:rsidRPr="0034792E">
        <w:t xml:space="preserve"> </w:t>
      </w:r>
      <w:r w:rsidRPr="0034792E">
        <w:t>(not issued in document form)</w:t>
      </w:r>
    </w:p>
    <w:p w14:paraId="2231A78A" w14:textId="19AE0F89" w:rsidR="000128E3" w:rsidRPr="00415BA0" w:rsidRDefault="000128E3">
      <w:pPr>
        <w:pStyle w:val="SingleTxtG"/>
        <w:ind w:left="4536" w:hanging="3402"/>
        <w:jc w:val="left"/>
        <w:rPr>
          <w:i/>
        </w:rPr>
      </w:pPr>
      <w:r w:rsidRPr="00415BA0">
        <w:rPr>
          <w:i/>
        </w:rPr>
        <w:t>Date of adoption of Views:</w:t>
      </w:r>
      <w:r w:rsidRPr="00415BA0">
        <w:tab/>
      </w:r>
      <w:r w:rsidR="00EC5EA9">
        <w:t xml:space="preserve">23 July </w:t>
      </w:r>
      <w:r w:rsidRPr="00415BA0">
        <w:t>20</w:t>
      </w:r>
      <w:r w:rsidR="000203CD">
        <w:t>20</w:t>
      </w:r>
    </w:p>
    <w:p w14:paraId="65F5147A" w14:textId="4E3D0F44" w:rsidR="000128E3" w:rsidRPr="00415BA0" w:rsidRDefault="000128E3" w:rsidP="007113A4">
      <w:pPr>
        <w:pStyle w:val="SingleTxtG"/>
        <w:ind w:left="4536" w:hanging="3402"/>
        <w:jc w:val="left"/>
      </w:pPr>
      <w:r w:rsidRPr="00415BA0">
        <w:rPr>
          <w:i/>
          <w:iCs/>
        </w:rPr>
        <w:t>Subject matter:</w:t>
      </w:r>
      <w:r w:rsidRPr="00415BA0">
        <w:tab/>
      </w:r>
      <w:r w:rsidR="008428C9">
        <w:t xml:space="preserve">Refusal of authorities to </w:t>
      </w:r>
      <w:r w:rsidR="00303D16">
        <w:t xml:space="preserve">authorise </w:t>
      </w:r>
      <w:r w:rsidR="008428C9">
        <w:t>hold</w:t>
      </w:r>
      <w:r w:rsidR="00303D16">
        <w:t>ing</w:t>
      </w:r>
      <w:r w:rsidR="008428C9">
        <w:t xml:space="preserve"> </w:t>
      </w:r>
      <w:r w:rsidR="00335C4B">
        <w:t>pickets</w:t>
      </w:r>
      <w:r w:rsidR="00636CE7">
        <w:t>;</w:t>
      </w:r>
      <w:r w:rsidR="008428C9">
        <w:t xml:space="preserve"> freedom of expression</w:t>
      </w:r>
      <w:r w:rsidR="00442E22" w:rsidRPr="00415BA0">
        <w:t xml:space="preserve"> </w:t>
      </w:r>
      <w:r w:rsidRPr="00415BA0">
        <w:t xml:space="preserve"> </w:t>
      </w:r>
    </w:p>
    <w:p w14:paraId="061F6F28" w14:textId="2FDCF99F" w:rsidR="000128E3" w:rsidRPr="00F25C4A" w:rsidRDefault="000128E3" w:rsidP="007113A4">
      <w:pPr>
        <w:pStyle w:val="SingleTxtG"/>
        <w:ind w:left="4536" w:hanging="3402"/>
        <w:jc w:val="left"/>
        <w:rPr>
          <w:lang w:val="en-US"/>
        </w:rPr>
      </w:pPr>
      <w:r w:rsidRPr="00415BA0">
        <w:rPr>
          <w:i/>
          <w:iCs/>
        </w:rPr>
        <w:t xml:space="preserve">Procedural issue: </w:t>
      </w:r>
      <w:r w:rsidRPr="00415BA0">
        <w:rPr>
          <w:i/>
          <w:iCs/>
        </w:rPr>
        <w:tab/>
      </w:r>
      <w:r w:rsidR="00EE7275">
        <w:t>Exhaustion of domestic remedies</w:t>
      </w:r>
    </w:p>
    <w:p w14:paraId="7EF7F50B" w14:textId="377DC02E" w:rsidR="000128E3" w:rsidRPr="00415BA0" w:rsidRDefault="000128E3" w:rsidP="007113A4">
      <w:pPr>
        <w:pStyle w:val="SingleTxtG"/>
        <w:ind w:left="4536" w:hanging="3402"/>
        <w:jc w:val="left"/>
      </w:pPr>
      <w:r w:rsidRPr="00415BA0">
        <w:rPr>
          <w:i/>
          <w:iCs/>
        </w:rPr>
        <w:t>Substantive issue</w:t>
      </w:r>
      <w:r w:rsidR="008528FD">
        <w:rPr>
          <w:i/>
          <w:iCs/>
        </w:rPr>
        <w:t>s</w:t>
      </w:r>
      <w:r w:rsidRPr="00415BA0">
        <w:rPr>
          <w:i/>
          <w:iCs/>
        </w:rPr>
        <w:t xml:space="preserve">: </w:t>
      </w:r>
      <w:r w:rsidRPr="00415BA0">
        <w:rPr>
          <w:i/>
          <w:iCs/>
        </w:rPr>
        <w:tab/>
      </w:r>
      <w:r w:rsidR="00636CE7">
        <w:rPr>
          <w:iCs/>
        </w:rPr>
        <w:t>freedom of assembly</w:t>
      </w:r>
      <w:r w:rsidR="00EE7275">
        <w:t xml:space="preserve">; </w:t>
      </w:r>
      <w:r w:rsidR="00636CE7">
        <w:t>freedom of expression</w:t>
      </w:r>
    </w:p>
    <w:p w14:paraId="0980AAF3" w14:textId="79B1A5B0" w:rsidR="00364901" w:rsidRPr="00143694" w:rsidRDefault="000128E3" w:rsidP="003C4DEF">
      <w:pPr>
        <w:pStyle w:val="SingleTxtG"/>
        <w:ind w:left="4536" w:hanging="3402"/>
        <w:jc w:val="left"/>
        <w:rPr>
          <w:lang w:val="en-US"/>
        </w:rPr>
      </w:pPr>
      <w:r w:rsidRPr="00415BA0">
        <w:rPr>
          <w:i/>
          <w:iCs/>
        </w:rPr>
        <w:t>Articles of the Covenant:</w:t>
      </w:r>
      <w:r w:rsidRPr="00415BA0">
        <w:t xml:space="preserve"> </w:t>
      </w:r>
      <w:r w:rsidRPr="00415BA0">
        <w:tab/>
      </w:r>
      <w:r w:rsidR="00636CE7">
        <w:t>19</w:t>
      </w:r>
      <w:r w:rsidR="00891311">
        <w:t xml:space="preserve"> and</w:t>
      </w:r>
      <w:r w:rsidR="00636CE7">
        <w:t xml:space="preserve"> 21</w:t>
      </w:r>
      <w:r w:rsidR="00891311" w:rsidRPr="00891311">
        <w:t xml:space="preserve"> in conjunction with 2 (2) and (3)</w:t>
      </w:r>
    </w:p>
    <w:p w14:paraId="282ADACF" w14:textId="77777777" w:rsidR="003C4DEF" w:rsidRPr="00415BA0" w:rsidRDefault="000128E3" w:rsidP="003C4DEF">
      <w:pPr>
        <w:pStyle w:val="SingleTxtG"/>
        <w:ind w:left="4536" w:hanging="3402"/>
        <w:jc w:val="left"/>
        <w:rPr>
          <w:iCs/>
        </w:rPr>
      </w:pPr>
      <w:r w:rsidRPr="00415BA0">
        <w:rPr>
          <w:i/>
          <w:iCs/>
        </w:rPr>
        <w:t>Articles of the Optional Protocol:</w:t>
      </w:r>
      <w:r w:rsidRPr="00415BA0">
        <w:rPr>
          <w:i/>
          <w:iCs/>
        </w:rPr>
        <w:tab/>
      </w:r>
      <w:r w:rsidR="0029607D" w:rsidRPr="001E0966">
        <w:rPr>
          <w:iCs/>
        </w:rPr>
        <w:t>2 and</w:t>
      </w:r>
      <w:r w:rsidR="005F7079" w:rsidRPr="001E0966">
        <w:rPr>
          <w:iCs/>
        </w:rPr>
        <w:t xml:space="preserve"> </w:t>
      </w:r>
      <w:r w:rsidR="004F56A1" w:rsidRPr="001E0966">
        <w:rPr>
          <w:iCs/>
        </w:rPr>
        <w:t>5(2)(b)</w:t>
      </w:r>
    </w:p>
    <w:p w14:paraId="0F190953" w14:textId="117BA99C" w:rsidR="00303D16" w:rsidRDefault="00303D16">
      <w:pPr>
        <w:rPr>
          <w:sz w:val="20"/>
          <w:szCs w:val="20"/>
          <w:lang w:val="en-GB" w:bidi="ar-SA"/>
        </w:rPr>
      </w:pPr>
      <w:r>
        <w:br w:type="page"/>
      </w:r>
    </w:p>
    <w:p w14:paraId="3C38B4FD" w14:textId="05B87A23" w:rsidR="001E1235" w:rsidRDefault="001E1235" w:rsidP="001E1235">
      <w:pPr>
        <w:pStyle w:val="SingleTxtG"/>
      </w:pPr>
      <w:r w:rsidRPr="00415BA0">
        <w:lastRenderedPageBreak/>
        <w:t>1.</w:t>
      </w:r>
      <w:r w:rsidRPr="00415BA0">
        <w:tab/>
      </w:r>
      <w:r w:rsidR="00D012D4">
        <w:t xml:space="preserve">The author of the communication is Mr. </w:t>
      </w:r>
      <w:r w:rsidR="00BC012A">
        <w:t xml:space="preserve">Vladimir </w:t>
      </w:r>
      <w:proofErr w:type="spellStart"/>
      <w:r w:rsidR="00BC012A">
        <w:t>Malei</w:t>
      </w:r>
      <w:proofErr w:type="spellEnd"/>
      <w:r w:rsidR="00D012D4">
        <w:t>, a national of Belarus born in 19</w:t>
      </w:r>
      <w:r w:rsidR="000203CD">
        <w:t>5</w:t>
      </w:r>
      <w:r w:rsidR="00BC012A">
        <w:t>1</w:t>
      </w:r>
      <w:r w:rsidR="00D012D4">
        <w:t xml:space="preserve">. He claims to be a victim of a violation by Belarus of his rights under articles </w:t>
      </w:r>
      <w:r w:rsidR="00172198">
        <w:t>19</w:t>
      </w:r>
      <w:r w:rsidR="00D012D4">
        <w:t xml:space="preserve"> and </w:t>
      </w:r>
      <w:r w:rsidR="00172198">
        <w:t>21</w:t>
      </w:r>
      <w:r w:rsidR="00BC012A">
        <w:t xml:space="preserve"> in conjunction with article 2, paragraph 2 and 3</w:t>
      </w:r>
      <w:r w:rsidR="00D012D4">
        <w:t xml:space="preserve"> of the International Covenant on Civil and Political Rights. The Optional Protocol entered into force for Belarus on 30 December 1992. The author is unrepresented</w:t>
      </w:r>
      <w:r w:rsidR="005E190D">
        <w:t>.</w:t>
      </w:r>
    </w:p>
    <w:p w14:paraId="66841BE9" w14:textId="77777777" w:rsidR="000128E3" w:rsidRPr="00415BA0" w:rsidRDefault="000128E3" w:rsidP="00781C83">
      <w:pPr>
        <w:pStyle w:val="H23G"/>
      </w:pPr>
      <w:r w:rsidRPr="00415BA0">
        <w:tab/>
      </w:r>
      <w:r w:rsidRPr="00415BA0">
        <w:tab/>
        <w:t>The facts as submitted by the author</w:t>
      </w:r>
    </w:p>
    <w:p w14:paraId="4A57DD03" w14:textId="29195F5A" w:rsidR="00DB162B" w:rsidRDefault="00F06A0F" w:rsidP="001D4FC3">
      <w:pPr>
        <w:pStyle w:val="SingleTxtG"/>
      </w:pPr>
      <w:r w:rsidRPr="00F06A0F">
        <w:t>2.1</w:t>
      </w:r>
      <w:r w:rsidRPr="00F06A0F">
        <w:tab/>
        <w:t xml:space="preserve">On </w:t>
      </w:r>
      <w:r>
        <w:t>18</w:t>
      </w:r>
      <w:r w:rsidRPr="00F06A0F">
        <w:t xml:space="preserve"> </w:t>
      </w:r>
      <w:r w:rsidR="00D36E57">
        <w:t xml:space="preserve">March </w:t>
      </w:r>
      <w:r w:rsidRPr="00F06A0F">
        <w:t>201</w:t>
      </w:r>
      <w:r w:rsidR="00D36E57">
        <w:t>2</w:t>
      </w:r>
      <w:r w:rsidRPr="00F06A0F">
        <w:t xml:space="preserve">, the author </w:t>
      </w:r>
      <w:r w:rsidR="00303D16">
        <w:t xml:space="preserve">applied </w:t>
      </w:r>
      <w:r w:rsidRPr="00F06A0F">
        <w:t xml:space="preserve">to the </w:t>
      </w:r>
      <w:r w:rsidR="008E7478" w:rsidRPr="008E7478">
        <w:t xml:space="preserve">District Executive Committee of the </w:t>
      </w:r>
      <w:proofErr w:type="spellStart"/>
      <w:r w:rsidR="00D36E57">
        <w:t>Malorit</w:t>
      </w:r>
      <w:proofErr w:type="spellEnd"/>
      <w:r w:rsidR="008E7478" w:rsidRPr="008E7478">
        <w:t xml:space="preserve"> city with a request to hold </w:t>
      </w:r>
      <w:r w:rsidR="008E7478">
        <w:t xml:space="preserve">a picket </w:t>
      </w:r>
      <w:r w:rsidR="008E7478" w:rsidRPr="008E7478">
        <w:t xml:space="preserve">on </w:t>
      </w:r>
      <w:r w:rsidR="00D36E57">
        <w:t>7 June</w:t>
      </w:r>
      <w:r w:rsidR="008E7478" w:rsidRPr="008E7478">
        <w:t xml:space="preserve"> 201</w:t>
      </w:r>
      <w:r w:rsidR="00D36E57">
        <w:t>2, from 13:00 to 15:00</w:t>
      </w:r>
      <w:r w:rsidR="00AE7C52" w:rsidRPr="00AE7C52">
        <w:t xml:space="preserve"> </w:t>
      </w:r>
      <w:r w:rsidR="00AE7C52">
        <w:t xml:space="preserve">in the vicinity of the </w:t>
      </w:r>
      <w:r w:rsidR="00361FFC">
        <w:t xml:space="preserve">main entrance of the </w:t>
      </w:r>
      <w:r w:rsidR="00AE7C52">
        <w:t>cultural centre</w:t>
      </w:r>
      <w:r w:rsidR="008E7478">
        <w:t>.</w:t>
      </w:r>
      <w:r w:rsidR="00C72BDE">
        <w:rPr>
          <w:rStyle w:val="FootnoteReference"/>
        </w:rPr>
        <w:footnoteReference w:id="4"/>
      </w:r>
      <w:r w:rsidR="008E7478">
        <w:t xml:space="preserve"> The purpose of the </w:t>
      </w:r>
      <w:r w:rsidR="008E7478" w:rsidRPr="008E7478">
        <w:t xml:space="preserve">picket </w:t>
      </w:r>
      <w:r w:rsidR="008E7478">
        <w:t xml:space="preserve">was </w:t>
      </w:r>
      <w:r w:rsidR="008E7478" w:rsidRPr="008E7478">
        <w:t xml:space="preserve">to attract </w:t>
      </w:r>
      <w:r w:rsidR="00D36E57">
        <w:t>public</w:t>
      </w:r>
      <w:r w:rsidR="008E7478" w:rsidRPr="008E7478">
        <w:t xml:space="preserve"> attention to the </w:t>
      </w:r>
      <w:r w:rsidR="00D36E57">
        <w:t xml:space="preserve">absence of free and democratic elections in Belarus. </w:t>
      </w:r>
    </w:p>
    <w:p w14:paraId="14000AE1" w14:textId="33757AED" w:rsidR="00AE7C52" w:rsidRDefault="008D38F3" w:rsidP="001D4FC3">
      <w:pPr>
        <w:pStyle w:val="SingleTxtG"/>
      </w:pPr>
      <w:r w:rsidRPr="008D38F3">
        <w:t>2.</w:t>
      </w:r>
      <w:r w:rsidR="003B7955">
        <w:t>2</w:t>
      </w:r>
      <w:r w:rsidRPr="008D38F3">
        <w:tab/>
        <w:t xml:space="preserve">On </w:t>
      </w:r>
      <w:r w:rsidR="00D36E57">
        <w:t>31 May 2012,</w:t>
      </w:r>
      <w:r w:rsidRPr="008D38F3">
        <w:t xml:space="preserve"> the author’s application was rejected by the </w:t>
      </w:r>
      <w:r w:rsidR="00320482" w:rsidRPr="00320482">
        <w:t xml:space="preserve">District Executive Committee </w:t>
      </w:r>
      <w:r w:rsidR="00004DF1">
        <w:t xml:space="preserve">based on </w:t>
      </w:r>
      <w:r w:rsidR="00004DF1" w:rsidRPr="00004DF1">
        <w:t>the article 9 (3) of the Law “On Public Events”</w:t>
      </w:r>
      <w:r w:rsidR="00004DF1">
        <w:t>, a</w:t>
      </w:r>
      <w:r w:rsidR="00004DF1" w:rsidRPr="00004DF1">
        <w:t xml:space="preserve">ccording to </w:t>
      </w:r>
      <w:r w:rsidR="00004DF1">
        <w:t>which</w:t>
      </w:r>
      <w:r w:rsidR="00004DF1" w:rsidRPr="00004DF1">
        <w:t xml:space="preserve">, </w:t>
      </w:r>
      <w:r w:rsidR="00CB06B5">
        <w:t>h</w:t>
      </w:r>
      <w:r w:rsidR="00CB06B5" w:rsidRPr="00CB06B5">
        <w:t xml:space="preserve">olding of mass events are not permitted at a distance of less than 50 metres from the </w:t>
      </w:r>
      <w:r w:rsidR="00CB06B5">
        <w:t xml:space="preserve">premises of public institutions, including </w:t>
      </w:r>
      <w:r w:rsidR="00CB06B5" w:rsidRPr="00CB06B5">
        <w:t>local executive and administrative authorities</w:t>
      </w:r>
      <w:r w:rsidR="00CB06B5">
        <w:t xml:space="preserve">. </w:t>
      </w:r>
      <w:r w:rsidR="00004DF1" w:rsidRPr="00004DF1">
        <w:t xml:space="preserve">Since some of the departments of the </w:t>
      </w:r>
      <w:proofErr w:type="spellStart"/>
      <w:r w:rsidR="00004DF1" w:rsidRPr="00004DF1">
        <w:t>Malorit</w:t>
      </w:r>
      <w:proofErr w:type="spellEnd"/>
      <w:r w:rsidR="00004DF1" w:rsidRPr="00004DF1">
        <w:t xml:space="preserve"> District Executive Committee are located in the </w:t>
      </w:r>
      <w:r w:rsidR="00F57C6B" w:rsidRPr="00004DF1">
        <w:t>above-mentioned</w:t>
      </w:r>
      <w:r w:rsidR="00004DF1" w:rsidRPr="00004DF1">
        <w:t xml:space="preserve"> </w:t>
      </w:r>
      <w:r w:rsidR="00AE7C52">
        <w:t>cultural</w:t>
      </w:r>
      <w:r w:rsidR="00004DF1" w:rsidRPr="00004DF1">
        <w:t xml:space="preserve"> </w:t>
      </w:r>
      <w:r w:rsidR="00F57C6B" w:rsidRPr="00004DF1">
        <w:t>centre</w:t>
      </w:r>
      <w:r w:rsidR="00004DF1" w:rsidRPr="00004DF1">
        <w:t>, the decision stated that the picket</w:t>
      </w:r>
      <w:r w:rsidR="001B4624">
        <w:t xml:space="preserve"> wa</w:t>
      </w:r>
      <w:r w:rsidR="00004DF1" w:rsidRPr="00004DF1">
        <w:t>s prohibited</w:t>
      </w:r>
      <w:r w:rsidR="00911247">
        <w:t xml:space="preserve">. The decision also </w:t>
      </w:r>
      <w:r w:rsidR="00750FCA">
        <w:t xml:space="preserve">underlined that the request for holding a picket did not </w:t>
      </w:r>
      <w:r w:rsidR="00996104">
        <w:t xml:space="preserve">contain </w:t>
      </w:r>
      <w:r w:rsidR="00750FCA">
        <w:t xml:space="preserve">any information on the source of funding of the event. </w:t>
      </w:r>
    </w:p>
    <w:p w14:paraId="5598E696" w14:textId="306AA307" w:rsidR="00004DF1" w:rsidRDefault="00004DF1" w:rsidP="001D4FC3">
      <w:pPr>
        <w:pStyle w:val="SingleTxtG"/>
      </w:pPr>
      <w:r w:rsidRPr="008D38F3">
        <w:t>2.</w:t>
      </w:r>
      <w:r>
        <w:t>3</w:t>
      </w:r>
      <w:r w:rsidRPr="008D38F3">
        <w:tab/>
        <w:t xml:space="preserve">On </w:t>
      </w:r>
      <w:r>
        <w:t>22 June 2012</w:t>
      </w:r>
      <w:r w:rsidRPr="008D38F3">
        <w:t xml:space="preserve">, the author filed an appeal against the decision of the District </w:t>
      </w:r>
      <w:r>
        <w:t xml:space="preserve">Executive Committee </w:t>
      </w:r>
      <w:r w:rsidRPr="008D38F3">
        <w:t>with the</w:t>
      </w:r>
      <w:r w:rsidRPr="006365F5">
        <w:t xml:space="preserve"> </w:t>
      </w:r>
      <w:r w:rsidRPr="008D38F3">
        <w:t>Court</w:t>
      </w:r>
      <w:r>
        <w:t xml:space="preserve"> of the </w:t>
      </w:r>
      <w:proofErr w:type="spellStart"/>
      <w:r>
        <w:t>Malorit</w:t>
      </w:r>
      <w:proofErr w:type="spellEnd"/>
      <w:r>
        <w:t xml:space="preserve"> District</w:t>
      </w:r>
      <w:r w:rsidRPr="008D38F3">
        <w:t xml:space="preserve"> </w:t>
      </w:r>
      <w:r w:rsidRPr="000F4D7F">
        <w:t>claiming a violation of his rights to freedom of expression and peaceful assembly as guaranteed by the Constitution of Belarus and articles 19 and 21 of the Covenant.</w:t>
      </w:r>
      <w:r>
        <w:t xml:space="preserve"> </w:t>
      </w:r>
      <w:r w:rsidRPr="00825B61">
        <w:t xml:space="preserve">On </w:t>
      </w:r>
      <w:r>
        <w:t xml:space="preserve">10 July </w:t>
      </w:r>
      <w:r w:rsidRPr="00825B61">
        <w:t>20</w:t>
      </w:r>
      <w:r>
        <w:t>12</w:t>
      </w:r>
      <w:r w:rsidRPr="00825B61">
        <w:t xml:space="preserve">, the </w:t>
      </w:r>
      <w:r w:rsidR="001B4624">
        <w:t>c</w:t>
      </w:r>
      <w:r w:rsidRPr="00825B61">
        <w:t xml:space="preserve">ourt considered the decision of the </w:t>
      </w:r>
      <w:proofErr w:type="spellStart"/>
      <w:r>
        <w:t>Malorit</w:t>
      </w:r>
      <w:proofErr w:type="spellEnd"/>
      <w:r>
        <w:t xml:space="preserve"> District </w:t>
      </w:r>
      <w:r w:rsidRPr="00825B61">
        <w:t>Executive Committee to be in compliance with the provisions of the Law on Mass Events and rejected the author’s appeal.</w:t>
      </w:r>
      <w:r>
        <w:t xml:space="preserve"> </w:t>
      </w:r>
    </w:p>
    <w:p w14:paraId="4BA7478B" w14:textId="335E332B" w:rsidR="00004DF1" w:rsidRDefault="00004DF1" w:rsidP="001D4FC3">
      <w:pPr>
        <w:pStyle w:val="SingleTxtG"/>
      </w:pPr>
      <w:r>
        <w:t>2.4</w:t>
      </w:r>
      <w:r>
        <w:tab/>
      </w:r>
      <w:r w:rsidRPr="00004DF1">
        <w:t>On 20 August 2012, the Brest Regional Court did</w:t>
      </w:r>
      <w:r w:rsidR="00B06DF0">
        <w:t xml:space="preserve"> </w:t>
      </w:r>
      <w:r w:rsidRPr="00004DF1">
        <w:t>n</w:t>
      </w:r>
      <w:r w:rsidR="00B06DF0">
        <w:t>o</w:t>
      </w:r>
      <w:r w:rsidRPr="00004DF1">
        <w:t xml:space="preserve">t uphold the author`s claim and refused to reconsider the decision. The author subsequently addressed supervisory complaints to the chairman of the Brest Regional Court and of the Supreme Court. </w:t>
      </w:r>
      <w:r w:rsidR="001B4624">
        <w:t xml:space="preserve">The </w:t>
      </w:r>
      <w:r w:rsidRPr="00004DF1">
        <w:t>complaints were dismissed on 15 November 2012 and on 18 December 2012, respectively. The author claims that he has exhausted all domestic remedies.</w:t>
      </w:r>
    </w:p>
    <w:p w14:paraId="691BF006" w14:textId="77777777" w:rsidR="000128E3" w:rsidRPr="00415BA0" w:rsidRDefault="000128E3" w:rsidP="00F12D79">
      <w:pPr>
        <w:pStyle w:val="H23G"/>
      </w:pPr>
      <w:r w:rsidRPr="00415BA0">
        <w:tab/>
      </w:r>
      <w:r w:rsidRPr="00415BA0">
        <w:tab/>
        <w:t>The complaint</w:t>
      </w:r>
    </w:p>
    <w:p w14:paraId="48B73AD9" w14:textId="1274BF20" w:rsidR="005E190D" w:rsidRDefault="005E190D" w:rsidP="001D4FC3">
      <w:pPr>
        <w:pStyle w:val="SingleTxtG"/>
      </w:pPr>
      <w:r>
        <w:t>3.1</w:t>
      </w:r>
      <w:r>
        <w:tab/>
        <w:t xml:space="preserve">The author claims that the State party has violated his rights under article 19 and 21 in conjunction with article 2, paragraphs 2 and 3, of the Covenant. He considers that the reason for denial of a peaceful assembly and of his rights for the freedom of expression was unlawful. In his written statements </w:t>
      </w:r>
      <w:r w:rsidRPr="001D4FC3">
        <w:t>to</w:t>
      </w:r>
      <w:r>
        <w:t xml:space="preserve"> the </w:t>
      </w:r>
      <w:proofErr w:type="spellStart"/>
      <w:r>
        <w:t>Malorit</w:t>
      </w:r>
      <w:proofErr w:type="spellEnd"/>
      <w:r>
        <w:t xml:space="preserve"> District Executive Committee, he has repeatedly expressed his willingness to negotiate with the local authorities and to consider an alternative concerning the organization of the picket. Nevertheless, the local authorities prohibited </w:t>
      </w:r>
      <w:r w:rsidR="001B4624">
        <w:t>the</w:t>
      </w:r>
      <w:r>
        <w:t xml:space="preserve"> picket without proposing an alternative. </w:t>
      </w:r>
    </w:p>
    <w:p w14:paraId="385972B2" w14:textId="3CF9B003" w:rsidR="005E190D" w:rsidRDefault="005E190D" w:rsidP="001D4FC3">
      <w:pPr>
        <w:pStyle w:val="SingleTxtG"/>
      </w:pPr>
      <w:r>
        <w:t>3.2</w:t>
      </w:r>
      <w:r>
        <w:tab/>
        <w:t xml:space="preserve">The author considers that the authorities failed to explain why in this particular case the restriction </w:t>
      </w:r>
      <w:r w:rsidR="00996104">
        <w:t xml:space="preserve">on </w:t>
      </w:r>
      <w:r>
        <w:t>hold</w:t>
      </w:r>
      <w:r w:rsidR="00996104">
        <w:t>ing</w:t>
      </w:r>
      <w:r>
        <w:t xml:space="preserve"> a </w:t>
      </w:r>
      <w:r w:rsidRPr="001D4FC3">
        <w:t>picket</w:t>
      </w:r>
      <w:r>
        <w:t xml:space="preserve"> could be necessary in a democratic society in the interests of national security or public safety in order to protect public health, morals or the rights and freedoms of others. Moreover, they could not prove that the impossibility to organize a peaceful assembly at a distance of less than 50 metres from public administration institutions</w:t>
      </w:r>
      <w:r w:rsidR="00C547E5" w:rsidRPr="00C547E5">
        <w:t>, includin</w:t>
      </w:r>
      <w:r w:rsidR="00C547E5">
        <w:t>g the Civil Registry Office,</w:t>
      </w:r>
      <w:r>
        <w:t xml:space="preserve"> is a legal and fair reason to ban pickets. </w:t>
      </w:r>
    </w:p>
    <w:p w14:paraId="0358522D" w14:textId="51E2473B" w:rsidR="00E711CA" w:rsidRDefault="005E190D" w:rsidP="001D4FC3">
      <w:pPr>
        <w:pStyle w:val="SingleTxtG"/>
      </w:pPr>
      <w:r>
        <w:t>3.3</w:t>
      </w:r>
      <w:r>
        <w:tab/>
        <w:t xml:space="preserve">With reference to article 2, paragraphs 2 and 3, of the Covenant, the author states that the </w:t>
      </w:r>
      <w:r w:rsidR="001B4624">
        <w:t>c</w:t>
      </w:r>
      <w:r>
        <w:t>ourt</w:t>
      </w:r>
      <w:r w:rsidR="001B4624">
        <w:t>s</w:t>
      </w:r>
      <w:r>
        <w:t xml:space="preserve"> refused to consider international legal provisions, i.e. the provisions of the Covenant, while upholding the decision of the </w:t>
      </w:r>
      <w:proofErr w:type="spellStart"/>
      <w:r>
        <w:t>Malorit</w:t>
      </w:r>
      <w:proofErr w:type="spellEnd"/>
      <w:r>
        <w:t xml:space="preserve"> District Executive Committee.</w:t>
      </w:r>
    </w:p>
    <w:p w14:paraId="6DBDCB21" w14:textId="4325E0BC" w:rsidR="00BF450E" w:rsidRPr="00BF450E" w:rsidRDefault="001D4FC3" w:rsidP="001D4FC3">
      <w:pPr>
        <w:pStyle w:val="H23G"/>
      </w:pPr>
      <w:r>
        <w:lastRenderedPageBreak/>
        <w:tab/>
      </w:r>
      <w:r>
        <w:tab/>
      </w:r>
      <w:r w:rsidR="00BF450E" w:rsidRPr="00BF450E">
        <w:t>State party’s observations on admissibility</w:t>
      </w:r>
      <w:r w:rsidR="00184F74">
        <w:t xml:space="preserve"> </w:t>
      </w:r>
    </w:p>
    <w:p w14:paraId="5E19B8E0" w14:textId="70D38663" w:rsidR="005F6013" w:rsidRDefault="00BF450E" w:rsidP="00BD49BA">
      <w:pPr>
        <w:pStyle w:val="SingleTxtG"/>
      </w:pPr>
      <w:r w:rsidRPr="00FE22ED">
        <w:t>4.</w:t>
      </w:r>
      <w:r w:rsidRPr="00FE22ED">
        <w:tab/>
      </w:r>
      <w:r w:rsidR="00EE26A1">
        <w:t xml:space="preserve">In its </w:t>
      </w:r>
      <w:r w:rsidR="00EE26A1" w:rsidRPr="00BD49BA">
        <w:t>note</w:t>
      </w:r>
      <w:r w:rsidR="00EE26A1">
        <w:t xml:space="preserve"> </w:t>
      </w:r>
      <w:proofErr w:type="spellStart"/>
      <w:r w:rsidRPr="001D4FC3">
        <w:t>verbale</w:t>
      </w:r>
      <w:proofErr w:type="spellEnd"/>
      <w:r w:rsidRPr="00FE22ED">
        <w:t xml:space="preserve"> of 2</w:t>
      </w:r>
      <w:r w:rsidR="00EE26A1">
        <w:t>1 July</w:t>
      </w:r>
      <w:r w:rsidRPr="00FE22ED">
        <w:t xml:space="preserve"> 201</w:t>
      </w:r>
      <w:r w:rsidR="00EE26A1">
        <w:t>4</w:t>
      </w:r>
      <w:r w:rsidRPr="00FE22ED">
        <w:t>, the State party</w:t>
      </w:r>
      <w:r w:rsidR="00184F74" w:rsidRPr="00184F74">
        <w:t xml:space="preserve"> submit</w:t>
      </w:r>
      <w:r w:rsidR="00EE26A1">
        <w:t xml:space="preserve">s </w:t>
      </w:r>
      <w:r w:rsidR="005F6013">
        <w:t xml:space="preserve">that the author’s communication should be </w:t>
      </w:r>
      <w:r w:rsidR="005F6013" w:rsidRPr="00BD49BA">
        <w:t>declared</w:t>
      </w:r>
      <w:r w:rsidR="005F6013">
        <w:t xml:space="preserve"> inadmissible in accordance with article 5, paragraph 2 (b) of the Optional </w:t>
      </w:r>
      <w:r w:rsidR="00F57C6B">
        <w:t>Protocol</w:t>
      </w:r>
      <w:r w:rsidR="009B1BE7">
        <w:t>,</w:t>
      </w:r>
      <w:r w:rsidR="005F6013">
        <w:t xml:space="preserve"> since he failed to exhaust the domestic remedies. </w:t>
      </w:r>
    </w:p>
    <w:p w14:paraId="6C6D6B33" w14:textId="5238D0B8" w:rsidR="00D24185" w:rsidRPr="00D24185" w:rsidRDefault="00D24185" w:rsidP="00BD49BA">
      <w:pPr>
        <w:pStyle w:val="H23G"/>
      </w:pPr>
      <w:r>
        <w:tab/>
      </w:r>
      <w:r>
        <w:tab/>
      </w:r>
      <w:r w:rsidRPr="00D24185">
        <w:t xml:space="preserve">Author’s </w:t>
      </w:r>
      <w:r w:rsidRPr="00BD49BA">
        <w:t>comments</w:t>
      </w:r>
      <w:r w:rsidRPr="00D24185">
        <w:t xml:space="preserve"> on the State party’s observations</w:t>
      </w:r>
    </w:p>
    <w:p w14:paraId="2E064CB9" w14:textId="7361747B" w:rsidR="005F6013" w:rsidRDefault="00D24185" w:rsidP="00BD49BA">
      <w:pPr>
        <w:pStyle w:val="SingleTxtG"/>
      </w:pPr>
      <w:r w:rsidRPr="00D24185">
        <w:t>5.</w:t>
      </w:r>
      <w:r w:rsidRPr="00D24185">
        <w:tab/>
        <w:t xml:space="preserve">On </w:t>
      </w:r>
      <w:r w:rsidR="005F6013">
        <w:t xml:space="preserve">22 </w:t>
      </w:r>
      <w:r w:rsidR="00F57C6B">
        <w:t>September</w:t>
      </w:r>
      <w:r w:rsidR="005F6013">
        <w:t xml:space="preserve"> </w:t>
      </w:r>
      <w:r w:rsidRPr="00D24185">
        <w:t>20</w:t>
      </w:r>
      <w:r w:rsidR="002A2334">
        <w:t>1</w:t>
      </w:r>
      <w:r w:rsidR="005F6013">
        <w:t>4</w:t>
      </w:r>
      <w:r w:rsidRPr="00D24185">
        <w:t xml:space="preserve">, </w:t>
      </w:r>
      <w:r w:rsidR="005F6013">
        <w:t>th</w:t>
      </w:r>
      <w:r w:rsidR="00F530E2">
        <w:t>e</w:t>
      </w:r>
      <w:r w:rsidR="005F6013">
        <w:t xml:space="preserve"> author submit</w:t>
      </w:r>
      <w:r w:rsidR="001B4624">
        <w:t>ted</w:t>
      </w:r>
      <w:r w:rsidR="005F6013">
        <w:t xml:space="preserve"> that the supervisory review proceedings do not constitute an effective domestic remedy. To be considered effective, the remedy </w:t>
      </w:r>
      <w:r w:rsidR="005F6013" w:rsidRPr="00BD49BA">
        <w:t>must</w:t>
      </w:r>
      <w:r w:rsidR="005F6013">
        <w:t xml:space="preserve"> have a reasonable chance to succeed. Furthermore, the </w:t>
      </w:r>
      <w:r w:rsidR="00F57C6B">
        <w:t>European</w:t>
      </w:r>
      <w:r w:rsidR="005F6013">
        <w:t xml:space="preserve"> Court for Human Rights jurisprudence also declared the supervisory proceedings as “discretionary”, and thus, ineffective remedies.</w:t>
      </w:r>
      <w:r w:rsidR="005C5808">
        <w:rPr>
          <w:rStyle w:val="FootnoteReference"/>
        </w:rPr>
        <w:footnoteReference w:id="5"/>
      </w:r>
      <w:r w:rsidR="005F6013">
        <w:t xml:space="preserve"> The author asks the Committee to </w:t>
      </w:r>
      <w:r w:rsidR="00F57C6B">
        <w:t>consider</w:t>
      </w:r>
      <w:r w:rsidR="005F6013">
        <w:t xml:space="preserve"> his complaint </w:t>
      </w:r>
      <w:r w:rsidR="00F57C6B">
        <w:t>admissible</w:t>
      </w:r>
      <w:r w:rsidR="005F6013">
        <w:t xml:space="preserve"> and to proceed reviewing it on its merits. </w:t>
      </w:r>
    </w:p>
    <w:p w14:paraId="5B418A73" w14:textId="68D68807" w:rsidR="005F6013" w:rsidRPr="000B2913" w:rsidRDefault="00BD49BA" w:rsidP="00BD49BA">
      <w:pPr>
        <w:pStyle w:val="H23G"/>
      </w:pPr>
      <w:r>
        <w:tab/>
      </w:r>
      <w:r>
        <w:tab/>
      </w:r>
      <w:r w:rsidR="000B2913" w:rsidRPr="000B2913">
        <w:t xml:space="preserve">State party’s </w:t>
      </w:r>
      <w:r w:rsidR="00EC5632" w:rsidRPr="00BD49BA">
        <w:t>additional</w:t>
      </w:r>
      <w:r w:rsidR="00EC5632">
        <w:t xml:space="preserve"> </w:t>
      </w:r>
      <w:r w:rsidR="000B2913" w:rsidRPr="000B2913">
        <w:t xml:space="preserve">observations </w:t>
      </w:r>
    </w:p>
    <w:p w14:paraId="1325376D" w14:textId="0E4695BA" w:rsidR="000B2913" w:rsidRDefault="00F05B21" w:rsidP="00BD49BA">
      <w:pPr>
        <w:pStyle w:val="SingleTxtG"/>
      </w:pPr>
      <w:r>
        <w:t>6.1</w:t>
      </w:r>
      <w:r>
        <w:tab/>
      </w:r>
      <w:r w:rsidR="000B2913">
        <w:t>On 4 November 2014, the State party reiterat</w:t>
      </w:r>
      <w:r w:rsidR="00EC5632">
        <w:t>ed</w:t>
      </w:r>
      <w:r w:rsidR="000B2913">
        <w:t xml:space="preserve"> that the author did not exhaust all existing domestic remedies available.  </w:t>
      </w:r>
    </w:p>
    <w:p w14:paraId="39250890" w14:textId="2B6A9CF4" w:rsidR="00762792" w:rsidRDefault="00F05B21" w:rsidP="00BD49BA">
      <w:pPr>
        <w:pStyle w:val="SingleTxtG"/>
      </w:pPr>
      <w:r>
        <w:t>6.2</w:t>
      </w:r>
      <w:r>
        <w:tab/>
      </w:r>
      <w:r w:rsidR="00D256FB">
        <w:t xml:space="preserve">On 28 </w:t>
      </w:r>
      <w:r w:rsidR="00F57C6B">
        <w:t>December</w:t>
      </w:r>
      <w:r w:rsidR="00D256FB">
        <w:t xml:space="preserve"> 201</w:t>
      </w:r>
      <w:r w:rsidR="00EC5632">
        <w:t>8</w:t>
      </w:r>
      <w:r w:rsidR="00D256FB">
        <w:t xml:space="preserve">, </w:t>
      </w:r>
      <w:r w:rsidR="001B4624">
        <w:t xml:space="preserve">the State party </w:t>
      </w:r>
      <w:r w:rsidR="00EF7717">
        <w:t>submit</w:t>
      </w:r>
      <w:r w:rsidR="00C61F70">
        <w:t xml:space="preserve">ted </w:t>
      </w:r>
      <w:r w:rsidR="00EF7717">
        <w:t>its observation</w:t>
      </w:r>
      <w:r w:rsidR="001B4624">
        <w:t>s</w:t>
      </w:r>
      <w:r w:rsidR="00EF7717">
        <w:t xml:space="preserve"> on </w:t>
      </w:r>
      <w:r w:rsidR="001B4624">
        <w:t xml:space="preserve">the </w:t>
      </w:r>
      <w:r w:rsidR="00EF7717">
        <w:t>merits and inform</w:t>
      </w:r>
      <w:r w:rsidR="001B4624">
        <w:t>ed</w:t>
      </w:r>
      <w:r w:rsidR="00EF7717">
        <w:t xml:space="preserve"> that o</w:t>
      </w:r>
      <w:r w:rsidR="00EF7717" w:rsidRPr="00EF7717">
        <w:t xml:space="preserve">n 31 May 2012, the District Executive Committee </w:t>
      </w:r>
      <w:r w:rsidR="00EF7717">
        <w:t xml:space="preserve">of the city of </w:t>
      </w:r>
      <w:proofErr w:type="spellStart"/>
      <w:r w:rsidR="00EF7717">
        <w:t>Malorit</w:t>
      </w:r>
      <w:proofErr w:type="spellEnd"/>
      <w:r w:rsidR="00EF7717">
        <w:t xml:space="preserve"> </w:t>
      </w:r>
      <w:r w:rsidR="00EF7717" w:rsidRPr="00EF7717">
        <w:t xml:space="preserve">rejected the author’s application </w:t>
      </w:r>
      <w:r w:rsidR="00EF7717">
        <w:t xml:space="preserve">to hold a picket in the square in front of the </w:t>
      </w:r>
      <w:r w:rsidR="002D63A1">
        <w:t xml:space="preserve">House of Culture, based on </w:t>
      </w:r>
      <w:r w:rsidR="00EF7717" w:rsidRPr="00EF7717">
        <w:t>the article 9 of the Law “On Public Events”</w:t>
      </w:r>
      <w:r w:rsidR="002D63A1">
        <w:t xml:space="preserve"> of 30 December 1997. </w:t>
      </w:r>
      <w:r w:rsidR="002D63A1" w:rsidRPr="002D63A1">
        <w:t>On 10 July 2012</w:t>
      </w:r>
      <w:r w:rsidR="00F2157E">
        <w:t xml:space="preserve"> and 20 August 2012, </w:t>
      </w:r>
      <w:r w:rsidR="002D63A1" w:rsidRPr="002D63A1">
        <w:t xml:space="preserve">the Court </w:t>
      </w:r>
      <w:r w:rsidR="00762792" w:rsidRPr="00762792">
        <w:t xml:space="preserve">of the </w:t>
      </w:r>
      <w:proofErr w:type="spellStart"/>
      <w:r w:rsidR="00762792" w:rsidRPr="00762792">
        <w:t>Malorit</w:t>
      </w:r>
      <w:proofErr w:type="spellEnd"/>
      <w:r w:rsidR="00762792" w:rsidRPr="00762792">
        <w:t xml:space="preserve"> District </w:t>
      </w:r>
      <w:r w:rsidR="00F2157E">
        <w:t>and</w:t>
      </w:r>
      <w:r w:rsidR="00762792" w:rsidRPr="00762792">
        <w:t xml:space="preserve"> the Brest Regional Court </w:t>
      </w:r>
      <w:r w:rsidR="00F2157E">
        <w:t>rejected the author’s appeals</w:t>
      </w:r>
      <w:r w:rsidR="00762792" w:rsidRPr="00762792">
        <w:t>.</w:t>
      </w:r>
    </w:p>
    <w:p w14:paraId="09B0DD99" w14:textId="40673C62" w:rsidR="00734B12" w:rsidRDefault="00F05B21" w:rsidP="00BD49BA">
      <w:pPr>
        <w:pStyle w:val="SingleTxtG"/>
      </w:pPr>
      <w:r>
        <w:t>6.</w:t>
      </w:r>
      <w:r w:rsidR="00F2157E">
        <w:t>3</w:t>
      </w:r>
      <w:r>
        <w:tab/>
      </w:r>
      <w:r w:rsidR="004675D0">
        <w:t>The</w:t>
      </w:r>
      <w:r>
        <w:t xml:space="preserve"> </w:t>
      </w:r>
      <w:r w:rsidR="00762792" w:rsidRPr="00762792">
        <w:t>author</w:t>
      </w:r>
      <w:r w:rsidR="004675D0">
        <w:t>’s</w:t>
      </w:r>
      <w:r w:rsidR="00762792" w:rsidRPr="00762792">
        <w:t xml:space="preserve"> </w:t>
      </w:r>
      <w:r w:rsidR="00F2157E">
        <w:t xml:space="preserve">further </w:t>
      </w:r>
      <w:r w:rsidR="00762792">
        <w:t xml:space="preserve">appeals under the </w:t>
      </w:r>
      <w:r w:rsidR="00762792" w:rsidRPr="00762792">
        <w:t xml:space="preserve">supervisory complaints </w:t>
      </w:r>
      <w:r w:rsidR="00762792">
        <w:t xml:space="preserve">procedure were </w:t>
      </w:r>
      <w:r w:rsidR="00762792" w:rsidRPr="00762792">
        <w:t xml:space="preserve">dismissed </w:t>
      </w:r>
      <w:r w:rsidR="00762792">
        <w:t xml:space="preserve">by the </w:t>
      </w:r>
      <w:r w:rsidR="00762792" w:rsidRPr="00762792">
        <w:t xml:space="preserve">Brest Regional Court and of the Supreme Court on 15 November 2012 and on 18 December 2012, respectively. </w:t>
      </w:r>
    </w:p>
    <w:p w14:paraId="78B98FE8" w14:textId="4BFCA526" w:rsidR="008A0ED0" w:rsidRDefault="00F05B21" w:rsidP="00BD49BA">
      <w:pPr>
        <w:pStyle w:val="SingleTxtG"/>
      </w:pPr>
      <w:r>
        <w:t>6.</w:t>
      </w:r>
      <w:r w:rsidR="00F2157E">
        <w:t>4</w:t>
      </w:r>
      <w:r>
        <w:tab/>
      </w:r>
      <w:r w:rsidR="00762792">
        <w:t xml:space="preserve">The </w:t>
      </w:r>
      <w:r w:rsidR="00F57C6B">
        <w:t>State</w:t>
      </w:r>
      <w:r w:rsidR="00762792">
        <w:t xml:space="preserve"> party </w:t>
      </w:r>
      <w:r w:rsidR="004675D0">
        <w:t>notes that holding of mass events in publ</w:t>
      </w:r>
      <w:r w:rsidR="00763BE8">
        <w:t xml:space="preserve">ic space concerns not only the </w:t>
      </w:r>
      <w:r w:rsidR="004675D0">
        <w:t>participants</w:t>
      </w:r>
      <w:r w:rsidR="003046E0">
        <w:t>,</w:t>
      </w:r>
      <w:r w:rsidR="004675D0">
        <w:t xml:space="preserve"> but also other citizens that are not part of the event. </w:t>
      </w:r>
      <w:r w:rsidR="00CB22DB">
        <w:t xml:space="preserve">In this </w:t>
      </w:r>
      <w:r w:rsidR="00F57C6B">
        <w:t>context</w:t>
      </w:r>
      <w:r w:rsidR="00CB22DB">
        <w:t>, reference is made to article 29 (1) of the Universal Declaration of Human Rights which stipulates that e</w:t>
      </w:r>
      <w:r w:rsidR="00CB22DB" w:rsidRPr="00CB22DB">
        <w:t>veryone has duties to the community in which alone the free and full development of his personality is possible.</w:t>
      </w:r>
      <w:r w:rsidR="00CB22DB">
        <w:t xml:space="preserve"> Therefore, the State party continues, when organising mass events</w:t>
      </w:r>
      <w:r w:rsidR="00BB02D8">
        <w:t>,</w:t>
      </w:r>
      <w:r w:rsidR="00CB22DB">
        <w:t xml:space="preserve"> it is important to take </w:t>
      </w:r>
      <w:r w:rsidR="00BB02D8">
        <w:t xml:space="preserve">necessary </w:t>
      </w:r>
      <w:r w:rsidR="00CB22DB">
        <w:t xml:space="preserve">measures </w:t>
      </w:r>
      <w:r w:rsidR="00BB02D8">
        <w:t xml:space="preserve">to ensure public safety as well as to </w:t>
      </w:r>
      <w:r w:rsidR="00F57C6B">
        <w:t>provide</w:t>
      </w:r>
      <w:r w:rsidR="00BB02D8">
        <w:t xml:space="preserve"> enjoyment of rights of those who are organising the </w:t>
      </w:r>
      <w:r w:rsidR="00F57C6B">
        <w:t>events</w:t>
      </w:r>
      <w:r w:rsidR="00BB02D8">
        <w:t xml:space="preserve"> as well as those who are </w:t>
      </w:r>
      <w:proofErr w:type="gramStart"/>
      <w:r w:rsidR="00BB02D8">
        <w:t>not  participating</w:t>
      </w:r>
      <w:proofErr w:type="gramEnd"/>
      <w:r w:rsidR="00BB02D8">
        <w:t xml:space="preserve"> in them. </w:t>
      </w:r>
    </w:p>
    <w:p w14:paraId="12925992" w14:textId="7F793427" w:rsidR="009B4E0B" w:rsidRDefault="00F05B21" w:rsidP="00BD49BA">
      <w:pPr>
        <w:pStyle w:val="SingleTxtG"/>
      </w:pPr>
      <w:r>
        <w:t>6.</w:t>
      </w:r>
      <w:r w:rsidR="00F2157E">
        <w:t>5</w:t>
      </w:r>
      <w:r>
        <w:tab/>
      </w:r>
      <w:r w:rsidR="006E10C6">
        <w:t>T</w:t>
      </w:r>
      <w:r w:rsidR="00D9541E">
        <w:t xml:space="preserve">he State party </w:t>
      </w:r>
      <w:r w:rsidR="008A0ED0">
        <w:t>rejects</w:t>
      </w:r>
      <w:r w:rsidR="00F2157E">
        <w:t xml:space="preserve"> the</w:t>
      </w:r>
      <w:r w:rsidR="008A0ED0">
        <w:t xml:space="preserve"> author’s claims of violation of rights under article 19 and 21, in conjunction with </w:t>
      </w:r>
      <w:r w:rsidR="008A0ED0" w:rsidRPr="008A0ED0">
        <w:t>article 2, paragraphs 2 and 3, of the Covenant</w:t>
      </w:r>
      <w:r w:rsidR="008A0ED0">
        <w:t xml:space="preserve"> and find</w:t>
      </w:r>
      <w:r w:rsidR="001E786A">
        <w:t>s</w:t>
      </w:r>
      <w:r w:rsidR="008A0ED0">
        <w:t xml:space="preserve"> them </w:t>
      </w:r>
      <w:r w:rsidR="00F57C6B">
        <w:t>groundless</w:t>
      </w:r>
      <w:r w:rsidR="001E786A">
        <w:t>.</w:t>
      </w:r>
    </w:p>
    <w:p w14:paraId="5EB6C748" w14:textId="6CA1F4D9" w:rsidR="00CB22DB" w:rsidRPr="00EC5632" w:rsidRDefault="00BD49BA" w:rsidP="00BD49BA">
      <w:pPr>
        <w:pStyle w:val="H23G"/>
      </w:pPr>
      <w:r>
        <w:tab/>
      </w:r>
      <w:r>
        <w:tab/>
      </w:r>
      <w:r w:rsidR="00EC5632">
        <w:t>A</w:t>
      </w:r>
      <w:r w:rsidR="00F2157E">
        <w:t>uthor’s comments</w:t>
      </w:r>
    </w:p>
    <w:p w14:paraId="64E6984F" w14:textId="303A3768" w:rsidR="003F71B0" w:rsidRDefault="00F05B21" w:rsidP="00BD49BA">
      <w:pPr>
        <w:pStyle w:val="SingleTxtG"/>
      </w:pPr>
      <w:r>
        <w:t>7.1</w:t>
      </w:r>
      <w:r>
        <w:tab/>
      </w:r>
      <w:r w:rsidR="00EC5632">
        <w:t xml:space="preserve">On 17 May 2019, </w:t>
      </w:r>
      <w:r w:rsidR="00593A84">
        <w:t xml:space="preserve">the author </w:t>
      </w:r>
      <w:r>
        <w:t>reiterate</w:t>
      </w:r>
      <w:r w:rsidR="00F2157E">
        <w:t>d</w:t>
      </w:r>
      <w:r>
        <w:t xml:space="preserve"> </w:t>
      </w:r>
      <w:r w:rsidR="003F71B0" w:rsidRPr="003F71B0">
        <w:t>that an appeal under the supervisory review procedure does not constitute an effective remedy. He adds that this procedure is subject to the discretion of a prosecutor or a judge and does not entail a consideration of the case on its merits. He concludes that all available and effective domestic remedies have thus been exhausted in his case.</w:t>
      </w:r>
    </w:p>
    <w:p w14:paraId="3733EA3F" w14:textId="4C3629C0" w:rsidR="003F71B0" w:rsidRDefault="00F05B21" w:rsidP="00BD49BA">
      <w:pPr>
        <w:pStyle w:val="SingleTxtG"/>
      </w:pPr>
      <w:r>
        <w:t>7.2</w:t>
      </w:r>
      <w:r>
        <w:tab/>
      </w:r>
      <w:r w:rsidR="00A009C6">
        <w:t xml:space="preserve">Commenting on State party’s arguments that the provisions of </w:t>
      </w:r>
      <w:r w:rsidR="00F57C6B">
        <w:t>the</w:t>
      </w:r>
      <w:r w:rsidR="00A009C6" w:rsidRPr="00A009C6">
        <w:t xml:space="preserve"> Law “On Public Events”</w:t>
      </w:r>
      <w:r w:rsidR="00A009C6">
        <w:t xml:space="preserve"> are consistent with </w:t>
      </w:r>
      <w:r w:rsidR="00F57C6B">
        <w:t>articles</w:t>
      </w:r>
      <w:r w:rsidR="00A009C6">
        <w:t xml:space="preserve"> 19 and 21 of the Covenant, the author insists that the law sh</w:t>
      </w:r>
      <w:r>
        <w:t>o</w:t>
      </w:r>
      <w:r w:rsidR="00A009C6">
        <w:t xml:space="preserve">uld be </w:t>
      </w:r>
      <w:r w:rsidR="00F57C6B">
        <w:t>amended</w:t>
      </w:r>
      <w:r w:rsidR="00A009C6">
        <w:t xml:space="preserve">, and in this context, </w:t>
      </w:r>
      <w:r w:rsidR="00F2157E">
        <w:t xml:space="preserve">he </w:t>
      </w:r>
      <w:r w:rsidR="00A009C6">
        <w:t xml:space="preserve">refers to legal analysis </w:t>
      </w:r>
      <w:r w:rsidR="00F57C6B">
        <w:t>conducted</w:t>
      </w:r>
      <w:r w:rsidR="00A009C6">
        <w:t xml:space="preserve"> by </w:t>
      </w:r>
      <w:r>
        <w:t>v</w:t>
      </w:r>
      <w:r w:rsidR="00A009C6">
        <w:t>arious international organisation in this regard.</w:t>
      </w:r>
      <w:r w:rsidR="00A009C6">
        <w:rPr>
          <w:rStyle w:val="FootnoteReference"/>
        </w:rPr>
        <w:footnoteReference w:id="6"/>
      </w:r>
      <w:r w:rsidR="00A009C6">
        <w:t xml:space="preserve"> </w:t>
      </w:r>
      <w:r w:rsidR="004C73D5">
        <w:t xml:space="preserve"> </w:t>
      </w:r>
      <w:r w:rsidR="00112122">
        <w:t xml:space="preserve">In addition, the author refers to Committee’s </w:t>
      </w:r>
      <w:r w:rsidR="00112122">
        <w:lastRenderedPageBreak/>
        <w:t xml:space="preserve">jurisprudence </w:t>
      </w:r>
      <w:r w:rsidR="00621286">
        <w:t>and notes that t</w:t>
      </w:r>
      <w:r w:rsidR="00112122">
        <w:t xml:space="preserve">he Law on Public Events </w:t>
      </w:r>
      <w:r w:rsidR="00621286">
        <w:t xml:space="preserve">should </w:t>
      </w:r>
      <w:r>
        <w:t xml:space="preserve">be brought </w:t>
      </w:r>
      <w:r w:rsidR="00112122">
        <w:t xml:space="preserve">in line with </w:t>
      </w:r>
      <w:r w:rsidR="004C73D5">
        <w:t>the Covenant.</w:t>
      </w:r>
      <w:r w:rsidR="00185B6D">
        <w:rPr>
          <w:rStyle w:val="FootnoteReference"/>
        </w:rPr>
        <w:footnoteReference w:id="7"/>
      </w:r>
      <w:r w:rsidR="00112122">
        <w:t xml:space="preserve"> </w:t>
      </w:r>
    </w:p>
    <w:p w14:paraId="4FC042AB" w14:textId="0ADB8137" w:rsidR="000128E3" w:rsidRDefault="000128E3" w:rsidP="00BD49BA">
      <w:pPr>
        <w:pStyle w:val="H23G"/>
      </w:pPr>
      <w:r w:rsidRPr="00415BA0">
        <w:tab/>
      </w:r>
      <w:r w:rsidRPr="00415BA0">
        <w:tab/>
      </w:r>
      <w:r w:rsidR="007A26E3" w:rsidRPr="00415BA0">
        <w:tab/>
      </w:r>
      <w:r w:rsidRPr="00415BA0">
        <w:t xml:space="preserve">Issues and </w:t>
      </w:r>
      <w:r w:rsidRPr="00BD49BA">
        <w:t>proceedings</w:t>
      </w:r>
      <w:r w:rsidRPr="00415BA0">
        <w:t xml:space="preserve"> before the Committee</w:t>
      </w:r>
    </w:p>
    <w:p w14:paraId="1DCA7144" w14:textId="43E6B87F" w:rsidR="008B3D95" w:rsidRPr="005C4358" w:rsidRDefault="00DE5C04" w:rsidP="00885BF6">
      <w:pPr>
        <w:pStyle w:val="H4G"/>
        <w:rPr>
          <w:i w:val="0"/>
        </w:rPr>
      </w:pPr>
      <w:r>
        <w:tab/>
      </w:r>
      <w:r>
        <w:tab/>
      </w:r>
      <w:r w:rsidR="008B3D95" w:rsidRPr="005C4358">
        <w:t>Consideration of admissibility</w:t>
      </w:r>
    </w:p>
    <w:p w14:paraId="630CE388" w14:textId="4C4F86BD" w:rsidR="00AF1998" w:rsidRPr="00AF1998" w:rsidRDefault="00B35F15" w:rsidP="00BD49BA">
      <w:pPr>
        <w:pStyle w:val="SingleTxtG"/>
      </w:pPr>
      <w:r>
        <w:t>8</w:t>
      </w:r>
      <w:r w:rsidR="00AF1998" w:rsidRPr="00AF1998">
        <w:t>.1</w:t>
      </w:r>
      <w:r w:rsidR="00AF1998" w:rsidRPr="00AF1998">
        <w:tab/>
        <w:t xml:space="preserve">Before considering any claim contained in a communication, the Committee must decide, in accordance with rule 97 of its </w:t>
      </w:r>
      <w:r w:rsidR="00AF1998" w:rsidRPr="00BD49BA">
        <w:t>rules</w:t>
      </w:r>
      <w:r w:rsidR="00AF1998" w:rsidRPr="00AF1998">
        <w:t xml:space="preserve"> of procedure, whether the communication is admissible under the Optional Protocol.</w:t>
      </w:r>
    </w:p>
    <w:p w14:paraId="0081B64C" w14:textId="6CA20E7C" w:rsidR="00AF1998" w:rsidRPr="00AF1998" w:rsidRDefault="00B35F15" w:rsidP="00BD49BA">
      <w:pPr>
        <w:pStyle w:val="SingleTxtG"/>
      </w:pPr>
      <w:r>
        <w:t>8</w:t>
      </w:r>
      <w:r w:rsidR="00AF1998" w:rsidRPr="00AF1998">
        <w:t>.2</w:t>
      </w:r>
      <w:r w:rsidR="00AF1998" w:rsidRPr="00AF1998">
        <w:tab/>
        <w:t xml:space="preserve">The Committee has ascertained, as required under article 5 (2) (a) of the Optional Protocol, that the </w:t>
      </w:r>
      <w:r w:rsidR="00AF1998" w:rsidRPr="00BD49BA">
        <w:t>same</w:t>
      </w:r>
      <w:r w:rsidR="00AF1998" w:rsidRPr="00AF1998">
        <w:t xml:space="preserve"> matter is not being examined under another procedure of international investigation or settlement.</w:t>
      </w:r>
    </w:p>
    <w:p w14:paraId="2F1AE802" w14:textId="73B180D6" w:rsidR="00AB386F" w:rsidRDefault="00B2766A" w:rsidP="00BD49BA">
      <w:pPr>
        <w:pStyle w:val="SingleTxtG"/>
      </w:pPr>
      <w:r>
        <w:t>8</w:t>
      </w:r>
      <w:r w:rsidR="00AB386F">
        <w:t>.3</w:t>
      </w:r>
      <w:r w:rsidR="00AB386F">
        <w:tab/>
        <w:t xml:space="preserve">The Committee notes that the author has not complained under the supervisory review procedure to the Prosecutor General of Belarus. In this connection, it notes the State party’s assertion that the author has failed to </w:t>
      </w:r>
      <w:r w:rsidR="00F2157E">
        <w:t>exhaust the available domestic remedies</w:t>
      </w:r>
      <w:r w:rsidR="00AB386F">
        <w:t>. The Committee also notes the author’s argument that he submitted an appeal against the decision of the</w:t>
      </w:r>
      <w:r w:rsidR="00A4531D">
        <w:t xml:space="preserve"> </w:t>
      </w:r>
      <w:r w:rsidR="00A4531D" w:rsidRPr="00A4531D">
        <w:t xml:space="preserve">District Executive Committee of the </w:t>
      </w:r>
      <w:proofErr w:type="spellStart"/>
      <w:r w:rsidR="00A4531D" w:rsidRPr="00A4531D">
        <w:t>Malorit</w:t>
      </w:r>
      <w:proofErr w:type="spellEnd"/>
      <w:r w:rsidR="00A4531D" w:rsidRPr="00A4531D">
        <w:t xml:space="preserve"> city</w:t>
      </w:r>
      <w:r w:rsidR="00A4531D">
        <w:t xml:space="preserve"> </w:t>
      </w:r>
      <w:r w:rsidR="00AB386F">
        <w:t xml:space="preserve">to the </w:t>
      </w:r>
      <w:proofErr w:type="spellStart"/>
      <w:r w:rsidR="002161DC" w:rsidRPr="002161DC">
        <w:t>Malorit</w:t>
      </w:r>
      <w:proofErr w:type="spellEnd"/>
      <w:r w:rsidR="002161DC" w:rsidRPr="002161DC">
        <w:t xml:space="preserve"> District Court</w:t>
      </w:r>
      <w:r w:rsidR="00AB386F">
        <w:t xml:space="preserve">, which was dismissed on </w:t>
      </w:r>
      <w:r w:rsidR="002161DC">
        <w:t>10 July 20</w:t>
      </w:r>
      <w:r w:rsidR="00AB386F">
        <w:t xml:space="preserve">12. </w:t>
      </w:r>
      <w:r w:rsidR="002161DC">
        <w:t>H</w:t>
      </w:r>
      <w:r w:rsidR="00AB386F">
        <w:t xml:space="preserve">e further filed a cassation appeal to the </w:t>
      </w:r>
      <w:r w:rsidR="002161DC">
        <w:t xml:space="preserve">Brest </w:t>
      </w:r>
      <w:r w:rsidR="00AB386F">
        <w:t xml:space="preserve">Regional Court, which was rejected on </w:t>
      </w:r>
      <w:r w:rsidR="002161DC">
        <w:t xml:space="preserve">20 </w:t>
      </w:r>
      <w:r w:rsidR="002161DC" w:rsidRPr="00BD49BA">
        <w:t>August</w:t>
      </w:r>
      <w:r w:rsidR="002161DC">
        <w:t xml:space="preserve"> </w:t>
      </w:r>
      <w:r w:rsidR="00AB386F">
        <w:t xml:space="preserve">2012, and petitioned the </w:t>
      </w:r>
      <w:r w:rsidR="002161DC">
        <w:t>Brest</w:t>
      </w:r>
      <w:r w:rsidR="00AB386F">
        <w:t xml:space="preserve"> Regional Court and the Supreme Court of Belarus </w:t>
      </w:r>
      <w:r w:rsidR="00F2157E">
        <w:t xml:space="preserve">under the supervisory review proceedings but his appeals </w:t>
      </w:r>
      <w:r w:rsidR="00AB386F">
        <w:t xml:space="preserve">were rejected on </w:t>
      </w:r>
      <w:r w:rsidR="002161DC" w:rsidRPr="002161DC">
        <w:t xml:space="preserve">15 November 2012 and on 18 December 2012, respectively. </w:t>
      </w:r>
      <w:r w:rsidR="00AB386F">
        <w:t xml:space="preserve">The Committee further notes the author’s submission that he has not submitted a petition under the supervisory review procedure to the prosecutor’s office because he does not consider it to be an effective remedy. </w:t>
      </w:r>
    </w:p>
    <w:p w14:paraId="36435398" w14:textId="3D37E844" w:rsidR="00AB386F" w:rsidRDefault="00B2766A" w:rsidP="00BD49BA">
      <w:pPr>
        <w:pStyle w:val="SingleTxtG"/>
      </w:pPr>
      <w:r>
        <w:t>8</w:t>
      </w:r>
      <w:r w:rsidR="00AB386F">
        <w:t>.4</w:t>
      </w:r>
      <w:r w:rsidR="00AB386F">
        <w:tab/>
        <w:t xml:space="preserve">The Committee recalls its jurisprudence, according to which a petition to a prosecutor’s office requesting a </w:t>
      </w:r>
      <w:r w:rsidR="00AB386F" w:rsidRPr="00BD49BA">
        <w:t>review</w:t>
      </w:r>
      <w:r w:rsidR="00AB386F">
        <w:t xml:space="preserve"> of court decisions that have taken effect does not constitute a remedy that has to be exhausted for the purposes of article 5 (2) (b) of the Optional Protocol.</w:t>
      </w:r>
      <w:r w:rsidR="002161DC">
        <w:rPr>
          <w:rStyle w:val="FootnoteReference"/>
        </w:rPr>
        <w:footnoteReference w:id="8"/>
      </w:r>
      <w:r w:rsidR="00AB386F">
        <w:t xml:space="preserve">  Accordingly, the Committee considers that it is not precluded by article 5 (2) (b) of the Optional Protocol from examining the present communication. </w:t>
      </w:r>
    </w:p>
    <w:p w14:paraId="4FEAB0E7" w14:textId="06135987" w:rsidR="00AB386F" w:rsidRDefault="00B2766A" w:rsidP="00BD49BA">
      <w:pPr>
        <w:pStyle w:val="SingleTxtG"/>
      </w:pPr>
      <w:r>
        <w:t>8</w:t>
      </w:r>
      <w:r w:rsidR="00AB386F">
        <w:t>.5</w:t>
      </w:r>
      <w:r w:rsidR="00AB386F">
        <w:tab/>
        <w:t xml:space="preserve">The Committee takes note of the author’s submission that the State party violated </w:t>
      </w:r>
      <w:r w:rsidR="00F2157E">
        <w:t xml:space="preserve">his rights </w:t>
      </w:r>
      <w:r w:rsidR="00AB386F">
        <w:t>under article 2 (2), read in conjunction with articles 19 and 21 of the Covenant. The Committee recalls its jurisprudence</w:t>
      </w:r>
      <w:r w:rsidR="004A5ED6">
        <w:t>,</w:t>
      </w:r>
      <w:r w:rsidR="00532E5F">
        <w:rPr>
          <w:rStyle w:val="FootnoteReference"/>
        </w:rPr>
        <w:footnoteReference w:id="9"/>
      </w:r>
      <w:r w:rsidR="00AB386F">
        <w:t xml:space="preserve"> which indicates that the provisions of article 2 of the Covenant set forth a </w:t>
      </w:r>
      <w:r w:rsidR="00AB386F" w:rsidRPr="00BD49BA">
        <w:t>general</w:t>
      </w:r>
      <w:r w:rsidR="00AB386F">
        <w:t xml:space="preserve"> obligation for States parties and cannot give rise, when invoked separately, to a claim in a communication under the Optional Protocol. The Committee </w:t>
      </w:r>
      <w:r w:rsidR="00F57C6B">
        <w:t>reiterates</w:t>
      </w:r>
      <w:r w:rsidR="00AB386F">
        <w:t xml:space="preserve">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00532E5F">
        <w:rPr>
          <w:rStyle w:val="FootnoteReference"/>
        </w:rPr>
        <w:footnoteReference w:id="10"/>
      </w:r>
      <w:r w:rsidR="00AB386F">
        <w:t xml:space="preserve">  The Committee notes, however, that the author has already alleged a violation of his rights under articles 19 and 21, resulting from the interpretation and application of the existing laws of the State party, and the Committee does not consider examination of whether the State party has also violated its general obligations under article 2 (2), read in conjunction with articles 19 and 21 of the Covenant, to be distinct from examination of the violation of the author’s rights under articles 19 and 21 of the Covenant. The Committee therefore considers that the author’s claims in that regard are incompatible with article 2 of the Covenant and thus inadmissible under article 3 of the Optional Protocol</w:t>
      </w:r>
      <w:r w:rsidR="00843DAC">
        <w:t>.</w:t>
      </w:r>
    </w:p>
    <w:p w14:paraId="4AE178D0" w14:textId="194409DA" w:rsidR="00AB386F" w:rsidRDefault="00B2766A" w:rsidP="00BD49BA">
      <w:pPr>
        <w:pStyle w:val="SingleTxtG"/>
      </w:pPr>
      <w:r>
        <w:lastRenderedPageBreak/>
        <w:t>8</w:t>
      </w:r>
      <w:r w:rsidR="00AB386F">
        <w:t>.6</w:t>
      </w:r>
      <w:r w:rsidR="00AB386F">
        <w:tab/>
      </w:r>
      <w:r w:rsidR="00F2157E">
        <w:t xml:space="preserve">The </w:t>
      </w:r>
      <w:r w:rsidR="00AB386F">
        <w:t xml:space="preserve">Committee considers that the author has </w:t>
      </w:r>
      <w:r w:rsidR="00844937">
        <w:t xml:space="preserve">failed </w:t>
      </w:r>
      <w:proofErr w:type="gramStart"/>
      <w:r w:rsidR="00844937">
        <w:t xml:space="preserve">to </w:t>
      </w:r>
      <w:r w:rsidR="00AB386F">
        <w:t xml:space="preserve"> substantiate</w:t>
      </w:r>
      <w:proofErr w:type="gramEnd"/>
      <w:r w:rsidR="00AB386F">
        <w:t xml:space="preserve"> h</w:t>
      </w:r>
      <w:r w:rsidR="0055771E">
        <w:t>is</w:t>
      </w:r>
      <w:r w:rsidR="00AB386F">
        <w:t xml:space="preserve"> claims under articles 19 and 21, </w:t>
      </w:r>
      <w:r w:rsidR="00AB386F" w:rsidRPr="00BD49BA">
        <w:t>read</w:t>
      </w:r>
      <w:r w:rsidR="00AB386F">
        <w:t xml:space="preserve"> in conjunction with article 2 (3)</w:t>
      </w:r>
      <w:r w:rsidR="00844937">
        <w:t xml:space="preserve"> and therefore declares this part of the communication inadmissible.</w:t>
      </w:r>
    </w:p>
    <w:p w14:paraId="01569087" w14:textId="7ED0ED36" w:rsidR="001B6641" w:rsidRDefault="001B6641" w:rsidP="000E2765">
      <w:pPr>
        <w:pStyle w:val="SingleTxtG"/>
      </w:pPr>
      <w:r>
        <w:tab/>
      </w:r>
      <w:r w:rsidR="00844937">
        <w:t>8.7</w:t>
      </w:r>
      <w:r w:rsidR="00844937">
        <w:tab/>
      </w:r>
      <w:r w:rsidR="00844937" w:rsidRPr="00844937">
        <w:t xml:space="preserve">The Committee considers that the author has sufficiently substantiated his claims under articles 19 and 21 of the Covenant, for the purposes of admissibility, to the effect that his rights were restricted by the authorities, but that neither the District Executive Committee of the city of </w:t>
      </w:r>
      <w:proofErr w:type="spellStart"/>
      <w:r w:rsidR="00844937" w:rsidRPr="00844937">
        <w:t>Malorit</w:t>
      </w:r>
      <w:proofErr w:type="spellEnd"/>
      <w:r w:rsidR="00844937" w:rsidRPr="00844937">
        <w:t xml:space="preserve"> nor the courts considered whether the restrictions were in fact justified by reasons of national security or public safety, public order, or protection of public health or morals, or whether they were necessary for protection of the rights and freedoms of others. Accordingly, it declares the communication admissible and proceeds with its consideration on the merits</w:t>
      </w:r>
      <w:r w:rsidR="00916D08">
        <w:t>.</w:t>
      </w:r>
    </w:p>
    <w:p w14:paraId="03CCEFF8" w14:textId="30293F48" w:rsidR="000D4E61" w:rsidRPr="00415BA0" w:rsidRDefault="001B6641" w:rsidP="000E2765">
      <w:pPr>
        <w:pStyle w:val="H4G"/>
      </w:pPr>
      <w:r>
        <w:tab/>
      </w:r>
      <w:r>
        <w:tab/>
      </w:r>
      <w:r w:rsidR="000D4E61" w:rsidRPr="00415BA0">
        <w:t>Considerations of the merits</w:t>
      </w:r>
    </w:p>
    <w:p w14:paraId="3D52521D" w14:textId="5990EC84" w:rsidR="006A6790" w:rsidRDefault="009412FE" w:rsidP="00BD49BA">
      <w:pPr>
        <w:pStyle w:val="SingleTxtG"/>
      </w:pPr>
      <w:r>
        <w:t>9.</w:t>
      </w:r>
      <w:r w:rsidR="00C7315E">
        <w:t>1</w:t>
      </w:r>
      <w:r w:rsidR="00C7315E">
        <w:tab/>
      </w:r>
      <w:r w:rsidR="006A6790">
        <w:t xml:space="preserve">The Committee </w:t>
      </w:r>
      <w:r w:rsidR="006A6790" w:rsidRPr="00BD49BA">
        <w:t>has</w:t>
      </w:r>
      <w:r w:rsidR="006A6790">
        <w:t xml:space="preserve"> considered the </w:t>
      </w:r>
      <w:r w:rsidR="00E42D0D">
        <w:t xml:space="preserve">present </w:t>
      </w:r>
      <w:r w:rsidR="006A6790">
        <w:t>communication in the light of all the information made available to it by the parties, as provided under article 5 (1) of the Optional Protocol.</w:t>
      </w:r>
    </w:p>
    <w:p w14:paraId="41037182" w14:textId="492CD05D" w:rsidR="005C4825" w:rsidRDefault="009412FE" w:rsidP="00BD49BA">
      <w:pPr>
        <w:pStyle w:val="SingleTxtG"/>
      </w:pPr>
      <w:r>
        <w:t>9</w:t>
      </w:r>
      <w:r w:rsidR="003A53F7">
        <w:t>.2</w:t>
      </w:r>
      <w:r w:rsidR="003A53F7">
        <w:tab/>
      </w:r>
      <w:r w:rsidR="003A53F7" w:rsidRPr="003A53F7">
        <w:t>The Committee notes the author’</w:t>
      </w:r>
      <w:r w:rsidR="003A53F7">
        <w:t>s</w:t>
      </w:r>
      <w:r w:rsidR="003A53F7" w:rsidRPr="003A53F7">
        <w:t xml:space="preserve"> claims that </w:t>
      </w:r>
      <w:r w:rsidR="003A53F7">
        <w:t>his</w:t>
      </w:r>
      <w:r w:rsidR="003A53F7" w:rsidRPr="003A53F7">
        <w:t xml:space="preserve"> rights to freedom of expression and freedom of assembly have been restricted in violation of both article 19 and article 21 of the Covenant, as </w:t>
      </w:r>
      <w:r w:rsidR="003A53F7">
        <w:t>he was</w:t>
      </w:r>
      <w:r w:rsidR="003A53F7" w:rsidRPr="003A53F7">
        <w:t xml:space="preserve"> denied authorization to organize a peaceful assembly to attract the </w:t>
      </w:r>
      <w:r w:rsidR="009536B7" w:rsidRPr="009536B7">
        <w:t>public attention to the absence of free and democratic elections in Belarus.</w:t>
      </w:r>
      <w:r w:rsidR="005C4825">
        <w:t xml:space="preserve"> It also notes author’s claims that the </w:t>
      </w:r>
      <w:r w:rsidR="005C4825" w:rsidRPr="009536B7">
        <w:t xml:space="preserve">authorities failed to explain why in his case the restriction to hold a picket </w:t>
      </w:r>
      <w:r w:rsidR="00F2157E">
        <w:t xml:space="preserve">was </w:t>
      </w:r>
      <w:r w:rsidR="005C4825" w:rsidRPr="009536B7">
        <w:t xml:space="preserve">necessary in the interests of national security or public safety in order to protect public health, morals or the rights and freedoms of others. </w:t>
      </w:r>
      <w:r w:rsidR="004E7D78">
        <w:t>The author has</w:t>
      </w:r>
      <w:r w:rsidR="005C4825">
        <w:t xml:space="preserve"> also claim</w:t>
      </w:r>
      <w:r w:rsidR="004E7D78">
        <w:t>ed</w:t>
      </w:r>
      <w:r w:rsidR="005C4825">
        <w:t xml:space="preserve"> that the authorities could not substantiate </w:t>
      </w:r>
      <w:r w:rsidR="005C4825" w:rsidRPr="009536B7">
        <w:t xml:space="preserve">that the </w:t>
      </w:r>
      <w:r w:rsidR="00D26166">
        <w:t>restriction on organizing</w:t>
      </w:r>
      <w:r w:rsidR="005C4825" w:rsidRPr="009536B7">
        <w:t xml:space="preserve"> a peaceful assembly at a distance of less than 50 metres from public administration institutions </w:t>
      </w:r>
      <w:r w:rsidR="001806D6">
        <w:t>wa</w:t>
      </w:r>
      <w:r w:rsidR="005C4825" w:rsidRPr="009536B7">
        <w:t>s a l</w:t>
      </w:r>
      <w:r w:rsidR="001806D6">
        <w:t xml:space="preserve">awful </w:t>
      </w:r>
      <w:r w:rsidR="005C4825" w:rsidRPr="009536B7">
        <w:t>and fair reason to ban pickets.</w:t>
      </w:r>
    </w:p>
    <w:p w14:paraId="4A988CF6" w14:textId="25335ACB" w:rsidR="00C25E02" w:rsidRPr="00C25E02" w:rsidRDefault="009412FE" w:rsidP="00BD49BA">
      <w:pPr>
        <w:pStyle w:val="SingleTxtG"/>
      </w:pPr>
      <w:r>
        <w:t>9</w:t>
      </w:r>
      <w:r w:rsidR="00C25E02" w:rsidRPr="00C25E02">
        <w:t>.3</w:t>
      </w:r>
      <w:r w:rsidR="00C25E02" w:rsidRPr="00C25E02">
        <w:tab/>
        <w:t xml:space="preserve">The Committee recalls in that respect its general comment No. 34 (2011) on freedom of opinion and </w:t>
      </w:r>
      <w:r w:rsidR="00C25E02" w:rsidRPr="00BD49BA">
        <w:t>expression</w:t>
      </w:r>
      <w:r w:rsidR="00C25E02" w:rsidRPr="00C25E02">
        <w:t xml:space="preserve">, in which it stated, inter alia, that the freedom of expression </w:t>
      </w:r>
      <w:r w:rsidR="0012143A">
        <w:t>i</w:t>
      </w:r>
      <w:r w:rsidR="00C25E02" w:rsidRPr="00C25E02">
        <w:t>s essential for any society and constitute</w:t>
      </w:r>
      <w:r w:rsidR="0012143A">
        <w:t>s</w:t>
      </w:r>
      <w:r w:rsidR="00C25E02" w:rsidRPr="00C25E02">
        <w:t xml:space="preserve"> a foundation stone for every free and democratic society.</w:t>
      </w:r>
      <w:r w:rsidR="00C25E02" w:rsidRPr="00C25E02">
        <w:rPr>
          <w:vertAlign w:val="superscript"/>
        </w:rPr>
        <w:footnoteReference w:id="11"/>
      </w:r>
      <w:r w:rsidR="00C25E02" w:rsidRPr="00C25E02">
        <w:t xml:space="preserve"> It notes that article 19 (3) of the Convention allows for certain restrictions on the freedom of expression, including the freedom to impart information and ideas, only to the extent that those restrictions are provided for by law and only if they are necessary (a) for respect of the rights or reputation of others; or (b) for the protection of national security or public order (</w:t>
      </w:r>
      <w:proofErr w:type="spellStart"/>
      <w:r w:rsidR="00C25E02" w:rsidRPr="00C25E02">
        <w:rPr>
          <w:i/>
          <w:iCs/>
        </w:rPr>
        <w:t>ordre</w:t>
      </w:r>
      <w:proofErr w:type="spellEnd"/>
      <w:r w:rsidR="00C25E02" w:rsidRPr="00C25E02">
        <w:rPr>
          <w:i/>
          <w:iCs/>
        </w:rPr>
        <w:t xml:space="preserve"> public</w:t>
      </w:r>
      <w:r w:rsidR="00C25E02" w:rsidRPr="00C25E02">
        <w:t>), or of public health or morals. Finally, any restriction on freedom of expression must not be overbroad in nature – that is, it must be the least intrusive among the measures that might achieve the relevant protective function and proportionate to the interest to be protected.</w:t>
      </w:r>
      <w:r w:rsidR="00C25E02" w:rsidRPr="00C25E02">
        <w:rPr>
          <w:vertAlign w:val="superscript"/>
        </w:rPr>
        <w:footnoteReference w:id="12"/>
      </w:r>
      <w:r w:rsidR="00C25E02" w:rsidRPr="00C25E02">
        <w:t xml:space="preserve"> The Committee recalls that it is for the State party to demonstrate that the restrictions on the author’s rights under article 19 of the Covenant were necessary and proportionate.</w:t>
      </w:r>
      <w:r w:rsidR="00C25E02" w:rsidRPr="00C25E02">
        <w:rPr>
          <w:vertAlign w:val="superscript"/>
        </w:rPr>
        <w:footnoteReference w:id="13"/>
      </w:r>
      <w:r w:rsidR="00C25E02" w:rsidRPr="00C25E02">
        <w:t xml:space="preserve"> </w:t>
      </w:r>
    </w:p>
    <w:p w14:paraId="261AA7D9" w14:textId="48731985" w:rsidR="00C25E02" w:rsidRPr="00F20680" w:rsidRDefault="009412FE" w:rsidP="00BD49BA">
      <w:pPr>
        <w:pStyle w:val="SingleTxtG"/>
      </w:pPr>
      <w:r w:rsidRPr="00F20680">
        <w:t>9</w:t>
      </w:r>
      <w:r w:rsidR="00C25E02" w:rsidRPr="00F20680">
        <w:t>.4</w:t>
      </w:r>
      <w:r w:rsidR="00C25E02" w:rsidRPr="00F20680">
        <w:tab/>
        <w:t xml:space="preserve">The Committee notes that the refusal to authorize the picket was based on </w:t>
      </w:r>
      <w:r w:rsidR="00BA10AE" w:rsidRPr="00F20680">
        <w:t>article 9 of the Law “On Public Events”</w:t>
      </w:r>
      <w:r w:rsidR="00642394" w:rsidRPr="00F20680">
        <w:t xml:space="preserve"> which states that</w:t>
      </w:r>
      <w:r w:rsidR="00CB06B5" w:rsidRPr="00F20680">
        <w:t xml:space="preserve"> </w:t>
      </w:r>
      <w:r w:rsidR="0041363E">
        <w:t xml:space="preserve">the </w:t>
      </w:r>
      <w:r w:rsidR="00CB06B5" w:rsidRPr="00F20680">
        <w:t xml:space="preserve">holding of mass events </w:t>
      </w:r>
      <w:r w:rsidR="0041363E">
        <w:t>is</w:t>
      </w:r>
      <w:r w:rsidR="0041363E" w:rsidRPr="00F20680">
        <w:t xml:space="preserve"> </w:t>
      </w:r>
      <w:r w:rsidR="00CB06B5" w:rsidRPr="00F20680">
        <w:t>not permitted at a distance of less than 50 metres from the premises of public institutions</w:t>
      </w:r>
      <w:r w:rsidR="00C25E02" w:rsidRPr="00F20680">
        <w:t xml:space="preserve">. The Committee observes, however, that neither the State party nor the national courts have provided any explanations as to how such restrictions were justified pursuant to the conditions of necessity and proportionality </w:t>
      </w:r>
      <w:r w:rsidR="00805507" w:rsidRPr="00805507">
        <w:t xml:space="preserve">in the present case, since the picket was supposed to be held in the vicinity of the main entrance of a cultural </w:t>
      </w:r>
      <w:proofErr w:type="spellStart"/>
      <w:r w:rsidR="00805507" w:rsidRPr="00805507">
        <w:t>centre</w:t>
      </w:r>
      <w:r w:rsidR="00B91DC0">
        <w:t>and</w:t>
      </w:r>
      <w:proofErr w:type="spellEnd"/>
      <w:r w:rsidR="00B91DC0">
        <w:t xml:space="preserve"> </w:t>
      </w:r>
      <w:r w:rsidRPr="00F20680">
        <w:t>particularly given that the author ha</w:t>
      </w:r>
      <w:r w:rsidR="0041363E">
        <w:t>d</w:t>
      </w:r>
      <w:r w:rsidRPr="00F20680">
        <w:t xml:space="preserve"> expressed his willingness to consider an alternative location for holding the picket.</w:t>
      </w:r>
      <w:r w:rsidR="00C25E02" w:rsidRPr="00F20680">
        <w:t xml:space="preserve"> In the absence of any explanation by the State party, the Committee concludes that the rights of the author under article 19 (2) of the Covenant have been violated.</w:t>
      </w:r>
    </w:p>
    <w:p w14:paraId="67A5F417" w14:textId="1607BDDD" w:rsidR="00C25E02" w:rsidRPr="00C25E02" w:rsidRDefault="009412FE" w:rsidP="00BD49BA">
      <w:pPr>
        <w:pStyle w:val="SingleTxtG"/>
      </w:pPr>
      <w:r>
        <w:t>9</w:t>
      </w:r>
      <w:r w:rsidR="00C25E02" w:rsidRPr="00C25E02">
        <w:t>.5</w:t>
      </w:r>
      <w:r w:rsidR="00C25E02" w:rsidRPr="00C25E02">
        <w:tab/>
        <w:t xml:space="preserve">The Committee notes the author’s claim that </w:t>
      </w:r>
      <w:r w:rsidR="001806D6">
        <w:t xml:space="preserve">his </w:t>
      </w:r>
      <w:r w:rsidR="00C25E02" w:rsidRPr="00C25E02">
        <w:t xml:space="preserve">right of peaceful assembly under article 21 of the Covenant was also violated by the refusal of the municipal authorities to allow the picket to be held. In this context, the </w:t>
      </w:r>
      <w:r w:rsidR="00C25E02" w:rsidRPr="00BD49BA">
        <w:t>Committee</w:t>
      </w:r>
      <w:r w:rsidR="00C25E02" w:rsidRPr="00C25E02">
        <w:t xml:space="preserve"> recalls that the right of peaceful </w:t>
      </w:r>
      <w:r w:rsidR="00C25E02" w:rsidRPr="00C25E02">
        <w:lastRenderedPageBreak/>
        <w:t>assembly, as guaranteed under article 21 of the Covenant, is a fundamental human right that is essential for public expression of an individual’s views and opinions and is indispensable in a democratic society. This right entails the possibility of organizing and participating in a peaceful assembly, including a stationary assembly (such as a picket) in a public location. The organizers of an assembly generally have the right to choose a location within sight and sound of their target audience, and no restriction to this right is permissible, unless it (a) is imposed in conformity with the law; and (b) is necessary in a democratic society, in the interests of national security or public safety, public order (</w:t>
      </w:r>
      <w:proofErr w:type="spellStart"/>
      <w:r w:rsidR="00C25E02" w:rsidRPr="00C25E02">
        <w:t>ordre</w:t>
      </w:r>
      <w:proofErr w:type="spellEnd"/>
      <w:r w:rsidR="00C25E02" w:rsidRPr="00C25E02">
        <w:t xml:space="preserve"> public),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of facilitating the right, rather than seeking unnecessary or disproportionate limitations to it. The State party is thus under an obligation to justify the limitation of the right protected by article 21 of the Covenant.</w:t>
      </w:r>
      <w:r w:rsidR="00C25E02" w:rsidRPr="00C25E02">
        <w:rPr>
          <w:vertAlign w:val="superscript"/>
        </w:rPr>
        <w:footnoteReference w:id="14"/>
      </w:r>
    </w:p>
    <w:p w14:paraId="75E53607" w14:textId="000A7E4C" w:rsidR="00C25E02" w:rsidRDefault="009412FE" w:rsidP="00C25E02">
      <w:pPr>
        <w:pStyle w:val="SingleTxtG"/>
      </w:pPr>
      <w:r>
        <w:t>9</w:t>
      </w:r>
      <w:r w:rsidR="00C25E02">
        <w:t>.6</w:t>
      </w:r>
      <w:r w:rsidR="00C25E02">
        <w:tab/>
        <w:t>In the present case, the Committee must consider whether the restrictions imposed on the author’s right of peaceful assembly are justified under any of the criteria set out in the second sentence of article 21 of the Covenant. In light of the information available on file, the Committee notes that neither the municipal authorities nor the domestic courts have provided any justification or explanation as to how, in practice, the author’s protest would have violated the interests of national security or public safety, public order (</w:t>
      </w:r>
      <w:proofErr w:type="spellStart"/>
      <w:r w:rsidR="00C25E02">
        <w:t>ordre</w:t>
      </w:r>
      <w:proofErr w:type="spellEnd"/>
      <w:r w:rsidR="00C25E02">
        <w:t xml:space="preserve"> public), the protection of public health or morals or the protection of the rights and freedoms of others, as set out in article 21 of the Covenant.</w:t>
      </w:r>
      <w:r w:rsidR="00507B45">
        <w:t xml:space="preserve"> The State party also failed to show that any alternative measures were taken to facilitate the exercise of the author’s rights under article 21.</w:t>
      </w:r>
    </w:p>
    <w:p w14:paraId="75569876" w14:textId="242CBFF2" w:rsidR="00C25E02" w:rsidRDefault="009412FE" w:rsidP="00C25E02">
      <w:pPr>
        <w:pStyle w:val="SingleTxtG"/>
      </w:pPr>
      <w:r>
        <w:t>9</w:t>
      </w:r>
      <w:r w:rsidR="00C25E02">
        <w:t>.7</w:t>
      </w:r>
      <w:r w:rsidR="00C25E02">
        <w:tab/>
        <w:t>The Committee notes that it has dealt with similar cases in respect of the same laws and practices of the State party in a number of earlier communications.  In line with those precedents, and in the absence of any explanation by the State party regarding the matter, the Committee concludes that, in the present case, the State party has violated the author’s rights under article 21 of the Covenant.</w:t>
      </w:r>
    </w:p>
    <w:p w14:paraId="1623D2B1" w14:textId="447E8C54" w:rsidR="00C25E02" w:rsidRDefault="008435C7" w:rsidP="00C25E02">
      <w:pPr>
        <w:pStyle w:val="SingleTxtG"/>
      </w:pPr>
      <w:r>
        <w:t>10</w:t>
      </w:r>
      <w:r w:rsidR="00C25E02">
        <w:tab/>
        <w:t xml:space="preserve">The Committee, acting under article 5 (4) of the Optional Protocol, is of the view that the facts before it disclose a violation by the State party of the author’s rights under articles 19 (2) and 21 of the Covenant. </w:t>
      </w:r>
    </w:p>
    <w:p w14:paraId="7FE57427" w14:textId="45DA55F2" w:rsidR="00E112FA" w:rsidRDefault="009412FE" w:rsidP="00BD49BA">
      <w:pPr>
        <w:pStyle w:val="SingleTxtG"/>
      </w:pPr>
      <w:r>
        <w:t>1</w:t>
      </w:r>
      <w:r w:rsidR="008435C7">
        <w:t>1</w:t>
      </w:r>
      <w:r w:rsidR="00C25E02">
        <w:t>.</w:t>
      </w:r>
      <w:r w:rsidR="00C25E02">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the author with adequate compensation. The State party is also under an obligation to take all steps necessary to prevent similar violations from occurring in the future</w:t>
      </w:r>
      <w:r w:rsidR="00916D08">
        <w:t>.</w:t>
      </w:r>
      <w:r w:rsidR="00916D08" w:rsidRPr="00916D08">
        <w:rPr>
          <w:rFonts w:asciiTheme="minorHAnsi" w:eastAsiaTheme="minorHAnsi" w:hAnsiTheme="minorHAnsi" w:cstheme="minorBidi"/>
          <w:sz w:val="22"/>
          <w:szCs w:val="22"/>
        </w:rPr>
        <w:t xml:space="preserve"> </w:t>
      </w:r>
      <w:r w:rsidR="00916D08" w:rsidRPr="00916D08">
        <w:t>In that connection, the Committee notes that the State party should revise its normative framework on public events, consistent with its obligation under article 2 (2), with a view to ensuring that the rights under articles 19 and 21 of the Covenant may be fully enjoyed in the State party.</w:t>
      </w:r>
    </w:p>
    <w:p w14:paraId="7421B678" w14:textId="6420002D" w:rsidR="009536B7" w:rsidRDefault="00C25E02" w:rsidP="00BD49BA">
      <w:pPr>
        <w:pStyle w:val="SingleTxtG"/>
      </w:pPr>
      <w:r>
        <w:t>1</w:t>
      </w:r>
      <w:r w:rsidR="00E112FA">
        <w:t>2</w:t>
      </w:r>
      <w:r>
        <w:t>.</w:t>
      </w:r>
      <w: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w:t>
      </w:r>
      <w:r w:rsidRPr="00BD49BA">
        <w:t>also</w:t>
      </w:r>
      <w:r>
        <w:t xml:space="preserve"> requested to publish the present Views and to have them widely disseminated in the official languages of the State party.</w:t>
      </w:r>
    </w:p>
    <w:p w14:paraId="31254C7C" w14:textId="1692689B" w:rsidR="00C15938" w:rsidRPr="0058628F" w:rsidRDefault="00C15938" w:rsidP="00C15938">
      <w:pPr>
        <w:pStyle w:val="SingleTxtG"/>
        <w:spacing w:before="240" w:after="0"/>
        <w:jc w:val="center"/>
        <w:rPr>
          <w:color w:val="000000"/>
          <w:u w:val="single"/>
          <w:lang w:eastAsia="en-GB"/>
        </w:rPr>
      </w:pPr>
      <w:r>
        <w:rPr>
          <w:u w:val="single"/>
        </w:rPr>
        <w:tab/>
      </w:r>
      <w:r>
        <w:rPr>
          <w:u w:val="single"/>
        </w:rPr>
        <w:tab/>
      </w:r>
      <w:r>
        <w:rPr>
          <w:u w:val="single"/>
        </w:rPr>
        <w:tab/>
      </w:r>
      <w:r w:rsidR="00763BE8">
        <w:rPr>
          <w:u w:val="single"/>
        </w:rPr>
        <w:tab/>
      </w:r>
    </w:p>
    <w:sectPr w:rsidR="00C15938" w:rsidRPr="0058628F" w:rsidSect="00763BE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ADBE1" w14:textId="77777777" w:rsidR="000C6E2D" w:rsidRDefault="000C6E2D"/>
  </w:endnote>
  <w:endnote w:type="continuationSeparator" w:id="0">
    <w:p w14:paraId="1647DC98" w14:textId="77777777" w:rsidR="000C6E2D" w:rsidRDefault="000C6E2D"/>
  </w:endnote>
  <w:endnote w:type="continuationNotice" w:id="1">
    <w:p w14:paraId="6E9662F3" w14:textId="77777777" w:rsidR="000C6E2D" w:rsidRDefault="000C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altName w:val="Symbol"/>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9B35" w14:textId="5869A61A" w:rsidR="00E54361" w:rsidRPr="00781C83" w:rsidRDefault="00422F31" w:rsidP="00781C83">
    <w:pPr>
      <w:pStyle w:val="Footer"/>
      <w:tabs>
        <w:tab w:val="right" w:pos="9638"/>
      </w:tabs>
    </w:pPr>
    <w:r w:rsidRPr="00781C83">
      <w:rPr>
        <w:b/>
        <w:sz w:val="18"/>
      </w:rPr>
      <w:fldChar w:fldCharType="begin"/>
    </w:r>
    <w:r w:rsidR="00E54361" w:rsidRPr="00781C83">
      <w:rPr>
        <w:b/>
        <w:sz w:val="18"/>
      </w:rPr>
      <w:instrText xml:space="preserve"> PAGE  \* MERGEFORMAT </w:instrText>
    </w:r>
    <w:r w:rsidRPr="00781C83">
      <w:rPr>
        <w:b/>
        <w:sz w:val="18"/>
      </w:rPr>
      <w:fldChar w:fldCharType="separate"/>
    </w:r>
    <w:r w:rsidR="0019163A">
      <w:rPr>
        <w:b/>
        <w:noProof/>
        <w:sz w:val="18"/>
      </w:rPr>
      <w:t>6</w:t>
    </w:r>
    <w:r w:rsidRPr="00781C83">
      <w:rPr>
        <w:b/>
        <w:sz w:val="18"/>
      </w:rPr>
      <w:fldChar w:fldCharType="end"/>
    </w:r>
    <w:r w:rsidR="00E5436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A14E" w14:textId="4D3A32B6" w:rsidR="00E54361" w:rsidRPr="00781C83" w:rsidRDefault="00E54361" w:rsidP="00781C83">
    <w:pPr>
      <w:pStyle w:val="Footer"/>
      <w:tabs>
        <w:tab w:val="right" w:pos="9638"/>
      </w:tabs>
      <w:rPr>
        <w:sz w:val="18"/>
      </w:rPr>
    </w:pPr>
    <w:r>
      <w:rPr>
        <w:b/>
        <w:sz w:val="18"/>
      </w:rPr>
      <w:tab/>
    </w:r>
    <w:r w:rsidR="00422F31" w:rsidRPr="00781C83">
      <w:rPr>
        <w:sz w:val="18"/>
      </w:rPr>
      <w:fldChar w:fldCharType="begin"/>
    </w:r>
    <w:r w:rsidRPr="00781C83">
      <w:rPr>
        <w:sz w:val="18"/>
      </w:rPr>
      <w:instrText xml:space="preserve"> PAGE  \* MERGEFORMAT </w:instrText>
    </w:r>
    <w:r w:rsidR="00422F31" w:rsidRPr="00781C83">
      <w:rPr>
        <w:sz w:val="18"/>
      </w:rPr>
      <w:fldChar w:fldCharType="separate"/>
    </w:r>
    <w:r w:rsidR="0019163A">
      <w:rPr>
        <w:noProof/>
        <w:sz w:val="18"/>
      </w:rPr>
      <w:t>5</w:t>
    </w:r>
    <w:r w:rsidR="00422F31" w:rsidRPr="00781C8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3501" w14:textId="6689A8E5" w:rsidR="002E7820" w:rsidRDefault="002E7820" w:rsidP="002E7820">
    <w:pPr>
      <w:pStyle w:val="Footer"/>
    </w:pPr>
    <w:r>
      <w:rPr>
        <w:noProof/>
        <w:lang w:eastAsia="en-GB"/>
      </w:rPr>
      <w:drawing>
        <wp:anchor distT="0" distB="0" distL="114300" distR="114300" simplePos="0" relativeHeight="251659264" behindDoc="1" locked="1" layoutInCell="1" allowOverlap="1" wp14:anchorId="26B69F20" wp14:editId="4703596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F13BC2" w14:textId="0C82ED47" w:rsidR="002E7820" w:rsidRPr="002E7820" w:rsidRDefault="002E7820" w:rsidP="002E7820">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0ABBE474" wp14:editId="12046D8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9/DR/240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9/DR/240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3D17" w14:textId="77777777" w:rsidR="000C6E2D" w:rsidRPr="000B175B" w:rsidRDefault="000C6E2D" w:rsidP="000B175B">
      <w:pPr>
        <w:tabs>
          <w:tab w:val="right" w:pos="2155"/>
        </w:tabs>
        <w:spacing w:after="80"/>
        <w:ind w:left="680"/>
        <w:rPr>
          <w:u w:val="single"/>
        </w:rPr>
      </w:pPr>
      <w:r>
        <w:rPr>
          <w:u w:val="single"/>
        </w:rPr>
        <w:tab/>
      </w:r>
    </w:p>
  </w:footnote>
  <w:footnote w:type="continuationSeparator" w:id="0">
    <w:p w14:paraId="3F885035" w14:textId="77777777" w:rsidR="000C6E2D" w:rsidRPr="00FC68B7" w:rsidRDefault="000C6E2D" w:rsidP="00FC68B7">
      <w:pPr>
        <w:tabs>
          <w:tab w:val="left" w:pos="2155"/>
        </w:tabs>
        <w:spacing w:after="80"/>
        <w:ind w:left="680"/>
        <w:rPr>
          <w:u w:val="single"/>
        </w:rPr>
      </w:pPr>
      <w:r>
        <w:rPr>
          <w:u w:val="single"/>
        </w:rPr>
        <w:tab/>
      </w:r>
    </w:p>
  </w:footnote>
  <w:footnote w:type="continuationNotice" w:id="1">
    <w:p w14:paraId="3AAF1239" w14:textId="77777777" w:rsidR="000C6E2D" w:rsidRDefault="000C6E2D"/>
  </w:footnote>
  <w:footnote w:id="2">
    <w:p w14:paraId="31B2A688" w14:textId="7286FA22" w:rsidR="00EC5EA9" w:rsidRPr="00EC5EA9" w:rsidRDefault="00EC5EA9" w:rsidP="00EC5EA9">
      <w:pPr>
        <w:pStyle w:val="FootnoteText"/>
      </w:pPr>
      <w:r w:rsidRPr="0019163A">
        <w:rPr>
          <w:rStyle w:val="FootnoteReference"/>
          <w:vertAlign w:val="baseline"/>
        </w:rPr>
        <w:tab/>
        <w:t>*</w:t>
      </w:r>
      <w:r w:rsidRPr="0019163A">
        <w:rPr>
          <w:rStyle w:val="FootnoteReference"/>
          <w:vertAlign w:val="baseline"/>
        </w:rPr>
        <w:tab/>
      </w:r>
      <w:r w:rsidRPr="00EC5EA9">
        <w:t>Adopted by the Committee at its 129th session (29 June-24 July 2020).</w:t>
      </w:r>
    </w:p>
  </w:footnote>
  <w:footnote w:id="3">
    <w:p w14:paraId="3F89AE01" w14:textId="77777777" w:rsidR="00EC5EA9" w:rsidRPr="00EC5EA9" w:rsidRDefault="00EC5EA9">
      <w:pPr>
        <w:pStyle w:val="FootnoteText"/>
      </w:pPr>
      <w:r w:rsidRPr="0019163A">
        <w:rPr>
          <w:rStyle w:val="FootnoteReference"/>
          <w:vertAlign w:val="baseline"/>
        </w:rPr>
        <w:tab/>
        <w:t>**</w:t>
      </w:r>
      <w:r w:rsidRPr="0019163A">
        <w:rPr>
          <w:rStyle w:val="FootnoteReference"/>
          <w:vertAlign w:val="baseline"/>
        </w:rPr>
        <w:tab/>
      </w:r>
      <w:r w:rsidRPr="00EC5EA9">
        <w:t xml:space="preserve">The following members of the Committee participated in the examination of the communication: Tania María Abdo </w:t>
      </w:r>
      <w:proofErr w:type="spellStart"/>
      <w:r w:rsidRPr="00EC5EA9">
        <w:t>Rocholl</w:t>
      </w:r>
      <w:proofErr w:type="spellEnd"/>
      <w:r w:rsidRPr="00EC5EA9">
        <w:t xml:space="preserve">, </w:t>
      </w:r>
      <w:proofErr w:type="spellStart"/>
      <w:r w:rsidRPr="00EC5EA9">
        <w:t>Yadh</w:t>
      </w:r>
      <w:proofErr w:type="spellEnd"/>
      <w:r w:rsidRPr="00EC5EA9">
        <w:t xml:space="preserve"> Ben </w:t>
      </w:r>
      <w:proofErr w:type="spellStart"/>
      <w:r w:rsidRPr="00EC5EA9">
        <w:t>Achour</w:t>
      </w:r>
      <w:proofErr w:type="spellEnd"/>
      <w:r w:rsidRPr="00EC5EA9">
        <w:t xml:space="preserve">, </w:t>
      </w:r>
      <w:proofErr w:type="spellStart"/>
      <w:r w:rsidRPr="00EC5EA9">
        <w:t>Arif</w:t>
      </w:r>
      <w:proofErr w:type="spellEnd"/>
      <w:r w:rsidRPr="00EC5EA9">
        <w:t xml:space="preserve"> </w:t>
      </w:r>
      <w:proofErr w:type="spellStart"/>
      <w:r w:rsidRPr="00EC5EA9">
        <w:t>Bulkan</w:t>
      </w:r>
      <w:proofErr w:type="spellEnd"/>
      <w:r w:rsidRPr="00EC5EA9">
        <w:t xml:space="preserve">, Ahmed Amin </w:t>
      </w:r>
      <w:proofErr w:type="spellStart"/>
      <w:r w:rsidRPr="00EC5EA9">
        <w:t>Fathalla</w:t>
      </w:r>
      <w:proofErr w:type="spellEnd"/>
      <w:r w:rsidRPr="00EC5EA9">
        <w:t xml:space="preserve">, Shuichi </w:t>
      </w:r>
      <w:proofErr w:type="spellStart"/>
      <w:r w:rsidRPr="00EC5EA9">
        <w:t>Furuya</w:t>
      </w:r>
      <w:proofErr w:type="spellEnd"/>
      <w:r w:rsidRPr="00EC5EA9">
        <w:t xml:space="preserve">, </w:t>
      </w:r>
      <w:proofErr w:type="spellStart"/>
      <w:r w:rsidRPr="00EC5EA9">
        <w:t>Bamariam</w:t>
      </w:r>
      <w:proofErr w:type="spellEnd"/>
      <w:r w:rsidRPr="00EC5EA9">
        <w:t xml:space="preserve"> </w:t>
      </w:r>
      <w:proofErr w:type="spellStart"/>
      <w:r w:rsidRPr="00EC5EA9">
        <w:t>Koita</w:t>
      </w:r>
      <w:proofErr w:type="spellEnd"/>
      <w:r w:rsidRPr="00EC5EA9">
        <w:t xml:space="preserve">, Marcia </w:t>
      </w:r>
      <w:proofErr w:type="spellStart"/>
      <w:r w:rsidRPr="00EC5EA9">
        <w:t>Kran</w:t>
      </w:r>
      <w:proofErr w:type="spellEnd"/>
      <w:r w:rsidRPr="00EC5EA9">
        <w:t xml:space="preserve">, Duncan </w:t>
      </w:r>
      <w:proofErr w:type="spellStart"/>
      <w:r w:rsidRPr="00EC5EA9">
        <w:t>Laki</w:t>
      </w:r>
      <w:proofErr w:type="spellEnd"/>
      <w:r w:rsidRPr="00EC5EA9">
        <w:t xml:space="preserve"> </w:t>
      </w:r>
      <w:proofErr w:type="spellStart"/>
      <w:r w:rsidRPr="00EC5EA9">
        <w:t>Muhumuza</w:t>
      </w:r>
      <w:proofErr w:type="spellEnd"/>
      <w:r w:rsidRPr="00EC5EA9">
        <w:t xml:space="preserve">, Photini </w:t>
      </w:r>
      <w:proofErr w:type="spellStart"/>
      <w:r w:rsidRPr="00EC5EA9">
        <w:t>Pazartzis</w:t>
      </w:r>
      <w:proofErr w:type="spellEnd"/>
      <w:r w:rsidRPr="00EC5EA9">
        <w:t xml:space="preserve">, </w:t>
      </w:r>
      <w:proofErr w:type="spellStart"/>
      <w:r w:rsidRPr="00EC5EA9">
        <w:t>Hernán</w:t>
      </w:r>
      <w:proofErr w:type="spellEnd"/>
      <w:r w:rsidRPr="00EC5EA9">
        <w:t xml:space="preserve"> Quezada Cabrera, </w:t>
      </w:r>
      <w:proofErr w:type="spellStart"/>
      <w:r w:rsidRPr="00EC5EA9">
        <w:t>Vasilka</w:t>
      </w:r>
      <w:proofErr w:type="spellEnd"/>
      <w:r w:rsidRPr="00EC5EA9">
        <w:t xml:space="preserve"> </w:t>
      </w:r>
      <w:proofErr w:type="spellStart"/>
      <w:r w:rsidRPr="00EC5EA9">
        <w:t>Sancin</w:t>
      </w:r>
      <w:proofErr w:type="spellEnd"/>
      <w:r w:rsidRPr="00EC5EA9">
        <w:t xml:space="preserve">, José Manuel Santos </w:t>
      </w:r>
      <w:proofErr w:type="spellStart"/>
      <w:r w:rsidRPr="00EC5EA9">
        <w:t>Pais</w:t>
      </w:r>
      <w:proofErr w:type="spellEnd"/>
      <w:r w:rsidRPr="00EC5EA9">
        <w:t xml:space="preserve">, Yuval </w:t>
      </w:r>
      <w:proofErr w:type="spellStart"/>
      <w:r w:rsidRPr="00EC5EA9">
        <w:t>Shany</w:t>
      </w:r>
      <w:proofErr w:type="spellEnd"/>
      <w:r w:rsidRPr="00EC5EA9">
        <w:t xml:space="preserve">, Hélène Tigroudja, Andreas Zimmermann and Gentian </w:t>
      </w:r>
      <w:proofErr w:type="spellStart"/>
      <w:r w:rsidRPr="00EC5EA9">
        <w:t>Zyberi</w:t>
      </w:r>
      <w:proofErr w:type="spellEnd"/>
      <w:r w:rsidRPr="00EC5EA9">
        <w:t>.</w:t>
      </w:r>
    </w:p>
    <w:p w14:paraId="6F819B3E" w14:textId="3071ECBC" w:rsidR="00EC5EA9" w:rsidRPr="00EC5EA9" w:rsidRDefault="00EC5EA9">
      <w:pPr>
        <w:pStyle w:val="FootnoteText"/>
      </w:pPr>
    </w:p>
  </w:footnote>
  <w:footnote w:id="4">
    <w:p w14:paraId="36CA9A5A" w14:textId="4D631663" w:rsidR="00C72BDE" w:rsidRPr="00C72BDE" w:rsidRDefault="00E2297A" w:rsidP="001D4FC3">
      <w:pPr>
        <w:pStyle w:val="FootnoteText"/>
        <w:rPr>
          <w:lang w:val="en-GB"/>
        </w:rPr>
      </w:pPr>
      <w:r>
        <w:tab/>
      </w:r>
      <w:r w:rsidR="00C72BDE">
        <w:rPr>
          <w:rStyle w:val="FootnoteReference"/>
        </w:rPr>
        <w:footnoteRef/>
      </w:r>
      <w:r>
        <w:tab/>
      </w:r>
      <w:r w:rsidR="00C72BDE" w:rsidRPr="001D4FC3">
        <w:t>A</w:t>
      </w:r>
      <w:r w:rsidRPr="001D4FC3">
        <w:t>pproximate</w:t>
      </w:r>
      <w:r>
        <w:t xml:space="preserve"> distance </w:t>
      </w:r>
      <w:r w:rsidRPr="001D4FC3">
        <w:t>from</w:t>
      </w:r>
      <w:r>
        <w:t xml:space="preserve"> the cultural </w:t>
      </w:r>
      <w:r w:rsidR="00265113">
        <w:t>center</w:t>
      </w:r>
      <w:r>
        <w:t xml:space="preserve"> is 25 </w:t>
      </w:r>
      <w:r w:rsidR="00265113">
        <w:t>meters</w:t>
      </w:r>
      <w:r>
        <w:t>.</w:t>
      </w:r>
      <w:r w:rsidR="00C72BDE" w:rsidRPr="00C72BDE">
        <w:t xml:space="preserve">  </w:t>
      </w:r>
    </w:p>
  </w:footnote>
  <w:footnote w:id="5">
    <w:p w14:paraId="7CC52DD1" w14:textId="167647BC" w:rsidR="005C5808" w:rsidRPr="005C5808" w:rsidRDefault="005C5808" w:rsidP="00BD49BA">
      <w:pPr>
        <w:pStyle w:val="FootnoteText"/>
        <w:rPr>
          <w:lang w:val="en-GB"/>
        </w:rPr>
      </w:pPr>
      <w:r>
        <w:tab/>
      </w:r>
      <w:r>
        <w:rPr>
          <w:rStyle w:val="FootnoteReference"/>
        </w:rPr>
        <w:footnoteRef/>
      </w:r>
      <w:r>
        <w:tab/>
      </w:r>
      <w:r>
        <w:rPr>
          <w:lang w:val="en-GB"/>
        </w:rPr>
        <w:t xml:space="preserve">Reference is made to ECtHR case 47033/99, </w:t>
      </w:r>
      <w:proofErr w:type="spellStart"/>
      <w:r w:rsidRPr="005C5808">
        <w:rPr>
          <w:i/>
          <w:lang w:val="en-GB"/>
        </w:rPr>
        <w:t>Tumilovich</w:t>
      </w:r>
      <w:proofErr w:type="spellEnd"/>
      <w:r w:rsidRPr="005C5808">
        <w:rPr>
          <w:i/>
          <w:lang w:val="en-GB"/>
        </w:rPr>
        <w:t xml:space="preserve"> v. Russia</w:t>
      </w:r>
      <w:r w:rsidR="00763BE8">
        <w:rPr>
          <w:i/>
          <w:lang w:val="en-GB"/>
        </w:rPr>
        <w:t>.</w:t>
      </w:r>
    </w:p>
  </w:footnote>
  <w:footnote w:id="6">
    <w:p w14:paraId="34D143F7" w14:textId="3ADE0832" w:rsidR="00A009C6" w:rsidRPr="00A009C6" w:rsidRDefault="00C027AF" w:rsidP="00BD49BA">
      <w:pPr>
        <w:pStyle w:val="FootnoteText"/>
        <w:rPr>
          <w:lang w:val="en-GB"/>
        </w:rPr>
      </w:pPr>
      <w:r>
        <w:tab/>
      </w:r>
      <w:r w:rsidR="00A009C6">
        <w:rPr>
          <w:rStyle w:val="FootnoteReference"/>
        </w:rPr>
        <w:footnoteRef/>
      </w:r>
      <w:r w:rsidR="00A009C6">
        <w:tab/>
      </w:r>
      <w:r w:rsidR="00A009C6">
        <w:rPr>
          <w:lang w:val="en-GB"/>
        </w:rPr>
        <w:t xml:space="preserve">The reference is made to </w:t>
      </w:r>
      <w:r>
        <w:rPr>
          <w:lang w:val="en-GB"/>
        </w:rPr>
        <w:t xml:space="preserve">the analysis by the </w:t>
      </w:r>
      <w:r w:rsidR="00A009C6">
        <w:rPr>
          <w:lang w:val="en-GB"/>
        </w:rPr>
        <w:t xml:space="preserve">Venice Commission and the OSCE Office for Democratic </w:t>
      </w:r>
      <w:r w:rsidR="00A009C6" w:rsidRPr="00BD49BA">
        <w:t>Institutions</w:t>
      </w:r>
      <w:r w:rsidR="00A009C6">
        <w:rPr>
          <w:lang w:val="en-GB"/>
        </w:rPr>
        <w:t xml:space="preserve"> and Human Rights</w:t>
      </w:r>
      <w:r w:rsidR="00763BE8">
        <w:rPr>
          <w:lang w:val="en-GB"/>
        </w:rPr>
        <w:t>.</w:t>
      </w:r>
      <w:r w:rsidR="00A009C6">
        <w:rPr>
          <w:lang w:val="en-GB"/>
        </w:rPr>
        <w:t xml:space="preserve"> </w:t>
      </w:r>
    </w:p>
  </w:footnote>
  <w:footnote w:id="7">
    <w:p w14:paraId="3F5F2D2A" w14:textId="7535B417" w:rsidR="00185B6D" w:rsidRPr="00763BE8" w:rsidRDefault="00185B6D">
      <w:pPr>
        <w:pStyle w:val="FootnoteText"/>
        <w:rPr>
          <w:lang w:val="es-ES"/>
        </w:rPr>
      </w:pPr>
      <w:r>
        <w:tab/>
      </w:r>
      <w:r>
        <w:rPr>
          <w:rStyle w:val="FootnoteReference"/>
        </w:rPr>
        <w:footnoteRef/>
      </w:r>
      <w:r w:rsidRPr="00763BE8">
        <w:rPr>
          <w:lang w:val="es-ES"/>
        </w:rPr>
        <w:tab/>
      </w:r>
      <w:proofErr w:type="spellStart"/>
      <w:r w:rsidR="002161DC" w:rsidRPr="00763BE8">
        <w:rPr>
          <w:lang w:val="es-ES"/>
        </w:rPr>
        <w:t>See</w:t>
      </w:r>
      <w:proofErr w:type="spellEnd"/>
      <w:r w:rsidRPr="00763BE8">
        <w:rPr>
          <w:lang w:val="es-ES"/>
        </w:rPr>
        <w:t xml:space="preserve"> </w:t>
      </w:r>
      <w:proofErr w:type="spellStart"/>
      <w:r w:rsidRPr="00763BE8">
        <w:rPr>
          <w:i/>
          <w:lang w:val="es-ES"/>
        </w:rPr>
        <w:t>Vasily</w:t>
      </w:r>
      <w:proofErr w:type="spellEnd"/>
      <w:r w:rsidRPr="00763BE8">
        <w:rPr>
          <w:i/>
          <w:lang w:val="es-ES"/>
        </w:rPr>
        <w:t xml:space="preserve"> </w:t>
      </w:r>
      <w:proofErr w:type="spellStart"/>
      <w:r w:rsidRPr="00763BE8">
        <w:rPr>
          <w:i/>
          <w:lang w:val="es-ES"/>
        </w:rPr>
        <w:t>Poliakov</w:t>
      </w:r>
      <w:proofErr w:type="spellEnd"/>
      <w:r w:rsidRPr="00763BE8">
        <w:rPr>
          <w:i/>
          <w:lang w:val="es-ES"/>
        </w:rPr>
        <w:t xml:space="preserve"> v. </w:t>
      </w:r>
      <w:proofErr w:type="spellStart"/>
      <w:r w:rsidRPr="00763BE8">
        <w:rPr>
          <w:i/>
          <w:lang w:val="es-ES"/>
        </w:rPr>
        <w:t>Belarus</w:t>
      </w:r>
      <w:proofErr w:type="spellEnd"/>
      <w:r w:rsidRPr="00763BE8">
        <w:rPr>
          <w:lang w:val="es-ES"/>
        </w:rPr>
        <w:t xml:space="preserve"> (CCPR/C/111/D/2030/2011) para 8.3</w:t>
      </w:r>
      <w:r w:rsidRPr="00763BE8">
        <w:rPr>
          <w:i/>
          <w:lang w:val="es-ES"/>
        </w:rPr>
        <w:t xml:space="preserve">., </w:t>
      </w:r>
      <w:proofErr w:type="spellStart"/>
      <w:r w:rsidR="00F05B21" w:rsidRPr="00763BE8">
        <w:rPr>
          <w:i/>
          <w:lang w:val="es-ES"/>
        </w:rPr>
        <w:t>Leonid</w:t>
      </w:r>
      <w:proofErr w:type="spellEnd"/>
      <w:r w:rsidR="00F05B21" w:rsidRPr="00763BE8">
        <w:rPr>
          <w:i/>
          <w:lang w:val="es-ES"/>
        </w:rPr>
        <w:t xml:space="preserve"> </w:t>
      </w:r>
      <w:proofErr w:type="spellStart"/>
      <w:r w:rsidR="00F05B21" w:rsidRPr="00763BE8">
        <w:rPr>
          <w:i/>
          <w:lang w:val="es-ES"/>
        </w:rPr>
        <w:t>Sudalenko</w:t>
      </w:r>
      <w:proofErr w:type="spellEnd"/>
      <w:r w:rsidR="00F05B21" w:rsidRPr="00763BE8">
        <w:rPr>
          <w:i/>
          <w:lang w:val="es-ES"/>
        </w:rPr>
        <w:t xml:space="preserve"> v </w:t>
      </w:r>
      <w:proofErr w:type="spellStart"/>
      <w:r w:rsidR="00F05B21" w:rsidRPr="00763BE8">
        <w:rPr>
          <w:i/>
          <w:lang w:val="es-ES"/>
        </w:rPr>
        <w:t>Belarus</w:t>
      </w:r>
      <w:proofErr w:type="spellEnd"/>
      <w:r w:rsidR="00F05B21" w:rsidRPr="00763BE8">
        <w:rPr>
          <w:lang w:val="es-ES"/>
        </w:rPr>
        <w:t xml:space="preserve"> (CCPR/C/113/D/1992/2010), para 8.5</w:t>
      </w:r>
      <w:r w:rsidR="00763BE8">
        <w:rPr>
          <w:lang w:val="es-ES"/>
        </w:rPr>
        <w:t>.</w:t>
      </w:r>
    </w:p>
  </w:footnote>
  <w:footnote w:id="8">
    <w:p w14:paraId="5017E929" w14:textId="491DDD2D" w:rsidR="002161DC" w:rsidRPr="00763BE8" w:rsidRDefault="002161DC" w:rsidP="00BD49BA">
      <w:pPr>
        <w:pStyle w:val="FootnoteText"/>
        <w:rPr>
          <w:lang w:val="es-ES"/>
        </w:rPr>
      </w:pPr>
      <w:r w:rsidRPr="00763BE8">
        <w:rPr>
          <w:lang w:val="es-ES"/>
        </w:rPr>
        <w:tab/>
      </w:r>
      <w:r>
        <w:rPr>
          <w:rStyle w:val="FootnoteReference"/>
        </w:rPr>
        <w:footnoteRef/>
      </w:r>
      <w:r>
        <w:tab/>
      </w:r>
      <w:r w:rsidRPr="002161DC">
        <w:t xml:space="preserve">See </w:t>
      </w:r>
      <w:r w:rsidRPr="002161DC">
        <w:rPr>
          <w:i/>
        </w:rPr>
        <w:t xml:space="preserve">Alekseev v. </w:t>
      </w:r>
      <w:r w:rsidRPr="00BD49BA">
        <w:t>Russian</w:t>
      </w:r>
      <w:r w:rsidRPr="002161DC">
        <w:rPr>
          <w:i/>
        </w:rPr>
        <w:t xml:space="preserve"> Federation</w:t>
      </w:r>
      <w:r w:rsidRPr="002161DC">
        <w:t xml:space="preserve"> (CCPR/C/109/D/1873/2009), para. </w:t>
      </w:r>
      <w:r w:rsidRPr="00763BE8">
        <w:rPr>
          <w:lang w:val="es-ES"/>
        </w:rPr>
        <w:t>8.4</w:t>
      </w:r>
      <w:r w:rsidRPr="00763BE8">
        <w:rPr>
          <w:i/>
          <w:lang w:val="es-ES"/>
        </w:rPr>
        <w:t xml:space="preserve">; </w:t>
      </w:r>
      <w:proofErr w:type="spellStart"/>
      <w:r w:rsidRPr="00763BE8">
        <w:rPr>
          <w:i/>
          <w:lang w:val="es-ES"/>
        </w:rPr>
        <w:t>Lozenko</w:t>
      </w:r>
      <w:proofErr w:type="spellEnd"/>
      <w:r w:rsidRPr="00763BE8">
        <w:rPr>
          <w:i/>
          <w:lang w:val="es-ES"/>
        </w:rPr>
        <w:t xml:space="preserve"> v. </w:t>
      </w:r>
      <w:proofErr w:type="spellStart"/>
      <w:r w:rsidRPr="00763BE8">
        <w:rPr>
          <w:i/>
          <w:lang w:val="es-ES"/>
        </w:rPr>
        <w:t>Belarus</w:t>
      </w:r>
      <w:proofErr w:type="spellEnd"/>
      <w:r w:rsidRPr="00763BE8">
        <w:rPr>
          <w:lang w:val="es-ES"/>
        </w:rPr>
        <w:t xml:space="preserve"> (CCPR/C/112/D/1929/2010), para. 6.3; </w:t>
      </w:r>
      <w:proofErr w:type="spellStart"/>
      <w:r w:rsidRPr="00763BE8">
        <w:rPr>
          <w:i/>
          <w:lang w:val="es-ES"/>
        </w:rPr>
        <w:t>Sudalenko</w:t>
      </w:r>
      <w:proofErr w:type="spellEnd"/>
      <w:r w:rsidRPr="00763BE8">
        <w:rPr>
          <w:i/>
          <w:lang w:val="es-ES"/>
        </w:rPr>
        <w:t xml:space="preserve"> v. </w:t>
      </w:r>
      <w:proofErr w:type="spellStart"/>
      <w:r w:rsidRPr="00763BE8">
        <w:rPr>
          <w:i/>
          <w:lang w:val="es-ES"/>
        </w:rPr>
        <w:t>Belarus</w:t>
      </w:r>
      <w:proofErr w:type="spellEnd"/>
      <w:r w:rsidRPr="00763BE8">
        <w:rPr>
          <w:lang w:val="es-ES"/>
        </w:rPr>
        <w:t xml:space="preserve"> (CCPR/C/115/D/2016/2010), para. 7.3; </w:t>
      </w:r>
      <w:proofErr w:type="spellStart"/>
      <w:r w:rsidRPr="00763BE8">
        <w:rPr>
          <w:i/>
          <w:lang w:val="es-ES"/>
        </w:rPr>
        <w:t>Koreshkov</w:t>
      </w:r>
      <w:proofErr w:type="spellEnd"/>
      <w:r w:rsidRPr="00763BE8">
        <w:rPr>
          <w:i/>
          <w:lang w:val="es-ES"/>
        </w:rPr>
        <w:t xml:space="preserve"> v. </w:t>
      </w:r>
      <w:proofErr w:type="spellStart"/>
      <w:r w:rsidRPr="00763BE8">
        <w:rPr>
          <w:i/>
          <w:lang w:val="es-ES"/>
        </w:rPr>
        <w:t>Belarus</w:t>
      </w:r>
      <w:proofErr w:type="spellEnd"/>
      <w:r w:rsidRPr="00763BE8">
        <w:rPr>
          <w:lang w:val="es-ES"/>
        </w:rPr>
        <w:t xml:space="preserve"> (CCPR/C/121/D/2168/2012), para. 7.3; and </w:t>
      </w:r>
      <w:proofErr w:type="spellStart"/>
      <w:r w:rsidRPr="00763BE8">
        <w:rPr>
          <w:i/>
          <w:lang w:val="es-ES"/>
        </w:rPr>
        <w:t>Abromchik</w:t>
      </w:r>
      <w:proofErr w:type="spellEnd"/>
      <w:r w:rsidRPr="00763BE8">
        <w:rPr>
          <w:i/>
          <w:lang w:val="es-ES"/>
        </w:rPr>
        <w:t xml:space="preserve"> v. </w:t>
      </w:r>
      <w:proofErr w:type="spellStart"/>
      <w:r w:rsidRPr="00763BE8">
        <w:rPr>
          <w:i/>
          <w:lang w:val="es-ES"/>
        </w:rPr>
        <w:t>Belarus</w:t>
      </w:r>
      <w:proofErr w:type="spellEnd"/>
      <w:r w:rsidRPr="00763BE8">
        <w:rPr>
          <w:lang w:val="es-ES"/>
        </w:rPr>
        <w:t xml:space="preserve"> (CCPR/C/122/D/2228/2012), para 9.3.</w:t>
      </w:r>
    </w:p>
  </w:footnote>
  <w:footnote w:id="9">
    <w:p w14:paraId="0E5373CC" w14:textId="3D4AD101" w:rsidR="00532E5F" w:rsidRPr="000E2765" w:rsidRDefault="00532E5F" w:rsidP="00BD49BA">
      <w:pPr>
        <w:pStyle w:val="FootnoteText"/>
        <w:rPr>
          <w:lang w:val="es-ES"/>
        </w:rPr>
      </w:pPr>
      <w:r w:rsidRPr="00763BE8">
        <w:rPr>
          <w:lang w:val="es-ES"/>
        </w:rPr>
        <w:tab/>
      </w:r>
      <w:r>
        <w:rPr>
          <w:rStyle w:val="FootnoteReference"/>
        </w:rPr>
        <w:footnoteRef/>
      </w:r>
      <w:r w:rsidRPr="000E2765">
        <w:rPr>
          <w:lang w:val="es-ES"/>
        </w:rPr>
        <w:tab/>
      </w:r>
      <w:proofErr w:type="spellStart"/>
      <w:r w:rsidRPr="000E2765">
        <w:rPr>
          <w:lang w:val="es-ES"/>
        </w:rPr>
        <w:t>See</w:t>
      </w:r>
      <w:proofErr w:type="spellEnd"/>
      <w:r w:rsidRPr="000E2765">
        <w:rPr>
          <w:lang w:val="es-ES"/>
        </w:rPr>
        <w:t xml:space="preserve">, inter </w:t>
      </w:r>
      <w:proofErr w:type="spellStart"/>
      <w:r w:rsidRPr="000E2765">
        <w:rPr>
          <w:lang w:val="es-ES"/>
        </w:rPr>
        <w:t>alia</w:t>
      </w:r>
      <w:proofErr w:type="spellEnd"/>
      <w:r w:rsidRPr="000E2765">
        <w:rPr>
          <w:lang w:val="es-ES"/>
        </w:rPr>
        <w:t xml:space="preserve">, </w:t>
      </w:r>
      <w:proofErr w:type="spellStart"/>
      <w:r w:rsidRPr="000E2765">
        <w:rPr>
          <w:i/>
          <w:lang w:val="es-ES"/>
        </w:rPr>
        <w:t>Zhukovsky</w:t>
      </w:r>
      <w:proofErr w:type="spellEnd"/>
      <w:r w:rsidRPr="000E2765">
        <w:rPr>
          <w:i/>
          <w:lang w:val="es-ES"/>
        </w:rPr>
        <w:t xml:space="preserve"> v. </w:t>
      </w:r>
      <w:proofErr w:type="spellStart"/>
      <w:r w:rsidRPr="000E2765">
        <w:rPr>
          <w:i/>
          <w:lang w:val="es-ES"/>
        </w:rPr>
        <w:t>Belarus</w:t>
      </w:r>
      <w:proofErr w:type="spellEnd"/>
      <w:r w:rsidRPr="000E2765">
        <w:rPr>
          <w:lang w:val="es-ES"/>
        </w:rPr>
        <w:t xml:space="preserve"> (CCPR/C/127/3067/2017), para. 6.6.</w:t>
      </w:r>
    </w:p>
  </w:footnote>
  <w:footnote w:id="10">
    <w:p w14:paraId="42125798" w14:textId="67EF310E" w:rsidR="00532E5F" w:rsidRPr="00532E5F" w:rsidRDefault="00532E5F" w:rsidP="00BD49BA">
      <w:pPr>
        <w:pStyle w:val="FootnoteText"/>
        <w:rPr>
          <w:lang w:val="en-GB"/>
        </w:rPr>
      </w:pPr>
      <w:r w:rsidRPr="000E2765">
        <w:rPr>
          <w:lang w:val="es-ES"/>
        </w:rPr>
        <w:tab/>
      </w:r>
      <w:r>
        <w:rPr>
          <w:rStyle w:val="FootnoteReference"/>
        </w:rPr>
        <w:footnoteRef/>
      </w:r>
      <w:r w:rsidRPr="000E2765">
        <w:rPr>
          <w:lang w:val="es-ES"/>
        </w:rPr>
        <w:tab/>
      </w:r>
      <w:proofErr w:type="spellStart"/>
      <w:r w:rsidRPr="000E2765">
        <w:rPr>
          <w:lang w:val="es-ES"/>
        </w:rPr>
        <w:t>See</w:t>
      </w:r>
      <w:proofErr w:type="spellEnd"/>
      <w:r w:rsidRPr="000E2765">
        <w:rPr>
          <w:lang w:val="es-ES"/>
        </w:rPr>
        <w:t xml:space="preserve"> </w:t>
      </w:r>
      <w:proofErr w:type="spellStart"/>
      <w:r w:rsidRPr="000E2765">
        <w:rPr>
          <w:i/>
          <w:lang w:val="es-ES"/>
        </w:rPr>
        <w:t>Zhukovsky</w:t>
      </w:r>
      <w:proofErr w:type="spellEnd"/>
      <w:r w:rsidRPr="000E2765">
        <w:rPr>
          <w:i/>
          <w:lang w:val="es-ES"/>
        </w:rPr>
        <w:t xml:space="preserve"> v. </w:t>
      </w:r>
      <w:proofErr w:type="spellStart"/>
      <w:r w:rsidRPr="000E2765">
        <w:rPr>
          <w:i/>
          <w:lang w:val="es-ES"/>
        </w:rPr>
        <w:t>Belarus</w:t>
      </w:r>
      <w:proofErr w:type="spellEnd"/>
      <w:r w:rsidRPr="000E2765">
        <w:rPr>
          <w:lang w:val="es-ES"/>
        </w:rPr>
        <w:t xml:space="preserve"> (CCPR/C/127/2724/2016), para. 6.4; </w:t>
      </w:r>
      <w:proofErr w:type="spellStart"/>
      <w:r w:rsidRPr="000E2765">
        <w:rPr>
          <w:i/>
          <w:lang w:val="es-ES"/>
        </w:rPr>
        <w:t>Zhukovsky</w:t>
      </w:r>
      <w:proofErr w:type="spellEnd"/>
      <w:r w:rsidRPr="000E2765">
        <w:rPr>
          <w:i/>
          <w:lang w:val="es-ES"/>
        </w:rPr>
        <w:t xml:space="preserve"> v. </w:t>
      </w:r>
      <w:proofErr w:type="spellStart"/>
      <w:r w:rsidRPr="000E2765">
        <w:rPr>
          <w:i/>
          <w:lang w:val="es-ES"/>
        </w:rPr>
        <w:t>Belarus</w:t>
      </w:r>
      <w:proofErr w:type="spellEnd"/>
      <w:r w:rsidRPr="000E2765">
        <w:rPr>
          <w:lang w:val="es-ES"/>
        </w:rPr>
        <w:t xml:space="preserve"> (CCPR/C/127/2955/2017), para. </w:t>
      </w:r>
      <w:r w:rsidRPr="00532E5F">
        <w:t xml:space="preserve">6.4; </w:t>
      </w:r>
      <w:proofErr w:type="spellStart"/>
      <w:r w:rsidRPr="00532E5F">
        <w:rPr>
          <w:i/>
        </w:rPr>
        <w:t>Zhukovsky</w:t>
      </w:r>
      <w:proofErr w:type="spellEnd"/>
      <w:r w:rsidRPr="00532E5F">
        <w:rPr>
          <w:i/>
        </w:rPr>
        <w:t xml:space="preserve"> v. Belarus</w:t>
      </w:r>
      <w:r w:rsidRPr="00532E5F">
        <w:t xml:space="preserve"> (CCPR/C/127/3067/2017), para. 6.6.</w:t>
      </w:r>
    </w:p>
  </w:footnote>
  <w:footnote w:id="11">
    <w:p w14:paraId="59649D8C" w14:textId="77777777" w:rsidR="00C25E02" w:rsidRPr="00E044C7" w:rsidRDefault="00C25E02" w:rsidP="00BD49BA">
      <w:pPr>
        <w:pStyle w:val="FootnoteText"/>
        <w:rPr>
          <w:lang w:val="es-ES_tradnl"/>
        </w:rPr>
      </w:pPr>
      <w:r w:rsidRPr="00E044C7">
        <w:tab/>
      </w:r>
      <w:r w:rsidRPr="00654CF8">
        <w:rPr>
          <w:rStyle w:val="FootnoteReference"/>
        </w:rPr>
        <w:footnoteRef/>
      </w:r>
      <w:r w:rsidRPr="00E044C7">
        <w:tab/>
        <w:t xml:space="preserve">General comment No. </w:t>
      </w:r>
      <w:r w:rsidRPr="00942EA0">
        <w:t>34</w:t>
      </w:r>
      <w:r w:rsidRPr="00E044C7">
        <w:t xml:space="preserve"> (</w:t>
      </w:r>
      <w:r w:rsidRPr="00BD49BA">
        <w:t>2011</w:t>
      </w:r>
      <w:r w:rsidRPr="00E044C7">
        <w:t xml:space="preserve">) on the freedoms of opinion and expression, para. </w:t>
      </w:r>
      <w:r w:rsidRPr="00E044C7">
        <w:rPr>
          <w:lang w:val="es-ES_tradnl"/>
        </w:rPr>
        <w:t>2.</w:t>
      </w:r>
    </w:p>
  </w:footnote>
  <w:footnote w:id="12">
    <w:p w14:paraId="03FCEF16" w14:textId="77777777" w:rsidR="00C25E02" w:rsidRPr="00E044C7" w:rsidRDefault="00C25E02" w:rsidP="00C25E02">
      <w:pPr>
        <w:pStyle w:val="FootnoteText"/>
        <w:rPr>
          <w:lang w:val="es-ES_tradnl"/>
        </w:rPr>
      </w:pPr>
      <w:r w:rsidRPr="00E044C7">
        <w:rPr>
          <w:lang w:val="es-ES_tradnl"/>
        </w:rPr>
        <w:tab/>
      </w:r>
      <w:r w:rsidRPr="00654CF8">
        <w:rPr>
          <w:rStyle w:val="FootnoteReference"/>
        </w:rPr>
        <w:footnoteRef/>
      </w:r>
      <w:r w:rsidRPr="00E044C7">
        <w:rPr>
          <w:rFonts w:eastAsia="Arial Unicode MS" w:hAnsi="Arial Unicode MS" w:cs="Arial Unicode MS"/>
          <w:lang w:val="es-ES_tradnl"/>
        </w:rPr>
        <w:tab/>
      </w:r>
      <w:proofErr w:type="spellStart"/>
      <w:r w:rsidRPr="00E044C7">
        <w:rPr>
          <w:rFonts w:eastAsia="Arial Unicode MS" w:hAnsi="Arial Unicode MS" w:cs="Arial Unicode MS"/>
          <w:lang w:val="es-ES_tradnl"/>
        </w:rPr>
        <w:t>Ibid</w:t>
      </w:r>
      <w:proofErr w:type="spellEnd"/>
      <w:r w:rsidRPr="00E044C7">
        <w:rPr>
          <w:rFonts w:eastAsia="Arial Unicode MS" w:hAnsi="Arial Unicode MS" w:cs="Arial Unicode MS"/>
          <w:lang w:val="es-ES_tradnl"/>
        </w:rPr>
        <w:t>., para. 34.</w:t>
      </w:r>
    </w:p>
  </w:footnote>
  <w:footnote w:id="13">
    <w:p w14:paraId="196CCFB3" w14:textId="77777777" w:rsidR="00C25E02" w:rsidRPr="00E044C7" w:rsidRDefault="00C25E02" w:rsidP="00BD49BA">
      <w:pPr>
        <w:pStyle w:val="FootnoteText"/>
        <w:rPr>
          <w:lang w:val="es-ES_tradnl"/>
        </w:rPr>
      </w:pPr>
      <w:r w:rsidRPr="00E044C7">
        <w:rPr>
          <w:lang w:val="es-ES_tradnl"/>
        </w:rPr>
        <w:tab/>
      </w:r>
      <w:r w:rsidRPr="00654CF8">
        <w:rPr>
          <w:rStyle w:val="FootnoteReference"/>
        </w:rPr>
        <w:footnoteRef/>
      </w:r>
      <w:r w:rsidRPr="00E044C7">
        <w:rPr>
          <w:lang w:val="es-ES_tradnl"/>
        </w:rPr>
        <w:tab/>
      </w:r>
      <w:proofErr w:type="spellStart"/>
      <w:r w:rsidRPr="00E044C7">
        <w:rPr>
          <w:i/>
          <w:lang w:val="es-ES_tradnl"/>
        </w:rPr>
        <w:t>Androsenko</w:t>
      </w:r>
      <w:proofErr w:type="spellEnd"/>
      <w:r w:rsidRPr="00E044C7">
        <w:rPr>
          <w:i/>
          <w:lang w:val="es-ES_tradnl"/>
        </w:rPr>
        <w:t xml:space="preserve"> v. </w:t>
      </w:r>
      <w:proofErr w:type="spellStart"/>
      <w:r w:rsidRPr="00E044C7">
        <w:rPr>
          <w:i/>
          <w:lang w:val="es-ES_tradnl"/>
        </w:rPr>
        <w:t>Belarus</w:t>
      </w:r>
      <w:proofErr w:type="spellEnd"/>
      <w:r w:rsidRPr="00E044C7">
        <w:rPr>
          <w:lang w:val="es-ES_tradnl"/>
        </w:rPr>
        <w:t xml:space="preserve"> (</w:t>
      </w:r>
      <w:r w:rsidRPr="007A7505">
        <w:rPr>
          <w:lang w:val="es-ES"/>
        </w:rPr>
        <w:t>CCPR</w:t>
      </w:r>
      <w:r w:rsidRPr="00E044C7">
        <w:rPr>
          <w:lang w:val="es-ES_tradnl"/>
        </w:rPr>
        <w:t>/C/116/D/2092/2011), para. 7.3.</w:t>
      </w:r>
    </w:p>
  </w:footnote>
  <w:footnote w:id="14">
    <w:p w14:paraId="64920266" w14:textId="2DA14213" w:rsidR="00C25E02" w:rsidRPr="00E044C7" w:rsidRDefault="00C25E02" w:rsidP="00BD49BA">
      <w:pPr>
        <w:pStyle w:val="FootnoteText"/>
      </w:pPr>
      <w:r w:rsidRPr="00E044C7">
        <w:rPr>
          <w:lang w:val="es-ES_tradnl"/>
        </w:rPr>
        <w:tab/>
      </w:r>
      <w:r w:rsidRPr="00654CF8">
        <w:rPr>
          <w:rStyle w:val="FootnoteReference"/>
        </w:rPr>
        <w:footnoteRef/>
      </w:r>
      <w:r w:rsidRPr="00E044C7">
        <w:rPr>
          <w:lang w:val="es-ES_tradnl"/>
        </w:rPr>
        <w:tab/>
      </w:r>
      <w:proofErr w:type="spellStart"/>
      <w:r w:rsidR="0038684E">
        <w:rPr>
          <w:lang w:val="es-ES_tradnl"/>
        </w:rPr>
        <w:t>See</w:t>
      </w:r>
      <w:proofErr w:type="spellEnd"/>
      <w:r w:rsidR="0038684E">
        <w:rPr>
          <w:lang w:val="es-ES_tradnl"/>
        </w:rPr>
        <w:t xml:space="preserve"> </w:t>
      </w:r>
      <w:proofErr w:type="spellStart"/>
      <w:r w:rsidRPr="00E044C7">
        <w:rPr>
          <w:i/>
          <w:iCs/>
          <w:lang w:val="es-ES_tradnl" w:eastAsia="en-GB"/>
        </w:rPr>
        <w:t>Poplavny</w:t>
      </w:r>
      <w:proofErr w:type="spellEnd"/>
      <w:r w:rsidRPr="00E044C7">
        <w:rPr>
          <w:i/>
          <w:iCs/>
          <w:lang w:val="es-ES_tradnl" w:eastAsia="en-GB"/>
        </w:rPr>
        <w:t xml:space="preserve"> v</w:t>
      </w:r>
      <w:r w:rsidRPr="00E044C7">
        <w:rPr>
          <w:lang w:val="es-ES_tradnl" w:eastAsia="en-GB"/>
        </w:rPr>
        <w:t xml:space="preserve">. </w:t>
      </w:r>
      <w:proofErr w:type="spellStart"/>
      <w:r w:rsidRPr="00E044C7">
        <w:rPr>
          <w:i/>
          <w:iCs/>
          <w:lang w:val="es-ES_tradnl" w:eastAsia="en-GB"/>
        </w:rPr>
        <w:t>Belarus</w:t>
      </w:r>
      <w:proofErr w:type="spellEnd"/>
      <w:r w:rsidRPr="00E044C7">
        <w:rPr>
          <w:lang w:val="es-ES_tradnl" w:eastAsia="en-GB"/>
        </w:rPr>
        <w:t xml:space="preserve"> (CCPR/C/115/D/2019/2010), para. </w:t>
      </w:r>
      <w:r w:rsidRPr="00E044C7">
        <w:rPr>
          <w:lang w:eastAsia="en-GB"/>
        </w:rPr>
        <w:t>8.4.</w:t>
      </w:r>
      <w:r w:rsidRPr="00E044C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3AB1" w14:textId="3AB3A154" w:rsidR="00E54361" w:rsidRPr="00781C83" w:rsidRDefault="0019163A" w:rsidP="00EC5EA9">
    <w:pPr>
      <w:pStyle w:val="Header"/>
    </w:pPr>
    <w:r w:rsidRPr="0019163A">
      <w:t>Advance unedited version</w:t>
    </w:r>
    <w:r>
      <w:t xml:space="preserve"> </w:t>
    </w:r>
    <w:r w:rsidR="00E54361">
      <w:t>CCPR</w:t>
    </w:r>
    <w:r w:rsidR="00E54361" w:rsidRPr="00607635">
      <w:t>/</w:t>
    </w:r>
    <w:r w:rsidR="00E54361" w:rsidRPr="00415BA0">
      <w:t>C</w:t>
    </w:r>
    <w:r w:rsidR="00BD49BA">
      <w:t>/</w:t>
    </w:r>
    <w:r w:rsidR="00E54361" w:rsidRPr="00415BA0">
      <w:t>1</w:t>
    </w:r>
    <w:r w:rsidR="00D54AC8">
      <w:t>2</w:t>
    </w:r>
    <w:r w:rsidR="00F142FF">
      <w:t>9</w:t>
    </w:r>
    <w:r w:rsidR="00E54361" w:rsidRPr="00415BA0">
      <w:t>/D/</w:t>
    </w:r>
    <w:r w:rsidR="00D54AC8" w:rsidRPr="00415BA0">
      <w:t>2</w:t>
    </w:r>
    <w:r w:rsidR="00F142FF">
      <w:t>404</w:t>
    </w:r>
    <w:r w:rsidR="00E54361" w:rsidRPr="00415BA0">
      <w:t>/201</w:t>
    </w:r>
    <w:r w:rsidR="00F142FF">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C936" w14:textId="1840EB56" w:rsidR="00E54361" w:rsidRPr="00781C83" w:rsidRDefault="0019163A">
    <w:pPr>
      <w:pStyle w:val="Header"/>
      <w:jc w:val="right"/>
    </w:pPr>
    <w:r w:rsidRPr="0019163A">
      <w:t>Advance unedited version</w:t>
    </w:r>
    <w:r>
      <w:t xml:space="preserve"> </w:t>
    </w:r>
    <w:r w:rsidR="00E54361">
      <w:t>CCPR</w:t>
    </w:r>
    <w:r w:rsidR="00E54361" w:rsidRPr="00607635">
      <w:t>/</w:t>
    </w:r>
    <w:r w:rsidR="00D54AC8">
      <w:t>C</w:t>
    </w:r>
    <w:r w:rsidR="00BD49BA">
      <w:t>/</w:t>
    </w:r>
    <w:r w:rsidR="00E54361" w:rsidRPr="00415BA0">
      <w:t>1</w:t>
    </w:r>
    <w:r w:rsidR="00D54AC8">
      <w:t>2</w:t>
    </w:r>
    <w:r w:rsidR="00F142FF">
      <w:t>9</w:t>
    </w:r>
    <w:r w:rsidR="00E54361" w:rsidRPr="00415BA0">
      <w:t>/D/2</w:t>
    </w:r>
    <w:r w:rsidR="00F142FF">
      <w:t>404</w:t>
    </w:r>
    <w:r w:rsidR="00E54361" w:rsidRPr="00415BA0">
      <w:t>/201</w:t>
    </w:r>
    <w:r w:rsidR="00F142F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5"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4"/>
  </w:num>
  <w:num w:numId="4">
    <w:abstractNumId w:val="1"/>
  </w:num>
  <w:num w:numId="5">
    <w:abstractNumId w:val="5"/>
  </w:num>
  <w:num w:numId="6">
    <w:abstractNumId w:val="7"/>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s-ES_tradnl"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A5"/>
    <w:rsid w:val="00002773"/>
    <w:rsid w:val="000044E2"/>
    <w:rsid w:val="00004DF1"/>
    <w:rsid w:val="00004E8B"/>
    <w:rsid w:val="000050E2"/>
    <w:rsid w:val="00005BD8"/>
    <w:rsid w:val="00006D75"/>
    <w:rsid w:val="0000757A"/>
    <w:rsid w:val="00010484"/>
    <w:rsid w:val="000128E3"/>
    <w:rsid w:val="00012A71"/>
    <w:rsid w:val="000135C3"/>
    <w:rsid w:val="00013B77"/>
    <w:rsid w:val="000178D8"/>
    <w:rsid w:val="000203CD"/>
    <w:rsid w:val="000205BB"/>
    <w:rsid w:val="00020F51"/>
    <w:rsid w:val="000222FF"/>
    <w:rsid w:val="000227DC"/>
    <w:rsid w:val="00022CC7"/>
    <w:rsid w:val="00024133"/>
    <w:rsid w:val="00024521"/>
    <w:rsid w:val="00024979"/>
    <w:rsid w:val="00025269"/>
    <w:rsid w:val="00025370"/>
    <w:rsid w:val="00025418"/>
    <w:rsid w:val="00025856"/>
    <w:rsid w:val="00025A3C"/>
    <w:rsid w:val="00025D41"/>
    <w:rsid w:val="00026B06"/>
    <w:rsid w:val="000272B3"/>
    <w:rsid w:val="00027A45"/>
    <w:rsid w:val="00031D46"/>
    <w:rsid w:val="00031D9B"/>
    <w:rsid w:val="00032A3A"/>
    <w:rsid w:val="0003387B"/>
    <w:rsid w:val="00034637"/>
    <w:rsid w:val="00034DE4"/>
    <w:rsid w:val="00035F0E"/>
    <w:rsid w:val="00036D15"/>
    <w:rsid w:val="00037807"/>
    <w:rsid w:val="00037AD0"/>
    <w:rsid w:val="000404F2"/>
    <w:rsid w:val="0004092D"/>
    <w:rsid w:val="00040CAE"/>
    <w:rsid w:val="00041994"/>
    <w:rsid w:val="000419D2"/>
    <w:rsid w:val="00044035"/>
    <w:rsid w:val="000444F2"/>
    <w:rsid w:val="000448FF"/>
    <w:rsid w:val="00044DAB"/>
    <w:rsid w:val="00044EE9"/>
    <w:rsid w:val="00050F6B"/>
    <w:rsid w:val="00052674"/>
    <w:rsid w:val="00053842"/>
    <w:rsid w:val="00055096"/>
    <w:rsid w:val="0005782B"/>
    <w:rsid w:val="00057E97"/>
    <w:rsid w:val="00057F1A"/>
    <w:rsid w:val="00060074"/>
    <w:rsid w:val="00060C3A"/>
    <w:rsid w:val="00063B22"/>
    <w:rsid w:val="00064B7C"/>
    <w:rsid w:val="00066476"/>
    <w:rsid w:val="00067250"/>
    <w:rsid w:val="00071E1A"/>
    <w:rsid w:val="00071FC0"/>
    <w:rsid w:val="00072C8C"/>
    <w:rsid w:val="000733B5"/>
    <w:rsid w:val="0007628F"/>
    <w:rsid w:val="000772FF"/>
    <w:rsid w:val="00077BC4"/>
    <w:rsid w:val="00077CD3"/>
    <w:rsid w:val="00081815"/>
    <w:rsid w:val="0008278D"/>
    <w:rsid w:val="0008317C"/>
    <w:rsid w:val="00083322"/>
    <w:rsid w:val="00085530"/>
    <w:rsid w:val="000872D5"/>
    <w:rsid w:val="000908FA"/>
    <w:rsid w:val="000919AD"/>
    <w:rsid w:val="0009221F"/>
    <w:rsid w:val="000931C0"/>
    <w:rsid w:val="000936D7"/>
    <w:rsid w:val="00093C0B"/>
    <w:rsid w:val="0009487F"/>
    <w:rsid w:val="00094C48"/>
    <w:rsid w:val="00096AC4"/>
    <w:rsid w:val="000970C1"/>
    <w:rsid w:val="00097416"/>
    <w:rsid w:val="000A0A3D"/>
    <w:rsid w:val="000A2283"/>
    <w:rsid w:val="000A22AD"/>
    <w:rsid w:val="000A34F4"/>
    <w:rsid w:val="000A442E"/>
    <w:rsid w:val="000A50A8"/>
    <w:rsid w:val="000A6B47"/>
    <w:rsid w:val="000A7D92"/>
    <w:rsid w:val="000B0F23"/>
    <w:rsid w:val="000B175B"/>
    <w:rsid w:val="000B1788"/>
    <w:rsid w:val="000B1A95"/>
    <w:rsid w:val="000B1F33"/>
    <w:rsid w:val="000B2913"/>
    <w:rsid w:val="000B31F7"/>
    <w:rsid w:val="000B3A0F"/>
    <w:rsid w:val="000B4A49"/>
    <w:rsid w:val="000B4EF7"/>
    <w:rsid w:val="000B6CA3"/>
    <w:rsid w:val="000B77CE"/>
    <w:rsid w:val="000C0CFF"/>
    <w:rsid w:val="000C2570"/>
    <w:rsid w:val="000C2C03"/>
    <w:rsid w:val="000C2D2E"/>
    <w:rsid w:val="000C2E06"/>
    <w:rsid w:val="000C54AD"/>
    <w:rsid w:val="000C6E2D"/>
    <w:rsid w:val="000C6F58"/>
    <w:rsid w:val="000C703B"/>
    <w:rsid w:val="000C71A2"/>
    <w:rsid w:val="000C769F"/>
    <w:rsid w:val="000C7C9A"/>
    <w:rsid w:val="000D04C5"/>
    <w:rsid w:val="000D0A22"/>
    <w:rsid w:val="000D4E61"/>
    <w:rsid w:val="000D7119"/>
    <w:rsid w:val="000D71AC"/>
    <w:rsid w:val="000E0415"/>
    <w:rsid w:val="000E0A4F"/>
    <w:rsid w:val="000E0C6B"/>
    <w:rsid w:val="000E0E8E"/>
    <w:rsid w:val="000E10B6"/>
    <w:rsid w:val="000E133E"/>
    <w:rsid w:val="000E2765"/>
    <w:rsid w:val="000E2BE1"/>
    <w:rsid w:val="000E42FA"/>
    <w:rsid w:val="000E4735"/>
    <w:rsid w:val="000E536B"/>
    <w:rsid w:val="000E567F"/>
    <w:rsid w:val="000E645D"/>
    <w:rsid w:val="000E6AD2"/>
    <w:rsid w:val="000E6E85"/>
    <w:rsid w:val="000E735F"/>
    <w:rsid w:val="000E7797"/>
    <w:rsid w:val="000E7B78"/>
    <w:rsid w:val="000F03D7"/>
    <w:rsid w:val="000F0C6A"/>
    <w:rsid w:val="000F0DAA"/>
    <w:rsid w:val="000F14F5"/>
    <w:rsid w:val="000F1BE3"/>
    <w:rsid w:val="000F277A"/>
    <w:rsid w:val="000F2B93"/>
    <w:rsid w:val="000F4D7F"/>
    <w:rsid w:val="000F4E65"/>
    <w:rsid w:val="000F570E"/>
    <w:rsid w:val="000F648B"/>
    <w:rsid w:val="000F64A9"/>
    <w:rsid w:val="000F691C"/>
    <w:rsid w:val="000F6BEA"/>
    <w:rsid w:val="000F76E4"/>
    <w:rsid w:val="000F76FA"/>
    <w:rsid w:val="000F7E69"/>
    <w:rsid w:val="0010135A"/>
    <w:rsid w:val="00101383"/>
    <w:rsid w:val="001018A9"/>
    <w:rsid w:val="00101921"/>
    <w:rsid w:val="00102AC0"/>
    <w:rsid w:val="001037D9"/>
    <w:rsid w:val="00103A7A"/>
    <w:rsid w:val="00104EB3"/>
    <w:rsid w:val="00106602"/>
    <w:rsid w:val="0010686C"/>
    <w:rsid w:val="0010694D"/>
    <w:rsid w:val="001103AA"/>
    <w:rsid w:val="00110C53"/>
    <w:rsid w:val="0011184E"/>
    <w:rsid w:val="00111AAA"/>
    <w:rsid w:val="00112122"/>
    <w:rsid w:val="00114AD2"/>
    <w:rsid w:val="00115DDE"/>
    <w:rsid w:val="00117EA3"/>
    <w:rsid w:val="0012143A"/>
    <w:rsid w:val="00121F92"/>
    <w:rsid w:val="0012232C"/>
    <w:rsid w:val="00123048"/>
    <w:rsid w:val="00123C95"/>
    <w:rsid w:val="00124014"/>
    <w:rsid w:val="00124442"/>
    <w:rsid w:val="001245B3"/>
    <w:rsid w:val="00124EA1"/>
    <w:rsid w:val="001252BD"/>
    <w:rsid w:val="00125565"/>
    <w:rsid w:val="00125C47"/>
    <w:rsid w:val="00125DB6"/>
    <w:rsid w:val="00126C6F"/>
    <w:rsid w:val="001306DD"/>
    <w:rsid w:val="0013235B"/>
    <w:rsid w:val="00132519"/>
    <w:rsid w:val="00132619"/>
    <w:rsid w:val="00132E4D"/>
    <w:rsid w:val="00133611"/>
    <w:rsid w:val="00133871"/>
    <w:rsid w:val="00133C93"/>
    <w:rsid w:val="001360BE"/>
    <w:rsid w:val="0013670D"/>
    <w:rsid w:val="00142286"/>
    <w:rsid w:val="0014254E"/>
    <w:rsid w:val="00143694"/>
    <w:rsid w:val="00145CA7"/>
    <w:rsid w:val="00146792"/>
    <w:rsid w:val="00146824"/>
    <w:rsid w:val="0015032A"/>
    <w:rsid w:val="00151CCD"/>
    <w:rsid w:val="00153530"/>
    <w:rsid w:val="00154F56"/>
    <w:rsid w:val="0015515E"/>
    <w:rsid w:val="00156376"/>
    <w:rsid w:val="00157DFB"/>
    <w:rsid w:val="00160FB9"/>
    <w:rsid w:val="00161364"/>
    <w:rsid w:val="00161B02"/>
    <w:rsid w:val="00161BAD"/>
    <w:rsid w:val="00161C6C"/>
    <w:rsid w:val="001649C8"/>
    <w:rsid w:val="00165896"/>
    <w:rsid w:val="00165F3A"/>
    <w:rsid w:val="001663EC"/>
    <w:rsid w:val="001676A8"/>
    <w:rsid w:val="00170114"/>
    <w:rsid w:val="00171C45"/>
    <w:rsid w:val="00172198"/>
    <w:rsid w:val="0017277A"/>
    <w:rsid w:val="00172B2B"/>
    <w:rsid w:val="00173A07"/>
    <w:rsid w:val="0017551B"/>
    <w:rsid w:val="00175A57"/>
    <w:rsid w:val="0017676A"/>
    <w:rsid w:val="00176BF6"/>
    <w:rsid w:val="00176FE1"/>
    <w:rsid w:val="001770E3"/>
    <w:rsid w:val="00177A2D"/>
    <w:rsid w:val="00177CA5"/>
    <w:rsid w:val="0018052F"/>
    <w:rsid w:val="001806D6"/>
    <w:rsid w:val="00182A46"/>
    <w:rsid w:val="00183968"/>
    <w:rsid w:val="00184A13"/>
    <w:rsid w:val="00184F74"/>
    <w:rsid w:val="00185588"/>
    <w:rsid w:val="00185B6D"/>
    <w:rsid w:val="0019163A"/>
    <w:rsid w:val="001928FC"/>
    <w:rsid w:val="00193764"/>
    <w:rsid w:val="00193B80"/>
    <w:rsid w:val="0019468C"/>
    <w:rsid w:val="00194C49"/>
    <w:rsid w:val="00194D39"/>
    <w:rsid w:val="00194DFC"/>
    <w:rsid w:val="00194E30"/>
    <w:rsid w:val="00195FA5"/>
    <w:rsid w:val="00196CDF"/>
    <w:rsid w:val="001975D8"/>
    <w:rsid w:val="001A079F"/>
    <w:rsid w:val="001A09DE"/>
    <w:rsid w:val="001A149B"/>
    <w:rsid w:val="001A188E"/>
    <w:rsid w:val="001A2576"/>
    <w:rsid w:val="001A2A95"/>
    <w:rsid w:val="001A2E0B"/>
    <w:rsid w:val="001A30F9"/>
    <w:rsid w:val="001A44F4"/>
    <w:rsid w:val="001A457F"/>
    <w:rsid w:val="001A5755"/>
    <w:rsid w:val="001A58D1"/>
    <w:rsid w:val="001A62D6"/>
    <w:rsid w:val="001A660B"/>
    <w:rsid w:val="001A6686"/>
    <w:rsid w:val="001A723C"/>
    <w:rsid w:val="001A7754"/>
    <w:rsid w:val="001B1953"/>
    <w:rsid w:val="001B3659"/>
    <w:rsid w:val="001B3687"/>
    <w:rsid w:val="001B368C"/>
    <w:rsid w:val="001B400C"/>
    <w:rsid w:val="001B4041"/>
    <w:rsid w:val="001B4624"/>
    <w:rsid w:val="001B4B04"/>
    <w:rsid w:val="001B4F72"/>
    <w:rsid w:val="001B55BE"/>
    <w:rsid w:val="001B6641"/>
    <w:rsid w:val="001B734D"/>
    <w:rsid w:val="001B7CF6"/>
    <w:rsid w:val="001C047C"/>
    <w:rsid w:val="001C276E"/>
    <w:rsid w:val="001C326D"/>
    <w:rsid w:val="001C538B"/>
    <w:rsid w:val="001C6016"/>
    <w:rsid w:val="001C657F"/>
    <w:rsid w:val="001C6663"/>
    <w:rsid w:val="001C6B47"/>
    <w:rsid w:val="001C7895"/>
    <w:rsid w:val="001D04B8"/>
    <w:rsid w:val="001D0C8C"/>
    <w:rsid w:val="001D2097"/>
    <w:rsid w:val="001D26DF"/>
    <w:rsid w:val="001D2754"/>
    <w:rsid w:val="001D2861"/>
    <w:rsid w:val="001D384D"/>
    <w:rsid w:val="001D3A03"/>
    <w:rsid w:val="001D4B84"/>
    <w:rsid w:val="001D4FC3"/>
    <w:rsid w:val="001D50CE"/>
    <w:rsid w:val="001D5307"/>
    <w:rsid w:val="001D5C81"/>
    <w:rsid w:val="001D68E1"/>
    <w:rsid w:val="001E06D9"/>
    <w:rsid w:val="001E0966"/>
    <w:rsid w:val="001E10EC"/>
    <w:rsid w:val="001E1235"/>
    <w:rsid w:val="001E175D"/>
    <w:rsid w:val="001E1A5C"/>
    <w:rsid w:val="001E33AB"/>
    <w:rsid w:val="001E357C"/>
    <w:rsid w:val="001E3A36"/>
    <w:rsid w:val="001E48A9"/>
    <w:rsid w:val="001E6800"/>
    <w:rsid w:val="001E68DA"/>
    <w:rsid w:val="001E786A"/>
    <w:rsid w:val="001F11C8"/>
    <w:rsid w:val="001F2774"/>
    <w:rsid w:val="001F468C"/>
    <w:rsid w:val="001F6654"/>
    <w:rsid w:val="001F7FC8"/>
    <w:rsid w:val="00200A64"/>
    <w:rsid w:val="00200CC4"/>
    <w:rsid w:val="00200F03"/>
    <w:rsid w:val="002012C3"/>
    <w:rsid w:val="00202DA8"/>
    <w:rsid w:val="00203732"/>
    <w:rsid w:val="0020739A"/>
    <w:rsid w:val="00210AE2"/>
    <w:rsid w:val="00210CE0"/>
    <w:rsid w:val="002117EE"/>
    <w:rsid w:val="00211E0B"/>
    <w:rsid w:val="00212027"/>
    <w:rsid w:val="002130C2"/>
    <w:rsid w:val="00214B06"/>
    <w:rsid w:val="002161DC"/>
    <w:rsid w:val="00216A79"/>
    <w:rsid w:val="00217500"/>
    <w:rsid w:val="00217CED"/>
    <w:rsid w:val="00217DDD"/>
    <w:rsid w:val="00222072"/>
    <w:rsid w:val="0022219E"/>
    <w:rsid w:val="002222A7"/>
    <w:rsid w:val="00222DFC"/>
    <w:rsid w:val="0022501D"/>
    <w:rsid w:val="0022665C"/>
    <w:rsid w:val="00226F53"/>
    <w:rsid w:val="00227BDE"/>
    <w:rsid w:val="002310A9"/>
    <w:rsid w:val="002313C7"/>
    <w:rsid w:val="00231675"/>
    <w:rsid w:val="00231C9F"/>
    <w:rsid w:val="0023210C"/>
    <w:rsid w:val="00232832"/>
    <w:rsid w:val="00232D9D"/>
    <w:rsid w:val="00235CC1"/>
    <w:rsid w:val="00236D66"/>
    <w:rsid w:val="002414CD"/>
    <w:rsid w:val="00241D40"/>
    <w:rsid w:val="00243ABE"/>
    <w:rsid w:val="00243DD1"/>
    <w:rsid w:val="00244127"/>
    <w:rsid w:val="00244A62"/>
    <w:rsid w:val="00244EDE"/>
    <w:rsid w:val="002450F8"/>
    <w:rsid w:val="00245DF8"/>
    <w:rsid w:val="00250361"/>
    <w:rsid w:val="00252170"/>
    <w:rsid w:val="00253E54"/>
    <w:rsid w:val="00255D2B"/>
    <w:rsid w:val="002569AF"/>
    <w:rsid w:val="0025725A"/>
    <w:rsid w:val="00261F5D"/>
    <w:rsid w:val="002632E7"/>
    <w:rsid w:val="002633C4"/>
    <w:rsid w:val="0026447F"/>
    <w:rsid w:val="002649FE"/>
    <w:rsid w:val="00264CD2"/>
    <w:rsid w:val="00265113"/>
    <w:rsid w:val="00265136"/>
    <w:rsid w:val="002652CE"/>
    <w:rsid w:val="00267449"/>
    <w:rsid w:val="00267CEE"/>
    <w:rsid w:val="00267F5F"/>
    <w:rsid w:val="0027131E"/>
    <w:rsid w:val="0027161C"/>
    <w:rsid w:val="00272ADF"/>
    <w:rsid w:val="0027376E"/>
    <w:rsid w:val="002743EE"/>
    <w:rsid w:val="002744F0"/>
    <w:rsid w:val="0027570D"/>
    <w:rsid w:val="002767FA"/>
    <w:rsid w:val="00276FD7"/>
    <w:rsid w:val="00277604"/>
    <w:rsid w:val="00280C5F"/>
    <w:rsid w:val="00280D66"/>
    <w:rsid w:val="00281129"/>
    <w:rsid w:val="00281E04"/>
    <w:rsid w:val="002824C8"/>
    <w:rsid w:val="002834E0"/>
    <w:rsid w:val="00284FD1"/>
    <w:rsid w:val="0028645E"/>
    <w:rsid w:val="00286B4D"/>
    <w:rsid w:val="002903BD"/>
    <w:rsid w:val="00290F51"/>
    <w:rsid w:val="002915E7"/>
    <w:rsid w:val="00291877"/>
    <w:rsid w:val="0029502C"/>
    <w:rsid w:val="00295FFA"/>
    <w:rsid w:val="0029607D"/>
    <w:rsid w:val="002974A6"/>
    <w:rsid w:val="002A0192"/>
    <w:rsid w:val="002A03BE"/>
    <w:rsid w:val="002A2334"/>
    <w:rsid w:val="002A239B"/>
    <w:rsid w:val="002A4421"/>
    <w:rsid w:val="002A5021"/>
    <w:rsid w:val="002A5E37"/>
    <w:rsid w:val="002B0FC2"/>
    <w:rsid w:val="002B1375"/>
    <w:rsid w:val="002B2CF2"/>
    <w:rsid w:val="002B3574"/>
    <w:rsid w:val="002B3DA5"/>
    <w:rsid w:val="002B3F1E"/>
    <w:rsid w:val="002B4AC8"/>
    <w:rsid w:val="002B52F2"/>
    <w:rsid w:val="002B56E0"/>
    <w:rsid w:val="002B63A0"/>
    <w:rsid w:val="002B6C74"/>
    <w:rsid w:val="002B7745"/>
    <w:rsid w:val="002B7C4F"/>
    <w:rsid w:val="002C027A"/>
    <w:rsid w:val="002C032D"/>
    <w:rsid w:val="002C051F"/>
    <w:rsid w:val="002C1357"/>
    <w:rsid w:val="002C15A4"/>
    <w:rsid w:val="002C3C84"/>
    <w:rsid w:val="002C4B41"/>
    <w:rsid w:val="002C4E74"/>
    <w:rsid w:val="002C5711"/>
    <w:rsid w:val="002C5BCD"/>
    <w:rsid w:val="002C70BF"/>
    <w:rsid w:val="002D06E5"/>
    <w:rsid w:val="002D09B5"/>
    <w:rsid w:val="002D0F50"/>
    <w:rsid w:val="002D1C94"/>
    <w:rsid w:val="002D28BC"/>
    <w:rsid w:val="002D2D50"/>
    <w:rsid w:val="002D3837"/>
    <w:rsid w:val="002D38A3"/>
    <w:rsid w:val="002D3A6B"/>
    <w:rsid w:val="002D3AF5"/>
    <w:rsid w:val="002D46DB"/>
    <w:rsid w:val="002D49A0"/>
    <w:rsid w:val="002D5EC0"/>
    <w:rsid w:val="002D5ECE"/>
    <w:rsid w:val="002D6106"/>
    <w:rsid w:val="002D63A1"/>
    <w:rsid w:val="002D727C"/>
    <w:rsid w:val="002E0305"/>
    <w:rsid w:val="002E0B71"/>
    <w:rsid w:val="002E1323"/>
    <w:rsid w:val="002E4AD6"/>
    <w:rsid w:val="002E7820"/>
    <w:rsid w:val="002F039C"/>
    <w:rsid w:val="002F053D"/>
    <w:rsid w:val="002F14CA"/>
    <w:rsid w:val="002F175C"/>
    <w:rsid w:val="002F1CC4"/>
    <w:rsid w:val="002F4E01"/>
    <w:rsid w:val="002F56D8"/>
    <w:rsid w:val="002F5896"/>
    <w:rsid w:val="002F5D0C"/>
    <w:rsid w:val="002F5DCB"/>
    <w:rsid w:val="002F709A"/>
    <w:rsid w:val="002F772E"/>
    <w:rsid w:val="002F781E"/>
    <w:rsid w:val="002F7A1E"/>
    <w:rsid w:val="00300FEE"/>
    <w:rsid w:val="00301072"/>
    <w:rsid w:val="0030138D"/>
    <w:rsid w:val="00301610"/>
    <w:rsid w:val="00301BD4"/>
    <w:rsid w:val="00301E0F"/>
    <w:rsid w:val="003026C7"/>
    <w:rsid w:val="00302727"/>
    <w:rsid w:val="00302B44"/>
    <w:rsid w:val="00303D16"/>
    <w:rsid w:val="003046E0"/>
    <w:rsid w:val="003047D3"/>
    <w:rsid w:val="00306124"/>
    <w:rsid w:val="00306470"/>
    <w:rsid w:val="0030672F"/>
    <w:rsid w:val="00310E7B"/>
    <w:rsid w:val="00310F2C"/>
    <w:rsid w:val="0031167A"/>
    <w:rsid w:val="003121FB"/>
    <w:rsid w:val="00314415"/>
    <w:rsid w:val="00314A18"/>
    <w:rsid w:val="00314A97"/>
    <w:rsid w:val="0031790F"/>
    <w:rsid w:val="00320482"/>
    <w:rsid w:val="00320E07"/>
    <w:rsid w:val="00320F32"/>
    <w:rsid w:val="003218C7"/>
    <w:rsid w:val="00321BF2"/>
    <w:rsid w:val="003220F0"/>
    <w:rsid w:val="00322881"/>
    <w:rsid w:val="003229D8"/>
    <w:rsid w:val="0032348D"/>
    <w:rsid w:val="00323A2B"/>
    <w:rsid w:val="00325136"/>
    <w:rsid w:val="00326293"/>
    <w:rsid w:val="0032709F"/>
    <w:rsid w:val="00327502"/>
    <w:rsid w:val="00331781"/>
    <w:rsid w:val="00332B1E"/>
    <w:rsid w:val="00332D5C"/>
    <w:rsid w:val="003335F5"/>
    <w:rsid w:val="00333921"/>
    <w:rsid w:val="00333E0C"/>
    <w:rsid w:val="00335C4B"/>
    <w:rsid w:val="00335D6C"/>
    <w:rsid w:val="003362ED"/>
    <w:rsid w:val="003365EC"/>
    <w:rsid w:val="00336FB0"/>
    <w:rsid w:val="00337A47"/>
    <w:rsid w:val="003425CE"/>
    <w:rsid w:val="00342D6C"/>
    <w:rsid w:val="0034486F"/>
    <w:rsid w:val="00344DC3"/>
    <w:rsid w:val="00345256"/>
    <w:rsid w:val="003464C6"/>
    <w:rsid w:val="003465C8"/>
    <w:rsid w:val="003467FE"/>
    <w:rsid w:val="00346980"/>
    <w:rsid w:val="00346DE7"/>
    <w:rsid w:val="0034792E"/>
    <w:rsid w:val="0035049F"/>
    <w:rsid w:val="00350592"/>
    <w:rsid w:val="00352709"/>
    <w:rsid w:val="00352C1F"/>
    <w:rsid w:val="00352D2B"/>
    <w:rsid w:val="00354AA8"/>
    <w:rsid w:val="00355BD5"/>
    <w:rsid w:val="00356AAB"/>
    <w:rsid w:val="00356EEF"/>
    <w:rsid w:val="00360EAD"/>
    <w:rsid w:val="00361FFC"/>
    <w:rsid w:val="0036213E"/>
    <w:rsid w:val="00362869"/>
    <w:rsid w:val="00362F0A"/>
    <w:rsid w:val="003634F2"/>
    <w:rsid w:val="00363C7A"/>
    <w:rsid w:val="00364789"/>
    <w:rsid w:val="00364901"/>
    <w:rsid w:val="003652A0"/>
    <w:rsid w:val="00365AB4"/>
    <w:rsid w:val="00366173"/>
    <w:rsid w:val="003661AB"/>
    <w:rsid w:val="0036645D"/>
    <w:rsid w:val="00367567"/>
    <w:rsid w:val="003705C9"/>
    <w:rsid w:val="00371178"/>
    <w:rsid w:val="003713E0"/>
    <w:rsid w:val="003719B4"/>
    <w:rsid w:val="0037204F"/>
    <w:rsid w:val="003721BC"/>
    <w:rsid w:val="00372E2F"/>
    <w:rsid w:val="00372E90"/>
    <w:rsid w:val="003730DD"/>
    <w:rsid w:val="00374609"/>
    <w:rsid w:val="00374D5A"/>
    <w:rsid w:val="003762A0"/>
    <w:rsid w:val="00376745"/>
    <w:rsid w:val="0037720E"/>
    <w:rsid w:val="003800DE"/>
    <w:rsid w:val="00381975"/>
    <w:rsid w:val="00381DBA"/>
    <w:rsid w:val="003821D3"/>
    <w:rsid w:val="00382EE8"/>
    <w:rsid w:val="0038336C"/>
    <w:rsid w:val="00383F4C"/>
    <w:rsid w:val="00383F7E"/>
    <w:rsid w:val="003849C4"/>
    <w:rsid w:val="0038684E"/>
    <w:rsid w:val="00386A7B"/>
    <w:rsid w:val="00386AC2"/>
    <w:rsid w:val="00386EF5"/>
    <w:rsid w:val="003871ED"/>
    <w:rsid w:val="00390A83"/>
    <w:rsid w:val="00392121"/>
    <w:rsid w:val="00392A35"/>
    <w:rsid w:val="00393666"/>
    <w:rsid w:val="003942F0"/>
    <w:rsid w:val="003945BF"/>
    <w:rsid w:val="00394A4C"/>
    <w:rsid w:val="00395395"/>
    <w:rsid w:val="0039556A"/>
    <w:rsid w:val="00396BAE"/>
    <w:rsid w:val="00397223"/>
    <w:rsid w:val="003973D0"/>
    <w:rsid w:val="003A0984"/>
    <w:rsid w:val="003A1602"/>
    <w:rsid w:val="003A22FB"/>
    <w:rsid w:val="003A3C43"/>
    <w:rsid w:val="003A5380"/>
    <w:rsid w:val="003A53F7"/>
    <w:rsid w:val="003A5830"/>
    <w:rsid w:val="003A6810"/>
    <w:rsid w:val="003A6BB4"/>
    <w:rsid w:val="003B1756"/>
    <w:rsid w:val="003B483A"/>
    <w:rsid w:val="003B4890"/>
    <w:rsid w:val="003B59D4"/>
    <w:rsid w:val="003B5B0A"/>
    <w:rsid w:val="003B6175"/>
    <w:rsid w:val="003B7955"/>
    <w:rsid w:val="003C02AB"/>
    <w:rsid w:val="003C1A26"/>
    <w:rsid w:val="003C2CC4"/>
    <w:rsid w:val="003C4DEF"/>
    <w:rsid w:val="003C558C"/>
    <w:rsid w:val="003C74C5"/>
    <w:rsid w:val="003D022D"/>
    <w:rsid w:val="003D0290"/>
    <w:rsid w:val="003D1310"/>
    <w:rsid w:val="003D2644"/>
    <w:rsid w:val="003D2AA6"/>
    <w:rsid w:val="003D3CF9"/>
    <w:rsid w:val="003D4143"/>
    <w:rsid w:val="003D4794"/>
    <w:rsid w:val="003D4B23"/>
    <w:rsid w:val="003D56B0"/>
    <w:rsid w:val="003E1596"/>
    <w:rsid w:val="003E1C43"/>
    <w:rsid w:val="003E219E"/>
    <w:rsid w:val="003E22F5"/>
    <w:rsid w:val="003E3065"/>
    <w:rsid w:val="003E3CF4"/>
    <w:rsid w:val="003E3DF3"/>
    <w:rsid w:val="003E493F"/>
    <w:rsid w:val="003E52A2"/>
    <w:rsid w:val="003E64CC"/>
    <w:rsid w:val="003E6D09"/>
    <w:rsid w:val="003E6F7E"/>
    <w:rsid w:val="003E723E"/>
    <w:rsid w:val="003F6100"/>
    <w:rsid w:val="003F71B0"/>
    <w:rsid w:val="00400ACF"/>
    <w:rsid w:val="0040136F"/>
    <w:rsid w:val="00401429"/>
    <w:rsid w:val="004016C9"/>
    <w:rsid w:val="00401BF0"/>
    <w:rsid w:val="00402458"/>
    <w:rsid w:val="00403387"/>
    <w:rsid w:val="00403BAA"/>
    <w:rsid w:val="00403D97"/>
    <w:rsid w:val="0040413A"/>
    <w:rsid w:val="004050B9"/>
    <w:rsid w:val="00405473"/>
    <w:rsid w:val="00406047"/>
    <w:rsid w:val="00406F1F"/>
    <w:rsid w:val="0041050D"/>
    <w:rsid w:val="00410C89"/>
    <w:rsid w:val="00410FB0"/>
    <w:rsid w:val="004113B2"/>
    <w:rsid w:val="00412A50"/>
    <w:rsid w:val="0041363E"/>
    <w:rsid w:val="004147D4"/>
    <w:rsid w:val="00414931"/>
    <w:rsid w:val="00414B35"/>
    <w:rsid w:val="00415BA0"/>
    <w:rsid w:val="00416060"/>
    <w:rsid w:val="004175B5"/>
    <w:rsid w:val="0041795A"/>
    <w:rsid w:val="004179B3"/>
    <w:rsid w:val="00420855"/>
    <w:rsid w:val="004223A7"/>
    <w:rsid w:val="004228D5"/>
    <w:rsid w:val="00422F31"/>
    <w:rsid w:val="00424479"/>
    <w:rsid w:val="00424AD8"/>
    <w:rsid w:val="0042621F"/>
    <w:rsid w:val="00426B9B"/>
    <w:rsid w:val="00430F99"/>
    <w:rsid w:val="004311E3"/>
    <w:rsid w:val="00431FE1"/>
    <w:rsid w:val="004325CB"/>
    <w:rsid w:val="004327E0"/>
    <w:rsid w:val="004331A3"/>
    <w:rsid w:val="004346B9"/>
    <w:rsid w:val="0043559E"/>
    <w:rsid w:val="00435D83"/>
    <w:rsid w:val="00436142"/>
    <w:rsid w:val="00436B33"/>
    <w:rsid w:val="00440E04"/>
    <w:rsid w:val="0044155F"/>
    <w:rsid w:val="00442A83"/>
    <w:rsid w:val="00442E22"/>
    <w:rsid w:val="00442F2A"/>
    <w:rsid w:val="00443039"/>
    <w:rsid w:val="0044393A"/>
    <w:rsid w:val="00443EE9"/>
    <w:rsid w:val="00446B75"/>
    <w:rsid w:val="00450A3B"/>
    <w:rsid w:val="004514F6"/>
    <w:rsid w:val="004536EF"/>
    <w:rsid w:val="0045495B"/>
    <w:rsid w:val="00455148"/>
    <w:rsid w:val="00455688"/>
    <w:rsid w:val="00455900"/>
    <w:rsid w:val="00456152"/>
    <w:rsid w:val="00456EB9"/>
    <w:rsid w:val="0045741F"/>
    <w:rsid w:val="00457E0B"/>
    <w:rsid w:val="00460E2A"/>
    <w:rsid w:val="00461924"/>
    <w:rsid w:val="00466844"/>
    <w:rsid w:val="00466B4C"/>
    <w:rsid w:val="004675D0"/>
    <w:rsid w:val="00467903"/>
    <w:rsid w:val="0046795E"/>
    <w:rsid w:val="0047073D"/>
    <w:rsid w:val="004713F4"/>
    <w:rsid w:val="00471405"/>
    <w:rsid w:val="0047261F"/>
    <w:rsid w:val="0047326D"/>
    <w:rsid w:val="004734D9"/>
    <w:rsid w:val="00473963"/>
    <w:rsid w:val="004748BA"/>
    <w:rsid w:val="004821F5"/>
    <w:rsid w:val="004832AC"/>
    <w:rsid w:val="004838A6"/>
    <w:rsid w:val="00483D1D"/>
    <w:rsid w:val="00483EF4"/>
    <w:rsid w:val="00484B45"/>
    <w:rsid w:val="0048637B"/>
    <w:rsid w:val="00486877"/>
    <w:rsid w:val="00487256"/>
    <w:rsid w:val="0048737D"/>
    <w:rsid w:val="00487488"/>
    <w:rsid w:val="0049219B"/>
    <w:rsid w:val="00493CC2"/>
    <w:rsid w:val="00494846"/>
    <w:rsid w:val="0049638D"/>
    <w:rsid w:val="004976F2"/>
    <w:rsid w:val="004A189A"/>
    <w:rsid w:val="004A2281"/>
    <w:rsid w:val="004A28A7"/>
    <w:rsid w:val="004A3018"/>
    <w:rsid w:val="004A3F45"/>
    <w:rsid w:val="004A58F9"/>
    <w:rsid w:val="004A5C21"/>
    <w:rsid w:val="004A5ED6"/>
    <w:rsid w:val="004B3D5D"/>
    <w:rsid w:val="004B459B"/>
    <w:rsid w:val="004B4963"/>
    <w:rsid w:val="004B7D6C"/>
    <w:rsid w:val="004C0353"/>
    <w:rsid w:val="004C0946"/>
    <w:rsid w:val="004C2A01"/>
    <w:rsid w:val="004C30BF"/>
    <w:rsid w:val="004C3EE1"/>
    <w:rsid w:val="004C49B5"/>
    <w:rsid w:val="004C4A2B"/>
    <w:rsid w:val="004C547C"/>
    <w:rsid w:val="004C6269"/>
    <w:rsid w:val="004C6864"/>
    <w:rsid w:val="004C69F9"/>
    <w:rsid w:val="004C71A0"/>
    <w:rsid w:val="004C73D5"/>
    <w:rsid w:val="004D1CEB"/>
    <w:rsid w:val="004D2F1B"/>
    <w:rsid w:val="004D3837"/>
    <w:rsid w:val="004D401C"/>
    <w:rsid w:val="004D4AAD"/>
    <w:rsid w:val="004D513B"/>
    <w:rsid w:val="004D5BEC"/>
    <w:rsid w:val="004D71B4"/>
    <w:rsid w:val="004E1541"/>
    <w:rsid w:val="004E1D93"/>
    <w:rsid w:val="004E1FF5"/>
    <w:rsid w:val="004E2AAE"/>
    <w:rsid w:val="004E37AA"/>
    <w:rsid w:val="004E3FD1"/>
    <w:rsid w:val="004E4D62"/>
    <w:rsid w:val="004E617F"/>
    <w:rsid w:val="004E64A6"/>
    <w:rsid w:val="004E79BD"/>
    <w:rsid w:val="004E7D78"/>
    <w:rsid w:val="004F2AB1"/>
    <w:rsid w:val="004F3575"/>
    <w:rsid w:val="004F5078"/>
    <w:rsid w:val="004F56A1"/>
    <w:rsid w:val="004F7AED"/>
    <w:rsid w:val="0050121C"/>
    <w:rsid w:val="0050139F"/>
    <w:rsid w:val="005015E6"/>
    <w:rsid w:val="0050162B"/>
    <w:rsid w:val="005022F1"/>
    <w:rsid w:val="005038B2"/>
    <w:rsid w:val="0050410E"/>
    <w:rsid w:val="005058FF"/>
    <w:rsid w:val="00507B45"/>
    <w:rsid w:val="00511A20"/>
    <w:rsid w:val="00511F0E"/>
    <w:rsid w:val="00512945"/>
    <w:rsid w:val="00512D8B"/>
    <w:rsid w:val="00513196"/>
    <w:rsid w:val="00514916"/>
    <w:rsid w:val="00514BFF"/>
    <w:rsid w:val="005164EC"/>
    <w:rsid w:val="00516701"/>
    <w:rsid w:val="00516A5D"/>
    <w:rsid w:val="00516A6A"/>
    <w:rsid w:val="00520C9E"/>
    <w:rsid w:val="0052136D"/>
    <w:rsid w:val="005242BF"/>
    <w:rsid w:val="0052434D"/>
    <w:rsid w:val="00524C98"/>
    <w:rsid w:val="00525395"/>
    <w:rsid w:val="00526E19"/>
    <w:rsid w:val="0052775E"/>
    <w:rsid w:val="00527B53"/>
    <w:rsid w:val="00530F9C"/>
    <w:rsid w:val="00531F54"/>
    <w:rsid w:val="00532E5F"/>
    <w:rsid w:val="00533633"/>
    <w:rsid w:val="00533CAC"/>
    <w:rsid w:val="00533EFD"/>
    <w:rsid w:val="00534179"/>
    <w:rsid w:val="005409DC"/>
    <w:rsid w:val="005420F2"/>
    <w:rsid w:val="00542BC7"/>
    <w:rsid w:val="005479E7"/>
    <w:rsid w:val="00547A47"/>
    <w:rsid w:val="00547B4A"/>
    <w:rsid w:val="00550BDA"/>
    <w:rsid w:val="00550D3B"/>
    <w:rsid w:val="005519D0"/>
    <w:rsid w:val="00552689"/>
    <w:rsid w:val="00553373"/>
    <w:rsid w:val="00553EA9"/>
    <w:rsid w:val="005541A6"/>
    <w:rsid w:val="005545F1"/>
    <w:rsid w:val="0055703E"/>
    <w:rsid w:val="0055771E"/>
    <w:rsid w:val="005577F5"/>
    <w:rsid w:val="00560D05"/>
    <w:rsid w:val="005618F9"/>
    <w:rsid w:val="005628B6"/>
    <w:rsid w:val="00562B61"/>
    <w:rsid w:val="00562F4D"/>
    <w:rsid w:val="00564714"/>
    <w:rsid w:val="005655F7"/>
    <w:rsid w:val="00565779"/>
    <w:rsid w:val="00565EA8"/>
    <w:rsid w:val="0056624F"/>
    <w:rsid w:val="00566DEB"/>
    <w:rsid w:val="005704D1"/>
    <w:rsid w:val="0057161F"/>
    <w:rsid w:val="00571BB4"/>
    <w:rsid w:val="00571CA9"/>
    <w:rsid w:val="005722B3"/>
    <w:rsid w:val="0057376F"/>
    <w:rsid w:val="0057407A"/>
    <w:rsid w:val="0057414A"/>
    <w:rsid w:val="0057494C"/>
    <w:rsid w:val="00574EB0"/>
    <w:rsid w:val="00580700"/>
    <w:rsid w:val="005814A2"/>
    <w:rsid w:val="005848B3"/>
    <w:rsid w:val="00584A57"/>
    <w:rsid w:val="005853D7"/>
    <w:rsid w:val="00585B4E"/>
    <w:rsid w:val="00586059"/>
    <w:rsid w:val="00586ABA"/>
    <w:rsid w:val="0058726B"/>
    <w:rsid w:val="005905E2"/>
    <w:rsid w:val="00590F87"/>
    <w:rsid w:val="005928DF"/>
    <w:rsid w:val="00592C4A"/>
    <w:rsid w:val="00592C4B"/>
    <w:rsid w:val="00592D66"/>
    <w:rsid w:val="00592EFD"/>
    <w:rsid w:val="00593A84"/>
    <w:rsid w:val="00594628"/>
    <w:rsid w:val="00594CF0"/>
    <w:rsid w:val="00595476"/>
    <w:rsid w:val="00596EFC"/>
    <w:rsid w:val="00597BF3"/>
    <w:rsid w:val="00597E6E"/>
    <w:rsid w:val="005A02CA"/>
    <w:rsid w:val="005A0312"/>
    <w:rsid w:val="005A0327"/>
    <w:rsid w:val="005A0415"/>
    <w:rsid w:val="005A084E"/>
    <w:rsid w:val="005A0C1C"/>
    <w:rsid w:val="005A0DD8"/>
    <w:rsid w:val="005A104A"/>
    <w:rsid w:val="005A15B5"/>
    <w:rsid w:val="005A1B1D"/>
    <w:rsid w:val="005A2F4B"/>
    <w:rsid w:val="005A3B8B"/>
    <w:rsid w:val="005A3B99"/>
    <w:rsid w:val="005A4888"/>
    <w:rsid w:val="005A533E"/>
    <w:rsid w:val="005A72E7"/>
    <w:rsid w:val="005A7430"/>
    <w:rsid w:val="005A7C89"/>
    <w:rsid w:val="005A7F8F"/>
    <w:rsid w:val="005B180A"/>
    <w:rsid w:val="005B2DFC"/>
    <w:rsid w:val="005B31F6"/>
    <w:rsid w:val="005B3C41"/>
    <w:rsid w:val="005B3DB3"/>
    <w:rsid w:val="005B5F27"/>
    <w:rsid w:val="005B6292"/>
    <w:rsid w:val="005C0CF6"/>
    <w:rsid w:val="005C0FC8"/>
    <w:rsid w:val="005C14E0"/>
    <w:rsid w:val="005C1CC7"/>
    <w:rsid w:val="005C1E97"/>
    <w:rsid w:val="005C280C"/>
    <w:rsid w:val="005C4358"/>
    <w:rsid w:val="005C458B"/>
    <w:rsid w:val="005C4825"/>
    <w:rsid w:val="005C4D93"/>
    <w:rsid w:val="005C53D3"/>
    <w:rsid w:val="005C5760"/>
    <w:rsid w:val="005C5808"/>
    <w:rsid w:val="005C674E"/>
    <w:rsid w:val="005C6C4F"/>
    <w:rsid w:val="005C6D98"/>
    <w:rsid w:val="005C7BB2"/>
    <w:rsid w:val="005D0E65"/>
    <w:rsid w:val="005D2B66"/>
    <w:rsid w:val="005D2DFC"/>
    <w:rsid w:val="005D3075"/>
    <w:rsid w:val="005D30B8"/>
    <w:rsid w:val="005D3F18"/>
    <w:rsid w:val="005D3FB5"/>
    <w:rsid w:val="005D438F"/>
    <w:rsid w:val="005D4877"/>
    <w:rsid w:val="005D4A98"/>
    <w:rsid w:val="005D542D"/>
    <w:rsid w:val="005D5721"/>
    <w:rsid w:val="005D5AF5"/>
    <w:rsid w:val="005D5FE7"/>
    <w:rsid w:val="005D6D72"/>
    <w:rsid w:val="005D763C"/>
    <w:rsid w:val="005D7B9A"/>
    <w:rsid w:val="005E01D5"/>
    <w:rsid w:val="005E06C2"/>
    <w:rsid w:val="005E111E"/>
    <w:rsid w:val="005E190D"/>
    <w:rsid w:val="005E2D2C"/>
    <w:rsid w:val="005E2E34"/>
    <w:rsid w:val="005E3F67"/>
    <w:rsid w:val="005E40A3"/>
    <w:rsid w:val="005E40FD"/>
    <w:rsid w:val="005E4BCE"/>
    <w:rsid w:val="005E4FFC"/>
    <w:rsid w:val="005E5034"/>
    <w:rsid w:val="005E783D"/>
    <w:rsid w:val="005E7981"/>
    <w:rsid w:val="005F1B2D"/>
    <w:rsid w:val="005F494A"/>
    <w:rsid w:val="005F5024"/>
    <w:rsid w:val="005F5699"/>
    <w:rsid w:val="005F575F"/>
    <w:rsid w:val="005F57AD"/>
    <w:rsid w:val="005F6013"/>
    <w:rsid w:val="005F7079"/>
    <w:rsid w:val="005F7717"/>
    <w:rsid w:val="005F7B75"/>
    <w:rsid w:val="005F7F93"/>
    <w:rsid w:val="006001EE"/>
    <w:rsid w:val="00600DB9"/>
    <w:rsid w:val="00601CA8"/>
    <w:rsid w:val="006023C0"/>
    <w:rsid w:val="00602B75"/>
    <w:rsid w:val="006032B5"/>
    <w:rsid w:val="00603976"/>
    <w:rsid w:val="00603DAF"/>
    <w:rsid w:val="00604415"/>
    <w:rsid w:val="00605042"/>
    <w:rsid w:val="00606B2B"/>
    <w:rsid w:val="00607635"/>
    <w:rsid w:val="0061047C"/>
    <w:rsid w:val="0061115C"/>
    <w:rsid w:val="00611FC4"/>
    <w:rsid w:val="006123D4"/>
    <w:rsid w:val="00613963"/>
    <w:rsid w:val="00614C50"/>
    <w:rsid w:val="00615C66"/>
    <w:rsid w:val="00616894"/>
    <w:rsid w:val="006176FB"/>
    <w:rsid w:val="00621286"/>
    <w:rsid w:val="00621DE8"/>
    <w:rsid w:val="00622E3D"/>
    <w:rsid w:val="00623021"/>
    <w:rsid w:val="00623C4A"/>
    <w:rsid w:val="00624677"/>
    <w:rsid w:val="00624F12"/>
    <w:rsid w:val="006258F4"/>
    <w:rsid w:val="00625FB0"/>
    <w:rsid w:val="006260B2"/>
    <w:rsid w:val="006264FB"/>
    <w:rsid w:val="00626D71"/>
    <w:rsid w:val="006274AD"/>
    <w:rsid w:val="00627697"/>
    <w:rsid w:val="00627FB0"/>
    <w:rsid w:val="00630676"/>
    <w:rsid w:val="00631010"/>
    <w:rsid w:val="00632287"/>
    <w:rsid w:val="006343E4"/>
    <w:rsid w:val="00635006"/>
    <w:rsid w:val="006365F5"/>
    <w:rsid w:val="00636CE7"/>
    <w:rsid w:val="00636EFE"/>
    <w:rsid w:val="006405BC"/>
    <w:rsid w:val="00640B26"/>
    <w:rsid w:val="0064129E"/>
    <w:rsid w:val="0064226F"/>
    <w:rsid w:val="00642394"/>
    <w:rsid w:val="00645F22"/>
    <w:rsid w:val="006478E6"/>
    <w:rsid w:val="00652D0A"/>
    <w:rsid w:val="00654341"/>
    <w:rsid w:val="00654777"/>
    <w:rsid w:val="006572E9"/>
    <w:rsid w:val="0065732B"/>
    <w:rsid w:val="00661597"/>
    <w:rsid w:val="006617E2"/>
    <w:rsid w:val="006619EB"/>
    <w:rsid w:val="00662BB6"/>
    <w:rsid w:val="00664204"/>
    <w:rsid w:val="00664C49"/>
    <w:rsid w:val="0066644D"/>
    <w:rsid w:val="006729FE"/>
    <w:rsid w:val="00673B41"/>
    <w:rsid w:val="00674026"/>
    <w:rsid w:val="006743E9"/>
    <w:rsid w:val="00674D94"/>
    <w:rsid w:val="006752A4"/>
    <w:rsid w:val="0067729C"/>
    <w:rsid w:val="00677B3B"/>
    <w:rsid w:val="0068043D"/>
    <w:rsid w:val="00680461"/>
    <w:rsid w:val="00682284"/>
    <w:rsid w:val="006838C8"/>
    <w:rsid w:val="00683EEF"/>
    <w:rsid w:val="00683EF7"/>
    <w:rsid w:val="00684C21"/>
    <w:rsid w:val="006853D1"/>
    <w:rsid w:val="0068555B"/>
    <w:rsid w:val="0068599A"/>
    <w:rsid w:val="00685FA6"/>
    <w:rsid w:val="00687350"/>
    <w:rsid w:val="0068743C"/>
    <w:rsid w:val="00691D60"/>
    <w:rsid w:val="00691F84"/>
    <w:rsid w:val="00692BBE"/>
    <w:rsid w:val="00692F9B"/>
    <w:rsid w:val="0069416D"/>
    <w:rsid w:val="00694695"/>
    <w:rsid w:val="00694AE6"/>
    <w:rsid w:val="00696929"/>
    <w:rsid w:val="0069763E"/>
    <w:rsid w:val="006976A6"/>
    <w:rsid w:val="006A0E69"/>
    <w:rsid w:val="006A1764"/>
    <w:rsid w:val="006A24AA"/>
    <w:rsid w:val="006A53B5"/>
    <w:rsid w:val="006A6790"/>
    <w:rsid w:val="006A703F"/>
    <w:rsid w:val="006A7737"/>
    <w:rsid w:val="006B04B5"/>
    <w:rsid w:val="006B0995"/>
    <w:rsid w:val="006B3157"/>
    <w:rsid w:val="006B409F"/>
    <w:rsid w:val="006B4AA4"/>
    <w:rsid w:val="006B5AB9"/>
    <w:rsid w:val="006B5CC6"/>
    <w:rsid w:val="006B6574"/>
    <w:rsid w:val="006C014A"/>
    <w:rsid w:val="006C082A"/>
    <w:rsid w:val="006C32BC"/>
    <w:rsid w:val="006C3AD1"/>
    <w:rsid w:val="006C4887"/>
    <w:rsid w:val="006C48BB"/>
    <w:rsid w:val="006C692F"/>
    <w:rsid w:val="006C7A23"/>
    <w:rsid w:val="006D2401"/>
    <w:rsid w:val="006D241C"/>
    <w:rsid w:val="006D2B97"/>
    <w:rsid w:val="006D37AF"/>
    <w:rsid w:val="006D3D02"/>
    <w:rsid w:val="006D51D0"/>
    <w:rsid w:val="006D75C7"/>
    <w:rsid w:val="006E0BAF"/>
    <w:rsid w:val="006E10C6"/>
    <w:rsid w:val="006E1779"/>
    <w:rsid w:val="006E1A90"/>
    <w:rsid w:val="006E1D8A"/>
    <w:rsid w:val="006E3134"/>
    <w:rsid w:val="006E34B9"/>
    <w:rsid w:val="006E37EC"/>
    <w:rsid w:val="006E3FDB"/>
    <w:rsid w:val="006E564B"/>
    <w:rsid w:val="006E6797"/>
    <w:rsid w:val="006E6FAF"/>
    <w:rsid w:val="006E7191"/>
    <w:rsid w:val="006F2CD8"/>
    <w:rsid w:val="006F36AC"/>
    <w:rsid w:val="006F3DA5"/>
    <w:rsid w:val="006F7622"/>
    <w:rsid w:val="00700DA3"/>
    <w:rsid w:val="00701FD5"/>
    <w:rsid w:val="0070353B"/>
    <w:rsid w:val="00703577"/>
    <w:rsid w:val="007052C3"/>
    <w:rsid w:val="007053C1"/>
    <w:rsid w:val="00705625"/>
    <w:rsid w:val="007113A4"/>
    <w:rsid w:val="00711F00"/>
    <w:rsid w:val="00713546"/>
    <w:rsid w:val="00713B23"/>
    <w:rsid w:val="0071450D"/>
    <w:rsid w:val="00715AD0"/>
    <w:rsid w:val="00717631"/>
    <w:rsid w:val="00720196"/>
    <w:rsid w:val="0072149D"/>
    <w:rsid w:val="0072226B"/>
    <w:rsid w:val="0072352E"/>
    <w:rsid w:val="00725453"/>
    <w:rsid w:val="00725F30"/>
    <w:rsid w:val="0072632A"/>
    <w:rsid w:val="00726F57"/>
    <w:rsid w:val="00727B35"/>
    <w:rsid w:val="007314F3"/>
    <w:rsid w:val="007327D5"/>
    <w:rsid w:val="00732B51"/>
    <w:rsid w:val="00734B12"/>
    <w:rsid w:val="00734BAC"/>
    <w:rsid w:val="00735CA1"/>
    <w:rsid w:val="00736E08"/>
    <w:rsid w:val="00740255"/>
    <w:rsid w:val="007405D8"/>
    <w:rsid w:val="007417BC"/>
    <w:rsid w:val="00743842"/>
    <w:rsid w:val="007439B3"/>
    <w:rsid w:val="00745A0C"/>
    <w:rsid w:val="00746BB2"/>
    <w:rsid w:val="00746F1E"/>
    <w:rsid w:val="00750D47"/>
    <w:rsid w:val="00750FCA"/>
    <w:rsid w:val="00751074"/>
    <w:rsid w:val="00751147"/>
    <w:rsid w:val="007523EF"/>
    <w:rsid w:val="00753BA9"/>
    <w:rsid w:val="007551B4"/>
    <w:rsid w:val="00756A3F"/>
    <w:rsid w:val="0076033B"/>
    <w:rsid w:val="00760F53"/>
    <w:rsid w:val="007624CA"/>
    <w:rsid w:val="00762792"/>
    <w:rsid w:val="007627EE"/>
    <w:rsid w:val="007629C8"/>
    <w:rsid w:val="00763BE8"/>
    <w:rsid w:val="00764878"/>
    <w:rsid w:val="00764914"/>
    <w:rsid w:val="0076609B"/>
    <w:rsid w:val="00767016"/>
    <w:rsid w:val="007709DF"/>
    <w:rsid w:val="0077193F"/>
    <w:rsid w:val="007723A1"/>
    <w:rsid w:val="00772C49"/>
    <w:rsid w:val="00775788"/>
    <w:rsid w:val="007757D4"/>
    <w:rsid w:val="00776265"/>
    <w:rsid w:val="0077671F"/>
    <w:rsid w:val="00777DF8"/>
    <w:rsid w:val="007812BA"/>
    <w:rsid w:val="007818F4"/>
    <w:rsid w:val="00781C83"/>
    <w:rsid w:val="007826F5"/>
    <w:rsid w:val="00782F90"/>
    <w:rsid w:val="0078300D"/>
    <w:rsid w:val="00784231"/>
    <w:rsid w:val="00784BCF"/>
    <w:rsid w:val="00784C71"/>
    <w:rsid w:val="00785247"/>
    <w:rsid w:val="00785623"/>
    <w:rsid w:val="007868E9"/>
    <w:rsid w:val="00786EFA"/>
    <w:rsid w:val="00786F3A"/>
    <w:rsid w:val="00787E5D"/>
    <w:rsid w:val="0079151D"/>
    <w:rsid w:val="00791C81"/>
    <w:rsid w:val="007925AE"/>
    <w:rsid w:val="00794B4A"/>
    <w:rsid w:val="00795F7A"/>
    <w:rsid w:val="007965DB"/>
    <w:rsid w:val="007966A8"/>
    <w:rsid w:val="007A102A"/>
    <w:rsid w:val="007A1319"/>
    <w:rsid w:val="007A26E3"/>
    <w:rsid w:val="007A2815"/>
    <w:rsid w:val="007A401C"/>
    <w:rsid w:val="007A4383"/>
    <w:rsid w:val="007A7897"/>
    <w:rsid w:val="007B0D02"/>
    <w:rsid w:val="007B19F4"/>
    <w:rsid w:val="007B1D5B"/>
    <w:rsid w:val="007B1E62"/>
    <w:rsid w:val="007B3C73"/>
    <w:rsid w:val="007B415A"/>
    <w:rsid w:val="007B5249"/>
    <w:rsid w:val="007B5F65"/>
    <w:rsid w:val="007B6A5D"/>
    <w:rsid w:val="007B6BA5"/>
    <w:rsid w:val="007B7CE1"/>
    <w:rsid w:val="007C203A"/>
    <w:rsid w:val="007C3390"/>
    <w:rsid w:val="007C3A7C"/>
    <w:rsid w:val="007C3D25"/>
    <w:rsid w:val="007C3F74"/>
    <w:rsid w:val="007C3FFB"/>
    <w:rsid w:val="007C4F4B"/>
    <w:rsid w:val="007C5032"/>
    <w:rsid w:val="007C58E8"/>
    <w:rsid w:val="007C73E0"/>
    <w:rsid w:val="007C784F"/>
    <w:rsid w:val="007C7C57"/>
    <w:rsid w:val="007D0063"/>
    <w:rsid w:val="007D0270"/>
    <w:rsid w:val="007D126C"/>
    <w:rsid w:val="007D18F4"/>
    <w:rsid w:val="007D3316"/>
    <w:rsid w:val="007D3677"/>
    <w:rsid w:val="007D42B0"/>
    <w:rsid w:val="007D4542"/>
    <w:rsid w:val="007D5803"/>
    <w:rsid w:val="007E0392"/>
    <w:rsid w:val="007E0821"/>
    <w:rsid w:val="007E0B2D"/>
    <w:rsid w:val="007E1318"/>
    <w:rsid w:val="007E16D9"/>
    <w:rsid w:val="007E3050"/>
    <w:rsid w:val="007E32DC"/>
    <w:rsid w:val="007E3DF7"/>
    <w:rsid w:val="007E3E13"/>
    <w:rsid w:val="007E5179"/>
    <w:rsid w:val="007E5732"/>
    <w:rsid w:val="007E6F98"/>
    <w:rsid w:val="007F0685"/>
    <w:rsid w:val="007F1247"/>
    <w:rsid w:val="007F1E75"/>
    <w:rsid w:val="007F31D9"/>
    <w:rsid w:val="007F3A2C"/>
    <w:rsid w:val="007F5739"/>
    <w:rsid w:val="007F5AA8"/>
    <w:rsid w:val="007F6611"/>
    <w:rsid w:val="007F7246"/>
    <w:rsid w:val="007F75D2"/>
    <w:rsid w:val="007F7E17"/>
    <w:rsid w:val="00801CBF"/>
    <w:rsid w:val="008022BF"/>
    <w:rsid w:val="00803EEC"/>
    <w:rsid w:val="00805507"/>
    <w:rsid w:val="00806AAA"/>
    <w:rsid w:val="008076A7"/>
    <w:rsid w:val="008105B8"/>
    <w:rsid w:val="00810C74"/>
    <w:rsid w:val="008111BA"/>
    <w:rsid w:val="00812971"/>
    <w:rsid w:val="0081367C"/>
    <w:rsid w:val="00813793"/>
    <w:rsid w:val="00814F95"/>
    <w:rsid w:val="0081534F"/>
    <w:rsid w:val="0081547F"/>
    <w:rsid w:val="00815845"/>
    <w:rsid w:val="00815ADE"/>
    <w:rsid w:val="00815C52"/>
    <w:rsid w:val="008163F8"/>
    <w:rsid w:val="00816874"/>
    <w:rsid w:val="00816972"/>
    <w:rsid w:val="0081741E"/>
    <w:rsid w:val="0081770E"/>
    <w:rsid w:val="00817C33"/>
    <w:rsid w:val="008216A5"/>
    <w:rsid w:val="00821A8D"/>
    <w:rsid w:val="00821FEC"/>
    <w:rsid w:val="008242D7"/>
    <w:rsid w:val="00824F1B"/>
    <w:rsid w:val="00825659"/>
    <w:rsid w:val="008257B1"/>
    <w:rsid w:val="00825B61"/>
    <w:rsid w:val="00825F45"/>
    <w:rsid w:val="00826086"/>
    <w:rsid w:val="00827317"/>
    <w:rsid w:val="008274A4"/>
    <w:rsid w:val="0083016A"/>
    <w:rsid w:val="008310C1"/>
    <w:rsid w:val="008310F0"/>
    <w:rsid w:val="008320F6"/>
    <w:rsid w:val="00833415"/>
    <w:rsid w:val="00833511"/>
    <w:rsid w:val="00834953"/>
    <w:rsid w:val="00840104"/>
    <w:rsid w:val="0084035B"/>
    <w:rsid w:val="0084126F"/>
    <w:rsid w:val="00841306"/>
    <w:rsid w:val="008428C9"/>
    <w:rsid w:val="008435C7"/>
    <w:rsid w:val="00843767"/>
    <w:rsid w:val="00843DAC"/>
    <w:rsid w:val="00844937"/>
    <w:rsid w:val="00845FA8"/>
    <w:rsid w:val="00846ED4"/>
    <w:rsid w:val="00851259"/>
    <w:rsid w:val="008528FD"/>
    <w:rsid w:val="00852B57"/>
    <w:rsid w:val="008538BE"/>
    <w:rsid w:val="008579E7"/>
    <w:rsid w:val="00857E2C"/>
    <w:rsid w:val="008609AA"/>
    <w:rsid w:val="008621E0"/>
    <w:rsid w:val="00862362"/>
    <w:rsid w:val="008641D8"/>
    <w:rsid w:val="00864B05"/>
    <w:rsid w:val="008655A1"/>
    <w:rsid w:val="008655A9"/>
    <w:rsid w:val="008658CB"/>
    <w:rsid w:val="00865FDE"/>
    <w:rsid w:val="0086733B"/>
    <w:rsid w:val="00867815"/>
    <w:rsid w:val="008678D8"/>
    <w:rsid w:val="008679D9"/>
    <w:rsid w:val="00870E05"/>
    <w:rsid w:val="00871051"/>
    <w:rsid w:val="00871842"/>
    <w:rsid w:val="0087204B"/>
    <w:rsid w:val="00874CAC"/>
    <w:rsid w:val="00875BCE"/>
    <w:rsid w:val="00875FE5"/>
    <w:rsid w:val="008809FB"/>
    <w:rsid w:val="00880F4C"/>
    <w:rsid w:val="008817F2"/>
    <w:rsid w:val="00883D53"/>
    <w:rsid w:val="008840E2"/>
    <w:rsid w:val="00884110"/>
    <w:rsid w:val="008854BE"/>
    <w:rsid w:val="00885BF6"/>
    <w:rsid w:val="00885F41"/>
    <w:rsid w:val="0088636B"/>
    <w:rsid w:val="00886FFA"/>
    <w:rsid w:val="008908B6"/>
    <w:rsid w:val="008910C7"/>
    <w:rsid w:val="00891309"/>
    <w:rsid w:val="00891311"/>
    <w:rsid w:val="0089139E"/>
    <w:rsid w:val="00891599"/>
    <w:rsid w:val="008926B5"/>
    <w:rsid w:val="0089456C"/>
    <w:rsid w:val="00894F8B"/>
    <w:rsid w:val="00895430"/>
    <w:rsid w:val="008955B9"/>
    <w:rsid w:val="008975D6"/>
    <w:rsid w:val="008979B1"/>
    <w:rsid w:val="008A0CAF"/>
    <w:rsid w:val="008A0ED0"/>
    <w:rsid w:val="008A10D2"/>
    <w:rsid w:val="008A1DB2"/>
    <w:rsid w:val="008A2431"/>
    <w:rsid w:val="008A2621"/>
    <w:rsid w:val="008A2B09"/>
    <w:rsid w:val="008A4733"/>
    <w:rsid w:val="008A5196"/>
    <w:rsid w:val="008A61F6"/>
    <w:rsid w:val="008A62CB"/>
    <w:rsid w:val="008A6B25"/>
    <w:rsid w:val="008A6BB4"/>
    <w:rsid w:val="008A6C4F"/>
    <w:rsid w:val="008A778A"/>
    <w:rsid w:val="008B1EE4"/>
    <w:rsid w:val="008B2335"/>
    <w:rsid w:val="008B2485"/>
    <w:rsid w:val="008B388D"/>
    <w:rsid w:val="008B3D95"/>
    <w:rsid w:val="008B6178"/>
    <w:rsid w:val="008C017D"/>
    <w:rsid w:val="008C0E41"/>
    <w:rsid w:val="008C4EDC"/>
    <w:rsid w:val="008D0FBA"/>
    <w:rsid w:val="008D1459"/>
    <w:rsid w:val="008D2503"/>
    <w:rsid w:val="008D38F3"/>
    <w:rsid w:val="008D3AD8"/>
    <w:rsid w:val="008D4A3E"/>
    <w:rsid w:val="008D4BF5"/>
    <w:rsid w:val="008D4D0B"/>
    <w:rsid w:val="008D4DE1"/>
    <w:rsid w:val="008D52B1"/>
    <w:rsid w:val="008D5553"/>
    <w:rsid w:val="008D5CEF"/>
    <w:rsid w:val="008E0104"/>
    <w:rsid w:val="008E0678"/>
    <w:rsid w:val="008E1567"/>
    <w:rsid w:val="008E1D1B"/>
    <w:rsid w:val="008E1FE2"/>
    <w:rsid w:val="008E27EC"/>
    <w:rsid w:val="008E29F8"/>
    <w:rsid w:val="008E3011"/>
    <w:rsid w:val="008E36FD"/>
    <w:rsid w:val="008E39CC"/>
    <w:rsid w:val="008E4C4F"/>
    <w:rsid w:val="008E5320"/>
    <w:rsid w:val="008E6A47"/>
    <w:rsid w:val="008E7478"/>
    <w:rsid w:val="008E7D8C"/>
    <w:rsid w:val="008F11A1"/>
    <w:rsid w:val="008F142A"/>
    <w:rsid w:val="008F1D58"/>
    <w:rsid w:val="008F2587"/>
    <w:rsid w:val="008F34D7"/>
    <w:rsid w:val="008F4AF5"/>
    <w:rsid w:val="008F4C04"/>
    <w:rsid w:val="008F6CC3"/>
    <w:rsid w:val="008F78BA"/>
    <w:rsid w:val="008F7EF1"/>
    <w:rsid w:val="00900EB6"/>
    <w:rsid w:val="00901CCF"/>
    <w:rsid w:val="0090237B"/>
    <w:rsid w:val="00902668"/>
    <w:rsid w:val="00902FE8"/>
    <w:rsid w:val="00903876"/>
    <w:rsid w:val="0090596D"/>
    <w:rsid w:val="00905FD2"/>
    <w:rsid w:val="009067DD"/>
    <w:rsid w:val="00910F40"/>
    <w:rsid w:val="00911247"/>
    <w:rsid w:val="00911303"/>
    <w:rsid w:val="00912256"/>
    <w:rsid w:val="00912962"/>
    <w:rsid w:val="00912C08"/>
    <w:rsid w:val="00913616"/>
    <w:rsid w:val="00913F5E"/>
    <w:rsid w:val="0091460C"/>
    <w:rsid w:val="00914B6E"/>
    <w:rsid w:val="009152C3"/>
    <w:rsid w:val="00916567"/>
    <w:rsid w:val="00916D08"/>
    <w:rsid w:val="009223CA"/>
    <w:rsid w:val="00924A12"/>
    <w:rsid w:val="00925889"/>
    <w:rsid w:val="00930D71"/>
    <w:rsid w:val="009331C0"/>
    <w:rsid w:val="0093413A"/>
    <w:rsid w:val="00934AB2"/>
    <w:rsid w:val="0093571E"/>
    <w:rsid w:val="00935941"/>
    <w:rsid w:val="00936533"/>
    <w:rsid w:val="0093723F"/>
    <w:rsid w:val="0093754A"/>
    <w:rsid w:val="00937974"/>
    <w:rsid w:val="0094080C"/>
    <w:rsid w:val="00940F93"/>
    <w:rsid w:val="009412FE"/>
    <w:rsid w:val="00941AB8"/>
    <w:rsid w:val="0094236B"/>
    <w:rsid w:val="00943FBA"/>
    <w:rsid w:val="00945A23"/>
    <w:rsid w:val="0094712A"/>
    <w:rsid w:val="009502AF"/>
    <w:rsid w:val="00950AF4"/>
    <w:rsid w:val="00951522"/>
    <w:rsid w:val="00951A9F"/>
    <w:rsid w:val="00951EAC"/>
    <w:rsid w:val="00952427"/>
    <w:rsid w:val="00952EDF"/>
    <w:rsid w:val="0095347F"/>
    <w:rsid w:val="009536B7"/>
    <w:rsid w:val="0095403A"/>
    <w:rsid w:val="00954E7B"/>
    <w:rsid w:val="00955194"/>
    <w:rsid w:val="00955F34"/>
    <w:rsid w:val="009568BE"/>
    <w:rsid w:val="00956A6B"/>
    <w:rsid w:val="0095745B"/>
    <w:rsid w:val="00962B3A"/>
    <w:rsid w:val="0096476B"/>
    <w:rsid w:val="00964E2E"/>
    <w:rsid w:val="00965361"/>
    <w:rsid w:val="009669EA"/>
    <w:rsid w:val="00966D7C"/>
    <w:rsid w:val="00966DDD"/>
    <w:rsid w:val="00967F59"/>
    <w:rsid w:val="009701C4"/>
    <w:rsid w:val="00970A75"/>
    <w:rsid w:val="00971C45"/>
    <w:rsid w:val="00972495"/>
    <w:rsid w:val="009735A8"/>
    <w:rsid w:val="009735EF"/>
    <w:rsid w:val="00973B67"/>
    <w:rsid w:val="009740CC"/>
    <w:rsid w:val="00974A2F"/>
    <w:rsid w:val="00974EF5"/>
    <w:rsid w:val="00975230"/>
    <w:rsid w:val="009759CB"/>
    <w:rsid w:val="00975C63"/>
    <w:rsid w:val="00975C94"/>
    <w:rsid w:val="00975E5F"/>
    <w:rsid w:val="009760F3"/>
    <w:rsid w:val="009761F4"/>
    <w:rsid w:val="00980F20"/>
    <w:rsid w:val="009812E7"/>
    <w:rsid w:val="00983C0B"/>
    <w:rsid w:val="009842D9"/>
    <w:rsid w:val="00984A06"/>
    <w:rsid w:val="00985506"/>
    <w:rsid w:val="00985865"/>
    <w:rsid w:val="009862A4"/>
    <w:rsid w:val="009863EF"/>
    <w:rsid w:val="009901E3"/>
    <w:rsid w:val="00990941"/>
    <w:rsid w:val="009909F5"/>
    <w:rsid w:val="0099366E"/>
    <w:rsid w:val="00993D77"/>
    <w:rsid w:val="00996104"/>
    <w:rsid w:val="00997A0C"/>
    <w:rsid w:val="009A01E5"/>
    <w:rsid w:val="009A0E8D"/>
    <w:rsid w:val="009A1452"/>
    <w:rsid w:val="009A446A"/>
    <w:rsid w:val="009A46D6"/>
    <w:rsid w:val="009A56EA"/>
    <w:rsid w:val="009A5E1E"/>
    <w:rsid w:val="009A6988"/>
    <w:rsid w:val="009A7439"/>
    <w:rsid w:val="009B1BE7"/>
    <w:rsid w:val="009B262C"/>
    <w:rsid w:val="009B26E7"/>
    <w:rsid w:val="009B2CFB"/>
    <w:rsid w:val="009B2EF2"/>
    <w:rsid w:val="009B3B6D"/>
    <w:rsid w:val="009B4E0B"/>
    <w:rsid w:val="009B6134"/>
    <w:rsid w:val="009B63C7"/>
    <w:rsid w:val="009B685A"/>
    <w:rsid w:val="009C00AE"/>
    <w:rsid w:val="009C2850"/>
    <w:rsid w:val="009C2B94"/>
    <w:rsid w:val="009C2C0D"/>
    <w:rsid w:val="009C4874"/>
    <w:rsid w:val="009C6AEC"/>
    <w:rsid w:val="009C77E5"/>
    <w:rsid w:val="009C7EFD"/>
    <w:rsid w:val="009D04AC"/>
    <w:rsid w:val="009D065F"/>
    <w:rsid w:val="009D0B1B"/>
    <w:rsid w:val="009D1D59"/>
    <w:rsid w:val="009D22A2"/>
    <w:rsid w:val="009D26D2"/>
    <w:rsid w:val="009D28AB"/>
    <w:rsid w:val="009D4BB8"/>
    <w:rsid w:val="009D5361"/>
    <w:rsid w:val="009D5673"/>
    <w:rsid w:val="009D6527"/>
    <w:rsid w:val="009D76B0"/>
    <w:rsid w:val="009D7894"/>
    <w:rsid w:val="009D7E85"/>
    <w:rsid w:val="009E11CB"/>
    <w:rsid w:val="009E2898"/>
    <w:rsid w:val="009E2F54"/>
    <w:rsid w:val="009E36BD"/>
    <w:rsid w:val="009E445F"/>
    <w:rsid w:val="009E577B"/>
    <w:rsid w:val="009E6A7F"/>
    <w:rsid w:val="009E6CCC"/>
    <w:rsid w:val="009E74F7"/>
    <w:rsid w:val="009E7D26"/>
    <w:rsid w:val="009F08B1"/>
    <w:rsid w:val="009F192B"/>
    <w:rsid w:val="009F2AC1"/>
    <w:rsid w:val="009F3272"/>
    <w:rsid w:val="009F390B"/>
    <w:rsid w:val="009F40E9"/>
    <w:rsid w:val="009F5905"/>
    <w:rsid w:val="009F5D91"/>
    <w:rsid w:val="00A004B1"/>
    <w:rsid w:val="00A009C6"/>
    <w:rsid w:val="00A00A3F"/>
    <w:rsid w:val="00A012C3"/>
    <w:rsid w:val="00A01489"/>
    <w:rsid w:val="00A01E7F"/>
    <w:rsid w:val="00A02273"/>
    <w:rsid w:val="00A030AB"/>
    <w:rsid w:val="00A036B3"/>
    <w:rsid w:val="00A04BAB"/>
    <w:rsid w:val="00A04BFD"/>
    <w:rsid w:val="00A04DCD"/>
    <w:rsid w:val="00A05D55"/>
    <w:rsid w:val="00A069BB"/>
    <w:rsid w:val="00A069E2"/>
    <w:rsid w:val="00A07872"/>
    <w:rsid w:val="00A10474"/>
    <w:rsid w:val="00A11A0C"/>
    <w:rsid w:val="00A11AD7"/>
    <w:rsid w:val="00A12518"/>
    <w:rsid w:val="00A1306D"/>
    <w:rsid w:val="00A130FE"/>
    <w:rsid w:val="00A14D3B"/>
    <w:rsid w:val="00A15A08"/>
    <w:rsid w:val="00A16256"/>
    <w:rsid w:val="00A176A5"/>
    <w:rsid w:val="00A1776E"/>
    <w:rsid w:val="00A230A0"/>
    <w:rsid w:val="00A2561D"/>
    <w:rsid w:val="00A2597E"/>
    <w:rsid w:val="00A25E9B"/>
    <w:rsid w:val="00A262B7"/>
    <w:rsid w:val="00A266D4"/>
    <w:rsid w:val="00A2698E"/>
    <w:rsid w:val="00A31B81"/>
    <w:rsid w:val="00A33679"/>
    <w:rsid w:val="00A338D7"/>
    <w:rsid w:val="00A338F1"/>
    <w:rsid w:val="00A3488C"/>
    <w:rsid w:val="00A3630E"/>
    <w:rsid w:val="00A36331"/>
    <w:rsid w:val="00A36BE3"/>
    <w:rsid w:val="00A37DD8"/>
    <w:rsid w:val="00A40510"/>
    <w:rsid w:val="00A4143D"/>
    <w:rsid w:val="00A4192B"/>
    <w:rsid w:val="00A4263D"/>
    <w:rsid w:val="00A44615"/>
    <w:rsid w:val="00A4531D"/>
    <w:rsid w:val="00A455A7"/>
    <w:rsid w:val="00A45DB8"/>
    <w:rsid w:val="00A45DFE"/>
    <w:rsid w:val="00A4722B"/>
    <w:rsid w:val="00A47396"/>
    <w:rsid w:val="00A4753A"/>
    <w:rsid w:val="00A50C59"/>
    <w:rsid w:val="00A50EFE"/>
    <w:rsid w:val="00A50F81"/>
    <w:rsid w:val="00A534F8"/>
    <w:rsid w:val="00A53B60"/>
    <w:rsid w:val="00A55F52"/>
    <w:rsid w:val="00A57155"/>
    <w:rsid w:val="00A60653"/>
    <w:rsid w:val="00A6098E"/>
    <w:rsid w:val="00A60C3C"/>
    <w:rsid w:val="00A60E9F"/>
    <w:rsid w:val="00A61815"/>
    <w:rsid w:val="00A62026"/>
    <w:rsid w:val="00A62162"/>
    <w:rsid w:val="00A622BD"/>
    <w:rsid w:val="00A65F5F"/>
    <w:rsid w:val="00A674AA"/>
    <w:rsid w:val="00A703CE"/>
    <w:rsid w:val="00A708BB"/>
    <w:rsid w:val="00A70B9B"/>
    <w:rsid w:val="00A710E2"/>
    <w:rsid w:val="00A71B51"/>
    <w:rsid w:val="00A71DF5"/>
    <w:rsid w:val="00A7276C"/>
    <w:rsid w:val="00A72F22"/>
    <w:rsid w:val="00A7360F"/>
    <w:rsid w:val="00A73EDD"/>
    <w:rsid w:val="00A748A6"/>
    <w:rsid w:val="00A75355"/>
    <w:rsid w:val="00A769F4"/>
    <w:rsid w:val="00A776B4"/>
    <w:rsid w:val="00A77C66"/>
    <w:rsid w:val="00A8191A"/>
    <w:rsid w:val="00A82504"/>
    <w:rsid w:val="00A826D1"/>
    <w:rsid w:val="00A84062"/>
    <w:rsid w:val="00A8467B"/>
    <w:rsid w:val="00A85674"/>
    <w:rsid w:val="00A859BA"/>
    <w:rsid w:val="00A86F19"/>
    <w:rsid w:val="00A871D5"/>
    <w:rsid w:val="00A87251"/>
    <w:rsid w:val="00A872E8"/>
    <w:rsid w:val="00A8780F"/>
    <w:rsid w:val="00A9044C"/>
    <w:rsid w:val="00A90C5B"/>
    <w:rsid w:val="00A90E23"/>
    <w:rsid w:val="00A91499"/>
    <w:rsid w:val="00A91DBE"/>
    <w:rsid w:val="00A937E1"/>
    <w:rsid w:val="00A93CCD"/>
    <w:rsid w:val="00A94361"/>
    <w:rsid w:val="00A95B69"/>
    <w:rsid w:val="00A96457"/>
    <w:rsid w:val="00A96799"/>
    <w:rsid w:val="00AA0619"/>
    <w:rsid w:val="00AA0F58"/>
    <w:rsid w:val="00AA293C"/>
    <w:rsid w:val="00AA2D0D"/>
    <w:rsid w:val="00AA42C6"/>
    <w:rsid w:val="00AA4A02"/>
    <w:rsid w:val="00AA4F43"/>
    <w:rsid w:val="00AB112C"/>
    <w:rsid w:val="00AB19FA"/>
    <w:rsid w:val="00AB1FB2"/>
    <w:rsid w:val="00AB386F"/>
    <w:rsid w:val="00AB4E1A"/>
    <w:rsid w:val="00AB5043"/>
    <w:rsid w:val="00AB5A41"/>
    <w:rsid w:val="00AB5D75"/>
    <w:rsid w:val="00AB7014"/>
    <w:rsid w:val="00AB7523"/>
    <w:rsid w:val="00AB7C6D"/>
    <w:rsid w:val="00AC03E4"/>
    <w:rsid w:val="00AC0A14"/>
    <w:rsid w:val="00AC0D25"/>
    <w:rsid w:val="00AC1844"/>
    <w:rsid w:val="00AC4840"/>
    <w:rsid w:val="00AC4A9B"/>
    <w:rsid w:val="00AC5653"/>
    <w:rsid w:val="00AC63A2"/>
    <w:rsid w:val="00AC647E"/>
    <w:rsid w:val="00AC72E3"/>
    <w:rsid w:val="00AD001C"/>
    <w:rsid w:val="00AD10F3"/>
    <w:rsid w:val="00AD1591"/>
    <w:rsid w:val="00AD1C54"/>
    <w:rsid w:val="00AD293B"/>
    <w:rsid w:val="00AD392F"/>
    <w:rsid w:val="00AD46B8"/>
    <w:rsid w:val="00AD6EA8"/>
    <w:rsid w:val="00AD7999"/>
    <w:rsid w:val="00AE24FE"/>
    <w:rsid w:val="00AE2860"/>
    <w:rsid w:val="00AE309F"/>
    <w:rsid w:val="00AE3157"/>
    <w:rsid w:val="00AE5108"/>
    <w:rsid w:val="00AE5404"/>
    <w:rsid w:val="00AE7C52"/>
    <w:rsid w:val="00AF1998"/>
    <w:rsid w:val="00AF1A44"/>
    <w:rsid w:val="00AF1E8E"/>
    <w:rsid w:val="00AF2366"/>
    <w:rsid w:val="00AF2509"/>
    <w:rsid w:val="00AF256C"/>
    <w:rsid w:val="00AF3290"/>
    <w:rsid w:val="00AF4244"/>
    <w:rsid w:val="00AF5CCF"/>
    <w:rsid w:val="00AF6C3B"/>
    <w:rsid w:val="00B0282C"/>
    <w:rsid w:val="00B02B00"/>
    <w:rsid w:val="00B02BAA"/>
    <w:rsid w:val="00B033CC"/>
    <w:rsid w:val="00B0380C"/>
    <w:rsid w:val="00B04543"/>
    <w:rsid w:val="00B05BD9"/>
    <w:rsid w:val="00B06D66"/>
    <w:rsid w:val="00B06DF0"/>
    <w:rsid w:val="00B07070"/>
    <w:rsid w:val="00B07138"/>
    <w:rsid w:val="00B07A6A"/>
    <w:rsid w:val="00B10872"/>
    <w:rsid w:val="00B11238"/>
    <w:rsid w:val="00B11C54"/>
    <w:rsid w:val="00B12229"/>
    <w:rsid w:val="00B128E8"/>
    <w:rsid w:val="00B12BB4"/>
    <w:rsid w:val="00B12E1C"/>
    <w:rsid w:val="00B13E9B"/>
    <w:rsid w:val="00B1421A"/>
    <w:rsid w:val="00B142F7"/>
    <w:rsid w:val="00B14BDF"/>
    <w:rsid w:val="00B15987"/>
    <w:rsid w:val="00B15993"/>
    <w:rsid w:val="00B16FC0"/>
    <w:rsid w:val="00B17560"/>
    <w:rsid w:val="00B17A87"/>
    <w:rsid w:val="00B17F54"/>
    <w:rsid w:val="00B201CC"/>
    <w:rsid w:val="00B20B3C"/>
    <w:rsid w:val="00B2177C"/>
    <w:rsid w:val="00B22683"/>
    <w:rsid w:val="00B241FA"/>
    <w:rsid w:val="00B2707A"/>
    <w:rsid w:val="00B2766A"/>
    <w:rsid w:val="00B27CC0"/>
    <w:rsid w:val="00B30179"/>
    <w:rsid w:val="00B32131"/>
    <w:rsid w:val="00B339A7"/>
    <w:rsid w:val="00B33F29"/>
    <w:rsid w:val="00B34616"/>
    <w:rsid w:val="00B34A3F"/>
    <w:rsid w:val="00B35F15"/>
    <w:rsid w:val="00B369CE"/>
    <w:rsid w:val="00B3784A"/>
    <w:rsid w:val="00B37AAE"/>
    <w:rsid w:val="00B37BAE"/>
    <w:rsid w:val="00B41837"/>
    <w:rsid w:val="00B41ACB"/>
    <w:rsid w:val="00B427FA"/>
    <w:rsid w:val="00B43A0B"/>
    <w:rsid w:val="00B443E2"/>
    <w:rsid w:val="00B46096"/>
    <w:rsid w:val="00B4718F"/>
    <w:rsid w:val="00B47380"/>
    <w:rsid w:val="00B5092B"/>
    <w:rsid w:val="00B50A5B"/>
    <w:rsid w:val="00B512C7"/>
    <w:rsid w:val="00B515D4"/>
    <w:rsid w:val="00B53F42"/>
    <w:rsid w:val="00B56A03"/>
    <w:rsid w:val="00B56E4A"/>
    <w:rsid w:val="00B56E9C"/>
    <w:rsid w:val="00B60748"/>
    <w:rsid w:val="00B6380E"/>
    <w:rsid w:val="00B639A0"/>
    <w:rsid w:val="00B63FAE"/>
    <w:rsid w:val="00B640A3"/>
    <w:rsid w:val="00B64B1F"/>
    <w:rsid w:val="00B6548B"/>
    <w:rsid w:val="00B654DC"/>
    <w:rsid w:val="00B6553F"/>
    <w:rsid w:val="00B65D1D"/>
    <w:rsid w:val="00B66364"/>
    <w:rsid w:val="00B66E5E"/>
    <w:rsid w:val="00B6735D"/>
    <w:rsid w:val="00B67817"/>
    <w:rsid w:val="00B67C9C"/>
    <w:rsid w:val="00B705E0"/>
    <w:rsid w:val="00B70C5B"/>
    <w:rsid w:val="00B7160E"/>
    <w:rsid w:val="00B716A0"/>
    <w:rsid w:val="00B7342F"/>
    <w:rsid w:val="00B753D1"/>
    <w:rsid w:val="00B76F9C"/>
    <w:rsid w:val="00B77D05"/>
    <w:rsid w:val="00B77EB1"/>
    <w:rsid w:val="00B81202"/>
    <w:rsid w:val="00B81206"/>
    <w:rsid w:val="00B81E12"/>
    <w:rsid w:val="00B82156"/>
    <w:rsid w:val="00B8236D"/>
    <w:rsid w:val="00B83A07"/>
    <w:rsid w:val="00B846C0"/>
    <w:rsid w:val="00B84C4B"/>
    <w:rsid w:val="00B84CBE"/>
    <w:rsid w:val="00B84D8C"/>
    <w:rsid w:val="00B857DE"/>
    <w:rsid w:val="00B85908"/>
    <w:rsid w:val="00B861DB"/>
    <w:rsid w:val="00B86B5F"/>
    <w:rsid w:val="00B874C1"/>
    <w:rsid w:val="00B876FC"/>
    <w:rsid w:val="00B878B3"/>
    <w:rsid w:val="00B879F3"/>
    <w:rsid w:val="00B9067B"/>
    <w:rsid w:val="00B90F27"/>
    <w:rsid w:val="00B91DC0"/>
    <w:rsid w:val="00B93B25"/>
    <w:rsid w:val="00B94491"/>
    <w:rsid w:val="00B94B8D"/>
    <w:rsid w:val="00B95FC8"/>
    <w:rsid w:val="00B96520"/>
    <w:rsid w:val="00B96941"/>
    <w:rsid w:val="00B97172"/>
    <w:rsid w:val="00B97E4C"/>
    <w:rsid w:val="00BA01DB"/>
    <w:rsid w:val="00BA0CA7"/>
    <w:rsid w:val="00BA10AE"/>
    <w:rsid w:val="00BA1A7E"/>
    <w:rsid w:val="00BA1EDB"/>
    <w:rsid w:val="00BA287E"/>
    <w:rsid w:val="00BA29D1"/>
    <w:rsid w:val="00BA4341"/>
    <w:rsid w:val="00BA740D"/>
    <w:rsid w:val="00BB02D8"/>
    <w:rsid w:val="00BB22D5"/>
    <w:rsid w:val="00BB2DB0"/>
    <w:rsid w:val="00BB3491"/>
    <w:rsid w:val="00BB37C3"/>
    <w:rsid w:val="00BB5068"/>
    <w:rsid w:val="00BB577C"/>
    <w:rsid w:val="00BB7F1B"/>
    <w:rsid w:val="00BC012A"/>
    <w:rsid w:val="00BC01E3"/>
    <w:rsid w:val="00BC05BC"/>
    <w:rsid w:val="00BC0B15"/>
    <w:rsid w:val="00BC186C"/>
    <w:rsid w:val="00BC298A"/>
    <w:rsid w:val="00BC2C23"/>
    <w:rsid w:val="00BC2C92"/>
    <w:rsid w:val="00BC48F3"/>
    <w:rsid w:val="00BC4B5D"/>
    <w:rsid w:val="00BC5A8B"/>
    <w:rsid w:val="00BC6B1E"/>
    <w:rsid w:val="00BC70AB"/>
    <w:rsid w:val="00BC74E9"/>
    <w:rsid w:val="00BD035A"/>
    <w:rsid w:val="00BD1277"/>
    <w:rsid w:val="00BD21E3"/>
    <w:rsid w:val="00BD2AEB"/>
    <w:rsid w:val="00BD49BA"/>
    <w:rsid w:val="00BD5EB3"/>
    <w:rsid w:val="00BD6FD3"/>
    <w:rsid w:val="00BD7EA8"/>
    <w:rsid w:val="00BE07C8"/>
    <w:rsid w:val="00BE0B12"/>
    <w:rsid w:val="00BE2C31"/>
    <w:rsid w:val="00BE2F99"/>
    <w:rsid w:val="00BE325F"/>
    <w:rsid w:val="00BE3A3E"/>
    <w:rsid w:val="00BE76EE"/>
    <w:rsid w:val="00BE7732"/>
    <w:rsid w:val="00BF09D4"/>
    <w:rsid w:val="00BF1BB0"/>
    <w:rsid w:val="00BF1D74"/>
    <w:rsid w:val="00BF21FF"/>
    <w:rsid w:val="00BF3D9D"/>
    <w:rsid w:val="00BF450E"/>
    <w:rsid w:val="00BF4AA2"/>
    <w:rsid w:val="00BF5A65"/>
    <w:rsid w:val="00BF5B2C"/>
    <w:rsid w:val="00BF68A8"/>
    <w:rsid w:val="00BF6DBF"/>
    <w:rsid w:val="00BF748F"/>
    <w:rsid w:val="00C006A7"/>
    <w:rsid w:val="00C00A5E"/>
    <w:rsid w:val="00C027AF"/>
    <w:rsid w:val="00C03905"/>
    <w:rsid w:val="00C0401B"/>
    <w:rsid w:val="00C04F50"/>
    <w:rsid w:val="00C0718D"/>
    <w:rsid w:val="00C11207"/>
    <w:rsid w:val="00C11A03"/>
    <w:rsid w:val="00C13B55"/>
    <w:rsid w:val="00C14199"/>
    <w:rsid w:val="00C14A79"/>
    <w:rsid w:val="00C15217"/>
    <w:rsid w:val="00C154D2"/>
    <w:rsid w:val="00C15938"/>
    <w:rsid w:val="00C15C4D"/>
    <w:rsid w:val="00C15E72"/>
    <w:rsid w:val="00C16605"/>
    <w:rsid w:val="00C168CA"/>
    <w:rsid w:val="00C176E9"/>
    <w:rsid w:val="00C218AA"/>
    <w:rsid w:val="00C22595"/>
    <w:rsid w:val="00C227E8"/>
    <w:rsid w:val="00C2284D"/>
    <w:rsid w:val="00C22F80"/>
    <w:rsid w:val="00C237CB"/>
    <w:rsid w:val="00C2458A"/>
    <w:rsid w:val="00C25E02"/>
    <w:rsid w:val="00C2617F"/>
    <w:rsid w:val="00C2623D"/>
    <w:rsid w:val="00C2698D"/>
    <w:rsid w:val="00C27C77"/>
    <w:rsid w:val="00C27D00"/>
    <w:rsid w:val="00C305FF"/>
    <w:rsid w:val="00C31235"/>
    <w:rsid w:val="00C31D00"/>
    <w:rsid w:val="00C325D0"/>
    <w:rsid w:val="00C3279A"/>
    <w:rsid w:val="00C33045"/>
    <w:rsid w:val="00C33936"/>
    <w:rsid w:val="00C33BD4"/>
    <w:rsid w:val="00C34341"/>
    <w:rsid w:val="00C34926"/>
    <w:rsid w:val="00C36695"/>
    <w:rsid w:val="00C36CA4"/>
    <w:rsid w:val="00C37106"/>
    <w:rsid w:val="00C37550"/>
    <w:rsid w:val="00C401AE"/>
    <w:rsid w:val="00C40796"/>
    <w:rsid w:val="00C40EE4"/>
    <w:rsid w:val="00C41957"/>
    <w:rsid w:val="00C42783"/>
    <w:rsid w:val="00C4279B"/>
    <w:rsid w:val="00C42964"/>
    <w:rsid w:val="00C42AEC"/>
    <w:rsid w:val="00C4482F"/>
    <w:rsid w:val="00C44D68"/>
    <w:rsid w:val="00C463DD"/>
    <w:rsid w:val="00C46474"/>
    <w:rsid w:val="00C46A14"/>
    <w:rsid w:val="00C4723D"/>
    <w:rsid w:val="00C4724C"/>
    <w:rsid w:val="00C50356"/>
    <w:rsid w:val="00C51960"/>
    <w:rsid w:val="00C51B7F"/>
    <w:rsid w:val="00C51F0A"/>
    <w:rsid w:val="00C51F77"/>
    <w:rsid w:val="00C52063"/>
    <w:rsid w:val="00C52916"/>
    <w:rsid w:val="00C52F3D"/>
    <w:rsid w:val="00C5392D"/>
    <w:rsid w:val="00C539D4"/>
    <w:rsid w:val="00C547E5"/>
    <w:rsid w:val="00C548A1"/>
    <w:rsid w:val="00C54F73"/>
    <w:rsid w:val="00C554F6"/>
    <w:rsid w:val="00C55779"/>
    <w:rsid w:val="00C561E4"/>
    <w:rsid w:val="00C6017C"/>
    <w:rsid w:val="00C606D3"/>
    <w:rsid w:val="00C615FB"/>
    <w:rsid w:val="00C61F13"/>
    <w:rsid w:val="00C61F70"/>
    <w:rsid w:val="00C629A0"/>
    <w:rsid w:val="00C63272"/>
    <w:rsid w:val="00C6410D"/>
    <w:rsid w:val="00C64A07"/>
    <w:rsid w:val="00C659A9"/>
    <w:rsid w:val="00C65F90"/>
    <w:rsid w:val="00C702EE"/>
    <w:rsid w:val="00C709C4"/>
    <w:rsid w:val="00C719BD"/>
    <w:rsid w:val="00C72BDE"/>
    <w:rsid w:val="00C7315E"/>
    <w:rsid w:val="00C7385F"/>
    <w:rsid w:val="00C745C3"/>
    <w:rsid w:val="00C777E5"/>
    <w:rsid w:val="00C77867"/>
    <w:rsid w:val="00C77C10"/>
    <w:rsid w:val="00C815DC"/>
    <w:rsid w:val="00C82175"/>
    <w:rsid w:val="00C822D7"/>
    <w:rsid w:val="00C82416"/>
    <w:rsid w:val="00C84095"/>
    <w:rsid w:val="00C84F0A"/>
    <w:rsid w:val="00C8504E"/>
    <w:rsid w:val="00C8561F"/>
    <w:rsid w:val="00C866DB"/>
    <w:rsid w:val="00C869BF"/>
    <w:rsid w:val="00C878DB"/>
    <w:rsid w:val="00C9045B"/>
    <w:rsid w:val="00C909F8"/>
    <w:rsid w:val="00C9183C"/>
    <w:rsid w:val="00C91BBB"/>
    <w:rsid w:val="00C921CF"/>
    <w:rsid w:val="00C929A2"/>
    <w:rsid w:val="00C934B4"/>
    <w:rsid w:val="00C940C1"/>
    <w:rsid w:val="00C94BC7"/>
    <w:rsid w:val="00C96D26"/>
    <w:rsid w:val="00CA026A"/>
    <w:rsid w:val="00CA2882"/>
    <w:rsid w:val="00CA40C1"/>
    <w:rsid w:val="00CA42FF"/>
    <w:rsid w:val="00CA56DE"/>
    <w:rsid w:val="00CA5848"/>
    <w:rsid w:val="00CA7C33"/>
    <w:rsid w:val="00CA7D62"/>
    <w:rsid w:val="00CB06B5"/>
    <w:rsid w:val="00CB1B90"/>
    <w:rsid w:val="00CB21C9"/>
    <w:rsid w:val="00CB22DB"/>
    <w:rsid w:val="00CB25DD"/>
    <w:rsid w:val="00CB27E8"/>
    <w:rsid w:val="00CB2CED"/>
    <w:rsid w:val="00CB335D"/>
    <w:rsid w:val="00CB41B9"/>
    <w:rsid w:val="00CB4487"/>
    <w:rsid w:val="00CB6C91"/>
    <w:rsid w:val="00CB787B"/>
    <w:rsid w:val="00CB7F90"/>
    <w:rsid w:val="00CC04F4"/>
    <w:rsid w:val="00CC0DF3"/>
    <w:rsid w:val="00CC1F58"/>
    <w:rsid w:val="00CC241F"/>
    <w:rsid w:val="00CC327C"/>
    <w:rsid w:val="00CC4C0C"/>
    <w:rsid w:val="00CC5BCE"/>
    <w:rsid w:val="00CC664C"/>
    <w:rsid w:val="00CC6EAC"/>
    <w:rsid w:val="00CC7484"/>
    <w:rsid w:val="00CC7652"/>
    <w:rsid w:val="00CC7755"/>
    <w:rsid w:val="00CD0C45"/>
    <w:rsid w:val="00CD386B"/>
    <w:rsid w:val="00CD462F"/>
    <w:rsid w:val="00CD5808"/>
    <w:rsid w:val="00CD6F25"/>
    <w:rsid w:val="00CD70B8"/>
    <w:rsid w:val="00CE1494"/>
    <w:rsid w:val="00CE1672"/>
    <w:rsid w:val="00CE170A"/>
    <w:rsid w:val="00CE2140"/>
    <w:rsid w:val="00CE3E66"/>
    <w:rsid w:val="00CE4904"/>
    <w:rsid w:val="00CE4A8F"/>
    <w:rsid w:val="00CE4D40"/>
    <w:rsid w:val="00CE5876"/>
    <w:rsid w:val="00CE5F5D"/>
    <w:rsid w:val="00CE673A"/>
    <w:rsid w:val="00CE7317"/>
    <w:rsid w:val="00CE7349"/>
    <w:rsid w:val="00CF20BA"/>
    <w:rsid w:val="00CF21B3"/>
    <w:rsid w:val="00CF2919"/>
    <w:rsid w:val="00CF2C0D"/>
    <w:rsid w:val="00CF2C2A"/>
    <w:rsid w:val="00CF2FC3"/>
    <w:rsid w:val="00CF3E3C"/>
    <w:rsid w:val="00CF6255"/>
    <w:rsid w:val="00CF7083"/>
    <w:rsid w:val="00CF76CE"/>
    <w:rsid w:val="00CF7D0F"/>
    <w:rsid w:val="00D012D4"/>
    <w:rsid w:val="00D01C8B"/>
    <w:rsid w:val="00D0217D"/>
    <w:rsid w:val="00D04B04"/>
    <w:rsid w:val="00D056DA"/>
    <w:rsid w:val="00D05885"/>
    <w:rsid w:val="00D06910"/>
    <w:rsid w:val="00D06EAB"/>
    <w:rsid w:val="00D07060"/>
    <w:rsid w:val="00D103AB"/>
    <w:rsid w:val="00D107D6"/>
    <w:rsid w:val="00D11301"/>
    <w:rsid w:val="00D1131C"/>
    <w:rsid w:val="00D1134A"/>
    <w:rsid w:val="00D122F4"/>
    <w:rsid w:val="00D13038"/>
    <w:rsid w:val="00D134DC"/>
    <w:rsid w:val="00D141CF"/>
    <w:rsid w:val="00D16450"/>
    <w:rsid w:val="00D200AB"/>
    <w:rsid w:val="00D2031B"/>
    <w:rsid w:val="00D20619"/>
    <w:rsid w:val="00D20B52"/>
    <w:rsid w:val="00D213F2"/>
    <w:rsid w:val="00D21D87"/>
    <w:rsid w:val="00D21E61"/>
    <w:rsid w:val="00D2276A"/>
    <w:rsid w:val="00D2305C"/>
    <w:rsid w:val="00D236D5"/>
    <w:rsid w:val="00D23C28"/>
    <w:rsid w:val="00D24040"/>
    <w:rsid w:val="00D24185"/>
    <w:rsid w:val="00D256FB"/>
    <w:rsid w:val="00D257E7"/>
    <w:rsid w:val="00D25FE2"/>
    <w:rsid w:val="00D26166"/>
    <w:rsid w:val="00D2672E"/>
    <w:rsid w:val="00D270EF"/>
    <w:rsid w:val="00D27315"/>
    <w:rsid w:val="00D305BA"/>
    <w:rsid w:val="00D33324"/>
    <w:rsid w:val="00D334BD"/>
    <w:rsid w:val="00D33CD6"/>
    <w:rsid w:val="00D34716"/>
    <w:rsid w:val="00D34E31"/>
    <w:rsid w:val="00D354E1"/>
    <w:rsid w:val="00D3669F"/>
    <w:rsid w:val="00D36E57"/>
    <w:rsid w:val="00D377FC"/>
    <w:rsid w:val="00D37E2D"/>
    <w:rsid w:val="00D41FE9"/>
    <w:rsid w:val="00D42E65"/>
    <w:rsid w:val="00D431EB"/>
    <w:rsid w:val="00D43252"/>
    <w:rsid w:val="00D4394C"/>
    <w:rsid w:val="00D45303"/>
    <w:rsid w:val="00D45485"/>
    <w:rsid w:val="00D46294"/>
    <w:rsid w:val="00D46877"/>
    <w:rsid w:val="00D46BA9"/>
    <w:rsid w:val="00D46C0F"/>
    <w:rsid w:val="00D473D1"/>
    <w:rsid w:val="00D47963"/>
    <w:rsid w:val="00D47B2C"/>
    <w:rsid w:val="00D47EEA"/>
    <w:rsid w:val="00D50C86"/>
    <w:rsid w:val="00D50E8D"/>
    <w:rsid w:val="00D50EE6"/>
    <w:rsid w:val="00D51532"/>
    <w:rsid w:val="00D5167F"/>
    <w:rsid w:val="00D537C3"/>
    <w:rsid w:val="00D53CC8"/>
    <w:rsid w:val="00D54AC8"/>
    <w:rsid w:val="00D56CCE"/>
    <w:rsid w:val="00D577D8"/>
    <w:rsid w:val="00D579D6"/>
    <w:rsid w:val="00D60739"/>
    <w:rsid w:val="00D61B09"/>
    <w:rsid w:val="00D63013"/>
    <w:rsid w:val="00D64A83"/>
    <w:rsid w:val="00D64D91"/>
    <w:rsid w:val="00D65841"/>
    <w:rsid w:val="00D65878"/>
    <w:rsid w:val="00D70A01"/>
    <w:rsid w:val="00D71187"/>
    <w:rsid w:val="00D712FE"/>
    <w:rsid w:val="00D725AD"/>
    <w:rsid w:val="00D73195"/>
    <w:rsid w:val="00D73357"/>
    <w:rsid w:val="00D73754"/>
    <w:rsid w:val="00D750F6"/>
    <w:rsid w:val="00D7781D"/>
    <w:rsid w:val="00D77AEF"/>
    <w:rsid w:val="00D82605"/>
    <w:rsid w:val="00D82B3A"/>
    <w:rsid w:val="00D8324A"/>
    <w:rsid w:val="00D8586C"/>
    <w:rsid w:val="00D86B85"/>
    <w:rsid w:val="00D87C94"/>
    <w:rsid w:val="00D902C0"/>
    <w:rsid w:val="00D90984"/>
    <w:rsid w:val="00D90A8D"/>
    <w:rsid w:val="00D90F93"/>
    <w:rsid w:val="00D9204F"/>
    <w:rsid w:val="00D92AE1"/>
    <w:rsid w:val="00D95303"/>
    <w:rsid w:val="00D9541E"/>
    <w:rsid w:val="00D95950"/>
    <w:rsid w:val="00D95A82"/>
    <w:rsid w:val="00D96442"/>
    <w:rsid w:val="00D9732B"/>
    <w:rsid w:val="00D978C6"/>
    <w:rsid w:val="00D97FB9"/>
    <w:rsid w:val="00DA0F6C"/>
    <w:rsid w:val="00DA16D9"/>
    <w:rsid w:val="00DA1948"/>
    <w:rsid w:val="00DA2765"/>
    <w:rsid w:val="00DA3111"/>
    <w:rsid w:val="00DA3C1C"/>
    <w:rsid w:val="00DA3DC3"/>
    <w:rsid w:val="00DA3EB3"/>
    <w:rsid w:val="00DA49AA"/>
    <w:rsid w:val="00DA53E6"/>
    <w:rsid w:val="00DA7238"/>
    <w:rsid w:val="00DA7412"/>
    <w:rsid w:val="00DA764F"/>
    <w:rsid w:val="00DB0C79"/>
    <w:rsid w:val="00DB162B"/>
    <w:rsid w:val="00DB208A"/>
    <w:rsid w:val="00DB3C10"/>
    <w:rsid w:val="00DB45B8"/>
    <w:rsid w:val="00DB56B3"/>
    <w:rsid w:val="00DB5B2F"/>
    <w:rsid w:val="00DB6CA7"/>
    <w:rsid w:val="00DC0CAC"/>
    <w:rsid w:val="00DC0FCD"/>
    <w:rsid w:val="00DC128E"/>
    <w:rsid w:val="00DC290C"/>
    <w:rsid w:val="00DC4569"/>
    <w:rsid w:val="00DC4F03"/>
    <w:rsid w:val="00DC6DBB"/>
    <w:rsid w:val="00DC6E39"/>
    <w:rsid w:val="00DC71FF"/>
    <w:rsid w:val="00DC7EEC"/>
    <w:rsid w:val="00DD013D"/>
    <w:rsid w:val="00DD0339"/>
    <w:rsid w:val="00DD0C32"/>
    <w:rsid w:val="00DD1B10"/>
    <w:rsid w:val="00DD26A8"/>
    <w:rsid w:val="00DD2781"/>
    <w:rsid w:val="00DD3D73"/>
    <w:rsid w:val="00DD6D53"/>
    <w:rsid w:val="00DE000C"/>
    <w:rsid w:val="00DE3E91"/>
    <w:rsid w:val="00DE3F50"/>
    <w:rsid w:val="00DE473D"/>
    <w:rsid w:val="00DE5C04"/>
    <w:rsid w:val="00DE79A8"/>
    <w:rsid w:val="00DE79F7"/>
    <w:rsid w:val="00DF0447"/>
    <w:rsid w:val="00DF1E57"/>
    <w:rsid w:val="00DF374D"/>
    <w:rsid w:val="00DF3F04"/>
    <w:rsid w:val="00DF4996"/>
    <w:rsid w:val="00DF50FB"/>
    <w:rsid w:val="00DF56AC"/>
    <w:rsid w:val="00DF5756"/>
    <w:rsid w:val="00DF589C"/>
    <w:rsid w:val="00DF5EFA"/>
    <w:rsid w:val="00DF67AC"/>
    <w:rsid w:val="00DF6941"/>
    <w:rsid w:val="00DF6C8D"/>
    <w:rsid w:val="00DF6E87"/>
    <w:rsid w:val="00DF740E"/>
    <w:rsid w:val="00DF7914"/>
    <w:rsid w:val="00E00251"/>
    <w:rsid w:val="00E012C9"/>
    <w:rsid w:val="00E01753"/>
    <w:rsid w:val="00E03890"/>
    <w:rsid w:val="00E0462F"/>
    <w:rsid w:val="00E04B7E"/>
    <w:rsid w:val="00E05998"/>
    <w:rsid w:val="00E07C3D"/>
    <w:rsid w:val="00E10CF1"/>
    <w:rsid w:val="00E112FA"/>
    <w:rsid w:val="00E11639"/>
    <w:rsid w:val="00E12C41"/>
    <w:rsid w:val="00E138E5"/>
    <w:rsid w:val="00E13BBE"/>
    <w:rsid w:val="00E13CA7"/>
    <w:rsid w:val="00E14467"/>
    <w:rsid w:val="00E15945"/>
    <w:rsid w:val="00E16CD9"/>
    <w:rsid w:val="00E17496"/>
    <w:rsid w:val="00E17CD1"/>
    <w:rsid w:val="00E209FD"/>
    <w:rsid w:val="00E21D75"/>
    <w:rsid w:val="00E2297A"/>
    <w:rsid w:val="00E23119"/>
    <w:rsid w:val="00E2352D"/>
    <w:rsid w:val="00E24886"/>
    <w:rsid w:val="00E25E54"/>
    <w:rsid w:val="00E26103"/>
    <w:rsid w:val="00E27346"/>
    <w:rsid w:val="00E27F6D"/>
    <w:rsid w:val="00E31D69"/>
    <w:rsid w:val="00E3235C"/>
    <w:rsid w:val="00E334A0"/>
    <w:rsid w:val="00E33D68"/>
    <w:rsid w:val="00E3477A"/>
    <w:rsid w:val="00E352FB"/>
    <w:rsid w:val="00E376E4"/>
    <w:rsid w:val="00E37733"/>
    <w:rsid w:val="00E40420"/>
    <w:rsid w:val="00E41EBB"/>
    <w:rsid w:val="00E42D0D"/>
    <w:rsid w:val="00E43EC4"/>
    <w:rsid w:val="00E4406C"/>
    <w:rsid w:val="00E44542"/>
    <w:rsid w:val="00E51BCB"/>
    <w:rsid w:val="00E53400"/>
    <w:rsid w:val="00E542F7"/>
    <w:rsid w:val="00E54361"/>
    <w:rsid w:val="00E5597B"/>
    <w:rsid w:val="00E5731A"/>
    <w:rsid w:val="00E6108F"/>
    <w:rsid w:val="00E62BDD"/>
    <w:rsid w:val="00E632CC"/>
    <w:rsid w:val="00E63CD8"/>
    <w:rsid w:val="00E65396"/>
    <w:rsid w:val="00E65C41"/>
    <w:rsid w:val="00E66A03"/>
    <w:rsid w:val="00E66C40"/>
    <w:rsid w:val="00E67476"/>
    <w:rsid w:val="00E67F91"/>
    <w:rsid w:val="00E70FC3"/>
    <w:rsid w:val="00E711CA"/>
    <w:rsid w:val="00E71252"/>
    <w:rsid w:val="00E71BC8"/>
    <w:rsid w:val="00E7260F"/>
    <w:rsid w:val="00E74951"/>
    <w:rsid w:val="00E7543A"/>
    <w:rsid w:val="00E7582C"/>
    <w:rsid w:val="00E759A9"/>
    <w:rsid w:val="00E75F22"/>
    <w:rsid w:val="00E76A04"/>
    <w:rsid w:val="00E779FC"/>
    <w:rsid w:val="00E80B72"/>
    <w:rsid w:val="00E82675"/>
    <w:rsid w:val="00E848D3"/>
    <w:rsid w:val="00E85E43"/>
    <w:rsid w:val="00E86349"/>
    <w:rsid w:val="00E863FD"/>
    <w:rsid w:val="00E879CB"/>
    <w:rsid w:val="00E90155"/>
    <w:rsid w:val="00E93CD3"/>
    <w:rsid w:val="00E94088"/>
    <w:rsid w:val="00E9408F"/>
    <w:rsid w:val="00E946BA"/>
    <w:rsid w:val="00E95575"/>
    <w:rsid w:val="00E96630"/>
    <w:rsid w:val="00E96A37"/>
    <w:rsid w:val="00E97027"/>
    <w:rsid w:val="00E97FF4"/>
    <w:rsid w:val="00EA0821"/>
    <w:rsid w:val="00EA118F"/>
    <w:rsid w:val="00EA1886"/>
    <w:rsid w:val="00EA26C7"/>
    <w:rsid w:val="00EA3104"/>
    <w:rsid w:val="00EA31F7"/>
    <w:rsid w:val="00EA5005"/>
    <w:rsid w:val="00EA5836"/>
    <w:rsid w:val="00EB16A9"/>
    <w:rsid w:val="00EB1ECC"/>
    <w:rsid w:val="00EB2581"/>
    <w:rsid w:val="00EB327A"/>
    <w:rsid w:val="00EB3A70"/>
    <w:rsid w:val="00EB60B3"/>
    <w:rsid w:val="00EB7049"/>
    <w:rsid w:val="00EC1345"/>
    <w:rsid w:val="00EC1C71"/>
    <w:rsid w:val="00EC28F3"/>
    <w:rsid w:val="00EC347A"/>
    <w:rsid w:val="00EC4754"/>
    <w:rsid w:val="00EC542F"/>
    <w:rsid w:val="00EC5632"/>
    <w:rsid w:val="00EC5EA9"/>
    <w:rsid w:val="00EC5FE7"/>
    <w:rsid w:val="00ED00C7"/>
    <w:rsid w:val="00ED06EC"/>
    <w:rsid w:val="00ED1386"/>
    <w:rsid w:val="00ED140E"/>
    <w:rsid w:val="00ED1515"/>
    <w:rsid w:val="00ED5317"/>
    <w:rsid w:val="00ED537A"/>
    <w:rsid w:val="00ED655E"/>
    <w:rsid w:val="00ED739D"/>
    <w:rsid w:val="00ED7A2A"/>
    <w:rsid w:val="00EE0B0F"/>
    <w:rsid w:val="00EE1204"/>
    <w:rsid w:val="00EE1B4E"/>
    <w:rsid w:val="00EE26A1"/>
    <w:rsid w:val="00EE370F"/>
    <w:rsid w:val="00EE5084"/>
    <w:rsid w:val="00EE5A36"/>
    <w:rsid w:val="00EE5BD5"/>
    <w:rsid w:val="00EE5E84"/>
    <w:rsid w:val="00EE6199"/>
    <w:rsid w:val="00EE68F2"/>
    <w:rsid w:val="00EE711E"/>
    <w:rsid w:val="00EE7275"/>
    <w:rsid w:val="00EE744F"/>
    <w:rsid w:val="00EE77B7"/>
    <w:rsid w:val="00EF0235"/>
    <w:rsid w:val="00EF09E6"/>
    <w:rsid w:val="00EF1D7F"/>
    <w:rsid w:val="00EF1EF6"/>
    <w:rsid w:val="00EF5073"/>
    <w:rsid w:val="00EF65BA"/>
    <w:rsid w:val="00EF7717"/>
    <w:rsid w:val="00F004E2"/>
    <w:rsid w:val="00F02C8E"/>
    <w:rsid w:val="00F03069"/>
    <w:rsid w:val="00F03190"/>
    <w:rsid w:val="00F03535"/>
    <w:rsid w:val="00F03A99"/>
    <w:rsid w:val="00F04CDE"/>
    <w:rsid w:val="00F05290"/>
    <w:rsid w:val="00F05B21"/>
    <w:rsid w:val="00F060D9"/>
    <w:rsid w:val="00F06702"/>
    <w:rsid w:val="00F06A0F"/>
    <w:rsid w:val="00F100FA"/>
    <w:rsid w:val="00F10238"/>
    <w:rsid w:val="00F10790"/>
    <w:rsid w:val="00F10A25"/>
    <w:rsid w:val="00F10E0C"/>
    <w:rsid w:val="00F1114D"/>
    <w:rsid w:val="00F12D79"/>
    <w:rsid w:val="00F137BE"/>
    <w:rsid w:val="00F1389A"/>
    <w:rsid w:val="00F142FF"/>
    <w:rsid w:val="00F145AF"/>
    <w:rsid w:val="00F148F2"/>
    <w:rsid w:val="00F151BD"/>
    <w:rsid w:val="00F1539A"/>
    <w:rsid w:val="00F16F6B"/>
    <w:rsid w:val="00F16FA2"/>
    <w:rsid w:val="00F20424"/>
    <w:rsid w:val="00F20680"/>
    <w:rsid w:val="00F20C3D"/>
    <w:rsid w:val="00F2157E"/>
    <w:rsid w:val="00F2311F"/>
    <w:rsid w:val="00F23820"/>
    <w:rsid w:val="00F23B86"/>
    <w:rsid w:val="00F23E8E"/>
    <w:rsid w:val="00F25118"/>
    <w:rsid w:val="00F2528A"/>
    <w:rsid w:val="00F25822"/>
    <w:rsid w:val="00F25C4A"/>
    <w:rsid w:val="00F25E5E"/>
    <w:rsid w:val="00F26BC3"/>
    <w:rsid w:val="00F27F80"/>
    <w:rsid w:val="00F301C6"/>
    <w:rsid w:val="00F30F1F"/>
    <w:rsid w:val="00F318C1"/>
    <w:rsid w:val="00F31FB3"/>
    <w:rsid w:val="00F32635"/>
    <w:rsid w:val="00F36AFD"/>
    <w:rsid w:val="00F36C66"/>
    <w:rsid w:val="00F4204E"/>
    <w:rsid w:val="00F421C4"/>
    <w:rsid w:val="00F4380B"/>
    <w:rsid w:val="00F43E9E"/>
    <w:rsid w:val="00F4418A"/>
    <w:rsid w:val="00F44474"/>
    <w:rsid w:val="00F453A1"/>
    <w:rsid w:val="00F45731"/>
    <w:rsid w:val="00F45EE4"/>
    <w:rsid w:val="00F46CDD"/>
    <w:rsid w:val="00F530E2"/>
    <w:rsid w:val="00F53F0E"/>
    <w:rsid w:val="00F543D8"/>
    <w:rsid w:val="00F549D0"/>
    <w:rsid w:val="00F55AE7"/>
    <w:rsid w:val="00F56D24"/>
    <w:rsid w:val="00F5774C"/>
    <w:rsid w:val="00F57C6B"/>
    <w:rsid w:val="00F63797"/>
    <w:rsid w:val="00F647F9"/>
    <w:rsid w:val="00F64FCD"/>
    <w:rsid w:val="00F656E4"/>
    <w:rsid w:val="00F65E7F"/>
    <w:rsid w:val="00F667CF"/>
    <w:rsid w:val="00F6721A"/>
    <w:rsid w:val="00F67B7A"/>
    <w:rsid w:val="00F70FF2"/>
    <w:rsid w:val="00F713E3"/>
    <w:rsid w:val="00F71BF6"/>
    <w:rsid w:val="00F73C5F"/>
    <w:rsid w:val="00F749AF"/>
    <w:rsid w:val="00F75F5B"/>
    <w:rsid w:val="00F76E01"/>
    <w:rsid w:val="00F77963"/>
    <w:rsid w:val="00F82380"/>
    <w:rsid w:val="00F8265D"/>
    <w:rsid w:val="00F84762"/>
    <w:rsid w:val="00F8521C"/>
    <w:rsid w:val="00F85C54"/>
    <w:rsid w:val="00F86121"/>
    <w:rsid w:val="00F86289"/>
    <w:rsid w:val="00F90553"/>
    <w:rsid w:val="00F9057C"/>
    <w:rsid w:val="00F906D7"/>
    <w:rsid w:val="00F90D84"/>
    <w:rsid w:val="00F90EA8"/>
    <w:rsid w:val="00F90FD3"/>
    <w:rsid w:val="00F910E4"/>
    <w:rsid w:val="00F9190E"/>
    <w:rsid w:val="00F91FD2"/>
    <w:rsid w:val="00F92055"/>
    <w:rsid w:val="00F93781"/>
    <w:rsid w:val="00F963B8"/>
    <w:rsid w:val="00F9669A"/>
    <w:rsid w:val="00F96BA5"/>
    <w:rsid w:val="00F976E7"/>
    <w:rsid w:val="00FA1481"/>
    <w:rsid w:val="00FA1718"/>
    <w:rsid w:val="00FA1FCE"/>
    <w:rsid w:val="00FA32C0"/>
    <w:rsid w:val="00FA380F"/>
    <w:rsid w:val="00FA447C"/>
    <w:rsid w:val="00FA56DB"/>
    <w:rsid w:val="00FA5D93"/>
    <w:rsid w:val="00FA6BE1"/>
    <w:rsid w:val="00FA6D79"/>
    <w:rsid w:val="00FB1408"/>
    <w:rsid w:val="00FB1B6F"/>
    <w:rsid w:val="00FB3767"/>
    <w:rsid w:val="00FB4B15"/>
    <w:rsid w:val="00FB5EB5"/>
    <w:rsid w:val="00FB613B"/>
    <w:rsid w:val="00FB6F7F"/>
    <w:rsid w:val="00FB7622"/>
    <w:rsid w:val="00FC20C0"/>
    <w:rsid w:val="00FC22CD"/>
    <w:rsid w:val="00FC297F"/>
    <w:rsid w:val="00FC2CFD"/>
    <w:rsid w:val="00FC5381"/>
    <w:rsid w:val="00FC6453"/>
    <w:rsid w:val="00FC68B7"/>
    <w:rsid w:val="00FC70CA"/>
    <w:rsid w:val="00FD0381"/>
    <w:rsid w:val="00FD0A8A"/>
    <w:rsid w:val="00FD0BF9"/>
    <w:rsid w:val="00FD15D6"/>
    <w:rsid w:val="00FD1616"/>
    <w:rsid w:val="00FD1954"/>
    <w:rsid w:val="00FD23D3"/>
    <w:rsid w:val="00FD436D"/>
    <w:rsid w:val="00FD4FB8"/>
    <w:rsid w:val="00FD7631"/>
    <w:rsid w:val="00FE106A"/>
    <w:rsid w:val="00FE1292"/>
    <w:rsid w:val="00FE22ED"/>
    <w:rsid w:val="00FE52FC"/>
    <w:rsid w:val="00FE6DC3"/>
    <w:rsid w:val="00FE7356"/>
    <w:rsid w:val="00FE7EF7"/>
    <w:rsid w:val="00FF0FD2"/>
    <w:rsid w:val="00FF1D1B"/>
    <w:rsid w:val="00FF3273"/>
    <w:rsid w:val="00FF3FD6"/>
    <w:rsid w:val="00FF49A1"/>
    <w:rsid w:val="00FF67E9"/>
    <w:rsid w:val="00FF6837"/>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uz-Cyrl-UZ"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69C75"/>
  <w15:docId w15:val="{ADADCDE9-9B02-4879-86C7-8F4AA9FD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83"/>
    <w:rPr>
      <w:sz w:val="24"/>
      <w:szCs w:val="24"/>
      <w:lang w:val="en-US" w:eastAsia="en-US" w:bidi="he-IL"/>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uppressAutoHyphens/>
      <w:outlineLvl w:val="1"/>
    </w:pPr>
    <w:rPr>
      <w:sz w:val="20"/>
      <w:szCs w:val="20"/>
      <w:lang w:val="en-GB" w:bidi="ar-SA"/>
    </w:rPr>
  </w:style>
  <w:style w:type="paragraph" w:styleId="Heading3">
    <w:name w:val="heading 3"/>
    <w:basedOn w:val="Normal"/>
    <w:next w:val="Normal"/>
    <w:link w:val="Heading3Char"/>
    <w:uiPriority w:val="99"/>
    <w:qFormat/>
    <w:rsid w:val="000272B3"/>
    <w:pPr>
      <w:suppressAutoHyphens/>
      <w:outlineLvl w:val="2"/>
    </w:pPr>
    <w:rPr>
      <w:sz w:val="20"/>
      <w:szCs w:val="20"/>
      <w:lang w:val="en-GB" w:bidi="ar-SA"/>
    </w:rPr>
  </w:style>
  <w:style w:type="paragraph" w:styleId="Heading4">
    <w:name w:val="heading 4"/>
    <w:basedOn w:val="Normal"/>
    <w:next w:val="Normal"/>
    <w:link w:val="Heading4Char"/>
    <w:uiPriority w:val="99"/>
    <w:qFormat/>
    <w:rsid w:val="000272B3"/>
    <w:pPr>
      <w:suppressAutoHyphens/>
      <w:outlineLvl w:val="3"/>
    </w:pPr>
    <w:rPr>
      <w:sz w:val="20"/>
      <w:szCs w:val="20"/>
      <w:lang w:val="en-GB" w:bidi="ar-SA"/>
    </w:rPr>
  </w:style>
  <w:style w:type="paragraph" w:styleId="Heading5">
    <w:name w:val="heading 5"/>
    <w:basedOn w:val="Normal"/>
    <w:next w:val="Normal"/>
    <w:link w:val="Heading5Char"/>
    <w:uiPriority w:val="99"/>
    <w:qFormat/>
    <w:rsid w:val="000272B3"/>
    <w:pPr>
      <w:suppressAutoHyphens/>
      <w:outlineLvl w:val="4"/>
    </w:pPr>
    <w:rPr>
      <w:sz w:val="20"/>
      <w:szCs w:val="20"/>
      <w:lang w:val="en-GB" w:bidi="ar-SA"/>
    </w:rPr>
  </w:style>
  <w:style w:type="paragraph" w:styleId="Heading6">
    <w:name w:val="heading 6"/>
    <w:basedOn w:val="Normal"/>
    <w:next w:val="Normal"/>
    <w:link w:val="Heading6Char"/>
    <w:uiPriority w:val="99"/>
    <w:qFormat/>
    <w:rsid w:val="000272B3"/>
    <w:pPr>
      <w:suppressAutoHyphens/>
      <w:outlineLvl w:val="5"/>
    </w:pPr>
    <w:rPr>
      <w:sz w:val="20"/>
      <w:szCs w:val="20"/>
      <w:lang w:val="en-GB" w:bidi="ar-SA"/>
    </w:rPr>
  </w:style>
  <w:style w:type="paragraph" w:styleId="Heading7">
    <w:name w:val="heading 7"/>
    <w:basedOn w:val="Normal"/>
    <w:next w:val="Normal"/>
    <w:link w:val="Heading7Char"/>
    <w:uiPriority w:val="99"/>
    <w:qFormat/>
    <w:rsid w:val="000272B3"/>
    <w:pPr>
      <w:suppressAutoHyphens/>
      <w:outlineLvl w:val="6"/>
    </w:pPr>
    <w:rPr>
      <w:sz w:val="20"/>
      <w:szCs w:val="20"/>
      <w:lang w:val="en-GB" w:bidi="ar-SA"/>
    </w:rPr>
  </w:style>
  <w:style w:type="paragraph" w:styleId="Heading8">
    <w:name w:val="heading 8"/>
    <w:basedOn w:val="Normal"/>
    <w:next w:val="Normal"/>
    <w:link w:val="Heading8Char"/>
    <w:uiPriority w:val="99"/>
    <w:qFormat/>
    <w:rsid w:val="000272B3"/>
    <w:pPr>
      <w:suppressAutoHyphens/>
      <w:outlineLvl w:val="7"/>
    </w:pPr>
    <w:rPr>
      <w:sz w:val="20"/>
      <w:szCs w:val="20"/>
      <w:lang w:val="en-GB" w:bidi="ar-SA"/>
    </w:rPr>
  </w:style>
  <w:style w:type="paragraph" w:styleId="Heading9">
    <w:name w:val="heading 9"/>
    <w:basedOn w:val="Normal"/>
    <w:next w:val="Normal"/>
    <w:link w:val="Heading9Char"/>
    <w:uiPriority w:val="99"/>
    <w:qFormat/>
    <w:rsid w:val="000272B3"/>
    <w:pPr>
      <w:suppressAutoHyphens/>
      <w:outlineLvl w:val="8"/>
    </w:pPr>
    <w:rPr>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uppressAutoHyphens/>
    </w:pPr>
    <w:rPr>
      <w:rFonts w:ascii="Tahoma" w:hAnsi="Tahoma" w:cs="Tahoma"/>
      <w:sz w:val="16"/>
      <w:szCs w:val="16"/>
      <w:lang w:val="en-GB" w:bidi="ar-SA"/>
    </w:rPr>
  </w:style>
  <w:style w:type="character" w:customStyle="1" w:styleId="BalloonTextChar">
    <w:name w:val="Balloon Text Char"/>
    <w:basedOn w:val="DefaultParagraphFont"/>
    <w:link w:val="BalloonText"/>
    <w:uiPriority w:val="99"/>
    <w:locked/>
    <w:rsid w:val="006743E9"/>
    <w:rPr>
      <w:rFonts w:ascii="Tahoma" w:hAnsi="Tahoma"/>
      <w:sz w:val="16"/>
      <w:lang w:eastAsia="en-US"/>
    </w:rPr>
  </w:style>
  <w:style w:type="paragraph" w:customStyle="1" w:styleId="SingleTxtG">
    <w:name w:val="_ Single Txt_G"/>
    <w:basedOn w:val="Normal"/>
    <w:link w:val="SingleTxtGChar"/>
    <w:rsid w:val="000272B3"/>
    <w:pPr>
      <w:suppressAutoHyphens/>
      <w:spacing w:after="120" w:line="240" w:lineRule="atLeast"/>
      <w:ind w:left="1134" w:right="1134"/>
      <w:jc w:val="both"/>
    </w:pPr>
    <w:rPr>
      <w:sz w:val="20"/>
      <w:szCs w:val="20"/>
      <w:lang w:val="en-GB" w:bidi="ar-SA"/>
    </w:rPr>
  </w:style>
  <w:style w:type="paragraph" w:customStyle="1" w:styleId="HMG">
    <w:name w:val="_ H __M_G"/>
    <w:basedOn w:val="Normal"/>
    <w:next w:val="Normal"/>
    <w:uiPriority w:val="99"/>
    <w:rsid w:val="000272B3"/>
    <w:pPr>
      <w:keepNext/>
      <w:keepLines/>
      <w:tabs>
        <w:tab w:val="right" w:pos="851"/>
      </w:tabs>
      <w:suppressAutoHyphens/>
      <w:spacing w:before="240" w:after="240" w:line="360" w:lineRule="exact"/>
      <w:ind w:left="1134" w:right="1134" w:hanging="1134"/>
    </w:pPr>
    <w:rPr>
      <w:b/>
      <w:sz w:val="34"/>
      <w:szCs w:val="20"/>
      <w:lang w:val="en-GB"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val="en-GB" w:bidi="ar-SA"/>
    </w:rPr>
  </w:style>
  <w:style w:type="paragraph" w:styleId="Header">
    <w:name w:val="header"/>
    <w:aliases w:val="6_G"/>
    <w:basedOn w:val="Normal"/>
    <w:link w:val="HeaderChar"/>
    <w:qFormat/>
    <w:rsid w:val="000272B3"/>
    <w:pPr>
      <w:pBdr>
        <w:bottom w:val="single" w:sz="4" w:space="4" w:color="auto"/>
      </w:pBdr>
      <w:suppressAutoHyphens/>
    </w:pPr>
    <w:rPr>
      <w:b/>
      <w:sz w:val="18"/>
      <w:szCs w:val="20"/>
      <w:lang w:val="en-GB" w:bidi="ar-SA"/>
    </w:rPr>
  </w:style>
  <w:style w:type="character" w:customStyle="1" w:styleId="HeaderChar">
    <w:name w:val="Header Char"/>
    <w:aliases w:val="6_G Char"/>
    <w:basedOn w:val="DefaultParagraphFont"/>
    <w:link w:val="Header"/>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1"/>
    <w:qFormat/>
    <w:rsid w:val="004D71B4"/>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lang w:eastAsia="zh-CN" w:bidi="ar-SA"/>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val="en-GB"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val="en-GB" w:bidi="ar-SA"/>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Bullet1G">
    <w:name w:val="_Bullet 1_G"/>
    <w:basedOn w:val="Normal"/>
    <w:uiPriority w:val="99"/>
    <w:rsid w:val="000272B3"/>
    <w:pPr>
      <w:numPr>
        <w:numId w:val="1"/>
      </w:numPr>
      <w:suppressAutoHyphens/>
      <w:spacing w:after="120" w:line="240" w:lineRule="atLeast"/>
      <w:ind w:right="1134"/>
      <w:jc w:val="both"/>
    </w:pPr>
    <w:rPr>
      <w:sz w:val="20"/>
      <w:szCs w:val="20"/>
      <w:lang w:val="en-GB" w:bidi="ar-SA"/>
    </w:rPr>
  </w:style>
  <w:style w:type="paragraph" w:styleId="Footer">
    <w:name w:val="footer"/>
    <w:aliases w:val="3_G"/>
    <w:basedOn w:val="Normal"/>
    <w:link w:val="FooterChar"/>
    <w:uiPriority w:val="99"/>
    <w:rsid w:val="000272B3"/>
    <w:pPr>
      <w:suppressAutoHyphens/>
    </w:pPr>
    <w:rPr>
      <w:sz w:val="16"/>
      <w:szCs w:val="20"/>
      <w:lang w:val="en-GB" w:bidi="ar-SA"/>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uppressAutoHyphens/>
      <w:spacing w:after="120" w:line="240" w:lineRule="atLeast"/>
      <w:ind w:right="1134"/>
      <w:jc w:val="both"/>
    </w:pPr>
    <w:rPr>
      <w:sz w:val="20"/>
      <w:szCs w:val="20"/>
      <w:lang w:val="en-GB"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val="en-GB" w:bidi="ar-SA"/>
    </w:rPr>
  </w:style>
  <w:style w:type="paragraph" w:customStyle="1" w:styleId="H23G">
    <w:name w:val="_ H_2/3_G"/>
    <w:basedOn w:val="Normal"/>
    <w:next w:val="Normal"/>
    <w:uiPriority w:val="99"/>
    <w:rsid w:val="000272B3"/>
    <w:pPr>
      <w:keepNext/>
      <w:keepLines/>
      <w:tabs>
        <w:tab w:val="right" w:pos="851"/>
      </w:tabs>
      <w:suppressAutoHyphens/>
      <w:spacing w:before="240" w:after="120" w:line="240" w:lineRule="exact"/>
      <w:ind w:left="1134" w:right="1134" w:hanging="1134"/>
    </w:pPr>
    <w:rPr>
      <w:b/>
      <w:sz w:val="20"/>
      <w:szCs w:val="20"/>
      <w:lang w:val="en-GB"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val="en-GB" w:bidi="ar-SA"/>
    </w:rPr>
  </w:style>
  <w:style w:type="paragraph" w:customStyle="1" w:styleId="H56G">
    <w:name w:val="_ H_5/6_G"/>
    <w:basedOn w:val="Normal"/>
    <w:next w:val="Normal"/>
    <w:uiPriority w:val="99"/>
    <w:rsid w:val="000272B3"/>
    <w:pPr>
      <w:keepNext/>
      <w:keepLines/>
      <w:tabs>
        <w:tab w:val="right" w:pos="851"/>
      </w:tabs>
      <w:suppressAutoHyphens/>
      <w:spacing w:before="240" w:after="120" w:line="240" w:lineRule="exact"/>
      <w:ind w:left="1134" w:right="1134" w:hanging="1134"/>
    </w:pPr>
    <w:rPr>
      <w:sz w:val="20"/>
      <w:szCs w:val="20"/>
      <w:lang w:val="en-GB" w:bidi="ar-SA"/>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pPr>
      <w:suppressAutoHyphens/>
      <w:spacing w:line="240" w:lineRule="atLeast"/>
    </w:pPr>
    <w:rPr>
      <w:sz w:val="20"/>
      <w:szCs w:val="20"/>
      <w:lang w:val="en-GB" w:bidi="ar-SA"/>
    </w:rPr>
  </w:style>
  <w:style w:type="character" w:customStyle="1" w:styleId="CommentTextChar">
    <w:name w:val="Comment Text Char"/>
    <w:basedOn w:val="DefaultParagraphFont"/>
    <w:link w:val="CommentText"/>
    <w:uiPriority w:val="99"/>
    <w:locked/>
    <w:rsid w:val="00161B02"/>
    <w:rPr>
      <w:lang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eastAsia="en-US"/>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sz w:val="20"/>
      <w:szCs w:val="20"/>
      <w:lang w:val="en-GB" w:eastAsia="zh-CN" w:bidi="ar-SA"/>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styleId="Emphasis">
    <w:name w:val="Emphasis"/>
    <w:basedOn w:val="DefaultParagraphFont"/>
    <w:uiPriority w:val="20"/>
    <w:qFormat/>
    <w:locked/>
    <w:rsid w:val="00F301C6"/>
    <w:rPr>
      <w:i/>
      <w:iCs/>
    </w:rPr>
  </w:style>
  <w:style w:type="character" w:customStyle="1" w:styleId="apple-converted-space">
    <w:name w:val="apple-converted-space"/>
    <w:basedOn w:val="DefaultParagraphFont"/>
    <w:rsid w:val="00F301C6"/>
  </w:style>
  <w:style w:type="paragraph" w:styleId="NormalWeb">
    <w:name w:val="Normal (Web)"/>
    <w:basedOn w:val="Normal"/>
    <w:uiPriority w:val="99"/>
    <w:semiHidden/>
    <w:unhideWhenUsed/>
    <w:rsid w:val="00D73357"/>
    <w:pPr>
      <w:spacing w:before="100" w:beforeAutospacing="1" w:after="100" w:afterAutospacing="1"/>
    </w:pPr>
    <w:rPr>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5396">
      <w:bodyDiv w:val="1"/>
      <w:marLeft w:val="0"/>
      <w:marRight w:val="0"/>
      <w:marTop w:val="0"/>
      <w:marBottom w:val="0"/>
      <w:divBdr>
        <w:top w:val="none" w:sz="0" w:space="0" w:color="auto"/>
        <w:left w:val="none" w:sz="0" w:space="0" w:color="auto"/>
        <w:bottom w:val="none" w:sz="0" w:space="0" w:color="auto"/>
        <w:right w:val="none" w:sz="0" w:space="0" w:color="auto"/>
      </w:divBdr>
    </w:div>
    <w:div w:id="328750009">
      <w:bodyDiv w:val="1"/>
      <w:marLeft w:val="0"/>
      <w:marRight w:val="0"/>
      <w:marTop w:val="0"/>
      <w:marBottom w:val="0"/>
      <w:divBdr>
        <w:top w:val="none" w:sz="0" w:space="0" w:color="auto"/>
        <w:left w:val="none" w:sz="0" w:space="0" w:color="auto"/>
        <w:bottom w:val="none" w:sz="0" w:space="0" w:color="auto"/>
        <w:right w:val="none" w:sz="0" w:space="0" w:color="auto"/>
      </w:divBdr>
      <w:divsChild>
        <w:div w:id="666134112">
          <w:marLeft w:val="0"/>
          <w:marRight w:val="0"/>
          <w:marTop w:val="0"/>
          <w:marBottom w:val="0"/>
          <w:divBdr>
            <w:top w:val="none" w:sz="0" w:space="0" w:color="auto"/>
            <w:left w:val="none" w:sz="0" w:space="0" w:color="auto"/>
            <w:bottom w:val="none" w:sz="0" w:space="0" w:color="auto"/>
            <w:right w:val="none" w:sz="0" w:space="0" w:color="auto"/>
          </w:divBdr>
        </w:div>
      </w:divsChild>
    </w:div>
    <w:div w:id="357968925">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733359147">
      <w:bodyDiv w:val="1"/>
      <w:marLeft w:val="0"/>
      <w:marRight w:val="0"/>
      <w:marTop w:val="0"/>
      <w:marBottom w:val="0"/>
      <w:divBdr>
        <w:top w:val="none" w:sz="0" w:space="0" w:color="auto"/>
        <w:left w:val="none" w:sz="0" w:space="0" w:color="auto"/>
        <w:bottom w:val="none" w:sz="0" w:space="0" w:color="auto"/>
        <w:right w:val="none" w:sz="0" w:space="0" w:color="auto"/>
      </w:divBdr>
    </w:div>
    <w:div w:id="939145261">
      <w:bodyDiv w:val="1"/>
      <w:marLeft w:val="0"/>
      <w:marRight w:val="0"/>
      <w:marTop w:val="0"/>
      <w:marBottom w:val="0"/>
      <w:divBdr>
        <w:top w:val="none" w:sz="0" w:space="0" w:color="auto"/>
        <w:left w:val="none" w:sz="0" w:space="0" w:color="auto"/>
        <w:bottom w:val="none" w:sz="0" w:space="0" w:color="auto"/>
        <w:right w:val="none" w:sz="0" w:space="0" w:color="auto"/>
      </w:divBdr>
    </w:div>
    <w:div w:id="1227838613">
      <w:bodyDiv w:val="1"/>
      <w:marLeft w:val="0"/>
      <w:marRight w:val="0"/>
      <w:marTop w:val="0"/>
      <w:marBottom w:val="0"/>
      <w:divBdr>
        <w:top w:val="none" w:sz="0" w:space="0" w:color="auto"/>
        <w:left w:val="none" w:sz="0" w:space="0" w:color="auto"/>
        <w:bottom w:val="none" w:sz="0" w:space="0" w:color="auto"/>
        <w:right w:val="none" w:sz="0" w:space="0" w:color="auto"/>
      </w:divBdr>
    </w:div>
    <w:div w:id="1438066757">
      <w:bodyDiv w:val="1"/>
      <w:marLeft w:val="0"/>
      <w:marRight w:val="0"/>
      <w:marTop w:val="0"/>
      <w:marBottom w:val="0"/>
      <w:divBdr>
        <w:top w:val="none" w:sz="0" w:space="0" w:color="auto"/>
        <w:left w:val="none" w:sz="0" w:space="0" w:color="auto"/>
        <w:bottom w:val="none" w:sz="0" w:space="0" w:color="auto"/>
        <w:right w:val="none" w:sz="0" w:space="0" w:color="auto"/>
      </w:divBdr>
    </w:div>
    <w:div w:id="1629242766">
      <w:bodyDiv w:val="1"/>
      <w:marLeft w:val="0"/>
      <w:marRight w:val="0"/>
      <w:marTop w:val="0"/>
      <w:marBottom w:val="0"/>
      <w:divBdr>
        <w:top w:val="none" w:sz="0" w:space="0" w:color="auto"/>
        <w:left w:val="none" w:sz="0" w:space="0" w:color="auto"/>
        <w:bottom w:val="none" w:sz="0" w:space="0" w:color="auto"/>
        <w:right w:val="none" w:sz="0" w:space="0" w:color="auto"/>
      </w:divBdr>
    </w:div>
    <w:div w:id="2007242515">
      <w:bodyDiv w:val="1"/>
      <w:marLeft w:val="0"/>
      <w:marRight w:val="0"/>
      <w:marTop w:val="0"/>
      <w:marBottom w:val="0"/>
      <w:divBdr>
        <w:top w:val="none" w:sz="0" w:space="0" w:color="auto"/>
        <w:left w:val="none" w:sz="0" w:space="0" w:color="auto"/>
        <w:bottom w:val="none" w:sz="0" w:space="0" w:color="auto"/>
        <w:right w:val="none" w:sz="0" w:space="0" w:color="auto"/>
      </w:divBdr>
    </w:div>
    <w:div w:id="2067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B642-8438-4430-99C8-225DA0B7C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72047A-924B-4BBC-9D82-1D43358C5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7EBAB3-34BB-4C8F-868D-DFCA070D9785}">
  <ds:schemaRefs>
    <ds:schemaRef ds:uri="http://schemas.microsoft.com/sharepoint/v3/contenttype/forms"/>
  </ds:schemaRefs>
</ds:datastoreItem>
</file>

<file path=customXml/itemProps4.xml><?xml version="1.0" encoding="utf-8"?>
<ds:datastoreItem xmlns:ds="http://schemas.openxmlformats.org/officeDocument/2006/customXml" ds:itemID="{87BF96D0-3AFC-4907-B45E-BAB7D8B7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3023</Words>
  <Characters>17232</Characters>
  <Application>Microsoft Office Word</Application>
  <DocSecurity>0</DocSecurity>
  <Lines>143</Lines>
  <Paragraphs>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CCPR/C/129/DR/2404/2014</vt:lpstr>
      <vt:lpstr>1610356</vt:lpstr>
      <vt:lpstr>1610356</vt:lpstr>
    </vt:vector>
  </TitlesOfParts>
  <Company>CSD</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CCPR/C/129/DR/2404/2014</dc:title>
  <dc:subject>2008871</dc:subject>
  <dc:creator>temp Neogi</dc:creator>
  <cp:keywords/>
  <dc:description/>
  <cp:lastModifiedBy>Daniella Ferreira</cp:lastModifiedBy>
  <cp:revision>2</cp:revision>
  <cp:lastPrinted>2020-12-14T09:49:00Z</cp:lastPrinted>
  <dcterms:created xsi:type="dcterms:W3CDTF">2021-02-26T11:50:00Z</dcterms:created>
  <dcterms:modified xsi:type="dcterms:W3CDTF">2021-02-26T11:50:00Z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Order">
    <vt:r8>1000</vt:r8>
  </property>
</Properties>
</file>