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711D" w:rsidRPr="0013711D" w14:paraId="11EA6CC3" w14:textId="77777777" w:rsidTr="00F0057A">
        <w:trPr>
          <w:trHeight w:hRule="exact" w:val="851"/>
        </w:trPr>
        <w:tc>
          <w:tcPr>
            <w:tcW w:w="1276" w:type="dxa"/>
            <w:tcBorders>
              <w:bottom w:val="single" w:sz="4" w:space="0" w:color="auto"/>
            </w:tcBorders>
          </w:tcPr>
          <w:p w14:paraId="4C8AC539" w14:textId="77777777" w:rsidR="00CB5190" w:rsidRPr="0013711D" w:rsidRDefault="00CB5190" w:rsidP="00F0057A">
            <w:pPr>
              <w:rPr>
                <w:color w:val="000000" w:themeColor="text1"/>
              </w:rPr>
            </w:pPr>
            <w:bookmarkStart w:id="0" w:name="_GoBack"/>
            <w:bookmarkEnd w:id="0"/>
          </w:p>
        </w:tc>
        <w:tc>
          <w:tcPr>
            <w:tcW w:w="2268" w:type="dxa"/>
            <w:tcBorders>
              <w:bottom w:val="single" w:sz="4" w:space="0" w:color="auto"/>
            </w:tcBorders>
            <w:vAlign w:val="bottom"/>
          </w:tcPr>
          <w:p w14:paraId="02BD06B5" w14:textId="77777777" w:rsidR="00CB5190" w:rsidRPr="0013711D" w:rsidRDefault="00CB5190" w:rsidP="00F0057A">
            <w:pPr>
              <w:spacing w:after="80" w:line="300" w:lineRule="exact"/>
              <w:rPr>
                <w:color w:val="000000" w:themeColor="text1"/>
                <w:sz w:val="28"/>
              </w:rPr>
            </w:pPr>
            <w:r w:rsidRPr="0013711D">
              <w:rPr>
                <w:color w:val="000000" w:themeColor="text1"/>
                <w:sz w:val="28"/>
              </w:rPr>
              <w:t>Nations Unies</w:t>
            </w:r>
          </w:p>
        </w:tc>
        <w:tc>
          <w:tcPr>
            <w:tcW w:w="6095" w:type="dxa"/>
            <w:gridSpan w:val="2"/>
            <w:tcBorders>
              <w:bottom w:val="single" w:sz="4" w:space="0" w:color="auto"/>
            </w:tcBorders>
            <w:vAlign w:val="bottom"/>
          </w:tcPr>
          <w:p w14:paraId="28B70FEB" w14:textId="3B6C3270" w:rsidR="00CB5190" w:rsidRPr="0013711D" w:rsidRDefault="00CB5190" w:rsidP="00BF541D">
            <w:pPr>
              <w:jc w:val="right"/>
              <w:rPr>
                <w:color w:val="000000" w:themeColor="text1"/>
              </w:rPr>
            </w:pPr>
            <w:r w:rsidRPr="0013711D">
              <w:rPr>
                <w:color w:val="000000" w:themeColor="text1"/>
                <w:sz w:val="40"/>
              </w:rPr>
              <w:t>CCPR</w:t>
            </w:r>
            <w:r w:rsidRPr="0013711D">
              <w:rPr>
                <w:color w:val="000000" w:themeColor="text1"/>
              </w:rPr>
              <w:t>/C/128/D/3133/2018</w:t>
            </w:r>
          </w:p>
        </w:tc>
      </w:tr>
      <w:tr w:rsidR="0013711D" w:rsidRPr="0013711D" w14:paraId="5A5491CB" w14:textId="77777777" w:rsidTr="00F0057A">
        <w:trPr>
          <w:trHeight w:hRule="exact" w:val="2835"/>
        </w:trPr>
        <w:tc>
          <w:tcPr>
            <w:tcW w:w="1276" w:type="dxa"/>
            <w:tcBorders>
              <w:top w:val="single" w:sz="4" w:space="0" w:color="auto"/>
              <w:bottom w:val="single" w:sz="12" w:space="0" w:color="auto"/>
            </w:tcBorders>
          </w:tcPr>
          <w:p w14:paraId="695B3CC5" w14:textId="77777777" w:rsidR="00CB5190" w:rsidRPr="0013711D" w:rsidRDefault="00CB5190" w:rsidP="00F0057A">
            <w:pPr>
              <w:spacing w:before="120"/>
              <w:jc w:val="center"/>
              <w:rPr>
                <w:color w:val="000000" w:themeColor="text1"/>
              </w:rPr>
            </w:pPr>
            <w:r w:rsidRPr="0013711D">
              <w:rPr>
                <w:noProof/>
                <w:color w:val="000000" w:themeColor="text1"/>
                <w:lang w:val="en-GB" w:eastAsia="en-GB"/>
              </w:rPr>
              <w:drawing>
                <wp:inline distT="0" distB="0" distL="0" distR="0" wp14:anchorId="6688AD2E" wp14:editId="2468A8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58B0E9" w14:textId="77777777" w:rsidR="00CB5190" w:rsidRDefault="00CB5190" w:rsidP="00F0057A">
            <w:pPr>
              <w:spacing w:before="120" w:line="380" w:lineRule="exact"/>
              <w:rPr>
                <w:b/>
                <w:color w:val="000000" w:themeColor="text1"/>
                <w:sz w:val="34"/>
                <w:szCs w:val="34"/>
              </w:rPr>
            </w:pPr>
            <w:r w:rsidRPr="0013711D">
              <w:rPr>
                <w:b/>
                <w:color w:val="000000" w:themeColor="text1"/>
                <w:sz w:val="34"/>
                <w:szCs w:val="34"/>
              </w:rPr>
              <w:t>Pacte international relatif</w:t>
            </w:r>
            <w:r w:rsidRPr="0013711D">
              <w:rPr>
                <w:b/>
                <w:color w:val="000000" w:themeColor="text1"/>
                <w:sz w:val="34"/>
                <w:szCs w:val="34"/>
              </w:rPr>
              <w:br/>
              <w:t>aux droits civils et politiques</w:t>
            </w:r>
          </w:p>
          <w:p w14:paraId="6C3739CA" w14:textId="785269AB" w:rsidR="00850D7F" w:rsidRPr="0013711D" w:rsidRDefault="00850D7F" w:rsidP="00F0057A">
            <w:pPr>
              <w:spacing w:before="120" w:line="380" w:lineRule="exact"/>
              <w:rPr>
                <w:b/>
                <w:color w:val="000000" w:themeColor="text1"/>
                <w:sz w:val="34"/>
                <w:szCs w:val="34"/>
              </w:rPr>
            </w:pPr>
            <w:r w:rsidRPr="00DD26C3">
              <w:rPr>
                <w:b/>
                <w:sz w:val="34"/>
                <w:szCs w:val="34"/>
              </w:rPr>
              <w:t>Version non éditée</w:t>
            </w:r>
          </w:p>
        </w:tc>
        <w:tc>
          <w:tcPr>
            <w:tcW w:w="2835" w:type="dxa"/>
            <w:tcBorders>
              <w:top w:val="single" w:sz="4" w:space="0" w:color="auto"/>
              <w:bottom w:val="single" w:sz="12" w:space="0" w:color="auto"/>
            </w:tcBorders>
          </w:tcPr>
          <w:p w14:paraId="1DB0EDA0" w14:textId="623C4DAF" w:rsidR="00CB5190" w:rsidRPr="0013711D" w:rsidRDefault="00CB5190" w:rsidP="00EC6A54">
            <w:pPr>
              <w:spacing w:before="240"/>
              <w:rPr>
                <w:color w:val="000000" w:themeColor="text1"/>
              </w:rPr>
            </w:pPr>
            <w:proofErr w:type="spellStart"/>
            <w:r w:rsidRPr="0013711D">
              <w:rPr>
                <w:color w:val="000000" w:themeColor="text1"/>
              </w:rPr>
              <w:t>Distr</w:t>
            </w:r>
            <w:proofErr w:type="spellEnd"/>
            <w:r w:rsidRPr="0013711D">
              <w:rPr>
                <w:color w:val="000000" w:themeColor="text1"/>
              </w:rPr>
              <w:t xml:space="preserve">. </w:t>
            </w:r>
            <w:r w:rsidR="002B6A4E" w:rsidRPr="00AC2A80">
              <w:t>G</w:t>
            </w:r>
            <w:r w:rsidR="00BF541D" w:rsidRPr="00AC2A80">
              <w:t>énéral</w:t>
            </w:r>
            <w:r w:rsidR="002B6A4E">
              <w:t>.</w:t>
            </w:r>
          </w:p>
          <w:p w14:paraId="2D243B4E" w14:textId="3E7D0FEF" w:rsidR="00CB5190" w:rsidRDefault="00706742" w:rsidP="00850D7F">
            <w:pPr>
              <w:spacing w:line="240" w:lineRule="exact"/>
              <w:rPr>
                <w:color w:val="000000" w:themeColor="text1"/>
              </w:rPr>
            </w:pPr>
            <w:r>
              <w:rPr>
                <w:color w:val="000000" w:themeColor="text1"/>
              </w:rPr>
              <w:t>3</w:t>
            </w:r>
            <w:r w:rsidR="005A4A8A">
              <w:rPr>
                <w:color w:val="000000" w:themeColor="text1"/>
              </w:rPr>
              <w:t xml:space="preserve"> </w:t>
            </w:r>
            <w:r w:rsidR="00BF541D">
              <w:rPr>
                <w:color w:val="000000" w:themeColor="text1"/>
              </w:rPr>
              <w:t xml:space="preserve">juin </w:t>
            </w:r>
            <w:r w:rsidR="005A4A8A">
              <w:rPr>
                <w:color w:val="000000" w:themeColor="text1"/>
              </w:rPr>
              <w:t>2020</w:t>
            </w:r>
            <w:r w:rsidR="006E5D89">
              <w:rPr>
                <w:color w:val="000000" w:themeColor="text1"/>
              </w:rPr>
              <w:t xml:space="preserve"> </w:t>
            </w:r>
          </w:p>
          <w:p w14:paraId="24308F4A" w14:textId="77777777" w:rsidR="00D9168A" w:rsidRPr="0013711D" w:rsidRDefault="00D9168A" w:rsidP="00F0057A">
            <w:pPr>
              <w:spacing w:line="240" w:lineRule="exact"/>
              <w:rPr>
                <w:color w:val="000000" w:themeColor="text1"/>
              </w:rPr>
            </w:pPr>
          </w:p>
          <w:p w14:paraId="6203F13B" w14:textId="420FC31B" w:rsidR="00CB5190" w:rsidRPr="0013711D" w:rsidRDefault="00CB5190" w:rsidP="00F0057A">
            <w:pPr>
              <w:spacing w:line="240" w:lineRule="exact"/>
              <w:rPr>
                <w:color w:val="000000" w:themeColor="text1"/>
              </w:rPr>
            </w:pPr>
            <w:r w:rsidRPr="0013711D">
              <w:rPr>
                <w:color w:val="000000" w:themeColor="text1"/>
              </w:rPr>
              <w:t xml:space="preserve">Original : </w:t>
            </w:r>
            <w:r w:rsidR="0013711D" w:rsidRPr="0013711D">
              <w:rPr>
                <w:color w:val="000000" w:themeColor="text1"/>
              </w:rPr>
              <w:t>français</w:t>
            </w:r>
          </w:p>
          <w:p w14:paraId="4C4A52BA" w14:textId="4C30FEF6" w:rsidR="00CB5190" w:rsidRPr="0013711D" w:rsidRDefault="00CB5190" w:rsidP="00F0057A">
            <w:pPr>
              <w:rPr>
                <w:color w:val="000000" w:themeColor="text1"/>
              </w:rPr>
            </w:pPr>
          </w:p>
        </w:tc>
      </w:tr>
    </w:tbl>
    <w:p w14:paraId="796A0BFC" w14:textId="77777777" w:rsidR="00CB5190" w:rsidRPr="0013711D" w:rsidRDefault="00CB5190" w:rsidP="00CB5190">
      <w:pPr>
        <w:spacing w:before="120"/>
        <w:rPr>
          <w:b/>
          <w:color w:val="000000" w:themeColor="text1"/>
          <w:sz w:val="24"/>
          <w:szCs w:val="24"/>
        </w:rPr>
      </w:pPr>
      <w:r w:rsidRPr="0013711D">
        <w:rPr>
          <w:b/>
          <w:color w:val="000000" w:themeColor="text1"/>
          <w:sz w:val="24"/>
          <w:szCs w:val="24"/>
        </w:rPr>
        <w:t>Comité des droits de l’homme</w:t>
      </w:r>
    </w:p>
    <w:p w14:paraId="329B34D4" w14:textId="67437464" w:rsidR="00CB5190" w:rsidRPr="0013711D" w:rsidRDefault="00CB5190">
      <w:pPr>
        <w:pStyle w:val="HChG"/>
        <w:rPr>
          <w:color w:val="000000" w:themeColor="text1"/>
        </w:rPr>
      </w:pPr>
      <w:r w:rsidRPr="0013711D">
        <w:rPr>
          <w:color w:val="000000" w:themeColor="text1"/>
          <w:lang w:val="fr-FR"/>
        </w:rPr>
        <w:tab/>
      </w:r>
      <w:r w:rsidRPr="0013711D">
        <w:rPr>
          <w:color w:val="000000" w:themeColor="text1"/>
          <w:lang w:val="fr-FR"/>
        </w:rPr>
        <w:tab/>
      </w:r>
      <w:r w:rsidR="00BF541D">
        <w:rPr>
          <w:lang w:val="fr-FR"/>
        </w:rPr>
        <w:t>Décision</w:t>
      </w:r>
      <w:r w:rsidR="00BF541D" w:rsidRPr="00E248EF">
        <w:rPr>
          <w:lang w:val="fr-FR"/>
        </w:rPr>
        <w:t xml:space="preserve"> adoptée par le Comité au titre</w:t>
      </w:r>
      <w:r w:rsidR="00BF541D">
        <w:rPr>
          <w:lang w:val="fr-FR"/>
        </w:rPr>
        <w:t xml:space="preserve"> </w:t>
      </w:r>
      <w:r w:rsidR="00BF541D" w:rsidRPr="00E248EF">
        <w:rPr>
          <w:lang w:val="fr-FR"/>
        </w:rPr>
        <w:t>de l’article 5</w:t>
      </w:r>
      <w:r w:rsidR="00BF541D">
        <w:rPr>
          <w:lang w:val="fr-FR"/>
        </w:rPr>
        <w:t xml:space="preserve"> (par. 4) </w:t>
      </w:r>
      <w:r w:rsidR="00BF541D" w:rsidRPr="00E248EF">
        <w:rPr>
          <w:lang w:val="fr-FR"/>
        </w:rPr>
        <w:t>du Protocole facultatif,</w:t>
      </w:r>
      <w:r w:rsidR="00BF541D">
        <w:rPr>
          <w:lang w:val="fr-FR"/>
        </w:rPr>
        <w:t xml:space="preserve"> </w:t>
      </w:r>
      <w:r w:rsidR="00BF541D" w:rsidRPr="00E248EF">
        <w:rPr>
          <w:lang w:val="fr-FR"/>
        </w:rPr>
        <w:t>concernant la</w:t>
      </w:r>
      <w:r w:rsidR="00BF541D" w:rsidRPr="0013711D">
        <w:rPr>
          <w:color w:val="000000" w:themeColor="text1"/>
          <w:lang w:val="fr-FR"/>
        </w:rPr>
        <w:t xml:space="preserve"> </w:t>
      </w:r>
      <w:r w:rsidR="00BF541D">
        <w:rPr>
          <w:color w:val="000000" w:themeColor="text1"/>
          <w:lang w:val="fr-FR"/>
        </w:rPr>
        <w:t>c</w:t>
      </w:r>
      <w:r w:rsidR="00BF541D" w:rsidRPr="0013711D">
        <w:rPr>
          <w:color w:val="000000" w:themeColor="text1"/>
          <w:lang w:val="fr-FR"/>
        </w:rPr>
        <w:t xml:space="preserve">ommunication </w:t>
      </w:r>
      <w:r w:rsidRPr="0013711D">
        <w:rPr>
          <w:rFonts w:eastAsia="MS Mincho"/>
          <w:color w:val="000000" w:themeColor="text1"/>
          <w:lang w:val="fr-FR"/>
        </w:rPr>
        <w:t>n</w:t>
      </w:r>
      <w:r w:rsidRPr="0013711D">
        <w:rPr>
          <w:rFonts w:eastAsia="MS Mincho"/>
          <w:color w:val="000000" w:themeColor="text1"/>
          <w:vertAlign w:val="superscript"/>
          <w:lang w:val="fr-FR"/>
        </w:rPr>
        <w:t>o</w:t>
      </w:r>
      <w:r w:rsidRPr="0013711D">
        <w:rPr>
          <w:color w:val="000000" w:themeColor="text1"/>
          <w:lang w:val="fr-FR"/>
        </w:rPr>
        <w:t> </w:t>
      </w:r>
      <w:r w:rsidR="00800DA6" w:rsidRPr="0013711D">
        <w:rPr>
          <w:color w:val="000000" w:themeColor="text1"/>
          <w:lang w:val="fr-FR"/>
        </w:rPr>
        <w:t>3133</w:t>
      </w:r>
      <w:r w:rsidRPr="0013711D">
        <w:rPr>
          <w:color w:val="000000" w:themeColor="text1"/>
          <w:lang w:val="fr-FR"/>
        </w:rPr>
        <w:t>/201</w:t>
      </w:r>
      <w:r w:rsidR="00800DA6" w:rsidRPr="0013711D">
        <w:rPr>
          <w:color w:val="000000" w:themeColor="text1"/>
          <w:lang w:val="fr-FR"/>
        </w:rPr>
        <w:t>8</w:t>
      </w:r>
      <w:r w:rsidR="00C21FD6" w:rsidRPr="00850D7F">
        <w:rPr>
          <w:rStyle w:val="FootnoteReference"/>
          <w:color w:val="000000" w:themeColor="text1"/>
          <w:sz w:val="20"/>
          <w:vertAlign w:val="baseline"/>
        </w:rPr>
        <w:footnoteReference w:customMarkFollows="1" w:id="1"/>
        <w:t>*</w:t>
      </w:r>
      <w:r w:rsidR="00C21FD6">
        <w:rPr>
          <w:color w:val="000000" w:themeColor="text1"/>
          <w:sz w:val="20"/>
        </w:rPr>
        <w:t>,</w:t>
      </w:r>
      <w:r w:rsidR="00C21FD6" w:rsidRPr="00850D7F">
        <w:rPr>
          <w:rStyle w:val="FootnoteReference"/>
          <w:color w:val="000000" w:themeColor="text1"/>
          <w:sz w:val="20"/>
          <w:vertAlign w:val="baseline"/>
        </w:rPr>
        <w:footnoteReference w:customMarkFollows="1" w:id="2"/>
        <w:t>**</w:t>
      </w:r>
    </w:p>
    <w:p w14:paraId="074674EC" w14:textId="435AA24E" w:rsidR="00CB5190" w:rsidRPr="0013711D" w:rsidRDefault="00CB5190">
      <w:pPr>
        <w:pStyle w:val="H1G"/>
        <w:rPr>
          <w:color w:val="000000" w:themeColor="text1"/>
        </w:rPr>
      </w:pPr>
      <w:r w:rsidRPr="0013711D">
        <w:rPr>
          <w:color w:val="000000" w:themeColor="text1"/>
          <w:lang w:val="fr-FR"/>
        </w:rPr>
        <w:tab/>
      </w:r>
      <w:r w:rsidRPr="0013711D">
        <w:rPr>
          <w:color w:val="000000" w:themeColor="text1"/>
          <w:lang w:val="fr-FR"/>
        </w:rPr>
        <w:tab/>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13711D" w:rsidRPr="0013711D" w14:paraId="49D79C2A" w14:textId="77777777" w:rsidTr="00F0057A">
        <w:tc>
          <w:tcPr>
            <w:tcW w:w="2835" w:type="dxa"/>
          </w:tcPr>
          <w:p w14:paraId="35003549" w14:textId="77777777" w:rsidR="00CB5190" w:rsidRPr="0013711D" w:rsidRDefault="00CB5190" w:rsidP="00F0057A">
            <w:pPr>
              <w:spacing w:after="120"/>
              <w:rPr>
                <w:i/>
                <w:color w:val="000000" w:themeColor="text1"/>
              </w:rPr>
            </w:pPr>
            <w:r w:rsidRPr="0013711D">
              <w:rPr>
                <w:i/>
                <w:iCs/>
                <w:color w:val="000000" w:themeColor="text1"/>
                <w:lang w:val="fr-FR"/>
              </w:rPr>
              <w:t>Communication présentée par </w:t>
            </w:r>
            <w:r w:rsidRPr="0013711D">
              <w:rPr>
                <w:iCs/>
                <w:color w:val="000000" w:themeColor="text1"/>
                <w:lang w:val="fr-FR"/>
              </w:rPr>
              <w:t>:</w:t>
            </w:r>
          </w:p>
        </w:tc>
        <w:tc>
          <w:tcPr>
            <w:tcW w:w="3969" w:type="dxa"/>
          </w:tcPr>
          <w:p w14:paraId="64090A28" w14:textId="5DC376BF" w:rsidR="00CB5190" w:rsidRPr="00DE45DD" w:rsidRDefault="00817BB2" w:rsidP="00341604">
            <w:pPr>
              <w:spacing w:after="120"/>
              <w:rPr>
                <w:color w:val="000000" w:themeColor="text1"/>
                <w:lang w:val="fr-FR"/>
              </w:rPr>
            </w:pPr>
            <w:r w:rsidRPr="0013711D">
              <w:rPr>
                <w:color w:val="000000" w:themeColor="text1"/>
                <w:lang w:val="fr-FR"/>
              </w:rPr>
              <w:t>E.</w:t>
            </w:r>
            <w:r w:rsidR="00800DA6" w:rsidRPr="0013711D">
              <w:rPr>
                <w:color w:val="000000" w:themeColor="text1"/>
                <w:lang w:val="fr-FR"/>
              </w:rPr>
              <w:t xml:space="preserve"> F.</w:t>
            </w:r>
            <w:r w:rsidR="00341604">
              <w:t xml:space="preserve"> </w:t>
            </w:r>
            <w:r w:rsidR="00341604" w:rsidRPr="00341604">
              <w:rPr>
                <w:color w:val="000000" w:themeColor="text1"/>
                <w:lang w:val="fr-FR"/>
              </w:rPr>
              <w:t xml:space="preserve">(représenté par un conseil, </w:t>
            </w:r>
            <w:r w:rsidR="00341604">
              <w:rPr>
                <w:color w:val="000000" w:themeColor="text1"/>
                <w:lang w:val="fr-FR"/>
              </w:rPr>
              <w:t xml:space="preserve">Mr </w:t>
            </w:r>
            <w:proofErr w:type="spellStart"/>
            <w:r w:rsidR="00341604" w:rsidRPr="00341604">
              <w:rPr>
                <w:color w:val="000000" w:themeColor="text1"/>
                <w:lang w:val="fr-FR"/>
              </w:rPr>
              <w:t>Dilbadi</w:t>
            </w:r>
            <w:proofErr w:type="spellEnd"/>
            <w:r w:rsidR="00341604" w:rsidRPr="00341604">
              <w:rPr>
                <w:color w:val="000000" w:themeColor="text1"/>
                <w:lang w:val="fr-FR"/>
              </w:rPr>
              <w:t xml:space="preserve"> </w:t>
            </w:r>
            <w:proofErr w:type="spellStart"/>
            <w:r w:rsidR="00341604" w:rsidRPr="00341604">
              <w:rPr>
                <w:color w:val="000000" w:themeColor="text1"/>
                <w:lang w:val="fr-FR"/>
              </w:rPr>
              <w:t>Gasimov</w:t>
            </w:r>
            <w:proofErr w:type="spellEnd"/>
            <w:r w:rsidR="00341604" w:rsidRPr="00341604">
              <w:rPr>
                <w:color w:val="000000" w:themeColor="text1"/>
                <w:lang w:val="fr-FR"/>
              </w:rPr>
              <w:t>)</w:t>
            </w:r>
          </w:p>
        </w:tc>
      </w:tr>
      <w:tr w:rsidR="0013711D" w:rsidRPr="0013711D" w14:paraId="3EBB22E7" w14:textId="77777777" w:rsidTr="00F0057A">
        <w:tc>
          <w:tcPr>
            <w:tcW w:w="2835" w:type="dxa"/>
          </w:tcPr>
          <w:p w14:paraId="6F8EC5DB" w14:textId="77777777" w:rsidR="00CB5190" w:rsidRPr="0013711D" w:rsidRDefault="00CB5190" w:rsidP="00F0057A">
            <w:pPr>
              <w:spacing w:after="120"/>
              <w:rPr>
                <w:i/>
                <w:color w:val="000000" w:themeColor="text1"/>
              </w:rPr>
            </w:pPr>
            <w:r w:rsidRPr="0013711D">
              <w:rPr>
                <w:i/>
                <w:iCs/>
                <w:color w:val="000000" w:themeColor="text1"/>
                <w:lang w:val="fr-FR"/>
              </w:rPr>
              <w:t>Au nom de </w:t>
            </w:r>
            <w:r w:rsidRPr="0013711D">
              <w:rPr>
                <w:iCs/>
                <w:color w:val="000000" w:themeColor="text1"/>
                <w:lang w:val="fr-FR"/>
              </w:rPr>
              <w:t>:</w:t>
            </w:r>
          </w:p>
        </w:tc>
        <w:tc>
          <w:tcPr>
            <w:tcW w:w="3969" w:type="dxa"/>
          </w:tcPr>
          <w:p w14:paraId="53495127" w14:textId="77777777" w:rsidR="00CB5190" w:rsidRPr="0013711D" w:rsidRDefault="00CB5190" w:rsidP="00F0057A">
            <w:pPr>
              <w:spacing w:after="120"/>
              <w:rPr>
                <w:color w:val="000000" w:themeColor="text1"/>
              </w:rPr>
            </w:pPr>
          </w:p>
        </w:tc>
      </w:tr>
      <w:tr w:rsidR="0013711D" w:rsidRPr="0013711D" w14:paraId="1234B130" w14:textId="77777777" w:rsidTr="00F0057A">
        <w:tc>
          <w:tcPr>
            <w:tcW w:w="2835" w:type="dxa"/>
          </w:tcPr>
          <w:p w14:paraId="2C36DAAD" w14:textId="77777777" w:rsidR="00CB5190" w:rsidRPr="0013711D" w:rsidRDefault="00CB5190" w:rsidP="00F0057A">
            <w:pPr>
              <w:spacing w:after="120"/>
              <w:rPr>
                <w:i/>
                <w:color w:val="000000" w:themeColor="text1"/>
              </w:rPr>
            </w:pPr>
            <w:r w:rsidRPr="0013711D">
              <w:rPr>
                <w:i/>
                <w:iCs/>
                <w:color w:val="000000" w:themeColor="text1"/>
                <w:lang w:val="fr-FR"/>
              </w:rPr>
              <w:t>État partie </w:t>
            </w:r>
            <w:r w:rsidRPr="0013711D">
              <w:rPr>
                <w:iCs/>
                <w:color w:val="000000" w:themeColor="text1"/>
                <w:lang w:val="fr-FR"/>
              </w:rPr>
              <w:t>:</w:t>
            </w:r>
          </w:p>
        </w:tc>
        <w:tc>
          <w:tcPr>
            <w:tcW w:w="3969" w:type="dxa"/>
          </w:tcPr>
          <w:p w14:paraId="4F6FE1C2" w14:textId="3EC6167F" w:rsidR="00CB5190" w:rsidRPr="0013711D" w:rsidRDefault="00800DA6" w:rsidP="00F0057A">
            <w:pPr>
              <w:spacing w:after="120"/>
              <w:rPr>
                <w:color w:val="000000" w:themeColor="text1"/>
              </w:rPr>
            </w:pPr>
            <w:r w:rsidRPr="0013711D">
              <w:rPr>
                <w:color w:val="000000" w:themeColor="text1"/>
                <w:lang w:val="fr-FR"/>
              </w:rPr>
              <w:t>France</w:t>
            </w:r>
          </w:p>
        </w:tc>
      </w:tr>
      <w:tr w:rsidR="0013711D" w:rsidRPr="0013711D" w14:paraId="098BB77A" w14:textId="77777777" w:rsidTr="00F0057A">
        <w:tc>
          <w:tcPr>
            <w:tcW w:w="2835" w:type="dxa"/>
          </w:tcPr>
          <w:p w14:paraId="0A7E2C86" w14:textId="77777777" w:rsidR="00CB5190" w:rsidRPr="0013711D" w:rsidRDefault="00CB5190" w:rsidP="00F0057A">
            <w:pPr>
              <w:spacing w:after="120"/>
              <w:rPr>
                <w:i/>
                <w:color w:val="000000" w:themeColor="text1"/>
              </w:rPr>
            </w:pPr>
            <w:r w:rsidRPr="0013711D">
              <w:rPr>
                <w:i/>
                <w:iCs/>
                <w:color w:val="000000" w:themeColor="text1"/>
                <w:lang w:val="fr-FR"/>
              </w:rPr>
              <w:t>Date de la communication </w:t>
            </w:r>
            <w:r w:rsidRPr="0013711D">
              <w:rPr>
                <w:iCs/>
                <w:color w:val="000000" w:themeColor="text1"/>
                <w:lang w:val="fr-FR"/>
              </w:rPr>
              <w:t>:</w:t>
            </w:r>
          </w:p>
        </w:tc>
        <w:tc>
          <w:tcPr>
            <w:tcW w:w="3969" w:type="dxa"/>
          </w:tcPr>
          <w:p w14:paraId="257EB8FE" w14:textId="74E78BB4" w:rsidR="00CB5190" w:rsidRPr="0013711D" w:rsidRDefault="00CB5190" w:rsidP="00533664">
            <w:pPr>
              <w:spacing w:after="120"/>
              <w:rPr>
                <w:color w:val="000000" w:themeColor="text1"/>
              </w:rPr>
            </w:pPr>
            <w:r w:rsidRPr="0013711D">
              <w:rPr>
                <w:color w:val="000000" w:themeColor="text1"/>
                <w:lang w:val="fr-FR"/>
              </w:rPr>
              <w:t>1</w:t>
            </w:r>
            <w:r w:rsidR="00533664">
              <w:rPr>
                <w:color w:val="000000" w:themeColor="text1"/>
                <w:lang w:val="fr-FR"/>
              </w:rPr>
              <w:t xml:space="preserve">1 août 2015 </w:t>
            </w:r>
            <w:r w:rsidRPr="0013711D">
              <w:rPr>
                <w:color w:val="000000" w:themeColor="text1"/>
                <w:lang w:val="fr-FR"/>
              </w:rPr>
              <w:t>(date de la lettre initiale)</w:t>
            </w:r>
          </w:p>
        </w:tc>
      </w:tr>
      <w:tr w:rsidR="0013711D" w:rsidRPr="0013711D" w14:paraId="3B213160" w14:textId="77777777" w:rsidTr="00F0057A">
        <w:tc>
          <w:tcPr>
            <w:tcW w:w="2835" w:type="dxa"/>
          </w:tcPr>
          <w:p w14:paraId="500A7692" w14:textId="77777777" w:rsidR="00CB5190" w:rsidRPr="0013711D" w:rsidRDefault="00CB5190" w:rsidP="00F0057A">
            <w:pPr>
              <w:spacing w:after="120"/>
              <w:rPr>
                <w:i/>
                <w:color w:val="000000" w:themeColor="text1"/>
              </w:rPr>
            </w:pPr>
            <w:r w:rsidRPr="0013711D">
              <w:rPr>
                <w:i/>
                <w:iCs/>
                <w:color w:val="000000" w:themeColor="text1"/>
                <w:lang w:val="fr-FR"/>
              </w:rPr>
              <w:t>Références </w:t>
            </w:r>
            <w:r w:rsidRPr="0013711D">
              <w:rPr>
                <w:iCs/>
                <w:color w:val="000000" w:themeColor="text1"/>
                <w:lang w:val="fr-FR"/>
              </w:rPr>
              <w:t>:</w:t>
            </w:r>
          </w:p>
        </w:tc>
        <w:tc>
          <w:tcPr>
            <w:tcW w:w="3969" w:type="dxa"/>
          </w:tcPr>
          <w:p w14:paraId="3C73A22B" w14:textId="77777777" w:rsidR="00CB5190" w:rsidRPr="0013711D" w:rsidRDefault="00CB5190" w:rsidP="00F0057A">
            <w:pPr>
              <w:spacing w:after="120"/>
              <w:rPr>
                <w:color w:val="000000" w:themeColor="text1"/>
              </w:rPr>
            </w:pPr>
            <w:r w:rsidRPr="0013711D">
              <w:rPr>
                <w:color w:val="000000" w:themeColor="text1"/>
                <w:lang w:val="fr-FR"/>
              </w:rPr>
              <w:t>Décision prise en application de l’article 92 du règlement intérieur du Comité, communiquée à l’État partie le XXX (non publiée sous forme de document)</w:t>
            </w:r>
          </w:p>
        </w:tc>
      </w:tr>
      <w:tr w:rsidR="0013711D" w:rsidRPr="0013711D" w14:paraId="57BEF725" w14:textId="77777777" w:rsidTr="00F0057A">
        <w:tc>
          <w:tcPr>
            <w:tcW w:w="2835" w:type="dxa"/>
          </w:tcPr>
          <w:p w14:paraId="036FFCFB" w14:textId="77777777" w:rsidR="00CB5190" w:rsidRPr="0013711D" w:rsidRDefault="00CB5190" w:rsidP="00F0057A">
            <w:pPr>
              <w:spacing w:after="120"/>
              <w:rPr>
                <w:i/>
                <w:color w:val="000000" w:themeColor="text1"/>
              </w:rPr>
            </w:pPr>
            <w:r w:rsidRPr="0013711D">
              <w:rPr>
                <w:i/>
                <w:iCs/>
                <w:color w:val="000000" w:themeColor="text1"/>
                <w:lang w:val="fr-FR"/>
              </w:rPr>
              <w:t>Date des constatations </w:t>
            </w:r>
            <w:r w:rsidRPr="0013711D">
              <w:rPr>
                <w:iCs/>
                <w:color w:val="000000" w:themeColor="text1"/>
                <w:lang w:val="fr-FR"/>
              </w:rPr>
              <w:t>:</w:t>
            </w:r>
          </w:p>
        </w:tc>
        <w:tc>
          <w:tcPr>
            <w:tcW w:w="3969" w:type="dxa"/>
          </w:tcPr>
          <w:p w14:paraId="7A48D922" w14:textId="0711684D" w:rsidR="00CB5190" w:rsidRPr="0013711D" w:rsidRDefault="00C21FD6" w:rsidP="00F0057A">
            <w:pPr>
              <w:spacing w:after="120"/>
              <w:rPr>
                <w:color w:val="000000" w:themeColor="text1"/>
              </w:rPr>
            </w:pPr>
            <w:r>
              <w:rPr>
                <w:color w:val="000000" w:themeColor="text1"/>
                <w:lang w:val="fr-FR"/>
              </w:rPr>
              <w:t xml:space="preserve">13 mars </w:t>
            </w:r>
            <w:r w:rsidR="00CB5190" w:rsidRPr="0013711D">
              <w:rPr>
                <w:color w:val="000000" w:themeColor="text1"/>
                <w:lang w:val="fr-FR"/>
              </w:rPr>
              <w:t>2020</w:t>
            </w:r>
          </w:p>
        </w:tc>
      </w:tr>
      <w:tr w:rsidR="0013711D" w:rsidRPr="0013711D" w14:paraId="3EF75338" w14:textId="77777777" w:rsidTr="00F0057A">
        <w:tc>
          <w:tcPr>
            <w:tcW w:w="2835" w:type="dxa"/>
          </w:tcPr>
          <w:p w14:paraId="541C21C7" w14:textId="77777777" w:rsidR="00CB5190" w:rsidRPr="0013711D" w:rsidRDefault="00CB5190" w:rsidP="00F0057A">
            <w:pPr>
              <w:spacing w:after="120"/>
              <w:rPr>
                <w:i/>
                <w:color w:val="000000" w:themeColor="text1"/>
              </w:rPr>
            </w:pPr>
            <w:r w:rsidRPr="0013711D">
              <w:rPr>
                <w:i/>
                <w:iCs/>
                <w:color w:val="000000" w:themeColor="text1"/>
                <w:lang w:val="fr-FR"/>
              </w:rPr>
              <w:t>Objet </w:t>
            </w:r>
            <w:r w:rsidRPr="0013711D">
              <w:rPr>
                <w:iCs/>
                <w:color w:val="000000" w:themeColor="text1"/>
                <w:lang w:val="fr-FR"/>
              </w:rPr>
              <w:t>:</w:t>
            </w:r>
          </w:p>
        </w:tc>
        <w:tc>
          <w:tcPr>
            <w:tcW w:w="3969" w:type="dxa"/>
          </w:tcPr>
          <w:p w14:paraId="5648B93E" w14:textId="72EE2229" w:rsidR="00CB5190" w:rsidRPr="0013711D" w:rsidRDefault="000F7DC1" w:rsidP="00F0057A">
            <w:pPr>
              <w:spacing w:after="120"/>
              <w:rPr>
                <w:color w:val="000000" w:themeColor="text1"/>
              </w:rPr>
            </w:pPr>
            <w:r>
              <w:rPr>
                <w:color w:val="000000" w:themeColor="text1"/>
                <w:lang w:val="fr-FR"/>
              </w:rPr>
              <w:t xml:space="preserve">XXX </w:t>
            </w:r>
          </w:p>
        </w:tc>
      </w:tr>
      <w:tr w:rsidR="0013711D" w:rsidRPr="0013711D" w14:paraId="4407F1CA" w14:textId="77777777" w:rsidTr="00F0057A">
        <w:tc>
          <w:tcPr>
            <w:tcW w:w="2835" w:type="dxa"/>
          </w:tcPr>
          <w:p w14:paraId="31406110" w14:textId="77777777" w:rsidR="00CB5190" w:rsidRPr="0013711D" w:rsidRDefault="00CB5190" w:rsidP="00F0057A">
            <w:pPr>
              <w:spacing w:after="120"/>
              <w:rPr>
                <w:i/>
                <w:color w:val="000000" w:themeColor="text1"/>
              </w:rPr>
            </w:pPr>
            <w:r w:rsidRPr="0013711D">
              <w:rPr>
                <w:i/>
                <w:iCs/>
                <w:color w:val="000000" w:themeColor="text1"/>
                <w:lang w:val="fr-FR"/>
              </w:rPr>
              <w:t>Question(s) de procédure </w:t>
            </w:r>
            <w:r w:rsidRPr="0013711D">
              <w:rPr>
                <w:iCs/>
                <w:color w:val="000000" w:themeColor="text1"/>
                <w:lang w:val="fr-FR"/>
              </w:rPr>
              <w:t>:</w:t>
            </w:r>
          </w:p>
        </w:tc>
        <w:tc>
          <w:tcPr>
            <w:tcW w:w="3969" w:type="dxa"/>
          </w:tcPr>
          <w:p w14:paraId="0DD874DD" w14:textId="2383B4AB" w:rsidR="00CB5190" w:rsidRPr="0013711D" w:rsidRDefault="0065303E" w:rsidP="00F0057A">
            <w:pPr>
              <w:spacing w:after="120"/>
              <w:rPr>
                <w:color w:val="000000" w:themeColor="text1"/>
              </w:rPr>
            </w:pPr>
            <w:r w:rsidRPr="0013711D">
              <w:rPr>
                <w:color w:val="000000" w:themeColor="text1"/>
                <w:lang w:val="fr-FR"/>
              </w:rPr>
              <w:t>Non-épuisement des recours internes ; défaut de fondement des griefs ; incompatibilité avec le Pacte</w:t>
            </w:r>
          </w:p>
        </w:tc>
      </w:tr>
      <w:tr w:rsidR="0013711D" w:rsidRPr="0013711D" w14:paraId="6741C5A9" w14:textId="77777777" w:rsidTr="00F0057A">
        <w:tc>
          <w:tcPr>
            <w:tcW w:w="2835" w:type="dxa"/>
          </w:tcPr>
          <w:p w14:paraId="7FD3B25D" w14:textId="77777777" w:rsidR="00CB5190" w:rsidRPr="0013711D" w:rsidRDefault="00CB5190" w:rsidP="00F0057A">
            <w:pPr>
              <w:spacing w:after="120"/>
              <w:rPr>
                <w:i/>
                <w:color w:val="000000" w:themeColor="text1"/>
              </w:rPr>
            </w:pPr>
            <w:r w:rsidRPr="0013711D">
              <w:rPr>
                <w:i/>
                <w:iCs/>
                <w:color w:val="000000" w:themeColor="text1"/>
                <w:lang w:val="fr-FR"/>
              </w:rPr>
              <w:t>Question(s) de fond </w:t>
            </w:r>
            <w:r w:rsidRPr="0013711D">
              <w:rPr>
                <w:iCs/>
                <w:color w:val="000000" w:themeColor="text1"/>
                <w:lang w:val="fr-FR"/>
              </w:rPr>
              <w:t>:</w:t>
            </w:r>
          </w:p>
        </w:tc>
        <w:tc>
          <w:tcPr>
            <w:tcW w:w="3969" w:type="dxa"/>
          </w:tcPr>
          <w:p w14:paraId="776E8DC5" w14:textId="78119A2D" w:rsidR="00CB5190" w:rsidRPr="0013711D" w:rsidRDefault="009E25FD" w:rsidP="0065303E">
            <w:pPr>
              <w:spacing w:after="120"/>
              <w:rPr>
                <w:color w:val="000000" w:themeColor="text1"/>
              </w:rPr>
            </w:pPr>
            <w:r>
              <w:rPr>
                <w:color w:val="000000" w:themeColor="text1"/>
                <w:lang w:val="fr-FR"/>
              </w:rPr>
              <w:t>Recours utile, procès équitable.</w:t>
            </w:r>
          </w:p>
        </w:tc>
      </w:tr>
      <w:tr w:rsidR="0013711D" w:rsidRPr="0013711D" w14:paraId="4D9219FE" w14:textId="77777777" w:rsidTr="00F0057A">
        <w:tc>
          <w:tcPr>
            <w:tcW w:w="2835" w:type="dxa"/>
          </w:tcPr>
          <w:p w14:paraId="6148D16A" w14:textId="77777777" w:rsidR="00CB5190" w:rsidRPr="0013711D" w:rsidRDefault="00CB5190" w:rsidP="00F0057A">
            <w:pPr>
              <w:spacing w:after="120"/>
              <w:rPr>
                <w:i/>
                <w:color w:val="000000" w:themeColor="text1"/>
              </w:rPr>
            </w:pPr>
            <w:r w:rsidRPr="0013711D">
              <w:rPr>
                <w:i/>
                <w:iCs/>
                <w:color w:val="000000" w:themeColor="text1"/>
                <w:lang w:val="fr-FR"/>
              </w:rPr>
              <w:t>Article(s) du Pacte </w:t>
            </w:r>
            <w:r w:rsidRPr="0013711D">
              <w:rPr>
                <w:iCs/>
                <w:color w:val="000000" w:themeColor="text1"/>
                <w:lang w:val="fr-FR"/>
              </w:rPr>
              <w:t>:</w:t>
            </w:r>
          </w:p>
        </w:tc>
        <w:tc>
          <w:tcPr>
            <w:tcW w:w="3969" w:type="dxa"/>
          </w:tcPr>
          <w:p w14:paraId="4196B45D" w14:textId="77777777" w:rsidR="00CB5190" w:rsidRPr="0013711D" w:rsidRDefault="00CB5190" w:rsidP="00F0057A">
            <w:pPr>
              <w:spacing w:after="120"/>
              <w:rPr>
                <w:color w:val="000000" w:themeColor="text1"/>
              </w:rPr>
            </w:pPr>
            <w:r w:rsidRPr="0013711D">
              <w:rPr>
                <w:color w:val="000000" w:themeColor="text1"/>
                <w:lang w:val="fr-FR"/>
              </w:rPr>
              <w:t>2 (par. 3) et 14 (par. 1)</w:t>
            </w:r>
          </w:p>
        </w:tc>
      </w:tr>
      <w:tr w:rsidR="0013711D" w:rsidRPr="0013711D" w14:paraId="48730AAD" w14:textId="77777777" w:rsidTr="00F0057A">
        <w:tc>
          <w:tcPr>
            <w:tcW w:w="2835" w:type="dxa"/>
          </w:tcPr>
          <w:p w14:paraId="78FC06AD" w14:textId="77777777" w:rsidR="00CB5190" w:rsidRPr="0013711D" w:rsidRDefault="00CB5190" w:rsidP="00F0057A">
            <w:pPr>
              <w:spacing w:after="120"/>
              <w:rPr>
                <w:i/>
                <w:iCs/>
                <w:color w:val="000000" w:themeColor="text1"/>
                <w:lang w:val="fr-FR"/>
              </w:rPr>
            </w:pPr>
            <w:r w:rsidRPr="0013711D">
              <w:rPr>
                <w:i/>
                <w:iCs/>
                <w:color w:val="000000" w:themeColor="text1"/>
                <w:lang w:val="fr-FR"/>
              </w:rPr>
              <w:t>Article(s) du Protocole facultatif </w:t>
            </w:r>
            <w:r w:rsidRPr="0013711D">
              <w:rPr>
                <w:iCs/>
                <w:color w:val="000000" w:themeColor="text1"/>
                <w:lang w:val="fr-FR"/>
              </w:rPr>
              <w:t>:</w:t>
            </w:r>
          </w:p>
        </w:tc>
        <w:tc>
          <w:tcPr>
            <w:tcW w:w="3969" w:type="dxa"/>
          </w:tcPr>
          <w:p w14:paraId="77992024" w14:textId="77777777" w:rsidR="00CB5190" w:rsidRPr="0013711D" w:rsidRDefault="00CB5190" w:rsidP="00F0057A">
            <w:pPr>
              <w:spacing w:after="120"/>
              <w:rPr>
                <w:color w:val="000000" w:themeColor="text1"/>
                <w:lang w:val="fr-FR"/>
              </w:rPr>
            </w:pPr>
            <w:r w:rsidRPr="0013711D">
              <w:rPr>
                <w:color w:val="000000" w:themeColor="text1"/>
                <w:lang w:val="fr-FR"/>
              </w:rPr>
              <w:t>5 (par. 2 b))</w:t>
            </w:r>
          </w:p>
        </w:tc>
      </w:tr>
    </w:tbl>
    <w:p w14:paraId="006D6399" w14:textId="5B9B6F63" w:rsidR="00CB5190" w:rsidRPr="0013711D" w:rsidRDefault="00CB5190" w:rsidP="00327024">
      <w:pPr>
        <w:pStyle w:val="SingleTxtG"/>
        <w:rPr>
          <w:color w:val="000000" w:themeColor="text1"/>
          <w:lang w:val="fr-FR"/>
        </w:rPr>
      </w:pPr>
      <w:r w:rsidRPr="0013711D">
        <w:rPr>
          <w:color w:val="000000" w:themeColor="text1"/>
        </w:rPr>
        <w:br w:type="page"/>
      </w:r>
      <w:r w:rsidRPr="0013711D">
        <w:rPr>
          <w:color w:val="000000" w:themeColor="text1"/>
          <w:lang w:val="fr-FR"/>
        </w:rPr>
        <w:lastRenderedPageBreak/>
        <w:t>1.</w:t>
      </w:r>
      <w:r w:rsidRPr="0013711D">
        <w:rPr>
          <w:color w:val="000000" w:themeColor="text1"/>
          <w:lang w:val="fr-FR"/>
        </w:rPr>
        <w:tab/>
        <w:t xml:space="preserve">L'auteur de la communication, datée du </w:t>
      </w:r>
      <w:r w:rsidR="00800DA6" w:rsidRPr="0013711D">
        <w:rPr>
          <w:color w:val="000000" w:themeColor="text1"/>
          <w:lang w:val="fr-FR"/>
        </w:rPr>
        <w:t>29 septembre 2015</w:t>
      </w:r>
      <w:r w:rsidRPr="0013711D">
        <w:rPr>
          <w:color w:val="000000" w:themeColor="text1"/>
          <w:lang w:val="fr-FR"/>
        </w:rPr>
        <w:t xml:space="preserve">, est M. </w:t>
      </w:r>
      <w:r w:rsidR="00800DA6" w:rsidRPr="0013711D">
        <w:rPr>
          <w:color w:val="000000" w:themeColor="text1"/>
          <w:lang w:val="fr-FR"/>
        </w:rPr>
        <w:t>E.F.</w:t>
      </w:r>
      <w:r w:rsidRPr="0013711D">
        <w:rPr>
          <w:color w:val="000000" w:themeColor="text1"/>
          <w:lang w:val="fr-FR"/>
        </w:rPr>
        <w:t xml:space="preserve">, </w:t>
      </w:r>
      <w:r w:rsidR="00800DA6" w:rsidRPr="0013711D">
        <w:rPr>
          <w:color w:val="000000" w:themeColor="text1"/>
          <w:lang w:val="fr-FR"/>
        </w:rPr>
        <w:t>citoyen français</w:t>
      </w:r>
      <w:r w:rsidRPr="0013711D">
        <w:rPr>
          <w:color w:val="000000" w:themeColor="text1"/>
          <w:lang w:val="fr-FR"/>
        </w:rPr>
        <w:t>,</w:t>
      </w:r>
      <w:r w:rsidR="00800DA6" w:rsidRPr="0013711D">
        <w:rPr>
          <w:color w:val="000000" w:themeColor="text1"/>
          <w:lang w:val="fr-FR"/>
        </w:rPr>
        <w:t xml:space="preserve"> né en 1984</w:t>
      </w:r>
      <w:r w:rsidRPr="0013711D">
        <w:rPr>
          <w:color w:val="000000" w:themeColor="text1"/>
          <w:lang w:val="fr-FR"/>
        </w:rPr>
        <w:t xml:space="preserve">. Il prétend que </w:t>
      </w:r>
      <w:r w:rsidR="00800DA6" w:rsidRPr="0013711D">
        <w:rPr>
          <w:color w:val="000000" w:themeColor="text1"/>
          <w:lang w:val="fr-FR"/>
        </w:rPr>
        <w:t>la France</w:t>
      </w:r>
      <w:r w:rsidRPr="0013711D">
        <w:rPr>
          <w:color w:val="000000" w:themeColor="text1"/>
          <w:lang w:val="fr-FR"/>
        </w:rPr>
        <w:t xml:space="preserve"> (l’Etat partie) viole les droits qu’il tient </w:t>
      </w:r>
      <w:r w:rsidR="00800DA6" w:rsidRPr="0013711D">
        <w:rPr>
          <w:color w:val="000000" w:themeColor="text1"/>
          <w:lang w:val="fr-FR"/>
        </w:rPr>
        <w:t>de l’article 14 paragraphe 1</w:t>
      </w:r>
      <w:r w:rsidR="00E8697B" w:rsidRPr="0013711D">
        <w:rPr>
          <w:color w:val="000000" w:themeColor="text1"/>
          <w:lang w:val="fr-FR"/>
        </w:rPr>
        <w:t xml:space="preserve">, </w:t>
      </w:r>
      <w:r w:rsidRPr="0013711D">
        <w:rPr>
          <w:color w:val="000000" w:themeColor="text1"/>
          <w:lang w:val="fr-FR"/>
        </w:rPr>
        <w:t xml:space="preserve">du Pacte international relatif aux droits civils et politiques (le Pacte). </w:t>
      </w:r>
      <w:r w:rsidR="00800DA6" w:rsidRPr="0013711D">
        <w:rPr>
          <w:color w:val="000000" w:themeColor="text1"/>
          <w:lang w:val="fr-FR"/>
        </w:rPr>
        <w:t>Aux fins de la présente communication, l’auteur est assisté d’un avocat</w:t>
      </w:r>
      <w:r w:rsidRPr="0013711D">
        <w:rPr>
          <w:color w:val="000000" w:themeColor="text1"/>
          <w:lang w:val="fr-FR"/>
        </w:rPr>
        <w:t xml:space="preserve">. </w:t>
      </w:r>
      <w:r w:rsidR="00800DA6" w:rsidRPr="0013711D">
        <w:rPr>
          <w:color w:val="000000" w:themeColor="text1"/>
          <w:lang w:val="fr-FR"/>
        </w:rPr>
        <w:t xml:space="preserve">La France a adhéré au </w:t>
      </w:r>
      <w:r w:rsidR="00327024" w:rsidRPr="0013711D">
        <w:rPr>
          <w:color w:val="000000" w:themeColor="text1"/>
          <w:lang w:val="fr-FR"/>
        </w:rPr>
        <w:t xml:space="preserve">Protocole facultatif se rapportant au Pacte international relatif aux droits civils et politiques (le Protocole) </w:t>
      </w:r>
      <w:r w:rsidR="00800DA6" w:rsidRPr="0013711D">
        <w:rPr>
          <w:color w:val="000000" w:themeColor="text1"/>
          <w:lang w:val="fr-FR"/>
        </w:rPr>
        <w:t>le 17 février 1984</w:t>
      </w:r>
      <w:r w:rsidRPr="0013711D">
        <w:rPr>
          <w:color w:val="000000" w:themeColor="text1"/>
          <w:lang w:val="fr-FR"/>
        </w:rPr>
        <w:t>.</w:t>
      </w:r>
    </w:p>
    <w:p w14:paraId="7F928266" w14:textId="750F0C9E" w:rsidR="00CB5190" w:rsidRPr="0013711D" w:rsidRDefault="00CB5190" w:rsidP="00CB5190">
      <w:pPr>
        <w:pStyle w:val="H23G"/>
        <w:rPr>
          <w:color w:val="000000" w:themeColor="text1"/>
        </w:rPr>
      </w:pPr>
      <w:r w:rsidRPr="0013711D">
        <w:rPr>
          <w:color w:val="000000" w:themeColor="text1"/>
          <w:lang w:val="fr-FR"/>
        </w:rPr>
        <w:tab/>
      </w:r>
      <w:r w:rsidRPr="0013711D">
        <w:rPr>
          <w:color w:val="000000" w:themeColor="text1"/>
          <w:lang w:val="fr-FR"/>
        </w:rPr>
        <w:tab/>
        <w:t xml:space="preserve">Rappel des faits présentés par </w:t>
      </w:r>
      <w:r w:rsidR="00000A86" w:rsidRPr="0013711D">
        <w:rPr>
          <w:color w:val="000000" w:themeColor="text1"/>
          <w:lang w:val="fr-FR"/>
        </w:rPr>
        <w:t>l’auteur</w:t>
      </w:r>
    </w:p>
    <w:p w14:paraId="2202CC3D" w14:textId="2E2E00A2" w:rsidR="00000A86" w:rsidRPr="0013711D" w:rsidRDefault="00000A86" w:rsidP="00D9168A">
      <w:pPr>
        <w:pStyle w:val="SingleTxtG"/>
        <w:tabs>
          <w:tab w:val="left" w:pos="567"/>
        </w:tabs>
        <w:rPr>
          <w:lang w:val="fr-FR"/>
        </w:rPr>
      </w:pPr>
      <w:r w:rsidRPr="0013711D">
        <w:t>2.1</w:t>
      </w:r>
      <w:r w:rsidRPr="0013711D">
        <w:tab/>
      </w:r>
      <w:r w:rsidR="0040793A" w:rsidRPr="0013711D">
        <w:t>L’auteur soumet qu’au</w:t>
      </w:r>
      <w:r w:rsidR="00327024" w:rsidRPr="0013711D">
        <w:rPr>
          <w:lang w:val="fr-FR"/>
        </w:rPr>
        <w:t xml:space="preserve"> mois d’octobre 2000, à s</w:t>
      </w:r>
      <w:r w:rsidRPr="0013711D">
        <w:rPr>
          <w:lang w:val="fr-FR"/>
        </w:rPr>
        <w:t xml:space="preserve">a sortie de l’école, </w:t>
      </w:r>
      <w:r w:rsidR="0040793A" w:rsidRPr="0013711D">
        <w:rPr>
          <w:lang w:val="fr-FR"/>
        </w:rPr>
        <w:t>alors qu’il</w:t>
      </w:r>
      <w:r w:rsidR="00327024" w:rsidRPr="0013711D">
        <w:rPr>
          <w:lang w:val="fr-FR"/>
        </w:rPr>
        <w:t xml:space="preserve"> était âgé de 16 ans,</w:t>
      </w:r>
      <w:r w:rsidRPr="0013711D">
        <w:rPr>
          <w:lang w:val="fr-FR"/>
        </w:rPr>
        <w:t xml:space="preserve"> </w:t>
      </w:r>
      <w:r w:rsidR="00E8697B" w:rsidRPr="0013711D">
        <w:rPr>
          <w:lang w:val="fr-FR"/>
        </w:rPr>
        <w:t xml:space="preserve">il </w:t>
      </w:r>
      <w:r w:rsidRPr="0013711D">
        <w:rPr>
          <w:lang w:val="fr-FR"/>
        </w:rPr>
        <w:t>a été coincé</w:t>
      </w:r>
      <w:r w:rsidR="00357D21">
        <w:rPr>
          <w:lang w:val="fr-FR"/>
        </w:rPr>
        <w:t>,</w:t>
      </w:r>
      <w:r w:rsidRPr="0013711D">
        <w:rPr>
          <w:lang w:val="fr-FR"/>
        </w:rPr>
        <w:t xml:space="preserve"> </w:t>
      </w:r>
      <w:r w:rsidR="00001ECD" w:rsidRPr="0013711D">
        <w:rPr>
          <w:lang w:val="fr-FR"/>
        </w:rPr>
        <w:t xml:space="preserve">puis sexuellement agressé </w:t>
      </w:r>
      <w:r w:rsidRPr="0013711D">
        <w:rPr>
          <w:lang w:val="fr-FR"/>
        </w:rPr>
        <w:t xml:space="preserve">par deux camarades en présence de plusieurs autres élèves. </w:t>
      </w:r>
      <w:r w:rsidR="0040793A" w:rsidRPr="0013711D">
        <w:rPr>
          <w:lang w:val="fr-FR"/>
        </w:rPr>
        <w:t>Tandis</w:t>
      </w:r>
      <w:r w:rsidR="00327024" w:rsidRPr="0013711D">
        <w:rPr>
          <w:lang w:val="fr-FR"/>
        </w:rPr>
        <w:t xml:space="preserve"> que l’un </w:t>
      </w:r>
      <w:r w:rsidR="0040793A" w:rsidRPr="0013711D">
        <w:rPr>
          <w:lang w:val="fr-FR"/>
        </w:rPr>
        <w:t>de ses d</w:t>
      </w:r>
      <w:r w:rsidRPr="0013711D">
        <w:rPr>
          <w:lang w:val="fr-FR"/>
        </w:rPr>
        <w:t xml:space="preserve">eux camarades </w:t>
      </w:r>
      <w:r w:rsidR="00327024" w:rsidRPr="0013711D">
        <w:rPr>
          <w:lang w:val="fr-FR"/>
        </w:rPr>
        <w:t>le retenait</w:t>
      </w:r>
      <w:r w:rsidRPr="0013711D">
        <w:rPr>
          <w:lang w:val="fr-FR"/>
        </w:rPr>
        <w:t xml:space="preserve">, l’autre introduisait son majeur dans son anus, à travers son sous-vêtement.   </w:t>
      </w:r>
    </w:p>
    <w:p w14:paraId="2D898F50" w14:textId="09BD1012" w:rsidR="00000A86" w:rsidRPr="0013711D" w:rsidRDefault="00000A86" w:rsidP="00001ECD">
      <w:pPr>
        <w:pStyle w:val="SingleTxtG"/>
        <w:rPr>
          <w:color w:val="000000" w:themeColor="text1"/>
          <w:lang w:val="fr-FR"/>
        </w:rPr>
      </w:pPr>
      <w:r w:rsidRPr="0013711D">
        <w:rPr>
          <w:color w:val="000000" w:themeColor="text1"/>
          <w:lang w:val="fr-FR"/>
        </w:rPr>
        <w:t>2.2</w:t>
      </w:r>
      <w:r w:rsidRPr="0013711D">
        <w:rPr>
          <w:color w:val="000000" w:themeColor="text1"/>
          <w:lang w:val="fr-FR"/>
        </w:rPr>
        <w:tab/>
        <w:t xml:space="preserve">Le 4 octobre 2010, l’auteur a </w:t>
      </w:r>
      <w:r w:rsidR="00001ECD" w:rsidRPr="0013711D">
        <w:rPr>
          <w:color w:val="000000" w:themeColor="text1"/>
          <w:lang w:val="fr-FR"/>
        </w:rPr>
        <w:t>porté plainte pour viol à la Brigade de protection des mineurs. Le 1</w:t>
      </w:r>
      <w:r w:rsidR="00001ECD" w:rsidRPr="0013711D">
        <w:rPr>
          <w:color w:val="000000" w:themeColor="text1"/>
          <w:vertAlign w:val="superscript"/>
          <w:lang w:val="fr-FR"/>
        </w:rPr>
        <w:t>er</w:t>
      </w:r>
      <w:r w:rsidR="00001ECD" w:rsidRPr="0013711D">
        <w:rPr>
          <w:color w:val="000000" w:themeColor="text1"/>
          <w:lang w:val="fr-FR"/>
        </w:rPr>
        <w:t xml:space="preserve"> </w:t>
      </w:r>
      <w:r w:rsidRPr="0013711D">
        <w:rPr>
          <w:color w:val="000000" w:themeColor="text1"/>
          <w:lang w:val="fr-FR"/>
        </w:rPr>
        <w:t>juin 2011</w:t>
      </w:r>
      <w:r w:rsidR="00001ECD" w:rsidRPr="0013711D">
        <w:rPr>
          <w:color w:val="000000" w:themeColor="text1"/>
          <w:lang w:val="fr-FR"/>
        </w:rPr>
        <w:t>,</w:t>
      </w:r>
      <w:r w:rsidRPr="0013711D">
        <w:rPr>
          <w:color w:val="000000" w:themeColor="text1"/>
          <w:lang w:val="fr-FR"/>
        </w:rPr>
        <w:t xml:space="preserve"> la plainte de l’auteur a été classée sans suit</w:t>
      </w:r>
      <w:r w:rsidR="00001ECD" w:rsidRPr="0013711D">
        <w:rPr>
          <w:color w:val="000000" w:themeColor="text1"/>
          <w:lang w:val="fr-FR"/>
        </w:rPr>
        <w:t>e pour insuffisance de preuves. Face à ce revers, l</w:t>
      </w:r>
      <w:r w:rsidRPr="0013711D">
        <w:rPr>
          <w:color w:val="000000" w:themeColor="text1"/>
          <w:lang w:val="fr-FR"/>
        </w:rPr>
        <w:t xml:space="preserve">e 17 janvier 2012, l’auteur a déposé </w:t>
      </w:r>
      <w:r w:rsidR="00327024" w:rsidRPr="0013711D">
        <w:rPr>
          <w:color w:val="000000" w:themeColor="text1"/>
          <w:lang w:val="fr-FR"/>
        </w:rPr>
        <w:t xml:space="preserve">une autre </w:t>
      </w:r>
      <w:r w:rsidRPr="0013711D">
        <w:rPr>
          <w:color w:val="000000" w:themeColor="text1"/>
          <w:lang w:val="fr-FR"/>
        </w:rPr>
        <w:t xml:space="preserve">plainte </w:t>
      </w:r>
      <w:r w:rsidR="00327024" w:rsidRPr="0013711D">
        <w:rPr>
          <w:color w:val="000000" w:themeColor="text1"/>
          <w:lang w:val="fr-FR"/>
        </w:rPr>
        <w:t xml:space="preserve">avec constitution de partie civile </w:t>
      </w:r>
      <w:r w:rsidRPr="0013711D">
        <w:rPr>
          <w:color w:val="000000" w:themeColor="text1"/>
          <w:lang w:val="fr-FR"/>
        </w:rPr>
        <w:t xml:space="preserve">auprès du Doyen des juges d’instruction </w:t>
      </w:r>
      <w:r w:rsidR="00001ECD" w:rsidRPr="0013711D">
        <w:rPr>
          <w:color w:val="000000" w:themeColor="text1"/>
          <w:lang w:val="fr-FR"/>
        </w:rPr>
        <w:t xml:space="preserve">pour les mêmes faits contre ses deux camarades. </w:t>
      </w:r>
    </w:p>
    <w:p w14:paraId="114BBCB8" w14:textId="61496B68" w:rsidR="00000A86" w:rsidRPr="0013711D" w:rsidRDefault="009E25FD" w:rsidP="00000A86">
      <w:pPr>
        <w:pStyle w:val="SingleTxtG"/>
        <w:rPr>
          <w:color w:val="000000" w:themeColor="text1"/>
          <w:lang w:val="fr-FR"/>
        </w:rPr>
      </w:pPr>
      <w:r>
        <w:rPr>
          <w:color w:val="000000" w:themeColor="text1"/>
          <w:lang w:val="fr-FR"/>
        </w:rPr>
        <w:t>2.3</w:t>
      </w:r>
      <w:r w:rsidR="00E8697B" w:rsidRPr="0013711D">
        <w:rPr>
          <w:color w:val="000000" w:themeColor="text1"/>
          <w:lang w:val="fr-FR"/>
        </w:rPr>
        <w:tab/>
        <w:t>Le 4 décembre 2012, le</w:t>
      </w:r>
      <w:r w:rsidR="000E1B4D" w:rsidRPr="0013711D">
        <w:rPr>
          <w:color w:val="000000" w:themeColor="text1"/>
          <w:lang w:val="fr-FR"/>
        </w:rPr>
        <w:t xml:space="preserve"> Juge d’instruction a ordonné </w:t>
      </w:r>
      <w:r w:rsidR="00000A86" w:rsidRPr="0013711D">
        <w:rPr>
          <w:color w:val="000000" w:themeColor="text1"/>
          <w:lang w:val="fr-FR"/>
        </w:rPr>
        <w:t xml:space="preserve">une confrontation </w:t>
      </w:r>
      <w:r w:rsidR="000E1B4D" w:rsidRPr="0013711D">
        <w:rPr>
          <w:color w:val="000000" w:themeColor="text1"/>
          <w:lang w:val="fr-FR"/>
        </w:rPr>
        <w:t xml:space="preserve">entre l’auteur et </w:t>
      </w:r>
      <w:r w:rsidR="00E8697B" w:rsidRPr="0013711D">
        <w:rPr>
          <w:color w:val="000000" w:themeColor="text1"/>
          <w:lang w:val="fr-FR"/>
        </w:rPr>
        <w:t xml:space="preserve">les deux </w:t>
      </w:r>
      <w:r w:rsidR="00327024" w:rsidRPr="0013711D">
        <w:rPr>
          <w:color w:val="000000" w:themeColor="text1"/>
          <w:lang w:val="fr-FR"/>
        </w:rPr>
        <w:t>mis en cause</w:t>
      </w:r>
      <w:r w:rsidR="000E1B4D" w:rsidRPr="0013711D">
        <w:rPr>
          <w:color w:val="000000" w:themeColor="text1"/>
          <w:lang w:val="fr-FR"/>
        </w:rPr>
        <w:t>. Toutefois</w:t>
      </w:r>
      <w:r w:rsidR="00000A86" w:rsidRPr="0013711D">
        <w:rPr>
          <w:color w:val="000000" w:themeColor="text1"/>
          <w:lang w:val="fr-FR"/>
        </w:rPr>
        <w:t xml:space="preserve">, l’auteur n’a </w:t>
      </w:r>
      <w:r w:rsidR="00327024" w:rsidRPr="0013711D">
        <w:rPr>
          <w:color w:val="000000" w:themeColor="text1"/>
          <w:lang w:val="fr-FR"/>
        </w:rPr>
        <w:t xml:space="preserve">pas </w:t>
      </w:r>
      <w:r w:rsidR="00000A86" w:rsidRPr="0013711D">
        <w:rPr>
          <w:color w:val="000000" w:themeColor="text1"/>
          <w:lang w:val="fr-FR"/>
        </w:rPr>
        <w:t xml:space="preserve">pu y assister pour cause de maladie. Il n’a pas pu </w:t>
      </w:r>
      <w:r w:rsidR="000E1B4D" w:rsidRPr="0013711D">
        <w:rPr>
          <w:color w:val="000000" w:themeColor="text1"/>
          <w:lang w:val="fr-FR"/>
        </w:rPr>
        <w:t>non plus</w:t>
      </w:r>
      <w:r w:rsidR="00000A86" w:rsidRPr="0013711D">
        <w:rPr>
          <w:color w:val="000000" w:themeColor="text1"/>
          <w:lang w:val="fr-FR"/>
        </w:rPr>
        <w:t xml:space="preserve"> assister aux deux autres confrontations </w:t>
      </w:r>
      <w:r w:rsidR="00CC6A2A" w:rsidRPr="0013711D">
        <w:rPr>
          <w:color w:val="000000" w:themeColor="text1"/>
          <w:lang w:val="fr-FR"/>
        </w:rPr>
        <w:t xml:space="preserve">prévues </w:t>
      </w:r>
      <w:r w:rsidR="00327024" w:rsidRPr="0013711D">
        <w:rPr>
          <w:color w:val="000000" w:themeColor="text1"/>
          <w:lang w:val="fr-FR"/>
        </w:rPr>
        <w:t xml:space="preserve">aux dates </w:t>
      </w:r>
      <w:r w:rsidR="00E8697B" w:rsidRPr="0013711D">
        <w:rPr>
          <w:color w:val="000000" w:themeColor="text1"/>
          <w:lang w:val="fr-FR"/>
        </w:rPr>
        <w:t>du 11</w:t>
      </w:r>
      <w:r w:rsidR="00000A86" w:rsidRPr="0013711D">
        <w:rPr>
          <w:color w:val="000000" w:themeColor="text1"/>
          <w:lang w:val="fr-FR"/>
        </w:rPr>
        <w:t xml:space="preserve"> décembre 2012 et 9 janvier 2013</w:t>
      </w:r>
      <w:r w:rsidR="0040793A" w:rsidRPr="0013711D">
        <w:rPr>
          <w:color w:val="000000" w:themeColor="text1"/>
          <w:lang w:val="fr-FR"/>
        </w:rPr>
        <w:t xml:space="preserve"> pour raisons médicales. L’auteur a informé le ju</w:t>
      </w:r>
      <w:r w:rsidR="00000A86" w:rsidRPr="0013711D">
        <w:rPr>
          <w:color w:val="000000" w:themeColor="text1"/>
          <w:lang w:val="fr-FR"/>
        </w:rPr>
        <w:t xml:space="preserve">ge d’instruction des raisons de son absence et a </w:t>
      </w:r>
      <w:r w:rsidR="00CC6A2A" w:rsidRPr="0013711D">
        <w:rPr>
          <w:color w:val="000000" w:themeColor="text1"/>
          <w:lang w:val="fr-FR"/>
        </w:rPr>
        <w:t>sollicité</w:t>
      </w:r>
      <w:r w:rsidR="00000A86" w:rsidRPr="0013711D">
        <w:rPr>
          <w:color w:val="000000" w:themeColor="text1"/>
          <w:lang w:val="fr-FR"/>
        </w:rPr>
        <w:t xml:space="preserve"> le </w:t>
      </w:r>
      <w:r w:rsidR="00CC6A2A" w:rsidRPr="0013711D">
        <w:rPr>
          <w:color w:val="000000" w:themeColor="text1"/>
          <w:lang w:val="fr-FR"/>
        </w:rPr>
        <w:t>report</w:t>
      </w:r>
      <w:r w:rsidR="00000A86" w:rsidRPr="0013711D">
        <w:rPr>
          <w:color w:val="000000" w:themeColor="text1"/>
          <w:lang w:val="fr-FR"/>
        </w:rPr>
        <w:t xml:space="preserve"> des confrontations </w:t>
      </w:r>
      <w:r w:rsidR="00CC6A2A" w:rsidRPr="0013711D">
        <w:rPr>
          <w:color w:val="000000" w:themeColor="text1"/>
          <w:lang w:val="fr-FR"/>
        </w:rPr>
        <w:t xml:space="preserve">pour pouvoir y être présent. Ce report devrait aussi permettre </w:t>
      </w:r>
      <w:r w:rsidR="0040793A" w:rsidRPr="0013711D">
        <w:rPr>
          <w:color w:val="000000" w:themeColor="text1"/>
          <w:lang w:val="fr-FR"/>
        </w:rPr>
        <w:t>au juge</w:t>
      </w:r>
      <w:r w:rsidR="00CC6A2A" w:rsidRPr="0013711D">
        <w:rPr>
          <w:color w:val="000000" w:themeColor="text1"/>
          <w:lang w:val="fr-FR"/>
        </w:rPr>
        <w:t xml:space="preserve"> d’instruction d’entendre </w:t>
      </w:r>
      <w:r w:rsidR="0040793A" w:rsidRPr="0013711D">
        <w:rPr>
          <w:color w:val="000000" w:themeColor="text1"/>
          <w:lang w:val="fr-FR"/>
        </w:rPr>
        <w:t xml:space="preserve">d’autres témoins que l’auteur </w:t>
      </w:r>
      <w:r w:rsidR="00000A86" w:rsidRPr="0013711D">
        <w:rPr>
          <w:color w:val="000000" w:themeColor="text1"/>
          <w:lang w:val="fr-FR"/>
        </w:rPr>
        <w:t>avait désignés et</w:t>
      </w:r>
      <w:r w:rsidR="00CC6A2A" w:rsidRPr="0013711D">
        <w:rPr>
          <w:color w:val="000000" w:themeColor="text1"/>
          <w:lang w:val="fr-FR"/>
        </w:rPr>
        <w:t xml:space="preserve"> qui n’avaient pas été entendus</w:t>
      </w:r>
      <w:r w:rsidR="00000A86" w:rsidRPr="0013711D">
        <w:rPr>
          <w:color w:val="000000" w:themeColor="text1"/>
          <w:lang w:val="fr-FR"/>
        </w:rPr>
        <w:t>.</w:t>
      </w:r>
    </w:p>
    <w:p w14:paraId="21938B5A" w14:textId="7ADEFAFD" w:rsidR="00000A86" w:rsidRPr="0013711D" w:rsidRDefault="009E25FD" w:rsidP="00E8697B">
      <w:pPr>
        <w:pStyle w:val="SingleTxtG"/>
        <w:rPr>
          <w:color w:val="000000" w:themeColor="text1"/>
          <w:lang w:val="fr-FR"/>
        </w:rPr>
      </w:pPr>
      <w:r>
        <w:rPr>
          <w:color w:val="000000" w:themeColor="text1"/>
          <w:lang w:val="fr-FR"/>
        </w:rPr>
        <w:t>2.4</w:t>
      </w:r>
      <w:r w:rsidR="00000A86" w:rsidRPr="0013711D">
        <w:rPr>
          <w:color w:val="000000" w:themeColor="text1"/>
          <w:lang w:val="fr-FR"/>
        </w:rPr>
        <w:tab/>
        <w:t>Pa</w:t>
      </w:r>
      <w:r w:rsidR="00E8697B" w:rsidRPr="0013711D">
        <w:rPr>
          <w:color w:val="000000" w:themeColor="text1"/>
          <w:lang w:val="fr-FR"/>
        </w:rPr>
        <w:t>r ordonnance du 20 mars 2013, le</w:t>
      </w:r>
      <w:r w:rsidR="00000A86" w:rsidRPr="0013711D">
        <w:rPr>
          <w:color w:val="000000" w:themeColor="text1"/>
          <w:lang w:val="fr-FR"/>
        </w:rPr>
        <w:t xml:space="preserve"> Juge d’instruction </w:t>
      </w:r>
      <w:r w:rsidR="00CC6A2A" w:rsidRPr="0013711D">
        <w:rPr>
          <w:color w:val="000000" w:themeColor="text1"/>
          <w:lang w:val="fr-FR"/>
        </w:rPr>
        <w:t xml:space="preserve">a refusé </w:t>
      </w:r>
      <w:r w:rsidR="00000A86" w:rsidRPr="0013711D">
        <w:rPr>
          <w:color w:val="000000" w:themeColor="text1"/>
          <w:lang w:val="fr-FR"/>
        </w:rPr>
        <w:t xml:space="preserve">de prolonger l’instruction expliquant sa décision </w:t>
      </w:r>
      <w:r w:rsidR="005C5DD1" w:rsidRPr="0013711D">
        <w:rPr>
          <w:color w:val="000000" w:themeColor="text1"/>
          <w:lang w:val="fr-FR"/>
        </w:rPr>
        <w:t>en raison de la non comparution de l’auteur aux audiences</w:t>
      </w:r>
      <w:r w:rsidR="00E8697B" w:rsidRPr="0013711D">
        <w:rPr>
          <w:color w:val="000000" w:themeColor="text1"/>
          <w:lang w:val="fr-FR"/>
        </w:rPr>
        <w:t xml:space="preserve"> et de l’insuffisance des informations collectées à partir des </w:t>
      </w:r>
      <w:r w:rsidR="00CB187A">
        <w:rPr>
          <w:color w:val="000000" w:themeColor="text1"/>
          <w:lang w:val="fr-FR"/>
        </w:rPr>
        <w:t>déclarations des mis en cause et des témoins</w:t>
      </w:r>
      <w:r w:rsidR="005C5DD1" w:rsidRPr="0013711D">
        <w:rPr>
          <w:color w:val="000000" w:themeColor="text1"/>
          <w:lang w:val="fr-FR"/>
        </w:rPr>
        <w:t>.</w:t>
      </w:r>
      <w:r w:rsidR="00000A86" w:rsidRPr="0013711D">
        <w:rPr>
          <w:color w:val="000000" w:themeColor="text1"/>
          <w:lang w:val="fr-FR"/>
        </w:rPr>
        <w:t xml:space="preserve"> </w:t>
      </w:r>
      <w:r w:rsidR="00E8697B" w:rsidRPr="0013711D">
        <w:rPr>
          <w:color w:val="000000" w:themeColor="text1"/>
          <w:lang w:val="fr-FR"/>
        </w:rPr>
        <w:t xml:space="preserve">Le juge d’instruction a estimé que les éléments dont il disposait ne justifiaient pas la </w:t>
      </w:r>
      <w:r w:rsidR="00000A86" w:rsidRPr="0013711D">
        <w:rPr>
          <w:color w:val="000000" w:themeColor="text1"/>
          <w:lang w:val="fr-FR"/>
        </w:rPr>
        <w:t>planification d’une nouvelle confrontation, à fortiori en l’absence d’élément étayant ses accusations</w:t>
      </w:r>
      <w:r w:rsidR="00E8697B" w:rsidRPr="0013711D">
        <w:rPr>
          <w:color w:val="000000" w:themeColor="text1"/>
          <w:lang w:val="fr-FR"/>
        </w:rPr>
        <w:t xml:space="preserve">. </w:t>
      </w:r>
      <w:r w:rsidR="0040793A" w:rsidRPr="0013711D">
        <w:rPr>
          <w:color w:val="000000" w:themeColor="text1"/>
          <w:lang w:val="fr-FR"/>
        </w:rPr>
        <w:t>Dans la même ordonnance, le j</w:t>
      </w:r>
      <w:r w:rsidR="00E8697B" w:rsidRPr="0013711D">
        <w:rPr>
          <w:color w:val="000000" w:themeColor="text1"/>
          <w:lang w:val="fr-FR"/>
        </w:rPr>
        <w:t xml:space="preserve">uge d’instruction a répondu </w:t>
      </w:r>
      <w:r w:rsidR="00000A86" w:rsidRPr="0013711D">
        <w:rPr>
          <w:color w:val="000000" w:themeColor="text1"/>
          <w:lang w:val="fr-FR"/>
        </w:rPr>
        <w:t>à la demande de l’auteur pour que d’autres témoins soient entendus, motivant les raisons pour lesquelles elle ne convoquait pas chacun d’entre eux</w:t>
      </w:r>
      <w:r w:rsidR="002E2A22" w:rsidRPr="0013711D">
        <w:rPr>
          <w:color w:val="000000" w:themeColor="text1"/>
          <w:lang w:val="fr-FR"/>
        </w:rPr>
        <w:t>. Pour certains, le j</w:t>
      </w:r>
      <w:r w:rsidR="00000A86" w:rsidRPr="0013711D">
        <w:rPr>
          <w:color w:val="000000" w:themeColor="text1"/>
          <w:lang w:val="fr-FR"/>
        </w:rPr>
        <w:t xml:space="preserve">uge </w:t>
      </w:r>
      <w:r w:rsidR="00E8697B" w:rsidRPr="0013711D">
        <w:rPr>
          <w:color w:val="000000" w:themeColor="text1"/>
          <w:lang w:val="fr-FR"/>
        </w:rPr>
        <w:t>a expliqué</w:t>
      </w:r>
      <w:r w:rsidR="00000A86" w:rsidRPr="0013711D">
        <w:rPr>
          <w:color w:val="000000" w:themeColor="text1"/>
          <w:lang w:val="fr-FR"/>
        </w:rPr>
        <w:t xml:space="preserve"> que leurs témoignages avaient déjà été apportés par la partie civile et versés au dossier, et qu’ils n’apportaient aucun renseignement utile concernant </w:t>
      </w:r>
      <w:r w:rsidR="00F17A09" w:rsidRPr="0013711D">
        <w:rPr>
          <w:color w:val="000000" w:themeColor="text1"/>
          <w:lang w:val="fr-FR"/>
        </w:rPr>
        <w:t>le</w:t>
      </w:r>
      <w:r w:rsidR="00CC6A2A" w:rsidRPr="0013711D">
        <w:rPr>
          <w:color w:val="000000" w:themeColor="text1"/>
          <w:lang w:val="fr-FR"/>
        </w:rPr>
        <w:t xml:space="preserve"> viol présumé</w:t>
      </w:r>
      <w:r w:rsidR="00F17A09" w:rsidRPr="0013711D">
        <w:rPr>
          <w:color w:val="000000" w:themeColor="text1"/>
          <w:lang w:val="fr-FR"/>
        </w:rPr>
        <w:t xml:space="preserve"> de l’auteur</w:t>
      </w:r>
      <w:r w:rsidR="00000A86" w:rsidRPr="0013711D">
        <w:rPr>
          <w:color w:val="000000" w:themeColor="text1"/>
          <w:lang w:val="fr-FR"/>
        </w:rPr>
        <w:t>. Pour d’autres</w:t>
      </w:r>
      <w:r w:rsidR="00E8697B" w:rsidRPr="0013711D">
        <w:rPr>
          <w:color w:val="000000" w:themeColor="text1"/>
          <w:lang w:val="fr-FR"/>
        </w:rPr>
        <w:t>, le</w:t>
      </w:r>
      <w:r w:rsidR="00CC6A2A" w:rsidRPr="0013711D">
        <w:rPr>
          <w:color w:val="000000" w:themeColor="text1"/>
          <w:lang w:val="fr-FR"/>
        </w:rPr>
        <w:t xml:space="preserve"> juge a signalé</w:t>
      </w:r>
      <w:r w:rsidR="00000A86" w:rsidRPr="0013711D">
        <w:rPr>
          <w:color w:val="000000" w:themeColor="text1"/>
          <w:lang w:val="fr-FR"/>
        </w:rPr>
        <w:t xml:space="preserve"> qu’ils avaient déjà été entendus mais n’avaient </w:t>
      </w:r>
      <w:r w:rsidR="00CC6A2A" w:rsidRPr="0013711D">
        <w:rPr>
          <w:color w:val="000000" w:themeColor="text1"/>
          <w:lang w:val="fr-FR"/>
        </w:rPr>
        <w:t xml:space="preserve">pas </w:t>
      </w:r>
      <w:r w:rsidR="00000A86" w:rsidRPr="0013711D">
        <w:rPr>
          <w:color w:val="000000" w:themeColor="text1"/>
          <w:lang w:val="fr-FR"/>
        </w:rPr>
        <w:t>apporté de renseignement</w:t>
      </w:r>
      <w:r w:rsidR="00CC6A2A" w:rsidRPr="0013711D">
        <w:rPr>
          <w:color w:val="000000" w:themeColor="text1"/>
          <w:lang w:val="fr-FR"/>
        </w:rPr>
        <w:t>s</w:t>
      </w:r>
      <w:r w:rsidR="00000A86" w:rsidRPr="0013711D">
        <w:rPr>
          <w:color w:val="000000" w:themeColor="text1"/>
          <w:lang w:val="fr-FR"/>
        </w:rPr>
        <w:t xml:space="preserve"> utile</w:t>
      </w:r>
      <w:r w:rsidR="00CC6A2A" w:rsidRPr="0013711D">
        <w:rPr>
          <w:color w:val="000000" w:themeColor="text1"/>
          <w:lang w:val="fr-FR"/>
        </w:rPr>
        <w:t>s</w:t>
      </w:r>
      <w:r w:rsidR="00000A86" w:rsidRPr="0013711D">
        <w:rPr>
          <w:color w:val="000000" w:themeColor="text1"/>
          <w:lang w:val="fr-FR"/>
        </w:rPr>
        <w:t xml:space="preserve">. Enfin, un témoin n’avait pas pu être localisé.  L’auteur a fait appel de cette </w:t>
      </w:r>
      <w:r w:rsidR="00E8697B" w:rsidRPr="0013711D">
        <w:rPr>
          <w:color w:val="000000" w:themeColor="text1"/>
          <w:lang w:val="fr-FR"/>
        </w:rPr>
        <w:t xml:space="preserve">ordonnance </w:t>
      </w:r>
      <w:r w:rsidR="00000A86" w:rsidRPr="0013711D">
        <w:rPr>
          <w:color w:val="000000" w:themeColor="text1"/>
          <w:lang w:val="fr-FR"/>
        </w:rPr>
        <w:t>auprès de la Cour d’appel de Paris, qui l’a rejeté</w:t>
      </w:r>
      <w:r w:rsidR="00CC6A2A" w:rsidRPr="0013711D">
        <w:rPr>
          <w:color w:val="000000" w:themeColor="text1"/>
          <w:lang w:val="fr-FR"/>
        </w:rPr>
        <w:t>e</w:t>
      </w:r>
      <w:r w:rsidR="00000A86" w:rsidRPr="0013711D">
        <w:rPr>
          <w:color w:val="000000" w:themeColor="text1"/>
          <w:lang w:val="fr-FR"/>
        </w:rPr>
        <w:t xml:space="preserve"> le 25 avril 2013.</w:t>
      </w:r>
    </w:p>
    <w:p w14:paraId="3455D17D" w14:textId="2E80A727" w:rsidR="00000A86" w:rsidRPr="0013711D" w:rsidRDefault="009E25FD" w:rsidP="00000A86">
      <w:pPr>
        <w:pStyle w:val="SingleTxtG"/>
        <w:rPr>
          <w:color w:val="000000" w:themeColor="text1"/>
          <w:lang w:val="fr-FR"/>
        </w:rPr>
      </w:pPr>
      <w:r>
        <w:rPr>
          <w:color w:val="000000" w:themeColor="text1"/>
          <w:lang w:val="fr-FR"/>
        </w:rPr>
        <w:t>2.5</w:t>
      </w:r>
      <w:r w:rsidR="00000A86" w:rsidRPr="0013711D">
        <w:rPr>
          <w:color w:val="000000" w:themeColor="text1"/>
          <w:lang w:val="fr-FR"/>
        </w:rPr>
        <w:tab/>
        <w:t>Par ordonnance de non-lieu du 20 juin 2013, l</w:t>
      </w:r>
      <w:r w:rsidR="002E2A22" w:rsidRPr="0013711D">
        <w:rPr>
          <w:color w:val="000000" w:themeColor="text1"/>
          <w:lang w:val="fr-FR"/>
        </w:rPr>
        <w:t>e J</w:t>
      </w:r>
      <w:r w:rsidR="00000A86" w:rsidRPr="0013711D">
        <w:rPr>
          <w:color w:val="000000" w:themeColor="text1"/>
          <w:lang w:val="fr-FR"/>
        </w:rPr>
        <w:t xml:space="preserve">uge d’instruction du Tribunal de Grande Instance de Paris </w:t>
      </w:r>
      <w:r w:rsidR="00F17A09" w:rsidRPr="0013711D">
        <w:rPr>
          <w:color w:val="000000" w:themeColor="text1"/>
          <w:lang w:val="fr-FR"/>
        </w:rPr>
        <w:t>a clos</w:t>
      </w:r>
      <w:r w:rsidR="00000A86" w:rsidRPr="0013711D">
        <w:rPr>
          <w:color w:val="000000" w:themeColor="text1"/>
          <w:lang w:val="fr-FR"/>
        </w:rPr>
        <w:t xml:space="preserve"> l’instruction considérant : « qu’il ressort de l’intégralité de ces investigations, largement menées à partir des éléments et des noms cités par M</w:t>
      </w:r>
      <w:r w:rsidR="00CC6A2A" w:rsidRPr="0013711D">
        <w:rPr>
          <w:color w:val="000000" w:themeColor="text1"/>
          <w:lang w:val="fr-FR"/>
        </w:rPr>
        <w:t>. E. F.</w:t>
      </w:r>
      <w:r w:rsidR="00000A86" w:rsidRPr="0013711D">
        <w:rPr>
          <w:color w:val="000000" w:themeColor="text1"/>
          <w:lang w:val="fr-FR"/>
        </w:rPr>
        <w:t xml:space="preserve"> qu’aucun élément ne vient corroborer sa dénonciation; que l’existence même de la bousculade et de la lutte ne ressort d’aucune des investigation</w:t>
      </w:r>
      <w:r w:rsidR="00E8697B" w:rsidRPr="0013711D">
        <w:rPr>
          <w:color w:val="000000" w:themeColor="text1"/>
          <w:lang w:val="fr-FR"/>
        </w:rPr>
        <w:t>s réalisées ».  Le</w:t>
      </w:r>
      <w:r w:rsidR="00000A86" w:rsidRPr="0013711D">
        <w:rPr>
          <w:color w:val="000000" w:themeColor="text1"/>
          <w:lang w:val="fr-FR"/>
        </w:rPr>
        <w:t xml:space="preserve"> juge </w:t>
      </w:r>
      <w:r w:rsidR="00FD1230" w:rsidRPr="0013711D">
        <w:rPr>
          <w:color w:val="000000" w:themeColor="text1"/>
          <w:lang w:val="fr-FR"/>
        </w:rPr>
        <w:t xml:space="preserve">d’instruction a aussi </w:t>
      </w:r>
      <w:r w:rsidR="00000A86" w:rsidRPr="0013711D">
        <w:rPr>
          <w:color w:val="000000" w:themeColor="text1"/>
          <w:lang w:val="fr-FR"/>
        </w:rPr>
        <w:t xml:space="preserve">ordonné le dépôt </w:t>
      </w:r>
      <w:r w:rsidR="00FD1230" w:rsidRPr="0013711D">
        <w:rPr>
          <w:color w:val="000000" w:themeColor="text1"/>
          <w:lang w:val="fr-FR"/>
        </w:rPr>
        <w:t xml:space="preserve">du dossier au greffe </w:t>
      </w:r>
      <w:r w:rsidR="00000A86" w:rsidRPr="0013711D">
        <w:rPr>
          <w:color w:val="000000" w:themeColor="text1"/>
          <w:lang w:val="fr-FR"/>
        </w:rPr>
        <w:t>pour y être repris s’il survenait des charges nouvelles.</w:t>
      </w:r>
    </w:p>
    <w:p w14:paraId="54F2694F" w14:textId="4A713312" w:rsidR="00000A86" w:rsidRPr="0013711D" w:rsidRDefault="009E25FD" w:rsidP="00000A86">
      <w:pPr>
        <w:pStyle w:val="SingleTxtG"/>
        <w:rPr>
          <w:color w:val="000000" w:themeColor="text1"/>
          <w:lang w:val="fr-FR"/>
        </w:rPr>
      </w:pPr>
      <w:r>
        <w:rPr>
          <w:color w:val="000000" w:themeColor="text1"/>
          <w:lang w:val="fr-FR"/>
        </w:rPr>
        <w:t>2.6</w:t>
      </w:r>
      <w:r w:rsidR="00000A86" w:rsidRPr="0013711D">
        <w:rPr>
          <w:color w:val="000000" w:themeColor="text1"/>
          <w:lang w:val="fr-FR"/>
        </w:rPr>
        <w:tab/>
        <w:t xml:space="preserve">Le 27 juin 2013, l’auteur a interjeté appel de cette ordonnance devant la Cour d’appel de Paris qui l’a rejeté </w:t>
      </w:r>
      <w:r w:rsidR="00CC6A2A" w:rsidRPr="0013711D">
        <w:rPr>
          <w:color w:val="000000" w:themeColor="text1"/>
          <w:lang w:val="fr-FR"/>
        </w:rPr>
        <w:t xml:space="preserve">le 26 novembre 2013. L’auteur s’est pourvu en cassation contre cette ordonnance de la Cour d’appel. La Cour de Cassation l’a débouté de sa demande par un arrêt rendu </w:t>
      </w:r>
      <w:r w:rsidR="00000A86" w:rsidRPr="0013711D">
        <w:rPr>
          <w:color w:val="000000" w:themeColor="text1"/>
          <w:lang w:val="fr-FR"/>
        </w:rPr>
        <w:t xml:space="preserve">le 4 </w:t>
      </w:r>
      <w:r w:rsidR="00FD1230" w:rsidRPr="0013711D">
        <w:rPr>
          <w:color w:val="000000" w:themeColor="text1"/>
          <w:lang w:val="fr-FR"/>
        </w:rPr>
        <w:t>mars 2015 au motif que l’instruction était complète et qu’il n’existait pas de charges suffisantes contre quiconque d’avoir commis le crime reproché,</w:t>
      </w:r>
      <w:r w:rsidR="00CB187A">
        <w:rPr>
          <w:color w:val="000000" w:themeColor="text1"/>
          <w:lang w:val="fr-FR"/>
        </w:rPr>
        <w:t xml:space="preserve"> </w:t>
      </w:r>
      <w:r w:rsidR="00FD1230" w:rsidRPr="0013711D">
        <w:rPr>
          <w:color w:val="000000" w:themeColor="text1"/>
          <w:lang w:val="fr-FR"/>
        </w:rPr>
        <w:t>ni toute autre infraction.</w:t>
      </w:r>
    </w:p>
    <w:p w14:paraId="07BA2EF7" w14:textId="4FF71698" w:rsidR="00A408F4" w:rsidRPr="0013711D" w:rsidRDefault="006E5D89" w:rsidP="006E5D89">
      <w:pPr>
        <w:pStyle w:val="H23G"/>
        <w:rPr>
          <w:lang w:val="fr-FR"/>
        </w:rPr>
      </w:pPr>
      <w:r>
        <w:rPr>
          <w:lang w:val="fr-FR"/>
        </w:rPr>
        <w:tab/>
      </w:r>
      <w:r>
        <w:rPr>
          <w:lang w:val="fr-FR"/>
        </w:rPr>
        <w:tab/>
      </w:r>
      <w:r w:rsidR="00A408F4" w:rsidRPr="0013711D">
        <w:rPr>
          <w:lang w:val="fr-FR"/>
        </w:rPr>
        <w:t>Teneur de la plainte</w:t>
      </w:r>
      <w:r w:rsidR="00DD7D2C" w:rsidRPr="0013711D">
        <w:rPr>
          <w:lang w:val="fr-FR"/>
        </w:rPr>
        <w:t xml:space="preserve"> </w:t>
      </w:r>
      <w:r w:rsidR="002C2B54" w:rsidRPr="0013711D">
        <w:rPr>
          <w:lang w:val="fr-FR"/>
        </w:rPr>
        <w:t xml:space="preserve"> </w:t>
      </w:r>
    </w:p>
    <w:p w14:paraId="733C934F" w14:textId="775FD160" w:rsidR="00A408F4" w:rsidRPr="0013711D" w:rsidRDefault="00A408F4" w:rsidP="00DD7D2C">
      <w:pPr>
        <w:pStyle w:val="SingleTxtG"/>
        <w:rPr>
          <w:color w:val="000000" w:themeColor="text1"/>
          <w:lang w:val="fr-FR"/>
        </w:rPr>
      </w:pPr>
      <w:r w:rsidRPr="0013711D">
        <w:rPr>
          <w:color w:val="000000" w:themeColor="text1"/>
          <w:lang w:val="fr-FR"/>
        </w:rPr>
        <w:t>3.1</w:t>
      </w:r>
      <w:r w:rsidRPr="0013711D">
        <w:rPr>
          <w:color w:val="000000" w:themeColor="text1"/>
          <w:lang w:val="fr-FR"/>
        </w:rPr>
        <w:tab/>
        <w:t xml:space="preserve">L’auteur dénonce une violation </w:t>
      </w:r>
      <w:r w:rsidR="00DD7D2C" w:rsidRPr="0013711D">
        <w:rPr>
          <w:color w:val="000000" w:themeColor="text1"/>
          <w:lang w:val="fr-FR"/>
        </w:rPr>
        <w:t xml:space="preserve">des articles 2, paragraphe 3, et 14, paragraphe 1, du Pacte par la </w:t>
      </w:r>
      <w:r w:rsidRPr="0013711D">
        <w:rPr>
          <w:color w:val="000000" w:themeColor="text1"/>
          <w:lang w:val="fr-FR"/>
        </w:rPr>
        <w:t>France pour un manquement d’équ</w:t>
      </w:r>
      <w:r w:rsidR="002E2A22" w:rsidRPr="0013711D">
        <w:rPr>
          <w:color w:val="000000" w:themeColor="text1"/>
          <w:lang w:val="fr-FR"/>
        </w:rPr>
        <w:t>ité dans la procédure devant le j</w:t>
      </w:r>
      <w:r w:rsidRPr="0013711D">
        <w:rPr>
          <w:color w:val="000000" w:themeColor="text1"/>
          <w:lang w:val="fr-FR"/>
        </w:rPr>
        <w:t xml:space="preserve">uge d’instruction. </w:t>
      </w:r>
      <w:r w:rsidR="00DD7D2C" w:rsidRPr="0013711D">
        <w:rPr>
          <w:color w:val="000000" w:themeColor="text1"/>
          <w:lang w:val="fr-FR"/>
        </w:rPr>
        <w:t xml:space="preserve">L’auteur estime que seulement </w:t>
      </w:r>
      <w:r w:rsidR="002E2A22" w:rsidRPr="0013711D">
        <w:rPr>
          <w:color w:val="000000" w:themeColor="text1"/>
          <w:lang w:val="fr-FR"/>
        </w:rPr>
        <w:t>l’</w:t>
      </w:r>
      <w:r w:rsidR="00DD7D2C" w:rsidRPr="0013711D">
        <w:rPr>
          <w:color w:val="000000" w:themeColor="text1"/>
          <w:lang w:val="fr-FR"/>
        </w:rPr>
        <w:t xml:space="preserve">un </w:t>
      </w:r>
      <w:r w:rsidRPr="0013711D">
        <w:rPr>
          <w:color w:val="000000" w:themeColor="text1"/>
          <w:lang w:val="fr-FR"/>
        </w:rPr>
        <w:t xml:space="preserve">des témoins qu’il avait désignés dans sa plainte a été entendu, sans </w:t>
      </w:r>
      <w:r w:rsidR="00DD7D2C" w:rsidRPr="0013711D">
        <w:rPr>
          <w:color w:val="000000" w:themeColor="text1"/>
          <w:lang w:val="fr-FR"/>
        </w:rPr>
        <w:t xml:space="preserve">aucune explication de ce choix de la part </w:t>
      </w:r>
      <w:r w:rsidR="002E2A22" w:rsidRPr="0013711D">
        <w:rPr>
          <w:color w:val="000000" w:themeColor="text1"/>
          <w:lang w:val="fr-FR"/>
        </w:rPr>
        <w:t>du magistrat instructeur</w:t>
      </w:r>
      <w:r w:rsidRPr="0013711D">
        <w:rPr>
          <w:color w:val="000000" w:themeColor="text1"/>
          <w:lang w:val="fr-FR"/>
        </w:rPr>
        <w:t xml:space="preserve">. </w:t>
      </w:r>
      <w:r w:rsidR="00DD7D2C" w:rsidRPr="0013711D">
        <w:rPr>
          <w:color w:val="000000" w:themeColor="text1"/>
          <w:lang w:val="fr-FR"/>
        </w:rPr>
        <w:lastRenderedPageBreak/>
        <w:t xml:space="preserve">L’auteur </w:t>
      </w:r>
      <w:r w:rsidR="00CB187A">
        <w:rPr>
          <w:color w:val="000000" w:themeColor="text1"/>
          <w:lang w:val="fr-FR"/>
        </w:rPr>
        <w:t xml:space="preserve">soumet que le </w:t>
      </w:r>
      <w:r w:rsidR="00DD7D2C" w:rsidRPr="0013711D">
        <w:rPr>
          <w:color w:val="000000" w:themeColor="text1"/>
          <w:lang w:val="fr-FR"/>
        </w:rPr>
        <w:t>laps de temps écoulé</w:t>
      </w:r>
      <w:r w:rsidR="00F17A09" w:rsidRPr="0013711D">
        <w:rPr>
          <w:color w:val="000000" w:themeColor="text1"/>
          <w:lang w:val="fr-FR"/>
        </w:rPr>
        <w:t xml:space="preserve"> depuis son viol</w:t>
      </w:r>
      <w:r w:rsidR="00E75270" w:rsidRPr="0013711D">
        <w:rPr>
          <w:color w:val="000000" w:themeColor="text1"/>
          <w:lang w:val="fr-FR"/>
        </w:rPr>
        <w:t>,</w:t>
      </w:r>
      <w:r w:rsidR="00F17A09" w:rsidRPr="0013711D">
        <w:rPr>
          <w:color w:val="000000" w:themeColor="text1"/>
          <w:lang w:val="fr-FR"/>
        </w:rPr>
        <w:t xml:space="preserve"> </w:t>
      </w:r>
      <w:r w:rsidR="002E2A22" w:rsidRPr="0013711D">
        <w:rPr>
          <w:color w:val="000000" w:themeColor="text1"/>
          <w:lang w:val="fr-FR"/>
        </w:rPr>
        <w:t>survenu au cours de sa minorité</w:t>
      </w:r>
      <w:r w:rsidR="00E75270" w:rsidRPr="0013711D">
        <w:rPr>
          <w:color w:val="000000" w:themeColor="text1"/>
          <w:lang w:val="fr-FR"/>
        </w:rPr>
        <w:t>,</w:t>
      </w:r>
      <w:r w:rsidR="00F17A09" w:rsidRPr="0013711D">
        <w:rPr>
          <w:color w:val="000000" w:themeColor="text1"/>
          <w:lang w:val="fr-FR"/>
        </w:rPr>
        <w:t xml:space="preserve"> engendre une </w:t>
      </w:r>
      <w:r w:rsidRPr="0013711D">
        <w:rPr>
          <w:color w:val="000000" w:themeColor="text1"/>
          <w:lang w:val="fr-FR"/>
        </w:rPr>
        <w:t xml:space="preserve">obligation </w:t>
      </w:r>
      <w:r w:rsidR="00DD7D2C" w:rsidRPr="0013711D">
        <w:rPr>
          <w:color w:val="000000" w:themeColor="text1"/>
          <w:lang w:val="fr-FR"/>
        </w:rPr>
        <w:t xml:space="preserve">pour la justice </w:t>
      </w:r>
      <w:r w:rsidRPr="0013711D">
        <w:rPr>
          <w:color w:val="000000" w:themeColor="text1"/>
          <w:lang w:val="fr-FR"/>
        </w:rPr>
        <w:t xml:space="preserve">d’exploiter tous les éléments </w:t>
      </w:r>
      <w:r w:rsidR="00DD7D2C" w:rsidRPr="0013711D">
        <w:rPr>
          <w:color w:val="000000" w:themeColor="text1"/>
          <w:lang w:val="fr-FR"/>
        </w:rPr>
        <w:t xml:space="preserve">qui lui sont soumis, y compris ses déclarations qui, dit-il, </w:t>
      </w:r>
      <w:r w:rsidRPr="0013711D">
        <w:rPr>
          <w:color w:val="000000" w:themeColor="text1"/>
          <w:lang w:val="fr-FR"/>
        </w:rPr>
        <w:t>n’ont pas été minutieusement examinées.</w:t>
      </w:r>
    </w:p>
    <w:p w14:paraId="75EC29E5" w14:textId="0A43395E" w:rsidR="00A408F4" w:rsidRPr="0013711D" w:rsidRDefault="00A408F4" w:rsidP="00A408F4">
      <w:pPr>
        <w:pStyle w:val="SingleTxtG"/>
        <w:rPr>
          <w:color w:val="000000" w:themeColor="text1"/>
          <w:lang w:val="fr-FR"/>
        </w:rPr>
      </w:pPr>
      <w:r w:rsidRPr="0013711D">
        <w:rPr>
          <w:color w:val="000000" w:themeColor="text1"/>
          <w:lang w:val="fr-FR"/>
        </w:rPr>
        <w:t>3.2</w:t>
      </w:r>
      <w:r w:rsidRPr="0013711D">
        <w:rPr>
          <w:color w:val="000000" w:themeColor="text1"/>
          <w:lang w:val="fr-FR"/>
        </w:rPr>
        <w:tab/>
        <w:t>L’auteur considère que la décision de refus d</w:t>
      </w:r>
      <w:r w:rsidR="00DD7D2C" w:rsidRPr="0013711D">
        <w:rPr>
          <w:color w:val="000000" w:themeColor="text1"/>
          <w:lang w:val="fr-FR"/>
        </w:rPr>
        <w:t xml:space="preserve">e prolongation de l’instruction, en dépit de son absence aux </w:t>
      </w:r>
      <w:r w:rsidRPr="0013711D">
        <w:rPr>
          <w:color w:val="000000" w:themeColor="text1"/>
          <w:lang w:val="fr-FR"/>
        </w:rPr>
        <w:t>confrontations pour des raisons de santé</w:t>
      </w:r>
      <w:r w:rsidR="00DD7D2C" w:rsidRPr="0013711D">
        <w:rPr>
          <w:color w:val="000000" w:themeColor="text1"/>
          <w:lang w:val="fr-FR"/>
        </w:rPr>
        <w:t>,</w:t>
      </w:r>
      <w:r w:rsidRPr="0013711D">
        <w:rPr>
          <w:color w:val="000000" w:themeColor="text1"/>
          <w:lang w:val="fr-FR"/>
        </w:rPr>
        <w:t xml:space="preserve"> constitue une violation </w:t>
      </w:r>
      <w:r w:rsidR="00DD7D2C" w:rsidRPr="0013711D">
        <w:rPr>
          <w:color w:val="000000" w:themeColor="text1"/>
          <w:lang w:val="fr-FR"/>
        </w:rPr>
        <w:t xml:space="preserve">de son droit </w:t>
      </w:r>
      <w:r w:rsidRPr="0013711D">
        <w:rPr>
          <w:color w:val="000000" w:themeColor="text1"/>
          <w:lang w:val="fr-FR"/>
        </w:rPr>
        <w:t>à être entendu équitablement.</w:t>
      </w:r>
    </w:p>
    <w:p w14:paraId="5AB4BCEC" w14:textId="3A5119DA" w:rsidR="00CB5190" w:rsidRPr="0013711D" w:rsidRDefault="00CB5190" w:rsidP="00CB5190">
      <w:pPr>
        <w:pStyle w:val="H23G"/>
        <w:rPr>
          <w:color w:val="000000" w:themeColor="text1"/>
        </w:rPr>
      </w:pPr>
      <w:r w:rsidRPr="0013711D">
        <w:rPr>
          <w:color w:val="000000" w:themeColor="text1"/>
          <w:lang w:val="fr-FR"/>
        </w:rPr>
        <w:tab/>
      </w:r>
      <w:r w:rsidRPr="0013711D">
        <w:rPr>
          <w:color w:val="000000" w:themeColor="text1"/>
          <w:lang w:val="fr-FR"/>
        </w:rPr>
        <w:tab/>
        <w:t>Observations de l’État partie sur la recevabilité</w:t>
      </w:r>
    </w:p>
    <w:p w14:paraId="66D9B74F" w14:textId="264FF615" w:rsidR="00CB5190" w:rsidRPr="0013711D" w:rsidRDefault="00CB5190" w:rsidP="00374E07">
      <w:pPr>
        <w:pStyle w:val="SingleTxtG"/>
        <w:rPr>
          <w:color w:val="000000" w:themeColor="text1"/>
          <w:lang w:val="fr-FR"/>
        </w:rPr>
      </w:pPr>
      <w:r w:rsidRPr="0013711D">
        <w:rPr>
          <w:color w:val="000000" w:themeColor="text1"/>
          <w:lang w:val="fr-FR"/>
        </w:rPr>
        <w:t>4.1</w:t>
      </w:r>
      <w:r w:rsidRPr="0013711D">
        <w:rPr>
          <w:color w:val="000000" w:themeColor="text1"/>
          <w:lang w:val="fr-FR"/>
        </w:rPr>
        <w:tab/>
      </w:r>
      <w:r w:rsidR="00374E07" w:rsidRPr="0013711D">
        <w:rPr>
          <w:color w:val="000000" w:themeColor="text1"/>
          <w:lang w:val="fr-FR"/>
        </w:rPr>
        <w:t>Le 4 mai 2018</w:t>
      </w:r>
      <w:r w:rsidRPr="0013711D">
        <w:rPr>
          <w:color w:val="000000" w:themeColor="text1"/>
          <w:lang w:val="fr-FR"/>
        </w:rPr>
        <w:t xml:space="preserve">, l’Etat partie a soumis ses observations sur la recevabilité de la communication. </w:t>
      </w:r>
      <w:r w:rsidR="00866FD7" w:rsidRPr="0013711D">
        <w:rPr>
          <w:color w:val="000000" w:themeColor="text1"/>
          <w:lang w:val="fr-FR"/>
        </w:rPr>
        <w:t>Il estime que le Comité doit déclarer la communication irrecevable pour deux raisons majeures : d’une part</w:t>
      </w:r>
      <w:r w:rsidR="00CB187A">
        <w:rPr>
          <w:color w:val="000000" w:themeColor="text1"/>
          <w:lang w:val="fr-FR"/>
        </w:rPr>
        <w:t>,</w:t>
      </w:r>
      <w:r w:rsidR="00866FD7" w:rsidRPr="0013711D">
        <w:rPr>
          <w:color w:val="000000" w:themeColor="text1"/>
          <w:lang w:val="fr-FR"/>
        </w:rPr>
        <w:t xml:space="preserve"> l’article 14 (1) soulevé par l’auteur n’est pas applicable en l’espèce ; d’autre part, en n’ayant pas utilisé les provisions de l’article </w:t>
      </w:r>
      <w:r w:rsidR="001B448A" w:rsidRPr="0013711D">
        <w:rPr>
          <w:color w:val="000000" w:themeColor="text1"/>
          <w:lang w:val="fr-FR"/>
        </w:rPr>
        <w:t>L.141-1 du Code de l’organisation judiciaire</w:t>
      </w:r>
      <w:r w:rsidR="00866FD7" w:rsidRPr="0013711D">
        <w:rPr>
          <w:color w:val="000000" w:themeColor="text1"/>
          <w:lang w:val="fr-FR"/>
        </w:rPr>
        <w:t xml:space="preserve">, l’auteur n’a pas épuisé toutes les voies de recours </w:t>
      </w:r>
      <w:r w:rsidR="00E75270" w:rsidRPr="0013711D">
        <w:rPr>
          <w:color w:val="000000" w:themeColor="text1"/>
          <w:lang w:val="fr-FR"/>
        </w:rPr>
        <w:t xml:space="preserve">internes </w:t>
      </w:r>
      <w:r w:rsidR="00866FD7" w:rsidRPr="0013711D">
        <w:rPr>
          <w:color w:val="000000" w:themeColor="text1"/>
          <w:lang w:val="fr-FR"/>
        </w:rPr>
        <w:t>disponibles.</w:t>
      </w:r>
    </w:p>
    <w:p w14:paraId="285289D0" w14:textId="1B033AD1" w:rsidR="00614738" w:rsidRPr="0013711D" w:rsidRDefault="00ED7245" w:rsidP="000E48DC">
      <w:pPr>
        <w:pStyle w:val="SingleTxtG"/>
        <w:rPr>
          <w:color w:val="000000" w:themeColor="text1"/>
          <w:lang w:val="fr-FR"/>
        </w:rPr>
      </w:pPr>
      <w:r w:rsidRPr="00920F0D">
        <w:rPr>
          <w:color w:val="000000" w:themeColor="text1"/>
          <w:lang w:val="fr-FR"/>
        </w:rPr>
        <w:t>4.2</w:t>
      </w:r>
      <w:r w:rsidRPr="00920F0D">
        <w:rPr>
          <w:color w:val="000000" w:themeColor="text1"/>
          <w:lang w:val="fr-FR"/>
        </w:rPr>
        <w:tab/>
      </w:r>
      <w:r w:rsidR="00866FD7" w:rsidRPr="00920F0D">
        <w:rPr>
          <w:color w:val="000000" w:themeColor="text1"/>
          <w:lang w:val="fr-FR"/>
        </w:rPr>
        <w:t xml:space="preserve">En ce qui concerne l’irrecevabilité </w:t>
      </w:r>
      <w:proofErr w:type="spellStart"/>
      <w:r w:rsidR="00866FD7" w:rsidRPr="00920F0D">
        <w:rPr>
          <w:i/>
          <w:color w:val="000000" w:themeColor="text1"/>
          <w:lang w:val="fr-FR"/>
        </w:rPr>
        <w:t>ratione</w:t>
      </w:r>
      <w:proofErr w:type="spellEnd"/>
      <w:r w:rsidR="00866FD7" w:rsidRPr="00920F0D">
        <w:rPr>
          <w:i/>
          <w:color w:val="000000" w:themeColor="text1"/>
          <w:lang w:val="fr-FR"/>
        </w:rPr>
        <w:t xml:space="preserve"> materiae</w:t>
      </w:r>
      <w:r w:rsidR="00866FD7" w:rsidRPr="0013711D">
        <w:rPr>
          <w:color w:val="000000" w:themeColor="text1"/>
          <w:lang w:val="fr-FR"/>
        </w:rPr>
        <w:t xml:space="preserve"> de la communication au regard de l’article 14(1) du Pacte, l’Etat parti</w:t>
      </w:r>
      <w:r w:rsidR="00F17A09" w:rsidRPr="0013711D">
        <w:rPr>
          <w:color w:val="000000" w:themeColor="text1"/>
          <w:lang w:val="fr-FR"/>
        </w:rPr>
        <w:t>e</w:t>
      </w:r>
      <w:r w:rsidR="00866FD7" w:rsidRPr="0013711D">
        <w:rPr>
          <w:color w:val="000000" w:themeColor="text1"/>
          <w:lang w:val="fr-FR"/>
        </w:rPr>
        <w:t xml:space="preserve"> </w:t>
      </w:r>
      <w:r w:rsidR="00F17A09" w:rsidRPr="0013711D">
        <w:rPr>
          <w:color w:val="000000" w:themeColor="text1"/>
          <w:lang w:val="fr-FR"/>
        </w:rPr>
        <w:t>soumet</w:t>
      </w:r>
      <w:r w:rsidR="00866FD7" w:rsidRPr="0013711D">
        <w:rPr>
          <w:color w:val="000000" w:themeColor="text1"/>
          <w:lang w:val="fr-FR"/>
        </w:rPr>
        <w:t xml:space="preserve"> que l’auteur n’a pas pris la peine de montrer le lien </w:t>
      </w:r>
      <w:r w:rsidR="00614738" w:rsidRPr="0013711D">
        <w:rPr>
          <w:color w:val="000000" w:themeColor="text1"/>
          <w:lang w:val="fr-FR"/>
        </w:rPr>
        <w:t>entre</w:t>
      </w:r>
      <w:r w:rsidR="00866FD7" w:rsidRPr="0013711D">
        <w:rPr>
          <w:color w:val="000000" w:themeColor="text1"/>
          <w:lang w:val="fr-FR"/>
        </w:rPr>
        <w:t xml:space="preserve"> cet article et la procédure menée par le juge d’instruction dans le cadre d’une plainte avec constitution de partie civile, ni quelle garantie procédurale aurait été méconnue. </w:t>
      </w:r>
      <w:r w:rsidR="00614738" w:rsidRPr="0013711D">
        <w:rPr>
          <w:color w:val="000000" w:themeColor="text1"/>
          <w:lang w:val="fr-FR"/>
        </w:rPr>
        <w:t xml:space="preserve">L’Etat partie </w:t>
      </w:r>
      <w:r w:rsidR="000E48DC" w:rsidRPr="0013711D">
        <w:rPr>
          <w:color w:val="000000" w:themeColor="text1"/>
          <w:lang w:val="fr-FR"/>
        </w:rPr>
        <w:t xml:space="preserve">reconnait </w:t>
      </w:r>
      <w:r w:rsidRPr="0013711D">
        <w:rPr>
          <w:color w:val="000000" w:themeColor="text1"/>
          <w:lang w:val="fr-FR"/>
        </w:rPr>
        <w:t xml:space="preserve">toutefois </w:t>
      </w:r>
      <w:r w:rsidR="000E48DC" w:rsidRPr="0013711D">
        <w:rPr>
          <w:color w:val="000000" w:themeColor="text1"/>
          <w:lang w:val="fr-FR"/>
        </w:rPr>
        <w:t xml:space="preserve">que, dans son volet civil, </w:t>
      </w:r>
      <w:r w:rsidR="00E75270" w:rsidRPr="0013711D">
        <w:rPr>
          <w:color w:val="000000" w:themeColor="text1"/>
          <w:lang w:val="fr-FR"/>
        </w:rPr>
        <w:t>l’</w:t>
      </w:r>
      <w:r w:rsidR="00614738" w:rsidRPr="0013711D">
        <w:rPr>
          <w:color w:val="000000" w:themeColor="text1"/>
          <w:lang w:val="fr-FR"/>
        </w:rPr>
        <w:t>article 14</w:t>
      </w:r>
      <w:r w:rsidR="000E48DC" w:rsidRPr="0013711D">
        <w:rPr>
          <w:color w:val="000000" w:themeColor="text1"/>
          <w:lang w:val="fr-FR"/>
        </w:rPr>
        <w:t xml:space="preserve"> (1) du Pacte, qui est le pendant de l’article 6 (1) de la Convention européenne des droits de l’homme, </w:t>
      </w:r>
      <w:r w:rsidR="00614738" w:rsidRPr="0013711D">
        <w:rPr>
          <w:color w:val="000000" w:themeColor="text1"/>
          <w:lang w:val="fr-FR"/>
        </w:rPr>
        <w:t xml:space="preserve">est applicable à la conduite de </w:t>
      </w:r>
      <w:r w:rsidR="00E75270" w:rsidRPr="0013711D">
        <w:rPr>
          <w:color w:val="000000" w:themeColor="text1"/>
          <w:lang w:val="fr-FR"/>
        </w:rPr>
        <w:t>l’information</w:t>
      </w:r>
      <w:r w:rsidR="00614738" w:rsidRPr="0013711D">
        <w:rPr>
          <w:color w:val="000000" w:themeColor="text1"/>
          <w:lang w:val="fr-FR"/>
        </w:rPr>
        <w:t xml:space="preserve"> par le juge d’instruction, dans le cadre d’une plainte avec constitution de partie civile</w:t>
      </w:r>
      <w:r w:rsidR="000E48DC" w:rsidRPr="0013711D">
        <w:rPr>
          <w:color w:val="000000" w:themeColor="text1"/>
          <w:lang w:val="fr-FR"/>
        </w:rPr>
        <w:t>, comme l’a déjà admis la Cour européenne des droits de l’homme dans</w:t>
      </w:r>
      <w:r w:rsidR="00614738" w:rsidRPr="0013711D">
        <w:rPr>
          <w:color w:val="000000" w:themeColor="text1"/>
          <w:lang w:val="fr-FR"/>
        </w:rPr>
        <w:t xml:space="preserve"> l’arrêt Perez contre </w:t>
      </w:r>
      <w:r w:rsidR="000E48DC" w:rsidRPr="0013711D">
        <w:rPr>
          <w:color w:val="000000" w:themeColor="text1"/>
          <w:lang w:val="fr-FR"/>
        </w:rPr>
        <w:t>France.</w:t>
      </w:r>
      <w:r w:rsidR="00BA6735">
        <w:rPr>
          <w:color w:val="000000" w:themeColor="text1"/>
          <w:lang w:val="fr-FR"/>
        </w:rPr>
        <w:t xml:space="preserve"> </w:t>
      </w:r>
      <w:r w:rsidR="00614738" w:rsidRPr="0013711D">
        <w:rPr>
          <w:rStyle w:val="FootnoteReference"/>
          <w:color w:val="000000" w:themeColor="text1"/>
        </w:rPr>
        <w:footnoteReference w:id="3"/>
      </w:r>
      <w:r w:rsidR="000E48DC" w:rsidRPr="0013711D">
        <w:rPr>
          <w:color w:val="000000" w:themeColor="text1"/>
          <w:lang w:val="fr-FR"/>
        </w:rPr>
        <w:t xml:space="preserve"> </w:t>
      </w:r>
      <w:r w:rsidR="00A97F43" w:rsidRPr="0013711D">
        <w:rPr>
          <w:color w:val="000000" w:themeColor="text1"/>
          <w:lang w:val="fr-FR"/>
        </w:rPr>
        <w:t xml:space="preserve">L’Etat partie </w:t>
      </w:r>
      <w:r w:rsidR="000E48DC" w:rsidRPr="0013711D">
        <w:rPr>
          <w:color w:val="000000" w:themeColor="text1"/>
          <w:lang w:val="fr-FR"/>
        </w:rPr>
        <w:t>reconnait</w:t>
      </w:r>
      <w:r w:rsidR="00A97F43" w:rsidRPr="0013711D">
        <w:rPr>
          <w:color w:val="000000" w:themeColor="text1"/>
          <w:lang w:val="fr-FR"/>
        </w:rPr>
        <w:t xml:space="preserve"> également que certaines des garanties procédurales prévues </w:t>
      </w:r>
      <w:r w:rsidR="000E48DC" w:rsidRPr="0013711D">
        <w:rPr>
          <w:color w:val="000000" w:themeColor="text1"/>
          <w:lang w:val="fr-FR"/>
        </w:rPr>
        <w:t>à</w:t>
      </w:r>
      <w:r w:rsidR="00A97F43" w:rsidRPr="0013711D">
        <w:rPr>
          <w:color w:val="000000" w:themeColor="text1"/>
          <w:lang w:val="fr-FR"/>
        </w:rPr>
        <w:t xml:space="preserve"> l’article 6</w:t>
      </w:r>
      <w:r w:rsidR="00CB187A">
        <w:rPr>
          <w:color w:val="000000" w:themeColor="text1"/>
          <w:lang w:val="fr-FR"/>
        </w:rPr>
        <w:t xml:space="preserve"> </w:t>
      </w:r>
      <w:r w:rsidR="00A97F43" w:rsidRPr="0013711D">
        <w:rPr>
          <w:color w:val="000000" w:themeColor="text1"/>
          <w:lang w:val="fr-FR"/>
        </w:rPr>
        <w:t xml:space="preserve">(1) de la Convention </w:t>
      </w:r>
      <w:r w:rsidR="000E48DC" w:rsidRPr="0013711D">
        <w:rPr>
          <w:color w:val="000000" w:themeColor="text1"/>
          <w:lang w:val="fr-FR"/>
        </w:rPr>
        <w:t>européenne des droits de l’homme</w:t>
      </w:r>
      <w:r w:rsidR="00A97F43" w:rsidRPr="0013711D">
        <w:rPr>
          <w:color w:val="000000" w:themeColor="text1"/>
          <w:lang w:val="fr-FR"/>
        </w:rPr>
        <w:t>,</w:t>
      </w:r>
      <w:r w:rsidR="00CB187A">
        <w:rPr>
          <w:color w:val="000000" w:themeColor="text1"/>
          <w:lang w:val="fr-FR"/>
        </w:rPr>
        <w:t xml:space="preserve"> correspondant à l’article 14 (1) du Pacte,</w:t>
      </w:r>
      <w:r w:rsidR="00A97F43" w:rsidRPr="0013711D">
        <w:rPr>
          <w:color w:val="000000" w:themeColor="text1"/>
          <w:lang w:val="fr-FR"/>
        </w:rPr>
        <w:t xml:space="preserve"> liées notamment aux exigences </w:t>
      </w:r>
      <w:r w:rsidR="000E48DC" w:rsidRPr="0013711D">
        <w:rPr>
          <w:color w:val="000000" w:themeColor="text1"/>
          <w:lang w:val="fr-FR"/>
        </w:rPr>
        <w:t xml:space="preserve">du droit à un procès équitable, </w:t>
      </w:r>
      <w:r w:rsidR="00A97F43" w:rsidRPr="0013711D">
        <w:rPr>
          <w:color w:val="000000" w:themeColor="text1"/>
          <w:lang w:val="fr-FR"/>
        </w:rPr>
        <w:t>s’appliquent au stade de l’instruction menée par le juge d’instruction dans la mesure où ce magistrat instruit à charge et à décharge</w:t>
      </w:r>
      <w:r w:rsidR="002E2A22" w:rsidRPr="0013711D">
        <w:rPr>
          <w:color w:val="000000" w:themeColor="text1"/>
          <w:lang w:val="fr-FR"/>
        </w:rPr>
        <w:t>.</w:t>
      </w:r>
      <w:r w:rsidR="002E2A22" w:rsidRPr="0013711D">
        <w:rPr>
          <w:rStyle w:val="FootnoteReference"/>
          <w:color w:val="000000" w:themeColor="text1"/>
        </w:rPr>
        <w:footnoteReference w:id="4"/>
      </w:r>
    </w:p>
    <w:p w14:paraId="5C618C28" w14:textId="1CC8DF30" w:rsidR="00A97F43" w:rsidRPr="0013711D" w:rsidRDefault="00ED7245" w:rsidP="00D70D55">
      <w:pPr>
        <w:pStyle w:val="SingleTxtG"/>
        <w:rPr>
          <w:color w:val="000000" w:themeColor="text1"/>
          <w:lang w:val="fr-FR"/>
        </w:rPr>
      </w:pPr>
      <w:r w:rsidRPr="0013711D">
        <w:rPr>
          <w:color w:val="000000" w:themeColor="text1"/>
          <w:lang w:val="fr-FR"/>
        </w:rPr>
        <w:t>4.3</w:t>
      </w:r>
      <w:r w:rsidRPr="0013711D">
        <w:rPr>
          <w:color w:val="000000" w:themeColor="text1"/>
          <w:lang w:val="fr-FR"/>
        </w:rPr>
        <w:tab/>
      </w:r>
      <w:r w:rsidR="00A97F43" w:rsidRPr="0013711D">
        <w:rPr>
          <w:color w:val="000000" w:themeColor="text1"/>
          <w:lang w:val="fr-FR"/>
        </w:rPr>
        <w:t xml:space="preserve">L’Etat partie estime néanmoins que dans la </w:t>
      </w:r>
      <w:r w:rsidR="00754854" w:rsidRPr="0013711D">
        <w:rPr>
          <w:color w:val="000000" w:themeColor="text1"/>
          <w:lang w:val="fr-FR"/>
        </w:rPr>
        <w:t>majeure</w:t>
      </w:r>
      <w:r w:rsidR="00A97F43" w:rsidRPr="0013711D">
        <w:rPr>
          <w:color w:val="000000" w:themeColor="text1"/>
          <w:lang w:val="fr-FR"/>
        </w:rPr>
        <w:t xml:space="preserve"> partie de ses allégations </w:t>
      </w:r>
      <w:r w:rsidR="00DB770C">
        <w:rPr>
          <w:color w:val="000000" w:themeColor="text1"/>
          <w:lang w:val="fr-FR"/>
        </w:rPr>
        <w:t>l’auteur</w:t>
      </w:r>
      <w:r w:rsidR="00A97F43" w:rsidRPr="0013711D">
        <w:rPr>
          <w:color w:val="000000" w:themeColor="text1"/>
          <w:lang w:val="fr-FR"/>
        </w:rPr>
        <w:t xml:space="preserve"> entend se prévaloir des garanties prévues au 3</w:t>
      </w:r>
      <w:r w:rsidR="00A97F43" w:rsidRPr="0013711D">
        <w:rPr>
          <w:color w:val="000000" w:themeColor="text1"/>
          <w:vertAlign w:val="superscript"/>
          <w:lang w:val="fr-FR"/>
        </w:rPr>
        <w:t>e</w:t>
      </w:r>
      <w:r w:rsidR="001B448A" w:rsidRPr="0013711D">
        <w:rPr>
          <w:color w:val="000000" w:themeColor="text1"/>
          <w:lang w:val="fr-FR"/>
        </w:rPr>
        <w:t xml:space="preserve"> alinéa de l’article 14</w:t>
      </w:r>
      <w:r w:rsidR="000E48DC" w:rsidRPr="0013711D">
        <w:rPr>
          <w:color w:val="000000" w:themeColor="text1"/>
          <w:lang w:val="fr-FR"/>
        </w:rPr>
        <w:t xml:space="preserve">, </w:t>
      </w:r>
      <w:r w:rsidR="00A97F43" w:rsidRPr="0013711D">
        <w:rPr>
          <w:color w:val="000000" w:themeColor="text1"/>
          <w:lang w:val="fr-FR"/>
        </w:rPr>
        <w:t xml:space="preserve">au lieu de </w:t>
      </w:r>
      <w:r w:rsidR="00754854" w:rsidRPr="0013711D">
        <w:rPr>
          <w:color w:val="000000" w:themeColor="text1"/>
          <w:lang w:val="fr-FR"/>
        </w:rPr>
        <w:t>développer</w:t>
      </w:r>
      <w:r w:rsidR="00A97F43" w:rsidRPr="0013711D">
        <w:rPr>
          <w:color w:val="000000" w:themeColor="text1"/>
          <w:lang w:val="fr-FR"/>
        </w:rPr>
        <w:t xml:space="preserve"> ses moyens au regard de l’article 14 (1)</w:t>
      </w:r>
      <w:r w:rsidR="000E48DC" w:rsidRPr="0013711D">
        <w:rPr>
          <w:color w:val="000000" w:themeColor="text1"/>
          <w:lang w:val="fr-FR"/>
        </w:rPr>
        <w:t xml:space="preserve"> du Pacte</w:t>
      </w:r>
      <w:r w:rsidR="00A97F43" w:rsidRPr="0013711D">
        <w:rPr>
          <w:color w:val="000000" w:themeColor="text1"/>
          <w:lang w:val="fr-FR"/>
        </w:rPr>
        <w:t xml:space="preserve">. </w:t>
      </w:r>
      <w:r w:rsidR="00754854" w:rsidRPr="0013711D">
        <w:rPr>
          <w:color w:val="000000" w:themeColor="text1"/>
          <w:lang w:val="fr-FR"/>
        </w:rPr>
        <w:t xml:space="preserve">L’Etat partie soumet que dans sa communication, l’auteur critique l’absence de confrontation avec les </w:t>
      </w:r>
      <w:r w:rsidR="000E48DC" w:rsidRPr="0013711D">
        <w:rPr>
          <w:color w:val="000000" w:themeColor="text1"/>
          <w:lang w:val="fr-FR"/>
        </w:rPr>
        <w:t xml:space="preserve">mis en cause </w:t>
      </w:r>
      <w:r w:rsidR="00754854" w:rsidRPr="0013711D">
        <w:rPr>
          <w:color w:val="000000" w:themeColor="text1"/>
          <w:lang w:val="fr-FR"/>
        </w:rPr>
        <w:t>et que cette situation était contradictoire avec le principe posé par la Cour de Cassation sur le droit de tout accusé à interroger ou à faire interroger les témoins à charge et à décharge dans les mêmes conditions. Ce qui constitue, selon l’Etat partie la traduction de l’</w:t>
      </w:r>
      <w:r w:rsidR="009B6912" w:rsidRPr="0013711D">
        <w:rPr>
          <w:color w:val="000000" w:themeColor="text1"/>
          <w:lang w:val="fr-FR"/>
        </w:rPr>
        <w:t>alinéa</w:t>
      </w:r>
      <w:r w:rsidR="00754854" w:rsidRPr="0013711D">
        <w:rPr>
          <w:color w:val="000000" w:themeColor="text1"/>
          <w:lang w:val="fr-FR"/>
        </w:rPr>
        <w:t xml:space="preserve"> (</w:t>
      </w:r>
      <w:proofErr w:type="gramStart"/>
      <w:r w:rsidR="00754854" w:rsidRPr="0013711D">
        <w:rPr>
          <w:color w:val="000000" w:themeColor="text1"/>
          <w:lang w:val="fr-FR"/>
        </w:rPr>
        <w:t>e )</w:t>
      </w:r>
      <w:proofErr w:type="gramEnd"/>
      <w:r w:rsidR="00754854" w:rsidRPr="0013711D">
        <w:rPr>
          <w:color w:val="000000" w:themeColor="text1"/>
          <w:lang w:val="fr-FR"/>
        </w:rPr>
        <w:t xml:space="preserve"> de l’article 14 (3) que l’auteur voudrait voir </w:t>
      </w:r>
      <w:r w:rsidR="003E5DD1" w:rsidRPr="0013711D">
        <w:rPr>
          <w:color w:val="000000" w:themeColor="text1"/>
          <w:lang w:val="fr-FR"/>
        </w:rPr>
        <w:t>le Comité appliquer à son cas</w:t>
      </w:r>
      <w:r w:rsidR="000E48DC" w:rsidRPr="0013711D">
        <w:rPr>
          <w:color w:val="000000" w:themeColor="text1"/>
          <w:lang w:val="fr-FR"/>
        </w:rPr>
        <w:t xml:space="preserve">. A cet égard, l’Etat partie souligne que </w:t>
      </w:r>
      <w:r w:rsidR="00754854" w:rsidRPr="0013711D">
        <w:rPr>
          <w:color w:val="000000" w:themeColor="text1"/>
          <w:lang w:val="fr-FR"/>
        </w:rPr>
        <w:t>l’auteur ne saisit pas le Comité en tant qu’accusé</w:t>
      </w:r>
      <w:r w:rsidR="00D70D55" w:rsidRPr="0013711D">
        <w:rPr>
          <w:color w:val="000000" w:themeColor="text1"/>
          <w:lang w:val="fr-FR"/>
        </w:rPr>
        <w:t> et que</w:t>
      </w:r>
      <w:r w:rsidR="001B448A" w:rsidRPr="0013711D">
        <w:rPr>
          <w:color w:val="000000" w:themeColor="text1"/>
          <w:lang w:val="fr-FR"/>
        </w:rPr>
        <w:t xml:space="preserve"> l</w:t>
      </w:r>
      <w:r w:rsidR="00754854" w:rsidRPr="0013711D">
        <w:rPr>
          <w:color w:val="000000" w:themeColor="text1"/>
          <w:lang w:val="fr-FR"/>
        </w:rPr>
        <w:t xml:space="preserve">’article 14(3) du Pacte </w:t>
      </w:r>
      <w:r w:rsidR="00D70D55" w:rsidRPr="0013711D">
        <w:rPr>
          <w:color w:val="000000" w:themeColor="text1"/>
          <w:lang w:val="fr-FR"/>
        </w:rPr>
        <w:t>est réservé aux seules</w:t>
      </w:r>
      <w:r w:rsidR="00754854" w:rsidRPr="0013711D">
        <w:rPr>
          <w:color w:val="000000" w:themeColor="text1"/>
          <w:lang w:val="fr-FR"/>
        </w:rPr>
        <w:t xml:space="preserve"> personnes accusées. </w:t>
      </w:r>
      <w:r w:rsidR="009B6912" w:rsidRPr="0013711D">
        <w:rPr>
          <w:color w:val="000000" w:themeColor="text1"/>
          <w:lang w:val="fr-FR"/>
        </w:rPr>
        <w:t>En plus</w:t>
      </w:r>
      <w:r w:rsidR="001B448A" w:rsidRPr="0013711D">
        <w:rPr>
          <w:color w:val="000000" w:themeColor="text1"/>
          <w:lang w:val="fr-FR"/>
        </w:rPr>
        <w:t xml:space="preserve">, </w:t>
      </w:r>
      <w:r w:rsidR="009B6912" w:rsidRPr="0013711D">
        <w:rPr>
          <w:color w:val="000000" w:themeColor="text1"/>
          <w:lang w:val="fr-FR"/>
        </w:rPr>
        <w:t xml:space="preserve">l’Etat partie estime que l’auteur ne développe pas en quoi le défaut </w:t>
      </w:r>
      <w:r w:rsidR="00D70D55" w:rsidRPr="0013711D">
        <w:rPr>
          <w:color w:val="000000" w:themeColor="text1"/>
          <w:lang w:val="fr-FR"/>
        </w:rPr>
        <w:t xml:space="preserve">d’une confrontation </w:t>
      </w:r>
      <w:r w:rsidR="00CB187A">
        <w:rPr>
          <w:color w:val="000000" w:themeColor="text1"/>
          <w:lang w:val="fr-FR"/>
        </w:rPr>
        <w:t>avec</w:t>
      </w:r>
      <w:r w:rsidR="00D70D55" w:rsidRPr="0013711D">
        <w:rPr>
          <w:color w:val="000000" w:themeColor="text1"/>
          <w:lang w:val="fr-FR"/>
        </w:rPr>
        <w:t xml:space="preserve"> les personnes accusées, l’absence d’interrogatoire de certains témoins du viol présumé ainsi</w:t>
      </w:r>
      <w:r w:rsidR="00CB187A">
        <w:rPr>
          <w:color w:val="000000" w:themeColor="text1"/>
          <w:lang w:val="fr-FR"/>
        </w:rPr>
        <w:t xml:space="preserve"> que l’absence d’enquête dans son </w:t>
      </w:r>
      <w:r w:rsidR="00D70D55" w:rsidRPr="0013711D">
        <w:rPr>
          <w:color w:val="000000" w:themeColor="text1"/>
          <w:lang w:val="fr-FR"/>
        </w:rPr>
        <w:t xml:space="preserve">entourage </w:t>
      </w:r>
      <w:r w:rsidR="009B6912" w:rsidRPr="0013711D">
        <w:rPr>
          <w:color w:val="000000" w:themeColor="text1"/>
          <w:lang w:val="fr-FR"/>
        </w:rPr>
        <w:t xml:space="preserve">pourraient constituer une violation de l’article 14 (1) du Pacte. </w:t>
      </w:r>
      <w:r w:rsidR="00754854" w:rsidRPr="0013711D">
        <w:rPr>
          <w:color w:val="000000" w:themeColor="text1"/>
          <w:lang w:val="fr-FR"/>
        </w:rPr>
        <w:t xml:space="preserve">Ce faisant, l’Etat partie demande au Comité </w:t>
      </w:r>
      <w:r w:rsidR="009B6912" w:rsidRPr="0013711D">
        <w:rPr>
          <w:color w:val="000000" w:themeColor="text1"/>
          <w:lang w:val="fr-FR"/>
        </w:rPr>
        <w:t>de déclarer</w:t>
      </w:r>
      <w:r w:rsidR="003E5DD1" w:rsidRPr="0013711D">
        <w:rPr>
          <w:color w:val="000000" w:themeColor="text1"/>
          <w:lang w:val="fr-FR"/>
        </w:rPr>
        <w:t xml:space="preserve"> </w:t>
      </w:r>
      <w:r w:rsidR="00D70D55" w:rsidRPr="0013711D">
        <w:rPr>
          <w:color w:val="000000" w:themeColor="text1"/>
          <w:lang w:val="fr-FR"/>
        </w:rPr>
        <w:t xml:space="preserve">la communication </w:t>
      </w:r>
      <w:r w:rsidR="009B6912" w:rsidRPr="0013711D">
        <w:rPr>
          <w:color w:val="000000" w:themeColor="text1"/>
          <w:lang w:val="fr-FR"/>
        </w:rPr>
        <w:t xml:space="preserve">irrecevable </w:t>
      </w:r>
      <w:proofErr w:type="spellStart"/>
      <w:r w:rsidR="009B6912" w:rsidRPr="0013711D">
        <w:rPr>
          <w:i/>
          <w:color w:val="000000" w:themeColor="text1"/>
          <w:lang w:val="fr-FR"/>
        </w:rPr>
        <w:t>ratione</w:t>
      </w:r>
      <w:proofErr w:type="spellEnd"/>
      <w:r w:rsidR="009B6912" w:rsidRPr="0013711D">
        <w:rPr>
          <w:i/>
          <w:color w:val="000000" w:themeColor="text1"/>
          <w:lang w:val="fr-FR"/>
        </w:rPr>
        <w:t xml:space="preserve"> materiae</w:t>
      </w:r>
      <w:r w:rsidR="00D70D55" w:rsidRPr="0013711D">
        <w:rPr>
          <w:color w:val="000000" w:themeColor="text1"/>
          <w:lang w:val="fr-FR"/>
        </w:rPr>
        <w:t xml:space="preserve">. </w:t>
      </w:r>
    </w:p>
    <w:p w14:paraId="175BC64D" w14:textId="1915332A" w:rsidR="001F1F1A" w:rsidRPr="0013711D" w:rsidRDefault="00ED7245" w:rsidP="00866FD7">
      <w:pPr>
        <w:pStyle w:val="SingleTxtG"/>
        <w:rPr>
          <w:color w:val="000000" w:themeColor="text1"/>
          <w:lang w:val="fr-FR"/>
        </w:rPr>
      </w:pPr>
      <w:r w:rsidRPr="00920F0D">
        <w:rPr>
          <w:color w:val="000000" w:themeColor="text1"/>
          <w:lang w:val="fr-FR"/>
        </w:rPr>
        <w:t>4.4</w:t>
      </w:r>
      <w:r w:rsidRPr="00920F0D">
        <w:rPr>
          <w:color w:val="000000" w:themeColor="text1"/>
          <w:lang w:val="fr-FR"/>
        </w:rPr>
        <w:tab/>
      </w:r>
      <w:r w:rsidR="001F1F1A" w:rsidRPr="00920F0D">
        <w:rPr>
          <w:color w:val="000000" w:themeColor="text1"/>
          <w:lang w:val="fr-FR"/>
        </w:rPr>
        <w:t xml:space="preserve">En ce qui concerne l’irrecevabilité de </w:t>
      </w:r>
      <w:r w:rsidR="00D70D55" w:rsidRPr="00920F0D">
        <w:rPr>
          <w:color w:val="000000" w:themeColor="text1"/>
          <w:lang w:val="fr-FR"/>
        </w:rPr>
        <w:t>la communication pour non-</w:t>
      </w:r>
      <w:r w:rsidR="001F1F1A" w:rsidRPr="00920F0D">
        <w:rPr>
          <w:color w:val="000000" w:themeColor="text1"/>
          <w:lang w:val="fr-FR"/>
        </w:rPr>
        <w:t>épuisement des voies de recours internes,</w:t>
      </w:r>
      <w:r w:rsidR="001F1F1A" w:rsidRPr="0013711D">
        <w:rPr>
          <w:color w:val="000000" w:themeColor="text1"/>
          <w:lang w:val="fr-FR"/>
        </w:rPr>
        <w:t xml:space="preserve"> l’Etat partie fait valoir que l’auteur a omis d’utiliser la voie de recours prévue par l’article L.141-1 du Code de l’organisation judiciaire</w:t>
      </w:r>
      <w:r w:rsidR="00CB187A">
        <w:rPr>
          <w:rStyle w:val="FootnoteReference"/>
          <w:color w:val="000000" w:themeColor="text1"/>
        </w:rPr>
        <w:footnoteReference w:id="5"/>
      </w:r>
      <w:r w:rsidR="001F1F1A" w:rsidRPr="0013711D">
        <w:rPr>
          <w:color w:val="000000" w:themeColor="text1"/>
          <w:lang w:val="fr-FR"/>
        </w:rPr>
        <w:t xml:space="preserve"> qui permet d’engager la responsabilité de l’Etat pour dysfonctionnement du service public de</w:t>
      </w:r>
      <w:r w:rsidR="00D77348" w:rsidRPr="0013711D">
        <w:rPr>
          <w:color w:val="000000" w:themeColor="text1"/>
          <w:lang w:val="fr-FR"/>
        </w:rPr>
        <w:t xml:space="preserve"> la justice pour faute lourde ou pour déni de justice. L’Etat partie soumet qu’une faute commise par un magistrat instructeur au cours de l’instruction peut être qualifié</w:t>
      </w:r>
      <w:r w:rsidR="00D70D55" w:rsidRPr="0013711D">
        <w:rPr>
          <w:color w:val="000000" w:themeColor="text1"/>
          <w:lang w:val="fr-FR"/>
        </w:rPr>
        <w:t>e</w:t>
      </w:r>
      <w:r w:rsidR="00D77348" w:rsidRPr="0013711D">
        <w:rPr>
          <w:color w:val="000000" w:themeColor="text1"/>
          <w:lang w:val="fr-FR"/>
        </w:rPr>
        <w:t xml:space="preserve"> de faute lourde au sens de l’article L.141-1 du Code de l’organisation judiciaire et en conséquence engager la responsabilité de l’Etat. </w:t>
      </w:r>
      <w:r w:rsidR="00673621" w:rsidRPr="0013711D">
        <w:rPr>
          <w:color w:val="000000" w:themeColor="text1"/>
          <w:lang w:val="fr-FR"/>
        </w:rPr>
        <w:t xml:space="preserve">L’Etat partie avance que la Cour </w:t>
      </w:r>
      <w:r w:rsidR="00D70D55" w:rsidRPr="0013711D">
        <w:rPr>
          <w:color w:val="000000" w:themeColor="text1"/>
          <w:lang w:val="fr-FR"/>
        </w:rPr>
        <w:t xml:space="preserve">européenne des droits de l’homme </w:t>
      </w:r>
      <w:r w:rsidR="00323B94" w:rsidRPr="0013711D">
        <w:rPr>
          <w:color w:val="000000" w:themeColor="text1"/>
          <w:lang w:val="fr-FR"/>
        </w:rPr>
        <w:t>estime</w:t>
      </w:r>
      <w:r w:rsidR="00673621" w:rsidRPr="0013711D">
        <w:rPr>
          <w:color w:val="000000" w:themeColor="text1"/>
          <w:lang w:val="fr-FR"/>
        </w:rPr>
        <w:t xml:space="preserve"> que le recours offert par l’article </w:t>
      </w:r>
      <w:r w:rsidR="00323B94" w:rsidRPr="0013711D">
        <w:rPr>
          <w:color w:val="000000" w:themeColor="text1"/>
          <w:lang w:val="fr-FR"/>
        </w:rPr>
        <w:t>L.141-1 du Code de l’organisation judiciaire français est un recours effectif.</w:t>
      </w:r>
      <w:r w:rsidR="00323B94" w:rsidRPr="0013711D">
        <w:rPr>
          <w:rStyle w:val="FootnoteReference"/>
          <w:color w:val="000000" w:themeColor="text1"/>
        </w:rPr>
        <w:footnoteReference w:id="6"/>
      </w:r>
      <w:r w:rsidR="00323B94" w:rsidRPr="0013711D">
        <w:rPr>
          <w:color w:val="000000" w:themeColor="text1"/>
          <w:lang w:val="fr-FR"/>
        </w:rPr>
        <w:t xml:space="preserve"> L’Etat partie fait valoir que le Comité lui-même a déjà fait valoir dans </w:t>
      </w:r>
      <w:r w:rsidR="00323B94" w:rsidRPr="0013711D">
        <w:rPr>
          <w:color w:val="000000" w:themeColor="text1"/>
          <w:lang w:val="fr-FR"/>
        </w:rPr>
        <w:lastRenderedPageBreak/>
        <w:t xml:space="preserve">le cadre d’une communication évoquant des griefs similaires que celle-ci était </w:t>
      </w:r>
      <w:r w:rsidR="00391A8C" w:rsidRPr="0013711D">
        <w:rPr>
          <w:color w:val="000000" w:themeColor="text1"/>
          <w:lang w:val="fr-FR"/>
        </w:rPr>
        <w:t>irrecevable</w:t>
      </w:r>
      <w:r w:rsidRPr="0013711D">
        <w:rPr>
          <w:color w:val="000000" w:themeColor="text1"/>
          <w:lang w:val="fr-FR"/>
        </w:rPr>
        <w:t xml:space="preserve"> pour non-</w:t>
      </w:r>
      <w:r w:rsidR="00391A8C" w:rsidRPr="0013711D">
        <w:rPr>
          <w:color w:val="000000" w:themeColor="text1"/>
          <w:lang w:val="fr-FR"/>
        </w:rPr>
        <w:t>épuisement</w:t>
      </w:r>
      <w:r w:rsidR="00323B94" w:rsidRPr="0013711D">
        <w:rPr>
          <w:color w:val="000000" w:themeColor="text1"/>
          <w:lang w:val="fr-FR"/>
        </w:rPr>
        <w:t xml:space="preserve"> des voies de recours en raison du fait que l’auteur </w:t>
      </w:r>
      <w:r w:rsidRPr="0013711D">
        <w:rPr>
          <w:color w:val="000000" w:themeColor="text1"/>
          <w:lang w:val="fr-FR"/>
        </w:rPr>
        <w:t>n’a</w:t>
      </w:r>
      <w:r w:rsidR="00323B94" w:rsidRPr="0013711D">
        <w:rPr>
          <w:color w:val="000000" w:themeColor="text1"/>
          <w:lang w:val="fr-FR"/>
        </w:rPr>
        <w:t xml:space="preserve"> pas </w:t>
      </w:r>
      <w:r w:rsidR="00391A8C" w:rsidRPr="0013711D">
        <w:rPr>
          <w:color w:val="000000" w:themeColor="text1"/>
          <w:lang w:val="fr-FR"/>
        </w:rPr>
        <w:t>utilisé</w:t>
      </w:r>
      <w:r w:rsidR="00323B94" w:rsidRPr="0013711D">
        <w:rPr>
          <w:color w:val="000000" w:themeColor="text1"/>
          <w:lang w:val="fr-FR"/>
        </w:rPr>
        <w:t xml:space="preserve"> les provisions de l’article </w:t>
      </w:r>
      <w:r w:rsidR="00615990" w:rsidRPr="0013711D">
        <w:rPr>
          <w:color w:val="000000" w:themeColor="text1"/>
          <w:lang w:val="fr-FR"/>
        </w:rPr>
        <w:t>L.</w:t>
      </w:r>
      <w:r w:rsidR="00391A8C" w:rsidRPr="0013711D">
        <w:rPr>
          <w:color w:val="000000" w:themeColor="text1"/>
          <w:lang w:val="fr-FR"/>
        </w:rPr>
        <w:t>781-1 (devenu art. L.141-1) du Code de l’organisation judiciaire.</w:t>
      </w:r>
      <w:r w:rsidR="00391A8C" w:rsidRPr="0013711D">
        <w:rPr>
          <w:rStyle w:val="FootnoteReference"/>
          <w:color w:val="000000" w:themeColor="text1"/>
        </w:rPr>
        <w:footnoteReference w:id="7"/>
      </w:r>
      <w:r w:rsidR="00391A8C" w:rsidRPr="0013711D">
        <w:rPr>
          <w:color w:val="000000" w:themeColor="text1"/>
          <w:lang w:val="fr-FR"/>
        </w:rPr>
        <w:t xml:space="preserve"> </w:t>
      </w:r>
      <w:r w:rsidR="00904AE6" w:rsidRPr="0013711D">
        <w:rPr>
          <w:color w:val="000000" w:themeColor="text1"/>
          <w:lang w:val="fr-FR"/>
        </w:rPr>
        <w:t>L</w:t>
      </w:r>
      <w:r w:rsidR="00391A8C" w:rsidRPr="0013711D">
        <w:rPr>
          <w:color w:val="000000" w:themeColor="text1"/>
          <w:lang w:val="fr-FR"/>
        </w:rPr>
        <w:t>’Etat partie demande au Co</w:t>
      </w:r>
      <w:r w:rsidR="009A70B3" w:rsidRPr="0013711D">
        <w:rPr>
          <w:color w:val="000000" w:themeColor="text1"/>
          <w:lang w:val="fr-FR"/>
        </w:rPr>
        <w:t>mité de constater que le recours</w:t>
      </w:r>
      <w:r w:rsidR="00391A8C" w:rsidRPr="0013711D">
        <w:rPr>
          <w:color w:val="000000" w:themeColor="text1"/>
          <w:lang w:val="fr-FR"/>
        </w:rPr>
        <w:t xml:space="preserve"> offert par l’article </w:t>
      </w:r>
      <w:r w:rsidR="005C090D" w:rsidRPr="0013711D">
        <w:rPr>
          <w:color w:val="000000" w:themeColor="text1"/>
          <w:lang w:val="fr-FR"/>
        </w:rPr>
        <w:t>L.141-1</w:t>
      </w:r>
      <w:r w:rsidR="00391A8C" w:rsidRPr="0013711D">
        <w:rPr>
          <w:color w:val="000000" w:themeColor="text1"/>
          <w:lang w:val="fr-FR"/>
        </w:rPr>
        <w:t xml:space="preserve"> du Code de l’organisation judiciaire</w:t>
      </w:r>
      <w:r w:rsidR="005C090D" w:rsidRPr="0013711D">
        <w:rPr>
          <w:color w:val="000000" w:themeColor="text1"/>
          <w:lang w:val="fr-FR"/>
        </w:rPr>
        <w:t xml:space="preserve"> est un recours interne disponible et effectif au sens de l’article 2 et </w:t>
      </w:r>
      <w:r w:rsidR="00904AE6" w:rsidRPr="0013711D">
        <w:rPr>
          <w:color w:val="000000" w:themeColor="text1"/>
          <w:lang w:val="fr-FR"/>
        </w:rPr>
        <w:t>5, 2),b du Protocole facultatif, et en conséquence, constater l’irrecevabilité de la communication pour non-épuisement des voies de</w:t>
      </w:r>
      <w:r w:rsidR="003E5DD1" w:rsidRPr="0013711D">
        <w:rPr>
          <w:color w:val="000000" w:themeColor="text1"/>
          <w:lang w:val="fr-FR"/>
        </w:rPr>
        <w:t xml:space="preserve"> </w:t>
      </w:r>
      <w:r w:rsidR="00904AE6" w:rsidRPr="0013711D">
        <w:rPr>
          <w:color w:val="000000" w:themeColor="text1"/>
          <w:lang w:val="fr-FR"/>
        </w:rPr>
        <w:t xml:space="preserve">recours internes. </w:t>
      </w:r>
    </w:p>
    <w:p w14:paraId="626B312E" w14:textId="51A9654C" w:rsidR="00565433" w:rsidRPr="0013711D" w:rsidRDefault="006E5D89" w:rsidP="006E5D89">
      <w:pPr>
        <w:pStyle w:val="H23G"/>
        <w:rPr>
          <w:lang w:val="fr-FR"/>
        </w:rPr>
      </w:pPr>
      <w:r>
        <w:rPr>
          <w:lang w:val="fr-FR"/>
        </w:rPr>
        <w:tab/>
      </w:r>
      <w:r>
        <w:rPr>
          <w:lang w:val="fr-FR"/>
        </w:rPr>
        <w:tab/>
      </w:r>
      <w:r w:rsidR="00565433" w:rsidRPr="0013711D">
        <w:rPr>
          <w:lang w:val="fr-FR"/>
        </w:rPr>
        <w:t>Commentaires de l’auteur sur les observations de l’État partie concernant la recevabilité</w:t>
      </w:r>
    </w:p>
    <w:p w14:paraId="48C8BEE2" w14:textId="6AED78C6" w:rsidR="00565433" w:rsidRPr="0013711D" w:rsidRDefault="00415A1F" w:rsidP="006E5D89">
      <w:pPr>
        <w:pStyle w:val="SingleTxtG"/>
        <w:rPr>
          <w:lang w:val="fr-FR"/>
        </w:rPr>
      </w:pPr>
      <w:r w:rsidRPr="00920F0D">
        <w:rPr>
          <w:lang w:val="fr-FR"/>
        </w:rPr>
        <w:t>5.1</w:t>
      </w:r>
      <w:r w:rsidRPr="00920F0D">
        <w:rPr>
          <w:lang w:val="fr-FR"/>
        </w:rPr>
        <w:tab/>
      </w:r>
      <w:r w:rsidR="00904AE6" w:rsidRPr="00920F0D">
        <w:rPr>
          <w:lang w:val="fr-FR"/>
        </w:rPr>
        <w:t xml:space="preserve">Concernant l’irrecevabilité </w:t>
      </w:r>
      <w:proofErr w:type="spellStart"/>
      <w:r w:rsidR="00904AE6" w:rsidRPr="00920F0D">
        <w:rPr>
          <w:i/>
          <w:lang w:val="fr-FR"/>
        </w:rPr>
        <w:t>ratione</w:t>
      </w:r>
      <w:proofErr w:type="spellEnd"/>
      <w:r w:rsidR="00904AE6" w:rsidRPr="00920F0D">
        <w:rPr>
          <w:i/>
          <w:lang w:val="fr-FR"/>
        </w:rPr>
        <w:t xml:space="preserve"> materiae</w:t>
      </w:r>
      <w:r w:rsidR="00904AE6" w:rsidRPr="00920F0D">
        <w:rPr>
          <w:lang w:val="fr-FR"/>
        </w:rPr>
        <w:t xml:space="preserve"> de la communication, d</w:t>
      </w:r>
      <w:r w:rsidR="00565433" w:rsidRPr="00920F0D">
        <w:rPr>
          <w:lang w:val="fr-FR"/>
        </w:rPr>
        <w:t>ans sa soumission du 25 juillet 2018,</w:t>
      </w:r>
      <w:r w:rsidR="00565433" w:rsidRPr="0013711D">
        <w:rPr>
          <w:lang w:val="fr-FR"/>
        </w:rPr>
        <w:t xml:space="preserve"> </w:t>
      </w:r>
      <w:r w:rsidR="00565433" w:rsidRPr="006E5D89">
        <w:t>l’auteur</w:t>
      </w:r>
      <w:r w:rsidR="00565433" w:rsidRPr="0013711D">
        <w:rPr>
          <w:lang w:val="fr-FR"/>
        </w:rPr>
        <w:t xml:space="preserve"> </w:t>
      </w:r>
      <w:r w:rsidR="002709EF" w:rsidRPr="0013711D">
        <w:rPr>
          <w:lang w:val="fr-FR"/>
        </w:rPr>
        <w:t xml:space="preserve">fait valoir que sa communication vise à faire constater par le Comité la violation de son droit à un procès équitable. Il avance que l’Etat partie ne conteste pas le fait que les exigences d’un procès équitable s’appliquent à la procédure </w:t>
      </w:r>
      <w:r w:rsidR="000D29BF" w:rsidRPr="0013711D">
        <w:rPr>
          <w:lang w:val="fr-FR"/>
        </w:rPr>
        <w:t>d’instruction</w:t>
      </w:r>
      <w:r w:rsidR="002709EF" w:rsidRPr="0013711D">
        <w:rPr>
          <w:lang w:val="fr-FR"/>
        </w:rPr>
        <w:t xml:space="preserve"> </w:t>
      </w:r>
      <w:r w:rsidR="000D29BF" w:rsidRPr="0013711D">
        <w:rPr>
          <w:lang w:val="fr-FR"/>
        </w:rPr>
        <w:t>française</w:t>
      </w:r>
      <w:r w:rsidR="002709EF" w:rsidRPr="0013711D">
        <w:rPr>
          <w:lang w:val="fr-FR"/>
        </w:rPr>
        <w:t xml:space="preserve">. Il soumet qu’en dépit du fait qu’il </w:t>
      </w:r>
      <w:r w:rsidR="003E5DD1" w:rsidRPr="0013711D">
        <w:rPr>
          <w:lang w:val="fr-FR"/>
        </w:rPr>
        <w:t>ne soit</w:t>
      </w:r>
      <w:r w:rsidR="002709EF" w:rsidRPr="0013711D">
        <w:rPr>
          <w:lang w:val="fr-FR"/>
        </w:rPr>
        <w:t xml:space="preserve"> pas poursuivi par une juridiction pénale, les résultats </w:t>
      </w:r>
      <w:r w:rsidR="000D29BF" w:rsidRPr="0013711D">
        <w:rPr>
          <w:lang w:val="fr-FR"/>
        </w:rPr>
        <w:t>auxquels</w:t>
      </w:r>
      <w:r w:rsidR="002709EF" w:rsidRPr="0013711D">
        <w:rPr>
          <w:lang w:val="fr-FR"/>
        </w:rPr>
        <w:t xml:space="preserve"> e</w:t>
      </w:r>
      <w:r w:rsidR="003E5DD1" w:rsidRPr="0013711D">
        <w:rPr>
          <w:lang w:val="fr-FR"/>
        </w:rPr>
        <w:t>s</w:t>
      </w:r>
      <w:r w:rsidR="002709EF" w:rsidRPr="0013711D">
        <w:rPr>
          <w:lang w:val="fr-FR"/>
        </w:rPr>
        <w:t xml:space="preserve">t parvenu le juge </w:t>
      </w:r>
      <w:r w:rsidR="00DB770C">
        <w:rPr>
          <w:lang w:val="fr-FR"/>
        </w:rPr>
        <w:t xml:space="preserve">d’instruction </w:t>
      </w:r>
      <w:r w:rsidR="002709EF" w:rsidRPr="0013711D">
        <w:rPr>
          <w:lang w:val="fr-FR"/>
        </w:rPr>
        <w:t>ont un effet direct et réel sur ses droits dans leur volet civil. L’auteur soumet que, contrairement à ce qu’avance l’Etat partie, il n’a jamais invoqué le 3</w:t>
      </w:r>
      <w:r w:rsidR="002709EF" w:rsidRPr="0013711D">
        <w:rPr>
          <w:vertAlign w:val="superscript"/>
          <w:lang w:val="fr-FR"/>
        </w:rPr>
        <w:t>e</w:t>
      </w:r>
      <w:r w:rsidR="002709EF" w:rsidRPr="0013711D">
        <w:rPr>
          <w:lang w:val="fr-FR"/>
        </w:rPr>
        <w:t xml:space="preserve"> alinéa de l’article </w:t>
      </w:r>
      <w:r w:rsidR="003979E6" w:rsidRPr="0013711D">
        <w:rPr>
          <w:lang w:val="fr-FR"/>
        </w:rPr>
        <w:t xml:space="preserve">14 du Pacte. Il avance </w:t>
      </w:r>
      <w:r w:rsidR="000D29BF" w:rsidRPr="0013711D">
        <w:rPr>
          <w:lang w:val="fr-FR"/>
        </w:rPr>
        <w:t xml:space="preserve">que le Comité dans son </w:t>
      </w:r>
      <w:r w:rsidR="00DF5168" w:rsidRPr="0013711D">
        <w:rPr>
          <w:lang w:val="fr-FR"/>
        </w:rPr>
        <w:t>O</w:t>
      </w:r>
      <w:r w:rsidR="000D29BF" w:rsidRPr="0013711D">
        <w:rPr>
          <w:lang w:val="fr-FR"/>
        </w:rPr>
        <w:t xml:space="preserve">bservation générale sur l’article 14 note que les dispositions générales de cet article du </w:t>
      </w:r>
      <w:r w:rsidR="003E5DD1" w:rsidRPr="0013711D">
        <w:rPr>
          <w:lang w:val="fr-FR"/>
        </w:rPr>
        <w:t>P</w:t>
      </w:r>
      <w:r w:rsidR="000D29BF" w:rsidRPr="0013711D">
        <w:rPr>
          <w:lang w:val="fr-FR"/>
        </w:rPr>
        <w:t>acte visent à assurer la bonne administration de la justice et que les dispositions de l’article 14 s’appliquent à tous les tribunaux et autres organes juridictionnels de droit commun ou d’exception inclus dans son champ d’application. Ce faisant, l’auteur rappelle</w:t>
      </w:r>
      <w:r w:rsidR="003979E6" w:rsidRPr="0013711D">
        <w:rPr>
          <w:lang w:val="fr-FR"/>
        </w:rPr>
        <w:t xml:space="preserve"> </w:t>
      </w:r>
      <w:r w:rsidR="000D29BF" w:rsidRPr="0013711D">
        <w:rPr>
          <w:lang w:val="fr-FR"/>
        </w:rPr>
        <w:t>que l’absence de confrontation entre lui et les personnes mises en cause ainsi que l’absence d’interrogatoire</w:t>
      </w:r>
      <w:r w:rsidR="00615990" w:rsidRPr="0013711D">
        <w:rPr>
          <w:lang w:val="fr-FR"/>
        </w:rPr>
        <w:t xml:space="preserve"> d’autres</w:t>
      </w:r>
      <w:r w:rsidR="000D29BF" w:rsidRPr="0013711D">
        <w:rPr>
          <w:lang w:val="fr-FR"/>
        </w:rPr>
        <w:t xml:space="preserve"> témoins sont contraires au principe d</w:t>
      </w:r>
      <w:r w:rsidR="00DF5168" w:rsidRPr="0013711D">
        <w:rPr>
          <w:lang w:val="fr-FR"/>
        </w:rPr>
        <w:t>u</w:t>
      </w:r>
      <w:r w:rsidR="000D29BF" w:rsidRPr="0013711D">
        <w:rPr>
          <w:lang w:val="fr-FR"/>
        </w:rPr>
        <w:t xml:space="preserve"> procès équitable dans sa globalité. L’auteur excipe en out</w:t>
      </w:r>
      <w:r w:rsidR="00DB770C">
        <w:rPr>
          <w:lang w:val="fr-FR"/>
        </w:rPr>
        <w:t>re que les arrêts de la Cour européenne des droits de l’homme cités</w:t>
      </w:r>
      <w:r w:rsidR="000D29BF" w:rsidRPr="0013711D">
        <w:rPr>
          <w:lang w:val="fr-FR"/>
        </w:rPr>
        <w:t xml:space="preserve"> par l’Etat partie </w:t>
      </w:r>
      <w:r w:rsidR="00D9168A">
        <w:rPr>
          <w:lang w:val="fr-FR"/>
        </w:rPr>
        <w:t>(</w:t>
      </w:r>
      <w:r w:rsidR="00FA70A5" w:rsidRPr="0013711D">
        <w:rPr>
          <w:lang w:val="fr-FR"/>
        </w:rPr>
        <w:t>Perez c. France du 12 février 2004 et Vera Fernandez-</w:t>
      </w:r>
      <w:proofErr w:type="spellStart"/>
      <w:r w:rsidR="00FA70A5" w:rsidRPr="0013711D">
        <w:rPr>
          <w:lang w:val="fr-FR"/>
        </w:rPr>
        <w:t>Huidobro</w:t>
      </w:r>
      <w:proofErr w:type="spellEnd"/>
      <w:r w:rsidR="00FA70A5" w:rsidRPr="0013711D">
        <w:rPr>
          <w:lang w:val="fr-FR"/>
        </w:rPr>
        <w:t xml:space="preserve"> c. Espagne du 6 janvier 2010) </w:t>
      </w:r>
      <w:r w:rsidR="000D29BF" w:rsidRPr="0013711D">
        <w:rPr>
          <w:lang w:val="fr-FR"/>
        </w:rPr>
        <w:t>ne</w:t>
      </w:r>
      <w:r w:rsidR="00D9168A">
        <w:rPr>
          <w:lang w:val="fr-FR"/>
        </w:rPr>
        <w:t xml:space="preserve"> traitent pas </w:t>
      </w:r>
      <w:r w:rsidR="00DB770C">
        <w:rPr>
          <w:lang w:val="fr-FR"/>
        </w:rPr>
        <w:t>de</w:t>
      </w:r>
      <w:r w:rsidR="00FA70A5" w:rsidRPr="0013711D">
        <w:rPr>
          <w:lang w:val="fr-FR"/>
        </w:rPr>
        <w:t xml:space="preserve"> l’article 6§3 de la </w:t>
      </w:r>
      <w:r w:rsidR="00DB770C">
        <w:rPr>
          <w:lang w:val="fr-FR"/>
        </w:rPr>
        <w:t>Convention européenne des droits de l’homme</w:t>
      </w:r>
      <w:r w:rsidR="00FA70A5" w:rsidRPr="0013711D">
        <w:rPr>
          <w:lang w:val="fr-FR"/>
        </w:rPr>
        <w:t xml:space="preserve"> </w:t>
      </w:r>
      <w:r w:rsidR="00BC28AE" w:rsidRPr="0013711D">
        <w:rPr>
          <w:lang w:val="fr-FR"/>
        </w:rPr>
        <w:t>en ce qui a trait à</w:t>
      </w:r>
      <w:r w:rsidR="00FA70A5" w:rsidRPr="0013711D">
        <w:rPr>
          <w:lang w:val="fr-FR"/>
        </w:rPr>
        <w:t xml:space="preserve"> procédure d’instruction. </w:t>
      </w:r>
    </w:p>
    <w:p w14:paraId="4A64B609" w14:textId="4FED2C0C" w:rsidR="003979E6" w:rsidRPr="0013711D" w:rsidRDefault="00415A1F" w:rsidP="00565433">
      <w:pPr>
        <w:pStyle w:val="SingleTxtG"/>
        <w:rPr>
          <w:color w:val="000000" w:themeColor="text1"/>
          <w:lang w:val="fr-FR"/>
        </w:rPr>
      </w:pPr>
      <w:r w:rsidRPr="00920F0D">
        <w:rPr>
          <w:color w:val="000000" w:themeColor="text1"/>
          <w:lang w:val="fr-FR"/>
        </w:rPr>
        <w:t>5.2</w:t>
      </w:r>
      <w:r w:rsidRPr="00920F0D">
        <w:rPr>
          <w:color w:val="000000" w:themeColor="text1"/>
          <w:lang w:val="fr-FR"/>
        </w:rPr>
        <w:tab/>
      </w:r>
      <w:r w:rsidR="00DF5168" w:rsidRPr="00920F0D">
        <w:rPr>
          <w:color w:val="000000" w:themeColor="text1"/>
          <w:lang w:val="fr-FR"/>
        </w:rPr>
        <w:t>Concernant</w:t>
      </w:r>
      <w:r w:rsidR="003979E6" w:rsidRPr="00920F0D">
        <w:rPr>
          <w:color w:val="000000" w:themeColor="text1"/>
          <w:lang w:val="fr-FR"/>
        </w:rPr>
        <w:t xml:space="preserve"> l’argument fondé sur le non-</w:t>
      </w:r>
      <w:r w:rsidR="006D49FF" w:rsidRPr="00920F0D">
        <w:rPr>
          <w:color w:val="000000" w:themeColor="text1"/>
          <w:lang w:val="fr-FR"/>
        </w:rPr>
        <w:t>épuisement</w:t>
      </w:r>
      <w:r w:rsidR="003979E6" w:rsidRPr="00920F0D">
        <w:rPr>
          <w:color w:val="000000" w:themeColor="text1"/>
          <w:lang w:val="fr-FR"/>
        </w:rPr>
        <w:t xml:space="preserve"> des voies de r</w:t>
      </w:r>
      <w:r w:rsidR="006D49FF" w:rsidRPr="00920F0D">
        <w:rPr>
          <w:color w:val="000000" w:themeColor="text1"/>
          <w:lang w:val="fr-FR"/>
        </w:rPr>
        <w:t>ecours internes</w:t>
      </w:r>
      <w:r w:rsidR="00DF5168" w:rsidRPr="00920F0D">
        <w:rPr>
          <w:color w:val="000000" w:themeColor="text1"/>
          <w:lang w:val="fr-FR"/>
        </w:rPr>
        <w:t>,</w:t>
      </w:r>
      <w:r w:rsidR="00DF5168" w:rsidRPr="0013711D">
        <w:rPr>
          <w:color w:val="000000" w:themeColor="text1"/>
          <w:u w:val="single"/>
          <w:lang w:val="fr-FR"/>
        </w:rPr>
        <w:t xml:space="preserve"> </w:t>
      </w:r>
      <w:r w:rsidR="00DF5168" w:rsidRPr="0013711D">
        <w:rPr>
          <w:color w:val="000000" w:themeColor="text1"/>
          <w:lang w:val="fr-FR"/>
        </w:rPr>
        <w:t xml:space="preserve">l’auteur souligne que, contrairement à ce qu’avance l’Etat partie, </w:t>
      </w:r>
      <w:r w:rsidR="006D49FF" w:rsidRPr="0013711D">
        <w:rPr>
          <w:color w:val="000000" w:themeColor="text1"/>
          <w:lang w:val="fr-FR"/>
        </w:rPr>
        <w:t xml:space="preserve">la saisine du juge national en vertu de l’article L. 141- 1 du Code de l’Organisation judiciaire constitue une voie de recours </w:t>
      </w:r>
      <w:r w:rsidR="003E5DD1" w:rsidRPr="0013711D">
        <w:rPr>
          <w:color w:val="000000" w:themeColor="text1"/>
          <w:lang w:val="fr-FR"/>
        </w:rPr>
        <w:t xml:space="preserve">interne </w:t>
      </w:r>
      <w:r w:rsidR="006D49FF" w:rsidRPr="0013711D">
        <w:rPr>
          <w:color w:val="000000" w:themeColor="text1"/>
          <w:lang w:val="fr-FR"/>
        </w:rPr>
        <w:t>à épuiser</w:t>
      </w:r>
      <w:r w:rsidR="003C2B0D" w:rsidRPr="0013711D">
        <w:rPr>
          <w:color w:val="000000" w:themeColor="text1"/>
          <w:lang w:val="fr-FR"/>
        </w:rPr>
        <w:t xml:space="preserve"> </w:t>
      </w:r>
      <w:r w:rsidR="000A28CD" w:rsidRPr="0013711D">
        <w:rPr>
          <w:color w:val="000000" w:themeColor="text1"/>
          <w:lang w:val="fr-FR"/>
        </w:rPr>
        <w:t>dans la juris</w:t>
      </w:r>
      <w:r w:rsidR="00904AE6" w:rsidRPr="0013711D">
        <w:rPr>
          <w:color w:val="000000" w:themeColor="text1"/>
          <w:lang w:val="fr-FR"/>
        </w:rPr>
        <w:t xml:space="preserve">prudence de la CEDH </w:t>
      </w:r>
      <w:r w:rsidR="00060078" w:rsidRPr="0013711D">
        <w:rPr>
          <w:color w:val="000000" w:themeColor="text1"/>
          <w:lang w:val="fr-FR"/>
        </w:rPr>
        <w:t xml:space="preserve">que lorsqu’une </w:t>
      </w:r>
      <w:r w:rsidR="003C2B0D" w:rsidRPr="0013711D">
        <w:rPr>
          <w:color w:val="000000" w:themeColor="text1"/>
          <w:lang w:val="fr-FR"/>
        </w:rPr>
        <w:t>affaire</w:t>
      </w:r>
      <w:r w:rsidR="003E5DD1" w:rsidRPr="0013711D">
        <w:rPr>
          <w:color w:val="000000" w:themeColor="text1"/>
          <w:lang w:val="fr-FR"/>
        </w:rPr>
        <w:t xml:space="preserve"> </w:t>
      </w:r>
      <w:r w:rsidR="00060078" w:rsidRPr="0013711D">
        <w:rPr>
          <w:color w:val="000000" w:themeColor="text1"/>
          <w:lang w:val="fr-FR"/>
        </w:rPr>
        <w:t>a trait à la question d</w:t>
      </w:r>
      <w:r w:rsidR="00904AE6" w:rsidRPr="0013711D">
        <w:rPr>
          <w:color w:val="000000" w:themeColor="text1"/>
          <w:lang w:val="fr-FR"/>
        </w:rPr>
        <w:t>u</w:t>
      </w:r>
      <w:r w:rsidR="00060078" w:rsidRPr="0013711D">
        <w:rPr>
          <w:color w:val="000000" w:themeColor="text1"/>
          <w:lang w:val="fr-FR"/>
        </w:rPr>
        <w:t xml:space="preserve"> délai raisonnable et de</w:t>
      </w:r>
      <w:r w:rsidR="00904AE6" w:rsidRPr="0013711D">
        <w:rPr>
          <w:color w:val="000000" w:themeColor="text1"/>
          <w:lang w:val="fr-FR"/>
        </w:rPr>
        <w:t xml:space="preserve"> la</w:t>
      </w:r>
      <w:r w:rsidR="00060078" w:rsidRPr="0013711D">
        <w:rPr>
          <w:color w:val="000000" w:themeColor="text1"/>
          <w:lang w:val="fr-FR"/>
        </w:rPr>
        <w:t xml:space="preserve"> durée de la procédure devant le juge national, notamment depuis l’arrêt </w:t>
      </w:r>
      <w:proofErr w:type="spellStart"/>
      <w:r w:rsidR="00060078" w:rsidRPr="0013711D">
        <w:rPr>
          <w:color w:val="000000" w:themeColor="text1"/>
          <w:lang w:val="fr-FR"/>
        </w:rPr>
        <w:t>Mifsud</w:t>
      </w:r>
      <w:proofErr w:type="spellEnd"/>
      <w:r w:rsidR="00060078" w:rsidRPr="0013711D">
        <w:rPr>
          <w:color w:val="000000" w:themeColor="text1"/>
          <w:lang w:val="fr-FR"/>
        </w:rPr>
        <w:t xml:space="preserve"> </w:t>
      </w:r>
      <w:r w:rsidR="00DB770C">
        <w:rPr>
          <w:color w:val="000000" w:themeColor="text1"/>
          <w:lang w:val="fr-FR"/>
        </w:rPr>
        <w:t xml:space="preserve">contre </w:t>
      </w:r>
      <w:r w:rsidR="00060078" w:rsidRPr="0013711D">
        <w:rPr>
          <w:color w:val="000000" w:themeColor="text1"/>
          <w:lang w:val="fr-FR"/>
        </w:rPr>
        <w:t>France</w:t>
      </w:r>
      <w:r w:rsidR="00DB770C">
        <w:rPr>
          <w:rStyle w:val="FootnoteReference"/>
          <w:color w:val="000000" w:themeColor="text1"/>
        </w:rPr>
        <w:footnoteReference w:id="8"/>
      </w:r>
      <w:r w:rsidR="00060078" w:rsidRPr="0013711D">
        <w:rPr>
          <w:color w:val="000000" w:themeColor="text1"/>
          <w:lang w:val="fr-FR"/>
        </w:rPr>
        <w:t xml:space="preserve">, sous l’angle de l’article 6 de la Convention EDH. L’auteur estime que la règle de la saisine </w:t>
      </w:r>
      <w:r w:rsidR="009E2F1D" w:rsidRPr="0013711D">
        <w:rPr>
          <w:color w:val="000000" w:themeColor="text1"/>
          <w:lang w:val="fr-FR"/>
        </w:rPr>
        <w:t>préalable</w:t>
      </w:r>
      <w:r w:rsidR="00560EB0" w:rsidRPr="0013711D">
        <w:rPr>
          <w:color w:val="000000" w:themeColor="text1"/>
          <w:lang w:val="fr-FR"/>
        </w:rPr>
        <w:t xml:space="preserve"> </w:t>
      </w:r>
      <w:r w:rsidR="00060078" w:rsidRPr="0013711D">
        <w:rPr>
          <w:color w:val="000000" w:themeColor="text1"/>
          <w:lang w:val="fr-FR"/>
        </w:rPr>
        <w:t>d</w:t>
      </w:r>
      <w:r w:rsidR="003C2B0D" w:rsidRPr="0013711D">
        <w:rPr>
          <w:color w:val="000000" w:themeColor="text1"/>
          <w:lang w:val="fr-FR"/>
        </w:rPr>
        <w:t>u j</w:t>
      </w:r>
      <w:r w:rsidR="00560EB0" w:rsidRPr="0013711D">
        <w:rPr>
          <w:color w:val="000000" w:themeColor="text1"/>
          <w:lang w:val="fr-FR"/>
        </w:rPr>
        <w:t xml:space="preserve">uge national en application de l’article L. 141- 1 du Code de l’Organisation judiciaire avant toute saisine internationale n’est pas automatique et ne s’applique pas dans tous les cas. </w:t>
      </w:r>
      <w:r w:rsidR="00C244A8" w:rsidRPr="0013711D">
        <w:rPr>
          <w:color w:val="000000" w:themeColor="text1"/>
          <w:lang w:val="fr-FR"/>
        </w:rPr>
        <w:t>Tout en reconnaissant que l’article L 141-1 du Code de l’Organisation judiciaire entre en jeu dès lors qu’il y a une faute lourde de l’Etat, l’auteur excipe néanmoins qu’en 2015, au</w:t>
      </w:r>
      <w:r w:rsidR="003C2B0D" w:rsidRPr="0013711D">
        <w:rPr>
          <w:color w:val="000000" w:themeColor="text1"/>
          <w:lang w:val="fr-FR"/>
        </w:rPr>
        <w:t xml:space="preserve"> moment de la saisine du Comité, </w:t>
      </w:r>
      <w:r w:rsidR="00C244A8" w:rsidRPr="0013711D">
        <w:rPr>
          <w:color w:val="000000" w:themeColor="text1"/>
          <w:lang w:val="fr-FR"/>
        </w:rPr>
        <w:t xml:space="preserve">la notion de faute lourde prévue (clarifiée depuis par la jurisprudence), prévue au paragraphe 1 de l’article 781-1 du Code de l’Organisation judiciaire n’était pas encore précisée. L’auteur estime qu’en ayant saisi la Cour d’Appel et la Cour de Cassation, il a épuisé toutes les voies de recours internes. </w:t>
      </w:r>
    </w:p>
    <w:p w14:paraId="31AE0584" w14:textId="2739981A" w:rsidR="00C244A8" w:rsidRPr="0013711D" w:rsidRDefault="006E5D89" w:rsidP="006E5D89">
      <w:pPr>
        <w:pStyle w:val="H23G"/>
        <w:rPr>
          <w:lang w:val="fr-FR"/>
        </w:rPr>
      </w:pPr>
      <w:r>
        <w:rPr>
          <w:lang w:val="fr-FR"/>
        </w:rPr>
        <w:tab/>
      </w:r>
      <w:r>
        <w:rPr>
          <w:lang w:val="fr-FR"/>
        </w:rPr>
        <w:tab/>
      </w:r>
      <w:r w:rsidR="00C244A8" w:rsidRPr="0013711D">
        <w:rPr>
          <w:lang w:val="fr-FR"/>
        </w:rPr>
        <w:t>Observations de l’Etat partie sur la recevabilité et le fond de la communication</w:t>
      </w:r>
    </w:p>
    <w:p w14:paraId="6AD469CE" w14:textId="69588229" w:rsidR="00415A1F" w:rsidRPr="0013711D" w:rsidRDefault="00415A1F" w:rsidP="006E5D89">
      <w:pPr>
        <w:pStyle w:val="SingleTxtG"/>
        <w:rPr>
          <w:lang w:val="fr-FR"/>
        </w:rPr>
      </w:pPr>
      <w:r w:rsidRPr="0013711D">
        <w:rPr>
          <w:lang w:val="fr-FR"/>
        </w:rPr>
        <w:t>6.1</w:t>
      </w:r>
      <w:r w:rsidRPr="0013711D">
        <w:rPr>
          <w:lang w:val="fr-FR"/>
        </w:rPr>
        <w:tab/>
      </w:r>
      <w:r w:rsidR="0040793A" w:rsidRPr="0013711D">
        <w:rPr>
          <w:lang w:val="fr-FR"/>
        </w:rPr>
        <w:t xml:space="preserve">Le 13 septembre 2018, l’Etat </w:t>
      </w:r>
      <w:r w:rsidR="00DB770C">
        <w:rPr>
          <w:lang w:val="fr-FR"/>
        </w:rPr>
        <w:t>partie a soumis au</w:t>
      </w:r>
      <w:r w:rsidR="0040793A" w:rsidRPr="0013711D">
        <w:rPr>
          <w:lang w:val="fr-FR"/>
        </w:rPr>
        <w:t xml:space="preserve"> Comité ses observations sur la recevabilité et le fond de la </w:t>
      </w:r>
      <w:r w:rsidR="0040793A" w:rsidRPr="006E5D89">
        <w:t>communication</w:t>
      </w:r>
      <w:r w:rsidR="0040793A" w:rsidRPr="0013711D">
        <w:rPr>
          <w:lang w:val="fr-FR"/>
        </w:rPr>
        <w:t xml:space="preserve">. L’Etat partie </w:t>
      </w:r>
      <w:r w:rsidR="003C2B0D" w:rsidRPr="0013711D">
        <w:rPr>
          <w:lang w:val="fr-FR"/>
        </w:rPr>
        <w:t xml:space="preserve">souligne que les différentes personnes interrogées, y compris des camarades et des professeurs de l’auteur, </w:t>
      </w:r>
      <w:r w:rsidR="0040793A" w:rsidRPr="0013711D">
        <w:rPr>
          <w:lang w:val="fr-FR"/>
        </w:rPr>
        <w:t>ont déclaré n’avoir au</w:t>
      </w:r>
      <w:r w:rsidR="00DB770C">
        <w:rPr>
          <w:lang w:val="fr-FR"/>
        </w:rPr>
        <w:t xml:space="preserve">cun souvenir des faits de viol soumis </w:t>
      </w:r>
      <w:r w:rsidR="0040793A" w:rsidRPr="0013711D">
        <w:rPr>
          <w:lang w:val="fr-FR"/>
        </w:rPr>
        <w:t>par l’auteur. L’Etat partie soumet que c’est en raison de l’absence d’indice</w:t>
      </w:r>
      <w:r w:rsidR="003C2B0D" w:rsidRPr="0013711D">
        <w:rPr>
          <w:lang w:val="fr-FR"/>
        </w:rPr>
        <w:t>s sérieux sur les faits de viol</w:t>
      </w:r>
      <w:r w:rsidR="0040793A" w:rsidRPr="0013711D">
        <w:rPr>
          <w:lang w:val="fr-FR"/>
        </w:rPr>
        <w:t xml:space="preserve"> allégués par l’auteur que le </w:t>
      </w:r>
      <w:r w:rsidR="00DB770C">
        <w:rPr>
          <w:lang w:val="fr-FR"/>
        </w:rPr>
        <w:t xml:space="preserve">Procureur de la République avait </w:t>
      </w:r>
      <w:r w:rsidR="0040793A" w:rsidRPr="0013711D">
        <w:rPr>
          <w:lang w:val="fr-FR"/>
        </w:rPr>
        <w:t>décidé de cla</w:t>
      </w:r>
      <w:r w:rsidR="003C2B0D" w:rsidRPr="0013711D">
        <w:rPr>
          <w:lang w:val="fr-FR"/>
        </w:rPr>
        <w:t>sser l’affaire sans suite le 1</w:t>
      </w:r>
      <w:r w:rsidR="003C2B0D" w:rsidRPr="0013711D">
        <w:rPr>
          <w:vertAlign w:val="superscript"/>
          <w:lang w:val="fr-FR"/>
        </w:rPr>
        <w:t>er</w:t>
      </w:r>
      <w:r w:rsidR="003C2B0D" w:rsidRPr="0013711D">
        <w:rPr>
          <w:lang w:val="fr-FR"/>
        </w:rPr>
        <w:t xml:space="preserve"> </w:t>
      </w:r>
      <w:r w:rsidR="0040793A" w:rsidRPr="0013711D">
        <w:rPr>
          <w:lang w:val="fr-FR"/>
        </w:rPr>
        <w:t xml:space="preserve">juin 2011. L’Etat partie soumet que le 2 avril 2012, une information judiciaire avait été ouverte et que </w:t>
      </w:r>
      <w:r w:rsidR="003C2B0D" w:rsidRPr="0013711D">
        <w:rPr>
          <w:lang w:val="fr-FR"/>
        </w:rPr>
        <w:t>tous les</w:t>
      </w:r>
      <w:r w:rsidR="0040793A" w:rsidRPr="0013711D">
        <w:rPr>
          <w:lang w:val="fr-FR"/>
        </w:rPr>
        <w:t xml:space="preserve"> éléments recueillis au cours de l’enquête préliminaire ont été remis au juge d’instruction. </w:t>
      </w:r>
    </w:p>
    <w:p w14:paraId="5C4978F6" w14:textId="48CA8A4C" w:rsidR="0040793A" w:rsidRPr="0013711D" w:rsidRDefault="00415A1F" w:rsidP="0040793A">
      <w:pPr>
        <w:pStyle w:val="SingleTxtG"/>
        <w:rPr>
          <w:color w:val="000000" w:themeColor="text1"/>
          <w:lang w:val="fr-FR"/>
        </w:rPr>
      </w:pPr>
      <w:r w:rsidRPr="0013711D">
        <w:rPr>
          <w:color w:val="000000" w:themeColor="text1"/>
          <w:lang w:val="fr-FR"/>
        </w:rPr>
        <w:lastRenderedPageBreak/>
        <w:t>6.2</w:t>
      </w:r>
      <w:r w:rsidRPr="0013711D">
        <w:rPr>
          <w:color w:val="000000" w:themeColor="text1"/>
          <w:lang w:val="fr-FR"/>
        </w:rPr>
        <w:tab/>
      </w:r>
      <w:r w:rsidR="0040793A" w:rsidRPr="0013711D">
        <w:rPr>
          <w:color w:val="000000" w:themeColor="text1"/>
          <w:lang w:val="fr-FR"/>
        </w:rPr>
        <w:t>L’Etat partie estime que les enquêteurs ont pris le soin d’auditionner non seulement des personnes qui résidaient encore dans le pays, mais également ceux qui résidaient à l’étranger qui ont répondu à leurs questions par courriel ou par téléphone</w:t>
      </w:r>
      <w:r w:rsidR="00946FA7" w:rsidRPr="0013711D">
        <w:rPr>
          <w:color w:val="000000" w:themeColor="text1"/>
          <w:lang w:val="fr-FR"/>
        </w:rPr>
        <w:t>. L</w:t>
      </w:r>
      <w:r w:rsidR="0040793A" w:rsidRPr="0013711D">
        <w:rPr>
          <w:color w:val="000000" w:themeColor="text1"/>
          <w:lang w:val="fr-FR"/>
        </w:rPr>
        <w:t>e psychiatre de l’auteur</w:t>
      </w:r>
      <w:r w:rsidR="00946FA7" w:rsidRPr="0013711D">
        <w:rPr>
          <w:color w:val="000000" w:themeColor="text1"/>
          <w:lang w:val="fr-FR"/>
        </w:rPr>
        <w:t xml:space="preserve">, </w:t>
      </w:r>
      <w:r w:rsidR="0040793A" w:rsidRPr="0013711D">
        <w:rPr>
          <w:color w:val="000000" w:themeColor="text1"/>
          <w:lang w:val="fr-FR"/>
        </w:rPr>
        <w:t>ayan</w:t>
      </w:r>
      <w:r w:rsidR="00946FA7" w:rsidRPr="0013711D">
        <w:rPr>
          <w:color w:val="000000" w:themeColor="text1"/>
          <w:lang w:val="fr-FR"/>
        </w:rPr>
        <w:t xml:space="preserve">t fait valoir le secret médical, </w:t>
      </w:r>
      <w:r w:rsidR="0040793A" w:rsidRPr="0013711D">
        <w:rPr>
          <w:color w:val="000000" w:themeColor="text1"/>
          <w:lang w:val="fr-FR"/>
        </w:rPr>
        <w:t xml:space="preserve">n’a pas voulu répondre aux questions des enquêteurs. L’Etat partie indique </w:t>
      </w:r>
      <w:r w:rsidR="00946FA7" w:rsidRPr="0013711D">
        <w:rPr>
          <w:color w:val="000000" w:themeColor="text1"/>
          <w:lang w:val="fr-FR"/>
        </w:rPr>
        <w:t>qu’à</w:t>
      </w:r>
      <w:r w:rsidR="0040793A" w:rsidRPr="0013711D">
        <w:rPr>
          <w:color w:val="000000" w:themeColor="text1"/>
          <w:lang w:val="fr-FR"/>
        </w:rPr>
        <w:t xml:space="preserve"> </w:t>
      </w:r>
      <w:r w:rsidR="00946FA7" w:rsidRPr="0013711D">
        <w:rPr>
          <w:color w:val="000000" w:themeColor="text1"/>
          <w:lang w:val="fr-FR"/>
        </w:rPr>
        <w:t>cet</w:t>
      </w:r>
      <w:r w:rsidR="0040793A" w:rsidRPr="0013711D">
        <w:rPr>
          <w:color w:val="000000" w:themeColor="text1"/>
          <w:lang w:val="fr-FR"/>
        </w:rPr>
        <w:t xml:space="preserve"> effet, le juge d’instruction a désigné le 16 avril 2012 un expert aux fins de procéder à une expertise médico-psychologique </w:t>
      </w:r>
      <w:r w:rsidR="00DB770C">
        <w:rPr>
          <w:color w:val="000000" w:themeColor="text1"/>
          <w:lang w:val="fr-FR"/>
        </w:rPr>
        <w:t>de l’auteur</w:t>
      </w:r>
      <w:r w:rsidR="0040793A" w:rsidRPr="0013711D">
        <w:rPr>
          <w:color w:val="000000" w:themeColor="text1"/>
          <w:lang w:val="fr-FR"/>
        </w:rPr>
        <w:t xml:space="preserve">. </w:t>
      </w:r>
    </w:p>
    <w:p w14:paraId="19B4E8FF" w14:textId="6B8E5F18" w:rsidR="0040793A" w:rsidRPr="0013711D" w:rsidRDefault="00415A1F" w:rsidP="00334497">
      <w:pPr>
        <w:pStyle w:val="SingleTxtG"/>
        <w:rPr>
          <w:color w:val="000000" w:themeColor="text1"/>
          <w:lang w:val="fr-FR"/>
        </w:rPr>
      </w:pPr>
      <w:r w:rsidRPr="0013711D">
        <w:rPr>
          <w:color w:val="000000" w:themeColor="text1"/>
          <w:lang w:val="fr-FR"/>
        </w:rPr>
        <w:t>6.3</w:t>
      </w:r>
      <w:r w:rsidRPr="0013711D">
        <w:rPr>
          <w:color w:val="000000" w:themeColor="text1"/>
          <w:lang w:val="fr-FR"/>
        </w:rPr>
        <w:tab/>
      </w:r>
      <w:r w:rsidR="0040793A" w:rsidRPr="0013711D">
        <w:rPr>
          <w:color w:val="000000" w:themeColor="text1"/>
          <w:lang w:val="fr-FR"/>
        </w:rPr>
        <w:t>L’Etat partie soumet que l’auteur a omis de répondre à deux convocations du juge d’</w:t>
      </w:r>
      <w:r w:rsidR="00946FA7" w:rsidRPr="0013711D">
        <w:rPr>
          <w:color w:val="000000" w:themeColor="text1"/>
          <w:lang w:val="fr-FR"/>
        </w:rPr>
        <w:t>instruction ainsi qu’à deux confrontations, évoquant</w:t>
      </w:r>
      <w:r w:rsidR="0040793A" w:rsidRPr="0013711D">
        <w:rPr>
          <w:color w:val="000000" w:themeColor="text1"/>
          <w:lang w:val="fr-FR"/>
        </w:rPr>
        <w:t xml:space="preserve"> des problèmes de santé</w:t>
      </w:r>
      <w:r w:rsidR="00946FA7" w:rsidRPr="0013711D">
        <w:rPr>
          <w:color w:val="000000" w:themeColor="text1"/>
          <w:lang w:val="fr-FR"/>
        </w:rPr>
        <w:t>,</w:t>
      </w:r>
      <w:r w:rsidR="0040793A" w:rsidRPr="0013711D">
        <w:rPr>
          <w:color w:val="000000" w:themeColor="text1"/>
          <w:lang w:val="fr-FR"/>
        </w:rPr>
        <w:t xml:space="preserve"> </w:t>
      </w:r>
      <w:r w:rsidR="00946FA7" w:rsidRPr="0013711D">
        <w:rPr>
          <w:color w:val="000000" w:themeColor="text1"/>
          <w:lang w:val="fr-FR"/>
        </w:rPr>
        <w:t xml:space="preserve">certificats médicaux à l’appui. </w:t>
      </w:r>
      <w:r w:rsidR="0040793A" w:rsidRPr="0013711D">
        <w:rPr>
          <w:color w:val="000000" w:themeColor="text1"/>
          <w:lang w:val="fr-FR"/>
        </w:rPr>
        <w:t xml:space="preserve">L’Etat partie soumet que </w:t>
      </w:r>
      <w:r w:rsidR="00D102F0" w:rsidRPr="0013711D">
        <w:rPr>
          <w:color w:val="000000" w:themeColor="text1"/>
          <w:lang w:val="fr-FR"/>
        </w:rPr>
        <w:t xml:space="preserve">suite à ces absences de </w:t>
      </w:r>
      <w:r w:rsidR="00946FA7" w:rsidRPr="0013711D">
        <w:rPr>
          <w:color w:val="000000" w:themeColor="text1"/>
          <w:lang w:val="fr-FR"/>
        </w:rPr>
        <w:t xml:space="preserve">l’auteur </w:t>
      </w:r>
      <w:r w:rsidR="00D102F0" w:rsidRPr="0013711D">
        <w:rPr>
          <w:color w:val="000000" w:themeColor="text1"/>
          <w:lang w:val="fr-FR"/>
        </w:rPr>
        <w:t xml:space="preserve">et considérant que les informations </w:t>
      </w:r>
      <w:r w:rsidR="00696449" w:rsidRPr="0013711D">
        <w:rPr>
          <w:color w:val="000000" w:themeColor="text1"/>
          <w:lang w:val="fr-FR"/>
        </w:rPr>
        <w:t xml:space="preserve">déjà collectées n’ont pas permis d’avoir des éléments pour continuer l’information, </w:t>
      </w:r>
      <w:r w:rsidR="00946FA7" w:rsidRPr="0013711D">
        <w:rPr>
          <w:color w:val="000000" w:themeColor="text1"/>
          <w:lang w:val="fr-FR"/>
        </w:rPr>
        <w:t xml:space="preserve">le </w:t>
      </w:r>
      <w:r w:rsidR="0040793A" w:rsidRPr="0013711D">
        <w:rPr>
          <w:color w:val="000000" w:themeColor="text1"/>
          <w:lang w:val="fr-FR"/>
        </w:rPr>
        <w:t>10 janvier 2013, le juge d’instruction a notifié aux</w:t>
      </w:r>
      <w:r w:rsidR="00696449" w:rsidRPr="0013711D">
        <w:rPr>
          <w:color w:val="000000" w:themeColor="text1"/>
          <w:lang w:val="fr-FR"/>
        </w:rPr>
        <w:t xml:space="preserve"> parties la fin de l’information. </w:t>
      </w:r>
      <w:r w:rsidR="00BC28AE" w:rsidRPr="0013711D">
        <w:rPr>
          <w:color w:val="000000" w:themeColor="text1"/>
          <w:lang w:val="fr-FR"/>
        </w:rPr>
        <w:t xml:space="preserve">L’Etat partie soumet que c’est sur cette base que </w:t>
      </w:r>
      <w:r w:rsidR="0040793A" w:rsidRPr="0013711D">
        <w:rPr>
          <w:color w:val="000000" w:themeColor="text1"/>
          <w:lang w:val="fr-FR"/>
        </w:rPr>
        <w:t xml:space="preserve">le 28 janvier 2013, </w:t>
      </w:r>
      <w:r w:rsidR="00BC28AE" w:rsidRPr="0013711D">
        <w:rPr>
          <w:color w:val="000000" w:themeColor="text1"/>
          <w:lang w:val="fr-FR"/>
        </w:rPr>
        <w:t xml:space="preserve">l’auteur </w:t>
      </w:r>
      <w:r w:rsidR="0040793A" w:rsidRPr="0013711D">
        <w:rPr>
          <w:color w:val="000000" w:themeColor="text1"/>
          <w:lang w:val="fr-FR"/>
        </w:rPr>
        <w:t>a déposé une demande d'acte afin qu'il soit procédé à de nouvelles auditions de ceux qu'</w:t>
      </w:r>
      <w:r w:rsidR="00334497">
        <w:rPr>
          <w:color w:val="000000" w:themeColor="text1"/>
          <w:lang w:val="fr-FR"/>
        </w:rPr>
        <w:t xml:space="preserve">il avait désignés comme témoins. L’Etat partie soumet également que </w:t>
      </w:r>
      <w:r w:rsidR="0040793A" w:rsidRPr="0013711D">
        <w:rPr>
          <w:color w:val="000000" w:themeColor="text1"/>
          <w:lang w:val="fr-FR"/>
        </w:rPr>
        <w:t xml:space="preserve">le 20 mars 2013, le juge d'instruction a refusé de faire droit </w:t>
      </w:r>
      <w:r w:rsidR="00334497">
        <w:rPr>
          <w:color w:val="000000" w:themeColor="text1"/>
          <w:lang w:val="fr-FR"/>
        </w:rPr>
        <w:t>aux nouvelles</w:t>
      </w:r>
      <w:r w:rsidR="0040793A" w:rsidRPr="0013711D">
        <w:rPr>
          <w:color w:val="000000" w:themeColor="text1"/>
          <w:lang w:val="fr-FR"/>
        </w:rPr>
        <w:t xml:space="preserve"> demandes </w:t>
      </w:r>
      <w:r w:rsidR="00334497">
        <w:rPr>
          <w:color w:val="000000" w:themeColor="text1"/>
          <w:lang w:val="fr-FR"/>
        </w:rPr>
        <w:t xml:space="preserve">de l’auteur </w:t>
      </w:r>
      <w:r w:rsidR="0040793A" w:rsidRPr="0013711D">
        <w:rPr>
          <w:color w:val="000000" w:themeColor="text1"/>
          <w:lang w:val="fr-FR"/>
        </w:rPr>
        <w:t xml:space="preserve">au motif que les investigations menées à partir des éléments et noms cités par l’auteur n’ont rien </w:t>
      </w:r>
      <w:r w:rsidR="00946FA7" w:rsidRPr="0013711D">
        <w:rPr>
          <w:color w:val="000000" w:themeColor="text1"/>
          <w:lang w:val="fr-FR"/>
        </w:rPr>
        <w:t>révélé</w:t>
      </w:r>
      <w:r w:rsidR="0040793A" w:rsidRPr="0013711D">
        <w:rPr>
          <w:color w:val="000000" w:themeColor="text1"/>
          <w:lang w:val="fr-FR"/>
        </w:rPr>
        <w:t xml:space="preserve">. </w:t>
      </w:r>
      <w:r w:rsidR="00946FA7" w:rsidRPr="0013711D">
        <w:rPr>
          <w:color w:val="000000" w:themeColor="text1"/>
          <w:lang w:val="fr-FR"/>
        </w:rPr>
        <w:t>L’Etat partie rappelle que le C</w:t>
      </w:r>
      <w:r w:rsidR="0040793A" w:rsidRPr="0013711D">
        <w:rPr>
          <w:color w:val="000000" w:themeColor="text1"/>
          <w:lang w:val="fr-FR"/>
        </w:rPr>
        <w:t xml:space="preserve">ode de procédure pénale ne précise pas la liste des actes d'instruction indispensables à réaliser en </w:t>
      </w:r>
      <w:r w:rsidR="00946FA7" w:rsidRPr="0013711D">
        <w:rPr>
          <w:color w:val="000000" w:themeColor="text1"/>
          <w:lang w:val="fr-FR"/>
        </w:rPr>
        <w:t xml:space="preserve">cas </w:t>
      </w:r>
      <w:r w:rsidR="0040793A" w:rsidRPr="0013711D">
        <w:rPr>
          <w:color w:val="000000" w:themeColor="text1"/>
          <w:lang w:val="fr-FR"/>
        </w:rPr>
        <w:t>d'infractions sexuelles et en particulier de viol</w:t>
      </w:r>
      <w:r w:rsidR="00696449" w:rsidRPr="0013711D">
        <w:rPr>
          <w:color w:val="000000" w:themeColor="text1"/>
          <w:lang w:val="fr-FR"/>
        </w:rPr>
        <w:t>,</w:t>
      </w:r>
      <w:r w:rsidR="0040793A" w:rsidRPr="0013711D">
        <w:rPr>
          <w:color w:val="000000" w:themeColor="text1"/>
          <w:lang w:val="fr-FR"/>
        </w:rPr>
        <w:t xml:space="preserve"> et qu’il est loisible au juge d’instruction de déterminer les actes </w:t>
      </w:r>
      <w:r w:rsidR="00696449" w:rsidRPr="0013711D">
        <w:rPr>
          <w:color w:val="000000" w:themeColor="text1"/>
          <w:lang w:val="fr-FR"/>
        </w:rPr>
        <w:t>qu’il juge</w:t>
      </w:r>
      <w:r w:rsidR="0040793A" w:rsidRPr="0013711D">
        <w:rPr>
          <w:color w:val="000000" w:themeColor="text1"/>
          <w:lang w:val="fr-FR"/>
        </w:rPr>
        <w:t xml:space="preserve"> nécessaires </w:t>
      </w:r>
      <w:r w:rsidR="00946FA7" w:rsidRPr="0013711D">
        <w:rPr>
          <w:color w:val="000000" w:themeColor="text1"/>
          <w:lang w:val="fr-FR"/>
        </w:rPr>
        <w:t>à</w:t>
      </w:r>
      <w:r w:rsidR="0040793A" w:rsidRPr="0013711D">
        <w:rPr>
          <w:color w:val="000000" w:themeColor="text1"/>
          <w:lang w:val="fr-FR"/>
        </w:rPr>
        <w:t xml:space="preserve"> la manifestation de la vérité. </w:t>
      </w:r>
    </w:p>
    <w:p w14:paraId="630883E9" w14:textId="01223C5A" w:rsidR="0040793A" w:rsidRPr="0013711D" w:rsidRDefault="00415A1F" w:rsidP="00946FA7">
      <w:pPr>
        <w:pStyle w:val="SingleTxtG"/>
        <w:rPr>
          <w:color w:val="000000" w:themeColor="text1"/>
          <w:lang w:val="fr-FR"/>
        </w:rPr>
      </w:pPr>
      <w:r w:rsidRPr="0013711D">
        <w:rPr>
          <w:color w:val="000000" w:themeColor="text1"/>
          <w:lang w:val="fr-FR"/>
        </w:rPr>
        <w:t>6.4</w:t>
      </w:r>
      <w:r w:rsidRPr="0013711D">
        <w:rPr>
          <w:color w:val="000000" w:themeColor="text1"/>
          <w:lang w:val="fr-FR"/>
        </w:rPr>
        <w:tab/>
      </w:r>
      <w:r w:rsidR="00036C8A" w:rsidRPr="0013711D">
        <w:rPr>
          <w:color w:val="000000" w:themeColor="text1"/>
          <w:lang w:val="fr-FR"/>
        </w:rPr>
        <w:t xml:space="preserve">Sur l’irrecevabilité </w:t>
      </w:r>
      <w:proofErr w:type="spellStart"/>
      <w:r w:rsidR="00036C8A" w:rsidRPr="0013711D">
        <w:rPr>
          <w:i/>
          <w:color w:val="000000" w:themeColor="text1"/>
          <w:lang w:val="fr-FR"/>
        </w:rPr>
        <w:t>ratione</w:t>
      </w:r>
      <w:proofErr w:type="spellEnd"/>
      <w:r w:rsidR="00036C8A" w:rsidRPr="0013711D">
        <w:rPr>
          <w:i/>
          <w:color w:val="000000" w:themeColor="text1"/>
          <w:lang w:val="fr-FR"/>
        </w:rPr>
        <w:t xml:space="preserve"> materiae</w:t>
      </w:r>
      <w:r w:rsidR="00036C8A" w:rsidRPr="0013711D">
        <w:rPr>
          <w:color w:val="000000" w:themeColor="text1"/>
          <w:lang w:val="fr-FR"/>
        </w:rPr>
        <w:t xml:space="preserve"> de la communication au regard de l’article </w:t>
      </w:r>
      <w:r w:rsidR="0040793A" w:rsidRPr="0013711D">
        <w:rPr>
          <w:color w:val="000000" w:themeColor="text1"/>
          <w:lang w:val="fr-FR"/>
        </w:rPr>
        <w:t>14</w:t>
      </w:r>
      <w:r w:rsidR="00696449" w:rsidRPr="0013711D">
        <w:rPr>
          <w:color w:val="000000" w:themeColor="text1"/>
          <w:lang w:val="fr-FR"/>
        </w:rPr>
        <w:t xml:space="preserve"> (1)</w:t>
      </w:r>
      <w:r w:rsidR="00036C8A" w:rsidRPr="0013711D">
        <w:rPr>
          <w:color w:val="000000" w:themeColor="text1"/>
          <w:lang w:val="fr-FR"/>
        </w:rPr>
        <w:t xml:space="preserve"> </w:t>
      </w:r>
      <w:proofErr w:type="spellStart"/>
      <w:r w:rsidR="00036C8A" w:rsidRPr="0013711D">
        <w:rPr>
          <w:color w:val="000000" w:themeColor="text1"/>
          <w:lang w:val="fr-FR"/>
        </w:rPr>
        <w:t>diu</w:t>
      </w:r>
      <w:proofErr w:type="spellEnd"/>
      <w:r w:rsidR="00036C8A" w:rsidRPr="0013711D">
        <w:rPr>
          <w:color w:val="000000" w:themeColor="text1"/>
          <w:lang w:val="fr-FR"/>
        </w:rPr>
        <w:t xml:space="preserve"> Pacte</w:t>
      </w:r>
      <w:r w:rsidR="0040793A" w:rsidRPr="0013711D">
        <w:rPr>
          <w:color w:val="000000" w:themeColor="text1"/>
          <w:lang w:val="fr-FR"/>
        </w:rPr>
        <w:t>, l’Etat partie soumet que l’</w:t>
      </w:r>
      <w:r w:rsidR="00946FA7" w:rsidRPr="0013711D">
        <w:rPr>
          <w:color w:val="000000" w:themeColor="text1"/>
          <w:lang w:val="fr-FR"/>
        </w:rPr>
        <w:t>auteur</w:t>
      </w:r>
      <w:r w:rsidR="0040793A" w:rsidRPr="0013711D">
        <w:rPr>
          <w:color w:val="000000" w:themeColor="text1"/>
          <w:lang w:val="fr-FR"/>
        </w:rPr>
        <w:t xml:space="preserve"> </w:t>
      </w:r>
      <w:r w:rsidR="00946FA7" w:rsidRPr="0013711D">
        <w:rPr>
          <w:color w:val="000000" w:themeColor="text1"/>
          <w:lang w:val="fr-FR"/>
        </w:rPr>
        <w:t>tente</w:t>
      </w:r>
      <w:r w:rsidR="0040793A" w:rsidRPr="0013711D">
        <w:rPr>
          <w:color w:val="000000" w:themeColor="text1"/>
          <w:lang w:val="fr-FR"/>
        </w:rPr>
        <w:t xml:space="preserve"> par sa communication de demander au Comité d’apprécier des éléments de faits et de preuve sans qu’il ne soit en mesure de montrer le caractère manifestement arbitraire de l’appréciation des juridictions nationales ou de l’ex</w:t>
      </w:r>
      <w:r w:rsidR="0013711D" w:rsidRPr="0013711D">
        <w:rPr>
          <w:color w:val="000000" w:themeColor="text1"/>
          <w:lang w:val="fr-FR"/>
        </w:rPr>
        <w:t>istence</w:t>
      </w:r>
      <w:r w:rsidR="0040793A" w:rsidRPr="0013711D">
        <w:rPr>
          <w:color w:val="000000" w:themeColor="text1"/>
          <w:lang w:val="fr-FR"/>
        </w:rPr>
        <w:t xml:space="preserve"> d’un déni de justice</w:t>
      </w:r>
      <w:r w:rsidR="00946FA7" w:rsidRPr="0013711D">
        <w:rPr>
          <w:color w:val="000000" w:themeColor="text1"/>
          <w:lang w:val="fr-FR"/>
        </w:rPr>
        <w:t xml:space="preserve">. </w:t>
      </w:r>
      <w:r w:rsidR="0040793A" w:rsidRPr="0013711D">
        <w:rPr>
          <w:color w:val="000000" w:themeColor="text1"/>
          <w:lang w:val="fr-FR"/>
        </w:rPr>
        <w:t xml:space="preserve">L’Etat </w:t>
      </w:r>
      <w:r w:rsidR="0013711D" w:rsidRPr="0013711D">
        <w:rPr>
          <w:color w:val="000000" w:themeColor="text1"/>
          <w:lang w:val="fr-FR"/>
        </w:rPr>
        <w:t xml:space="preserve">partie </w:t>
      </w:r>
      <w:r w:rsidR="0040793A" w:rsidRPr="0013711D">
        <w:rPr>
          <w:color w:val="000000" w:themeColor="text1"/>
          <w:lang w:val="fr-FR"/>
        </w:rPr>
        <w:t>réitère que les prétentions</w:t>
      </w:r>
      <w:r w:rsidR="0013711D" w:rsidRPr="0013711D">
        <w:rPr>
          <w:color w:val="000000" w:themeColor="text1"/>
          <w:lang w:val="fr-FR"/>
        </w:rPr>
        <w:t xml:space="preserve"> </w:t>
      </w:r>
      <w:r w:rsidR="00334497">
        <w:rPr>
          <w:color w:val="000000" w:themeColor="text1"/>
          <w:lang w:val="fr-FR"/>
        </w:rPr>
        <w:t xml:space="preserve">de l’auteur </w:t>
      </w:r>
      <w:r w:rsidR="0013711D" w:rsidRPr="0013711D">
        <w:rPr>
          <w:color w:val="000000" w:themeColor="text1"/>
          <w:lang w:val="fr-FR"/>
        </w:rPr>
        <w:t>s’apparentent de préférence aux droits garantis par le paragraphe</w:t>
      </w:r>
      <w:r w:rsidR="00696449" w:rsidRPr="0013711D">
        <w:rPr>
          <w:color w:val="000000" w:themeColor="text1"/>
          <w:lang w:val="fr-FR"/>
        </w:rPr>
        <w:t xml:space="preserve"> </w:t>
      </w:r>
      <w:r w:rsidR="0040793A" w:rsidRPr="0013711D">
        <w:rPr>
          <w:color w:val="000000" w:themeColor="text1"/>
          <w:lang w:val="fr-FR"/>
        </w:rPr>
        <w:t xml:space="preserve">e) de l'article 14 § 3 du Pacte, </w:t>
      </w:r>
      <w:r w:rsidR="0013711D" w:rsidRPr="0013711D">
        <w:rPr>
          <w:color w:val="000000" w:themeColor="text1"/>
          <w:lang w:val="fr-FR"/>
        </w:rPr>
        <w:t>qui n’est applicable qu’aux accusés</w:t>
      </w:r>
      <w:r w:rsidR="00D9168A">
        <w:rPr>
          <w:color w:val="000000" w:themeColor="text1"/>
          <w:lang w:val="fr-FR"/>
        </w:rPr>
        <w:t>.</w:t>
      </w:r>
    </w:p>
    <w:p w14:paraId="72BA1089" w14:textId="48B7AA88" w:rsidR="0040793A" w:rsidRPr="0013711D" w:rsidRDefault="00415A1F" w:rsidP="00334497">
      <w:pPr>
        <w:pStyle w:val="SingleTxtG"/>
        <w:rPr>
          <w:color w:val="000000" w:themeColor="text1"/>
          <w:lang w:val="fr-FR"/>
        </w:rPr>
      </w:pPr>
      <w:r w:rsidRPr="00334497">
        <w:rPr>
          <w:color w:val="000000" w:themeColor="text1"/>
          <w:lang w:val="fr-FR"/>
        </w:rPr>
        <w:t>6.5</w:t>
      </w:r>
      <w:r w:rsidRPr="00334497">
        <w:rPr>
          <w:color w:val="000000" w:themeColor="text1"/>
          <w:lang w:val="fr-FR"/>
        </w:rPr>
        <w:tab/>
      </w:r>
      <w:r w:rsidR="0040793A" w:rsidRPr="00334497">
        <w:rPr>
          <w:color w:val="000000" w:themeColor="text1"/>
          <w:lang w:val="fr-FR"/>
        </w:rPr>
        <w:t>Sur le fond de la Communication,</w:t>
      </w:r>
      <w:r w:rsidR="0040793A" w:rsidRPr="0013711D">
        <w:rPr>
          <w:color w:val="000000" w:themeColor="text1"/>
          <w:lang w:val="fr-FR"/>
        </w:rPr>
        <w:t xml:space="preserve"> l’Etat partie souligne que les faits de violence dénoncés par l’auteur devant le Comité ont été prescrits au moment de la soumission de la communication et que c’est sur le chef de viol commis en réunion que le cabinet d’instruction </w:t>
      </w:r>
      <w:r w:rsidR="008D5CC1" w:rsidRPr="0013711D">
        <w:rPr>
          <w:color w:val="000000" w:themeColor="text1"/>
          <w:lang w:val="fr-FR"/>
        </w:rPr>
        <w:t xml:space="preserve">a </w:t>
      </w:r>
      <w:r w:rsidR="00036C8A" w:rsidRPr="0013711D">
        <w:rPr>
          <w:color w:val="000000" w:themeColor="text1"/>
          <w:lang w:val="fr-FR"/>
        </w:rPr>
        <w:t xml:space="preserve">été saisi, </w:t>
      </w:r>
      <w:r w:rsidR="0040793A" w:rsidRPr="0013711D">
        <w:rPr>
          <w:color w:val="000000" w:themeColor="text1"/>
          <w:lang w:val="fr-FR"/>
        </w:rPr>
        <w:t xml:space="preserve">suite au dépôt de la plainte </w:t>
      </w:r>
      <w:r w:rsidR="00334497">
        <w:rPr>
          <w:color w:val="000000" w:themeColor="text1"/>
          <w:lang w:val="fr-FR"/>
        </w:rPr>
        <w:t>par l’auteur</w:t>
      </w:r>
      <w:r w:rsidR="00334497" w:rsidRPr="0013711D">
        <w:rPr>
          <w:color w:val="000000" w:themeColor="text1"/>
          <w:lang w:val="fr-FR"/>
        </w:rPr>
        <w:t xml:space="preserve"> </w:t>
      </w:r>
      <w:r w:rsidR="0040793A" w:rsidRPr="0013711D">
        <w:rPr>
          <w:color w:val="000000" w:themeColor="text1"/>
          <w:lang w:val="fr-FR"/>
        </w:rPr>
        <w:t xml:space="preserve">avec </w:t>
      </w:r>
      <w:r w:rsidR="00946FA7" w:rsidRPr="0013711D">
        <w:rPr>
          <w:color w:val="000000" w:themeColor="text1"/>
          <w:lang w:val="fr-FR"/>
        </w:rPr>
        <w:t xml:space="preserve">constitution de partie civile. </w:t>
      </w:r>
      <w:r w:rsidR="0040793A" w:rsidRPr="0013711D">
        <w:rPr>
          <w:color w:val="000000" w:themeColor="text1"/>
          <w:lang w:val="fr-FR"/>
        </w:rPr>
        <w:t xml:space="preserve">L’Etat partie </w:t>
      </w:r>
      <w:r w:rsidR="00946FA7" w:rsidRPr="0013711D">
        <w:rPr>
          <w:color w:val="000000" w:themeColor="text1"/>
          <w:lang w:val="fr-FR"/>
        </w:rPr>
        <w:t xml:space="preserve">souligne </w:t>
      </w:r>
      <w:r w:rsidR="0040793A" w:rsidRPr="0013711D">
        <w:rPr>
          <w:color w:val="000000" w:themeColor="text1"/>
          <w:lang w:val="fr-FR"/>
        </w:rPr>
        <w:t xml:space="preserve">que le juge d’instruction, dans </w:t>
      </w:r>
      <w:r w:rsidR="008D5CC1" w:rsidRPr="0013711D">
        <w:rPr>
          <w:color w:val="000000" w:themeColor="text1"/>
          <w:lang w:val="fr-FR"/>
        </w:rPr>
        <w:t>le souci</w:t>
      </w:r>
      <w:r w:rsidR="0040793A" w:rsidRPr="0013711D">
        <w:rPr>
          <w:color w:val="000000" w:themeColor="text1"/>
          <w:lang w:val="fr-FR"/>
        </w:rPr>
        <w:t xml:space="preserve"> de faire jaillir la vérité</w:t>
      </w:r>
      <w:r w:rsidR="00946FA7" w:rsidRPr="0013711D">
        <w:rPr>
          <w:color w:val="000000" w:themeColor="text1"/>
          <w:lang w:val="fr-FR"/>
        </w:rPr>
        <w:t>,</w:t>
      </w:r>
      <w:r w:rsidR="0040793A" w:rsidRPr="0013711D">
        <w:rPr>
          <w:color w:val="000000" w:themeColor="text1"/>
          <w:lang w:val="fr-FR"/>
        </w:rPr>
        <w:t xml:space="preserve"> est allé </w:t>
      </w:r>
      <w:r w:rsidR="00946FA7" w:rsidRPr="0013711D">
        <w:rPr>
          <w:color w:val="000000" w:themeColor="text1"/>
          <w:lang w:val="fr-FR"/>
        </w:rPr>
        <w:t>au-delà</w:t>
      </w:r>
      <w:r w:rsidR="0040793A" w:rsidRPr="0013711D">
        <w:rPr>
          <w:color w:val="000000" w:themeColor="text1"/>
          <w:lang w:val="fr-FR"/>
        </w:rPr>
        <w:t xml:space="preserve"> de la liste des six personnes soumise par l’auteur </w:t>
      </w:r>
      <w:r w:rsidR="00946FA7" w:rsidRPr="0013711D">
        <w:rPr>
          <w:color w:val="000000" w:themeColor="text1"/>
          <w:lang w:val="fr-FR"/>
        </w:rPr>
        <w:t>en interrogeant</w:t>
      </w:r>
      <w:r w:rsidR="0040793A" w:rsidRPr="0013711D">
        <w:rPr>
          <w:color w:val="000000" w:themeColor="text1"/>
          <w:lang w:val="fr-FR"/>
        </w:rPr>
        <w:t xml:space="preserve"> également celles </w:t>
      </w:r>
      <w:r w:rsidR="00946FA7" w:rsidRPr="0013711D">
        <w:rPr>
          <w:color w:val="000000" w:themeColor="text1"/>
          <w:lang w:val="fr-FR"/>
        </w:rPr>
        <w:t>étant</w:t>
      </w:r>
      <w:r w:rsidR="0040793A" w:rsidRPr="0013711D">
        <w:rPr>
          <w:color w:val="000000" w:themeColor="text1"/>
          <w:lang w:val="fr-FR"/>
        </w:rPr>
        <w:t xml:space="preserve"> </w:t>
      </w:r>
      <w:r w:rsidR="00946FA7" w:rsidRPr="0013711D">
        <w:rPr>
          <w:color w:val="000000" w:themeColor="text1"/>
          <w:lang w:val="fr-FR"/>
        </w:rPr>
        <w:t xml:space="preserve">susceptibles d’avoir été témoins des faits. </w:t>
      </w:r>
      <w:r w:rsidR="0040793A" w:rsidRPr="0013711D">
        <w:rPr>
          <w:color w:val="000000" w:themeColor="text1"/>
          <w:lang w:val="fr-FR"/>
        </w:rPr>
        <w:t xml:space="preserve">L’Etat partie </w:t>
      </w:r>
      <w:r w:rsidR="00946FA7" w:rsidRPr="0013711D">
        <w:rPr>
          <w:color w:val="000000" w:themeColor="text1"/>
          <w:lang w:val="fr-FR"/>
        </w:rPr>
        <w:t xml:space="preserve">réitère </w:t>
      </w:r>
      <w:r w:rsidR="00036C8A" w:rsidRPr="0013711D">
        <w:rPr>
          <w:color w:val="000000" w:themeColor="text1"/>
          <w:lang w:val="fr-FR"/>
        </w:rPr>
        <w:t xml:space="preserve">qu’à toutes les phases des enquêtes préliminaires ou de l’instruction, </w:t>
      </w:r>
      <w:r w:rsidR="00B17B7D" w:rsidRPr="0013711D">
        <w:rPr>
          <w:color w:val="000000" w:themeColor="text1"/>
          <w:lang w:val="fr-FR"/>
        </w:rPr>
        <w:t>les</w:t>
      </w:r>
      <w:r w:rsidR="00946FA7" w:rsidRPr="0013711D">
        <w:rPr>
          <w:color w:val="000000" w:themeColor="text1"/>
          <w:lang w:val="fr-FR"/>
        </w:rPr>
        <w:t xml:space="preserve"> </w:t>
      </w:r>
      <w:r w:rsidR="00B17B7D" w:rsidRPr="0013711D">
        <w:rPr>
          <w:color w:val="000000" w:themeColor="text1"/>
          <w:lang w:val="fr-FR"/>
        </w:rPr>
        <w:t xml:space="preserve">quatorze </w:t>
      </w:r>
      <w:r w:rsidR="00946FA7" w:rsidRPr="0013711D">
        <w:rPr>
          <w:color w:val="000000" w:themeColor="text1"/>
          <w:lang w:val="fr-FR"/>
        </w:rPr>
        <w:t>personnes int</w:t>
      </w:r>
      <w:r w:rsidR="00334497">
        <w:rPr>
          <w:color w:val="000000" w:themeColor="text1"/>
          <w:lang w:val="fr-FR"/>
        </w:rPr>
        <w:t xml:space="preserve">errogées </w:t>
      </w:r>
      <w:r w:rsidR="00946FA7" w:rsidRPr="0013711D">
        <w:rPr>
          <w:color w:val="000000" w:themeColor="text1"/>
          <w:lang w:val="fr-FR"/>
        </w:rPr>
        <w:t xml:space="preserve">ont nié les faits de viol que soumet l’auteur. </w:t>
      </w:r>
      <w:r w:rsidR="008D5CC1" w:rsidRPr="0013711D">
        <w:rPr>
          <w:color w:val="000000" w:themeColor="text1"/>
          <w:lang w:val="fr-FR"/>
        </w:rPr>
        <w:t xml:space="preserve">L’Etat partie souligne par ailleurs que les </w:t>
      </w:r>
      <w:r w:rsidR="0040793A" w:rsidRPr="0013711D">
        <w:rPr>
          <w:color w:val="000000" w:themeColor="text1"/>
          <w:lang w:val="fr-FR"/>
        </w:rPr>
        <w:t xml:space="preserve">deux </w:t>
      </w:r>
      <w:r w:rsidR="00334497">
        <w:rPr>
          <w:color w:val="000000" w:themeColor="text1"/>
          <w:lang w:val="fr-FR"/>
        </w:rPr>
        <w:t xml:space="preserve">mis </w:t>
      </w:r>
      <w:r w:rsidR="0040793A" w:rsidRPr="0013711D">
        <w:rPr>
          <w:color w:val="000000" w:themeColor="text1"/>
          <w:lang w:val="fr-FR"/>
        </w:rPr>
        <w:t>en cause reconnaissent avoir été à l’origine de moqueries à l’endroit de l’auteur tout</w:t>
      </w:r>
      <w:r w:rsidR="008D5CC1" w:rsidRPr="0013711D">
        <w:rPr>
          <w:color w:val="000000" w:themeColor="text1"/>
          <w:lang w:val="fr-FR"/>
        </w:rPr>
        <w:t xml:space="preserve"> en rejetant les faits de viol ou que ces moqueries</w:t>
      </w:r>
      <w:r w:rsidR="0040793A" w:rsidRPr="0013711D">
        <w:rPr>
          <w:color w:val="000000" w:themeColor="text1"/>
          <w:lang w:val="fr-FR"/>
        </w:rPr>
        <w:t xml:space="preserve"> auraient pu avoir un caractère tel qu’elles auraient pu être qualifiées de harcèlement sexuel. </w:t>
      </w:r>
      <w:r w:rsidR="00036C8A" w:rsidRPr="0013711D">
        <w:rPr>
          <w:color w:val="000000" w:themeColor="text1"/>
          <w:lang w:val="fr-FR"/>
        </w:rPr>
        <w:t>L’Etat partie réitère que l’in</w:t>
      </w:r>
      <w:r w:rsidR="00334497">
        <w:rPr>
          <w:color w:val="000000" w:themeColor="text1"/>
          <w:lang w:val="fr-FR"/>
        </w:rPr>
        <w:t xml:space="preserve">formation </w:t>
      </w:r>
      <w:r w:rsidR="00036C8A" w:rsidRPr="0013711D">
        <w:rPr>
          <w:color w:val="000000" w:themeColor="text1"/>
          <w:lang w:val="fr-FR"/>
        </w:rPr>
        <w:t>menée par le juge d</w:t>
      </w:r>
      <w:r w:rsidR="00334497">
        <w:rPr>
          <w:color w:val="000000" w:themeColor="text1"/>
          <w:lang w:val="fr-FR"/>
        </w:rPr>
        <w:t>’instruction était approfondie et tient</w:t>
      </w:r>
      <w:r w:rsidR="00036C8A" w:rsidRPr="0013711D">
        <w:rPr>
          <w:color w:val="000000" w:themeColor="text1"/>
          <w:lang w:val="fr-FR"/>
        </w:rPr>
        <w:t xml:space="preserve"> compte de l’ancienneté des faits survenus dix ans avant la première plainte de l’auteur</w:t>
      </w:r>
      <w:r w:rsidR="00334497">
        <w:rPr>
          <w:color w:val="000000" w:themeColor="text1"/>
          <w:lang w:val="fr-FR"/>
        </w:rPr>
        <w:t xml:space="preserve">. L’Etat partie soumet que </w:t>
      </w:r>
      <w:r w:rsidR="00036C8A" w:rsidRPr="0013711D">
        <w:rPr>
          <w:color w:val="000000" w:themeColor="text1"/>
          <w:lang w:val="fr-FR"/>
        </w:rPr>
        <w:t xml:space="preserve">le fait par l’auteur de n’avoir parlé à personne au moment des faits présumés et qu’il n’y a ait eu aucun constat médical </w:t>
      </w:r>
      <w:r w:rsidR="00334497">
        <w:rPr>
          <w:color w:val="000000" w:themeColor="text1"/>
          <w:lang w:val="fr-FR"/>
        </w:rPr>
        <w:t xml:space="preserve"> sont des facteurs de complexification de </w:t>
      </w:r>
      <w:r w:rsidR="00036C8A" w:rsidRPr="0013711D">
        <w:rPr>
          <w:color w:val="000000" w:themeColor="text1"/>
          <w:lang w:val="fr-FR"/>
        </w:rPr>
        <w:t xml:space="preserve">l’enquête ; et que </w:t>
      </w:r>
      <w:r w:rsidR="00334497">
        <w:rPr>
          <w:color w:val="000000" w:themeColor="text1"/>
          <w:lang w:val="fr-FR"/>
        </w:rPr>
        <w:t>de ce fait,</w:t>
      </w:r>
      <w:r w:rsidR="00036C8A" w:rsidRPr="0013711D">
        <w:rPr>
          <w:color w:val="000000" w:themeColor="text1"/>
          <w:lang w:val="fr-FR"/>
        </w:rPr>
        <w:t xml:space="preserve"> </w:t>
      </w:r>
      <w:r w:rsidR="00334497">
        <w:rPr>
          <w:color w:val="000000" w:themeColor="text1"/>
          <w:lang w:val="fr-FR"/>
        </w:rPr>
        <w:t>il</w:t>
      </w:r>
      <w:r w:rsidR="00036C8A" w:rsidRPr="0013711D">
        <w:rPr>
          <w:color w:val="000000" w:themeColor="text1"/>
          <w:lang w:val="fr-FR"/>
        </w:rPr>
        <w:t xml:space="preserve"> a mobilisé le service spécialisé de la Brigade de protection des mineurs</w:t>
      </w:r>
      <w:r w:rsidR="00BC28AE" w:rsidRPr="0013711D">
        <w:rPr>
          <w:rStyle w:val="FootnoteReference"/>
          <w:color w:val="000000" w:themeColor="text1"/>
        </w:rPr>
        <w:footnoteReference w:id="9"/>
      </w:r>
      <w:r w:rsidR="00036C8A" w:rsidRPr="0013711D">
        <w:rPr>
          <w:color w:val="000000" w:themeColor="text1"/>
          <w:lang w:val="fr-FR"/>
        </w:rPr>
        <w:t xml:space="preserve"> pour mener les </w:t>
      </w:r>
      <w:r w:rsidR="00334497">
        <w:rPr>
          <w:color w:val="000000" w:themeColor="text1"/>
          <w:lang w:val="fr-FR"/>
        </w:rPr>
        <w:t xml:space="preserve">enquêtes </w:t>
      </w:r>
      <w:r w:rsidR="00036C8A" w:rsidRPr="0013711D">
        <w:rPr>
          <w:color w:val="000000" w:themeColor="text1"/>
          <w:lang w:val="fr-FR"/>
        </w:rPr>
        <w:t>préliminaires</w:t>
      </w:r>
      <w:r w:rsidR="00334497">
        <w:rPr>
          <w:color w:val="000000" w:themeColor="text1"/>
          <w:lang w:val="fr-FR"/>
        </w:rPr>
        <w:t xml:space="preserve"> appropriées en lien avec le caractère des faits allégués.  L’Etat partie fait valoir </w:t>
      </w:r>
      <w:r w:rsidR="00036C8A" w:rsidRPr="0013711D">
        <w:rPr>
          <w:color w:val="000000" w:themeColor="text1"/>
          <w:lang w:val="fr-FR"/>
        </w:rPr>
        <w:t>qu’aucune des juridictions de révision saisies n’a relevé une quelconque anomalie dans la décision du juge d’instruction</w:t>
      </w:r>
      <w:r w:rsidR="004B7B6F">
        <w:rPr>
          <w:color w:val="000000" w:themeColor="text1"/>
          <w:lang w:val="fr-FR"/>
        </w:rPr>
        <w:t xml:space="preserve"> et en cons</w:t>
      </w:r>
      <w:r w:rsidR="00036C8A" w:rsidRPr="0013711D">
        <w:rPr>
          <w:color w:val="000000" w:themeColor="text1"/>
          <w:lang w:val="fr-FR"/>
        </w:rPr>
        <w:t xml:space="preserve">équence, demande au Comité à titre principal, de déclarer </w:t>
      </w:r>
      <w:r w:rsidR="004B7B6F" w:rsidRPr="0013711D">
        <w:rPr>
          <w:color w:val="000000" w:themeColor="text1"/>
          <w:lang w:val="fr-FR"/>
        </w:rPr>
        <w:t xml:space="preserve">la communication </w:t>
      </w:r>
      <w:r w:rsidR="00036C8A" w:rsidRPr="0013711D">
        <w:rPr>
          <w:color w:val="000000" w:themeColor="text1"/>
          <w:lang w:val="fr-FR"/>
        </w:rPr>
        <w:t>irrecevable et, à titre subsidiaire, la rejeter en raison de son caractère infondé.</w:t>
      </w:r>
    </w:p>
    <w:p w14:paraId="2A6E2196" w14:textId="2CC88D11" w:rsidR="0040793A" w:rsidRPr="0013711D" w:rsidRDefault="006E5D89" w:rsidP="006E5D89">
      <w:pPr>
        <w:pStyle w:val="H23G"/>
        <w:rPr>
          <w:lang w:val="fr-FR"/>
        </w:rPr>
      </w:pPr>
      <w:r>
        <w:rPr>
          <w:lang w:val="fr-FR"/>
        </w:rPr>
        <w:tab/>
      </w:r>
      <w:r>
        <w:rPr>
          <w:lang w:val="fr-FR"/>
        </w:rPr>
        <w:tab/>
      </w:r>
      <w:r w:rsidR="004710E0">
        <w:rPr>
          <w:lang w:val="fr-FR"/>
        </w:rPr>
        <w:t>Commentaires additionnels de l’auteur sur les observations</w:t>
      </w:r>
      <w:r w:rsidR="004710E0" w:rsidRPr="0013711D">
        <w:rPr>
          <w:lang w:val="fr-FR"/>
        </w:rPr>
        <w:t xml:space="preserve"> </w:t>
      </w:r>
      <w:r w:rsidR="0040793A" w:rsidRPr="0013711D">
        <w:rPr>
          <w:lang w:val="fr-FR"/>
        </w:rPr>
        <w:t>de l’</w:t>
      </w:r>
      <w:r w:rsidR="004710E0">
        <w:rPr>
          <w:lang w:val="fr-FR"/>
        </w:rPr>
        <w:t xml:space="preserve">Etat partie </w:t>
      </w:r>
      <w:r w:rsidR="0040793A" w:rsidRPr="0013711D">
        <w:rPr>
          <w:lang w:val="fr-FR"/>
        </w:rPr>
        <w:t>sur la recevabilité et le fond de la communication</w:t>
      </w:r>
    </w:p>
    <w:p w14:paraId="6C6F29C8" w14:textId="427683DA" w:rsidR="0013711D" w:rsidRPr="0013711D" w:rsidRDefault="00415A1F" w:rsidP="006E5D89">
      <w:pPr>
        <w:pStyle w:val="SingleTxtG"/>
        <w:rPr>
          <w:lang w:val="fr-FR"/>
        </w:rPr>
      </w:pPr>
      <w:r w:rsidRPr="0013711D">
        <w:rPr>
          <w:lang w:val="fr-FR"/>
        </w:rPr>
        <w:t>7.1</w:t>
      </w:r>
      <w:r w:rsidRPr="0013711D">
        <w:rPr>
          <w:lang w:val="fr-FR"/>
        </w:rPr>
        <w:tab/>
      </w:r>
      <w:r w:rsidR="0040793A" w:rsidRPr="0013711D">
        <w:rPr>
          <w:lang w:val="fr-FR"/>
        </w:rPr>
        <w:t xml:space="preserve">Dans sa soumission du 13 décembre 2018, l’auteur soumet </w:t>
      </w:r>
      <w:r w:rsidR="00036C8A" w:rsidRPr="0013711D">
        <w:rPr>
          <w:lang w:val="fr-FR"/>
        </w:rPr>
        <w:t>que l</w:t>
      </w:r>
      <w:r w:rsidR="0040793A" w:rsidRPr="0013711D">
        <w:rPr>
          <w:lang w:val="fr-FR"/>
        </w:rPr>
        <w:t>es surnoms qui lui ont été donné</w:t>
      </w:r>
      <w:r w:rsidR="00036C8A" w:rsidRPr="0013711D">
        <w:rPr>
          <w:lang w:val="fr-FR"/>
        </w:rPr>
        <w:t>s</w:t>
      </w:r>
      <w:r w:rsidR="0040793A" w:rsidRPr="0013711D">
        <w:rPr>
          <w:lang w:val="fr-FR"/>
        </w:rPr>
        <w:t xml:space="preserve"> </w:t>
      </w:r>
      <w:r w:rsidR="004B7B6F">
        <w:rPr>
          <w:lang w:val="fr-FR"/>
        </w:rPr>
        <w:t xml:space="preserve">par ses camarades </w:t>
      </w:r>
      <w:r w:rsidR="00036C8A" w:rsidRPr="0013711D">
        <w:rPr>
          <w:lang w:val="fr-FR"/>
        </w:rPr>
        <w:t xml:space="preserve">ont une </w:t>
      </w:r>
      <w:r w:rsidR="00036C8A" w:rsidRPr="006E5D89">
        <w:t>connotation</w:t>
      </w:r>
      <w:r w:rsidR="00036C8A" w:rsidRPr="0013711D">
        <w:rPr>
          <w:lang w:val="fr-FR"/>
        </w:rPr>
        <w:t xml:space="preserve"> sexiste et sont </w:t>
      </w:r>
      <w:r w:rsidR="0040793A" w:rsidRPr="0013711D">
        <w:rPr>
          <w:lang w:val="fr-FR"/>
        </w:rPr>
        <w:t>révélateur</w:t>
      </w:r>
      <w:r w:rsidR="00036C8A" w:rsidRPr="0013711D">
        <w:rPr>
          <w:lang w:val="fr-FR"/>
        </w:rPr>
        <w:t>s</w:t>
      </w:r>
      <w:r w:rsidR="0040793A" w:rsidRPr="0013711D">
        <w:rPr>
          <w:lang w:val="fr-FR"/>
        </w:rPr>
        <w:t xml:space="preserve"> d’une ambiance de harcèlement moral</w:t>
      </w:r>
      <w:r w:rsidR="00036C8A" w:rsidRPr="0013711D">
        <w:rPr>
          <w:lang w:val="fr-FR"/>
        </w:rPr>
        <w:t>,</w:t>
      </w:r>
      <w:r w:rsidR="0040793A" w:rsidRPr="0013711D">
        <w:rPr>
          <w:lang w:val="fr-FR"/>
        </w:rPr>
        <w:t xml:space="preserve"> voire sexuel. L’auteur </w:t>
      </w:r>
      <w:r w:rsidR="00036C8A" w:rsidRPr="0013711D">
        <w:rPr>
          <w:lang w:val="fr-FR"/>
        </w:rPr>
        <w:t xml:space="preserve">insiste sur le fait </w:t>
      </w:r>
      <w:r w:rsidR="0040793A" w:rsidRPr="0013711D">
        <w:rPr>
          <w:lang w:val="fr-FR"/>
        </w:rPr>
        <w:t xml:space="preserve">que, contrairement à ce que prétend l’Etat partie, </w:t>
      </w:r>
      <w:r w:rsidR="000C5452" w:rsidRPr="0013711D">
        <w:rPr>
          <w:lang w:val="fr-FR"/>
        </w:rPr>
        <w:t>il n’a</w:t>
      </w:r>
      <w:r w:rsidR="0040793A" w:rsidRPr="0013711D">
        <w:rPr>
          <w:lang w:val="fr-FR"/>
        </w:rPr>
        <w:t xml:space="preserve"> jamais évoqué le paragraphe e) de l’article 14§3 du Pacte. </w:t>
      </w:r>
      <w:r w:rsidR="0040793A" w:rsidRPr="0013711D">
        <w:rPr>
          <w:lang w:val="fr-FR"/>
        </w:rPr>
        <w:lastRenderedPageBreak/>
        <w:t>L’auteur réitère que ses prétentions sont fo</w:t>
      </w:r>
      <w:r w:rsidR="000C5452" w:rsidRPr="0013711D">
        <w:rPr>
          <w:lang w:val="fr-FR"/>
        </w:rPr>
        <w:t xml:space="preserve">ndées sur la violation par l’Etat de l’article 14§1, notamment en ce qui concerne le volet relatif à </w:t>
      </w:r>
      <w:r w:rsidR="0040793A" w:rsidRPr="0013711D">
        <w:rPr>
          <w:lang w:val="fr-FR"/>
        </w:rPr>
        <w:t xml:space="preserve">ses droits et obligations à caractère civil. </w:t>
      </w:r>
      <w:r w:rsidR="00036C8A" w:rsidRPr="0013711D">
        <w:rPr>
          <w:lang w:val="fr-FR"/>
        </w:rPr>
        <w:t>Néanmoins, l</w:t>
      </w:r>
      <w:r w:rsidR="0040793A" w:rsidRPr="0013711D">
        <w:rPr>
          <w:lang w:val="fr-FR"/>
        </w:rPr>
        <w:t xml:space="preserve">’auteur souligne que </w:t>
      </w:r>
      <w:r w:rsidR="004B7B6F">
        <w:rPr>
          <w:lang w:val="fr-FR"/>
        </w:rPr>
        <w:t xml:space="preserve">si </w:t>
      </w:r>
      <w:r w:rsidR="0040793A" w:rsidRPr="0013711D">
        <w:rPr>
          <w:lang w:val="fr-FR"/>
        </w:rPr>
        <w:t>l</w:t>
      </w:r>
      <w:r w:rsidR="004B7B6F">
        <w:rPr>
          <w:lang w:val="fr-FR"/>
        </w:rPr>
        <w:t>e</w:t>
      </w:r>
      <w:r w:rsidR="0040793A" w:rsidRPr="0013711D">
        <w:rPr>
          <w:lang w:val="fr-FR"/>
        </w:rPr>
        <w:t xml:space="preserve"> para</w:t>
      </w:r>
      <w:r w:rsidR="000C5452" w:rsidRPr="0013711D">
        <w:rPr>
          <w:lang w:val="fr-FR"/>
        </w:rPr>
        <w:t>graphe e) de l’article 14§3 du P</w:t>
      </w:r>
      <w:r w:rsidR="0040793A" w:rsidRPr="0013711D">
        <w:rPr>
          <w:lang w:val="fr-FR"/>
        </w:rPr>
        <w:t xml:space="preserve">acte reconnait un droit aux </w:t>
      </w:r>
      <w:r w:rsidR="000C5452" w:rsidRPr="0013711D">
        <w:rPr>
          <w:lang w:val="fr-FR"/>
        </w:rPr>
        <w:t>accusés,</w:t>
      </w:r>
      <w:r w:rsidR="0040793A" w:rsidRPr="0013711D">
        <w:rPr>
          <w:lang w:val="fr-FR"/>
        </w:rPr>
        <w:t xml:space="preserve"> </w:t>
      </w:r>
      <w:r w:rsidR="004B7B6F">
        <w:rPr>
          <w:lang w:val="fr-FR"/>
        </w:rPr>
        <w:t>il</w:t>
      </w:r>
      <w:r w:rsidR="0040793A" w:rsidRPr="0013711D">
        <w:rPr>
          <w:lang w:val="fr-FR"/>
        </w:rPr>
        <w:t xml:space="preserve"> ne précise pas si ce droit leur est exclusif, à l’exception des requérants. L’auteur ajoute que le Comité a déjà reconnu qu’il a </w:t>
      </w:r>
      <w:r w:rsidR="000C5452" w:rsidRPr="0013711D">
        <w:rPr>
          <w:lang w:val="fr-FR"/>
        </w:rPr>
        <w:t>compétence</w:t>
      </w:r>
      <w:r w:rsidR="0040793A" w:rsidRPr="0013711D">
        <w:rPr>
          <w:lang w:val="fr-FR"/>
        </w:rPr>
        <w:t xml:space="preserve"> pour agir quand l’appréciation des autorités nationales va à l’encontre des principes du Pacte. En ce sens</w:t>
      </w:r>
      <w:r w:rsidR="000C5452" w:rsidRPr="0013711D">
        <w:rPr>
          <w:lang w:val="fr-FR"/>
        </w:rPr>
        <w:t>,</w:t>
      </w:r>
      <w:r w:rsidR="0040793A" w:rsidRPr="0013711D">
        <w:rPr>
          <w:lang w:val="fr-FR"/>
        </w:rPr>
        <w:t xml:space="preserve"> l’auteur estime qu’il y a eu un manque d’équité dan</w:t>
      </w:r>
      <w:r w:rsidR="000C5452" w:rsidRPr="0013711D">
        <w:rPr>
          <w:lang w:val="fr-FR"/>
        </w:rPr>
        <w:t>s la conduite de la procédure</w:t>
      </w:r>
      <w:r w:rsidR="004B7B6F">
        <w:rPr>
          <w:lang w:val="fr-FR"/>
        </w:rPr>
        <w:t>,</w:t>
      </w:r>
      <w:r w:rsidR="000C5452" w:rsidRPr="0013711D">
        <w:rPr>
          <w:lang w:val="fr-FR"/>
        </w:rPr>
        <w:t xml:space="preserve"> dû</w:t>
      </w:r>
      <w:r w:rsidR="0040793A" w:rsidRPr="0013711D">
        <w:rPr>
          <w:lang w:val="fr-FR"/>
        </w:rPr>
        <w:t xml:space="preserve"> notamment à l’interrogatoire à distance de certains témoins qui n’ont pas eu la même </w:t>
      </w:r>
      <w:r w:rsidR="000C5452" w:rsidRPr="0013711D">
        <w:rPr>
          <w:lang w:val="fr-FR"/>
        </w:rPr>
        <w:t>spontanéité</w:t>
      </w:r>
      <w:r w:rsidR="0040793A" w:rsidRPr="0013711D">
        <w:rPr>
          <w:lang w:val="fr-FR"/>
        </w:rPr>
        <w:t xml:space="preserve"> et la même attitude que s’ils </w:t>
      </w:r>
      <w:r w:rsidR="000C5452" w:rsidRPr="0013711D">
        <w:rPr>
          <w:lang w:val="fr-FR"/>
        </w:rPr>
        <w:t xml:space="preserve">faisaient </w:t>
      </w:r>
      <w:r w:rsidR="0040793A" w:rsidRPr="0013711D">
        <w:rPr>
          <w:lang w:val="fr-FR"/>
        </w:rPr>
        <w:t xml:space="preserve">face aux enquêteurs. </w:t>
      </w:r>
    </w:p>
    <w:p w14:paraId="5E0B2E30" w14:textId="4ED61414" w:rsidR="0040793A" w:rsidRPr="0013711D" w:rsidRDefault="0013711D" w:rsidP="000C5452">
      <w:pPr>
        <w:pStyle w:val="SingleTxtG"/>
        <w:rPr>
          <w:color w:val="000000" w:themeColor="text1"/>
          <w:lang w:val="fr-FR"/>
        </w:rPr>
      </w:pPr>
      <w:r w:rsidRPr="0013711D">
        <w:rPr>
          <w:color w:val="000000" w:themeColor="text1"/>
          <w:lang w:val="fr-FR"/>
        </w:rPr>
        <w:t>7.2</w:t>
      </w:r>
      <w:r w:rsidRPr="0013711D">
        <w:rPr>
          <w:color w:val="000000" w:themeColor="text1"/>
          <w:lang w:val="fr-FR"/>
        </w:rPr>
        <w:tab/>
        <w:t xml:space="preserve">L’auteur soumet </w:t>
      </w:r>
      <w:r w:rsidR="0040793A" w:rsidRPr="0013711D">
        <w:rPr>
          <w:color w:val="000000" w:themeColor="text1"/>
          <w:lang w:val="fr-FR"/>
        </w:rPr>
        <w:t>qu’à la différence de ce qu’avance l’Etat partie</w:t>
      </w:r>
      <w:r w:rsidR="0080040B" w:rsidRPr="0013711D">
        <w:rPr>
          <w:color w:val="000000" w:themeColor="text1"/>
          <w:lang w:val="fr-FR"/>
        </w:rPr>
        <w:t xml:space="preserve">, </w:t>
      </w:r>
      <w:r w:rsidR="0040793A" w:rsidRPr="0013711D">
        <w:rPr>
          <w:color w:val="000000" w:themeColor="text1"/>
          <w:lang w:val="fr-FR"/>
        </w:rPr>
        <w:t xml:space="preserve">il y a eu plusieurs contradictions dans les déclarations </w:t>
      </w:r>
      <w:r w:rsidR="000C5452" w:rsidRPr="0013711D">
        <w:rPr>
          <w:color w:val="000000" w:themeColor="text1"/>
          <w:lang w:val="fr-FR"/>
        </w:rPr>
        <w:t>des élèves interrogés</w:t>
      </w:r>
      <w:r w:rsidR="0040793A" w:rsidRPr="0013711D">
        <w:rPr>
          <w:color w:val="000000" w:themeColor="text1"/>
          <w:lang w:val="fr-FR"/>
        </w:rPr>
        <w:t xml:space="preserve"> qui témoignent d’une situation d’</w:t>
      </w:r>
      <w:r w:rsidR="000C5452" w:rsidRPr="0013711D">
        <w:rPr>
          <w:color w:val="000000" w:themeColor="text1"/>
          <w:lang w:val="fr-FR"/>
        </w:rPr>
        <w:t>acharnement</w:t>
      </w:r>
      <w:r w:rsidR="0040793A" w:rsidRPr="0013711D">
        <w:rPr>
          <w:color w:val="000000" w:themeColor="text1"/>
          <w:lang w:val="fr-FR"/>
        </w:rPr>
        <w:t xml:space="preserve"> et de moquerie cont</w:t>
      </w:r>
      <w:r w:rsidR="000C5452" w:rsidRPr="0013711D">
        <w:rPr>
          <w:color w:val="000000" w:themeColor="text1"/>
          <w:lang w:val="fr-FR"/>
        </w:rPr>
        <w:t>re lui ; que d’ailleurs l’une des personnes mises en cause</w:t>
      </w:r>
      <w:r w:rsidR="0040793A" w:rsidRPr="0013711D">
        <w:rPr>
          <w:color w:val="000000" w:themeColor="text1"/>
          <w:lang w:val="fr-FR"/>
        </w:rPr>
        <w:t xml:space="preserve"> a affirmé avoir proféré des injures homophobes </w:t>
      </w:r>
      <w:r w:rsidR="0080040B" w:rsidRPr="0013711D">
        <w:rPr>
          <w:color w:val="000000" w:themeColor="text1"/>
          <w:lang w:val="fr-FR"/>
        </w:rPr>
        <w:t>à son encontre</w:t>
      </w:r>
      <w:r w:rsidR="000C5452" w:rsidRPr="0013711D">
        <w:rPr>
          <w:color w:val="000000" w:themeColor="text1"/>
          <w:lang w:val="fr-FR"/>
        </w:rPr>
        <w:t xml:space="preserve">. </w:t>
      </w:r>
      <w:r w:rsidR="0040793A" w:rsidRPr="0013711D">
        <w:rPr>
          <w:color w:val="000000" w:themeColor="text1"/>
          <w:lang w:val="fr-FR"/>
        </w:rPr>
        <w:t xml:space="preserve">L’auteur ajoute que les témoignages de certaines personnes interrogées révèlent qu’il y a eu collusion et concertation </w:t>
      </w:r>
      <w:r w:rsidR="000C5452" w:rsidRPr="0013711D">
        <w:rPr>
          <w:color w:val="000000" w:themeColor="text1"/>
          <w:lang w:val="fr-FR"/>
        </w:rPr>
        <w:t xml:space="preserve">entre elles </w:t>
      </w:r>
      <w:r w:rsidR="0080040B" w:rsidRPr="0013711D">
        <w:rPr>
          <w:color w:val="000000" w:themeColor="text1"/>
          <w:lang w:val="fr-FR"/>
        </w:rPr>
        <w:t>afin de</w:t>
      </w:r>
      <w:r w:rsidR="0040793A" w:rsidRPr="0013711D">
        <w:rPr>
          <w:color w:val="000000" w:themeColor="text1"/>
          <w:lang w:val="fr-FR"/>
        </w:rPr>
        <w:t xml:space="preserve"> donner les </w:t>
      </w:r>
      <w:r w:rsidR="000C5452" w:rsidRPr="0013711D">
        <w:rPr>
          <w:color w:val="000000" w:themeColor="text1"/>
          <w:lang w:val="fr-FR"/>
        </w:rPr>
        <w:t>mêmes</w:t>
      </w:r>
      <w:r w:rsidR="0040793A" w:rsidRPr="0013711D">
        <w:rPr>
          <w:color w:val="000000" w:themeColor="text1"/>
          <w:lang w:val="fr-FR"/>
        </w:rPr>
        <w:t xml:space="preserve"> réponses aux enquêteurs. L’auteur </w:t>
      </w:r>
      <w:r w:rsidR="000C5452" w:rsidRPr="0013711D">
        <w:rPr>
          <w:color w:val="000000" w:themeColor="text1"/>
          <w:lang w:val="fr-FR"/>
        </w:rPr>
        <w:t>insiste</w:t>
      </w:r>
      <w:r w:rsidR="0040793A" w:rsidRPr="0013711D">
        <w:rPr>
          <w:color w:val="000000" w:themeColor="text1"/>
          <w:lang w:val="fr-FR"/>
        </w:rPr>
        <w:t xml:space="preserve"> </w:t>
      </w:r>
      <w:r w:rsidR="000C5452" w:rsidRPr="0013711D">
        <w:rPr>
          <w:color w:val="000000" w:themeColor="text1"/>
          <w:lang w:val="fr-FR"/>
        </w:rPr>
        <w:t xml:space="preserve">sur le fait que </w:t>
      </w:r>
      <w:r w:rsidR="0040793A" w:rsidRPr="0013711D">
        <w:rPr>
          <w:color w:val="000000" w:themeColor="text1"/>
          <w:lang w:val="fr-FR"/>
        </w:rPr>
        <w:t xml:space="preserve">les moqueries et les </w:t>
      </w:r>
      <w:r w:rsidR="000C5452" w:rsidRPr="0013711D">
        <w:rPr>
          <w:color w:val="000000" w:themeColor="text1"/>
          <w:lang w:val="fr-FR"/>
        </w:rPr>
        <w:t>harcèlements</w:t>
      </w:r>
      <w:r w:rsidR="0040793A" w:rsidRPr="0013711D">
        <w:rPr>
          <w:color w:val="000000" w:themeColor="text1"/>
          <w:lang w:val="fr-FR"/>
        </w:rPr>
        <w:t xml:space="preserve"> à connotation sexuelle dont il a fait l’</w:t>
      </w:r>
      <w:r w:rsidR="000C5452" w:rsidRPr="0013711D">
        <w:rPr>
          <w:color w:val="000000" w:themeColor="text1"/>
          <w:lang w:val="fr-FR"/>
        </w:rPr>
        <w:t>objet</w:t>
      </w:r>
      <w:r w:rsidR="0040793A" w:rsidRPr="0013711D">
        <w:rPr>
          <w:color w:val="000000" w:themeColor="text1"/>
          <w:lang w:val="fr-FR"/>
        </w:rPr>
        <w:t xml:space="preserve"> sont de nature à porter atteinte à son honneur et à sa réputation et que l’appréciation </w:t>
      </w:r>
      <w:r w:rsidR="000C5452" w:rsidRPr="0013711D">
        <w:rPr>
          <w:color w:val="000000" w:themeColor="text1"/>
          <w:lang w:val="fr-FR"/>
        </w:rPr>
        <w:t>des</w:t>
      </w:r>
      <w:r w:rsidR="0040793A" w:rsidRPr="0013711D">
        <w:rPr>
          <w:color w:val="000000" w:themeColor="text1"/>
          <w:lang w:val="fr-FR"/>
        </w:rPr>
        <w:t xml:space="preserve"> éléments de preuve relève de la compétence du Comité au regard des articles 17§1, 17§2, 19§3 et 26 du Pacte.</w:t>
      </w:r>
      <w:r w:rsidR="0040793A" w:rsidRPr="0013711D">
        <w:rPr>
          <w:color w:val="000000" w:themeColor="text1"/>
          <w:shd w:val="clear" w:color="auto" w:fill="FFFF00"/>
          <w:lang w:val="fr-FR"/>
        </w:rPr>
        <w:t xml:space="preserve"> </w:t>
      </w:r>
      <w:r w:rsidR="0040793A" w:rsidRPr="0013711D">
        <w:rPr>
          <w:color w:val="000000" w:themeColor="text1"/>
          <w:lang w:val="fr-FR"/>
        </w:rPr>
        <w:t xml:space="preserve">L’auteur ajoute également que la Cour d’appel de Paris a </w:t>
      </w:r>
      <w:r w:rsidR="000C5452" w:rsidRPr="0013711D">
        <w:rPr>
          <w:color w:val="000000" w:themeColor="text1"/>
          <w:lang w:val="fr-FR"/>
        </w:rPr>
        <w:t>affirmé</w:t>
      </w:r>
      <w:r w:rsidR="0040793A" w:rsidRPr="0013711D">
        <w:rPr>
          <w:color w:val="000000" w:themeColor="text1"/>
          <w:lang w:val="fr-FR"/>
        </w:rPr>
        <w:t xml:space="preserve"> dans son arrêt du 26 novembre 2013 que certains témoignages confortent le qu’il a</w:t>
      </w:r>
      <w:r w:rsidR="000C5452" w:rsidRPr="0013711D">
        <w:rPr>
          <w:color w:val="000000" w:themeColor="text1"/>
          <w:lang w:val="fr-FR"/>
        </w:rPr>
        <w:t>it</w:t>
      </w:r>
      <w:r w:rsidR="0040793A" w:rsidRPr="0013711D">
        <w:rPr>
          <w:color w:val="000000" w:themeColor="text1"/>
          <w:lang w:val="fr-FR"/>
        </w:rPr>
        <w:t xml:space="preserve"> été l’</w:t>
      </w:r>
      <w:r w:rsidR="000C5452" w:rsidRPr="0013711D">
        <w:rPr>
          <w:color w:val="000000" w:themeColor="text1"/>
          <w:lang w:val="fr-FR"/>
        </w:rPr>
        <w:t>objet</w:t>
      </w:r>
      <w:r w:rsidR="0040793A" w:rsidRPr="0013711D">
        <w:rPr>
          <w:color w:val="000000" w:themeColor="text1"/>
          <w:lang w:val="fr-FR"/>
        </w:rPr>
        <w:t xml:space="preserve"> de q</w:t>
      </w:r>
      <w:r w:rsidR="004B7B6F">
        <w:rPr>
          <w:color w:val="000000" w:themeColor="text1"/>
          <w:lang w:val="fr-FR"/>
        </w:rPr>
        <w:t xml:space="preserve">uolibets à connotation sexuelle. L’auteur estime de ce fait que </w:t>
      </w:r>
      <w:r w:rsidR="0040793A" w:rsidRPr="0013711D">
        <w:rPr>
          <w:color w:val="000000" w:themeColor="text1"/>
          <w:lang w:val="fr-FR"/>
        </w:rPr>
        <w:t xml:space="preserve">le juge d’instruction aurait dû </w:t>
      </w:r>
      <w:r w:rsidR="000C5452" w:rsidRPr="0013711D">
        <w:rPr>
          <w:color w:val="000000" w:themeColor="text1"/>
          <w:lang w:val="fr-FR"/>
        </w:rPr>
        <w:t xml:space="preserve">ordonner une nouvelle </w:t>
      </w:r>
      <w:r w:rsidR="0040793A" w:rsidRPr="0013711D">
        <w:rPr>
          <w:color w:val="000000" w:themeColor="text1"/>
          <w:lang w:val="fr-FR"/>
        </w:rPr>
        <w:t xml:space="preserve">confrontation. </w:t>
      </w:r>
    </w:p>
    <w:p w14:paraId="419C6DA3" w14:textId="16AB9894" w:rsidR="00565433" w:rsidRPr="0013711D" w:rsidRDefault="0013711D" w:rsidP="00565433">
      <w:pPr>
        <w:pStyle w:val="SingleTxtG"/>
        <w:rPr>
          <w:color w:val="000000" w:themeColor="text1"/>
          <w:lang w:val="fr-FR"/>
        </w:rPr>
      </w:pPr>
      <w:r w:rsidRPr="0013711D">
        <w:rPr>
          <w:color w:val="000000" w:themeColor="text1"/>
          <w:lang w:val="fr-FR"/>
        </w:rPr>
        <w:t>7.3</w:t>
      </w:r>
      <w:r w:rsidR="00415A1F" w:rsidRPr="0013711D">
        <w:rPr>
          <w:color w:val="000000" w:themeColor="text1"/>
          <w:lang w:val="fr-FR"/>
        </w:rPr>
        <w:tab/>
      </w:r>
      <w:r w:rsidR="0040793A" w:rsidRPr="0013711D">
        <w:rPr>
          <w:color w:val="000000" w:themeColor="text1"/>
          <w:lang w:val="fr-FR"/>
        </w:rPr>
        <w:t xml:space="preserve">L’auteur fait valoir également que l’Etat partie, en ayant relevé dans sa soumission que l’expertise médico-psychologique affirme </w:t>
      </w:r>
      <w:r w:rsidR="000C5452" w:rsidRPr="0013711D">
        <w:rPr>
          <w:color w:val="000000" w:themeColor="text1"/>
          <w:lang w:val="fr-FR"/>
        </w:rPr>
        <w:t>qu</w:t>
      </w:r>
      <w:proofErr w:type="gramStart"/>
      <w:r w:rsidR="000C5452" w:rsidRPr="0013711D">
        <w:rPr>
          <w:color w:val="000000" w:themeColor="text1"/>
          <w:lang w:val="fr-FR"/>
        </w:rPr>
        <w:t>’«</w:t>
      </w:r>
      <w:proofErr w:type="gramEnd"/>
      <w:r w:rsidR="0040793A" w:rsidRPr="0013711D">
        <w:rPr>
          <w:color w:val="000000" w:themeColor="text1"/>
          <w:lang w:val="fr-FR"/>
        </w:rPr>
        <w:t xml:space="preserve"> il était possible qu’il existe un lien entre les troubles psychiques du requérant, que l’expertise a constatés, et que les faits allégués », aurait dû adopter une atti</w:t>
      </w:r>
      <w:r w:rsidR="000C5452" w:rsidRPr="0013711D">
        <w:rPr>
          <w:color w:val="000000" w:themeColor="text1"/>
          <w:lang w:val="fr-FR"/>
        </w:rPr>
        <w:t>tude beaucoup plus conciliante en sa faveur</w:t>
      </w:r>
      <w:r w:rsidR="0040793A" w:rsidRPr="0013711D">
        <w:rPr>
          <w:color w:val="000000" w:themeColor="text1"/>
          <w:lang w:val="fr-FR"/>
        </w:rPr>
        <w:t>. L’auteur estime que le rejet de sa demande de confrontation allait à l’encontre de son droit à un procès équitable</w:t>
      </w:r>
      <w:r w:rsidR="000C5452" w:rsidRPr="0013711D">
        <w:rPr>
          <w:color w:val="000000" w:themeColor="text1"/>
          <w:lang w:val="fr-FR"/>
        </w:rPr>
        <w:t xml:space="preserve">, nonobstant son état de santé dégradé au moment des précédentes convocations du juge, qui ne saurait le dispenser de son droit d’être confronté aux personnes qu’il accuse. </w:t>
      </w:r>
      <w:r w:rsidR="0040793A" w:rsidRPr="0013711D">
        <w:rPr>
          <w:color w:val="000000" w:themeColor="text1"/>
          <w:lang w:val="fr-FR"/>
        </w:rPr>
        <w:t xml:space="preserve"> </w:t>
      </w:r>
    </w:p>
    <w:p w14:paraId="68F63699" w14:textId="355E58B7" w:rsidR="0080040B" w:rsidRPr="0013711D" w:rsidRDefault="00CB5190" w:rsidP="0080040B">
      <w:pPr>
        <w:pStyle w:val="H23G"/>
        <w:rPr>
          <w:color w:val="000000" w:themeColor="text1"/>
        </w:rPr>
      </w:pPr>
      <w:r w:rsidRPr="0013711D">
        <w:rPr>
          <w:color w:val="000000" w:themeColor="text1"/>
          <w:lang w:val="fr-FR"/>
        </w:rPr>
        <w:tab/>
      </w:r>
      <w:r w:rsidRPr="0013711D">
        <w:rPr>
          <w:color w:val="000000" w:themeColor="text1"/>
          <w:lang w:val="fr-FR"/>
        </w:rPr>
        <w:tab/>
        <w:t>Délibérations du Comité</w:t>
      </w:r>
    </w:p>
    <w:p w14:paraId="48996BB7" w14:textId="77777777" w:rsidR="0080040B" w:rsidRPr="0080040B" w:rsidRDefault="0080040B" w:rsidP="0080040B">
      <w:pPr>
        <w:keepNext/>
        <w:keepLines/>
        <w:tabs>
          <w:tab w:val="right" w:pos="851"/>
        </w:tabs>
        <w:spacing w:before="240" w:after="120" w:line="240" w:lineRule="exact"/>
        <w:ind w:left="1134" w:right="1134" w:hanging="1134"/>
        <w:rPr>
          <w:i/>
          <w:color w:val="000000" w:themeColor="text1"/>
        </w:rPr>
      </w:pPr>
      <w:r w:rsidRPr="0080040B">
        <w:rPr>
          <w:i/>
          <w:color w:val="000000" w:themeColor="text1"/>
          <w:lang w:val="fr-FR"/>
        </w:rPr>
        <w:tab/>
      </w:r>
      <w:r w:rsidRPr="0080040B">
        <w:rPr>
          <w:i/>
          <w:color w:val="000000" w:themeColor="text1"/>
          <w:lang w:val="fr-FR"/>
        </w:rPr>
        <w:tab/>
        <w:t>Examen de la recevabilité</w:t>
      </w:r>
    </w:p>
    <w:p w14:paraId="40C6270B" w14:textId="77777777" w:rsidR="0080040B" w:rsidRPr="0080040B" w:rsidRDefault="0080040B" w:rsidP="006E5D89">
      <w:pPr>
        <w:pStyle w:val="SingleTxtG"/>
      </w:pPr>
      <w:r w:rsidRPr="0080040B">
        <w:rPr>
          <w:lang w:val="fr-FR"/>
        </w:rPr>
        <w:t>8.1</w:t>
      </w:r>
      <w:r w:rsidRPr="0080040B">
        <w:rPr>
          <w:lang w:val="fr-FR"/>
        </w:rPr>
        <w:tab/>
        <w:t>Avant d’examiner tout grief formulé dans une communication, le Comité des droits de l’homme doit, conformément à l’article 97 de son règlement intérieur, déterminer si la communication est recevable au regard du Protocole facultatif se rapportant au Pacte.</w:t>
      </w:r>
    </w:p>
    <w:p w14:paraId="0CD4A97D" w14:textId="77777777" w:rsidR="0080040B" w:rsidRPr="0080040B" w:rsidRDefault="0080040B" w:rsidP="006E5D89">
      <w:pPr>
        <w:pStyle w:val="SingleTxtG"/>
        <w:rPr>
          <w:lang w:val="fr-FR"/>
        </w:rPr>
      </w:pPr>
      <w:r w:rsidRPr="0080040B">
        <w:rPr>
          <w:lang w:val="fr-FR"/>
        </w:rPr>
        <w:t>8.2</w:t>
      </w:r>
      <w:r w:rsidRPr="0080040B">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14:paraId="5576E7BE" w14:textId="1265408C" w:rsidR="0080040B" w:rsidRPr="0080040B" w:rsidRDefault="00415A1F" w:rsidP="006E5D89">
      <w:pPr>
        <w:pStyle w:val="SingleTxtG"/>
        <w:rPr>
          <w:lang w:val="fr-FR"/>
        </w:rPr>
      </w:pPr>
      <w:r w:rsidRPr="0013711D">
        <w:rPr>
          <w:lang w:val="fr-FR"/>
        </w:rPr>
        <w:t>8.3</w:t>
      </w:r>
      <w:r w:rsidRPr="0013711D">
        <w:rPr>
          <w:lang w:val="fr-FR"/>
        </w:rPr>
        <w:tab/>
      </w:r>
      <w:r w:rsidR="0080040B" w:rsidRPr="0080040B">
        <w:rPr>
          <w:lang w:val="fr-FR"/>
        </w:rPr>
        <w:t xml:space="preserve">Le Comité prend note du grief de l’auteur qui affirme que l’Etat partie viole les droits qu’il tient des articles 2, paragraphe 3, et 14, paragraphe 1, du Pacte vu que le juge d’instruction de l’Etat partie a décidé de ne pas convoquer de nouvelles confrontations et de nouveaux interrogatoires dans le cadre de sa plainte pour viol. </w:t>
      </w:r>
    </w:p>
    <w:p w14:paraId="4DA53ADD" w14:textId="279AAD65" w:rsidR="0080040B" w:rsidRPr="0080040B" w:rsidRDefault="00415A1F" w:rsidP="006E5D89">
      <w:pPr>
        <w:pStyle w:val="SingleTxtG"/>
        <w:rPr>
          <w:lang w:val="fr-FR"/>
        </w:rPr>
      </w:pPr>
      <w:r w:rsidRPr="0013711D">
        <w:rPr>
          <w:lang w:val="fr-FR"/>
        </w:rPr>
        <w:t>8.4</w:t>
      </w:r>
      <w:r w:rsidRPr="0013711D">
        <w:rPr>
          <w:lang w:val="fr-FR"/>
        </w:rPr>
        <w:tab/>
      </w:r>
      <w:r w:rsidR="0080040B" w:rsidRPr="0080040B">
        <w:rPr>
          <w:lang w:val="fr-FR"/>
        </w:rPr>
        <w:t>Le Comité prend note de l’argument de l’Etat partie selon lequel, en ayant omis d’utiliser les provisions de l’article L.141-1 du Code de l’organisation judiciaire, l’auteur n’a pas épuisé les voies de recours internes</w:t>
      </w:r>
      <w:r w:rsidR="004B7B6F">
        <w:rPr>
          <w:lang w:val="fr-FR"/>
        </w:rPr>
        <w:t>.</w:t>
      </w:r>
      <w:r w:rsidR="004A35CE" w:rsidRPr="0013711D">
        <w:rPr>
          <w:sz w:val="18"/>
          <w:vertAlign w:val="superscript"/>
        </w:rPr>
        <w:footnoteReference w:id="10"/>
      </w:r>
      <w:r w:rsidR="0080040B" w:rsidRPr="0080040B">
        <w:rPr>
          <w:lang w:val="fr-FR"/>
        </w:rPr>
        <w:t xml:space="preserve"> Le Comité note l’argument de l’auteur selon lequel cette procédure n’est valable que dans le cas d’une affaire ayant trait à la question du délai raisonnable et à la durée de la procédure. </w:t>
      </w:r>
      <w:r w:rsidR="0080040B" w:rsidRPr="0013711D">
        <w:rPr>
          <w:lang w:val="fr-FR"/>
        </w:rPr>
        <w:t xml:space="preserve">Le Comité en l’espèce, au regard </w:t>
      </w:r>
      <w:r w:rsidR="004A35CE" w:rsidRPr="0013711D">
        <w:rPr>
          <w:lang w:val="fr-FR"/>
        </w:rPr>
        <w:t>de l’imprécision dans l’utilisation de</w:t>
      </w:r>
      <w:r w:rsidR="0080040B" w:rsidRPr="0013711D">
        <w:rPr>
          <w:lang w:val="fr-FR"/>
        </w:rPr>
        <w:t xml:space="preserve"> l’article L.141-1 du Code de l’organisation judiciaire, considère qu’</w:t>
      </w:r>
      <w:r w:rsidR="0080040B" w:rsidRPr="0080040B">
        <w:rPr>
          <w:lang w:val="fr-FR"/>
        </w:rPr>
        <w:t xml:space="preserve">il n’y a pas lieu pour l’auteur d’épuiser la voie de recours prévue </w:t>
      </w:r>
      <w:r w:rsidR="004A35CE" w:rsidRPr="0013711D">
        <w:rPr>
          <w:lang w:val="fr-FR"/>
        </w:rPr>
        <w:t>par cet article</w:t>
      </w:r>
      <w:r w:rsidR="0080040B" w:rsidRPr="0080040B">
        <w:rPr>
          <w:lang w:val="fr-FR"/>
        </w:rPr>
        <w:t>, et qu’en conséquence les voies de recours internes ont été épuisé</w:t>
      </w:r>
      <w:r w:rsidR="004A35CE" w:rsidRPr="0013711D">
        <w:rPr>
          <w:lang w:val="fr-FR"/>
        </w:rPr>
        <w:t>e</w:t>
      </w:r>
      <w:r w:rsidR="0080040B" w:rsidRPr="0080040B">
        <w:rPr>
          <w:lang w:val="fr-FR"/>
        </w:rPr>
        <w:t xml:space="preserve">s. </w:t>
      </w:r>
    </w:p>
    <w:p w14:paraId="56D01E21" w14:textId="60BA37D9" w:rsidR="0080040B" w:rsidRPr="0080040B" w:rsidRDefault="00415A1F" w:rsidP="006E5D89">
      <w:pPr>
        <w:pStyle w:val="SingleTxtG"/>
        <w:rPr>
          <w:lang w:val="fr-FR"/>
        </w:rPr>
      </w:pPr>
      <w:r w:rsidRPr="0013711D">
        <w:rPr>
          <w:lang w:val="fr-FR"/>
        </w:rPr>
        <w:t>8.5</w:t>
      </w:r>
      <w:r w:rsidRPr="0013711D">
        <w:rPr>
          <w:lang w:val="fr-FR"/>
        </w:rPr>
        <w:tab/>
      </w:r>
      <w:r w:rsidR="004B7B6F">
        <w:rPr>
          <w:lang w:val="fr-FR"/>
        </w:rPr>
        <w:t>L</w:t>
      </w:r>
      <w:r w:rsidR="0080040B" w:rsidRPr="0080040B">
        <w:rPr>
          <w:lang w:val="fr-FR"/>
        </w:rPr>
        <w:t xml:space="preserve">e Comité prend note des observations de l’Etat partie qui soumet que la communication est irrecevable </w:t>
      </w:r>
      <w:r w:rsidR="0080040B" w:rsidRPr="0080040B">
        <w:rPr>
          <w:i/>
          <w:lang w:val="fr-FR"/>
        </w:rPr>
        <w:t>rationae materiae</w:t>
      </w:r>
      <w:r w:rsidR="0080040B" w:rsidRPr="0080040B">
        <w:rPr>
          <w:lang w:val="fr-FR"/>
        </w:rPr>
        <w:t xml:space="preserve"> au regard de l’article 14 (1) du Pacte dans </w:t>
      </w:r>
      <w:r w:rsidR="0080040B" w:rsidRPr="0080040B">
        <w:rPr>
          <w:lang w:val="fr-FR"/>
        </w:rPr>
        <w:lastRenderedPageBreak/>
        <w:t xml:space="preserve">la mesure où l’auteur n’a pas su démontrer comment le défaut d’interrogatoire de témoins </w:t>
      </w:r>
      <w:r w:rsidR="00FE0D63" w:rsidRPr="0013711D">
        <w:rPr>
          <w:lang w:val="fr-FR"/>
        </w:rPr>
        <w:t xml:space="preserve">additionnels </w:t>
      </w:r>
      <w:r w:rsidR="0080040B" w:rsidRPr="0080040B">
        <w:rPr>
          <w:lang w:val="fr-FR"/>
        </w:rPr>
        <w:t>ou l’absence de confrontation const</w:t>
      </w:r>
      <w:r w:rsidR="00FE0D63" w:rsidRPr="0013711D">
        <w:rPr>
          <w:lang w:val="fr-FR"/>
        </w:rPr>
        <w:t>itue une violation d</w:t>
      </w:r>
      <w:r w:rsidR="004B7B6F">
        <w:rPr>
          <w:lang w:val="fr-FR"/>
        </w:rPr>
        <w:t>e</w:t>
      </w:r>
      <w:r w:rsidR="00FE0D63" w:rsidRPr="0013711D">
        <w:rPr>
          <w:lang w:val="fr-FR"/>
        </w:rPr>
        <w:t xml:space="preserve"> son droit au procès équitable</w:t>
      </w:r>
      <w:r w:rsidR="0080040B" w:rsidRPr="0080040B">
        <w:rPr>
          <w:lang w:val="fr-FR"/>
        </w:rPr>
        <w:t>. Le Comité prend note également de l’argument de l’Etat partie selon lequel la communication semble de préférence se référer à l’</w:t>
      </w:r>
      <w:r w:rsidR="00FE0D63" w:rsidRPr="0013711D">
        <w:rPr>
          <w:lang w:val="fr-FR"/>
        </w:rPr>
        <w:t>article</w:t>
      </w:r>
      <w:r w:rsidR="0080040B" w:rsidRPr="0080040B">
        <w:rPr>
          <w:lang w:val="fr-FR"/>
        </w:rPr>
        <w:t xml:space="preserve"> 14 (3) du Pacte alors qu</w:t>
      </w:r>
      <w:r w:rsidR="004B7B6F">
        <w:rPr>
          <w:lang w:val="fr-FR"/>
        </w:rPr>
        <w:t>e l’auteur</w:t>
      </w:r>
      <w:r w:rsidR="0080040B" w:rsidRPr="0080040B">
        <w:rPr>
          <w:lang w:val="fr-FR"/>
        </w:rPr>
        <w:t xml:space="preserve"> saisit le Comité en tant que v</w:t>
      </w:r>
      <w:r w:rsidR="00FE0D63" w:rsidRPr="0013711D">
        <w:rPr>
          <w:lang w:val="fr-FR"/>
        </w:rPr>
        <w:t xml:space="preserve">ictime et non en tant qu’accusé. </w:t>
      </w:r>
      <w:r w:rsidR="0080040B" w:rsidRPr="0080040B">
        <w:rPr>
          <w:lang w:val="fr-FR"/>
        </w:rPr>
        <w:t xml:space="preserve">Le Comité note également l’argument de l’Etat partie qui estime que l’auteur demande au Comité de substituer son appréciation des faits et des preuves déjà appréciés par le juge interne, qui est souverain appréciateur des mesures d’instruction à ordonner ainsi que des résultats de celles-ci. </w:t>
      </w:r>
    </w:p>
    <w:p w14:paraId="6F07F274" w14:textId="2C5A86BC" w:rsidR="00FE0D63" w:rsidRPr="0013711D" w:rsidRDefault="00415A1F" w:rsidP="006E5D89">
      <w:pPr>
        <w:pStyle w:val="SingleTxtG"/>
        <w:rPr>
          <w:rFonts w:eastAsia="Times New Roman"/>
          <w:highlight w:val="yellow"/>
          <w:lang w:val="fr-CA"/>
        </w:rPr>
      </w:pPr>
      <w:r w:rsidRPr="0013711D">
        <w:rPr>
          <w:lang w:val="fr-FR"/>
        </w:rPr>
        <w:t>8.6</w:t>
      </w:r>
      <w:r w:rsidRPr="0013711D">
        <w:rPr>
          <w:lang w:val="fr-FR"/>
        </w:rPr>
        <w:tab/>
      </w:r>
      <w:r w:rsidR="0080040B" w:rsidRPr="0080040B">
        <w:rPr>
          <w:lang w:val="fr-FR"/>
        </w:rPr>
        <w:t xml:space="preserve">Le Comité prend note de l’argument de l’auteur qui fait valoir que la communication vise à dénoncer le caractère inéquitable de la procédure d’instruction, en particulier ses conséquences sur le plan civil. Le Comité note également que l’auteur fait valoir qu’il y a eu un manque d’équité dans l’appréciation de preuves par les autorités nationales et que des éléments dans </w:t>
      </w:r>
      <w:r w:rsidR="00FE0D63" w:rsidRPr="0013711D">
        <w:rPr>
          <w:lang w:val="fr-FR"/>
        </w:rPr>
        <w:t>les déclarations</w:t>
      </w:r>
      <w:r w:rsidR="0080040B" w:rsidRPr="0080040B">
        <w:rPr>
          <w:lang w:val="fr-FR"/>
        </w:rPr>
        <w:t xml:space="preserve"> des personnes mises en cause révèlent des quolibets de nature homophobe qui aurait dû exiger du juge d’instruction d’approfondir les enquêtes, notamment en </w:t>
      </w:r>
      <w:r w:rsidR="0065303E" w:rsidRPr="0013711D">
        <w:rPr>
          <w:lang w:val="fr-FR"/>
        </w:rPr>
        <w:t xml:space="preserve">permettant </w:t>
      </w:r>
      <w:r w:rsidR="0080040B" w:rsidRPr="0080040B">
        <w:rPr>
          <w:lang w:val="fr-FR"/>
        </w:rPr>
        <w:t xml:space="preserve">une nouvelle confrontation. </w:t>
      </w:r>
    </w:p>
    <w:p w14:paraId="47F690CE" w14:textId="1755AF08" w:rsidR="0080040B" w:rsidRPr="0080040B" w:rsidRDefault="00920F0D" w:rsidP="006E5D89">
      <w:pPr>
        <w:pStyle w:val="SingleTxtG"/>
        <w:rPr>
          <w:lang w:val="fr-FR"/>
        </w:rPr>
      </w:pPr>
      <w:r>
        <w:rPr>
          <w:lang w:val="fr-FR"/>
        </w:rPr>
        <w:t>8.7</w:t>
      </w:r>
      <w:r>
        <w:rPr>
          <w:lang w:val="fr-FR"/>
        </w:rPr>
        <w:tab/>
      </w:r>
      <w:r w:rsidR="0080040B" w:rsidRPr="0080040B">
        <w:rPr>
          <w:lang w:val="fr-FR"/>
        </w:rPr>
        <w:t>Le Comité rappelle que les dispositions de l’article 14 (1) du Pacte de façon générale vise une saine administration de la justice</w:t>
      </w:r>
      <w:r w:rsidR="0080040B" w:rsidRPr="0013711D">
        <w:rPr>
          <w:sz w:val="18"/>
          <w:vertAlign w:val="superscript"/>
        </w:rPr>
        <w:footnoteReference w:id="11"/>
      </w:r>
      <w:r w:rsidR="00D67DE1" w:rsidRPr="0013711D">
        <w:rPr>
          <w:lang w:val="fr-FR"/>
        </w:rPr>
        <w:t> </w:t>
      </w:r>
      <w:r w:rsidR="0065303E" w:rsidRPr="0013711D">
        <w:rPr>
          <w:lang w:val="fr-FR"/>
        </w:rPr>
        <w:t xml:space="preserve">y compris </w:t>
      </w:r>
      <w:r w:rsidR="00FE0D63" w:rsidRPr="0013711D">
        <w:rPr>
          <w:lang w:val="fr-FR"/>
        </w:rPr>
        <w:t xml:space="preserve">en ce qui concerne </w:t>
      </w:r>
      <w:r w:rsidR="0080040B" w:rsidRPr="0080040B">
        <w:rPr>
          <w:lang w:val="fr-FR"/>
        </w:rPr>
        <w:t xml:space="preserve">des obligations à caractère civil. </w:t>
      </w:r>
      <w:r w:rsidR="00FE0D63" w:rsidRPr="0013711D">
        <w:rPr>
          <w:lang w:val="fr-FR"/>
        </w:rPr>
        <w:t xml:space="preserve">Le Comité considère </w:t>
      </w:r>
      <w:r w:rsidR="0080040B" w:rsidRPr="0080040B">
        <w:rPr>
          <w:lang w:val="fr-FR"/>
        </w:rPr>
        <w:t>néanmoins qu’en l’espèce il n</w:t>
      </w:r>
      <w:r w:rsidR="00FE0D63" w:rsidRPr="0013711D">
        <w:rPr>
          <w:lang w:val="fr-FR"/>
        </w:rPr>
        <w:t xml:space="preserve">e lui </w:t>
      </w:r>
      <w:r w:rsidR="0080040B" w:rsidRPr="0080040B">
        <w:rPr>
          <w:lang w:val="fr-FR"/>
        </w:rPr>
        <w:t>appartient pas de se substituer au juge d’instruction en évaluant les faits de la cause, qu’il ne pouvait être saisi qu’à la condition que l’auteur montre que l’attitude du juge révèle un comportement arbitraire ou un déni de justice</w:t>
      </w:r>
      <w:r w:rsidR="004B7B6F">
        <w:rPr>
          <w:lang w:val="fr-FR"/>
        </w:rPr>
        <w:t xml:space="preserve"> ou </w:t>
      </w:r>
      <w:r w:rsidR="004B7B6F">
        <w:rPr>
          <w:rFonts w:eastAsia="Times New Roman"/>
          <w:lang w:val="fr-CA"/>
        </w:rPr>
        <w:t xml:space="preserve">qu’il </w:t>
      </w:r>
      <w:r w:rsidR="004B7B6F" w:rsidRPr="0080040B">
        <w:rPr>
          <w:rFonts w:eastAsia="Times New Roman"/>
          <w:lang w:val="fr-CA"/>
        </w:rPr>
        <w:t>a par ailleurs violé son  obligation d’indépendance et d’impartialité</w:t>
      </w:r>
      <w:r w:rsidR="004B7B6F">
        <w:rPr>
          <w:rFonts w:eastAsia="Times New Roman"/>
          <w:lang w:val="fr-CA"/>
        </w:rPr>
        <w:t>.</w:t>
      </w:r>
      <w:r w:rsidR="004B7B6F" w:rsidRPr="0080040B">
        <w:rPr>
          <w:rFonts w:eastAsia="Times New Roman"/>
          <w:bCs/>
          <w:vertAlign w:val="superscript"/>
          <w:lang w:val="fr-CA"/>
        </w:rPr>
        <w:footnoteReference w:id="12"/>
      </w:r>
      <w:r w:rsidR="004B7B6F" w:rsidRPr="0080040B">
        <w:rPr>
          <w:rFonts w:eastAsia="Times New Roman"/>
          <w:lang w:val="fr-CA"/>
        </w:rPr>
        <w:t xml:space="preserve"> </w:t>
      </w:r>
      <w:r w:rsidR="0080040B" w:rsidRPr="0080040B">
        <w:rPr>
          <w:lang w:val="fr-FR"/>
        </w:rPr>
        <w:t xml:space="preserve">Le Comité estime qu’en l’espèce l’auteur n’a pas valablement démontré en quoi l’appréciation de toutes les informations recueillies au cours de l’instruction est arbitraire ou relève d’un déni de justice. </w:t>
      </w:r>
      <w:r w:rsidR="0080040B" w:rsidRPr="0080040B">
        <w:rPr>
          <w:rFonts w:eastAsia="Calibri"/>
          <w:lang w:val="fr-FR"/>
        </w:rPr>
        <w:t>Pour ce qui est des griefs tirés de l’article 2</w:t>
      </w:r>
      <w:r w:rsidR="00FD1E2B">
        <w:rPr>
          <w:rFonts w:eastAsia="Calibri"/>
          <w:lang w:val="fr-FR"/>
        </w:rPr>
        <w:t>, paragraphe 3</w:t>
      </w:r>
      <w:r w:rsidR="0080040B" w:rsidRPr="0080040B">
        <w:rPr>
          <w:rFonts w:eastAsia="Calibri"/>
          <w:lang w:val="fr-FR"/>
        </w:rPr>
        <w:t xml:space="preserve"> du Pacte, le Comité rappelle que les dispositions dudit article, qui énoncent des obligations générales à l’intention des États parties, ne </w:t>
      </w:r>
      <w:r w:rsidR="0080040B" w:rsidRPr="006E5D89">
        <w:t>peuvent</w:t>
      </w:r>
      <w:r w:rsidR="0080040B" w:rsidRPr="0080040B">
        <w:rPr>
          <w:rFonts w:eastAsia="Calibri"/>
          <w:lang w:val="fr-FR"/>
        </w:rPr>
        <w:t xml:space="preserve"> pas être invoquées isolément et par elles-mêmes dans une communication soumise en vertu du Protocole facultatif</w:t>
      </w:r>
      <w:r w:rsidR="00C20782">
        <w:rPr>
          <w:rFonts w:eastAsia="Calibri"/>
          <w:lang w:val="fr-FR"/>
        </w:rPr>
        <w:t>.</w:t>
      </w:r>
      <w:r w:rsidR="00C20782">
        <w:rPr>
          <w:rStyle w:val="FootnoteReference"/>
          <w:rFonts w:eastAsia="Calibri"/>
        </w:rPr>
        <w:footnoteReference w:id="13"/>
      </w:r>
      <w:r w:rsidR="00C20782">
        <w:rPr>
          <w:rFonts w:eastAsia="Calibri"/>
          <w:lang w:val="fr-FR"/>
        </w:rPr>
        <w:t xml:space="preserve"> Le</w:t>
      </w:r>
      <w:r w:rsidR="0080040B" w:rsidRPr="0080040B">
        <w:rPr>
          <w:rFonts w:eastAsia="Calibri"/>
          <w:lang w:val="fr-FR"/>
        </w:rPr>
        <w:t xml:space="preserve"> Comité estime que </w:t>
      </w:r>
      <w:r w:rsidR="00FD1E2B">
        <w:rPr>
          <w:rFonts w:eastAsia="Calibri"/>
          <w:lang w:val="fr-FR"/>
        </w:rPr>
        <w:t>l’auteur n’a pas su démontrer en quoi l’Etat partie n’a pas mis à s</w:t>
      </w:r>
      <w:r w:rsidR="00F35E21">
        <w:rPr>
          <w:rFonts w:eastAsia="Calibri"/>
          <w:lang w:val="fr-FR"/>
        </w:rPr>
        <w:t xml:space="preserve">a disposition un recours utile. </w:t>
      </w:r>
      <w:r w:rsidR="004B7B6F">
        <w:rPr>
          <w:rFonts w:eastAsia="Calibri"/>
          <w:lang w:val="fr-FR"/>
        </w:rPr>
        <w:t>Le</w:t>
      </w:r>
      <w:r w:rsidR="0080040B" w:rsidRPr="0080040B">
        <w:rPr>
          <w:rFonts w:eastAsia="Calibri"/>
          <w:lang w:val="fr-FR"/>
        </w:rPr>
        <w:t xml:space="preserve"> Comité con</w:t>
      </w:r>
      <w:r w:rsidR="004B7B6F">
        <w:rPr>
          <w:rFonts w:eastAsia="Calibri"/>
          <w:lang w:val="fr-FR"/>
        </w:rPr>
        <w:t>state</w:t>
      </w:r>
      <w:r w:rsidR="0080040B" w:rsidRPr="0080040B">
        <w:rPr>
          <w:rFonts w:eastAsia="Calibri"/>
          <w:lang w:val="fr-FR"/>
        </w:rPr>
        <w:t xml:space="preserve"> que les griefs formulés par l’auteur au titre des articles 2</w:t>
      </w:r>
      <w:r w:rsidR="00C20782">
        <w:rPr>
          <w:rFonts w:eastAsia="Calibri"/>
          <w:lang w:val="fr-FR"/>
        </w:rPr>
        <w:t xml:space="preserve"> (3)</w:t>
      </w:r>
      <w:r w:rsidR="0080040B" w:rsidRPr="0080040B">
        <w:rPr>
          <w:rFonts w:eastAsia="Calibri"/>
          <w:lang w:val="fr-FR"/>
        </w:rPr>
        <w:t xml:space="preserve"> et 14 (1)</w:t>
      </w:r>
      <w:r w:rsidR="00C20782">
        <w:rPr>
          <w:rFonts w:eastAsia="Calibri"/>
          <w:lang w:val="fr-FR"/>
        </w:rPr>
        <w:t xml:space="preserve"> </w:t>
      </w:r>
      <w:r w:rsidR="0080040B" w:rsidRPr="0080040B">
        <w:rPr>
          <w:rFonts w:eastAsia="Calibri"/>
          <w:lang w:val="fr-FR"/>
        </w:rPr>
        <w:t>du Pacte</w:t>
      </w:r>
      <w:r w:rsidR="00341604">
        <w:rPr>
          <w:rFonts w:eastAsia="Calibri"/>
          <w:lang w:val="fr-FR"/>
        </w:rPr>
        <w:t>,</w:t>
      </w:r>
      <w:r w:rsidR="0080040B" w:rsidRPr="0080040B">
        <w:rPr>
          <w:rFonts w:eastAsia="Calibri"/>
          <w:lang w:val="fr-FR"/>
        </w:rPr>
        <w:t xml:space="preserve"> </w:t>
      </w:r>
      <w:r w:rsidR="00C20782">
        <w:rPr>
          <w:rFonts w:eastAsia="Calibri"/>
          <w:lang w:val="fr-FR"/>
        </w:rPr>
        <w:t>lus conjointement</w:t>
      </w:r>
      <w:r w:rsidR="00341604">
        <w:rPr>
          <w:rFonts w:eastAsia="Calibri"/>
          <w:lang w:val="fr-FR"/>
        </w:rPr>
        <w:t>,</w:t>
      </w:r>
      <w:r w:rsidR="00C20782" w:rsidRPr="0080040B">
        <w:rPr>
          <w:rFonts w:eastAsia="Calibri"/>
          <w:lang w:val="fr-FR"/>
        </w:rPr>
        <w:t xml:space="preserve"> </w:t>
      </w:r>
      <w:r w:rsidR="0080040B" w:rsidRPr="0080040B">
        <w:rPr>
          <w:rFonts w:eastAsia="Calibri"/>
          <w:lang w:val="fr-FR"/>
        </w:rPr>
        <w:t>ne sont pas suffisamment</w:t>
      </w:r>
      <w:r>
        <w:rPr>
          <w:rFonts w:eastAsia="Calibri"/>
          <w:lang w:val="fr-FR"/>
        </w:rPr>
        <w:t xml:space="preserve"> étayés pour être recevables</w:t>
      </w:r>
      <w:r w:rsidR="0080040B" w:rsidRPr="0080040B">
        <w:rPr>
          <w:rFonts w:eastAsia="Calibri"/>
          <w:lang w:val="fr-FR"/>
        </w:rPr>
        <w:t>.</w:t>
      </w:r>
    </w:p>
    <w:p w14:paraId="3B0CD195" w14:textId="12CFD08D" w:rsidR="0080040B" w:rsidRPr="0080040B" w:rsidRDefault="00415A1F" w:rsidP="006E5D89">
      <w:pPr>
        <w:pStyle w:val="SingleTxtG"/>
        <w:rPr>
          <w:lang w:val="fr-FR"/>
        </w:rPr>
      </w:pPr>
      <w:r w:rsidRPr="0013711D">
        <w:rPr>
          <w:lang w:val="fr-FR"/>
        </w:rPr>
        <w:t>9</w:t>
      </w:r>
      <w:r w:rsidR="0080040B" w:rsidRPr="0080040B">
        <w:rPr>
          <w:lang w:val="fr-FR"/>
        </w:rPr>
        <w:t>.</w:t>
      </w:r>
      <w:r w:rsidR="0080040B" w:rsidRPr="0080040B">
        <w:rPr>
          <w:lang w:val="fr-FR"/>
        </w:rPr>
        <w:tab/>
        <w:t>En conséquence, le Comité des droits de l’homme décide :</w:t>
      </w:r>
    </w:p>
    <w:p w14:paraId="75D125C1" w14:textId="60A4EAC6" w:rsidR="0080040B" w:rsidRPr="0080040B" w:rsidRDefault="0080040B" w:rsidP="006E5D89">
      <w:pPr>
        <w:spacing w:after="120"/>
        <w:ind w:left="1134" w:right="1134" w:firstLine="306"/>
        <w:jc w:val="both"/>
        <w:rPr>
          <w:rFonts w:eastAsia="Calibri"/>
          <w:color w:val="000000" w:themeColor="text1"/>
          <w:lang w:val="fr-FR"/>
        </w:rPr>
      </w:pPr>
      <w:r w:rsidRPr="0080040B">
        <w:rPr>
          <w:rFonts w:eastAsia="Calibri"/>
          <w:color w:val="000000" w:themeColor="text1"/>
          <w:lang w:val="fr-FR"/>
        </w:rPr>
        <w:t>a)</w:t>
      </w:r>
      <w:r w:rsidRPr="0080040B">
        <w:rPr>
          <w:rFonts w:eastAsia="Calibri"/>
          <w:color w:val="000000" w:themeColor="text1"/>
          <w:lang w:val="fr-FR"/>
        </w:rPr>
        <w:tab/>
        <w:t>Que la communication est irrecevable au regard de l’article 2 du Protocole facultatif ;</w:t>
      </w:r>
    </w:p>
    <w:p w14:paraId="1EC1975E" w14:textId="259719FE" w:rsidR="0013711D" w:rsidRPr="00D9168A" w:rsidRDefault="0080040B" w:rsidP="00D9168A">
      <w:pPr>
        <w:pStyle w:val="SingleTxtG"/>
        <w:ind w:firstLine="306"/>
        <w:rPr>
          <w:lang w:val="fr-FR"/>
        </w:rPr>
      </w:pPr>
      <w:r w:rsidRPr="0080040B">
        <w:rPr>
          <w:lang w:val="fr-FR"/>
        </w:rPr>
        <w:t>b)</w:t>
      </w:r>
      <w:r w:rsidRPr="0080040B">
        <w:rPr>
          <w:lang w:val="fr-FR"/>
        </w:rPr>
        <w:tab/>
        <w:t>Que la présente décision sera communiquée à l’État partie et à l’auteur.</w:t>
      </w:r>
    </w:p>
    <w:p w14:paraId="27A83A18" w14:textId="7F1C3B08" w:rsidR="00CB5190" w:rsidRPr="0013711D" w:rsidRDefault="00CB5190" w:rsidP="00CB5190">
      <w:pPr>
        <w:pStyle w:val="SingleTxtG"/>
        <w:spacing w:before="240" w:after="0"/>
        <w:jc w:val="center"/>
        <w:rPr>
          <w:color w:val="000000" w:themeColor="text1"/>
          <w:u w:val="single"/>
        </w:rPr>
      </w:pPr>
      <w:r w:rsidRPr="0013711D">
        <w:rPr>
          <w:color w:val="000000" w:themeColor="text1"/>
          <w:u w:val="single"/>
        </w:rPr>
        <w:tab/>
      </w:r>
      <w:r w:rsidRPr="0013711D">
        <w:rPr>
          <w:color w:val="000000" w:themeColor="text1"/>
          <w:u w:val="single"/>
        </w:rPr>
        <w:tab/>
      </w:r>
      <w:r w:rsidRPr="0013711D">
        <w:rPr>
          <w:color w:val="000000" w:themeColor="text1"/>
          <w:u w:val="single"/>
        </w:rPr>
        <w:tab/>
      </w:r>
      <w:r w:rsidR="00D9168A">
        <w:rPr>
          <w:color w:val="000000" w:themeColor="text1"/>
          <w:u w:val="single"/>
        </w:rPr>
        <w:tab/>
      </w:r>
    </w:p>
    <w:sectPr w:rsidR="00CB5190" w:rsidRPr="0013711D" w:rsidSect="00446AA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E48F" w14:textId="77777777" w:rsidR="00CB4F8B" w:rsidRDefault="00CB4F8B" w:rsidP="00CB5190">
      <w:pPr>
        <w:spacing w:line="240" w:lineRule="auto"/>
      </w:pPr>
      <w:r>
        <w:separator/>
      </w:r>
    </w:p>
  </w:endnote>
  <w:endnote w:type="continuationSeparator" w:id="0">
    <w:p w14:paraId="14DAD44D" w14:textId="77777777" w:rsidR="00CB4F8B" w:rsidRDefault="00CB4F8B" w:rsidP="00CB5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39T30Lfz">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6A25" w14:textId="3F5E8DB3" w:rsidR="008D04C7" w:rsidRPr="001E5914" w:rsidRDefault="009B3577" w:rsidP="001E5914">
    <w:pPr>
      <w:pStyle w:val="Footer"/>
      <w:tabs>
        <w:tab w:val="right" w:pos="9638"/>
      </w:tabs>
    </w:pPr>
    <w:r w:rsidRPr="001E5914">
      <w:rPr>
        <w:b/>
        <w:sz w:val="18"/>
      </w:rPr>
      <w:fldChar w:fldCharType="begin"/>
    </w:r>
    <w:r w:rsidRPr="001E5914">
      <w:rPr>
        <w:b/>
        <w:sz w:val="18"/>
      </w:rPr>
      <w:instrText xml:space="preserve"> PAGE  \* MERGEFORMAT </w:instrText>
    </w:r>
    <w:r w:rsidRPr="001E5914">
      <w:rPr>
        <w:b/>
        <w:sz w:val="18"/>
      </w:rPr>
      <w:fldChar w:fldCharType="separate"/>
    </w:r>
    <w:r w:rsidR="005E72F5">
      <w:rPr>
        <w:b/>
        <w:noProof/>
        <w:sz w:val="18"/>
      </w:rPr>
      <w:t>6</w:t>
    </w:r>
    <w:r w:rsidRPr="001E591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4ED8" w14:textId="1E7DE6EF" w:rsidR="008D04C7" w:rsidRPr="001E5914" w:rsidRDefault="009B3577" w:rsidP="001E5914">
    <w:pPr>
      <w:pStyle w:val="Footer"/>
      <w:tabs>
        <w:tab w:val="right" w:pos="9638"/>
      </w:tabs>
      <w:rPr>
        <w:b/>
        <w:sz w:val="18"/>
      </w:rPr>
    </w:pPr>
    <w:r>
      <w:tab/>
    </w:r>
    <w:r w:rsidRPr="001E5914">
      <w:rPr>
        <w:b/>
        <w:sz w:val="18"/>
      </w:rPr>
      <w:fldChar w:fldCharType="begin"/>
    </w:r>
    <w:r w:rsidRPr="001E5914">
      <w:rPr>
        <w:b/>
        <w:sz w:val="18"/>
      </w:rPr>
      <w:instrText xml:space="preserve"> PAGE  \* MERGEFORMAT </w:instrText>
    </w:r>
    <w:r w:rsidRPr="001E5914">
      <w:rPr>
        <w:b/>
        <w:sz w:val="18"/>
      </w:rPr>
      <w:fldChar w:fldCharType="separate"/>
    </w:r>
    <w:r w:rsidR="005E72F5">
      <w:rPr>
        <w:b/>
        <w:noProof/>
        <w:sz w:val="18"/>
      </w:rPr>
      <w:t>7</w:t>
    </w:r>
    <w:r w:rsidRPr="001E59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5722" w14:textId="5B798027" w:rsidR="0088136B" w:rsidRPr="0088136B" w:rsidRDefault="0088136B" w:rsidP="00745B70">
    <w:pPr>
      <w:pStyle w:val="Footer"/>
      <w:spacing w:before="120"/>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89281" w14:textId="77777777" w:rsidR="00CB4F8B" w:rsidRDefault="00CB4F8B" w:rsidP="00CB5190">
      <w:pPr>
        <w:spacing w:line="240" w:lineRule="auto"/>
      </w:pPr>
      <w:r>
        <w:separator/>
      </w:r>
    </w:p>
  </w:footnote>
  <w:footnote w:type="continuationSeparator" w:id="0">
    <w:p w14:paraId="47281BE0" w14:textId="77777777" w:rsidR="00CB4F8B" w:rsidRDefault="00CB4F8B" w:rsidP="00CB5190">
      <w:pPr>
        <w:spacing w:line="240" w:lineRule="auto"/>
      </w:pPr>
      <w:r>
        <w:continuationSeparator/>
      </w:r>
    </w:p>
  </w:footnote>
  <w:footnote w:id="1">
    <w:p w14:paraId="63D0DBFC" w14:textId="4ECCE838" w:rsidR="00C21FD6" w:rsidRPr="00850D7F" w:rsidRDefault="00C21FD6" w:rsidP="002B6A4E">
      <w:pPr>
        <w:pStyle w:val="FootnoteText"/>
        <w:rPr>
          <w:lang w:val="en-GB"/>
        </w:rPr>
      </w:pPr>
      <w:r>
        <w:rPr>
          <w:rStyle w:val="FootnoteReference"/>
        </w:rPr>
        <w:tab/>
      </w:r>
      <w:r w:rsidRPr="00850D7F">
        <w:rPr>
          <w:rStyle w:val="FootnoteReference"/>
          <w:sz w:val="20"/>
          <w:vertAlign w:val="baseline"/>
        </w:rPr>
        <w:t>*</w:t>
      </w:r>
      <w:r>
        <w:rPr>
          <w:rStyle w:val="FootnoteReference"/>
          <w:sz w:val="20"/>
          <w:vertAlign w:val="baseline"/>
        </w:rPr>
        <w:tab/>
      </w:r>
      <w:r w:rsidRPr="00A85DC2">
        <w:t>Adoptée par le Comité à sa 12</w:t>
      </w:r>
      <w:r>
        <w:t>8</w:t>
      </w:r>
      <w:r w:rsidRPr="00A85DC2">
        <w:rPr>
          <w:vertAlign w:val="superscript"/>
        </w:rPr>
        <w:t>ème</w:t>
      </w:r>
      <w:r>
        <w:t xml:space="preserve"> </w:t>
      </w:r>
      <w:r w:rsidRPr="00A85DC2">
        <w:t>session (</w:t>
      </w:r>
      <w:r>
        <w:t>2</w:t>
      </w:r>
      <w:r w:rsidRPr="00A85DC2">
        <w:t>– 2</w:t>
      </w:r>
      <w:r>
        <w:t>7</w:t>
      </w:r>
      <w:r w:rsidRPr="00A85DC2">
        <w:t xml:space="preserve"> March 20</w:t>
      </w:r>
      <w:r>
        <w:t>20</w:t>
      </w:r>
      <w:r w:rsidRPr="00A85DC2">
        <w:t>).</w:t>
      </w:r>
    </w:p>
  </w:footnote>
  <w:footnote w:id="2">
    <w:p w14:paraId="0F965F52" w14:textId="609F9C96" w:rsidR="00C21FD6" w:rsidRPr="002F75C1" w:rsidRDefault="00C21FD6">
      <w:pPr>
        <w:pStyle w:val="FootnoteText"/>
        <w:rPr>
          <w:lang w:val="en-GB"/>
        </w:rPr>
      </w:pPr>
      <w:r>
        <w:rPr>
          <w:rStyle w:val="FootnoteReference"/>
        </w:rPr>
        <w:tab/>
      </w:r>
      <w:r w:rsidRPr="00850D7F">
        <w:rPr>
          <w:rStyle w:val="FootnoteReference"/>
          <w:sz w:val="20"/>
          <w:vertAlign w:val="baseline"/>
        </w:rPr>
        <w:t>**</w:t>
      </w:r>
      <w:r>
        <w:rPr>
          <w:rStyle w:val="FootnoteReference"/>
          <w:sz w:val="20"/>
          <w:vertAlign w:val="baseline"/>
        </w:rPr>
        <w:tab/>
      </w:r>
      <w:r w:rsidRPr="009E683D">
        <w:rPr>
          <w:szCs w:val="18"/>
        </w:rPr>
        <w:t xml:space="preserve">Les membres du Comité dont le nom suit ont participé à l’examen de la communication : </w:t>
      </w:r>
      <w:proofErr w:type="spellStart"/>
      <w:r w:rsidR="00EC6A54">
        <w:rPr>
          <w:szCs w:val="18"/>
        </w:rPr>
        <w:t>Yadh</w:t>
      </w:r>
      <w:proofErr w:type="spellEnd"/>
      <w:r w:rsidR="00EC6A54">
        <w:rPr>
          <w:szCs w:val="18"/>
        </w:rPr>
        <w:t xml:space="preserve"> </w:t>
      </w:r>
      <w:r>
        <w:rPr>
          <w:spacing w:val="-1"/>
          <w:szCs w:val="18"/>
        </w:rPr>
        <w:t xml:space="preserve">Ben Achour, </w:t>
      </w:r>
      <w:r w:rsidRPr="00CA1FA1">
        <w:rPr>
          <w:spacing w:val="-1"/>
          <w:szCs w:val="18"/>
        </w:rPr>
        <w:t xml:space="preserve">Arif </w:t>
      </w:r>
      <w:proofErr w:type="spellStart"/>
      <w:r w:rsidRPr="00CA1FA1">
        <w:rPr>
          <w:spacing w:val="-1"/>
          <w:szCs w:val="18"/>
        </w:rPr>
        <w:t>Bulkan</w:t>
      </w:r>
      <w:proofErr w:type="spellEnd"/>
      <w:r w:rsidRPr="00CA1FA1">
        <w:rPr>
          <w:spacing w:val="-1"/>
          <w:szCs w:val="18"/>
        </w:rPr>
        <w:t xml:space="preserve">, Ahmed Amin </w:t>
      </w:r>
      <w:proofErr w:type="spellStart"/>
      <w:r w:rsidRPr="00CA1FA1">
        <w:rPr>
          <w:spacing w:val="-1"/>
          <w:szCs w:val="18"/>
        </w:rPr>
        <w:t>Fathalla</w:t>
      </w:r>
      <w:proofErr w:type="spellEnd"/>
      <w:r w:rsidRPr="00CA1FA1">
        <w:rPr>
          <w:spacing w:val="-1"/>
          <w:szCs w:val="18"/>
        </w:rPr>
        <w:t xml:space="preserve">, </w:t>
      </w:r>
      <w:proofErr w:type="spellStart"/>
      <w:r>
        <w:rPr>
          <w:spacing w:val="-1"/>
          <w:szCs w:val="18"/>
        </w:rPr>
        <w:t>Christof</w:t>
      </w:r>
      <w:proofErr w:type="spellEnd"/>
      <w:r>
        <w:rPr>
          <w:spacing w:val="-1"/>
          <w:szCs w:val="18"/>
        </w:rPr>
        <w:t xml:space="preserve"> </w:t>
      </w:r>
      <w:proofErr w:type="spellStart"/>
      <w:r>
        <w:rPr>
          <w:spacing w:val="-1"/>
          <w:szCs w:val="18"/>
        </w:rPr>
        <w:t>Heyns</w:t>
      </w:r>
      <w:proofErr w:type="spellEnd"/>
      <w:r>
        <w:rPr>
          <w:spacing w:val="-1"/>
          <w:szCs w:val="18"/>
        </w:rPr>
        <w:t xml:space="preserve">, </w:t>
      </w:r>
      <w:proofErr w:type="spellStart"/>
      <w:r w:rsidRPr="00CA1FA1">
        <w:rPr>
          <w:spacing w:val="-1"/>
          <w:szCs w:val="18"/>
        </w:rPr>
        <w:t>Bamariam</w:t>
      </w:r>
      <w:proofErr w:type="spellEnd"/>
      <w:r w:rsidRPr="00CA1FA1">
        <w:rPr>
          <w:spacing w:val="-1"/>
          <w:szCs w:val="18"/>
        </w:rPr>
        <w:t xml:space="preserve"> </w:t>
      </w:r>
      <w:proofErr w:type="spellStart"/>
      <w:r w:rsidRPr="00CA1FA1">
        <w:rPr>
          <w:spacing w:val="-1"/>
          <w:szCs w:val="18"/>
        </w:rPr>
        <w:t>Koita</w:t>
      </w:r>
      <w:proofErr w:type="spellEnd"/>
      <w:r w:rsidRPr="00CA1FA1">
        <w:rPr>
          <w:spacing w:val="-1"/>
          <w:szCs w:val="18"/>
        </w:rPr>
        <w:t>,</w:t>
      </w:r>
      <w:r w:rsidRPr="00C21FD6">
        <w:t xml:space="preserve"> </w:t>
      </w:r>
      <w:r w:rsidRPr="00E83282">
        <w:t xml:space="preserve">Marcia V. </w:t>
      </w:r>
      <w:proofErr w:type="spellStart"/>
      <w:r w:rsidRPr="00E83282">
        <w:t>Kran</w:t>
      </w:r>
      <w:proofErr w:type="spellEnd"/>
      <w:r>
        <w:t>,</w:t>
      </w:r>
      <w:r w:rsidRPr="00CA1FA1">
        <w:rPr>
          <w:spacing w:val="-1"/>
          <w:szCs w:val="18"/>
        </w:rPr>
        <w:t xml:space="preserve"> Duncan </w:t>
      </w:r>
      <w:proofErr w:type="spellStart"/>
      <w:r>
        <w:rPr>
          <w:spacing w:val="-1"/>
          <w:szCs w:val="18"/>
        </w:rPr>
        <w:t>Laki</w:t>
      </w:r>
      <w:proofErr w:type="spellEnd"/>
      <w:r>
        <w:rPr>
          <w:spacing w:val="-1"/>
          <w:szCs w:val="18"/>
        </w:rPr>
        <w:t xml:space="preserve"> </w:t>
      </w:r>
      <w:proofErr w:type="spellStart"/>
      <w:r>
        <w:rPr>
          <w:spacing w:val="-1"/>
          <w:szCs w:val="18"/>
        </w:rPr>
        <w:t>Muhumuza</w:t>
      </w:r>
      <w:proofErr w:type="spellEnd"/>
      <w:r>
        <w:rPr>
          <w:spacing w:val="-1"/>
          <w:szCs w:val="18"/>
        </w:rPr>
        <w:t xml:space="preserve">, </w:t>
      </w:r>
      <w:proofErr w:type="spellStart"/>
      <w:r>
        <w:rPr>
          <w:spacing w:val="-1"/>
          <w:szCs w:val="18"/>
        </w:rPr>
        <w:t>Photini</w:t>
      </w:r>
      <w:proofErr w:type="spellEnd"/>
      <w:r>
        <w:rPr>
          <w:spacing w:val="-1"/>
          <w:szCs w:val="18"/>
        </w:rPr>
        <w:t xml:space="preserve"> </w:t>
      </w:r>
      <w:proofErr w:type="spellStart"/>
      <w:proofErr w:type="gramStart"/>
      <w:r>
        <w:rPr>
          <w:spacing w:val="-1"/>
          <w:szCs w:val="18"/>
        </w:rPr>
        <w:t>Pazartzis,</w:t>
      </w:r>
      <w:r w:rsidRPr="00CA1FA1">
        <w:rPr>
          <w:spacing w:val="-1"/>
          <w:szCs w:val="18"/>
        </w:rPr>
        <w:t>Vasilka</w:t>
      </w:r>
      <w:proofErr w:type="spellEnd"/>
      <w:proofErr w:type="gramEnd"/>
      <w:r w:rsidRPr="00CA1FA1">
        <w:rPr>
          <w:spacing w:val="-1"/>
          <w:szCs w:val="18"/>
        </w:rPr>
        <w:t xml:space="preserve"> </w:t>
      </w:r>
      <w:proofErr w:type="spellStart"/>
      <w:r w:rsidRPr="00CA1FA1">
        <w:rPr>
          <w:spacing w:val="-1"/>
          <w:szCs w:val="18"/>
        </w:rPr>
        <w:t>Sancin</w:t>
      </w:r>
      <w:proofErr w:type="spellEnd"/>
      <w:r w:rsidRPr="00CA1FA1">
        <w:rPr>
          <w:spacing w:val="-1"/>
          <w:szCs w:val="18"/>
        </w:rPr>
        <w:t xml:space="preserve">, </w:t>
      </w:r>
      <w:r w:rsidRPr="00CA1FA1">
        <w:rPr>
          <w:spacing w:val="-1"/>
        </w:rPr>
        <w:t xml:space="preserve">José Manuel Santos Pais, </w:t>
      </w:r>
      <w:r>
        <w:t xml:space="preserve">Yuval </w:t>
      </w:r>
      <w:proofErr w:type="spellStart"/>
      <w:r>
        <w:t>Shany</w:t>
      </w:r>
      <w:proofErr w:type="spellEnd"/>
      <w:r>
        <w:t xml:space="preserve">, Hélène Tigroudja </w:t>
      </w:r>
      <w:r>
        <w:rPr>
          <w:spacing w:val="-1"/>
          <w:szCs w:val="18"/>
        </w:rPr>
        <w:t xml:space="preserve">et </w:t>
      </w:r>
      <w:proofErr w:type="spellStart"/>
      <w:r w:rsidRPr="00CA1FA1">
        <w:rPr>
          <w:spacing w:val="-1"/>
          <w:szCs w:val="18"/>
        </w:rPr>
        <w:t>Gentian</w:t>
      </w:r>
      <w:proofErr w:type="spellEnd"/>
      <w:r w:rsidRPr="00CA1FA1">
        <w:rPr>
          <w:spacing w:val="-1"/>
          <w:szCs w:val="18"/>
        </w:rPr>
        <w:t xml:space="preserve"> </w:t>
      </w:r>
      <w:proofErr w:type="spellStart"/>
      <w:r w:rsidRPr="00CA1FA1">
        <w:rPr>
          <w:spacing w:val="-1"/>
          <w:szCs w:val="18"/>
        </w:rPr>
        <w:t>Zyberi</w:t>
      </w:r>
      <w:proofErr w:type="spellEnd"/>
      <w:r w:rsidRPr="009E683D">
        <w:rPr>
          <w:bCs/>
        </w:rPr>
        <w:t>.</w:t>
      </w:r>
      <w:r w:rsidRPr="00E83282">
        <w:rPr>
          <w:rFonts w:ascii="Calibri" w:hAnsi="Calibri" w:cs="Calibri"/>
          <w:color w:val="1F497D"/>
          <w:sz w:val="22"/>
          <w:szCs w:val="22"/>
        </w:rPr>
        <w:t xml:space="preserve"> </w:t>
      </w:r>
    </w:p>
    <w:p w14:paraId="29A38102" w14:textId="2A8D941F" w:rsidR="00C21FD6" w:rsidRPr="00850D7F" w:rsidRDefault="00C21FD6">
      <w:pPr>
        <w:pStyle w:val="FootnoteText"/>
        <w:rPr>
          <w:lang w:val="en-GB"/>
        </w:rPr>
      </w:pPr>
    </w:p>
  </w:footnote>
  <w:footnote w:id="3">
    <w:p w14:paraId="1C029F3E" w14:textId="387A50EC" w:rsidR="00614738" w:rsidRPr="006E5D89" w:rsidRDefault="00415A1F" w:rsidP="006E5D89">
      <w:pPr>
        <w:pStyle w:val="FootnoteText"/>
      </w:pPr>
      <w:r w:rsidRPr="006E5D89">
        <w:tab/>
      </w:r>
      <w:r w:rsidR="00614738" w:rsidRPr="006E5D89">
        <w:rPr>
          <w:rStyle w:val="FootnoteReference"/>
        </w:rPr>
        <w:footnoteRef/>
      </w:r>
      <w:r w:rsidR="006E5D89">
        <w:tab/>
      </w:r>
      <w:r w:rsidR="00614738" w:rsidRPr="006E5D89">
        <w:t xml:space="preserve">Voir arrêt </w:t>
      </w:r>
      <w:r w:rsidRPr="006E5D89">
        <w:t xml:space="preserve">C.E.D.H. </w:t>
      </w:r>
      <w:r w:rsidR="00614738" w:rsidRPr="006E5D89">
        <w:t>Perez c. France du 12 février 2004 (</w:t>
      </w:r>
      <w:proofErr w:type="spellStart"/>
      <w:r w:rsidR="00614738" w:rsidRPr="006E5D89">
        <w:t>req</w:t>
      </w:r>
      <w:proofErr w:type="spellEnd"/>
      <w:r w:rsidR="00614738" w:rsidRPr="006E5D89">
        <w:t xml:space="preserve">. </w:t>
      </w:r>
      <w:proofErr w:type="gramStart"/>
      <w:r w:rsidR="00614738" w:rsidRPr="006E5D89">
        <w:t>n</w:t>
      </w:r>
      <w:proofErr w:type="gramEnd"/>
      <w:r w:rsidR="00614738" w:rsidRPr="006E5D89">
        <w:t>°</w:t>
      </w:r>
      <w:r w:rsidR="00D9168A">
        <w:t xml:space="preserve"> </w:t>
      </w:r>
      <w:r w:rsidR="00614738" w:rsidRPr="006E5D89">
        <w:t>47287/99)</w:t>
      </w:r>
      <w:r w:rsidR="00D9168A">
        <w:t>.</w:t>
      </w:r>
    </w:p>
  </w:footnote>
  <w:footnote w:id="4">
    <w:p w14:paraId="4BBA40DB" w14:textId="0739A22B" w:rsidR="002E2A22" w:rsidRPr="006E5D89" w:rsidRDefault="00415A1F" w:rsidP="006E5D89">
      <w:pPr>
        <w:pStyle w:val="FootnoteText"/>
      </w:pPr>
      <w:r w:rsidRPr="006E5D89">
        <w:tab/>
      </w:r>
      <w:r w:rsidR="002E2A22" w:rsidRPr="006E5D89">
        <w:rPr>
          <w:rStyle w:val="FootnoteReference"/>
        </w:rPr>
        <w:footnoteRef/>
      </w:r>
      <w:r w:rsidR="006E5D89">
        <w:tab/>
      </w:r>
      <w:r w:rsidR="002E2A22" w:rsidRPr="006E5D89">
        <w:t xml:space="preserve">Voir arrêt </w:t>
      </w:r>
      <w:r w:rsidRPr="006E5D89">
        <w:t xml:space="preserve">C.E.D.H. </w:t>
      </w:r>
      <w:r w:rsidR="002E2A22" w:rsidRPr="006E5D89">
        <w:t>Vera Fernandez-</w:t>
      </w:r>
      <w:proofErr w:type="spellStart"/>
      <w:r w:rsidR="002E2A22" w:rsidRPr="006E5D89">
        <w:t>Huidobro</w:t>
      </w:r>
      <w:proofErr w:type="spellEnd"/>
      <w:r w:rsidR="002E2A22" w:rsidRPr="006E5D89">
        <w:t xml:space="preserve"> c. Espagne, n°</w:t>
      </w:r>
      <w:r w:rsidR="00D9168A">
        <w:t xml:space="preserve"> </w:t>
      </w:r>
      <w:r w:rsidR="002E2A22" w:rsidRPr="006E5D89">
        <w:t xml:space="preserve">74181/01, 6 janvier 2010. </w:t>
      </w:r>
    </w:p>
  </w:footnote>
  <w:footnote w:id="5">
    <w:p w14:paraId="668D6653" w14:textId="3A3669D8" w:rsidR="00CB187A" w:rsidRPr="006E5D89" w:rsidRDefault="00CB187A" w:rsidP="006E5D89">
      <w:pPr>
        <w:pStyle w:val="FootnoteText"/>
      </w:pPr>
      <w:r w:rsidRPr="006E5D89">
        <w:tab/>
      </w:r>
      <w:r w:rsidRPr="006E5D89">
        <w:rPr>
          <w:rStyle w:val="FootnoteReference"/>
        </w:rPr>
        <w:footnoteRef/>
      </w:r>
      <w:r w:rsidR="006E5D89" w:rsidRPr="006E5D89">
        <w:rPr>
          <w:rStyle w:val="FootnoteReference"/>
        </w:rPr>
        <w:tab/>
      </w:r>
      <w:r w:rsidRPr="006E5D89">
        <w:t xml:space="preserve">Correspondant à l’ancien article L.781-1 du Code de l’Organisation judiciaire. </w:t>
      </w:r>
    </w:p>
  </w:footnote>
  <w:footnote w:id="6">
    <w:p w14:paraId="1F724AB4" w14:textId="7C551999" w:rsidR="00323B94" w:rsidRPr="006E5D89" w:rsidRDefault="00391A8C" w:rsidP="006E5D89">
      <w:pPr>
        <w:pStyle w:val="FootnoteText"/>
      </w:pPr>
      <w:r w:rsidRPr="006E5D89">
        <w:tab/>
      </w:r>
      <w:r w:rsidR="00323B94" w:rsidRPr="006E5D89">
        <w:rPr>
          <w:rStyle w:val="FootnoteReference"/>
        </w:rPr>
        <w:footnoteRef/>
      </w:r>
      <w:r w:rsidR="006E5D89">
        <w:tab/>
      </w:r>
      <w:r w:rsidR="00323B94" w:rsidRPr="006E5D89">
        <w:t xml:space="preserve">Voir arrêt </w:t>
      </w:r>
      <w:r w:rsidRPr="006E5D89">
        <w:t xml:space="preserve">de la </w:t>
      </w:r>
      <w:r w:rsidR="00415A1F" w:rsidRPr="006E5D89">
        <w:t>C.E.D.H.</w:t>
      </w:r>
      <w:r w:rsidRPr="006E5D89">
        <w:t xml:space="preserve">, </w:t>
      </w:r>
      <w:proofErr w:type="spellStart"/>
      <w:r w:rsidR="00323B94" w:rsidRPr="006E5D89">
        <w:t>Mifsud</w:t>
      </w:r>
      <w:proofErr w:type="spellEnd"/>
      <w:r w:rsidR="00323B94" w:rsidRPr="006E5D89">
        <w:t xml:space="preserve"> c. France du 11 septembre 2002, n°57220/00. Voir aussi </w:t>
      </w:r>
      <w:r w:rsidRPr="006E5D89">
        <w:t xml:space="preserve">Cour EDH, affaire </w:t>
      </w:r>
      <w:proofErr w:type="spellStart"/>
      <w:r w:rsidR="00323B94" w:rsidRPr="006E5D89">
        <w:t>Benmouna</w:t>
      </w:r>
      <w:proofErr w:type="spellEnd"/>
      <w:r w:rsidR="00323B94" w:rsidRPr="006E5D89">
        <w:t xml:space="preserve"> et autres c. France, 15 septembre 2015, n°51097/13, § § 49 et 52. </w:t>
      </w:r>
    </w:p>
  </w:footnote>
  <w:footnote w:id="7">
    <w:p w14:paraId="6A16FFE9" w14:textId="0C34C37C" w:rsidR="00391A8C" w:rsidRPr="006E5D89" w:rsidRDefault="006E5D89" w:rsidP="006E5D89">
      <w:pPr>
        <w:pStyle w:val="FootnoteText"/>
      </w:pPr>
      <w:r>
        <w:tab/>
      </w:r>
      <w:r w:rsidR="00391A8C" w:rsidRPr="006E5D89">
        <w:rPr>
          <w:rStyle w:val="FootnoteReference"/>
        </w:rPr>
        <w:footnoteRef/>
      </w:r>
      <w:r>
        <w:tab/>
      </w:r>
      <w:r w:rsidR="00391A8C" w:rsidRPr="006E5D89">
        <w:t xml:space="preserve">CDH, affaire Jean-Louis </w:t>
      </w:r>
      <w:proofErr w:type="spellStart"/>
      <w:r w:rsidR="00391A8C" w:rsidRPr="006E5D89">
        <w:t>Deperraz</w:t>
      </w:r>
      <w:proofErr w:type="spellEnd"/>
      <w:r w:rsidR="00391A8C" w:rsidRPr="006E5D89">
        <w:t xml:space="preserve"> et Geneviève </w:t>
      </w:r>
      <w:proofErr w:type="spellStart"/>
      <w:r w:rsidR="00391A8C" w:rsidRPr="006E5D89">
        <w:t>Delieutraz</w:t>
      </w:r>
      <w:proofErr w:type="spellEnd"/>
      <w:r w:rsidR="00391A8C" w:rsidRPr="006E5D89">
        <w:t xml:space="preserve"> épouse </w:t>
      </w:r>
      <w:proofErr w:type="spellStart"/>
      <w:r w:rsidR="00391A8C" w:rsidRPr="006E5D89">
        <w:t>Deperraz</w:t>
      </w:r>
      <w:proofErr w:type="spellEnd"/>
      <w:r w:rsidR="00391A8C" w:rsidRPr="006E5D89">
        <w:t xml:space="preserve"> c. France, 17 mars 2005, n°1118/2002. </w:t>
      </w:r>
    </w:p>
  </w:footnote>
  <w:footnote w:id="8">
    <w:p w14:paraId="58BFB288" w14:textId="50AF6EB3" w:rsidR="00DB770C" w:rsidRPr="006E5D89" w:rsidRDefault="00DB770C" w:rsidP="006E5D89">
      <w:pPr>
        <w:pStyle w:val="FootnoteText"/>
      </w:pPr>
      <w:r w:rsidRPr="006E5D89">
        <w:tab/>
      </w:r>
      <w:r w:rsidRPr="006E5D89">
        <w:rPr>
          <w:rStyle w:val="FootnoteReference"/>
        </w:rPr>
        <w:footnoteRef/>
      </w:r>
      <w:r w:rsidR="006E5D89">
        <w:tab/>
      </w:r>
      <w:r w:rsidRPr="006E5D89">
        <w:t xml:space="preserve">Voir arrêt de la C.E.D.H., </w:t>
      </w:r>
      <w:proofErr w:type="spellStart"/>
      <w:r w:rsidRPr="006E5D89">
        <w:t>Mifsud</w:t>
      </w:r>
      <w:proofErr w:type="spellEnd"/>
      <w:r w:rsidRPr="006E5D89">
        <w:t xml:space="preserve"> c. France du 11 septembre 2002, n°57220/00.</w:t>
      </w:r>
    </w:p>
  </w:footnote>
  <w:footnote w:id="9">
    <w:p w14:paraId="08030230" w14:textId="1EC928AD" w:rsidR="00BC28AE" w:rsidRPr="00BC28AE" w:rsidRDefault="006E5D89" w:rsidP="006E5D89">
      <w:pPr>
        <w:pStyle w:val="FootnoteText"/>
      </w:pPr>
      <w:r>
        <w:tab/>
      </w:r>
      <w:r w:rsidR="00BC28AE">
        <w:rPr>
          <w:rStyle w:val="FootnoteReference"/>
        </w:rPr>
        <w:footnoteRef/>
      </w:r>
      <w:r>
        <w:tab/>
      </w:r>
      <w:r w:rsidR="00BC28AE">
        <w:t xml:space="preserve">Voir commission </w:t>
      </w:r>
      <w:r w:rsidR="00BC28AE" w:rsidRPr="006E5D89">
        <w:t>rogatoire</w:t>
      </w:r>
      <w:r w:rsidR="00BC28AE">
        <w:t xml:space="preserve"> </w:t>
      </w:r>
      <w:r w:rsidR="00BC28AE" w:rsidRPr="00BC28AE">
        <w:t>du juge d’ins</w:t>
      </w:r>
      <w:r w:rsidR="00BC28AE">
        <w:t>truction datée du 13 avril 2012.</w:t>
      </w:r>
    </w:p>
  </w:footnote>
  <w:footnote w:id="10">
    <w:p w14:paraId="067DAF85" w14:textId="28AA9999" w:rsidR="004A35CE" w:rsidRPr="0004565B" w:rsidRDefault="0013711D" w:rsidP="006E5D89">
      <w:pPr>
        <w:pStyle w:val="FootnoteText"/>
        <w:rPr>
          <w:lang w:val="fr-FR"/>
        </w:rPr>
      </w:pPr>
      <w:r>
        <w:rPr>
          <w:lang w:val="fr-FR"/>
        </w:rPr>
        <w:tab/>
      </w:r>
      <w:r w:rsidR="004A35CE">
        <w:rPr>
          <w:rStyle w:val="FootnoteReference"/>
        </w:rPr>
        <w:footnoteRef/>
      </w:r>
      <w:r w:rsidR="006E5D89">
        <w:rPr>
          <w:lang w:val="fr-FR"/>
        </w:rPr>
        <w:tab/>
      </w:r>
      <w:r w:rsidR="004A35CE" w:rsidRPr="0004565B">
        <w:rPr>
          <w:lang w:val="fr-FR"/>
        </w:rPr>
        <w:t xml:space="preserve">CDH, affaire Jean-Louis </w:t>
      </w:r>
      <w:proofErr w:type="spellStart"/>
      <w:r w:rsidR="004A35CE" w:rsidRPr="0004565B">
        <w:rPr>
          <w:lang w:val="fr-FR"/>
        </w:rPr>
        <w:t>Deperraz</w:t>
      </w:r>
      <w:proofErr w:type="spellEnd"/>
      <w:r w:rsidR="004A35CE" w:rsidRPr="0004565B">
        <w:rPr>
          <w:lang w:val="fr-FR"/>
        </w:rPr>
        <w:t xml:space="preserve"> et </w:t>
      </w:r>
      <w:r w:rsidR="004A35CE" w:rsidRPr="006E5D89">
        <w:t>Geneviève</w:t>
      </w:r>
      <w:r w:rsidR="004A35CE" w:rsidRPr="0004565B">
        <w:rPr>
          <w:lang w:val="fr-FR"/>
        </w:rPr>
        <w:t xml:space="preserve"> </w:t>
      </w:r>
      <w:proofErr w:type="spellStart"/>
      <w:r w:rsidR="004A35CE" w:rsidRPr="0004565B">
        <w:rPr>
          <w:lang w:val="fr-FR"/>
        </w:rPr>
        <w:t>Delieutraz</w:t>
      </w:r>
      <w:proofErr w:type="spellEnd"/>
      <w:r w:rsidR="004A35CE" w:rsidRPr="0004565B">
        <w:rPr>
          <w:lang w:val="fr-FR"/>
        </w:rPr>
        <w:t xml:space="preserve"> épouse </w:t>
      </w:r>
      <w:proofErr w:type="spellStart"/>
      <w:r w:rsidR="004A35CE" w:rsidRPr="0004565B">
        <w:rPr>
          <w:lang w:val="fr-FR"/>
        </w:rPr>
        <w:t>Deperraz</w:t>
      </w:r>
      <w:proofErr w:type="spellEnd"/>
      <w:r w:rsidR="004A35CE" w:rsidRPr="0004565B">
        <w:rPr>
          <w:lang w:val="fr-FR"/>
        </w:rPr>
        <w:t xml:space="preserve"> c. France, 17 mars 2005, n°1118/2002.</w:t>
      </w:r>
    </w:p>
  </w:footnote>
  <w:footnote w:id="11">
    <w:p w14:paraId="23EDF3F5" w14:textId="0C088662" w:rsidR="0080040B" w:rsidRPr="002433F9" w:rsidRDefault="00041A19" w:rsidP="0080040B">
      <w:pPr>
        <w:pStyle w:val="FootnoteText"/>
        <w:rPr>
          <w:lang w:val="fr-FR"/>
        </w:rPr>
      </w:pPr>
      <w:r>
        <w:rPr>
          <w:lang w:val="fr-FR"/>
        </w:rPr>
        <w:tab/>
      </w:r>
      <w:r w:rsidR="0080040B">
        <w:rPr>
          <w:rStyle w:val="FootnoteReference"/>
        </w:rPr>
        <w:footnoteRef/>
      </w:r>
      <w:r w:rsidR="00D9168A">
        <w:rPr>
          <w:lang w:val="fr-FR"/>
        </w:rPr>
        <w:tab/>
      </w:r>
      <w:r w:rsidR="0080040B" w:rsidRPr="002433F9">
        <w:rPr>
          <w:lang w:val="fr-FR"/>
        </w:rPr>
        <w:t xml:space="preserve">Voir Observation </w:t>
      </w:r>
      <w:r w:rsidRPr="002433F9">
        <w:rPr>
          <w:lang w:val="fr-FR"/>
        </w:rPr>
        <w:t>générale</w:t>
      </w:r>
      <w:r w:rsidR="0080040B" w:rsidRPr="002433F9">
        <w:rPr>
          <w:lang w:val="fr-FR"/>
        </w:rPr>
        <w:t xml:space="preserve"> N°32 sur l’a</w:t>
      </w:r>
      <w:r w:rsidR="00D9168A">
        <w:rPr>
          <w:lang w:val="fr-FR"/>
        </w:rPr>
        <w:t>rticle 14 du Pacte « </w:t>
      </w:r>
      <w:r w:rsidR="0080040B" w:rsidRPr="002433F9">
        <w:rPr>
          <w:lang w:val="fr-FR"/>
        </w:rPr>
        <w:t>Droit à l’égalité devant les tribunaux et les cours de justice</w:t>
      </w:r>
      <w:r w:rsidR="0080040B">
        <w:rPr>
          <w:lang w:val="fr-FR"/>
        </w:rPr>
        <w:t xml:space="preserve"> </w:t>
      </w:r>
      <w:r w:rsidR="0080040B" w:rsidRPr="002433F9">
        <w:rPr>
          <w:lang w:val="fr-FR"/>
        </w:rPr>
        <w:t>et à un procès équitable</w:t>
      </w:r>
      <w:r w:rsidR="0080040B">
        <w:rPr>
          <w:lang w:val="fr-FR"/>
        </w:rPr>
        <w:t xml:space="preserve"> », para 2. </w:t>
      </w:r>
    </w:p>
  </w:footnote>
  <w:footnote w:id="12">
    <w:p w14:paraId="68391CAB" w14:textId="757B7ABB" w:rsidR="004B7B6F" w:rsidRDefault="004B7B6F" w:rsidP="004B7B6F">
      <w:pPr>
        <w:pStyle w:val="FootnoteText"/>
        <w:jc w:val="both"/>
        <w:rPr>
          <w:szCs w:val="18"/>
          <w:lang w:val="fr-FR"/>
        </w:rPr>
      </w:pPr>
      <w:r>
        <w:rPr>
          <w:szCs w:val="18"/>
          <w:lang w:val="fr-FR"/>
        </w:rPr>
        <w:tab/>
      </w:r>
      <w:r>
        <w:rPr>
          <w:rStyle w:val="FootnoteReference"/>
          <w:szCs w:val="18"/>
        </w:rPr>
        <w:footnoteRef/>
      </w:r>
      <w:r w:rsidR="00D9168A">
        <w:rPr>
          <w:szCs w:val="18"/>
          <w:lang w:val="fr-FR"/>
        </w:rPr>
        <w:tab/>
      </w:r>
      <w:r w:rsidRPr="00CA0A83">
        <w:rPr>
          <w:szCs w:val="18"/>
          <w:lang w:val="fr-FR"/>
        </w:rPr>
        <w:t xml:space="preserve">Voir notamment la </w:t>
      </w:r>
      <w:r>
        <w:rPr>
          <w:szCs w:val="18"/>
          <w:lang w:val="fr-FR"/>
        </w:rPr>
        <w:t>communication N°</w:t>
      </w:r>
      <w:r w:rsidRPr="00CA0A83">
        <w:rPr>
          <w:lang w:val="fr-FR"/>
        </w:rPr>
        <w:t xml:space="preserve"> </w:t>
      </w:r>
      <w:r w:rsidRPr="00CA0A83">
        <w:rPr>
          <w:szCs w:val="18"/>
          <w:lang w:val="fr-FR"/>
        </w:rPr>
        <w:t>1777/2008</w:t>
      </w:r>
      <w:r>
        <w:rPr>
          <w:szCs w:val="18"/>
          <w:lang w:val="fr-FR"/>
        </w:rPr>
        <w:t xml:space="preserve">, </w:t>
      </w:r>
      <w:r w:rsidRPr="00CA0A83">
        <w:rPr>
          <w:szCs w:val="18"/>
          <w:lang w:val="fr-FR"/>
        </w:rPr>
        <w:t>Roger Crochet</w:t>
      </w:r>
      <w:r>
        <w:rPr>
          <w:szCs w:val="18"/>
          <w:lang w:val="fr-FR"/>
        </w:rPr>
        <w:t xml:space="preserve"> c. France, constatations adoptées le 25 octobre 2010, para. 9.4 ; </w:t>
      </w:r>
      <w:r w:rsidRPr="00CA0A83">
        <w:rPr>
          <w:szCs w:val="18"/>
          <w:lang w:val="fr-FR"/>
        </w:rPr>
        <w:t xml:space="preserve">communication No 207/1986, </w:t>
      </w:r>
      <w:proofErr w:type="spellStart"/>
      <w:r w:rsidRPr="00CA0A83">
        <w:rPr>
          <w:i/>
          <w:iCs/>
          <w:szCs w:val="18"/>
          <w:lang w:val="fr-FR"/>
        </w:rPr>
        <w:t>Morael</w:t>
      </w:r>
      <w:proofErr w:type="spellEnd"/>
      <w:r w:rsidRPr="00CA0A83">
        <w:rPr>
          <w:i/>
          <w:iCs/>
          <w:szCs w:val="18"/>
          <w:lang w:val="fr-FR"/>
        </w:rPr>
        <w:t xml:space="preserve"> </w:t>
      </w:r>
      <w:r w:rsidRPr="00CA0A83">
        <w:rPr>
          <w:szCs w:val="18"/>
          <w:lang w:val="fr-FR"/>
        </w:rPr>
        <w:t>c.</w:t>
      </w:r>
      <w:r w:rsidRPr="00CA0A83">
        <w:rPr>
          <w:i/>
          <w:iCs/>
          <w:szCs w:val="18"/>
          <w:lang w:val="fr-FR"/>
        </w:rPr>
        <w:t xml:space="preserve"> France</w:t>
      </w:r>
      <w:r w:rsidRPr="00CA0A83">
        <w:rPr>
          <w:szCs w:val="18"/>
          <w:lang w:val="fr-FR"/>
        </w:rPr>
        <w:t xml:space="preserve">, constatations adoptées le 28 juillet 1989, par. 9.4 ; communication No. 541/1993, </w:t>
      </w:r>
      <w:r w:rsidRPr="00CA0A83">
        <w:rPr>
          <w:i/>
          <w:szCs w:val="18"/>
          <w:lang w:val="fr-FR"/>
        </w:rPr>
        <w:t xml:space="preserve">Errol </w:t>
      </w:r>
      <w:proofErr w:type="spellStart"/>
      <w:r w:rsidRPr="00CA0A83">
        <w:rPr>
          <w:i/>
          <w:szCs w:val="18"/>
          <w:lang w:val="fr-FR"/>
        </w:rPr>
        <w:t>Simms</w:t>
      </w:r>
      <w:proofErr w:type="spellEnd"/>
      <w:r w:rsidRPr="00CA0A83">
        <w:rPr>
          <w:szCs w:val="18"/>
          <w:lang w:val="fr-FR"/>
        </w:rPr>
        <w:t xml:space="preserve"> c. </w:t>
      </w:r>
      <w:r w:rsidRPr="00CA0A83">
        <w:rPr>
          <w:i/>
          <w:szCs w:val="18"/>
          <w:lang w:val="fr-FR"/>
        </w:rPr>
        <w:t>Jamaïque</w:t>
      </w:r>
      <w:r w:rsidRPr="00CA0A83">
        <w:rPr>
          <w:szCs w:val="18"/>
          <w:lang w:val="fr-FR"/>
        </w:rPr>
        <w:t xml:space="preserve">, décision d’irrecevabilité adoptée le 3 avril 1995, par. 6.2 ; communication No. 1537/2006, </w:t>
      </w:r>
      <w:proofErr w:type="spellStart"/>
      <w:r w:rsidRPr="00CA0A83">
        <w:rPr>
          <w:i/>
          <w:iCs/>
          <w:szCs w:val="18"/>
          <w:lang w:val="fr-FR"/>
        </w:rPr>
        <w:t>Yekaterina</w:t>
      </w:r>
      <w:proofErr w:type="spellEnd"/>
      <w:r w:rsidRPr="00CA0A83">
        <w:rPr>
          <w:i/>
          <w:iCs/>
          <w:szCs w:val="18"/>
          <w:lang w:val="fr-FR"/>
        </w:rPr>
        <w:t xml:space="preserve"> </w:t>
      </w:r>
      <w:proofErr w:type="spellStart"/>
      <w:r w:rsidRPr="00CA0A83">
        <w:rPr>
          <w:i/>
          <w:iCs/>
          <w:szCs w:val="18"/>
          <w:lang w:val="fr-FR"/>
        </w:rPr>
        <w:t>Gerashchenko</w:t>
      </w:r>
      <w:proofErr w:type="spellEnd"/>
      <w:r w:rsidRPr="00CA0A83">
        <w:rPr>
          <w:szCs w:val="18"/>
          <w:lang w:val="fr-FR"/>
        </w:rPr>
        <w:t xml:space="preserve"> c. </w:t>
      </w:r>
      <w:r w:rsidRPr="00CA0A83">
        <w:rPr>
          <w:i/>
          <w:iCs/>
          <w:szCs w:val="18"/>
          <w:lang w:val="fr-FR"/>
        </w:rPr>
        <w:t>Biélorussie</w:t>
      </w:r>
      <w:r w:rsidRPr="00CA0A83">
        <w:rPr>
          <w:szCs w:val="18"/>
          <w:lang w:val="fr-FR"/>
        </w:rPr>
        <w:t>, décision d’irrecevabilité adoptée le 23 octobre 2009, par. 6.5</w:t>
      </w:r>
    </w:p>
  </w:footnote>
  <w:footnote w:id="13">
    <w:p w14:paraId="6994A50F" w14:textId="2D708352" w:rsidR="00C20782" w:rsidRPr="00DE45DD" w:rsidRDefault="00C20782">
      <w:pPr>
        <w:pStyle w:val="FootnoteText"/>
        <w:rPr>
          <w:lang w:val="fr-FR"/>
        </w:rPr>
      </w:pPr>
      <w:r>
        <w:tab/>
        <w:t xml:space="preserve">                    </w:t>
      </w:r>
      <w:r>
        <w:rPr>
          <w:rStyle w:val="FootnoteReference"/>
        </w:rPr>
        <w:footnoteRef/>
      </w:r>
      <w:r>
        <w:t xml:space="preserve"> </w:t>
      </w:r>
      <w:r w:rsidRPr="00C20782">
        <w:t xml:space="preserve">P.K. c. Canada, Comité des droits de l’homme, Communication No. 1234/2003 (2007) au </w:t>
      </w:r>
      <w:proofErr w:type="spellStart"/>
      <w:r w:rsidRPr="00C20782">
        <w:t>par</w:t>
      </w:r>
      <w:proofErr w:type="spellEnd"/>
      <w:r w:rsidRPr="00C20782">
        <w:t>. 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1D2B" w14:textId="62A69ABB" w:rsidR="008D04C7" w:rsidRPr="001E5914" w:rsidRDefault="00850D7F" w:rsidP="00C21FD6">
    <w:pPr>
      <w:pStyle w:val="Header"/>
    </w:pPr>
    <w:r w:rsidRPr="00850D7F">
      <w:t xml:space="preserve">Version non éditée </w:t>
    </w:r>
    <w:fldSimple w:instr=" TITLE  \* MERGEFORMAT ">
      <w:r w:rsidR="005E72F5">
        <w:t>CCPR/C/128/DR/3133/2018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081A" w14:textId="058BCFE2" w:rsidR="008D04C7" w:rsidRPr="00CB5190" w:rsidRDefault="00CD0DE2">
    <w:pPr>
      <w:pStyle w:val="Header"/>
      <w:jc w:val="right"/>
      <w:rPr>
        <w:lang w:val="en-GB"/>
      </w:rPr>
    </w:pPr>
    <w:r>
      <w:ptab w:relativeTo="margin" w:alignment="right" w:leader="none"/>
    </w:r>
    <w:r w:rsidR="00850D7F" w:rsidRPr="00850D7F">
      <w:t xml:space="preserve"> Version non éditée </w:t>
    </w:r>
    <w:r>
      <w:t>CCPR/C/128/D/3133/2018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4109" w14:textId="77777777" w:rsidR="00850D7F" w:rsidRDefault="00850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CH" w:vendorID="64" w:dllVersion="6" w:nlCheck="1" w:checkStyle="0"/>
  <w:activeWritingStyle w:appName="MSWord" w:lang="fr-CA" w:vendorID="64" w:dllVersion="6" w:nlCheck="1" w:checkStyle="0"/>
  <w:activeWritingStyle w:appName="MSWord" w:lang="fr-CH" w:vendorID="64" w:dllVersion="131078" w:nlCheck="1" w:checkStyle="0"/>
  <w:activeWritingStyle w:appName="MSWord" w:lang="fr-FR" w:vendorID="64" w:dllVersion="131078" w:nlCheck="1" w:checkStyle="0"/>
  <w:proofState w:spelling="clean" w:grammar="clean"/>
  <w:defaultTabStop w:val="567"/>
  <w:hyphenationZone w:val="425"/>
  <w:evenAndOddHeaders/>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90"/>
    <w:rsid w:val="00000A86"/>
    <w:rsid w:val="00001ECD"/>
    <w:rsid w:val="00026FE9"/>
    <w:rsid w:val="00036C8A"/>
    <w:rsid w:val="00041A19"/>
    <w:rsid w:val="00060078"/>
    <w:rsid w:val="0007121F"/>
    <w:rsid w:val="000A28CD"/>
    <w:rsid w:val="000C5452"/>
    <w:rsid w:val="000D29BF"/>
    <w:rsid w:val="000E1B4D"/>
    <w:rsid w:val="000E48DC"/>
    <w:rsid w:val="000F7DC1"/>
    <w:rsid w:val="0013711D"/>
    <w:rsid w:val="001B448A"/>
    <w:rsid w:val="001B53C9"/>
    <w:rsid w:val="001F1F1A"/>
    <w:rsid w:val="00232A34"/>
    <w:rsid w:val="00242993"/>
    <w:rsid w:val="00247330"/>
    <w:rsid w:val="00255A91"/>
    <w:rsid w:val="002709EF"/>
    <w:rsid w:val="002B6A4E"/>
    <w:rsid w:val="002C2B54"/>
    <w:rsid w:val="002E2A22"/>
    <w:rsid w:val="00323B94"/>
    <w:rsid w:val="003264E1"/>
    <w:rsid w:val="00327024"/>
    <w:rsid w:val="00334497"/>
    <w:rsid w:val="00341604"/>
    <w:rsid w:val="00353F55"/>
    <w:rsid w:val="00357D21"/>
    <w:rsid w:val="00374E07"/>
    <w:rsid w:val="00391A8C"/>
    <w:rsid w:val="003979E6"/>
    <w:rsid w:val="003C2B0D"/>
    <w:rsid w:val="003E5DD1"/>
    <w:rsid w:val="0040793A"/>
    <w:rsid w:val="00415A1F"/>
    <w:rsid w:val="00416F7B"/>
    <w:rsid w:val="00446AA1"/>
    <w:rsid w:val="00466D24"/>
    <w:rsid w:val="004710E0"/>
    <w:rsid w:val="004A35CE"/>
    <w:rsid w:val="004B7B6F"/>
    <w:rsid w:val="00533664"/>
    <w:rsid w:val="00560EB0"/>
    <w:rsid w:val="00561F59"/>
    <w:rsid w:val="00565433"/>
    <w:rsid w:val="005A4A8A"/>
    <w:rsid w:val="005C090D"/>
    <w:rsid w:val="005C5DD1"/>
    <w:rsid w:val="005E72F5"/>
    <w:rsid w:val="00614738"/>
    <w:rsid w:val="00615990"/>
    <w:rsid w:val="00634D6A"/>
    <w:rsid w:val="0065303E"/>
    <w:rsid w:val="00673621"/>
    <w:rsid w:val="00696449"/>
    <w:rsid w:val="006A46B3"/>
    <w:rsid w:val="006D49FF"/>
    <w:rsid w:val="006E5D89"/>
    <w:rsid w:val="00706742"/>
    <w:rsid w:val="007109E4"/>
    <w:rsid w:val="00745B70"/>
    <w:rsid w:val="00754854"/>
    <w:rsid w:val="00783025"/>
    <w:rsid w:val="007D6C58"/>
    <w:rsid w:val="007F1548"/>
    <w:rsid w:val="0080040B"/>
    <w:rsid w:val="00800DA6"/>
    <w:rsid w:val="00817BB2"/>
    <w:rsid w:val="00845F2D"/>
    <w:rsid w:val="00850D7F"/>
    <w:rsid w:val="00866D99"/>
    <w:rsid w:val="00866FD7"/>
    <w:rsid w:val="0088136B"/>
    <w:rsid w:val="008D0D69"/>
    <w:rsid w:val="008D5CC1"/>
    <w:rsid w:val="00901020"/>
    <w:rsid w:val="00904AE6"/>
    <w:rsid w:val="00920F0D"/>
    <w:rsid w:val="00946FA7"/>
    <w:rsid w:val="009608CF"/>
    <w:rsid w:val="009A70B3"/>
    <w:rsid w:val="009B3577"/>
    <w:rsid w:val="009B6912"/>
    <w:rsid w:val="009E25FD"/>
    <w:rsid w:val="009E2F1D"/>
    <w:rsid w:val="00A408F4"/>
    <w:rsid w:val="00A441DB"/>
    <w:rsid w:val="00A52FC0"/>
    <w:rsid w:val="00A973D6"/>
    <w:rsid w:val="00A97F43"/>
    <w:rsid w:val="00AF2E5D"/>
    <w:rsid w:val="00B17B7D"/>
    <w:rsid w:val="00BA6735"/>
    <w:rsid w:val="00BC28AE"/>
    <w:rsid w:val="00BF541D"/>
    <w:rsid w:val="00C20782"/>
    <w:rsid w:val="00C21FD6"/>
    <w:rsid w:val="00C22386"/>
    <w:rsid w:val="00C244A8"/>
    <w:rsid w:val="00C320AD"/>
    <w:rsid w:val="00C44FFA"/>
    <w:rsid w:val="00CB187A"/>
    <w:rsid w:val="00CB4F8B"/>
    <w:rsid w:val="00CB5190"/>
    <w:rsid w:val="00CC6A2A"/>
    <w:rsid w:val="00CD0DE2"/>
    <w:rsid w:val="00D102F0"/>
    <w:rsid w:val="00D67DE1"/>
    <w:rsid w:val="00D70D55"/>
    <w:rsid w:val="00D77348"/>
    <w:rsid w:val="00D8583D"/>
    <w:rsid w:val="00D9168A"/>
    <w:rsid w:val="00DB770C"/>
    <w:rsid w:val="00DC72A3"/>
    <w:rsid w:val="00DD7D2C"/>
    <w:rsid w:val="00DE45DD"/>
    <w:rsid w:val="00DF5168"/>
    <w:rsid w:val="00E572FD"/>
    <w:rsid w:val="00E75270"/>
    <w:rsid w:val="00E8697B"/>
    <w:rsid w:val="00EB2D85"/>
    <w:rsid w:val="00EC6A54"/>
    <w:rsid w:val="00ED7245"/>
    <w:rsid w:val="00EF2984"/>
    <w:rsid w:val="00F11001"/>
    <w:rsid w:val="00F17A09"/>
    <w:rsid w:val="00F2575E"/>
    <w:rsid w:val="00F35E21"/>
    <w:rsid w:val="00FA70A5"/>
    <w:rsid w:val="00FD1230"/>
    <w:rsid w:val="00FD1E2B"/>
    <w:rsid w:val="00FE0D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7C841D"/>
  <w15:chartTrackingRefBased/>
  <w15:docId w15:val="{E074B9B8-E2C3-4566-8797-B98CFB84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90"/>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CB519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CB5190"/>
    <w:rPr>
      <w:rFonts w:ascii="Times New Roman" w:hAnsi="Times New Roman" w:cs="Times New Roman"/>
      <w:b/>
      <w:sz w:val="18"/>
      <w:szCs w:val="20"/>
      <w:lang w:val="fr-CH"/>
    </w:rPr>
  </w:style>
  <w:style w:type="paragraph" w:styleId="Footer">
    <w:name w:val="footer"/>
    <w:aliases w:val="3_G"/>
    <w:basedOn w:val="Normal"/>
    <w:next w:val="Normal"/>
    <w:link w:val="FooterChar"/>
    <w:qFormat/>
    <w:rsid w:val="00CB5190"/>
    <w:pPr>
      <w:spacing w:line="240" w:lineRule="auto"/>
    </w:pPr>
    <w:rPr>
      <w:sz w:val="16"/>
    </w:rPr>
  </w:style>
  <w:style w:type="character" w:customStyle="1" w:styleId="FooterChar">
    <w:name w:val="Footer Char"/>
    <w:aliases w:val="3_G Char"/>
    <w:basedOn w:val="DefaultParagraphFont"/>
    <w:link w:val="Footer"/>
    <w:rsid w:val="00CB5190"/>
    <w:rPr>
      <w:rFonts w:ascii="Times New Roman" w:hAnsi="Times New Roman" w:cs="Times New Roman"/>
      <w:sz w:val="16"/>
      <w:szCs w:val="20"/>
      <w:lang w:val="fr-CH"/>
    </w:rPr>
  </w:style>
  <w:style w:type="paragraph" w:customStyle="1" w:styleId="HChG">
    <w:name w:val="_ H _Ch_G"/>
    <w:basedOn w:val="Normal"/>
    <w:next w:val="Normal"/>
    <w:link w:val="HChGChar"/>
    <w:qFormat/>
    <w:rsid w:val="00CB51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B519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B51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B5190"/>
    <w:pPr>
      <w:keepNext/>
      <w:keepLines/>
      <w:tabs>
        <w:tab w:val="right" w:pos="851"/>
      </w:tabs>
      <w:spacing w:before="240" w:after="120" w:line="240" w:lineRule="exact"/>
      <w:ind w:left="1134" w:right="1134" w:hanging="1134"/>
    </w:pPr>
    <w:rPr>
      <w:i/>
    </w:rPr>
  </w:style>
  <w:style w:type="paragraph" w:customStyle="1" w:styleId="SingleTxtG">
    <w:name w:val="_ Single Txt_G"/>
    <w:basedOn w:val="Normal"/>
    <w:qFormat/>
    <w:rsid w:val="00CB5190"/>
    <w:pPr>
      <w:spacing w:after="120"/>
      <w:ind w:left="1134" w:right="1134"/>
      <w:jc w:val="both"/>
    </w:pPr>
  </w:style>
  <w:style w:type="character" w:styleId="FootnoteReference">
    <w:name w:val="footnote reference"/>
    <w:aliases w:val="4_G"/>
    <w:basedOn w:val="DefaultParagraphFont"/>
    <w:qFormat/>
    <w:rsid w:val="00247330"/>
    <w:rPr>
      <w:rFonts w:ascii="Times New Roman" w:hAnsi="Times New Roman"/>
      <w:sz w:val="18"/>
      <w:vertAlign w:val="superscript"/>
      <w:lang w:val="fr-CH"/>
    </w:rPr>
  </w:style>
  <w:style w:type="table" w:styleId="TableGrid">
    <w:name w:val="Table Grid"/>
    <w:basedOn w:val="TableNormal"/>
    <w:rsid w:val="00CB5190"/>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CB5190"/>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CB5190"/>
    <w:rPr>
      <w:rFonts w:ascii="Times New Roman" w:hAnsi="Times New Roman" w:cs="Times New Roman"/>
      <w:sz w:val="18"/>
      <w:szCs w:val="20"/>
      <w:lang w:val="fr-CH"/>
    </w:rPr>
  </w:style>
  <w:style w:type="character" w:customStyle="1" w:styleId="HChGChar">
    <w:name w:val="_ H _Ch_G Char"/>
    <w:link w:val="HChG"/>
    <w:locked/>
    <w:rsid w:val="00CB5190"/>
    <w:rPr>
      <w:rFonts w:ascii="Times New Roman" w:hAnsi="Times New Roman" w:cs="Times New Roman"/>
      <w:b/>
      <w:sz w:val="28"/>
      <w:szCs w:val="20"/>
      <w:lang w:val="fr-CH"/>
    </w:rPr>
  </w:style>
  <w:style w:type="character" w:customStyle="1" w:styleId="H1GChar">
    <w:name w:val="_ H_1_G Char"/>
    <w:link w:val="H1G"/>
    <w:locked/>
    <w:rsid w:val="00CB5190"/>
    <w:rPr>
      <w:rFonts w:ascii="Times New Roman" w:hAnsi="Times New Roman" w:cs="Times New Roman"/>
      <w:b/>
      <w:sz w:val="24"/>
      <w:szCs w:val="20"/>
      <w:lang w:val="fr-CH"/>
    </w:rPr>
  </w:style>
  <w:style w:type="character" w:customStyle="1" w:styleId="H23GChar">
    <w:name w:val="_ H_2/3_G Char"/>
    <w:link w:val="H23G"/>
    <w:locked/>
    <w:rsid w:val="00CB5190"/>
    <w:rPr>
      <w:rFonts w:ascii="Times New Roman" w:hAnsi="Times New Roman" w:cs="Times New Roman"/>
      <w:b/>
      <w:sz w:val="20"/>
      <w:szCs w:val="20"/>
      <w:lang w:val="fr-CH"/>
    </w:rPr>
  </w:style>
  <w:style w:type="character" w:styleId="CommentReference">
    <w:name w:val="annotation reference"/>
    <w:basedOn w:val="DefaultParagraphFont"/>
    <w:uiPriority w:val="99"/>
    <w:semiHidden/>
    <w:unhideWhenUsed/>
    <w:rsid w:val="00CB5190"/>
    <w:rPr>
      <w:sz w:val="16"/>
      <w:szCs w:val="16"/>
    </w:rPr>
  </w:style>
  <w:style w:type="paragraph" w:styleId="CommentText">
    <w:name w:val="annotation text"/>
    <w:basedOn w:val="Normal"/>
    <w:link w:val="CommentTextChar"/>
    <w:uiPriority w:val="99"/>
    <w:semiHidden/>
    <w:unhideWhenUsed/>
    <w:rsid w:val="00CB5190"/>
    <w:pPr>
      <w:spacing w:line="240" w:lineRule="auto"/>
    </w:pPr>
  </w:style>
  <w:style w:type="character" w:customStyle="1" w:styleId="CommentTextChar">
    <w:name w:val="Comment Text Char"/>
    <w:basedOn w:val="DefaultParagraphFont"/>
    <w:link w:val="CommentText"/>
    <w:uiPriority w:val="99"/>
    <w:semiHidden/>
    <w:rsid w:val="00CB5190"/>
    <w:rPr>
      <w:rFonts w:ascii="Times New Roman" w:hAnsi="Times New Roman" w:cs="Times New Roman"/>
      <w:sz w:val="20"/>
      <w:szCs w:val="20"/>
      <w:lang w:val="fr-CH"/>
    </w:rPr>
  </w:style>
  <w:style w:type="paragraph" w:styleId="BalloonText">
    <w:name w:val="Balloon Text"/>
    <w:basedOn w:val="Normal"/>
    <w:link w:val="BalloonTextChar"/>
    <w:uiPriority w:val="99"/>
    <w:semiHidden/>
    <w:unhideWhenUsed/>
    <w:rsid w:val="00CB51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90"/>
    <w:rPr>
      <w:rFonts w:ascii="Segoe UI" w:hAnsi="Segoe UI" w:cs="Segoe UI"/>
      <w:sz w:val="18"/>
      <w:szCs w:val="18"/>
      <w:lang w:val="fr-CH"/>
    </w:rPr>
  </w:style>
  <w:style w:type="paragraph" w:styleId="CommentSubject">
    <w:name w:val="annotation subject"/>
    <w:basedOn w:val="CommentText"/>
    <w:next w:val="CommentText"/>
    <w:link w:val="CommentSubjectChar"/>
    <w:uiPriority w:val="99"/>
    <w:semiHidden/>
    <w:unhideWhenUsed/>
    <w:rsid w:val="00CC6A2A"/>
    <w:rPr>
      <w:b/>
      <w:bCs/>
    </w:rPr>
  </w:style>
  <w:style w:type="character" w:customStyle="1" w:styleId="CommentSubjectChar">
    <w:name w:val="Comment Subject Char"/>
    <w:basedOn w:val="CommentTextChar"/>
    <w:link w:val="CommentSubject"/>
    <w:uiPriority w:val="99"/>
    <w:semiHidden/>
    <w:rsid w:val="00CC6A2A"/>
    <w:rPr>
      <w:rFonts w:ascii="Times New Roman" w:hAnsi="Times New Roman"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ACB07-0276-4E03-A7B3-FDE66EA50EFD}">
  <ds:schemaRefs>
    <ds:schemaRef ds:uri="http://schemas.openxmlformats.org/officeDocument/2006/bibliography"/>
  </ds:schemaRefs>
</ds:datastoreItem>
</file>

<file path=customXml/itemProps2.xml><?xml version="1.0" encoding="utf-8"?>
<ds:datastoreItem xmlns:ds="http://schemas.openxmlformats.org/officeDocument/2006/customXml" ds:itemID="{217191E0-E634-4BB4-AB54-D2F2E45ADF6B}"/>
</file>

<file path=customXml/itemProps3.xml><?xml version="1.0" encoding="utf-8"?>
<ds:datastoreItem xmlns:ds="http://schemas.openxmlformats.org/officeDocument/2006/customXml" ds:itemID="{61DFA84B-C6FD-4786-AFB5-C3379987AFCA}"/>
</file>

<file path=customXml/itemProps4.xml><?xml version="1.0" encoding="utf-8"?>
<ds:datastoreItem xmlns:ds="http://schemas.openxmlformats.org/officeDocument/2006/customXml" ds:itemID="{F4067776-9D86-452D-A960-A684AA5435F6}"/>
</file>

<file path=docProps/app.xml><?xml version="1.0" encoding="utf-8"?>
<Properties xmlns="http://schemas.openxmlformats.org/officeDocument/2006/extended-properties" xmlns:vt="http://schemas.openxmlformats.org/officeDocument/2006/docPropsVTypes">
  <Template>Normal.dotm</Template>
  <TotalTime>6</TotalTime>
  <Pages>7</Pages>
  <Words>3947</Words>
  <Characters>22502</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CCPR/C/128/DR/3133/2018</vt:lpstr>
      <vt:lpstr>CCPR/C/128/DR/3133/2018</vt:lpstr>
    </vt:vector>
  </TitlesOfParts>
  <Company>OHCHR</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CCPR/C/128/DR/3133/2018</dc:title>
  <dc:subject>qrcode</dc:subject>
  <dc:creator>nath V</dc:creator>
  <cp:keywords/>
  <dc:description/>
  <cp:lastModifiedBy>ABDELAZIM Mohamed</cp:lastModifiedBy>
  <cp:revision>4</cp:revision>
  <cp:lastPrinted>2020-08-10T12:24:00Z</cp:lastPrinted>
  <dcterms:created xsi:type="dcterms:W3CDTF">2020-08-10T10:40:00Z</dcterms:created>
  <dcterms:modified xsi:type="dcterms:W3CDTF">2020-08-10T12:24:00Z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