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A89FBA4" w14:textId="77777777" w:rsidTr="002B7BC7">
        <w:trPr>
          <w:trHeight w:hRule="exact" w:val="851"/>
        </w:trPr>
        <w:tc>
          <w:tcPr>
            <w:tcW w:w="1276" w:type="dxa"/>
            <w:tcBorders>
              <w:bottom w:val="single" w:sz="4" w:space="0" w:color="auto"/>
            </w:tcBorders>
          </w:tcPr>
          <w:p w14:paraId="2C020349" w14:textId="77777777" w:rsidR="006F71EA" w:rsidRPr="00DB58B5" w:rsidRDefault="006F71EA" w:rsidP="007D7472">
            <w:bookmarkStart w:id="0" w:name="_GoBack"/>
            <w:bookmarkEnd w:id="0"/>
          </w:p>
        </w:tc>
        <w:tc>
          <w:tcPr>
            <w:tcW w:w="2268" w:type="dxa"/>
            <w:tcBorders>
              <w:bottom w:val="single" w:sz="4" w:space="0" w:color="auto"/>
            </w:tcBorders>
            <w:vAlign w:val="bottom"/>
          </w:tcPr>
          <w:p w14:paraId="6444C90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E02220" w14:textId="7A32FD8F" w:rsidR="006F71EA" w:rsidRPr="0088574B" w:rsidRDefault="0088574B" w:rsidP="0088574B">
            <w:pPr>
              <w:jc w:val="right"/>
            </w:pPr>
            <w:r w:rsidRPr="0088574B">
              <w:rPr>
                <w:sz w:val="40"/>
              </w:rPr>
              <w:t>CCPR</w:t>
            </w:r>
            <w:r>
              <w:t>/C/128/D/3082/2017</w:t>
            </w:r>
          </w:p>
        </w:tc>
      </w:tr>
      <w:tr w:rsidR="006F71EA" w:rsidRPr="00DB58B5" w14:paraId="3E0A9463" w14:textId="77777777" w:rsidTr="002B7BC7">
        <w:trPr>
          <w:trHeight w:hRule="exact" w:val="2835"/>
        </w:trPr>
        <w:tc>
          <w:tcPr>
            <w:tcW w:w="1276" w:type="dxa"/>
            <w:tcBorders>
              <w:top w:val="single" w:sz="4" w:space="0" w:color="auto"/>
              <w:bottom w:val="single" w:sz="12" w:space="0" w:color="auto"/>
            </w:tcBorders>
          </w:tcPr>
          <w:p w14:paraId="7A87B07F" w14:textId="77777777" w:rsidR="006F71EA" w:rsidRPr="00DB58B5" w:rsidRDefault="006F71EA" w:rsidP="002B7BC7">
            <w:pPr>
              <w:spacing w:before="120"/>
              <w:jc w:val="center"/>
            </w:pPr>
            <w:r>
              <w:rPr>
                <w:noProof/>
                <w:lang w:val="en-GB" w:eastAsia="en-GB"/>
              </w:rPr>
              <w:drawing>
                <wp:inline distT="0" distB="0" distL="0" distR="0" wp14:anchorId="6320FA19" wp14:editId="03277B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4D0FB7" w14:textId="77777777" w:rsidR="006F71EA"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p w14:paraId="428AE3E2" w14:textId="0C8DD954" w:rsidR="00545E98" w:rsidRPr="00AB51C8" w:rsidRDefault="00545E98" w:rsidP="002B7BC7">
            <w:pPr>
              <w:spacing w:before="120" w:line="380" w:lineRule="exact"/>
              <w:rPr>
                <w:b/>
                <w:sz w:val="34"/>
                <w:szCs w:val="34"/>
              </w:rPr>
            </w:pPr>
            <w:r w:rsidRPr="00DD26C3">
              <w:rPr>
                <w:b/>
                <w:sz w:val="34"/>
                <w:szCs w:val="34"/>
              </w:rPr>
              <w:t>Version non éditée</w:t>
            </w:r>
          </w:p>
        </w:tc>
        <w:tc>
          <w:tcPr>
            <w:tcW w:w="2835" w:type="dxa"/>
            <w:tcBorders>
              <w:top w:val="single" w:sz="4" w:space="0" w:color="auto"/>
              <w:bottom w:val="single" w:sz="12" w:space="0" w:color="auto"/>
            </w:tcBorders>
          </w:tcPr>
          <w:p w14:paraId="655536BB" w14:textId="14A6A38A" w:rsidR="006F71EA" w:rsidRDefault="00A92D13" w:rsidP="002B7BC7">
            <w:pPr>
              <w:spacing w:before="240"/>
            </w:pPr>
            <w:proofErr w:type="spellStart"/>
            <w:r w:rsidRPr="00A92D13">
              <w:t>Distr</w:t>
            </w:r>
            <w:proofErr w:type="spellEnd"/>
            <w:r w:rsidRPr="00A92D13">
              <w:t xml:space="preserve">. </w:t>
            </w:r>
            <w:proofErr w:type="gramStart"/>
            <w:r w:rsidR="00FE27A9">
              <w:t>générale</w:t>
            </w:r>
            <w:proofErr w:type="gramEnd"/>
          </w:p>
          <w:p w14:paraId="112197C7" w14:textId="028B26AF" w:rsidR="007D7472" w:rsidRDefault="00AE2235" w:rsidP="007D7472">
            <w:pPr>
              <w:spacing w:line="240" w:lineRule="exact"/>
            </w:pPr>
            <w:r>
              <w:t>27 juillet</w:t>
            </w:r>
            <w:r w:rsidR="00A92D13">
              <w:t xml:space="preserve"> 20</w:t>
            </w:r>
            <w:r w:rsidR="000B1EC0">
              <w:t>20</w:t>
            </w:r>
          </w:p>
          <w:p w14:paraId="50C859BA" w14:textId="77777777" w:rsidR="007D7472" w:rsidRDefault="007D7472" w:rsidP="007D7472">
            <w:pPr>
              <w:spacing w:line="240" w:lineRule="exact"/>
            </w:pPr>
          </w:p>
          <w:p w14:paraId="31270365" w14:textId="77777777" w:rsidR="00A92D13" w:rsidRPr="00A92D13" w:rsidRDefault="00A92D13" w:rsidP="00A92D13">
            <w:pPr>
              <w:spacing w:line="240" w:lineRule="exact"/>
            </w:pPr>
            <w:r w:rsidRPr="00A92D13">
              <w:t>Original : français</w:t>
            </w:r>
          </w:p>
          <w:p w14:paraId="40BA16D4" w14:textId="1143C210" w:rsidR="007D7472" w:rsidRPr="00DB58B5" w:rsidRDefault="007D7472" w:rsidP="00A92D13">
            <w:pPr>
              <w:spacing w:line="240" w:lineRule="exact"/>
            </w:pPr>
          </w:p>
        </w:tc>
      </w:tr>
    </w:tbl>
    <w:p w14:paraId="36EB7DD8" w14:textId="77777777" w:rsidR="00A92D13" w:rsidRPr="00A92D13" w:rsidRDefault="00A92D13" w:rsidP="00A92D13">
      <w:pPr>
        <w:spacing w:before="120"/>
        <w:rPr>
          <w:b/>
          <w:sz w:val="24"/>
          <w:szCs w:val="24"/>
        </w:rPr>
      </w:pPr>
      <w:r w:rsidRPr="00A92D13">
        <w:rPr>
          <w:b/>
          <w:sz w:val="24"/>
          <w:szCs w:val="24"/>
        </w:rPr>
        <w:t>Comité des droits de l’homme</w:t>
      </w:r>
    </w:p>
    <w:p w14:paraId="0B61D05A" w14:textId="1199F7C6" w:rsidR="006F71EA" w:rsidRDefault="006F71EA" w:rsidP="005021B2">
      <w:pPr>
        <w:rPr>
          <w:b/>
          <w:sz w:val="24"/>
          <w:szCs w:val="24"/>
        </w:rPr>
      </w:pPr>
    </w:p>
    <w:p w14:paraId="2B024174" w14:textId="154E634C" w:rsidR="00E85C42" w:rsidRPr="00BA6319" w:rsidRDefault="00410779" w:rsidP="00FE27A9">
      <w:pPr>
        <w:pStyle w:val="HChG"/>
        <w:rPr>
          <w:b w:val="0"/>
        </w:rPr>
      </w:pPr>
      <w:r>
        <w:rPr>
          <w:szCs w:val="28"/>
          <w:lang w:val="fr-FR"/>
        </w:rPr>
        <w:tab/>
      </w:r>
      <w:r>
        <w:rPr>
          <w:szCs w:val="28"/>
          <w:lang w:val="fr-FR"/>
        </w:rPr>
        <w:tab/>
      </w:r>
      <w:r w:rsidR="00FE27A9" w:rsidRPr="00B67849">
        <w:t xml:space="preserve">Constatations adoptées par le Comité au titre </w:t>
      </w:r>
      <w:r w:rsidR="00FE27A9">
        <w:br/>
      </w:r>
      <w:r w:rsidR="00FE27A9" w:rsidRPr="00B67849">
        <w:t xml:space="preserve">de </w:t>
      </w:r>
      <w:r w:rsidR="00FE27A9" w:rsidRPr="00B67849">
        <w:rPr>
          <w:lang w:val="fr-FR"/>
        </w:rPr>
        <w:t>l’article 5 (</w:t>
      </w:r>
      <w:r w:rsidR="00FE27A9">
        <w:rPr>
          <w:lang w:val="fr-FR"/>
        </w:rPr>
        <w:t>par. </w:t>
      </w:r>
      <w:r w:rsidR="00FE27A9" w:rsidRPr="00B67849">
        <w:rPr>
          <w:lang w:val="fr-FR"/>
        </w:rPr>
        <w:t xml:space="preserve">4) du Protocole facultatif, </w:t>
      </w:r>
      <w:r w:rsidR="00FE27A9">
        <w:rPr>
          <w:lang w:val="fr-FR"/>
        </w:rPr>
        <w:br/>
      </w:r>
      <w:r w:rsidR="00FE27A9" w:rsidRPr="00B67849">
        <w:rPr>
          <w:lang w:val="fr-FR"/>
        </w:rPr>
        <w:t xml:space="preserve">concernant </w:t>
      </w:r>
      <w:r w:rsidR="00FE27A9">
        <w:rPr>
          <w:lang w:val="fr-FR"/>
        </w:rPr>
        <w:t xml:space="preserve">la </w:t>
      </w:r>
      <w:r w:rsidR="00FE27A9" w:rsidRPr="00341BD1">
        <w:t>communication n</w:t>
      </w:r>
      <w:r w:rsidR="00FE27A9" w:rsidRPr="00341BD1">
        <w:rPr>
          <w:vertAlign w:val="superscript"/>
        </w:rPr>
        <w:t>o</w:t>
      </w:r>
      <w:r w:rsidR="00FE27A9">
        <w:rPr>
          <w:vertAlign w:val="superscript"/>
        </w:rPr>
        <w:t> </w:t>
      </w:r>
      <w:r w:rsidR="00FE27A9">
        <w:t>3082</w:t>
      </w:r>
      <w:r w:rsidR="00FE27A9" w:rsidRPr="00341BD1">
        <w:t>/201</w:t>
      </w:r>
      <w:r w:rsidR="00FE27A9">
        <w:t>7</w:t>
      </w:r>
      <w:r w:rsidR="00FE27A9" w:rsidRPr="000118E0">
        <w:rPr>
          <w:rStyle w:val="FootnoteReference"/>
          <w:sz w:val="20"/>
        </w:rPr>
        <w:footnoteReference w:customMarkFollows="1" w:id="2"/>
        <w:t>*</w:t>
      </w:r>
      <w:r w:rsidR="00FE27A9">
        <w:rPr>
          <w:sz w:val="20"/>
          <w:vertAlign w:val="superscript"/>
        </w:rPr>
        <w:t>,</w:t>
      </w:r>
      <w:r w:rsidR="00FE27A9">
        <w:t xml:space="preserve"> </w:t>
      </w:r>
      <w:r w:rsidR="00FE27A9" w:rsidRPr="00B64D21">
        <w:rPr>
          <w:rStyle w:val="FootnoteReference"/>
          <w:b w:val="0"/>
          <w:sz w:val="20"/>
        </w:rPr>
        <w:footnoteReference w:customMarkFollows="1" w:id="3"/>
        <w:t>**</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410779" w14:paraId="004A1ABB" w14:textId="77777777" w:rsidTr="00410779">
        <w:tc>
          <w:tcPr>
            <w:tcW w:w="2552" w:type="dxa"/>
          </w:tcPr>
          <w:p w14:paraId="1095CF8B" w14:textId="77777777" w:rsidR="00410779" w:rsidRDefault="00410779" w:rsidP="00410779">
            <w:pPr>
              <w:pStyle w:val="SingleTxtG"/>
              <w:ind w:left="0" w:right="0"/>
              <w:jc w:val="left"/>
              <w:rPr>
                <w:i/>
              </w:rPr>
            </w:pPr>
            <w:r>
              <w:rPr>
                <w:i/>
              </w:rPr>
              <w:t>Communication p</w:t>
            </w:r>
            <w:r w:rsidRPr="00FD511F">
              <w:rPr>
                <w:i/>
              </w:rPr>
              <w:t>résentée par</w:t>
            </w:r>
            <w:r>
              <w:t> :</w:t>
            </w:r>
          </w:p>
        </w:tc>
        <w:tc>
          <w:tcPr>
            <w:tcW w:w="4253" w:type="dxa"/>
          </w:tcPr>
          <w:p w14:paraId="5E47B726" w14:textId="77777777" w:rsidR="00410779" w:rsidRDefault="00172AD4" w:rsidP="00172AD4">
            <w:pPr>
              <w:spacing w:after="120"/>
              <w:jc w:val="both"/>
              <w:textAlignment w:val="baseline"/>
              <w:rPr>
                <w:kern w:val="3"/>
                <w:lang w:val="fr-FR"/>
              </w:rPr>
            </w:pPr>
            <w:r>
              <w:t xml:space="preserve">Ahmed </w:t>
            </w:r>
            <w:proofErr w:type="spellStart"/>
            <w:r>
              <w:t>Souaiene</w:t>
            </w:r>
            <w:proofErr w:type="spellEnd"/>
            <w:r>
              <w:t xml:space="preserve"> et Aïcha </w:t>
            </w:r>
            <w:proofErr w:type="spellStart"/>
            <w:r>
              <w:t>Souaiene</w:t>
            </w:r>
            <w:proofErr w:type="spellEnd"/>
            <w:r w:rsidR="00410779">
              <w:rPr>
                <w:lang w:val="fr-FR"/>
              </w:rPr>
              <w:t xml:space="preserve"> (représenté</w:t>
            </w:r>
            <w:r>
              <w:rPr>
                <w:lang w:val="fr-FR"/>
              </w:rPr>
              <w:t>s</w:t>
            </w:r>
            <w:r w:rsidR="00410779">
              <w:rPr>
                <w:lang w:val="fr-FR"/>
              </w:rPr>
              <w:t xml:space="preserve"> par </w:t>
            </w:r>
            <w:proofErr w:type="spellStart"/>
            <w:r w:rsidR="006404CD" w:rsidRPr="006404CD">
              <w:rPr>
                <w:lang w:val="fr-FR"/>
              </w:rPr>
              <w:t>Nassera</w:t>
            </w:r>
            <w:proofErr w:type="spellEnd"/>
            <w:r w:rsidR="006404CD" w:rsidRPr="006404CD">
              <w:rPr>
                <w:lang w:val="fr-FR"/>
              </w:rPr>
              <w:t xml:space="preserve"> </w:t>
            </w:r>
            <w:proofErr w:type="spellStart"/>
            <w:r w:rsidR="006404CD" w:rsidRPr="006404CD">
              <w:rPr>
                <w:lang w:val="fr-FR"/>
              </w:rPr>
              <w:t>Dutour</w:t>
            </w:r>
            <w:proofErr w:type="spellEnd"/>
            <w:r w:rsidR="006404CD" w:rsidRPr="006404CD">
              <w:rPr>
                <w:lang w:val="fr-FR"/>
              </w:rPr>
              <w:t xml:space="preserve"> du Collectif des familles de disparu(e)s en Algérie</w:t>
            </w:r>
            <w:r w:rsidR="00410779">
              <w:rPr>
                <w:lang w:val="fr-FR"/>
              </w:rPr>
              <w:t>)</w:t>
            </w:r>
          </w:p>
        </w:tc>
      </w:tr>
      <w:tr w:rsidR="00410779" w14:paraId="56B3498D" w14:textId="77777777" w:rsidTr="00410779">
        <w:tc>
          <w:tcPr>
            <w:tcW w:w="2552" w:type="dxa"/>
          </w:tcPr>
          <w:p w14:paraId="35F016F4" w14:textId="77777777" w:rsidR="00410779" w:rsidRPr="00FD511F" w:rsidRDefault="00410779" w:rsidP="00410779">
            <w:pPr>
              <w:pStyle w:val="SingleTxtG"/>
              <w:ind w:left="0" w:right="0"/>
              <w:jc w:val="left"/>
              <w:rPr>
                <w:i/>
              </w:rPr>
            </w:pPr>
            <w:r w:rsidRPr="00FD511F">
              <w:rPr>
                <w:i/>
              </w:rPr>
              <w:t>Au nom de</w:t>
            </w:r>
            <w:r>
              <w:t> :</w:t>
            </w:r>
          </w:p>
        </w:tc>
        <w:tc>
          <w:tcPr>
            <w:tcW w:w="4253" w:type="dxa"/>
          </w:tcPr>
          <w:p w14:paraId="56AD701F" w14:textId="77777777" w:rsidR="00410779" w:rsidRDefault="00172AD4" w:rsidP="00172AD4">
            <w:pPr>
              <w:spacing w:after="120"/>
              <w:jc w:val="both"/>
              <w:textAlignment w:val="baseline"/>
              <w:rPr>
                <w:kern w:val="3"/>
                <w:lang w:val="fr-FR"/>
              </w:rPr>
            </w:pPr>
            <w:r>
              <w:rPr>
                <w:kern w:val="3"/>
                <w:lang w:val="fr-FR"/>
              </w:rPr>
              <w:t xml:space="preserve">Les </w:t>
            </w:r>
            <w:r w:rsidR="00410779">
              <w:rPr>
                <w:kern w:val="3"/>
                <w:lang w:val="fr-FR"/>
              </w:rPr>
              <w:t>auteur</w:t>
            </w:r>
            <w:r>
              <w:rPr>
                <w:kern w:val="3"/>
                <w:lang w:val="fr-FR"/>
              </w:rPr>
              <w:t>s</w:t>
            </w:r>
            <w:r w:rsidR="00410779">
              <w:rPr>
                <w:kern w:val="3"/>
                <w:lang w:val="fr-FR"/>
              </w:rPr>
              <w:t xml:space="preserve"> et </w:t>
            </w:r>
            <w:r>
              <w:rPr>
                <w:kern w:val="3"/>
                <w:lang w:val="fr-FR"/>
              </w:rPr>
              <w:t xml:space="preserve">Rabah </w:t>
            </w:r>
            <w:proofErr w:type="spellStart"/>
            <w:r>
              <w:rPr>
                <w:kern w:val="3"/>
                <w:lang w:val="fr-FR"/>
              </w:rPr>
              <w:t>Souaiene</w:t>
            </w:r>
            <w:proofErr w:type="spellEnd"/>
            <w:r w:rsidR="00BF1606">
              <w:rPr>
                <w:kern w:val="3"/>
                <w:lang w:val="fr-FR"/>
              </w:rPr>
              <w:t xml:space="preserve"> (</w:t>
            </w:r>
            <w:r w:rsidR="006404CD">
              <w:rPr>
                <w:kern w:val="3"/>
                <w:lang w:val="fr-FR"/>
              </w:rPr>
              <w:t>fils</w:t>
            </w:r>
            <w:r w:rsidR="00410779">
              <w:rPr>
                <w:kern w:val="3"/>
                <w:lang w:val="fr-FR"/>
              </w:rPr>
              <w:t xml:space="preserve"> de</w:t>
            </w:r>
            <w:r>
              <w:rPr>
                <w:kern w:val="3"/>
                <w:lang w:val="fr-FR"/>
              </w:rPr>
              <w:t>s</w:t>
            </w:r>
            <w:r w:rsidR="00410779">
              <w:rPr>
                <w:kern w:val="3"/>
                <w:lang w:val="fr-FR"/>
              </w:rPr>
              <w:t xml:space="preserve"> </w:t>
            </w:r>
            <w:r>
              <w:rPr>
                <w:kern w:val="3"/>
                <w:lang w:val="fr-FR"/>
              </w:rPr>
              <w:t>a</w:t>
            </w:r>
            <w:r w:rsidR="00410779">
              <w:rPr>
                <w:kern w:val="3"/>
                <w:lang w:val="fr-FR"/>
              </w:rPr>
              <w:t>uteur</w:t>
            </w:r>
            <w:r>
              <w:rPr>
                <w:kern w:val="3"/>
                <w:lang w:val="fr-FR"/>
              </w:rPr>
              <w:t>s</w:t>
            </w:r>
            <w:r w:rsidR="00410779">
              <w:rPr>
                <w:kern w:val="3"/>
                <w:lang w:val="fr-FR"/>
              </w:rPr>
              <w:t>)</w:t>
            </w:r>
          </w:p>
        </w:tc>
      </w:tr>
      <w:tr w:rsidR="00410779" w14:paraId="1B220EB0" w14:textId="77777777" w:rsidTr="00410779">
        <w:tc>
          <w:tcPr>
            <w:tcW w:w="2552" w:type="dxa"/>
          </w:tcPr>
          <w:p w14:paraId="37197C77" w14:textId="77777777" w:rsidR="00410779" w:rsidRPr="00FD511F" w:rsidRDefault="00410779" w:rsidP="00410779">
            <w:pPr>
              <w:pStyle w:val="SingleTxtG"/>
              <w:ind w:left="0" w:right="0"/>
              <w:jc w:val="left"/>
              <w:rPr>
                <w:i/>
              </w:rPr>
            </w:pPr>
            <w:r w:rsidRPr="00FD511F">
              <w:rPr>
                <w:i/>
              </w:rPr>
              <w:t>État partie</w:t>
            </w:r>
            <w:r>
              <w:t> :</w:t>
            </w:r>
          </w:p>
        </w:tc>
        <w:tc>
          <w:tcPr>
            <w:tcW w:w="4253" w:type="dxa"/>
          </w:tcPr>
          <w:p w14:paraId="67C8BDB1" w14:textId="77777777" w:rsidR="00410779" w:rsidRDefault="00410779" w:rsidP="00410779">
            <w:pPr>
              <w:spacing w:after="120"/>
              <w:textAlignment w:val="baseline"/>
              <w:rPr>
                <w:kern w:val="3"/>
                <w:lang w:val="fr-FR"/>
              </w:rPr>
            </w:pPr>
            <w:r>
              <w:rPr>
                <w:kern w:val="3"/>
                <w:lang w:val="fr-FR"/>
              </w:rPr>
              <w:t>Algérie</w:t>
            </w:r>
          </w:p>
        </w:tc>
      </w:tr>
      <w:tr w:rsidR="00410779" w14:paraId="21B6B84F" w14:textId="77777777" w:rsidTr="00410779">
        <w:tc>
          <w:tcPr>
            <w:tcW w:w="2552" w:type="dxa"/>
          </w:tcPr>
          <w:p w14:paraId="049A322F" w14:textId="77777777" w:rsidR="00410779" w:rsidRPr="00FD511F" w:rsidRDefault="00410779" w:rsidP="00410779">
            <w:pPr>
              <w:pStyle w:val="SingleTxtG"/>
              <w:ind w:left="0" w:right="0"/>
              <w:jc w:val="left"/>
              <w:rPr>
                <w:i/>
              </w:rPr>
            </w:pPr>
            <w:r>
              <w:rPr>
                <w:i/>
                <w:kern w:val="3"/>
                <w:lang w:val="fr-FR"/>
              </w:rPr>
              <w:t>Date de la communication </w:t>
            </w:r>
            <w:r>
              <w:rPr>
                <w:kern w:val="3"/>
                <w:lang w:val="fr-FR"/>
              </w:rPr>
              <w:t>:</w:t>
            </w:r>
          </w:p>
        </w:tc>
        <w:tc>
          <w:tcPr>
            <w:tcW w:w="4253" w:type="dxa"/>
          </w:tcPr>
          <w:p w14:paraId="2A83EA0D" w14:textId="77777777" w:rsidR="00410779" w:rsidRDefault="00172AD4" w:rsidP="00172AD4">
            <w:pPr>
              <w:spacing w:after="120"/>
              <w:textAlignment w:val="baseline"/>
              <w:rPr>
                <w:kern w:val="3"/>
                <w:lang w:val="fr-FR"/>
              </w:rPr>
            </w:pPr>
            <w:r>
              <w:rPr>
                <w:kern w:val="3"/>
                <w:lang w:val="fr-FR"/>
              </w:rPr>
              <w:t>8 septembre</w:t>
            </w:r>
            <w:r w:rsidR="000B1EC0">
              <w:rPr>
                <w:kern w:val="3"/>
                <w:lang w:val="fr-FR"/>
              </w:rPr>
              <w:t xml:space="preserve"> </w:t>
            </w:r>
            <w:r w:rsidR="00410779">
              <w:rPr>
                <w:kern w:val="3"/>
                <w:lang w:val="fr-FR"/>
              </w:rPr>
              <w:t>201</w:t>
            </w:r>
            <w:r>
              <w:rPr>
                <w:kern w:val="3"/>
                <w:lang w:val="fr-FR"/>
              </w:rPr>
              <w:t>7</w:t>
            </w:r>
            <w:r w:rsidR="00410779">
              <w:rPr>
                <w:kern w:val="3"/>
                <w:lang w:val="fr-FR"/>
              </w:rPr>
              <w:t xml:space="preserve"> (date de la lettre initiale)</w:t>
            </w:r>
          </w:p>
        </w:tc>
      </w:tr>
      <w:tr w:rsidR="00410779" w14:paraId="7D46B830" w14:textId="77777777" w:rsidTr="00410779">
        <w:tc>
          <w:tcPr>
            <w:tcW w:w="2552" w:type="dxa"/>
          </w:tcPr>
          <w:p w14:paraId="79C98264" w14:textId="77777777" w:rsidR="00410779" w:rsidRPr="00FD511F" w:rsidRDefault="00410779" w:rsidP="00410779">
            <w:pPr>
              <w:pStyle w:val="SingleTxtG"/>
              <w:ind w:left="0" w:right="0"/>
              <w:jc w:val="left"/>
              <w:rPr>
                <w:i/>
              </w:rPr>
            </w:pPr>
            <w:r>
              <w:rPr>
                <w:i/>
                <w:kern w:val="3"/>
                <w:lang w:val="fr-FR"/>
              </w:rPr>
              <w:t>Références </w:t>
            </w:r>
            <w:r>
              <w:rPr>
                <w:kern w:val="3"/>
                <w:lang w:val="fr-FR"/>
              </w:rPr>
              <w:t>:</w:t>
            </w:r>
          </w:p>
        </w:tc>
        <w:tc>
          <w:tcPr>
            <w:tcW w:w="4253" w:type="dxa"/>
          </w:tcPr>
          <w:p w14:paraId="429C3269" w14:textId="77777777" w:rsidR="00410779" w:rsidRDefault="00CB16AA" w:rsidP="00172AD4">
            <w:pPr>
              <w:spacing w:after="120"/>
              <w:jc w:val="both"/>
              <w:textAlignment w:val="baseline"/>
              <w:rPr>
                <w:kern w:val="3"/>
                <w:lang w:val="fr-FR"/>
              </w:rPr>
            </w:pPr>
            <w:r w:rsidRPr="00CB16AA">
              <w:rPr>
                <w:kern w:val="3"/>
                <w:lang w:val="fr-FR"/>
              </w:rPr>
              <w:t xml:space="preserve">Décision prise en application de l’article </w:t>
            </w:r>
            <w:r w:rsidR="003553A0">
              <w:rPr>
                <w:kern w:val="3"/>
                <w:lang w:val="fr-FR"/>
              </w:rPr>
              <w:t>92</w:t>
            </w:r>
            <w:r w:rsidR="003553A0" w:rsidRPr="00CB16AA">
              <w:rPr>
                <w:kern w:val="3"/>
                <w:lang w:val="fr-FR"/>
              </w:rPr>
              <w:t xml:space="preserve"> </w:t>
            </w:r>
            <w:r w:rsidRPr="00CB16AA">
              <w:rPr>
                <w:kern w:val="3"/>
                <w:lang w:val="fr-FR"/>
              </w:rPr>
              <w:t>du règlement intérieur du Comité</w:t>
            </w:r>
            <w:r w:rsidR="00410779">
              <w:rPr>
                <w:kern w:val="3"/>
                <w:lang w:val="fr-FR"/>
              </w:rPr>
              <w:t xml:space="preserve">, communiquée à l’État partie le </w:t>
            </w:r>
            <w:r w:rsidR="00172AD4">
              <w:rPr>
                <w:kern w:val="3"/>
                <w:lang w:val="fr-FR"/>
              </w:rPr>
              <w:t>20 décembre</w:t>
            </w:r>
            <w:r w:rsidR="00007EB9">
              <w:rPr>
                <w:kern w:val="3"/>
                <w:lang w:val="fr-FR"/>
              </w:rPr>
              <w:t xml:space="preserve"> </w:t>
            </w:r>
            <w:r w:rsidR="00975D7C">
              <w:rPr>
                <w:kern w:val="3"/>
                <w:lang w:val="fr-FR"/>
              </w:rPr>
              <w:t>201</w:t>
            </w:r>
            <w:r w:rsidR="00172AD4">
              <w:rPr>
                <w:kern w:val="3"/>
                <w:lang w:val="fr-FR"/>
              </w:rPr>
              <w:t>7</w:t>
            </w:r>
            <w:r w:rsidR="00410779">
              <w:rPr>
                <w:kern w:val="3"/>
                <w:lang w:val="fr-FR"/>
              </w:rPr>
              <w:t xml:space="preserve"> (non publiée sous forme de document)</w:t>
            </w:r>
          </w:p>
        </w:tc>
      </w:tr>
      <w:tr w:rsidR="00410779" w14:paraId="4445062D" w14:textId="77777777" w:rsidTr="00410779">
        <w:tc>
          <w:tcPr>
            <w:tcW w:w="2552" w:type="dxa"/>
          </w:tcPr>
          <w:p w14:paraId="1D1505AC" w14:textId="77777777" w:rsidR="00410779" w:rsidRDefault="00410779" w:rsidP="00410779">
            <w:pPr>
              <w:spacing w:after="120"/>
              <w:textAlignment w:val="baseline"/>
              <w:rPr>
                <w:kern w:val="3"/>
                <w:lang w:val="fr-FR"/>
              </w:rPr>
            </w:pPr>
            <w:r>
              <w:rPr>
                <w:i/>
                <w:kern w:val="3"/>
                <w:lang w:val="fr-FR"/>
              </w:rPr>
              <w:t>Date des constatations </w:t>
            </w:r>
            <w:r>
              <w:rPr>
                <w:kern w:val="3"/>
                <w:lang w:val="fr-FR"/>
              </w:rPr>
              <w:t>:</w:t>
            </w:r>
          </w:p>
        </w:tc>
        <w:tc>
          <w:tcPr>
            <w:tcW w:w="4253" w:type="dxa"/>
          </w:tcPr>
          <w:p w14:paraId="4A875141" w14:textId="7B4428E8" w:rsidR="00410779" w:rsidRDefault="00FE27A9" w:rsidP="00410779">
            <w:pPr>
              <w:spacing w:after="120"/>
              <w:textAlignment w:val="baseline"/>
              <w:rPr>
                <w:kern w:val="3"/>
                <w:lang w:val="fr-FR"/>
              </w:rPr>
            </w:pPr>
            <w:r>
              <w:rPr>
                <w:kern w:val="3"/>
                <w:lang w:val="fr-FR"/>
              </w:rPr>
              <w:t>27</w:t>
            </w:r>
            <w:r w:rsidR="001B0A58">
              <w:rPr>
                <w:kern w:val="3"/>
                <w:lang w:val="fr-FR"/>
              </w:rPr>
              <w:t xml:space="preserve"> mars 2020</w:t>
            </w:r>
          </w:p>
        </w:tc>
      </w:tr>
      <w:tr w:rsidR="00410779" w14:paraId="7E782687" w14:textId="77777777" w:rsidTr="00410779">
        <w:tc>
          <w:tcPr>
            <w:tcW w:w="2552" w:type="dxa"/>
          </w:tcPr>
          <w:p w14:paraId="270AC4D7" w14:textId="77777777" w:rsidR="00410779" w:rsidRDefault="00410779" w:rsidP="00410779">
            <w:pPr>
              <w:spacing w:after="120"/>
              <w:textAlignment w:val="baseline"/>
              <w:rPr>
                <w:kern w:val="3"/>
                <w:lang w:val="fr-FR"/>
              </w:rPr>
            </w:pPr>
            <w:r>
              <w:rPr>
                <w:lang w:val="fr-FR"/>
              </w:rPr>
              <w:br w:type="page"/>
            </w:r>
            <w:r>
              <w:rPr>
                <w:rFonts w:ascii="Calibri" w:hAnsi="Calibri" w:cs="Arial"/>
                <w:kern w:val="3"/>
                <w:lang w:val="fr-FR" w:eastAsia="en-GB"/>
              </w:rPr>
              <w:br w:type="page"/>
            </w:r>
            <w:r>
              <w:rPr>
                <w:i/>
                <w:iCs/>
                <w:kern w:val="3"/>
                <w:lang w:val="fr-FR"/>
              </w:rPr>
              <w:t>Objet </w:t>
            </w:r>
            <w:r>
              <w:rPr>
                <w:kern w:val="3"/>
                <w:lang w:val="fr-FR"/>
              </w:rPr>
              <w:t>:</w:t>
            </w:r>
          </w:p>
        </w:tc>
        <w:tc>
          <w:tcPr>
            <w:tcW w:w="4253" w:type="dxa"/>
          </w:tcPr>
          <w:p w14:paraId="632E336F" w14:textId="77777777" w:rsidR="00410779" w:rsidRDefault="00BF1606" w:rsidP="00BF1606">
            <w:pPr>
              <w:spacing w:after="120"/>
              <w:textAlignment w:val="baseline"/>
              <w:rPr>
                <w:kern w:val="3"/>
                <w:lang w:val="fr-FR"/>
              </w:rPr>
            </w:pPr>
            <w:r>
              <w:rPr>
                <w:kern w:val="3"/>
                <w:lang w:val="fr-FR"/>
              </w:rPr>
              <w:t>Disparition forcée</w:t>
            </w:r>
          </w:p>
        </w:tc>
      </w:tr>
      <w:tr w:rsidR="00410779" w14:paraId="3955BADE" w14:textId="77777777" w:rsidTr="00410779">
        <w:tc>
          <w:tcPr>
            <w:tcW w:w="2552" w:type="dxa"/>
          </w:tcPr>
          <w:p w14:paraId="626AF6E3" w14:textId="77777777" w:rsidR="00410779" w:rsidRDefault="00410779" w:rsidP="00410779">
            <w:pPr>
              <w:spacing w:after="120"/>
              <w:textAlignment w:val="baseline"/>
              <w:rPr>
                <w:i/>
                <w:iCs/>
                <w:kern w:val="3"/>
                <w:lang w:val="fr-FR"/>
              </w:rPr>
            </w:pPr>
            <w:r>
              <w:rPr>
                <w:i/>
                <w:iCs/>
                <w:kern w:val="3"/>
                <w:lang w:val="fr-FR"/>
              </w:rPr>
              <w:t>Question(s) de procédure </w:t>
            </w:r>
            <w:r>
              <w:rPr>
                <w:kern w:val="3"/>
                <w:lang w:val="fr-FR"/>
              </w:rPr>
              <w:t>:</w:t>
            </w:r>
          </w:p>
        </w:tc>
        <w:tc>
          <w:tcPr>
            <w:tcW w:w="4253" w:type="dxa"/>
          </w:tcPr>
          <w:p w14:paraId="3C8E4765" w14:textId="77777777" w:rsidR="00410779" w:rsidRDefault="00BF1606" w:rsidP="00007EB9">
            <w:pPr>
              <w:spacing w:after="120"/>
              <w:textAlignment w:val="baseline"/>
              <w:rPr>
                <w:kern w:val="3"/>
                <w:lang w:val="fr-FR"/>
              </w:rPr>
            </w:pPr>
            <w:r>
              <w:rPr>
                <w:kern w:val="3"/>
                <w:lang w:val="fr-FR"/>
              </w:rPr>
              <w:t>Épuisement des recours internes</w:t>
            </w:r>
          </w:p>
        </w:tc>
      </w:tr>
      <w:tr w:rsidR="00410779" w14:paraId="20736EFE" w14:textId="77777777" w:rsidTr="00410779">
        <w:tc>
          <w:tcPr>
            <w:tcW w:w="2552" w:type="dxa"/>
          </w:tcPr>
          <w:p w14:paraId="28EEB3F0" w14:textId="77777777" w:rsidR="00410779" w:rsidRDefault="00410779" w:rsidP="00410779">
            <w:pPr>
              <w:spacing w:after="120"/>
              <w:textAlignment w:val="baseline"/>
              <w:rPr>
                <w:kern w:val="3"/>
                <w:lang w:val="fr-FR"/>
              </w:rPr>
            </w:pPr>
            <w:r>
              <w:rPr>
                <w:i/>
                <w:iCs/>
                <w:kern w:val="3"/>
                <w:lang w:val="fr-FR"/>
              </w:rPr>
              <w:t>Question(s) de fond </w:t>
            </w:r>
            <w:r>
              <w:rPr>
                <w:kern w:val="3"/>
                <w:lang w:val="fr-FR"/>
              </w:rPr>
              <w:t>:</w:t>
            </w:r>
          </w:p>
        </w:tc>
        <w:tc>
          <w:tcPr>
            <w:tcW w:w="4253" w:type="dxa"/>
          </w:tcPr>
          <w:p w14:paraId="6879B722" w14:textId="77777777" w:rsidR="00410779" w:rsidRDefault="00BF1606" w:rsidP="00007EB9">
            <w:pPr>
              <w:spacing w:after="120"/>
              <w:jc w:val="both"/>
              <w:textAlignment w:val="baseline"/>
              <w:rPr>
                <w:kern w:val="3"/>
                <w:lang w:val="fr-FR"/>
              </w:rPr>
            </w:pPr>
            <w:r w:rsidRPr="00BF1606">
              <w:rPr>
                <w:lang w:val="fr-FR"/>
              </w:rPr>
              <w:t>Droit à un recours utile ; peine ou traitement cruel, inhumain ou dégrad</w:t>
            </w:r>
            <w:r w:rsidR="00B90B76">
              <w:rPr>
                <w:lang w:val="fr-FR"/>
              </w:rPr>
              <w:t xml:space="preserve">ant ; liberté et sécurité de la </w:t>
            </w:r>
            <w:r w:rsidRPr="00BF1606">
              <w:rPr>
                <w:lang w:val="fr-FR"/>
              </w:rPr>
              <w:t>personne ; dignité</w:t>
            </w:r>
            <w:r w:rsidR="00B90B76">
              <w:rPr>
                <w:lang w:val="fr-FR"/>
              </w:rPr>
              <w:t xml:space="preserve"> humaine ; reconnaissance de la </w:t>
            </w:r>
            <w:r w:rsidRPr="00BF1606">
              <w:rPr>
                <w:lang w:val="fr-FR"/>
              </w:rPr>
              <w:t>personnalité juridique</w:t>
            </w:r>
          </w:p>
        </w:tc>
      </w:tr>
      <w:tr w:rsidR="00410779" w14:paraId="40472A6D" w14:textId="77777777" w:rsidTr="00410779">
        <w:tc>
          <w:tcPr>
            <w:tcW w:w="2552" w:type="dxa"/>
          </w:tcPr>
          <w:p w14:paraId="0775BF5F" w14:textId="77777777" w:rsidR="00410779" w:rsidRDefault="00410779" w:rsidP="00410779">
            <w:pPr>
              <w:spacing w:after="120"/>
              <w:textAlignment w:val="baseline"/>
              <w:rPr>
                <w:kern w:val="3"/>
                <w:lang w:val="fr-FR"/>
              </w:rPr>
            </w:pPr>
            <w:r>
              <w:rPr>
                <w:i/>
                <w:iCs/>
                <w:kern w:val="3"/>
                <w:lang w:val="fr-FR"/>
              </w:rPr>
              <w:t>Article(s) du Pacte </w:t>
            </w:r>
            <w:r>
              <w:rPr>
                <w:kern w:val="3"/>
                <w:lang w:val="fr-FR"/>
              </w:rPr>
              <w:t>:</w:t>
            </w:r>
          </w:p>
        </w:tc>
        <w:tc>
          <w:tcPr>
            <w:tcW w:w="4253" w:type="dxa"/>
          </w:tcPr>
          <w:p w14:paraId="4B3B62B9" w14:textId="77777777" w:rsidR="00410779" w:rsidRDefault="006B2617" w:rsidP="00172AD4">
            <w:pPr>
              <w:spacing w:after="120"/>
              <w:textAlignment w:val="baseline"/>
              <w:rPr>
                <w:kern w:val="3"/>
                <w:lang w:val="fr-FR"/>
              </w:rPr>
            </w:pPr>
            <w:r>
              <w:rPr>
                <w:kern w:val="3"/>
                <w:lang w:val="fr-FR"/>
              </w:rPr>
              <w:t xml:space="preserve">2 (par. </w:t>
            </w:r>
            <w:r w:rsidR="00BF1606">
              <w:rPr>
                <w:kern w:val="3"/>
                <w:lang w:val="fr-FR"/>
              </w:rPr>
              <w:t xml:space="preserve">2 et </w:t>
            </w:r>
            <w:r w:rsidR="00410779">
              <w:rPr>
                <w:kern w:val="3"/>
                <w:lang w:val="fr-FR"/>
              </w:rPr>
              <w:t>3), 6, 7, 9</w:t>
            </w:r>
            <w:r w:rsidR="00BF1606">
              <w:rPr>
                <w:kern w:val="3"/>
                <w:lang w:val="fr-FR"/>
              </w:rPr>
              <w:t xml:space="preserve">, </w:t>
            </w:r>
            <w:r w:rsidR="00410779">
              <w:rPr>
                <w:kern w:val="3"/>
                <w:lang w:val="fr-FR"/>
              </w:rPr>
              <w:t>10</w:t>
            </w:r>
            <w:r w:rsidR="00BF1606">
              <w:rPr>
                <w:kern w:val="3"/>
                <w:lang w:val="fr-FR"/>
              </w:rPr>
              <w:t xml:space="preserve">, </w:t>
            </w:r>
            <w:r w:rsidR="00EA21D5">
              <w:rPr>
                <w:kern w:val="3"/>
                <w:lang w:val="fr-FR"/>
              </w:rPr>
              <w:t>14</w:t>
            </w:r>
            <w:r w:rsidR="00172AD4">
              <w:rPr>
                <w:kern w:val="3"/>
                <w:lang w:val="fr-FR"/>
              </w:rPr>
              <w:t xml:space="preserve"> et</w:t>
            </w:r>
            <w:r w:rsidR="006404CD">
              <w:rPr>
                <w:kern w:val="3"/>
                <w:lang w:val="fr-FR"/>
              </w:rPr>
              <w:t xml:space="preserve"> </w:t>
            </w:r>
            <w:r w:rsidR="00BF1606">
              <w:rPr>
                <w:kern w:val="3"/>
                <w:lang w:val="fr-FR"/>
              </w:rPr>
              <w:t>16</w:t>
            </w:r>
          </w:p>
        </w:tc>
      </w:tr>
      <w:tr w:rsidR="00410779" w14:paraId="703785BC" w14:textId="77777777" w:rsidTr="00410779">
        <w:tc>
          <w:tcPr>
            <w:tcW w:w="2552" w:type="dxa"/>
          </w:tcPr>
          <w:p w14:paraId="05335B90" w14:textId="77777777" w:rsidR="00410779" w:rsidRDefault="00410779" w:rsidP="00410779">
            <w:pPr>
              <w:spacing w:after="120"/>
              <w:textAlignment w:val="baseline"/>
              <w:rPr>
                <w:kern w:val="3"/>
                <w:lang w:val="fr-FR"/>
              </w:rPr>
            </w:pPr>
            <w:r>
              <w:rPr>
                <w:i/>
                <w:iCs/>
                <w:kern w:val="3"/>
                <w:lang w:val="fr-FR"/>
              </w:rPr>
              <w:t>Article(s) du Protocole facultatif </w:t>
            </w:r>
            <w:r>
              <w:rPr>
                <w:kern w:val="3"/>
                <w:lang w:val="fr-FR"/>
              </w:rPr>
              <w:t>:</w:t>
            </w:r>
          </w:p>
        </w:tc>
        <w:tc>
          <w:tcPr>
            <w:tcW w:w="4253" w:type="dxa"/>
          </w:tcPr>
          <w:p w14:paraId="1E4C4D20" w14:textId="77777777" w:rsidR="00410779" w:rsidRDefault="00051C21" w:rsidP="00410779">
            <w:pPr>
              <w:spacing w:after="120"/>
              <w:textAlignment w:val="baseline"/>
              <w:rPr>
                <w:kern w:val="3"/>
                <w:lang w:val="fr-FR"/>
              </w:rPr>
            </w:pPr>
            <w:r>
              <w:rPr>
                <w:kern w:val="3"/>
                <w:lang w:val="fr-FR"/>
              </w:rPr>
              <w:t xml:space="preserve">2, 3, et 5 (par. </w:t>
            </w:r>
            <w:r w:rsidR="00BF1606" w:rsidRPr="00BF1606">
              <w:rPr>
                <w:kern w:val="3"/>
                <w:lang w:val="fr-FR"/>
              </w:rPr>
              <w:t>2)</w:t>
            </w:r>
          </w:p>
        </w:tc>
      </w:tr>
    </w:tbl>
    <w:p w14:paraId="68825363" w14:textId="77777777" w:rsidR="00410779" w:rsidRDefault="00290855" w:rsidP="00410779">
      <w:pPr>
        <w:pStyle w:val="SingleTxtG"/>
      </w:pPr>
      <w:r>
        <w:br w:type="page"/>
      </w:r>
      <w:r w:rsidR="000319C3">
        <w:lastRenderedPageBreak/>
        <w:t>1.</w:t>
      </w:r>
      <w:r w:rsidR="00F2328C">
        <w:t>1</w:t>
      </w:r>
      <w:r w:rsidR="00172AD4">
        <w:tab/>
        <w:t xml:space="preserve">Les </w:t>
      </w:r>
      <w:r w:rsidR="00410779" w:rsidRPr="00410779">
        <w:t>auteur</w:t>
      </w:r>
      <w:r w:rsidR="00172AD4">
        <w:t>s</w:t>
      </w:r>
      <w:r w:rsidR="00410779" w:rsidRPr="00410779">
        <w:t xml:space="preserve"> de la com</w:t>
      </w:r>
      <w:r w:rsidR="00CD24CE">
        <w:t>munication</w:t>
      </w:r>
      <w:r w:rsidR="00410779" w:rsidRPr="00410779">
        <w:t xml:space="preserve"> </w:t>
      </w:r>
      <w:r w:rsidR="00172AD4">
        <w:t>sont</w:t>
      </w:r>
      <w:r w:rsidR="00410779" w:rsidRPr="00410779">
        <w:t xml:space="preserve"> </w:t>
      </w:r>
      <w:r w:rsidR="00172AD4">
        <w:t xml:space="preserve">Ahmed </w:t>
      </w:r>
      <w:proofErr w:type="spellStart"/>
      <w:r w:rsidR="00172AD4">
        <w:t>Souaiene</w:t>
      </w:r>
      <w:proofErr w:type="spellEnd"/>
      <w:r w:rsidR="00172AD4">
        <w:t xml:space="preserve"> et son épouse Aïcha Ben </w:t>
      </w:r>
      <w:proofErr w:type="spellStart"/>
      <w:r w:rsidR="00172AD4">
        <w:t>Djézia</w:t>
      </w:r>
      <w:proofErr w:type="spellEnd"/>
      <w:r w:rsidR="00172AD4">
        <w:t xml:space="preserve"> Ep </w:t>
      </w:r>
      <w:proofErr w:type="spellStart"/>
      <w:r w:rsidR="00172AD4">
        <w:t>Souaiene</w:t>
      </w:r>
      <w:proofErr w:type="spellEnd"/>
      <w:r w:rsidR="00410779" w:rsidRPr="00410779">
        <w:t xml:space="preserve">, de nationalité </w:t>
      </w:r>
      <w:r w:rsidR="003533BE">
        <w:t xml:space="preserve">algérienne. </w:t>
      </w:r>
      <w:r w:rsidR="00172AD4">
        <w:t>Ils font</w:t>
      </w:r>
      <w:r w:rsidR="00410779" w:rsidRPr="00410779">
        <w:t xml:space="preserve"> val</w:t>
      </w:r>
      <w:r w:rsidR="00CD24CE">
        <w:t xml:space="preserve">oir que </w:t>
      </w:r>
      <w:r w:rsidR="00172AD4">
        <w:t>leur</w:t>
      </w:r>
      <w:r w:rsidR="00CD24CE">
        <w:t xml:space="preserve"> </w:t>
      </w:r>
      <w:r w:rsidR="00A74808">
        <w:t>fils</w:t>
      </w:r>
      <w:r w:rsidR="00CD24CE">
        <w:t xml:space="preserve">, </w:t>
      </w:r>
      <w:r w:rsidR="00172AD4">
        <w:t xml:space="preserve">Rabah </w:t>
      </w:r>
      <w:proofErr w:type="spellStart"/>
      <w:r w:rsidR="00172AD4">
        <w:t>Souaiene</w:t>
      </w:r>
      <w:proofErr w:type="spellEnd"/>
      <w:r w:rsidR="00410779" w:rsidRPr="00410779">
        <w:t xml:space="preserve">, né </w:t>
      </w:r>
      <w:r w:rsidR="00EA21D5">
        <w:t>le 1</w:t>
      </w:r>
      <w:r w:rsidR="00172AD4" w:rsidRPr="00172AD4">
        <w:rPr>
          <w:vertAlign w:val="superscript"/>
        </w:rPr>
        <w:t>er</w:t>
      </w:r>
      <w:r w:rsidR="00172AD4">
        <w:t xml:space="preserve"> janvier </w:t>
      </w:r>
      <w:r w:rsidR="003533BE">
        <w:t>19</w:t>
      </w:r>
      <w:r w:rsidR="00EA21D5">
        <w:t>66</w:t>
      </w:r>
      <w:r w:rsidR="00410779" w:rsidRPr="00410779">
        <w:t xml:space="preserve">, de nationalité algérienne, </w:t>
      </w:r>
      <w:r w:rsidR="003533BE" w:rsidRPr="003533BE">
        <w:t>est victime d’une disparition forcée imputable à l’État partie, en violation des articles</w:t>
      </w:r>
      <w:r w:rsidR="00647D87">
        <w:t xml:space="preserve"> </w:t>
      </w:r>
      <w:r w:rsidR="003533BE">
        <w:t>6, 7, 9, 10</w:t>
      </w:r>
      <w:r w:rsidR="00172AD4">
        <w:t xml:space="preserve"> et</w:t>
      </w:r>
      <w:r w:rsidR="003533BE" w:rsidRPr="003533BE">
        <w:t xml:space="preserve"> </w:t>
      </w:r>
      <w:r w:rsidR="00EA21D5">
        <w:t>16</w:t>
      </w:r>
      <w:r w:rsidR="00A74808">
        <w:t xml:space="preserve"> </w:t>
      </w:r>
      <w:r w:rsidR="003533BE" w:rsidRPr="003533BE">
        <w:t xml:space="preserve">du Pacte international relatif aux droits civils et politiques. </w:t>
      </w:r>
      <w:r w:rsidR="003533BE" w:rsidRPr="00975D7C">
        <w:t>L</w:t>
      </w:r>
      <w:r w:rsidR="00172AD4">
        <w:t xml:space="preserve">es </w:t>
      </w:r>
      <w:r w:rsidR="003533BE" w:rsidRPr="00975D7C">
        <w:t>auteur</w:t>
      </w:r>
      <w:r w:rsidR="00172AD4">
        <w:t>s</w:t>
      </w:r>
      <w:r w:rsidR="003533BE" w:rsidRPr="00975D7C">
        <w:t xml:space="preserve"> </w:t>
      </w:r>
      <w:r w:rsidR="00172AD4" w:rsidRPr="00975D7C">
        <w:t>soutien</w:t>
      </w:r>
      <w:r w:rsidR="00172AD4">
        <w:t>ne</w:t>
      </w:r>
      <w:r w:rsidR="00172AD4" w:rsidRPr="00975D7C">
        <w:t>nt</w:t>
      </w:r>
      <w:r w:rsidR="00713F25" w:rsidRPr="00975D7C">
        <w:t xml:space="preserve"> par ailleurs </w:t>
      </w:r>
      <w:r w:rsidR="00FC66C6" w:rsidRPr="00975D7C">
        <w:t>être</w:t>
      </w:r>
      <w:r w:rsidR="003533BE" w:rsidRPr="00975D7C">
        <w:t xml:space="preserve"> victime</w:t>
      </w:r>
      <w:r w:rsidR="00172AD4">
        <w:t>s</w:t>
      </w:r>
      <w:r w:rsidR="003533BE" w:rsidRPr="00975D7C">
        <w:t xml:space="preserve"> d</w:t>
      </w:r>
      <w:r w:rsidR="00FC66C6" w:rsidRPr="00975D7C">
        <w:t>’un</w:t>
      </w:r>
      <w:r w:rsidR="003533BE" w:rsidRPr="00975D7C">
        <w:t>e violation</w:t>
      </w:r>
      <w:r w:rsidR="00647D87" w:rsidRPr="00975D7C">
        <w:t xml:space="preserve"> </w:t>
      </w:r>
      <w:r w:rsidR="00FC66C6" w:rsidRPr="00975D7C">
        <w:t xml:space="preserve">de </w:t>
      </w:r>
      <w:r w:rsidR="00172AD4">
        <w:t>leurs</w:t>
      </w:r>
      <w:r w:rsidR="00FC66C6" w:rsidRPr="00975D7C">
        <w:t xml:space="preserve"> droits en vertu </w:t>
      </w:r>
      <w:r w:rsidR="00975D7C">
        <w:t>de</w:t>
      </w:r>
      <w:r w:rsidR="004F02EF">
        <w:t>s</w:t>
      </w:r>
      <w:r w:rsidR="00647D87" w:rsidRPr="00975D7C">
        <w:t xml:space="preserve"> </w:t>
      </w:r>
      <w:r w:rsidR="00172AD4">
        <w:t>article</w:t>
      </w:r>
      <w:r w:rsidR="004F02EF">
        <w:t>s</w:t>
      </w:r>
      <w:r w:rsidR="00172AD4">
        <w:t xml:space="preserve"> 2 (par. 2 et 3), 7 et</w:t>
      </w:r>
      <w:r w:rsidR="00975D7C" w:rsidRPr="00975D7C">
        <w:t xml:space="preserve"> 14</w:t>
      </w:r>
      <w:r w:rsidR="003533BE" w:rsidRPr="00975D7C">
        <w:t xml:space="preserve"> du Pacte</w:t>
      </w:r>
      <w:r w:rsidR="003533BE" w:rsidRPr="003533BE">
        <w:t>.</w:t>
      </w:r>
      <w:r w:rsidR="00410779" w:rsidRPr="00410779">
        <w:t xml:space="preserve"> Le Pacte et le Protocole facultatif s’y rapportant sont entrés en vigueur pour l’Éta</w:t>
      </w:r>
      <w:r w:rsidR="005542EE">
        <w:t xml:space="preserve">t partie le 12 </w:t>
      </w:r>
      <w:r w:rsidR="002B3A75">
        <w:t>décembre 1989. L</w:t>
      </w:r>
      <w:r w:rsidR="00172AD4">
        <w:t xml:space="preserve">es </w:t>
      </w:r>
      <w:r w:rsidR="002B3A75">
        <w:t>auteur</w:t>
      </w:r>
      <w:r w:rsidR="00172AD4">
        <w:t>s sont</w:t>
      </w:r>
      <w:r w:rsidR="00410779" w:rsidRPr="00410779">
        <w:t xml:space="preserve"> représenté</w:t>
      </w:r>
      <w:r w:rsidR="00172AD4">
        <w:t>s</w:t>
      </w:r>
      <w:r w:rsidR="00410779" w:rsidRPr="00410779">
        <w:t xml:space="preserve"> par</w:t>
      </w:r>
      <w:r w:rsidR="002B3A75">
        <w:t xml:space="preserve"> </w:t>
      </w:r>
      <w:proofErr w:type="spellStart"/>
      <w:r w:rsidR="00AB5D7D" w:rsidRPr="00AB5D7D">
        <w:t>Nassera</w:t>
      </w:r>
      <w:proofErr w:type="spellEnd"/>
      <w:r w:rsidR="00AB5D7D" w:rsidRPr="00AB5D7D">
        <w:t xml:space="preserve"> </w:t>
      </w:r>
      <w:proofErr w:type="spellStart"/>
      <w:r w:rsidR="00AB5D7D" w:rsidRPr="00AB5D7D">
        <w:t>Dutour</w:t>
      </w:r>
      <w:proofErr w:type="spellEnd"/>
      <w:r w:rsidR="00AB5D7D" w:rsidRPr="00AB5D7D">
        <w:t xml:space="preserve"> du Collectif des familles de disparu(e)s en Algérie</w:t>
      </w:r>
      <w:r w:rsidR="00410779" w:rsidRPr="00410779">
        <w:t>.</w:t>
      </w:r>
    </w:p>
    <w:p w14:paraId="6AC5E902" w14:textId="77777777" w:rsidR="00F2328C" w:rsidRPr="00410779" w:rsidRDefault="00F2328C" w:rsidP="00F2328C">
      <w:pPr>
        <w:pStyle w:val="SingleTxtG"/>
      </w:pPr>
      <w:r>
        <w:t>1.2</w:t>
      </w:r>
      <w:r>
        <w:tab/>
      </w:r>
      <w:r w:rsidRPr="00B13EBB">
        <w:t xml:space="preserve">Le </w:t>
      </w:r>
      <w:r>
        <w:t>17 septembre 2018</w:t>
      </w:r>
      <w:r w:rsidRPr="00B13EBB">
        <w:t>, le Comité, par l’intermédiaire de son Rapporteur spécial chargé des nouvelles communications et des mesures provisoires, a décidé de ne pas séparer l’examen de la recevabilité de celui du fond de la communication.</w:t>
      </w:r>
    </w:p>
    <w:p w14:paraId="4588EF15" w14:textId="77777777" w:rsidR="00410779" w:rsidRPr="00410779" w:rsidRDefault="00410779" w:rsidP="00A312D0">
      <w:pPr>
        <w:pStyle w:val="H23G"/>
        <w:ind w:firstLine="0"/>
      </w:pPr>
      <w:r w:rsidRPr="00410779">
        <w:tab/>
        <w:t xml:space="preserve">Rappel des faits </w:t>
      </w:r>
      <w:r w:rsidR="003F2252">
        <w:t xml:space="preserve">tels que </w:t>
      </w:r>
      <w:r w:rsidRPr="00410779">
        <w:t>présentés par l</w:t>
      </w:r>
      <w:r w:rsidR="00172AD4">
        <w:t xml:space="preserve">es </w:t>
      </w:r>
      <w:r w:rsidRPr="00410779">
        <w:t>auteur</w:t>
      </w:r>
      <w:r w:rsidR="00172AD4">
        <w:t>s</w:t>
      </w:r>
    </w:p>
    <w:p w14:paraId="3148CE20" w14:textId="77777777" w:rsidR="00BB31ED" w:rsidRPr="00453939" w:rsidRDefault="00D868EB" w:rsidP="00BB31ED">
      <w:pPr>
        <w:pStyle w:val="SingleTxtG"/>
      </w:pPr>
      <w:r>
        <w:t>2.1</w:t>
      </w:r>
      <w:r>
        <w:tab/>
      </w:r>
      <w:r w:rsidR="00453939" w:rsidRPr="00453939">
        <w:t xml:space="preserve">Rabah </w:t>
      </w:r>
      <w:proofErr w:type="spellStart"/>
      <w:r w:rsidR="00453939" w:rsidRPr="00453939">
        <w:t>Souaiene</w:t>
      </w:r>
      <w:proofErr w:type="spellEnd"/>
      <w:r w:rsidR="00453939" w:rsidRPr="00453939">
        <w:t xml:space="preserve"> occupait le poste d’adjudant-chef au Département du renseignement et de la sécurité (DRS), un département rattaché au Ministère de la défense plus connu sous l’appellation de « sécurité militaire ». Quelques jours avant sa disparition, il avait déposé sa démission auprès du DRS. Une centaine de ses collègues avaient fait de même, et seulement cinq personnes avaient reçu un avis favorable, à condition d’effectuer un préavis de six mois. Rabah </w:t>
      </w:r>
      <w:proofErr w:type="spellStart"/>
      <w:r w:rsidR="00453939" w:rsidRPr="00453939">
        <w:t>Souaiene</w:t>
      </w:r>
      <w:proofErr w:type="spellEnd"/>
      <w:r w:rsidR="00453939" w:rsidRPr="00453939">
        <w:t xml:space="preserve"> faisait partie de ces cinq personnes</w:t>
      </w:r>
      <w:r w:rsidR="00453939">
        <w:t>,</w:t>
      </w:r>
      <w:r w:rsidR="00453939" w:rsidRPr="00453939">
        <w:t xml:space="preserve"> et </w:t>
      </w:r>
      <w:r w:rsidR="00EA0D8D">
        <w:t>les autorités du service lui</w:t>
      </w:r>
      <w:r w:rsidR="00453939" w:rsidRPr="00453939">
        <w:t xml:space="preserve"> avai</w:t>
      </w:r>
      <w:r w:rsidR="00EA0D8D">
        <w:t>en</w:t>
      </w:r>
      <w:r w:rsidR="00453939" w:rsidRPr="00453939">
        <w:t xml:space="preserve">t demandé de réfléchir à la suite à donner à cette démission pendant </w:t>
      </w:r>
      <w:r w:rsidR="00EA0D8D">
        <w:t>c</w:t>
      </w:r>
      <w:r w:rsidR="00453939" w:rsidRPr="00453939">
        <w:t xml:space="preserve">es six mois de préavis. C’est au cours de cette période, le 18 décembre 1994, que Rabah </w:t>
      </w:r>
      <w:proofErr w:type="spellStart"/>
      <w:r w:rsidR="00453939" w:rsidRPr="00453939">
        <w:t>Souaiene</w:t>
      </w:r>
      <w:proofErr w:type="spellEnd"/>
      <w:r w:rsidR="00453939" w:rsidRPr="00453939">
        <w:t xml:space="preserve"> a disparu. Il est sorti de chez lui pour se rendre à un rendez-vous au volant de sa voiture de marque Peugeot 504 de couleur blanche, immatriculée 00899 183 16. Ni lui, ni sa voiture n’ont été revus depuis.</w:t>
      </w:r>
    </w:p>
    <w:p w14:paraId="51185EC4" w14:textId="77777777" w:rsidR="00BB31ED" w:rsidRPr="00453939" w:rsidRDefault="00BB31ED" w:rsidP="0039009A">
      <w:pPr>
        <w:pStyle w:val="SingleTxtG"/>
      </w:pPr>
      <w:r>
        <w:t>2.2</w:t>
      </w:r>
      <w:r>
        <w:tab/>
      </w:r>
      <w:r w:rsidR="00453939" w:rsidRPr="00453939">
        <w:t xml:space="preserve">La veille de sa disparition, Rabah </w:t>
      </w:r>
      <w:proofErr w:type="spellStart"/>
      <w:r w:rsidR="00453939" w:rsidRPr="00453939">
        <w:t>Souaiene</w:t>
      </w:r>
      <w:proofErr w:type="spellEnd"/>
      <w:r w:rsidR="00453939" w:rsidRPr="00453939">
        <w:t xml:space="preserve"> a reçu un appel téléphonique. Son père l’a entendu donner rendez-vous à des personnes en leur indiquant l’immatriculation de son véhicule et le lieu du rendez-vous à </w:t>
      </w:r>
      <w:proofErr w:type="spellStart"/>
      <w:r w:rsidR="00453939" w:rsidRPr="00453939">
        <w:t>Diar</w:t>
      </w:r>
      <w:proofErr w:type="spellEnd"/>
      <w:r w:rsidR="00453939" w:rsidRPr="00453939">
        <w:t xml:space="preserve"> </w:t>
      </w:r>
      <w:proofErr w:type="spellStart"/>
      <w:r w:rsidR="00453939" w:rsidRPr="00453939">
        <w:t>Essaada</w:t>
      </w:r>
      <w:proofErr w:type="spellEnd"/>
      <w:r w:rsidR="00453939" w:rsidRPr="00453939">
        <w:t>. Avant de partir, Ra</w:t>
      </w:r>
      <w:r w:rsidR="00422662">
        <w:t xml:space="preserve">bah </w:t>
      </w:r>
      <w:proofErr w:type="spellStart"/>
      <w:r w:rsidR="00422662">
        <w:t>Souaiene</w:t>
      </w:r>
      <w:proofErr w:type="spellEnd"/>
      <w:r w:rsidR="00422662">
        <w:t xml:space="preserve"> a laissé sa chaine </w:t>
      </w:r>
      <w:r w:rsidR="00453939" w:rsidRPr="00453939">
        <w:t>en or à sa mère, comme s’il savait déjà qu’il n’allait pas revenir.</w:t>
      </w:r>
    </w:p>
    <w:p w14:paraId="2EF8676F" w14:textId="77777777" w:rsidR="00B602EA" w:rsidRPr="00453939" w:rsidRDefault="00BB31ED" w:rsidP="00BB31ED">
      <w:pPr>
        <w:pStyle w:val="SingleTxtG"/>
      </w:pPr>
      <w:r>
        <w:t>2.3</w:t>
      </w:r>
      <w:r>
        <w:tab/>
      </w:r>
      <w:r w:rsidR="00453939" w:rsidRPr="00453939">
        <w:t>Le lendem</w:t>
      </w:r>
      <w:r w:rsidR="00453939">
        <w:t xml:space="preserve">ain, son cousin </w:t>
      </w:r>
      <w:proofErr w:type="spellStart"/>
      <w:r w:rsidR="00453939">
        <w:t>Bendjazia</w:t>
      </w:r>
      <w:proofErr w:type="spellEnd"/>
      <w:r w:rsidR="00453939">
        <w:t xml:space="preserve"> Allal –</w:t>
      </w:r>
      <w:r w:rsidR="00453939" w:rsidRPr="00453939">
        <w:t xml:space="preserve"> à l’époque officier de police à la Direction général</w:t>
      </w:r>
      <w:r w:rsidR="00453939">
        <w:t>e de la sureté nationale (DGSN) –</w:t>
      </w:r>
      <w:r w:rsidR="00453939" w:rsidRPr="00453939">
        <w:t xml:space="preserve"> est allé au commissariat de </w:t>
      </w:r>
      <w:proofErr w:type="spellStart"/>
      <w:r w:rsidR="00453939" w:rsidRPr="00453939">
        <w:t>S</w:t>
      </w:r>
      <w:r w:rsidR="00453939">
        <w:t>alembier</w:t>
      </w:r>
      <w:proofErr w:type="spellEnd"/>
      <w:r w:rsidR="00453939">
        <w:t xml:space="preserve"> à Alger pour déclarer l</w:t>
      </w:r>
      <w:r w:rsidR="00453939" w:rsidRPr="00453939">
        <w:t xml:space="preserve">a disparition </w:t>
      </w:r>
      <w:r w:rsidR="00453939">
        <w:t xml:space="preserve">de </w:t>
      </w:r>
      <w:r w:rsidR="00453939" w:rsidRPr="00453939">
        <w:t xml:space="preserve">Rabah </w:t>
      </w:r>
      <w:proofErr w:type="spellStart"/>
      <w:r w:rsidR="00453939" w:rsidRPr="00453939">
        <w:t>Souaiene</w:t>
      </w:r>
      <w:proofErr w:type="spellEnd"/>
      <w:r w:rsidR="00453939" w:rsidRPr="00453939">
        <w:t xml:space="preserve"> en précisant l’immatriculation de sa voiture. Les policiers ont affiché immédiatement l’immatriculation et le signalement de la voiture sur le tableau des objets perdus au commissariat. Cependant, lorsque le cousin est retourné au commissariat le lendemain, </w:t>
      </w:r>
      <w:r w:rsidR="00F9225A">
        <w:t>ce signalement</w:t>
      </w:r>
      <w:r w:rsidR="00453939" w:rsidRPr="00453939">
        <w:t xml:space="preserve"> n’était </w:t>
      </w:r>
      <w:r w:rsidR="00F9225A">
        <w:t xml:space="preserve">déjà </w:t>
      </w:r>
      <w:r w:rsidR="00453939" w:rsidRPr="00453939">
        <w:t xml:space="preserve">plus affiché. Lorsqu’il a questionné les policiers à ce sujet, il n’a obtenu aucune réponse. Le père de Rabah </w:t>
      </w:r>
      <w:proofErr w:type="spellStart"/>
      <w:r w:rsidR="00453939" w:rsidRPr="00453939">
        <w:t>Souaiene</w:t>
      </w:r>
      <w:proofErr w:type="spellEnd"/>
      <w:r w:rsidR="00453939" w:rsidRPr="00453939">
        <w:t xml:space="preserve"> a fait le tour des commissariats, des gendarmeries et des casernes aux alentours d’Alger. Il est allé se renseigner auprès des hôpitaux et des morgues, en vain.</w:t>
      </w:r>
    </w:p>
    <w:p w14:paraId="0AA4EC30" w14:textId="17F38C42" w:rsidR="00BB31ED" w:rsidRPr="00453939" w:rsidRDefault="00B602EA" w:rsidP="00BB31ED">
      <w:pPr>
        <w:pStyle w:val="SingleTxtG"/>
      </w:pPr>
      <w:r>
        <w:t>2.4</w:t>
      </w:r>
      <w:r>
        <w:tab/>
      </w:r>
      <w:r w:rsidR="00453939" w:rsidRPr="00453939">
        <w:t xml:space="preserve">Le 23 décembre 1994, le père de Rabah </w:t>
      </w:r>
      <w:proofErr w:type="spellStart"/>
      <w:r w:rsidR="00453939" w:rsidRPr="00453939">
        <w:t>Souaiene</w:t>
      </w:r>
      <w:proofErr w:type="spellEnd"/>
      <w:r w:rsidR="00453939">
        <w:t xml:space="preserve"> a été </w:t>
      </w:r>
      <w:r w:rsidR="00453939" w:rsidRPr="00453939">
        <w:t xml:space="preserve">convoqué par les gendarmes de </w:t>
      </w:r>
      <w:proofErr w:type="spellStart"/>
      <w:r w:rsidR="00453939" w:rsidRPr="00453939">
        <w:t>Diar</w:t>
      </w:r>
      <w:proofErr w:type="spellEnd"/>
      <w:r w:rsidR="00453939" w:rsidRPr="00453939">
        <w:t xml:space="preserve"> El </w:t>
      </w:r>
      <w:proofErr w:type="spellStart"/>
      <w:r w:rsidR="00453939" w:rsidRPr="00453939">
        <w:t>Mahçoul</w:t>
      </w:r>
      <w:proofErr w:type="spellEnd"/>
      <w:r w:rsidR="00453939" w:rsidRPr="00453939">
        <w:t>. L’entretien avec les gendarmes s’est concentré exclusivement sur ses filles</w:t>
      </w:r>
      <w:r w:rsidR="00453939" w:rsidRPr="00453939">
        <w:rPr>
          <w:vertAlign w:val="superscript"/>
          <w:lang w:val="en-GB"/>
        </w:rPr>
        <w:footnoteReference w:id="4"/>
      </w:r>
      <w:r w:rsidR="00453939" w:rsidRPr="00453939">
        <w:t xml:space="preserve"> et non sur son fils disparu. Il a cherché à comprendre</w:t>
      </w:r>
      <w:r w:rsidR="00DD5744">
        <w:t xml:space="preserve"> le motif de ces questions</w:t>
      </w:r>
      <w:r w:rsidR="00453939">
        <w:t>,</w:t>
      </w:r>
      <w:r w:rsidR="00453939" w:rsidRPr="00453939">
        <w:t xml:space="preserve"> mais n’a obtenu aucune réponse. Il a ensuite été convoqué à la caserne des transmissions de </w:t>
      </w:r>
      <w:proofErr w:type="spellStart"/>
      <w:r w:rsidR="00453939" w:rsidRPr="00453939">
        <w:t>Reghaia</w:t>
      </w:r>
      <w:proofErr w:type="spellEnd"/>
      <w:r w:rsidR="00F9225A">
        <w:t>,</w:t>
      </w:r>
      <w:r w:rsidR="00453939" w:rsidRPr="00453939">
        <w:t xml:space="preserve"> puis à la caserne de Blida</w:t>
      </w:r>
      <w:r w:rsidR="00453939">
        <w:t xml:space="preserve"> – 18 </w:t>
      </w:r>
      <w:r w:rsidR="00453939" w:rsidRPr="00453939">
        <w:t xml:space="preserve">mois après la disparition de son fils. Là, les militaires lui </w:t>
      </w:r>
      <w:r w:rsidR="00453939">
        <w:t>ont posé des questions sur son fils</w:t>
      </w:r>
      <w:r w:rsidR="00453939" w:rsidRPr="00453939">
        <w:t xml:space="preserve">, pour savoir pourquoi </w:t>
      </w:r>
      <w:r w:rsidR="00453939">
        <w:t xml:space="preserve">il </w:t>
      </w:r>
      <w:r w:rsidR="00453939" w:rsidRPr="00453939">
        <w:t>n’était pas revenu travailler car ils avaient besoin de lui.</w:t>
      </w:r>
    </w:p>
    <w:p w14:paraId="74059F43" w14:textId="77777777" w:rsidR="00085E42" w:rsidRDefault="000109AC" w:rsidP="00BB31ED">
      <w:pPr>
        <w:pStyle w:val="SingleTxtG"/>
      </w:pPr>
      <w:r>
        <w:t>2.5</w:t>
      </w:r>
      <w:r w:rsidR="00085E42">
        <w:tab/>
      </w:r>
      <w:r w:rsidR="00453939" w:rsidRPr="00453939">
        <w:t xml:space="preserve">Plusieurs années plus tard, en 2002, des informations sont parvenues à la famille de Rabah </w:t>
      </w:r>
      <w:proofErr w:type="spellStart"/>
      <w:r w:rsidR="00453939" w:rsidRPr="00453939">
        <w:t>Souaiene</w:t>
      </w:r>
      <w:proofErr w:type="spellEnd"/>
      <w:r w:rsidR="00453939" w:rsidRPr="00453939">
        <w:t xml:space="preserve"> selon lesquelles ce dernier se trouvait détenu à la caserne de </w:t>
      </w:r>
      <w:proofErr w:type="spellStart"/>
      <w:r w:rsidR="00453939" w:rsidRPr="00453939">
        <w:t>Boumerdes</w:t>
      </w:r>
      <w:proofErr w:type="spellEnd"/>
      <w:r w:rsidR="00453939" w:rsidRPr="00453939">
        <w:rPr>
          <w:vertAlign w:val="superscript"/>
          <w:lang w:val="en-GB"/>
        </w:rPr>
        <w:footnoteReference w:id="5"/>
      </w:r>
      <w:r w:rsidR="00453939">
        <w:t>. Quand les auteurs</w:t>
      </w:r>
      <w:r w:rsidR="00453939" w:rsidRPr="00453939">
        <w:t xml:space="preserve"> s’y </w:t>
      </w:r>
      <w:r w:rsidR="00453939">
        <w:t>sont</w:t>
      </w:r>
      <w:r w:rsidR="00453939" w:rsidRPr="00453939">
        <w:t xml:space="preserve"> rendu</w:t>
      </w:r>
      <w:r w:rsidR="00453939">
        <w:t>s</w:t>
      </w:r>
      <w:r w:rsidR="00453939" w:rsidRPr="00453939">
        <w:t xml:space="preserve">, </w:t>
      </w:r>
      <w:r w:rsidR="00453939">
        <w:t xml:space="preserve">ils ont </w:t>
      </w:r>
      <w:r w:rsidR="00453939" w:rsidRPr="00453939">
        <w:t>été reçu</w:t>
      </w:r>
      <w:r w:rsidR="00453939">
        <w:t>s par un militaire qui leur</w:t>
      </w:r>
      <w:r w:rsidR="00453939" w:rsidRPr="00453939">
        <w:t xml:space="preserve"> a </w:t>
      </w:r>
      <w:r w:rsidR="00364F2B">
        <w:t>demandé quel était l’objet de leur</w:t>
      </w:r>
      <w:r w:rsidR="00453939" w:rsidRPr="00453939">
        <w:t xml:space="preserve"> visite. La mère a répondu qu’elle recherchait son fils disparu et qu’elle avait été informée de sa détention dans cette caserne. Le militaire lui a alors demandé de lui montrer une photo de son fils</w:t>
      </w:r>
      <w:r w:rsidR="00364F2B">
        <w:t>,</w:t>
      </w:r>
      <w:r w:rsidR="00453939" w:rsidRPr="00453939">
        <w:t xml:space="preserve"> et quand elle s’est exécutée, il lui a demandé si elle était sûre qu’il s’agissait bien de son fils car il y avait bien une personne ressemblant à cette photo dans la caserne</w:t>
      </w:r>
      <w:r w:rsidR="00364F2B">
        <w:t>,</w:t>
      </w:r>
      <w:r w:rsidR="00453939" w:rsidRPr="00453939">
        <w:t xml:space="preserve"> mais qu’elle portait un autre nom. La mère a confirmé que c’était bien son fils</w:t>
      </w:r>
      <w:r w:rsidR="00364F2B">
        <w:t>,</w:t>
      </w:r>
      <w:r w:rsidR="00453939" w:rsidRPr="00453939">
        <w:t xml:space="preserve"> et </w:t>
      </w:r>
      <w:r w:rsidR="00453939" w:rsidRPr="00453939">
        <w:lastRenderedPageBreak/>
        <w:t>le militaire lui a alors demandé de revenir plus tard dans la matinée avec la photo en lui disant qu’elle aurait une bonne nouvelle.</w:t>
      </w:r>
    </w:p>
    <w:p w14:paraId="16BBC587" w14:textId="77777777" w:rsidR="0068338E" w:rsidRPr="00364F2B" w:rsidRDefault="000109AC" w:rsidP="00BB31ED">
      <w:pPr>
        <w:pStyle w:val="SingleTxtG"/>
      </w:pPr>
      <w:r>
        <w:t>2.6</w:t>
      </w:r>
      <w:r w:rsidR="005740B1">
        <w:tab/>
      </w:r>
      <w:r w:rsidR="00364F2B">
        <w:t>Les auteurs</w:t>
      </w:r>
      <w:r w:rsidR="00364F2B" w:rsidRPr="00364F2B">
        <w:t xml:space="preserve"> sont donc revenus à la caserne comme convenu en fin de matinée, mais un responsable est venu à leur rencontre pour leur enjoindre de ne plus revenir. Ils ont été escortés à la sortie par les deux militaires qui les avaient reçus plus tôt. Ces derniers ont demandé </w:t>
      </w:r>
      <w:r w:rsidR="00364F2B">
        <w:t xml:space="preserve">aux auteurs </w:t>
      </w:r>
      <w:r w:rsidR="00364F2B" w:rsidRPr="00364F2B">
        <w:t xml:space="preserve">de ne pas se retourner vers eux car il y avait des caméras de surveillance dans la caserne. Quand ils se sont éloignés de la caserne et donc des caméras, les agents se sont adressés à la mère de Rabah </w:t>
      </w:r>
      <w:proofErr w:type="spellStart"/>
      <w:r w:rsidR="00364F2B" w:rsidRPr="00364F2B">
        <w:t>Souaiene</w:t>
      </w:r>
      <w:proofErr w:type="spellEnd"/>
      <w:r w:rsidR="00364F2B" w:rsidRPr="00364F2B">
        <w:t xml:space="preserve"> et lui ont dit qu’elle leur avait fait de la peine et qu’ils ne souhaiteraient pas que leurs mères aient à affronter une telle épreuve. Ils ont donc proposé de l’aider en prenant son numéro de téléphone afin de pouvoir lui communiquer où se trouvait </w:t>
      </w:r>
      <w:r w:rsidR="00364F2B">
        <w:t>son fils</w:t>
      </w:r>
      <w:r w:rsidR="00364F2B" w:rsidRPr="00364F2B">
        <w:t>. La mère leur a donc laissé ses coordonnées comme demandé. Elle n’a plus jamais eu de nouvelles.</w:t>
      </w:r>
    </w:p>
    <w:p w14:paraId="3C958D02" w14:textId="77777777" w:rsidR="00B242DD" w:rsidRDefault="00865C97" w:rsidP="00BB31ED">
      <w:pPr>
        <w:pStyle w:val="SingleTxtG"/>
      </w:pPr>
      <w:r>
        <w:t>2</w:t>
      </w:r>
      <w:r w:rsidR="000109AC">
        <w:t>.7</w:t>
      </w:r>
      <w:r>
        <w:tab/>
      </w:r>
      <w:r w:rsidR="00654F41" w:rsidRPr="00654F41">
        <w:t xml:space="preserve">D’après les auteurs, la disparition de Rabah </w:t>
      </w:r>
      <w:proofErr w:type="spellStart"/>
      <w:r w:rsidR="00654F41" w:rsidRPr="00654F41">
        <w:t>Souaiene</w:t>
      </w:r>
      <w:proofErr w:type="spellEnd"/>
      <w:r w:rsidR="00654F41" w:rsidRPr="00654F41">
        <w:t xml:space="preserve"> serait liée au fait qu’il avait </w:t>
      </w:r>
      <w:r w:rsidR="00B242DD">
        <w:t>présenté</w:t>
      </w:r>
      <w:r w:rsidR="00B242DD" w:rsidRPr="00654F41">
        <w:t xml:space="preserve"> </w:t>
      </w:r>
      <w:r w:rsidR="00654F41" w:rsidRPr="00654F41">
        <w:t xml:space="preserve">sa démission auprès de la Sécurité militaire. </w:t>
      </w:r>
      <w:r w:rsidR="00B242DD">
        <w:t>Même si cette démission avait</w:t>
      </w:r>
      <w:r w:rsidR="00654F41" w:rsidRPr="00654F41">
        <w:t xml:space="preserve"> été acceptée par ses supérieurs, il s’agit </w:t>
      </w:r>
      <w:r w:rsidR="00B242DD">
        <w:t>d’une exception,</w:t>
      </w:r>
      <w:r w:rsidR="00654F41" w:rsidRPr="00654F41">
        <w:t xml:space="preserve"> car il n’est pas fréquent de démissionner du DRS.</w:t>
      </w:r>
    </w:p>
    <w:p w14:paraId="504F4BB5" w14:textId="77777777" w:rsidR="00865C97" w:rsidRDefault="00B242DD" w:rsidP="00BB31ED">
      <w:pPr>
        <w:pStyle w:val="SingleTxtG"/>
      </w:pPr>
      <w:r>
        <w:t>2.8</w:t>
      </w:r>
      <w:r>
        <w:tab/>
        <w:t>Q</w:t>
      </w:r>
      <w:r w:rsidR="00654F41" w:rsidRPr="00654F41">
        <w:t xml:space="preserve">uelques mois après la disparition de Rabah </w:t>
      </w:r>
      <w:proofErr w:type="spellStart"/>
      <w:r w:rsidR="00654F41" w:rsidRPr="00654F41">
        <w:t>Souaiene</w:t>
      </w:r>
      <w:proofErr w:type="spellEnd"/>
      <w:r w:rsidR="00654F41">
        <w:t>, le père – chauffeur de taxi –</w:t>
      </w:r>
      <w:r w:rsidR="00654F41" w:rsidRPr="00654F41">
        <w:t xml:space="preserve"> a été arrêté par deux hommes qui lui ont demandé de les suivre tout en lui chuchotant à l’oreille qu’ils étaient des personnes de confiance et qu’il n’avait pas à s’inquiéter. Ils lui ont cependant tiré une balle dans la tête</w:t>
      </w:r>
      <w:r w:rsidR="00654F41">
        <w:t>,</w:t>
      </w:r>
      <w:r w:rsidR="00654F41" w:rsidRPr="00654F41">
        <w:t xml:space="preserve"> puis l’ont sorti de la voiture. Il a été emmené à l’hôpital par des passants qui l’ont découve</w:t>
      </w:r>
      <w:r w:rsidR="00654F41">
        <w:t>rt, et a pu être sauvé. Selon les auteurs</w:t>
      </w:r>
      <w:r w:rsidR="00654F41" w:rsidRPr="00654F41">
        <w:t>, cet événement serait lié à la disparition de Rabah.</w:t>
      </w:r>
    </w:p>
    <w:p w14:paraId="0D18519F" w14:textId="77777777" w:rsidR="00A54670" w:rsidRPr="00654F41" w:rsidRDefault="00A54670" w:rsidP="00BB31ED">
      <w:pPr>
        <w:pStyle w:val="SingleTxtG"/>
      </w:pPr>
      <w:r>
        <w:t>2.</w:t>
      </w:r>
      <w:r w:rsidR="00422662">
        <w:t>9</w:t>
      </w:r>
      <w:r>
        <w:tab/>
      </w:r>
      <w:r w:rsidRPr="00A54670">
        <w:t xml:space="preserve">Le 3 février 1999, Ahmed </w:t>
      </w:r>
      <w:proofErr w:type="spellStart"/>
      <w:r w:rsidRPr="00A54670">
        <w:t>Souaiene</w:t>
      </w:r>
      <w:proofErr w:type="spellEnd"/>
      <w:r w:rsidRPr="00A54670">
        <w:t xml:space="preserve"> a adressé une plainte au Procureur de la République auprès du tribunal de Sidi M’Hamed, pour demander l’ouverture d’une enquête sur le sort de son fils. </w:t>
      </w:r>
      <w:r>
        <w:t>Ensuite, l</w:t>
      </w:r>
      <w:r w:rsidRPr="00A54670">
        <w:t xml:space="preserve">e 26 juillet 2006, </w:t>
      </w:r>
      <w:r>
        <w:t xml:space="preserve">il </w:t>
      </w:r>
      <w:r w:rsidRPr="00A54670">
        <w:t xml:space="preserve">a </w:t>
      </w:r>
      <w:r>
        <w:t>demandé</w:t>
      </w:r>
      <w:r w:rsidRPr="00A54670">
        <w:t xml:space="preserve"> l’ouverture d’une enquête au chef de brigade de la gen</w:t>
      </w:r>
      <w:r>
        <w:t xml:space="preserve">darmerie nationale de </w:t>
      </w:r>
      <w:proofErr w:type="spellStart"/>
      <w:r>
        <w:t>Salembier</w:t>
      </w:r>
      <w:proofErr w:type="spellEnd"/>
      <w:r w:rsidRPr="00A54670">
        <w:t>. Il a adressé une autre demande d’ouverture d’enquête le 29 juillet 2006 au Procureur Général auprès de la Cour d’Alger</w:t>
      </w:r>
      <w:r w:rsidR="00723899">
        <w:t xml:space="preserve"> et le </w:t>
      </w:r>
      <w:r w:rsidRPr="00A54670">
        <w:t>30 juillet 2006</w:t>
      </w:r>
      <w:r w:rsidR="00723899">
        <w:t xml:space="preserve"> </w:t>
      </w:r>
      <w:r w:rsidRPr="00A54670">
        <w:t>au Procureur de la République auprès du tribunal de Sidi M’H</w:t>
      </w:r>
      <w:r w:rsidR="00723899">
        <w:t>amed</w:t>
      </w:r>
      <w:r w:rsidRPr="00A54670">
        <w:t>.</w:t>
      </w:r>
      <w:r w:rsidR="00723899">
        <w:t xml:space="preserve"> Enfin, le 23 mars 2016, </w:t>
      </w:r>
      <w:r w:rsidR="00723899" w:rsidRPr="00723899">
        <w:t xml:space="preserve">Ahmed </w:t>
      </w:r>
      <w:proofErr w:type="spellStart"/>
      <w:r w:rsidR="00723899" w:rsidRPr="00723899">
        <w:t>Souaiene</w:t>
      </w:r>
      <w:proofErr w:type="spellEnd"/>
      <w:r w:rsidR="00723899">
        <w:t xml:space="preserve"> a </w:t>
      </w:r>
      <w:r w:rsidR="00177A8D">
        <w:t>adressé</w:t>
      </w:r>
      <w:r w:rsidR="00723899">
        <w:t xml:space="preserve"> une </w:t>
      </w:r>
      <w:r w:rsidR="00177A8D">
        <w:t xml:space="preserve">nouvelle </w:t>
      </w:r>
      <w:r w:rsidR="00723899">
        <w:t xml:space="preserve">plainte </w:t>
      </w:r>
      <w:r w:rsidR="00177A8D">
        <w:t>au</w:t>
      </w:r>
      <w:r w:rsidR="00177A8D" w:rsidRPr="00177A8D">
        <w:t xml:space="preserve"> Procureur de la République auprès du tribunal de Sidi M’Hamed</w:t>
      </w:r>
      <w:r w:rsidR="00177A8D">
        <w:t xml:space="preserve"> pour demander l’ouverture d’une enquête sur le sort de</w:t>
      </w:r>
      <w:r w:rsidR="00177A8D" w:rsidRPr="00177A8D">
        <w:t xml:space="preserve"> Rabah </w:t>
      </w:r>
      <w:proofErr w:type="spellStart"/>
      <w:r w:rsidR="00177A8D" w:rsidRPr="00177A8D">
        <w:t>Souaiene</w:t>
      </w:r>
      <w:proofErr w:type="spellEnd"/>
      <w:r w:rsidR="00177A8D">
        <w:t>.</w:t>
      </w:r>
    </w:p>
    <w:p w14:paraId="790005B1" w14:textId="77777777" w:rsidR="003C7F19" w:rsidRDefault="003F7C03" w:rsidP="00275F28">
      <w:pPr>
        <w:pStyle w:val="SingleTxtG"/>
      </w:pPr>
      <w:r>
        <w:t>2.</w:t>
      </w:r>
      <w:r w:rsidR="00422662">
        <w:t>10</w:t>
      </w:r>
      <w:r w:rsidR="00275F28">
        <w:tab/>
      </w:r>
      <w:r w:rsidR="00A54670">
        <w:t>Concomitamment à leurs</w:t>
      </w:r>
      <w:r w:rsidR="00A54670" w:rsidRPr="00A54670">
        <w:t xml:space="preserve"> sollicitations aux autorités judiciaires, </w:t>
      </w:r>
      <w:r w:rsidR="00A54670">
        <w:t xml:space="preserve">les auteurs ont </w:t>
      </w:r>
      <w:r w:rsidR="00B242DD">
        <w:t>demandé</w:t>
      </w:r>
      <w:r w:rsidR="00B242DD" w:rsidRPr="00A54670">
        <w:t xml:space="preserve"> </w:t>
      </w:r>
      <w:r w:rsidR="00A54670" w:rsidRPr="00A54670">
        <w:t>le soutien de diverses instances non-juridictionnelles.</w:t>
      </w:r>
      <w:r>
        <w:t xml:space="preserve"> </w:t>
      </w:r>
      <w:r w:rsidR="00654F41">
        <w:t>Le</w:t>
      </w:r>
      <w:r w:rsidR="00654F41" w:rsidRPr="00654F41">
        <w:t xml:space="preserve"> 22 janvier 1997</w:t>
      </w:r>
      <w:r w:rsidR="00654F41">
        <w:t>,</w:t>
      </w:r>
      <w:r>
        <w:t xml:space="preserve"> ils</w:t>
      </w:r>
      <w:r w:rsidR="00654F41">
        <w:t xml:space="preserve"> ont </w:t>
      </w:r>
      <w:r w:rsidR="00654F41" w:rsidRPr="00654F41">
        <w:t>adressé</w:t>
      </w:r>
      <w:r w:rsidR="00654F41">
        <w:t xml:space="preserve"> une requête</w:t>
      </w:r>
      <w:r w:rsidR="00654F41" w:rsidRPr="00654F41">
        <w:t xml:space="preserve"> au Médiateur de la République</w:t>
      </w:r>
      <w:r>
        <w:t>, qui a répondu que la</w:t>
      </w:r>
      <w:r w:rsidR="00654F41" w:rsidRPr="00654F41">
        <w:t xml:space="preserve"> requête a</w:t>
      </w:r>
      <w:r>
        <w:t>vait</w:t>
      </w:r>
      <w:r w:rsidR="00654F41" w:rsidRPr="00654F41">
        <w:t xml:space="preserve"> été tr</w:t>
      </w:r>
      <w:r w:rsidR="00800F08">
        <w:t xml:space="preserve">ansférée aux services concernés. À une date non-précisée en </w:t>
      </w:r>
      <w:r w:rsidR="00800F08" w:rsidRPr="00800F08">
        <w:t>1998</w:t>
      </w:r>
      <w:r w:rsidR="00800F08">
        <w:t>, les auteurs ont adressé une requête</w:t>
      </w:r>
      <w:r w:rsidR="00800F08" w:rsidRPr="00800F08">
        <w:t xml:space="preserve"> au président de l’Observatoire des droits de l’Homme</w:t>
      </w:r>
      <w:r w:rsidR="00800F08" w:rsidRPr="00800F08">
        <w:rPr>
          <w:vertAlign w:val="superscript"/>
        </w:rPr>
        <w:footnoteReference w:id="6"/>
      </w:r>
      <w:r w:rsidR="00800F08" w:rsidRPr="00800F08">
        <w:t xml:space="preserve"> (ONDH)</w:t>
      </w:r>
      <w:r w:rsidR="00D4732B">
        <w:t xml:space="preserve">, qui les a </w:t>
      </w:r>
      <w:r w:rsidR="005E12DD">
        <w:t>informés</w:t>
      </w:r>
      <w:r w:rsidR="00800F08" w:rsidRPr="00800F08">
        <w:t xml:space="preserve"> que les services de sécurité algériens </w:t>
      </w:r>
      <w:r w:rsidR="00D4732B">
        <w:t>avaient</w:t>
      </w:r>
      <w:r w:rsidR="00800F08" w:rsidRPr="00800F08">
        <w:t xml:space="preserve"> déjà enquêté sur cette affaire sur PV n° 779 en date du 10 septembre 1998</w:t>
      </w:r>
      <w:r w:rsidR="005E12DD">
        <w:t>,</w:t>
      </w:r>
      <w:r w:rsidR="00800F08" w:rsidRPr="00800F08">
        <w:t xml:space="preserve"> et que les responsables de la dispa</w:t>
      </w:r>
      <w:r w:rsidR="00D4732B">
        <w:t xml:space="preserve">rition de Rabah </w:t>
      </w:r>
      <w:proofErr w:type="spellStart"/>
      <w:r w:rsidR="00D4732B">
        <w:t>Souaiene</w:t>
      </w:r>
      <w:proofErr w:type="spellEnd"/>
      <w:r w:rsidR="00D4732B">
        <w:t xml:space="preserve"> restaient</w:t>
      </w:r>
      <w:r w:rsidR="00800F08" w:rsidRPr="00800F08">
        <w:t xml:space="preserve"> inconnus.</w:t>
      </w:r>
      <w:r w:rsidR="00D4732B" w:rsidRPr="00D4732B">
        <w:t xml:space="preserve"> </w:t>
      </w:r>
      <w:r w:rsidR="00D4732B">
        <w:t xml:space="preserve">Les </w:t>
      </w:r>
      <w:r w:rsidR="00D4732B" w:rsidRPr="00D31A56">
        <w:t xml:space="preserve">8 août 2003 </w:t>
      </w:r>
      <w:r w:rsidR="00D4732B">
        <w:t xml:space="preserve">et 21 février 2006, les auteurs ont </w:t>
      </w:r>
      <w:r w:rsidR="00D4732B" w:rsidRPr="00D31A56">
        <w:t>adressé</w:t>
      </w:r>
      <w:r w:rsidR="00D4732B">
        <w:t xml:space="preserve"> des requêtes</w:t>
      </w:r>
      <w:r w:rsidR="00D4732B" w:rsidRPr="00D31A56">
        <w:t xml:space="preserve"> au Chef</w:t>
      </w:r>
      <w:r w:rsidR="00D4732B">
        <w:t xml:space="preserve"> du gouvernement </w:t>
      </w:r>
      <w:r w:rsidR="00D4732B" w:rsidRPr="00D31A56">
        <w:t xml:space="preserve">pour demander l’ouverture d’une enquête sur le sort de Rabah </w:t>
      </w:r>
      <w:proofErr w:type="spellStart"/>
      <w:r w:rsidR="00D4732B" w:rsidRPr="00D31A56">
        <w:t>Souaiene</w:t>
      </w:r>
      <w:proofErr w:type="spellEnd"/>
      <w:r w:rsidR="00D4732B" w:rsidRPr="00D31A56">
        <w:t>.</w:t>
      </w:r>
    </w:p>
    <w:p w14:paraId="10E75BB4" w14:textId="0549B122" w:rsidR="00BB31ED" w:rsidRDefault="00D4732B" w:rsidP="00D31A56">
      <w:pPr>
        <w:pStyle w:val="SingleTxtG"/>
      </w:pPr>
      <w:r>
        <w:t>2.1</w:t>
      </w:r>
      <w:r w:rsidR="00422662">
        <w:t>1</w:t>
      </w:r>
      <w:r w:rsidR="00785276">
        <w:tab/>
        <w:t xml:space="preserve">Le </w:t>
      </w:r>
      <w:r w:rsidR="00D31A56">
        <w:t xml:space="preserve">cas de </w:t>
      </w:r>
      <w:r w:rsidR="00D31A56" w:rsidRPr="00D31A56">
        <w:t xml:space="preserve">Rabah </w:t>
      </w:r>
      <w:proofErr w:type="spellStart"/>
      <w:r w:rsidR="00D31A56" w:rsidRPr="00D31A56">
        <w:t>Souaiene</w:t>
      </w:r>
      <w:proofErr w:type="spellEnd"/>
      <w:r w:rsidR="00D31A56">
        <w:t xml:space="preserve"> </w:t>
      </w:r>
      <w:r w:rsidR="00D31A56" w:rsidRPr="00D31A56">
        <w:t>a également été soumis au Groupe de travail sur les disparitions forcées</w:t>
      </w:r>
      <w:r w:rsidR="00D31A56">
        <w:t xml:space="preserve"> ou involontaires le 13 mars 2000. </w:t>
      </w:r>
      <w:r w:rsidR="00D31A56" w:rsidRPr="00D31A56">
        <w:t>Dix-sept ans après</w:t>
      </w:r>
      <w:r w:rsidR="00F23A9F">
        <w:t xml:space="preserve"> la saisie du Groupe de travail, </w:t>
      </w:r>
      <w:r w:rsidR="00D31A56" w:rsidRPr="00D31A56">
        <w:t>l’</w:t>
      </w:r>
      <w:r w:rsidR="002D109C" w:rsidRPr="00D31A56">
        <w:t>É</w:t>
      </w:r>
      <w:r w:rsidR="002D109C">
        <w:t>t</w:t>
      </w:r>
      <w:r w:rsidR="002D109C" w:rsidRPr="00D31A56">
        <w:t>at</w:t>
      </w:r>
      <w:r w:rsidR="00D31A56" w:rsidRPr="00D31A56">
        <w:t xml:space="preserve"> algérien n’a toujours pas élucidé l’affaire</w:t>
      </w:r>
      <w:r w:rsidR="00D31A56">
        <w:t>.</w:t>
      </w:r>
    </w:p>
    <w:p w14:paraId="16B5BA5F" w14:textId="77777777" w:rsidR="00410779" w:rsidRDefault="00A16DB8" w:rsidP="00410779">
      <w:pPr>
        <w:pStyle w:val="SingleTxtG"/>
      </w:pPr>
      <w:r>
        <w:t>2.1</w:t>
      </w:r>
      <w:r w:rsidR="00422662">
        <w:t>2</w:t>
      </w:r>
      <w:r w:rsidR="0063461C">
        <w:tab/>
      </w:r>
      <w:r w:rsidR="00590872" w:rsidRPr="00590872">
        <w:t>Malgr</w:t>
      </w:r>
      <w:r w:rsidR="00590872">
        <w:t>é tous les efforts de</w:t>
      </w:r>
      <w:r w:rsidR="00D14AC8">
        <w:t>s</w:t>
      </w:r>
      <w:r w:rsidR="00590872">
        <w:t xml:space="preserve"> auteur</w:t>
      </w:r>
      <w:r w:rsidR="00D14AC8">
        <w:t>s</w:t>
      </w:r>
      <w:r w:rsidR="00590872" w:rsidRPr="00590872">
        <w:t xml:space="preserve">, aucune enquête n’a été </w:t>
      </w:r>
      <w:r w:rsidR="004B5F9D">
        <w:t>ouverte</w:t>
      </w:r>
      <w:r w:rsidR="007C4695">
        <w:t xml:space="preserve"> par les autorités étatiques compétentes</w:t>
      </w:r>
      <w:r w:rsidR="00D14AC8">
        <w:t xml:space="preserve">. Les </w:t>
      </w:r>
      <w:r w:rsidR="00590872" w:rsidRPr="00590872">
        <w:t>auteur</w:t>
      </w:r>
      <w:r w:rsidR="00D14AC8">
        <w:t>s</w:t>
      </w:r>
      <w:r w:rsidR="00590872" w:rsidRPr="00590872">
        <w:t xml:space="preserve"> soul</w:t>
      </w:r>
      <w:r w:rsidR="004B5F9D">
        <w:t>igne</w:t>
      </w:r>
      <w:r w:rsidR="00D14AC8">
        <w:t>nt</w:t>
      </w:r>
      <w:r w:rsidR="004B5F9D">
        <w:t xml:space="preserve"> qu’</w:t>
      </w:r>
      <w:r w:rsidR="00D14AC8">
        <w:t>il leur</w:t>
      </w:r>
      <w:r w:rsidR="00713F25">
        <w:t xml:space="preserve"> est </w:t>
      </w:r>
      <w:r w:rsidR="00590872" w:rsidRPr="00590872">
        <w:t xml:space="preserve">aujourd’hui </w:t>
      </w:r>
      <w:r w:rsidR="00713F25">
        <w:t>impossib</w:t>
      </w:r>
      <w:r w:rsidR="00590872" w:rsidRPr="00590872">
        <w:t>l</w:t>
      </w:r>
      <w:r w:rsidR="00713F25">
        <w:t>e</w:t>
      </w:r>
      <w:r w:rsidR="00590872" w:rsidRPr="00590872">
        <w:t xml:space="preserve"> légale</w:t>
      </w:r>
      <w:r w:rsidR="00713F25">
        <w:t>ment</w:t>
      </w:r>
      <w:r w:rsidR="00590872" w:rsidRPr="00590872">
        <w:t xml:space="preserve"> de recourir à une instance judiciaire après la promulgation de l’ordonnance n</w:t>
      </w:r>
      <w:r w:rsidR="00590872" w:rsidRPr="00590872">
        <w:rPr>
          <w:vertAlign w:val="superscript"/>
        </w:rPr>
        <w:t>o</w:t>
      </w:r>
      <w:r w:rsidR="00346FEA">
        <w:t xml:space="preserve"> </w:t>
      </w:r>
      <w:r w:rsidR="00590872" w:rsidRPr="00590872">
        <w:t>06-01 portant mise en œuvre de la Charte pour la paix et la réconciliation nationale</w:t>
      </w:r>
      <w:r w:rsidR="00713F25">
        <w:t>. L</w:t>
      </w:r>
      <w:r w:rsidR="00590872" w:rsidRPr="00590872">
        <w:t xml:space="preserve">es recours internes </w:t>
      </w:r>
      <w:r w:rsidR="00713F25">
        <w:t xml:space="preserve">qui </w:t>
      </w:r>
      <w:r w:rsidR="00C10BC3">
        <w:t>étaient</w:t>
      </w:r>
      <w:r w:rsidR="00713F25">
        <w:t xml:space="preserve"> inutiles et inefficaces</w:t>
      </w:r>
      <w:r w:rsidR="00590872" w:rsidRPr="00590872">
        <w:t xml:space="preserve"> </w:t>
      </w:r>
      <w:r w:rsidR="00C10BC3">
        <w:t>n’étaient de ce fait plus disponibles</w:t>
      </w:r>
      <w:r w:rsidR="00590872" w:rsidRPr="00590872">
        <w:t xml:space="preserve">. </w:t>
      </w:r>
      <w:r w:rsidR="00F860A4">
        <w:t>En effet, selon l</w:t>
      </w:r>
      <w:r w:rsidR="00590872" w:rsidRPr="00590872">
        <w:t xml:space="preserve">a Charte pour la paix et la réconciliation nationale « les actes répréhensibles d’agents de l’État qui ont été sanctionnés par la justice chaque fois qu’ils ont été établis, ne sauraient </w:t>
      </w:r>
      <w:r w:rsidR="00590872" w:rsidRPr="00590872">
        <w:lastRenderedPageBreak/>
        <w:t>servir de prétexte pour jeter le discrédit sur l’ensemble des forces de l’ordre qui ont accompli leur devoir, avec l’appui des citoyens et au service de la Patrie ».</w:t>
      </w:r>
    </w:p>
    <w:p w14:paraId="54BB87E8" w14:textId="43BDD4D2" w:rsidR="00590872" w:rsidRDefault="00D14AC8" w:rsidP="00410779">
      <w:pPr>
        <w:pStyle w:val="SingleTxtG"/>
      </w:pPr>
      <w:r>
        <w:t>2.1</w:t>
      </w:r>
      <w:r w:rsidR="00422662">
        <w:t>3</w:t>
      </w:r>
      <w:r w:rsidR="00590872">
        <w:tab/>
      </w:r>
      <w:r w:rsidR="00713F25">
        <w:t xml:space="preserve">Selon </w:t>
      </w:r>
      <w:r>
        <w:t xml:space="preserve">les </w:t>
      </w:r>
      <w:r w:rsidR="00590872" w:rsidRPr="00590872">
        <w:t>auteur</w:t>
      </w:r>
      <w:r>
        <w:t>s</w:t>
      </w:r>
      <w:r w:rsidR="00590872" w:rsidRPr="00590872">
        <w:t xml:space="preserve">, l’ordonnance </w:t>
      </w:r>
      <w:r w:rsidR="004E41CF" w:rsidRPr="004E41CF">
        <w:t>n</w:t>
      </w:r>
      <w:r w:rsidR="004E41CF" w:rsidRPr="004E41CF">
        <w:rPr>
          <w:vertAlign w:val="superscript"/>
        </w:rPr>
        <w:t>o</w:t>
      </w:r>
      <w:r w:rsidR="004E41CF" w:rsidRPr="004E41CF">
        <w:t xml:space="preserve"> 06-01 </w:t>
      </w:r>
      <w:r w:rsidR="00590872" w:rsidRPr="00590872">
        <w:t>portant mise en œuvre de la Charte pour la paix</w:t>
      </w:r>
      <w:r w:rsidR="00713F25">
        <w:t xml:space="preserve"> et la réconciliation nationale</w:t>
      </w:r>
      <w:r w:rsidR="004E41CF">
        <w:t>,</w:t>
      </w:r>
      <w:r w:rsidR="00590872" w:rsidRPr="00590872">
        <w:t xml:space="preserve"> promulguée le 27</w:t>
      </w:r>
      <w:r w:rsidR="00346FEA">
        <w:t xml:space="preserve"> </w:t>
      </w:r>
      <w:r w:rsidR="00590872" w:rsidRPr="00590872">
        <w:t>février 2006, interdit sous peine de poursuites pénales le recours à la justice, ce qui dispense les victimes de la nécessité d’épuiser les voies de recours internes. Cette ordonnance interdit en effet toute plainte pour disparition ou autre crime, son article</w:t>
      </w:r>
      <w:r w:rsidR="00346FEA">
        <w:t xml:space="preserve"> </w:t>
      </w:r>
      <w:r w:rsidR="00590872" w:rsidRPr="00590872">
        <w:t>45 disposant qu</w:t>
      </w:r>
      <w:proofErr w:type="gramStart"/>
      <w:r w:rsidR="00590872" w:rsidRPr="00590872">
        <w:t>’«</w:t>
      </w:r>
      <w:proofErr w:type="gramEnd"/>
      <w:r w:rsidR="00590872" w:rsidRPr="00590872">
        <w:t xml:space="preserve"> aucune poursuite ne peut être engagée, à titre individuel ou collectif,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w:t>
      </w:r>
      <w:r w:rsidR="00713F25">
        <w:t>E</w:t>
      </w:r>
      <w:r w:rsidR="00590872" w:rsidRPr="00590872">
        <w:t xml:space="preserve">n vertu de cette disposition, </w:t>
      </w:r>
      <w:r w:rsidR="00713F25">
        <w:t>t</w:t>
      </w:r>
      <w:r w:rsidR="00713F25" w:rsidRPr="00590872">
        <w:t xml:space="preserve">oute dénonciation ou plainte doit </w:t>
      </w:r>
      <w:r w:rsidR="00590872" w:rsidRPr="00590872">
        <w:t>être déclarée irrecevable par l’autorité judiciaire</w:t>
      </w:r>
      <w:r w:rsidR="00346FEA">
        <w:t xml:space="preserve"> compétente. De plus, l’article </w:t>
      </w:r>
      <w:r w:rsidR="00590872" w:rsidRPr="00590872">
        <w:t>46 de la même ordonnance prévoit qu’« est puni d’un emprisonnement de trois (3) ans à cinq (5) ans et d’une amende de 250 000 DA à 500</w:t>
      </w:r>
      <w:r w:rsidR="00346FEA">
        <w:t xml:space="preserve"> 000 </w:t>
      </w:r>
      <w:r w:rsidR="00590872" w:rsidRPr="00590872">
        <w:t>DA, quiconque qui, par ses déclarations, écrits ou tout autre acte, utilise ou instrumentalise les blessures de la tragédie nationale pour porter atteinte aux institutions de la République algérienne démocratique et populaire, fragiliser l’État, nuire à l’honorabilité de ses agents qui l’ont dignement servie, ou ternir l’image de l’Algérie sur le plan international. Les poursuites pénales sont engagées d’office par le ministère public ». En cas de récidive, la peine prévue à cet article est doublée.</w:t>
      </w:r>
    </w:p>
    <w:p w14:paraId="3959AE5E" w14:textId="77777777" w:rsidR="00410779" w:rsidRPr="00410779" w:rsidRDefault="00A312D0" w:rsidP="00A312D0">
      <w:pPr>
        <w:pStyle w:val="H23G"/>
        <w:ind w:firstLine="0"/>
        <w:rPr>
          <w:lang w:val="fr-FR"/>
        </w:rPr>
      </w:pPr>
      <w:r>
        <w:rPr>
          <w:lang w:val="fr-FR"/>
        </w:rPr>
        <w:tab/>
      </w:r>
      <w:r w:rsidR="00410779" w:rsidRPr="00410779">
        <w:rPr>
          <w:lang w:val="fr-FR"/>
        </w:rPr>
        <w:t>Teneur de la plainte</w:t>
      </w:r>
    </w:p>
    <w:p w14:paraId="408312E2" w14:textId="77777777" w:rsidR="00410779" w:rsidRDefault="00410779" w:rsidP="004E57C5">
      <w:pPr>
        <w:pStyle w:val="SingleTxtG"/>
      </w:pPr>
      <w:r w:rsidRPr="00410779">
        <w:t>3.1</w:t>
      </w:r>
      <w:r w:rsidRPr="00410779">
        <w:tab/>
      </w:r>
      <w:r w:rsidR="00B31C3A">
        <w:t>L</w:t>
      </w:r>
      <w:r w:rsidR="00A83D41">
        <w:t xml:space="preserve">es </w:t>
      </w:r>
      <w:r w:rsidR="00B31C3A" w:rsidRPr="00B31C3A">
        <w:t>auteur</w:t>
      </w:r>
      <w:r w:rsidR="00A83D41">
        <w:t>s</w:t>
      </w:r>
      <w:r w:rsidR="00B31C3A" w:rsidRPr="00B31C3A">
        <w:t xml:space="preserve"> allègue</w:t>
      </w:r>
      <w:r w:rsidR="00A83D41">
        <w:t>nt</w:t>
      </w:r>
      <w:r w:rsidR="00B31C3A" w:rsidRPr="00B31C3A">
        <w:t xml:space="preserve"> que </w:t>
      </w:r>
      <w:r w:rsidR="00A83D41">
        <w:t xml:space="preserve">leur </w:t>
      </w:r>
      <w:r w:rsidR="004F0A41">
        <w:t>fils</w:t>
      </w:r>
      <w:r w:rsidR="00EB745A">
        <w:t xml:space="preserve"> est victime d’une</w:t>
      </w:r>
      <w:r w:rsidR="00DE171C">
        <w:t xml:space="preserve"> disparition</w:t>
      </w:r>
      <w:r w:rsidR="007A28CB">
        <w:t>, conformément à la définition de</w:t>
      </w:r>
      <w:r w:rsidR="009A486F">
        <w:t>s d</w:t>
      </w:r>
      <w:r w:rsidR="004F0A41">
        <w:t>isparitions forcées en vertu de</w:t>
      </w:r>
      <w:r w:rsidR="00B31C3A" w:rsidRPr="00B31C3A">
        <w:t xml:space="preserve"> </w:t>
      </w:r>
      <w:r w:rsidR="004F0A41">
        <w:t>l’</w:t>
      </w:r>
      <w:r w:rsidR="00B31C3A" w:rsidRPr="00B31C3A">
        <w:t>article 2 de la Convention internationale pour la protection de toutes les personnes contre les disparitions forcées.</w:t>
      </w:r>
      <w:r w:rsidR="00A83D41">
        <w:t xml:space="preserve"> Les </w:t>
      </w:r>
      <w:r w:rsidR="00EB745A" w:rsidRPr="00EB745A">
        <w:t>auteur</w:t>
      </w:r>
      <w:r w:rsidR="00A83D41">
        <w:t>s</w:t>
      </w:r>
      <w:r w:rsidR="004E57C5">
        <w:t xml:space="preserve"> affirme</w:t>
      </w:r>
      <w:r w:rsidR="00A83D41">
        <w:t>nt</w:t>
      </w:r>
      <w:r w:rsidR="004E57C5">
        <w:t xml:space="preserve"> qu’en dépit de ce </w:t>
      </w:r>
      <w:r w:rsidR="00EB745A" w:rsidRPr="00EB745A">
        <w:t>qu’auc</w:t>
      </w:r>
      <w:r w:rsidR="004E57C5">
        <w:t>une disposition du Pacte ne fasse</w:t>
      </w:r>
      <w:r w:rsidR="00EB745A" w:rsidRPr="00EB745A">
        <w:t xml:space="preserve"> expressément mention </w:t>
      </w:r>
      <w:r w:rsidR="00F860A4">
        <w:t>des</w:t>
      </w:r>
      <w:r w:rsidR="00F860A4" w:rsidRPr="00EB745A">
        <w:t xml:space="preserve"> </w:t>
      </w:r>
      <w:r w:rsidR="00EB745A" w:rsidRPr="00EB745A">
        <w:t xml:space="preserve">disparitions forcées, la pratique implique des violations du </w:t>
      </w:r>
      <w:bookmarkStart w:id="1" w:name="_Hlk27397930"/>
      <w:r w:rsidR="00EB745A" w:rsidRPr="00EB745A">
        <w:t xml:space="preserve">droit à la vie, du droit </w:t>
      </w:r>
      <w:r w:rsidR="004E57C5">
        <w:t>à</w:t>
      </w:r>
      <w:r w:rsidR="00EB745A" w:rsidRPr="00EB745A">
        <w:t xml:space="preserve"> ne pas être soumis à la torture et autres peines ou traitements inhumains ou dégradants</w:t>
      </w:r>
      <w:r w:rsidR="009A486F">
        <w:t>,</w:t>
      </w:r>
      <w:r w:rsidR="00EB745A" w:rsidRPr="00EB745A">
        <w:t xml:space="preserve"> et du droit à la liberté et à la sécurité de la personne</w:t>
      </w:r>
      <w:bookmarkEnd w:id="1"/>
      <w:r w:rsidR="00A83D41">
        <w:t xml:space="preserve">. En l’espèce, les </w:t>
      </w:r>
      <w:r w:rsidR="00EB745A" w:rsidRPr="00EB745A">
        <w:t>auteur</w:t>
      </w:r>
      <w:r w:rsidR="00A83D41">
        <w:t>s</w:t>
      </w:r>
      <w:r w:rsidR="00EB745A" w:rsidRPr="00EB745A">
        <w:t xml:space="preserve"> invoque</w:t>
      </w:r>
      <w:r w:rsidR="00A83D41">
        <w:t>nt</w:t>
      </w:r>
      <w:r w:rsidR="00EB745A" w:rsidRPr="00EB745A">
        <w:t xml:space="preserve"> des violations par l’État partie des articles </w:t>
      </w:r>
      <w:r w:rsidR="004F0A41">
        <w:t xml:space="preserve">2 (par. 2 et 3), </w:t>
      </w:r>
      <w:r w:rsidR="00EB745A" w:rsidRPr="00EB745A">
        <w:t xml:space="preserve">6, 7, 9, 10, </w:t>
      </w:r>
      <w:r w:rsidR="004F02EF">
        <w:t>14 et</w:t>
      </w:r>
      <w:r w:rsidR="004F0A41">
        <w:t xml:space="preserve"> 16</w:t>
      </w:r>
      <w:r w:rsidR="00EB745A">
        <w:t xml:space="preserve"> du Pacte</w:t>
      </w:r>
      <w:r w:rsidR="00EB745A" w:rsidRPr="00EB745A">
        <w:t>.</w:t>
      </w:r>
    </w:p>
    <w:p w14:paraId="7F782D8E" w14:textId="77777777" w:rsidR="00806BA0" w:rsidRDefault="00806BA0" w:rsidP="00410779">
      <w:pPr>
        <w:pStyle w:val="SingleTxtG"/>
      </w:pPr>
      <w:r>
        <w:t>3.2</w:t>
      </w:r>
      <w:r>
        <w:tab/>
      </w:r>
      <w:r w:rsidR="00240DE9">
        <w:t xml:space="preserve">Les </w:t>
      </w:r>
      <w:r w:rsidR="00E965B0" w:rsidRPr="00E965B0">
        <w:t>auteur</w:t>
      </w:r>
      <w:r w:rsidR="00240DE9">
        <w:t>s</w:t>
      </w:r>
      <w:r w:rsidR="00E965B0" w:rsidRPr="00E965B0">
        <w:t xml:space="preserve"> estime</w:t>
      </w:r>
      <w:r w:rsidR="00240DE9">
        <w:t>nt</w:t>
      </w:r>
      <w:r w:rsidR="00E965B0" w:rsidRPr="00E965B0">
        <w:t xml:space="preserve"> que l’ordonnance n</w:t>
      </w:r>
      <w:r w:rsidR="00E965B0" w:rsidRPr="00E965B0">
        <w:rPr>
          <w:vertAlign w:val="superscript"/>
        </w:rPr>
        <w:t>o</w:t>
      </w:r>
      <w:r w:rsidR="001D712E">
        <w:t xml:space="preserve"> </w:t>
      </w:r>
      <w:r w:rsidR="00E965B0">
        <w:t>06-01</w:t>
      </w:r>
      <w:r w:rsidR="00E965B0" w:rsidRPr="00E965B0">
        <w:t xml:space="preserve"> portant mise en œuvre de la Charte pour la paix et la réconciliation nationale constitue un manquement à l’obligation générale consacrée </w:t>
      </w:r>
      <w:r w:rsidR="001D712E">
        <w:t xml:space="preserve">à l’article 2 (par. </w:t>
      </w:r>
      <w:r w:rsidR="00E965B0" w:rsidRPr="00E965B0">
        <w:t>2) du Pacte en ce sens que ladite disposition implique également une obligation négative pour les États parties de ne pas adopter de mesures contraires au Pacte. En adoptant ladite ordonna</w:t>
      </w:r>
      <w:r w:rsidR="001D712E">
        <w:t xml:space="preserve">nce, en particulier son article </w:t>
      </w:r>
      <w:r w:rsidR="00E965B0" w:rsidRPr="00E965B0">
        <w:t>45, l’État partie aurait donc pris une mesure d’ordre législatif privant d’effets les droits reconnus dans le Pacte</w:t>
      </w:r>
      <w:r w:rsidR="00E965B0" w:rsidRPr="00E965B0">
        <w:rPr>
          <w:vertAlign w:val="superscript"/>
        </w:rPr>
        <w:footnoteReference w:id="7"/>
      </w:r>
      <w:r w:rsidR="00E965B0" w:rsidRPr="00E965B0">
        <w:t xml:space="preserve">, et particulièrement le droit d’avoir accès à un recours effectif contre des violations des droits de l’homme. </w:t>
      </w:r>
      <w:r w:rsidR="00415C1D" w:rsidRPr="00415C1D">
        <w:t>Depuis la prom</w:t>
      </w:r>
      <w:r w:rsidR="00240DE9">
        <w:t>ulgation de cette ordonnance, les auteurs</w:t>
      </w:r>
      <w:r w:rsidR="00415C1D" w:rsidRPr="00415C1D">
        <w:t xml:space="preserve"> </w:t>
      </w:r>
      <w:r w:rsidR="00240DE9">
        <w:t>ont</w:t>
      </w:r>
      <w:r w:rsidR="00415C1D" w:rsidRPr="00415C1D">
        <w:t xml:space="preserve"> été empêché</w:t>
      </w:r>
      <w:r w:rsidR="00240DE9">
        <w:t>s</w:t>
      </w:r>
      <w:r w:rsidR="00415C1D" w:rsidRPr="00415C1D">
        <w:t xml:space="preserve"> d’ester en justice.</w:t>
      </w:r>
      <w:r w:rsidR="00415C1D">
        <w:t xml:space="preserve"> </w:t>
      </w:r>
      <w:r w:rsidR="00240DE9">
        <w:t xml:space="preserve">Ils </w:t>
      </w:r>
      <w:r w:rsidR="00E965B0" w:rsidRPr="00E965B0">
        <w:t>estime</w:t>
      </w:r>
      <w:r w:rsidR="00240DE9">
        <w:t>nt</w:t>
      </w:r>
      <w:r w:rsidR="00E965B0" w:rsidRPr="00E965B0">
        <w:t xml:space="preserve"> que le manquement à l’obligation fixée par l’article 2 (par. 2) du Pacte, par action ou par omission, peut engager la responsabilité internationale de l’État partie</w:t>
      </w:r>
      <w:r w:rsidR="00E965B0" w:rsidRPr="00E965B0">
        <w:rPr>
          <w:vertAlign w:val="superscript"/>
        </w:rPr>
        <w:footnoteReference w:id="8"/>
      </w:r>
      <w:r w:rsidR="00240DE9">
        <w:t xml:space="preserve">. Ils </w:t>
      </w:r>
      <w:r w:rsidR="00E965B0" w:rsidRPr="00E965B0">
        <w:t>affirme</w:t>
      </w:r>
      <w:r w:rsidR="00240DE9">
        <w:t>nt</w:t>
      </w:r>
      <w:r w:rsidR="00E965B0" w:rsidRPr="00E965B0">
        <w:t xml:space="preserve"> qu’en dépit de toutes </w:t>
      </w:r>
      <w:r w:rsidR="00240DE9">
        <w:t>leurs</w:t>
      </w:r>
      <w:r w:rsidR="00E965B0" w:rsidRPr="00E965B0">
        <w:t xml:space="preserve"> démarches après l’entrée en vigueur de la Charte et de ses textes d’application</w:t>
      </w:r>
      <w:r w:rsidR="00415C1D">
        <w:t>,</w:t>
      </w:r>
      <w:r w:rsidR="00240DE9">
        <w:t xml:space="preserve"> leurs</w:t>
      </w:r>
      <w:r w:rsidR="00E965B0" w:rsidRPr="00E965B0">
        <w:t xml:space="preserve"> plai</w:t>
      </w:r>
      <w:r w:rsidR="00BC325F">
        <w:t xml:space="preserve">ntes sont demeurées </w:t>
      </w:r>
      <w:r w:rsidR="00A740B7">
        <w:t>sans suite</w:t>
      </w:r>
      <w:r w:rsidR="00BC325F">
        <w:t xml:space="preserve">. </w:t>
      </w:r>
      <w:r w:rsidR="00240DE9">
        <w:t xml:space="preserve">Ils </w:t>
      </w:r>
      <w:r w:rsidR="00E965B0" w:rsidRPr="00E965B0">
        <w:t>estime</w:t>
      </w:r>
      <w:r w:rsidR="00240DE9">
        <w:t>nt</w:t>
      </w:r>
      <w:r w:rsidR="00E965B0" w:rsidRPr="00E965B0">
        <w:t xml:space="preserve"> en conséquence être victime</w:t>
      </w:r>
      <w:r w:rsidR="00240DE9">
        <w:t>s</w:t>
      </w:r>
      <w:r w:rsidR="00E965B0" w:rsidRPr="00E965B0">
        <w:t xml:space="preserve"> de cette disposition lé</w:t>
      </w:r>
      <w:r w:rsidR="001D712E">
        <w:t xml:space="preserve">gislative contraire à l’article 2 (par. </w:t>
      </w:r>
      <w:r w:rsidR="00E965B0" w:rsidRPr="00E965B0">
        <w:t>2) du Pacte.</w:t>
      </w:r>
    </w:p>
    <w:p w14:paraId="4078AF66" w14:textId="77777777" w:rsidR="00BC086A" w:rsidRDefault="00415C1D" w:rsidP="00BE493D">
      <w:pPr>
        <w:pStyle w:val="SingleTxtG"/>
      </w:pPr>
      <w:r>
        <w:t>3.3</w:t>
      </w:r>
      <w:r>
        <w:tab/>
      </w:r>
      <w:r w:rsidR="00BA1193">
        <w:t xml:space="preserve">Les </w:t>
      </w:r>
      <w:r w:rsidR="00BC086A" w:rsidRPr="00590872">
        <w:t>auteur</w:t>
      </w:r>
      <w:r w:rsidR="00BA1193">
        <w:t>s</w:t>
      </w:r>
      <w:r w:rsidR="00BC086A" w:rsidRPr="00590872">
        <w:t xml:space="preserve"> ajoute</w:t>
      </w:r>
      <w:r w:rsidR="00BA1193">
        <w:t>nt</w:t>
      </w:r>
      <w:r w:rsidR="00BC086A" w:rsidRPr="00590872">
        <w:t xml:space="preserve"> que</w:t>
      </w:r>
      <w:r w:rsidR="00BC086A">
        <w:t xml:space="preserve"> les dispositions de</w:t>
      </w:r>
      <w:r w:rsidR="00BC086A" w:rsidRPr="00590872">
        <w:t xml:space="preserve"> </w:t>
      </w:r>
      <w:r w:rsidR="00BC086A" w:rsidRPr="00E965B0">
        <w:t>l’ordonnance n</w:t>
      </w:r>
      <w:r w:rsidR="00BC086A" w:rsidRPr="00E965B0">
        <w:rPr>
          <w:vertAlign w:val="superscript"/>
        </w:rPr>
        <w:t>o</w:t>
      </w:r>
      <w:r w:rsidR="001D712E">
        <w:t xml:space="preserve"> </w:t>
      </w:r>
      <w:r w:rsidR="00BC086A">
        <w:t xml:space="preserve">06-01 sont contraires à l’article 2 (par. 3) </w:t>
      </w:r>
      <w:r w:rsidR="004E57C5">
        <w:t xml:space="preserve">du Pacte </w:t>
      </w:r>
      <w:r w:rsidR="00BC086A">
        <w:t xml:space="preserve">car elles ont pour effet d’empêcher toute poursuite pénale à l’encontre des auteurs </w:t>
      </w:r>
      <w:r w:rsidR="004E57C5">
        <w:t>présumés de disparitions</w:t>
      </w:r>
      <w:r w:rsidR="00BC086A">
        <w:t xml:space="preserve"> lorsque ces personnes sont des agents de l’État. </w:t>
      </w:r>
      <w:r w:rsidR="00BC086A" w:rsidRPr="00590872">
        <w:t xml:space="preserve">Cette loi </w:t>
      </w:r>
      <w:r w:rsidR="00BC086A" w:rsidRPr="00A16DB8">
        <w:t>amnistie de fait</w:t>
      </w:r>
      <w:r w:rsidR="00BC086A" w:rsidRPr="00590872">
        <w:t xml:space="preserve"> les crimes commis durant la décennie passée, y compris les crimes les plus graves comme les </w:t>
      </w:r>
      <w:r w:rsidR="00BC086A">
        <w:t>disparitions forcées</w:t>
      </w:r>
      <w:r w:rsidR="00BC086A" w:rsidRPr="00590872">
        <w:t xml:space="preserve">. </w:t>
      </w:r>
      <w:r w:rsidR="00BC086A">
        <w:t xml:space="preserve">Elle </w:t>
      </w:r>
      <w:r w:rsidR="00BC086A" w:rsidRPr="00590872">
        <w:t xml:space="preserve">interdit </w:t>
      </w:r>
      <w:r w:rsidR="00BC086A">
        <w:t>aussi</w:t>
      </w:r>
      <w:r w:rsidR="00BC086A" w:rsidRPr="00590872">
        <w:t>, sous peine d’emprisonnement, le recours à la justice pour faire la lumière sur le sort des victimes</w:t>
      </w:r>
      <w:r w:rsidR="00BC086A" w:rsidRPr="00590872">
        <w:rPr>
          <w:vertAlign w:val="superscript"/>
        </w:rPr>
        <w:footnoteReference w:id="9"/>
      </w:r>
      <w:r w:rsidR="00BC086A">
        <w:t>. L</w:t>
      </w:r>
      <w:r w:rsidR="00BC086A" w:rsidRPr="00590872">
        <w:t xml:space="preserve">es </w:t>
      </w:r>
      <w:r w:rsidR="00490C81">
        <w:lastRenderedPageBreak/>
        <w:t>démarches</w:t>
      </w:r>
      <w:r w:rsidR="00BA1193">
        <w:t xml:space="preserve"> </w:t>
      </w:r>
      <w:r w:rsidR="00490C81">
        <w:t>effectuée</w:t>
      </w:r>
      <w:r w:rsidR="00BA1193">
        <w:t xml:space="preserve">s par les auteurs </w:t>
      </w:r>
      <w:r w:rsidR="00490C81">
        <w:t xml:space="preserve">auprès des autorités algériennes </w:t>
      </w:r>
      <w:r w:rsidR="00BA1193">
        <w:t xml:space="preserve">avant et après l’adoption de cette ordonnance se sont avérés inutiles parce qu’aucune réponse n’a été apportée sur le sort </w:t>
      </w:r>
      <w:r w:rsidR="00490C81">
        <w:t xml:space="preserve">de </w:t>
      </w:r>
      <w:r w:rsidR="00490C81" w:rsidRPr="00490C81">
        <w:t xml:space="preserve">Rabah </w:t>
      </w:r>
      <w:proofErr w:type="spellStart"/>
      <w:r w:rsidR="00490C81" w:rsidRPr="00490C81">
        <w:t>Souaiene</w:t>
      </w:r>
      <w:proofErr w:type="spellEnd"/>
      <w:r w:rsidR="00BC086A">
        <w:t>.</w:t>
      </w:r>
      <w:r w:rsidR="00BC086A" w:rsidRPr="00590872">
        <w:t xml:space="preserve"> </w:t>
      </w:r>
      <w:r w:rsidR="00BC086A">
        <w:t>C</w:t>
      </w:r>
      <w:r w:rsidR="00BC086A" w:rsidRPr="00590872">
        <w:t>e refus fait obstacle à l’efficacité des recours exercés par sa famille.</w:t>
      </w:r>
      <w:r w:rsidR="00392148">
        <w:t xml:space="preserve"> L</w:t>
      </w:r>
      <w:r w:rsidR="00721D6A">
        <w:t>’article 2 (par. 3) impose l’octroi d’une réparation aux personnes dont les droits reconnus par le Pacte ont été violés</w:t>
      </w:r>
      <w:r w:rsidR="00721D6A">
        <w:rPr>
          <w:rStyle w:val="FootnoteReference"/>
        </w:rPr>
        <w:footnoteReference w:id="10"/>
      </w:r>
      <w:r w:rsidR="00721D6A">
        <w:t>. Les articles 27 à 39 de l’ordonnance ne prévoient qu’une simple indemnisation financière conditionnée par l’établissement d’un jugement de décès établi après une enquête infructueuse, l’article 38 excluant toute autre forme de réparation. Or, en pratique</w:t>
      </w:r>
      <w:r w:rsidR="00577455">
        <w:t>,</w:t>
      </w:r>
      <w:r w:rsidR="00721D6A">
        <w:t xml:space="preserve"> aucune </w:t>
      </w:r>
      <w:r w:rsidR="00721D6A" w:rsidRPr="00BE493D">
        <w:t>enquête</w:t>
      </w:r>
      <w:r w:rsidR="00721D6A">
        <w:t xml:space="preserve"> n’est diligentée sur le sort du disparu, ni sur le</w:t>
      </w:r>
      <w:r w:rsidR="00392148">
        <w:t>s auteurs de la disparition. L</w:t>
      </w:r>
      <w:r w:rsidR="00490C81">
        <w:t xml:space="preserve">es </w:t>
      </w:r>
      <w:r w:rsidR="00392148">
        <w:t>auteur</w:t>
      </w:r>
      <w:r w:rsidR="00490C81">
        <w:t>s</w:t>
      </w:r>
      <w:r w:rsidR="00721D6A">
        <w:t xml:space="preserve"> rappelle</w:t>
      </w:r>
      <w:r w:rsidR="00490C81">
        <w:t>nt</w:t>
      </w:r>
      <w:r w:rsidR="004E57C5">
        <w:t xml:space="preserve"> que </w:t>
      </w:r>
      <w:r w:rsidR="004E57C5" w:rsidRPr="004E57C5">
        <w:t>le Comité a estimé que le droit à un recours utile comportait nécessairement le droit à une réparation adéquate et le droit à la vérité et a</w:t>
      </w:r>
      <w:r w:rsidR="004E57C5">
        <w:t xml:space="preserve"> recommandé à l’État partie de :</w:t>
      </w:r>
      <w:r w:rsidR="004E57C5" w:rsidRPr="004E57C5">
        <w:t xml:space="preserve"> </w:t>
      </w:r>
      <w:r w:rsidR="004E57C5">
        <w:t>« </w:t>
      </w:r>
      <w:r w:rsidR="004E57C5" w:rsidRPr="004E57C5">
        <w:t>s’engager à garantir que les disparus et/ou leurs familles disposent d’un recours utile et que bonne suite y est donnée, tout en veillant au respect du droit à indemnisation et à la réparation la plus complète possible</w:t>
      </w:r>
      <w:r w:rsidR="004E57C5">
        <w:t> »</w:t>
      </w:r>
      <w:r w:rsidR="004E57C5">
        <w:rPr>
          <w:rStyle w:val="FootnoteReference"/>
        </w:rPr>
        <w:footnoteReference w:id="11"/>
      </w:r>
      <w:r w:rsidR="00721D6A">
        <w:t>. L’État partie a donc violé l’article 2 (par. 3) du Pacte à l’égard de</w:t>
      </w:r>
      <w:r w:rsidR="00490C81">
        <w:t>s</w:t>
      </w:r>
      <w:r w:rsidR="00721D6A">
        <w:t xml:space="preserve"> auteur</w:t>
      </w:r>
      <w:r w:rsidR="00490C81">
        <w:t>s</w:t>
      </w:r>
      <w:r w:rsidR="00721D6A">
        <w:t>.</w:t>
      </w:r>
    </w:p>
    <w:p w14:paraId="70EDBDFC" w14:textId="77777777" w:rsidR="00EB745A" w:rsidRDefault="00662ADA" w:rsidP="00662ADA">
      <w:pPr>
        <w:pStyle w:val="SingleTxtG"/>
      </w:pPr>
      <w:r>
        <w:t>3.4</w:t>
      </w:r>
      <w:r>
        <w:tab/>
      </w:r>
      <w:r w:rsidR="000A5209">
        <w:t xml:space="preserve">Les </w:t>
      </w:r>
      <w:r w:rsidRPr="00662ADA">
        <w:t>auteur</w:t>
      </w:r>
      <w:r w:rsidR="000A5209">
        <w:t>s</w:t>
      </w:r>
      <w:r w:rsidR="004E57C5">
        <w:t xml:space="preserve"> rappelle</w:t>
      </w:r>
      <w:r w:rsidR="000A5209">
        <w:t>nt</w:t>
      </w:r>
      <w:r w:rsidR="004E57C5">
        <w:t xml:space="preserve"> l’évolution de la</w:t>
      </w:r>
      <w:r w:rsidRPr="00662ADA">
        <w:t xml:space="preserve"> jurispruden</w:t>
      </w:r>
      <w:r w:rsidR="004E57C5">
        <w:t>ce</w:t>
      </w:r>
      <w:r w:rsidRPr="00662ADA">
        <w:t xml:space="preserve"> du Comité </w:t>
      </w:r>
      <w:r w:rsidR="004E57C5">
        <w:t>en matière de disparition forcée</w:t>
      </w:r>
      <w:r w:rsidRPr="00662ADA">
        <w:t xml:space="preserve"> et estime</w:t>
      </w:r>
      <w:r w:rsidR="000A5209">
        <w:t>nt</w:t>
      </w:r>
      <w:r w:rsidRPr="00662ADA">
        <w:t xml:space="preserve"> que le seul risque pour la personne de p</w:t>
      </w:r>
      <w:r w:rsidR="004E57C5">
        <w:t>erdre la vie dans le contexte d’une telle</w:t>
      </w:r>
      <w:r w:rsidRPr="00662ADA">
        <w:t xml:space="preserve"> disparition est suffisant pour conclure à une violation dir</w:t>
      </w:r>
      <w:r w:rsidR="000A5209">
        <w:t>ecte de l’article </w:t>
      </w:r>
      <w:r>
        <w:t xml:space="preserve">6 du Pacte. </w:t>
      </w:r>
      <w:r w:rsidR="00580595">
        <w:t xml:space="preserve">Vu l’absence d’une enquête approfondie sur la disparition de </w:t>
      </w:r>
      <w:r w:rsidR="00580595" w:rsidRPr="00490C81">
        <w:t xml:space="preserve">Rabah </w:t>
      </w:r>
      <w:proofErr w:type="spellStart"/>
      <w:r w:rsidR="00580595" w:rsidRPr="00490C81">
        <w:t>Souaiene</w:t>
      </w:r>
      <w:proofErr w:type="spellEnd"/>
      <w:r w:rsidR="00580595">
        <w:t>, l</w:t>
      </w:r>
      <w:r w:rsidR="000A5209">
        <w:t>es auteurs</w:t>
      </w:r>
      <w:r>
        <w:t xml:space="preserve"> </w:t>
      </w:r>
      <w:r w:rsidRPr="00662ADA">
        <w:t>estime</w:t>
      </w:r>
      <w:r w:rsidR="000A5209">
        <w:t>nt</w:t>
      </w:r>
      <w:r w:rsidRPr="00662ADA">
        <w:t xml:space="preserve"> que l’État </w:t>
      </w:r>
      <w:r>
        <w:t>partie</w:t>
      </w:r>
      <w:r w:rsidRPr="00662ADA">
        <w:t xml:space="preserve"> a failli à son obligation de protéger </w:t>
      </w:r>
      <w:r w:rsidR="00580595">
        <w:t>son</w:t>
      </w:r>
      <w:r w:rsidRPr="00662ADA">
        <w:t xml:space="preserve"> droit à la vie </w:t>
      </w:r>
      <w:r>
        <w:t xml:space="preserve">et de prendre des mesures pour enquêter sur ce qui lui était arrivé, </w:t>
      </w:r>
      <w:r w:rsidRPr="00662ADA">
        <w:t>en violation de l’article</w:t>
      </w:r>
      <w:r w:rsidR="001D712E">
        <w:t xml:space="preserve"> </w:t>
      </w:r>
      <w:r w:rsidRPr="00662ADA">
        <w:t xml:space="preserve">6 </w:t>
      </w:r>
      <w:r w:rsidR="001D6FFA" w:rsidRPr="001D6FFA">
        <w:t>(pa</w:t>
      </w:r>
      <w:r w:rsidR="00B42677">
        <w:t>r. 1) du Pacte</w:t>
      </w:r>
      <w:r w:rsidR="001D6FFA" w:rsidRPr="001D6FFA">
        <w:t>.</w:t>
      </w:r>
    </w:p>
    <w:p w14:paraId="6B9E55E5" w14:textId="51AD63FC" w:rsidR="001D6FFA" w:rsidRDefault="00CA6A11" w:rsidP="00D85E61">
      <w:pPr>
        <w:pStyle w:val="SingleTxtG"/>
        <w:rPr>
          <w:lang w:val="fr-FR"/>
        </w:rPr>
      </w:pPr>
      <w:r>
        <w:t>3</w:t>
      </w:r>
      <w:r w:rsidR="00A437E4">
        <w:t>.5</w:t>
      </w:r>
      <w:r>
        <w:tab/>
      </w:r>
      <w:r w:rsidR="00973222">
        <w:t xml:space="preserve">Les </w:t>
      </w:r>
      <w:r w:rsidR="00892CDB">
        <w:t>auteur</w:t>
      </w:r>
      <w:r w:rsidR="00973222">
        <w:t>s</w:t>
      </w:r>
      <w:r w:rsidR="00892CDB">
        <w:t xml:space="preserve"> rappelle</w:t>
      </w:r>
      <w:r w:rsidR="00973222">
        <w:t>nt</w:t>
      </w:r>
      <w:r w:rsidR="000460B6" w:rsidRPr="000460B6">
        <w:rPr>
          <w:lang w:val="fr-FR"/>
        </w:rPr>
        <w:t xml:space="preserve"> les circonstances ento</w:t>
      </w:r>
      <w:r w:rsidR="00973222">
        <w:rPr>
          <w:lang w:val="fr-FR"/>
        </w:rPr>
        <w:t>urant la disparition de leur</w:t>
      </w:r>
      <w:r w:rsidR="000460B6" w:rsidRPr="000460B6">
        <w:rPr>
          <w:lang w:val="fr-FR"/>
        </w:rPr>
        <w:t xml:space="preserve"> fils, à savoir</w:t>
      </w:r>
      <w:r w:rsidR="00892CDB">
        <w:rPr>
          <w:lang w:val="fr-FR"/>
        </w:rPr>
        <w:t xml:space="preserve"> l’absence totale d’information</w:t>
      </w:r>
      <w:r w:rsidR="000460B6" w:rsidRPr="000460B6">
        <w:rPr>
          <w:lang w:val="fr-FR"/>
        </w:rPr>
        <w:t xml:space="preserve"> su</w:t>
      </w:r>
      <w:r w:rsidR="00892CDB">
        <w:rPr>
          <w:lang w:val="fr-FR"/>
        </w:rPr>
        <w:t>r sa détention,</w:t>
      </w:r>
      <w:r w:rsidR="000460B6" w:rsidRPr="000460B6">
        <w:rPr>
          <w:lang w:val="fr-FR"/>
        </w:rPr>
        <w:t xml:space="preserve"> son état de santé, et l’absence de communication avec s</w:t>
      </w:r>
      <w:r w:rsidR="00480CA6">
        <w:rPr>
          <w:lang w:val="fr-FR"/>
        </w:rPr>
        <w:t>a famille et le monde extérieur</w:t>
      </w:r>
      <w:r w:rsidR="000460B6" w:rsidRPr="000460B6">
        <w:rPr>
          <w:lang w:val="fr-FR"/>
        </w:rPr>
        <w:t xml:space="preserve">. </w:t>
      </w:r>
      <w:r w:rsidR="00480CA6">
        <w:rPr>
          <w:lang w:val="fr-FR"/>
        </w:rPr>
        <w:t xml:space="preserve">Ils </w:t>
      </w:r>
      <w:r w:rsidR="00882D9B" w:rsidRPr="00882D9B">
        <w:rPr>
          <w:lang w:val="fr-FR"/>
        </w:rPr>
        <w:t>rappelle</w:t>
      </w:r>
      <w:r w:rsidR="00480CA6">
        <w:rPr>
          <w:lang w:val="fr-FR"/>
        </w:rPr>
        <w:t>nt</w:t>
      </w:r>
      <w:r w:rsidR="00882D9B" w:rsidRPr="00882D9B">
        <w:rPr>
          <w:lang w:val="fr-FR"/>
        </w:rPr>
        <w:t xml:space="preserve"> qu’une détention arbitraire prolongée augmente le risque de torture et de traitements inhumains ou dégradants.</w:t>
      </w:r>
      <w:r w:rsidR="00882D9B">
        <w:rPr>
          <w:lang w:val="fr-FR"/>
        </w:rPr>
        <w:t xml:space="preserve"> </w:t>
      </w:r>
      <w:r w:rsidR="00892CDB">
        <w:rPr>
          <w:lang w:val="fr-FR"/>
        </w:rPr>
        <w:t>S</w:t>
      </w:r>
      <w:r w:rsidR="000460B6" w:rsidRPr="000460B6">
        <w:rPr>
          <w:lang w:val="fr-FR"/>
        </w:rPr>
        <w:t xml:space="preserve">e référant </w:t>
      </w:r>
      <w:r w:rsidR="00480CA6">
        <w:rPr>
          <w:lang w:val="fr-FR"/>
        </w:rPr>
        <w:t xml:space="preserve">à la jurisprudence du Comité, les </w:t>
      </w:r>
      <w:r w:rsidR="000460B6" w:rsidRPr="000460B6">
        <w:rPr>
          <w:lang w:val="fr-FR"/>
        </w:rPr>
        <w:t>auteur</w:t>
      </w:r>
      <w:r w:rsidR="00480CA6">
        <w:rPr>
          <w:lang w:val="fr-FR"/>
        </w:rPr>
        <w:t>s</w:t>
      </w:r>
      <w:r w:rsidR="000460B6" w:rsidRPr="000460B6">
        <w:rPr>
          <w:lang w:val="fr-FR"/>
        </w:rPr>
        <w:t xml:space="preserve"> souligne</w:t>
      </w:r>
      <w:r w:rsidR="00480CA6">
        <w:rPr>
          <w:lang w:val="fr-FR"/>
        </w:rPr>
        <w:t>nt</w:t>
      </w:r>
      <w:r w:rsidR="000460B6" w:rsidRPr="000460B6">
        <w:rPr>
          <w:lang w:val="fr-FR"/>
        </w:rPr>
        <w:t xml:space="preserve"> également que l’angoisse, l’incertitude et la détresse provoquées pa</w:t>
      </w:r>
      <w:r w:rsidR="000460B6">
        <w:rPr>
          <w:lang w:val="fr-FR"/>
        </w:rPr>
        <w:t>r la disparition</w:t>
      </w:r>
      <w:r w:rsidR="000460B6" w:rsidRPr="000460B6">
        <w:rPr>
          <w:lang w:val="fr-FR"/>
        </w:rPr>
        <w:t xml:space="preserve"> </w:t>
      </w:r>
      <w:r w:rsidR="00882D9B">
        <w:rPr>
          <w:lang w:val="fr-FR"/>
        </w:rPr>
        <w:t xml:space="preserve">de </w:t>
      </w:r>
      <w:r w:rsidR="00480CA6" w:rsidRPr="00480CA6">
        <w:rPr>
          <w:lang w:val="fr-FR"/>
        </w:rPr>
        <w:t xml:space="preserve">Rabah </w:t>
      </w:r>
      <w:proofErr w:type="spellStart"/>
      <w:r w:rsidR="00480CA6" w:rsidRPr="00480CA6">
        <w:rPr>
          <w:lang w:val="fr-FR"/>
        </w:rPr>
        <w:t>Souaiene</w:t>
      </w:r>
      <w:proofErr w:type="spellEnd"/>
      <w:r w:rsidR="000460B6" w:rsidRPr="000460B6">
        <w:rPr>
          <w:lang w:val="fr-FR"/>
        </w:rPr>
        <w:t xml:space="preserve"> constituent une forme de traitement inhumain ou dégrad</w:t>
      </w:r>
      <w:r w:rsidR="000460B6">
        <w:rPr>
          <w:lang w:val="fr-FR"/>
        </w:rPr>
        <w:t xml:space="preserve">ant pour </w:t>
      </w:r>
      <w:r w:rsidR="007629DC">
        <w:rPr>
          <w:lang w:val="fr-FR"/>
        </w:rPr>
        <w:t xml:space="preserve">sa </w:t>
      </w:r>
      <w:r w:rsidR="00480CA6">
        <w:rPr>
          <w:lang w:val="fr-FR"/>
        </w:rPr>
        <w:t xml:space="preserve">famille. En conséquence, les </w:t>
      </w:r>
      <w:r w:rsidR="000460B6">
        <w:rPr>
          <w:lang w:val="fr-FR"/>
        </w:rPr>
        <w:t>auteur</w:t>
      </w:r>
      <w:r w:rsidR="00480CA6">
        <w:rPr>
          <w:lang w:val="fr-FR"/>
        </w:rPr>
        <w:t>s</w:t>
      </w:r>
      <w:r w:rsidR="000460B6" w:rsidRPr="000460B6">
        <w:rPr>
          <w:lang w:val="fr-FR"/>
        </w:rPr>
        <w:t xml:space="preserve"> allègue</w:t>
      </w:r>
      <w:r w:rsidR="00480CA6">
        <w:rPr>
          <w:lang w:val="fr-FR"/>
        </w:rPr>
        <w:t>nt</w:t>
      </w:r>
      <w:r w:rsidR="000460B6" w:rsidRPr="000460B6">
        <w:rPr>
          <w:lang w:val="fr-FR"/>
        </w:rPr>
        <w:t xml:space="preserve"> que l’État partie est responsable d’une violation de l’article 7 </w:t>
      </w:r>
      <w:r w:rsidR="005426EC">
        <w:rPr>
          <w:lang w:val="fr-FR"/>
        </w:rPr>
        <w:t xml:space="preserve">et </w:t>
      </w:r>
      <w:r w:rsidR="000460B6" w:rsidRPr="000460B6">
        <w:rPr>
          <w:lang w:val="fr-FR"/>
        </w:rPr>
        <w:t xml:space="preserve">à l’égard de </w:t>
      </w:r>
      <w:r w:rsidR="00480CA6" w:rsidRPr="00480CA6">
        <w:rPr>
          <w:lang w:val="fr-FR"/>
        </w:rPr>
        <w:t xml:space="preserve">Rabah </w:t>
      </w:r>
      <w:proofErr w:type="spellStart"/>
      <w:r w:rsidR="00480CA6" w:rsidRPr="00480CA6">
        <w:rPr>
          <w:lang w:val="fr-FR"/>
        </w:rPr>
        <w:t>Souaiene</w:t>
      </w:r>
      <w:proofErr w:type="spellEnd"/>
      <w:r w:rsidR="000460B6" w:rsidRPr="000460B6">
        <w:rPr>
          <w:lang w:val="fr-FR"/>
        </w:rPr>
        <w:t xml:space="preserve"> et </w:t>
      </w:r>
      <w:r w:rsidR="00480CA6">
        <w:rPr>
          <w:lang w:val="fr-FR"/>
        </w:rPr>
        <w:t>à leur</w:t>
      </w:r>
      <w:r w:rsidR="00333944">
        <w:rPr>
          <w:lang w:val="fr-FR"/>
        </w:rPr>
        <w:t xml:space="preserve"> égard</w:t>
      </w:r>
      <w:r w:rsidR="000460B6" w:rsidRPr="000460B6">
        <w:rPr>
          <w:lang w:val="fr-FR"/>
        </w:rPr>
        <w:t>.</w:t>
      </w:r>
    </w:p>
    <w:p w14:paraId="34521B04" w14:textId="77777777" w:rsidR="00E40BC9" w:rsidRDefault="00E40BC9" w:rsidP="00D85E61">
      <w:pPr>
        <w:pStyle w:val="SingleTxtG"/>
        <w:rPr>
          <w:lang w:val="fr-FR"/>
        </w:rPr>
      </w:pPr>
      <w:r>
        <w:rPr>
          <w:lang w:val="fr-FR"/>
        </w:rPr>
        <w:t>3.</w:t>
      </w:r>
      <w:r w:rsidR="00BD2DD9">
        <w:rPr>
          <w:lang w:val="fr-FR"/>
        </w:rPr>
        <w:t>6</w:t>
      </w:r>
      <w:r>
        <w:rPr>
          <w:lang w:val="fr-FR"/>
        </w:rPr>
        <w:tab/>
      </w:r>
      <w:r w:rsidR="007E1533" w:rsidRPr="007E1533">
        <w:t xml:space="preserve">Prenant en compte que Rabah </w:t>
      </w:r>
      <w:proofErr w:type="spellStart"/>
      <w:r w:rsidR="007E1533" w:rsidRPr="007E1533">
        <w:t>Souaiene</w:t>
      </w:r>
      <w:proofErr w:type="spellEnd"/>
      <w:r w:rsidR="007E1533" w:rsidRPr="007E1533">
        <w:t xml:space="preserve"> a été détenu au secret sans avoir accès à un avocat et sans être informé des motifs de son arrestation ou des charges retenues à son encontre, que sa détention n’a pas été mentionnée dans les registres de garde à vue et qu’il n’y a aucune </w:t>
      </w:r>
      <w:r w:rsidR="00AF6693">
        <w:t>information</w:t>
      </w:r>
      <w:r w:rsidR="00AF6693" w:rsidRPr="007E1533">
        <w:t xml:space="preserve"> </w:t>
      </w:r>
      <w:r w:rsidR="007E1533" w:rsidRPr="007E1533">
        <w:t xml:space="preserve">officielle </w:t>
      </w:r>
      <w:r w:rsidR="00AF6693">
        <w:t>quant à</w:t>
      </w:r>
      <w:r w:rsidR="00AF6693" w:rsidRPr="007E1533">
        <w:t xml:space="preserve"> </w:t>
      </w:r>
      <w:r w:rsidR="007E1533" w:rsidRPr="007E1533">
        <w:t>sa localisation ou son sort, les auteurs affirment qu’il a été privé de son droit à la liberté et à la sécurité et qu</w:t>
      </w:r>
      <w:r w:rsidR="007E1533">
        <w:t xml:space="preserve">’il n’a </w:t>
      </w:r>
      <w:r w:rsidR="00AF6693">
        <w:t xml:space="preserve">pas </w:t>
      </w:r>
      <w:r w:rsidR="007E1533">
        <w:t>été en mesure d’introduire un recours devant un tribunal</w:t>
      </w:r>
      <w:r w:rsidR="007E1533" w:rsidRPr="007E1533">
        <w:t xml:space="preserve">. Ils estiment en conséquence que Rabah </w:t>
      </w:r>
      <w:proofErr w:type="spellStart"/>
      <w:r w:rsidR="007E1533" w:rsidRPr="007E1533">
        <w:t>Souaiene</w:t>
      </w:r>
      <w:proofErr w:type="spellEnd"/>
      <w:r w:rsidR="007E1533" w:rsidRPr="007E1533">
        <w:t xml:space="preserve"> a été privé des garanties énoncées à l’article 9 du Pacte et d’</w:t>
      </w:r>
      <w:r w:rsidR="00AF6693">
        <w:t xml:space="preserve">un </w:t>
      </w:r>
      <w:r w:rsidR="007E1533" w:rsidRPr="007E1533">
        <w:t>accès à un recours utile, impliquant une violation dudit ar</w:t>
      </w:r>
      <w:r w:rsidR="007E1533">
        <w:t>ticle</w:t>
      </w:r>
      <w:r w:rsidR="007E1533" w:rsidRPr="007E1533">
        <w:t xml:space="preserve"> à son égard.</w:t>
      </w:r>
    </w:p>
    <w:p w14:paraId="4CE346CA" w14:textId="77777777" w:rsidR="007716D8" w:rsidRDefault="00BD2DD9" w:rsidP="00D85E61">
      <w:pPr>
        <w:pStyle w:val="SingleTxtG"/>
      </w:pPr>
      <w:r>
        <w:rPr>
          <w:lang w:val="fr-FR"/>
        </w:rPr>
        <w:t>3.7</w:t>
      </w:r>
      <w:r w:rsidR="007716D8">
        <w:rPr>
          <w:lang w:val="fr-FR"/>
        </w:rPr>
        <w:tab/>
      </w:r>
      <w:r w:rsidR="007629DC">
        <w:t>L</w:t>
      </w:r>
      <w:r w:rsidR="003F6DEF">
        <w:t xml:space="preserve">es </w:t>
      </w:r>
      <w:r w:rsidRPr="00BD2DD9">
        <w:t>auteur</w:t>
      </w:r>
      <w:r w:rsidR="003F6DEF">
        <w:t>s</w:t>
      </w:r>
      <w:r w:rsidRPr="00BD2DD9">
        <w:t xml:space="preserve"> affirme</w:t>
      </w:r>
      <w:r w:rsidR="003F6DEF">
        <w:t>nt</w:t>
      </w:r>
      <w:r w:rsidRPr="00BD2DD9">
        <w:t xml:space="preserve"> </w:t>
      </w:r>
      <w:r w:rsidR="007629DC">
        <w:t xml:space="preserve">ensuite </w:t>
      </w:r>
      <w:r w:rsidRPr="00BD2DD9">
        <w:t>qu’en l’absence d’enquête de la part des autorités algériennes</w:t>
      </w:r>
      <w:r>
        <w:t>,</w:t>
      </w:r>
      <w:r w:rsidRPr="00BD2DD9">
        <w:t xml:space="preserve"> </w:t>
      </w:r>
      <w:r w:rsidR="003F6DEF" w:rsidRPr="003F6DEF">
        <w:t xml:space="preserve">Rabah </w:t>
      </w:r>
      <w:proofErr w:type="spellStart"/>
      <w:r w:rsidR="003F6DEF" w:rsidRPr="003F6DEF">
        <w:t>Souaiene</w:t>
      </w:r>
      <w:proofErr w:type="spellEnd"/>
      <w:r w:rsidR="00892CDB">
        <w:t xml:space="preserve"> a</w:t>
      </w:r>
      <w:r w:rsidRPr="00BD2DD9">
        <w:t xml:space="preserve"> été privé de liberté et n’a</w:t>
      </w:r>
      <w:r w:rsidR="00892CDB">
        <w:t xml:space="preserve"> pas</w:t>
      </w:r>
      <w:r w:rsidRPr="00BD2DD9">
        <w:t xml:space="preserve"> été traité avec humanité et dignité, </w:t>
      </w:r>
      <w:r w:rsidR="007629DC">
        <w:t>et ce en</w:t>
      </w:r>
      <w:r w:rsidR="001D712E">
        <w:t xml:space="preserve"> violation de l’article </w:t>
      </w:r>
      <w:r w:rsidRPr="00BD2DD9">
        <w:t>10 du Pacte à son égard.</w:t>
      </w:r>
    </w:p>
    <w:p w14:paraId="461F8129" w14:textId="77777777" w:rsidR="005004B1" w:rsidRDefault="005004B1" w:rsidP="00D85E61">
      <w:pPr>
        <w:pStyle w:val="SingleTxtG"/>
        <w:rPr>
          <w:lang w:val="fr-FR"/>
        </w:rPr>
      </w:pPr>
      <w:r>
        <w:t>3.8</w:t>
      </w:r>
      <w:r>
        <w:tab/>
      </w:r>
      <w:r w:rsidRPr="005004B1">
        <w:t>Rappelan</w:t>
      </w:r>
      <w:r w:rsidR="001D712E">
        <w:t xml:space="preserve">t les dispositions de l’article </w:t>
      </w:r>
      <w:r w:rsidRPr="005004B1">
        <w:t>14 du Pacte ainsi que l’observation générale n</w:t>
      </w:r>
      <w:r w:rsidRPr="005004B1">
        <w:rPr>
          <w:vertAlign w:val="superscript"/>
        </w:rPr>
        <w:t>o</w:t>
      </w:r>
      <w:r w:rsidRPr="005004B1">
        <w:t> 32</w:t>
      </w:r>
      <w:r w:rsidRPr="005004B1">
        <w:rPr>
          <w:vertAlign w:val="superscript"/>
        </w:rPr>
        <w:footnoteReference w:id="12"/>
      </w:r>
      <w:r w:rsidRPr="005004B1">
        <w:t xml:space="preserve"> du Comité</w:t>
      </w:r>
      <w:r w:rsidRPr="005004B1">
        <w:rPr>
          <w:lang w:val="fr-FR"/>
        </w:rPr>
        <w:t xml:space="preserve"> sur le droit à l’égalité devant les tribunaux et les cours de justice et </w:t>
      </w:r>
      <w:r w:rsidR="00892CDB">
        <w:rPr>
          <w:lang w:val="fr-FR"/>
        </w:rPr>
        <w:t xml:space="preserve">le droit </w:t>
      </w:r>
      <w:r w:rsidRPr="005004B1">
        <w:rPr>
          <w:lang w:val="fr-FR"/>
        </w:rPr>
        <w:t>à un procès équitable</w:t>
      </w:r>
      <w:r w:rsidR="003F6DEF">
        <w:t xml:space="preserve">, les </w:t>
      </w:r>
      <w:r w:rsidRPr="005004B1">
        <w:t>auteur</w:t>
      </w:r>
      <w:r w:rsidR="003F6DEF">
        <w:t>s</w:t>
      </w:r>
      <w:r w:rsidRPr="005004B1">
        <w:t xml:space="preserve"> affirme</w:t>
      </w:r>
      <w:r w:rsidR="003F6DEF">
        <w:t>nt</w:t>
      </w:r>
      <w:r w:rsidRPr="005004B1">
        <w:t xml:space="preserve"> </w:t>
      </w:r>
      <w:r w:rsidR="005E7D5F">
        <w:t>que toutes les démarches engagées auprès des autorités judiciaires sont demeurées infructueuses</w:t>
      </w:r>
      <w:r w:rsidRPr="005004B1">
        <w:t>.</w:t>
      </w:r>
      <w:r w:rsidR="005E7D5F">
        <w:t xml:space="preserve"> </w:t>
      </w:r>
      <w:r w:rsidR="002F0BE9" w:rsidRPr="002F0BE9">
        <w:t>En outre, la Charte et l’article 45 de l’ordonnance n</w:t>
      </w:r>
      <w:r w:rsidR="002F0BE9" w:rsidRPr="002F0BE9">
        <w:rPr>
          <w:vertAlign w:val="superscript"/>
        </w:rPr>
        <w:t>o</w:t>
      </w:r>
      <w:r w:rsidR="002F0BE9" w:rsidRPr="002F0BE9">
        <w:t xml:space="preserve"> 06-01 empêchent toute action judiciaire à l’encontre d’agents d’État, empêchant </w:t>
      </w:r>
      <w:r w:rsidR="002F0BE9">
        <w:t xml:space="preserve">les auteurs </w:t>
      </w:r>
      <w:r w:rsidR="002F0BE9" w:rsidRPr="002F0BE9">
        <w:t xml:space="preserve">de faire entendre </w:t>
      </w:r>
      <w:r w:rsidR="002F0BE9">
        <w:t>leur</w:t>
      </w:r>
      <w:r w:rsidR="002F0BE9" w:rsidRPr="002F0BE9">
        <w:t xml:space="preserve"> cause. L’État parti</w:t>
      </w:r>
      <w:r w:rsidR="00AF6693">
        <w:t>e</w:t>
      </w:r>
      <w:r w:rsidR="002F0BE9" w:rsidRPr="002F0BE9">
        <w:t xml:space="preserve"> a donc violé l’article 14 à </w:t>
      </w:r>
      <w:r w:rsidR="002F0BE9">
        <w:t>leur égard.</w:t>
      </w:r>
    </w:p>
    <w:p w14:paraId="41AACA33" w14:textId="77777777" w:rsidR="00460B0D" w:rsidRDefault="00460B0D" w:rsidP="00D85E61">
      <w:pPr>
        <w:pStyle w:val="SingleTxtG"/>
        <w:rPr>
          <w:lang w:val="fr-FR"/>
        </w:rPr>
      </w:pPr>
      <w:r>
        <w:rPr>
          <w:lang w:val="fr-FR"/>
        </w:rPr>
        <w:lastRenderedPageBreak/>
        <w:t>3.</w:t>
      </w:r>
      <w:r w:rsidR="000612FB">
        <w:rPr>
          <w:lang w:val="fr-FR"/>
        </w:rPr>
        <w:t>9</w:t>
      </w:r>
      <w:r>
        <w:rPr>
          <w:lang w:val="fr-FR"/>
        </w:rPr>
        <w:tab/>
      </w:r>
      <w:r w:rsidR="00301FB5">
        <w:rPr>
          <w:lang w:val="fr-FR"/>
        </w:rPr>
        <w:t xml:space="preserve">Les </w:t>
      </w:r>
      <w:r w:rsidR="00FA1D56" w:rsidRPr="00FA1D56">
        <w:rPr>
          <w:lang w:val="fr-FR"/>
        </w:rPr>
        <w:t>auteur</w:t>
      </w:r>
      <w:r w:rsidR="00301FB5">
        <w:rPr>
          <w:lang w:val="fr-FR"/>
        </w:rPr>
        <w:t>s</w:t>
      </w:r>
      <w:r w:rsidR="00FA1D56" w:rsidRPr="00FA1D56">
        <w:rPr>
          <w:lang w:val="fr-FR"/>
        </w:rPr>
        <w:t xml:space="preserve"> rappelle</w:t>
      </w:r>
      <w:r w:rsidR="00301FB5">
        <w:rPr>
          <w:lang w:val="fr-FR"/>
        </w:rPr>
        <w:t>nt</w:t>
      </w:r>
      <w:r w:rsidR="00FA1D56" w:rsidRPr="00FA1D56">
        <w:rPr>
          <w:lang w:val="fr-FR"/>
        </w:rPr>
        <w:t xml:space="preserve"> ensuite les dispositions de l’article 16 du Pacte et la jurisprudence constante du C</w:t>
      </w:r>
      <w:r w:rsidR="00892CDB">
        <w:rPr>
          <w:lang w:val="fr-FR"/>
        </w:rPr>
        <w:t>omité selon laquelle la soustraction</w:t>
      </w:r>
      <w:r w:rsidR="00FA1D56" w:rsidRPr="00FA1D56">
        <w:rPr>
          <w:lang w:val="fr-FR"/>
        </w:rPr>
        <w:t xml:space="preserve"> intentionnel</w:t>
      </w:r>
      <w:r w:rsidR="00892CDB">
        <w:rPr>
          <w:lang w:val="fr-FR"/>
        </w:rPr>
        <w:t>le</w:t>
      </w:r>
      <w:r w:rsidR="00FA1D56" w:rsidRPr="00FA1D56">
        <w:rPr>
          <w:lang w:val="fr-FR"/>
        </w:rPr>
        <w:t xml:space="preserve"> d’une personne </w:t>
      </w:r>
      <w:r w:rsidR="00892CDB">
        <w:rPr>
          <w:lang w:val="fr-FR"/>
        </w:rPr>
        <w:t>à</w:t>
      </w:r>
      <w:r w:rsidR="00FA1D56" w:rsidRPr="00FA1D56">
        <w:rPr>
          <w:lang w:val="fr-FR"/>
        </w:rPr>
        <w:t xml:space="preserve"> la protection de la loi pour une période prolongée peut constituer un refus de reconnaissance de sa personnalité juridique si la victime </w:t>
      </w:r>
      <w:r w:rsidR="00A740B7">
        <w:rPr>
          <w:lang w:val="fr-FR"/>
        </w:rPr>
        <w:t>est</w:t>
      </w:r>
      <w:r w:rsidR="00A740B7" w:rsidRPr="00FA1D56">
        <w:rPr>
          <w:lang w:val="fr-FR"/>
        </w:rPr>
        <w:t xml:space="preserve"> </w:t>
      </w:r>
      <w:r w:rsidR="00FA1D56" w:rsidRPr="00FA1D56">
        <w:rPr>
          <w:lang w:val="fr-FR"/>
        </w:rPr>
        <w:t>entre les mains des autorités de l’État lors de sa dernière apparition, et si les efforts de ses proches pour avoir accès à des recours utiles, y compris devant les cours de justice, sont sy</w:t>
      </w:r>
      <w:r w:rsidR="00FA1D56">
        <w:rPr>
          <w:lang w:val="fr-FR"/>
        </w:rPr>
        <w:t>stématiquement empêchés</w:t>
      </w:r>
      <w:r w:rsidR="00E362FE">
        <w:rPr>
          <w:lang w:val="fr-FR"/>
        </w:rPr>
        <w:t xml:space="preserve">. </w:t>
      </w:r>
      <w:r w:rsidR="00301FB5">
        <w:rPr>
          <w:lang w:val="fr-FR"/>
        </w:rPr>
        <w:t xml:space="preserve">Ils </w:t>
      </w:r>
      <w:r w:rsidR="00E362FE" w:rsidRPr="00E362FE">
        <w:rPr>
          <w:lang w:val="fr-FR"/>
        </w:rPr>
        <w:t>renvoie</w:t>
      </w:r>
      <w:r w:rsidR="00301FB5">
        <w:rPr>
          <w:lang w:val="fr-FR"/>
        </w:rPr>
        <w:t>nt</w:t>
      </w:r>
      <w:r w:rsidR="00E362FE" w:rsidRPr="00E362FE">
        <w:rPr>
          <w:lang w:val="fr-FR"/>
        </w:rPr>
        <w:t xml:space="preserve"> aux observations finales relatives au deuxième rapport périodique de </w:t>
      </w:r>
      <w:r w:rsidR="002D109C">
        <w:rPr>
          <w:lang w:val="fr-FR"/>
        </w:rPr>
        <w:t xml:space="preserve">l’Algérie au titre de l’article </w:t>
      </w:r>
      <w:r w:rsidR="00E362FE" w:rsidRPr="00E362FE">
        <w:rPr>
          <w:lang w:val="fr-FR"/>
        </w:rPr>
        <w:t>40 du Pacte</w:t>
      </w:r>
      <w:r w:rsidR="00E362FE" w:rsidRPr="00E362FE">
        <w:rPr>
          <w:vertAlign w:val="superscript"/>
          <w:lang w:val="fr-FR"/>
        </w:rPr>
        <w:footnoteReference w:id="13"/>
      </w:r>
      <w:r w:rsidR="00E362FE" w:rsidRPr="00E362FE">
        <w:rPr>
          <w:lang w:val="fr-FR"/>
        </w:rPr>
        <w:t xml:space="preserve">, le Comité ayant établi à cette occasion que les personnes disparues toujours en vie et détenues au secret voient leur droit à la reconnaissance de leur personnalité juridique, tel que consacré par </w:t>
      </w:r>
      <w:r w:rsidR="00E362FE">
        <w:rPr>
          <w:lang w:val="fr-FR"/>
        </w:rPr>
        <w:t>l’a</w:t>
      </w:r>
      <w:r w:rsidR="000E1F75">
        <w:rPr>
          <w:lang w:val="fr-FR"/>
        </w:rPr>
        <w:t xml:space="preserve">rticle 16 du Pacte, violé. </w:t>
      </w:r>
      <w:r w:rsidR="00301FB5">
        <w:rPr>
          <w:lang w:val="fr-FR"/>
        </w:rPr>
        <w:t xml:space="preserve">Ils </w:t>
      </w:r>
      <w:r w:rsidR="00FA1D56" w:rsidRPr="00FA1D56">
        <w:rPr>
          <w:lang w:val="fr-FR"/>
        </w:rPr>
        <w:t>soutien</w:t>
      </w:r>
      <w:r w:rsidR="00301FB5">
        <w:rPr>
          <w:lang w:val="fr-FR"/>
        </w:rPr>
        <w:t>nen</w:t>
      </w:r>
      <w:r w:rsidR="00FA1D56" w:rsidRPr="00FA1D56">
        <w:rPr>
          <w:lang w:val="fr-FR"/>
        </w:rPr>
        <w:t>t en conséquence q</w:t>
      </w:r>
      <w:r w:rsidR="00FA1D56">
        <w:rPr>
          <w:lang w:val="fr-FR"/>
        </w:rPr>
        <w:t xml:space="preserve">u’en maintenant </w:t>
      </w:r>
      <w:r w:rsidR="00301FB5" w:rsidRPr="00301FB5">
        <w:rPr>
          <w:lang w:val="fr-FR"/>
        </w:rPr>
        <w:t xml:space="preserve">Rabah </w:t>
      </w:r>
      <w:proofErr w:type="spellStart"/>
      <w:r w:rsidR="00301FB5" w:rsidRPr="00301FB5">
        <w:rPr>
          <w:lang w:val="fr-FR"/>
        </w:rPr>
        <w:t>Souaiene</w:t>
      </w:r>
      <w:proofErr w:type="spellEnd"/>
      <w:r w:rsidR="00FA1D56" w:rsidRPr="00FA1D56">
        <w:rPr>
          <w:lang w:val="fr-FR"/>
        </w:rPr>
        <w:t xml:space="preserve"> </w:t>
      </w:r>
      <w:r w:rsidR="00892CDB">
        <w:rPr>
          <w:lang w:val="fr-FR"/>
        </w:rPr>
        <w:t xml:space="preserve">en détention </w:t>
      </w:r>
      <w:r w:rsidR="00FA1D56" w:rsidRPr="00FA1D56">
        <w:rPr>
          <w:lang w:val="fr-FR"/>
        </w:rPr>
        <w:t xml:space="preserve">sans </w:t>
      </w:r>
      <w:r w:rsidR="00892CDB">
        <w:rPr>
          <w:lang w:val="fr-FR"/>
        </w:rPr>
        <w:t>en informer officiellement sa famille et ses proches</w:t>
      </w:r>
      <w:r w:rsidR="00FA1D56" w:rsidRPr="00FA1D56">
        <w:rPr>
          <w:lang w:val="fr-FR"/>
        </w:rPr>
        <w:t>, les autorités algériennes ont soustrait ce dernier à la protection de la loi et l’ont privé de son droit à la reconnaissance de sa personnalité juridique, en violation de l’article 16 du Pacte.</w:t>
      </w:r>
    </w:p>
    <w:p w14:paraId="501BEB3B" w14:textId="1B6123FB" w:rsidR="001D6FFA" w:rsidRPr="00410779" w:rsidRDefault="00301FB5" w:rsidP="005021B2">
      <w:pPr>
        <w:pStyle w:val="SingleTxtG"/>
      </w:pPr>
      <w:r>
        <w:t>3.10</w:t>
      </w:r>
      <w:r w:rsidR="007C1F1E">
        <w:tab/>
      </w:r>
      <w:r>
        <w:t xml:space="preserve">Les </w:t>
      </w:r>
      <w:r w:rsidR="00560141" w:rsidRPr="00560141">
        <w:t>auteur</w:t>
      </w:r>
      <w:r>
        <w:t>s</w:t>
      </w:r>
      <w:r w:rsidR="00560141" w:rsidRPr="00560141">
        <w:t xml:space="preserve"> demande</w:t>
      </w:r>
      <w:r>
        <w:t>nt</w:t>
      </w:r>
      <w:r w:rsidR="00560141" w:rsidRPr="00560141">
        <w:t xml:space="preserve"> au Comité</w:t>
      </w:r>
      <w:r w:rsidR="001D712E">
        <w:t xml:space="preserve"> : a) </w:t>
      </w:r>
      <w:r w:rsidR="00560141">
        <w:t>de constater que l’État partie</w:t>
      </w:r>
      <w:r w:rsidR="00560141" w:rsidRPr="00560141">
        <w:t xml:space="preserve"> a</w:t>
      </w:r>
      <w:r w:rsidR="00560141">
        <w:t xml:space="preserve"> violé les</w:t>
      </w:r>
      <w:r w:rsidR="001D712E">
        <w:t xml:space="preserve"> articles </w:t>
      </w:r>
      <w:r>
        <w:t>6, 7, 9, 10 et</w:t>
      </w:r>
      <w:r w:rsidR="00560141" w:rsidRPr="00560141">
        <w:t xml:space="preserve"> 16</w:t>
      </w:r>
      <w:r w:rsidR="00A81E40">
        <w:t xml:space="preserve"> </w:t>
      </w:r>
      <w:r w:rsidR="00560141" w:rsidRPr="00560141">
        <w:t>du Pacte à l’éga</w:t>
      </w:r>
      <w:r w:rsidR="00560141">
        <w:t xml:space="preserve">rd </w:t>
      </w:r>
      <w:r w:rsidR="00A81E40">
        <w:t xml:space="preserve">de </w:t>
      </w:r>
      <w:r w:rsidRPr="00301FB5">
        <w:t xml:space="preserve">Rabah </w:t>
      </w:r>
      <w:proofErr w:type="spellStart"/>
      <w:r w:rsidRPr="00301FB5">
        <w:t>Souaiene</w:t>
      </w:r>
      <w:proofErr w:type="spellEnd"/>
      <w:r w:rsidR="00A81E40">
        <w:t xml:space="preserve">, et les </w:t>
      </w:r>
      <w:r w:rsidR="001D712E">
        <w:t>article</w:t>
      </w:r>
      <w:r w:rsidR="00A81E40">
        <w:t>s</w:t>
      </w:r>
      <w:r w:rsidR="001D712E">
        <w:t xml:space="preserve"> 2 (par. </w:t>
      </w:r>
      <w:r w:rsidR="00560141" w:rsidRPr="00560141">
        <w:t>2</w:t>
      </w:r>
      <w:r w:rsidR="00560141">
        <w:t xml:space="preserve"> et 3</w:t>
      </w:r>
      <w:r w:rsidR="001D712E">
        <w:t xml:space="preserve">), </w:t>
      </w:r>
      <w:r w:rsidR="00560141" w:rsidRPr="00560141">
        <w:t>7</w:t>
      </w:r>
      <w:r>
        <w:t xml:space="preserve"> et</w:t>
      </w:r>
      <w:r w:rsidR="00A81E40">
        <w:t xml:space="preserve"> </w:t>
      </w:r>
      <w:r w:rsidR="00560141">
        <w:t>14</w:t>
      </w:r>
      <w:r w:rsidR="00560141" w:rsidRPr="00560141">
        <w:t xml:space="preserve"> du Pacte à l’égard de</w:t>
      </w:r>
      <w:r>
        <w:t>s</w:t>
      </w:r>
      <w:r w:rsidR="00560141" w:rsidRPr="00560141">
        <w:t xml:space="preserve"> auteur</w:t>
      </w:r>
      <w:r>
        <w:t>s</w:t>
      </w:r>
      <w:r w:rsidR="00AD1F5D">
        <w:t> ;</w:t>
      </w:r>
      <w:r w:rsidR="001D712E">
        <w:t xml:space="preserve"> </w:t>
      </w:r>
      <w:r w:rsidR="0046354A">
        <w:t xml:space="preserve">et </w:t>
      </w:r>
      <w:r w:rsidR="001D712E">
        <w:t xml:space="preserve">b) </w:t>
      </w:r>
      <w:r w:rsidR="00560141" w:rsidRPr="00560141">
        <w:t xml:space="preserve">de prier instamment </w:t>
      </w:r>
      <w:r w:rsidR="00892CDB">
        <w:t xml:space="preserve">à </w:t>
      </w:r>
      <w:r w:rsidR="00560141" w:rsidRPr="00560141">
        <w:t>l’État partie de respecter ses engagements internationaux et de donne</w:t>
      </w:r>
      <w:r w:rsidR="00892CDB">
        <w:t>r effet aux droits reconnus par</w:t>
      </w:r>
      <w:r w:rsidR="00560141" w:rsidRPr="00560141">
        <w:t xml:space="preserve"> le Pacte</w:t>
      </w:r>
      <w:r w:rsidR="00892CDB">
        <w:t xml:space="preserve"> et par</w:t>
      </w:r>
      <w:r w:rsidR="00560141" w:rsidRPr="00560141">
        <w:t xml:space="preserve"> l’ensemble des conventions internationales de protection des droits de l’</w:t>
      </w:r>
      <w:r w:rsidR="00560141">
        <w:t xml:space="preserve">homme ratifiées par l’Algérie. </w:t>
      </w:r>
      <w:r>
        <w:t xml:space="preserve">Ils </w:t>
      </w:r>
      <w:r w:rsidR="00560141" w:rsidRPr="00560141">
        <w:t>demande</w:t>
      </w:r>
      <w:r>
        <w:t>nt</w:t>
      </w:r>
      <w:r w:rsidR="00560141" w:rsidRPr="00560141">
        <w:t xml:space="preserve"> également au Comité de prier l’État partie d’ordonner des enquêtes indépendantes et impartiales en vue : a)</w:t>
      </w:r>
      <w:r w:rsidR="001D712E">
        <w:t xml:space="preserve"> </w:t>
      </w:r>
      <w:r w:rsidR="00560141" w:rsidRPr="00560141">
        <w:t xml:space="preserve">de retrouver </w:t>
      </w:r>
      <w:r w:rsidRPr="00301FB5">
        <w:t xml:space="preserve">Rabah </w:t>
      </w:r>
      <w:proofErr w:type="spellStart"/>
      <w:r w:rsidRPr="00301FB5">
        <w:t>Souaiene</w:t>
      </w:r>
      <w:proofErr w:type="spellEnd"/>
      <w:r w:rsidR="00560141" w:rsidRPr="00560141">
        <w:t xml:space="preserve"> et de respecter </w:t>
      </w:r>
      <w:r w:rsidR="00585D1F">
        <w:t>l’</w:t>
      </w:r>
      <w:r w:rsidR="00560141" w:rsidRPr="00560141">
        <w:t>engagement</w:t>
      </w:r>
      <w:r w:rsidR="00585D1F">
        <w:t xml:space="preserve"> de l’État partie</w:t>
      </w:r>
      <w:r w:rsidR="00560141" w:rsidRPr="00560141">
        <w:t xml:space="preserve"> aux termes de l’article</w:t>
      </w:r>
      <w:r w:rsidR="001D712E">
        <w:t xml:space="preserve"> </w:t>
      </w:r>
      <w:r w:rsidR="00560141" w:rsidRPr="00560141">
        <w:t>2 (par.</w:t>
      </w:r>
      <w:r w:rsidR="001D712E">
        <w:t xml:space="preserve"> </w:t>
      </w:r>
      <w:r w:rsidR="00560141" w:rsidRPr="00560141">
        <w:t>3) du Pacte ; b)</w:t>
      </w:r>
      <w:r w:rsidR="001D712E">
        <w:t xml:space="preserve"> </w:t>
      </w:r>
      <w:r w:rsidR="00560141" w:rsidRPr="00560141">
        <w:t xml:space="preserve">de déférer les auteurs </w:t>
      </w:r>
      <w:r w:rsidR="00892CDB">
        <w:t xml:space="preserve">matériels et intellectuels </w:t>
      </w:r>
      <w:r w:rsidR="00560141" w:rsidRPr="00560141">
        <w:t>de cette disparition forcée devant les autorités civiles compétentes pour fa</w:t>
      </w:r>
      <w:r w:rsidR="001D712E">
        <w:t xml:space="preserve">ire l’objet de poursuites </w:t>
      </w:r>
      <w:r w:rsidR="00560141" w:rsidRPr="00560141">
        <w:t>conformément à l’article</w:t>
      </w:r>
      <w:r w:rsidR="001D712E">
        <w:t xml:space="preserve"> </w:t>
      </w:r>
      <w:r w:rsidR="00560141" w:rsidRPr="00560141">
        <w:t>2 (par.</w:t>
      </w:r>
      <w:r w:rsidR="001D712E">
        <w:t xml:space="preserve"> </w:t>
      </w:r>
      <w:r w:rsidR="00560141" w:rsidRPr="00560141">
        <w:t>3) du Pacte ; et c)</w:t>
      </w:r>
      <w:r w:rsidR="001D712E">
        <w:t xml:space="preserve"> </w:t>
      </w:r>
      <w:r w:rsidR="00560141" w:rsidRPr="00560141">
        <w:t>d</w:t>
      </w:r>
      <w:r w:rsidR="00892CDB">
        <w:t>e garantir</w:t>
      </w:r>
      <w:r w:rsidR="00560141" w:rsidRPr="00560141">
        <w:t xml:space="preserve"> à </w:t>
      </w:r>
      <w:r w:rsidRPr="00301FB5">
        <w:t xml:space="preserve">Rabah </w:t>
      </w:r>
      <w:proofErr w:type="spellStart"/>
      <w:r w:rsidRPr="00301FB5">
        <w:t>Souaiene</w:t>
      </w:r>
      <w:proofErr w:type="spellEnd"/>
      <w:r w:rsidR="00560141" w:rsidRPr="00560141">
        <w:t>, s’il est encore en vie, ainsi qu’à sa famille</w:t>
      </w:r>
      <w:r w:rsidR="00731466">
        <w:t>, l’accès à</w:t>
      </w:r>
      <w:r w:rsidR="00560141" w:rsidRPr="00560141">
        <w:t xml:space="preserve"> une réparation adéquate, effective et rapide du préjudice subi, conformément aux articles</w:t>
      </w:r>
      <w:r w:rsidR="001D712E">
        <w:t xml:space="preserve"> 2 (p</w:t>
      </w:r>
      <w:r w:rsidR="00510AAE">
        <w:t>ar. </w:t>
      </w:r>
      <w:r w:rsidR="00560141" w:rsidRPr="00560141">
        <w:t xml:space="preserve">3) et </w:t>
      </w:r>
      <w:r w:rsidR="00560141">
        <w:t>9 du Pacte</w:t>
      </w:r>
      <w:r w:rsidR="00666DB7">
        <w:t xml:space="preserve">, incluant une indemnisation </w:t>
      </w:r>
      <w:r w:rsidR="00560141" w:rsidRPr="00560141">
        <w:t>appropriée et proportionn</w:t>
      </w:r>
      <w:r w:rsidR="00560141">
        <w:t>ée à la gravité de la violation</w:t>
      </w:r>
      <w:r w:rsidR="00AD1F5D">
        <w:t xml:space="preserve"> et</w:t>
      </w:r>
      <w:r w:rsidR="00666DB7">
        <w:t xml:space="preserve"> une </w:t>
      </w:r>
      <w:r w:rsidR="00560141">
        <w:t>réadaptation pleine et entière</w:t>
      </w:r>
      <w:r w:rsidR="0046354A" w:rsidRPr="0046354A">
        <w:t>, et des garanties de non-répétition</w:t>
      </w:r>
      <w:r w:rsidR="00560141">
        <w:t xml:space="preserve">. </w:t>
      </w:r>
      <w:r>
        <w:t xml:space="preserve">Ils </w:t>
      </w:r>
      <w:r w:rsidR="00560141" w:rsidRPr="00560141">
        <w:t>demande</w:t>
      </w:r>
      <w:r>
        <w:t>nt</w:t>
      </w:r>
      <w:r w:rsidR="00560141" w:rsidRPr="00560141">
        <w:t xml:space="preserve"> enfin au Comité d’enjoindre aux autorités algériennes d’abroger les articles</w:t>
      </w:r>
      <w:r w:rsidR="001D712E">
        <w:t xml:space="preserve"> </w:t>
      </w:r>
      <w:r w:rsidR="00560141" w:rsidRPr="00560141">
        <w:t>27 à 39, 45 et 46 de l’ordonnance n</w:t>
      </w:r>
      <w:r w:rsidR="00560141" w:rsidRPr="00560141">
        <w:rPr>
          <w:vertAlign w:val="superscript"/>
        </w:rPr>
        <w:t>o</w:t>
      </w:r>
      <w:r w:rsidR="001D712E">
        <w:t xml:space="preserve"> </w:t>
      </w:r>
      <w:r w:rsidR="00560141" w:rsidRPr="00560141">
        <w:t>06-01 portant mise en œuvre de la Charte pour la paix et la réconciliation nationale</w:t>
      </w:r>
      <w:r w:rsidR="00560141">
        <w:t>, ainsi que l’article 2 de l’ordonnance n</w:t>
      </w:r>
      <w:r w:rsidR="00560141" w:rsidRPr="00560141">
        <w:rPr>
          <w:vertAlign w:val="superscript"/>
        </w:rPr>
        <w:t>o</w:t>
      </w:r>
      <w:r w:rsidR="00560141">
        <w:t xml:space="preserve"> 06-94 </w:t>
      </w:r>
      <w:r w:rsidR="00560141" w:rsidRPr="00560141">
        <w:t>portant mise en œuvre de la Charte pour la paix et la réconciliation nationale.</w:t>
      </w:r>
    </w:p>
    <w:p w14:paraId="5A1C1511" w14:textId="77777777" w:rsidR="00B16156" w:rsidRPr="00B16156" w:rsidRDefault="001278AF" w:rsidP="00B16156">
      <w:pPr>
        <w:pStyle w:val="H23G"/>
        <w:rPr>
          <w:lang w:val="fr-FR"/>
        </w:rPr>
      </w:pPr>
      <w:r>
        <w:tab/>
      </w:r>
      <w:r>
        <w:tab/>
      </w:r>
      <w:r w:rsidR="00B16156" w:rsidRPr="00B16156">
        <w:rPr>
          <w:lang w:val="fr-FR"/>
        </w:rPr>
        <w:t>Obser</w:t>
      </w:r>
      <w:r w:rsidR="00672B49">
        <w:rPr>
          <w:lang w:val="fr-FR"/>
        </w:rPr>
        <w:t>vations de l’État partie</w:t>
      </w:r>
    </w:p>
    <w:p w14:paraId="026116D4" w14:textId="77777777" w:rsidR="007276E8" w:rsidRPr="00F365D1" w:rsidRDefault="001D712E" w:rsidP="00BE493D">
      <w:pPr>
        <w:pStyle w:val="SingleTxtG"/>
        <w:rPr>
          <w:lang w:val="fr-FR"/>
        </w:rPr>
      </w:pPr>
      <w:r>
        <w:rPr>
          <w:lang w:val="fr-FR"/>
        </w:rPr>
        <w:t>4.</w:t>
      </w:r>
      <w:r w:rsidR="007276E8">
        <w:rPr>
          <w:lang w:val="fr-FR"/>
        </w:rPr>
        <w:tab/>
        <w:t>Le 9 avril</w:t>
      </w:r>
      <w:r w:rsidR="00B16156">
        <w:rPr>
          <w:lang w:val="fr-FR"/>
        </w:rPr>
        <w:t xml:space="preserve"> 201</w:t>
      </w:r>
      <w:r w:rsidR="007276E8">
        <w:rPr>
          <w:lang w:val="fr-FR"/>
        </w:rPr>
        <w:t>8</w:t>
      </w:r>
      <w:r w:rsidR="00B16156" w:rsidRPr="00B16156">
        <w:rPr>
          <w:lang w:val="fr-FR"/>
        </w:rPr>
        <w:t xml:space="preserve">, </w:t>
      </w:r>
      <w:r w:rsidR="00E52E4F">
        <w:rPr>
          <w:lang w:val="fr-FR"/>
        </w:rPr>
        <w:t>l’État partie</w:t>
      </w:r>
      <w:r w:rsidR="00E52E4F" w:rsidRPr="00E52E4F">
        <w:rPr>
          <w:lang w:val="fr-FR"/>
        </w:rPr>
        <w:t xml:space="preserve"> a invité le Comité à se ré</w:t>
      </w:r>
      <w:r w:rsidR="00731466">
        <w:rPr>
          <w:lang w:val="fr-FR"/>
        </w:rPr>
        <w:t>férer au mémorandum</w:t>
      </w:r>
      <w:r w:rsidR="00E52E4F" w:rsidRPr="00E52E4F">
        <w:rPr>
          <w:lang w:val="fr-FR"/>
        </w:rPr>
        <w:t xml:space="preserve"> sur l’irrecevabilité des communications </w:t>
      </w:r>
      <w:r w:rsidR="00731466">
        <w:rPr>
          <w:lang w:val="fr-FR"/>
        </w:rPr>
        <w:t>présentées</w:t>
      </w:r>
      <w:r w:rsidR="00E52E4F" w:rsidRPr="00E52E4F">
        <w:rPr>
          <w:lang w:val="fr-FR"/>
        </w:rPr>
        <w:t xml:space="preserve"> </w:t>
      </w:r>
      <w:r w:rsidR="00731466">
        <w:rPr>
          <w:lang w:val="fr-FR"/>
        </w:rPr>
        <w:t xml:space="preserve">au </w:t>
      </w:r>
      <w:r w:rsidR="00E52E4F" w:rsidRPr="00E52E4F">
        <w:rPr>
          <w:lang w:val="fr-FR"/>
        </w:rPr>
        <w:t>Comité en rapport avec la mise en œuvre de la Charte pour la paix et la réconciliation nationale.</w:t>
      </w:r>
      <w:r w:rsidR="00F2328C" w:rsidRPr="00F2328C">
        <w:t xml:space="preserve"> </w:t>
      </w:r>
      <w:r w:rsidR="00F2328C" w:rsidRPr="00F2328C">
        <w:rPr>
          <w:lang w:val="fr-FR"/>
        </w:rPr>
        <w:t>Le Comité ayant refusé que la recevabilité de la requête soit examinée séparémen</w:t>
      </w:r>
      <w:r w:rsidR="00F2328C">
        <w:rPr>
          <w:lang w:val="fr-FR"/>
        </w:rPr>
        <w:t xml:space="preserve">t du fond, l’État partie a, le 4 octobre </w:t>
      </w:r>
      <w:r w:rsidR="00F2328C" w:rsidRPr="00F2328C">
        <w:rPr>
          <w:lang w:val="fr-FR"/>
        </w:rPr>
        <w:t>201</w:t>
      </w:r>
      <w:r w:rsidR="00F2328C">
        <w:rPr>
          <w:lang w:val="fr-FR"/>
        </w:rPr>
        <w:t>8</w:t>
      </w:r>
      <w:r w:rsidR="00F2328C" w:rsidRPr="00F2328C">
        <w:rPr>
          <w:lang w:val="fr-FR"/>
        </w:rPr>
        <w:t>, invité à nouveau le Comité à se référer au mémorandum de référence contestant la recevabilité devant le Comité des communications en rapport avec la mise en œuvre de la Charte pour la paix et la réconciliation nationale et, par conséquent, à ne pas se pencher sur le fond.</w:t>
      </w:r>
    </w:p>
    <w:p w14:paraId="61B57AD6" w14:textId="6EDE9F9B" w:rsidR="007276E8" w:rsidRPr="00B16156" w:rsidRDefault="007276E8" w:rsidP="00BE493D">
      <w:pPr>
        <w:pStyle w:val="H23G"/>
        <w:rPr>
          <w:lang w:val="fr-FR"/>
        </w:rPr>
      </w:pPr>
      <w:r w:rsidRPr="00B16156">
        <w:rPr>
          <w:lang w:val="fr-FR"/>
        </w:rPr>
        <w:tab/>
      </w:r>
      <w:r w:rsidR="00BE493D">
        <w:rPr>
          <w:lang w:val="fr-FR"/>
        </w:rPr>
        <w:tab/>
      </w:r>
      <w:r w:rsidRPr="00B16156">
        <w:rPr>
          <w:lang w:val="fr-FR"/>
        </w:rPr>
        <w:t>Commentaires de</w:t>
      </w:r>
      <w:r>
        <w:rPr>
          <w:lang w:val="fr-FR"/>
        </w:rPr>
        <w:t xml:space="preserve">s </w:t>
      </w:r>
      <w:r w:rsidRPr="00B16156">
        <w:rPr>
          <w:lang w:val="fr-FR"/>
        </w:rPr>
        <w:t>auteur</w:t>
      </w:r>
      <w:r>
        <w:rPr>
          <w:lang w:val="fr-FR"/>
        </w:rPr>
        <w:t>s</w:t>
      </w:r>
      <w:r w:rsidRPr="00B16156">
        <w:rPr>
          <w:lang w:val="fr-FR"/>
        </w:rPr>
        <w:t xml:space="preserve"> sur les observations de l’État partie</w:t>
      </w:r>
    </w:p>
    <w:p w14:paraId="0A3649F3" w14:textId="77777777" w:rsidR="007276E8" w:rsidRDefault="007276E8" w:rsidP="00BE493D">
      <w:pPr>
        <w:pStyle w:val="SingleTxtG"/>
        <w:rPr>
          <w:b/>
          <w:lang w:val="fr-FR"/>
        </w:rPr>
      </w:pPr>
      <w:r>
        <w:rPr>
          <w:lang w:val="fr-FR"/>
        </w:rPr>
        <w:t>5</w:t>
      </w:r>
      <w:r w:rsidRPr="00B16156">
        <w:rPr>
          <w:lang w:val="fr-FR"/>
        </w:rPr>
        <w:t>.1</w:t>
      </w:r>
      <w:r w:rsidRPr="00B16156">
        <w:rPr>
          <w:lang w:val="fr-FR"/>
        </w:rPr>
        <w:tab/>
        <w:t xml:space="preserve">Le </w:t>
      </w:r>
      <w:r w:rsidR="00C111F7">
        <w:rPr>
          <w:lang w:val="fr-FR"/>
        </w:rPr>
        <w:t>30 juin</w:t>
      </w:r>
      <w:r>
        <w:rPr>
          <w:lang w:val="fr-FR"/>
        </w:rPr>
        <w:t xml:space="preserve"> 2018, les </w:t>
      </w:r>
      <w:r w:rsidRPr="00B16156">
        <w:rPr>
          <w:lang w:val="fr-FR"/>
        </w:rPr>
        <w:t>auteur</w:t>
      </w:r>
      <w:r>
        <w:rPr>
          <w:lang w:val="fr-FR"/>
        </w:rPr>
        <w:t>s</w:t>
      </w:r>
      <w:r w:rsidRPr="00B16156">
        <w:rPr>
          <w:lang w:val="fr-FR"/>
        </w:rPr>
        <w:t xml:space="preserve"> </w:t>
      </w:r>
      <w:r>
        <w:rPr>
          <w:lang w:val="fr-FR"/>
        </w:rPr>
        <w:t xml:space="preserve">ont </w:t>
      </w:r>
      <w:r w:rsidRPr="00B16156">
        <w:rPr>
          <w:lang w:val="fr-FR"/>
        </w:rPr>
        <w:t>soumis des commentaires sur les observations de l’État partie</w:t>
      </w:r>
      <w:r>
        <w:rPr>
          <w:lang w:val="fr-FR"/>
        </w:rPr>
        <w:t xml:space="preserve"> sur la recevabilité</w:t>
      </w:r>
      <w:r w:rsidRPr="00B16156">
        <w:rPr>
          <w:lang w:val="fr-FR"/>
        </w:rPr>
        <w:t>.</w:t>
      </w:r>
      <w:r>
        <w:rPr>
          <w:lang w:val="fr-FR"/>
        </w:rPr>
        <w:t xml:space="preserve"> Ils </w:t>
      </w:r>
      <w:r w:rsidRPr="00AE1EC1">
        <w:rPr>
          <w:lang w:val="fr-FR"/>
        </w:rPr>
        <w:t>souligne</w:t>
      </w:r>
      <w:r>
        <w:rPr>
          <w:lang w:val="fr-FR"/>
        </w:rPr>
        <w:t>nt</w:t>
      </w:r>
      <w:r w:rsidRPr="00AE1EC1">
        <w:rPr>
          <w:lang w:val="fr-FR"/>
        </w:rPr>
        <w:t xml:space="preserve"> que </w:t>
      </w:r>
      <w:r>
        <w:rPr>
          <w:lang w:val="fr-FR"/>
        </w:rPr>
        <w:t>c</w:t>
      </w:r>
      <w:r w:rsidRPr="00AE1EC1">
        <w:rPr>
          <w:lang w:val="fr-FR"/>
        </w:rPr>
        <w:t xml:space="preserve">es observations s’adressent </w:t>
      </w:r>
      <w:r>
        <w:rPr>
          <w:lang w:val="fr-FR"/>
        </w:rPr>
        <w:t xml:space="preserve">au </w:t>
      </w:r>
      <w:r w:rsidRPr="00AE1EC1">
        <w:rPr>
          <w:lang w:val="fr-FR"/>
        </w:rPr>
        <w:t>Groupe de travail sur les disparitions forcées ou involontaires</w:t>
      </w:r>
      <w:r>
        <w:rPr>
          <w:lang w:val="fr-FR"/>
        </w:rPr>
        <w:t xml:space="preserve"> et ne répondent pas à la présente plainte. En ce sens, ils soulignent que </w:t>
      </w:r>
      <w:r w:rsidRPr="00BE493D">
        <w:t>les</w:t>
      </w:r>
      <w:r>
        <w:rPr>
          <w:lang w:val="fr-FR"/>
        </w:rPr>
        <w:t xml:space="preserve"> observations </w:t>
      </w:r>
      <w:r w:rsidRPr="00AE1EC1">
        <w:rPr>
          <w:lang w:val="fr-FR"/>
        </w:rPr>
        <w:t>ne font nullement mention de la recevabilité de la communication, des spécificités de l’affaire</w:t>
      </w:r>
      <w:r>
        <w:rPr>
          <w:lang w:val="fr-FR"/>
        </w:rPr>
        <w:t>,</w:t>
      </w:r>
      <w:r w:rsidRPr="00AE1EC1">
        <w:rPr>
          <w:lang w:val="fr-FR"/>
        </w:rPr>
        <w:t xml:space="preserve"> ou des recours introduits par la famille de la victime, </w:t>
      </w:r>
      <w:r>
        <w:rPr>
          <w:lang w:val="fr-FR"/>
        </w:rPr>
        <w:t>soulignant</w:t>
      </w:r>
      <w:r w:rsidRPr="00AE1EC1">
        <w:rPr>
          <w:lang w:val="fr-FR"/>
        </w:rPr>
        <w:t xml:space="preserve"> le manque de sérieux et le mépris des autorités algériennes pour </w:t>
      </w:r>
      <w:r>
        <w:rPr>
          <w:lang w:val="fr-FR"/>
        </w:rPr>
        <w:t>la</w:t>
      </w:r>
      <w:r w:rsidRPr="00AE1EC1">
        <w:rPr>
          <w:lang w:val="fr-FR"/>
        </w:rPr>
        <w:t xml:space="preserve"> procédure</w:t>
      </w:r>
      <w:r>
        <w:rPr>
          <w:lang w:val="fr-FR"/>
        </w:rPr>
        <w:t xml:space="preserve"> en cours devant le Comité</w:t>
      </w:r>
      <w:r w:rsidRPr="00AE1EC1">
        <w:rPr>
          <w:lang w:val="fr-FR"/>
        </w:rPr>
        <w:t>.</w:t>
      </w:r>
      <w:r>
        <w:rPr>
          <w:lang w:val="fr-FR"/>
        </w:rPr>
        <w:t xml:space="preserve"> Ils soumettent également le caractère</w:t>
      </w:r>
      <w:r w:rsidRPr="00AE1EC1">
        <w:rPr>
          <w:lang w:val="fr-FR"/>
        </w:rPr>
        <w:t xml:space="preserve"> obsolète</w:t>
      </w:r>
      <w:r>
        <w:rPr>
          <w:lang w:val="fr-FR"/>
        </w:rPr>
        <w:t xml:space="preserve"> de ces observations, qui datent de juillet 2009.</w:t>
      </w:r>
    </w:p>
    <w:p w14:paraId="5FBFB077" w14:textId="77777777" w:rsidR="007276E8" w:rsidRDefault="007276E8" w:rsidP="00BE493D">
      <w:pPr>
        <w:pStyle w:val="SingleTxtG"/>
      </w:pPr>
      <w:r>
        <w:rPr>
          <w:lang w:val="fr-FR"/>
        </w:rPr>
        <w:t>5.2</w:t>
      </w:r>
      <w:r>
        <w:rPr>
          <w:lang w:val="fr-FR"/>
        </w:rPr>
        <w:tab/>
      </w:r>
      <w:r w:rsidRPr="00AE1EC1">
        <w:rPr>
          <w:lang w:val="fr-FR"/>
        </w:rPr>
        <w:t xml:space="preserve">Rappelant qu’aucun recours n’a abouti à l’ouverture d’une enquête diligente ou à des poursuites pénales et que les autorités algériennes n’ont apporté aucun élément tangible laissant penser que des recherches effectives </w:t>
      </w:r>
      <w:r>
        <w:rPr>
          <w:lang w:val="fr-FR"/>
        </w:rPr>
        <w:t>aient</w:t>
      </w:r>
      <w:r w:rsidRPr="00AE1EC1">
        <w:rPr>
          <w:lang w:val="fr-FR"/>
        </w:rPr>
        <w:t xml:space="preserve"> été engagées pour retrouver </w:t>
      </w:r>
      <w:r w:rsidR="00C111F7" w:rsidRPr="00C111F7">
        <w:rPr>
          <w:lang w:val="fr-FR"/>
        </w:rPr>
        <w:t xml:space="preserve">Rabah </w:t>
      </w:r>
      <w:proofErr w:type="spellStart"/>
      <w:r w:rsidR="00C111F7" w:rsidRPr="00C111F7">
        <w:rPr>
          <w:lang w:val="fr-FR"/>
        </w:rPr>
        <w:lastRenderedPageBreak/>
        <w:t>Souaiene</w:t>
      </w:r>
      <w:proofErr w:type="spellEnd"/>
      <w:r w:rsidRPr="00AE1EC1">
        <w:rPr>
          <w:lang w:val="fr-FR"/>
        </w:rPr>
        <w:t xml:space="preserve"> et identifier les re</w:t>
      </w:r>
      <w:r>
        <w:rPr>
          <w:lang w:val="fr-FR"/>
        </w:rPr>
        <w:t>sponsables de sa disparition, les auteurs concluent</w:t>
      </w:r>
      <w:r w:rsidRPr="00AE1EC1">
        <w:rPr>
          <w:lang w:val="fr-FR"/>
        </w:rPr>
        <w:t xml:space="preserve"> que les voies de recours internes ont été épuisées et que la requête doit être considéré</w:t>
      </w:r>
      <w:r>
        <w:rPr>
          <w:lang w:val="fr-FR"/>
        </w:rPr>
        <w:t>e comme recevable par le Comité</w:t>
      </w:r>
      <w:r w:rsidRPr="00E22988">
        <w:t>.</w:t>
      </w:r>
    </w:p>
    <w:p w14:paraId="57E1A01E" w14:textId="77777777" w:rsidR="007276E8" w:rsidRDefault="007276E8" w:rsidP="00C111F7">
      <w:pPr>
        <w:pStyle w:val="SingleTxtG"/>
        <w:rPr>
          <w:lang w:val="fr-FR"/>
        </w:rPr>
      </w:pPr>
      <w:r>
        <w:t>5.3</w:t>
      </w:r>
      <w:r>
        <w:tab/>
      </w:r>
      <w:r w:rsidRPr="00AE1EC1">
        <w:t>En se référant à la jurisprudence du Comité selon laquelle la Charte pour la paix et la réconciliation nationale ne peut être opposée aux individus soumettant un</w:t>
      </w:r>
      <w:r>
        <w:t>e communication individuelle, les auteurs</w:t>
      </w:r>
      <w:r w:rsidRPr="00AE1EC1">
        <w:t xml:space="preserve"> rappelle</w:t>
      </w:r>
      <w:r>
        <w:t>nt</w:t>
      </w:r>
      <w:r w:rsidRPr="00AE1EC1">
        <w:t xml:space="preserve"> que les dispositions de la Charte ne représentent en rien une prise en charge adéquate du dossier des disparus, qui supposerait le respect du droit à la vérité, à la justice et à la réparation pleine et entière.</w:t>
      </w:r>
    </w:p>
    <w:p w14:paraId="05C88567" w14:textId="77777777" w:rsidR="00F572EE" w:rsidRPr="001278AF" w:rsidRDefault="00F572EE" w:rsidP="00F572EE">
      <w:pPr>
        <w:pStyle w:val="H23G"/>
      </w:pPr>
      <w:r>
        <w:tab/>
      </w:r>
      <w:r>
        <w:tab/>
      </w:r>
      <w:r w:rsidRPr="001278AF">
        <w:t xml:space="preserve">Défaut </w:t>
      </w:r>
      <w:r>
        <w:t>de coopération de l’État partie</w:t>
      </w:r>
    </w:p>
    <w:p w14:paraId="78B28679" w14:textId="77777777" w:rsidR="00F572EE" w:rsidRPr="0088574B" w:rsidRDefault="001919E8" w:rsidP="00F572EE">
      <w:pPr>
        <w:pStyle w:val="SingleTxtG"/>
        <w:rPr>
          <w:spacing w:val="-2"/>
        </w:rPr>
      </w:pPr>
      <w:r w:rsidRPr="0088574B">
        <w:rPr>
          <w:spacing w:val="-2"/>
        </w:rPr>
        <w:t>6</w:t>
      </w:r>
      <w:r w:rsidR="00F572EE" w:rsidRPr="0088574B">
        <w:rPr>
          <w:spacing w:val="-2"/>
        </w:rPr>
        <w:t>.</w:t>
      </w:r>
      <w:r w:rsidR="00F572EE" w:rsidRPr="0088574B">
        <w:rPr>
          <w:spacing w:val="-2"/>
        </w:rPr>
        <w:tab/>
      </w:r>
      <w:r w:rsidR="00E52E4F" w:rsidRPr="0088574B">
        <w:rPr>
          <w:spacing w:val="-2"/>
        </w:rPr>
        <w:t xml:space="preserve">Le Comité rappelle que </w:t>
      </w:r>
      <w:r w:rsidR="00656E63" w:rsidRPr="0088574B">
        <w:rPr>
          <w:spacing w:val="-2"/>
        </w:rPr>
        <w:t xml:space="preserve">le 9 avril </w:t>
      </w:r>
      <w:r w:rsidR="00E52E4F" w:rsidRPr="0088574B">
        <w:rPr>
          <w:spacing w:val="-2"/>
        </w:rPr>
        <w:t>201</w:t>
      </w:r>
      <w:r w:rsidR="00656E63" w:rsidRPr="0088574B">
        <w:rPr>
          <w:spacing w:val="-2"/>
        </w:rPr>
        <w:t>8</w:t>
      </w:r>
      <w:r w:rsidR="00E52E4F" w:rsidRPr="0088574B">
        <w:rPr>
          <w:spacing w:val="-2"/>
        </w:rPr>
        <w:t xml:space="preserve">, l’État partie a contesté la recevabilité de la communication en faisant référence à son « Mémorandum de référence du Gouvernement algérien sur le traitement de la question des disparitions à la lumière de la mise en œuvre de la Charte pour la Paix et la Réconciliation Nationale ». Les </w:t>
      </w:r>
      <w:r w:rsidR="00656E63" w:rsidRPr="0088574B">
        <w:rPr>
          <w:spacing w:val="-2"/>
        </w:rPr>
        <w:t xml:space="preserve">17 septembre </w:t>
      </w:r>
      <w:r w:rsidR="00E52E4F" w:rsidRPr="0088574B">
        <w:rPr>
          <w:spacing w:val="-2"/>
        </w:rPr>
        <w:t>201</w:t>
      </w:r>
      <w:r w:rsidR="00656E63" w:rsidRPr="0088574B">
        <w:rPr>
          <w:spacing w:val="-2"/>
        </w:rPr>
        <w:t>8, 14 décembre</w:t>
      </w:r>
      <w:r w:rsidR="00E52E4F" w:rsidRPr="0088574B">
        <w:rPr>
          <w:spacing w:val="-2"/>
        </w:rPr>
        <w:t xml:space="preserve"> 2018 et </w:t>
      </w:r>
      <w:r w:rsidR="00656E63" w:rsidRPr="0088574B">
        <w:rPr>
          <w:spacing w:val="-2"/>
        </w:rPr>
        <w:t xml:space="preserve">29 mai </w:t>
      </w:r>
      <w:r w:rsidR="00E52E4F" w:rsidRPr="0088574B">
        <w:rPr>
          <w:spacing w:val="-2"/>
        </w:rPr>
        <w:t>201</w:t>
      </w:r>
      <w:r w:rsidR="00656E63" w:rsidRPr="0088574B">
        <w:rPr>
          <w:spacing w:val="-2"/>
        </w:rPr>
        <w:t>9</w:t>
      </w:r>
      <w:r w:rsidR="00E52E4F" w:rsidRPr="0088574B">
        <w:rPr>
          <w:spacing w:val="-2"/>
        </w:rPr>
        <w:t>, l’État partie a été invité à présenter ses observations</w:t>
      </w:r>
      <w:r w:rsidR="003B3F53" w:rsidRPr="0088574B">
        <w:rPr>
          <w:spacing w:val="-2"/>
        </w:rPr>
        <w:t xml:space="preserve"> sur</w:t>
      </w:r>
      <w:r w:rsidR="00E52E4F" w:rsidRPr="0088574B">
        <w:rPr>
          <w:spacing w:val="-2"/>
        </w:rPr>
        <w:t xml:space="preserve"> le fond de la communication. Le Comité note qu’il n’a reçu aucune réponse et regrette l’absence de collaboration de l’État partie pour partager ses observations sur la présente plainte. Conformément au paragraphe 2 de l’article 4 du Protocole facultatif, l’État partie est tenu d’enquêter de bonne foi sur toutes les allégations de violations du Pacte portées contre lui et ses représentants, et de transmettre au Comité les renseignements qu’il détient</w:t>
      </w:r>
      <w:r w:rsidR="00E52E4F" w:rsidRPr="0088574B">
        <w:rPr>
          <w:spacing w:val="-2"/>
          <w:vertAlign w:val="superscript"/>
        </w:rPr>
        <w:footnoteReference w:id="14"/>
      </w:r>
      <w:r w:rsidR="00E52E4F" w:rsidRPr="0088574B">
        <w:rPr>
          <w:spacing w:val="-2"/>
        </w:rPr>
        <w:t>.</w:t>
      </w:r>
    </w:p>
    <w:p w14:paraId="73DDC9CA" w14:textId="1520FD2D" w:rsidR="00410779" w:rsidRPr="00410779" w:rsidRDefault="00F572EE" w:rsidP="00F572EE">
      <w:pPr>
        <w:pStyle w:val="H23G"/>
        <w:rPr>
          <w:lang w:val="fr-FR"/>
        </w:rPr>
      </w:pPr>
      <w:r w:rsidRPr="00410779">
        <w:rPr>
          <w:lang w:val="fr-FR"/>
        </w:rPr>
        <w:tab/>
      </w:r>
      <w:r w:rsidRPr="00410779">
        <w:rPr>
          <w:lang w:val="fr-FR"/>
        </w:rPr>
        <w:tab/>
      </w:r>
      <w:r w:rsidR="00410779" w:rsidRPr="00410779">
        <w:rPr>
          <w:lang w:val="fr-FR"/>
        </w:rPr>
        <w:t>Délibérations du Comité</w:t>
      </w:r>
    </w:p>
    <w:p w14:paraId="1E9331B6" w14:textId="2D9D6EE8" w:rsidR="00410779" w:rsidRPr="00410779" w:rsidRDefault="00410779" w:rsidP="00212F86">
      <w:pPr>
        <w:pStyle w:val="H4G"/>
        <w:ind w:firstLine="0"/>
        <w:rPr>
          <w:lang w:val="fr-FR"/>
        </w:rPr>
      </w:pPr>
      <w:r w:rsidRPr="00410779">
        <w:rPr>
          <w:lang w:val="fr-FR"/>
        </w:rPr>
        <w:t>Examen de la recevabilité</w:t>
      </w:r>
    </w:p>
    <w:p w14:paraId="0FE6D92E" w14:textId="77777777" w:rsidR="00410779" w:rsidRPr="00410779" w:rsidRDefault="001919E8" w:rsidP="0088574B">
      <w:pPr>
        <w:pStyle w:val="SingleTxtG"/>
        <w:spacing w:line="234" w:lineRule="atLeast"/>
        <w:rPr>
          <w:lang w:val="fr-FR"/>
        </w:rPr>
      </w:pPr>
      <w:r>
        <w:rPr>
          <w:lang w:val="fr-FR"/>
        </w:rPr>
        <w:t>7</w:t>
      </w:r>
      <w:r w:rsidR="00410779" w:rsidRPr="00410779">
        <w:rPr>
          <w:lang w:val="fr-FR"/>
        </w:rPr>
        <w:t>.1</w:t>
      </w:r>
      <w:r w:rsidR="00410779" w:rsidRPr="00410779">
        <w:rPr>
          <w:lang w:val="fr-FR"/>
        </w:rPr>
        <w:tab/>
      </w:r>
      <w:r w:rsidR="006966BC" w:rsidRPr="006966BC">
        <w:rPr>
          <w:lang w:val="fr-FR"/>
        </w:rPr>
        <w:t xml:space="preserve">Avant d’examiner toute </w:t>
      </w:r>
      <w:r w:rsidR="006966BC" w:rsidRPr="00BE493D">
        <w:t>plainte</w:t>
      </w:r>
      <w:r w:rsidR="006966BC" w:rsidRPr="006966BC">
        <w:rPr>
          <w:lang w:val="fr-FR"/>
        </w:rPr>
        <w:t xml:space="preserve"> soumise dans une communication, le Comité doit, conformément à l’article </w:t>
      </w:r>
      <w:r w:rsidR="003553A0">
        <w:rPr>
          <w:lang w:val="fr-FR"/>
        </w:rPr>
        <w:t>97</w:t>
      </w:r>
      <w:r w:rsidR="003553A0" w:rsidRPr="006966BC">
        <w:rPr>
          <w:lang w:val="fr-FR"/>
        </w:rPr>
        <w:t xml:space="preserve"> </w:t>
      </w:r>
      <w:r w:rsidR="006966BC" w:rsidRPr="006966BC">
        <w:rPr>
          <w:lang w:val="fr-FR"/>
        </w:rPr>
        <w:t>de son règlement intérieur, déterminer si la communication est recevable en vertu du Protocole facultatif.</w:t>
      </w:r>
    </w:p>
    <w:p w14:paraId="262666D2" w14:textId="77777777" w:rsidR="00410779" w:rsidRDefault="001919E8" w:rsidP="0088574B">
      <w:pPr>
        <w:pStyle w:val="SingleTxtG"/>
        <w:spacing w:line="234" w:lineRule="atLeast"/>
        <w:rPr>
          <w:lang w:val="fr-FR"/>
        </w:rPr>
      </w:pPr>
      <w:r>
        <w:rPr>
          <w:lang w:val="fr-FR"/>
        </w:rPr>
        <w:t>7</w:t>
      </w:r>
      <w:r w:rsidR="00410779" w:rsidRPr="00410779">
        <w:rPr>
          <w:lang w:val="fr-FR"/>
        </w:rPr>
        <w:t>.2</w:t>
      </w:r>
      <w:r w:rsidR="00410779" w:rsidRPr="00410779">
        <w:rPr>
          <w:lang w:val="fr-FR"/>
        </w:rPr>
        <w:tab/>
      </w:r>
      <w:r w:rsidR="00347037" w:rsidRPr="00347037">
        <w:rPr>
          <w:lang w:val="fr-FR"/>
        </w:rPr>
        <w:t>Le Comité s’est assuré, comme il est tenu de le fai</w:t>
      </w:r>
      <w:r w:rsidR="00CC1AE8">
        <w:rPr>
          <w:lang w:val="fr-FR"/>
        </w:rPr>
        <w:t>re conformément au paragraphe 2 </w:t>
      </w:r>
      <w:r w:rsidR="00347037" w:rsidRPr="00347037">
        <w:rPr>
          <w:lang w:val="fr-FR"/>
        </w:rPr>
        <w:t xml:space="preserve">a) de l’article 5 du Protocole facultatif, que la même question n’était pas déjà en cours d’examen devant une autre instance </w:t>
      </w:r>
      <w:r w:rsidR="00347037" w:rsidRPr="00BE493D">
        <w:t>internationale</w:t>
      </w:r>
      <w:r w:rsidR="00347037" w:rsidRPr="00347037">
        <w:rPr>
          <w:lang w:val="fr-FR"/>
        </w:rPr>
        <w:t xml:space="preserve"> d’enquête ou de règlement. Le Comité note que la disparition a été signalée au Groupe de travail sur les disparitions forcées ou involontaires. Toutefois, le Comité rappelle que les procédures ou mécanismes extraconventionnels du Conseil des droits de l’homme dont les mandats consistent à examiner et à faire rapport publiquement sur la situation des droits de l’homme dans un pays ou un territoire, ou sur des phénomènes de grande ampleur de violation des droits de l’homme dans le monde, ne relèvent généralement pas d’une procédure internationale d’enquête ou de règlement au sens </w:t>
      </w:r>
      <w:r w:rsidR="00BD75F3">
        <w:rPr>
          <w:lang w:val="fr-FR"/>
        </w:rPr>
        <w:t xml:space="preserve">du paragraphe 2 a) de l’article </w:t>
      </w:r>
      <w:r w:rsidR="00347037" w:rsidRPr="00347037">
        <w:rPr>
          <w:lang w:val="fr-FR"/>
        </w:rPr>
        <w:t>5 du Protocole facultatif</w:t>
      </w:r>
      <w:r w:rsidR="00347037" w:rsidRPr="00347037">
        <w:rPr>
          <w:vertAlign w:val="superscript"/>
        </w:rPr>
        <w:footnoteReference w:id="15"/>
      </w:r>
      <w:r w:rsidR="00347037" w:rsidRPr="00347037">
        <w:rPr>
          <w:lang w:val="fr-FR"/>
        </w:rPr>
        <w:t>. En conséquence, le Comité estime que l’examen du cas</w:t>
      </w:r>
      <w:r w:rsidR="00BF02AC">
        <w:rPr>
          <w:lang w:val="fr-FR"/>
        </w:rPr>
        <w:t xml:space="preserve"> de</w:t>
      </w:r>
      <w:r w:rsidR="00347037" w:rsidRPr="00347037">
        <w:rPr>
          <w:lang w:val="fr-FR"/>
        </w:rPr>
        <w:t xml:space="preserve"> </w:t>
      </w:r>
      <w:r w:rsidRPr="001919E8">
        <w:rPr>
          <w:lang w:val="fr-FR"/>
        </w:rPr>
        <w:t xml:space="preserve">Rabah </w:t>
      </w:r>
      <w:proofErr w:type="spellStart"/>
      <w:r w:rsidRPr="001919E8">
        <w:rPr>
          <w:lang w:val="fr-FR"/>
        </w:rPr>
        <w:t>Souaiene</w:t>
      </w:r>
      <w:proofErr w:type="spellEnd"/>
      <w:r w:rsidR="00347037" w:rsidRPr="00347037">
        <w:rPr>
          <w:lang w:val="fr-FR"/>
        </w:rPr>
        <w:t xml:space="preserve"> par le Groupe de travail sur les disparitions forcées ou involontaires ne rend pas la communication irrecevable en vertu de cette disposition.</w:t>
      </w:r>
    </w:p>
    <w:p w14:paraId="2A43471B" w14:textId="77777777" w:rsidR="00AF430B" w:rsidRPr="00410779" w:rsidRDefault="00C62F50" w:rsidP="0088574B">
      <w:pPr>
        <w:pStyle w:val="SingleTxtG"/>
        <w:spacing w:line="234" w:lineRule="atLeast"/>
        <w:rPr>
          <w:lang w:val="fr-FR"/>
        </w:rPr>
      </w:pPr>
      <w:r>
        <w:rPr>
          <w:lang w:val="fr-FR"/>
        </w:rPr>
        <w:t>7</w:t>
      </w:r>
      <w:r w:rsidR="00AF430B">
        <w:rPr>
          <w:lang w:val="fr-FR"/>
        </w:rPr>
        <w:t>.3</w:t>
      </w:r>
      <w:r w:rsidR="00AF430B">
        <w:rPr>
          <w:lang w:val="fr-FR"/>
        </w:rPr>
        <w:tab/>
      </w:r>
      <w:r w:rsidR="00AF430B" w:rsidRPr="00AF430B">
        <w:rPr>
          <w:lang w:val="fr-FR"/>
        </w:rPr>
        <w:t xml:space="preserve">Le Comité prend </w:t>
      </w:r>
      <w:r w:rsidR="00AF430B" w:rsidRPr="00BE493D">
        <w:t>note</w:t>
      </w:r>
      <w:r w:rsidR="00AF430B" w:rsidRPr="00AF430B">
        <w:rPr>
          <w:lang w:val="fr-FR"/>
        </w:rPr>
        <w:t xml:space="preserve"> </w:t>
      </w:r>
      <w:r w:rsidR="003C7137">
        <w:rPr>
          <w:lang w:val="fr-FR"/>
        </w:rPr>
        <w:t>de ce que</w:t>
      </w:r>
      <w:r w:rsidR="00AF430B" w:rsidRPr="00AF430B">
        <w:rPr>
          <w:lang w:val="fr-FR"/>
        </w:rPr>
        <w:t xml:space="preserve"> l</w:t>
      </w:r>
      <w:r>
        <w:rPr>
          <w:lang w:val="fr-FR"/>
        </w:rPr>
        <w:t xml:space="preserve">es </w:t>
      </w:r>
      <w:r w:rsidR="00AF430B" w:rsidRPr="00AF430B">
        <w:rPr>
          <w:lang w:val="fr-FR"/>
        </w:rPr>
        <w:t>auteur</w:t>
      </w:r>
      <w:r>
        <w:rPr>
          <w:lang w:val="fr-FR"/>
        </w:rPr>
        <w:t>s</w:t>
      </w:r>
      <w:r w:rsidR="003C7137">
        <w:rPr>
          <w:lang w:val="fr-FR"/>
        </w:rPr>
        <w:t xml:space="preserve"> affirme</w:t>
      </w:r>
      <w:r>
        <w:rPr>
          <w:lang w:val="fr-FR"/>
        </w:rPr>
        <w:t>nt</w:t>
      </w:r>
      <w:r w:rsidR="003C7137">
        <w:rPr>
          <w:lang w:val="fr-FR"/>
        </w:rPr>
        <w:t xml:space="preserve"> </w:t>
      </w:r>
      <w:r w:rsidR="00B26347">
        <w:rPr>
          <w:lang w:val="fr-FR"/>
        </w:rPr>
        <w:t>avoir épuisé</w:t>
      </w:r>
      <w:r w:rsidR="00B26347" w:rsidRPr="00AF430B">
        <w:rPr>
          <w:lang w:val="fr-FR"/>
        </w:rPr>
        <w:t xml:space="preserve"> </w:t>
      </w:r>
      <w:r w:rsidR="00B26347">
        <w:rPr>
          <w:lang w:val="fr-FR"/>
        </w:rPr>
        <w:t xml:space="preserve">toutes </w:t>
      </w:r>
      <w:r w:rsidR="00AF430B" w:rsidRPr="00AF430B">
        <w:rPr>
          <w:lang w:val="fr-FR"/>
        </w:rPr>
        <w:t xml:space="preserve">les voies de recours </w:t>
      </w:r>
      <w:r w:rsidR="00B26347">
        <w:rPr>
          <w:lang w:val="fr-FR"/>
        </w:rPr>
        <w:t>disponibles</w:t>
      </w:r>
      <w:r w:rsidR="003C7137">
        <w:rPr>
          <w:lang w:val="fr-FR"/>
        </w:rPr>
        <w:t xml:space="preserve"> et</w:t>
      </w:r>
      <w:r w:rsidR="00AF430B" w:rsidRPr="00AF430B">
        <w:t xml:space="preserve"> que</w:t>
      </w:r>
      <w:r w:rsidR="003C7137">
        <w:t>,</w:t>
      </w:r>
      <w:r w:rsidR="00AF430B" w:rsidRPr="00AF430B">
        <w:t xml:space="preserve"> pour contester la recevabilité de la communication, l’État partie se contente de renvoyer à son mémoire de référence sur le traitement de la question des disparitions à la lumière de la mise en œuvre de la Charte pour la paix et la réconciliation nationale.</w:t>
      </w:r>
      <w:r w:rsidR="00AF430B">
        <w:t xml:space="preserve"> </w:t>
      </w:r>
      <w:r w:rsidR="00B26347">
        <w:t>À cet égard</w:t>
      </w:r>
      <w:r w:rsidR="007136C2">
        <w:t xml:space="preserve">, le Comité rappelle que, </w:t>
      </w:r>
      <w:r w:rsidR="002C6838">
        <w:t xml:space="preserve">en 2018, </w:t>
      </w:r>
      <w:r w:rsidR="007136C2">
        <w:t>d</w:t>
      </w:r>
      <w:r w:rsidR="00AF430B">
        <w:t xml:space="preserve">ans </w:t>
      </w:r>
      <w:r w:rsidR="006C69A9">
        <w:t>ses o</w:t>
      </w:r>
      <w:r w:rsidR="00AF430B">
        <w:t xml:space="preserve">bservations finales sur le quatrième rapport périodique de l’Algérie, </w:t>
      </w:r>
      <w:r w:rsidR="007136C2">
        <w:t>il</w:t>
      </w:r>
      <w:r w:rsidR="00AF430B">
        <w:t xml:space="preserve"> a </w:t>
      </w:r>
      <w:r w:rsidR="008E2FBA">
        <w:t xml:space="preserve">réitéré </w:t>
      </w:r>
      <w:r w:rsidR="00AF430B" w:rsidRPr="00AF430B">
        <w:t>ses préoccupations</w:t>
      </w:r>
      <w:r w:rsidR="00AF430B">
        <w:t xml:space="preserve"> </w:t>
      </w:r>
      <w:r w:rsidR="00AF430B" w:rsidRPr="00AF430B">
        <w:t>de ce qu’en dépit de ses demandes répétées</w:t>
      </w:r>
      <w:r w:rsidR="00AF430B">
        <w:t>,</w:t>
      </w:r>
      <w:r w:rsidR="00AF430B" w:rsidRPr="00AF430B">
        <w:t xml:space="preserve"> l’État partie continue de faire systématiquement référence </w:t>
      </w:r>
      <w:r w:rsidR="00C946E6">
        <w:t>au document général type, dit « aide-mémoire »</w:t>
      </w:r>
      <w:r w:rsidR="00AF430B" w:rsidRPr="00AF430B">
        <w:t xml:space="preserve">, sans répondre </w:t>
      </w:r>
      <w:r w:rsidR="008E2FBA">
        <w:t xml:space="preserve">spécifiquement </w:t>
      </w:r>
      <w:r w:rsidR="00AF430B" w:rsidRPr="00AF430B">
        <w:t>aux allégations soumises par les auteurs</w:t>
      </w:r>
      <w:r w:rsidR="008E2FBA">
        <w:t xml:space="preserve"> de</w:t>
      </w:r>
      <w:r w:rsidR="008D041F">
        <w:t>s</w:t>
      </w:r>
      <w:r w:rsidR="008E2FBA">
        <w:t xml:space="preserve"> communications</w:t>
      </w:r>
      <w:r w:rsidR="00AF430B">
        <w:t xml:space="preserve">. En conséquence, le Comité </w:t>
      </w:r>
      <w:r w:rsidR="00C946E6">
        <w:t>a invité de manière urgente l’État partie à c</w:t>
      </w:r>
      <w:r w:rsidR="00C946E6" w:rsidRPr="00C946E6">
        <w:t xml:space="preserve">oopérer de bonne foi dans le cadre de la procédure de communications </w:t>
      </w:r>
      <w:r w:rsidR="00C946E6" w:rsidRPr="00C946E6">
        <w:lastRenderedPageBreak/>
        <w:t>individuelles</w:t>
      </w:r>
      <w:r w:rsidR="00C946E6">
        <w:t xml:space="preserve"> en cessant de se référer à l’« aide-mémoire »</w:t>
      </w:r>
      <w:r w:rsidR="00C946E6" w:rsidRPr="00C946E6">
        <w:t xml:space="preserve"> et en répondant de manière individuelle et spécifique aux allégations des auteurs de </w:t>
      </w:r>
      <w:r w:rsidR="003C7137">
        <w:t>plaintes</w:t>
      </w:r>
      <w:r w:rsidR="00C946E6">
        <w:rPr>
          <w:rStyle w:val="FootnoteReference"/>
        </w:rPr>
        <w:footnoteReference w:id="16"/>
      </w:r>
      <w:r w:rsidR="00C946E6">
        <w:t>.</w:t>
      </w:r>
    </w:p>
    <w:p w14:paraId="720B8EDA" w14:textId="77777777" w:rsidR="00410779" w:rsidRDefault="00C62F50" w:rsidP="0088574B">
      <w:pPr>
        <w:pStyle w:val="SingleTxtG"/>
        <w:spacing w:line="234" w:lineRule="atLeast"/>
      </w:pPr>
      <w:r>
        <w:rPr>
          <w:lang w:val="fr-FR"/>
        </w:rPr>
        <w:t>7</w:t>
      </w:r>
      <w:r w:rsidR="00410779" w:rsidRPr="00410779">
        <w:rPr>
          <w:lang w:val="fr-FR"/>
        </w:rPr>
        <w:t>.</w:t>
      </w:r>
      <w:r w:rsidR="00D82B23">
        <w:rPr>
          <w:lang w:val="fr-FR"/>
        </w:rPr>
        <w:t>4</w:t>
      </w:r>
      <w:r w:rsidR="00410779" w:rsidRPr="00410779">
        <w:tab/>
      </w:r>
      <w:r w:rsidR="003B3F53">
        <w:t>Le</w:t>
      </w:r>
      <w:r w:rsidR="0094378A" w:rsidRPr="0094378A">
        <w:t xml:space="preserve"> Comité rappelle</w:t>
      </w:r>
      <w:r w:rsidR="003B3F53">
        <w:t xml:space="preserve"> ensuite</w:t>
      </w:r>
      <w:r w:rsidR="0094378A" w:rsidRPr="0094378A">
        <w:t xml:space="preserve"> que l’État partie a non seulement le devoir de mener des enquêtes approfondies sur les violations supposées des droits de l’homme portées à l’attention de ses autorités, en particulier lorsqu’il s’agit d’atteintes au droit à la vie, mais aussi de poursuivre quiconque est présumé responsable de ces violations, de procéder à son jugement et de prononcer une peine à son encontre</w:t>
      </w:r>
      <w:r w:rsidR="0094378A" w:rsidRPr="0094378A">
        <w:rPr>
          <w:vertAlign w:val="superscript"/>
        </w:rPr>
        <w:footnoteReference w:id="17"/>
      </w:r>
      <w:r w:rsidR="0094378A" w:rsidRPr="0094378A">
        <w:t>.</w:t>
      </w:r>
      <w:r w:rsidR="0094378A" w:rsidRPr="00472ECE">
        <w:t xml:space="preserve"> </w:t>
      </w:r>
      <w:r w:rsidR="00394BD0">
        <w:t>L</w:t>
      </w:r>
      <w:r>
        <w:t>es a</w:t>
      </w:r>
      <w:r w:rsidR="00BF02AC">
        <w:t>uteur</w:t>
      </w:r>
      <w:r>
        <w:t>s</w:t>
      </w:r>
      <w:r w:rsidR="00394BD0">
        <w:t xml:space="preserve"> </w:t>
      </w:r>
      <w:r>
        <w:t>ont</w:t>
      </w:r>
      <w:r w:rsidR="0094378A" w:rsidRPr="0094378A">
        <w:t xml:space="preserve">, à de nombreuses reprises, alerté les autorités compétentes sur </w:t>
      </w:r>
      <w:r w:rsidR="0094378A" w:rsidRPr="0094378A">
        <w:rPr>
          <w:bCs/>
        </w:rPr>
        <w:t>l</w:t>
      </w:r>
      <w:r w:rsidR="00D82B23">
        <w:rPr>
          <w:bCs/>
        </w:rPr>
        <w:t>a disparition forcée</w:t>
      </w:r>
      <w:r w:rsidR="0094378A" w:rsidRPr="0094378A">
        <w:t xml:space="preserve"> de </w:t>
      </w:r>
      <w:r>
        <w:t>leur</w:t>
      </w:r>
      <w:r w:rsidR="00BF02AC">
        <w:t xml:space="preserve"> fils</w:t>
      </w:r>
      <w:r w:rsidR="0094378A" w:rsidRPr="0094378A">
        <w:t xml:space="preserve">, mais l’État partie n’a procédé à </w:t>
      </w:r>
      <w:r w:rsidR="00850492">
        <w:t xml:space="preserve">aucune </w:t>
      </w:r>
      <w:r w:rsidR="0094378A" w:rsidRPr="0094378A">
        <w:t xml:space="preserve">enquête sur </w:t>
      </w:r>
      <w:r w:rsidR="0094378A" w:rsidRPr="0094378A">
        <w:rPr>
          <w:bCs/>
        </w:rPr>
        <w:t>cette allégation gr</w:t>
      </w:r>
      <w:r w:rsidR="00D82B23">
        <w:rPr>
          <w:bCs/>
        </w:rPr>
        <w:t>ave</w:t>
      </w:r>
      <w:r w:rsidR="0094378A" w:rsidRPr="0094378A">
        <w:t xml:space="preserve">. </w:t>
      </w:r>
      <w:r w:rsidR="003B3F53">
        <w:t>L</w:t>
      </w:r>
      <w:r w:rsidR="006C69A9" w:rsidRPr="006C69A9">
        <w:t>’État partie n’a</w:t>
      </w:r>
      <w:r w:rsidR="003B3F53">
        <w:t xml:space="preserve"> par ailleurs</w:t>
      </w:r>
      <w:r w:rsidR="006C69A9" w:rsidRPr="006C69A9">
        <w:t xml:space="preserve"> apporté aucun élément d’explication spécifique dans ses ob</w:t>
      </w:r>
      <w:r w:rsidR="00394BD0">
        <w:t xml:space="preserve">servations en réponse au cas </w:t>
      </w:r>
      <w:r w:rsidR="00BF02AC">
        <w:t xml:space="preserve">de </w:t>
      </w:r>
      <w:r w:rsidRPr="00C62F50">
        <w:t xml:space="preserve">Rabah </w:t>
      </w:r>
      <w:proofErr w:type="spellStart"/>
      <w:r w:rsidRPr="00C62F50">
        <w:t>Souaiene</w:t>
      </w:r>
      <w:proofErr w:type="spellEnd"/>
      <w:r w:rsidR="006C69A9" w:rsidRPr="006C69A9">
        <w:t xml:space="preserve"> qui pourrait permettre de conclure qu’un recours efficace et disponible </w:t>
      </w:r>
      <w:r w:rsidR="007C75D2">
        <w:t>resterait ouvert à ce jour</w:t>
      </w:r>
      <w:r w:rsidR="003B3F53">
        <w:t xml:space="preserve">. </w:t>
      </w:r>
      <w:r w:rsidR="007C75D2">
        <w:t>En outre,</w:t>
      </w:r>
      <w:r w:rsidR="006C69A9" w:rsidRPr="006C69A9">
        <w:t xml:space="preserve"> l’ordonnance n</w:t>
      </w:r>
      <w:r w:rsidR="006C69A9" w:rsidRPr="006C69A9">
        <w:rPr>
          <w:vertAlign w:val="superscript"/>
        </w:rPr>
        <w:t>o</w:t>
      </w:r>
      <w:r w:rsidR="00BD75F3">
        <w:t xml:space="preserve"> </w:t>
      </w:r>
      <w:r w:rsidR="006C69A9" w:rsidRPr="006C69A9">
        <w:t xml:space="preserve">06-01 portant mise en œuvre de la Charte pour la paix et la réconciliation nationale continue d’être appliquée en dépit </w:t>
      </w:r>
      <w:r w:rsidR="003B3F53">
        <w:t xml:space="preserve">de ce </w:t>
      </w:r>
      <w:r w:rsidR="006C69A9" w:rsidRPr="006C69A9">
        <w:t xml:space="preserve">que le Comité a </w:t>
      </w:r>
      <w:r w:rsidR="003B3F53">
        <w:t xml:space="preserve">souligné la nécessité de sa </w:t>
      </w:r>
      <w:r w:rsidR="006C69A9" w:rsidRPr="006C69A9">
        <w:t>mise en conformité avec le</w:t>
      </w:r>
      <w:r w:rsidR="003B3F53">
        <w:t>s principes du</w:t>
      </w:r>
      <w:r w:rsidR="006C69A9" w:rsidRPr="006C69A9">
        <w:t xml:space="preserve"> Pacte</w:t>
      </w:r>
      <w:r w:rsidR="0094378A" w:rsidRPr="0094378A">
        <w:rPr>
          <w:vertAlign w:val="superscript"/>
        </w:rPr>
        <w:footnoteReference w:id="18"/>
      </w:r>
      <w:r w:rsidR="0094378A" w:rsidRPr="0094378A">
        <w:t xml:space="preserve">. </w:t>
      </w:r>
      <w:r w:rsidR="003B3F53">
        <w:t>À cet égard, le Comité rappelle que d</w:t>
      </w:r>
      <w:r w:rsidR="006C69A9">
        <w:t>ans ses observations</w:t>
      </w:r>
      <w:r w:rsidR="006C69A9" w:rsidRPr="006C69A9">
        <w:t xml:space="preserve"> finales d</w:t>
      </w:r>
      <w:r w:rsidR="006B6145">
        <w:t>e</w:t>
      </w:r>
      <w:r w:rsidR="006C69A9" w:rsidRPr="006C69A9">
        <w:t xml:space="preserve"> 2018 sur le quatrième rapport périodique de l’</w:t>
      </w:r>
      <w:r w:rsidR="006C69A9">
        <w:t xml:space="preserve">État partie, </w:t>
      </w:r>
      <w:r w:rsidR="003B3F53">
        <w:t>il</w:t>
      </w:r>
      <w:r w:rsidR="006C69A9">
        <w:t xml:space="preserve"> a déploré « en particulier l’absence de recours efficace pour les personnes disparues et/ou leurs familles et l’absence de mesures prises en vue de faire la lumière sur les personnes disparues, de les localiser et, en cas de décès, de restituer leurs dépouilles aux familles »</w:t>
      </w:r>
      <w:r w:rsidR="006C69A9">
        <w:rPr>
          <w:rStyle w:val="FootnoteReference"/>
        </w:rPr>
        <w:footnoteReference w:id="19"/>
      </w:r>
      <w:r w:rsidR="006C69A9">
        <w:t>.</w:t>
      </w:r>
      <w:r w:rsidR="006C69A9" w:rsidRPr="006C69A9">
        <w:t xml:space="preserve"> </w:t>
      </w:r>
      <w:r w:rsidR="0094378A" w:rsidRPr="0094378A">
        <w:t>Dans ces circonstances, le Comité estime que rien ne s’oppose à ce qu’il examine la communication conformément a</w:t>
      </w:r>
      <w:r w:rsidR="00BD75F3">
        <w:t xml:space="preserve">u paragraphe 2 b) de l’article </w:t>
      </w:r>
      <w:r w:rsidR="0094378A" w:rsidRPr="0094378A">
        <w:t>5 du Protocole facultatif.</w:t>
      </w:r>
    </w:p>
    <w:p w14:paraId="40743C4E" w14:textId="77777777" w:rsidR="00A051D1" w:rsidRDefault="00C62F50" w:rsidP="0088574B">
      <w:pPr>
        <w:pStyle w:val="SingleTxtG"/>
        <w:spacing w:line="234" w:lineRule="atLeast"/>
        <w:rPr>
          <w:lang w:val="fr-FR"/>
        </w:rPr>
      </w:pPr>
      <w:r>
        <w:t>7</w:t>
      </w:r>
      <w:r w:rsidR="005A30AB">
        <w:t>.5</w:t>
      </w:r>
      <w:r w:rsidR="005A30AB">
        <w:tab/>
      </w:r>
      <w:r>
        <w:rPr>
          <w:lang w:val="fr-FR"/>
        </w:rPr>
        <w:t xml:space="preserve">Le Comité note que les </w:t>
      </w:r>
      <w:r w:rsidR="00394BD0" w:rsidRPr="00394BD0">
        <w:rPr>
          <w:lang w:val="fr-FR"/>
        </w:rPr>
        <w:t>auteur</w:t>
      </w:r>
      <w:r>
        <w:rPr>
          <w:lang w:val="fr-FR"/>
        </w:rPr>
        <w:t>s ont</w:t>
      </w:r>
      <w:r w:rsidR="005F6467">
        <w:rPr>
          <w:lang w:val="fr-FR"/>
        </w:rPr>
        <w:t xml:space="preserve"> </w:t>
      </w:r>
      <w:r w:rsidR="003B3F53">
        <w:rPr>
          <w:lang w:val="fr-FR"/>
        </w:rPr>
        <w:t xml:space="preserve">également </w:t>
      </w:r>
      <w:r w:rsidR="005F6467">
        <w:rPr>
          <w:lang w:val="fr-FR"/>
        </w:rPr>
        <w:t xml:space="preserve">soulevé </w:t>
      </w:r>
      <w:r w:rsidR="003B3F53">
        <w:rPr>
          <w:lang w:val="fr-FR"/>
        </w:rPr>
        <w:t xml:space="preserve">une </w:t>
      </w:r>
      <w:r w:rsidR="00394BD0" w:rsidRPr="00394BD0">
        <w:rPr>
          <w:lang w:val="fr-FR"/>
        </w:rPr>
        <w:t>violation</w:t>
      </w:r>
      <w:r w:rsidR="005F6467">
        <w:rPr>
          <w:lang w:val="fr-FR"/>
        </w:rPr>
        <w:t xml:space="preserve"> distincte des paragraphes 2 et 3</w:t>
      </w:r>
      <w:r w:rsidR="00BD75F3">
        <w:rPr>
          <w:lang w:val="fr-FR"/>
        </w:rPr>
        <w:t xml:space="preserve"> de l’article </w:t>
      </w:r>
      <w:r w:rsidR="00394BD0" w:rsidRPr="00394BD0">
        <w:rPr>
          <w:lang w:val="fr-FR"/>
        </w:rPr>
        <w:t xml:space="preserve">2 du Pacte à </w:t>
      </w:r>
      <w:r>
        <w:rPr>
          <w:lang w:val="fr-FR"/>
        </w:rPr>
        <w:t xml:space="preserve">leur </w:t>
      </w:r>
      <w:r w:rsidR="00394BD0" w:rsidRPr="00394BD0">
        <w:rPr>
          <w:lang w:val="fr-FR"/>
        </w:rPr>
        <w:t xml:space="preserve">égard. </w:t>
      </w:r>
      <w:r w:rsidR="005526A5" w:rsidRPr="005526A5">
        <w:rPr>
          <w:lang w:val="fr-FR"/>
        </w:rPr>
        <w:t>Rappelant sa jurisprudence selon laquell</w:t>
      </w:r>
      <w:r w:rsidR="00BD75F3">
        <w:rPr>
          <w:lang w:val="fr-FR"/>
        </w:rPr>
        <w:t xml:space="preserve">e les dispositions de l’article </w:t>
      </w:r>
      <w:r w:rsidR="005526A5" w:rsidRPr="005526A5">
        <w:rPr>
          <w:lang w:val="fr-FR"/>
        </w:rPr>
        <w:t>2 énoncent des obligations générales à la charge des États parties et ne sauraient par elles-mêmes fonder un grief distinct au regard du Protocole facultatif parce qu’elles ne peuvent être invoquées que conjointement avec d’autres articles substantiels du Pacte</w:t>
      </w:r>
      <w:r w:rsidR="005526A5" w:rsidRPr="005526A5">
        <w:rPr>
          <w:vertAlign w:val="superscript"/>
        </w:rPr>
        <w:footnoteReference w:id="20"/>
      </w:r>
      <w:r w:rsidR="005526A5" w:rsidRPr="005526A5">
        <w:rPr>
          <w:lang w:val="fr-FR"/>
        </w:rPr>
        <w:t xml:space="preserve">, le Comité considère que </w:t>
      </w:r>
      <w:r w:rsidR="003829AE" w:rsidRPr="003829AE">
        <w:rPr>
          <w:lang w:val="fr-FR"/>
        </w:rPr>
        <w:t>les griefs de</w:t>
      </w:r>
      <w:r>
        <w:rPr>
          <w:lang w:val="fr-FR"/>
        </w:rPr>
        <w:t>s</w:t>
      </w:r>
      <w:r w:rsidR="003829AE" w:rsidRPr="003829AE">
        <w:rPr>
          <w:lang w:val="fr-FR"/>
        </w:rPr>
        <w:t xml:space="preserve"> auteur</w:t>
      </w:r>
      <w:r>
        <w:rPr>
          <w:lang w:val="fr-FR"/>
        </w:rPr>
        <w:t>s</w:t>
      </w:r>
      <w:r w:rsidR="003829AE" w:rsidRPr="003829AE">
        <w:rPr>
          <w:lang w:val="fr-FR"/>
        </w:rPr>
        <w:t xml:space="preserve"> au titre des paragraphes 2 et 3 de l’article 2, invoqués de manière séparée</w:t>
      </w:r>
      <w:r w:rsidR="00BD75F3">
        <w:rPr>
          <w:lang w:val="fr-FR"/>
        </w:rPr>
        <w:t>,</w:t>
      </w:r>
      <w:r w:rsidR="003829AE" w:rsidRPr="003829AE">
        <w:rPr>
          <w:lang w:val="fr-FR"/>
        </w:rPr>
        <w:t xml:space="preserve"> sont irrecevables au regard de l’article 3 du Protocole facultatif</w:t>
      </w:r>
      <w:r w:rsidR="005526A5" w:rsidRPr="005526A5">
        <w:rPr>
          <w:lang w:val="fr-FR"/>
        </w:rPr>
        <w:t>.</w:t>
      </w:r>
    </w:p>
    <w:p w14:paraId="463A4098" w14:textId="77777777" w:rsidR="00410779" w:rsidRPr="00410779" w:rsidRDefault="00C62F50" w:rsidP="0088574B">
      <w:pPr>
        <w:pStyle w:val="SingleTxtG"/>
        <w:spacing w:line="234" w:lineRule="atLeast"/>
        <w:rPr>
          <w:lang w:val="fr-FR"/>
        </w:rPr>
      </w:pPr>
      <w:r>
        <w:t>7</w:t>
      </w:r>
      <w:r w:rsidR="007E75F7">
        <w:t>.</w:t>
      </w:r>
      <w:r>
        <w:t>6</w:t>
      </w:r>
      <w:r w:rsidR="00410779" w:rsidRPr="00410779">
        <w:tab/>
      </w:r>
      <w:r w:rsidR="005169BF">
        <w:t>Le Comité estime en revanche</w:t>
      </w:r>
      <w:r>
        <w:t xml:space="preserve"> que les </w:t>
      </w:r>
      <w:r w:rsidR="00E558E8" w:rsidRPr="00E558E8">
        <w:t>auteur</w:t>
      </w:r>
      <w:r>
        <w:t>s ont suffisamment étayé leurs</w:t>
      </w:r>
      <w:r w:rsidR="00E558E8" w:rsidRPr="00E558E8">
        <w:t xml:space="preserve"> </w:t>
      </w:r>
      <w:r w:rsidR="005169BF">
        <w:t xml:space="preserve">autres </w:t>
      </w:r>
      <w:r w:rsidR="00E558E8" w:rsidRPr="00E558E8">
        <w:t xml:space="preserve">allégations aux fins de la </w:t>
      </w:r>
      <w:r w:rsidR="00E558E8" w:rsidRPr="00BE493D">
        <w:t>recevabilité</w:t>
      </w:r>
      <w:r w:rsidR="00E558E8" w:rsidRPr="00E558E8">
        <w:t xml:space="preserve">, et procède </w:t>
      </w:r>
      <w:r w:rsidR="003B3F53">
        <w:t>donc à l’examen</w:t>
      </w:r>
      <w:r w:rsidR="00E558E8" w:rsidRPr="00E558E8">
        <w:t xml:space="preserve"> au fond des griefs formu</w:t>
      </w:r>
      <w:r w:rsidR="00E558E8">
        <w:t>lés</w:t>
      </w:r>
      <w:r w:rsidR="00E558E8" w:rsidRPr="00E558E8">
        <w:t xml:space="preserve"> au titre d</w:t>
      </w:r>
      <w:r w:rsidR="002C250C">
        <w:t>es articles 2 (par. 3), 6 (par. 1</w:t>
      </w:r>
      <w:r w:rsidR="005169BF">
        <w:t>), 7, 9,</w:t>
      </w:r>
      <w:r w:rsidR="003829AE">
        <w:t xml:space="preserve"> 10</w:t>
      </w:r>
      <w:r w:rsidR="005169BF">
        <w:t xml:space="preserve">, </w:t>
      </w:r>
      <w:r>
        <w:t>14 et</w:t>
      </w:r>
      <w:r w:rsidR="00437CD0">
        <w:t xml:space="preserve"> </w:t>
      </w:r>
      <w:r w:rsidR="005169BF">
        <w:t xml:space="preserve">16 </w:t>
      </w:r>
      <w:r w:rsidR="00E558E8" w:rsidRPr="00E558E8">
        <w:t>du Pacte.</w:t>
      </w:r>
    </w:p>
    <w:p w14:paraId="43CCF344" w14:textId="77777777" w:rsidR="00410779" w:rsidRPr="00410779" w:rsidRDefault="00410779" w:rsidP="00D03855">
      <w:pPr>
        <w:pStyle w:val="H4G"/>
        <w:rPr>
          <w:lang w:val="fr-FR"/>
        </w:rPr>
      </w:pPr>
      <w:r w:rsidRPr="00410779">
        <w:rPr>
          <w:lang w:val="fr-FR"/>
        </w:rPr>
        <w:tab/>
      </w:r>
      <w:r w:rsidRPr="00410779">
        <w:rPr>
          <w:lang w:val="fr-FR"/>
        </w:rPr>
        <w:tab/>
        <w:t>Examen au fond</w:t>
      </w:r>
    </w:p>
    <w:p w14:paraId="289D4EB2" w14:textId="77777777" w:rsidR="00410779" w:rsidRDefault="00C62F50" w:rsidP="00410779">
      <w:pPr>
        <w:pStyle w:val="SingleTxtG"/>
      </w:pPr>
      <w:r>
        <w:rPr>
          <w:lang w:val="fr-FR"/>
        </w:rPr>
        <w:t>8</w:t>
      </w:r>
      <w:r w:rsidR="00410779" w:rsidRPr="00410779">
        <w:t>.1</w:t>
      </w:r>
      <w:r w:rsidR="00410779" w:rsidRPr="00410779">
        <w:tab/>
      </w:r>
      <w:r w:rsidR="00AD275A" w:rsidRPr="00AD275A">
        <w:t>Conformément au paragraphe 1 de l’article 5 du Protocole facultatif, le Comité a examiné la présente communication en tenant compte de toutes les information</w:t>
      </w:r>
      <w:r w:rsidR="00C76F28">
        <w:t>s qui lui ont été communiquées.</w:t>
      </w:r>
    </w:p>
    <w:p w14:paraId="35E0D815" w14:textId="4AFEAA77" w:rsidR="00006AA7" w:rsidRDefault="00C62F50" w:rsidP="00BE493D">
      <w:pPr>
        <w:pStyle w:val="SingleTxtG"/>
      </w:pPr>
      <w:r>
        <w:t>8</w:t>
      </w:r>
      <w:r w:rsidR="00006AA7">
        <w:t>.2</w:t>
      </w:r>
      <w:r w:rsidR="00006AA7">
        <w:tab/>
      </w:r>
      <w:r w:rsidR="00006AA7" w:rsidRPr="00006AA7">
        <w:t xml:space="preserve">Le Comité note que l’État partie s’est contenté de faire référence à ses observations collectives et générales qui avaient été </w:t>
      </w:r>
      <w:r w:rsidR="00006AA7" w:rsidRPr="00BE493D">
        <w:t>transmises</w:t>
      </w:r>
      <w:r w:rsidR="00006AA7" w:rsidRPr="00006AA7">
        <w:t xml:space="preserve"> antérieurement au Groupe de travail sur les disparitions forcées ou involontaires et au Comité en relation avec d’autres communications, afin de confirmer sa position selon laquelle de telles affaires ont déjà été réglées dans le cadre de la mise en œuvre de la Charte pour la paix et la réconciliation nationale. Le Comité renvoie à sa jurisprudence et</w:t>
      </w:r>
      <w:r w:rsidR="000767E5">
        <w:t xml:space="preserve"> à ses observations finales d</w:t>
      </w:r>
      <w:r w:rsidR="007E6FAD">
        <w:t>e</w:t>
      </w:r>
      <w:r w:rsidR="00D769CA">
        <w:t xml:space="preserve"> </w:t>
      </w:r>
      <w:r w:rsidR="000767E5">
        <w:t>2018 sur le quatrième rapport périodique de l’Algérie, et</w:t>
      </w:r>
      <w:r w:rsidR="00006AA7" w:rsidRPr="00006AA7">
        <w:t xml:space="preserve"> rappelle que l’État partie ne saurait opposer les dispositions de ladite Charte à des personnes qui invoquent les dispositions du Pacte ou qui ont soumis ou pourraient soumettre des communications au Comité. Le Pacte exige de l’État partie qu’il se soucie du sort de chaque</w:t>
      </w:r>
      <w:r w:rsidR="004B7CDE">
        <w:t xml:space="preserve"> personne et qu’il traite chacune d’elle</w:t>
      </w:r>
      <w:r w:rsidR="00762EF9">
        <w:t>s</w:t>
      </w:r>
      <w:r w:rsidR="00006AA7" w:rsidRPr="00006AA7">
        <w:t xml:space="preserve"> avec le respect </w:t>
      </w:r>
      <w:r w:rsidR="00006AA7" w:rsidRPr="00006AA7">
        <w:lastRenderedPageBreak/>
        <w:t xml:space="preserve">de la dignité inhérente à la personne </w:t>
      </w:r>
      <w:r w:rsidR="00006AA7" w:rsidRPr="00BE493D">
        <w:t>humaine</w:t>
      </w:r>
      <w:r w:rsidR="00006AA7" w:rsidRPr="00006AA7">
        <w:rPr>
          <w:vertAlign w:val="superscript"/>
        </w:rPr>
        <w:footnoteReference w:id="21"/>
      </w:r>
      <w:r w:rsidR="00006AA7" w:rsidRPr="00006AA7">
        <w:t>. En l’absence</w:t>
      </w:r>
      <w:r w:rsidR="00C15A73">
        <w:t xml:space="preserve"> d’inclusion</w:t>
      </w:r>
      <w:r w:rsidR="00006AA7" w:rsidRPr="00006AA7">
        <w:t xml:space="preserve"> des modifications recommandées par le Comité, l’ordonnance n</w:t>
      </w:r>
      <w:r w:rsidR="00006AA7" w:rsidRPr="00006AA7">
        <w:rPr>
          <w:vertAlign w:val="superscript"/>
        </w:rPr>
        <w:t>o</w:t>
      </w:r>
      <w:r w:rsidR="00006AA7">
        <w:t xml:space="preserve"> </w:t>
      </w:r>
      <w:r w:rsidR="00006AA7" w:rsidRPr="00006AA7">
        <w:t>06-01 portant mise en œuvre de la Charte pour la paix et la réconciliation nationale contribue dans le cas présent à l’impunité et ne peut donc, en l’état, être jugée compatible avec les dispositions du Pacte</w:t>
      </w:r>
      <w:r w:rsidR="00006AA7" w:rsidRPr="00006AA7">
        <w:rPr>
          <w:vertAlign w:val="superscript"/>
        </w:rPr>
        <w:footnoteReference w:id="22"/>
      </w:r>
      <w:r w:rsidR="00006AA7" w:rsidRPr="00006AA7">
        <w:t>.</w:t>
      </w:r>
    </w:p>
    <w:p w14:paraId="0DCE7A2B" w14:textId="77777777" w:rsidR="0090025C" w:rsidRDefault="00C62F50" w:rsidP="00410779">
      <w:pPr>
        <w:pStyle w:val="SingleTxtG"/>
      </w:pPr>
      <w:r>
        <w:t>8</w:t>
      </w:r>
      <w:r w:rsidR="0090025C">
        <w:t>.3</w:t>
      </w:r>
      <w:r w:rsidR="0090025C">
        <w:tab/>
      </w:r>
      <w:r w:rsidR="0090025C" w:rsidRPr="0090025C">
        <w:t xml:space="preserve">Le Comité note </w:t>
      </w:r>
      <w:r w:rsidR="004B7CDE">
        <w:t xml:space="preserve">par ailleurs </w:t>
      </w:r>
      <w:r w:rsidR="0090025C" w:rsidRPr="0090025C">
        <w:t>que l’État partie n’a pas répondu aux allégations de</w:t>
      </w:r>
      <w:r>
        <w:t>s</w:t>
      </w:r>
      <w:r w:rsidR="0090025C" w:rsidRPr="0090025C">
        <w:t xml:space="preserve"> auteur</w:t>
      </w:r>
      <w:r>
        <w:t>s</w:t>
      </w:r>
      <w:r w:rsidR="0090025C" w:rsidRPr="0090025C">
        <w:t xml:space="preserve"> sur le fond et rappelle sa jurisprudence selon laquelle la charge de la preuve ne doit pas incomber uniquement à l’auteur d’une communication, d’autant plus que celui-ci et l’État partie n’ont pas toujours un accès égal aux éléments de preuve et que souvent seul l’État partie dispose des renseignements nécessaires</w:t>
      </w:r>
      <w:r w:rsidR="0090025C" w:rsidRPr="0090025C">
        <w:rPr>
          <w:vertAlign w:val="superscript"/>
        </w:rPr>
        <w:footnoteReference w:id="23"/>
      </w:r>
      <w:r w:rsidR="003E01BD">
        <w:t>. Conforméme</w:t>
      </w:r>
      <w:r w:rsidR="002D109C">
        <w:t>nt au paragraphe 2 de l’article </w:t>
      </w:r>
      <w:r w:rsidR="0090025C" w:rsidRPr="0090025C">
        <w:t>4 du Protocole facultatif, l’État partie est tenu d’enquêter de bonne foi sur toutes les allégations de violations du Pacte portées contre lui et ses représentants, et de transmettre au Comité les renseignements qu’il détient</w:t>
      </w:r>
      <w:r w:rsidR="0090025C" w:rsidRPr="0090025C">
        <w:rPr>
          <w:vertAlign w:val="superscript"/>
        </w:rPr>
        <w:footnoteReference w:id="24"/>
      </w:r>
      <w:r w:rsidR="0090025C" w:rsidRPr="0090025C">
        <w:t>. En l’absence d’explications de la part de l’État partie à ce sujet, il convient d’accorder tout le crédit voulu aux allégations de</w:t>
      </w:r>
      <w:r>
        <w:t>s</w:t>
      </w:r>
      <w:r w:rsidR="0090025C" w:rsidRPr="0090025C">
        <w:t xml:space="preserve"> auteur</w:t>
      </w:r>
      <w:r>
        <w:t>s</w:t>
      </w:r>
      <w:r w:rsidR="0090025C" w:rsidRPr="0090025C">
        <w:t xml:space="preserve"> dès lors que ces dernières sont suffisamment étayées.</w:t>
      </w:r>
    </w:p>
    <w:p w14:paraId="4531839C" w14:textId="77777777" w:rsidR="0034335C" w:rsidRPr="0088574B" w:rsidRDefault="00C62F50" w:rsidP="0088574B">
      <w:pPr>
        <w:pStyle w:val="SingleTxtG"/>
        <w:spacing w:line="236" w:lineRule="atLeast"/>
        <w:rPr>
          <w:spacing w:val="-2"/>
        </w:rPr>
      </w:pPr>
      <w:r>
        <w:t>8</w:t>
      </w:r>
      <w:r w:rsidR="0034335C">
        <w:t>.4</w:t>
      </w:r>
      <w:r w:rsidR="0034335C">
        <w:tab/>
      </w:r>
      <w:r w:rsidR="0034335C" w:rsidRPr="0088574B">
        <w:rPr>
          <w:spacing w:val="-2"/>
        </w:rPr>
        <w:t>Le Comité rappelle que, si l’expression « disparition forcée » n’apparaît expressément dans aucun article du Pacte, la disparition forcée constitue un ensemble unique et intégré d’actes représentant une violation continue de plusieurs droits consacrés par cet instrument</w:t>
      </w:r>
      <w:r w:rsidR="0030235C" w:rsidRPr="0088574B">
        <w:rPr>
          <w:spacing w:val="-2"/>
        </w:rPr>
        <w:t>, tels que le droit à la vie, le droit de ne pas être soumis à la torture et autres peines ou traitements inhumains ou dégradants, et le droit à la liberté et à la sécurité de la personne</w:t>
      </w:r>
      <w:r w:rsidR="0034335C" w:rsidRPr="0088574B">
        <w:rPr>
          <w:spacing w:val="-2"/>
          <w:vertAlign w:val="superscript"/>
        </w:rPr>
        <w:footnoteReference w:id="25"/>
      </w:r>
      <w:r w:rsidR="0034335C" w:rsidRPr="0088574B">
        <w:rPr>
          <w:spacing w:val="-2"/>
        </w:rPr>
        <w:t>.</w:t>
      </w:r>
    </w:p>
    <w:p w14:paraId="1792D629" w14:textId="77777777" w:rsidR="00006AA7" w:rsidRDefault="00C62F50" w:rsidP="0088574B">
      <w:pPr>
        <w:pStyle w:val="SingleTxtG"/>
        <w:spacing w:line="236" w:lineRule="atLeast"/>
      </w:pPr>
      <w:r>
        <w:t>8</w:t>
      </w:r>
      <w:r w:rsidR="00BA7352">
        <w:t>.5</w:t>
      </w:r>
      <w:r w:rsidR="00BA7352">
        <w:tab/>
      </w:r>
      <w:r w:rsidR="004005F3">
        <w:t xml:space="preserve">Le Comité note </w:t>
      </w:r>
      <w:r w:rsidR="009B3AA0">
        <w:t>que l</w:t>
      </w:r>
      <w:r>
        <w:t xml:space="preserve">es </w:t>
      </w:r>
      <w:r w:rsidR="009B3AA0">
        <w:t>auteur</w:t>
      </w:r>
      <w:r>
        <w:t>s</w:t>
      </w:r>
      <w:r w:rsidR="009B3AA0">
        <w:t xml:space="preserve"> </w:t>
      </w:r>
      <w:r w:rsidR="00A05146">
        <w:t>ont</w:t>
      </w:r>
      <w:r w:rsidR="009B3AA0">
        <w:t xml:space="preserve"> vu </w:t>
      </w:r>
      <w:r w:rsidR="00A05146">
        <w:t>leur</w:t>
      </w:r>
      <w:r w:rsidR="009B3AA0">
        <w:t xml:space="preserve"> fils pour la dernière fois le </w:t>
      </w:r>
      <w:r w:rsidR="00A05146" w:rsidRPr="00A05146">
        <w:t>18 décembre 1994</w:t>
      </w:r>
      <w:r w:rsidR="009B3AA0">
        <w:t>. Ensuite, à des dates non-précisées</w:t>
      </w:r>
      <w:r w:rsidR="00A05146">
        <w:t xml:space="preserve"> en 2002</w:t>
      </w:r>
      <w:r w:rsidR="009B3AA0">
        <w:t xml:space="preserve">, </w:t>
      </w:r>
      <w:r w:rsidR="00A05146">
        <w:t xml:space="preserve">des militaires ont témoigné aux auteurs avoir vu </w:t>
      </w:r>
      <w:r w:rsidR="00A05146" w:rsidRPr="00A05146">
        <w:t xml:space="preserve">Rabah </w:t>
      </w:r>
      <w:proofErr w:type="spellStart"/>
      <w:r w:rsidR="00A05146" w:rsidRPr="00A05146">
        <w:t>Souaiene</w:t>
      </w:r>
      <w:proofErr w:type="spellEnd"/>
      <w:r w:rsidR="00A05146">
        <w:t xml:space="preserve"> alors qu’il était en détention </w:t>
      </w:r>
      <w:r w:rsidR="00A05146" w:rsidRPr="00453939">
        <w:t xml:space="preserve">à la caserne de </w:t>
      </w:r>
      <w:proofErr w:type="spellStart"/>
      <w:r w:rsidR="00A05146" w:rsidRPr="00453939">
        <w:t>Boumerdes</w:t>
      </w:r>
      <w:proofErr w:type="spellEnd"/>
      <w:r w:rsidR="00BA7352" w:rsidRPr="00BA7352">
        <w:t xml:space="preserve">. </w:t>
      </w:r>
      <w:r w:rsidR="00D97EBE">
        <w:t>Le Comité</w:t>
      </w:r>
      <w:r w:rsidR="00D97EBE" w:rsidRPr="00BA7352">
        <w:t xml:space="preserve"> </w:t>
      </w:r>
      <w:r w:rsidR="00BA7352" w:rsidRPr="00BA7352">
        <w:t xml:space="preserve">prend note </w:t>
      </w:r>
      <w:r w:rsidR="004B7CDE">
        <w:t>de ce</w:t>
      </w:r>
      <w:r w:rsidR="00BA7352" w:rsidRPr="00BA7352">
        <w:t xml:space="preserve"> que l’État partie n’a fourni aucun élément permettant de dé</w:t>
      </w:r>
      <w:r w:rsidR="00986BE8">
        <w:t xml:space="preserve">terminer ce qu’il est advenu </w:t>
      </w:r>
      <w:r w:rsidR="00CA0C4F">
        <w:t xml:space="preserve">de </w:t>
      </w:r>
      <w:r w:rsidR="00A05146" w:rsidRPr="00A05146">
        <w:t xml:space="preserve">Rabah </w:t>
      </w:r>
      <w:proofErr w:type="spellStart"/>
      <w:r w:rsidR="00A05146" w:rsidRPr="00A05146">
        <w:t>Souaiene</w:t>
      </w:r>
      <w:proofErr w:type="spellEnd"/>
      <w:r w:rsidR="00BA7352" w:rsidRPr="00BA7352">
        <w:t xml:space="preserve"> et n’a même jamais confirmé sa détention. </w:t>
      </w:r>
      <w:r w:rsidR="00F74C89">
        <w:t>Le Comité</w:t>
      </w:r>
      <w:r w:rsidR="00BA7352" w:rsidRPr="00BA7352">
        <w:t xml:space="preserve"> rappelle que, dans le cas des disparitions forcées, le fait de priver une personne de liberté puis de refuser de reconnaître cette privation de liberté ou de dissimuler le sort réservé à la personne disparue revient à soustraire cette personne à la protection de la loi et fait peser sur sa vie un risque </w:t>
      </w:r>
      <w:r w:rsidR="00C1690E">
        <w:t xml:space="preserve">grave et </w:t>
      </w:r>
      <w:r w:rsidR="00CA0C4F">
        <w:t>constant</w:t>
      </w:r>
      <w:r w:rsidR="00BA7352" w:rsidRPr="00BA7352">
        <w:t>, dont l’État est responsable</w:t>
      </w:r>
      <w:r w:rsidR="00BA7352" w:rsidRPr="00BA7352">
        <w:rPr>
          <w:vertAlign w:val="superscript"/>
        </w:rPr>
        <w:footnoteReference w:id="26"/>
      </w:r>
      <w:r w:rsidR="00BA7352" w:rsidRPr="00BA7352">
        <w:t>. En l’espèce, le Comité constate que l’État partie n’a fourni aucun élément susceptible de démontrer qu’il s’est acquitté de son o</w:t>
      </w:r>
      <w:r w:rsidR="00986BE8">
        <w:t xml:space="preserve">bligation de protéger la vie </w:t>
      </w:r>
      <w:r w:rsidR="00CA0C4F">
        <w:t xml:space="preserve">de </w:t>
      </w:r>
      <w:r w:rsidR="00A05146" w:rsidRPr="00A05146">
        <w:t xml:space="preserve">Rabah </w:t>
      </w:r>
      <w:proofErr w:type="spellStart"/>
      <w:r w:rsidR="00A05146" w:rsidRPr="00A05146">
        <w:t>Souaiene</w:t>
      </w:r>
      <w:proofErr w:type="spellEnd"/>
      <w:r w:rsidR="00BA7352" w:rsidRPr="00BA7352">
        <w:t>. En conséquence, il conclut que l’État partie a failli à son o</w:t>
      </w:r>
      <w:r w:rsidR="00986BE8">
        <w:t xml:space="preserve">bligation de protéger la vie </w:t>
      </w:r>
      <w:r w:rsidR="00CA0C4F">
        <w:t xml:space="preserve">de </w:t>
      </w:r>
      <w:r w:rsidR="00A05146" w:rsidRPr="00A05146">
        <w:t xml:space="preserve">Rabah </w:t>
      </w:r>
      <w:proofErr w:type="spellStart"/>
      <w:r w:rsidR="00A05146" w:rsidRPr="00A05146">
        <w:t>Souaiene</w:t>
      </w:r>
      <w:proofErr w:type="spellEnd"/>
      <w:r w:rsidR="0032298B">
        <w:t xml:space="preserve">, en violation du paragraphe 1 de l’article </w:t>
      </w:r>
      <w:r w:rsidR="00BA7352" w:rsidRPr="00BA7352">
        <w:t>6 du Pacte.</w:t>
      </w:r>
    </w:p>
    <w:p w14:paraId="772E983E" w14:textId="223CF5EB" w:rsidR="00F74C89" w:rsidRDefault="00A05146" w:rsidP="0088574B">
      <w:pPr>
        <w:pStyle w:val="SingleTxtG"/>
        <w:spacing w:line="236" w:lineRule="atLeast"/>
      </w:pPr>
      <w:r>
        <w:t>8</w:t>
      </w:r>
      <w:r w:rsidR="00F74C89">
        <w:t>.6</w:t>
      </w:r>
      <w:r w:rsidR="00F74C89">
        <w:tab/>
      </w:r>
      <w:r w:rsidR="0032298B" w:rsidRPr="0032298B">
        <w:t>Le Comité reconnaît le degré de souffrance qu’implique une détention sans contact avec le monde extérieur pendant une durée indéfinie. Il rappelle son observation générale n</w:t>
      </w:r>
      <w:r w:rsidR="0032298B" w:rsidRPr="0032298B">
        <w:rPr>
          <w:vertAlign w:val="superscript"/>
        </w:rPr>
        <w:t>o</w:t>
      </w:r>
      <w:r w:rsidR="0032298B" w:rsidRPr="0032298B">
        <w:t xml:space="preserve"> 20 (1992) sur l’interdiction de la torture et des peines ou traitements cruels, inhumains ou dégradants, dans laquelle il </w:t>
      </w:r>
      <w:r w:rsidR="0032298B" w:rsidRPr="00BE493D">
        <w:t>recommande</w:t>
      </w:r>
      <w:r w:rsidR="0032298B" w:rsidRPr="0032298B">
        <w:t xml:space="preserve"> aux États parties de prendre des dispositions pour interdire la détention au</w:t>
      </w:r>
      <w:r w:rsidR="0032298B">
        <w:t xml:space="preserve"> secret. Il note en l’espèce qu’après avoir </w:t>
      </w:r>
      <w:r w:rsidR="00986BE8">
        <w:t>eu des nouvelles de la part de</w:t>
      </w:r>
      <w:r>
        <w:t xml:space="preserve">s militaires </w:t>
      </w:r>
      <w:r w:rsidR="0015100B">
        <w:t>qui ont</w:t>
      </w:r>
      <w:r w:rsidR="00986BE8">
        <w:t xml:space="preserve"> </w:t>
      </w:r>
      <w:r w:rsidR="00993959">
        <w:t xml:space="preserve">affirmé avoir </w:t>
      </w:r>
      <w:r w:rsidR="00FC475E">
        <w:t xml:space="preserve">vu </w:t>
      </w:r>
      <w:r>
        <w:t xml:space="preserve">leur </w:t>
      </w:r>
      <w:r w:rsidR="00142097">
        <w:t xml:space="preserve">fils dans </w:t>
      </w:r>
      <w:r>
        <w:t xml:space="preserve">la </w:t>
      </w:r>
      <w:r w:rsidRPr="00A05146">
        <w:t xml:space="preserve">caserne de </w:t>
      </w:r>
      <w:proofErr w:type="spellStart"/>
      <w:r w:rsidRPr="00A05146">
        <w:t>Boumerdes</w:t>
      </w:r>
      <w:proofErr w:type="spellEnd"/>
      <w:r w:rsidR="004C6EF9">
        <w:t xml:space="preserve">, </w:t>
      </w:r>
      <w:r>
        <w:t xml:space="preserve">les </w:t>
      </w:r>
      <w:r w:rsidR="0032298B" w:rsidRPr="0032298B">
        <w:t>auteur</w:t>
      </w:r>
      <w:r>
        <w:t>s</w:t>
      </w:r>
      <w:r w:rsidR="0032298B" w:rsidRPr="0032298B">
        <w:t xml:space="preserve"> n’</w:t>
      </w:r>
      <w:r>
        <w:t>ont</w:t>
      </w:r>
      <w:r w:rsidR="0032298B" w:rsidRPr="0032298B">
        <w:t xml:space="preserve"> </w:t>
      </w:r>
      <w:r w:rsidR="0010188B">
        <w:t xml:space="preserve">plus </w:t>
      </w:r>
      <w:r w:rsidR="0032298B" w:rsidRPr="0032298B">
        <w:t xml:space="preserve">jamais eu la moindre information sur </w:t>
      </w:r>
      <w:r w:rsidR="0010188B">
        <w:t>son</w:t>
      </w:r>
      <w:r w:rsidR="0010188B" w:rsidRPr="0032298B">
        <w:t xml:space="preserve"> </w:t>
      </w:r>
      <w:r w:rsidR="0032298B" w:rsidRPr="0032298B">
        <w:t xml:space="preserve">sort ou lieu de détention </w:t>
      </w:r>
      <w:r w:rsidR="0010188B">
        <w:t>malgré plusieurs</w:t>
      </w:r>
      <w:r w:rsidR="004C6EF9">
        <w:t xml:space="preserve"> et successives</w:t>
      </w:r>
      <w:r w:rsidR="0010188B">
        <w:t xml:space="preserve"> requêtes présentées aux autorités étatiques</w:t>
      </w:r>
      <w:r w:rsidR="00986BE8">
        <w:t xml:space="preserve">. Le Comité estime donc </w:t>
      </w:r>
      <w:r w:rsidR="0015100B">
        <w:t xml:space="preserve">que </w:t>
      </w:r>
      <w:r w:rsidRPr="00A05146">
        <w:t xml:space="preserve">Rabah </w:t>
      </w:r>
      <w:proofErr w:type="spellStart"/>
      <w:r w:rsidRPr="00A05146">
        <w:t>Souaiene</w:t>
      </w:r>
      <w:proofErr w:type="spellEnd"/>
      <w:r w:rsidR="0032298B">
        <w:t xml:space="preserve">, disparu le </w:t>
      </w:r>
      <w:r w:rsidRPr="00A05146">
        <w:t>18 décembre 1994</w:t>
      </w:r>
      <w:r w:rsidR="0032298B" w:rsidRPr="0032298B">
        <w:t>, serait potentiellement toujours détenu au secret par les autorités algériennes. En l’absence de toute explication de la part de l’État partie, le Comité considère que</w:t>
      </w:r>
      <w:r w:rsidR="004B7CDE">
        <w:t xml:space="preserve"> la </w:t>
      </w:r>
      <w:r w:rsidR="0032298B" w:rsidRPr="0032298B">
        <w:t xml:space="preserve">disparition </w:t>
      </w:r>
      <w:r w:rsidR="004B7CDE">
        <w:t xml:space="preserve">de </w:t>
      </w:r>
      <w:r w:rsidRPr="00A05146">
        <w:t xml:space="preserve">Rabah </w:t>
      </w:r>
      <w:proofErr w:type="spellStart"/>
      <w:r w:rsidRPr="00A05146">
        <w:t>Souaiene</w:t>
      </w:r>
      <w:proofErr w:type="spellEnd"/>
      <w:r w:rsidR="004B7CDE" w:rsidRPr="0032298B">
        <w:t xml:space="preserve"> </w:t>
      </w:r>
      <w:r w:rsidR="0032298B" w:rsidRPr="0032298B">
        <w:t>const</w:t>
      </w:r>
      <w:r w:rsidR="0032298B">
        <w:t xml:space="preserve">itue une violation de l’article </w:t>
      </w:r>
      <w:r w:rsidR="0032298B" w:rsidRPr="0032298B">
        <w:t>7 du P</w:t>
      </w:r>
      <w:r w:rsidR="0032298B">
        <w:t xml:space="preserve">acte à </w:t>
      </w:r>
      <w:r w:rsidR="007C45E6">
        <w:t xml:space="preserve">son </w:t>
      </w:r>
      <w:r w:rsidR="00986BE8">
        <w:t>égard</w:t>
      </w:r>
      <w:r w:rsidR="0032298B" w:rsidRPr="0032298B">
        <w:rPr>
          <w:vertAlign w:val="superscript"/>
        </w:rPr>
        <w:footnoteReference w:id="27"/>
      </w:r>
      <w:r w:rsidR="0032298B" w:rsidRPr="0032298B">
        <w:t>.</w:t>
      </w:r>
    </w:p>
    <w:p w14:paraId="519368F3" w14:textId="77777777" w:rsidR="0032298B" w:rsidRDefault="00A05146" w:rsidP="00410779">
      <w:pPr>
        <w:pStyle w:val="SingleTxtG"/>
      </w:pPr>
      <w:r>
        <w:lastRenderedPageBreak/>
        <w:t>8</w:t>
      </w:r>
      <w:r w:rsidR="0032298B">
        <w:t>.7</w:t>
      </w:r>
      <w:r w:rsidR="0032298B">
        <w:tab/>
      </w:r>
      <w:r w:rsidR="0032298B" w:rsidRPr="0032298B">
        <w:t>Au vu de ce qui précède, le Comité n’examinera pas séparément les griefs tirés de la violation de l’article 10 du Pacte</w:t>
      </w:r>
      <w:r w:rsidR="0032298B" w:rsidRPr="0032298B">
        <w:rPr>
          <w:vertAlign w:val="superscript"/>
        </w:rPr>
        <w:footnoteReference w:id="28"/>
      </w:r>
      <w:r w:rsidR="0032298B" w:rsidRPr="0032298B">
        <w:t>.</w:t>
      </w:r>
    </w:p>
    <w:p w14:paraId="1F2E17CF" w14:textId="77777777" w:rsidR="00BA7352" w:rsidRPr="0088574B" w:rsidRDefault="00A05146" w:rsidP="00410779">
      <w:pPr>
        <w:pStyle w:val="SingleTxtG"/>
        <w:rPr>
          <w:spacing w:val="-3"/>
        </w:rPr>
      </w:pPr>
      <w:r w:rsidRPr="0088574B">
        <w:rPr>
          <w:spacing w:val="-3"/>
        </w:rPr>
        <w:t>8</w:t>
      </w:r>
      <w:r w:rsidR="0032298B" w:rsidRPr="0088574B">
        <w:rPr>
          <w:spacing w:val="-3"/>
        </w:rPr>
        <w:t>.8</w:t>
      </w:r>
      <w:r w:rsidR="0032298B" w:rsidRPr="0088574B">
        <w:rPr>
          <w:spacing w:val="-3"/>
        </w:rPr>
        <w:tab/>
      </w:r>
      <w:r w:rsidR="005463A6" w:rsidRPr="0088574B">
        <w:rPr>
          <w:spacing w:val="-3"/>
        </w:rPr>
        <w:t>Le Comité prend acte également de l’angoisse et de la détresse que l</w:t>
      </w:r>
      <w:r w:rsidR="003040EA" w:rsidRPr="0088574B">
        <w:rPr>
          <w:spacing w:val="-3"/>
        </w:rPr>
        <w:t xml:space="preserve">a disparition </w:t>
      </w:r>
      <w:r w:rsidR="0015100B" w:rsidRPr="0088574B">
        <w:rPr>
          <w:spacing w:val="-3"/>
        </w:rPr>
        <w:t xml:space="preserve">de </w:t>
      </w:r>
      <w:r w:rsidRPr="0088574B">
        <w:rPr>
          <w:spacing w:val="-3"/>
        </w:rPr>
        <w:t xml:space="preserve">Rabah </w:t>
      </w:r>
      <w:proofErr w:type="spellStart"/>
      <w:r w:rsidRPr="0088574B">
        <w:rPr>
          <w:spacing w:val="-3"/>
        </w:rPr>
        <w:t>Souaiene</w:t>
      </w:r>
      <w:proofErr w:type="spellEnd"/>
      <w:r w:rsidR="004C6EF9" w:rsidRPr="0088574B">
        <w:rPr>
          <w:spacing w:val="-3"/>
        </w:rPr>
        <w:t>, depuis plus de 2</w:t>
      </w:r>
      <w:r w:rsidRPr="0088574B">
        <w:rPr>
          <w:spacing w:val="-3"/>
        </w:rPr>
        <w:t>5</w:t>
      </w:r>
      <w:r w:rsidR="004C6EF9" w:rsidRPr="0088574B">
        <w:rPr>
          <w:spacing w:val="-3"/>
        </w:rPr>
        <w:t xml:space="preserve"> ans,</w:t>
      </w:r>
      <w:r w:rsidR="005463A6" w:rsidRPr="0088574B">
        <w:rPr>
          <w:spacing w:val="-3"/>
        </w:rPr>
        <w:t xml:space="preserve"> a causé </w:t>
      </w:r>
      <w:r w:rsidRPr="0088574B">
        <w:rPr>
          <w:spacing w:val="-3"/>
        </w:rPr>
        <w:t>aux auteurs</w:t>
      </w:r>
      <w:r w:rsidR="005463A6" w:rsidRPr="0088574B">
        <w:rPr>
          <w:spacing w:val="-3"/>
        </w:rPr>
        <w:t>. Il considère</w:t>
      </w:r>
      <w:r w:rsidR="007C45E6" w:rsidRPr="0088574B">
        <w:rPr>
          <w:spacing w:val="-3"/>
        </w:rPr>
        <w:t xml:space="preserve"> à cet égard</w:t>
      </w:r>
      <w:r w:rsidR="005463A6" w:rsidRPr="0088574B">
        <w:rPr>
          <w:spacing w:val="-3"/>
        </w:rPr>
        <w:t xml:space="preserve"> que les faits dont il est saisi font apparaître une violation de l’article 7 du Pacte à l’égard de</w:t>
      </w:r>
      <w:r w:rsidRPr="0088574B">
        <w:rPr>
          <w:spacing w:val="-3"/>
        </w:rPr>
        <w:t>s</w:t>
      </w:r>
      <w:r w:rsidR="005463A6" w:rsidRPr="0088574B">
        <w:rPr>
          <w:spacing w:val="-3"/>
        </w:rPr>
        <w:t xml:space="preserve"> auteur</w:t>
      </w:r>
      <w:r w:rsidRPr="0088574B">
        <w:rPr>
          <w:spacing w:val="-3"/>
        </w:rPr>
        <w:t>s</w:t>
      </w:r>
      <w:r w:rsidR="005463A6" w:rsidRPr="0088574B">
        <w:rPr>
          <w:spacing w:val="-3"/>
          <w:vertAlign w:val="superscript"/>
        </w:rPr>
        <w:footnoteReference w:id="29"/>
      </w:r>
      <w:r w:rsidR="005463A6" w:rsidRPr="0088574B">
        <w:rPr>
          <w:spacing w:val="-3"/>
        </w:rPr>
        <w:t>.</w:t>
      </w:r>
    </w:p>
    <w:p w14:paraId="46541865" w14:textId="77777777" w:rsidR="00410779" w:rsidRDefault="00A05146" w:rsidP="00410779">
      <w:pPr>
        <w:pStyle w:val="SingleTxtG"/>
      </w:pPr>
      <w:r>
        <w:t>8</w:t>
      </w:r>
      <w:r w:rsidR="00410779" w:rsidRPr="00410779">
        <w:t>.9</w:t>
      </w:r>
      <w:r w:rsidR="00410779" w:rsidRPr="00410779">
        <w:tab/>
      </w:r>
      <w:bookmarkStart w:id="3" w:name="_Hlk27402397"/>
      <w:r w:rsidR="00410779" w:rsidRPr="00410779">
        <w:t>En ce qui concerne les g</w:t>
      </w:r>
      <w:r w:rsidR="00F261FA">
        <w:t xml:space="preserve">riefs de violation de l’article </w:t>
      </w:r>
      <w:r w:rsidR="00410779" w:rsidRPr="00410779">
        <w:t>9 du Pacte, le Comité prend note des allégations de</w:t>
      </w:r>
      <w:r>
        <w:t>s</w:t>
      </w:r>
      <w:r w:rsidR="00410779" w:rsidRPr="00410779">
        <w:t xml:space="preserve"> </w:t>
      </w:r>
      <w:r>
        <w:t>a</w:t>
      </w:r>
      <w:r w:rsidR="00410779" w:rsidRPr="00410779">
        <w:t>uteur</w:t>
      </w:r>
      <w:r>
        <w:t>s</w:t>
      </w:r>
      <w:r w:rsidR="00410779" w:rsidRPr="00410779">
        <w:t xml:space="preserve"> selon lesquelles </w:t>
      </w:r>
      <w:bookmarkEnd w:id="3"/>
      <w:r w:rsidRPr="00A05146">
        <w:t xml:space="preserve">Rabah </w:t>
      </w:r>
      <w:proofErr w:type="spellStart"/>
      <w:r w:rsidRPr="00A05146">
        <w:t>Souaiene</w:t>
      </w:r>
      <w:proofErr w:type="spellEnd"/>
      <w:r w:rsidR="00410779" w:rsidRPr="00410779">
        <w:t xml:space="preserve"> a été arrêté arbitrairement, sans mandat, et n’a été </w:t>
      </w:r>
      <w:r w:rsidR="00C1690E">
        <w:t xml:space="preserve">ni </w:t>
      </w:r>
      <w:r w:rsidR="00410779" w:rsidRPr="00410779">
        <w:t>inculpé ni présenté devant une autorité judiciaire auprès de laquelle il aurait pu contester la légalité de sa détention. L’État partie n’ayant communiqué aucune information à ce sujet, le Comité considère qu’il convient d’accorder le crédit voulu aux allégations de</w:t>
      </w:r>
      <w:r w:rsidR="00C03ED0">
        <w:t>s</w:t>
      </w:r>
      <w:r w:rsidR="00410779" w:rsidRPr="00410779">
        <w:t xml:space="preserve"> auteur</w:t>
      </w:r>
      <w:r w:rsidR="00C03ED0">
        <w:t>s</w:t>
      </w:r>
      <w:r w:rsidR="00410779" w:rsidRPr="00D3513E">
        <w:rPr>
          <w:rStyle w:val="FootnoteReference"/>
        </w:rPr>
        <w:footnoteReference w:id="30"/>
      </w:r>
      <w:r w:rsidR="00410779" w:rsidRPr="00410779">
        <w:t xml:space="preserve">. Le Comité conclut </w:t>
      </w:r>
      <w:bookmarkStart w:id="4" w:name="_Hlk27403641"/>
      <w:r w:rsidR="00410779" w:rsidRPr="00410779">
        <w:t>do</w:t>
      </w:r>
      <w:r w:rsidR="00F261FA">
        <w:t xml:space="preserve">nc à une violation de l’article </w:t>
      </w:r>
      <w:r w:rsidR="00410779" w:rsidRPr="00410779">
        <w:t>9 du P</w:t>
      </w:r>
      <w:r w:rsidR="008B5FCC">
        <w:t xml:space="preserve">acte à l’égard </w:t>
      </w:r>
      <w:bookmarkEnd w:id="4"/>
      <w:r w:rsidR="0015100B">
        <w:t xml:space="preserve">de </w:t>
      </w:r>
      <w:r w:rsidR="00C03ED0" w:rsidRPr="00C03ED0">
        <w:t xml:space="preserve">Rabah </w:t>
      </w:r>
      <w:proofErr w:type="spellStart"/>
      <w:r w:rsidR="00C03ED0" w:rsidRPr="00C03ED0">
        <w:t>Souaiene</w:t>
      </w:r>
      <w:proofErr w:type="spellEnd"/>
      <w:r w:rsidR="00410779" w:rsidRPr="00D3513E">
        <w:rPr>
          <w:rStyle w:val="FootnoteReference"/>
        </w:rPr>
        <w:footnoteReference w:id="31"/>
      </w:r>
      <w:r w:rsidR="00410779" w:rsidRPr="00410779">
        <w:t>.</w:t>
      </w:r>
    </w:p>
    <w:p w14:paraId="2338BD60" w14:textId="03A91885" w:rsidR="00386538" w:rsidRDefault="00C03ED0" w:rsidP="00410779">
      <w:pPr>
        <w:pStyle w:val="SingleTxtG"/>
      </w:pPr>
      <w:r>
        <w:t>8</w:t>
      </w:r>
      <w:r w:rsidR="00386538">
        <w:t>.10</w:t>
      </w:r>
      <w:r w:rsidR="00386538">
        <w:tab/>
      </w:r>
      <w:r w:rsidR="007C45E6">
        <w:t>Le Comité prend également note des allégations de</w:t>
      </w:r>
      <w:r>
        <w:t>s</w:t>
      </w:r>
      <w:r w:rsidR="007C45E6">
        <w:t xml:space="preserve"> </w:t>
      </w:r>
      <w:r>
        <w:t>a</w:t>
      </w:r>
      <w:r w:rsidR="00386538">
        <w:t>uteur</w:t>
      </w:r>
      <w:r>
        <w:t>s</w:t>
      </w:r>
      <w:r w:rsidR="00386538">
        <w:t xml:space="preserve"> </w:t>
      </w:r>
      <w:r w:rsidR="007C45E6">
        <w:t>selon lesquelles</w:t>
      </w:r>
      <w:r w:rsidR="00386538">
        <w:t xml:space="preserve"> le manque d’accès aux autorités judiciaires de l’État partie</w:t>
      </w:r>
      <w:r w:rsidR="007C45E6">
        <w:t xml:space="preserve"> qu’</w:t>
      </w:r>
      <w:r>
        <w:t>ils ont</w:t>
      </w:r>
      <w:r w:rsidR="007C45E6">
        <w:t xml:space="preserve"> souffert constitue une violation de l’article 14 du Pacte</w:t>
      </w:r>
      <w:r w:rsidR="00386538">
        <w:t>.</w:t>
      </w:r>
      <w:r w:rsidR="00386538" w:rsidRPr="00386538">
        <w:rPr>
          <w:lang w:val="fr-FR"/>
        </w:rPr>
        <w:t xml:space="preserve"> </w:t>
      </w:r>
      <w:r w:rsidR="00386538">
        <w:rPr>
          <w:lang w:val="fr-FR"/>
        </w:rPr>
        <w:t>Le Comité rappelle son observation générale n</w:t>
      </w:r>
      <w:r w:rsidR="00386538" w:rsidRPr="001D4F61">
        <w:rPr>
          <w:vertAlign w:val="superscript"/>
          <w:lang w:val="fr-FR"/>
        </w:rPr>
        <w:t>o</w:t>
      </w:r>
      <w:r w:rsidR="00386538">
        <w:rPr>
          <w:lang w:val="fr-FR"/>
        </w:rPr>
        <w:t xml:space="preserve"> 32 (2007) sur l’article 14 – d</w:t>
      </w:r>
      <w:r w:rsidR="00386538" w:rsidRPr="001D4F61">
        <w:rPr>
          <w:lang w:val="fr-FR"/>
        </w:rPr>
        <w:t>roit à l’égalité devant les tribunaux et les cours de justice</w:t>
      </w:r>
      <w:r w:rsidR="00386538">
        <w:rPr>
          <w:lang w:val="fr-FR"/>
        </w:rPr>
        <w:t xml:space="preserve"> </w:t>
      </w:r>
      <w:r w:rsidR="00386538" w:rsidRPr="001D4F61">
        <w:rPr>
          <w:lang w:val="fr-FR"/>
        </w:rPr>
        <w:t>et à un procès équitable</w:t>
      </w:r>
      <w:r w:rsidR="00386538">
        <w:rPr>
          <w:lang w:val="fr-FR"/>
        </w:rPr>
        <w:t xml:space="preserve">, </w:t>
      </w:r>
      <w:r w:rsidR="007C45E6">
        <w:rPr>
          <w:lang w:val="fr-FR"/>
        </w:rPr>
        <w:t xml:space="preserve">où </w:t>
      </w:r>
      <w:r w:rsidR="00386538">
        <w:rPr>
          <w:lang w:val="fr-FR"/>
        </w:rPr>
        <w:t>il indique notamment qu’u</w:t>
      </w:r>
      <w:r w:rsidR="00386538" w:rsidRPr="001D4F61">
        <w:rPr>
          <w:lang w:val="fr-FR"/>
        </w:rPr>
        <w:t xml:space="preserve">ne situation dans laquelle les tentatives d’une personne pour saisir les tribunaux ou les cours de justice compétents sont systématiquement entravées va </w:t>
      </w:r>
      <w:r w:rsidR="00386538" w:rsidRPr="001D4F61">
        <w:rPr>
          <w:i/>
          <w:lang w:val="fr-FR"/>
        </w:rPr>
        <w:t>de jure</w:t>
      </w:r>
      <w:r w:rsidR="00386538" w:rsidRPr="001D4F61">
        <w:rPr>
          <w:lang w:val="fr-FR"/>
        </w:rPr>
        <w:t xml:space="preserve"> ou </w:t>
      </w:r>
      <w:r w:rsidR="00386538" w:rsidRPr="001D4F61">
        <w:rPr>
          <w:i/>
          <w:lang w:val="fr-FR"/>
        </w:rPr>
        <w:t>de facto</w:t>
      </w:r>
      <w:r w:rsidR="00386538" w:rsidRPr="001D4F61">
        <w:rPr>
          <w:lang w:val="fr-FR"/>
        </w:rPr>
        <w:t xml:space="preserve"> à l’encontre de la garantie énoncée dans la première phrase du paragraphe 1 de l’article 14</w:t>
      </w:r>
      <w:r w:rsidR="00386538">
        <w:rPr>
          <w:lang w:val="fr-FR"/>
        </w:rPr>
        <w:t>. En l’espèce, le Comité note que</w:t>
      </w:r>
      <w:r w:rsidR="00386538" w:rsidRPr="00386538">
        <w:rPr>
          <w:lang w:val="fr-FR"/>
        </w:rPr>
        <w:t xml:space="preserve"> toutes les démarches </w:t>
      </w:r>
      <w:r w:rsidR="00386538">
        <w:rPr>
          <w:lang w:val="fr-FR"/>
        </w:rPr>
        <w:t>de</w:t>
      </w:r>
      <w:r>
        <w:rPr>
          <w:lang w:val="fr-FR"/>
        </w:rPr>
        <w:t>s</w:t>
      </w:r>
      <w:r w:rsidR="00386538">
        <w:rPr>
          <w:lang w:val="fr-FR"/>
        </w:rPr>
        <w:t xml:space="preserve"> auteur</w:t>
      </w:r>
      <w:r>
        <w:rPr>
          <w:lang w:val="fr-FR"/>
        </w:rPr>
        <w:t>s</w:t>
      </w:r>
      <w:r w:rsidR="00386538">
        <w:rPr>
          <w:lang w:val="fr-FR"/>
        </w:rPr>
        <w:t xml:space="preserve"> </w:t>
      </w:r>
      <w:r w:rsidR="00386538" w:rsidRPr="00386538">
        <w:rPr>
          <w:lang w:val="fr-FR"/>
        </w:rPr>
        <w:t>engagées auprès des autorités judiciaires sont demeurées infructueuses</w:t>
      </w:r>
      <w:r w:rsidR="00386538">
        <w:rPr>
          <w:lang w:val="fr-FR"/>
        </w:rPr>
        <w:t>.</w:t>
      </w:r>
      <w:r w:rsidR="00D769CA">
        <w:rPr>
          <w:lang w:val="fr-FR"/>
        </w:rPr>
        <w:t xml:space="preserve"> Il renvoie</w:t>
      </w:r>
      <w:r w:rsidR="00D769CA" w:rsidRPr="00D769CA">
        <w:rPr>
          <w:lang w:val="fr-FR"/>
        </w:rPr>
        <w:t xml:space="preserve"> à ses observations finales de 2018 sur le quatrième rapport périodique de l’Algérie</w:t>
      </w:r>
      <w:r w:rsidR="00D769CA">
        <w:rPr>
          <w:lang w:val="fr-FR"/>
        </w:rPr>
        <w:t xml:space="preserve">, </w:t>
      </w:r>
      <w:r w:rsidR="007C45E6">
        <w:rPr>
          <w:lang w:val="fr-FR"/>
        </w:rPr>
        <w:t>dans lesquelles</w:t>
      </w:r>
      <w:r w:rsidR="00D769CA">
        <w:rPr>
          <w:lang w:val="fr-FR"/>
        </w:rPr>
        <w:t xml:space="preserve"> il a </w:t>
      </w:r>
      <w:r w:rsidR="002A630C">
        <w:rPr>
          <w:lang w:val="fr-FR"/>
        </w:rPr>
        <w:t>exprimé ses préoccupations quant aux articles 45 et 46</w:t>
      </w:r>
      <w:r w:rsidR="00993959">
        <w:rPr>
          <w:lang w:val="fr-FR"/>
        </w:rPr>
        <w:t xml:space="preserve"> de</w:t>
      </w:r>
      <w:r w:rsidR="002A630C">
        <w:rPr>
          <w:lang w:val="fr-FR"/>
        </w:rPr>
        <w:t xml:space="preserve"> </w:t>
      </w:r>
      <w:r w:rsidR="002A630C" w:rsidRPr="00006AA7">
        <w:t>l’ordonnance n</w:t>
      </w:r>
      <w:r w:rsidR="002A630C" w:rsidRPr="00006AA7">
        <w:rPr>
          <w:vertAlign w:val="superscript"/>
        </w:rPr>
        <w:t>o</w:t>
      </w:r>
      <w:r w:rsidR="002A630C">
        <w:t xml:space="preserve"> </w:t>
      </w:r>
      <w:r w:rsidR="002A630C" w:rsidRPr="00006AA7">
        <w:t>06-01 portant mise en œuvre de la Charte pour la paix et la réconciliation nationale</w:t>
      </w:r>
      <w:r w:rsidR="002A630C">
        <w:t xml:space="preserve">, qui portent atteinte au droit de toute personne d’avoir </w:t>
      </w:r>
      <w:r w:rsidR="00007058">
        <w:t>accès</w:t>
      </w:r>
      <w:r w:rsidR="002A630C">
        <w:t xml:space="preserve"> à un recours effectif contre des violations des droits de l’homme</w:t>
      </w:r>
      <w:r w:rsidR="002A630C">
        <w:rPr>
          <w:rStyle w:val="FootnoteReference"/>
        </w:rPr>
        <w:footnoteReference w:id="32"/>
      </w:r>
      <w:r w:rsidR="002A630C">
        <w:t>.</w:t>
      </w:r>
      <w:r w:rsidR="00007058">
        <w:t xml:space="preserve"> Ce droit inclut également le droit d’accès à un tribunal, comme prévu à l’article 14 (par. 1) du Pacte. En conséquence, le Comité</w:t>
      </w:r>
      <w:r w:rsidR="00007058" w:rsidRPr="00007058">
        <w:t xml:space="preserve"> conclut que l’État par</w:t>
      </w:r>
      <w:r w:rsidR="00007058">
        <w:t xml:space="preserve">tie a failli à son obligation d’assurer </w:t>
      </w:r>
      <w:r>
        <w:t>aux</w:t>
      </w:r>
      <w:r w:rsidR="00007058">
        <w:t xml:space="preserve"> auteur</w:t>
      </w:r>
      <w:r>
        <w:t>s</w:t>
      </w:r>
      <w:r w:rsidR="00007058">
        <w:t xml:space="preserve"> </w:t>
      </w:r>
      <w:r w:rsidR="007F3BD7">
        <w:t>l’</w:t>
      </w:r>
      <w:r w:rsidR="00007058">
        <w:t>accès à un tribunal</w:t>
      </w:r>
      <w:r w:rsidR="00007058" w:rsidRPr="00007058">
        <w:t>, en violatio</w:t>
      </w:r>
      <w:r w:rsidR="00007058">
        <w:t>n du paragraphe 1 de l’article 14</w:t>
      </w:r>
      <w:r w:rsidR="00007058" w:rsidRPr="00007058">
        <w:t xml:space="preserve"> du Pacte.</w:t>
      </w:r>
    </w:p>
    <w:p w14:paraId="52C5C7D1" w14:textId="77777777" w:rsidR="00E642C6" w:rsidRDefault="00C03ED0" w:rsidP="00410779">
      <w:pPr>
        <w:pStyle w:val="SingleTxtG"/>
      </w:pPr>
      <w:r>
        <w:t>8</w:t>
      </w:r>
      <w:r w:rsidR="003073A3">
        <w:t>.1</w:t>
      </w:r>
      <w:r w:rsidR="00007058">
        <w:t>1</w:t>
      </w:r>
      <w:r w:rsidR="003073A3">
        <w:tab/>
      </w:r>
      <w:r w:rsidR="003073A3" w:rsidRPr="003073A3">
        <w:t>Le Comité est d’avis que la soustraction délibérée d’une personne à la protection de la loi constitue un déni du droit de cette personne à la reconnaissance de sa personnalité juridique, en particuli</w:t>
      </w:r>
      <w:r w:rsidR="007C45E6">
        <w:t>er si les efforts déployés par s</w:t>
      </w:r>
      <w:r w:rsidR="003073A3" w:rsidRPr="003073A3">
        <w:t>es proches pour exercer leur droit à un recours effectif ont été systématiquement entravés</w:t>
      </w:r>
      <w:r w:rsidR="003073A3" w:rsidRPr="003073A3">
        <w:rPr>
          <w:vertAlign w:val="superscript"/>
        </w:rPr>
        <w:footnoteReference w:id="33"/>
      </w:r>
      <w:r w:rsidR="003073A3" w:rsidRPr="003073A3">
        <w:t>. Dans le cas présent, le Comité note que l’État partie n’a fourni</w:t>
      </w:r>
      <w:r w:rsidR="005F6467">
        <w:t xml:space="preserve"> aucune explication sur le sort </w:t>
      </w:r>
      <w:r w:rsidR="0015100B">
        <w:t xml:space="preserve">de </w:t>
      </w:r>
      <w:r w:rsidR="007B7777" w:rsidRPr="007B7777">
        <w:t xml:space="preserve">Rabah </w:t>
      </w:r>
      <w:proofErr w:type="spellStart"/>
      <w:r w:rsidR="007B7777" w:rsidRPr="007B7777">
        <w:t>Souaiene</w:t>
      </w:r>
      <w:proofErr w:type="spellEnd"/>
      <w:r w:rsidR="003073A3" w:rsidRPr="003073A3">
        <w:t>, ni sur le lieu où il se trouverait, en dépit des démarche</w:t>
      </w:r>
      <w:r w:rsidR="005F6467">
        <w:t xml:space="preserve">s de ses proches et du fait </w:t>
      </w:r>
      <w:r w:rsidR="0015100B">
        <w:t xml:space="preserve">que </w:t>
      </w:r>
      <w:r w:rsidR="007B7777" w:rsidRPr="007B7777">
        <w:t xml:space="preserve">Rabah </w:t>
      </w:r>
      <w:proofErr w:type="spellStart"/>
      <w:r w:rsidR="007B7777" w:rsidRPr="007B7777">
        <w:t>Souaiene</w:t>
      </w:r>
      <w:proofErr w:type="spellEnd"/>
      <w:r w:rsidR="003073A3" w:rsidRPr="003073A3">
        <w:t xml:space="preserve"> était entre les mains des autorités de l’État</w:t>
      </w:r>
      <w:r w:rsidR="0010188B">
        <w:t xml:space="preserve"> partie</w:t>
      </w:r>
      <w:r w:rsidR="003073A3" w:rsidRPr="003073A3">
        <w:t xml:space="preserve"> lors de sa dernière apparition. Le Comité concl</w:t>
      </w:r>
      <w:r w:rsidR="005F6467">
        <w:t xml:space="preserve">ut que la disparition forcée </w:t>
      </w:r>
      <w:r w:rsidR="0015100B">
        <w:t xml:space="preserve">de </w:t>
      </w:r>
      <w:r w:rsidR="007B7777" w:rsidRPr="007B7777">
        <w:t xml:space="preserve">Rabah </w:t>
      </w:r>
      <w:proofErr w:type="spellStart"/>
      <w:r w:rsidR="007B7777" w:rsidRPr="007B7777">
        <w:t>Souaiene</w:t>
      </w:r>
      <w:proofErr w:type="spellEnd"/>
      <w:r w:rsidR="005F6467">
        <w:t xml:space="preserve"> depuis plus de 2</w:t>
      </w:r>
      <w:r w:rsidR="007B7777">
        <w:t>5</w:t>
      </w:r>
      <w:r w:rsidR="003073A3" w:rsidRPr="003073A3">
        <w:t xml:space="preserve"> ans a soustrait celui-ci à la protection de la loi et l’a privé de son droit à la reconnaissance de sa personnalité juridique, en violation de l’arti</w:t>
      </w:r>
      <w:r w:rsidR="00EA76FD">
        <w:t xml:space="preserve">cle </w:t>
      </w:r>
      <w:r w:rsidR="003073A3" w:rsidRPr="003073A3">
        <w:t>16 du Pacte.</w:t>
      </w:r>
    </w:p>
    <w:p w14:paraId="088F82C2" w14:textId="77777777" w:rsidR="00AC6B30" w:rsidRDefault="007B7777" w:rsidP="001D4F61">
      <w:pPr>
        <w:pStyle w:val="SingleTxtG"/>
        <w:rPr>
          <w:lang w:val="fr-FR"/>
        </w:rPr>
      </w:pPr>
      <w:r>
        <w:t>8</w:t>
      </w:r>
      <w:r w:rsidR="006D04F6">
        <w:t>.</w:t>
      </w:r>
      <w:r w:rsidR="003553A0">
        <w:t>1</w:t>
      </w:r>
      <w:r>
        <w:t>2</w:t>
      </w:r>
      <w:r w:rsidR="00410779" w:rsidRPr="00410779">
        <w:tab/>
      </w:r>
      <w:r w:rsidR="00333944">
        <w:t>Enfin, le Comité note que même si l</w:t>
      </w:r>
      <w:r>
        <w:t xml:space="preserve">es </w:t>
      </w:r>
      <w:r w:rsidR="00410779" w:rsidRPr="00410779">
        <w:t>auteur</w:t>
      </w:r>
      <w:r>
        <w:t>s</w:t>
      </w:r>
      <w:r w:rsidR="00410779" w:rsidRPr="00410779">
        <w:t xml:space="preserve"> </w:t>
      </w:r>
      <w:r w:rsidR="00333944">
        <w:t>n’</w:t>
      </w:r>
      <w:r>
        <w:t>ont</w:t>
      </w:r>
      <w:r w:rsidR="00333944">
        <w:t xml:space="preserve"> pas invoqué </w:t>
      </w:r>
      <w:r w:rsidR="00993959">
        <w:t>expressément</w:t>
      </w:r>
      <w:r w:rsidR="00333944">
        <w:t xml:space="preserve"> une violation de l’article 2 (par. 3) </w:t>
      </w:r>
      <w:r w:rsidR="00DD018E">
        <w:t>en conjonction avec l’article 7</w:t>
      </w:r>
      <w:r w:rsidR="00333944">
        <w:t xml:space="preserve"> du Pacte, </w:t>
      </w:r>
      <w:r>
        <w:t xml:space="preserve">ils </w:t>
      </w:r>
      <w:r w:rsidR="00333944">
        <w:t>f</w:t>
      </w:r>
      <w:r>
        <w:t>ont</w:t>
      </w:r>
      <w:r w:rsidR="00333944">
        <w:t xml:space="preserve"> référence à l’obligation imposée</w:t>
      </w:r>
      <w:r w:rsidR="00993959">
        <w:t xml:space="preserve"> </w:t>
      </w:r>
      <w:r w:rsidR="00993959" w:rsidRPr="00410779">
        <w:t>aux États parties</w:t>
      </w:r>
      <w:r w:rsidR="00333944">
        <w:t xml:space="preserve"> par </w:t>
      </w:r>
      <w:r w:rsidR="00993959">
        <w:t>cette disposition</w:t>
      </w:r>
      <w:r w:rsidR="00410779" w:rsidRPr="00410779">
        <w:t xml:space="preserve"> de garantir à toute personne des recours accessibles, utiles et exécutoires pour faire valoir les droits garantis par le Pacte. Le Comité rappelle qu’il attache de l’importance à la mise en place, par les États parties, de mécanismes juridictionnels et administratifs appropriés pour</w:t>
      </w:r>
      <w:r w:rsidR="00CB631C">
        <w:t xml:space="preserve"> examiner les plaintes faisant é</w:t>
      </w:r>
      <w:r w:rsidR="00410779" w:rsidRPr="00410779">
        <w:t>tat de violations des droits</w:t>
      </w:r>
      <w:r w:rsidR="00410779" w:rsidRPr="00410779">
        <w:rPr>
          <w:lang w:val="fr-FR"/>
        </w:rPr>
        <w:t xml:space="preserve"> garantis par le Pacte</w:t>
      </w:r>
      <w:r w:rsidR="00410779" w:rsidRPr="00D3513E">
        <w:rPr>
          <w:rStyle w:val="FootnoteReference"/>
        </w:rPr>
        <w:footnoteReference w:id="34"/>
      </w:r>
      <w:r w:rsidR="00410779" w:rsidRPr="00410779">
        <w:rPr>
          <w:lang w:val="fr-FR"/>
        </w:rPr>
        <w:t>. Il rappelle son observation générale n</w:t>
      </w:r>
      <w:r w:rsidR="00410779" w:rsidRPr="00410779">
        <w:rPr>
          <w:vertAlign w:val="superscript"/>
          <w:lang w:val="fr-FR"/>
        </w:rPr>
        <w:t>o</w:t>
      </w:r>
      <w:r w:rsidR="00F261FA">
        <w:rPr>
          <w:lang w:val="fr-FR"/>
        </w:rPr>
        <w:t xml:space="preserve"> </w:t>
      </w:r>
      <w:r w:rsidR="00410779" w:rsidRPr="00410779">
        <w:rPr>
          <w:lang w:val="fr-FR"/>
        </w:rPr>
        <w:t xml:space="preserve">31 </w:t>
      </w:r>
      <w:r w:rsidR="00410779" w:rsidRPr="00410779">
        <w:rPr>
          <w:lang w:val="fr-FR"/>
        </w:rPr>
        <w:lastRenderedPageBreak/>
        <w:t>(2004) sur la nature de l’obligation juridique imposée aux États parties au Pacte, dans laquelle il indique notamment que le fait pour un État partie de ne pas mener d’enquête sur des violations présumées pourrait en soi donner lieu à un</w:t>
      </w:r>
      <w:r w:rsidR="00AC6B30">
        <w:rPr>
          <w:lang w:val="fr-FR"/>
        </w:rPr>
        <w:t>e violation distincte du Pacte.</w:t>
      </w:r>
    </w:p>
    <w:p w14:paraId="0497FA30" w14:textId="77777777" w:rsidR="00410779" w:rsidRPr="00410779" w:rsidRDefault="007B7777" w:rsidP="00410779">
      <w:pPr>
        <w:pStyle w:val="SingleTxtG"/>
        <w:rPr>
          <w:lang w:val="fr-FR"/>
        </w:rPr>
      </w:pPr>
      <w:r>
        <w:rPr>
          <w:lang w:val="fr-FR"/>
        </w:rPr>
        <w:t>8</w:t>
      </w:r>
      <w:r w:rsidR="00A52570">
        <w:rPr>
          <w:lang w:val="fr-FR"/>
        </w:rPr>
        <w:t>.</w:t>
      </w:r>
      <w:r w:rsidR="003553A0">
        <w:rPr>
          <w:lang w:val="fr-FR"/>
        </w:rPr>
        <w:t>1</w:t>
      </w:r>
      <w:r>
        <w:rPr>
          <w:lang w:val="fr-FR"/>
        </w:rPr>
        <w:t>3</w:t>
      </w:r>
      <w:r w:rsidR="00AC6B30">
        <w:rPr>
          <w:lang w:val="fr-FR"/>
        </w:rPr>
        <w:tab/>
      </w:r>
      <w:r w:rsidR="00AC6B30" w:rsidRPr="00AC6B30">
        <w:t>En l</w:t>
      </w:r>
      <w:r w:rsidR="00AC6B30">
        <w:t>’espèce, l</w:t>
      </w:r>
      <w:r>
        <w:t xml:space="preserve">es </w:t>
      </w:r>
      <w:r w:rsidR="00AC6B30">
        <w:t>a</w:t>
      </w:r>
      <w:r w:rsidR="00C5026A">
        <w:t>uteur</w:t>
      </w:r>
      <w:r>
        <w:t>s ont</w:t>
      </w:r>
      <w:r w:rsidR="00AC6B30" w:rsidRPr="00AC6B30">
        <w:t xml:space="preserve"> </w:t>
      </w:r>
      <w:r w:rsidR="00A52570">
        <w:t xml:space="preserve">alerté </w:t>
      </w:r>
      <w:r w:rsidR="00C5026A">
        <w:t xml:space="preserve">à plusieurs reprises </w:t>
      </w:r>
      <w:r w:rsidR="00A52570">
        <w:t>les autorités compétente</w:t>
      </w:r>
      <w:r w:rsidR="00DD018E">
        <w:t xml:space="preserve">s de la disparition de </w:t>
      </w:r>
      <w:r>
        <w:t>leur</w:t>
      </w:r>
      <w:r w:rsidR="00DD018E">
        <w:t xml:space="preserve"> fils</w:t>
      </w:r>
      <w:r w:rsidR="00A52570">
        <w:t xml:space="preserve"> sans que l’État partie ne procède à </w:t>
      </w:r>
      <w:r w:rsidR="007C45E6">
        <w:t>une</w:t>
      </w:r>
      <w:r w:rsidR="00A52570">
        <w:t xml:space="preserve"> enquête sur cette disparition</w:t>
      </w:r>
      <w:r w:rsidR="007C45E6">
        <w:t>,</w:t>
      </w:r>
      <w:r w:rsidR="00A52570">
        <w:t xml:space="preserve"> et </w:t>
      </w:r>
      <w:r w:rsidR="00C91537">
        <w:t xml:space="preserve">sans </w:t>
      </w:r>
      <w:r w:rsidR="00993959">
        <w:t xml:space="preserve">que </w:t>
      </w:r>
      <w:r>
        <w:t xml:space="preserve">les </w:t>
      </w:r>
      <w:r w:rsidR="007C45E6">
        <w:t>auteur</w:t>
      </w:r>
      <w:r>
        <w:t>s ne soient informés</w:t>
      </w:r>
      <w:r w:rsidR="007C45E6">
        <w:t xml:space="preserve"> sur le sort </w:t>
      </w:r>
      <w:r>
        <w:t xml:space="preserve">de </w:t>
      </w:r>
      <w:r w:rsidRPr="007B7777">
        <w:t xml:space="preserve">Rabah </w:t>
      </w:r>
      <w:proofErr w:type="spellStart"/>
      <w:r w:rsidRPr="007B7777">
        <w:t>Souaiene</w:t>
      </w:r>
      <w:proofErr w:type="spellEnd"/>
      <w:r w:rsidR="00AC6B30" w:rsidRPr="00AC6B30">
        <w:t>.</w:t>
      </w:r>
      <w:r w:rsidR="00A52570" w:rsidRPr="00A52570">
        <w:rPr>
          <w:lang w:val="fr-FR"/>
        </w:rPr>
        <w:t xml:space="preserve"> En outre, l’impossibilité légale de recourir à une instance judiciaire après la promulgation de l’ordonnance n</w:t>
      </w:r>
      <w:r w:rsidR="00A52570" w:rsidRPr="00A52570">
        <w:rPr>
          <w:vertAlign w:val="superscript"/>
          <w:lang w:val="fr-FR"/>
        </w:rPr>
        <w:t>o</w:t>
      </w:r>
      <w:r w:rsidR="00EA76FD">
        <w:rPr>
          <w:lang w:val="fr-FR"/>
        </w:rPr>
        <w:t xml:space="preserve"> </w:t>
      </w:r>
      <w:r w:rsidR="00A52570" w:rsidRPr="00A52570">
        <w:rPr>
          <w:lang w:val="fr-FR"/>
        </w:rPr>
        <w:t xml:space="preserve">06-01 portant mise en œuvre de la Charte pour la paix et la réconciliation nationale continue de priver </w:t>
      </w:r>
      <w:r w:rsidRPr="007B7777">
        <w:rPr>
          <w:lang w:val="fr-FR"/>
        </w:rPr>
        <w:t xml:space="preserve">Rabah </w:t>
      </w:r>
      <w:proofErr w:type="spellStart"/>
      <w:r w:rsidRPr="007B7777">
        <w:rPr>
          <w:lang w:val="fr-FR"/>
        </w:rPr>
        <w:t>Souaiene</w:t>
      </w:r>
      <w:proofErr w:type="spellEnd"/>
      <w:r w:rsidR="00A52570">
        <w:rPr>
          <w:lang w:val="fr-FR"/>
        </w:rPr>
        <w:t xml:space="preserve"> et </w:t>
      </w:r>
      <w:r>
        <w:rPr>
          <w:lang w:val="fr-FR"/>
        </w:rPr>
        <w:t xml:space="preserve">les </w:t>
      </w:r>
      <w:r w:rsidR="00A52570" w:rsidRPr="00A52570">
        <w:rPr>
          <w:lang w:val="fr-FR"/>
        </w:rPr>
        <w:t>auteur</w:t>
      </w:r>
      <w:r>
        <w:rPr>
          <w:lang w:val="fr-FR"/>
        </w:rPr>
        <w:t>s</w:t>
      </w:r>
      <w:r w:rsidR="00A52570" w:rsidRPr="00A52570">
        <w:rPr>
          <w:lang w:val="fr-FR"/>
        </w:rPr>
        <w:t xml:space="preserve"> de tout accès à un recours utile puisque cette ordonnance interdit le recours à la justice pour faire la lumière sur les crimes les plus graves comme les disparitions forcées</w:t>
      </w:r>
      <w:r w:rsidR="00A52570" w:rsidRPr="00A52570">
        <w:rPr>
          <w:vertAlign w:val="superscript"/>
        </w:rPr>
        <w:footnoteReference w:id="35"/>
      </w:r>
      <w:r w:rsidR="00A52570" w:rsidRPr="00A52570">
        <w:rPr>
          <w:lang w:val="fr-FR"/>
        </w:rPr>
        <w:t xml:space="preserve">. </w:t>
      </w:r>
      <w:r w:rsidR="00AC6B30" w:rsidRPr="00AC6B30">
        <w:t xml:space="preserve">Le Comité conclut que les faits dont il est saisi font apparaître une violation </w:t>
      </w:r>
      <w:r w:rsidR="00410779" w:rsidRPr="00410779">
        <w:rPr>
          <w:lang w:val="fr-FR"/>
        </w:rPr>
        <w:t>d</w:t>
      </w:r>
      <w:r w:rsidR="00F261FA">
        <w:rPr>
          <w:lang w:val="fr-FR"/>
        </w:rPr>
        <w:t xml:space="preserve">e l’article 2 (par. </w:t>
      </w:r>
      <w:r w:rsidR="00410779" w:rsidRPr="00410779">
        <w:rPr>
          <w:lang w:val="fr-FR"/>
        </w:rPr>
        <w:t>3) lu conjo</w:t>
      </w:r>
      <w:r w:rsidR="00F261FA">
        <w:rPr>
          <w:lang w:val="fr-FR"/>
        </w:rPr>
        <w:t xml:space="preserve">intement avec les articles </w:t>
      </w:r>
      <w:r w:rsidR="00A52570">
        <w:rPr>
          <w:lang w:val="fr-FR"/>
        </w:rPr>
        <w:t>6, 7,</w:t>
      </w:r>
      <w:r w:rsidR="00410779" w:rsidRPr="00410779">
        <w:rPr>
          <w:lang w:val="fr-FR"/>
        </w:rPr>
        <w:t xml:space="preserve"> 9</w:t>
      </w:r>
      <w:r w:rsidR="00A52570">
        <w:rPr>
          <w:lang w:val="fr-FR"/>
        </w:rPr>
        <w:t xml:space="preserve"> et 16</w:t>
      </w:r>
      <w:r w:rsidR="00DD018E">
        <w:rPr>
          <w:lang w:val="fr-FR"/>
        </w:rPr>
        <w:t xml:space="preserve"> du Pacte à l’égard </w:t>
      </w:r>
      <w:r w:rsidR="00DE4E80">
        <w:rPr>
          <w:lang w:val="fr-FR"/>
        </w:rPr>
        <w:t xml:space="preserve">de </w:t>
      </w:r>
      <w:r w:rsidRPr="007B7777">
        <w:rPr>
          <w:lang w:val="fr-FR"/>
        </w:rPr>
        <w:t xml:space="preserve">Rabah </w:t>
      </w:r>
      <w:proofErr w:type="spellStart"/>
      <w:r w:rsidRPr="007B7777">
        <w:rPr>
          <w:lang w:val="fr-FR"/>
        </w:rPr>
        <w:t>Souaiene</w:t>
      </w:r>
      <w:proofErr w:type="spellEnd"/>
      <w:r w:rsidR="00F261FA">
        <w:rPr>
          <w:lang w:val="fr-FR"/>
        </w:rPr>
        <w:t xml:space="preserve">, et de l’article 2 (par. </w:t>
      </w:r>
      <w:r w:rsidR="00410779" w:rsidRPr="00410779">
        <w:rPr>
          <w:lang w:val="fr-FR"/>
        </w:rPr>
        <w:t xml:space="preserve">3) </w:t>
      </w:r>
      <w:r w:rsidR="000B55D5">
        <w:rPr>
          <w:lang w:val="fr-FR"/>
        </w:rPr>
        <w:t>lu conjointement avec l</w:t>
      </w:r>
      <w:r w:rsidR="00007058">
        <w:rPr>
          <w:lang w:val="fr-FR"/>
        </w:rPr>
        <w:t>’</w:t>
      </w:r>
      <w:r w:rsidR="00F261FA">
        <w:rPr>
          <w:lang w:val="fr-FR"/>
        </w:rPr>
        <w:t xml:space="preserve">article </w:t>
      </w:r>
      <w:r w:rsidR="00410779" w:rsidRPr="00410779">
        <w:rPr>
          <w:lang w:val="fr-FR"/>
        </w:rPr>
        <w:t>7</w:t>
      </w:r>
      <w:r w:rsidR="000B55D5">
        <w:rPr>
          <w:lang w:val="fr-FR"/>
        </w:rPr>
        <w:t xml:space="preserve"> </w:t>
      </w:r>
      <w:r w:rsidR="00410779" w:rsidRPr="00410779">
        <w:rPr>
          <w:lang w:val="fr-FR"/>
        </w:rPr>
        <w:t>du Pacte à l’égard de</w:t>
      </w:r>
      <w:r>
        <w:rPr>
          <w:lang w:val="fr-FR"/>
        </w:rPr>
        <w:t>s</w:t>
      </w:r>
      <w:r w:rsidR="00410779" w:rsidRPr="00410779">
        <w:rPr>
          <w:lang w:val="fr-FR"/>
        </w:rPr>
        <w:t xml:space="preserve"> auteur</w:t>
      </w:r>
      <w:r>
        <w:rPr>
          <w:lang w:val="fr-FR"/>
        </w:rPr>
        <w:t>s</w:t>
      </w:r>
      <w:r w:rsidR="00410779" w:rsidRPr="00410779">
        <w:rPr>
          <w:lang w:val="fr-FR"/>
        </w:rPr>
        <w:t>.</w:t>
      </w:r>
    </w:p>
    <w:p w14:paraId="5565AF45" w14:textId="77777777" w:rsidR="00410779" w:rsidRPr="00410779" w:rsidRDefault="007B7777" w:rsidP="00410779">
      <w:pPr>
        <w:pStyle w:val="SingleTxtG"/>
        <w:rPr>
          <w:lang w:val="fr-FR"/>
        </w:rPr>
      </w:pPr>
      <w:r>
        <w:rPr>
          <w:lang w:val="fr-FR"/>
        </w:rPr>
        <w:t>9</w:t>
      </w:r>
      <w:r w:rsidR="00410779" w:rsidRPr="00410779">
        <w:rPr>
          <w:lang w:val="fr-FR"/>
        </w:rPr>
        <w:t>.</w:t>
      </w:r>
      <w:r w:rsidR="00410779" w:rsidRPr="00410779">
        <w:rPr>
          <w:lang w:val="fr-FR"/>
        </w:rPr>
        <w:tab/>
        <w:t>Le Comité, agissant en ver</w:t>
      </w:r>
      <w:r w:rsidR="00F261FA">
        <w:rPr>
          <w:lang w:val="fr-FR"/>
        </w:rPr>
        <w:t xml:space="preserve">tu du paragraphe 4 de l’article </w:t>
      </w:r>
      <w:r w:rsidR="00410779" w:rsidRPr="00410779">
        <w:rPr>
          <w:lang w:val="fr-FR"/>
        </w:rPr>
        <w:t xml:space="preserve">5 du Protocole facultatif se rapportant au Pacte, constate que les faits dont il est saisi font apparaître des violations par </w:t>
      </w:r>
      <w:r w:rsidR="00F261FA">
        <w:rPr>
          <w:lang w:val="fr-FR"/>
        </w:rPr>
        <w:t>l’</w:t>
      </w:r>
      <w:r w:rsidR="00A303F3">
        <w:rPr>
          <w:lang w:val="fr-FR"/>
        </w:rPr>
        <w:t>État partie des articles 6, 7,</w:t>
      </w:r>
      <w:r w:rsidR="00410779" w:rsidRPr="00410779">
        <w:rPr>
          <w:lang w:val="fr-FR"/>
        </w:rPr>
        <w:t xml:space="preserve"> 9</w:t>
      </w:r>
      <w:r>
        <w:rPr>
          <w:lang w:val="fr-FR"/>
        </w:rPr>
        <w:t xml:space="preserve"> et</w:t>
      </w:r>
      <w:r w:rsidR="00A303F3">
        <w:rPr>
          <w:lang w:val="fr-FR"/>
        </w:rPr>
        <w:t xml:space="preserve"> 16</w:t>
      </w:r>
      <w:r w:rsidR="00DE4E80">
        <w:rPr>
          <w:lang w:val="fr-FR"/>
        </w:rPr>
        <w:t xml:space="preserve"> </w:t>
      </w:r>
      <w:r w:rsidR="00410779" w:rsidRPr="00410779">
        <w:rPr>
          <w:lang w:val="fr-FR"/>
        </w:rPr>
        <w:t>d</w:t>
      </w:r>
      <w:r w:rsidR="00F261FA">
        <w:rPr>
          <w:lang w:val="fr-FR"/>
        </w:rPr>
        <w:t xml:space="preserve">u Pacte, ainsi que de l’article 2 (par. </w:t>
      </w:r>
      <w:r w:rsidR="00410779" w:rsidRPr="00410779">
        <w:rPr>
          <w:lang w:val="fr-FR"/>
        </w:rPr>
        <w:t>3) lu conjo</w:t>
      </w:r>
      <w:r w:rsidR="00F261FA">
        <w:rPr>
          <w:lang w:val="fr-FR"/>
        </w:rPr>
        <w:t>intement</w:t>
      </w:r>
      <w:r w:rsidR="00A303F3">
        <w:rPr>
          <w:lang w:val="fr-FR"/>
        </w:rPr>
        <w:t xml:space="preserve"> avec les articles 6, 7,</w:t>
      </w:r>
      <w:r>
        <w:rPr>
          <w:lang w:val="fr-FR"/>
        </w:rPr>
        <w:t xml:space="preserve"> 9 et</w:t>
      </w:r>
      <w:r w:rsidR="00A303F3">
        <w:rPr>
          <w:lang w:val="fr-FR"/>
        </w:rPr>
        <w:t xml:space="preserve"> 16</w:t>
      </w:r>
      <w:r w:rsidR="00DE4E80">
        <w:rPr>
          <w:lang w:val="fr-FR"/>
        </w:rPr>
        <w:t xml:space="preserve"> </w:t>
      </w:r>
      <w:r w:rsidR="00410779" w:rsidRPr="00410779">
        <w:rPr>
          <w:lang w:val="fr-FR"/>
        </w:rPr>
        <w:t>du P</w:t>
      </w:r>
      <w:r w:rsidR="00D75E10">
        <w:rPr>
          <w:lang w:val="fr-FR"/>
        </w:rPr>
        <w:t xml:space="preserve">acte à l’égard </w:t>
      </w:r>
      <w:r w:rsidR="00DE4E80">
        <w:rPr>
          <w:lang w:val="fr-FR"/>
        </w:rPr>
        <w:t xml:space="preserve">de </w:t>
      </w:r>
      <w:r w:rsidRPr="007B7777">
        <w:rPr>
          <w:lang w:val="fr-FR"/>
        </w:rPr>
        <w:t xml:space="preserve">Rabah </w:t>
      </w:r>
      <w:proofErr w:type="spellStart"/>
      <w:r w:rsidRPr="007B7777">
        <w:rPr>
          <w:lang w:val="fr-FR"/>
        </w:rPr>
        <w:t>Souaiene</w:t>
      </w:r>
      <w:proofErr w:type="spellEnd"/>
      <w:r w:rsidR="00410779" w:rsidRPr="00410779">
        <w:rPr>
          <w:lang w:val="fr-FR"/>
        </w:rPr>
        <w:t>. Il constate en outre une violation</w:t>
      </w:r>
      <w:r w:rsidR="00F261FA">
        <w:rPr>
          <w:lang w:val="fr-FR"/>
        </w:rPr>
        <w:t xml:space="preserve"> par l’État partie de </w:t>
      </w:r>
      <w:r>
        <w:rPr>
          <w:lang w:val="fr-FR"/>
        </w:rPr>
        <w:t>l’</w:t>
      </w:r>
      <w:r w:rsidR="00F261FA">
        <w:rPr>
          <w:lang w:val="fr-FR"/>
        </w:rPr>
        <w:t xml:space="preserve">article </w:t>
      </w:r>
      <w:r w:rsidR="00410779" w:rsidRPr="00410779">
        <w:rPr>
          <w:lang w:val="fr-FR"/>
        </w:rPr>
        <w:t>7 lu seul et conjo</w:t>
      </w:r>
      <w:r w:rsidR="00F261FA">
        <w:rPr>
          <w:lang w:val="fr-FR"/>
        </w:rPr>
        <w:t xml:space="preserve">intement avec l’article 2 (par. </w:t>
      </w:r>
      <w:r w:rsidR="00887F8C">
        <w:rPr>
          <w:lang w:val="fr-FR"/>
        </w:rPr>
        <w:t>3)</w:t>
      </w:r>
      <w:r w:rsidR="00007058">
        <w:rPr>
          <w:lang w:val="fr-FR"/>
        </w:rPr>
        <w:t>, ainsi que</w:t>
      </w:r>
      <w:r w:rsidR="00D75E10">
        <w:rPr>
          <w:lang w:val="fr-FR"/>
        </w:rPr>
        <w:t xml:space="preserve"> de l’article 14 </w:t>
      </w:r>
      <w:r w:rsidR="00410779" w:rsidRPr="00410779">
        <w:rPr>
          <w:lang w:val="fr-FR"/>
        </w:rPr>
        <w:t>du Pacte à l’égard de</w:t>
      </w:r>
      <w:r>
        <w:rPr>
          <w:lang w:val="fr-FR"/>
        </w:rPr>
        <w:t>s</w:t>
      </w:r>
      <w:r w:rsidR="00410779" w:rsidRPr="00410779">
        <w:rPr>
          <w:lang w:val="fr-FR"/>
        </w:rPr>
        <w:t xml:space="preserve"> auteur</w:t>
      </w:r>
      <w:r>
        <w:rPr>
          <w:lang w:val="fr-FR"/>
        </w:rPr>
        <w:t>s</w:t>
      </w:r>
      <w:r w:rsidR="00410779" w:rsidRPr="00410779">
        <w:rPr>
          <w:lang w:val="fr-FR"/>
        </w:rPr>
        <w:t>.</w:t>
      </w:r>
    </w:p>
    <w:p w14:paraId="3901CDDF" w14:textId="00E2455F" w:rsidR="00410779" w:rsidRPr="00410779" w:rsidRDefault="007B7777" w:rsidP="00410779">
      <w:pPr>
        <w:pStyle w:val="SingleTxtG"/>
      </w:pPr>
      <w:r>
        <w:rPr>
          <w:lang w:val="fr-FR"/>
        </w:rPr>
        <w:t>10</w:t>
      </w:r>
      <w:r w:rsidR="00410779" w:rsidRPr="00410779">
        <w:rPr>
          <w:lang w:val="fr-FR"/>
        </w:rPr>
        <w:t>.</w:t>
      </w:r>
      <w:r w:rsidR="00410779" w:rsidRPr="00410779">
        <w:rPr>
          <w:lang w:val="fr-FR"/>
        </w:rPr>
        <w:tab/>
      </w:r>
      <w:r w:rsidR="00AF3DBD">
        <w:t xml:space="preserve">En vertu du paragraphe 3 </w:t>
      </w:r>
      <w:r w:rsidR="00AF3DBD" w:rsidRPr="00AF3DBD">
        <w:t>a) de l’article</w:t>
      </w:r>
      <w:r w:rsidR="00AF3DBD">
        <w:t xml:space="preserve"> </w:t>
      </w:r>
      <w:r w:rsidR="00AF3DBD" w:rsidRPr="00AF3DBD">
        <w:t xml:space="preserve">2 du Pacte, l’État partie est tenu d’assurer </w:t>
      </w:r>
      <w:r w:rsidR="009205D0">
        <w:t>aux</w:t>
      </w:r>
      <w:r w:rsidR="00AF3DBD" w:rsidRPr="00AF3DBD">
        <w:t xml:space="preserve"> auteur</w:t>
      </w:r>
      <w:r w:rsidR="009205D0">
        <w:t>s</w:t>
      </w:r>
      <w:r w:rsidR="00AF3DBD" w:rsidRPr="00AF3DBD">
        <w:t xml:space="preserve"> un recours utile. Cela exige que les États parties accordent réparation intégrale aux personnes dont les droits reconnus par le Pacte ont été violés. En l’espèce,</w:t>
      </w:r>
      <w:r w:rsidR="00DE4E80">
        <w:t xml:space="preserve"> l’État partie est tenu</w:t>
      </w:r>
      <w:r w:rsidR="00AF3DBD">
        <w:t xml:space="preserve"> : a) </w:t>
      </w:r>
      <w:r w:rsidR="006703B6">
        <w:t xml:space="preserve">de </w:t>
      </w:r>
      <w:r w:rsidR="006703B6" w:rsidRPr="006703B6">
        <w:t xml:space="preserve">mener </w:t>
      </w:r>
      <w:r w:rsidR="00FE27A9" w:rsidRPr="00FE27A9">
        <w:t>une enquête rapide, efficace, exhaustive, indépendante, impartiale et transparente</w:t>
      </w:r>
      <w:r w:rsidR="00AF3DBD" w:rsidRPr="00AF3DBD">
        <w:t xml:space="preserve"> sur l</w:t>
      </w:r>
      <w:r w:rsidR="00D75E10">
        <w:t xml:space="preserve">a disparition </w:t>
      </w:r>
      <w:r w:rsidR="00DE4E80">
        <w:t xml:space="preserve">de </w:t>
      </w:r>
      <w:r w:rsidR="009205D0" w:rsidRPr="009205D0">
        <w:t xml:space="preserve">Rabah </w:t>
      </w:r>
      <w:proofErr w:type="spellStart"/>
      <w:r w:rsidR="009205D0" w:rsidRPr="009205D0">
        <w:t>Souaiene</w:t>
      </w:r>
      <w:proofErr w:type="spellEnd"/>
      <w:r w:rsidR="00F07311">
        <w:t xml:space="preserve"> </w:t>
      </w:r>
      <w:r w:rsidR="00F07311" w:rsidRPr="00F07311">
        <w:rPr>
          <w:lang w:val="fr-FR"/>
        </w:rPr>
        <w:t xml:space="preserve">et de fournir </w:t>
      </w:r>
      <w:r w:rsidR="009205D0">
        <w:rPr>
          <w:lang w:val="fr-FR"/>
        </w:rPr>
        <w:t xml:space="preserve">aux </w:t>
      </w:r>
      <w:r w:rsidR="00F07311" w:rsidRPr="00F07311">
        <w:rPr>
          <w:lang w:val="fr-FR"/>
        </w:rPr>
        <w:t>auteur</w:t>
      </w:r>
      <w:r w:rsidR="009205D0">
        <w:rPr>
          <w:lang w:val="fr-FR"/>
        </w:rPr>
        <w:t>s</w:t>
      </w:r>
      <w:r w:rsidR="00F07311" w:rsidRPr="00F07311">
        <w:rPr>
          <w:lang w:val="fr-FR"/>
        </w:rPr>
        <w:t xml:space="preserve"> des informations détaillées quant aux résultats de cette enquête ; b)</w:t>
      </w:r>
      <w:r w:rsidR="00EA76FD">
        <w:rPr>
          <w:lang w:val="fr-FR"/>
        </w:rPr>
        <w:t xml:space="preserve"> </w:t>
      </w:r>
      <w:r w:rsidR="00F07311" w:rsidRPr="00F07311">
        <w:rPr>
          <w:lang w:val="fr-FR"/>
        </w:rPr>
        <w:t xml:space="preserve">de libérer immédiatement </w:t>
      </w:r>
      <w:r w:rsidR="009205D0" w:rsidRPr="009205D0">
        <w:rPr>
          <w:lang w:val="fr-FR"/>
        </w:rPr>
        <w:t xml:space="preserve">Rabah </w:t>
      </w:r>
      <w:proofErr w:type="spellStart"/>
      <w:r w:rsidR="009205D0" w:rsidRPr="009205D0">
        <w:rPr>
          <w:lang w:val="fr-FR"/>
        </w:rPr>
        <w:t>Souaiene</w:t>
      </w:r>
      <w:proofErr w:type="spellEnd"/>
      <w:r w:rsidR="00F07311" w:rsidRPr="00F07311">
        <w:rPr>
          <w:lang w:val="fr-FR"/>
        </w:rPr>
        <w:t xml:space="preserve"> s’il est</w:t>
      </w:r>
      <w:r w:rsidR="00EA76FD">
        <w:rPr>
          <w:lang w:val="fr-FR"/>
        </w:rPr>
        <w:t xml:space="preserve"> toujours détenu au secret ; c) </w:t>
      </w:r>
      <w:r w:rsidR="00F07311" w:rsidRPr="00F07311">
        <w:rPr>
          <w:lang w:val="fr-FR"/>
        </w:rPr>
        <w:t xml:space="preserve">dans l’éventualité où </w:t>
      </w:r>
      <w:r w:rsidR="009205D0" w:rsidRPr="009205D0">
        <w:rPr>
          <w:lang w:val="fr-FR"/>
        </w:rPr>
        <w:t xml:space="preserve">Rabah </w:t>
      </w:r>
      <w:proofErr w:type="spellStart"/>
      <w:r w:rsidR="009205D0" w:rsidRPr="009205D0">
        <w:rPr>
          <w:lang w:val="fr-FR"/>
        </w:rPr>
        <w:t>Souaiene</w:t>
      </w:r>
      <w:proofErr w:type="spellEnd"/>
      <w:r w:rsidR="00F07311" w:rsidRPr="00F07311">
        <w:rPr>
          <w:lang w:val="fr-FR"/>
        </w:rPr>
        <w:t xml:space="preserve"> serait décédé, de restituer sa dépouille à sa famille</w:t>
      </w:r>
      <w:r w:rsidR="00142EDF">
        <w:rPr>
          <w:lang w:val="fr-FR"/>
        </w:rPr>
        <w:t xml:space="preserve"> </w:t>
      </w:r>
      <w:r w:rsidR="00142EDF">
        <w:t>dans le respect de la dignité, conformément aux normes et traditions culturelles des victimes</w:t>
      </w:r>
      <w:r w:rsidR="00F07311" w:rsidRPr="00F07311">
        <w:rPr>
          <w:lang w:val="fr-FR"/>
        </w:rPr>
        <w:t> ;</w:t>
      </w:r>
      <w:r w:rsidR="00F07311">
        <w:t xml:space="preserve"> d</w:t>
      </w:r>
      <w:r w:rsidR="00AF3DBD" w:rsidRPr="00AF3DBD">
        <w:t xml:space="preserve">) </w:t>
      </w:r>
      <w:r w:rsidR="00DE4E80">
        <w:t xml:space="preserve">de </w:t>
      </w:r>
      <w:r w:rsidR="00AF3DBD" w:rsidRPr="00AF3DBD">
        <w:t>poursuivre, juger et punir les responsabl</w:t>
      </w:r>
      <w:r w:rsidR="00AF3DBD">
        <w:t>es des violations commises</w:t>
      </w:r>
      <w:r w:rsidR="00F07311">
        <w:t> ; e</w:t>
      </w:r>
      <w:r w:rsidR="00C44457">
        <w:t xml:space="preserve">) </w:t>
      </w:r>
      <w:r w:rsidR="00EA0F9B">
        <w:t>fournir aux</w:t>
      </w:r>
      <w:r w:rsidR="009205D0">
        <w:t xml:space="preserve"> a</w:t>
      </w:r>
      <w:r w:rsidR="00F07311">
        <w:t>uteur</w:t>
      </w:r>
      <w:r w:rsidR="009205D0">
        <w:t>s</w:t>
      </w:r>
      <w:r w:rsidR="00F07311">
        <w:t xml:space="preserve"> </w:t>
      </w:r>
      <w:r w:rsidR="00D75E10">
        <w:rPr>
          <w:lang w:val="fr-FR"/>
        </w:rPr>
        <w:t xml:space="preserve">ainsi </w:t>
      </w:r>
      <w:r w:rsidR="00DE4E80">
        <w:rPr>
          <w:lang w:val="fr-FR"/>
        </w:rPr>
        <w:t xml:space="preserve">que </w:t>
      </w:r>
      <w:r w:rsidR="009205D0" w:rsidRPr="009205D0">
        <w:rPr>
          <w:lang w:val="fr-FR"/>
        </w:rPr>
        <w:t xml:space="preserve">Rabah </w:t>
      </w:r>
      <w:proofErr w:type="spellStart"/>
      <w:r w:rsidR="009205D0" w:rsidRPr="009205D0">
        <w:rPr>
          <w:lang w:val="fr-FR"/>
        </w:rPr>
        <w:t>Souaiene</w:t>
      </w:r>
      <w:proofErr w:type="spellEnd"/>
      <w:r w:rsidR="00F07311" w:rsidRPr="00F07311">
        <w:rPr>
          <w:lang w:val="fr-FR"/>
        </w:rPr>
        <w:t xml:space="preserve"> s’il est en vie</w:t>
      </w:r>
      <w:r w:rsidR="00EA0F9B" w:rsidRPr="00EA0F9B">
        <w:t xml:space="preserve"> une pleine réparation, y compris une indemnité adéquate</w:t>
      </w:r>
      <w:r w:rsidR="00F07311">
        <w:rPr>
          <w:lang w:val="fr-FR"/>
        </w:rPr>
        <w:t> ;</w:t>
      </w:r>
      <w:r w:rsidR="00AF3DBD" w:rsidRPr="00AF3DBD">
        <w:t xml:space="preserve"> et </w:t>
      </w:r>
      <w:r w:rsidR="00F07311">
        <w:t xml:space="preserve">f) </w:t>
      </w:r>
      <w:r w:rsidR="00DE4E80">
        <w:t xml:space="preserve">de </w:t>
      </w:r>
      <w:r w:rsidR="00AF3DBD" w:rsidRPr="00AF3DBD">
        <w:t>fournir des mesures de satisfaction appropriées</w:t>
      </w:r>
      <w:r w:rsidR="00F07311">
        <w:t xml:space="preserve"> </w:t>
      </w:r>
      <w:r w:rsidR="009205D0">
        <w:t xml:space="preserve">aux </w:t>
      </w:r>
      <w:r w:rsidR="00F07311">
        <w:t>auteur</w:t>
      </w:r>
      <w:r w:rsidR="009205D0">
        <w:t>s</w:t>
      </w:r>
      <w:r w:rsidR="00AF3DBD" w:rsidRPr="00AF3DBD">
        <w:t>.</w:t>
      </w:r>
      <w:r w:rsidR="00410779" w:rsidRPr="00410779">
        <w:rPr>
          <w:lang w:val="fr-FR"/>
        </w:rPr>
        <w:t xml:space="preserve"> Nonobstant l’ordonnance n</w:t>
      </w:r>
      <w:r w:rsidR="00410779" w:rsidRPr="00410779">
        <w:rPr>
          <w:vertAlign w:val="superscript"/>
          <w:lang w:val="fr-FR"/>
        </w:rPr>
        <w:t>o</w:t>
      </w:r>
      <w:r w:rsidR="00C44457">
        <w:rPr>
          <w:lang w:val="fr-FR"/>
        </w:rPr>
        <w:t xml:space="preserve"> </w:t>
      </w:r>
      <w:r w:rsidR="00410779" w:rsidRPr="00410779">
        <w:rPr>
          <w:lang w:val="fr-FR"/>
        </w:rPr>
        <w:t>06-01</w:t>
      </w:r>
      <w:r w:rsidR="00410779" w:rsidRPr="00410779">
        <w:t xml:space="preserve"> portant mise en œuvre de la Charte pour la paix et la réconciliation nationale</w:t>
      </w:r>
      <w:r w:rsidR="00410779" w:rsidRPr="00410779">
        <w:rPr>
          <w:lang w:val="fr-FR"/>
        </w:rPr>
        <w:t xml:space="preserve">, l’État partie devrait également veiller à ne pas entraver le droit à un recours utile pour les victimes de crimes tels que la torture, les exécutions extrajudiciaires et les disparitions forcées. Il est en outre tenu de prendre des mesures pour empêcher que des violations analogues ne se reproduisent à l’avenir. </w:t>
      </w:r>
      <w:r w:rsidR="00410779" w:rsidRPr="00410779">
        <w:t xml:space="preserve">À cet effet, le Comité est d’avis que l’État partie devrait revoir sa législation en fonction de l’obligation </w:t>
      </w:r>
      <w:r w:rsidR="00AF3DBD">
        <w:t xml:space="preserve">qui lui est faite au paragraphe 2 de l’article </w:t>
      </w:r>
      <w:r w:rsidR="00410779" w:rsidRPr="00410779">
        <w:t>2 du Pacte, et en particulier d’abroger les dispositions de ladite ordonnance qui sont incompatibles avec le Pacte, afin que les droits consacrés par le Pacte puissent être pleinement exercés dans l’État partie.</w:t>
      </w:r>
    </w:p>
    <w:p w14:paraId="1543BBC1" w14:textId="77777777" w:rsidR="00410779" w:rsidRPr="0088574B" w:rsidRDefault="009205D0" w:rsidP="0088574B">
      <w:pPr>
        <w:pStyle w:val="SingleTxtG"/>
      </w:pPr>
      <w:r>
        <w:rPr>
          <w:lang w:val="fr-FR"/>
        </w:rPr>
        <w:t>11</w:t>
      </w:r>
      <w:r w:rsidR="00410779" w:rsidRPr="00410779">
        <w:rPr>
          <w:lang w:val="fr-FR"/>
        </w:rPr>
        <w:t>.</w:t>
      </w:r>
      <w:r w:rsidR="00410779" w:rsidRPr="00410779">
        <w:rPr>
          <w:lang w:val="fr-FR"/>
        </w:rPr>
        <w:tab/>
        <w:t>Étant donné qu’en adhérant au Protocole facultatif l’État partie a reconnu que le Comité avait compétence pour déterminer s’il y avait eu ou non violation du Pacte e</w:t>
      </w:r>
      <w:r w:rsidR="003E01BD">
        <w:rPr>
          <w:lang w:val="fr-FR"/>
        </w:rPr>
        <w:t xml:space="preserve">t que, conformément à l’article </w:t>
      </w:r>
      <w:r w:rsidR="00410779" w:rsidRPr="00410779">
        <w:rPr>
          <w:lang w:val="fr-FR"/>
        </w:rPr>
        <w:t>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publiques les constatations du Comité et à les diffuser largement dans les langues officielles.</w:t>
      </w:r>
    </w:p>
    <w:p w14:paraId="6286A97D" w14:textId="3E91205E" w:rsidR="00410779" w:rsidRPr="00410779" w:rsidRDefault="00410779" w:rsidP="00410779">
      <w:pPr>
        <w:pStyle w:val="SingleTxtG"/>
        <w:spacing w:before="240" w:after="0"/>
        <w:jc w:val="center"/>
        <w:rPr>
          <w:u w:val="single"/>
        </w:rPr>
      </w:pPr>
      <w:r>
        <w:rPr>
          <w:u w:val="single"/>
          <w:lang w:val="fr-FR"/>
        </w:rPr>
        <w:tab/>
      </w:r>
      <w:r>
        <w:rPr>
          <w:u w:val="single"/>
          <w:lang w:val="fr-FR"/>
        </w:rPr>
        <w:tab/>
      </w:r>
      <w:r>
        <w:rPr>
          <w:u w:val="single"/>
          <w:lang w:val="fr-FR"/>
        </w:rPr>
        <w:tab/>
      </w:r>
    </w:p>
    <w:sectPr w:rsidR="00410779" w:rsidRPr="00410779" w:rsidSect="007D747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30A6" w14:textId="77777777" w:rsidR="00B45245" w:rsidRDefault="00B45245" w:rsidP="00F95C08">
      <w:pPr>
        <w:spacing w:line="240" w:lineRule="auto"/>
      </w:pPr>
    </w:p>
  </w:endnote>
  <w:endnote w:type="continuationSeparator" w:id="0">
    <w:p w14:paraId="6B2E19A1" w14:textId="77777777" w:rsidR="00B45245" w:rsidRPr="00AC3823" w:rsidRDefault="00B45245" w:rsidP="00AC3823">
      <w:pPr>
        <w:pStyle w:val="Footer"/>
      </w:pPr>
    </w:p>
  </w:endnote>
  <w:endnote w:type="continuationNotice" w:id="1">
    <w:p w14:paraId="4BD1F542" w14:textId="77777777" w:rsidR="00B45245" w:rsidRDefault="00B45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0F73" w14:textId="7B57A587" w:rsidR="004119F5" w:rsidRPr="007D7472" w:rsidRDefault="004119F5" w:rsidP="007D7472">
    <w:pPr>
      <w:pStyle w:val="Footer"/>
      <w:tabs>
        <w:tab w:val="right" w:pos="9638"/>
      </w:tabs>
    </w:pPr>
    <w:r w:rsidRPr="007D7472">
      <w:rPr>
        <w:b/>
        <w:sz w:val="18"/>
      </w:rPr>
      <w:fldChar w:fldCharType="begin"/>
    </w:r>
    <w:r w:rsidRPr="007D7472">
      <w:rPr>
        <w:b/>
        <w:sz w:val="18"/>
      </w:rPr>
      <w:instrText xml:space="preserve"> PAGE  \* MERGEFORMAT </w:instrText>
    </w:r>
    <w:r w:rsidRPr="007D7472">
      <w:rPr>
        <w:b/>
        <w:sz w:val="18"/>
      </w:rPr>
      <w:fldChar w:fldCharType="separate"/>
    </w:r>
    <w:r w:rsidR="00FA1A1E">
      <w:rPr>
        <w:b/>
        <w:noProof/>
        <w:sz w:val="18"/>
      </w:rPr>
      <w:t>10</w:t>
    </w:r>
    <w:r w:rsidRPr="007D747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3CFF" w14:textId="0DBCF0EE" w:rsidR="004119F5" w:rsidRPr="007D7472" w:rsidRDefault="004119F5" w:rsidP="007D7472">
    <w:pPr>
      <w:pStyle w:val="Footer"/>
      <w:tabs>
        <w:tab w:val="right" w:pos="9638"/>
      </w:tabs>
      <w:rPr>
        <w:b/>
        <w:sz w:val="18"/>
      </w:rPr>
    </w:pPr>
    <w:r>
      <w:tab/>
    </w:r>
    <w:r w:rsidRPr="007D7472">
      <w:rPr>
        <w:b/>
        <w:sz w:val="18"/>
      </w:rPr>
      <w:fldChar w:fldCharType="begin"/>
    </w:r>
    <w:r w:rsidRPr="007D7472">
      <w:rPr>
        <w:b/>
        <w:sz w:val="18"/>
      </w:rPr>
      <w:instrText xml:space="preserve"> PAGE  \* MERGEFORMAT </w:instrText>
    </w:r>
    <w:r w:rsidRPr="007D7472">
      <w:rPr>
        <w:b/>
        <w:sz w:val="18"/>
      </w:rPr>
      <w:fldChar w:fldCharType="separate"/>
    </w:r>
    <w:r w:rsidR="00FA1A1E">
      <w:rPr>
        <w:b/>
        <w:noProof/>
        <w:sz w:val="18"/>
      </w:rPr>
      <w:t>11</w:t>
    </w:r>
    <w:r w:rsidRPr="007D74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AE82" w14:textId="1226BF88" w:rsidR="0088574B" w:rsidRPr="0088574B" w:rsidRDefault="0088574B" w:rsidP="0088574B">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52B4" w14:textId="77777777" w:rsidR="00B45245" w:rsidRPr="00AC3823" w:rsidRDefault="00B45245" w:rsidP="00AC3823">
      <w:pPr>
        <w:pStyle w:val="Footer"/>
        <w:tabs>
          <w:tab w:val="right" w:pos="2155"/>
        </w:tabs>
        <w:spacing w:after="80" w:line="240" w:lineRule="atLeast"/>
        <w:ind w:left="680"/>
        <w:rPr>
          <w:u w:val="single"/>
        </w:rPr>
      </w:pPr>
      <w:r>
        <w:rPr>
          <w:u w:val="single"/>
        </w:rPr>
        <w:tab/>
      </w:r>
    </w:p>
  </w:footnote>
  <w:footnote w:type="continuationSeparator" w:id="0">
    <w:p w14:paraId="22E0FFDF" w14:textId="77777777" w:rsidR="00B45245" w:rsidRPr="00AC3823" w:rsidRDefault="00B45245" w:rsidP="00AC3823">
      <w:pPr>
        <w:pStyle w:val="Footer"/>
        <w:tabs>
          <w:tab w:val="right" w:pos="2155"/>
        </w:tabs>
        <w:spacing w:after="80" w:line="240" w:lineRule="atLeast"/>
        <w:ind w:left="680"/>
        <w:rPr>
          <w:u w:val="single"/>
        </w:rPr>
      </w:pPr>
      <w:r>
        <w:rPr>
          <w:u w:val="single"/>
        </w:rPr>
        <w:tab/>
      </w:r>
    </w:p>
  </w:footnote>
  <w:footnote w:type="continuationNotice" w:id="1">
    <w:p w14:paraId="18169DD9" w14:textId="77777777" w:rsidR="00B45245" w:rsidRPr="00AC3823" w:rsidRDefault="00B45245">
      <w:pPr>
        <w:spacing w:line="240" w:lineRule="auto"/>
        <w:rPr>
          <w:sz w:val="2"/>
          <w:szCs w:val="2"/>
        </w:rPr>
      </w:pPr>
    </w:p>
  </w:footnote>
  <w:footnote w:id="2">
    <w:p w14:paraId="6C669F07" w14:textId="77777777" w:rsidR="00FE27A9" w:rsidRPr="00B64D21" w:rsidRDefault="00FE27A9" w:rsidP="00FE27A9">
      <w:pPr>
        <w:pStyle w:val="FootnoteText"/>
        <w:rPr>
          <w:lang w:val="fr-FR"/>
        </w:rPr>
      </w:pPr>
      <w:r w:rsidRPr="00AE2235">
        <w:rPr>
          <w:rStyle w:val="FootnoteReference"/>
          <w:sz w:val="16"/>
          <w:vertAlign w:val="baseline"/>
        </w:rPr>
        <w:tab/>
      </w:r>
      <w:r w:rsidRPr="00AE2235">
        <w:rPr>
          <w:rStyle w:val="FootnoteReference"/>
          <w:vertAlign w:val="baseline"/>
        </w:rPr>
        <w:t>*</w:t>
      </w:r>
      <w:r w:rsidRPr="00AE2235">
        <w:rPr>
          <w:rStyle w:val="FootnoteReference"/>
          <w:sz w:val="20"/>
          <w:vertAlign w:val="baseline"/>
        </w:rPr>
        <w:tab/>
      </w:r>
      <w:r>
        <w:rPr>
          <w:lang w:val="fr-FR"/>
        </w:rPr>
        <w:t>Adoptées par le Comité à sa 128</w:t>
      </w:r>
      <w:r w:rsidRPr="00193C16">
        <w:rPr>
          <w:vertAlign w:val="superscript"/>
          <w:lang w:val="fr-FR"/>
        </w:rPr>
        <w:t>e</w:t>
      </w:r>
      <w:r>
        <w:rPr>
          <w:lang w:val="fr-FR"/>
        </w:rPr>
        <w:t xml:space="preserve"> session (</w:t>
      </w:r>
      <w:r w:rsidRPr="00190719">
        <w:rPr>
          <w:lang w:val="fr-FR"/>
        </w:rPr>
        <w:t>2-27 mars 2020</w:t>
      </w:r>
      <w:r>
        <w:rPr>
          <w:lang w:val="fr-FR"/>
        </w:rPr>
        <w:t>).</w:t>
      </w:r>
    </w:p>
  </w:footnote>
  <w:footnote w:id="3">
    <w:p w14:paraId="37EFBB24" w14:textId="77777777" w:rsidR="00FE27A9" w:rsidRPr="00193C16" w:rsidRDefault="00FE27A9" w:rsidP="00FE27A9">
      <w:pPr>
        <w:pStyle w:val="FootnoteText"/>
        <w:spacing w:after="60"/>
        <w:jc w:val="both"/>
        <w:rPr>
          <w:lang w:val="fr-FR"/>
        </w:rPr>
      </w:pPr>
      <w:r w:rsidRPr="00AE2235">
        <w:rPr>
          <w:rStyle w:val="FootnoteReference"/>
          <w:vertAlign w:val="baseline"/>
        </w:rPr>
        <w:tab/>
        <w:t>**</w:t>
      </w:r>
      <w:r>
        <w:rPr>
          <w:rStyle w:val="FootnoteReference"/>
          <w:sz w:val="20"/>
        </w:rPr>
        <w:tab/>
      </w:r>
      <w:r w:rsidRPr="000A00E1">
        <w:t xml:space="preserve">Les membres du </w:t>
      </w:r>
      <w:r>
        <w:t>Comité</w:t>
      </w:r>
      <w:r w:rsidRPr="000A00E1">
        <w:t xml:space="preserve"> dont le nom suit ont participé à l’examen de la communication</w:t>
      </w:r>
      <w:r>
        <w:t xml:space="preserve"> : </w:t>
      </w:r>
      <w:proofErr w:type="spellStart"/>
      <w:r w:rsidRPr="00193C16">
        <w:rPr>
          <w:lang w:val="fr-FR"/>
        </w:rPr>
        <w:t>Yad</w:t>
      </w:r>
      <w:r>
        <w:rPr>
          <w:lang w:val="fr-FR"/>
        </w:rPr>
        <w:t>h</w:t>
      </w:r>
      <w:proofErr w:type="spellEnd"/>
      <w:r>
        <w:rPr>
          <w:lang w:val="fr-FR"/>
        </w:rPr>
        <w:t xml:space="preserve"> Ben Achour</w:t>
      </w:r>
      <w:r w:rsidRPr="00193C16">
        <w:rPr>
          <w:lang w:val="fr-FR"/>
        </w:rPr>
        <w:t xml:space="preserve">, Arif </w:t>
      </w:r>
      <w:proofErr w:type="spellStart"/>
      <w:r w:rsidRPr="00193C16">
        <w:rPr>
          <w:lang w:val="fr-FR"/>
        </w:rPr>
        <w:t>Bulkan</w:t>
      </w:r>
      <w:proofErr w:type="spellEnd"/>
      <w:r w:rsidRPr="00193C16">
        <w:rPr>
          <w:lang w:val="fr-FR"/>
        </w:rPr>
        <w:t>, Ahme</w:t>
      </w:r>
      <w:r>
        <w:rPr>
          <w:lang w:val="fr-FR"/>
        </w:rPr>
        <w:t xml:space="preserve">d Amin </w:t>
      </w:r>
      <w:proofErr w:type="spellStart"/>
      <w:r>
        <w:rPr>
          <w:lang w:val="fr-FR"/>
        </w:rPr>
        <w:t>Fathalla</w:t>
      </w:r>
      <w:proofErr w:type="spellEnd"/>
      <w:r w:rsidRPr="00193C16">
        <w:rPr>
          <w:lang w:val="fr-FR"/>
        </w:rPr>
        <w:t xml:space="preserve">, </w:t>
      </w:r>
      <w:proofErr w:type="spellStart"/>
      <w:r w:rsidRPr="00193C16">
        <w:rPr>
          <w:lang w:val="fr-FR"/>
        </w:rPr>
        <w:t>Christof</w:t>
      </w:r>
      <w:proofErr w:type="spellEnd"/>
      <w:r w:rsidRPr="00193C16">
        <w:rPr>
          <w:lang w:val="fr-FR"/>
        </w:rPr>
        <w:t xml:space="preserve"> </w:t>
      </w:r>
      <w:proofErr w:type="spellStart"/>
      <w:r w:rsidRPr="00193C16">
        <w:rPr>
          <w:lang w:val="fr-FR"/>
        </w:rPr>
        <w:t>Heyns</w:t>
      </w:r>
      <w:proofErr w:type="spellEnd"/>
      <w:r w:rsidRPr="00193C16">
        <w:rPr>
          <w:lang w:val="fr-FR"/>
        </w:rPr>
        <w:t xml:space="preserve">, </w:t>
      </w:r>
      <w:proofErr w:type="spellStart"/>
      <w:r w:rsidRPr="00193C16">
        <w:rPr>
          <w:lang w:val="fr-FR"/>
        </w:rPr>
        <w:t>Bamariam</w:t>
      </w:r>
      <w:proofErr w:type="spellEnd"/>
      <w:r w:rsidRPr="00193C16">
        <w:rPr>
          <w:lang w:val="fr-FR"/>
        </w:rPr>
        <w:t xml:space="preserve"> </w:t>
      </w:r>
      <w:proofErr w:type="spellStart"/>
      <w:r w:rsidRPr="00193C16">
        <w:rPr>
          <w:lang w:val="fr-FR"/>
        </w:rPr>
        <w:t>Koita</w:t>
      </w:r>
      <w:proofErr w:type="spellEnd"/>
      <w:r w:rsidRPr="00193C16">
        <w:rPr>
          <w:lang w:val="fr-FR"/>
        </w:rPr>
        <w:t xml:space="preserve">, </w:t>
      </w:r>
      <w:r>
        <w:rPr>
          <w:lang w:val="fr-FR"/>
        </w:rPr>
        <w:t>Marcia</w:t>
      </w:r>
      <w:r w:rsidRPr="00190719">
        <w:rPr>
          <w:lang w:val="fr-FR"/>
        </w:rPr>
        <w:t xml:space="preserve"> </w:t>
      </w:r>
      <w:proofErr w:type="spellStart"/>
      <w:r w:rsidRPr="00190719">
        <w:rPr>
          <w:lang w:val="fr-FR"/>
        </w:rPr>
        <w:t>K</w:t>
      </w:r>
      <w:r>
        <w:rPr>
          <w:lang w:val="fr-FR"/>
        </w:rPr>
        <w:t>ran</w:t>
      </w:r>
      <w:proofErr w:type="spellEnd"/>
      <w:r>
        <w:rPr>
          <w:lang w:val="fr-FR"/>
        </w:rPr>
        <w:t xml:space="preserve">, </w:t>
      </w:r>
      <w:r w:rsidRPr="00193C16">
        <w:rPr>
          <w:lang w:val="fr-FR"/>
        </w:rPr>
        <w:t xml:space="preserve">Duncan </w:t>
      </w:r>
      <w:proofErr w:type="spellStart"/>
      <w:r w:rsidRPr="00193C16">
        <w:rPr>
          <w:lang w:val="fr-FR"/>
        </w:rPr>
        <w:t>Laki</w:t>
      </w:r>
      <w:proofErr w:type="spellEnd"/>
      <w:r w:rsidRPr="00193C16">
        <w:rPr>
          <w:lang w:val="fr-FR"/>
        </w:rPr>
        <w:t xml:space="preserve"> </w:t>
      </w:r>
      <w:proofErr w:type="spellStart"/>
      <w:r w:rsidRPr="00193C16">
        <w:rPr>
          <w:lang w:val="fr-FR"/>
        </w:rPr>
        <w:t>Muhumuza</w:t>
      </w:r>
      <w:proofErr w:type="spellEnd"/>
      <w:r w:rsidRPr="00193C16">
        <w:rPr>
          <w:lang w:val="fr-FR"/>
        </w:rPr>
        <w:t xml:space="preserve">, </w:t>
      </w:r>
      <w:proofErr w:type="spellStart"/>
      <w:r w:rsidRPr="00193C16">
        <w:rPr>
          <w:lang w:val="fr-FR"/>
        </w:rPr>
        <w:t>Photini</w:t>
      </w:r>
      <w:proofErr w:type="spellEnd"/>
      <w:r w:rsidRPr="00193C16">
        <w:rPr>
          <w:lang w:val="fr-FR"/>
        </w:rPr>
        <w:t xml:space="preserve"> </w:t>
      </w:r>
      <w:proofErr w:type="spellStart"/>
      <w:r w:rsidRPr="00193C16">
        <w:rPr>
          <w:lang w:val="fr-FR"/>
        </w:rPr>
        <w:t>Pazartzis</w:t>
      </w:r>
      <w:proofErr w:type="spellEnd"/>
      <w:r w:rsidRPr="00193C16">
        <w:rPr>
          <w:lang w:val="fr-FR"/>
        </w:rPr>
        <w:t xml:space="preserve">, Hernán </w:t>
      </w:r>
      <w:proofErr w:type="spellStart"/>
      <w:r w:rsidRPr="00193C16">
        <w:rPr>
          <w:lang w:val="fr-FR"/>
        </w:rPr>
        <w:t>Quezada</w:t>
      </w:r>
      <w:proofErr w:type="spellEnd"/>
      <w:r w:rsidRPr="00193C16">
        <w:rPr>
          <w:lang w:val="fr-FR"/>
        </w:rPr>
        <w:t xml:space="preserve">, </w:t>
      </w:r>
      <w:proofErr w:type="spellStart"/>
      <w:r w:rsidRPr="00193C16">
        <w:rPr>
          <w:lang w:val="fr-FR"/>
        </w:rPr>
        <w:t>Vasilka</w:t>
      </w:r>
      <w:proofErr w:type="spellEnd"/>
      <w:r w:rsidRPr="00193C16">
        <w:rPr>
          <w:lang w:val="fr-FR"/>
        </w:rPr>
        <w:t xml:space="preserve"> </w:t>
      </w:r>
      <w:proofErr w:type="spellStart"/>
      <w:r w:rsidRPr="00193C16">
        <w:rPr>
          <w:lang w:val="fr-FR"/>
        </w:rPr>
        <w:t>Sancin</w:t>
      </w:r>
      <w:proofErr w:type="spellEnd"/>
      <w:r w:rsidRPr="00193C16">
        <w:rPr>
          <w:lang w:val="fr-FR"/>
        </w:rPr>
        <w:t xml:space="preserve">, José Manuel Santos Pais, </w:t>
      </w:r>
      <w:r>
        <w:rPr>
          <w:lang w:val="fr-FR"/>
        </w:rPr>
        <w:t xml:space="preserve">Yuval </w:t>
      </w:r>
      <w:proofErr w:type="spellStart"/>
      <w:r>
        <w:rPr>
          <w:lang w:val="fr-FR"/>
        </w:rPr>
        <w:t>Shany</w:t>
      </w:r>
      <w:proofErr w:type="spellEnd"/>
      <w:r>
        <w:rPr>
          <w:lang w:val="fr-FR"/>
        </w:rPr>
        <w:t>, Hélène T</w:t>
      </w:r>
      <w:r w:rsidRPr="006B35E7">
        <w:rPr>
          <w:lang w:val="fr-FR"/>
        </w:rPr>
        <w:t>igroudja</w:t>
      </w:r>
      <w:r>
        <w:rPr>
          <w:lang w:val="fr-FR"/>
        </w:rPr>
        <w:t>,</w:t>
      </w:r>
      <w:r w:rsidRPr="00193C16">
        <w:rPr>
          <w:lang w:val="fr-FR"/>
        </w:rPr>
        <w:t xml:space="preserve"> Andreas Zimmermann</w:t>
      </w:r>
      <w:r>
        <w:rPr>
          <w:lang w:val="fr-FR"/>
        </w:rPr>
        <w:t xml:space="preserve"> et </w:t>
      </w:r>
      <w:proofErr w:type="spellStart"/>
      <w:r>
        <w:rPr>
          <w:lang w:val="fr-FR"/>
        </w:rPr>
        <w:t>Gentian</w:t>
      </w:r>
      <w:proofErr w:type="spellEnd"/>
      <w:r>
        <w:rPr>
          <w:lang w:val="fr-FR"/>
        </w:rPr>
        <w:t xml:space="preserve"> </w:t>
      </w:r>
      <w:proofErr w:type="spellStart"/>
      <w:r>
        <w:rPr>
          <w:lang w:val="fr-FR"/>
        </w:rPr>
        <w:t>Zyberi</w:t>
      </w:r>
      <w:proofErr w:type="spellEnd"/>
      <w:r w:rsidRPr="00193C16">
        <w:rPr>
          <w:lang w:val="fr-FR"/>
        </w:rPr>
        <w:t>.</w:t>
      </w:r>
    </w:p>
    <w:p w14:paraId="02EB27A1" w14:textId="77777777" w:rsidR="00FE27A9" w:rsidRPr="00B64D21" w:rsidRDefault="00FE27A9" w:rsidP="00FE27A9">
      <w:pPr>
        <w:pStyle w:val="FootnoteText"/>
        <w:rPr>
          <w:lang w:val="fr-FR"/>
        </w:rPr>
      </w:pPr>
      <w:r w:rsidRPr="00667954" w:rsidDel="006B35E7">
        <w:rPr>
          <w:lang w:val="fr-FR"/>
        </w:rPr>
        <w:t xml:space="preserve"> </w:t>
      </w:r>
    </w:p>
  </w:footnote>
  <w:footnote w:id="4">
    <w:p w14:paraId="1E91BF58" w14:textId="77777777" w:rsidR="00453939" w:rsidRPr="000C2DAE" w:rsidRDefault="00453939" w:rsidP="00BE493D">
      <w:pPr>
        <w:pStyle w:val="FootnoteText"/>
      </w:pPr>
      <w:r w:rsidRPr="00EA0F9B">
        <w:tab/>
      </w:r>
      <w:r>
        <w:rPr>
          <w:rStyle w:val="FootnoteReference"/>
        </w:rPr>
        <w:footnoteRef/>
      </w:r>
      <w:r>
        <w:tab/>
        <w:t>L</w:t>
      </w:r>
      <w:r w:rsidRPr="000C2DAE">
        <w:t xml:space="preserve">eurs prénoms, </w:t>
      </w:r>
      <w:r w:rsidRPr="00BE493D">
        <w:t>adresses</w:t>
      </w:r>
      <w:r w:rsidRPr="000C2DAE">
        <w:t xml:space="preserve"> postales, pro</w:t>
      </w:r>
      <w:r>
        <w:t>fessions, situations familiales.</w:t>
      </w:r>
    </w:p>
  </w:footnote>
  <w:footnote w:id="5">
    <w:p w14:paraId="5866574D" w14:textId="77777777" w:rsidR="00453939" w:rsidRPr="000C2DAE" w:rsidRDefault="00453939" w:rsidP="00BE493D">
      <w:pPr>
        <w:pStyle w:val="FootnoteText"/>
      </w:pPr>
      <w:r>
        <w:tab/>
      </w:r>
      <w:r>
        <w:rPr>
          <w:rStyle w:val="FootnoteReference"/>
        </w:rPr>
        <w:footnoteRef/>
      </w:r>
      <w:r>
        <w:tab/>
        <w:t xml:space="preserve">Les auteurs ne précisent pas </w:t>
      </w:r>
      <w:r w:rsidRPr="00BE493D">
        <w:t>comment</w:t>
      </w:r>
      <w:r>
        <w:t xml:space="preserve"> ils ont obtenu ces informations.</w:t>
      </w:r>
    </w:p>
  </w:footnote>
  <w:footnote w:id="6">
    <w:p w14:paraId="693017FC" w14:textId="77777777" w:rsidR="00800F08" w:rsidRPr="003856AD" w:rsidRDefault="00800F08" w:rsidP="00BE493D">
      <w:pPr>
        <w:pStyle w:val="FootnoteText"/>
      </w:pPr>
      <w:r>
        <w:tab/>
      </w:r>
      <w:r>
        <w:rPr>
          <w:rStyle w:val="FootnoteReference"/>
        </w:rPr>
        <w:footnoteRef/>
      </w:r>
      <w:r>
        <w:tab/>
      </w:r>
      <w:r>
        <w:rPr>
          <w:lang w:eastAsia="fr-FR"/>
        </w:rPr>
        <w:t>Remplacé</w:t>
      </w:r>
      <w:r w:rsidRPr="003856AD">
        <w:rPr>
          <w:lang w:eastAsia="fr-FR"/>
        </w:rPr>
        <w:t xml:space="preserve"> par la Commission </w:t>
      </w:r>
      <w:r w:rsidRPr="00BE493D">
        <w:t>nationale</w:t>
      </w:r>
      <w:r w:rsidRPr="003856AD">
        <w:rPr>
          <w:lang w:eastAsia="fr-FR"/>
        </w:rPr>
        <w:t xml:space="preserve"> consultative pour la promotion et la protection des droits de l’Homme (CNPPDH)</w:t>
      </w:r>
      <w:r>
        <w:rPr>
          <w:lang w:eastAsia="fr-FR"/>
        </w:rPr>
        <w:t>,</w:t>
      </w:r>
      <w:r w:rsidRPr="003856AD">
        <w:rPr>
          <w:lang w:eastAsia="fr-FR"/>
        </w:rPr>
        <w:t xml:space="preserve"> et aujourd’hui par le Conseil national des droits de l’Homme (CNDH).</w:t>
      </w:r>
    </w:p>
  </w:footnote>
  <w:footnote w:id="7">
    <w:p w14:paraId="751517C7" w14:textId="185BC451" w:rsidR="004119F5" w:rsidRDefault="004119F5" w:rsidP="00BE493D">
      <w:pPr>
        <w:pStyle w:val="FootnoteText"/>
      </w:pPr>
      <w:r>
        <w:tab/>
      </w:r>
      <w:r w:rsidRPr="00D3513E">
        <w:rPr>
          <w:rStyle w:val="FootnoteReference"/>
        </w:rPr>
        <w:footnoteRef/>
      </w:r>
      <w:r>
        <w:tab/>
        <w:t>L</w:t>
      </w:r>
      <w:r w:rsidR="006170ED">
        <w:t xml:space="preserve">es </w:t>
      </w:r>
      <w:r>
        <w:t>auteur</w:t>
      </w:r>
      <w:r w:rsidR="006170ED">
        <w:t>s</w:t>
      </w:r>
      <w:r>
        <w:t xml:space="preserve"> appuie</w:t>
      </w:r>
      <w:r w:rsidR="006170ED">
        <w:t>nt</w:t>
      </w:r>
      <w:r>
        <w:t xml:space="preserve"> </w:t>
      </w:r>
      <w:r w:rsidR="00F23A9F">
        <w:t>leur</w:t>
      </w:r>
      <w:r>
        <w:t xml:space="preserve"> argumentation en renvoyant aux opinions individuelles concordantes de </w:t>
      </w:r>
      <w:proofErr w:type="spellStart"/>
      <w:r>
        <w:t>Fabián</w:t>
      </w:r>
      <w:proofErr w:type="spellEnd"/>
      <w:r>
        <w:t xml:space="preserve"> </w:t>
      </w:r>
      <w:proofErr w:type="spellStart"/>
      <w:r>
        <w:t>Salvioli</w:t>
      </w:r>
      <w:proofErr w:type="spellEnd"/>
      <w:r>
        <w:t xml:space="preserve">, en particulier celle dans l’affaire </w:t>
      </w:r>
      <w:proofErr w:type="spellStart"/>
      <w:r>
        <w:rPr>
          <w:i/>
        </w:rPr>
        <w:t>Djebbar</w:t>
      </w:r>
      <w:proofErr w:type="spellEnd"/>
      <w:r>
        <w:rPr>
          <w:i/>
        </w:rPr>
        <w:t xml:space="preserve"> et </w:t>
      </w:r>
      <w:proofErr w:type="spellStart"/>
      <w:r>
        <w:rPr>
          <w:i/>
        </w:rPr>
        <w:t>Chihoub</w:t>
      </w:r>
      <w:proofErr w:type="spellEnd"/>
      <w:r>
        <w:rPr>
          <w:i/>
        </w:rPr>
        <w:t xml:space="preserve"> c. </w:t>
      </w:r>
      <w:r w:rsidRPr="00E965B0">
        <w:rPr>
          <w:i/>
        </w:rPr>
        <w:t>Algérie</w:t>
      </w:r>
      <w:r>
        <w:t xml:space="preserve"> (CCPR/C/103/D/1811/2008).</w:t>
      </w:r>
    </w:p>
  </w:footnote>
  <w:footnote w:id="8">
    <w:p w14:paraId="453E2973" w14:textId="17013E87" w:rsidR="004119F5" w:rsidRDefault="004119F5" w:rsidP="00BE493D">
      <w:pPr>
        <w:pStyle w:val="FootnoteText"/>
      </w:pPr>
      <w:r>
        <w:t xml:space="preserve"> </w:t>
      </w:r>
      <w:r>
        <w:tab/>
      </w:r>
      <w:r w:rsidRPr="00D3513E">
        <w:rPr>
          <w:rStyle w:val="FootnoteReference"/>
        </w:rPr>
        <w:footnoteRef/>
      </w:r>
      <w:r>
        <w:tab/>
      </w:r>
      <w:r w:rsidRPr="008E4FC5">
        <w:t>L</w:t>
      </w:r>
      <w:r w:rsidR="006170ED">
        <w:t xml:space="preserve">es </w:t>
      </w:r>
      <w:r w:rsidRPr="008E4FC5">
        <w:t>auteur</w:t>
      </w:r>
      <w:r w:rsidR="006170ED">
        <w:t>s</w:t>
      </w:r>
      <w:r w:rsidRPr="008E4FC5">
        <w:t xml:space="preserve"> appuie</w:t>
      </w:r>
      <w:r w:rsidR="006170ED">
        <w:t>nt</w:t>
      </w:r>
      <w:r w:rsidRPr="008E4FC5">
        <w:t xml:space="preserve"> </w:t>
      </w:r>
      <w:r w:rsidR="00F23A9F" w:rsidRPr="00BE493D">
        <w:t>leur</w:t>
      </w:r>
      <w:r w:rsidRPr="008E4FC5">
        <w:t xml:space="preserve"> argumentation sur le paragraphe</w:t>
      </w:r>
      <w:r>
        <w:t xml:space="preserve"> 4 de l’observation générale n</w:t>
      </w:r>
      <w:r w:rsidRPr="00FF0897">
        <w:rPr>
          <w:vertAlign w:val="superscript"/>
        </w:rPr>
        <w:t>o</w:t>
      </w:r>
      <w:r>
        <w:t xml:space="preserve"> </w:t>
      </w:r>
      <w:r w:rsidRPr="008E4FC5">
        <w:t xml:space="preserve">31 </w:t>
      </w:r>
      <w:r>
        <w:t>(2004) sur</w:t>
      </w:r>
      <w:r w:rsidRPr="008E4FC5">
        <w:t xml:space="preserve"> la nature de l</w:t>
      </w:r>
      <w:r>
        <w:t>’</w:t>
      </w:r>
      <w:r w:rsidRPr="008E4FC5">
        <w:t xml:space="preserve">obligation juridique générale imposée aux États parties </w:t>
      </w:r>
      <w:r>
        <w:t>au</w:t>
      </w:r>
      <w:r w:rsidRPr="008E4FC5">
        <w:t xml:space="preserve"> Pacte</w:t>
      </w:r>
      <w:r>
        <w:t>.</w:t>
      </w:r>
    </w:p>
  </w:footnote>
  <w:footnote w:id="9">
    <w:p w14:paraId="7CC8F9DD" w14:textId="187DE938" w:rsidR="004119F5" w:rsidRPr="00B11211" w:rsidRDefault="004119F5" w:rsidP="00BE493D">
      <w:pPr>
        <w:pStyle w:val="FootnoteText"/>
      </w:pPr>
      <w:r w:rsidRPr="00B11211">
        <w:tab/>
      </w:r>
      <w:r w:rsidRPr="00B11211">
        <w:rPr>
          <w:rStyle w:val="FootnoteReference"/>
          <w:szCs w:val="18"/>
        </w:rPr>
        <w:footnoteRef/>
      </w:r>
      <w:r w:rsidRPr="00B11211">
        <w:tab/>
        <w:t>L</w:t>
      </w:r>
      <w:r w:rsidR="006170ED">
        <w:t xml:space="preserve">es </w:t>
      </w:r>
      <w:r w:rsidRPr="00BE493D">
        <w:t>auteur</w:t>
      </w:r>
      <w:r w:rsidR="006170ED" w:rsidRPr="00BE493D">
        <w:t>s</w:t>
      </w:r>
      <w:r w:rsidRPr="00B11211">
        <w:t xml:space="preserve"> se réfère</w:t>
      </w:r>
      <w:r w:rsidR="006170ED">
        <w:t>nt</w:t>
      </w:r>
      <w:r w:rsidRPr="00B11211">
        <w:t xml:space="preserve"> aux observations finales du Comité relatives à l’examen du troisième rapport périodique de l’Algérie, dans lesquelles il est affirmé que l’ordonnance n</w:t>
      </w:r>
      <w:r w:rsidRPr="00B11211">
        <w:rPr>
          <w:vertAlign w:val="superscript"/>
        </w:rPr>
        <w:t>o</w:t>
      </w:r>
      <w:r w:rsidRPr="00B11211">
        <w:t xml:space="preserve"> 06-01, qui interdit toute poursuite contre des </w:t>
      </w:r>
      <w:r w:rsidRPr="00BE493D">
        <w:t>éléments</w:t>
      </w:r>
      <w:r w:rsidRPr="00B11211">
        <w:t xml:space="preserve"> des forces de défense et de sécurité, semble ainsi promouvoir l’impunité et porter atteinte au droit à un recours effectif (CCPR/C/DZA/CO/3, par. 7 et 8).</w:t>
      </w:r>
    </w:p>
  </w:footnote>
  <w:footnote w:id="10">
    <w:p w14:paraId="4526925D" w14:textId="77777777" w:rsidR="004119F5" w:rsidRPr="00CF6163" w:rsidRDefault="004119F5" w:rsidP="00BE493D">
      <w:pPr>
        <w:pStyle w:val="FootnoteText"/>
      </w:pPr>
      <w:r>
        <w:tab/>
      </w:r>
      <w:r>
        <w:rPr>
          <w:rStyle w:val="FootnoteReference"/>
        </w:rPr>
        <w:footnoteRef/>
      </w:r>
      <w:r>
        <w:tab/>
      </w:r>
      <w:r w:rsidRPr="00BE493D">
        <w:t>Observation</w:t>
      </w:r>
      <w:r w:rsidRPr="00CF6163">
        <w:rPr>
          <w:lang w:val="fr-FR"/>
        </w:rPr>
        <w:t xml:space="preserve"> générale n</w:t>
      </w:r>
      <w:r w:rsidRPr="00CF6163">
        <w:rPr>
          <w:vertAlign w:val="superscript"/>
          <w:lang w:val="fr-FR"/>
        </w:rPr>
        <w:t>o</w:t>
      </w:r>
      <w:r>
        <w:rPr>
          <w:lang w:val="fr-FR"/>
        </w:rPr>
        <w:t xml:space="preserve"> 31, par. 16.</w:t>
      </w:r>
    </w:p>
  </w:footnote>
  <w:footnote w:id="11">
    <w:p w14:paraId="73C9D605" w14:textId="77777777" w:rsidR="004E57C5" w:rsidRPr="00A2603C" w:rsidRDefault="004E57C5" w:rsidP="00BE493D">
      <w:pPr>
        <w:pStyle w:val="FootnoteText"/>
        <w:rPr>
          <w:lang w:val="fr-FR"/>
        </w:rPr>
      </w:pPr>
      <w:r>
        <w:tab/>
      </w:r>
      <w:r>
        <w:rPr>
          <w:rStyle w:val="FootnoteReference"/>
        </w:rPr>
        <w:footnoteRef/>
      </w:r>
      <w:r w:rsidRPr="00A2603C">
        <w:rPr>
          <w:lang w:val="fr-FR"/>
        </w:rPr>
        <w:tab/>
        <w:t>CCPR/C/DZA/CO/3, par. 12.</w:t>
      </w:r>
    </w:p>
  </w:footnote>
  <w:footnote w:id="12">
    <w:p w14:paraId="21246EA9" w14:textId="77777777" w:rsidR="004119F5" w:rsidRDefault="004119F5" w:rsidP="00BE493D">
      <w:pPr>
        <w:pStyle w:val="FootnoteText"/>
      </w:pPr>
      <w:r>
        <w:tab/>
      </w:r>
      <w:r w:rsidRPr="00D3513E">
        <w:rPr>
          <w:rStyle w:val="FootnoteReference"/>
        </w:rPr>
        <w:footnoteRef/>
      </w:r>
      <w:r>
        <w:tab/>
        <w:t>Observation générale n</w:t>
      </w:r>
      <w:r w:rsidRPr="00FF0897">
        <w:rPr>
          <w:vertAlign w:val="superscript"/>
        </w:rPr>
        <w:t>o</w:t>
      </w:r>
      <w:r>
        <w:t xml:space="preserve"> </w:t>
      </w:r>
      <w:r>
        <w:rPr>
          <w:lang w:val="fr-FR"/>
        </w:rPr>
        <w:t>32 (2007) sur le droit à l’égalité devant les tribunaux et les cours de justice et à un procès équitable, par. 9.</w:t>
      </w:r>
    </w:p>
  </w:footnote>
  <w:footnote w:id="13">
    <w:p w14:paraId="0DB61227" w14:textId="77777777" w:rsidR="004119F5" w:rsidRPr="00AF430B" w:rsidRDefault="004119F5" w:rsidP="00BE493D">
      <w:pPr>
        <w:pStyle w:val="FootnoteText"/>
      </w:pPr>
      <w:r w:rsidRPr="00B11211">
        <w:tab/>
      </w:r>
      <w:r w:rsidRPr="00B11211">
        <w:rPr>
          <w:rStyle w:val="FootnoteReference"/>
          <w:szCs w:val="18"/>
        </w:rPr>
        <w:footnoteRef/>
      </w:r>
      <w:r w:rsidRPr="00AF430B">
        <w:tab/>
        <w:t>CCPR/C/79/Add.95, par. 10.</w:t>
      </w:r>
    </w:p>
  </w:footnote>
  <w:footnote w:id="14">
    <w:p w14:paraId="1CE323F5" w14:textId="77777777" w:rsidR="00E52E4F" w:rsidRPr="00A477A7" w:rsidRDefault="00E52E4F" w:rsidP="00BE493D">
      <w:pPr>
        <w:pStyle w:val="FootnoteText"/>
        <w:rPr>
          <w:lang w:val="fr-FR"/>
        </w:rPr>
      </w:pPr>
      <w:r w:rsidRPr="00DD5744">
        <w:rPr>
          <w:lang w:val="fr-FR"/>
        </w:rPr>
        <w:tab/>
      </w:r>
      <w:r w:rsidRPr="00D3513E">
        <w:rPr>
          <w:rStyle w:val="FootnoteReference"/>
        </w:rPr>
        <w:footnoteRef/>
      </w:r>
      <w:r>
        <w:tab/>
      </w:r>
      <w:proofErr w:type="spellStart"/>
      <w:r w:rsidRPr="0061228F">
        <w:rPr>
          <w:i/>
          <w:iCs/>
          <w:lang w:val="fr-FR"/>
        </w:rPr>
        <w:t>Mezine</w:t>
      </w:r>
      <w:proofErr w:type="spellEnd"/>
      <w:r w:rsidRPr="0061228F">
        <w:rPr>
          <w:i/>
          <w:iCs/>
          <w:lang w:val="fr-FR"/>
        </w:rPr>
        <w:t xml:space="preserve"> c.</w:t>
      </w:r>
      <w:r>
        <w:rPr>
          <w:i/>
          <w:iCs/>
          <w:lang w:val="fr-FR"/>
        </w:rPr>
        <w:t xml:space="preserve"> </w:t>
      </w:r>
      <w:r w:rsidRPr="0061228F">
        <w:rPr>
          <w:i/>
          <w:iCs/>
          <w:lang w:val="fr-FR"/>
        </w:rPr>
        <w:t>Algérie</w:t>
      </w:r>
      <w:r>
        <w:rPr>
          <w:lang w:val="fr-FR"/>
        </w:rPr>
        <w:t xml:space="preserve">, par. 8.3, et </w:t>
      </w:r>
      <w:proofErr w:type="spellStart"/>
      <w:r w:rsidRPr="00BE493D">
        <w:t>Medjnoune</w:t>
      </w:r>
      <w:proofErr w:type="spellEnd"/>
      <w:r w:rsidRPr="0061228F">
        <w:rPr>
          <w:i/>
          <w:iCs/>
          <w:lang w:val="fr-FR"/>
        </w:rPr>
        <w:t xml:space="preserve"> c.</w:t>
      </w:r>
      <w:r>
        <w:rPr>
          <w:i/>
          <w:iCs/>
          <w:lang w:val="fr-FR"/>
        </w:rPr>
        <w:t xml:space="preserve"> </w:t>
      </w:r>
      <w:r w:rsidRPr="0061228F">
        <w:rPr>
          <w:i/>
          <w:iCs/>
          <w:lang w:val="fr-FR"/>
        </w:rPr>
        <w:t>Algérie</w:t>
      </w:r>
      <w:r>
        <w:rPr>
          <w:iCs/>
          <w:lang w:val="fr-FR"/>
        </w:rPr>
        <w:t xml:space="preserve"> </w:t>
      </w:r>
      <w:r>
        <w:rPr>
          <w:lang w:val="fr-FR"/>
        </w:rPr>
        <w:t>(CCPR/C/87/D/1297/2004), par. 8.3.</w:t>
      </w:r>
    </w:p>
  </w:footnote>
  <w:footnote w:id="15">
    <w:p w14:paraId="50E733E9" w14:textId="112A6A05" w:rsidR="004119F5" w:rsidRPr="00BA6319" w:rsidRDefault="004119F5" w:rsidP="00BA6319">
      <w:pPr>
        <w:pStyle w:val="FootnoteText"/>
        <w:rPr>
          <w:lang w:val="fr-FR"/>
        </w:rPr>
      </w:pPr>
      <w:r>
        <w:tab/>
      </w:r>
      <w:r w:rsidRPr="00D3513E">
        <w:rPr>
          <w:rStyle w:val="FootnoteReference"/>
        </w:rPr>
        <w:footnoteRef/>
      </w:r>
      <w:r>
        <w:tab/>
      </w:r>
      <w:r>
        <w:rPr>
          <w:lang w:val="fr-FR"/>
        </w:rPr>
        <w:t xml:space="preserve">Voir, entre autres, </w:t>
      </w:r>
      <w:proofErr w:type="spellStart"/>
      <w:r w:rsidR="001919E8" w:rsidRPr="001919E8">
        <w:rPr>
          <w:i/>
          <w:lang w:val="fr-FR"/>
        </w:rPr>
        <w:t>Tharu</w:t>
      </w:r>
      <w:proofErr w:type="spellEnd"/>
      <w:r w:rsidR="00F23A9F">
        <w:rPr>
          <w:i/>
          <w:lang w:val="fr-FR"/>
        </w:rPr>
        <w:t xml:space="preserve"> et al.</w:t>
      </w:r>
      <w:r w:rsidR="001919E8" w:rsidRPr="001919E8">
        <w:rPr>
          <w:i/>
          <w:lang w:val="fr-FR"/>
        </w:rPr>
        <w:t xml:space="preserve"> c. Népal</w:t>
      </w:r>
      <w:r w:rsidR="001919E8" w:rsidRPr="001919E8">
        <w:rPr>
          <w:lang w:val="fr-FR"/>
        </w:rPr>
        <w:t xml:space="preserve"> (CCPR/C/114/D/2038/2011), par. 9.2 ; </w:t>
      </w:r>
      <w:proofErr w:type="spellStart"/>
      <w:r w:rsidR="001919E8" w:rsidRPr="001919E8">
        <w:rPr>
          <w:i/>
          <w:lang w:val="fr-FR"/>
        </w:rPr>
        <w:t>Ammari</w:t>
      </w:r>
      <w:proofErr w:type="spellEnd"/>
      <w:r w:rsidR="001919E8" w:rsidRPr="001919E8">
        <w:rPr>
          <w:i/>
          <w:lang w:val="fr-FR"/>
        </w:rPr>
        <w:t xml:space="preserve"> c. Algérie </w:t>
      </w:r>
      <w:r w:rsidR="001919E8" w:rsidRPr="001919E8">
        <w:rPr>
          <w:lang w:val="fr-FR"/>
        </w:rPr>
        <w:t>(</w:t>
      </w:r>
      <w:bookmarkStart w:id="2" w:name="_Hlk28710994"/>
      <w:r w:rsidR="001919E8" w:rsidRPr="001919E8">
        <w:rPr>
          <w:lang w:val="fr-FR"/>
        </w:rPr>
        <w:t>CCPR/C/112/D/2098/2011</w:t>
      </w:r>
      <w:bookmarkEnd w:id="2"/>
      <w:r w:rsidR="00F23A9F">
        <w:rPr>
          <w:lang w:val="fr-FR"/>
        </w:rPr>
        <w:t>), par. 7.2 ;</w:t>
      </w:r>
      <w:r w:rsidR="001919E8" w:rsidRPr="001919E8">
        <w:rPr>
          <w:i/>
          <w:lang w:val="fr-FR"/>
        </w:rPr>
        <w:t xml:space="preserve"> </w:t>
      </w:r>
      <w:proofErr w:type="spellStart"/>
      <w:r w:rsidR="001919E8" w:rsidRPr="001919E8">
        <w:rPr>
          <w:i/>
          <w:lang w:val="fr-FR"/>
        </w:rPr>
        <w:t>Zai</w:t>
      </w:r>
      <w:r w:rsidR="003A556D">
        <w:rPr>
          <w:i/>
          <w:lang w:val="fr-FR"/>
        </w:rPr>
        <w:t>e</w:t>
      </w:r>
      <w:r w:rsidR="001919E8" w:rsidRPr="001919E8">
        <w:rPr>
          <w:i/>
          <w:lang w:val="fr-FR"/>
        </w:rPr>
        <w:t>r</w:t>
      </w:r>
      <w:proofErr w:type="spellEnd"/>
      <w:r w:rsidR="001919E8" w:rsidRPr="001919E8">
        <w:rPr>
          <w:i/>
          <w:lang w:val="fr-FR"/>
        </w:rPr>
        <w:t xml:space="preserve"> c. Algérie</w:t>
      </w:r>
      <w:r w:rsidR="001919E8" w:rsidRPr="001919E8">
        <w:rPr>
          <w:lang w:val="fr-FR"/>
        </w:rPr>
        <w:t xml:space="preserve"> (CCPR/C/112/D/2026/2011), par. 6.2</w:t>
      </w:r>
      <w:r w:rsidR="00DC597E">
        <w:rPr>
          <w:lang w:val="fr-FR"/>
        </w:rPr>
        <w:t> ;</w:t>
      </w:r>
      <w:r w:rsidR="00DC597E" w:rsidRPr="00DC597E">
        <w:t xml:space="preserve"> </w:t>
      </w:r>
      <w:proofErr w:type="spellStart"/>
      <w:r w:rsidR="00F23A9F" w:rsidRPr="009A585B">
        <w:rPr>
          <w:i/>
        </w:rPr>
        <w:t>Mihoubi</w:t>
      </w:r>
      <w:proofErr w:type="spellEnd"/>
      <w:r w:rsidR="00F23A9F" w:rsidRPr="009A585B">
        <w:t xml:space="preserve"> </w:t>
      </w:r>
      <w:r w:rsidR="00F23A9F" w:rsidRPr="002F13A7">
        <w:rPr>
          <w:i/>
        </w:rPr>
        <w:t xml:space="preserve">c. </w:t>
      </w:r>
      <w:r w:rsidR="00F23A9F" w:rsidRPr="009A585B">
        <w:rPr>
          <w:i/>
        </w:rPr>
        <w:t>Algérie</w:t>
      </w:r>
      <w:r w:rsidR="00F23A9F">
        <w:t xml:space="preserve"> (</w:t>
      </w:r>
      <w:r w:rsidR="00F23A9F" w:rsidRPr="002F13A7">
        <w:t>CCPR/C/109/D/1874/2009</w:t>
      </w:r>
      <w:r w:rsidR="00F23A9F">
        <w:t>), par. 6.2 ;</w:t>
      </w:r>
      <w:r w:rsidR="00F23A9F" w:rsidRPr="009A585B">
        <w:t xml:space="preserve"> et </w:t>
      </w:r>
      <w:r w:rsidR="00F23A9F">
        <w:rPr>
          <w:i/>
        </w:rPr>
        <w:t xml:space="preserve">Al </w:t>
      </w:r>
      <w:proofErr w:type="spellStart"/>
      <w:r w:rsidR="00F23A9F" w:rsidRPr="009A585B">
        <w:rPr>
          <w:i/>
        </w:rPr>
        <w:t>Daquel</w:t>
      </w:r>
      <w:proofErr w:type="spellEnd"/>
      <w:r w:rsidR="00F23A9F" w:rsidRPr="002F13A7">
        <w:rPr>
          <w:i/>
        </w:rPr>
        <w:t xml:space="preserve"> c. L</w:t>
      </w:r>
      <w:r w:rsidR="00F23A9F" w:rsidRPr="009A585B">
        <w:rPr>
          <w:i/>
        </w:rPr>
        <w:t>ibye</w:t>
      </w:r>
      <w:r w:rsidR="00F23A9F" w:rsidRPr="009A585B">
        <w:t xml:space="preserve"> </w:t>
      </w:r>
      <w:r w:rsidR="00F23A9F">
        <w:t>(</w:t>
      </w:r>
      <w:r w:rsidR="00F23A9F" w:rsidRPr="002F13A7">
        <w:t>CCPR/C/111/D/1882/2009</w:t>
      </w:r>
      <w:r w:rsidR="00F23A9F">
        <w:t xml:space="preserve">), par. </w:t>
      </w:r>
      <w:r w:rsidR="00F23A9F" w:rsidRPr="009A585B">
        <w:t>5.2</w:t>
      </w:r>
      <w:r w:rsidR="00DC597E" w:rsidRPr="00DC597E">
        <w:rPr>
          <w:lang w:val="fr-FR"/>
        </w:rPr>
        <w:t>.</w:t>
      </w:r>
    </w:p>
  </w:footnote>
  <w:footnote w:id="16">
    <w:p w14:paraId="50BF5D8A" w14:textId="77777777" w:rsidR="004119F5" w:rsidRPr="00C946E6" w:rsidRDefault="004119F5" w:rsidP="00BE493D">
      <w:pPr>
        <w:pStyle w:val="FootnoteText"/>
      </w:pPr>
      <w:r>
        <w:tab/>
      </w:r>
      <w:r>
        <w:rPr>
          <w:rStyle w:val="FootnoteReference"/>
        </w:rPr>
        <w:footnoteRef/>
      </w:r>
      <w:r>
        <w:tab/>
        <w:t>CCPR/C/DZA/CO/4, par. 7 et 8</w:t>
      </w:r>
      <w:r w:rsidRPr="00C946E6">
        <w:t>.</w:t>
      </w:r>
    </w:p>
  </w:footnote>
  <w:footnote w:id="17">
    <w:p w14:paraId="5874668D" w14:textId="7020143E" w:rsidR="004119F5" w:rsidRPr="00B11211" w:rsidRDefault="004119F5" w:rsidP="00BE493D">
      <w:pPr>
        <w:pStyle w:val="FootnoteText"/>
        <w:rPr>
          <w:szCs w:val="18"/>
        </w:rPr>
      </w:pPr>
      <w:r w:rsidRPr="00C946E6">
        <w:rPr>
          <w:szCs w:val="18"/>
        </w:rPr>
        <w:tab/>
      </w:r>
      <w:r w:rsidRPr="00B11211">
        <w:rPr>
          <w:rStyle w:val="FootnoteReference"/>
          <w:szCs w:val="18"/>
        </w:rPr>
        <w:footnoteRef/>
      </w:r>
      <w:r w:rsidRPr="00B11211">
        <w:rPr>
          <w:szCs w:val="18"/>
        </w:rPr>
        <w:tab/>
      </w:r>
      <w:proofErr w:type="spellStart"/>
      <w:r w:rsidR="00F23A9F" w:rsidRPr="00B11211">
        <w:rPr>
          <w:i/>
        </w:rPr>
        <w:t>Boudjemai</w:t>
      </w:r>
      <w:proofErr w:type="spellEnd"/>
      <w:r w:rsidR="00F23A9F" w:rsidRPr="00B11211">
        <w:rPr>
          <w:i/>
        </w:rPr>
        <w:t xml:space="preserve"> c. </w:t>
      </w:r>
      <w:r w:rsidR="00F23A9F" w:rsidRPr="00327818">
        <w:t>Algérie</w:t>
      </w:r>
      <w:r w:rsidR="00F23A9F" w:rsidRPr="00B11211">
        <w:t>, par. 7.4</w:t>
      </w:r>
      <w:r w:rsidR="00F23A9F">
        <w:t xml:space="preserve"> ; </w:t>
      </w:r>
      <w:proofErr w:type="spellStart"/>
      <w:r w:rsidR="00F23A9F" w:rsidRPr="002F13A7">
        <w:rPr>
          <w:i/>
        </w:rPr>
        <w:t>Mezine</w:t>
      </w:r>
      <w:proofErr w:type="spellEnd"/>
      <w:r w:rsidR="00F23A9F" w:rsidRPr="002F13A7">
        <w:rPr>
          <w:i/>
        </w:rPr>
        <w:t xml:space="preserve"> c. Algérie</w:t>
      </w:r>
      <w:r w:rsidR="00F23A9F">
        <w:t xml:space="preserve">, par. 7.4 ; </w:t>
      </w:r>
      <w:proofErr w:type="spellStart"/>
      <w:r w:rsidR="00F23A9F" w:rsidRPr="0090025C">
        <w:rPr>
          <w:i/>
        </w:rPr>
        <w:t>Berzig</w:t>
      </w:r>
      <w:proofErr w:type="spellEnd"/>
      <w:r w:rsidR="00F23A9F" w:rsidRPr="0090025C">
        <w:rPr>
          <w:i/>
          <w:lang w:val="fr-FR"/>
        </w:rPr>
        <w:t xml:space="preserve"> c.</w:t>
      </w:r>
      <w:r w:rsidR="00F23A9F">
        <w:rPr>
          <w:i/>
          <w:lang w:val="fr-FR"/>
        </w:rPr>
        <w:t xml:space="preserve"> Algérie</w:t>
      </w:r>
      <w:r w:rsidR="00F23A9F">
        <w:rPr>
          <w:lang w:val="fr-FR"/>
        </w:rPr>
        <w:t xml:space="preserve"> </w:t>
      </w:r>
      <w:r w:rsidR="00F23A9F" w:rsidRPr="0090025C">
        <w:rPr>
          <w:lang w:val="fr-FR"/>
        </w:rPr>
        <w:t>(CCPR/C/103/D/</w:t>
      </w:r>
      <w:r w:rsidR="00F23A9F" w:rsidRPr="00BE493D">
        <w:t>1781</w:t>
      </w:r>
      <w:r w:rsidR="00F23A9F" w:rsidRPr="0090025C">
        <w:rPr>
          <w:lang w:val="fr-FR"/>
        </w:rPr>
        <w:t>/2008)</w:t>
      </w:r>
      <w:r w:rsidR="00F23A9F">
        <w:t>, par. 7.4 ;</w:t>
      </w:r>
      <w:r w:rsidR="00F23A9F" w:rsidRPr="00A15F14">
        <w:t xml:space="preserve"> e</w:t>
      </w:r>
      <w:r w:rsidR="00F23A9F">
        <w:t xml:space="preserve">t </w:t>
      </w:r>
      <w:proofErr w:type="spellStart"/>
      <w:r w:rsidR="00F23A9F" w:rsidRPr="0032298B">
        <w:rPr>
          <w:i/>
          <w:lang w:val="fr-FR"/>
        </w:rPr>
        <w:t>Khirani</w:t>
      </w:r>
      <w:proofErr w:type="spellEnd"/>
      <w:r w:rsidR="00F23A9F" w:rsidRPr="0032298B">
        <w:rPr>
          <w:i/>
          <w:lang w:val="fr-FR"/>
        </w:rPr>
        <w:t xml:space="preserve"> </w:t>
      </w:r>
      <w:r w:rsidR="00F23A9F" w:rsidRPr="0032298B">
        <w:rPr>
          <w:rFonts w:eastAsia="MS Mincho"/>
          <w:i/>
          <w:lang w:val="fr-FR"/>
        </w:rPr>
        <w:t>c.</w:t>
      </w:r>
      <w:r w:rsidR="00F23A9F">
        <w:rPr>
          <w:rFonts w:eastAsia="MS Mincho"/>
          <w:i/>
          <w:lang w:val="fr-FR"/>
        </w:rPr>
        <w:t xml:space="preserve"> Algérie</w:t>
      </w:r>
      <w:r w:rsidR="00F23A9F">
        <w:rPr>
          <w:rFonts w:eastAsia="MS Mincho"/>
          <w:lang w:val="fr-FR"/>
        </w:rPr>
        <w:t xml:space="preserve"> (CCPR/C/104/D/1905/2009)</w:t>
      </w:r>
      <w:r w:rsidR="00F23A9F">
        <w:t xml:space="preserve">, par. </w:t>
      </w:r>
      <w:r w:rsidR="00F23A9F" w:rsidRPr="00A15F14">
        <w:t>6.4</w:t>
      </w:r>
      <w:r w:rsidR="00DC597E" w:rsidRPr="00DC597E">
        <w:rPr>
          <w:szCs w:val="18"/>
        </w:rPr>
        <w:t>.</w:t>
      </w:r>
    </w:p>
  </w:footnote>
  <w:footnote w:id="18">
    <w:p w14:paraId="048F0CE3" w14:textId="77777777" w:rsidR="004119F5" w:rsidRPr="00B11211" w:rsidRDefault="004119F5" w:rsidP="00B11211">
      <w:pPr>
        <w:pStyle w:val="FootnoteText"/>
        <w:jc w:val="both"/>
        <w:rPr>
          <w:szCs w:val="18"/>
        </w:rPr>
      </w:pPr>
      <w:r w:rsidRPr="00B11211">
        <w:rPr>
          <w:szCs w:val="18"/>
        </w:rPr>
        <w:tab/>
      </w:r>
      <w:r w:rsidRPr="00B11211">
        <w:rPr>
          <w:rStyle w:val="FootnoteReference"/>
          <w:szCs w:val="18"/>
        </w:rPr>
        <w:footnoteRef/>
      </w:r>
      <w:r w:rsidRPr="00C946E6">
        <w:rPr>
          <w:szCs w:val="18"/>
        </w:rPr>
        <w:tab/>
        <w:t xml:space="preserve">CCPR/C/DZA/CO/3, par. </w:t>
      </w:r>
      <w:r w:rsidRPr="00B11211">
        <w:rPr>
          <w:szCs w:val="18"/>
        </w:rPr>
        <w:t>7, 8 et 13</w:t>
      </w:r>
      <w:r>
        <w:rPr>
          <w:szCs w:val="18"/>
        </w:rPr>
        <w:t xml:space="preserve">, et </w:t>
      </w:r>
      <w:r>
        <w:t>CCPR/C/DZA/CO/4, par. 6, 8, 12, 14 et 34</w:t>
      </w:r>
      <w:r w:rsidRPr="00B11211">
        <w:rPr>
          <w:szCs w:val="18"/>
        </w:rPr>
        <w:t>.</w:t>
      </w:r>
    </w:p>
  </w:footnote>
  <w:footnote w:id="19">
    <w:p w14:paraId="7EEE15E3" w14:textId="77777777" w:rsidR="004119F5" w:rsidRPr="006C69A9" w:rsidRDefault="004119F5" w:rsidP="00BE493D">
      <w:pPr>
        <w:pStyle w:val="FootnoteText"/>
      </w:pPr>
      <w:r>
        <w:tab/>
      </w:r>
      <w:r>
        <w:rPr>
          <w:rStyle w:val="FootnoteReference"/>
        </w:rPr>
        <w:footnoteRef/>
      </w:r>
      <w:r>
        <w:tab/>
        <w:t>CCPR/C/DZA/CO/4, par. 29.</w:t>
      </w:r>
    </w:p>
  </w:footnote>
  <w:footnote w:id="20">
    <w:p w14:paraId="0ECA92DD" w14:textId="3A13ADDE" w:rsidR="004119F5" w:rsidRDefault="004119F5" w:rsidP="00BE493D">
      <w:pPr>
        <w:pStyle w:val="FootnoteText"/>
      </w:pPr>
      <w:r>
        <w:rPr>
          <w:lang w:val="fr-FR"/>
        </w:rPr>
        <w:tab/>
      </w:r>
      <w:r w:rsidRPr="00885153">
        <w:rPr>
          <w:rStyle w:val="FootnoteReference"/>
        </w:rPr>
        <w:footnoteRef/>
      </w:r>
      <w:r>
        <w:tab/>
      </w:r>
      <w:r w:rsidRPr="002C0AC8">
        <w:t>Voir</w:t>
      </w:r>
      <w:r>
        <w:t>,</w:t>
      </w:r>
      <w:r w:rsidRPr="002C0AC8">
        <w:t xml:space="preserve"> par </w:t>
      </w:r>
      <w:r w:rsidRPr="00BE493D">
        <w:t>exemple</w:t>
      </w:r>
      <w:r>
        <w:t>,</w:t>
      </w:r>
      <w:r w:rsidRPr="002C0AC8">
        <w:t xml:space="preserve"> </w:t>
      </w:r>
      <w:r w:rsidRPr="002C0AC8">
        <w:rPr>
          <w:i/>
        </w:rPr>
        <w:t>H.</w:t>
      </w:r>
      <w:r>
        <w:rPr>
          <w:i/>
        </w:rPr>
        <w:t xml:space="preserve"> </w:t>
      </w:r>
      <w:r w:rsidRPr="002C0AC8">
        <w:rPr>
          <w:i/>
        </w:rPr>
        <w:t>E.</w:t>
      </w:r>
      <w:r>
        <w:rPr>
          <w:i/>
        </w:rPr>
        <w:t xml:space="preserve"> </w:t>
      </w:r>
      <w:r w:rsidRPr="002C0AC8">
        <w:rPr>
          <w:i/>
        </w:rPr>
        <w:t>A.</w:t>
      </w:r>
      <w:r>
        <w:rPr>
          <w:i/>
        </w:rPr>
        <w:t xml:space="preserve"> </w:t>
      </w:r>
      <w:r w:rsidRPr="002C0AC8">
        <w:rPr>
          <w:i/>
        </w:rPr>
        <w:t>K. c. Danemark</w:t>
      </w:r>
      <w:r>
        <w:t xml:space="preserve"> (CCPR/C/114/D/2343/2014), par. </w:t>
      </w:r>
      <w:r w:rsidRPr="002C0AC8">
        <w:rPr>
          <w:lang w:val="fr-FR"/>
        </w:rPr>
        <w:t xml:space="preserve">7.4 ; </w:t>
      </w:r>
      <w:proofErr w:type="spellStart"/>
      <w:r w:rsidRPr="002C0AC8">
        <w:rPr>
          <w:i/>
          <w:lang w:val="fr-FR"/>
        </w:rPr>
        <w:t>Castañeda</w:t>
      </w:r>
      <w:proofErr w:type="spellEnd"/>
      <w:r w:rsidRPr="002C0AC8">
        <w:rPr>
          <w:i/>
          <w:lang w:val="fr-FR"/>
        </w:rPr>
        <w:t xml:space="preserve"> c. Mexique</w:t>
      </w:r>
      <w:r w:rsidRPr="002C0AC8">
        <w:rPr>
          <w:lang w:val="fr-FR"/>
        </w:rPr>
        <w:t xml:space="preserve"> (CCPR/C/108/D/2202/</w:t>
      </w:r>
      <w:r w:rsidRPr="00BE493D">
        <w:t>2012</w:t>
      </w:r>
      <w:r w:rsidRPr="002C0AC8">
        <w:rPr>
          <w:lang w:val="fr-FR"/>
        </w:rPr>
        <w:t xml:space="preserve">), par. 6.8 ; </w:t>
      </w:r>
      <w:r w:rsidRPr="002C0AC8">
        <w:rPr>
          <w:i/>
          <w:lang w:val="fr-FR"/>
        </w:rPr>
        <w:t>Ch.</w:t>
      </w:r>
      <w:r>
        <w:rPr>
          <w:i/>
          <w:lang w:val="fr-FR"/>
        </w:rPr>
        <w:t xml:space="preserve"> </w:t>
      </w:r>
      <w:r w:rsidRPr="002C0AC8">
        <w:rPr>
          <w:i/>
          <w:lang w:val="fr-FR"/>
        </w:rPr>
        <w:t>H.</w:t>
      </w:r>
      <w:r>
        <w:rPr>
          <w:i/>
          <w:lang w:val="fr-FR"/>
        </w:rPr>
        <w:t xml:space="preserve"> </w:t>
      </w:r>
      <w:r w:rsidRPr="002C0AC8">
        <w:rPr>
          <w:i/>
          <w:lang w:val="fr-FR"/>
        </w:rPr>
        <w:t xml:space="preserve">O. c. Canada </w:t>
      </w:r>
      <w:r w:rsidRPr="002C0AC8">
        <w:rPr>
          <w:lang w:val="fr-FR"/>
        </w:rPr>
        <w:t xml:space="preserve">(CCPR/C/118/D/2195/2012), par. 9.4 ; </w:t>
      </w:r>
      <w:proofErr w:type="spellStart"/>
      <w:r w:rsidRPr="002C0AC8">
        <w:rPr>
          <w:i/>
          <w:lang w:val="fr-FR"/>
        </w:rPr>
        <w:t>Peirano</w:t>
      </w:r>
      <w:proofErr w:type="spellEnd"/>
      <w:r w:rsidRPr="002C0AC8">
        <w:rPr>
          <w:i/>
          <w:lang w:val="fr-FR"/>
        </w:rPr>
        <w:t xml:space="preserve"> </w:t>
      </w:r>
      <w:proofErr w:type="spellStart"/>
      <w:r w:rsidRPr="002C0AC8">
        <w:rPr>
          <w:i/>
          <w:lang w:val="fr-FR"/>
        </w:rPr>
        <w:t>Basso</w:t>
      </w:r>
      <w:proofErr w:type="spellEnd"/>
      <w:r w:rsidRPr="002C0AC8">
        <w:rPr>
          <w:i/>
          <w:lang w:val="fr-FR"/>
        </w:rPr>
        <w:t xml:space="preserve"> c. Uruguay </w:t>
      </w:r>
      <w:r w:rsidRPr="002C0AC8">
        <w:rPr>
          <w:lang w:val="fr-FR"/>
        </w:rPr>
        <w:t>(CCPR/C/</w:t>
      </w:r>
      <w:r w:rsidR="003A556D">
        <w:rPr>
          <w:lang w:val="fr-FR"/>
        </w:rPr>
        <w:t>100</w:t>
      </w:r>
      <w:r w:rsidRPr="002C0AC8">
        <w:rPr>
          <w:lang w:val="fr-FR"/>
        </w:rPr>
        <w:t>/D/1887/2009),</w:t>
      </w:r>
      <w:r w:rsidRPr="00420574">
        <w:rPr>
          <w:lang w:val="fr-FR"/>
        </w:rPr>
        <w:t xml:space="preserve"> par. 9.4</w:t>
      </w:r>
      <w:r>
        <w:rPr>
          <w:lang w:val="fr-FR"/>
        </w:rPr>
        <w:t> </w:t>
      </w:r>
      <w:r w:rsidRPr="00420574">
        <w:rPr>
          <w:lang w:val="fr-FR"/>
        </w:rPr>
        <w:t xml:space="preserve">; </w:t>
      </w:r>
      <w:r>
        <w:rPr>
          <w:lang w:val="fr-FR"/>
        </w:rPr>
        <w:t>et</w:t>
      </w:r>
      <w:r w:rsidRPr="00420574">
        <w:rPr>
          <w:lang w:val="fr-FR"/>
        </w:rPr>
        <w:t xml:space="preserve"> </w:t>
      </w:r>
      <w:r w:rsidRPr="00420574">
        <w:rPr>
          <w:i/>
          <w:lang w:val="fr-FR"/>
        </w:rPr>
        <w:t>A.</w:t>
      </w:r>
      <w:r>
        <w:rPr>
          <w:i/>
          <w:lang w:val="fr-FR"/>
        </w:rPr>
        <w:t xml:space="preserve"> </w:t>
      </w:r>
      <w:r w:rsidRPr="00420574">
        <w:rPr>
          <w:i/>
          <w:lang w:val="fr-FR"/>
        </w:rPr>
        <w:t xml:space="preserve">P. </w:t>
      </w:r>
      <w:r>
        <w:rPr>
          <w:i/>
          <w:lang w:val="fr-FR"/>
        </w:rPr>
        <w:t>c</w:t>
      </w:r>
      <w:r w:rsidRPr="00420574">
        <w:rPr>
          <w:i/>
          <w:lang w:val="fr-FR"/>
        </w:rPr>
        <w:t>. Ukraine</w:t>
      </w:r>
      <w:r w:rsidRPr="00420574">
        <w:rPr>
          <w:lang w:val="fr-FR"/>
        </w:rPr>
        <w:t xml:space="preserve"> (CCPR/C/105/D/1834/2008), par.</w:t>
      </w:r>
      <w:r>
        <w:rPr>
          <w:lang w:val="fr-FR"/>
        </w:rPr>
        <w:t xml:space="preserve"> </w:t>
      </w:r>
      <w:r w:rsidRPr="00B43D83">
        <w:t>8.5</w:t>
      </w:r>
      <w:r>
        <w:t>.</w:t>
      </w:r>
    </w:p>
  </w:footnote>
  <w:footnote w:id="21">
    <w:p w14:paraId="0C70E342" w14:textId="47531160" w:rsidR="004119F5" w:rsidRDefault="004119F5" w:rsidP="00BE493D">
      <w:pPr>
        <w:pStyle w:val="FootnoteText"/>
      </w:pPr>
      <w:r>
        <w:tab/>
      </w:r>
      <w:r w:rsidRPr="00D3513E">
        <w:rPr>
          <w:rStyle w:val="FootnoteReference"/>
        </w:rPr>
        <w:footnoteRef/>
      </w:r>
      <w:r>
        <w:tab/>
      </w:r>
      <w:proofErr w:type="spellStart"/>
      <w:r w:rsidRPr="000767E5">
        <w:rPr>
          <w:lang w:val="fr-FR"/>
        </w:rPr>
        <w:t>Zai</w:t>
      </w:r>
      <w:r w:rsidR="003A556D">
        <w:rPr>
          <w:lang w:val="fr-FR"/>
        </w:rPr>
        <w:t>e</w:t>
      </w:r>
      <w:r w:rsidRPr="000767E5">
        <w:rPr>
          <w:lang w:val="fr-FR"/>
        </w:rPr>
        <w:t>r</w:t>
      </w:r>
      <w:proofErr w:type="spellEnd"/>
      <w:r w:rsidRPr="000767E5">
        <w:rPr>
          <w:lang w:val="fr-FR"/>
        </w:rPr>
        <w:t xml:space="preserve"> c.</w:t>
      </w:r>
      <w:r>
        <w:rPr>
          <w:lang w:val="fr-FR"/>
        </w:rPr>
        <w:t xml:space="preserve"> </w:t>
      </w:r>
      <w:r w:rsidRPr="000767E5">
        <w:rPr>
          <w:lang w:val="fr-FR"/>
        </w:rPr>
        <w:t>Algérie</w:t>
      </w:r>
      <w:r>
        <w:rPr>
          <w:lang w:val="fr-FR"/>
        </w:rPr>
        <w:t xml:space="preserve">, </w:t>
      </w:r>
      <w:r w:rsidRPr="00BE493D">
        <w:t>par</w:t>
      </w:r>
      <w:r>
        <w:rPr>
          <w:lang w:val="fr-FR"/>
        </w:rPr>
        <w:t xml:space="preserve">. 7.2, et </w:t>
      </w:r>
      <w:proofErr w:type="spellStart"/>
      <w:r w:rsidRPr="000767E5">
        <w:rPr>
          <w:lang w:val="fr-FR"/>
        </w:rPr>
        <w:t>Ammari</w:t>
      </w:r>
      <w:proofErr w:type="spellEnd"/>
      <w:r w:rsidRPr="000767E5">
        <w:rPr>
          <w:lang w:val="fr-FR"/>
        </w:rPr>
        <w:t xml:space="preserve"> c.</w:t>
      </w:r>
      <w:r>
        <w:rPr>
          <w:lang w:val="fr-FR"/>
        </w:rPr>
        <w:t xml:space="preserve"> </w:t>
      </w:r>
      <w:r w:rsidRPr="000767E5">
        <w:rPr>
          <w:lang w:val="fr-FR"/>
        </w:rPr>
        <w:t>Algérie</w:t>
      </w:r>
      <w:r>
        <w:rPr>
          <w:lang w:val="fr-FR"/>
        </w:rPr>
        <w:t>, par. 8.2.</w:t>
      </w:r>
    </w:p>
  </w:footnote>
  <w:footnote w:id="22">
    <w:p w14:paraId="61CB0C94" w14:textId="77777777" w:rsidR="004119F5" w:rsidRPr="00CC1AE8" w:rsidRDefault="004119F5" w:rsidP="00BE493D">
      <w:pPr>
        <w:pStyle w:val="FootnoteText"/>
      </w:pPr>
      <w:r>
        <w:tab/>
      </w:r>
      <w:r w:rsidRPr="00D3513E">
        <w:rPr>
          <w:rStyle w:val="FootnoteReference"/>
        </w:rPr>
        <w:footnoteRef/>
      </w:r>
      <w:r>
        <w:tab/>
      </w:r>
      <w:r w:rsidRPr="00BE493D">
        <w:t>Idem</w:t>
      </w:r>
      <w:r>
        <w:rPr>
          <w:lang w:val="fr-FR"/>
        </w:rPr>
        <w:t>.</w:t>
      </w:r>
    </w:p>
  </w:footnote>
  <w:footnote w:id="23">
    <w:p w14:paraId="45AE6D0C" w14:textId="146BAB3A" w:rsidR="004119F5" w:rsidRDefault="004119F5" w:rsidP="00BE493D">
      <w:pPr>
        <w:pStyle w:val="FootnoteText"/>
      </w:pPr>
      <w:r>
        <w:tab/>
      </w:r>
      <w:r w:rsidRPr="00D3513E">
        <w:rPr>
          <w:rStyle w:val="FootnoteReference"/>
        </w:rPr>
        <w:footnoteRef/>
      </w:r>
      <w:r>
        <w:tab/>
      </w:r>
      <w:r>
        <w:rPr>
          <w:lang w:val="fr-FR"/>
        </w:rPr>
        <w:t xml:space="preserve">Voir, entre autres, </w:t>
      </w:r>
      <w:proofErr w:type="spellStart"/>
      <w:r w:rsidRPr="0090025C">
        <w:rPr>
          <w:i/>
          <w:lang w:val="fr-FR"/>
        </w:rPr>
        <w:t>Ammari</w:t>
      </w:r>
      <w:proofErr w:type="spellEnd"/>
      <w:r w:rsidRPr="0090025C">
        <w:rPr>
          <w:i/>
          <w:lang w:val="fr-FR"/>
        </w:rPr>
        <w:t xml:space="preserve"> c.</w:t>
      </w:r>
      <w:r>
        <w:rPr>
          <w:i/>
          <w:lang w:val="fr-FR"/>
        </w:rPr>
        <w:t xml:space="preserve"> </w:t>
      </w:r>
      <w:r w:rsidRPr="00BE493D">
        <w:t>Algérie</w:t>
      </w:r>
      <w:r>
        <w:rPr>
          <w:lang w:val="fr-FR"/>
        </w:rPr>
        <w:t xml:space="preserve">, par. 8.3 ; </w:t>
      </w:r>
      <w:proofErr w:type="spellStart"/>
      <w:r>
        <w:rPr>
          <w:i/>
          <w:iCs/>
          <w:lang w:val="fr-FR"/>
        </w:rPr>
        <w:t>Mezine</w:t>
      </w:r>
      <w:proofErr w:type="spellEnd"/>
      <w:r>
        <w:rPr>
          <w:i/>
          <w:iCs/>
          <w:lang w:val="fr-FR"/>
        </w:rPr>
        <w:t xml:space="preserve"> </w:t>
      </w:r>
      <w:r w:rsidRPr="0090025C">
        <w:rPr>
          <w:i/>
          <w:iCs/>
          <w:lang w:val="fr-FR"/>
        </w:rPr>
        <w:t>c.</w:t>
      </w:r>
      <w:r>
        <w:rPr>
          <w:i/>
          <w:iCs/>
          <w:lang w:val="fr-FR"/>
        </w:rPr>
        <w:t xml:space="preserve"> Algérie</w:t>
      </w:r>
      <w:r>
        <w:rPr>
          <w:lang w:val="fr-FR"/>
        </w:rPr>
        <w:t xml:space="preserve">, par. 8.3 ; </w:t>
      </w:r>
      <w:r>
        <w:rPr>
          <w:i/>
          <w:iCs/>
        </w:rPr>
        <w:t xml:space="preserve">El </w:t>
      </w:r>
      <w:proofErr w:type="spellStart"/>
      <w:r>
        <w:rPr>
          <w:i/>
          <w:iCs/>
        </w:rPr>
        <w:t>Abani</w:t>
      </w:r>
      <w:proofErr w:type="spellEnd"/>
      <w:r>
        <w:rPr>
          <w:i/>
          <w:iCs/>
        </w:rPr>
        <w:t xml:space="preserve"> </w:t>
      </w:r>
      <w:r w:rsidRPr="0090025C">
        <w:rPr>
          <w:i/>
          <w:iCs/>
        </w:rPr>
        <w:t>c.</w:t>
      </w:r>
      <w:r>
        <w:rPr>
          <w:i/>
          <w:iCs/>
        </w:rPr>
        <w:t xml:space="preserve"> Jamahiriya arabe libyenne</w:t>
      </w:r>
      <w:r>
        <w:rPr>
          <w:iCs/>
        </w:rPr>
        <w:t xml:space="preserve"> (CCPR/C/99/D/1640/2007)</w:t>
      </w:r>
      <w:r>
        <w:t xml:space="preserve">, </w:t>
      </w:r>
      <w:r>
        <w:rPr>
          <w:lang w:val="fr-FR"/>
        </w:rPr>
        <w:t xml:space="preserve">par. 7.4 ; et </w:t>
      </w:r>
      <w:proofErr w:type="spellStart"/>
      <w:r w:rsidRPr="0090025C">
        <w:rPr>
          <w:i/>
        </w:rPr>
        <w:t>Berzig</w:t>
      </w:r>
      <w:proofErr w:type="spellEnd"/>
      <w:r w:rsidRPr="0090025C">
        <w:rPr>
          <w:i/>
          <w:iCs/>
          <w:lang w:val="fr-FR"/>
        </w:rPr>
        <w:t xml:space="preserve"> c.</w:t>
      </w:r>
      <w:r>
        <w:rPr>
          <w:i/>
          <w:iCs/>
          <w:lang w:val="fr-FR"/>
        </w:rPr>
        <w:t xml:space="preserve"> Algérie</w:t>
      </w:r>
      <w:r>
        <w:rPr>
          <w:lang w:val="fr-FR"/>
        </w:rPr>
        <w:t>, par. 8.3.</w:t>
      </w:r>
    </w:p>
  </w:footnote>
  <w:footnote w:id="24">
    <w:p w14:paraId="4F9A32AF" w14:textId="77777777" w:rsidR="004119F5" w:rsidRDefault="004119F5" w:rsidP="00BE493D">
      <w:pPr>
        <w:pStyle w:val="FootnoteText"/>
      </w:pPr>
      <w:r>
        <w:tab/>
      </w:r>
      <w:r w:rsidRPr="00D3513E">
        <w:rPr>
          <w:rStyle w:val="FootnoteReference"/>
        </w:rPr>
        <w:footnoteRef/>
      </w:r>
      <w:r>
        <w:tab/>
      </w:r>
      <w:proofErr w:type="spellStart"/>
      <w:r w:rsidRPr="00BE493D">
        <w:t>Mezine</w:t>
      </w:r>
      <w:proofErr w:type="spellEnd"/>
      <w:r>
        <w:rPr>
          <w:lang w:val="fr-FR"/>
        </w:rPr>
        <w:t xml:space="preserve"> </w:t>
      </w:r>
      <w:r w:rsidRPr="0090025C">
        <w:rPr>
          <w:lang w:val="fr-FR"/>
        </w:rPr>
        <w:t>c.</w:t>
      </w:r>
      <w:r>
        <w:rPr>
          <w:lang w:val="fr-FR"/>
        </w:rPr>
        <w:t xml:space="preserve"> </w:t>
      </w:r>
      <w:r w:rsidRPr="00BE493D">
        <w:t>Algérie</w:t>
      </w:r>
      <w:r>
        <w:rPr>
          <w:lang w:val="fr-FR"/>
        </w:rPr>
        <w:t xml:space="preserve">, par. 8.3, et </w:t>
      </w:r>
      <w:proofErr w:type="spellStart"/>
      <w:r w:rsidRPr="0090025C">
        <w:rPr>
          <w:lang w:val="fr-FR"/>
        </w:rPr>
        <w:t>Medjnoune</w:t>
      </w:r>
      <w:proofErr w:type="spellEnd"/>
      <w:r w:rsidRPr="0090025C">
        <w:rPr>
          <w:lang w:val="fr-FR"/>
        </w:rPr>
        <w:t xml:space="preserve"> c.</w:t>
      </w:r>
      <w:r>
        <w:rPr>
          <w:lang w:val="fr-FR"/>
        </w:rPr>
        <w:t xml:space="preserve"> </w:t>
      </w:r>
      <w:r w:rsidRPr="0090025C">
        <w:rPr>
          <w:lang w:val="fr-FR"/>
        </w:rPr>
        <w:t>Algérie</w:t>
      </w:r>
      <w:r>
        <w:rPr>
          <w:lang w:val="fr-FR"/>
        </w:rPr>
        <w:t>, par. 8.3.</w:t>
      </w:r>
    </w:p>
  </w:footnote>
  <w:footnote w:id="25">
    <w:p w14:paraId="69974ECB" w14:textId="02B793AB" w:rsidR="004119F5" w:rsidRDefault="004119F5" w:rsidP="00BE493D">
      <w:pPr>
        <w:pStyle w:val="FootnoteText"/>
      </w:pPr>
      <w:r>
        <w:rPr>
          <w:lang w:val="fr-FR"/>
        </w:rPr>
        <w:tab/>
      </w:r>
      <w:r w:rsidRPr="00D3513E">
        <w:rPr>
          <w:rStyle w:val="FootnoteReference"/>
        </w:rPr>
        <w:footnoteRef/>
      </w:r>
      <w:r>
        <w:rPr>
          <w:lang w:val="fr-FR"/>
        </w:rPr>
        <w:tab/>
      </w:r>
      <w:proofErr w:type="spellStart"/>
      <w:r>
        <w:rPr>
          <w:i/>
          <w:lang w:val="fr-FR"/>
        </w:rPr>
        <w:t>Katwal</w:t>
      </w:r>
      <w:proofErr w:type="spellEnd"/>
      <w:r>
        <w:rPr>
          <w:i/>
          <w:lang w:val="fr-FR"/>
        </w:rPr>
        <w:t xml:space="preserve"> </w:t>
      </w:r>
      <w:r w:rsidRPr="0034335C">
        <w:rPr>
          <w:i/>
          <w:lang w:val="fr-FR"/>
        </w:rPr>
        <w:t>c.</w:t>
      </w:r>
      <w:r>
        <w:rPr>
          <w:i/>
          <w:lang w:val="fr-FR"/>
        </w:rPr>
        <w:t xml:space="preserve"> Népal</w:t>
      </w:r>
      <w:r>
        <w:rPr>
          <w:lang w:val="fr-FR"/>
        </w:rPr>
        <w:t xml:space="preserve"> (CCPR/C/113/D/2000/2010),</w:t>
      </w:r>
      <w:r w:rsidRPr="003E01BD">
        <w:t xml:space="preserve"> par. 11.3 ; </w:t>
      </w:r>
      <w:proofErr w:type="spellStart"/>
      <w:r w:rsidRPr="003E01BD">
        <w:rPr>
          <w:i/>
        </w:rPr>
        <w:t>Serna</w:t>
      </w:r>
      <w:proofErr w:type="spellEnd"/>
      <w:r w:rsidRPr="003E01BD">
        <w:rPr>
          <w:i/>
        </w:rPr>
        <w:t xml:space="preserve"> et </w:t>
      </w:r>
      <w:r w:rsidR="003A556D">
        <w:rPr>
          <w:i/>
        </w:rPr>
        <w:t>al.</w:t>
      </w:r>
      <w:r w:rsidRPr="003E01BD">
        <w:t xml:space="preserve"> </w:t>
      </w:r>
      <w:r w:rsidRPr="003E01BD">
        <w:rPr>
          <w:i/>
        </w:rPr>
        <w:t>c. Colombie</w:t>
      </w:r>
      <w:r w:rsidRPr="003E01BD">
        <w:t xml:space="preserve"> (CCPR/C/</w:t>
      </w:r>
      <w:r w:rsidRPr="00BE493D">
        <w:t>1</w:t>
      </w:r>
      <w:r w:rsidR="002A70DE">
        <w:t>1</w:t>
      </w:r>
      <w:r w:rsidRPr="00BE493D">
        <w:t>4</w:t>
      </w:r>
      <w:r w:rsidRPr="003E01BD">
        <w:t xml:space="preserve">/D/2134/2012), par. 9.4 ; et </w:t>
      </w:r>
      <w:r w:rsidRPr="003E01BD">
        <w:rPr>
          <w:i/>
        </w:rPr>
        <w:t xml:space="preserve">El </w:t>
      </w:r>
      <w:proofErr w:type="spellStart"/>
      <w:r w:rsidRPr="003E01BD">
        <w:rPr>
          <w:i/>
        </w:rPr>
        <w:t>Boathi</w:t>
      </w:r>
      <w:proofErr w:type="spellEnd"/>
      <w:r w:rsidRPr="003E01BD">
        <w:rPr>
          <w:i/>
        </w:rPr>
        <w:t xml:space="preserve"> c. Algérie</w:t>
      </w:r>
      <w:r w:rsidRPr="003E01BD">
        <w:t xml:space="preserve"> </w:t>
      </w:r>
      <w:r w:rsidR="00C44457">
        <w:rPr>
          <w:lang w:val="fr-FR"/>
        </w:rPr>
        <w:t xml:space="preserve">(CCPR/C/119/D/2259/2013), </w:t>
      </w:r>
      <w:r w:rsidRPr="003E01BD">
        <w:t xml:space="preserve">par. 7.4. Voir </w:t>
      </w:r>
      <w:r w:rsidRPr="00BE493D">
        <w:t>également</w:t>
      </w:r>
      <w:r w:rsidRPr="003E01BD">
        <w:t xml:space="preserve"> l’observation générale n</w:t>
      </w:r>
      <w:r w:rsidRPr="003E01BD">
        <w:rPr>
          <w:vertAlign w:val="superscript"/>
        </w:rPr>
        <w:t>o</w:t>
      </w:r>
      <w:r w:rsidRPr="003E01BD">
        <w:t xml:space="preserve"> 36 (2019) sur le droit à la vie, par. 58.</w:t>
      </w:r>
    </w:p>
  </w:footnote>
  <w:footnote w:id="26">
    <w:p w14:paraId="6CB6BF2C" w14:textId="77777777" w:rsidR="004119F5" w:rsidRPr="00C1479E" w:rsidRDefault="004119F5" w:rsidP="00BE493D">
      <w:pPr>
        <w:pStyle w:val="FootnoteText"/>
      </w:pPr>
      <w:r>
        <w:tab/>
      </w:r>
      <w:r w:rsidRPr="00D3513E">
        <w:rPr>
          <w:rStyle w:val="FootnoteReference"/>
        </w:rPr>
        <w:footnoteRef/>
      </w:r>
      <w:r>
        <w:tab/>
      </w:r>
      <w:proofErr w:type="spellStart"/>
      <w:r>
        <w:rPr>
          <w:i/>
          <w:lang w:val="fr-FR"/>
        </w:rPr>
        <w:t>Louddi</w:t>
      </w:r>
      <w:proofErr w:type="spellEnd"/>
      <w:r>
        <w:rPr>
          <w:i/>
          <w:lang w:val="fr-FR"/>
        </w:rPr>
        <w:t xml:space="preserve"> </w:t>
      </w:r>
      <w:r w:rsidRPr="00F74C89">
        <w:rPr>
          <w:i/>
          <w:lang w:val="fr-FR"/>
        </w:rPr>
        <w:t>c.</w:t>
      </w:r>
      <w:r>
        <w:rPr>
          <w:i/>
          <w:lang w:val="fr-FR"/>
        </w:rPr>
        <w:t xml:space="preserve"> Algérie</w:t>
      </w:r>
      <w:r>
        <w:rPr>
          <w:lang w:val="fr-FR"/>
        </w:rPr>
        <w:t xml:space="preserve"> (CCPR/C/112/D/2117/2011)</w:t>
      </w:r>
      <w:r>
        <w:t xml:space="preserve">, par. 7.4 ; </w:t>
      </w:r>
      <w:proofErr w:type="spellStart"/>
      <w:r>
        <w:rPr>
          <w:i/>
          <w:iCs/>
          <w:lang w:val="fr-FR"/>
        </w:rPr>
        <w:t>Mezine</w:t>
      </w:r>
      <w:proofErr w:type="spellEnd"/>
      <w:r>
        <w:rPr>
          <w:i/>
          <w:iCs/>
          <w:lang w:val="fr-FR"/>
        </w:rPr>
        <w:t xml:space="preserve"> </w:t>
      </w:r>
      <w:r w:rsidRPr="00F74C89">
        <w:rPr>
          <w:i/>
          <w:iCs/>
          <w:lang w:val="fr-FR"/>
        </w:rPr>
        <w:t>c.</w:t>
      </w:r>
      <w:r>
        <w:rPr>
          <w:i/>
          <w:iCs/>
          <w:lang w:val="fr-FR"/>
        </w:rPr>
        <w:t xml:space="preserve"> Algérie</w:t>
      </w:r>
      <w:r>
        <w:rPr>
          <w:lang w:val="fr-FR"/>
        </w:rPr>
        <w:t xml:space="preserve">, par. 8.4 ; et </w:t>
      </w:r>
      <w:proofErr w:type="spellStart"/>
      <w:r w:rsidRPr="00BE493D">
        <w:t>Boudjemai</w:t>
      </w:r>
      <w:proofErr w:type="spellEnd"/>
      <w:r>
        <w:rPr>
          <w:i/>
          <w:iCs/>
          <w:lang w:val="fr-FR"/>
        </w:rPr>
        <w:t xml:space="preserve"> </w:t>
      </w:r>
      <w:r w:rsidRPr="00F74C89">
        <w:rPr>
          <w:i/>
          <w:iCs/>
          <w:lang w:val="fr-FR"/>
        </w:rPr>
        <w:t>c.</w:t>
      </w:r>
      <w:r>
        <w:rPr>
          <w:i/>
          <w:iCs/>
          <w:lang w:val="fr-FR"/>
        </w:rPr>
        <w:t xml:space="preserve"> Algérie</w:t>
      </w:r>
      <w:r>
        <w:rPr>
          <w:lang w:val="fr-FR"/>
        </w:rPr>
        <w:t xml:space="preserve">, par. 8.4. </w:t>
      </w:r>
      <w:r w:rsidRPr="00C1479E">
        <w:rPr>
          <w:lang w:val="fr-FR"/>
        </w:rPr>
        <w:t>Voir également l’observation générale n</w:t>
      </w:r>
      <w:r w:rsidRPr="00C1479E">
        <w:rPr>
          <w:vertAlign w:val="superscript"/>
          <w:lang w:val="fr-FR"/>
        </w:rPr>
        <w:t>o</w:t>
      </w:r>
      <w:r w:rsidRPr="00C1479E">
        <w:rPr>
          <w:lang w:val="fr-FR"/>
        </w:rPr>
        <w:t xml:space="preserve"> 36, par. 58</w:t>
      </w:r>
      <w:r>
        <w:rPr>
          <w:lang w:val="fr-FR"/>
        </w:rPr>
        <w:t>.</w:t>
      </w:r>
    </w:p>
  </w:footnote>
  <w:footnote w:id="27">
    <w:p w14:paraId="39D0FDBC" w14:textId="66A3E88B" w:rsidR="004119F5" w:rsidRDefault="004119F5" w:rsidP="00BE493D">
      <w:pPr>
        <w:pStyle w:val="FootnoteText"/>
      </w:pPr>
      <w:r>
        <w:tab/>
      </w:r>
      <w:r w:rsidRPr="00D3513E">
        <w:rPr>
          <w:rStyle w:val="FootnoteReference"/>
        </w:rPr>
        <w:footnoteRef/>
      </w:r>
      <w:r>
        <w:tab/>
      </w:r>
      <w:proofErr w:type="spellStart"/>
      <w:r w:rsidRPr="00BE493D">
        <w:t>Ammari</w:t>
      </w:r>
      <w:proofErr w:type="spellEnd"/>
      <w:r>
        <w:rPr>
          <w:lang w:val="fr-FR"/>
        </w:rPr>
        <w:t xml:space="preserve"> </w:t>
      </w:r>
      <w:r w:rsidRPr="0032298B">
        <w:rPr>
          <w:lang w:val="fr-FR"/>
        </w:rPr>
        <w:t>c.</w:t>
      </w:r>
      <w:r>
        <w:rPr>
          <w:lang w:val="fr-FR"/>
        </w:rPr>
        <w:t xml:space="preserve"> Algérie, par. 8.5 ; </w:t>
      </w:r>
      <w:proofErr w:type="spellStart"/>
      <w:r>
        <w:rPr>
          <w:iCs/>
          <w:lang w:val="fr-FR"/>
        </w:rPr>
        <w:t>Mezine</w:t>
      </w:r>
      <w:proofErr w:type="spellEnd"/>
      <w:r>
        <w:rPr>
          <w:iCs/>
          <w:lang w:val="fr-FR"/>
        </w:rPr>
        <w:t xml:space="preserve"> </w:t>
      </w:r>
      <w:r w:rsidRPr="0032298B">
        <w:rPr>
          <w:iCs/>
          <w:lang w:val="fr-FR"/>
        </w:rPr>
        <w:t>c.</w:t>
      </w:r>
      <w:r>
        <w:rPr>
          <w:iCs/>
          <w:lang w:val="fr-FR"/>
        </w:rPr>
        <w:t xml:space="preserve"> Algérie</w:t>
      </w:r>
      <w:r>
        <w:rPr>
          <w:lang w:val="fr-FR"/>
        </w:rPr>
        <w:t xml:space="preserve">, par. 8.5 ; </w:t>
      </w:r>
      <w:proofErr w:type="spellStart"/>
      <w:r w:rsidRPr="0032298B">
        <w:rPr>
          <w:iCs/>
          <w:lang w:val="fr-FR"/>
        </w:rPr>
        <w:t>Khirani</w:t>
      </w:r>
      <w:proofErr w:type="spellEnd"/>
      <w:r w:rsidRPr="0032298B">
        <w:rPr>
          <w:iCs/>
          <w:lang w:val="fr-FR"/>
        </w:rPr>
        <w:t xml:space="preserve"> </w:t>
      </w:r>
      <w:r w:rsidRPr="0032298B">
        <w:rPr>
          <w:rFonts w:eastAsia="MS Mincho"/>
          <w:iCs/>
          <w:lang w:val="fr-FR"/>
        </w:rPr>
        <w:t>c.</w:t>
      </w:r>
      <w:r>
        <w:rPr>
          <w:rFonts w:eastAsia="MS Mincho"/>
          <w:iCs/>
          <w:lang w:val="fr-FR"/>
        </w:rPr>
        <w:t xml:space="preserve"> Algérie</w:t>
      </w:r>
      <w:r>
        <w:rPr>
          <w:rFonts w:eastAsia="MS Mincho"/>
          <w:lang w:val="fr-FR"/>
        </w:rPr>
        <w:t xml:space="preserve">, par. 7.5 ; </w:t>
      </w:r>
      <w:proofErr w:type="spellStart"/>
      <w:r w:rsidRPr="0032298B">
        <w:t>Berzig</w:t>
      </w:r>
      <w:proofErr w:type="spellEnd"/>
      <w:r w:rsidRPr="0032298B">
        <w:rPr>
          <w:rFonts w:eastAsia="MS Mincho"/>
          <w:iCs/>
          <w:lang w:val="fr-FR"/>
        </w:rPr>
        <w:t xml:space="preserve"> c. </w:t>
      </w:r>
      <w:r>
        <w:rPr>
          <w:rFonts w:eastAsia="MS Mincho"/>
          <w:iCs/>
          <w:lang w:val="fr-FR"/>
        </w:rPr>
        <w:t>Algérie</w:t>
      </w:r>
      <w:r>
        <w:rPr>
          <w:rFonts w:eastAsia="MS Mincho"/>
          <w:lang w:val="fr-FR"/>
        </w:rPr>
        <w:t xml:space="preserve">, par. 8.5 ; et </w:t>
      </w:r>
      <w:r>
        <w:rPr>
          <w:iCs/>
          <w:lang w:val="fr-FR"/>
        </w:rPr>
        <w:t xml:space="preserve">El </w:t>
      </w:r>
      <w:proofErr w:type="spellStart"/>
      <w:r w:rsidRPr="0032298B">
        <w:rPr>
          <w:iCs/>
          <w:lang w:val="fr-FR"/>
        </w:rPr>
        <w:t>Alwani</w:t>
      </w:r>
      <w:proofErr w:type="spellEnd"/>
      <w:r w:rsidRPr="0032298B">
        <w:rPr>
          <w:iCs/>
          <w:lang w:val="fr-FR"/>
        </w:rPr>
        <w:t xml:space="preserve"> c.</w:t>
      </w:r>
      <w:r>
        <w:rPr>
          <w:iCs/>
          <w:lang w:val="fr-FR"/>
        </w:rPr>
        <w:t xml:space="preserve"> </w:t>
      </w:r>
      <w:r>
        <w:rPr>
          <w:rFonts w:eastAsia="MS Mincho"/>
          <w:iCs/>
          <w:lang w:val="fr-FR"/>
        </w:rPr>
        <w:t>Jamahiriya arabe libyenne</w:t>
      </w:r>
      <w:r>
        <w:rPr>
          <w:lang w:val="fr-FR"/>
        </w:rPr>
        <w:t xml:space="preserve"> (CCPR/C/90/D/1295/2004), par. 6.5.</w:t>
      </w:r>
    </w:p>
  </w:footnote>
  <w:footnote w:id="28">
    <w:p w14:paraId="21A2EDCA" w14:textId="77777777" w:rsidR="004119F5" w:rsidRDefault="004119F5" w:rsidP="00BE493D">
      <w:pPr>
        <w:pStyle w:val="FootnoteText"/>
        <w:rPr>
          <w:lang w:val="fr-FR"/>
        </w:rPr>
      </w:pPr>
      <w:r>
        <w:tab/>
      </w:r>
      <w:r w:rsidRPr="00D3513E">
        <w:rPr>
          <w:rStyle w:val="FootnoteReference"/>
        </w:rPr>
        <w:footnoteRef/>
      </w:r>
      <w:r>
        <w:tab/>
      </w:r>
      <w:proofErr w:type="spellStart"/>
      <w:r w:rsidRPr="00D9169B">
        <w:rPr>
          <w:lang w:val="fr-FR"/>
        </w:rPr>
        <w:t>Ammari</w:t>
      </w:r>
      <w:proofErr w:type="spellEnd"/>
      <w:r w:rsidRPr="00D9169B">
        <w:rPr>
          <w:lang w:val="fr-FR"/>
        </w:rPr>
        <w:t xml:space="preserve"> c.</w:t>
      </w:r>
      <w:r>
        <w:rPr>
          <w:lang w:val="fr-FR"/>
        </w:rPr>
        <w:t xml:space="preserve"> </w:t>
      </w:r>
      <w:r w:rsidRPr="00BE493D">
        <w:t>Algérie</w:t>
      </w:r>
      <w:r>
        <w:rPr>
          <w:lang w:val="fr-FR"/>
        </w:rPr>
        <w:t>, par. 8.6.</w:t>
      </w:r>
    </w:p>
  </w:footnote>
  <w:footnote w:id="29">
    <w:p w14:paraId="028925B8" w14:textId="77777777" w:rsidR="004119F5" w:rsidRDefault="004119F5" w:rsidP="00BE493D">
      <w:pPr>
        <w:pStyle w:val="FootnoteText"/>
      </w:pPr>
      <w:r>
        <w:tab/>
      </w:r>
      <w:r w:rsidRPr="00D3513E">
        <w:rPr>
          <w:rStyle w:val="FootnoteReference"/>
        </w:rPr>
        <w:footnoteRef/>
      </w:r>
      <w:r>
        <w:tab/>
      </w:r>
      <w:proofErr w:type="spellStart"/>
      <w:r w:rsidRPr="00D0624B">
        <w:rPr>
          <w:lang w:val="fr-FR"/>
        </w:rPr>
        <w:t>Mezine</w:t>
      </w:r>
      <w:proofErr w:type="spellEnd"/>
      <w:r w:rsidRPr="00D0624B">
        <w:rPr>
          <w:lang w:val="fr-FR"/>
        </w:rPr>
        <w:t xml:space="preserve"> c.</w:t>
      </w:r>
      <w:r>
        <w:rPr>
          <w:lang w:val="fr-FR"/>
        </w:rPr>
        <w:t xml:space="preserve"> </w:t>
      </w:r>
      <w:r w:rsidRPr="00D0624B">
        <w:rPr>
          <w:lang w:val="fr-FR"/>
        </w:rPr>
        <w:t>Algérie</w:t>
      </w:r>
      <w:r>
        <w:rPr>
          <w:lang w:val="fr-FR"/>
        </w:rPr>
        <w:t xml:space="preserve">, par. 8.6 ; </w:t>
      </w:r>
      <w:proofErr w:type="spellStart"/>
      <w:r w:rsidRPr="00D0624B">
        <w:rPr>
          <w:lang w:val="fr-FR"/>
        </w:rPr>
        <w:t>Khirani</w:t>
      </w:r>
      <w:proofErr w:type="spellEnd"/>
      <w:r w:rsidRPr="00D0624B">
        <w:rPr>
          <w:lang w:val="fr-FR"/>
        </w:rPr>
        <w:t xml:space="preserve"> c.</w:t>
      </w:r>
      <w:r>
        <w:rPr>
          <w:lang w:val="fr-FR"/>
        </w:rPr>
        <w:t xml:space="preserve"> </w:t>
      </w:r>
      <w:r w:rsidRPr="00D0624B">
        <w:rPr>
          <w:lang w:val="fr-FR"/>
        </w:rPr>
        <w:t>Algérie</w:t>
      </w:r>
      <w:r>
        <w:rPr>
          <w:lang w:val="fr-FR"/>
        </w:rPr>
        <w:t xml:space="preserve">, par. 7.6 ; </w:t>
      </w:r>
      <w:proofErr w:type="spellStart"/>
      <w:r w:rsidRPr="000D231A">
        <w:t>Berzig</w:t>
      </w:r>
      <w:proofErr w:type="spellEnd"/>
      <w:r>
        <w:rPr>
          <w:lang w:val="fr-FR"/>
        </w:rPr>
        <w:t xml:space="preserve"> </w:t>
      </w:r>
      <w:r w:rsidRPr="00D0624B">
        <w:rPr>
          <w:lang w:val="fr-FR"/>
        </w:rPr>
        <w:t>c.</w:t>
      </w:r>
      <w:r>
        <w:rPr>
          <w:lang w:val="fr-FR"/>
        </w:rPr>
        <w:t xml:space="preserve"> </w:t>
      </w:r>
      <w:r w:rsidRPr="00D0624B">
        <w:rPr>
          <w:lang w:val="fr-FR"/>
        </w:rPr>
        <w:t>Algérie</w:t>
      </w:r>
      <w:r>
        <w:rPr>
          <w:lang w:val="fr-FR"/>
        </w:rPr>
        <w:t xml:space="preserve">, par. 8.6 ; El </w:t>
      </w:r>
      <w:proofErr w:type="spellStart"/>
      <w:r>
        <w:rPr>
          <w:lang w:val="fr-FR"/>
        </w:rPr>
        <w:t>Abani</w:t>
      </w:r>
      <w:proofErr w:type="spellEnd"/>
      <w:r>
        <w:rPr>
          <w:lang w:val="fr-FR"/>
        </w:rPr>
        <w:t xml:space="preserve"> </w:t>
      </w:r>
      <w:r w:rsidRPr="006F2384">
        <w:rPr>
          <w:lang w:val="fr-FR"/>
        </w:rPr>
        <w:t>c.</w:t>
      </w:r>
      <w:r>
        <w:rPr>
          <w:lang w:val="fr-FR"/>
        </w:rPr>
        <w:t xml:space="preserve"> Jamahiriya arabe libyenne, par. 7.5 ; et El </w:t>
      </w:r>
      <w:proofErr w:type="spellStart"/>
      <w:r>
        <w:rPr>
          <w:lang w:val="fr-FR"/>
        </w:rPr>
        <w:t>Hassy</w:t>
      </w:r>
      <w:proofErr w:type="spellEnd"/>
      <w:r w:rsidRPr="00D0624B">
        <w:rPr>
          <w:lang w:val="fr-FR"/>
        </w:rPr>
        <w:t xml:space="preserve"> c. </w:t>
      </w:r>
      <w:r>
        <w:rPr>
          <w:lang w:val="fr-FR"/>
        </w:rPr>
        <w:t>Jamahiriya arabe libyenne (CCPR/C/91/D/1422/2005), par. 6.11.</w:t>
      </w:r>
    </w:p>
  </w:footnote>
  <w:footnote w:id="30">
    <w:p w14:paraId="6278B452" w14:textId="77777777" w:rsidR="004119F5" w:rsidRPr="00B11211" w:rsidRDefault="004119F5" w:rsidP="00BE493D">
      <w:pPr>
        <w:pStyle w:val="FootnoteText"/>
      </w:pPr>
      <w:r w:rsidRPr="00B11211">
        <w:tab/>
      </w:r>
      <w:r w:rsidRPr="00B11211">
        <w:rPr>
          <w:rStyle w:val="FootnoteReference"/>
          <w:szCs w:val="18"/>
        </w:rPr>
        <w:footnoteRef/>
      </w:r>
      <w:r w:rsidRPr="00B11211">
        <w:tab/>
      </w:r>
      <w:proofErr w:type="spellStart"/>
      <w:r w:rsidRPr="00BE493D">
        <w:t>Chani</w:t>
      </w:r>
      <w:proofErr w:type="spellEnd"/>
      <w:r w:rsidRPr="00B11211">
        <w:rPr>
          <w:i/>
        </w:rPr>
        <w:t xml:space="preserve"> c. Algérie</w:t>
      </w:r>
      <w:r w:rsidRPr="00B11211">
        <w:t xml:space="preserve"> (CCPR/C/116/D/2297/2013), par. 7.5.</w:t>
      </w:r>
    </w:p>
  </w:footnote>
  <w:footnote w:id="31">
    <w:p w14:paraId="4BAA9BA3" w14:textId="77777777" w:rsidR="004119F5" w:rsidRPr="00BE493D" w:rsidRDefault="004119F5" w:rsidP="00BE493D">
      <w:pPr>
        <w:pStyle w:val="FootnoteText"/>
      </w:pPr>
      <w:r w:rsidRPr="00B11211">
        <w:tab/>
      </w:r>
      <w:r w:rsidRPr="00B11211">
        <w:rPr>
          <w:rStyle w:val="FootnoteReference"/>
          <w:szCs w:val="18"/>
        </w:rPr>
        <w:footnoteRef/>
      </w:r>
      <w:r w:rsidRPr="00B11211">
        <w:tab/>
      </w:r>
      <w:r w:rsidRPr="00BA6319">
        <w:rPr>
          <w:spacing w:val="-2"/>
          <w:lang w:val="fr-FR"/>
        </w:rPr>
        <w:t xml:space="preserve">Voir, entre autres, </w:t>
      </w:r>
      <w:proofErr w:type="spellStart"/>
      <w:r w:rsidRPr="00BA6319">
        <w:rPr>
          <w:i/>
          <w:iCs/>
          <w:spacing w:val="-2"/>
          <w:lang w:val="fr-FR"/>
        </w:rPr>
        <w:t>Mezine</w:t>
      </w:r>
      <w:proofErr w:type="spellEnd"/>
      <w:r w:rsidRPr="00BA6319">
        <w:rPr>
          <w:i/>
          <w:iCs/>
          <w:spacing w:val="-2"/>
          <w:lang w:val="fr-FR"/>
        </w:rPr>
        <w:t xml:space="preserve"> c. Algérie</w:t>
      </w:r>
      <w:r w:rsidRPr="00BA6319">
        <w:rPr>
          <w:spacing w:val="-2"/>
          <w:lang w:val="fr-FR"/>
        </w:rPr>
        <w:t xml:space="preserve">, par. 8.7 ; </w:t>
      </w:r>
      <w:proofErr w:type="spellStart"/>
      <w:r w:rsidRPr="00BA6319">
        <w:rPr>
          <w:i/>
          <w:iCs/>
          <w:spacing w:val="-2"/>
          <w:lang w:val="fr-FR"/>
        </w:rPr>
        <w:t>Khirani</w:t>
      </w:r>
      <w:proofErr w:type="spellEnd"/>
      <w:r w:rsidRPr="00BA6319">
        <w:rPr>
          <w:i/>
          <w:iCs/>
          <w:spacing w:val="-2"/>
          <w:lang w:val="fr-FR"/>
        </w:rPr>
        <w:t xml:space="preserve"> c. Algérie</w:t>
      </w:r>
      <w:r w:rsidRPr="00BA6319">
        <w:rPr>
          <w:spacing w:val="-2"/>
          <w:lang w:val="fr-FR"/>
        </w:rPr>
        <w:t xml:space="preserve">, par. 7.7 ; et </w:t>
      </w:r>
      <w:proofErr w:type="spellStart"/>
      <w:r w:rsidRPr="00BA6319">
        <w:rPr>
          <w:i/>
          <w:spacing w:val="-2"/>
        </w:rPr>
        <w:t>Berzig</w:t>
      </w:r>
      <w:proofErr w:type="spellEnd"/>
      <w:r w:rsidRPr="00BA6319">
        <w:rPr>
          <w:i/>
          <w:iCs/>
          <w:spacing w:val="-2"/>
          <w:lang w:val="fr-FR"/>
        </w:rPr>
        <w:t xml:space="preserve"> c. Algérie</w:t>
      </w:r>
      <w:r w:rsidRPr="00BA6319">
        <w:rPr>
          <w:spacing w:val="-2"/>
          <w:lang w:val="fr-FR"/>
        </w:rPr>
        <w:t>, par. 8.7.</w:t>
      </w:r>
    </w:p>
  </w:footnote>
  <w:footnote w:id="32">
    <w:p w14:paraId="6B2191A1" w14:textId="77777777" w:rsidR="004119F5" w:rsidRPr="00DD5744" w:rsidRDefault="004119F5" w:rsidP="00BE493D">
      <w:pPr>
        <w:pStyle w:val="FootnoteText"/>
        <w:rPr>
          <w:lang w:val="pt-PT"/>
        </w:rPr>
      </w:pPr>
      <w:r>
        <w:tab/>
      </w:r>
      <w:r>
        <w:rPr>
          <w:rStyle w:val="FootnoteReference"/>
        </w:rPr>
        <w:footnoteRef/>
      </w:r>
      <w:r w:rsidRPr="00DD5744">
        <w:rPr>
          <w:lang w:val="pt-PT"/>
        </w:rPr>
        <w:tab/>
        <w:t>CCPR/C/DZA/CO/4, par. 11 à 14.</w:t>
      </w:r>
    </w:p>
  </w:footnote>
  <w:footnote w:id="33">
    <w:p w14:paraId="01DCD064" w14:textId="19B8448F" w:rsidR="004119F5" w:rsidRDefault="004119F5" w:rsidP="00BE493D">
      <w:pPr>
        <w:pStyle w:val="FootnoteText"/>
        <w:rPr>
          <w:lang w:val="fr-FR"/>
        </w:rPr>
      </w:pPr>
      <w:r w:rsidRPr="00DD5744">
        <w:rPr>
          <w:lang w:val="pt-PT"/>
        </w:rPr>
        <w:tab/>
      </w:r>
      <w:r w:rsidRPr="00D3513E">
        <w:rPr>
          <w:rStyle w:val="FootnoteReference"/>
        </w:rPr>
        <w:footnoteRef/>
      </w:r>
      <w:r>
        <w:tab/>
      </w:r>
      <w:proofErr w:type="spellStart"/>
      <w:r w:rsidRPr="003073A3">
        <w:rPr>
          <w:i/>
          <w:lang w:val="fr-FR"/>
        </w:rPr>
        <w:t>Basnet</w:t>
      </w:r>
      <w:proofErr w:type="spellEnd"/>
      <w:r w:rsidRPr="003073A3">
        <w:rPr>
          <w:i/>
          <w:lang w:val="fr-FR"/>
        </w:rPr>
        <w:t xml:space="preserve"> c.</w:t>
      </w:r>
      <w:r>
        <w:rPr>
          <w:i/>
          <w:lang w:val="fr-FR"/>
        </w:rPr>
        <w:t xml:space="preserve"> </w:t>
      </w:r>
      <w:r w:rsidRPr="003073A3">
        <w:rPr>
          <w:i/>
          <w:lang w:val="fr-FR"/>
        </w:rPr>
        <w:t>Népal</w:t>
      </w:r>
      <w:r>
        <w:rPr>
          <w:lang w:val="fr-FR"/>
        </w:rPr>
        <w:t xml:space="preserve"> (CCPR/C/117/D/</w:t>
      </w:r>
      <w:r w:rsidRPr="00BE493D">
        <w:t>2164</w:t>
      </w:r>
      <w:r>
        <w:rPr>
          <w:lang w:val="fr-FR"/>
        </w:rPr>
        <w:t xml:space="preserve">/2012), par. 10.9 ; </w:t>
      </w:r>
      <w:proofErr w:type="spellStart"/>
      <w:r>
        <w:rPr>
          <w:i/>
          <w:lang w:val="fr-FR"/>
        </w:rPr>
        <w:t>Tharu</w:t>
      </w:r>
      <w:proofErr w:type="spellEnd"/>
      <w:r>
        <w:rPr>
          <w:i/>
          <w:lang w:val="fr-FR"/>
        </w:rPr>
        <w:t xml:space="preserve"> et </w:t>
      </w:r>
      <w:r w:rsidR="00F23A9F">
        <w:rPr>
          <w:i/>
          <w:lang w:val="fr-FR"/>
        </w:rPr>
        <w:t>al.</w:t>
      </w:r>
      <w:r w:rsidRPr="003073A3">
        <w:rPr>
          <w:i/>
          <w:lang w:val="fr-FR"/>
        </w:rPr>
        <w:t xml:space="preserve"> c.</w:t>
      </w:r>
      <w:r>
        <w:rPr>
          <w:i/>
          <w:lang w:val="fr-FR"/>
        </w:rPr>
        <w:t xml:space="preserve"> </w:t>
      </w:r>
      <w:r w:rsidRPr="00BE493D">
        <w:t>Népal</w:t>
      </w:r>
      <w:r>
        <w:rPr>
          <w:lang w:val="fr-FR"/>
        </w:rPr>
        <w:t xml:space="preserve">, par. 10.9 ; et </w:t>
      </w:r>
      <w:proofErr w:type="spellStart"/>
      <w:r>
        <w:rPr>
          <w:i/>
          <w:lang w:val="fr-FR"/>
        </w:rPr>
        <w:t>Serna</w:t>
      </w:r>
      <w:proofErr w:type="spellEnd"/>
      <w:r>
        <w:rPr>
          <w:i/>
          <w:lang w:val="fr-FR"/>
        </w:rPr>
        <w:t xml:space="preserve"> </w:t>
      </w:r>
      <w:r w:rsidRPr="00EF538B">
        <w:rPr>
          <w:i/>
          <w:lang w:val="fr-FR"/>
        </w:rPr>
        <w:t>et</w:t>
      </w:r>
      <w:r w:rsidR="002A70DE">
        <w:rPr>
          <w:i/>
          <w:lang w:val="fr-FR"/>
        </w:rPr>
        <w:t xml:space="preserve"> al.</w:t>
      </w:r>
      <w:r w:rsidRPr="003073A3">
        <w:rPr>
          <w:i/>
          <w:iCs/>
          <w:lang w:val="fr-FR"/>
        </w:rPr>
        <w:t xml:space="preserve"> c.</w:t>
      </w:r>
      <w:r>
        <w:rPr>
          <w:i/>
          <w:iCs/>
          <w:lang w:val="fr-FR"/>
        </w:rPr>
        <w:t xml:space="preserve"> </w:t>
      </w:r>
      <w:r w:rsidRPr="003073A3">
        <w:rPr>
          <w:i/>
          <w:iCs/>
          <w:lang w:val="fr-FR"/>
        </w:rPr>
        <w:t>Colombie</w:t>
      </w:r>
      <w:r>
        <w:rPr>
          <w:lang w:val="fr-FR"/>
        </w:rPr>
        <w:t>, par. 9.5.</w:t>
      </w:r>
    </w:p>
  </w:footnote>
  <w:footnote w:id="34">
    <w:p w14:paraId="0F334C65" w14:textId="77777777" w:rsidR="004119F5" w:rsidRPr="00B11211" w:rsidRDefault="004119F5" w:rsidP="00BE493D">
      <w:pPr>
        <w:pStyle w:val="FootnoteText"/>
      </w:pPr>
      <w:r w:rsidRPr="00B11211">
        <w:tab/>
      </w:r>
      <w:r w:rsidRPr="00B11211">
        <w:rPr>
          <w:rStyle w:val="FootnoteReference"/>
          <w:szCs w:val="18"/>
        </w:rPr>
        <w:footnoteRef/>
      </w:r>
      <w:r w:rsidRPr="00B11211">
        <w:tab/>
      </w:r>
      <w:proofErr w:type="spellStart"/>
      <w:r w:rsidRPr="00B11211">
        <w:rPr>
          <w:i/>
        </w:rPr>
        <w:t>Allioua</w:t>
      </w:r>
      <w:proofErr w:type="spellEnd"/>
      <w:r w:rsidRPr="00B11211">
        <w:rPr>
          <w:i/>
        </w:rPr>
        <w:t xml:space="preserve"> et </w:t>
      </w:r>
      <w:proofErr w:type="spellStart"/>
      <w:r w:rsidRPr="00B11211">
        <w:rPr>
          <w:i/>
        </w:rPr>
        <w:t>Kerouane</w:t>
      </w:r>
      <w:proofErr w:type="spellEnd"/>
      <w:r w:rsidRPr="00B11211">
        <w:rPr>
          <w:i/>
        </w:rPr>
        <w:t xml:space="preserve"> c.</w:t>
      </w:r>
      <w:r>
        <w:rPr>
          <w:i/>
        </w:rPr>
        <w:t xml:space="preserve"> </w:t>
      </w:r>
      <w:r w:rsidRPr="00B11211">
        <w:rPr>
          <w:i/>
        </w:rPr>
        <w:t>Algérie</w:t>
      </w:r>
      <w:r>
        <w:t xml:space="preserve"> (CCPR/C/112/D/2132/2012), par. </w:t>
      </w:r>
      <w:r w:rsidRPr="00B11211">
        <w:t>7.11.</w:t>
      </w:r>
    </w:p>
  </w:footnote>
  <w:footnote w:id="35">
    <w:p w14:paraId="3E067DC9" w14:textId="77777777" w:rsidR="004119F5" w:rsidRDefault="004119F5" w:rsidP="00BE493D">
      <w:pPr>
        <w:pStyle w:val="FootnoteText"/>
      </w:pPr>
      <w:r>
        <w:tab/>
      </w:r>
      <w:r w:rsidRPr="00D3513E">
        <w:rPr>
          <w:rStyle w:val="FootnoteReference"/>
        </w:rPr>
        <w:footnoteRef/>
      </w:r>
      <w:r>
        <w:tab/>
      </w:r>
      <w:r w:rsidRPr="0072414F">
        <w:rPr>
          <w:lang w:val="fr-FR"/>
        </w:rPr>
        <w:t>CCPR/C/DZA/</w:t>
      </w:r>
      <w:r w:rsidRPr="00BE493D">
        <w:t>CO</w:t>
      </w:r>
      <w:r w:rsidRPr="0072414F">
        <w:rPr>
          <w:lang w:val="fr-FR"/>
        </w:rPr>
        <w:t>/3, par</w:t>
      </w:r>
      <w:r>
        <w:rPr>
          <w:lang w:val="fr-FR"/>
        </w:rPr>
        <w:t>.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3F6" w14:textId="597AABC6" w:rsidR="004119F5" w:rsidRPr="007D7472" w:rsidRDefault="00FA1A1E">
    <w:pPr>
      <w:pStyle w:val="Header"/>
    </w:pPr>
    <w:r>
      <w:fldChar w:fldCharType="begin"/>
    </w:r>
    <w:r>
      <w:instrText xml:space="preserve"> TITLE  \* MERGEFORMAT </w:instrText>
    </w:r>
    <w:r>
      <w:fldChar w:fldCharType="separate"/>
    </w:r>
    <w:r>
      <w:t>CCPR/C/128/DR/3082/2017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7479" w14:textId="2F76F06A" w:rsidR="004119F5" w:rsidRPr="007D7472" w:rsidRDefault="00FA1A1E" w:rsidP="007D7472">
    <w:pPr>
      <w:pStyle w:val="Header"/>
      <w:jc w:val="right"/>
    </w:pPr>
    <w:r>
      <w:fldChar w:fldCharType="begin"/>
    </w:r>
    <w:r>
      <w:instrText xml:space="preserve"> TITLE  \* MERGEFORMAT </w:instrText>
    </w:r>
    <w:r>
      <w:fldChar w:fldCharType="separate"/>
    </w:r>
    <w:r>
      <w:t>CCPR/C/128/DR/3082/2017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fr-CH" w:vendorID="64" w:dllVersion="0" w:nlCheck="1" w:checkStyle="0"/>
  <w:activeWritingStyle w:appName="MSWord" w:lang="fr-FR" w:vendorID="64" w:dllVersion="0" w:nlCheck="1" w:checkStyle="0"/>
  <w:activeWritingStyle w:appName="MSWord" w:lang="pt-PT" w:vendorID="64" w:dllVersion="0" w:nlCheck="1" w:checkStyle="0"/>
  <w:activeWritingStyle w:appName="MSWord" w:lang="es-ES" w:vendorID="64" w:dllVersion="0" w:nlCheck="1" w:checkStyle="0"/>
  <w:activeWritingStyle w:appName="MSWord" w:lang="es-EC" w:vendorID="64" w:dllVersion="6"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06"/>
    <w:rsid w:val="00006206"/>
    <w:rsid w:val="00006AA7"/>
    <w:rsid w:val="00007058"/>
    <w:rsid w:val="00007EB9"/>
    <w:rsid w:val="000109AC"/>
    <w:rsid w:val="00013F11"/>
    <w:rsid w:val="000159D3"/>
    <w:rsid w:val="00017F94"/>
    <w:rsid w:val="00023842"/>
    <w:rsid w:val="00025047"/>
    <w:rsid w:val="000319C3"/>
    <w:rsid w:val="000334F9"/>
    <w:rsid w:val="0003352E"/>
    <w:rsid w:val="000371E6"/>
    <w:rsid w:val="000460B6"/>
    <w:rsid w:val="00046F49"/>
    <w:rsid w:val="00051C21"/>
    <w:rsid w:val="00055409"/>
    <w:rsid w:val="000612FB"/>
    <w:rsid w:val="00063EBA"/>
    <w:rsid w:val="00067F81"/>
    <w:rsid w:val="000767E5"/>
    <w:rsid w:val="0007796D"/>
    <w:rsid w:val="00083E70"/>
    <w:rsid w:val="00085E42"/>
    <w:rsid w:val="000A5209"/>
    <w:rsid w:val="000B1EC0"/>
    <w:rsid w:val="000B55D5"/>
    <w:rsid w:val="000B7790"/>
    <w:rsid w:val="000B78A4"/>
    <w:rsid w:val="000C2225"/>
    <w:rsid w:val="000D193D"/>
    <w:rsid w:val="000D3730"/>
    <w:rsid w:val="000E1BA9"/>
    <w:rsid w:val="000E1F75"/>
    <w:rsid w:val="000F422E"/>
    <w:rsid w:val="0010188B"/>
    <w:rsid w:val="0011123F"/>
    <w:rsid w:val="00111424"/>
    <w:rsid w:val="00111F2F"/>
    <w:rsid w:val="001152B6"/>
    <w:rsid w:val="0012093B"/>
    <w:rsid w:val="00121346"/>
    <w:rsid w:val="001278AF"/>
    <w:rsid w:val="00142097"/>
    <w:rsid w:val="00142EDF"/>
    <w:rsid w:val="0014365E"/>
    <w:rsid w:val="00147A1D"/>
    <w:rsid w:val="0015100B"/>
    <w:rsid w:val="00155E8C"/>
    <w:rsid w:val="0016209C"/>
    <w:rsid w:val="00171C4B"/>
    <w:rsid w:val="00172AD4"/>
    <w:rsid w:val="0017374B"/>
    <w:rsid w:val="00175472"/>
    <w:rsid w:val="00176178"/>
    <w:rsid w:val="00177A8D"/>
    <w:rsid w:val="00184910"/>
    <w:rsid w:val="00187C8F"/>
    <w:rsid w:val="0019102F"/>
    <w:rsid w:val="001919E8"/>
    <w:rsid w:val="001A1C3B"/>
    <w:rsid w:val="001B0A58"/>
    <w:rsid w:val="001B1BC0"/>
    <w:rsid w:val="001B379B"/>
    <w:rsid w:val="001C03C8"/>
    <w:rsid w:val="001C4148"/>
    <w:rsid w:val="001C75C0"/>
    <w:rsid w:val="001D4F61"/>
    <w:rsid w:val="001D6FFA"/>
    <w:rsid w:val="001D712E"/>
    <w:rsid w:val="001E309B"/>
    <w:rsid w:val="001E5293"/>
    <w:rsid w:val="001F1D1F"/>
    <w:rsid w:val="001F525A"/>
    <w:rsid w:val="00204F04"/>
    <w:rsid w:val="00207A15"/>
    <w:rsid w:val="00212F86"/>
    <w:rsid w:val="00216128"/>
    <w:rsid w:val="00220118"/>
    <w:rsid w:val="00223272"/>
    <w:rsid w:val="0022494B"/>
    <w:rsid w:val="00240DE9"/>
    <w:rsid w:val="0024779E"/>
    <w:rsid w:val="00275F28"/>
    <w:rsid w:val="00283697"/>
    <w:rsid w:val="00290855"/>
    <w:rsid w:val="002944E5"/>
    <w:rsid w:val="00295E9D"/>
    <w:rsid w:val="002976B9"/>
    <w:rsid w:val="00297BF0"/>
    <w:rsid w:val="002A1E0B"/>
    <w:rsid w:val="002A2B46"/>
    <w:rsid w:val="002A404D"/>
    <w:rsid w:val="002A630C"/>
    <w:rsid w:val="002A70DE"/>
    <w:rsid w:val="002B3A75"/>
    <w:rsid w:val="002B73D8"/>
    <w:rsid w:val="002B7BC7"/>
    <w:rsid w:val="002C0E8F"/>
    <w:rsid w:val="002C250C"/>
    <w:rsid w:val="002C454D"/>
    <w:rsid w:val="002C64A8"/>
    <w:rsid w:val="002C6838"/>
    <w:rsid w:val="002C718D"/>
    <w:rsid w:val="002D109C"/>
    <w:rsid w:val="002E2D46"/>
    <w:rsid w:val="002E3745"/>
    <w:rsid w:val="002F0BE9"/>
    <w:rsid w:val="002F4901"/>
    <w:rsid w:val="00301FB5"/>
    <w:rsid w:val="0030235C"/>
    <w:rsid w:val="003040EA"/>
    <w:rsid w:val="00305F47"/>
    <w:rsid w:val="003073A3"/>
    <w:rsid w:val="00311BC3"/>
    <w:rsid w:val="0032225A"/>
    <w:rsid w:val="0032298B"/>
    <w:rsid w:val="00323417"/>
    <w:rsid w:val="00327862"/>
    <w:rsid w:val="00333944"/>
    <w:rsid w:val="00334CF2"/>
    <w:rsid w:val="00336981"/>
    <w:rsid w:val="003402F1"/>
    <w:rsid w:val="0034335C"/>
    <w:rsid w:val="00346FEA"/>
    <w:rsid w:val="00347037"/>
    <w:rsid w:val="00351332"/>
    <w:rsid w:val="003533BE"/>
    <w:rsid w:val="0035522B"/>
    <w:rsid w:val="003553A0"/>
    <w:rsid w:val="00355C3A"/>
    <w:rsid w:val="0035639F"/>
    <w:rsid w:val="00364F2B"/>
    <w:rsid w:val="0036727E"/>
    <w:rsid w:val="003675A5"/>
    <w:rsid w:val="003723AC"/>
    <w:rsid w:val="003735FA"/>
    <w:rsid w:val="00373663"/>
    <w:rsid w:val="003744ED"/>
    <w:rsid w:val="00375BDB"/>
    <w:rsid w:val="00382231"/>
    <w:rsid w:val="003823BF"/>
    <w:rsid w:val="003829AE"/>
    <w:rsid w:val="00382C09"/>
    <w:rsid w:val="00385BEB"/>
    <w:rsid w:val="00386538"/>
    <w:rsid w:val="00387384"/>
    <w:rsid w:val="0039009A"/>
    <w:rsid w:val="00392148"/>
    <w:rsid w:val="00394BD0"/>
    <w:rsid w:val="003A556D"/>
    <w:rsid w:val="003A626D"/>
    <w:rsid w:val="003A6E96"/>
    <w:rsid w:val="003B0D6C"/>
    <w:rsid w:val="003B2EB8"/>
    <w:rsid w:val="003B3446"/>
    <w:rsid w:val="003B3F53"/>
    <w:rsid w:val="003B5F78"/>
    <w:rsid w:val="003B7C09"/>
    <w:rsid w:val="003C00F2"/>
    <w:rsid w:val="003C1C48"/>
    <w:rsid w:val="003C29D3"/>
    <w:rsid w:val="003C2C5B"/>
    <w:rsid w:val="003C579A"/>
    <w:rsid w:val="003C6723"/>
    <w:rsid w:val="003C7137"/>
    <w:rsid w:val="003C75B2"/>
    <w:rsid w:val="003C7F19"/>
    <w:rsid w:val="003D040E"/>
    <w:rsid w:val="003D4405"/>
    <w:rsid w:val="003E01BD"/>
    <w:rsid w:val="003E3A65"/>
    <w:rsid w:val="003F2252"/>
    <w:rsid w:val="003F6DEF"/>
    <w:rsid w:val="003F7119"/>
    <w:rsid w:val="003F7C03"/>
    <w:rsid w:val="004005F3"/>
    <w:rsid w:val="00410779"/>
    <w:rsid w:val="004119F5"/>
    <w:rsid w:val="00415C1D"/>
    <w:rsid w:val="00416226"/>
    <w:rsid w:val="00422662"/>
    <w:rsid w:val="0043442F"/>
    <w:rsid w:val="004363EA"/>
    <w:rsid w:val="004369AD"/>
    <w:rsid w:val="00437566"/>
    <w:rsid w:val="00437CD0"/>
    <w:rsid w:val="0044056C"/>
    <w:rsid w:val="004440A1"/>
    <w:rsid w:val="00446FE5"/>
    <w:rsid w:val="00451C6B"/>
    <w:rsid w:val="00452396"/>
    <w:rsid w:val="00453169"/>
    <w:rsid w:val="00453939"/>
    <w:rsid w:val="00460B0D"/>
    <w:rsid w:val="0046354A"/>
    <w:rsid w:val="00464331"/>
    <w:rsid w:val="00472ECE"/>
    <w:rsid w:val="004755CB"/>
    <w:rsid w:val="00480CA6"/>
    <w:rsid w:val="00490C81"/>
    <w:rsid w:val="0049567C"/>
    <w:rsid w:val="00496DD8"/>
    <w:rsid w:val="004A0B56"/>
    <w:rsid w:val="004A5639"/>
    <w:rsid w:val="004A56BB"/>
    <w:rsid w:val="004A6545"/>
    <w:rsid w:val="004A6EDE"/>
    <w:rsid w:val="004B16E9"/>
    <w:rsid w:val="004B2594"/>
    <w:rsid w:val="004B3D01"/>
    <w:rsid w:val="004B3D45"/>
    <w:rsid w:val="004B5F9D"/>
    <w:rsid w:val="004B6D04"/>
    <w:rsid w:val="004B7CDE"/>
    <w:rsid w:val="004C6EF9"/>
    <w:rsid w:val="004D25EA"/>
    <w:rsid w:val="004D3A17"/>
    <w:rsid w:val="004E06CD"/>
    <w:rsid w:val="004E2C19"/>
    <w:rsid w:val="004E41CF"/>
    <w:rsid w:val="004E57C5"/>
    <w:rsid w:val="004E6E06"/>
    <w:rsid w:val="004F02EF"/>
    <w:rsid w:val="004F0A41"/>
    <w:rsid w:val="004F1CEB"/>
    <w:rsid w:val="005004B1"/>
    <w:rsid w:val="005021B2"/>
    <w:rsid w:val="005024C5"/>
    <w:rsid w:val="00507EE2"/>
    <w:rsid w:val="005102B3"/>
    <w:rsid w:val="00510AAE"/>
    <w:rsid w:val="00512EAC"/>
    <w:rsid w:val="0051412B"/>
    <w:rsid w:val="005169BF"/>
    <w:rsid w:val="00527012"/>
    <w:rsid w:val="00533F15"/>
    <w:rsid w:val="005426EC"/>
    <w:rsid w:val="00543E90"/>
    <w:rsid w:val="00545A81"/>
    <w:rsid w:val="00545E98"/>
    <w:rsid w:val="005463A6"/>
    <w:rsid w:val="0054673D"/>
    <w:rsid w:val="005505B7"/>
    <w:rsid w:val="005526A5"/>
    <w:rsid w:val="005542EE"/>
    <w:rsid w:val="00560141"/>
    <w:rsid w:val="00573BE5"/>
    <w:rsid w:val="005740B1"/>
    <w:rsid w:val="005762F2"/>
    <w:rsid w:val="00577455"/>
    <w:rsid w:val="00580595"/>
    <w:rsid w:val="00585D1F"/>
    <w:rsid w:val="00586ED3"/>
    <w:rsid w:val="00590872"/>
    <w:rsid w:val="00592D4F"/>
    <w:rsid w:val="00594B9F"/>
    <w:rsid w:val="00596AA9"/>
    <w:rsid w:val="005A30AB"/>
    <w:rsid w:val="005A3FBC"/>
    <w:rsid w:val="005A41AC"/>
    <w:rsid w:val="005A7301"/>
    <w:rsid w:val="005B6735"/>
    <w:rsid w:val="005C2129"/>
    <w:rsid w:val="005C2885"/>
    <w:rsid w:val="005D4F80"/>
    <w:rsid w:val="005D6B43"/>
    <w:rsid w:val="005D7C4B"/>
    <w:rsid w:val="005E12DD"/>
    <w:rsid w:val="005E1EF0"/>
    <w:rsid w:val="005E7D5F"/>
    <w:rsid w:val="005F5AB1"/>
    <w:rsid w:val="005F6467"/>
    <w:rsid w:val="0060281C"/>
    <w:rsid w:val="00603AE4"/>
    <w:rsid w:val="0061228F"/>
    <w:rsid w:val="006170ED"/>
    <w:rsid w:val="0063461C"/>
    <w:rsid w:val="006404CD"/>
    <w:rsid w:val="0064153B"/>
    <w:rsid w:val="00647D87"/>
    <w:rsid w:val="00652DE7"/>
    <w:rsid w:val="00654F41"/>
    <w:rsid w:val="006561FC"/>
    <w:rsid w:val="00656E63"/>
    <w:rsid w:val="00662ADA"/>
    <w:rsid w:val="00666DB7"/>
    <w:rsid w:val="006703B6"/>
    <w:rsid w:val="00672B49"/>
    <w:rsid w:val="00680077"/>
    <w:rsid w:val="006811FA"/>
    <w:rsid w:val="0068338E"/>
    <w:rsid w:val="00685D38"/>
    <w:rsid w:val="00693D30"/>
    <w:rsid w:val="006966BC"/>
    <w:rsid w:val="006A0147"/>
    <w:rsid w:val="006B2617"/>
    <w:rsid w:val="006B6145"/>
    <w:rsid w:val="006C69A9"/>
    <w:rsid w:val="006D04F6"/>
    <w:rsid w:val="006D2F75"/>
    <w:rsid w:val="006E2429"/>
    <w:rsid w:val="006E68EF"/>
    <w:rsid w:val="006E6C35"/>
    <w:rsid w:val="006F7144"/>
    <w:rsid w:val="006F71EA"/>
    <w:rsid w:val="00700331"/>
    <w:rsid w:val="007011B2"/>
    <w:rsid w:val="007038A5"/>
    <w:rsid w:val="007136C2"/>
    <w:rsid w:val="00713F25"/>
    <w:rsid w:val="007150D6"/>
    <w:rsid w:val="0071601D"/>
    <w:rsid w:val="00721D6A"/>
    <w:rsid w:val="00723899"/>
    <w:rsid w:val="007276E8"/>
    <w:rsid w:val="00731466"/>
    <w:rsid w:val="00733F93"/>
    <w:rsid w:val="00735749"/>
    <w:rsid w:val="00740A4F"/>
    <w:rsid w:val="00745280"/>
    <w:rsid w:val="00750419"/>
    <w:rsid w:val="00760A4B"/>
    <w:rsid w:val="007629DC"/>
    <w:rsid w:val="00762B25"/>
    <w:rsid w:val="00762EF9"/>
    <w:rsid w:val="00765985"/>
    <w:rsid w:val="007716D8"/>
    <w:rsid w:val="00781B7D"/>
    <w:rsid w:val="00783DCE"/>
    <w:rsid w:val="00784812"/>
    <w:rsid w:val="00785276"/>
    <w:rsid w:val="00793E85"/>
    <w:rsid w:val="007A28CB"/>
    <w:rsid w:val="007A3692"/>
    <w:rsid w:val="007A3759"/>
    <w:rsid w:val="007A611C"/>
    <w:rsid w:val="007A62E6"/>
    <w:rsid w:val="007B7777"/>
    <w:rsid w:val="007B79C6"/>
    <w:rsid w:val="007C1F1E"/>
    <w:rsid w:val="007C45E6"/>
    <w:rsid w:val="007C4695"/>
    <w:rsid w:val="007C5F93"/>
    <w:rsid w:val="007C75D2"/>
    <w:rsid w:val="007D3803"/>
    <w:rsid w:val="007D4E7B"/>
    <w:rsid w:val="007D7472"/>
    <w:rsid w:val="007E1533"/>
    <w:rsid w:val="007E2032"/>
    <w:rsid w:val="007E6FAD"/>
    <w:rsid w:val="007E75F7"/>
    <w:rsid w:val="007F1AE4"/>
    <w:rsid w:val="007F3BD7"/>
    <w:rsid w:val="00800F08"/>
    <w:rsid w:val="0080684C"/>
    <w:rsid w:val="00806BA0"/>
    <w:rsid w:val="00807368"/>
    <w:rsid w:val="00810A99"/>
    <w:rsid w:val="0081723B"/>
    <w:rsid w:val="00836742"/>
    <w:rsid w:val="00844439"/>
    <w:rsid w:val="00850492"/>
    <w:rsid w:val="00852BF3"/>
    <w:rsid w:val="008560DB"/>
    <w:rsid w:val="00860E7C"/>
    <w:rsid w:val="008622AD"/>
    <w:rsid w:val="00864E2F"/>
    <w:rsid w:val="00865C97"/>
    <w:rsid w:val="00871C75"/>
    <w:rsid w:val="0087273F"/>
    <w:rsid w:val="008776DC"/>
    <w:rsid w:val="00882D9B"/>
    <w:rsid w:val="0088574B"/>
    <w:rsid w:val="00885C33"/>
    <w:rsid w:val="00887111"/>
    <w:rsid w:val="00887F8C"/>
    <w:rsid w:val="008904C3"/>
    <w:rsid w:val="00892CDB"/>
    <w:rsid w:val="00894F89"/>
    <w:rsid w:val="00895B4C"/>
    <w:rsid w:val="008B11AB"/>
    <w:rsid w:val="008B45A5"/>
    <w:rsid w:val="008B5FCC"/>
    <w:rsid w:val="008B779B"/>
    <w:rsid w:val="008C1CF3"/>
    <w:rsid w:val="008C4955"/>
    <w:rsid w:val="008C4D5E"/>
    <w:rsid w:val="008D041F"/>
    <w:rsid w:val="008D2E14"/>
    <w:rsid w:val="008D60D1"/>
    <w:rsid w:val="008D75C5"/>
    <w:rsid w:val="008E1453"/>
    <w:rsid w:val="008E2720"/>
    <w:rsid w:val="008E2FBA"/>
    <w:rsid w:val="0090025C"/>
    <w:rsid w:val="00911187"/>
    <w:rsid w:val="00916B27"/>
    <w:rsid w:val="009205D0"/>
    <w:rsid w:val="00920DBD"/>
    <w:rsid w:val="0092151A"/>
    <w:rsid w:val="009342F5"/>
    <w:rsid w:val="0094378A"/>
    <w:rsid w:val="00943B75"/>
    <w:rsid w:val="00950F48"/>
    <w:rsid w:val="00957204"/>
    <w:rsid w:val="009576D7"/>
    <w:rsid w:val="0096507D"/>
    <w:rsid w:val="009662D1"/>
    <w:rsid w:val="009705C8"/>
    <w:rsid w:val="00973222"/>
    <w:rsid w:val="00975D7C"/>
    <w:rsid w:val="00986BE8"/>
    <w:rsid w:val="00990210"/>
    <w:rsid w:val="00993959"/>
    <w:rsid w:val="009A486F"/>
    <w:rsid w:val="009B1E6C"/>
    <w:rsid w:val="009B2BB0"/>
    <w:rsid w:val="009B3AA0"/>
    <w:rsid w:val="009C51BE"/>
    <w:rsid w:val="009E2C6A"/>
    <w:rsid w:val="009E4FFC"/>
    <w:rsid w:val="009F106A"/>
    <w:rsid w:val="009F5E1C"/>
    <w:rsid w:val="009F6590"/>
    <w:rsid w:val="009F7E69"/>
    <w:rsid w:val="00A0059F"/>
    <w:rsid w:val="00A04E39"/>
    <w:rsid w:val="00A05146"/>
    <w:rsid w:val="00A051D1"/>
    <w:rsid w:val="00A1143C"/>
    <w:rsid w:val="00A11DCC"/>
    <w:rsid w:val="00A16DB8"/>
    <w:rsid w:val="00A2603C"/>
    <w:rsid w:val="00A303F3"/>
    <w:rsid w:val="00A308FC"/>
    <w:rsid w:val="00A312D0"/>
    <w:rsid w:val="00A437E4"/>
    <w:rsid w:val="00A477A7"/>
    <w:rsid w:val="00A52570"/>
    <w:rsid w:val="00A52C93"/>
    <w:rsid w:val="00A537EC"/>
    <w:rsid w:val="00A54670"/>
    <w:rsid w:val="00A55DA6"/>
    <w:rsid w:val="00A610EA"/>
    <w:rsid w:val="00A61512"/>
    <w:rsid w:val="00A62F0B"/>
    <w:rsid w:val="00A740B7"/>
    <w:rsid w:val="00A74808"/>
    <w:rsid w:val="00A774A2"/>
    <w:rsid w:val="00A81E40"/>
    <w:rsid w:val="00A83D41"/>
    <w:rsid w:val="00A871EC"/>
    <w:rsid w:val="00A9151D"/>
    <w:rsid w:val="00A92D13"/>
    <w:rsid w:val="00AA6A35"/>
    <w:rsid w:val="00AB5D7D"/>
    <w:rsid w:val="00AC3823"/>
    <w:rsid w:val="00AC6B30"/>
    <w:rsid w:val="00AC6BB8"/>
    <w:rsid w:val="00AD1F5D"/>
    <w:rsid w:val="00AD275A"/>
    <w:rsid w:val="00AD4360"/>
    <w:rsid w:val="00AE1EC1"/>
    <w:rsid w:val="00AE2235"/>
    <w:rsid w:val="00AE323C"/>
    <w:rsid w:val="00AE5116"/>
    <w:rsid w:val="00AF3DBD"/>
    <w:rsid w:val="00AF430B"/>
    <w:rsid w:val="00AF6693"/>
    <w:rsid w:val="00B00181"/>
    <w:rsid w:val="00B01575"/>
    <w:rsid w:val="00B02C6A"/>
    <w:rsid w:val="00B11211"/>
    <w:rsid w:val="00B16156"/>
    <w:rsid w:val="00B242DD"/>
    <w:rsid w:val="00B26347"/>
    <w:rsid w:val="00B31C3A"/>
    <w:rsid w:val="00B36D73"/>
    <w:rsid w:val="00B42677"/>
    <w:rsid w:val="00B45245"/>
    <w:rsid w:val="00B521C0"/>
    <w:rsid w:val="00B5279C"/>
    <w:rsid w:val="00B57573"/>
    <w:rsid w:val="00B57BA6"/>
    <w:rsid w:val="00B602EA"/>
    <w:rsid w:val="00B765F7"/>
    <w:rsid w:val="00B8235B"/>
    <w:rsid w:val="00B83E2A"/>
    <w:rsid w:val="00B85A2E"/>
    <w:rsid w:val="00B90B76"/>
    <w:rsid w:val="00B92956"/>
    <w:rsid w:val="00BA0CA9"/>
    <w:rsid w:val="00BA1193"/>
    <w:rsid w:val="00BA6319"/>
    <w:rsid w:val="00BA7352"/>
    <w:rsid w:val="00BB31ED"/>
    <w:rsid w:val="00BB75C6"/>
    <w:rsid w:val="00BC086A"/>
    <w:rsid w:val="00BC325F"/>
    <w:rsid w:val="00BC5403"/>
    <w:rsid w:val="00BD1385"/>
    <w:rsid w:val="00BD2DD9"/>
    <w:rsid w:val="00BD4F63"/>
    <w:rsid w:val="00BD75F3"/>
    <w:rsid w:val="00BE493D"/>
    <w:rsid w:val="00BF02AC"/>
    <w:rsid w:val="00BF1606"/>
    <w:rsid w:val="00BF5E4E"/>
    <w:rsid w:val="00C00146"/>
    <w:rsid w:val="00C01ACF"/>
    <w:rsid w:val="00C01CFC"/>
    <w:rsid w:val="00C02897"/>
    <w:rsid w:val="00C03ED0"/>
    <w:rsid w:val="00C10BC3"/>
    <w:rsid w:val="00C111F7"/>
    <w:rsid w:val="00C1479E"/>
    <w:rsid w:val="00C15A73"/>
    <w:rsid w:val="00C1690E"/>
    <w:rsid w:val="00C23510"/>
    <w:rsid w:val="00C31D85"/>
    <w:rsid w:val="00C344CF"/>
    <w:rsid w:val="00C37BD1"/>
    <w:rsid w:val="00C433B5"/>
    <w:rsid w:val="00C439AD"/>
    <w:rsid w:val="00C44457"/>
    <w:rsid w:val="00C5026A"/>
    <w:rsid w:val="00C611E8"/>
    <w:rsid w:val="00C62F50"/>
    <w:rsid w:val="00C76F28"/>
    <w:rsid w:val="00C777FF"/>
    <w:rsid w:val="00C91537"/>
    <w:rsid w:val="00C946E6"/>
    <w:rsid w:val="00C94D2B"/>
    <w:rsid w:val="00CA0C4F"/>
    <w:rsid w:val="00CA2A95"/>
    <w:rsid w:val="00CA3162"/>
    <w:rsid w:val="00CA393C"/>
    <w:rsid w:val="00CA6A11"/>
    <w:rsid w:val="00CA7BC4"/>
    <w:rsid w:val="00CB16AA"/>
    <w:rsid w:val="00CB631C"/>
    <w:rsid w:val="00CC1AE8"/>
    <w:rsid w:val="00CD0B1C"/>
    <w:rsid w:val="00CD24CE"/>
    <w:rsid w:val="00CD341B"/>
    <w:rsid w:val="00CD5289"/>
    <w:rsid w:val="00CE2599"/>
    <w:rsid w:val="00CE5888"/>
    <w:rsid w:val="00CE6586"/>
    <w:rsid w:val="00CE780B"/>
    <w:rsid w:val="00D03855"/>
    <w:rsid w:val="00D05667"/>
    <w:rsid w:val="00D0624B"/>
    <w:rsid w:val="00D143B2"/>
    <w:rsid w:val="00D14AC8"/>
    <w:rsid w:val="00D21FD5"/>
    <w:rsid w:val="00D31A56"/>
    <w:rsid w:val="00D3439C"/>
    <w:rsid w:val="00D3513E"/>
    <w:rsid w:val="00D3590C"/>
    <w:rsid w:val="00D4732B"/>
    <w:rsid w:val="00D600B0"/>
    <w:rsid w:val="00D73CFC"/>
    <w:rsid w:val="00D744E5"/>
    <w:rsid w:val="00D75E10"/>
    <w:rsid w:val="00D76164"/>
    <w:rsid w:val="00D769CA"/>
    <w:rsid w:val="00D772EA"/>
    <w:rsid w:val="00D82649"/>
    <w:rsid w:val="00D82B23"/>
    <w:rsid w:val="00D83177"/>
    <w:rsid w:val="00D85E61"/>
    <w:rsid w:val="00D868EB"/>
    <w:rsid w:val="00D871A4"/>
    <w:rsid w:val="00D9169B"/>
    <w:rsid w:val="00D97EBE"/>
    <w:rsid w:val="00DA21FD"/>
    <w:rsid w:val="00DB03EF"/>
    <w:rsid w:val="00DB1831"/>
    <w:rsid w:val="00DB554F"/>
    <w:rsid w:val="00DC1DAE"/>
    <w:rsid w:val="00DC597E"/>
    <w:rsid w:val="00DD018E"/>
    <w:rsid w:val="00DD3BFD"/>
    <w:rsid w:val="00DD5744"/>
    <w:rsid w:val="00DE171C"/>
    <w:rsid w:val="00DE31E7"/>
    <w:rsid w:val="00DE3C4B"/>
    <w:rsid w:val="00DE4E80"/>
    <w:rsid w:val="00DF1ECE"/>
    <w:rsid w:val="00DF6678"/>
    <w:rsid w:val="00E16A6B"/>
    <w:rsid w:val="00E20AF2"/>
    <w:rsid w:val="00E22988"/>
    <w:rsid w:val="00E35114"/>
    <w:rsid w:val="00E362FE"/>
    <w:rsid w:val="00E364C9"/>
    <w:rsid w:val="00E40BC9"/>
    <w:rsid w:val="00E40FE2"/>
    <w:rsid w:val="00E43442"/>
    <w:rsid w:val="00E51E68"/>
    <w:rsid w:val="00E52E4F"/>
    <w:rsid w:val="00E558E8"/>
    <w:rsid w:val="00E642C6"/>
    <w:rsid w:val="00E66404"/>
    <w:rsid w:val="00E734D3"/>
    <w:rsid w:val="00E8008C"/>
    <w:rsid w:val="00E818D9"/>
    <w:rsid w:val="00E8277F"/>
    <w:rsid w:val="00E827A2"/>
    <w:rsid w:val="00E83EDC"/>
    <w:rsid w:val="00E85C42"/>
    <w:rsid w:val="00E93E8E"/>
    <w:rsid w:val="00E965B0"/>
    <w:rsid w:val="00EA0D8D"/>
    <w:rsid w:val="00EA0F9B"/>
    <w:rsid w:val="00EA21D5"/>
    <w:rsid w:val="00EA619A"/>
    <w:rsid w:val="00EA76FD"/>
    <w:rsid w:val="00EB12D3"/>
    <w:rsid w:val="00EB2C12"/>
    <w:rsid w:val="00EB413E"/>
    <w:rsid w:val="00EB47FC"/>
    <w:rsid w:val="00EB745A"/>
    <w:rsid w:val="00EC0C1F"/>
    <w:rsid w:val="00EC30D5"/>
    <w:rsid w:val="00ED2FC6"/>
    <w:rsid w:val="00ED428D"/>
    <w:rsid w:val="00ED53EF"/>
    <w:rsid w:val="00EE03FD"/>
    <w:rsid w:val="00EE1BD4"/>
    <w:rsid w:val="00EE1C98"/>
    <w:rsid w:val="00EF62F5"/>
    <w:rsid w:val="00F03006"/>
    <w:rsid w:val="00F043A7"/>
    <w:rsid w:val="00F07311"/>
    <w:rsid w:val="00F12152"/>
    <w:rsid w:val="00F2328C"/>
    <w:rsid w:val="00F23A9F"/>
    <w:rsid w:val="00F261FA"/>
    <w:rsid w:val="00F31297"/>
    <w:rsid w:val="00F52CE9"/>
    <w:rsid w:val="00F572EE"/>
    <w:rsid w:val="00F6365D"/>
    <w:rsid w:val="00F660DF"/>
    <w:rsid w:val="00F66C95"/>
    <w:rsid w:val="00F67CB5"/>
    <w:rsid w:val="00F734E6"/>
    <w:rsid w:val="00F74C89"/>
    <w:rsid w:val="00F83220"/>
    <w:rsid w:val="00F83636"/>
    <w:rsid w:val="00F860A4"/>
    <w:rsid w:val="00F9225A"/>
    <w:rsid w:val="00F95C08"/>
    <w:rsid w:val="00F9737C"/>
    <w:rsid w:val="00FA190C"/>
    <w:rsid w:val="00FA1A1E"/>
    <w:rsid w:val="00FA1D56"/>
    <w:rsid w:val="00FA32C8"/>
    <w:rsid w:val="00FB369F"/>
    <w:rsid w:val="00FB7949"/>
    <w:rsid w:val="00FC3A4E"/>
    <w:rsid w:val="00FC43C7"/>
    <w:rsid w:val="00FC475E"/>
    <w:rsid w:val="00FC66C6"/>
    <w:rsid w:val="00FC6929"/>
    <w:rsid w:val="00FD4A11"/>
    <w:rsid w:val="00FD55D1"/>
    <w:rsid w:val="00FD57A3"/>
    <w:rsid w:val="00FE27A9"/>
    <w:rsid w:val="00FE460D"/>
    <w:rsid w:val="00FE779E"/>
    <w:rsid w:val="00FF2D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959A4D"/>
  <w15:docId w15:val="{8BA914BB-9DFD-4BA1-91AA-C21CFBFE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Texto de nota al pie"/>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10779"/>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FC66C6"/>
    <w:rPr>
      <w:sz w:val="16"/>
      <w:szCs w:val="16"/>
    </w:rPr>
  </w:style>
  <w:style w:type="paragraph" w:styleId="CommentText">
    <w:name w:val="annotation text"/>
    <w:basedOn w:val="Normal"/>
    <w:link w:val="CommentTextChar"/>
    <w:uiPriority w:val="99"/>
    <w:semiHidden/>
    <w:unhideWhenUsed/>
    <w:rsid w:val="00FC66C6"/>
    <w:pPr>
      <w:spacing w:line="240" w:lineRule="auto"/>
    </w:pPr>
  </w:style>
  <w:style w:type="character" w:customStyle="1" w:styleId="CommentTextChar">
    <w:name w:val="Comment Text Char"/>
    <w:basedOn w:val="DefaultParagraphFont"/>
    <w:link w:val="CommentText"/>
    <w:uiPriority w:val="99"/>
    <w:semiHidden/>
    <w:rsid w:val="00FC66C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C66C6"/>
    <w:rPr>
      <w:b/>
      <w:bCs/>
    </w:rPr>
  </w:style>
  <w:style w:type="character" w:customStyle="1" w:styleId="CommentSubjectChar">
    <w:name w:val="Comment Subject Char"/>
    <w:basedOn w:val="CommentTextChar"/>
    <w:link w:val="CommentSubject"/>
    <w:uiPriority w:val="99"/>
    <w:semiHidden/>
    <w:rsid w:val="00FC66C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91068">
      <w:bodyDiv w:val="1"/>
      <w:marLeft w:val="0"/>
      <w:marRight w:val="0"/>
      <w:marTop w:val="0"/>
      <w:marBottom w:val="0"/>
      <w:divBdr>
        <w:top w:val="none" w:sz="0" w:space="0" w:color="auto"/>
        <w:left w:val="none" w:sz="0" w:space="0" w:color="auto"/>
        <w:bottom w:val="none" w:sz="0" w:space="0" w:color="auto"/>
        <w:right w:val="none" w:sz="0" w:space="0" w:color="auto"/>
      </w:divBdr>
      <w:divsChild>
        <w:div w:id="1490712423">
          <w:marLeft w:val="0"/>
          <w:marRight w:val="0"/>
          <w:marTop w:val="0"/>
          <w:marBottom w:val="0"/>
          <w:divBdr>
            <w:top w:val="none" w:sz="0" w:space="0" w:color="auto"/>
            <w:left w:val="none" w:sz="0" w:space="0" w:color="auto"/>
            <w:bottom w:val="none" w:sz="0" w:space="0" w:color="auto"/>
            <w:right w:val="none" w:sz="0" w:space="0" w:color="auto"/>
          </w:divBdr>
          <w:divsChild>
            <w:div w:id="1937398426">
              <w:marLeft w:val="0"/>
              <w:marRight w:val="0"/>
              <w:marTop w:val="0"/>
              <w:marBottom w:val="0"/>
              <w:divBdr>
                <w:top w:val="none" w:sz="0" w:space="0" w:color="auto"/>
                <w:left w:val="none" w:sz="0" w:space="0" w:color="auto"/>
                <w:bottom w:val="none" w:sz="0" w:space="0" w:color="auto"/>
                <w:right w:val="none" w:sz="0" w:space="0" w:color="auto"/>
              </w:divBdr>
              <w:divsChild>
                <w:div w:id="1540316106">
                  <w:marLeft w:val="0"/>
                  <w:marRight w:val="0"/>
                  <w:marTop w:val="0"/>
                  <w:marBottom w:val="0"/>
                  <w:divBdr>
                    <w:top w:val="none" w:sz="0" w:space="0" w:color="auto"/>
                    <w:left w:val="none" w:sz="0" w:space="0" w:color="auto"/>
                    <w:bottom w:val="none" w:sz="0" w:space="0" w:color="auto"/>
                    <w:right w:val="none" w:sz="0" w:space="0" w:color="auto"/>
                  </w:divBdr>
                  <w:divsChild>
                    <w:div w:id="1927302579">
                      <w:marLeft w:val="0"/>
                      <w:marRight w:val="0"/>
                      <w:marTop w:val="0"/>
                      <w:marBottom w:val="0"/>
                      <w:divBdr>
                        <w:top w:val="none" w:sz="0" w:space="0" w:color="auto"/>
                        <w:left w:val="none" w:sz="0" w:space="0" w:color="auto"/>
                        <w:bottom w:val="none" w:sz="0" w:space="0" w:color="auto"/>
                        <w:right w:val="none" w:sz="0" w:space="0" w:color="auto"/>
                      </w:divBdr>
                      <w:divsChild>
                        <w:div w:id="1569536767">
                          <w:marLeft w:val="0"/>
                          <w:marRight w:val="0"/>
                          <w:marTop w:val="0"/>
                          <w:marBottom w:val="0"/>
                          <w:divBdr>
                            <w:top w:val="none" w:sz="0" w:space="0" w:color="auto"/>
                            <w:left w:val="none" w:sz="0" w:space="0" w:color="auto"/>
                            <w:bottom w:val="none" w:sz="0" w:space="0" w:color="auto"/>
                            <w:right w:val="none" w:sz="0" w:space="0" w:color="auto"/>
                          </w:divBdr>
                          <w:divsChild>
                            <w:div w:id="1978485414">
                              <w:marLeft w:val="0"/>
                              <w:marRight w:val="0"/>
                              <w:marTop w:val="0"/>
                              <w:marBottom w:val="0"/>
                              <w:divBdr>
                                <w:top w:val="none" w:sz="0" w:space="0" w:color="auto"/>
                                <w:left w:val="none" w:sz="0" w:space="0" w:color="auto"/>
                                <w:bottom w:val="none" w:sz="0" w:space="0" w:color="auto"/>
                                <w:right w:val="none" w:sz="0" w:space="0" w:color="auto"/>
                              </w:divBdr>
                              <w:divsChild>
                                <w:div w:id="1084497024">
                                  <w:marLeft w:val="0"/>
                                  <w:marRight w:val="0"/>
                                  <w:marTop w:val="0"/>
                                  <w:marBottom w:val="0"/>
                                  <w:divBdr>
                                    <w:top w:val="none" w:sz="0" w:space="0" w:color="auto"/>
                                    <w:left w:val="none" w:sz="0" w:space="0" w:color="auto"/>
                                    <w:bottom w:val="none" w:sz="0" w:space="0" w:color="auto"/>
                                    <w:right w:val="none" w:sz="0" w:space="0" w:color="auto"/>
                                  </w:divBdr>
                                  <w:divsChild>
                                    <w:div w:id="1862012403">
                                      <w:marLeft w:val="0"/>
                                      <w:marRight w:val="0"/>
                                      <w:marTop w:val="0"/>
                                      <w:marBottom w:val="0"/>
                                      <w:divBdr>
                                        <w:top w:val="none" w:sz="0" w:space="0" w:color="auto"/>
                                        <w:left w:val="none" w:sz="0" w:space="0" w:color="auto"/>
                                        <w:bottom w:val="none" w:sz="0" w:space="0" w:color="auto"/>
                                        <w:right w:val="none" w:sz="0" w:space="0" w:color="auto"/>
                                      </w:divBdr>
                                      <w:divsChild>
                                        <w:div w:id="415128128">
                                          <w:marLeft w:val="0"/>
                                          <w:marRight w:val="0"/>
                                          <w:marTop w:val="0"/>
                                          <w:marBottom w:val="495"/>
                                          <w:divBdr>
                                            <w:top w:val="none" w:sz="0" w:space="0" w:color="auto"/>
                                            <w:left w:val="none" w:sz="0" w:space="0" w:color="auto"/>
                                            <w:bottom w:val="none" w:sz="0" w:space="0" w:color="auto"/>
                                            <w:right w:val="none" w:sz="0" w:space="0" w:color="auto"/>
                                          </w:divBdr>
                                          <w:divsChild>
                                            <w:div w:id="1620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8AC3-6948-4A34-8031-001577A7D8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42D295-F051-474E-B4ED-FCBD91BC470E}"/>
</file>

<file path=customXml/itemProps3.xml><?xml version="1.0" encoding="utf-8"?>
<ds:datastoreItem xmlns:ds="http://schemas.openxmlformats.org/officeDocument/2006/customXml" ds:itemID="{9B952953-D06C-4C6B-93B1-9493A57E0067}">
  <ds:schemaRefs>
    <ds:schemaRef ds:uri="http://schemas.microsoft.com/sharepoint/v3/contenttype/forms"/>
  </ds:schemaRefs>
</ds:datastoreItem>
</file>

<file path=customXml/itemProps4.xml><?xml version="1.0" encoding="utf-8"?>
<ds:datastoreItem xmlns:ds="http://schemas.openxmlformats.org/officeDocument/2006/customXml" ds:itemID="{11610BD9-ABBB-4AE6-AD78-4C6730F4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11</Pages>
  <Words>6391</Words>
  <Characters>36433</Characters>
  <Application>Microsoft Office Word</Application>
  <DocSecurity>0</DocSecurity>
  <Lines>303</Lines>
  <Paragraphs>85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CCPR/C/128/DR/3082/2017</vt:lpstr>
      <vt:lpstr>CCPR/C/128/DR/3082/2017</vt:lpstr>
      <vt:lpstr>CCPR/C/122/D/2398/2014</vt:lpstr>
    </vt:vector>
  </TitlesOfParts>
  <Company>DCM</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CCPR/C/128/DR/3082/2017</dc:title>
  <dc:subject>qrcode</dc:subject>
  <dc:creator>dvx</dc:creator>
  <cp:keywords/>
  <dc:description/>
  <cp:lastModifiedBy>ABDELAZIM Mohamed</cp:lastModifiedBy>
  <cp:revision>6</cp:revision>
  <cp:lastPrinted>2020-07-27T19:08:00Z</cp:lastPrinted>
  <dcterms:created xsi:type="dcterms:W3CDTF">2020-04-03T15:46:00Z</dcterms:created>
  <dcterms:modified xsi:type="dcterms:W3CDTF">2020-07-27T19:08:00Z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