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Default="00165C15" w:rsidP="00F603F4">
            <w:pPr>
              <w:spacing w:after="80"/>
            </w:pPr>
          </w:p>
        </w:tc>
        <w:tc>
          <w:tcPr>
            <w:tcW w:w="2268" w:type="dxa"/>
            <w:tcBorders>
              <w:bottom w:val="single" w:sz="4" w:space="0" w:color="auto"/>
            </w:tcBorders>
            <w:vAlign w:val="bottom"/>
          </w:tcPr>
          <w:p w14:paraId="5572A416" w14:textId="77777777" w:rsidR="00165C15" w:rsidRPr="00B97172" w:rsidRDefault="00165C15" w:rsidP="00F603F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72A417" w14:textId="2DC4A221" w:rsidR="00165C15" w:rsidRPr="006A31AE" w:rsidRDefault="006A31AE" w:rsidP="00336B9B">
            <w:pPr>
              <w:suppressAutoHyphens w:val="0"/>
              <w:spacing w:after="20"/>
              <w:jc w:val="right"/>
              <w:rPr>
                <w:sz w:val="40"/>
              </w:rPr>
            </w:pPr>
            <w:r w:rsidRPr="006A31AE">
              <w:rPr>
                <w:sz w:val="40"/>
              </w:rPr>
              <w:t>CCPR</w:t>
            </w:r>
            <w:r>
              <w:t>/C/</w:t>
            </w:r>
            <w:r w:rsidR="00817E90">
              <w:t>125</w:t>
            </w:r>
            <w:r w:rsidRPr="00466CBC">
              <w:t>/</w:t>
            </w:r>
            <w:r>
              <w:t>D/</w:t>
            </w:r>
            <w:r w:rsidR="00817E90">
              <w:t>2720</w:t>
            </w:r>
            <w:r>
              <w:t>/</w:t>
            </w:r>
            <w:r w:rsidR="00817E90">
              <w:t>2016</w:t>
            </w:r>
          </w:p>
        </w:tc>
      </w:tr>
      <w:tr w:rsidR="00165C15" w14:paraId="5572A420" w14:textId="77777777" w:rsidTr="00F603F4">
        <w:trPr>
          <w:cantSplit/>
          <w:trHeight w:hRule="exact" w:val="2835"/>
        </w:trPr>
        <w:tc>
          <w:tcPr>
            <w:tcW w:w="1276" w:type="dxa"/>
            <w:tcBorders>
              <w:top w:val="single" w:sz="4" w:space="0" w:color="auto"/>
              <w:bottom w:val="single" w:sz="12" w:space="0" w:color="auto"/>
            </w:tcBorders>
          </w:tcPr>
          <w:p w14:paraId="5572A419" w14:textId="77777777" w:rsidR="00165C15" w:rsidRDefault="00165C15" w:rsidP="00F603F4">
            <w:pPr>
              <w:spacing w:before="120"/>
            </w:pPr>
            <w:r>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6BE5AC" w14:textId="77777777" w:rsidR="00165C15" w:rsidRDefault="00165C15" w:rsidP="00F603F4">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4BAD2ACB" w14:textId="77777777" w:rsidR="00336B9B" w:rsidRDefault="00336B9B" w:rsidP="00F603F4">
            <w:pPr>
              <w:spacing w:before="120" w:line="380" w:lineRule="exact"/>
              <w:rPr>
                <w:b/>
                <w:sz w:val="34"/>
                <w:szCs w:val="40"/>
              </w:rPr>
            </w:pPr>
          </w:p>
          <w:p w14:paraId="5572A41A" w14:textId="4BC8FCDA" w:rsidR="00336B9B" w:rsidRPr="00267F5F" w:rsidRDefault="00336B9B" w:rsidP="00F603F4">
            <w:pPr>
              <w:spacing w:before="120" w:line="380" w:lineRule="exact"/>
              <w:rPr>
                <w:sz w:val="34"/>
              </w:rPr>
            </w:pPr>
            <w:r w:rsidRPr="000921E9">
              <w:rPr>
                <w:sz w:val="34"/>
                <w:szCs w:val="40"/>
              </w:rPr>
              <w:t>Advance unedited version</w:t>
            </w:r>
          </w:p>
        </w:tc>
        <w:tc>
          <w:tcPr>
            <w:tcW w:w="2835" w:type="dxa"/>
            <w:tcBorders>
              <w:top w:val="single" w:sz="4" w:space="0" w:color="auto"/>
              <w:bottom w:val="single" w:sz="12" w:space="0" w:color="auto"/>
            </w:tcBorders>
          </w:tcPr>
          <w:p w14:paraId="43B511B0" w14:textId="31404C16" w:rsidR="005770D7" w:rsidRDefault="006A31AE" w:rsidP="005770D7">
            <w:pPr>
              <w:suppressAutoHyphens w:val="0"/>
              <w:spacing w:before="240" w:line="240" w:lineRule="exact"/>
            </w:pPr>
            <w:r>
              <w:t xml:space="preserve">Distr.: </w:t>
            </w:r>
            <w:r w:rsidR="00336B9B">
              <w:t>General</w:t>
            </w:r>
          </w:p>
          <w:p w14:paraId="5572A41C" w14:textId="11327D07" w:rsidR="006A31AE" w:rsidRPr="003125C4" w:rsidRDefault="00F93E79" w:rsidP="00B94399">
            <w:pPr>
              <w:suppressAutoHyphens w:val="0"/>
              <w:spacing w:line="240" w:lineRule="exact"/>
            </w:pPr>
            <w:r>
              <w:t>29</w:t>
            </w:r>
            <w:r w:rsidR="00120971">
              <w:t xml:space="preserve"> </w:t>
            </w:r>
            <w:r w:rsidR="00336B9B">
              <w:t>April</w:t>
            </w:r>
            <w:r w:rsidR="003125C4" w:rsidRPr="003125C4">
              <w:t xml:space="preserve"> 2019</w:t>
            </w:r>
          </w:p>
          <w:p w14:paraId="5572A41D" w14:textId="77777777" w:rsidR="006A31AE" w:rsidRDefault="006A31AE" w:rsidP="00F603F4">
            <w:pPr>
              <w:suppressAutoHyphens w:val="0"/>
            </w:pPr>
          </w:p>
          <w:p w14:paraId="5572A41E" w14:textId="77777777" w:rsidR="006A31AE" w:rsidRDefault="006A31AE" w:rsidP="00F603F4">
            <w:pPr>
              <w:suppressAutoHyphens w:val="0"/>
            </w:pPr>
            <w:r>
              <w:t>Original: English</w:t>
            </w:r>
          </w:p>
          <w:p w14:paraId="5572A41F" w14:textId="58F31FBA" w:rsidR="006A31AE" w:rsidRDefault="006A31AE" w:rsidP="00F603F4">
            <w:pPr>
              <w:suppressAutoHyphens w:val="0"/>
            </w:pPr>
          </w:p>
        </w:tc>
      </w:tr>
    </w:tbl>
    <w:p w14:paraId="5572A421" w14:textId="77777777" w:rsidR="006A31AE" w:rsidRPr="007E2028" w:rsidRDefault="006A31AE" w:rsidP="006A31AE">
      <w:pPr>
        <w:spacing w:before="120"/>
        <w:rPr>
          <w:b/>
          <w:bCs/>
          <w:sz w:val="24"/>
        </w:rPr>
      </w:pPr>
      <w:r w:rsidRPr="007E2028">
        <w:rPr>
          <w:b/>
          <w:bCs/>
          <w:sz w:val="24"/>
        </w:rPr>
        <w:t>Human Rights Committee</w:t>
      </w:r>
    </w:p>
    <w:p w14:paraId="5572A427" w14:textId="4E997C1C" w:rsidR="006A31AE" w:rsidRPr="007E2028" w:rsidRDefault="006A31AE" w:rsidP="006A31AE">
      <w:pPr>
        <w:rPr>
          <w:b/>
          <w:bCs/>
        </w:rPr>
      </w:pPr>
    </w:p>
    <w:p w14:paraId="5572A429" w14:textId="195B7090" w:rsidR="006A31AE" w:rsidRPr="002F3906" w:rsidRDefault="006A31AE" w:rsidP="006A31AE">
      <w:pPr>
        <w:pStyle w:val="H1G"/>
        <w:rPr>
          <w:rFonts w:eastAsia="MS Mincho"/>
        </w:rPr>
      </w:pPr>
      <w:r w:rsidRPr="002F3906">
        <w:rPr>
          <w:rFonts w:eastAsia="MS Mincho"/>
        </w:rPr>
        <w:tab/>
      </w:r>
      <w:r w:rsidRPr="002F3906">
        <w:rPr>
          <w:rFonts w:eastAsia="MS Mincho"/>
        </w:rPr>
        <w:tab/>
      </w:r>
      <w:r w:rsidR="00336B9B" w:rsidRPr="00730415">
        <w:t>Views adopted by the Committee under article 5</w:t>
      </w:r>
      <w:r w:rsidR="00336B9B">
        <w:t xml:space="preserve"> </w:t>
      </w:r>
      <w:r w:rsidR="00336B9B" w:rsidRPr="00730415">
        <w:t xml:space="preserve">(4) of the Optional Protocol, concerning communication No. </w:t>
      </w:r>
      <w:r w:rsidR="00336B9B">
        <w:t>2</w:t>
      </w:r>
      <w:r w:rsidR="005303EF">
        <w:t>720</w:t>
      </w:r>
      <w:r w:rsidR="00336B9B">
        <w:t>/201</w:t>
      </w:r>
      <w:r w:rsidR="005303EF">
        <w:t>6</w:t>
      </w:r>
      <w:r w:rsidR="00336B9B" w:rsidRPr="00F3067C">
        <w:rPr>
          <w:rStyle w:val="FootnoteReference"/>
          <w:b w:val="0"/>
          <w:sz w:val="20"/>
        </w:rPr>
        <w:footnoteReference w:customMarkFollows="1" w:id="1"/>
        <w:t>*</w:t>
      </w:r>
      <w:r w:rsidR="00336B9B" w:rsidRPr="00F3067C">
        <w:rPr>
          <w:rStyle w:val="FootnoteReference"/>
          <w:b w:val="0"/>
          <w:position w:val="6"/>
        </w:rPr>
        <w:t>,</w:t>
      </w:r>
      <w:r w:rsidR="00336B9B" w:rsidRPr="00F3067C">
        <w:rPr>
          <w:rStyle w:val="FootnoteReference"/>
          <w:b w:val="0"/>
          <w:sz w:val="20"/>
        </w:rPr>
        <w:footnoteReference w:customMarkFollows="1" w:id="2"/>
        <w:t>**</w:t>
      </w:r>
      <w:r w:rsidR="00336B9B">
        <w:rPr>
          <w:rFonts w:eastAsia="MS Mincho"/>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31AE" w14:paraId="5572A42C" w14:textId="77777777" w:rsidTr="003E6FE6">
        <w:tc>
          <w:tcPr>
            <w:tcW w:w="3119" w:type="dxa"/>
          </w:tcPr>
          <w:p w14:paraId="5572A42A" w14:textId="77777777" w:rsidR="006A31AE" w:rsidRDefault="006A31AE" w:rsidP="005553FD">
            <w:pPr>
              <w:pStyle w:val="SingleTxtG"/>
              <w:ind w:left="0" w:right="0"/>
              <w:jc w:val="left"/>
              <w:rPr>
                <w:i/>
              </w:rPr>
            </w:pPr>
            <w:r w:rsidRPr="007F4B1A">
              <w:rPr>
                <w:i/>
              </w:rPr>
              <w:t>Communication submitted by:</w:t>
            </w:r>
          </w:p>
        </w:tc>
        <w:tc>
          <w:tcPr>
            <w:tcW w:w="3685" w:type="dxa"/>
          </w:tcPr>
          <w:p w14:paraId="5572A42B" w14:textId="70EABD87" w:rsidR="006A31AE" w:rsidRPr="00395056" w:rsidRDefault="00395056" w:rsidP="00395056">
            <w:pPr>
              <w:pStyle w:val="SingleTxtG"/>
              <w:ind w:left="0" w:right="0"/>
              <w:jc w:val="left"/>
            </w:pPr>
            <w:proofErr w:type="spellStart"/>
            <w:r w:rsidRPr="00395056">
              <w:t>Vitaly</w:t>
            </w:r>
            <w:proofErr w:type="spellEnd"/>
            <w:r w:rsidRPr="00395056">
              <w:t xml:space="preserve"> </w:t>
            </w:r>
            <w:proofErr w:type="spellStart"/>
            <w:r w:rsidRPr="00395056">
              <w:t>Amelkovich</w:t>
            </w:r>
            <w:proofErr w:type="spellEnd"/>
            <w:r w:rsidRPr="00395056">
              <w:t xml:space="preserve"> </w:t>
            </w:r>
            <w:r w:rsidR="006A31AE" w:rsidRPr="00395056">
              <w:t>(not represented by counsel)</w:t>
            </w:r>
          </w:p>
        </w:tc>
      </w:tr>
      <w:tr w:rsidR="006A31AE" w14:paraId="5572A42F" w14:textId="77777777" w:rsidTr="003E6FE6">
        <w:tc>
          <w:tcPr>
            <w:tcW w:w="3119" w:type="dxa"/>
          </w:tcPr>
          <w:p w14:paraId="5572A42D" w14:textId="77777777" w:rsidR="006A31AE" w:rsidRPr="00FD511F" w:rsidRDefault="006A31AE" w:rsidP="005553FD">
            <w:pPr>
              <w:pStyle w:val="SingleTxtG"/>
              <w:ind w:left="0" w:right="0"/>
              <w:jc w:val="left"/>
              <w:rPr>
                <w:i/>
              </w:rPr>
            </w:pPr>
            <w:r>
              <w:rPr>
                <w:i/>
              </w:rPr>
              <w:t>Alleged victim</w:t>
            </w:r>
            <w:r w:rsidRPr="00FD511F">
              <w:rPr>
                <w:i/>
              </w:rPr>
              <w:t>:</w:t>
            </w:r>
          </w:p>
        </w:tc>
        <w:tc>
          <w:tcPr>
            <w:tcW w:w="3685" w:type="dxa"/>
          </w:tcPr>
          <w:p w14:paraId="5572A42E" w14:textId="77777777" w:rsidR="006A31AE" w:rsidRPr="00395056" w:rsidRDefault="006A31AE" w:rsidP="005553FD">
            <w:pPr>
              <w:pStyle w:val="SingleTxtG"/>
              <w:ind w:left="0" w:right="0"/>
              <w:jc w:val="left"/>
            </w:pPr>
            <w:r w:rsidRPr="00395056">
              <w:t>The author</w:t>
            </w:r>
          </w:p>
        </w:tc>
      </w:tr>
      <w:tr w:rsidR="006A31AE" w14:paraId="5572A432" w14:textId="77777777" w:rsidTr="003E6FE6">
        <w:tc>
          <w:tcPr>
            <w:tcW w:w="3119" w:type="dxa"/>
          </w:tcPr>
          <w:p w14:paraId="5572A430" w14:textId="77777777" w:rsidR="006A31AE" w:rsidRPr="00FD511F" w:rsidRDefault="006A31AE" w:rsidP="005553FD">
            <w:pPr>
              <w:pStyle w:val="SingleTxtG"/>
              <w:ind w:left="0" w:right="0"/>
              <w:jc w:val="left"/>
              <w:rPr>
                <w:i/>
              </w:rPr>
            </w:pPr>
            <w:r>
              <w:rPr>
                <w:i/>
              </w:rPr>
              <w:t>State party</w:t>
            </w:r>
            <w:r w:rsidRPr="00FD511F">
              <w:rPr>
                <w:i/>
              </w:rPr>
              <w:t>:</w:t>
            </w:r>
          </w:p>
        </w:tc>
        <w:tc>
          <w:tcPr>
            <w:tcW w:w="3685" w:type="dxa"/>
          </w:tcPr>
          <w:p w14:paraId="5572A431" w14:textId="2BB4DA18" w:rsidR="006A31AE" w:rsidRPr="00395056" w:rsidRDefault="00395056" w:rsidP="005553FD">
            <w:pPr>
              <w:pStyle w:val="SingleTxtG"/>
              <w:ind w:left="0" w:right="0"/>
              <w:jc w:val="left"/>
            </w:pPr>
            <w:r w:rsidRPr="00395056">
              <w:t>Belarus</w:t>
            </w:r>
          </w:p>
        </w:tc>
      </w:tr>
      <w:tr w:rsidR="006A31AE" w14:paraId="5572A435" w14:textId="77777777" w:rsidTr="003E6FE6">
        <w:tc>
          <w:tcPr>
            <w:tcW w:w="3119" w:type="dxa"/>
          </w:tcPr>
          <w:p w14:paraId="5572A433" w14:textId="77777777" w:rsidR="006A31AE" w:rsidRPr="006F1AA2" w:rsidRDefault="006A31AE" w:rsidP="005553FD">
            <w:pPr>
              <w:pStyle w:val="SingleTxtG"/>
              <w:ind w:left="0" w:right="0"/>
              <w:jc w:val="left"/>
              <w:rPr>
                <w:i/>
              </w:rPr>
            </w:pPr>
            <w:r w:rsidRPr="006F1AA2">
              <w:rPr>
                <w:i/>
              </w:rPr>
              <w:t>Date of communication:</w:t>
            </w:r>
          </w:p>
        </w:tc>
        <w:tc>
          <w:tcPr>
            <w:tcW w:w="3685" w:type="dxa"/>
          </w:tcPr>
          <w:p w14:paraId="5572A434" w14:textId="1436ACBB" w:rsidR="006A31AE" w:rsidRPr="006F1AA2" w:rsidRDefault="006F1AA2" w:rsidP="006F1AA2">
            <w:pPr>
              <w:spacing w:after="120"/>
            </w:pPr>
            <w:r w:rsidRPr="006F1AA2">
              <w:t xml:space="preserve">5 June 2013 </w:t>
            </w:r>
            <w:r w:rsidR="006A31AE" w:rsidRPr="006F1AA2">
              <w:t>(initial submission)</w:t>
            </w:r>
          </w:p>
        </w:tc>
      </w:tr>
      <w:tr w:rsidR="006A31AE" w14:paraId="5572A438" w14:textId="77777777" w:rsidTr="003E6FE6">
        <w:tc>
          <w:tcPr>
            <w:tcW w:w="3119" w:type="dxa"/>
          </w:tcPr>
          <w:p w14:paraId="5572A436" w14:textId="77777777" w:rsidR="006A31AE" w:rsidRPr="00FD511F" w:rsidRDefault="006A31AE" w:rsidP="005553FD">
            <w:pPr>
              <w:pStyle w:val="SingleTxtG"/>
              <w:ind w:left="0" w:right="0"/>
              <w:jc w:val="left"/>
              <w:rPr>
                <w:i/>
              </w:rPr>
            </w:pPr>
            <w:r>
              <w:rPr>
                <w:i/>
              </w:rPr>
              <w:t>Document references</w:t>
            </w:r>
            <w:r w:rsidRPr="00FD511F">
              <w:rPr>
                <w:i/>
              </w:rPr>
              <w:t>:</w:t>
            </w:r>
          </w:p>
        </w:tc>
        <w:tc>
          <w:tcPr>
            <w:tcW w:w="3685" w:type="dxa"/>
          </w:tcPr>
          <w:p w14:paraId="5572A437" w14:textId="25395386" w:rsidR="006A31AE" w:rsidRDefault="006A31AE" w:rsidP="006F1AA2">
            <w:pPr>
              <w:pStyle w:val="SingleTxtG"/>
              <w:ind w:left="0" w:right="0"/>
              <w:jc w:val="left"/>
            </w:pPr>
            <w:r w:rsidRPr="002F3906">
              <w:t xml:space="preserve">Decision taken pursuant to rule 97 of the Committee’s rules of procedure, transmitted to the State party on </w:t>
            </w:r>
            <w:r w:rsidR="006F1AA2">
              <w:t>1 February 2016</w:t>
            </w:r>
            <w:r w:rsidRPr="007A5A59">
              <w:rPr>
                <w:color w:val="FF0000"/>
              </w:rPr>
              <w:t xml:space="preserve"> </w:t>
            </w:r>
            <w:r w:rsidRPr="002F3906">
              <w:t>(not issued in document form)</w:t>
            </w:r>
          </w:p>
        </w:tc>
      </w:tr>
      <w:tr w:rsidR="006A31AE" w14:paraId="5572A43B" w14:textId="77777777" w:rsidTr="003E6FE6">
        <w:tc>
          <w:tcPr>
            <w:tcW w:w="3119" w:type="dxa"/>
          </w:tcPr>
          <w:p w14:paraId="5572A439" w14:textId="77777777" w:rsidR="006A31AE" w:rsidRPr="00FD511F" w:rsidRDefault="006A31AE" w:rsidP="005553F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14:paraId="5572A43A" w14:textId="63F9F444" w:rsidR="006A31AE" w:rsidRDefault="009E52FD" w:rsidP="00433417">
            <w:pPr>
              <w:pStyle w:val="SingleTxtG"/>
              <w:ind w:left="0" w:right="0"/>
              <w:jc w:val="left"/>
            </w:pPr>
            <w:r>
              <w:t>2</w:t>
            </w:r>
            <w:r w:rsidR="00433417">
              <w:t>9</w:t>
            </w:r>
            <w:r w:rsidR="006F1AA2" w:rsidRPr="003125C4">
              <w:t xml:space="preserve"> March 2019</w:t>
            </w:r>
          </w:p>
        </w:tc>
      </w:tr>
      <w:tr w:rsidR="006A31AE" w14:paraId="5572A43E" w14:textId="77777777" w:rsidTr="003E6FE6">
        <w:tc>
          <w:tcPr>
            <w:tcW w:w="3119" w:type="dxa"/>
          </w:tcPr>
          <w:p w14:paraId="5572A43C" w14:textId="77777777" w:rsidR="006A31AE" w:rsidRPr="00FD511F" w:rsidRDefault="006A31AE" w:rsidP="005553FD">
            <w:pPr>
              <w:pStyle w:val="SingleTxtG"/>
              <w:ind w:left="0" w:right="0"/>
              <w:jc w:val="left"/>
              <w:rPr>
                <w:i/>
              </w:rPr>
            </w:pPr>
            <w:r>
              <w:rPr>
                <w:i/>
                <w:iCs/>
              </w:rPr>
              <w:t>Subject matter:</w:t>
            </w:r>
          </w:p>
        </w:tc>
        <w:tc>
          <w:tcPr>
            <w:tcW w:w="3685" w:type="dxa"/>
          </w:tcPr>
          <w:p w14:paraId="5572A43D" w14:textId="306ACC48" w:rsidR="006A31AE" w:rsidRPr="008D1EBF" w:rsidRDefault="008D1EBF" w:rsidP="008D1EBF">
            <w:pPr>
              <w:pStyle w:val="SingleTxtG"/>
              <w:ind w:left="0" w:right="0"/>
              <w:jc w:val="left"/>
            </w:pPr>
            <w:r w:rsidRPr="008D1EBF">
              <w:t>Refusal of authorization to hold a peaceful assembly; freedom of expression</w:t>
            </w:r>
          </w:p>
        </w:tc>
      </w:tr>
      <w:tr w:rsidR="006A31AE" w14:paraId="5572A441" w14:textId="77777777" w:rsidTr="003E6FE6">
        <w:tc>
          <w:tcPr>
            <w:tcW w:w="3119" w:type="dxa"/>
          </w:tcPr>
          <w:p w14:paraId="5572A43F" w14:textId="315B0A5F" w:rsidR="006A31AE" w:rsidRPr="00520464" w:rsidRDefault="00E9523D" w:rsidP="005553FD">
            <w:pPr>
              <w:pStyle w:val="SingleTxtG"/>
              <w:ind w:left="0" w:right="0"/>
              <w:jc w:val="left"/>
              <w:rPr>
                <w:i/>
                <w:iCs/>
              </w:rPr>
            </w:pPr>
            <w:r>
              <w:rPr>
                <w:i/>
                <w:iCs/>
              </w:rPr>
              <w:t>Procedural issue</w:t>
            </w:r>
            <w:r w:rsidR="006A31AE">
              <w:rPr>
                <w:i/>
              </w:rPr>
              <w:t>:</w:t>
            </w:r>
          </w:p>
        </w:tc>
        <w:tc>
          <w:tcPr>
            <w:tcW w:w="3685" w:type="dxa"/>
          </w:tcPr>
          <w:p w14:paraId="5572A440" w14:textId="15580CFB" w:rsidR="006A31AE" w:rsidRDefault="00E9523D" w:rsidP="005553FD">
            <w:pPr>
              <w:pStyle w:val="SingleTxtG"/>
              <w:ind w:left="0" w:right="0"/>
              <w:jc w:val="left"/>
            </w:pPr>
            <w:r w:rsidRPr="00E9523D">
              <w:t>State party’s failure to cooperate</w:t>
            </w:r>
          </w:p>
        </w:tc>
      </w:tr>
      <w:tr w:rsidR="006A31AE" w14:paraId="5572A444" w14:textId="77777777" w:rsidTr="003E6FE6">
        <w:tc>
          <w:tcPr>
            <w:tcW w:w="3119" w:type="dxa"/>
          </w:tcPr>
          <w:p w14:paraId="5572A442" w14:textId="77777777" w:rsidR="006A31AE" w:rsidRDefault="006A31AE" w:rsidP="005553FD">
            <w:pPr>
              <w:pStyle w:val="SingleTxtG"/>
              <w:keepNext/>
              <w:ind w:left="0" w:right="0"/>
              <w:jc w:val="left"/>
              <w:rPr>
                <w:i/>
                <w:iCs/>
              </w:rPr>
            </w:pPr>
            <w:r>
              <w:rPr>
                <w:i/>
                <w:iCs/>
              </w:rPr>
              <w:t>Substantive issues:</w:t>
            </w:r>
          </w:p>
        </w:tc>
        <w:tc>
          <w:tcPr>
            <w:tcW w:w="3685" w:type="dxa"/>
          </w:tcPr>
          <w:p w14:paraId="5572A443" w14:textId="3B862D17" w:rsidR="006A31AE" w:rsidRDefault="00FB788C" w:rsidP="00FB788C">
            <w:pPr>
              <w:keepNext/>
              <w:spacing w:after="120"/>
            </w:pPr>
            <w:r w:rsidRPr="00632B70">
              <w:rPr>
                <w:iCs/>
              </w:rPr>
              <w:t>F</w:t>
            </w:r>
            <w:r w:rsidRPr="00632B70">
              <w:t>reedom of expression; freedom of assembly</w:t>
            </w:r>
            <w:r w:rsidRPr="007A5A59">
              <w:rPr>
                <w:color w:val="FF0000"/>
              </w:rPr>
              <w:t xml:space="preserve"> </w:t>
            </w:r>
          </w:p>
        </w:tc>
      </w:tr>
      <w:tr w:rsidR="006A31AE" w14:paraId="5572A447" w14:textId="77777777" w:rsidTr="003E6FE6">
        <w:tc>
          <w:tcPr>
            <w:tcW w:w="3119" w:type="dxa"/>
          </w:tcPr>
          <w:p w14:paraId="5572A445" w14:textId="77777777" w:rsidR="006A31AE" w:rsidRDefault="006A31AE" w:rsidP="005553FD">
            <w:pPr>
              <w:pStyle w:val="SingleTxtG"/>
              <w:ind w:left="0" w:right="0"/>
              <w:jc w:val="left"/>
              <w:rPr>
                <w:i/>
                <w:iCs/>
              </w:rPr>
            </w:pPr>
            <w:r>
              <w:rPr>
                <w:i/>
                <w:iCs/>
              </w:rPr>
              <w:t>Articles of the Covenant</w:t>
            </w:r>
            <w:r w:rsidRPr="00E613A9">
              <w:rPr>
                <w:i/>
              </w:rPr>
              <w:t>:</w:t>
            </w:r>
          </w:p>
        </w:tc>
        <w:tc>
          <w:tcPr>
            <w:tcW w:w="3685" w:type="dxa"/>
          </w:tcPr>
          <w:p w14:paraId="5572A446" w14:textId="15AA1DFD" w:rsidR="006A31AE" w:rsidRDefault="00244A47" w:rsidP="00244A47">
            <w:pPr>
              <w:pStyle w:val="SingleTxtG"/>
              <w:ind w:left="0" w:right="0"/>
              <w:jc w:val="left"/>
            </w:pPr>
            <w:r w:rsidRPr="00244A47">
              <w:t>19</w:t>
            </w:r>
            <w:r w:rsidR="00987575">
              <w:t xml:space="preserve"> (2)</w:t>
            </w:r>
            <w:r w:rsidRPr="00244A47">
              <w:t xml:space="preserve"> and 21</w:t>
            </w:r>
          </w:p>
        </w:tc>
      </w:tr>
      <w:tr w:rsidR="006A31AE" w14:paraId="5572A44A" w14:textId="77777777" w:rsidTr="003E6FE6">
        <w:tc>
          <w:tcPr>
            <w:tcW w:w="3119" w:type="dxa"/>
          </w:tcPr>
          <w:p w14:paraId="5572A448" w14:textId="509AFE80" w:rsidR="006A31AE" w:rsidRPr="00A532A4" w:rsidRDefault="006A31AE" w:rsidP="00A532A4">
            <w:pPr>
              <w:pStyle w:val="SingleTxtG"/>
              <w:ind w:left="0" w:right="0"/>
              <w:jc w:val="left"/>
              <w:rPr>
                <w:i/>
                <w:iCs/>
              </w:rPr>
            </w:pPr>
            <w:r w:rsidRPr="00A532A4">
              <w:rPr>
                <w:i/>
                <w:iCs/>
              </w:rPr>
              <w:t>Article of the Optional Protocol:</w:t>
            </w:r>
          </w:p>
        </w:tc>
        <w:tc>
          <w:tcPr>
            <w:tcW w:w="3685" w:type="dxa"/>
          </w:tcPr>
          <w:p w14:paraId="5572A449" w14:textId="13372117" w:rsidR="006A31AE" w:rsidRPr="00A532A4" w:rsidRDefault="00A532A4" w:rsidP="005553FD">
            <w:pPr>
              <w:pStyle w:val="SingleTxtG"/>
              <w:ind w:left="0" w:right="0"/>
              <w:jc w:val="left"/>
            </w:pPr>
            <w:r w:rsidRPr="00A532A4">
              <w:t>None</w:t>
            </w:r>
          </w:p>
        </w:tc>
      </w:tr>
    </w:tbl>
    <w:p w14:paraId="17F8B89A" w14:textId="071CB823" w:rsidR="00287032" w:rsidRDefault="00287032" w:rsidP="009E52FD">
      <w:pPr>
        <w:pStyle w:val="SingleTxtG"/>
        <w:spacing w:before="240"/>
        <w:ind w:left="567" w:firstLine="567"/>
      </w:pPr>
    </w:p>
    <w:p w14:paraId="18721E05" w14:textId="77777777" w:rsidR="00F93E79" w:rsidRDefault="00F93E79" w:rsidP="000C7386">
      <w:pPr>
        <w:pStyle w:val="SingleTxtG"/>
      </w:pPr>
    </w:p>
    <w:p w14:paraId="2C553498" w14:textId="77777777" w:rsidR="00F93E79" w:rsidRDefault="00F93E79" w:rsidP="000C7386">
      <w:pPr>
        <w:pStyle w:val="SingleTxtG"/>
      </w:pPr>
    </w:p>
    <w:p w14:paraId="3C560224" w14:textId="77777777" w:rsidR="00F93E79" w:rsidRDefault="00F93E79" w:rsidP="000C7386">
      <w:pPr>
        <w:pStyle w:val="SingleTxtG"/>
      </w:pPr>
    </w:p>
    <w:p w14:paraId="4A2BCF6A" w14:textId="77777777" w:rsidR="00F93E79" w:rsidRDefault="00F93E79" w:rsidP="000C7386">
      <w:pPr>
        <w:pStyle w:val="SingleTxtG"/>
      </w:pPr>
    </w:p>
    <w:p w14:paraId="0F58A319" w14:textId="77777777" w:rsidR="003D659B" w:rsidRDefault="003D659B" w:rsidP="000C7386">
      <w:pPr>
        <w:pStyle w:val="SingleTxtG"/>
      </w:pPr>
    </w:p>
    <w:p w14:paraId="0068D050" w14:textId="77777777" w:rsidR="003D659B" w:rsidRDefault="003D659B" w:rsidP="000C7386">
      <w:pPr>
        <w:pStyle w:val="SingleTxtG"/>
      </w:pPr>
    </w:p>
    <w:p w14:paraId="5572A44B" w14:textId="3F6AD48C" w:rsidR="006A31AE" w:rsidRDefault="00287032" w:rsidP="000C7386">
      <w:pPr>
        <w:pStyle w:val="SingleTxtG"/>
      </w:pPr>
      <w:bookmarkStart w:id="2" w:name="_GoBack"/>
      <w:bookmarkEnd w:id="2"/>
      <w:r>
        <w:lastRenderedPageBreak/>
        <w:t>1.</w:t>
      </w:r>
      <w:r>
        <w:tab/>
      </w:r>
      <w:r w:rsidR="006A31AE" w:rsidRPr="002F3906">
        <w:t xml:space="preserve">The author of the </w:t>
      </w:r>
      <w:r w:rsidR="006A31AE" w:rsidRPr="00180493">
        <w:t xml:space="preserve">communication is </w:t>
      </w:r>
      <w:proofErr w:type="spellStart"/>
      <w:r w:rsidR="00987575" w:rsidRPr="00180493">
        <w:t>Vitaly</w:t>
      </w:r>
      <w:proofErr w:type="spellEnd"/>
      <w:r w:rsidR="00987575" w:rsidRPr="00180493">
        <w:t xml:space="preserve"> </w:t>
      </w:r>
      <w:proofErr w:type="spellStart"/>
      <w:r w:rsidR="00987575" w:rsidRPr="00180493">
        <w:t>Amelkovich</w:t>
      </w:r>
      <w:proofErr w:type="spellEnd"/>
      <w:r w:rsidR="006A31AE" w:rsidRPr="00180493">
        <w:t xml:space="preserve">, a national of </w:t>
      </w:r>
      <w:r w:rsidR="00987575" w:rsidRPr="00180493">
        <w:t xml:space="preserve">Belarus </w:t>
      </w:r>
      <w:r w:rsidR="006A31AE" w:rsidRPr="00180493">
        <w:t xml:space="preserve">born </w:t>
      </w:r>
      <w:r w:rsidR="00987575" w:rsidRPr="00180493">
        <w:t>in 1980</w:t>
      </w:r>
      <w:r w:rsidR="006A31AE" w:rsidRPr="00180493">
        <w:t xml:space="preserve">. He claims that the State party has violated his rights under articles </w:t>
      </w:r>
      <w:r w:rsidR="00987575" w:rsidRPr="00180493">
        <w:t>19 (2) and 21</w:t>
      </w:r>
      <w:r w:rsidR="006A31AE" w:rsidRPr="00180493">
        <w:t xml:space="preserve"> of the Covenant. The Optional Protocol entered into force for the State party on </w:t>
      </w:r>
      <w:r w:rsidR="00987575" w:rsidRPr="00180493">
        <w:t>30 December 1992</w:t>
      </w:r>
      <w:r w:rsidR="006A31AE" w:rsidRPr="00180493">
        <w:t>.</w:t>
      </w:r>
      <w:r w:rsidR="00987575" w:rsidRPr="00180493">
        <w:t xml:space="preserve"> The author is not represented by counsel</w:t>
      </w:r>
      <w:r w:rsidR="00987575">
        <w:t>.</w:t>
      </w:r>
    </w:p>
    <w:p w14:paraId="219DACBE" w14:textId="07EAF59B" w:rsidR="00987575" w:rsidRPr="00180493" w:rsidRDefault="00B94399" w:rsidP="00B94399">
      <w:pPr>
        <w:pStyle w:val="H23G"/>
      </w:pPr>
      <w:r>
        <w:tab/>
      </w:r>
      <w:r>
        <w:tab/>
      </w:r>
      <w:r w:rsidR="00180493" w:rsidRPr="00180493">
        <w:t>The facts as submitted by the author</w:t>
      </w:r>
    </w:p>
    <w:p w14:paraId="3FC11FE4" w14:textId="02C41E6C" w:rsidR="00836B71" w:rsidRPr="00836B71" w:rsidRDefault="00180493" w:rsidP="00836B71">
      <w:pPr>
        <w:pStyle w:val="SingleTxtG"/>
      </w:pPr>
      <w:r>
        <w:t>2.1</w:t>
      </w:r>
      <w:r>
        <w:tab/>
      </w:r>
      <w:r w:rsidR="00836B71" w:rsidRPr="00836B71">
        <w:t xml:space="preserve">On 17 February 2011, the author submitted an application </w:t>
      </w:r>
      <w:r w:rsidR="009E02C5">
        <w:t>with</w:t>
      </w:r>
      <w:r w:rsidR="00836B71" w:rsidRPr="00836B71">
        <w:t xml:space="preserve"> the </w:t>
      </w:r>
      <w:proofErr w:type="spellStart"/>
      <w:r w:rsidR="00836B71" w:rsidRPr="00836B71">
        <w:t>Slutsk</w:t>
      </w:r>
      <w:proofErr w:type="spellEnd"/>
      <w:r w:rsidR="00836B71" w:rsidRPr="00836B71">
        <w:t xml:space="preserve"> District Executive Committee, requesting </w:t>
      </w:r>
      <w:r w:rsidR="009E02C5">
        <w:t>authoriz</w:t>
      </w:r>
      <w:r w:rsidR="00836B71" w:rsidRPr="00836B71">
        <w:t xml:space="preserve">ation to hold a peaceful assembly (picket) </w:t>
      </w:r>
      <w:r w:rsidR="009E02C5" w:rsidRPr="00836B71">
        <w:t xml:space="preserve">on 5 March 2011 </w:t>
      </w:r>
      <w:r w:rsidR="00836B71" w:rsidRPr="00836B71">
        <w:t xml:space="preserve">in </w:t>
      </w:r>
      <w:r w:rsidR="009E02C5">
        <w:t xml:space="preserve">the </w:t>
      </w:r>
      <w:r w:rsidR="009E02C5" w:rsidRPr="00836B71">
        <w:t xml:space="preserve">city stadium </w:t>
      </w:r>
      <w:r w:rsidR="009E02C5">
        <w:t xml:space="preserve">of </w:t>
      </w:r>
      <w:proofErr w:type="spellStart"/>
      <w:r w:rsidR="00836B71" w:rsidRPr="00836B71">
        <w:t>Slutsk</w:t>
      </w:r>
      <w:proofErr w:type="spellEnd"/>
      <w:r w:rsidR="009E02C5">
        <w:t xml:space="preserve">. The purpose of the picket was to </w:t>
      </w:r>
      <w:r w:rsidR="00836B71" w:rsidRPr="00836B71">
        <w:t xml:space="preserve">publicly </w:t>
      </w:r>
      <w:r w:rsidR="009E02C5">
        <w:t xml:space="preserve">express </w:t>
      </w:r>
      <w:r w:rsidR="00836B71" w:rsidRPr="00836B71">
        <w:t xml:space="preserve">his and other participants’ support </w:t>
      </w:r>
      <w:r w:rsidR="009E02C5">
        <w:t xml:space="preserve">for </w:t>
      </w:r>
      <w:r w:rsidR="00836B71" w:rsidRPr="00836B71">
        <w:t xml:space="preserve">political detainees in Belarus. In accordance with the </w:t>
      </w:r>
      <w:r w:rsidR="009E02C5">
        <w:t xml:space="preserve">Public </w:t>
      </w:r>
      <w:r w:rsidR="00836B71" w:rsidRPr="00836B71">
        <w:t>Events</w:t>
      </w:r>
      <w:r w:rsidR="009E02C5">
        <w:t xml:space="preserve"> Act of 30 December 1997</w:t>
      </w:r>
      <w:r w:rsidR="00836B71" w:rsidRPr="00836B71">
        <w:t xml:space="preserve">, the author </w:t>
      </w:r>
      <w:r w:rsidR="009E02C5">
        <w:t xml:space="preserve">undertook </w:t>
      </w:r>
      <w:r w:rsidR="00836B71" w:rsidRPr="00836B71">
        <w:t xml:space="preserve">a written </w:t>
      </w:r>
      <w:r w:rsidR="009E02C5">
        <w:t xml:space="preserve">obligation </w:t>
      </w:r>
      <w:r w:rsidR="00836B71" w:rsidRPr="00836B71">
        <w:t>concerning the organization and conduct of the picket.</w:t>
      </w:r>
      <w:r w:rsidR="007312D8">
        <w:t xml:space="preserve"> </w:t>
      </w:r>
    </w:p>
    <w:p w14:paraId="3A6B3061" w14:textId="600B7CBD" w:rsidR="00836B71" w:rsidRPr="00836B71" w:rsidRDefault="00836B71" w:rsidP="00836B71">
      <w:pPr>
        <w:pStyle w:val="SingleTxtG"/>
      </w:pPr>
      <w:r w:rsidRPr="00836B71">
        <w:t>2.2</w:t>
      </w:r>
      <w:r w:rsidRPr="00836B71">
        <w:tab/>
        <w:t xml:space="preserve">On 25 February 2011, the </w:t>
      </w:r>
      <w:proofErr w:type="spellStart"/>
      <w:r w:rsidRPr="00836B71">
        <w:t>Slutsk</w:t>
      </w:r>
      <w:proofErr w:type="spellEnd"/>
      <w:r w:rsidRPr="00836B71">
        <w:t xml:space="preserve"> District Executive Committee de</w:t>
      </w:r>
      <w:r w:rsidR="009E02C5">
        <w:t xml:space="preserve">clined to </w:t>
      </w:r>
      <w:r w:rsidRPr="00836B71">
        <w:t>authoriz</w:t>
      </w:r>
      <w:r w:rsidR="009E02C5">
        <w:t xml:space="preserve">e </w:t>
      </w:r>
      <w:r w:rsidRPr="00836B71">
        <w:t xml:space="preserve">the picket, on the ground that there were no political detainees in Belarus. </w:t>
      </w:r>
    </w:p>
    <w:p w14:paraId="515FCB3C" w14:textId="6FD5132B" w:rsidR="00172982" w:rsidRDefault="00836B71" w:rsidP="00836B71">
      <w:pPr>
        <w:pStyle w:val="SingleTxtG"/>
      </w:pPr>
      <w:r w:rsidRPr="00836B71">
        <w:t>2.3</w:t>
      </w:r>
      <w:r w:rsidRPr="00836B71">
        <w:tab/>
        <w:t xml:space="preserve">On 23 March 2011, the author appealed the decision of the </w:t>
      </w:r>
      <w:proofErr w:type="spellStart"/>
      <w:r w:rsidRPr="00836B71">
        <w:t>Slutsk</w:t>
      </w:r>
      <w:proofErr w:type="spellEnd"/>
      <w:r w:rsidRPr="00836B71">
        <w:t xml:space="preserve"> District Executive Committee of 25 February 2011 to </w:t>
      </w:r>
      <w:proofErr w:type="spellStart"/>
      <w:r w:rsidRPr="00836B71">
        <w:t>Slutsk</w:t>
      </w:r>
      <w:proofErr w:type="spellEnd"/>
      <w:r w:rsidRPr="00836B71">
        <w:t xml:space="preserve"> District Court</w:t>
      </w:r>
      <w:r w:rsidR="00172982">
        <w:t xml:space="preserve">, </w:t>
      </w:r>
      <w:r w:rsidRPr="00836B71">
        <w:t xml:space="preserve">Minsk Region. With reference to articles 23, 33 and 35 of the Constitution and articles 19 and 21 of the Covenant, he argued </w:t>
      </w:r>
      <w:r w:rsidR="00172982" w:rsidRPr="00C703EA">
        <w:t>that the denial of authorization to hold the picket could not be considered as a permissible restriction on his right to peaceful assembly and the right to freedom of expression that was necessary in a democratic society in the interests of public order (</w:t>
      </w:r>
      <w:proofErr w:type="spellStart"/>
      <w:r w:rsidR="00172982" w:rsidRPr="00667CD1">
        <w:rPr>
          <w:i/>
          <w:iCs/>
        </w:rPr>
        <w:t>ordre</w:t>
      </w:r>
      <w:proofErr w:type="spellEnd"/>
      <w:r w:rsidR="00172982" w:rsidRPr="00667CD1">
        <w:rPr>
          <w:i/>
          <w:iCs/>
        </w:rPr>
        <w:t xml:space="preserve"> public</w:t>
      </w:r>
      <w:r w:rsidR="00172982" w:rsidRPr="00C703EA">
        <w:t>) or the protection of the rights and freedoms of others.</w:t>
      </w:r>
    </w:p>
    <w:p w14:paraId="118899BD" w14:textId="751FDBEF" w:rsidR="00836B71" w:rsidRPr="00836B71" w:rsidRDefault="00836B71" w:rsidP="00836B71">
      <w:pPr>
        <w:pStyle w:val="SingleTxtG"/>
      </w:pPr>
      <w:r w:rsidRPr="00836B71">
        <w:t>2.4</w:t>
      </w:r>
      <w:r w:rsidRPr="00836B71">
        <w:tab/>
        <w:t xml:space="preserve">On 19 April 2011, the author’s appeal was </w:t>
      </w:r>
      <w:r w:rsidR="00172982">
        <w:t xml:space="preserve">dismissed by </w:t>
      </w:r>
      <w:proofErr w:type="spellStart"/>
      <w:r w:rsidR="00172982">
        <w:t>Slutsk</w:t>
      </w:r>
      <w:proofErr w:type="spellEnd"/>
      <w:r w:rsidRPr="00836B71">
        <w:t xml:space="preserve"> District Court</w:t>
      </w:r>
      <w:r w:rsidR="00172982">
        <w:t xml:space="preserve">. The court determined that </w:t>
      </w:r>
      <w:r w:rsidRPr="00836B71">
        <w:t xml:space="preserve">the </w:t>
      </w:r>
      <w:proofErr w:type="spellStart"/>
      <w:r w:rsidRPr="00836B71">
        <w:t>Slutsk</w:t>
      </w:r>
      <w:proofErr w:type="spellEnd"/>
      <w:r w:rsidRPr="00836B71">
        <w:t xml:space="preserve"> District Executive Committee</w:t>
      </w:r>
      <w:r w:rsidR="00172982">
        <w:t>’s denial of authorization to hold the picket on 5 March 2011 was lawful</w:t>
      </w:r>
      <w:r w:rsidRPr="00836B71">
        <w:t xml:space="preserve">. </w:t>
      </w:r>
    </w:p>
    <w:p w14:paraId="580631DD" w14:textId="3058B0B9" w:rsidR="00836B71" w:rsidRPr="00836B71" w:rsidRDefault="00836B71" w:rsidP="00836B71">
      <w:pPr>
        <w:pStyle w:val="SingleTxtG"/>
      </w:pPr>
      <w:r w:rsidRPr="00836B71">
        <w:t>2.5</w:t>
      </w:r>
      <w:r w:rsidRPr="00836B71">
        <w:tab/>
        <w:t xml:space="preserve">On 27 April 2011, the author </w:t>
      </w:r>
      <w:r w:rsidR="0082438F">
        <w:t xml:space="preserve">filed a </w:t>
      </w:r>
      <w:r w:rsidRPr="00836B71">
        <w:t xml:space="preserve">cassation appeal </w:t>
      </w:r>
      <w:r w:rsidR="0082438F">
        <w:t xml:space="preserve">with </w:t>
      </w:r>
      <w:r w:rsidRPr="00836B71">
        <w:t xml:space="preserve">the Judicial Chamber on Civil Cases of </w:t>
      </w:r>
      <w:r w:rsidR="0082438F">
        <w:t>Minsk Regional Court</w:t>
      </w:r>
      <w:r w:rsidRPr="00836B71">
        <w:t xml:space="preserve"> </w:t>
      </w:r>
      <w:r w:rsidR="0082438F">
        <w:t xml:space="preserve">against </w:t>
      </w:r>
      <w:r w:rsidRPr="00836B71">
        <w:t xml:space="preserve">the decision of </w:t>
      </w:r>
      <w:proofErr w:type="spellStart"/>
      <w:r w:rsidRPr="00836B71">
        <w:t>Slutsk</w:t>
      </w:r>
      <w:proofErr w:type="spellEnd"/>
      <w:r w:rsidRPr="00836B71">
        <w:t xml:space="preserve"> District Court. With reference to articles 23, 33 and 35 of the Constitution and articles 19 and 21 of the Covenant, he again argued that the said decision was unlawful and violated his right to freedom of expression, as well as his right to peaceful assembly. </w:t>
      </w:r>
    </w:p>
    <w:p w14:paraId="0CA0E2A9" w14:textId="5646526B" w:rsidR="00836B71" w:rsidRPr="00836B71" w:rsidRDefault="00836B71" w:rsidP="00836B71">
      <w:pPr>
        <w:pStyle w:val="SingleTxtG"/>
      </w:pPr>
      <w:r w:rsidRPr="00836B71">
        <w:t>2.6</w:t>
      </w:r>
      <w:r w:rsidRPr="00836B71">
        <w:tab/>
        <w:t xml:space="preserve">On 2 June 2011, the Judicial Chamber on Civil Cases of Minsk Regional Court upheld the decision of the </w:t>
      </w:r>
      <w:proofErr w:type="spellStart"/>
      <w:r w:rsidRPr="00836B71">
        <w:t>Slutsk</w:t>
      </w:r>
      <w:proofErr w:type="spellEnd"/>
      <w:r w:rsidRPr="00836B71">
        <w:t xml:space="preserve"> District Court</w:t>
      </w:r>
      <w:r w:rsidR="0082438F">
        <w:t xml:space="preserve">, based on the same grounds and arguments. </w:t>
      </w:r>
      <w:r w:rsidR="002D418E" w:rsidRPr="00C703EA">
        <w:t>Under article 432 of the Civil Procedure Code, the ruling of the cassation court is final and becomes enforceable from the moment of its adoption.</w:t>
      </w:r>
    </w:p>
    <w:p w14:paraId="11AD112F" w14:textId="2FBDA9FE" w:rsidR="00836B71" w:rsidRPr="00836B71" w:rsidRDefault="00836B71" w:rsidP="00836B71">
      <w:pPr>
        <w:pStyle w:val="SingleTxtG"/>
      </w:pPr>
      <w:r w:rsidRPr="00836B71">
        <w:t>2.7</w:t>
      </w:r>
      <w:r w:rsidRPr="00836B71">
        <w:tab/>
      </w:r>
      <w:r w:rsidR="0082438F" w:rsidRPr="0082438F">
        <w:t>The author did not file an application with the Prosecutor’s Office and the higher courts under the supervisory review procedure, since he did not consider that it constituted an effective remedy. He adds that the decision to consider a request for supervisory review does not depend on the will of the person affected but is purely at the discretion of a limited number of high-level judicial officers. When such a review takes place, it is limited to issues of law and does not permit any review of facts and evidence. The author submits, therefore, that he has exhausted all available and effective domestic remedies.</w:t>
      </w:r>
    </w:p>
    <w:p w14:paraId="3778F78A" w14:textId="53538258" w:rsidR="00836B71" w:rsidRPr="0082438F" w:rsidRDefault="00B94399" w:rsidP="00B94399">
      <w:pPr>
        <w:pStyle w:val="H23G"/>
      </w:pPr>
      <w:r>
        <w:tab/>
      </w:r>
      <w:r>
        <w:tab/>
      </w:r>
      <w:r w:rsidR="00836B71" w:rsidRPr="0082438F">
        <w:t xml:space="preserve">The complaint </w:t>
      </w:r>
    </w:p>
    <w:p w14:paraId="14E1C617" w14:textId="52522E6A" w:rsidR="00836B71" w:rsidRPr="00836B71" w:rsidRDefault="00836B71" w:rsidP="00836B71">
      <w:pPr>
        <w:pStyle w:val="SingleTxtG"/>
      </w:pPr>
      <w:r w:rsidRPr="00836B71">
        <w:t>3.</w:t>
      </w:r>
      <w:r w:rsidRPr="00836B71">
        <w:tab/>
        <w:t xml:space="preserve">The author claims to be a victim of a violation by Belarus of the right to freedom of expression and the right </w:t>
      </w:r>
      <w:r w:rsidR="0082438F">
        <w:t xml:space="preserve">of </w:t>
      </w:r>
      <w:r w:rsidRPr="00836B71">
        <w:t>peaceful assembly under article</w:t>
      </w:r>
      <w:r w:rsidR="0082438F">
        <w:t xml:space="preserve">s </w:t>
      </w:r>
      <w:r w:rsidRPr="00836B71">
        <w:t>19</w:t>
      </w:r>
      <w:r w:rsidR="0082438F">
        <w:t xml:space="preserve"> (2) </w:t>
      </w:r>
      <w:r w:rsidRPr="00836B71">
        <w:t xml:space="preserve">and 21 of the Covenant, because it remains unclear for what legitimate aim these rights were restricted. He argues that the </w:t>
      </w:r>
      <w:proofErr w:type="spellStart"/>
      <w:r w:rsidRPr="00836B71">
        <w:t>Slutsk</w:t>
      </w:r>
      <w:proofErr w:type="spellEnd"/>
      <w:r w:rsidRPr="00836B71">
        <w:t xml:space="preserve"> District Executive Committee has not explained why such restrictions were necessary for one of the legitimate aims provided for in articles 19 and 21 of the Covenant and adds that, in his view, </w:t>
      </w:r>
      <w:r w:rsidR="0082438F">
        <w:t xml:space="preserve">it was not necessary for the local </w:t>
      </w:r>
      <w:r w:rsidR="0071515E">
        <w:t xml:space="preserve">authorities </w:t>
      </w:r>
      <w:r w:rsidR="0082438F">
        <w:t xml:space="preserve">to </w:t>
      </w:r>
      <w:r w:rsidRPr="00836B71">
        <w:t>prohibit</w:t>
      </w:r>
      <w:r w:rsidR="0082438F">
        <w:t xml:space="preserve"> the </w:t>
      </w:r>
      <w:r w:rsidRPr="00836B71">
        <w:t>hold</w:t>
      </w:r>
      <w:r w:rsidR="0082438F">
        <w:t>ing of</w:t>
      </w:r>
      <w:r w:rsidRPr="00836B71">
        <w:t xml:space="preserve"> a peaceful assembly</w:t>
      </w:r>
      <w:r w:rsidR="0082438F">
        <w:t xml:space="preserve">, </w:t>
      </w:r>
      <w:r w:rsidRPr="00836B71">
        <w:t>in the interests of national security, public order</w:t>
      </w:r>
      <w:r w:rsidR="0082438F">
        <w:t xml:space="preserve">, the protection of </w:t>
      </w:r>
      <w:r w:rsidRPr="00836B71">
        <w:t xml:space="preserve">public health or </w:t>
      </w:r>
      <w:r w:rsidR="0082438F">
        <w:t xml:space="preserve">the protection of the </w:t>
      </w:r>
      <w:r w:rsidRPr="00836B71">
        <w:t>rights and freedoms of others.</w:t>
      </w:r>
    </w:p>
    <w:p w14:paraId="57CFC450" w14:textId="7E92955F"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b/>
          <w:lang w:eastAsia="zh-CN"/>
        </w:rPr>
      </w:pPr>
      <w:r>
        <w:rPr>
          <w:rFonts w:eastAsia="SimSun"/>
          <w:b/>
          <w:lang w:eastAsia="zh-CN"/>
        </w:rPr>
        <w:tab/>
      </w:r>
      <w:r>
        <w:rPr>
          <w:rFonts w:eastAsia="SimSun"/>
          <w:b/>
          <w:lang w:eastAsia="zh-CN"/>
        </w:rPr>
        <w:tab/>
      </w:r>
      <w:r w:rsidRPr="00D95DA1">
        <w:rPr>
          <w:rFonts w:eastAsia="SimSun"/>
          <w:b/>
          <w:lang w:eastAsia="zh-CN"/>
        </w:rPr>
        <w:t xml:space="preserve">Lack of cooperation by the State party </w:t>
      </w:r>
    </w:p>
    <w:p w14:paraId="58AB17F0" w14:textId="00986DD2"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4.</w:t>
      </w:r>
      <w:r w:rsidRPr="00D95DA1">
        <w:rPr>
          <w:rFonts w:eastAsia="SimSun"/>
          <w:lang w:eastAsia="zh-CN"/>
        </w:rPr>
        <w:tab/>
        <w:t xml:space="preserve">In notes </w:t>
      </w:r>
      <w:proofErr w:type="spellStart"/>
      <w:r w:rsidRPr="00D95DA1">
        <w:rPr>
          <w:rFonts w:eastAsia="SimSun"/>
          <w:lang w:eastAsia="zh-CN"/>
        </w:rPr>
        <w:t>verbales</w:t>
      </w:r>
      <w:proofErr w:type="spellEnd"/>
      <w:r w:rsidRPr="00D95DA1">
        <w:rPr>
          <w:rFonts w:eastAsia="SimSun"/>
          <w:lang w:eastAsia="zh-CN"/>
        </w:rPr>
        <w:t xml:space="preserve"> dated </w:t>
      </w:r>
      <w:r w:rsidR="002D418E">
        <w:rPr>
          <w:rFonts w:eastAsia="SimSun"/>
          <w:lang w:eastAsia="zh-CN"/>
        </w:rPr>
        <w:t>1 February 2016</w:t>
      </w:r>
      <w:r w:rsidRPr="00D95DA1">
        <w:rPr>
          <w:rFonts w:eastAsia="SimSun"/>
          <w:lang w:eastAsia="zh-CN"/>
        </w:rPr>
        <w:t xml:space="preserve">, </w:t>
      </w:r>
      <w:r w:rsidR="002D418E">
        <w:rPr>
          <w:rFonts w:eastAsia="SimSun"/>
          <w:lang w:eastAsia="zh-CN"/>
        </w:rPr>
        <w:t xml:space="preserve">16 January 2017, 3 July 2017 and 9 October 2017, </w:t>
      </w:r>
      <w:r w:rsidRPr="00D95DA1">
        <w:rPr>
          <w:rFonts w:eastAsia="SimSun"/>
          <w:lang w:eastAsia="zh-CN"/>
        </w:rPr>
        <w:t xml:space="preserve">the Committee requested </w:t>
      </w:r>
      <w:r w:rsidR="0071515E">
        <w:rPr>
          <w:rFonts w:eastAsia="SimSun"/>
          <w:lang w:eastAsia="zh-CN"/>
        </w:rPr>
        <w:t xml:space="preserve">that </w:t>
      </w:r>
      <w:r w:rsidRPr="00D95DA1">
        <w:rPr>
          <w:rFonts w:eastAsia="SimSun"/>
          <w:lang w:eastAsia="zh-CN"/>
        </w:rPr>
        <w:t xml:space="preserve">the State party submit information and observations on the admissibility and merits of the present communication. The Committee notes that this </w:t>
      </w:r>
      <w:r w:rsidRPr="00D95DA1">
        <w:rPr>
          <w:rFonts w:eastAsia="SimSun"/>
          <w:lang w:eastAsia="zh-CN"/>
        </w:rPr>
        <w:lastRenderedPageBreak/>
        <w:t xml:space="preserve">information has not been received. The Committee regrets the State party’s failure to provide any information with regard to the admissibility or the substance of the author’s claims. It </w:t>
      </w:r>
      <w:r w:rsidR="0071515E">
        <w:rPr>
          <w:rFonts w:eastAsia="SimSun"/>
          <w:lang w:eastAsia="zh-CN"/>
        </w:rPr>
        <w:t xml:space="preserve">reiterates </w:t>
      </w:r>
      <w:r w:rsidRPr="00D95DA1">
        <w:rPr>
          <w:rFonts w:eastAsia="SimSun"/>
          <w:lang w:eastAsia="zh-CN"/>
        </w:rPr>
        <w:t>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author’s allegations, to the extent that they are substantiated.</w:t>
      </w:r>
      <w:r w:rsidRPr="00D95DA1">
        <w:rPr>
          <w:rFonts w:eastAsia="SimSun"/>
          <w:sz w:val="18"/>
          <w:vertAlign w:val="superscript"/>
          <w:lang w:eastAsia="zh-CN"/>
        </w:rPr>
        <w:footnoteReference w:id="3"/>
      </w:r>
    </w:p>
    <w:p w14:paraId="36C23B17" w14:textId="77777777"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b/>
          <w:lang w:eastAsia="zh-CN"/>
        </w:rPr>
      </w:pPr>
      <w:r w:rsidRPr="00D95DA1">
        <w:rPr>
          <w:rFonts w:eastAsia="SimSun"/>
          <w:b/>
          <w:lang w:eastAsia="zh-CN"/>
        </w:rPr>
        <w:tab/>
      </w:r>
      <w:r w:rsidRPr="00D95DA1">
        <w:rPr>
          <w:rFonts w:eastAsia="SimSun"/>
          <w:b/>
          <w:lang w:eastAsia="zh-CN"/>
        </w:rPr>
        <w:tab/>
        <w:t>Issues and proceedings before the Committee</w:t>
      </w:r>
    </w:p>
    <w:p w14:paraId="5461A038" w14:textId="77777777"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i/>
          <w:lang w:eastAsia="zh-CN"/>
        </w:rPr>
      </w:pPr>
      <w:r w:rsidRPr="00D95DA1">
        <w:rPr>
          <w:rFonts w:eastAsia="SimSun"/>
          <w:i/>
          <w:lang w:eastAsia="zh-CN"/>
        </w:rPr>
        <w:tab/>
      </w:r>
      <w:r w:rsidRPr="00D95DA1">
        <w:rPr>
          <w:rFonts w:eastAsia="SimSun"/>
          <w:i/>
          <w:lang w:eastAsia="zh-CN"/>
        </w:rPr>
        <w:tab/>
        <w:t>Consideration of admissibility</w:t>
      </w:r>
    </w:p>
    <w:p w14:paraId="404C6D65" w14:textId="77777777"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5.1</w:t>
      </w:r>
      <w:r w:rsidRPr="00D95DA1">
        <w:rPr>
          <w:rFonts w:eastAsia="SimSun"/>
          <w:lang w:eastAsia="zh-CN"/>
        </w:rPr>
        <w:tab/>
        <w:t>Before considering any claim contained in a communication, the Committee must decide, in accordance with rule 93 of its rules of procedure, whether the communication is admissible under the Optional Protocol.</w:t>
      </w:r>
    </w:p>
    <w:p w14:paraId="4F0D887E" w14:textId="77777777"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5.2</w:t>
      </w:r>
      <w:r w:rsidRPr="00D95DA1">
        <w:rPr>
          <w:rFonts w:eastAsia="SimSun"/>
          <w:lang w:eastAsia="zh-CN"/>
        </w:rPr>
        <w:tab/>
        <w:t>The Committee has ascertained, as required under article 5 (2) (a) of the Optional Protocol, that the same matter is not being examined under another procedure of international investigation or settlement.</w:t>
      </w:r>
    </w:p>
    <w:p w14:paraId="553A2A94" w14:textId="77777777"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5.3</w:t>
      </w:r>
      <w:r w:rsidRPr="00D95DA1">
        <w:rPr>
          <w:rFonts w:eastAsia="SimSun"/>
          <w:lang w:eastAsia="zh-CN"/>
        </w:rPr>
        <w:tab/>
        <w:t>The Committee takes note of the author’s assertion that all available and effective domestic remedies have been exhausted. The Committee also notes that the author did not file applications under the supervisory review procedure, since he did not consider it an effective remedy. In the absence of any objection by the State party in this connection, the Committee considers that the requirements of article 5 (2) (b) of the Optional Protocol have been met.</w:t>
      </w:r>
    </w:p>
    <w:p w14:paraId="338063AE" w14:textId="3F5C9513"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5.4</w:t>
      </w:r>
      <w:r w:rsidRPr="00D95DA1">
        <w:rPr>
          <w:rFonts w:eastAsia="SimSun"/>
          <w:lang w:eastAsia="zh-CN"/>
        </w:rPr>
        <w:tab/>
        <w:t xml:space="preserve">The Committee considers that the author has sufficiently substantiated his claims under articles 19 </w:t>
      </w:r>
      <w:r w:rsidR="00CD426C">
        <w:rPr>
          <w:rFonts w:eastAsia="SimSun"/>
          <w:lang w:eastAsia="zh-CN"/>
        </w:rPr>
        <w:t xml:space="preserve">(2) </w:t>
      </w:r>
      <w:r w:rsidRPr="00D95DA1">
        <w:rPr>
          <w:rFonts w:eastAsia="SimSun"/>
          <w:lang w:eastAsia="zh-CN"/>
        </w:rPr>
        <w:t xml:space="preserve">and 21 of the Covenant, for the purposes of admissibility. It therefore declares the communication admissible and proceeds with its consideration of the merits. </w:t>
      </w:r>
    </w:p>
    <w:p w14:paraId="5F7CE3F9" w14:textId="77777777" w:rsidR="00D95DA1" w:rsidRPr="00D95DA1" w:rsidRDefault="00D95DA1" w:rsidP="00D95DA1">
      <w:pPr>
        <w:keepNext/>
        <w:keepLines/>
        <w:tabs>
          <w:tab w:val="right" w:pos="851"/>
        </w:tabs>
        <w:suppressAutoHyphens w:val="0"/>
        <w:spacing w:before="240" w:after="120" w:line="240" w:lineRule="exact"/>
        <w:ind w:left="1134" w:right="1134" w:hanging="1134"/>
        <w:rPr>
          <w:rFonts w:eastAsia="SimSun"/>
          <w:i/>
          <w:lang w:eastAsia="zh-CN"/>
        </w:rPr>
      </w:pPr>
      <w:r w:rsidRPr="00D95DA1">
        <w:rPr>
          <w:rFonts w:eastAsia="SimSun"/>
          <w:i/>
          <w:lang w:eastAsia="zh-CN"/>
        </w:rPr>
        <w:tab/>
      </w:r>
      <w:r w:rsidRPr="00D95DA1">
        <w:rPr>
          <w:rFonts w:eastAsia="SimSun"/>
          <w:i/>
          <w:lang w:eastAsia="zh-CN"/>
        </w:rPr>
        <w:tab/>
        <w:t>Consideration of the merits</w:t>
      </w:r>
    </w:p>
    <w:p w14:paraId="5542B886" w14:textId="77777777"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6.1</w:t>
      </w:r>
      <w:r w:rsidRPr="00D95DA1">
        <w:rPr>
          <w:rFonts w:eastAsia="SimSun"/>
          <w:lang w:eastAsia="zh-CN"/>
        </w:rPr>
        <w:tab/>
        <w:t>The Committee has considered the present communication in the light of all the information made available to it by the parties, as required under article 5 (1) of the Optional Protocol.</w:t>
      </w:r>
    </w:p>
    <w:p w14:paraId="7BADCA30" w14:textId="68D25658"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6.2</w:t>
      </w:r>
      <w:r w:rsidRPr="00D95DA1">
        <w:rPr>
          <w:rFonts w:eastAsia="SimSun"/>
          <w:lang w:eastAsia="zh-CN"/>
        </w:rPr>
        <w:tab/>
        <w:t xml:space="preserve">From the material before the Committee, it transpires that the author’s application to hold a public event was </w:t>
      </w:r>
      <w:r w:rsidR="0071515E">
        <w:rPr>
          <w:rFonts w:eastAsia="SimSun"/>
          <w:lang w:eastAsia="zh-CN"/>
        </w:rPr>
        <w:t>declined</w:t>
      </w:r>
      <w:r w:rsidR="0071515E" w:rsidRPr="0071515E">
        <w:t xml:space="preserve"> </w:t>
      </w:r>
      <w:r w:rsidR="0071515E" w:rsidRPr="00836B71">
        <w:t>the ground that there were no political detainees in Belarus</w:t>
      </w:r>
      <w:r w:rsidRPr="00D95DA1">
        <w:rPr>
          <w:rFonts w:eastAsia="SimSun"/>
          <w:lang w:eastAsia="zh-CN"/>
        </w:rPr>
        <w:t xml:space="preserve">. </w:t>
      </w:r>
    </w:p>
    <w:p w14:paraId="553287A6" w14:textId="40478D8A"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6.3</w:t>
      </w:r>
      <w:r w:rsidRPr="00D95DA1">
        <w:rPr>
          <w:rFonts w:eastAsia="SimSun"/>
          <w:lang w:eastAsia="zh-CN"/>
        </w:rPr>
        <w:tab/>
        <w:t>The Committee notes the author’s claim that his right to freedom of expression under article 19 (2) of the Covenant has been restricted arbitrarily. The Committee refers to its general comment No. 34 (2011) on the freedoms of opinion and expression, in which it is stated that freedom of opinion and freedom of expression are indispensable conditions for the full development of the person, and that such freedoms are essential for any society.</w:t>
      </w:r>
      <w:r w:rsidRPr="00D95DA1">
        <w:rPr>
          <w:rFonts w:eastAsia="SimSun"/>
          <w:sz w:val="18"/>
          <w:vertAlign w:val="superscript"/>
          <w:lang w:eastAsia="zh-CN"/>
        </w:rPr>
        <w:footnoteReference w:id="4"/>
      </w:r>
      <w:r w:rsidRPr="00D95DA1">
        <w:rPr>
          <w:rFonts w:eastAsia="SimSun"/>
          <w:lang w:eastAsia="zh-CN"/>
        </w:rPr>
        <w:t xml:space="preserve"> They constitute the foundation stone for every free and democratic society. The Committee recalls that article 19 (3) of the Covenant allows for restrictions on these rights only as provided by law and as necessary (a) for respect of the rights or reputations of others; and (b) for the protection of national security or of public order (</w:t>
      </w:r>
      <w:proofErr w:type="spellStart"/>
      <w:r w:rsidRPr="00D95DA1">
        <w:rPr>
          <w:rFonts w:eastAsia="SimSun"/>
          <w:i/>
          <w:iCs/>
          <w:lang w:eastAsia="zh-CN"/>
        </w:rPr>
        <w:t>ordre</w:t>
      </w:r>
      <w:proofErr w:type="spellEnd"/>
      <w:r w:rsidRPr="00D95DA1">
        <w:rPr>
          <w:rFonts w:eastAsia="SimSun"/>
          <w:i/>
          <w:iCs/>
          <w:lang w:eastAsia="zh-CN"/>
        </w:rPr>
        <w:t xml:space="preserve"> public</w:t>
      </w:r>
      <w:r w:rsidRPr="00D95DA1">
        <w:rPr>
          <w:rFonts w:eastAsia="SimSun"/>
          <w:lang w:eastAsia="zh-CN"/>
        </w:rPr>
        <w:t xml:space="preserve">),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 </w:t>
      </w:r>
    </w:p>
    <w:p w14:paraId="0E8AE105" w14:textId="5809B83A"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6.4</w:t>
      </w:r>
      <w:r w:rsidRPr="00D95DA1">
        <w:rPr>
          <w:rFonts w:eastAsia="SimSun"/>
          <w:lang w:eastAsia="zh-CN"/>
        </w:rPr>
        <w:tab/>
        <w:t>The Committee notes that neither the State party nor the national courts have provided any explanation to justify the restrictions on the author’s freedom of expression. The Committee considers that, in the circumstances of the case, the prohibitions imposed on the author, although based on domestic law, were not justified for the purposes of article 19 (3) of the Covenant.</w:t>
      </w:r>
    </w:p>
    <w:p w14:paraId="00E73E02" w14:textId="11D34AFB"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lastRenderedPageBreak/>
        <w:t>6.5</w:t>
      </w:r>
      <w:r w:rsidRPr="00D95DA1">
        <w:rPr>
          <w:rFonts w:eastAsia="SimSun"/>
          <w:lang w:eastAsia="zh-CN"/>
        </w:rPr>
        <w:tab/>
        <w:t xml:space="preserve">The Committee </w:t>
      </w:r>
      <w:r w:rsidR="00991FD4">
        <w:rPr>
          <w:rFonts w:eastAsia="SimSun"/>
          <w:lang w:eastAsia="zh-CN"/>
        </w:rPr>
        <w:t xml:space="preserve">also </w:t>
      </w:r>
      <w:r w:rsidRPr="00D95DA1">
        <w:rPr>
          <w:rFonts w:eastAsia="SimSun"/>
          <w:lang w:eastAsia="zh-CN"/>
        </w:rPr>
        <w:t xml:space="preserve">notes the author’s claim that his right to freedom of assembly under article 21 of the Covenant was violated by the refusal of the </w:t>
      </w:r>
      <w:r w:rsidR="0071515E">
        <w:rPr>
          <w:rFonts w:eastAsia="SimSun"/>
          <w:lang w:eastAsia="zh-CN"/>
        </w:rPr>
        <w:t xml:space="preserve">local </w:t>
      </w:r>
      <w:r w:rsidRPr="00D95DA1">
        <w:rPr>
          <w:rFonts w:eastAsia="SimSun"/>
          <w:lang w:eastAsia="zh-CN"/>
        </w:rPr>
        <w:t>authorities to allow the picket to be held. In this context, the Committee recalls that the right of peaceful assembly, as guaranteed under article 21 of the Covenant, is a fundamental human right that is essential for the public expression of an individual’s views and opinions and indispensable in a democratic society.</w:t>
      </w:r>
      <w:r w:rsidRPr="00D95DA1">
        <w:rPr>
          <w:rFonts w:eastAsia="SimSun"/>
          <w:sz w:val="18"/>
          <w:vertAlign w:val="superscript"/>
          <w:lang w:eastAsia="zh-CN"/>
        </w:rPr>
        <w:footnoteReference w:id="5"/>
      </w:r>
      <w:r w:rsidRPr="00D95DA1">
        <w:rPr>
          <w:rFonts w:eastAsia="SimSun"/>
          <w:lang w:eastAsia="zh-CN"/>
        </w:rPr>
        <w:t xml:space="preserve"> This right allows for the possibility of organizing and participating in a peaceful assembly, whether moving or stationary, in a public location. The organizers of an assembly generally have the right to choose a location within sight and sound of their target audience; no restriction to this right is permissible unless it is imposed in conformity with the law and is necessary in a democratic society in the interests of national security or public safety, public order (</w:t>
      </w:r>
      <w:proofErr w:type="spellStart"/>
      <w:r w:rsidRPr="00D95DA1">
        <w:rPr>
          <w:rFonts w:eastAsia="SimSun"/>
          <w:i/>
          <w:iCs/>
          <w:lang w:eastAsia="zh-CN"/>
        </w:rPr>
        <w:t>ordre</w:t>
      </w:r>
      <w:proofErr w:type="spellEnd"/>
      <w:r w:rsidRPr="00D95DA1">
        <w:rPr>
          <w:rFonts w:eastAsia="SimSun"/>
          <w:i/>
          <w:iCs/>
          <w:lang w:eastAsia="zh-CN"/>
        </w:rPr>
        <w:t xml:space="preserve"> public</w:t>
      </w:r>
      <w:r w:rsidRPr="00D95DA1">
        <w:rPr>
          <w:rFonts w:eastAsia="SimSun"/>
          <w:lang w:eastAsia="zh-CN"/>
        </w:rPr>
        <w:t>), the protection of public health or morals or the protection of the rights and freedoms of others. When a State party imposes restrictions with the aim of reconciling an individual’s right of peaceful assembly and the aforementioned interests of general concern, it should be guided by the objective of facilitating the right, rather than seeking unnecessary or disproportionate limitations to it.</w:t>
      </w:r>
      <w:r w:rsidRPr="00D95DA1">
        <w:rPr>
          <w:rFonts w:eastAsia="SimSun"/>
          <w:sz w:val="18"/>
          <w:vertAlign w:val="superscript"/>
          <w:lang w:eastAsia="zh-CN"/>
        </w:rPr>
        <w:footnoteReference w:id="6"/>
      </w:r>
      <w:r w:rsidRPr="00D95DA1">
        <w:rPr>
          <w:rFonts w:eastAsia="SimSun"/>
          <w:lang w:eastAsia="zh-CN"/>
        </w:rPr>
        <w:t xml:space="preserve"> The State party is thus under an obligation to justify the limitation of the right protected by article 21 of the Covenant.</w:t>
      </w:r>
      <w:r w:rsidRPr="00D95DA1">
        <w:rPr>
          <w:rFonts w:eastAsia="SimSun"/>
          <w:sz w:val="18"/>
          <w:vertAlign w:val="superscript"/>
          <w:lang w:eastAsia="zh-CN"/>
        </w:rPr>
        <w:footnoteReference w:id="7"/>
      </w:r>
    </w:p>
    <w:p w14:paraId="42428740" w14:textId="225995CC"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6.6</w:t>
      </w:r>
      <w:r w:rsidRPr="00D95DA1">
        <w:rPr>
          <w:rFonts w:eastAsia="SimSun"/>
          <w:lang w:eastAsia="zh-CN"/>
        </w:rPr>
        <w:tab/>
        <w:t>The Committee notes, in the light of the information available on file, that the national authorities and the court</w:t>
      </w:r>
      <w:r w:rsidR="00F57A55">
        <w:rPr>
          <w:rFonts w:eastAsia="SimSun"/>
          <w:lang w:eastAsia="zh-CN"/>
        </w:rPr>
        <w:t>s</w:t>
      </w:r>
      <w:r w:rsidRPr="00D95DA1">
        <w:rPr>
          <w:rFonts w:eastAsia="SimSun"/>
          <w:lang w:eastAsia="zh-CN"/>
        </w:rPr>
        <w:t xml:space="preserve"> have not provided any justification or explanation for the prohibition of the author’s right to freedom of assembly</w:t>
      </w:r>
      <w:r w:rsidR="00F57A55">
        <w:rPr>
          <w:rFonts w:eastAsia="SimSun"/>
          <w:lang w:eastAsia="zh-CN"/>
        </w:rPr>
        <w:t>, except for a broad statement that there were no political detainees in Belarus</w:t>
      </w:r>
      <w:r w:rsidRPr="00D95DA1">
        <w:rPr>
          <w:rFonts w:eastAsia="SimSun"/>
          <w:lang w:eastAsia="zh-CN"/>
        </w:rPr>
        <w:t>.</w:t>
      </w:r>
      <w:r w:rsidR="00B350D2">
        <w:rPr>
          <w:rFonts w:eastAsia="SimSun"/>
          <w:lang w:eastAsia="zh-CN"/>
        </w:rPr>
        <w:t xml:space="preserve"> Both articles 19 and 21 cover situations where controversial ideas are conveyed, and restrictions must be justified by the authorities on the grounds elaborated in the Covenant.</w:t>
      </w:r>
    </w:p>
    <w:p w14:paraId="25CA25A3" w14:textId="618877D7" w:rsidR="00D95DA1" w:rsidRPr="00D95DA1" w:rsidRDefault="00991FD4" w:rsidP="00D95DA1">
      <w:pPr>
        <w:suppressAutoHyphens w:val="0"/>
        <w:spacing w:after="120"/>
        <w:ind w:left="1134" w:right="1134"/>
        <w:jc w:val="both"/>
        <w:rPr>
          <w:rFonts w:eastAsia="SimSun"/>
          <w:lang w:eastAsia="zh-CN"/>
        </w:rPr>
      </w:pPr>
      <w:r>
        <w:rPr>
          <w:rFonts w:eastAsia="SimSun"/>
          <w:lang w:eastAsia="zh-CN"/>
        </w:rPr>
        <w:t>6.7</w:t>
      </w:r>
      <w:r w:rsidR="00D95DA1" w:rsidRPr="00D95DA1">
        <w:rPr>
          <w:rFonts w:eastAsia="SimSun"/>
          <w:lang w:eastAsia="zh-CN"/>
        </w:rPr>
        <w:tab/>
        <w:t>The Committee notes that it has dealt with similar cases in respect of the same laws and practices of the State party in a number of earlier communications.</w:t>
      </w:r>
      <w:r w:rsidR="00D95DA1" w:rsidRPr="00D95DA1">
        <w:rPr>
          <w:rFonts w:eastAsia="SimSun"/>
          <w:sz w:val="18"/>
          <w:vertAlign w:val="superscript"/>
          <w:lang w:eastAsia="zh-CN"/>
        </w:rPr>
        <w:footnoteReference w:id="8"/>
      </w:r>
      <w:r w:rsidR="00D95DA1" w:rsidRPr="00D95DA1">
        <w:rPr>
          <w:rFonts w:eastAsia="SimSun"/>
          <w:lang w:eastAsia="zh-CN"/>
        </w:rPr>
        <w:t xml:space="preserve"> In the absence of any explanation by the State party regarding the matters at stake, the Committee concludes that, in the present case, the State party has violated the author’s rights under article</w:t>
      </w:r>
      <w:r w:rsidR="007432E8">
        <w:rPr>
          <w:rFonts w:eastAsia="SimSun"/>
          <w:lang w:eastAsia="zh-CN"/>
        </w:rPr>
        <w:t>s 19 (2) and</w:t>
      </w:r>
      <w:r w:rsidR="00D95DA1" w:rsidRPr="00D95DA1">
        <w:rPr>
          <w:rFonts w:eastAsia="SimSun"/>
          <w:lang w:eastAsia="zh-CN"/>
        </w:rPr>
        <w:t xml:space="preserve"> 21 of the Covenant. </w:t>
      </w:r>
    </w:p>
    <w:p w14:paraId="0203DB98" w14:textId="1EFAF795"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7.</w:t>
      </w:r>
      <w:r w:rsidRPr="00D95DA1">
        <w:rPr>
          <w:rFonts w:eastAsia="SimSun"/>
          <w:lang w:eastAsia="zh-CN"/>
        </w:rPr>
        <w:tab/>
        <w:t>The Committee, acting under article 5 (4) of the Optional Protocol, is of the view that the facts before it disclose a violation of the author’s rights under articles 19 (2) and 21 of the Covenant.</w:t>
      </w:r>
    </w:p>
    <w:p w14:paraId="690BFADB" w14:textId="77777777" w:rsidR="00D95DA1" w:rsidRPr="00D95DA1" w:rsidRDefault="00D95DA1" w:rsidP="00D95DA1">
      <w:pPr>
        <w:suppressAutoHyphens w:val="0"/>
        <w:spacing w:after="120"/>
        <w:ind w:left="1134" w:right="1134"/>
        <w:jc w:val="both"/>
        <w:rPr>
          <w:rFonts w:eastAsia="SimSun"/>
          <w:lang w:eastAsia="zh-CN"/>
        </w:rPr>
      </w:pPr>
      <w:r w:rsidRPr="00D95DA1">
        <w:rPr>
          <w:rFonts w:eastAsia="SimSun"/>
          <w:lang w:eastAsia="zh-CN"/>
        </w:rPr>
        <w:t>8.</w:t>
      </w:r>
      <w:r w:rsidRPr="00D95DA1">
        <w:rPr>
          <w:rFonts w:eastAsia="SimSun"/>
          <w:lang w:eastAsia="zh-CN"/>
        </w:rPr>
        <w:tab/>
        <w:t xml:space="preserve">In accordance with article 2 (3) (a) of the Covenant, the State party is under an obligation to provide individuals whose Covenant rights have been violated with an effective remedy. This requires it to make full reparation to individuals whose Covenant rights have been violated. Accordingly, the State party is obligated to, inter alia, (a) take appropriate steps to provide the author with adequate compensation; and (b) take steps to prevent similar violations occurring in the future. In that connection, the Committee reiterates that the State party should revise its normative framework, consistent with its obligation under article 2 (2), with a view to ensuring that the rights under articles 19 (2) and 21 of the Covenant may be fully enjoyed in the State party. </w:t>
      </w:r>
    </w:p>
    <w:p w14:paraId="5572A44C" w14:textId="0BA39CF3" w:rsidR="006A31AE" w:rsidRPr="002F3906" w:rsidRDefault="00D95DA1" w:rsidP="00D95DA1">
      <w:pPr>
        <w:pStyle w:val="SingleTxtG"/>
      </w:pPr>
      <w:r w:rsidRPr="00D95DA1">
        <w:t>9.</w:t>
      </w:r>
      <w:r w:rsidRPr="00D95DA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Belarusian and Russian.</w:t>
      </w:r>
    </w:p>
    <w:p w14:paraId="5572A44D" w14:textId="77777777" w:rsidR="006A31AE" w:rsidRPr="00106A43" w:rsidRDefault="006A31AE" w:rsidP="006A31AE">
      <w:pPr>
        <w:spacing w:before="240"/>
        <w:jc w:val="center"/>
        <w:rPr>
          <w:u w:val="single"/>
        </w:rPr>
      </w:pPr>
      <w:r>
        <w:rPr>
          <w:u w:val="single"/>
        </w:rPr>
        <w:lastRenderedPageBreak/>
        <w:tab/>
      </w:r>
      <w:r>
        <w:rPr>
          <w:u w:val="single"/>
        </w:rPr>
        <w:tab/>
      </w:r>
      <w:r>
        <w:rPr>
          <w:u w:val="single"/>
        </w:rPr>
        <w:tab/>
      </w:r>
    </w:p>
    <w:sectPr w:rsidR="006A31AE" w:rsidRPr="00106A43" w:rsidSect="00B9439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A452" w14:textId="77777777" w:rsidR="003B6110" w:rsidRPr="00B903E5" w:rsidRDefault="003B6110" w:rsidP="00B903E5">
      <w:pPr>
        <w:pStyle w:val="Footer"/>
      </w:pPr>
    </w:p>
  </w:endnote>
  <w:endnote w:type="continuationSeparator" w:id="0">
    <w:p w14:paraId="5572A453" w14:textId="77777777" w:rsidR="003B6110" w:rsidRPr="00B903E5" w:rsidRDefault="003B611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6" w14:textId="797A7BC7" w:rsidR="006A31AE" w:rsidRPr="006A31AE" w:rsidRDefault="006A31AE"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3D659B">
      <w:rPr>
        <w:b/>
        <w:noProof/>
        <w:sz w:val="18"/>
      </w:rPr>
      <w:t>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7" w14:textId="5C063498" w:rsidR="006A31AE" w:rsidRPr="006A31AE" w:rsidRDefault="006A31AE"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3D659B">
      <w:rPr>
        <w:b/>
        <w:noProof/>
        <w:sz w:val="18"/>
      </w:rPr>
      <w:t>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F883" w14:textId="2B5467CB" w:rsidR="00116E61" w:rsidRDefault="00FA3AB2" w:rsidP="00116E61">
    <w:pPr>
      <w:pStyle w:val="Footer"/>
    </w:pPr>
    <w:r>
      <w:rPr>
        <w:noProof/>
        <w:lang w:eastAsia="en-GB"/>
      </w:rPr>
      <w:drawing>
        <wp:anchor distT="0" distB="0" distL="114300" distR="114300" simplePos="0" relativeHeight="251659264" behindDoc="1" locked="1" layoutInCell="1" allowOverlap="1" wp14:anchorId="21A5D988" wp14:editId="7296EE4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A450" w14:textId="77777777" w:rsidR="003B6110" w:rsidRPr="00B903E5" w:rsidRDefault="003B6110" w:rsidP="00B903E5">
      <w:pPr>
        <w:tabs>
          <w:tab w:val="right" w:pos="2155"/>
        </w:tabs>
        <w:spacing w:after="80" w:line="240" w:lineRule="auto"/>
        <w:ind w:left="680"/>
      </w:pPr>
      <w:r>
        <w:rPr>
          <w:u w:val="single"/>
        </w:rPr>
        <w:tab/>
      </w:r>
    </w:p>
  </w:footnote>
  <w:footnote w:type="continuationSeparator" w:id="0">
    <w:p w14:paraId="5572A451" w14:textId="77777777" w:rsidR="003B6110" w:rsidRPr="00B903E5" w:rsidRDefault="003B6110" w:rsidP="00B903E5">
      <w:pPr>
        <w:tabs>
          <w:tab w:val="right" w:pos="2155"/>
        </w:tabs>
        <w:spacing w:after="80" w:line="240" w:lineRule="auto"/>
        <w:ind w:left="680"/>
      </w:pPr>
      <w:r>
        <w:rPr>
          <w:u w:val="single"/>
        </w:rPr>
        <w:tab/>
      </w:r>
    </w:p>
  </w:footnote>
  <w:footnote w:id="1">
    <w:p w14:paraId="52A38DE6" w14:textId="77777777" w:rsidR="00336B9B" w:rsidRPr="001E52C7" w:rsidRDefault="00336B9B" w:rsidP="00336B9B">
      <w:pPr>
        <w:pStyle w:val="FootnoteText"/>
      </w:pPr>
      <w:r>
        <w:rPr>
          <w:rStyle w:val="FootnoteReference"/>
        </w:rPr>
        <w:tab/>
      </w:r>
      <w:r w:rsidRPr="00F3067C">
        <w:rPr>
          <w:rStyle w:val="FootnoteReference"/>
          <w:szCs w:val="18"/>
        </w:rPr>
        <w:t>*</w:t>
      </w:r>
      <w:r>
        <w:rPr>
          <w:rStyle w:val="FootnoteReference"/>
          <w:sz w:val="20"/>
        </w:rPr>
        <w:tab/>
      </w:r>
      <w:r>
        <w:t xml:space="preserve">Adopted by the Committee </w:t>
      </w:r>
      <w:r w:rsidRPr="009E4187">
        <w:t xml:space="preserve">at its </w:t>
      </w:r>
      <w:r>
        <w:t xml:space="preserve">125th </w:t>
      </w:r>
      <w:r w:rsidRPr="009E4187">
        <w:t>session (</w:t>
      </w:r>
      <w:r>
        <w:t>4–29 March 2019</w:t>
      </w:r>
      <w:r w:rsidRPr="009E4187">
        <w:t>).</w:t>
      </w:r>
    </w:p>
  </w:footnote>
  <w:footnote w:id="2">
    <w:p w14:paraId="6787A2F8" w14:textId="56146BB2" w:rsidR="00336B9B" w:rsidRPr="000E50E7" w:rsidRDefault="00336B9B" w:rsidP="00336B9B">
      <w:pPr>
        <w:pStyle w:val="FootnoteText"/>
        <w:jc w:val="both"/>
      </w:pPr>
      <w:r>
        <w:rPr>
          <w:rStyle w:val="FootnoteReference"/>
        </w:rPr>
        <w:tab/>
      </w:r>
      <w:r w:rsidRPr="00F3067C">
        <w:rPr>
          <w:rStyle w:val="FootnoteReference"/>
        </w:rPr>
        <w:t>**</w:t>
      </w:r>
      <w:r w:rsidRPr="000E50E7">
        <w:tab/>
      </w:r>
      <w:bookmarkStart w:id="0" w:name="OLE_LINK1"/>
      <w:bookmarkStart w:id="1" w:name="OLE_LINK2"/>
      <w:r w:rsidRPr="00812B41">
        <w:rPr>
          <w:spacing w:val="-1"/>
          <w:szCs w:val="18"/>
        </w:rPr>
        <w:t xml:space="preserve">The following members of the Committee participated in the examination of the </w:t>
      </w:r>
      <w:r w:rsidRPr="00F93E79">
        <w:rPr>
          <w:spacing w:val="-1"/>
          <w:szCs w:val="18"/>
        </w:rPr>
        <w:t>communication</w:t>
      </w:r>
      <w:r w:rsidR="00A05CC8" w:rsidRPr="00F93E79">
        <w:rPr>
          <w:spacing w:val="-1"/>
          <w:szCs w:val="18"/>
        </w:rPr>
        <w:t>, pursuant to the repetitive communications procedure under rule 105 of the Committee’s rules of procedure</w:t>
      </w:r>
      <w:r w:rsidRPr="00F93E79">
        <w:rPr>
          <w:spacing w:val="-1"/>
          <w:szCs w:val="18"/>
        </w:rPr>
        <w:t xml:space="preserve">: </w:t>
      </w:r>
      <w:bookmarkEnd w:id="0"/>
      <w:bookmarkEnd w:id="1"/>
      <w:r w:rsidRPr="00F93E79">
        <w:rPr>
          <w:rFonts w:cs="Arial"/>
          <w:lang w:val="es-ES"/>
        </w:rPr>
        <w:t>Tania María</w:t>
      </w:r>
      <w:r>
        <w:rPr>
          <w:rFonts w:cs="Arial"/>
          <w:lang w:val="es-ES"/>
        </w:rPr>
        <w:t xml:space="preserve"> </w:t>
      </w:r>
      <w:proofErr w:type="spellStart"/>
      <w:r>
        <w:rPr>
          <w:rFonts w:cs="Arial"/>
          <w:lang w:val="es-ES"/>
        </w:rPr>
        <w:t>Abdo</w:t>
      </w:r>
      <w:proofErr w:type="spellEnd"/>
      <w:r>
        <w:rPr>
          <w:rFonts w:cs="Arial"/>
          <w:lang w:val="es-ES"/>
        </w:rPr>
        <w:t xml:space="preserve"> </w:t>
      </w:r>
      <w:proofErr w:type="spellStart"/>
      <w:r>
        <w:rPr>
          <w:rFonts w:cs="Arial"/>
          <w:lang w:val="es-ES"/>
        </w:rPr>
        <w:t>Rocholl</w:t>
      </w:r>
      <w:proofErr w:type="spellEnd"/>
      <w:r>
        <w:rPr>
          <w:rFonts w:cs="Arial"/>
          <w:lang w:val="es-ES"/>
        </w:rPr>
        <w:t xml:space="preserve">, </w:t>
      </w:r>
      <w:proofErr w:type="spellStart"/>
      <w:r w:rsidRPr="00812B41">
        <w:rPr>
          <w:spacing w:val="-1"/>
          <w:szCs w:val="18"/>
        </w:rPr>
        <w:t>Yadh</w:t>
      </w:r>
      <w:proofErr w:type="spellEnd"/>
      <w:r w:rsidRPr="00812B41">
        <w:rPr>
          <w:spacing w:val="-1"/>
          <w:szCs w:val="18"/>
        </w:rPr>
        <w:t xml:space="preserve"> Ben </w:t>
      </w:r>
      <w:proofErr w:type="spellStart"/>
      <w:r w:rsidRPr="00812B41">
        <w:rPr>
          <w:spacing w:val="-1"/>
          <w:szCs w:val="18"/>
        </w:rPr>
        <w:t>Achour</w:t>
      </w:r>
      <w:proofErr w:type="spellEnd"/>
      <w:r w:rsidRPr="00812B41">
        <w:rPr>
          <w:spacing w:val="-1"/>
          <w:szCs w:val="18"/>
        </w:rPr>
        <w:t xml:space="preserve">, </w:t>
      </w:r>
      <w:proofErr w:type="spellStart"/>
      <w:r w:rsidRPr="00812B41">
        <w:rPr>
          <w:spacing w:val="-1"/>
        </w:rPr>
        <w:t>Ilze</w:t>
      </w:r>
      <w:proofErr w:type="spellEnd"/>
      <w:r w:rsidRPr="00812B41">
        <w:rPr>
          <w:spacing w:val="-1"/>
        </w:rPr>
        <w:t xml:space="preserve"> Brands </w:t>
      </w:r>
      <w:proofErr w:type="spellStart"/>
      <w:r w:rsidRPr="00812B41">
        <w:rPr>
          <w:spacing w:val="-1"/>
        </w:rPr>
        <w:t>Kehris</w:t>
      </w:r>
      <w:proofErr w:type="spellEnd"/>
      <w:r w:rsidRPr="00812B41">
        <w:rPr>
          <w:spacing w:val="-1"/>
          <w:szCs w:val="18"/>
        </w:rPr>
        <w:t xml:space="preserve">, </w:t>
      </w:r>
      <w:r>
        <w:rPr>
          <w:spacing w:val="-1"/>
          <w:szCs w:val="18"/>
        </w:rPr>
        <w:t xml:space="preserve">Christopher </w:t>
      </w:r>
      <w:proofErr w:type="spellStart"/>
      <w:r>
        <w:rPr>
          <w:spacing w:val="-1"/>
          <w:szCs w:val="18"/>
        </w:rPr>
        <w:t>Arif</w:t>
      </w:r>
      <w:proofErr w:type="spellEnd"/>
      <w:r>
        <w:rPr>
          <w:spacing w:val="-1"/>
          <w:szCs w:val="18"/>
        </w:rPr>
        <w:t xml:space="preserve"> </w:t>
      </w:r>
      <w:proofErr w:type="spellStart"/>
      <w:r>
        <w:rPr>
          <w:spacing w:val="-1"/>
          <w:szCs w:val="18"/>
        </w:rPr>
        <w:t>Bulkan</w:t>
      </w:r>
      <w:proofErr w:type="spellEnd"/>
      <w:r w:rsidRPr="00812B41">
        <w:rPr>
          <w:spacing w:val="-1"/>
          <w:szCs w:val="18"/>
        </w:rPr>
        <w:t xml:space="preserve">, </w:t>
      </w:r>
      <w:r>
        <w:rPr>
          <w:spacing w:val="-1"/>
          <w:szCs w:val="18"/>
        </w:rPr>
        <w:t xml:space="preserve">Ahmed Amin </w:t>
      </w:r>
      <w:proofErr w:type="spellStart"/>
      <w:r>
        <w:rPr>
          <w:spacing w:val="-1"/>
          <w:szCs w:val="18"/>
        </w:rPr>
        <w:t>Fathalla</w:t>
      </w:r>
      <w:proofErr w:type="spellEnd"/>
      <w:r>
        <w:rPr>
          <w:spacing w:val="-1"/>
          <w:szCs w:val="18"/>
        </w:rPr>
        <w:t>,</w:t>
      </w:r>
      <w:r w:rsidRPr="00812B41">
        <w:rPr>
          <w:spacing w:val="-1"/>
          <w:szCs w:val="18"/>
        </w:rPr>
        <w:t xml:space="preserve"> </w:t>
      </w:r>
      <w:r>
        <w:rPr>
          <w:spacing w:val="-1"/>
          <w:szCs w:val="18"/>
        </w:rPr>
        <w:t xml:space="preserve">Shuichi </w:t>
      </w:r>
      <w:proofErr w:type="spellStart"/>
      <w:r>
        <w:rPr>
          <w:spacing w:val="-1"/>
          <w:szCs w:val="18"/>
        </w:rPr>
        <w:t>Furuya</w:t>
      </w:r>
      <w:proofErr w:type="spellEnd"/>
      <w:r w:rsidRPr="00812B41">
        <w:rPr>
          <w:spacing w:val="-1"/>
          <w:szCs w:val="18"/>
        </w:rPr>
        <w:t xml:space="preserve">, </w:t>
      </w:r>
      <w:proofErr w:type="spellStart"/>
      <w:r w:rsidRPr="005A04D8">
        <w:t>Christof</w:t>
      </w:r>
      <w:proofErr w:type="spellEnd"/>
      <w:r w:rsidRPr="005A04D8">
        <w:t xml:space="preserve"> </w:t>
      </w:r>
      <w:proofErr w:type="spellStart"/>
      <w:r w:rsidRPr="005A04D8">
        <w:t>Heyns</w:t>
      </w:r>
      <w:proofErr w:type="spellEnd"/>
      <w:r>
        <w:t>,</w:t>
      </w:r>
      <w:r w:rsidRPr="00812B41">
        <w:rPr>
          <w:spacing w:val="-1"/>
          <w:szCs w:val="18"/>
        </w:rPr>
        <w:t xml:space="preserve"> </w:t>
      </w:r>
      <w:proofErr w:type="spellStart"/>
      <w:r w:rsidRPr="00812B41">
        <w:rPr>
          <w:spacing w:val="-1"/>
          <w:szCs w:val="18"/>
        </w:rPr>
        <w:t>Bamariam</w:t>
      </w:r>
      <w:proofErr w:type="spellEnd"/>
      <w:r w:rsidRPr="00812B41">
        <w:rPr>
          <w:spacing w:val="-1"/>
          <w:szCs w:val="18"/>
        </w:rPr>
        <w:t xml:space="preserve"> </w:t>
      </w:r>
      <w:proofErr w:type="spellStart"/>
      <w:r w:rsidRPr="00812B41">
        <w:rPr>
          <w:spacing w:val="-1"/>
          <w:szCs w:val="18"/>
        </w:rPr>
        <w:t>Koita</w:t>
      </w:r>
      <w:proofErr w:type="spellEnd"/>
      <w:r w:rsidRPr="00812B41">
        <w:rPr>
          <w:spacing w:val="-1"/>
          <w:szCs w:val="18"/>
        </w:rPr>
        <w:t xml:space="preserve">, </w:t>
      </w:r>
      <w:r w:rsidRPr="00457BC5">
        <w:rPr>
          <w:spacing w:val="-1"/>
          <w:szCs w:val="18"/>
        </w:rPr>
        <w:t xml:space="preserve">Marcia V. J. </w:t>
      </w:r>
      <w:proofErr w:type="spellStart"/>
      <w:r w:rsidRPr="00457BC5">
        <w:rPr>
          <w:spacing w:val="-1"/>
          <w:szCs w:val="18"/>
        </w:rPr>
        <w:t>Kran</w:t>
      </w:r>
      <w:proofErr w:type="spellEnd"/>
      <w:r>
        <w:rPr>
          <w:spacing w:val="-1"/>
          <w:szCs w:val="18"/>
        </w:rPr>
        <w:t xml:space="preserve">, Duncan Laci </w:t>
      </w:r>
      <w:proofErr w:type="spellStart"/>
      <w:r>
        <w:rPr>
          <w:spacing w:val="-1"/>
          <w:szCs w:val="18"/>
        </w:rPr>
        <w:t>Muhumuza</w:t>
      </w:r>
      <w:proofErr w:type="spellEnd"/>
      <w:r>
        <w:rPr>
          <w:spacing w:val="-1"/>
          <w:szCs w:val="18"/>
        </w:rPr>
        <w:t>,</w:t>
      </w:r>
      <w:r w:rsidRPr="00812B41">
        <w:rPr>
          <w:spacing w:val="-1"/>
          <w:szCs w:val="18"/>
        </w:rPr>
        <w:t xml:space="preserve"> </w:t>
      </w:r>
      <w:proofErr w:type="spellStart"/>
      <w:r>
        <w:rPr>
          <w:spacing w:val="-1"/>
          <w:szCs w:val="18"/>
        </w:rPr>
        <w:t>Photini</w:t>
      </w:r>
      <w:proofErr w:type="spellEnd"/>
      <w:r>
        <w:rPr>
          <w:spacing w:val="-1"/>
          <w:szCs w:val="18"/>
        </w:rPr>
        <w:t xml:space="preserve"> </w:t>
      </w:r>
      <w:proofErr w:type="spellStart"/>
      <w:r>
        <w:rPr>
          <w:spacing w:val="-1"/>
          <w:szCs w:val="18"/>
        </w:rPr>
        <w:t>Pazartzis</w:t>
      </w:r>
      <w:proofErr w:type="spellEnd"/>
      <w:r>
        <w:rPr>
          <w:spacing w:val="-1"/>
          <w:szCs w:val="18"/>
        </w:rPr>
        <w:t xml:space="preserve">, </w:t>
      </w:r>
      <w:proofErr w:type="spellStart"/>
      <w:r>
        <w:rPr>
          <w:lang w:val="en"/>
        </w:rPr>
        <w:t>Hernán</w:t>
      </w:r>
      <w:proofErr w:type="spellEnd"/>
      <w:r>
        <w:rPr>
          <w:spacing w:val="-1"/>
          <w:szCs w:val="18"/>
        </w:rPr>
        <w:t xml:space="preserve"> Quezada, </w:t>
      </w:r>
      <w:proofErr w:type="spellStart"/>
      <w:r>
        <w:rPr>
          <w:spacing w:val="-1"/>
          <w:szCs w:val="18"/>
        </w:rPr>
        <w:t>Vasilka</w:t>
      </w:r>
      <w:proofErr w:type="spellEnd"/>
      <w:r>
        <w:rPr>
          <w:spacing w:val="-1"/>
          <w:szCs w:val="18"/>
        </w:rPr>
        <w:t xml:space="preserve"> </w:t>
      </w:r>
      <w:proofErr w:type="spellStart"/>
      <w:r>
        <w:rPr>
          <w:spacing w:val="-1"/>
          <w:szCs w:val="18"/>
        </w:rPr>
        <w:t>Sancin</w:t>
      </w:r>
      <w:proofErr w:type="spellEnd"/>
      <w:r>
        <w:rPr>
          <w:spacing w:val="-1"/>
          <w:szCs w:val="18"/>
        </w:rPr>
        <w:t xml:space="preserve">, </w:t>
      </w:r>
      <w:r w:rsidRPr="00812B41">
        <w:rPr>
          <w:spacing w:val="-1"/>
        </w:rPr>
        <w:t xml:space="preserve">José Manuel Santos </w:t>
      </w:r>
      <w:proofErr w:type="spellStart"/>
      <w:r w:rsidRPr="00812B41">
        <w:rPr>
          <w:spacing w:val="-1"/>
        </w:rPr>
        <w:t>Pais</w:t>
      </w:r>
      <w:proofErr w:type="spellEnd"/>
      <w:r w:rsidRPr="00812B41">
        <w:rPr>
          <w:spacing w:val="-1"/>
        </w:rPr>
        <w:t xml:space="preserve">, </w:t>
      </w:r>
      <w:r w:rsidRPr="005A04D8">
        <w:t xml:space="preserve">Yuval </w:t>
      </w:r>
      <w:proofErr w:type="spellStart"/>
      <w:r w:rsidRPr="005A04D8">
        <w:t>Shany</w:t>
      </w:r>
      <w:proofErr w:type="spellEnd"/>
      <w:r>
        <w:t>,</w:t>
      </w:r>
      <w:r w:rsidRPr="005A04D8">
        <w:t xml:space="preserve"> </w:t>
      </w:r>
      <w:r>
        <w:t xml:space="preserve">Hélène </w:t>
      </w:r>
      <w:proofErr w:type="spellStart"/>
      <w:r>
        <w:t>Tigroudja</w:t>
      </w:r>
      <w:proofErr w:type="spellEnd"/>
      <w:r>
        <w:t xml:space="preserve">, </w:t>
      </w:r>
      <w:r>
        <w:rPr>
          <w:spacing w:val="-1"/>
          <w:szCs w:val="18"/>
        </w:rPr>
        <w:t xml:space="preserve">Andreas Zimmermann and Gentian </w:t>
      </w:r>
      <w:proofErr w:type="spellStart"/>
      <w:r>
        <w:rPr>
          <w:spacing w:val="-1"/>
          <w:szCs w:val="18"/>
        </w:rPr>
        <w:t>Zyberi</w:t>
      </w:r>
      <w:proofErr w:type="spellEnd"/>
      <w:r w:rsidRPr="00812B41">
        <w:rPr>
          <w:spacing w:val="-1"/>
        </w:rPr>
        <w:t>.</w:t>
      </w:r>
    </w:p>
  </w:footnote>
  <w:footnote w:id="3">
    <w:p w14:paraId="1EC8C449" w14:textId="77777777" w:rsidR="00D95DA1" w:rsidRPr="00E30C41" w:rsidRDefault="00D95DA1" w:rsidP="005770D7">
      <w:pPr>
        <w:pStyle w:val="FootnoteText"/>
        <w:rPr>
          <w:lang w:val="es-ES"/>
        </w:rPr>
      </w:pPr>
      <w:r w:rsidRPr="00B94399">
        <w:tab/>
      </w:r>
      <w:r w:rsidRPr="00764A66">
        <w:rPr>
          <w:rStyle w:val="FootnoteReference"/>
        </w:rPr>
        <w:footnoteRef/>
      </w:r>
      <w:r w:rsidRPr="00E30C41">
        <w:rPr>
          <w:lang w:val="es-ES"/>
        </w:rPr>
        <w:tab/>
      </w:r>
      <w:proofErr w:type="spellStart"/>
      <w:r w:rsidRPr="00E30C41">
        <w:rPr>
          <w:i/>
          <w:lang w:val="es-ES"/>
        </w:rPr>
        <w:t>Samathanan</w:t>
      </w:r>
      <w:proofErr w:type="spellEnd"/>
      <w:r w:rsidRPr="00E30C41">
        <w:rPr>
          <w:i/>
          <w:lang w:val="es-ES"/>
        </w:rPr>
        <w:t xml:space="preserve"> v. Sri Lanka</w:t>
      </w:r>
      <w:r w:rsidRPr="00E30C41">
        <w:rPr>
          <w:lang w:val="es-ES"/>
        </w:rPr>
        <w:t xml:space="preserve"> (CCPR/C/118/D/2412/2014), para. 4.2; </w:t>
      </w:r>
      <w:proofErr w:type="spellStart"/>
      <w:r w:rsidRPr="00E30C41">
        <w:rPr>
          <w:i/>
          <w:iCs/>
          <w:lang w:val="es-ES"/>
        </w:rPr>
        <w:t>Diergaardt</w:t>
      </w:r>
      <w:proofErr w:type="spellEnd"/>
      <w:r w:rsidRPr="00E30C41">
        <w:rPr>
          <w:i/>
          <w:iCs/>
          <w:lang w:val="es-ES"/>
        </w:rPr>
        <w:t xml:space="preserve"> et al. v. Namibia </w:t>
      </w:r>
      <w:r w:rsidRPr="00E30C41">
        <w:rPr>
          <w:iCs/>
          <w:lang w:val="es-ES"/>
        </w:rPr>
        <w:t>(CCPR/C/69/D/760/1997), para. 10.2.</w:t>
      </w:r>
    </w:p>
  </w:footnote>
  <w:footnote w:id="4">
    <w:p w14:paraId="171EEC3B" w14:textId="77777777" w:rsidR="00D95DA1" w:rsidRPr="00E30C41" w:rsidRDefault="00D95DA1" w:rsidP="00D95DA1">
      <w:pPr>
        <w:pStyle w:val="FootnoteText"/>
        <w:rPr>
          <w:lang w:val="es-ES"/>
        </w:rPr>
      </w:pPr>
      <w:r w:rsidRPr="00E30C41">
        <w:rPr>
          <w:lang w:val="es-ES"/>
        </w:rPr>
        <w:tab/>
      </w:r>
      <w:r w:rsidRPr="00764A66">
        <w:rPr>
          <w:rStyle w:val="FootnoteReference"/>
        </w:rPr>
        <w:footnoteRef/>
      </w:r>
      <w:r w:rsidRPr="00E30C41">
        <w:rPr>
          <w:lang w:val="es-ES"/>
        </w:rPr>
        <w:tab/>
      </w:r>
      <w:proofErr w:type="spellStart"/>
      <w:r>
        <w:rPr>
          <w:lang w:val="es-ES"/>
        </w:rPr>
        <w:t>See</w:t>
      </w:r>
      <w:proofErr w:type="spellEnd"/>
      <w:r>
        <w:rPr>
          <w:lang w:val="es-ES"/>
        </w:rPr>
        <w:t xml:space="preserve"> p</w:t>
      </w:r>
      <w:r w:rsidRPr="00E30C41">
        <w:rPr>
          <w:lang w:val="es-ES"/>
        </w:rPr>
        <w:t>ara. 2.</w:t>
      </w:r>
    </w:p>
  </w:footnote>
  <w:footnote w:id="5">
    <w:p w14:paraId="18594065" w14:textId="77777777" w:rsidR="00D95DA1" w:rsidRPr="00E30C41" w:rsidRDefault="00D95DA1" w:rsidP="00D95DA1">
      <w:pPr>
        <w:pStyle w:val="FootnoteText"/>
        <w:rPr>
          <w:lang w:val="es-ES"/>
        </w:rPr>
      </w:pPr>
      <w:r w:rsidRPr="00E30C41">
        <w:rPr>
          <w:lang w:val="es-ES"/>
        </w:rPr>
        <w:tab/>
      </w:r>
      <w:r w:rsidRPr="00764A66">
        <w:rPr>
          <w:rStyle w:val="FootnoteReference"/>
        </w:rPr>
        <w:footnoteRef/>
      </w:r>
      <w:r w:rsidRPr="00E30C41">
        <w:rPr>
          <w:lang w:val="es-ES"/>
        </w:rPr>
        <w:tab/>
      </w:r>
      <w:proofErr w:type="spellStart"/>
      <w:r w:rsidRPr="00E30C41">
        <w:rPr>
          <w:i/>
          <w:lang w:val="es-ES"/>
        </w:rPr>
        <w:t>Korol</w:t>
      </w:r>
      <w:proofErr w:type="spellEnd"/>
      <w:r w:rsidRPr="00E30C41">
        <w:rPr>
          <w:i/>
          <w:lang w:val="es-ES"/>
        </w:rPr>
        <w:t xml:space="preserve"> v. </w:t>
      </w:r>
      <w:proofErr w:type="spellStart"/>
      <w:r w:rsidRPr="00E30C41">
        <w:rPr>
          <w:i/>
          <w:lang w:val="es-ES"/>
        </w:rPr>
        <w:t>Be</w:t>
      </w:r>
      <w:r w:rsidRPr="00E30C41">
        <w:rPr>
          <w:lang w:val="es-ES"/>
        </w:rPr>
        <w:t>larus</w:t>
      </w:r>
      <w:proofErr w:type="spellEnd"/>
      <w:r w:rsidRPr="00E30C41">
        <w:rPr>
          <w:lang w:val="es-ES"/>
        </w:rPr>
        <w:t xml:space="preserve"> (CCPR/C/117/D/2089/2011), para. 7.5.</w:t>
      </w:r>
    </w:p>
  </w:footnote>
  <w:footnote w:id="6">
    <w:p w14:paraId="33081592" w14:textId="77777777" w:rsidR="00D95DA1" w:rsidRPr="002F111D" w:rsidRDefault="00D95DA1" w:rsidP="00D95DA1">
      <w:pPr>
        <w:pStyle w:val="FootnoteText"/>
      </w:pPr>
      <w:r w:rsidRPr="00E30C41">
        <w:rPr>
          <w:lang w:val="es-ES"/>
        </w:rPr>
        <w:tab/>
      </w:r>
      <w:r w:rsidRPr="00764A66">
        <w:rPr>
          <w:rStyle w:val="FootnoteReference"/>
        </w:rPr>
        <w:footnoteRef/>
      </w:r>
      <w:r w:rsidRPr="00E30C41">
        <w:rPr>
          <w:lang w:val="es-ES"/>
        </w:rPr>
        <w:tab/>
      </w:r>
      <w:proofErr w:type="spellStart"/>
      <w:r w:rsidRPr="00E30C41">
        <w:rPr>
          <w:i/>
          <w:lang w:val="es-ES"/>
        </w:rPr>
        <w:t>Poplavny</w:t>
      </w:r>
      <w:proofErr w:type="spellEnd"/>
      <w:r w:rsidRPr="00E30C41">
        <w:rPr>
          <w:i/>
          <w:lang w:val="es-ES"/>
        </w:rPr>
        <w:t xml:space="preserve"> v. </w:t>
      </w:r>
      <w:proofErr w:type="spellStart"/>
      <w:r w:rsidRPr="00E30C41">
        <w:rPr>
          <w:i/>
          <w:lang w:val="es-ES"/>
        </w:rPr>
        <w:t>Belarus</w:t>
      </w:r>
      <w:proofErr w:type="spellEnd"/>
      <w:r w:rsidRPr="00E30C41">
        <w:rPr>
          <w:lang w:val="es-ES"/>
        </w:rPr>
        <w:t xml:space="preserve"> (CCPR/C/115/D/2019/2010), para. </w:t>
      </w:r>
      <w:r w:rsidRPr="002F111D">
        <w:t>8.4.</w:t>
      </w:r>
    </w:p>
  </w:footnote>
  <w:footnote w:id="7">
    <w:p w14:paraId="58304254" w14:textId="77777777" w:rsidR="00D95DA1" w:rsidRPr="002F111D" w:rsidRDefault="00D95DA1" w:rsidP="00D95DA1">
      <w:pPr>
        <w:pStyle w:val="FootnoteText"/>
      </w:pPr>
      <w:r w:rsidRPr="002F111D">
        <w:tab/>
      </w:r>
      <w:r w:rsidRPr="00764A66">
        <w:rPr>
          <w:rStyle w:val="FootnoteReference"/>
        </w:rPr>
        <w:footnoteRef/>
      </w:r>
      <w:r w:rsidRPr="002F111D">
        <w:tab/>
        <w:t>Ibid.</w:t>
      </w:r>
    </w:p>
  </w:footnote>
  <w:footnote w:id="8">
    <w:p w14:paraId="4E6D6482" w14:textId="77777777" w:rsidR="00D95DA1" w:rsidRPr="00F6209D" w:rsidRDefault="00D95DA1" w:rsidP="005770D7">
      <w:pPr>
        <w:pStyle w:val="FootnoteText"/>
      </w:pPr>
      <w:r w:rsidRPr="002F111D">
        <w:tab/>
      </w:r>
      <w:r w:rsidRPr="00764A66">
        <w:rPr>
          <w:rStyle w:val="FootnoteReference"/>
        </w:rPr>
        <w:footnoteRef/>
      </w:r>
      <w:r w:rsidRPr="002F111D">
        <w:tab/>
      </w:r>
      <w:proofErr w:type="spellStart"/>
      <w:r w:rsidRPr="002F111D">
        <w:rPr>
          <w:i/>
        </w:rPr>
        <w:t>Koreshkov</w:t>
      </w:r>
      <w:proofErr w:type="spellEnd"/>
      <w:r w:rsidRPr="002F111D">
        <w:rPr>
          <w:i/>
        </w:rPr>
        <w:t xml:space="preserve"> v. Belarus </w:t>
      </w:r>
      <w:r w:rsidRPr="002F111D">
        <w:t xml:space="preserve">(CCPR/C/121/D/2168/2012); </w:t>
      </w:r>
      <w:proofErr w:type="spellStart"/>
      <w:r w:rsidRPr="002F111D">
        <w:rPr>
          <w:i/>
        </w:rPr>
        <w:t>Poplavny</w:t>
      </w:r>
      <w:proofErr w:type="spellEnd"/>
      <w:r w:rsidRPr="002F111D">
        <w:rPr>
          <w:i/>
        </w:rPr>
        <w:t xml:space="preserve"> and </w:t>
      </w:r>
      <w:proofErr w:type="spellStart"/>
      <w:r w:rsidRPr="002F111D">
        <w:rPr>
          <w:i/>
        </w:rPr>
        <w:t>Sudalenko</w:t>
      </w:r>
      <w:proofErr w:type="spellEnd"/>
      <w:r w:rsidRPr="002F111D">
        <w:rPr>
          <w:i/>
        </w:rPr>
        <w:t xml:space="preserve"> v. Belarus </w:t>
      </w:r>
      <w:r w:rsidRPr="002F111D">
        <w:t xml:space="preserve">(CCPR/C/118/D/2139/2012); </w:t>
      </w:r>
      <w:proofErr w:type="spellStart"/>
      <w:r w:rsidRPr="002F111D">
        <w:rPr>
          <w:i/>
          <w:iCs/>
          <w:szCs w:val="18"/>
        </w:rPr>
        <w:t>Korol</w:t>
      </w:r>
      <w:proofErr w:type="spellEnd"/>
      <w:r w:rsidRPr="002F111D">
        <w:rPr>
          <w:i/>
          <w:iCs/>
          <w:szCs w:val="18"/>
        </w:rPr>
        <w:t xml:space="preserve"> v. Belarus </w:t>
      </w:r>
      <w:r w:rsidRPr="002F111D">
        <w:rPr>
          <w:iCs/>
          <w:szCs w:val="18"/>
        </w:rPr>
        <w:t>(</w:t>
      </w:r>
      <w:r w:rsidRPr="002F111D">
        <w:rPr>
          <w:bCs/>
          <w:szCs w:val="18"/>
        </w:rPr>
        <w:t xml:space="preserve">CCPR/C/117/D/2089/2011); </w:t>
      </w:r>
      <w:proofErr w:type="spellStart"/>
      <w:r w:rsidRPr="002F111D">
        <w:rPr>
          <w:i/>
        </w:rPr>
        <w:t>Levinov</w:t>
      </w:r>
      <w:proofErr w:type="spellEnd"/>
      <w:r w:rsidRPr="002F111D">
        <w:rPr>
          <w:i/>
        </w:rPr>
        <w:t xml:space="preserve"> v. Belarus</w:t>
      </w:r>
      <w:r w:rsidRPr="002F111D">
        <w:t xml:space="preserve"> (CCPR/C/117/D/2082/</w:t>
      </w:r>
      <w:r w:rsidRPr="005770D7">
        <w:t>2011</w:t>
      </w:r>
      <w:r w:rsidRPr="002F111D">
        <w:t xml:space="preserve">), para. </w:t>
      </w:r>
      <w:r w:rsidRPr="00F6209D">
        <w:t xml:space="preserve">8.3; </w:t>
      </w:r>
      <w:r>
        <w:t xml:space="preserve">and </w:t>
      </w:r>
      <w:proofErr w:type="spellStart"/>
      <w:r w:rsidRPr="0015294B">
        <w:rPr>
          <w:i/>
        </w:rPr>
        <w:t>Levinov</w:t>
      </w:r>
      <w:proofErr w:type="spellEnd"/>
      <w:r w:rsidRPr="0015294B">
        <w:rPr>
          <w:i/>
        </w:rPr>
        <w:t xml:space="preserve"> v. Belarus</w:t>
      </w:r>
      <w:r w:rsidRPr="00F6209D">
        <w:t xml:space="preserve"> (CCPR/C/105/D/1867/2009, 1936, 1975, 1977</w:t>
      </w:r>
      <w:r>
        <w:t>–</w:t>
      </w:r>
      <w:r w:rsidRPr="00F6209D">
        <w:t>1981, 2010/2010), para. 10.3.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4" w14:textId="3388A912" w:rsidR="006A31AE" w:rsidRPr="001C7C93" w:rsidRDefault="00F93E79" w:rsidP="006A31AE">
    <w:pPr>
      <w:pStyle w:val="Header"/>
      <w:rPr>
        <w:color w:val="FF0000"/>
      </w:rPr>
    </w:pPr>
    <w:r w:rsidRPr="00F93E79">
      <w:t xml:space="preserve">Advance unedited version </w:t>
    </w:r>
    <w:r w:rsidR="006A31AE" w:rsidRPr="006A31AE">
      <w:t>CCPR</w:t>
    </w:r>
    <w:r w:rsidR="001C7C93">
      <w:t>/C/</w:t>
    </w:r>
    <w:r w:rsidR="00244A47">
      <w:t>125</w:t>
    </w:r>
    <w:r w:rsidR="001C7C93" w:rsidRPr="001C7C93">
      <w:t>/</w:t>
    </w:r>
    <w:r w:rsidR="001C7C93">
      <w:t>D/</w:t>
    </w:r>
    <w:r w:rsidR="00244A47">
      <w:t>2720</w:t>
    </w:r>
    <w:r w:rsidR="001C7C93">
      <w:t>/</w:t>
    </w:r>
    <w:r w:rsidR="00244A47">
      <w:t>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5" w14:textId="44D9A809" w:rsidR="006A31AE" w:rsidRPr="00CD426C" w:rsidRDefault="00F93E79" w:rsidP="00CD426C">
    <w:pPr>
      <w:pStyle w:val="Header"/>
      <w:jc w:val="right"/>
    </w:pPr>
    <w:r w:rsidRPr="00F93E79">
      <w:t xml:space="preserve">Advance unedited version </w:t>
    </w:r>
    <w:r w:rsidR="00CD426C" w:rsidRPr="006A31AE">
      <w:t>CCPR</w:t>
    </w:r>
    <w:r w:rsidR="00CD426C">
      <w:t>/C/125</w:t>
    </w:r>
    <w:r w:rsidR="00CD426C" w:rsidRPr="001C7C93">
      <w:t>/</w:t>
    </w:r>
    <w:r w:rsidR="00CD426C">
      <w:t>D/2720/2016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567"/>
  <w:hyphenationZone w:val="425"/>
  <w:evenAndOddHeaders/>
  <w:characterSpacingControl w:val="doNotCompress"/>
  <w:hdrShapeDefaults>
    <o:shapedefaults v:ext="edit" spidmax="4915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46E92"/>
    <w:rsid w:val="0006523D"/>
    <w:rsid w:val="000C7386"/>
    <w:rsid w:val="00116E61"/>
    <w:rsid w:val="00120971"/>
    <w:rsid w:val="00131D7A"/>
    <w:rsid w:val="00165C15"/>
    <w:rsid w:val="00172982"/>
    <w:rsid w:val="00180493"/>
    <w:rsid w:val="00182F48"/>
    <w:rsid w:val="001C7C93"/>
    <w:rsid w:val="00244A47"/>
    <w:rsid w:val="00247E2C"/>
    <w:rsid w:val="00287032"/>
    <w:rsid w:val="002C646D"/>
    <w:rsid w:val="002D418E"/>
    <w:rsid w:val="002D6C53"/>
    <w:rsid w:val="002F5595"/>
    <w:rsid w:val="003125C4"/>
    <w:rsid w:val="00334F6A"/>
    <w:rsid w:val="00336B9B"/>
    <w:rsid w:val="00342AC8"/>
    <w:rsid w:val="00351412"/>
    <w:rsid w:val="00356BB7"/>
    <w:rsid w:val="00395056"/>
    <w:rsid w:val="003B4550"/>
    <w:rsid w:val="003B6110"/>
    <w:rsid w:val="003D659B"/>
    <w:rsid w:val="003E59A2"/>
    <w:rsid w:val="00433417"/>
    <w:rsid w:val="00461253"/>
    <w:rsid w:val="00480A61"/>
    <w:rsid w:val="005042C2"/>
    <w:rsid w:val="00504C52"/>
    <w:rsid w:val="005303EF"/>
    <w:rsid w:val="00536A13"/>
    <w:rsid w:val="005553FD"/>
    <w:rsid w:val="005770D7"/>
    <w:rsid w:val="005B02AC"/>
    <w:rsid w:val="00604E90"/>
    <w:rsid w:val="00671529"/>
    <w:rsid w:val="006A31AE"/>
    <w:rsid w:val="006F1AA2"/>
    <w:rsid w:val="006F57FF"/>
    <w:rsid w:val="0071515E"/>
    <w:rsid w:val="007268F9"/>
    <w:rsid w:val="007312D8"/>
    <w:rsid w:val="007432E8"/>
    <w:rsid w:val="007B0B5B"/>
    <w:rsid w:val="007C52B0"/>
    <w:rsid w:val="007D6FEE"/>
    <w:rsid w:val="00817E57"/>
    <w:rsid w:val="00817E90"/>
    <w:rsid w:val="0082438F"/>
    <w:rsid w:val="00836B71"/>
    <w:rsid w:val="008D1EBF"/>
    <w:rsid w:val="008D3450"/>
    <w:rsid w:val="009411B4"/>
    <w:rsid w:val="00987575"/>
    <w:rsid w:val="00991FD4"/>
    <w:rsid w:val="009D0139"/>
    <w:rsid w:val="009E02C5"/>
    <w:rsid w:val="009E52FD"/>
    <w:rsid w:val="009F5CDC"/>
    <w:rsid w:val="00A05CC8"/>
    <w:rsid w:val="00A20479"/>
    <w:rsid w:val="00A23459"/>
    <w:rsid w:val="00A532A4"/>
    <w:rsid w:val="00A60CBD"/>
    <w:rsid w:val="00A775CF"/>
    <w:rsid w:val="00AD5FE2"/>
    <w:rsid w:val="00B06045"/>
    <w:rsid w:val="00B350D2"/>
    <w:rsid w:val="00B903E5"/>
    <w:rsid w:val="00B94399"/>
    <w:rsid w:val="00C35A27"/>
    <w:rsid w:val="00CD426C"/>
    <w:rsid w:val="00D95DA1"/>
    <w:rsid w:val="00D963F1"/>
    <w:rsid w:val="00E02C2B"/>
    <w:rsid w:val="00E02D02"/>
    <w:rsid w:val="00E30C41"/>
    <w:rsid w:val="00E65831"/>
    <w:rsid w:val="00E9523D"/>
    <w:rsid w:val="00EA1EDC"/>
    <w:rsid w:val="00ED6C48"/>
    <w:rsid w:val="00EE208C"/>
    <w:rsid w:val="00F41F0F"/>
    <w:rsid w:val="00F57A55"/>
    <w:rsid w:val="00F603F4"/>
    <w:rsid w:val="00F65F5D"/>
    <w:rsid w:val="00F86A3A"/>
    <w:rsid w:val="00F93E79"/>
    <w:rsid w:val="00F95AF8"/>
    <w:rsid w:val="00FA3AB2"/>
    <w:rsid w:val="00FB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72A415"/>
  <w15:docId w15:val="{1B58C2E0-60C3-4C50-A43B-5D5D39BF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120971"/>
    <w:rPr>
      <w:rFonts w:eastAsia="SimSun"/>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3B761-DE22-4495-BE53-305305A2A40F}"/>
</file>

<file path=customXml/itemProps2.xml><?xml version="1.0" encoding="utf-8"?>
<ds:datastoreItem xmlns:ds="http://schemas.openxmlformats.org/officeDocument/2006/customXml" ds:itemID="{6E168F54-51DB-46C3-9FA4-19EEC371B2EF}"/>
</file>

<file path=customXml/itemProps3.xml><?xml version="1.0" encoding="utf-8"?>
<ds:datastoreItem xmlns:ds="http://schemas.openxmlformats.org/officeDocument/2006/customXml" ds:itemID="{BDF6B080-11B2-4E54-B854-9CEB8A4EFD8B}"/>
</file>

<file path=customXml/itemProps4.xml><?xml version="1.0" encoding="utf-8"?>
<ds:datastoreItem xmlns:ds="http://schemas.openxmlformats.org/officeDocument/2006/customXml" ds:itemID="{0672B2F4-D659-47D7-B8C7-51F03D362AB4}"/>
</file>

<file path=docProps/app.xml><?xml version="1.0" encoding="utf-8"?>
<Properties xmlns="http://schemas.openxmlformats.org/officeDocument/2006/extended-properties" xmlns:vt="http://schemas.openxmlformats.org/officeDocument/2006/docPropsVTypes">
  <Template>Normal.dotm</Template>
  <TotalTime>18</TotalTime>
  <Pages>5</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CCPR/C/125/DR/2720/2016</vt:lpstr>
    </vt:vector>
  </TitlesOfParts>
  <Company>DCM</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CCPR/C/125/DR/2720/2016</dc:title>
  <dc:subject>1903683</dc:subject>
  <dc:creator>Giltsoff</dc:creator>
  <cp:keywords/>
  <dc:description/>
  <cp:lastModifiedBy>ABDELAZIM Mohamed</cp:lastModifiedBy>
  <cp:revision>11</cp:revision>
  <cp:lastPrinted>2016-05-03T12:32:00Z</cp:lastPrinted>
  <dcterms:created xsi:type="dcterms:W3CDTF">2019-03-31T22:50:00Z</dcterms:created>
  <dcterms:modified xsi:type="dcterms:W3CDTF">2019-04-30T09:54:00Z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