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0"/>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8D1724" w:rsidRPr="008D1724" w14:paraId="764B3EB7" w14:textId="77777777" w:rsidTr="00D21612">
        <w:trPr>
          <w:cantSplit/>
          <w:trHeight w:hRule="exact" w:val="851"/>
        </w:trPr>
        <w:tc>
          <w:tcPr>
            <w:tcW w:w="1276" w:type="dxa"/>
            <w:tcBorders>
              <w:bottom w:val="single" w:sz="4" w:space="0" w:color="auto"/>
            </w:tcBorders>
            <w:vAlign w:val="bottom"/>
          </w:tcPr>
          <w:p w14:paraId="54F05D9C" w14:textId="77777777" w:rsidR="00FB6500" w:rsidRPr="00FB6500" w:rsidRDefault="00FB6500" w:rsidP="00FB6500">
            <w:pPr>
              <w:spacing w:after="80"/>
            </w:pPr>
          </w:p>
        </w:tc>
        <w:tc>
          <w:tcPr>
            <w:tcW w:w="2268" w:type="dxa"/>
            <w:tcBorders>
              <w:bottom w:val="single" w:sz="4" w:space="0" w:color="auto"/>
            </w:tcBorders>
            <w:vAlign w:val="bottom"/>
          </w:tcPr>
          <w:p w14:paraId="24440C6E" w14:textId="77777777" w:rsidR="00FB6500" w:rsidRPr="00FB6500" w:rsidRDefault="00FB6500" w:rsidP="00FB6500">
            <w:pPr>
              <w:spacing w:after="80" w:line="300" w:lineRule="exact"/>
              <w:rPr>
                <w:b/>
                <w:sz w:val="24"/>
                <w:szCs w:val="24"/>
              </w:rPr>
            </w:pPr>
            <w:r w:rsidRPr="00FB6500">
              <w:rPr>
                <w:sz w:val="28"/>
                <w:szCs w:val="28"/>
              </w:rPr>
              <w:t>United Nations</w:t>
            </w:r>
          </w:p>
        </w:tc>
        <w:tc>
          <w:tcPr>
            <w:tcW w:w="6095" w:type="dxa"/>
            <w:gridSpan w:val="2"/>
            <w:tcBorders>
              <w:bottom w:val="single" w:sz="4" w:space="0" w:color="auto"/>
            </w:tcBorders>
            <w:vAlign w:val="bottom"/>
          </w:tcPr>
          <w:p w14:paraId="619D9ADF" w14:textId="381A196D" w:rsidR="00FB6500" w:rsidRPr="008D1724" w:rsidRDefault="00B633FF" w:rsidP="00B633FF">
            <w:pPr>
              <w:suppressAutoHyphens w:val="0"/>
              <w:spacing w:after="20"/>
              <w:jc w:val="right"/>
              <w:rPr>
                <w:color w:val="1D1B11" w:themeColor="background2" w:themeShade="1A"/>
                <w:sz w:val="40"/>
              </w:rPr>
            </w:pPr>
            <w:r>
              <w:rPr>
                <w:color w:val="1D1B11" w:themeColor="background2" w:themeShade="1A"/>
                <w:sz w:val="40"/>
              </w:rPr>
              <w:t>CCPR</w:t>
            </w:r>
            <w:r w:rsidR="00014EB7">
              <w:rPr>
                <w:color w:val="1D1B11" w:themeColor="background2" w:themeShade="1A"/>
              </w:rPr>
              <w:t>/C/125/D/2</w:t>
            </w:r>
            <w:r w:rsidRPr="00B633FF">
              <w:rPr>
                <w:color w:val="1D1B11" w:themeColor="background2" w:themeShade="1A"/>
              </w:rPr>
              <w:t>034/2011</w:t>
            </w:r>
          </w:p>
        </w:tc>
      </w:tr>
      <w:tr w:rsidR="00FB6500" w:rsidRPr="00FB6500" w14:paraId="3A9C1453" w14:textId="77777777" w:rsidTr="00D21612">
        <w:trPr>
          <w:cantSplit/>
          <w:trHeight w:hRule="exact" w:val="2835"/>
        </w:trPr>
        <w:tc>
          <w:tcPr>
            <w:tcW w:w="1276" w:type="dxa"/>
            <w:tcBorders>
              <w:top w:val="single" w:sz="4" w:space="0" w:color="auto"/>
              <w:bottom w:val="single" w:sz="12" w:space="0" w:color="auto"/>
            </w:tcBorders>
          </w:tcPr>
          <w:p w14:paraId="3FB1ED4A" w14:textId="77777777" w:rsidR="00FB6500" w:rsidRPr="00FB6500" w:rsidRDefault="00FB6500" w:rsidP="00FB6500">
            <w:pPr>
              <w:spacing w:before="120"/>
            </w:pPr>
            <w:r w:rsidRPr="00FB6500">
              <w:rPr>
                <w:noProof/>
                <w:lang w:eastAsia="en-GB"/>
              </w:rPr>
              <w:drawing>
                <wp:inline distT="0" distB="0" distL="0" distR="0" wp14:anchorId="24B53AF4" wp14:editId="57A35EBB">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EE80A9" w14:textId="77777777" w:rsidR="00FB6500" w:rsidRDefault="00FB6500" w:rsidP="00FB6500">
            <w:pPr>
              <w:spacing w:before="120" w:line="380" w:lineRule="exact"/>
              <w:rPr>
                <w:b/>
                <w:sz w:val="34"/>
                <w:szCs w:val="40"/>
              </w:rPr>
            </w:pPr>
            <w:r w:rsidRPr="00FB6500">
              <w:rPr>
                <w:b/>
                <w:sz w:val="34"/>
                <w:szCs w:val="40"/>
              </w:rPr>
              <w:t>International Covenant on</w:t>
            </w:r>
            <w:r w:rsidRPr="00FB6500">
              <w:rPr>
                <w:b/>
                <w:sz w:val="34"/>
                <w:szCs w:val="40"/>
              </w:rPr>
              <w:br/>
              <w:t>Civil and Political Rights</w:t>
            </w:r>
          </w:p>
          <w:p w14:paraId="0914E4FD" w14:textId="77777777" w:rsidR="00F93E0A" w:rsidRDefault="00F93E0A" w:rsidP="00F93E0A">
            <w:pPr>
              <w:spacing w:before="120" w:line="380" w:lineRule="exact"/>
              <w:rPr>
                <w:b/>
                <w:sz w:val="34"/>
                <w:szCs w:val="40"/>
              </w:rPr>
            </w:pPr>
            <w:r>
              <w:rPr>
                <w:sz w:val="34"/>
              </w:rPr>
              <w:t>Advance unedited version</w:t>
            </w:r>
          </w:p>
          <w:p w14:paraId="27E8FEA2" w14:textId="4664C536" w:rsidR="00F93E0A" w:rsidRPr="00FB6500" w:rsidRDefault="00F93E0A" w:rsidP="00FB6500">
            <w:pPr>
              <w:spacing w:before="120" w:line="380" w:lineRule="exact"/>
              <w:rPr>
                <w:sz w:val="34"/>
              </w:rPr>
            </w:pPr>
          </w:p>
        </w:tc>
        <w:tc>
          <w:tcPr>
            <w:tcW w:w="2835" w:type="dxa"/>
            <w:tcBorders>
              <w:top w:val="single" w:sz="4" w:space="0" w:color="auto"/>
              <w:bottom w:val="single" w:sz="12" w:space="0" w:color="auto"/>
            </w:tcBorders>
          </w:tcPr>
          <w:p w14:paraId="307D6305" w14:textId="715A928F" w:rsidR="00FB6500" w:rsidRPr="00CF498D" w:rsidRDefault="00FB6500" w:rsidP="00FB6500">
            <w:pPr>
              <w:suppressAutoHyphens w:val="0"/>
              <w:spacing w:before="240" w:line="240" w:lineRule="exact"/>
              <w:rPr>
                <w:sz w:val="22"/>
              </w:rPr>
            </w:pPr>
            <w:r w:rsidRPr="00FB6500">
              <w:t xml:space="preserve">Distr.: </w:t>
            </w:r>
            <w:r w:rsidR="008C2284">
              <w:t>General</w:t>
            </w:r>
          </w:p>
          <w:p w14:paraId="74D4AF79" w14:textId="14501653" w:rsidR="008D30DE" w:rsidRDefault="004326FE" w:rsidP="00376C0B">
            <w:pPr>
              <w:spacing w:line="240" w:lineRule="auto"/>
              <w:rPr>
                <w:lang w:val="en-US"/>
              </w:rPr>
            </w:pPr>
            <w:r>
              <w:rPr>
                <w:lang w:val="en-US"/>
              </w:rPr>
              <w:t>8</w:t>
            </w:r>
            <w:r w:rsidR="008C2284">
              <w:rPr>
                <w:lang w:val="en-US"/>
              </w:rPr>
              <w:t xml:space="preserve"> April</w:t>
            </w:r>
            <w:r w:rsidR="008D30DE">
              <w:rPr>
                <w:lang w:val="en-US"/>
              </w:rPr>
              <w:t xml:space="preserve"> 2019</w:t>
            </w:r>
          </w:p>
          <w:p w14:paraId="74AF9633" w14:textId="77777777" w:rsidR="00FB6500" w:rsidRPr="00FB6500" w:rsidRDefault="00FB6500" w:rsidP="00FB6500">
            <w:pPr>
              <w:suppressAutoHyphens w:val="0"/>
            </w:pPr>
          </w:p>
          <w:p w14:paraId="0F222B20" w14:textId="77777777" w:rsidR="00FB6500" w:rsidRPr="00FB6500" w:rsidRDefault="00FB6500" w:rsidP="00FB6500">
            <w:pPr>
              <w:suppressAutoHyphens w:val="0"/>
            </w:pPr>
            <w:r w:rsidRPr="00FB6500">
              <w:t>Original: English</w:t>
            </w:r>
          </w:p>
          <w:p w14:paraId="2CDD2333" w14:textId="4E5BA747" w:rsidR="00FB6500" w:rsidRPr="00FB6500" w:rsidRDefault="00FB6500" w:rsidP="00FB6500">
            <w:pPr>
              <w:suppressAutoHyphens w:val="0"/>
            </w:pPr>
          </w:p>
        </w:tc>
      </w:tr>
    </w:tbl>
    <w:p w14:paraId="10C481DB" w14:textId="77777777" w:rsidR="00FB6500" w:rsidRPr="00FB6500" w:rsidRDefault="00FB6500" w:rsidP="00FB6500">
      <w:pPr>
        <w:spacing w:before="120"/>
        <w:rPr>
          <w:b/>
          <w:bCs/>
          <w:sz w:val="24"/>
        </w:rPr>
      </w:pPr>
      <w:r w:rsidRPr="00FB6500">
        <w:rPr>
          <w:b/>
          <w:bCs/>
          <w:sz w:val="24"/>
        </w:rPr>
        <w:t>Human Rights Committee</w:t>
      </w:r>
    </w:p>
    <w:p w14:paraId="05FDD5CB" w14:textId="6A24455C" w:rsidR="00FB6500" w:rsidRPr="00FB6500" w:rsidRDefault="00FB6500" w:rsidP="008177F8">
      <w:pPr>
        <w:keepNext/>
        <w:keepLines/>
        <w:tabs>
          <w:tab w:val="right" w:pos="851"/>
        </w:tabs>
        <w:spacing w:before="360" w:after="240" w:line="300" w:lineRule="exact"/>
        <w:ind w:left="1134" w:right="1134" w:hanging="1134"/>
        <w:rPr>
          <w:rFonts w:eastAsia="MS Mincho"/>
          <w:b/>
          <w:sz w:val="24"/>
        </w:rPr>
      </w:pPr>
      <w:r w:rsidRPr="00FB6500">
        <w:rPr>
          <w:b/>
          <w:sz w:val="28"/>
        </w:rPr>
        <w:tab/>
      </w:r>
      <w:r w:rsidRPr="00FB6500">
        <w:rPr>
          <w:b/>
          <w:sz w:val="28"/>
        </w:rPr>
        <w:tab/>
      </w:r>
      <w:r w:rsidR="008C2284" w:rsidRPr="008177F8">
        <w:rPr>
          <w:b/>
          <w:sz w:val="28"/>
          <w:szCs w:val="28"/>
        </w:rPr>
        <w:t>Decision adopted by the Committee under the Optional Protocol, concerning</w:t>
      </w:r>
      <w:r w:rsidR="008C2284" w:rsidRPr="008177F8">
        <w:rPr>
          <w:b/>
          <w:sz w:val="28"/>
        </w:rPr>
        <w:t xml:space="preserve"> </w:t>
      </w:r>
      <w:r w:rsidR="008C2284">
        <w:rPr>
          <w:b/>
          <w:sz w:val="28"/>
        </w:rPr>
        <w:t>c</w:t>
      </w:r>
      <w:r w:rsidRPr="00FB6500">
        <w:rPr>
          <w:b/>
          <w:sz w:val="28"/>
        </w:rPr>
        <w:t>ommunication No</w:t>
      </w:r>
      <w:r w:rsidRPr="008D1724">
        <w:rPr>
          <w:b/>
          <w:color w:val="1D1B11" w:themeColor="background2" w:themeShade="1A"/>
          <w:sz w:val="28"/>
        </w:rPr>
        <w:t xml:space="preserve">. </w:t>
      </w:r>
      <w:r w:rsidR="00E50D0C" w:rsidRPr="008D1724">
        <w:rPr>
          <w:b/>
          <w:color w:val="1D1B11" w:themeColor="background2" w:themeShade="1A"/>
          <w:sz w:val="28"/>
        </w:rPr>
        <w:t>2034/2011</w:t>
      </w:r>
      <w:r w:rsidRPr="008D1724">
        <w:rPr>
          <w:bCs/>
          <w:color w:val="000000" w:themeColor="text1"/>
        </w:rPr>
        <w:footnoteReference w:customMarkFollows="1" w:id="2"/>
        <w:t>*</w:t>
      </w:r>
      <w:r w:rsidR="008177F8">
        <w:rPr>
          <w:bCs/>
          <w:color w:val="000000" w:themeColor="text1"/>
        </w:rPr>
        <w:t>,</w:t>
      </w:r>
      <w:r w:rsidR="008177F8" w:rsidRPr="008177F8">
        <w:rPr>
          <w:rStyle w:val="FootnoteReference"/>
          <w:bCs/>
          <w:color w:val="000000" w:themeColor="text1"/>
          <w:sz w:val="20"/>
          <w:vertAlign w:val="baseline"/>
        </w:rPr>
        <w:footnoteReference w:customMarkFollows="1" w:id="3"/>
        <w:t>**</w:t>
      </w:r>
      <w:r w:rsidRPr="00FB6500">
        <w:rPr>
          <w:rFonts w:eastAsia="MS Mincho"/>
          <w:b/>
          <w:sz w:val="24"/>
        </w:rPr>
        <w:tab/>
      </w:r>
      <w:r w:rsidRPr="00FB6500">
        <w:rPr>
          <w:rFonts w:eastAsia="MS Mincho"/>
          <w:b/>
          <w:sz w:val="24"/>
        </w:rPr>
        <w:tab/>
      </w:r>
    </w:p>
    <w:tbl>
      <w:tblPr>
        <w:tblStyle w:val="TableGrid10"/>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FB6500" w:rsidRPr="00FB6500" w14:paraId="6A943508" w14:textId="77777777" w:rsidTr="00D21612">
        <w:tc>
          <w:tcPr>
            <w:tcW w:w="3119" w:type="dxa"/>
          </w:tcPr>
          <w:p w14:paraId="75FF7E92" w14:textId="77777777" w:rsidR="00FB6500" w:rsidRPr="008D30DE" w:rsidRDefault="00FB6500" w:rsidP="00FB6500">
            <w:pPr>
              <w:spacing w:after="120"/>
              <w:rPr>
                <w:rFonts w:eastAsia="SimSun"/>
                <w:i/>
                <w:lang w:eastAsia="zh-CN"/>
              </w:rPr>
            </w:pPr>
            <w:r w:rsidRPr="008D30DE">
              <w:rPr>
                <w:rFonts w:eastAsia="SimSun"/>
                <w:i/>
                <w:lang w:eastAsia="zh-CN"/>
              </w:rPr>
              <w:t>Communication submitted by:</w:t>
            </w:r>
          </w:p>
        </w:tc>
        <w:tc>
          <w:tcPr>
            <w:tcW w:w="3685" w:type="dxa"/>
          </w:tcPr>
          <w:p w14:paraId="65A79F39" w14:textId="089A906E" w:rsidR="00FB6500" w:rsidRPr="008D30DE" w:rsidRDefault="008C2284" w:rsidP="003619C3">
            <w:pPr>
              <w:spacing w:after="120"/>
              <w:rPr>
                <w:rFonts w:eastAsia="SimSun"/>
                <w:lang w:eastAsia="zh-CN"/>
              </w:rPr>
            </w:pPr>
            <w:r>
              <w:rPr>
                <w:rFonts w:eastAsia="SimSun"/>
                <w:lang w:eastAsia="zh-CN"/>
              </w:rPr>
              <w:t>S.D.P.T.</w:t>
            </w:r>
            <w:r w:rsidR="00FB6500" w:rsidRPr="009F584B">
              <w:rPr>
                <w:rFonts w:eastAsia="SimSun"/>
                <w:lang w:eastAsia="zh-CN"/>
              </w:rPr>
              <w:t xml:space="preserve">, </w:t>
            </w:r>
            <w:r>
              <w:rPr>
                <w:rFonts w:eastAsia="SimSun"/>
                <w:lang w:eastAsia="zh-CN"/>
              </w:rPr>
              <w:t xml:space="preserve">Y.F.R.T </w:t>
            </w:r>
            <w:r w:rsidR="00FB6500" w:rsidRPr="009F584B">
              <w:rPr>
                <w:rFonts w:eastAsia="SimSun"/>
                <w:lang w:eastAsia="zh-CN"/>
              </w:rPr>
              <w:t xml:space="preserve">and </w:t>
            </w:r>
            <w:r>
              <w:rPr>
                <w:rFonts w:eastAsia="SimSun"/>
                <w:lang w:eastAsia="zh-CN"/>
              </w:rPr>
              <w:t>P.T.</w:t>
            </w:r>
            <w:r w:rsidR="00CE0CB4">
              <w:rPr>
                <w:rFonts w:eastAsia="SimSun"/>
                <w:lang w:eastAsia="zh-CN"/>
              </w:rPr>
              <w:t xml:space="preserve"> (represented by counsel Monica Feria-</w:t>
            </w:r>
            <w:proofErr w:type="spellStart"/>
            <w:r w:rsidR="00CE0CB4">
              <w:rPr>
                <w:rFonts w:eastAsia="SimSun"/>
                <w:lang w:eastAsia="zh-CN"/>
              </w:rPr>
              <w:t>Tinta</w:t>
            </w:r>
            <w:proofErr w:type="spellEnd"/>
            <w:r w:rsidR="00CE0CB4">
              <w:rPr>
                <w:rFonts w:eastAsia="SimSun"/>
                <w:lang w:eastAsia="zh-CN"/>
              </w:rPr>
              <w:t>)</w:t>
            </w:r>
          </w:p>
        </w:tc>
      </w:tr>
      <w:tr w:rsidR="00FB6500" w:rsidRPr="00FB6500" w14:paraId="2403C5D6" w14:textId="77777777" w:rsidTr="00D21612">
        <w:tc>
          <w:tcPr>
            <w:tcW w:w="3119" w:type="dxa"/>
          </w:tcPr>
          <w:p w14:paraId="52C36040" w14:textId="77777777" w:rsidR="00FB6500" w:rsidRPr="008D30DE" w:rsidRDefault="00FB6500" w:rsidP="00FB6500">
            <w:pPr>
              <w:spacing w:after="120"/>
              <w:rPr>
                <w:rFonts w:eastAsia="SimSun"/>
                <w:i/>
                <w:lang w:eastAsia="zh-CN"/>
              </w:rPr>
            </w:pPr>
            <w:r w:rsidRPr="008D30DE">
              <w:rPr>
                <w:rFonts w:eastAsia="SimSun"/>
                <w:i/>
                <w:lang w:eastAsia="zh-CN"/>
              </w:rPr>
              <w:t>Alleged victim:</w:t>
            </w:r>
          </w:p>
        </w:tc>
        <w:tc>
          <w:tcPr>
            <w:tcW w:w="3685" w:type="dxa"/>
          </w:tcPr>
          <w:p w14:paraId="2C506A1E" w14:textId="463C2C15" w:rsidR="00FB6500" w:rsidRPr="00064776" w:rsidRDefault="00FB6500" w:rsidP="00FB6500">
            <w:pPr>
              <w:spacing w:after="120"/>
              <w:rPr>
                <w:rFonts w:eastAsia="SimSun"/>
                <w:lang w:eastAsia="zh-CN"/>
              </w:rPr>
            </w:pPr>
            <w:r w:rsidRPr="00064776">
              <w:rPr>
                <w:rFonts w:eastAsia="SimSun"/>
                <w:lang w:eastAsia="zh-CN"/>
              </w:rPr>
              <w:t>The authors</w:t>
            </w:r>
          </w:p>
        </w:tc>
      </w:tr>
      <w:tr w:rsidR="00FB6500" w:rsidRPr="00FB6500" w14:paraId="1ABFC0B9" w14:textId="77777777" w:rsidTr="00D21612">
        <w:tc>
          <w:tcPr>
            <w:tcW w:w="3119" w:type="dxa"/>
          </w:tcPr>
          <w:p w14:paraId="3FC95A6A" w14:textId="77777777" w:rsidR="00FB6500" w:rsidRPr="008D30DE" w:rsidRDefault="00FB6500" w:rsidP="00FB6500">
            <w:pPr>
              <w:spacing w:after="120"/>
              <w:rPr>
                <w:rFonts w:eastAsia="SimSun"/>
                <w:i/>
                <w:lang w:eastAsia="zh-CN"/>
              </w:rPr>
            </w:pPr>
            <w:r w:rsidRPr="008D30DE">
              <w:rPr>
                <w:rFonts w:eastAsia="SimSun"/>
                <w:i/>
                <w:lang w:eastAsia="zh-CN"/>
              </w:rPr>
              <w:t>State party:</w:t>
            </w:r>
          </w:p>
        </w:tc>
        <w:tc>
          <w:tcPr>
            <w:tcW w:w="3685" w:type="dxa"/>
          </w:tcPr>
          <w:p w14:paraId="2A9E6CC6" w14:textId="2E5589CE" w:rsidR="00FB6500" w:rsidRPr="008D30DE" w:rsidRDefault="00FB6500" w:rsidP="00FB6500">
            <w:pPr>
              <w:spacing w:after="120"/>
              <w:rPr>
                <w:rFonts w:eastAsia="SimSun"/>
                <w:lang w:eastAsia="zh-CN"/>
              </w:rPr>
            </w:pPr>
            <w:r w:rsidRPr="009F584B">
              <w:rPr>
                <w:rFonts w:eastAsia="SimSun"/>
                <w:lang w:eastAsia="zh-CN"/>
              </w:rPr>
              <w:t>Canada</w:t>
            </w:r>
          </w:p>
        </w:tc>
      </w:tr>
      <w:tr w:rsidR="00FB6500" w:rsidRPr="00FB6500" w14:paraId="6E80899B" w14:textId="77777777" w:rsidTr="00D21612">
        <w:tc>
          <w:tcPr>
            <w:tcW w:w="3119" w:type="dxa"/>
          </w:tcPr>
          <w:p w14:paraId="4951360C" w14:textId="77777777" w:rsidR="00FB6500" w:rsidRPr="008D30DE" w:rsidRDefault="00FB6500" w:rsidP="00FB6500">
            <w:pPr>
              <w:spacing w:after="120"/>
              <w:rPr>
                <w:rFonts w:eastAsia="SimSun"/>
                <w:i/>
                <w:lang w:eastAsia="zh-CN"/>
              </w:rPr>
            </w:pPr>
            <w:r w:rsidRPr="008D30DE">
              <w:rPr>
                <w:rFonts w:eastAsia="SimSun"/>
                <w:i/>
                <w:lang w:eastAsia="zh-CN"/>
              </w:rPr>
              <w:t>Date of communication:</w:t>
            </w:r>
          </w:p>
        </w:tc>
        <w:tc>
          <w:tcPr>
            <w:tcW w:w="3685" w:type="dxa"/>
          </w:tcPr>
          <w:p w14:paraId="4B935714" w14:textId="554A4D6F" w:rsidR="00FB6500" w:rsidRPr="008D30DE" w:rsidRDefault="00FB6500" w:rsidP="00FB6500">
            <w:pPr>
              <w:spacing w:after="120"/>
            </w:pPr>
            <w:r w:rsidRPr="009F584B">
              <w:t>27 March 2011 (initial submission)</w:t>
            </w:r>
          </w:p>
        </w:tc>
      </w:tr>
      <w:tr w:rsidR="00FB6500" w:rsidRPr="00FB6500" w14:paraId="02366232" w14:textId="77777777" w:rsidTr="00D21612">
        <w:tc>
          <w:tcPr>
            <w:tcW w:w="3119" w:type="dxa"/>
          </w:tcPr>
          <w:p w14:paraId="542BFC5D" w14:textId="77777777" w:rsidR="00FB6500" w:rsidRPr="008D30DE" w:rsidRDefault="00FB6500" w:rsidP="00FB6500">
            <w:pPr>
              <w:spacing w:after="120"/>
              <w:rPr>
                <w:rFonts w:eastAsia="SimSun"/>
                <w:i/>
                <w:lang w:eastAsia="zh-CN"/>
              </w:rPr>
            </w:pPr>
            <w:r w:rsidRPr="008D30DE">
              <w:rPr>
                <w:rFonts w:eastAsia="SimSun"/>
                <w:i/>
                <w:lang w:eastAsia="zh-CN"/>
              </w:rPr>
              <w:t>Document references:</w:t>
            </w:r>
          </w:p>
        </w:tc>
        <w:tc>
          <w:tcPr>
            <w:tcW w:w="3685" w:type="dxa"/>
          </w:tcPr>
          <w:p w14:paraId="367D5BC5" w14:textId="77777777" w:rsidR="00FB6500" w:rsidRPr="008D30DE" w:rsidRDefault="00FB6500" w:rsidP="00FB6500">
            <w:pPr>
              <w:spacing w:after="120"/>
              <w:rPr>
                <w:rFonts w:eastAsia="SimSun"/>
                <w:lang w:eastAsia="zh-CN"/>
              </w:rPr>
            </w:pPr>
            <w:r w:rsidRPr="00064776">
              <w:rPr>
                <w:rFonts w:eastAsia="SimSun"/>
                <w:lang w:eastAsia="zh-CN"/>
              </w:rPr>
              <w:t xml:space="preserve">Decision taken pursuant to rule 97 of the Committee’s rules of procedure, transmitted to the State party on </w:t>
            </w:r>
            <w:r w:rsidRPr="009F584B">
              <w:rPr>
                <w:rFonts w:eastAsia="SimSun"/>
                <w:lang w:eastAsia="zh-CN"/>
              </w:rPr>
              <w:t xml:space="preserve">date </w:t>
            </w:r>
            <w:r w:rsidRPr="008D30DE">
              <w:rPr>
                <w:rFonts w:eastAsia="SimSun"/>
                <w:lang w:eastAsia="zh-CN"/>
              </w:rPr>
              <w:t>(not issued in document form)</w:t>
            </w:r>
          </w:p>
        </w:tc>
      </w:tr>
      <w:tr w:rsidR="00FB6500" w:rsidRPr="00FB6500" w14:paraId="2D9FA9A9" w14:textId="77777777" w:rsidTr="00D21612">
        <w:tc>
          <w:tcPr>
            <w:tcW w:w="3119" w:type="dxa"/>
          </w:tcPr>
          <w:p w14:paraId="7B61D288" w14:textId="77777777" w:rsidR="00FB6500" w:rsidRPr="008D30DE" w:rsidRDefault="00FB6500" w:rsidP="00FB6500">
            <w:pPr>
              <w:spacing w:after="120"/>
              <w:rPr>
                <w:rFonts w:eastAsia="SimSun"/>
                <w:i/>
                <w:lang w:eastAsia="zh-CN"/>
              </w:rPr>
            </w:pPr>
            <w:r w:rsidRPr="008D30DE">
              <w:rPr>
                <w:rFonts w:eastAsia="SimSun"/>
                <w:i/>
                <w:lang w:eastAsia="zh-CN"/>
              </w:rPr>
              <w:t>Date of adoption of Views:</w:t>
            </w:r>
          </w:p>
        </w:tc>
        <w:tc>
          <w:tcPr>
            <w:tcW w:w="3685" w:type="dxa"/>
            <w:vAlign w:val="bottom"/>
          </w:tcPr>
          <w:p w14:paraId="72D6985A" w14:textId="2CA37B04" w:rsidR="00FB6500" w:rsidRPr="008D30DE" w:rsidRDefault="008C2284" w:rsidP="00FB6500">
            <w:pPr>
              <w:spacing w:after="120"/>
              <w:rPr>
                <w:rFonts w:eastAsia="SimSun"/>
                <w:lang w:eastAsia="zh-CN"/>
              </w:rPr>
            </w:pPr>
            <w:r>
              <w:rPr>
                <w:rFonts w:eastAsia="SimSun"/>
                <w:lang w:eastAsia="zh-CN"/>
              </w:rPr>
              <w:t xml:space="preserve">29 </w:t>
            </w:r>
            <w:r w:rsidR="008D30DE">
              <w:rPr>
                <w:rFonts w:eastAsia="SimSun"/>
                <w:lang w:eastAsia="zh-CN"/>
              </w:rPr>
              <w:t>March 2019</w:t>
            </w:r>
          </w:p>
        </w:tc>
      </w:tr>
      <w:tr w:rsidR="00FB6500" w:rsidRPr="00FB6500" w14:paraId="60C0DF91" w14:textId="77777777" w:rsidTr="00D21612">
        <w:tc>
          <w:tcPr>
            <w:tcW w:w="3119" w:type="dxa"/>
          </w:tcPr>
          <w:p w14:paraId="613C80B3" w14:textId="77777777" w:rsidR="00FB6500" w:rsidRPr="008D30DE" w:rsidRDefault="00FB6500" w:rsidP="00FB6500">
            <w:pPr>
              <w:spacing w:after="120"/>
              <w:rPr>
                <w:rFonts w:eastAsia="SimSun"/>
                <w:i/>
                <w:lang w:eastAsia="zh-CN"/>
              </w:rPr>
            </w:pPr>
            <w:r w:rsidRPr="008D30DE">
              <w:rPr>
                <w:rFonts w:eastAsia="SimSun"/>
                <w:i/>
                <w:iCs/>
                <w:lang w:eastAsia="zh-CN"/>
              </w:rPr>
              <w:t>Subject matter:</w:t>
            </w:r>
          </w:p>
        </w:tc>
        <w:tc>
          <w:tcPr>
            <w:tcW w:w="3685" w:type="dxa"/>
          </w:tcPr>
          <w:p w14:paraId="692237BB" w14:textId="1FD24664" w:rsidR="00FB6500" w:rsidRPr="008D30DE" w:rsidRDefault="008D30DE" w:rsidP="00FB6500">
            <w:pPr>
              <w:spacing w:after="120"/>
            </w:pPr>
            <w:r>
              <w:t>Risk of p</w:t>
            </w:r>
            <w:r w:rsidR="00FB6500" w:rsidRPr="009F584B">
              <w:t>artial demolition of house</w:t>
            </w:r>
            <w:r>
              <w:t xml:space="preserve"> for failure to obtain licence</w:t>
            </w:r>
          </w:p>
        </w:tc>
      </w:tr>
      <w:tr w:rsidR="00FB6500" w:rsidRPr="00FB6500" w14:paraId="51223E72" w14:textId="77777777" w:rsidTr="00D21612">
        <w:tc>
          <w:tcPr>
            <w:tcW w:w="3119" w:type="dxa"/>
          </w:tcPr>
          <w:p w14:paraId="624DA753" w14:textId="77777777" w:rsidR="00FB6500" w:rsidRPr="008D30DE" w:rsidRDefault="00FB6500" w:rsidP="00FB6500">
            <w:pPr>
              <w:spacing w:after="120"/>
              <w:rPr>
                <w:rFonts w:eastAsia="SimSun"/>
                <w:i/>
                <w:iCs/>
                <w:lang w:eastAsia="zh-CN"/>
              </w:rPr>
            </w:pPr>
            <w:r w:rsidRPr="008D30DE">
              <w:rPr>
                <w:rFonts w:eastAsia="SimSun"/>
                <w:i/>
                <w:iCs/>
                <w:lang w:eastAsia="zh-CN"/>
              </w:rPr>
              <w:t>Procedural issues</w:t>
            </w:r>
            <w:r w:rsidRPr="008D30DE">
              <w:rPr>
                <w:rFonts w:eastAsia="SimSun"/>
                <w:i/>
                <w:lang w:eastAsia="zh-CN"/>
              </w:rPr>
              <w:t>:</w:t>
            </w:r>
          </w:p>
        </w:tc>
        <w:tc>
          <w:tcPr>
            <w:tcW w:w="3685" w:type="dxa"/>
          </w:tcPr>
          <w:p w14:paraId="5818F956" w14:textId="38704252" w:rsidR="00FB6500" w:rsidRPr="008D30DE" w:rsidRDefault="00FB6500" w:rsidP="00FB6500">
            <w:pPr>
              <w:spacing w:after="120"/>
              <w:rPr>
                <w:rFonts w:eastAsia="SimSun"/>
                <w:lang w:eastAsia="zh-CN"/>
              </w:rPr>
            </w:pPr>
            <w:r w:rsidRPr="009F584B">
              <w:rPr>
                <w:rFonts w:eastAsia="SimSun"/>
                <w:lang w:eastAsia="zh-CN"/>
              </w:rPr>
              <w:t>Non-exhaustion of domestic remedies, failure to substantiate claims</w:t>
            </w:r>
          </w:p>
        </w:tc>
      </w:tr>
      <w:tr w:rsidR="00FB6500" w:rsidRPr="00FB6500" w14:paraId="06774F78" w14:textId="77777777" w:rsidTr="00D21612">
        <w:tc>
          <w:tcPr>
            <w:tcW w:w="3119" w:type="dxa"/>
          </w:tcPr>
          <w:p w14:paraId="29C26BF7" w14:textId="77777777" w:rsidR="00FB6500" w:rsidRPr="00FB6500" w:rsidRDefault="00FB6500" w:rsidP="00FB6500">
            <w:pPr>
              <w:keepNext/>
              <w:spacing w:after="120"/>
              <w:rPr>
                <w:rFonts w:eastAsia="SimSun"/>
                <w:i/>
                <w:iCs/>
                <w:lang w:eastAsia="zh-CN"/>
              </w:rPr>
            </w:pPr>
            <w:r w:rsidRPr="00FB6500">
              <w:rPr>
                <w:rFonts w:eastAsia="SimSun"/>
                <w:i/>
                <w:iCs/>
                <w:lang w:eastAsia="zh-CN"/>
              </w:rPr>
              <w:t>Substantive issues:</w:t>
            </w:r>
          </w:p>
        </w:tc>
        <w:tc>
          <w:tcPr>
            <w:tcW w:w="3685" w:type="dxa"/>
          </w:tcPr>
          <w:p w14:paraId="22B4A053" w14:textId="4180B649" w:rsidR="00FB6500" w:rsidRPr="00FB6500" w:rsidRDefault="00FB6500" w:rsidP="00FB6500">
            <w:pPr>
              <w:keepNext/>
              <w:spacing w:after="120"/>
            </w:pPr>
            <w:r w:rsidRPr="00FB6500">
              <w:t>Right to life</w:t>
            </w:r>
            <w:r>
              <w:t xml:space="preserve">; </w:t>
            </w:r>
            <w:r w:rsidRPr="00FB6500">
              <w:t>torture; cruel, inhuman or degrading treatment or punishment; human dignity</w:t>
            </w:r>
            <w:r>
              <w:t xml:space="preserve">; </w:t>
            </w:r>
            <w:r w:rsidRPr="00FB6500">
              <w:t>right to an effective remedy</w:t>
            </w:r>
            <w:r>
              <w:t xml:space="preserve">; right to equality before courts; right to equality and non-discrimination. </w:t>
            </w:r>
          </w:p>
        </w:tc>
      </w:tr>
      <w:tr w:rsidR="00FB6500" w:rsidRPr="00FB6500" w14:paraId="7623D5C7" w14:textId="77777777" w:rsidTr="00D21612">
        <w:tc>
          <w:tcPr>
            <w:tcW w:w="3119" w:type="dxa"/>
          </w:tcPr>
          <w:p w14:paraId="2A3074BA" w14:textId="77777777" w:rsidR="00FB6500" w:rsidRPr="008D30DE" w:rsidRDefault="00FB6500" w:rsidP="00FB6500">
            <w:pPr>
              <w:spacing w:after="120"/>
              <w:rPr>
                <w:rFonts w:eastAsia="SimSun"/>
                <w:i/>
                <w:iCs/>
                <w:lang w:eastAsia="zh-CN"/>
              </w:rPr>
            </w:pPr>
            <w:r w:rsidRPr="008D30DE">
              <w:rPr>
                <w:rFonts w:eastAsia="SimSun"/>
                <w:i/>
                <w:iCs/>
                <w:lang w:eastAsia="zh-CN"/>
              </w:rPr>
              <w:t>Articles of the Covenant</w:t>
            </w:r>
            <w:r w:rsidRPr="008D30DE">
              <w:rPr>
                <w:rFonts w:eastAsia="SimSun"/>
                <w:i/>
                <w:lang w:eastAsia="zh-CN"/>
              </w:rPr>
              <w:t>:</w:t>
            </w:r>
          </w:p>
        </w:tc>
        <w:tc>
          <w:tcPr>
            <w:tcW w:w="3685" w:type="dxa"/>
          </w:tcPr>
          <w:p w14:paraId="1FFADE03" w14:textId="281D742A" w:rsidR="00FB6500" w:rsidRPr="008D30DE" w:rsidRDefault="00FB6500" w:rsidP="00FB6500">
            <w:pPr>
              <w:spacing w:after="120"/>
              <w:rPr>
                <w:rFonts w:eastAsia="SimSun"/>
                <w:lang w:eastAsia="zh-CN"/>
              </w:rPr>
            </w:pPr>
            <w:r w:rsidRPr="009F584B">
              <w:rPr>
                <w:rFonts w:eastAsia="SimSun"/>
                <w:lang w:eastAsia="zh-CN"/>
              </w:rPr>
              <w:t xml:space="preserve">2 (3), 6, 7, 14, 17, </w:t>
            </w:r>
            <w:r w:rsidRPr="008D30DE">
              <w:rPr>
                <w:rFonts w:eastAsia="SimSun"/>
                <w:lang w:eastAsia="zh-CN"/>
              </w:rPr>
              <w:t xml:space="preserve">and </w:t>
            </w:r>
            <w:r w:rsidRPr="009F584B">
              <w:rPr>
                <w:rFonts w:eastAsia="SimSun"/>
                <w:lang w:eastAsia="zh-CN"/>
              </w:rPr>
              <w:t>26</w:t>
            </w:r>
          </w:p>
        </w:tc>
      </w:tr>
      <w:tr w:rsidR="00FB6500" w:rsidRPr="00FB6500" w14:paraId="19E1EB3F" w14:textId="77777777" w:rsidTr="00D21612">
        <w:tc>
          <w:tcPr>
            <w:tcW w:w="3119" w:type="dxa"/>
          </w:tcPr>
          <w:p w14:paraId="57CD3870" w14:textId="77777777" w:rsidR="00FB6500" w:rsidRPr="008D30DE" w:rsidRDefault="00FB6500" w:rsidP="00FB6500">
            <w:pPr>
              <w:spacing w:after="120"/>
              <w:rPr>
                <w:rFonts w:eastAsia="SimSun"/>
                <w:i/>
                <w:iCs/>
                <w:lang w:eastAsia="zh-CN"/>
              </w:rPr>
            </w:pPr>
            <w:r w:rsidRPr="008D30DE">
              <w:rPr>
                <w:rFonts w:eastAsia="SimSun"/>
                <w:i/>
                <w:iCs/>
                <w:lang w:eastAsia="zh-CN"/>
              </w:rPr>
              <w:t>Articles of the Optional Protocol:</w:t>
            </w:r>
          </w:p>
        </w:tc>
        <w:tc>
          <w:tcPr>
            <w:tcW w:w="3685" w:type="dxa"/>
          </w:tcPr>
          <w:p w14:paraId="76FB1858" w14:textId="4639417D" w:rsidR="00FB6500" w:rsidRPr="008D30DE" w:rsidRDefault="00064776" w:rsidP="00FB6500">
            <w:pPr>
              <w:spacing w:after="120"/>
              <w:rPr>
                <w:rFonts w:eastAsia="SimSun"/>
                <w:lang w:eastAsia="zh-CN"/>
              </w:rPr>
            </w:pPr>
            <w:r>
              <w:rPr>
                <w:rFonts w:eastAsia="SimSun"/>
                <w:lang w:eastAsia="zh-CN"/>
              </w:rPr>
              <w:t xml:space="preserve">1, 3, </w:t>
            </w:r>
            <w:r w:rsidR="00FB6500" w:rsidRPr="009F584B">
              <w:rPr>
                <w:rFonts w:eastAsia="SimSun"/>
                <w:lang w:eastAsia="zh-CN"/>
              </w:rPr>
              <w:t>5 (2) (b)</w:t>
            </w:r>
          </w:p>
        </w:tc>
      </w:tr>
    </w:tbl>
    <w:p w14:paraId="046146E7" w14:textId="77777777" w:rsidR="008177F8" w:rsidRDefault="008177F8" w:rsidP="00376C0B">
      <w:pPr>
        <w:pStyle w:val="SingleTxtG"/>
      </w:pPr>
    </w:p>
    <w:p w14:paraId="59A5A68D" w14:textId="77777777" w:rsidR="008177F8" w:rsidRDefault="008177F8" w:rsidP="00376C0B">
      <w:pPr>
        <w:pStyle w:val="SingleTxtG"/>
      </w:pPr>
    </w:p>
    <w:p w14:paraId="3CAA7E54" w14:textId="4850AA64" w:rsidR="008F1636" w:rsidRPr="00AF0319" w:rsidRDefault="00FB6500" w:rsidP="00376C0B">
      <w:pPr>
        <w:pStyle w:val="SingleTxtG"/>
      </w:pPr>
      <w:r>
        <w:lastRenderedPageBreak/>
        <w:tab/>
      </w:r>
      <w:r w:rsidR="008F1636" w:rsidRPr="005D7178">
        <w:t>1.</w:t>
      </w:r>
      <w:r w:rsidR="008F1636" w:rsidRPr="00376C0B">
        <w:tab/>
      </w:r>
      <w:r w:rsidR="00253341" w:rsidRPr="00376C0B">
        <w:t>The authors of the communicatio</w:t>
      </w:r>
      <w:r w:rsidR="00B96F20" w:rsidRPr="00376C0B">
        <w:t xml:space="preserve">n are Mr. </w:t>
      </w:r>
      <w:r w:rsidR="008C2284">
        <w:t>S.D.P.T</w:t>
      </w:r>
      <w:r w:rsidR="00B96F20" w:rsidRPr="00376C0B">
        <w:t xml:space="preserve">, </w:t>
      </w:r>
      <w:r w:rsidR="00253341" w:rsidRPr="00376C0B">
        <w:t>born on 2</w:t>
      </w:r>
      <w:r w:rsidR="00B96F20" w:rsidRPr="00376C0B">
        <w:t xml:space="preserve"> July 1937, and Mrs. </w:t>
      </w:r>
      <w:r w:rsidR="008C2284">
        <w:t>Y.F.R.T</w:t>
      </w:r>
      <w:r w:rsidR="00B96F20" w:rsidRPr="00376C0B">
        <w:t>, born on 24 April 1943</w:t>
      </w:r>
      <w:r w:rsidR="00253341" w:rsidRPr="00376C0B">
        <w:t xml:space="preserve">, both Canadian nationals. </w:t>
      </w:r>
      <w:r w:rsidR="00B96F20" w:rsidRPr="00376C0B">
        <w:t>They claim a violation by the State party</w:t>
      </w:r>
      <w:r w:rsidR="00253341" w:rsidRPr="00376C0B">
        <w:t xml:space="preserve"> of their rights under articles 7, 14, 17 and 26 of the </w:t>
      </w:r>
      <w:r w:rsidR="00C045E0" w:rsidRPr="00376C0B">
        <w:t>Covenant</w:t>
      </w:r>
      <w:r w:rsidR="00253341" w:rsidRPr="00376C0B">
        <w:t>. The Optional Protocol entered into force for Canada on 19 August 1976.</w:t>
      </w:r>
      <w:r w:rsidR="00BC7529" w:rsidRPr="00BC7529">
        <w:t xml:space="preserve"> </w:t>
      </w:r>
    </w:p>
    <w:p w14:paraId="73BD30A8" w14:textId="77777777" w:rsidR="008F1636" w:rsidRPr="005D7178" w:rsidRDefault="008F1636" w:rsidP="00D761C4">
      <w:pPr>
        <w:pStyle w:val="H23G"/>
      </w:pPr>
      <w:r w:rsidRPr="005D7178">
        <w:tab/>
      </w:r>
      <w:r w:rsidRPr="005D7178">
        <w:tab/>
        <w:t>The facts as presented by the author</w:t>
      </w:r>
      <w:r w:rsidR="00253341">
        <w:t>s</w:t>
      </w:r>
    </w:p>
    <w:p w14:paraId="3C009C8F" w14:textId="28F97C2D" w:rsidR="008F1636" w:rsidRPr="005D7178" w:rsidRDefault="008F1636" w:rsidP="00E378FB">
      <w:pPr>
        <w:pStyle w:val="SingleTxtG"/>
      </w:pPr>
      <w:r w:rsidRPr="005D7178">
        <w:t>2.1</w:t>
      </w:r>
      <w:r w:rsidRPr="005D7178">
        <w:tab/>
      </w:r>
      <w:r w:rsidR="00253341" w:rsidRPr="00253341">
        <w:t>The authors have lived in Canada since 1975. In June 2006, their children purchased a</w:t>
      </w:r>
      <w:r w:rsidR="00D750EC">
        <w:t xml:space="preserve"> house </w:t>
      </w:r>
      <w:r w:rsidR="00D17EDA">
        <w:t>in</w:t>
      </w:r>
      <w:r w:rsidR="00253341" w:rsidRPr="00253341">
        <w:t xml:space="preserve"> Toronto </w:t>
      </w:r>
      <w:r w:rsidR="00C045E0">
        <w:t>as a</w:t>
      </w:r>
      <w:r w:rsidR="00D750EC">
        <w:t xml:space="preserve"> retirement </w:t>
      </w:r>
      <w:r w:rsidR="00C045E0">
        <w:t>house for the authors</w:t>
      </w:r>
      <w:r w:rsidR="00D750EC">
        <w:t xml:space="preserve"> as an</w:t>
      </w:r>
      <w:r w:rsidR="00253341" w:rsidRPr="00253341">
        <w:t xml:space="preserve"> elderly couple with </w:t>
      </w:r>
      <w:r w:rsidR="00F00577">
        <w:t>several</w:t>
      </w:r>
      <w:r w:rsidR="00F00577" w:rsidRPr="00253341">
        <w:t xml:space="preserve"> </w:t>
      </w:r>
      <w:r w:rsidR="00253341" w:rsidRPr="00253341">
        <w:t>medical conditions</w:t>
      </w:r>
      <w:r w:rsidR="00F01272">
        <w:t>.</w:t>
      </w:r>
      <w:r w:rsidR="00D92F7A">
        <w:t xml:space="preserve"> </w:t>
      </w:r>
      <w:r w:rsidR="00253341" w:rsidRPr="00253341">
        <w:t xml:space="preserve">The house </w:t>
      </w:r>
      <w:r w:rsidR="00C045E0">
        <w:t>was</w:t>
      </w:r>
      <w:r w:rsidR="00253341" w:rsidRPr="00253341">
        <w:t xml:space="preserve"> a three-storey semi-detached house with a two-storey </w:t>
      </w:r>
      <w:r w:rsidR="00A81EAD">
        <w:t xml:space="preserve">wooden </w:t>
      </w:r>
      <w:r w:rsidR="00253341" w:rsidRPr="00253341">
        <w:t xml:space="preserve">auxiliary building at its rear and a shared party wall with the </w:t>
      </w:r>
      <w:r w:rsidR="00C045E0">
        <w:t xml:space="preserve">neighbouring </w:t>
      </w:r>
      <w:r w:rsidR="00253341" w:rsidRPr="00253341">
        <w:t xml:space="preserve">house. The authors decided to refurbish the house and </w:t>
      </w:r>
      <w:r w:rsidR="00D17EDA">
        <w:t>replace</w:t>
      </w:r>
      <w:r w:rsidR="00D17EDA" w:rsidRPr="00253341">
        <w:t xml:space="preserve"> </w:t>
      </w:r>
      <w:r w:rsidR="00253341" w:rsidRPr="00253341">
        <w:t xml:space="preserve">the wooden rear </w:t>
      </w:r>
      <w:r w:rsidR="00A81EAD">
        <w:t>auxiliary building</w:t>
      </w:r>
      <w:r w:rsidR="00253341" w:rsidRPr="00253341">
        <w:t xml:space="preserve"> </w:t>
      </w:r>
      <w:r w:rsidR="00D17EDA">
        <w:t>with</w:t>
      </w:r>
      <w:r w:rsidR="00253341" w:rsidRPr="00253341">
        <w:t xml:space="preserve"> a </w:t>
      </w:r>
      <w:r w:rsidR="00A81EAD">
        <w:t>masonry</w:t>
      </w:r>
      <w:r w:rsidR="00A81EAD" w:rsidRPr="00253341">
        <w:t xml:space="preserve"> </w:t>
      </w:r>
      <w:r w:rsidR="00253341" w:rsidRPr="00253341">
        <w:t>structure</w:t>
      </w:r>
      <w:r w:rsidR="00A81EAD">
        <w:t xml:space="preserve"> (hereinafter “the addition”)</w:t>
      </w:r>
      <w:r w:rsidR="002653E3">
        <w:t>, without a previous building permit</w:t>
      </w:r>
      <w:r w:rsidR="00F00577">
        <w:t>.</w:t>
      </w:r>
      <w:r w:rsidR="00253341" w:rsidRPr="00253341">
        <w:t xml:space="preserve"> </w:t>
      </w:r>
    </w:p>
    <w:p w14:paraId="7E82F9C7" w14:textId="0125B198" w:rsidR="008F1636" w:rsidRPr="005D7178" w:rsidRDefault="008F1636" w:rsidP="00E378FB">
      <w:pPr>
        <w:pStyle w:val="SingleTxtG"/>
      </w:pPr>
      <w:r w:rsidRPr="005D7178">
        <w:t>2.2</w:t>
      </w:r>
      <w:r w:rsidRPr="005D7178">
        <w:tab/>
      </w:r>
      <w:r w:rsidR="00D750EC">
        <w:t>The authors learned from an “order to c</w:t>
      </w:r>
      <w:r w:rsidR="00253341" w:rsidRPr="00253341">
        <w:t>omply</w:t>
      </w:r>
      <w:r w:rsidR="00D750EC">
        <w:t>”</w:t>
      </w:r>
      <w:r w:rsidR="00253341" w:rsidRPr="00253341">
        <w:t xml:space="preserve"> issued by the municipal authorities, posted on the front door </w:t>
      </w:r>
      <w:r w:rsidR="00A81EAD">
        <w:t xml:space="preserve">of the house </w:t>
      </w:r>
      <w:r w:rsidR="00253341" w:rsidRPr="00253341">
        <w:t>in September 2006, that a building permit was required</w:t>
      </w:r>
      <w:r w:rsidR="00A81EAD">
        <w:t xml:space="preserve"> for the addition</w:t>
      </w:r>
      <w:r w:rsidR="00253341" w:rsidRPr="00253341">
        <w:t xml:space="preserve">. </w:t>
      </w:r>
      <w:r w:rsidR="00D750EC">
        <w:t>Hence,</w:t>
      </w:r>
      <w:r w:rsidR="00253341" w:rsidRPr="00253341">
        <w:t xml:space="preserve"> the</w:t>
      </w:r>
      <w:r w:rsidR="00A81EAD">
        <w:t xml:space="preserve"> </w:t>
      </w:r>
      <w:r w:rsidR="00A81EAD" w:rsidRPr="00E378FB">
        <w:t>authors</w:t>
      </w:r>
      <w:r w:rsidR="00253341" w:rsidRPr="00253341">
        <w:t xml:space="preserve"> hired an architectural and engineering firm to obtain a permit. The firm wrote to the City on 18 September 2006. On 15 January 2007, the City issued a </w:t>
      </w:r>
      <w:r w:rsidR="002653E3">
        <w:t>n</w:t>
      </w:r>
      <w:r w:rsidR="00253341" w:rsidRPr="00253341">
        <w:t xml:space="preserve">otice of </w:t>
      </w:r>
      <w:r w:rsidR="002653E3">
        <w:t>“z</w:t>
      </w:r>
      <w:r w:rsidR="00253341" w:rsidRPr="00253341">
        <w:t>oning by-law compliance</w:t>
      </w:r>
      <w:r w:rsidR="002653E3">
        <w:t>”</w:t>
      </w:r>
      <w:r w:rsidR="00253341" w:rsidRPr="00253341">
        <w:t xml:space="preserve"> in relation to the application filed by the architects on 7 December </w:t>
      </w:r>
      <w:r w:rsidR="00253341" w:rsidRPr="00E378FB">
        <w:t>2006</w:t>
      </w:r>
      <w:r w:rsidR="00253341" w:rsidRPr="00253341">
        <w:t>. On 16 January 2007, the City issued</w:t>
      </w:r>
      <w:r w:rsidR="00D750EC">
        <w:t xml:space="preserve"> a notice of </w:t>
      </w:r>
      <w:r w:rsidR="002653E3">
        <w:t>“</w:t>
      </w:r>
      <w:r w:rsidR="00D750EC">
        <w:t>z</w:t>
      </w:r>
      <w:r w:rsidR="00253341" w:rsidRPr="00253341">
        <w:t>oning non-compliance</w:t>
      </w:r>
      <w:r w:rsidR="002653E3">
        <w:t>”</w:t>
      </w:r>
      <w:r w:rsidR="00253341" w:rsidRPr="00253341">
        <w:t xml:space="preserve"> in relation to the same application. Despite the author</w:t>
      </w:r>
      <w:r w:rsidR="00D750EC">
        <w:t>s’</w:t>
      </w:r>
      <w:r w:rsidR="00253341" w:rsidRPr="00253341">
        <w:t xml:space="preserve"> request to the City for full disclosure of all relevant documents in the zoning review file, </w:t>
      </w:r>
      <w:r w:rsidR="00971254">
        <w:t xml:space="preserve">and </w:t>
      </w:r>
      <w:r w:rsidR="00253341" w:rsidRPr="00253341">
        <w:t>the Ontario Municipal Board’s order for disclosure requiring the City to produce all documents, the authors never obtained any documents from the City</w:t>
      </w:r>
      <w:r w:rsidR="002653E3">
        <w:t>.</w:t>
      </w:r>
    </w:p>
    <w:p w14:paraId="01B553B6" w14:textId="08CF6215" w:rsidR="008F1636" w:rsidRPr="005D7178" w:rsidRDefault="008F1636" w:rsidP="00E378FB">
      <w:pPr>
        <w:pStyle w:val="SingleTxtG"/>
      </w:pPr>
      <w:r w:rsidRPr="005D7178">
        <w:t>2.3</w:t>
      </w:r>
      <w:r w:rsidRPr="005D7178">
        <w:tab/>
      </w:r>
      <w:r w:rsidR="00253341" w:rsidRPr="00253341">
        <w:t>On 19 February 2007, the authors</w:t>
      </w:r>
      <w:r w:rsidR="00C045E0">
        <w:t>’ daughter</w:t>
      </w:r>
      <w:r w:rsidR="00253341" w:rsidRPr="00253341">
        <w:t xml:space="preserve">, as the authorized agent, submitted a minor variance application to the Committee of Adjustment </w:t>
      </w:r>
      <w:r w:rsidR="00D750EC">
        <w:t>seeking approval of the addition</w:t>
      </w:r>
      <w:r w:rsidR="00253341" w:rsidRPr="00253341">
        <w:t xml:space="preserve"> and permission to construct a rear fire escape. </w:t>
      </w:r>
      <w:r w:rsidR="002653E3">
        <w:t>A</w:t>
      </w:r>
      <w:r w:rsidR="00253341" w:rsidRPr="00253341">
        <w:t xml:space="preserve"> hearing </w:t>
      </w:r>
      <w:r w:rsidR="002653E3">
        <w:t>was scheduled for</w:t>
      </w:r>
      <w:r w:rsidR="00253341" w:rsidRPr="00253341">
        <w:t xml:space="preserve"> April 200</w:t>
      </w:r>
      <w:r w:rsidR="00D750EC">
        <w:t>7 but</w:t>
      </w:r>
      <w:r w:rsidR="002653E3">
        <w:t>,</w:t>
      </w:r>
      <w:r w:rsidR="00D750EC">
        <w:t xml:space="preserve"> on the day of the hearing</w:t>
      </w:r>
      <w:r w:rsidR="002653E3">
        <w:t>,</w:t>
      </w:r>
      <w:r w:rsidR="00D750EC">
        <w:t xml:space="preserve"> and</w:t>
      </w:r>
      <w:r w:rsidR="00253341" w:rsidRPr="00253341">
        <w:t xml:space="preserve"> without prior notice to the author</w:t>
      </w:r>
      <w:r w:rsidR="00971254">
        <w:t>s’</w:t>
      </w:r>
      <w:r w:rsidR="00253341" w:rsidRPr="00253341">
        <w:t xml:space="preserve"> daughter, the Committee </w:t>
      </w:r>
      <w:r w:rsidR="00D750EC">
        <w:t xml:space="preserve">of Adjustment </w:t>
      </w:r>
      <w:r w:rsidR="00253341" w:rsidRPr="00253341">
        <w:t xml:space="preserve">granted the </w:t>
      </w:r>
      <w:r w:rsidR="00253341" w:rsidRPr="00E378FB">
        <w:t>request</w:t>
      </w:r>
      <w:r w:rsidR="00253341" w:rsidRPr="00253341">
        <w:t xml:space="preserve"> made by the City for a deferral, despite the objection of the applicant. The hearing was rescheduled for November 2007. </w:t>
      </w:r>
      <w:r w:rsidR="008D30DE">
        <w:t>The authors’ daughter</w:t>
      </w:r>
      <w:r w:rsidR="008D30DE" w:rsidRPr="00253341">
        <w:t xml:space="preserve"> </w:t>
      </w:r>
      <w:r w:rsidR="00253341" w:rsidRPr="00253341">
        <w:t xml:space="preserve">made a written request for a deferral, which the Committee </w:t>
      </w:r>
      <w:r w:rsidR="00D750EC">
        <w:t xml:space="preserve">of Adjustment </w:t>
      </w:r>
      <w:r w:rsidR="00253341" w:rsidRPr="00253341">
        <w:t xml:space="preserve">denied and it proceeded to hear the matter in her absence, </w:t>
      </w:r>
      <w:r w:rsidR="00971254">
        <w:t>deciding</w:t>
      </w:r>
      <w:r w:rsidR="00253341" w:rsidRPr="00253341">
        <w:t xml:space="preserve"> to </w:t>
      </w:r>
      <w:r w:rsidR="00D17EDA">
        <w:t>reject</w:t>
      </w:r>
      <w:r w:rsidR="00253341" w:rsidRPr="00253341">
        <w:t xml:space="preserve"> the application on 27 November 2007.</w:t>
      </w:r>
    </w:p>
    <w:p w14:paraId="24592FE1" w14:textId="77A7BCD2" w:rsidR="008F1636" w:rsidRPr="005D7178" w:rsidRDefault="008F1636" w:rsidP="00E378FB">
      <w:pPr>
        <w:pStyle w:val="SingleTxtG"/>
      </w:pPr>
      <w:r w:rsidRPr="005D7178">
        <w:t>2.4</w:t>
      </w:r>
      <w:r w:rsidRPr="005D7178">
        <w:tab/>
      </w:r>
      <w:r w:rsidR="00253341" w:rsidRPr="00253341">
        <w:t xml:space="preserve">The authors appealed </w:t>
      </w:r>
      <w:r w:rsidR="00D750EC">
        <w:t>before</w:t>
      </w:r>
      <w:r w:rsidR="00253341" w:rsidRPr="00253341">
        <w:t xml:space="preserve"> the Ontario Municip</w:t>
      </w:r>
      <w:r w:rsidR="00D750EC">
        <w:t>al Board</w:t>
      </w:r>
      <w:r w:rsidR="00253341" w:rsidRPr="00253341">
        <w:t xml:space="preserve">. The appeal was scheduled to be heard in May 2008 and, without notice to the authors, the </w:t>
      </w:r>
      <w:r w:rsidR="00D750EC" w:rsidRPr="00D750EC">
        <w:t xml:space="preserve">Board </w:t>
      </w:r>
      <w:r w:rsidR="00D750EC">
        <w:t>g</w:t>
      </w:r>
      <w:r w:rsidR="00253341" w:rsidRPr="00253341">
        <w:t xml:space="preserve">ranted the request made by the City for a </w:t>
      </w:r>
      <w:r w:rsidR="00253341" w:rsidRPr="00E378FB">
        <w:t>deferral</w:t>
      </w:r>
      <w:r w:rsidR="00253341" w:rsidRPr="00253341">
        <w:t xml:space="preserve">. The matter was rescheduled </w:t>
      </w:r>
      <w:r w:rsidR="002653E3">
        <w:t>for</w:t>
      </w:r>
      <w:r w:rsidR="002653E3" w:rsidRPr="00253341">
        <w:t xml:space="preserve"> </w:t>
      </w:r>
      <w:r w:rsidR="00253341" w:rsidRPr="00253341">
        <w:t xml:space="preserve">August 2008, for which the </w:t>
      </w:r>
      <w:r w:rsidR="008D30DE" w:rsidRPr="00253341">
        <w:t>a</w:t>
      </w:r>
      <w:r w:rsidR="008D30DE">
        <w:t>uthors’ daughter</w:t>
      </w:r>
      <w:r w:rsidR="008D30DE" w:rsidRPr="00253341">
        <w:t xml:space="preserve"> </w:t>
      </w:r>
      <w:r w:rsidR="00253341" w:rsidRPr="00253341">
        <w:t xml:space="preserve">sought a deferral on the basis of the incomplete disclosure of documents </w:t>
      </w:r>
      <w:r w:rsidR="00945C09">
        <w:t>by</w:t>
      </w:r>
      <w:r w:rsidR="00945C09" w:rsidRPr="00253341">
        <w:t xml:space="preserve"> </w:t>
      </w:r>
      <w:r w:rsidR="00253341" w:rsidRPr="00253341">
        <w:t xml:space="preserve">the City, and requested an order for disclosure from the </w:t>
      </w:r>
      <w:r w:rsidR="00D750EC" w:rsidRPr="00D750EC">
        <w:t>Ontario Municipal Board</w:t>
      </w:r>
      <w:r w:rsidR="00253341" w:rsidRPr="00D750EC">
        <w:t>.</w:t>
      </w:r>
      <w:r w:rsidR="00D750EC">
        <w:t xml:space="preserve"> The latter</w:t>
      </w:r>
      <w:r w:rsidR="00253341" w:rsidRPr="00253341">
        <w:t xml:space="preserve"> granted that request, made an order for disclosure, and rescheduled the appeal </w:t>
      </w:r>
      <w:r w:rsidR="00945C09">
        <w:t>for</w:t>
      </w:r>
      <w:r w:rsidR="00253341" w:rsidRPr="00253341">
        <w:t xml:space="preserve"> December 2008. The </w:t>
      </w:r>
      <w:r w:rsidR="00971254">
        <w:t xml:space="preserve">Ontario Municipal </w:t>
      </w:r>
      <w:r w:rsidR="00253341" w:rsidRPr="00253341">
        <w:t>Board issued its decision on 10 December 2008, after a hearing on the substa</w:t>
      </w:r>
      <w:r w:rsidR="00971254">
        <w:t>nce in the absence of the authors’</w:t>
      </w:r>
      <w:r w:rsidR="00253341" w:rsidRPr="00253341">
        <w:t xml:space="preserve"> legal representative</w:t>
      </w:r>
      <w:r w:rsidR="00971254">
        <w:t xml:space="preserve">, denying the appeal. The </w:t>
      </w:r>
      <w:r w:rsidR="00253341" w:rsidRPr="00253341">
        <w:t>authors</w:t>
      </w:r>
      <w:r w:rsidR="00945C09">
        <w:t>’ daughter</w:t>
      </w:r>
      <w:r w:rsidR="00253341" w:rsidRPr="00253341">
        <w:t xml:space="preserve"> asked for permission to raise concerns about a reasonable apprehension of bias </w:t>
      </w:r>
      <w:r w:rsidR="00971254">
        <w:t xml:space="preserve">and requested recusal by the sole adjudicator of </w:t>
      </w:r>
      <w:r w:rsidR="00253341" w:rsidRPr="00253341">
        <w:t>the Boa</w:t>
      </w:r>
      <w:r w:rsidR="00971254">
        <w:t xml:space="preserve">rd, which was </w:t>
      </w:r>
      <w:r w:rsidR="002E3709">
        <w:t>denied</w:t>
      </w:r>
      <w:r w:rsidR="00971254">
        <w:t>.</w:t>
      </w:r>
    </w:p>
    <w:p w14:paraId="0C8E9E84" w14:textId="14A96081" w:rsidR="008F1636" w:rsidRPr="005D7178" w:rsidRDefault="008F1636" w:rsidP="00E378FB">
      <w:pPr>
        <w:pStyle w:val="SingleTxtG"/>
      </w:pPr>
      <w:r w:rsidRPr="005D7178">
        <w:t>2.5</w:t>
      </w:r>
      <w:r w:rsidRPr="005D7178">
        <w:tab/>
      </w:r>
      <w:r w:rsidR="003E098C">
        <w:t>According to the authors</w:t>
      </w:r>
      <w:r w:rsidR="00971254">
        <w:t>,</w:t>
      </w:r>
      <w:r w:rsidR="00253341" w:rsidRPr="00253341">
        <w:t xml:space="preserve"> the planning authorities did not consider the</w:t>
      </w:r>
      <w:r w:rsidR="002653E3">
        <w:t>ir</w:t>
      </w:r>
      <w:r w:rsidR="00253341" w:rsidRPr="00253341">
        <w:t xml:space="preserve"> special needs in the determination of their right to make variances on account of their health and well-being.</w:t>
      </w:r>
      <w:r w:rsidR="00C43338">
        <w:t xml:space="preserve"> </w:t>
      </w:r>
      <w:r w:rsidR="00253341" w:rsidRPr="00253341">
        <w:t xml:space="preserve">The </w:t>
      </w:r>
      <w:r w:rsidR="00971254">
        <w:t xml:space="preserve">Ontario Municipal </w:t>
      </w:r>
      <w:r w:rsidR="00253341" w:rsidRPr="00253341">
        <w:t xml:space="preserve">Board’s error in misidentifying the minor variances requested </w:t>
      </w:r>
      <w:proofErr w:type="gramStart"/>
      <w:r w:rsidR="00253341" w:rsidRPr="00253341">
        <w:t>was</w:t>
      </w:r>
      <w:proofErr w:type="gramEnd"/>
      <w:r w:rsidR="00253341" w:rsidRPr="00253341">
        <w:t xml:space="preserve"> acknowledged in its decision issued on 08 April 2009, at the ex parte request of the City without hearing from the authors. However</w:t>
      </w:r>
      <w:r w:rsidR="00971254">
        <w:t>, this decision</w:t>
      </w:r>
      <w:r w:rsidR="00253341" w:rsidRPr="00253341">
        <w:t xml:space="preserve"> simply cor</w:t>
      </w:r>
      <w:r w:rsidR="00971254">
        <w:t>rected an error in the original d</w:t>
      </w:r>
      <w:r w:rsidR="00253341" w:rsidRPr="00253341">
        <w:t>ecision concerning the third requested variance and in a</w:t>
      </w:r>
      <w:r w:rsidR="00971254">
        <w:t>ll other aspects the decision</w:t>
      </w:r>
      <w:r w:rsidR="00253341" w:rsidRPr="00253341">
        <w:t xml:space="preserve"> was no</w:t>
      </w:r>
      <w:r w:rsidR="00577915">
        <w:t>t further amended. This amending d</w:t>
      </w:r>
      <w:r w:rsidR="00253341" w:rsidRPr="00253341">
        <w:t>ecision was granted at the request of the City</w:t>
      </w:r>
      <w:r w:rsidR="00577915">
        <w:t>, and</w:t>
      </w:r>
      <w:r w:rsidR="00253341" w:rsidRPr="00253341">
        <w:t xml:space="preserve"> in the absence of the authors</w:t>
      </w:r>
      <w:r w:rsidR="00E82263">
        <w:t xml:space="preserve">. </w:t>
      </w:r>
      <w:r w:rsidR="00253341" w:rsidRPr="00253341">
        <w:t>The Board gave no reasons for making the correction.</w:t>
      </w:r>
    </w:p>
    <w:p w14:paraId="5663D4EA" w14:textId="0CB8A74B" w:rsidR="00E06571" w:rsidRDefault="008F1636" w:rsidP="00E378FB">
      <w:pPr>
        <w:pStyle w:val="SingleTxtG"/>
      </w:pPr>
      <w:r w:rsidRPr="005D7178">
        <w:t>2.6</w:t>
      </w:r>
      <w:r w:rsidRPr="005D7178">
        <w:tab/>
      </w:r>
      <w:r w:rsidR="00D750EC">
        <w:t>T</w:t>
      </w:r>
      <w:r w:rsidR="00E06571" w:rsidRPr="00E06571">
        <w:t>h</w:t>
      </w:r>
      <w:r w:rsidR="00D750EC">
        <w:t xml:space="preserve">e authors </w:t>
      </w:r>
      <w:r w:rsidR="00E06571" w:rsidRPr="00E06571">
        <w:t>file</w:t>
      </w:r>
      <w:r w:rsidR="00D750EC">
        <w:t>d</w:t>
      </w:r>
      <w:r w:rsidR="00E06571" w:rsidRPr="00E06571">
        <w:t xml:space="preserve"> a second motion seeking leave from the Divisional Court to appeal the </w:t>
      </w:r>
      <w:r w:rsidR="00D750EC" w:rsidRPr="00D750EC">
        <w:t>Ontario Municipal Board</w:t>
      </w:r>
      <w:r w:rsidR="00D750EC">
        <w:t xml:space="preserve">´s </w:t>
      </w:r>
      <w:r w:rsidR="00577915">
        <w:t>amending d</w:t>
      </w:r>
      <w:r w:rsidR="00E737DB">
        <w:t xml:space="preserve">ecision. The </w:t>
      </w:r>
      <w:r w:rsidR="00E06571" w:rsidRPr="00E06571">
        <w:t>motion w</w:t>
      </w:r>
      <w:r w:rsidR="00E82263">
        <w:t>as</w:t>
      </w:r>
      <w:r w:rsidR="00E06571" w:rsidRPr="00E06571">
        <w:t xml:space="preserve"> h</w:t>
      </w:r>
      <w:r w:rsidR="00E737DB">
        <w:t>eard by a single</w:t>
      </w:r>
      <w:r w:rsidR="00E06571" w:rsidRPr="00E06571">
        <w:t xml:space="preserve"> judge of the Divisional Court</w:t>
      </w:r>
      <w:r w:rsidR="00945C09">
        <w:t>,</w:t>
      </w:r>
      <w:r w:rsidR="00E06571" w:rsidRPr="00E06571">
        <w:t xml:space="preserve"> who found that the decision was legal and fair, and that there was no error of law casting doubt upon the </w:t>
      </w:r>
      <w:r w:rsidR="00E06571" w:rsidRPr="00E378FB">
        <w:t>correctness</w:t>
      </w:r>
      <w:r w:rsidR="00E06571" w:rsidRPr="00E06571">
        <w:t xml:space="preserve"> of the </w:t>
      </w:r>
      <w:r w:rsidR="00E737DB">
        <w:t xml:space="preserve">Ontario Municipal </w:t>
      </w:r>
      <w:r w:rsidR="00577915">
        <w:t>Board’s original d</w:t>
      </w:r>
      <w:r w:rsidR="00E06571" w:rsidRPr="00E06571">
        <w:t xml:space="preserve">ecision as a whole, because </w:t>
      </w:r>
      <w:r w:rsidR="00D750EC">
        <w:t xml:space="preserve">it </w:t>
      </w:r>
      <w:r w:rsidR="00E06571" w:rsidRPr="00D750EC">
        <w:t>g</w:t>
      </w:r>
      <w:r w:rsidR="00E06571" w:rsidRPr="00E06571">
        <w:t xml:space="preserve">ave “multiple reasons” for its decision. </w:t>
      </w:r>
      <w:r w:rsidR="00945C09">
        <w:t>The authors note that the Court</w:t>
      </w:r>
      <w:r w:rsidR="00E06571" w:rsidRPr="00E06571">
        <w:t xml:space="preserve"> did not take into account the Provincial Policy Statement making it compulsory on authorities deciding on planning issues to meet the housing, health and well-being </w:t>
      </w:r>
      <w:r w:rsidR="00E06571" w:rsidRPr="00E06571">
        <w:lastRenderedPageBreak/>
        <w:t xml:space="preserve">requirements of people with special needs such as the elderly and </w:t>
      </w:r>
      <w:r w:rsidR="00945C09">
        <w:t>persons with disabilities</w:t>
      </w:r>
      <w:r w:rsidR="00E06571" w:rsidRPr="00E06571">
        <w:t>. Th</w:t>
      </w:r>
      <w:r w:rsidR="00E82263">
        <w:t xml:space="preserve">is </w:t>
      </w:r>
      <w:r w:rsidR="00E06571" w:rsidRPr="00E06571">
        <w:t xml:space="preserve">motion seeking leave was </w:t>
      </w:r>
      <w:r w:rsidR="00577915">
        <w:t>dismissed</w:t>
      </w:r>
      <w:r w:rsidR="00E06571" w:rsidRPr="00E06571">
        <w:t xml:space="preserve"> without consideration on the mer</w:t>
      </w:r>
      <w:r w:rsidR="00577915">
        <w:t>its</w:t>
      </w:r>
      <w:r w:rsidR="00E06571" w:rsidRPr="00E06571">
        <w:t>. The authors then so</w:t>
      </w:r>
      <w:r w:rsidR="00577915">
        <w:t>ught relief from a P</w:t>
      </w:r>
      <w:r w:rsidR="00E06571" w:rsidRPr="00E06571">
        <w:t xml:space="preserve">anel of the Divisional Court to set aside or vary the decision of the single motions judge of the Divisional Court. The Panel decided that the motions judge’s decision did not constitute a decline of jurisdiction. </w:t>
      </w:r>
      <w:r w:rsidR="00945C09">
        <w:t>T</w:t>
      </w:r>
      <w:r w:rsidR="00E06571" w:rsidRPr="00E06571">
        <w:t xml:space="preserve">he Panel did not give any reasons for rejecting the authors’ </w:t>
      </w:r>
      <w:r w:rsidR="00E06571" w:rsidRPr="00E378FB">
        <w:t>submissions</w:t>
      </w:r>
      <w:r w:rsidR="00E06571" w:rsidRPr="00E06571">
        <w:t xml:space="preserve"> in relation to the first motion. Moreover, the</w:t>
      </w:r>
      <w:r w:rsidR="00945C09">
        <w:t xml:space="preserve"> authors</w:t>
      </w:r>
      <w:r w:rsidR="00E06571" w:rsidRPr="00E06571">
        <w:t xml:space="preserve"> had submitted to the motions judge that there arose a reasonable apprehension o</w:t>
      </w:r>
      <w:r w:rsidR="00577915">
        <w:t>f bias from the</w:t>
      </w:r>
      <w:r w:rsidR="0037667C">
        <w:t xml:space="preserve"> Board</w:t>
      </w:r>
      <w:r w:rsidR="00577915">
        <w:t xml:space="preserve">, </w:t>
      </w:r>
      <w:r w:rsidR="00E82263">
        <w:t>considering</w:t>
      </w:r>
      <w:r w:rsidR="00E06571" w:rsidRPr="00E06571">
        <w:t xml:space="preserve"> the fact that visible minorities face discriminatio</w:t>
      </w:r>
      <w:r w:rsidR="00577915">
        <w:t xml:space="preserve">n in Canada, as recognized by the </w:t>
      </w:r>
      <w:r w:rsidR="00E82263">
        <w:t xml:space="preserve">case law of the </w:t>
      </w:r>
      <w:r w:rsidR="00E06571" w:rsidRPr="00E06571">
        <w:t>Ontario Cou</w:t>
      </w:r>
      <w:r w:rsidR="00577915">
        <w:t>rt of Appeal</w:t>
      </w:r>
      <w:r w:rsidR="00E06571" w:rsidRPr="00E06571">
        <w:t>.</w:t>
      </w:r>
    </w:p>
    <w:p w14:paraId="4EEC003B" w14:textId="38521D3C" w:rsidR="008F1636" w:rsidRPr="005D7178" w:rsidRDefault="008F1636" w:rsidP="00E378FB">
      <w:pPr>
        <w:pStyle w:val="SingleTxtG"/>
      </w:pPr>
      <w:r w:rsidRPr="005D7178">
        <w:t>2.7</w:t>
      </w:r>
      <w:r w:rsidRPr="005D7178">
        <w:tab/>
      </w:r>
      <w:r w:rsidR="00E82263">
        <w:t xml:space="preserve">On </w:t>
      </w:r>
      <w:r w:rsidR="00E82263" w:rsidRPr="00E06571">
        <w:t>1 February 2011</w:t>
      </w:r>
      <w:r w:rsidR="00E82263">
        <w:t>, t</w:t>
      </w:r>
      <w:r w:rsidR="00E06571" w:rsidRPr="00E06571">
        <w:t>he City</w:t>
      </w:r>
      <w:r w:rsidR="006D4525">
        <w:t xml:space="preserve"> of Toronto</w:t>
      </w:r>
      <w:r w:rsidR="00E06571" w:rsidRPr="00E06571">
        <w:t xml:space="preserve"> s</w:t>
      </w:r>
      <w:r w:rsidR="00E82263">
        <w:t>ent</w:t>
      </w:r>
      <w:r w:rsidR="002E3709">
        <w:t xml:space="preserve"> </w:t>
      </w:r>
      <w:r w:rsidR="00E06571" w:rsidRPr="00E06571">
        <w:t>a letter</w:t>
      </w:r>
      <w:r w:rsidR="00E82263">
        <w:t xml:space="preserve"> to the authors</w:t>
      </w:r>
      <w:r w:rsidR="00E06571" w:rsidRPr="00E06571">
        <w:t xml:space="preserve">, </w:t>
      </w:r>
      <w:r w:rsidR="00E82263">
        <w:t xml:space="preserve">demanding </w:t>
      </w:r>
      <w:r w:rsidR="00E06571" w:rsidRPr="00E06571">
        <w:t xml:space="preserve">that the addition be removed, since “the appeal rights respecting the addition’s non-compliance with the Zoning by-law have now been exhausted”. In the same letter, the municipal authorities stated that if the </w:t>
      </w:r>
      <w:r w:rsidR="00E06571" w:rsidRPr="00E378FB">
        <w:t>removal</w:t>
      </w:r>
      <w:r w:rsidR="00E06571" w:rsidRPr="00E06571">
        <w:t xml:space="preserve"> had not started before 25 February 2011, the City would refer this matter to legal counsel to commence proceedings seeking Court Order authorizing the City to remove it at the expense of the authors. The City intended to enforce a demolition of the </w:t>
      </w:r>
      <w:r w:rsidR="000067F4">
        <w:t>a</w:t>
      </w:r>
      <w:r w:rsidR="00E06571" w:rsidRPr="00E06571">
        <w:t xml:space="preserve">ddition (representing a substantial part of the authors’ house) in the middle of winter in Canada. On 7 March 2011, the City began proceedings to enforce partial demolition by court order at the authors’ expense. </w:t>
      </w:r>
      <w:r w:rsidR="00945C09">
        <w:t>The authors note that this is</w:t>
      </w:r>
      <w:r w:rsidR="00E06571" w:rsidRPr="00E06571">
        <w:t xml:space="preserve"> not a new procedure that could </w:t>
      </w:r>
      <w:r w:rsidR="00945C09">
        <w:t xml:space="preserve">allow for </w:t>
      </w:r>
      <w:r w:rsidR="00E06571" w:rsidRPr="00E06571">
        <w:t xml:space="preserve">further revision of the substantive decision </w:t>
      </w:r>
      <w:r w:rsidR="00945C09">
        <w:t>and does not grant the authors</w:t>
      </w:r>
      <w:r w:rsidR="00945C09" w:rsidRPr="00E06571">
        <w:t xml:space="preserve"> </w:t>
      </w:r>
      <w:r w:rsidR="00E06571" w:rsidRPr="00E06571">
        <w:t>further rights of appeals. Rather</w:t>
      </w:r>
      <w:r w:rsidR="00945C09">
        <w:t>,</w:t>
      </w:r>
      <w:r w:rsidR="00E06571" w:rsidRPr="00E06571">
        <w:t xml:space="preserve"> it is just an application made by the municipal authorities to en</w:t>
      </w:r>
      <w:r w:rsidR="006D4525">
        <w:t xml:space="preserve">force a decision already made. </w:t>
      </w:r>
      <w:r w:rsidR="00E06571" w:rsidRPr="00E06571">
        <w:t>It is simply about the met</w:t>
      </w:r>
      <w:r w:rsidR="006D4525">
        <w:t>hods and costs of enforcement.</w:t>
      </w:r>
    </w:p>
    <w:p w14:paraId="4ED1AE80" w14:textId="77777777" w:rsidR="008F1636" w:rsidRPr="005D7178" w:rsidRDefault="008F1636" w:rsidP="00434454">
      <w:pPr>
        <w:pStyle w:val="H23G"/>
      </w:pPr>
      <w:r w:rsidRPr="005D7178">
        <w:tab/>
      </w:r>
      <w:r w:rsidRPr="005D7178">
        <w:tab/>
        <w:t>The complaint</w:t>
      </w:r>
    </w:p>
    <w:p w14:paraId="5D2040E3" w14:textId="422C7363" w:rsidR="00E737DB" w:rsidRDefault="008F1636" w:rsidP="00E06571">
      <w:pPr>
        <w:pStyle w:val="SingleTxtG"/>
      </w:pPr>
      <w:r w:rsidRPr="005D7178">
        <w:t>3.1</w:t>
      </w:r>
      <w:r w:rsidRPr="005D7178">
        <w:tab/>
      </w:r>
      <w:r w:rsidR="003E098C">
        <w:t>In their initial complaint, t</w:t>
      </w:r>
      <w:r w:rsidR="00E06571" w:rsidRPr="00E06571">
        <w:t xml:space="preserve">he authors submit that </w:t>
      </w:r>
      <w:r w:rsidR="006D4525">
        <w:t>the State party</w:t>
      </w:r>
      <w:r w:rsidR="00E06571" w:rsidRPr="00E06571">
        <w:t xml:space="preserve"> has violated their rights under articles 7, 14, 17 </w:t>
      </w:r>
      <w:r w:rsidR="00E737DB">
        <w:t>and 26 of the Covenant.</w:t>
      </w:r>
    </w:p>
    <w:p w14:paraId="39661CE2" w14:textId="7903C670" w:rsidR="008F1636" w:rsidRPr="00E06571" w:rsidRDefault="00E737DB" w:rsidP="00E06571">
      <w:pPr>
        <w:pStyle w:val="SingleTxtG"/>
      </w:pPr>
      <w:r>
        <w:t>3.2</w:t>
      </w:r>
      <w:r>
        <w:tab/>
      </w:r>
      <w:r w:rsidR="00B81DFC">
        <w:t xml:space="preserve">The authors claim that the fact that </w:t>
      </w:r>
      <w:r w:rsidR="00E06571" w:rsidRPr="00E06571">
        <w:t>the</w:t>
      </w:r>
      <w:r w:rsidR="00B81DFC">
        <w:t xml:space="preserve">y </w:t>
      </w:r>
      <w:r w:rsidR="00E06571" w:rsidRPr="00E06571">
        <w:t>are non-Caucasians in a generally Caucasian neighbourhood explains why their minor variance applications were</w:t>
      </w:r>
      <w:r w:rsidR="006D4525">
        <w:t xml:space="preserve"> rejected, as evidenced by the t</w:t>
      </w:r>
      <w:r w:rsidR="00E06571" w:rsidRPr="00E06571">
        <w:t xml:space="preserve">estimony of Mr. </w:t>
      </w:r>
      <w:r w:rsidR="003619C3">
        <w:t>S.D.P.T</w:t>
      </w:r>
      <w:r w:rsidR="00E82263">
        <w:t>,</w:t>
      </w:r>
      <w:r w:rsidR="00E06571" w:rsidRPr="00E06571">
        <w:t xml:space="preserve"> in which he </w:t>
      </w:r>
      <w:r w:rsidR="00B81DFC" w:rsidRPr="00E06571">
        <w:t>claim</w:t>
      </w:r>
      <w:r w:rsidR="00B81DFC">
        <w:t>ed that</w:t>
      </w:r>
      <w:r w:rsidR="00B81DFC" w:rsidRPr="00E06571">
        <w:t xml:space="preserve"> </w:t>
      </w:r>
      <w:r w:rsidR="00E06571" w:rsidRPr="00E06571">
        <w:t>the neighbours l</w:t>
      </w:r>
      <w:r w:rsidR="006D4525">
        <w:t>aunched a “Not-In-My-Back Yard”-</w:t>
      </w:r>
      <w:r w:rsidR="00E06571" w:rsidRPr="00E06571">
        <w:t xml:space="preserve">type of campaign. The neighbours responsible for this campaign opposed the authors’ application in writing from the beginning, since they wrote to the Committee </w:t>
      </w:r>
      <w:r w:rsidR="006D4525">
        <w:t xml:space="preserve">of Adjustment </w:t>
      </w:r>
      <w:r w:rsidR="00E06571" w:rsidRPr="00E06571">
        <w:t xml:space="preserve">to oppose the granting of the minor variances and to seek the demolition of the addition. This differential treatment afforded to the authors has </w:t>
      </w:r>
      <w:r w:rsidR="00B81DFC">
        <w:t xml:space="preserve">not </w:t>
      </w:r>
      <w:r w:rsidR="00E06571" w:rsidRPr="00E06571">
        <w:t xml:space="preserve">been based on reasonable </w:t>
      </w:r>
      <w:r w:rsidR="00B81DFC">
        <w:t>and</w:t>
      </w:r>
      <w:r w:rsidR="00E06571" w:rsidRPr="00E06571">
        <w:t xml:space="preserve"> objective criteria,</w:t>
      </w:r>
      <w:r>
        <w:t xml:space="preserve"> resulting in discrimination.</w:t>
      </w:r>
    </w:p>
    <w:p w14:paraId="1D6ECA78" w14:textId="782549C6" w:rsidR="008F1636" w:rsidRPr="00E06571" w:rsidRDefault="00E737DB" w:rsidP="00E06571">
      <w:pPr>
        <w:pStyle w:val="SingleTxtG"/>
      </w:pPr>
      <w:r>
        <w:t>3.3</w:t>
      </w:r>
      <w:r w:rsidR="008F1636" w:rsidRPr="005D7178">
        <w:tab/>
      </w:r>
      <w:r w:rsidR="00B81DFC">
        <w:t>T</w:t>
      </w:r>
      <w:r w:rsidR="00E06571" w:rsidRPr="00E06571">
        <w:t>he authors</w:t>
      </w:r>
      <w:r w:rsidR="00B81DFC">
        <w:t xml:space="preserve"> also</w:t>
      </w:r>
      <w:r w:rsidR="00E06571" w:rsidRPr="00E06571">
        <w:t xml:space="preserve"> allege a violation of their right to a fair trial</w:t>
      </w:r>
      <w:r w:rsidR="00B81DFC">
        <w:t>,</w:t>
      </w:r>
      <w:r w:rsidR="00E06571" w:rsidRPr="00E06571">
        <w:t xml:space="preserve"> especially concerning the reasonable apprehension of bias from the Ontario Municipal Board and the fact that its decision was based on</w:t>
      </w:r>
      <w:r w:rsidR="006D4525">
        <w:t xml:space="preserve"> the </w:t>
      </w:r>
      <w:r w:rsidR="00B81DFC">
        <w:t xml:space="preserve">allegations </w:t>
      </w:r>
      <w:r w:rsidR="006D4525">
        <w:t>of one party only</w:t>
      </w:r>
      <w:r w:rsidR="00E06571" w:rsidRPr="00E06571">
        <w:t xml:space="preserve">, without further corroborating the facts by evidence </w:t>
      </w:r>
      <w:r w:rsidR="00B81DFC">
        <w:t>available in the file</w:t>
      </w:r>
      <w:r w:rsidR="00E06571" w:rsidRPr="00E06571">
        <w:t>.</w:t>
      </w:r>
    </w:p>
    <w:p w14:paraId="3E5A1232" w14:textId="53D88202" w:rsidR="008F1636" w:rsidRDefault="00E737DB" w:rsidP="00E06571">
      <w:pPr>
        <w:pStyle w:val="SingleTxtG"/>
      </w:pPr>
      <w:r>
        <w:t>3.4</w:t>
      </w:r>
      <w:r w:rsidR="008F1636" w:rsidRPr="005D7178">
        <w:tab/>
      </w:r>
      <w:r w:rsidR="00E82263">
        <w:t>Moreover, t</w:t>
      </w:r>
      <w:r w:rsidR="00E06571" w:rsidRPr="00E06571">
        <w:t>he authors</w:t>
      </w:r>
      <w:r w:rsidR="00B81DFC">
        <w:t xml:space="preserve"> </w:t>
      </w:r>
      <w:r w:rsidR="00E06571" w:rsidRPr="00E06571">
        <w:t xml:space="preserve">claim </w:t>
      </w:r>
      <w:r w:rsidR="00B81DFC">
        <w:t xml:space="preserve">that </w:t>
      </w:r>
      <w:r w:rsidR="00E06571" w:rsidRPr="00E06571">
        <w:t xml:space="preserve">the State has violated their right to privacy, to prohibition of arbitrary or unlawful interference with one’s home, because they consider the inspection visits </w:t>
      </w:r>
      <w:r w:rsidR="00B81DFC">
        <w:t>to</w:t>
      </w:r>
      <w:r w:rsidR="00E06571" w:rsidRPr="00E06571">
        <w:t xml:space="preserve"> their home to be intr</w:t>
      </w:r>
      <w:r w:rsidR="00E06571">
        <w:t>usive and arbitrary.</w:t>
      </w:r>
    </w:p>
    <w:p w14:paraId="1B80BA01" w14:textId="77777777" w:rsidR="00E82263" w:rsidRDefault="006D4525" w:rsidP="00E378FB">
      <w:pPr>
        <w:pStyle w:val="SingleTxtG"/>
      </w:pPr>
      <w:r>
        <w:t>3.5</w:t>
      </w:r>
      <w:r w:rsidR="00E06571">
        <w:tab/>
      </w:r>
      <w:r w:rsidR="00E06571" w:rsidRPr="00E06571">
        <w:t xml:space="preserve">Finally, the authors claim to have been subject to inhuman treatment since these visits and the proceedings in </w:t>
      </w:r>
      <w:r w:rsidR="00E06571" w:rsidRPr="00E378FB">
        <w:t>general</w:t>
      </w:r>
      <w:r w:rsidR="00E06571" w:rsidRPr="00E06571">
        <w:t xml:space="preserve"> have physically a</w:t>
      </w:r>
      <w:r>
        <w:t>nd mentally affected them</w:t>
      </w:r>
      <w:r w:rsidR="00E06571" w:rsidRPr="00E06571">
        <w:t>. The treatment is also considered to be inhuman with regards to the fact that the demolition is supposed to take place during winter in Canada, when temperatures are extremely low.</w:t>
      </w:r>
      <w:r w:rsidR="008F1636" w:rsidRPr="005D7178">
        <w:tab/>
      </w:r>
    </w:p>
    <w:p w14:paraId="55B4725E" w14:textId="0C292A82" w:rsidR="00E06571" w:rsidRPr="003E098C" w:rsidRDefault="00CD51F9" w:rsidP="00CD51F9">
      <w:pPr>
        <w:pStyle w:val="H23G"/>
      </w:pPr>
      <w:r>
        <w:tab/>
      </w:r>
      <w:r>
        <w:tab/>
      </w:r>
      <w:r w:rsidR="00E06571" w:rsidRPr="003E098C">
        <w:t xml:space="preserve">Additional submissions </w:t>
      </w:r>
      <w:r w:rsidR="00B81DFC" w:rsidRPr="003E098C">
        <w:t>by</w:t>
      </w:r>
      <w:r w:rsidR="00E06571" w:rsidRPr="003E098C">
        <w:t xml:space="preserve"> the authors</w:t>
      </w:r>
    </w:p>
    <w:p w14:paraId="069453FF" w14:textId="415139A8" w:rsidR="00E06571" w:rsidRDefault="00E06571" w:rsidP="00E378FB">
      <w:pPr>
        <w:pStyle w:val="SingleTxtG"/>
        <w:rPr>
          <w:b/>
        </w:rPr>
      </w:pPr>
      <w:r w:rsidRPr="00E06571">
        <w:tab/>
        <w:t>4.1</w:t>
      </w:r>
      <w:r w:rsidRPr="00E06571">
        <w:tab/>
      </w:r>
      <w:r w:rsidR="00B81DFC">
        <w:t>By submissions of</w:t>
      </w:r>
      <w:r w:rsidRPr="00E06571">
        <w:t xml:space="preserve"> 31 March 2011 and 17 May 2011, the authors </w:t>
      </w:r>
      <w:r w:rsidR="00D17EDA">
        <w:t>insist</w:t>
      </w:r>
      <w:r w:rsidR="00B81DFC" w:rsidRPr="00E06571">
        <w:t xml:space="preserve"> </w:t>
      </w:r>
      <w:r w:rsidRPr="00E06571">
        <w:t>that the State party has violated article 14 of the Covenant, by</w:t>
      </w:r>
      <w:r w:rsidR="007F0358">
        <w:t xml:space="preserve"> </w:t>
      </w:r>
      <w:r w:rsidR="00A676F2">
        <w:t xml:space="preserve">denying them </w:t>
      </w:r>
      <w:r w:rsidRPr="00E06571">
        <w:t xml:space="preserve">access to all documents in the file held by the municipal authorities concerning their claims, in </w:t>
      </w:r>
      <w:r w:rsidRPr="00E378FB">
        <w:t>order</w:t>
      </w:r>
      <w:r w:rsidRPr="00E06571">
        <w:t xml:space="preserve"> to prepare and present their case on appeal, which, in contrast, was fully available to the other party. Moreover, they submit that they were arbitrarily denied the right to cross-examine the City of Toronto´s zoning examiner whose expertise had been central to the assessment of their case, and who had been summoned to the hearing before the Ontario Municipal Board. The authors also submit that they were denied the right to file crucial evidence, such as an independent expert report, which </w:t>
      </w:r>
      <w:r w:rsidR="00B81DFC">
        <w:t>was</w:t>
      </w:r>
      <w:r w:rsidRPr="00E06571">
        <w:t xml:space="preserve"> central to </w:t>
      </w:r>
      <w:r w:rsidR="00E146D1">
        <w:t>the determination of their case. The Ontario Municipal Board´s</w:t>
      </w:r>
      <w:r w:rsidRPr="00E06571">
        <w:t xml:space="preserve"> </w:t>
      </w:r>
      <w:r w:rsidR="00E146D1">
        <w:t>decision was based on the single</w:t>
      </w:r>
      <w:r w:rsidRPr="00E06571">
        <w:t xml:space="preserve"> expert report of </w:t>
      </w:r>
      <w:r w:rsidR="00E146D1">
        <w:t>one party, violating its own</w:t>
      </w:r>
      <w:r w:rsidRPr="00E06571">
        <w:t xml:space="preserve"> Rule</w:t>
      </w:r>
      <w:r w:rsidR="00E146D1">
        <w:t>s</w:t>
      </w:r>
      <w:r w:rsidRPr="00E06571">
        <w:t xml:space="preserve"> of Practice </w:t>
      </w:r>
      <w:r w:rsidRPr="00E06571">
        <w:lastRenderedPageBreak/>
        <w:t xml:space="preserve">and Procedure, which allows the adjudicator </w:t>
      </w:r>
      <w:r w:rsidR="00E146D1">
        <w:t xml:space="preserve">to adopt </w:t>
      </w:r>
      <w:r w:rsidRPr="00E06571">
        <w:t>all exception</w:t>
      </w:r>
      <w:r w:rsidR="00E146D1">
        <w:t>s</w:t>
      </w:r>
      <w:r w:rsidRPr="00E06571">
        <w:t xml:space="preserve"> and measures that are required to ensure </w:t>
      </w:r>
      <w:r w:rsidR="002A6DF6">
        <w:t>that the issues are</w:t>
      </w:r>
      <w:r w:rsidR="00A5407A">
        <w:t xml:space="preserve"> </w:t>
      </w:r>
      <w:r w:rsidR="002A6DF6">
        <w:t>“</w:t>
      </w:r>
      <w:r w:rsidRPr="00E06571">
        <w:t xml:space="preserve">determined in a just manner”. They further submit that their right to a fair hearing by an independent and impartial tribunal was violated because, among other things, the sole adjudicator conducting the hearing before the Ontario Municipal Board did not </w:t>
      </w:r>
      <w:r w:rsidR="00B81DFC" w:rsidRPr="00E06571">
        <w:t>disqualif</w:t>
      </w:r>
      <w:r w:rsidR="00B81DFC">
        <w:t>y</w:t>
      </w:r>
      <w:r w:rsidR="00B81DFC" w:rsidRPr="00E06571">
        <w:t xml:space="preserve"> </w:t>
      </w:r>
      <w:r w:rsidRPr="00E06571">
        <w:t>herself despite the authors´ perception of reasonable apprehension of bias or prejudice, and because this hearing was affected by outside influence, pressure, and intrusion. As an example of the latter, the authors submit th</w:t>
      </w:r>
      <w:r w:rsidR="00E146D1">
        <w:t>at a group of neighbours and a local councillor</w:t>
      </w:r>
      <w:r w:rsidRPr="00E06571">
        <w:t xml:space="preserve"> wrote letters to oppose the application made by the authors. Moreover, one of the representative</w:t>
      </w:r>
      <w:r w:rsidR="00D014AE">
        <w:t xml:space="preserve">s of this group </w:t>
      </w:r>
      <w:r w:rsidR="00D014AE" w:rsidRPr="00D014AE">
        <w:t xml:space="preserve">of neighbours </w:t>
      </w:r>
      <w:r w:rsidRPr="00E06571">
        <w:t>directly interacted with the Ontario Municipal Board in a way that show</w:t>
      </w:r>
      <w:r w:rsidR="00A676F2">
        <w:t>ed</w:t>
      </w:r>
      <w:r w:rsidRPr="00E06571">
        <w:t xml:space="preserve"> bias against the authors.</w:t>
      </w:r>
      <w:r w:rsidR="007F0358">
        <w:rPr>
          <w:rStyle w:val="FootnoteReference"/>
        </w:rPr>
        <w:footnoteReference w:id="4"/>
      </w:r>
    </w:p>
    <w:p w14:paraId="03671AEF" w14:textId="467D2BAA" w:rsidR="00E06571" w:rsidRPr="00E06571" w:rsidRDefault="00E06571" w:rsidP="00E378FB">
      <w:pPr>
        <w:pStyle w:val="SingleTxtG"/>
        <w:rPr>
          <w:b/>
        </w:rPr>
      </w:pPr>
      <w:r>
        <w:tab/>
      </w:r>
      <w:r w:rsidRPr="00E06571">
        <w:t>4.2</w:t>
      </w:r>
      <w:r w:rsidRPr="00E06571">
        <w:tab/>
        <w:t xml:space="preserve">The authors also submit </w:t>
      </w:r>
      <w:r w:rsidR="00B81DFC">
        <w:t xml:space="preserve">that </w:t>
      </w:r>
      <w:r w:rsidRPr="00E06571">
        <w:t xml:space="preserve">the administrative proceedings were characterized by arbitrariness or manifest error, amounting to denial of justice, such as the issuance of two contradictory </w:t>
      </w:r>
      <w:r w:rsidRPr="00E378FB">
        <w:t>compliance</w:t>
      </w:r>
      <w:r w:rsidRPr="00E06571">
        <w:t xml:space="preserve"> orders or the unequal treatment compared with other variances sought by neighbours in the same area. Additionally, the authors submit that the Ontario Municipal Board´s decision of 10 December 2008 applied the tests of the Planning Act for minor variances to manifestly wrong material facts.</w:t>
      </w:r>
    </w:p>
    <w:p w14:paraId="2580E644" w14:textId="7D34F39A" w:rsidR="00E06571" w:rsidRPr="00E06571" w:rsidRDefault="00E06571" w:rsidP="008D1724">
      <w:pPr>
        <w:pStyle w:val="SingleTxtG"/>
      </w:pPr>
      <w:r>
        <w:t>4.3</w:t>
      </w:r>
      <w:r>
        <w:tab/>
      </w:r>
      <w:r w:rsidRPr="00E06571">
        <w:t xml:space="preserve">The authors </w:t>
      </w:r>
      <w:r w:rsidR="00A676F2">
        <w:t>reiterate</w:t>
      </w:r>
      <w:r w:rsidRPr="00E06571">
        <w:t xml:space="preserve"> that the State party has violated the principle of non-discrimination in detriment of their position as an elderly couple </w:t>
      </w:r>
      <w:r w:rsidR="0063197C">
        <w:t>belonging to a</w:t>
      </w:r>
      <w:r w:rsidR="00AD767A">
        <w:t>n ethnic</w:t>
      </w:r>
      <w:r w:rsidR="0063197C">
        <w:t xml:space="preserve"> </w:t>
      </w:r>
      <w:r w:rsidRPr="00E06571">
        <w:t xml:space="preserve">minority group. They submit that the State party has failed to accommodate their special needs in the application and enforcement of the planning and building legislation, without considering their physical and mental condition. Furthermore, the State party has failed to guarantee the authors an equal and effective protection against racial discrimination, as committed by the authors´ neighbours and by public authorities, such as the local councillor or the adjudicator of the Ontario Municipal Board. </w:t>
      </w:r>
    </w:p>
    <w:p w14:paraId="5D0E9552" w14:textId="1E30C11F" w:rsidR="00E06571" w:rsidRDefault="00E06571" w:rsidP="008D1724">
      <w:pPr>
        <w:pStyle w:val="SingleTxtG"/>
      </w:pPr>
      <w:r>
        <w:t>4.4</w:t>
      </w:r>
      <w:r>
        <w:tab/>
      </w:r>
      <w:r w:rsidR="00A676F2">
        <w:t>The authors also reiterate</w:t>
      </w:r>
      <w:r w:rsidRPr="00E06571">
        <w:t xml:space="preserve"> their </w:t>
      </w:r>
      <w:r w:rsidR="00A676F2">
        <w:t>claims</w:t>
      </w:r>
      <w:r w:rsidR="00A676F2" w:rsidRPr="00E06571">
        <w:t xml:space="preserve"> </w:t>
      </w:r>
      <w:r w:rsidR="0063197C">
        <w:t>under</w:t>
      </w:r>
      <w:r w:rsidRPr="00E06571">
        <w:t xml:space="preserve"> article 17 of the Covenant, </w:t>
      </w:r>
      <w:r w:rsidR="00A676F2">
        <w:t xml:space="preserve">because </w:t>
      </w:r>
      <w:r w:rsidRPr="00E06571">
        <w:t>there have been twenty six inspections, attempted</w:t>
      </w:r>
      <w:r w:rsidR="00343AB0">
        <w:t xml:space="preserve"> inspections, searches, or site</w:t>
      </w:r>
      <w:r w:rsidRPr="00E06571">
        <w:t xml:space="preserve"> visits, carried out without the authors´ consent, proper statutory authorization, or judicial warrant, disrupting the authors´ privacy, family and home. The authors also submit that a potential partial demolition of their dwelling would </w:t>
      </w:r>
      <w:r w:rsidR="00343AB0">
        <w:t>entail a further violation of</w:t>
      </w:r>
      <w:r w:rsidRPr="00E06571">
        <w:t xml:space="preserve"> article 17 of the Covenant.</w:t>
      </w:r>
    </w:p>
    <w:p w14:paraId="2DCA27B7" w14:textId="77777777" w:rsidR="008F1636" w:rsidRPr="005D7178" w:rsidRDefault="00E06571" w:rsidP="00434454">
      <w:pPr>
        <w:pStyle w:val="H23G"/>
      </w:pPr>
      <w:r>
        <w:tab/>
      </w:r>
      <w:r>
        <w:tab/>
      </w:r>
      <w:r w:rsidR="008F1636" w:rsidRPr="005D7178">
        <w:t>State party</w:t>
      </w:r>
      <w:r w:rsidR="005D7178">
        <w:t>’</w:t>
      </w:r>
      <w:r w:rsidR="008F1636" w:rsidRPr="005D7178">
        <w:t>s submissions on admissibility</w:t>
      </w:r>
      <w:r>
        <w:t xml:space="preserve"> and merits</w:t>
      </w:r>
    </w:p>
    <w:p w14:paraId="2FC56253" w14:textId="231BF0A4" w:rsidR="001F144C" w:rsidRDefault="00E06571" w:rsidP="00E378FB">
      <w:pPr>
        <w:pStyle w:val="SingleTxtG"/>
      </w:pPr>
      <w:r>
        <w:t>5.1</w:t>
      </w:r>
      <w:r>
        <w:tab/>
        <w:t xml:space="preserve">On 3 October </w:t>
      </w:r>
      <w:r w:rsidRPr="008D1724">
        <w:t>2011</w:t>
      </w:r>
      <w:r w:rsidR="008F1636" w:rsidRPr="005D7178">
        <w:t>, the State party submitted its obse</w:t>
      </w:r>
      <w:r>
        <w:t>rvations on the admissibility and merits</w:t>
      </w:r>
      <w:r w:rsidR="008F1636" w:rsidRPr="005D7178">
        <w:t xml:space="preserve"> the </w:t>
      </w:r>
      <w:r w:rsidR="008F1636" w:rsidRPr="00E378FB">
        <w:t>communication</w:t>
      </w:r>
      <w:r w:rsidR="008F1636" w:rsidRPr="005D7178">
        <w:t xml:space="preserve"> and requested that </w:t>
      </w:r>
      <w:r w:rsidR="00361FBC">
        <w:t>it</w:t>
      </w:r>
      <w:r w:rsidR="008F1636" w:rsidRPr="005D7178">
        <w:t xml:space="preserve"> should be declared inadmissible on </w:t>
      </w:r>
      <w:r w:rsidR="00883BD3">
        <w:t xml:space="preserve">the </w:t>
      </w:r>
      <w:r w:rsidR="008F1636" w:rsidRPr="005D7178">
        <w:t>grounds of abuse of right</w:t>
      </w:r>
      <w:r w:rsidR="0063197C">
        <w:t xml:space="preserve"> to petition</w:t>
      </w:r>
      <w:r w:rsidR="008F1636" w:rsidRPr="005D7178">
        <w:t>, non-exhaustion of domestic remedies and failure to substantiate claims.</w:t>
      </w:r>
      <w:r>
        <w:t xml:space="preserve"> </w:t>
      </w:r>
    </w:p>
    <w:p w14:paraId="5D35E5AB" w14:textId="2D1F0541" w:rsidR="001F144C" w:rsidRDefault="001F144C" w:rsidP="00E378FB">
      <w:pPr>
        <w:pStyle w:val="SingleTxtG"/>
      </w:pPr>
      <w:r>
        <w:t>5.2</w:t>
      </w:r>
      <w:r>
        <w:tab/>
        <w:t>The</w:t>
      </w:r>
      <w:r w:rsidR="00E06571" w:rsidRPr="00E06571">
        <w:t xml:space="preserve"> State party</w:t>
      </w:r>
      <w:r>
        <w:t xml:space="preserve"> notes that</w:t>
      </w:r>
      <w:r w:rsidR="00E06571" w:rsidRPr="00E06571">
        <w:t xml:space="preserve"> the authors continued </w:t>
      </w:r>
      <w:r w:rsidR="00A676F2">
        <w:t>and</w:t>
      </w:r>
      <w:r w:rsidR="00E06571" w:rsidRPr="00E06571">
        <w:t xml:space="preserve"> finish</w:t>
      </w:r>
      <w:r w:rsidR="00A676F2">
        <w:t>ed</w:t>
      </w:r>
      <w:r w:rsidR="00E06571" w:rsidRPr="00E06571">
        <w:t xml:space="preserve"> building the addition despite the initial </w:t>
      </w:r>
      <w:r w:rsidR="00A5407A">
        <w:t>“</w:t>
      </w:r>
      <w:r w:rsidR="00E06571" w:rsidRPr="00E06571">
        <w:t>Order to Comply</w:t>
      </w:r>
      <w:r w:rsidR="00A5407A">
        <w:t>”</w:t>
      </w:r>
      <w:r w:rsidR="00E06571" w:rsidRPr="00E06571">
        <w:t>, issued on 6 December 2006. The authors applied for variances, despite the possibility that the Committee of Adjustment might reject the appli</w:t>
      </w:r>
      <w:r w:rsidR="00883BD3">
        <w:t>cation.</w:t>
      </w:r>
      <w:r w:rsidR="004E796E">
        <w:t xml:space="preserve"> T</w:t>
      </w:r>
      <w:r w:rsidR="00E06571" w:rsidRPr="00E06571">
        <w:t xml:space="preserve">he City´s Planning Division prepared a report to the Committee of Adjustment recommending that the variance application be rejected because </w:t>
      </w:r>
      <w:r w:rsidR="00577770">
        <w:t>such</w:t>
      </w:r>
      <w:r w:rsidR="00E06571" w:rsidRPr="00E06571">
        <w:t xml:space="preserve"> variances were not minor, nor were they consistent with the </w:t>
      </w:r>
      <w:r w:rsidR="00E06571" w:rsidRPr="00E378FB">
        <w:t>general</w:t>
      </w:r>
      <w:r w:rsidR="00E06571" w:rsidRPr="00E06571">
        <w:t xml:space="preserve"> intent of the applicable by-law or the </w:t>
      </w:r>
      <w:r w:rsidR="004E796E">
        <w:t>“</w:t>
      </w:r>
      <w:r w:rsidR="00E06571" w:rsidRPr="00E06571">
        <w:t>Official Plan</w:t>
      </w:r>
      <w:r w:rsidR="004E796E">
        <w:t>”</w:t>
      </w:r>
      <w:r w:rsidR="00E06571" w:rsidRPr="00E06571">
        <w:t xml:space="preserve">. Within these </w:t>
      </w:r>
      <w:r w:rsidR="00E06571" w:rsidRPr="00E378FB">
        <w:t>proceedings</w:t>
      </w:r>
      <w:r w:rsidR="00E06571" w:rsidRPr="00E06571">
        <w:t xml:space="preserve">, a hearing was originally scheduled for 11 April 2007, which was deferred </w:t>
      </w:r>
      <w:r>
        <w:t>at the request of</w:t>
      </w:r>
      <w:r w:rsidRPr="00E06571">
        <w:t xml:space="preserve"> </w:t>
      </w:r>
      <w:r w:rsidR="00E06571" w:rsidRPr="00E06571">
        <w:t>the authors</w:t>
      </w:r>
      <w:r w:rsidR="003E098C">
        <w:t>’</w:t>
      </w:r>
      <w:r w:rsidR="00E06571" w:rsidRPr="00E06571">
        <w:t xml:space="preserve"> agent, their daughter </w:t>
      </w:r>
      <w:proofErr w:type="spellStart"/>
      <w:r w:rsidR="003619C3">
        <w:t>P.T.</w:t>
      </w:r>
      <w:r w:rsidR="004E796E">
        <w:t>T</w:t>
      </w:r>
      <w:r w:rsidR="00E06571" w:rsidRPr="00E06571">
        <w:t>he</w:t>
      </w:r>
      <w:proofErr w:type="spellEnd"/>
      <w:r w:rsidR="00E06571" w:rsidRPr="00E06571">
        <w:t xml:space="preserve"> hearing was rescheduled for 21 November 2007. Again, Ms. </w:t>
      </w:r>
      <w:r w:rsidR="003619C3">
        <w:t xml:space="preserve">P.T. </w:t>
      </w:r>
      <w:r w:rsidR="00E06571" w:rsidRPr="00E06571">
        <w:t xml:space="preserve">requested a deferral as she was out of the country. The Committee of Adjustment proceeded with the hearing and Mr. </w:t>
      </w:r>
      <w:r w:rsidR="003619C3">
        <w:t>Y.F.R.T</w:t>
      </w:r>
      <w:r>
        <w:t xml:space="preserve"> </w:t>
      </w:r>
      <w:r w:rsidR="00E06571" w:rsidRPr="00E06571">
        <w:t>gave evidence. On 27 November 2007, and</w:t>
      </w:r>
      <w:r w:rsidR="003E098C">
        <w:t xml:space="preserve"> by</w:t>
      </w:r>
      <w:r w:rsidR="00E06571" w:rsidRPr="00E06571">
        <w:t xml:space="preserve"> a unanimous decision, the Committee of Adjustment refused to grant the variances</w:t>
      </w:r>
      <w:r w:rsidR="00343AB0">
        <w:t>, because</w:t>
      </w:r>
      <w:r w:rsidR="0092313E">
        <w:t xml:space="preserve"> they</w:t>
      </w:r>
      <w:r w:rsidR="00E06571" w:rsidRPr="00E06571">
        <w:t xml:space="preserve"> did not meet any of the four-part test included in section 45 of the Planning Act. </w:t>
      </w:r>
    </w:p>
    <w:p w14:paraId="194B8764" w14:textId="5C22DC4E" w:rsidR="001F144C" w:rsidRDefault="001F144C" w:rsidP="008D1724">
      <w:pPr>
        <w:pStyle w:val="SingleTxtG"/>
      </w:pPr>
      <w:r>
        <w:t>5.3</w:t>
      </w:r>
      <w:r>
        <w:tab/>
        <w:t>T</w:t>
      </w:r>
      <w:r w:rsidR="00E06571" w:rsidRPr="00E06571">
        <w:t xml:space="preserve">he authors appealed </w:t>
      </w:r>
      <w:r>
        <w:t xml:space="preserve">against the decision rendered by the Committee of Adjustment </w:t>
      </w:r>
      <w:r w:rsidR="00E06571" w:rsidRPr="00E06571">
        <w:t>before the Ontario Municipal Board. Within these</w:t>
      </w:r>
      <w:r w:rsidR="0092313E">
        <w:t xml:space="preserve"> </w:t>
      </w:r>
      <w:r w:rsidR="00E06571" w:rsidRPr="00E06571">
        <w:t xml:space="preserve">proceedings, a hearing was scheduled for 5 August 2008, but neither the authors </w:t>
      </w:r>
      <w:r w:rsidR="00577770">
        <w:t xml:space="preserve">nor </w:t>
      </w:r>
      <w:r w:rsidR="00E06571" w:rsidRPr="00E06571">
        <w:t>their agent</w:t>
      </w:r>
      <w:r w:rsidR="00577770">
        <w:t xml:space="preserve"> </w:t>
      </w:r>
      <w:r w:rsidR="003E098C">
        <w:t>or</w:t>
      </w:r>
      <w:r w:rsidR="003E098C" w:rsidRPr="00E06571">
        <w:t xml:space="preserve"> </w:t>
      </w:r>
      <w:r w:rsidR="00E06571" w:rsidRPr="00E06571">
        <w:t>t</w:t>
      </w:r>
      <w:r w:rsidR="00361FBC">
        <w:t>heir expert land use planner</w:t>
      </w:r>
      <w:r w:rsidR="00577770">
        <w:t xml:space="preserve"> </w:t>
      </w:r>
      <w:r w:rsidR="00361FBC">
        <w:t>were</w:t>
      </w:r>
      <w:r w:rsidR="00E06571" w:rsidRPr="00E06571">
        <w:t xml:space="preserve"> able to at</w:t>
      </w:r>
      <w:r w:rsidR="0092313E">
        <w:t>tend</w:t>
      </w:r>
      <w:r w:rsidR="00E06571" w:rsidRPr="00E06571">
        <w:t xml:space="preserve">. The Ontario Municipal Board set a new date for a hearing on 1 December 2008. Before that hearing, the Board had issued a procedural order, with the parties´ consent, </w:t>
      </w:r>
      <w:r w:rsidR="00323ECC">
        <w:t>ordering the</w:t>
      </w:r>
      <w:r w:rsidR="00E06571" w:rsidRPr="00E06571">
        <w:t xml:space="preserve"> exchange </w:t>
      </w:r>
      <w:r w:rsidR="00323ECC">
        <w:t xml:space="preserve">of </w:t>
      </w:r>
      <w:r w:rsidR="00E06571" w:rsidRPr="00E06571">
        <w:t xml:space="preserve">all evidence necessary for the hearing before 1 September 2008, </w:t>
      </w:r>
      <w:r w:rsidR="00323ECC">
        <w:t xml:space="preserve">in </w:t>
      </w:r>
      <w:r w:rsidR="00323ECC">
        <w:lastRenderedPageBreak/>
        <w:t>order</w:t>
      </w:r>
      <w:r w:rsidR="00E06571" w:rsidRPr="00E06571">
        <w:t xml:space="preserve"> to decide the applicability of the four-part test included in section 45 of the Planning Act. On 1 December 2008, the hearing took place before the Vice-Chair of the Ontario Municipal Board, but the authors were not able to call their expert witness, who again was not able to attend due to vacation. Moreover, the author</w:t>
      </w:r>
      <w:r w:rsidR="0092313E">
        <w:t>s were</w:t>
      </w:r>
      <w:r w:rsidR="00E06571" w:rsidRPr="00E06571">
        <w:t xml:space="preserve"> not able to attach a planning report, as they did not comply with the deadline for </w:t>
      </w:r>
      <w:r w:rsidR="00DB7D67">
        <w:t xml:space="preserve">the </w:t>
      </w:r>
      <w:r w:rsidR="00E06571" w:rsidRPr="00E06571">
        <w:t>exchang</w:t>
      </w:r>
      <w:r w:rsidR="00DB7D67">
        <w:t>e</w:t>
      </w:r>
      <w:r w:rsidR="00E06571" w:rsidRPr="00E06571">
        <w:t xml:space="preserve"> </w:t>
      </w:r>
      <w:r w:rsidR="00DB7D67">
        <w:t>of</w:t>
      </w:r>
      <w:r w:rsidR="00361FBC">
        <w:t xml:space="preserve"> evidence</w:t>
      </w:r>
      <w:r w:rsidR="00E06571" w:rsidRPr="00E06571">
        <w:t>. During the hearing, the author</w:t>
      </w:r>
      <w:r w:rsidR="0092313E">
        <w:t>s´</w:t>
      </w:r>
      <w:r w:rsidR="00E06571" w:rsidRPr="00E06571">
        <w:t xml:space="preserve"> agent raised several procedural objections, related with the production of evidence and other formal requirements, which the Ontario Municipal Board found “irrelevant”, “technical”, and “very circular”. In reaction to the latter, the author</w:t>
      </w:r>
      <w:r w:rsidR="0092313E">
        <w:t>s´</w:t>
      </w:r>
      <w:r w:rsidR="00E06571" w:rsidRPr="00E06571">
        <w:t xml:space="preserve"> agent asserted that the Vice-Chair of the Board was biased and asked her to recuse herself, apparently based on her dissatisfaction with the procedural rulings. The Vice-Chair of the Municipal Board denied this request, because she though</w:t>
      </w:r>
      <w:r w:rsidR="00361FBC">
        <w:t>t she had dealt with the author</w:t>
      </w:r>
      <w:r w:rsidR="00E06571" w:rsidRPr="00E06571">
        <w:t>s</w:t>
      </w:r>
      <w:r w:rsidR="00361FBC">
        <w:t>´</w:t>
      </w:r>
      <w:r w:rsidR="00E06571" w:rsidRPr="00E06571">
        <w:t xml:space="preserve"> allegation</w:t>
      </w:r>
      <w:r w:rsidR="00361FBC">
        <w:t>s</w:t>
      </w:r>
      <w:r w:rsidR="00E06571" w:rsidRPr="00E06571">
        <w:t xml:space="preserve"> in a patient and fair manner. </w:t>
      </w:r>
      <w:r>
        <w:t>T</w:t>
      </w:r>
      <w:r w:rsidR="00E06571" w:rsidRPr="00E06571">
        <w:t xml:space="preserve">he authors and their agent then left the hearing despite being informed that since the hearing was peremptory, </w:t>
      </w:r>
      <w:r w:rsidR="00577770">
        <w:t>it</w:t>
      </w:r>
      <w:r w:rsidR="00E06571" w:rsidRPr="00E06571">
        <w:t xml:space="preserve"> would proceed regardless of their continued participation. Subsequently, the Ontario Municipal Board heard evidence from the City´s expert planni</w:t>
      </w:r>
      <w:r w:rsidR="0092313E">
        <w:t>ng witness</w:t>
      </w:r>
      <w:r w:rsidR="00E06571" w:rsidRPr="00E06571">
        <w:t>. On 10 December 2008, the Ontario Municipal Board denied the variances sought by the authors, finding that the addition was constructed without a building permit, was overbuilt</w:t>
      </w:r>
      <w:r w:rsidR="00DB7D67">
        <w:t>,</w:t>
      </w:r>
      <w:r w:rsidR="00E06571" w:rsidRPr="00E06571">
        <w:t xml:space="preserve"> and extended unacceptably far back into the rear y</w:t>
      </w:r>
      <w:r w:rsidR="0092313E">
        <w:t>ard. This decision also found</w:t>
      </w:r>
      <w:r w:rsidR="00E06571" w:rsidRPr="00E06571">
        <w:t xml:space="preserve"> that the addition was not consistent with the relevant policies of the City´s Official Plan or the zoning by-law</w:t>
      </w:r>
      <w:r w:rsidR="00DB7D67">
        <w:t>,</w:t>
      </w:r>
      <w:r w:rsidR="00E06571" w:rsidRPr="00E06571">
        <w:t xml:space="preserve"> and did not represent appropriate land development. </w:t>
      </w:r>
    </w:p>
    <w:p w14:paraId="3F625599" w14:textId="516C5530" w:rsidR="00F959A8" w:rsidRDefault="001F144C" w:rsidP="00E378FB">
      <w:pPr>
        <w:pStyle w:val="SingleTxtG"/>
      </w:pPr>
      <w:r>
        <w:t>5.4</w:t>
      </w:r>
      <w:r>
        <w:tab/>
      </w:r>
      <w:r w:rsidR="00E06571" w:rsidRPr="00E06571">
        <w:t xml:space="preserve">On 8 April 2009, the Ontario </w:t>
      </w:r>
      <w:r w:rsidR="00F959A8">
        <w:t>Municipal Board amended the latter decision</w:t>
      </w:r>
      <w:r w:rsidR="00E06571" w:rsidRPr="00E06571">
        <w:t>, correcting a</w:t>
      </w:r>
      <w:r w:rsidR="00F959A8">
        <w:t xml:space="preserve"> technical error in the </w:t>
      </w:r>
      <w:r w:rsidR="00E06571" w:rsidRPr="00E06571">
        <w:t xml:space="preserve">description of the third requested variance, which was not a key concern to the Board. On 29 December 2008, and through a </w:t>
      </w:r>
      <w:r w:rsidR="00F959A8">
        <w:t>“</w:t>
      </w:r>
      <w:r w:rsidR="00E06571" w:rsidRPr="00E06571">
        <w:t>Notice of Motion</w:t>
      </w:r>
      <w:r w:rsidR="00F959A8">
        <w:t>”</w:t>
      </w:r>
      <w:r w:rsidR="00E06571" w:rsidRPr="00E06571">
        <w:t>, the authors sought leave to appeal the Ontario Municipal Board´s decision before the Divisional Court, raising thirty grounds</w:t>
      </w:r>
      <w:r w:rsidR="00F959A8">
        <w:t>,</w:t>
      </w:r>
      <w:r w:rsidR="00E06571" w:rsidRPr="00E06571">
        <w:t xml:space="preserve"> most of </w:t>
      </w:r>
      <w:r w:rsidR="00E06571" w:rsidRPr="008D1724">
        <w:t>which</w:t>
      </w:r>
      <w:r w:rsidR="00E06571" w:rsidRPr="00E06571">
        <w:t xml:space="preserve"> related to procedural deficiencies and general reference to the infringement of the Canadian Charter of </w:t>
      </w:r>
      <w:r w:rsidR="00C96B26">
        <w:t>R</w:t>
      </w:r>
      <w:r w:rsidR="00E06571" w:rsidRPr="00E06571">
        <w:t xml:space="preserve">ights and </w:t>
      </w:r>
      <w:r w:rsidR="00C96B26">
        <w:t>F</w:t>
      </w:r>
      <w:r w:rsidR="00E06571" w:rsidRPr="00E06571">
        <w:t>reedoms. In h</w:t>
      </w:r>
      <w:r w:rsidR="00F959A8">
        <w:t xml:space="preserve">er oral argument, the authors´ agent </w:t>
      </w:r>
      <w:r w:rsidR="00E06571" w:rsidRPr="00E06571">
        <w:t>claimed that the Ontario Municipal Board misapprehended the evidence, denied them a right to na</w:t>
      </w:r>
      <w:r w:rsidR="00F959A8">
        <w:t>tural justice, and was biased</w:t>
      </w:r>
      <w:r w:rsidR="00E06571" w:rsidRPr="00E06571">
        <w:t xml:space="preserve"> against the authors. On 18 December 2009, the Divisional Court denied the motion for leave to appeal, basing the decision on the fact that the Amending</w:t>
      </w:r>
      <w:r w:rsidR="00F959A8">
        <w:t xml:space="preserve"> Order, issued on 8 April 2009,</w:t>
      </w:r>
      <w:r w:rsidR="00E06571" w:rsidRPr="00E06571">
        <w:t xml:space="preserve"> had no impact in any material way on the outcome of t</w:t>
      </w:r>
      <w:r w:rsidR="00F959A8">
        <w:t>he administrative proceedings</w:t>
      </w:r>
      <w:r w:rsidR="00E06571" w:rsidRPr="00E06571">
        <w:t>. With respect to the allegat</w:t>
      </w:r>
      <w:r w:rsidR="00F959A8">
        <w:t>ions concerning</w:t>
      </w:r>
      <w:r w:rsidR="00E06571" w:rsidRPr="00E06571">
        <w:t xml:space="preserve"> bi</w:t>
      </w:r>
      <w:r w:rsidR="00F959A8">
        <w:t>as</w:t>
      </w:r>
      <w:r w:rsidR="00E06571" w:rsidRPr="00E06571">
        <w:t xml:space="preserve"> against the authors, </w:t>
      </w:r>
      <w:r w:rsidR="00F959A8">
        <w:t>the Divisional Court found that they were</w:t>
      </w:r>
      <w:r w:rsidR="00E06571" w:rsidRPr="00E06571">
        <w:t xml:space="preserve"> not adequately and sufficiently substantiated. The authors then sought leave to appeal to</w:t>
      </w:r>
      <w:r w:rsidR="00F959A8">
        <w:t xml:space="preserve"> the Ontario Court of Appeal</w:t>
      </w:r>
      <w:r w:rsidR="00E06571" w:rsidRPr="00E06571">
        <w:t>. On 24 March 2010, the Ontario Court of Ap</w:t>
      </w:r>
      <w:r w:rsidR="00F959A8">
        <w:t>peal</w:t>
      </w:r>
      <w:r w:rsidR="00E06571" w:rsidRPr="00E06571">
        <w:t xml:space="preserve"> transferred the proceeding back to the Divisional Court for reconsideration of the leave motion by a panel of Three Judges. On 7 January 2011, this panel dismissed the motion to vary the first decision of the Divisional Court, denying leav</w:t>
      </w:r>
      <w:r w:rsidR="00F959A8">
        <w:t>e to appeal. T</w:t>
      </w:r>
      <w:r w:rsidR="00E06571" w:rsidRPr="00E06571">
        <w:t>he panel object</w:t>
      </w:r>
      <w:r w:rsidR="00F959A8">
        <w:t>ed the</w:t>
      </w:r>
      <w:r w:rsidR="00A533DE">
        <w:t xml:space="preserve"> authors´</w:t>
      </w:r>
      <w:r w:rsidR="00F959A8">
        <w:t xml:space="preserve"> accusations to public officials or challenges to</w:t>
      </w:r>
      <w:r w:rsidR="00E06571" w:rsidRPr="00E06571">
        <w:t xml:space="preserve"> their integrity without minimum </w:t>
      </w:r>
      <w:r w:rsidR="00E06571" w:rsidRPr="008D1724">
        <w:t>substantiation</w:t>
      </w:r>
      <w:r w:rsidR="00E06571" w:rsidRPr="00E06571">
        <w:t>, affecting the dignity</w:t>
      </w:r>
      <w:r w:rsidR="00F959A8">
        <w:t xml:space="preserve"> and civility of these procedures</w:t>
      </w:r>
      <w:r w:rsidR="00E06571" w:rsidRPr="00E06571">
        <w:t xml:space="preserve">. Overall, the panel concluded that the factual error in the description of the addition did not constitute a jurisdictional error or an error of law, that there had been no denial of procedural fairness and </w:t>
      </w:r>
      <w:r w:rsidR="00A86E1D">
        <w:t xml:space="preserve">that </w:t>
      </w:r>
      <w:r w:rsidR="00E06571" w:rsidRPr="00E06571">
        <w:t>there was no reasonable a</w:t>
      </w:r>
      <w:r w:rsidR="00F959A8">
        <w:t>pprehension of bias. T</w:t>
      </w:r>
      <w:r w:rsidR="00E06571" w:rsidRPr="00E06571">
        <w:t xml:space="preserve">his judgment </w:t>
      </w:r>
      <w:r w:rsidR="00F959A8">
        <w:t xml:space="preserve">also </w:t>
      </w:r>
      <w:r w:rsidR="00E06571" w:rsidRPr="00E06571">
        <w:t>awarded costs in the amount of $7.500 in favour of the City of Toronto, due to the unfounded allegations of misconduct against the City´s planning witness and legal counsel. On 18 July 2011, the au</w:t>
      </w:r>
      <w:r w:rsidR="00F959A8">
        <w:t xml:space="preserve">thors´ </w:t>
      </w:r>
      <w:r w:rsidR="00E06571" w:rsidRPr="00E06571">
        <w:t xml:space="preserve">attempt to appeal the latter decision before the Ontario Court of Appeal was dismissed. </w:t>
      </w:r>
    </w:p>
    <w:p w14:paraId="3A7A9850" w14:textId="03914F05" w:rsidR="008F1636" w:rsidRPr="00E06571" w:rsidRDefault="00F959A8" w:rsidP="008D1724">
      <w:pPr>
        <w:pStyle w:val="SingleTxtG"/>
      </w:pPr>
      <w:r>
        <w:t>5.</w:t>
      </w:r>
      <w:r w:rsidR="001F144C">
        <w:t>5</w:t>
      </w:r>
      <w:r>
        <w:tab/>
      </w:r>
      <w:r w:rsidR="00E06571" w:rsidRPr="00E06571">
        <w:t xml:space="preserve">In November 2009, and after two orders to comply with the zoning by-law </w:t>
      </w:r>
      <w:r w:rsidR="001F144C">
        <w:t>had been</w:t>
      </w:r>
      <w:r w:rsidR="001F144C" w:rsidRPr="00E06571">
        <w:t xml:space="preserve"> </w:t>
      </w:r>
      <w:r w:rsidR="00E06571" w:rsidRPr="00E06571">
        <w:t>issued against the authors</w:t>
      </w:r>
      <w:r>
        <w:t>, the City of Toronto began municipal</w:t>
      </w:r>
      <w:r w:rsidR="00E06571" w:rsidRPr="00E06571">
        <w:t xml:space="preserve"> prosecution</w:t>
      </w:r>
      <w:r>
        <w:t xml:space="preserve"> activities</w:t>
      </w:r>
      <w:r w:rsidR="00E06571" w:rsidRPr="00E06571">
        <w:t>. On 23 March 2011, and in the face of divided case law in this area, the City Pros</w:t>
      </w:r>
      <w:r>
        <w:t>ecutor exercised its</w:t>
      </w:r>
      <w:r w:rsidR="00E06571" w:rsidRPr="00E06571">
        <w:t xml:space="preserve"> prosecutorial discretion to withdraw the charge</w:t>
      </w:r>
      <w:r>
        <w:t>s</w:t>
      </w:r>
      <w:r w:rsidR="00E06571" w:rsidRPr="00E06571">
        <w:t xml:space="preserve">. </w:t>
      </w:r>
      <w:r w:rsidR="00BF7AD3">
        <w:t>Subse</w:t>
      </w:r>
      <w:r w:rsidR="00BF7AD3" w:rsidRPr="00E378FB">
        <w:t>q</w:t>
      </w:r>
      <w:r w:rsidR="00BF7AD3">
        <w:t>uently, and a</w:t>
      </w:r>
      <w:r w:rsidR="00E06571" w:rsidRPr="00E06571">
        <w:t>fter the two decision</w:t>
      </w:r>
      <w:r w:rsidR="00883BD3">
        <w:t>s</w:t>
      </w:r>
      <w:r w:rsidR="00E06571" w:rsidRPr="00E06571">
        <w:t xml:space="preserve"> of the Divisional Court that denied </w:t>
      </w:r>
      <w:r w:rsidR="00BF7AD3">
        <w:t xml:space="preserve">the authors </w:t>
      </w:r>
      <w:r w:rsidR="00E06571" w:rsidRPr="00E06571">
        <w:t xml:space="preserve">leave to appeal, lawyers for the City and the Acting Director of Toronto Building wrote letters demanding that the addition be removed. In light on the ongoing non-compliance with the demand letters, the City issued a </w:t>
      </w:r>
      <w:r w:rsidR="00A86E1D">
        <w:t>“</w:t>
      </w:r>
      <w:r w:rsidR="00E06571" w:rsidRPr="00E06571">
        <w:t>Notice of Application</w:t>
      </w:r>
      <w:r w:rsidR="00A86E1D">
        <w:t>”</w:t>
      </w:r>
      <w:r w:rsidR="00E06571" w:rsidRPr="00E06571">
        <w:t xml:space="preserve"> in the Ontario Superior Court of Justice</w:t>
      </w:r>
      <w:r w:rsidR="00BF7AD3">
        <w:t>, dated 3 March 2011,</w:t>
      </w:r>
      <w:r w:rsidR="00E06571" w:rsidRPr="00E06571">
        <w:t xml:space="preserve"> to seek a</w:t>
      </w:r>
      <w:r w:rsidR="00BF7AD3">
        <w:t xml:space="preserve"> judicial order requiring the authors or the owners of the house to remove the</w:t>
      </w:r>
      <w:r w:rsidR="00E06571" w:rsidRPr="00E06571">
        <w:t xml:space="preserve"> addition.</w:t>
      </w:r>
    </w:p>
    <w:p w14:paraId="0C3204B7" w14:textId="4A4786C1" w:rsidR="008F1636" w:rsidRPr="00E06571" w:rsidRDefault="00E06571" w:rsidP="008D1724">
      <w:pPr>
        <w:pStyle w:val="SingleTxtG"/>
      </w:pPr>
      <w:r>
        <w:t>5</w:t>
      </w:r>
      <w:r w:rsidR="00BF7AD3">
        <w:t>.</w:t>
      </w:r>
      <w:r w:rsidR="001F144C">
        <w:t>6</w:t>
      </w:r>
      <w:r w:rsidR="008F1636" w:rsidRPr="005D7178">
        <w:tab/>
      </w:r>
      <w:r w:rsidR="00BF7AD3">
        <w:t xml:space="preserve">Concerning potential violations of </w:t>
      </w:r>
      <w:r w:rsidRPr="00E06571">
        <w:t xml:space="preserve">article 7 of the Covenant, the State party submits that the authors </w:t>
      </w:r>
      <w:r w:rsidR="001F144C">
        <w:t xml:space="preserve">have </w:t>
      </w:r>
      <w:r w:rsidRPr="00E06571">
        <w:t>failed to exhaust domestic re</w:t>
      </w:r>
      <w:r w:rsidR="00BF7AD3">
        <w:t>medies and that the</w:t>
      </w:r>
      <w:r w:rsidR="001F144C">
        <w:t>ir</w:t>
      </w:r>
      <w:r w:rsidRPr="00E06571">
        <w:t xml:space="preserve"> allegations are manifestly ill-founded. Indeed, the authors did not raise </w:t>
      </w:r>
      <w:r w:rsidR="001F144C">
        <w:t xml:space="preserve">any </w:t>
      </w:r>
      <w:r w:rsidR="001F144C" w:rsidRPr="008D1724">
        <w:t>allegations</w:t>
      </w:r>
      <w:r w:rsidR="001F144C">
        <w:t xml:space="preserve"> of</w:t>
      </w:r>
      <w:r w:rsidRPr="00E06571">
        <w:t xml:space="preserve"> violations of sections 7 and 12 of the Charter of Rights and Freedoms in their claims before </w:t>
      </w:r>
      <w:r w:rsidR="00361FBC">
        <w:t>domestic adjudicatory bodies</w:t>
      </w:r>
      <w:r w:rsidR="00D56669">
        <w:t>, which protect</w:t>
      </w:r>
      <w:r w:rsidRPr="00E06571">
        <w:t xml:space="preserve"> individuals against “serious state-imposed psychological </w:t>
      </w:r>
      <w:r w:rsidRPr="00E06571">
        <w:lastRenderedPageBreak/>
        <w:t>stress” amounting to a violation of security of the person, and provides to everyone “the right not to be subjected to any cruel or unusual treatment or punishment”. Furthermore, the State party</w:t>
      </w:r>
      <w:r w:rsidR="00BF7AD3">
        <w:t xml:space="preserve"> submits that these allegations</w:t>
      </w:r>
      <w:r w:rsidRPr="00E06571">
        <w:t xml:space="preserve"> are unsubstantiated, because the authors have not provided independent medical evidence to support their assertion that the </w:t>
      </w:r>
      <w:r w:rsidR="00D56669">
        <w:t>visits</w:t>
      </w:r>
      <w:r w:rsidRPr="00E06571">
        <w:t xml:space="preserve"> caused the authors physical or mental harm. </w:t>
      </w:r>
      <w:r w:rsidR="00007338">
        <w:t>T</w:t>
      </w:r>
      <w:r w:rsidRPr="00E06571">
        <w:t xml:space="preserve">he service of legally authorized notices of violations of municipal law, the prosecution of by-law offences (which at most could lead to the imposition of a fine), or the official activities for seeking the demolition of the non-compliant structure cannot in any way be understood to have caused or contributed the type of severe suffering that has been found to fall within the scope of article 7 of the Covenant. Furthermore, any demolition of the structure must proceed with a valid court order that forces the property owner to comply with the judicial decisions, only after the other alternatives, such as letter of notices and other administrative steps have failed. In </w:t>
      </w:r>
      <w:r w:rsidR="00D56669">
        <w:t>this</w:t>
      </w:r>
      <w:r w:rsidRPr="00E06571">
        <w:t xml:space="preserve"> judicial proceeding, the authors could participate and raise arguments as to why the order should not be issued and, additionally, could raise an appeal against the order authorizing an eventual demolition. </w:t>
      </w:r>
      <w:r w:rsidR="00007338">
        <w:t>T</w:t>
      </w:r>
      <w:r w:rsidRPr="00E06571">
        <w:t>he State party informs that no demolition has occurred to date, and that any eviction from the structure concerned would not mean that the authors would be evicted from the rest of the home should the demolition be authorized by judicial order.</w:t>
      </w:r>
    </w:p>
    <w:p w14:paraId="75EB972D" w14:textId="130667E9" w:rsidR="008F1636" w:rsidRPr="00E06571" w:rsidRDefault="00E06571" w:rsidP="00E378FB">
      <w:pPr>
        <w:pStyle w:val="SingleTxtG"/>
      </w:pPr>
      <w:r>
        <w:t>5</w:t>
      </w:r>
      <w:r w:rsidR="000E709D">
        <w:t>.</w:t>
      </w:r>
      <w:r w:rsidR="005040A6">
        <w:t>7</w:t>
      </w:r>
      <w:r w:rsidR="008F1636" w:rsidRPr="005D7178">
        <w:tab/>
      </w:r>
      <w:r w:rsidRPr="00E06571">
        <w:t xml:space="preserve">Regarding the author´s allegations </w:t>
      </w:r>
      <w:r w:rsidR="005040A6">
        <w:t>under</w:t>
      </w:r>
      <w:r w:rsidR="00D56669">
        <w:t xml:space="preserve"> article 17 of the Covenant,</w:t>
      </w:r>
      <w:r w:rsidRPr="00E06571">
        <w:t xml:space="preserve"> the State pa</w:t>
      </w:r>
      <w:r w:rsidR="00883BD3">
        <w:t>rty submits that the State</w:t>
      </w:r>
      <w:r w:rsidRPr="00E06571">
        <w:t xml:space="preserve"> </w:t>
      </w:r>
      <w:r w:rsidR="00883BD3" w:rsidRPr="00E06571">
        <w:t>agents</w:t>
      </w:r>
      <w:r w:rsidR="00007338">
        <w:t xml:space="preserve"> conducted </w:t>
      </w:r>
      <w:r w:rsidRPr="00E06571">
        <w:t>visits and not searches or inspections</w:t>
      </w:r>
      <w:r w:rsidR="00007338">
        <w:t xml:space="preserve"> of the authors’ house</w:t>
      </w:r>
      <w:r w:rsidRPr="00E06571">
        <w:t>. The vast majority of these visits were attempt</w:t>
      </w:r>
      <w:r w:rsidR="00007338">
        <w:t>s</w:t>
      </w:r>
      <w:r w:rsidRPr="00E06571">
        <w:t xml:space="preserve"> to personally </w:t>
      </w:r>
      <w:r w:rsidR="00593E99">
        <w:t>serve</w:t>
      </w:r>
      <w:r w:rsidR="00593E99" w:rsidRPr="00E06571">
        <w:t xml:space="preserve"> </w:t>
      </w:r>
      <w:r w:rsidRPr="00E06571">
        <w:t xml:space="preserve">the </w:t>
      </w:r>
      <w:r w:rsidR="00BF7AD3">
        <w:t>“</w:t>
      </w:r>
      <w:r w:rsidRPr="00E06571">
        <w:t xml:space="preserve">Orders to </w:t>
      </w:r>
      <w:proofErr w:type="gramStart"/>
      <w:r w:rsidRPr="00E06571">
        <w:t>Comply</w:t>
      </w:r>
      <w:proofErr w:type="gramEnd"/>
      <w:r w:rsidR="00BF7AD3">
        <w:t>”</w:t>
      </w:r>
      <w:r w:rsidRPr="00E06571">
        <w:t xml:space="preserve">, many of which were unsuccessful, and that involved an official of the City of Toronto who walked up to the front door, knocked and rang </w:t>
      </w:r>
      <w:r w:rsidRPr="00E378FB">
        <w:t>the</w:t>
      </w:r>
      <w:r w:rsidRPr="00E06571">
        <w:t xml:space="preserve"> doorbell, and left a card. The other visits involved visual inspections of the outside of the illegal addition which were carried out by a building inspector standing on either public property, or from adjacent property with the consent of the neighbouring property owner. The argument of “arbitrary interferences” with the author</w:t>
      </w:r>
      <w:r w:rsidR="00BF7AD3">
        <w:t>s´</w:t>
      </w:r>
      <w:r w:rsidRPr="00E06571">
        <w:t xml:space="preserve"> home or privacy was not r</w:t>
      </w:r>
      <w:r w:rsidR="00BF7AD3">
        <w:t>aised in any domestic tribunal</w:t>
      </w:r>
      <w:r w:rsidRPr="00E06571">
        <w:t xml:space="preserve">, either complaining about the </w:t>
      </w:r>
      <w:r w:rsidRPr="008D1724">
        <w:t>legality</w:t>
      </w:r>
      <w:r w:rsidRPr="00E06571">
        <w:t>, reasonableness, or proportionality o</w:t>
      </w:r>
      <w:r w:rsidR="00593E99">
        <w:t>f</w:t>
      </w:r>
      <w:r w:rsidRPr="00E06571">
        <w:t xml:space="preserve"> the visits. Furthermore, they could have challenged the constitutional validity of the section</w:t>
      </w:r>
      <w:r w:rsidR="00D56669">
        <w:t>s</w:t>
      </w:r>
      <w:r w:rsidRPr="00E06571">
        <w:t xml:space="preserve"> of the Planning Act and Building Code which authorize the attendances and inspections. Therefore, domestic remedies in this regard have not been exhausted.</w:t>
      </w:r>
    </w:p>
    <w:p w14:paraId="6A138A1D" w14:textId="37D25966" w:rsidR="008F1636" w:rsidRPr="00E06571" w:rsidRDefault="00E06571" w:rsidP="008D1724">
      <w:pPr>
        <w:pStyle w:val="SingleTxtG"/>
      </w:pPr>
      <w:r>
        <w:t>5</w:t>
      </w:r>
      <w:r w:rsidR="000E709D">
        <w:t>.</w:t>
      </w:r>
      <w:r w:rsidR="005040A6">
        <w:t>8</w:t>
      </w:r>
      <w:r w:rsidR="008F1636" w:rsidRPr="005D7178">
        <w:tab/>
      </w:r>
      <w:r w:rsidR="005040A6">
        <w:t>As to</w:t>
      </w:r>
      <w:r w:rsidR="005040A6" w:rsidRPr="00E06571">
        <w:t xml:space="preserve"> </w:t>
      </w:r>
      <w:r w:rsidRPr="00E06571">
        <w:t>the author</w:t>
      </w:r>
      <w:r w:rsidR="00CE5F40">
        <w:t>s´</w:t>
      </w:r>
      <w:r w:rsidRPr="00E06571">
        <w:t xml:space="preserve"> allegations under article 26 of the Covenant, the State party submits that the authors could have</w:t>
      </w:r>
      <w:r w:rsidR="00CE5F40">
        <w:t xml:space="preserve"> raised </w:t>
      </w:r>
      <w:r w:rsidRPr="00E06571">
        <w:t xml:space="preserve">a constitutional remedy or </w:t>
      </w:r>
      <w:r w:rsidR="00CE5F40">
        <w:t>a</w:t>
      </w:r>
      <w:r w:rsidRPr="00E06571">
        <w:t xml:space="preserve"> discrimination </w:t>
      </w:r>
      <w:r w:rsidR="00CE5F40">
        <w:t>claim before any domestic adjudicatory venue, triggering</w:t>
      </w:r>
      <w:r w:rsidRPr="00E06571">
        <w:t xml:space="preserve"> public duties to take into consideration disabili</w:t>
      </w:r>
      <w:r w:rsidR="00CE5F40">
        <w:t>ty issues, such as those</w:t>
      </w:r>
      <w:r w:rsidRPr="00E06571">
        <w:t xml:space="preserve"> faced by the elderly. Moreover, at the moment of presenting the communication, a hearing regarding the judicial review of the order to demolish the addition</w:t>
      </w:r>
      <w:r w:rsidR="005040A6">
        <w:t xml:space="preserve"> was still pending</w:t>
      </w:r>
      <w:r w:rsidRPr="00E06571">
        <w:t>. Concerning the author</w:t>
      </w:r>
      <w:r w:rsidR="00CE5F40">
        <w:t>s´</w:t>
      </w:r>
      <w:r w:rsidRPr="00E06571">
        <w:t xml:space="preserve"> allegations of </w:t>
      </w:r>
      <w:r w:rsidRPr="008D1724">
        <w:t>discrimination</w:t>
      </w:r>
      <w:r w:rsidRPr="00E06571">
        <w:t xml:space="preserve"> on the grounds of ethnicity, the State party submits that these issues were raised peripherally at the Divisional Court, but where found entirely lacking in factual foundation and </w:t>
      </w:r>
      <w:r w:rsidR="005040A6">
        <w:t xml:space="preserve">hence </w:t>
      </w:r>
      <w:r w:rsidRPr="00E06571">
        <w:t xml:space="preserve">dismissed. Additionally, these allegations could </w:t>
      </w:r>
      <w:r w:rsidR="00D56669">
        <w:t xml:space="preserve">be </w:t>
      </w:r>
      <w:r w:rsidRPr="00E06571">
        <w:t>raised in the judicial hearing scheduled for January 2012. The State party also submits that these allegations provide no new or additional information that can derive in a potential assessment of discrimination on the basis of disability, race or ethnic origin, so they fail to make out a prima facie case of violation of article 26</w:t>
      </w:r>
      <w:r w:rsidR="00CE5F40">
        <w:t xml:space="preserve"> of the Covenant</w:t>
      </w:r>
      <w:r w:rsidRPr="00E06571">
        <w:t>.</w:t>
      </w:r>
    </w:p>
    <w:p w14:paraId="3B3403A7" w14:textId="77CD1BED" w:rsidR="00A66E99" w:rsidRDefault="00E06571" w:rsidP="008D1724">
      <w:pPr>
        <w:pStyle w:val="SingleTxtG"/>
      </w:pPr>
      <w:r>
        <w:t>5</w:t>
      </w:r>
      <w:r w:rsidR="000E709D">
        <w:t>.</w:t>
      </w:r>
      <w:r w:rsidR="005040A6">
        <w:t>9</w:t>
      </w:r>
      <w:r w:rsidR="008F1636" w:rsidRPr="005D7178">
        <w:tab/>
      </w:r>
      <w:r w:rsidR="005040A6">
        <w:t xml:space="preserve">On the merits, the </w:t>
      </w:r>
      <w:r w:rsidRPr="00E06571">
        <w:t>State party</w:t>
      </w:r>
      <w:r w:rsidR="005040A6">
        <w:t xml:space="preserve"> </w:t>
      </w:r>
      <w:r w:rsidRPr="00E06571">
        <w:t>recalls that the decision of the Committee of</w:t>
      </w:r>
      <w:r w:rsidR="0080184A">
        <w:t xml:space="preserve"> Adjustment</w:t>
      </w:r>
      <w:r w:rsidRPr="00E06571">
        <w:t xml:space="preserve"> was subsequently confirmed </w:t>
      </w:r>
      <w:r w:rsidR="00CE5F40">
        <w:t xml:space="preserve">in three independent processes held by </w:t>
      </w:r>
      <w:r w:rsidRPr="00E06571">
        <w:t>the Divisional Court, the panel of Three Judges from the Divisional Court,</w:t>
      </w:r>
      <w:r w:rsidR="00CE5F40">
        <w:t xml:space="preserve"> and</w:t>
      </w:r>
      <w:r w:rsidRPr="00E06571">
        <w:t xml:space="preserve"> the Court of Appe</w:t>
      </w:r>
      <w:r w:rsidR="00CE5F40">
        <w:t>al of Ontario respectively</w:t>
      </w:r>
      <w:r w:rsidRPr="00E06571">
        <w:t xml:space="preserve">. The State party </w:t>
      </w:r>
      <w:r w:rsidR="00A66E99">
        <w:t>recalls the Committee’s</w:t>
      </w:r>
      <w:r w:rsidR="00593E99">
        <w:t xml:space="preserve"> jurisprudence,</w:t>
      </w:r>
      <w:r w:rsidRPr="00E06571">
        <w:t xml:space="preserve"> according to which the availability of judicial review by a superior court of administrative decisions met the requirements of article 14 (1)</w:t>
      </w:r>
      <w:r w:rsidR="00A66E99">
        <w:t>.</w:t>
      </w:r>
      <w:r w:rsidR="00D56669">
        <w:rPr>
          <w:rStyle w:val="FootnoteReference"/>
        </w:rPr>
        <w:footnoteReference w:id="5"/>
      </w:r>
      <w:r w:rsidRPr="00E06571">
        <w:t xml:space="preserve"> </w:t>
      </w:r>
      <w:r w:rsidR="00A66E99">
        <w:t>Since</w:t>
      </w:r>
      <w:r w:rsidR="00A66E99" w:rsidRPr="00E06571">
        <w:t xml:space="preserve"> </w:t>
      </w:r>
      <w:r w:rsidRPr="00E06571">
        <w:t xml:space="preserve">Canadian domestic bodies have already dealt with the claims and evidence now before the Committee, the State party recalls that it is not the role of the Committee to re-evaluate the </w:t>
      </w:r>
      <w:r w:rsidRPr="008D1724">
        <w:t>facts</w:t>
      </w:r>
      <w:r w:rsidRPr="00E06571">
        <w:t xml:space="preserve"> and evidence unless it is manifest that the domestic tribunal´s evaluation was arbitrary or amounted to a denial of </w:t>
      </w:r>
      <w:r w:rsidR="00D56669">
        <w:t>justice</w:t>
      </w:r>
      <w:r w:rsidR="00A66E99">
        <w:t>.</w:t>
      </w:r>
      <w:r w:rsidR="00D56669">
        <w:rPr>
          <w:rStyle w:val="FootnoteReference"/>
        </w:rPr>
        <w:footnoteReference w:id="6"/>
      </w:r>
      <w:r w:rsidRPr="00E06571">
        <w:t xml:space="preserve"> The authors have argued that their right to equality of arms at the Ontario Municipal Board was violated </w:t>
      </w:r>
      <w:r w:rsidRPr="00E06571">
        <w:lastRenderedPageBreak/>
        <w:t>because they were</w:t>
      </w:r>
      <w:r w:rsidR="0080184A">
        <w:t xml:space="preserve"> denied disclosure, the cross-examination of</w:t>
      </w:r>
      <w:r w:rsidRPr="00E06571">
        <w:t xml:space="preserve"> the City´s</w:t>
      </w:r>
      <w:r w:rsidR="0080184A">
        <w:t xml:space="preserve"> expert witness and the possibility to file their own expert report. T</w:t>
      </w:r>
      <w:r w:rsidRPr="00E06571">
        <w:t xml:space="preserve">he State party submits that the Ontario Municipal Board quashed the summons of the City´s zoning examiner because the evidence which the authors sought to introduce related </w:t>
      </w:r>
      <w:r w:rsidR="0080184A">
        <w:t xml:space="preserve">to non-binding rulings that </w:t>
      </w:r>
      <w:r w:rsidR="00A66E99">
        <w:t xml:space="preserve">were </w:t>
      </w:r>
      <w:r w:rsidR="0080184A">
        <w:t>irrelevant</w:t>
      </w:r>
      <w:r w:rsidRPr="00E06571">
        <w:t xml:space="preserve">. Moreover, the Ontario Municipal Board issued a </w:t>
      </w:r>
      <w:r w:rsidR="00593E99">
        <w:t>“</w:t>
      </w:r>
      <w:r w:rsidRPr="00E06571">
        <w:t>Production Order</w:t>
      </w:r>
      <w:r w:rsidR="00593E99">
        <w:t>”</w:t>
      </w:r>
      <w:r w:rsidRPr="00E06571">
        <w:t xml:space="preserve"> that required each party to produce an </w:t>
      </w:r>
      <w:r w:rsidR="0080184A">
        <w:t>“</w:t>
      </w:r>
      <w:r w:rsidRPr="00E06571">
        <w:t>Affidavit of Documents</w:t>
      </w:r>
      <w:r w:rsidR="0080184A">
        <w:t>”</w:t>
      </w:r>
      <w:r w:rsidRPr="00E06571">
        <w:t xml:space="preserve"> setting out the documents that each party intended to rely upon at the hearing. At the end, however, the authors failed to abide by their disclosure obligations, as they failed to provide the City with their own expert</w:t>
      </w:r>
      <w:r w:rsidR="00361FBC">
        <w:t xml:space="preserve"> report</w:t>
      </w:r>
      <w:r w:rsidRPr="00E06571">
        <w:t>, failing also to comply with the procedural regulations be</w:t>
      </w:r>
      <w:r w:rsidR="0080184A">
        <w:t>fore the Ontario Municipal Board</w:t>
      </w:r>
      <w:r w:rsidRPr="00E06571">
        <w:t xml:space="preserve">. </w:t>
      </w:r>
    </w:p>
    <w:p w14:paraId="0AA6629D" w14:textId="1D4328F1" w:rsidR="008F1636" w:rsidRPr="00E06571" w:rsidRDefault="00A66E99" w:rsidP="008D1724">
      <w:pPr>
        <w:pStyle w:val="SingleTxtG"/>
      </w:pPr>
      <w:r>
        <w:t>5.10</w:t>
      </w:r>
      <w:r>
        <w:tab/>
      </w:r>
      <w:r w:rsidR="00E06571" w:rsidRPr="00E06571">
        <w:t>Concerning the author</w:t>
      </w:r>
      <w:r w:rsidR="0080184A">
        <w:t>s´</w:t>
      </w:r>
      <w:r w:rsidR="00E06571" w:rsidRPr="00E06571">
        <w:t xml:space="preserve"> allegations that they were denied the possibility of cross-examining the City´s expert </w:t>
      </w:r>
      <w:r w:rsidR="00E06571" w:rsidRPr="008D1724">
        <w:t>witness</w:t>
      </w:r>
      <w:r w:rsidR="00E06571" w:rsidRPr="00E06571">
        <w:t>, the State party challenges the representation of what actually occurred. Rather than cross-examine the City´s expert, the authors chose to leave the Ontario Municipal Board´s hearing, waving their right to scrutinise this statement. The State party submits that the Ontario Municipal Board treated the authors</w:t>
      </w:r>
      <w:r w:rsidR="0080184A">
        <w:t>´</w:t>
      </w:r>
      <w:r w:rsidR="00E06571" w:rsidRPr="00E06571">
        <w:t xml:space="preserve"> application as it would treat the application of any other party who left a duly convened hearing without a sound reason and having failed to p</w:t>
      </w:r>
      <w:r w:rsidR="001200E4">
        <w:t>resent any evidence.</w:t>
      </w:r>
    </w:p>
    <w:p w14:paraId="2C21DFFA" w14:textId="298025DE" w:rsidR="008F1636" w:rsidRDefault="00E06571" w:rsidP="008D1724">
      <w:pPr>
        <w:pStyle w:val="SingleTxtG"/>
      </w:pPr>
      <w:r>
        <w:t>5</w:t>
      </w:r>
      <w:r w:rsidR="000E709D">
        <w:t>.</w:t>
      </w:r>
      <w:r w:rsidR="003274F7">
        <w:t>11</w:t>
      </w:r>
      <w:r w:rsidR="008F1636" w:rsidRPr="005D7178">
        <w:tab/>
      </w:r>
      <w:r w:rsidRPr="00E06571">
        <w:t>The State party submits that domestic venues address</w:t>
      </w:r>
      <w:r w:rsidR="001200E4">
        <w:t>ed</w:t>
      </w:r>
      <w:r w:rsidRPr="00E06571">
        <w:t xml:space="preserve"> the procedural issues raised by the authors in a fair and reasonable manner</w:t>
      </w:r>
      <w:r w:rsidR="00D91F98">
        <w:t>.</w:t>
      </w:r>
      <w:r w:rsidR="001200E4">
        <w:t xml:space="preserve"> Moreover</w:t>
      </w:r>
      <w:r w:rsidRPr="00E06571">
        <w:t xml:space="preserve">, the </w:t>
      </w:r>
      <w:r w:rsidR="00361FBC">
        <w:t>Vice-Chair of</w:t>
      </w:r>
      <w:r w:rsidRPr="00E06571">
        <w:t xml:space="preserve"> the Ontario Municipal Board was not “openly</w:t>
      </w:r>
      <w:r w:rsidR="001200E4">
        <w:t xml:space="preserve"> hostile”, but instead</w:t>
      </w:r>
      <w:r w:rsidRPr="00E06571">
        <w:t xml:space="preserve"> was patient, spending a whole hearing to consider the procedural requests that were brought with no notice. Furthermore, the State party challenges the allegation that the Ontario Municipal Board´s decision was affected by direct influence, pressure and intrusion from outside parties and political in</w:t>
      </w:r>
      <w:r w:rsidR="001200E4">
        <w:t>terference. Indeed,</w:t>
      </w:r>
      <w:r w:rsidRPr="00E06571">
        <w:t xml:space="preserve"> the record</w:t>
      </w:r>
      <w:r w:rsidR="001200E4">
        <w:t>s of the</w:t>
      </w:r>
      <w:r w:rsidR="00403FBE">
        <w:t xml:space="preserve"> latter</w:t>
      </w:r>
      <w:r w:rsidRPr="00E06571">
        <w:t xml:space="preserve"> decisio</w:t>
      </w:r>
      <w:r w:rsidR="00403FBE">
        <w:t xml:space="preserve">n </w:t>
      </w:r>
      <w:r w:rsidR="00D91F98">
        <w:t xml:space="preserve">show that it </w:t>
      </w:r>
      <w:r w:rsidR="00403FBE">
        <w:t>was based on the merits</w:t>
      </w:r>
      <w:r w:rsidRPr="00E06571">
        <w:t xml:space="preserve"> and not because some neighbours and a city councillor opposed the variances</w:t>
      </w:r>
      <w:r w:rsidR="00D91F98">
        <w:t>,</w:t>
      </w:r>
      <w:r w:rsidRPr="00E06571">
        <w:t xml:space="preserve"> or because the City sent lawyers to support the decision of the Committee of </w:t>
      </w:r>
      <w:r w:rsidRPr="008D1724">
        <w:t>Adjustment</w:t>
      </w:r>
      <w:r w:rsidRPr="00E06571">
        <w:t xml:space="preserve">, which </w:t>
      </w:r>
      <w:r w:rsidR="005B34D3">
        <w:t>is a</w:t>
      </w:r>
      <w:r w:rsidRPr="00E06571">
        <w:t xml:space="preserve"> regular occurrence. Overall, the allegations of discrimination or a particular animosity against the authors, due to their condition as a visible ethni</w:t>
      </w:r>
      <w:r w:rsidR="00403FBE">
        <w:t>c minority, were manifestly ill-</w:t>
      </w:r>
      <w:r w:rsidRPr="00E06571">
        <w:t>founded, as confirmed by the decisions of the Divisional Court.</w:t>
      </w:r>
    </w:p>
    <w:p w14:paraId="2A9A437A" w14:textId="6D2D8C1C" w:rsidR="00E06571" w:rsidRDefault="000E709D" w:rsidP="008D1724">
      <w:pPr>
        <w:pStyle w:val="SingleTxtG"/>
      </w:pPr>
      <w:r>
        <w:t>5.</w:t>
      </w:r>
      <w:r w:rsidR="003274F7">
        <w:t>12</w:t>
      </w:r>
      <w:r w:rsidR="00E06571">
        <w:tab/>
      </w:r>
      <w:r w:rsidR="001200E4">
        <w:t>Furthermore</w:t>
      </w:r>
      <w:r w:rsidR="00E06571" w:rsidRPr="00E06571">
        <w:t>, th</w:t>
      </w:r>
      <w:r w:rsidR="001200E4">
        <w:t xml:space="preserve">e State party submits that </w:t>
      </w:r>
      <w:r w:rsidR="00361FBC">
        <w:t xml:space="preserve">the </w:t>
      </w:r>
      <w:r w:rsidR="001200E4">
        <w:t xml:space="preserve">administrative proceedings were based on </w:t>
      </w:r>
      <w:r w:rsidR="00E06571" w:rsidRPr="00E06571">
        <w:t>appropriate factual foundation</w:t>
      </w:r>
      <w:r w:rsidR="001200E4">
        <w:t>s</w:t>
      </w:r>
      <w:r w:rsidR="00E06571" w:rsidRPr="00E06571">
        <w:t xml:space="preserve"> and did not amount to a manifest error. </w:t>
      </w:r>
      <w:r w:rsidR="003274F7">
        <w:t>It</w:t>
      </w:r>
      <w:r w:rsidR="00E06571" w:rsidRPr="00E06571">
        <w:t xml:space="preserve"> challenges the </w:t>
      </w:r>
      <w:r w:rsidR="001200E4">
        <w:t>allege</w:t>
      </w:r>
      <w:r w:rsidR="00C21AB5">
        <w:t>d contradiction</w:t>
      </w:r>
      <w:r w:rsidR="001200E4">
        <w:t xml:space="preserve"> of notices to comply of</w:t>
      </w:r>
      <w:r w:rsidR="00E06571" w:rsidRPr="00E06571">
        <w:t xml:space="preserve"> 15 an</w:t>
      </w:r>
      <w:r w:rsidR="001200E4">
        <w:t>d 16 January 2007. W</w:t>
      </w:r>
      <w:r w:rsidR="00E06571" w:rsidRPr="00E06571">
        <w:t xml:space="preserve">hile the first notice may have had some administrative errors, it does not amount to a violation of article 14 (1). The second notice </w:t>
      </w:r>
      <w:r w:rsidR="008D3B59">
        <w:t>wa</w:t>
      </w:r>
      <w:r w:rsidR="00E06571" w:rsidRPr="00E06571">
        <w:t>s complete and designed to assist the applicants in determining what steps to take in respect of their building project, which at that time was under construction. Moreover, the author</w:t>
      </w:r>
      <w:r w:rsidR="00C21AB5">
        <w:t>s</w:t>
      </w:r>
      <w:r w:rsidR="00E06571" w:rsidRPr="00E06571">
        <w:t xml:space="preserve"> have alleged that the Ontario Municipal Board´s decision was arbitrary, on the basis that it has approved other larger variances. The State party submits that every application for a variance is con</w:t>
      </w:r>
      <w:r w:rsidR="00793899">
        <w:t>sidered on its own unique facts</w:t>
      </w:r>
      <w:r w:rsidR="00E06571" w:rsidRPr="00E06571">
        <w:t>. Indeed, according to a review of the records of the City of Toronto back to 1954</w:t>
      </w:r>
      <w:r w:rsidR="00C21AB5">
        <w:t>,</w:t>
      </w:r>
      <w:r w:rsidR="00E06571" w:rsidRPr="00E06571">
        <w:t xml:space="preserve"> no approval has ever been given in the </w:t>
      </w:r>
      <w:proofErr w:type="spellStart"/>
      <w:r w:rsidR="00E06571" w:rsidRPr="00E06571">
        <w:t>Harbord</w:t>
      </w:r>
      <w:proofErr w:type="spellEnd"/>
      <w:r w:rsidR="00E06571" w:rsidRPr="00E06571">
        <w:t xml:space="preserve"> Village Heritage C</w:t>
      </w:r>
      <w:r w:rsidR="00C21AB5">
        <w:t>onservation district</w:t>
      </w:r>
      <w:r w:rsidR="00E06571" w:rsidRPr="00E06571">
        <w:t xml:space="preserve"> for a building depth as large as the </w:t>
      </w:r>
      <w:r w:rsidR="00C21AB5">
        <w:t>addition built by the authors</w:t>
      </w:r>
      <w:r w:rsidR="00E06571" w:rsidRPr="00E06571">
        <w:t xml:space="preserve">. The </w:t>
      </w:r>
      <w:r w:rsidR="00C21AB5">
        <w:t xml:space="preserve">City´s </w:t>
      </w:r>
      <w:r w:rsidR="00C21AB5" w:rsidRPr="008D1724">
        <w:t>expert</w:t>
      </w:r>
      <w:r w:rsidR="00C21AB5">
        <w:t xml:space="preserve"> planner</w:t>
      </w:r>
      <w:r w:rsidR="00E06571" w:rsidRPr="00E06571">
        <w:t xml:space="preserve"> explained that the depth of the houses on the block in question are generally uniform, and that none of the houses (with additions included) extends as deep as </w:t>
      </w:r>
      <w:r w:rsidR="008D3B59">
        <w:t>the authors’ house</w:t>
      </w:r>
      <w:r w:rsidR="00E06571" w:rsidRPr="00E06571">
        <w:t>. Finally, the State party submits that even if the Ontario Municipal Board made a mistake regarding the description of one of the variances sought by the authors, which was later amended at the request of the City of Toronto, this error would not have affected the outcome, as confirmed by the decision of the Divisional Court. The State party also recalls the jurisprudence of the Committee, according to which it is up for the court</w:t>
      </w:r>
      <w:r w:rsidR="008D3B59">
        <w:t>s</w:t>
      </w:r>
      <w:r w:rsidR="00E06571" w:rsidRPr="00E06571">
        <w:t xml:space="preserve"> of the State to review the facts and evidence, or the application of domestic legislation, unless it can be shown that such evaluation or application was clearly arbitrary or amounted to a manifest error or denial of justice</w:t>
      </w:r>
      <w:r w:rsidR="005B34D3">
        <w:t>,</w:t>
      </w:r>
      <w:r w:rsidR="00E06571" w:rsidRPr="00E06571">
        <w:t xml:space="preserve"> or that the court otherwise violated its obligation of independence and impartiality.</w:t>
      </w:r>
    </w:p>
    <w:p w14:paraId="7B1B67FF" w14:textId="53E3D58A" w:rsidR="00E06571" w:rsidRDefault="000E709D" w:rsidP="008D1724">
      <w:pPr>
        <w:pStyle w:val="SingleTxtG"/>
      </w:pPr>
      <w:r>
        <w:t>5.</w:t>
      </w:r>
      <w:r w:rsidR="003274F7">
        <w:t>13</w:t>
      </w:r>
      <w:r w:rsidR="00E06571">
        <w:tab/>
      </w:r>
      <w:r w:rsidR="00E06571" w:rsidRPr="00E06571">
        <w:t xml:space="preserve">Regarding the authors´ allegations </w:t>
      </w:r>
      <w:r w:rsidR="003274F7">
        <w:t>under</w:t>
      </w:r>
      <w:r w:rsidR="003274F7" w:rsidRPr="00E06571">
        <w:t xml:space="preserve"> </w:t>
      </w:r>
      <w:r w:rsidR="00E06571" w:rsidRPr="00E06571">
        <w:t>article 17 of the Covenant, the State party submits that none of the visits carried out by public officers involved entry into the authors´ home for purposes of inspection. The authors´ privacy and home was not interfered with in any material way and every visit was duly authorized by law and was proportionate to the end sought by the regulatory framework of the City of Toronto.</w:t>
      </w:r>
    </w:p>
    <w:p w14:paraId="6571A92E" w14:textId="2A41FFA7" w:rsidR="00E06571" w:rsidRPr="00E06571" w:rsidRDefault="000E709D" w:rsidP="00E378FB">
      <w:pPr>
        <w:pStyle w:val="SingleTxtG"/>
      </w:pPr>
      <w:r>
        <w:t>5.1</w:t>
      </w:r>
      <w:r w:rsidR="003274F7">
        <w:t>4</w:t>
      </w:r>
      <w:r w:rsidR="00E06571">
        <w:tab/>
      </w:r>
      <w:r w:rsidR="003274F7">
        <w:t>Regarding the authors’ allegations under article 26 of the Covenant</w:t>
      </w:r>
      <w:r w:rsidR="00361FBC">
        <w:t>,</w:t>
      </w:r>
      <w:r w:rsidR="003274F7">
        <w:t xml:space="preserve"> the State party argues that</w:t>
      </w:r>
      <w:r w:rsidR="00361FBC">
        <w:t xml:space="preserve"> t</w:t>
      </w:r>
      <w:r w:rsidR="00E06571" w:rsidRPr="00E06571">
        <w:t xml:space="preserve">here is no evidence that the size of the property </w:t>
      </w:r>
      <w:r w:rsidR="003274F7">
        <w:t xml:space="preserve">that </w:t>
      </w:r>
      <w:r w:rsidR="00E06571" w:rsidRPr="00E06571">
        <w:t xml:space="preserve">the authors bought in 2006 </w:t>
      </w:r>
      <w:r w:rsidR="00E06571" w:rsidRPr="00E06571">
        <w:lastRenderedPageBreak/>
        <w:t xml:space="preserve">(including the addition which existed at the time) was insufficient to meet their needs, </w:t>
      </w:r>
      <w:r w:rsidR="003274F7">
        <w:t>or that they</w:t>
      </w:r>
      <w:r w:rsidR="00E06571" w:rsidRPr="00E06571">
        <w:t xml:space="preserve"> could not have built a somewhat smaller addition that would have met their needs while also complying with applicable zoning requirements. The State party recalls that there is no evidence that other variances requests in the same neighbourhood of the authors, as submitted by them, were raised by “Caucasians”. </w:t>
      </w:r>
      <w:r w:rsidR="00E06571" w:rsidRPr="008D1724">
        <w:t>Additionally</w:t>
      </w:r>
      <w:r w:rsidR="00E06571" w:rsidRPr="00E06571">
        <w:t xml:space="preserve">, within the allegedly similar cases raised by the authors, the issue at stake was different, such as the maintenance </w:t>
      </w:r>
      <w:r w:rsidR="003648C8">
        <w:t xml:space="preserve">of </w:t>
      </w:r>
      <w:r w:rsidR="00E06571" w:rsidRPr="00E06571">
        <w:t>an existing wooden staircase at the rear of one building which was built before the passing of the current zoning by-law, the approval of an addition that was much smaller than the authors´ addition, or the approval of parking space</w:t>
      </w:r>
      <w:r w:rsidR="003648C8">
        <w:t>s</w:t>
      </w:r>
      <w:r w:rsidR="00E06571" w:rsidRPr="00E06571">
        <w:t>. These cases show that each zoning application is considered individually by a quasi-judicial body based on its unique facts, and complying with a zoning regulation which must be implement</w:t>
      </w:r>
      <w:r w:rsidR="003648C8">
        <w:t>ed</w:t>
      </w:r>
      <w:r w:rsidR="00E06571" w:rsidRPr="00E06571">
        <w:t xml:space="preserve"> with respect of </w:t>
      </w:r>
      <w:r w:rsidR="003648C8">
        <w:t xml:space="preserve">the </w:t>
      </w:r>
      <w:r w:rsidR="00E06571" w:rsidRPr="00E06571">
        <w:t>Planning Act, as well as the Ontario Human Rights Code and the Canadian Charter of Rights and Freedoms. Finally, the State party highlights that the authors´ allegations on their differential treatment were based on incorrect descriptions of the facts of the communication, in order to give the impression that the variances they were seeking were more minor tha</w:t>
      </w:r>
      <w:r w:rsidR="003274F7">
        <w:t>n</w:t>
      </w:r>
      <w:r w:rsidR="00E06571" w:rsidRPr="00E06571">
        <w:t xml:space="preserve"> they actually were. For example, they suggest that one of the key variances they were requesting was of only 45 centimetres over and above the depth of the previous addition on the house, but in fact their own expert stated that the depth of the house after the addition (23.8 metres) exceed</w:t>
      </w:r>
      <w:r w:rsidR="003274F7">
        <w:t>ed</w:t>
      </w:r>
      <w:r w:rsidR="00E06571" w:rsidRPr="00E06571">
        <w:t xml:space="preserve"> the by-law allowance by 9.8 metres. The latter </w:t>
      </w:r>
      <w:r w:rsidR="00E06571" w:rsidRPr="00E378FB">
        <w:t>also</w:t>
      </w:r>
      <w:r w:rsidR="00E06571" w:rsidRPr="00E06571">
        <w:t xml:space="preserve"> stated that the depth of the house after the addition extend</w:t>
      </w:r>
      <w:r w:rsidR="003274F7">
        <w:t>ed</w:t>
      </w:r>
      <w:r w:rsidR="00E06571" w:rsidRPr="00E06571">
        <w:t xml:space="preserve"> over 2 metre</w:t>
      </w:r>
      <w:r w:rsidR="003648C8">
        <w:t>s</w:t>
      </w:r>
      <w:r w:rsidR="00E06571" w:rsidRPr="00E06571">
        <w:t xml:space="preserve"> (not 45 centimetres as claimed) over the original wood structure, for which a variance was never obtained. Overall, the State party </w:t>
      </w:r>
      <w:r w:rsidR="003648C8">
        <w:t xml:space="preserve">submits </w:t>
      </w:r>
      <w:r w:rsidR="00E06571" w:rsidRPr="00E06571">
        <w:t xml:space="preserve">that the information provided in this case does not in any way support </w:t>
      </w:r>
      <w:r w:rsidR="003274F7">
        <w:t>any</w:t>
      </w:r>
      <w:r w:rsidR="00E06571" w:rsidRPr="00E06571">
        <w:t xml:space="preserve"> distinction </w:t>
      </w:r>
      <w:r w:rsidR="003274F7">
        <w:t xml:space="preserve">based </w:t>
      </w:r>
      <w:r w:rsidR="00E06571" w:rsidRPr="00E06571">
        <w:t>on race, l</w:t>
      </w:r>
      <w:r w:rsidR="003648C8">
        <w:t>et alone racial discrimination.</w:t>
      </w:r>
    </w:p>
    <w:p w14:paraId="54743A2D" w14:textId="77777777" w:rsidR="008F1636" w:rsidRPr="005D7178" w:rsidRDefault="008F1636" w:rsidP="00434454">
      <w:pPr>
        <w:pStyle w:val="H23G"/>
      </w:pPr>
      <w:r w:rsidRPr="005D7178">
        <w:tab/>
      </w:r>
      <w:r w:rsidRPr="005D7178">
        <w:tab/>
        <w:t>Author</w:t>
      </w:r>
      <w:r w:rsidR="005D7178">
        <w:t>’</w:t>
      </w:r>
      <w:r w:rsidRPr="005D7178">
        <w:t>s comments on the State party</w:t>
      </w:r>
      <w:r w:rsidR="005D7178">
        <w:t>’</w:t>
      </w:r>
      <w:r w:rsidRPr="005D7178">
        <w:t>s submissions on admissibility</w:t>
      </w:r>
      <w:r w:rsidR="00E06571">
        <w:t xml:space="preserve"> and merits</w:t>
      </w:r>
    </w:p>
    <w:p w14:paraId="09E8C2D7" w14:textId="18B014D3" w:rsidR="008F1636" w:rsidRPr="00E06571" w:rsidRDefault="00E06571" w:rsidP="00E378FB">
      <w:pPr>
        <w:pStyle w:val="SingleTxtG"/>
      </w:pPr>
      <w:r>
        <w:t>6</w:t>
      </w:r>
      <w:r w:rsidR="008F1636" w:rsidRPr="005D7178">
        <w:t>.1</w:t>
      </w:r>
      <w:r w:rsidR="008F1636" w:rsidRPr="005D7178">
        <w:tab/>
      </w:r>
      <w:r w:rsidRPr="00E06571">
        <w:t xml:space="preserve">On 23 January 2012, the authors submit that the State party has acknowledged that a two-storey </w:t>
      </w:r>
      <w:r w:rsidR="002B7AA3">
        <w:t>structure</w:t>
      </w:r>
      <w:r w:rsidRPr="00E06571">
        <w:t xml:space="preserve"> was a pre-existing </w:t>
      </w:r>
      <w:r w:rsidRPr="00E378FB">
        <w:t>feature</w:t>
      </w:r>
      <w:r w:rsidRPr="00E06571">
        <w:t xml:space="preserve"> of the house </w:t>
      </w:r>
      <w:r w:rsidR="002B7AA3">
        <w:t xml:space="preserve">that </w:t>
      </w:r>
      <w:r w:rsidRPr="00E06571">
        <w:t>they bought, and that many of the house</w:t>
      </w:r>
      <w:r w:rsidR="002B7AA3">
        <w:t>s</w:t>
      </w:r>
      <w:r w:rsidRPr="00E06571">
        <w:t xml:space="preserve"> </w:t>
      </w:r>
      <w:r w:rsidR="002B7AA3">
        <w:t>in</w:t>
      </w:r>
      <w:r w:rsidRPr="00E06571">
        <w:t xml:space="preserve"> the neighbourhood have undergone significant renovations over the years. Moreover, they provide evidence, including an architectural drawing, which supports the fact </w:t>
      </w:r>
      <w:r w:rsidR="003648C8">
        <w:t xml:space="preserve">that </w:t>
      </w:r>
      <w:r w:rsidRPr="00E06571">
        <w:t>the new addition replacing the old-storey addition is exactly 51 centimetres longer, and that the state has misquoted the dimensions.</w:t>
      </w:r>
    </w:p>
    <w:p w14:paraId="41877A90" w14:textId="5CD76F53" w:rsidR="008F1636" w:rsidRPr="00E06571" w:rsidRDefault="00E06571" w:rsidP="00E06571">
      <w:pPr>
        <w:pStyle w:val="SingleTxtG"/>
      </w:pPr>
      <w:r>
        <w:t>6</w:t>
      </w:r>
      <w:r w:rsidR="008F1636" w:rsidRPr="005D7178">
        <w:t>.2</w:t>
      </w:r>
      <w:r w:rsidR="008F1636" w:rsidRPr="005D7178">
        <w:tab/>
      </w:r>
      <w:r w:rsidR="008D3B59">
        <w:t>T</w:t>
      </w:r>
      <w:r w:rsidRPr="00E06571">
        <w:t xml:space="preserve">he authors </w:t>
      </w:r>
      <w:r w:rsidR="008D3B59">
        <w:t>note the numerous</w:t>
      </w:r>
      <w:r w:rsidRPr="00E06571">
        <w:t xml:space="preserve"> errors that affected the outcome and the merits of the adminis</w:t>
      </w:r>
      <w:r w:rsidR="003648C8">
        <w:t xml:space="preserve">trative decisions against them. </w:t>
      </w:r>
      <w:r w:rsidR="008D3B59">
        <w:t>They</w:t>
      </w:r>
      <w:r w:rsidRPr="00E06571">
        <w:t xml:space="preserve"> also not</w:t>
      </w:r>
      <w:r w:rsidR="008D3B59">
        <w:t>e</w:t>
      </w:r>
      <w:r w:rsidRPr="00E06571">
        <w:t xml:space="preserve"> that in their case there was never a ful</w:t>
      </w:r>
      <w:r w:rsidR="003648C8">
        <w:t>l hearing before a higher court</w:t>
      </w:r>
      <w:r w:rsidRPr="00E06571">
        <w:t xml:space="preserve"> after the decision of the O</w:t>
      </w:r>
      <w:r w:rsidR="003648C8">
        <w:t>ntario Municipal Board,</w:t>
      </w:r>
      <w:r w:rsidRPr="00E06571">
        <w:t xml:space="preserve"> impeding a full revision of the l</w:t>
      </w:r>
      <w:r w:rsidR="001566FE">
        <w:t>egality of the administrative procedures</w:t>
      </w:r>
      <w:r w:rsidRPr="00E06571">
        <w:t xml:space="preserve">, </w:t>
      </w:r>
      <w:r w:rsidR="001566FE">
        <w:t>violating article 14 of the Covenant.</w:t>
      </w:r>
    </w:p>
    <w:p w14:paraId="0575B298" w14:textId="7C9380E8" w:rsidR="008F1636" w:rsidRPr="00E06571" w:rsidRDefault="00E06571" w:rsidP="008D1724">
      <w:pPr>
        <w:pStyle w:val="SingleTxtG"/>
      </w:pPr>
      <w:r>
        <w:t>6</w:t>
      </w:r>
      <w:r w:rsidR="008F1636" w:rsidRPr="005D7178">
        <w:t>.3</w:t>
      </w:r>
      <w:r w:rsidR="008F1636" w:rsidRPr="005D7178">
        <w:tab/>
      </w:r>
      <w:r w:rsidR="002B7AA3">
        <w:t>The authors claim</w:t>
      </w:r>
      <w:r w:rsidRPr="00E06571">
        <w:t xml:space="preserve"> that the </w:t>
      </w:r>
      <w:r w:rsidR="002B7AA3">
        <w:t xml:space="preserve">national </w:t>
      </w:r>
      <w:r w:rsidR="004A43EB">
        <w:t>legal</w:t>
      </w:r>
      <w:r w:rsidRPr="00E06571">
        <w:t xml:space="preserve"> proceedings have prevented them from raising any substantive issues be</w:t>
      </w:r>
      <w:r w:rsidR="00AB4AEB">
        <w:t>yond</w:t>
      </w:r>
      <w:r w:rsidRPr="00E06571">
        <w:t xml:space="preserve"> the narrow 4-test rule of section 45 of the Planning Act, so the State party never addressed whether the variances sought by the authors were necessary to accommodate their special</w:t>
      </w:r>
      <w:r w:rsidR="0005487E">
        <w:t xml:space="preserve"> needs </w:t>
      </w:r>
      <w:r w:rsidR="0005487E" w:rsidRPr="008D1724">
        <w:t>as</w:t>
      </w:r>
      <w:r w:rsidR="0005487E">
        <w:t xml:space="preserve"> an elderly couple. T</w:t>
      </w:r>
      <w:r w:rsidRPr="00E06571">
        <w:t xml:space="preserve">hey submit that, by failing to hear or address the authors´ allegations, </w:t>
      </w:r>
      <w:r w:rsidR="008D3B59">
        <w:t>the State party</w:t>
      </w:r>
      <w:r w:rsidRPr="00E06571">
        <w:t xml:space="preserve"> failed to ensure due process, to fulfil i</w:t>
      </w:r>
      <w:r w:rsidR="00AB4AEB">
        <w:t>t</w:t>
      </w:r>
      <w:r w:rsidRPr="00E06571">
        <w:t xml:space="preserve">s duty of care in respect of elderly people from a racially distinct origin (whose first language is Chinese), with special needs, to </w:t>
      </w:r>
      <w:r w:rsidR="00AB4AEB">
        <w:t>allow them</w:t>
      </w:r>
      <w:r w:rsidRPr="00E06571">
        <w:t xml:space="preserve"> the opportunity to present their case. </w:t>
      </w:r>
      <w:r w:rsidR="003A6FCF">
        <w:t>The authors allege arbitrariness in the</w:t>
      </w:r>
      <w:r w:rsidRPr="00E06571">
        <w:t xml:space="preserve"> issuing </w:t>
      </w:r>
      <w:r w:rsidR="003A6FCF">
        <w:t xml:space="preserve">of </w:t>
      </w:r>
      <w:r w:rsidRPr="00E06571">
        <w:t>zoning by-laws and in the enforcement of the law of building permit</w:t>
      </w:r>
      <w:r w:rsidR="00671FEF">
        <w:rPr>
          <w:rStyle w:val="FootnoteReference"/>
        </w:rPr>
        <w:footnoteReference w:id="7"/>
      </w:r>
      <w:r w:rsidR="00AB4AEB">
        <w:t>.</w:t>
      </w:r>
      <w:r w:rsidRPr="00E06571">
        <w:t xml:space="preserve"> </w:t>
      </w:r>
      <w:r w:rsidR="003A6FCF">
        <w:t>This</w:t>
      </w:r>
      <w:r w:rsidRPr="00E06571">
        <w:t xml:space="preserve"> arbitrariness is informed by a discriminatory motive, for their condition as non-Caucasians in </w:t>
      </w:r>
      <w:r w:rsidR="003A6FCF">
        <w:t xml:space="preserve">a </w:t>
      </w:r>
      <w:r w:rsidRPr="00E06571">
        <w:t xml:space="preserve">neighbourhood that </w:t>
      </w:r>
      <w:r w:rsidR="003A6FCF">
        <w:t>has</w:t>
      </w:r>
      <w:r w:rsidR="003A6FCF" w:rsidRPr="00E06571">
        <w:t xml:space="preserve"> </w:t>
      </w:r>
      <w:r w:rsidRPr="00E06571">
        <w:t xml:space="preserve">no other visible minority. The </w:t>
      </w:r>
      <w:r w:rsidR="003A6FCF">
        <w:t>family</w:t>
      </w:r>
      <w:r w:rsidRPr="00E06571">
        <w:t xml:space="preserve"> names of the neighbours that have been organizing against them are all of </w:t>
      </w:r>
      <w:r w:rsidR="00361FBC" w:rsidRPr="00E06571">
        <w:t>Caucasian</w:t>
      </w:r>
      <w:r w:rsidRPr="00E06571">
        <w:t xml:space="preserve"> origin, which further reinforces this argument. </w:t>
      </w:r>
    </w:p>
    <w:p w14:paraId="0F512140" w14:textId="1D3EEF9D" w:rsidR="008F1636" w:rsidRDefault="00E06571" w:rsidP="008D1724">
      <w:pPr>
        <w:pStyle w:val="SingleTxtG"/>
      </w:pPr>
      <w:r>
        <w:t>6</w:t>
      </w:r>
      <w:r w:rsidR="004A43EB">
        <w:t>.4</w:t>
      </w:r>
      <w:r w:rsidR="008F1636" w:rsidRPr="005D7178">
        <w:tab/>
      </w:r>
      <w:r w:rsidRPr="00E06571">
        <w:t xml:space="preserve">The </w:t>
      </w:r>
      <w:r w:rsidR="003A6FCF">
        <w:t xml:space="preserve">authors reiterate their allegations based on article 7 of the Covenant </w:t>
      </w:r>
      <w:r w:rsidR="008D3B59">
        <w:t>and</w:t>
      </w:r>
      <w:r w:rsidRPr="00E06571">
        <w:t xml:space="preserve"> provide medical evidence that supports the assertion that the visits by building inspectors have caused the</w:t>
      </w:r>
      <w:r w:rsidR="003A6FCF">
        <w:t xml:space="preserve">m </w:t>
      </w:r>
      <w:r w:rsidRPr="00E06571">
        <w:t xml:space="preserve">physical and mental suffering that escalated into a heart condition and a stroke-transient </w:t>
      </w:r>
      <w:r w:rsidRPr="00E06571">
        <w:lastRenderedPageBreak/>
        <w:t>ischemic</w:t>
      </w:r>
      <w:r w:rsidR="004A43EB">
        <w:t xml:space="preserve"> attack</w:t>
      </w:r>
      <w:r w:rsidR="00605288">
        <w:rPr>
          <w:rStyle w:val="FootnoteReference"/>
        </w:rPr>
        <w:footnoteReference w:id="8"/>
      </w:r>
      <w:r w:rsidRPr="00E06571">
        <w:t xml:space="preserve">. These </w:t>
      </w:r>
      <w:r w:rsidRPr="008D1724">
        <w:t>medical</w:t>
      </w:r>
      <w:r w:rsidRPr="00E06571">
        <w:t xml:space="preserve"> conditions are not merely </w:t>
      </w:r>
      <w:r w:rsidR="003A6FCF">
        <w:t xml:space="preserve">a </w:t>
      </w:r>
      <w:r w:rsidRPr="00E06571">
        <w:t xml:space="preserve">collateral effect of suffering, but are directly attributable to the State party´s conduct. Finally, the inhuman treatment is further exacerbated by the potential demolition of the addition, which would leave the authors effectively homeless, as they will have to be evicted </w:t>
      </w:r>
      <w:r w:rsidR="003A6FCF">
        <w:t>from</w:t>
      </w:r>
      <w:r w:rsidRPr="00E06571">
        <w:t xml:space="preserve"> the house for it to be carried out. Moreover, it will affect the entire structure of the house, and it will release asbestos which </w:t>
      </w:r>
      <w:r w:rsidR="003A6FCF">
        <w:t xml:space="preserve">will </w:t>
      </w:r>
      <w:r w:rsidRPr="00E06571">
        <w:t>make the rest of the house inhabitable.</w:t>
      </w:r>
    </w:p>
    <w:p w14:paraId="36755849" w14:textId="269EA5DB" w:rsidR="00E06571" w:rsidRPr="00E06571" w:rsidRDefault="004A43EB" w:rsidP="00E378FB">
      <w:pPr>
        <w:pStyle w:val="SingleTxtG"/>
      </w:pPr>
      <w:r>
        <w:t>6.5</w:t>
      </w:r>
      <w:r w:rsidR="00E06571">
        <w:tab/>
      </w:r>
      <w:r w:rsidR="00E06571" w:rsidRPr="00E06571">
        <w:t>Finally, concerning the exhaustion of domestic remedies, the authors submit that the</w:t>
      </w:r>
      <w:r w:rsidR="00AD767A">
        <w:t>re were no remedies available</w:t>
      </w:r>
      <w:r w:rsidR="00E06571" w:rsidRPr="00E06571">
        <w:t xml:space="preserve"> to raise their allegations on human rights violations, as the main proceedings</w:t>
      </w:r>
      <w:r w:rsidR="00AD767A">
        <w:t xml:space="preserve"> were administrative in </w:t>
      </w:r>
      <w:r w:rsidR="00AD767A" w:rsidRPr="00E378FB">
        <w:t>nature</w:t>
      </w:r>
      <w:r w:rsidR="00AD767A">
        <w:t xml:space="preserve"> and</w:t>
      </w:r>
      <w:r w:rsidR="00605288">
        <w:t xml:space="preserve"> focused on </w:t>
      </w:r>
      <w:r w:rsidR="007F79E6">
        <w:t>a specific request of a building permit</w:t>
      </w:r>
      <w:r w:rsidR="00E06571" w:rsidRPr="00E06571">
        <w:t>.</w:t>
      </w:r>
      <w:r w:rsidR="007F79E6">
        <w:t xml:space="preserve"> Moreover, they submit that additional human rights </w:t>
      </w:r>
      <w:r w:rsidR="007F79E6" w:rsidRPr="008D1724">
        <w:t>remedies</w:t>
      </w:r>
      <w:r w:rsidR="007F79E6">
        <w:t xml:space="preserve"> are not available to normal citizens, according to the standards of access to justice in the practice of Canadian constitutional law.</w:t>
      </w:r>
      <w:r w:rsidR="00E06571" w:rsidRPr="00E06571">
        <w:t xml:space="preserve"> </w:t>
      </w:r>
    </w:p>
    <w:p w14:paraId="4EC8BFA9" w14:textId="3C7FC194" w:rsidR="008F1636" w:rsidRDefault="008F1636" w:rsidP="00434454">
      <w:pPr>
        <w:pStyle w:val="H23G"/>
      </w:pPr>
      <w:r w:rsidRPr="005D7178">
        <w:tab/>
      </w:r>
      <w:r w:rsidRPr="005D7178">
        <w:tab/>
      </w:r>
      <w:r w:rsidR="00251004">
        <w:t>A</w:t>
      </w:r>
      <w:r w:rsidR="002D1CD5">
        <w:t xml:space="preserve">dditional </w:t>
      </w:r>
      <w:r w:rsidRPr="005D7178">
        <w:t xml:space="preserve">submissions </w:t>
      </w:r>
      <w:r w:rsidR="00251004">
        <w:t>by the parties</w:t>
      </w:r>
    </w:p>
    <w:p w14:paraId="26CF2EEB" w14:textId="1CA173F4" w:rsidR="00CE0CB4" w:rsidRPr="00CF498D" w:rsidRDefault="00CE0CB4" w:rsidP="00CF498D">
      <w:pPr>
        <w:pStyle w:val="H4G"/>
      </w:pPr>
      <w:r>
        <w:tab/>
      </w:r>
      <w:r>
        <w:tab/>
        <w:t>Additional submission by the State party</w:t>
      </w:r>
    </w:p>
    <w:p w14:paraId="066D99C1" w14:textId="40A3B9A2" w:rsidR="008F1636" w:rsidRPr="002D1CD5" w:rsidRDefault="002D1CD5" w:rsidP="008D1724">
      <w:pPr>
        <w:pStyle w:val="SingleTxtG"/>
      </w:pPr>
      <w:r>
        <w:t>7</w:t>
      </w:r>
      <w:r w:rsidR="008F1636" w:rsidRPr="005D7178">
        <w:t>.1</w:t>
      </w:r>
      <w:r w:rsidR="008F1636" w:rsidRPr="005D7178">
        <w:tab/>
      </w:r>
      <w:r w:rsidR="002D1A22">
        <w:t>In its observations of</w:t>
      </w:r>
      <w:r w:rsidRPr="002D1CD5">
        <w:t xml:space="preserve"> 28 June 2012, </w:t>
      </w:r>
      <w:r w:rsidR="002D1A22">
        <w:t>the State party informs</w:t>
      </w:r>
      <w:r w:rsidRPr="002D1CD5">
        <w:t xml:space="preserve"> the Committee of two new events that reinforce its allegations. In the first place, </w:t>
      </w:r>
      <w:r w:rsidR="003619C3">
        <w:t>P.T</w:t>
      </w:r>
      <w:r w:rsidRPr="002D1CD5">
        <w:t xml:space="preserve">, the new property owner of the house where the authors live, consented, on 16 January 2012, to an order contained in a judgment of the Ontario Supreme Court of Justice requiring the demolition of the addition. The State party informed that, pursuant to </w:t>
      </w:r>
      <w:r w:rsidR="00C773E8">
        <w:t>this</w:t>
      </w:r>
      <w:r w:rsidRPr="002D1CD5">
        <w:t xml:space="preserve"> judgment, the demolition will not be executed until Ms. </w:t>
      </w:r>
      <w:r w:rsidR="003619C3">
        <w:t>P.T.</w:t>
      </w:r>
      <w:r w:rsidR="003619C3" w:rsidRPr="002D1CD5">
        <w:t xml:space="preserve"> </w:t>
      </w:r>
      <w:r w:rsidRPr="002D1CD5">
        <w:t xml:space="preserve">has a further opportunity to make an application for variances. Within this judicial proceeding, Ms. </w:t>
      </w:r>
      <w:r w:rsidR="003619C3">
        <w:t>P.T.</w:t>
      </w:r>
      <w:r w:rsidR="003619C3" w:rsidRPr="002D1CD5">
        <w:t xml:space="preserve"> </w:t>
      </w:r>
      <w:r w:rsidRPr="002D1CD5">
        <w:t>had the opportunity to present her evidence and cross examine the other part´s witness, and prepared and served legal materials in opposition to the relief sought by</w:t>
      </w:r>
      <w:r w:rsidR="00057DF4">
        <w:t xml:space="preserve"> the City of</w:t>
      </w:r>
      <w:r w:rsidRPr="002D1CD5">
        <w:t xml:space="preserve"> Toronto. Although she raised the issue of her parent</w:t>
      </w:r>
      <w:r w:rsidR="00057DF4">
        <w:t>s´</w:t>
      </w:r>
      <w:r w:rsidRPr="002D1CD5">
        <w:t xml:space="preserve"> health and age as an equitable consideration, no human rights claim</w:t>
      </w:r>
      <w:r w:rsidR="00361FBC">
        <w:t>s</w:t>
      </w:r>
      <w:r w:rsidRPr="002D1CD5">
        <w:t xml:space="preserve"> were made in this proceeding or in any other domestic proceedings</w:t>
      </w:r>
      <w:r w:rsidR="004702C8">
        <w:t>,</w:t>
      </w:r>
      <w:r w:rsidRPr="002D1CD5">
        <w:t xml:space="preserve"> despite the opportunity to do so. In exchange for Ms. </w:t>
      </w:r>
      <w:r w:rsidR="003619C3">
        <w:t>P.T</w:t>
      </w:r>
      <w:r w:rsidRPr="002D1CD5">
        <w:t>´s consent to the relief sought by the City of Toronto, this judgment orders that the removal of the illegal addition</w:t>
      </w:r>
      <w:r w:rsidR="00057DF4">
        <w:t xml:space="preserve"> must not be executed</w:t>
      </w:r>
      <w:r w:rsidRPr="002D1CD5">
        <w:t xml:space="preserve"> until Ms. </w:t>
      </w:r>
      <w:r w:rsidR="003619C3">
        <w:t>P.T.</w:t>
      </w:r>
      <w:r w:rsidR="003619C3" w:rsidRPr="002D1CD5">
        <w:t xml:space="preserve"> </w:t>
      </w:r>
      <w:r w:rsidRPr="002D1CD5">
        <w:t xml:space="preserve"> </w:t>
      </w:r>
      <w:proofErr w:type="gramStart"/>
      <w:r w:rsidRPr="002D1CD5">
        <w:t>has</w:t>
      </w:r>
      <w:proofErr w:type="gramEnd"/>
      <w:r w:rsidRPr="002D1CD5">
        <w:t xml:space="preserve"> a second opportunity to apply to the Committee of Adjustment to seek the approval of the variances. Moreover, if the second application for variances is not granted by </w:t>
      </w:r>
      <w:r w:rsidR="00C773E8">
        <w:t>this</w:t>
      </w:r>
      <w:r w:rsidRPr="002D1CD5">
        <w:t xml:space="preserve"> committee, the judgment to which Ms. </w:t>
      </w:r>
      <w:r w:rsidR="003619C3">
        <w:t>P.T.</w:t>
      </w:r>
      <w:r w:rsidR="003619C3" w:rsidRPr="002D1CD5">
        <w:t xml:space="preserve"> </w:t>
      </w:r>
      <w:r w:rsidRPr="002D1CD5">
        <w:t xml:space="preserve"> </w:t>
      </w:r>
      <w:proofErr w:type="gramStart"/>
      <w:r w:rsidRPr="002D1CD5">
        <w:t>consented</w:t>
      </w:r>
      <w:proofErr w:type="gramEnd"/>
      <w:r w:rsidRPr="002D1CD5">
        <w:t xml:space="preserve"> preserves her right to appeal to the Ontario Municipal Board and, eventually, to seek a second leave to appeal to the Ontario Superior Court. </w:t>
      </w:r>
      <w:r w:rsidR="00057DF4">
        <w:t>Furthermore</w:t>
      </w:r>
      <w:r w:rsidRPr="002D1CD5">
        <w:t xml:space="preserve">, the State party informs that, on 8 February 2012, </w:t>
      </w:r>
      <w:r w:rsidR="003619C3">
        <w:t>P.T.</w:t>
      </w:r>
      <w:r w:rsidR="003619C3" w:rsidRPr="002D1CD5">
        <w:t xml:space="preserve"> </w:t>
      </w:r>
      <w:r w:rsidR="00C773E8">
        <w:t>initiated</w:t>
      </w:r>
      <w:r w:rsidR="00C773E8" w:rsidRPr="002D1CD5">
        <w:t xml:space="preserve"> </w:t>
      </w:r>
      <w:r w:rsidRPr="002D1CD5">
        <w:t xml:space="preserve">a new proceeding </w:t>
      </w:r>
      <w:r w:rsidR="00057DF4">
        <w:t xml:space="preserve">for the approval of the requested variances, albeit for essentially the same requests </w:t>
      </w:r>
      <w:r w:rsidR="00361FBC">
        <w:t>formerly made by the authors</w:t>
      </w:r>
      <w:r w:rsidR="00057DF4">
        <w:t>.</w:t>
      </w:r>
      <w:r w:rsidR="004A43EB">
        <w:t xml:space="preserve"> These requests do</w:t>
      </w:r>
      <w:r w:rsidRPr="002D1CD5">
        <w:t xml:space="preserve"> not match the consent given by Ms. </w:t>
      </w:r>
      <w:r w:rsidR="003619C3">
        <w:t>P.T.</w:t>
      </w:r>
      <w:r w:rsidR="003619C3" w:rsidRPr="002D1CD5">
        <w:t xml:space="preserve"> </w:t>
      </w:r>
      <w:r w:rsidRPr="002D1CD5">
        <w:t xml:space="preserve"> </w:t>
      </w:r>
      <w:proofErr w:type="gramStart"/>
      <w:r w:rsidRPr="002D1CD5">
        <w:t>in</w:t>
      </w:r>
      <w:proofErr w:type="gramEnd"/>
      <w:r w:rsidRPr="002D1CD5">
        <w:t xml:space="preserve"> the abovementioned judgment, where she represented her intention to seek variances to either legalize some portion of the addition built at the rear of the house (with the remaining portion not legalized to be removed), or alternatively, to authorize some new structure. Hence, Ms. </w:t>
      </w:r>
      <w:r w:rsidR="003619C3">
        <w:t>P.T.</w:t>
      </w:r>
      <w:r w:rsidR="003619C3" w:rsidRPr="002D1CD5">
        <w:t xml:space="preserve"> </w:t>
      </w:r>
      <w:r w:rsidRPr="002D1CD5">
        <w:t xml:space="preserve"> </w:t>
      </w:r>
      <w:proofErr w:type="gramStart"/>
      <w:r w:rsidRPr="002D1CD5">
        <w:t>has</w:t>
      </w:r>
      <w:proofErr w:type="gramEnd"/>
      <w:r w:rsidRPr="002D1CD5">
        <w:t xml:space="preserve"> </w:t>
      </w:r>
      <w:r w:rsidR="00361FBC" w:rsidRPr="002D1CD5">
        <w:t>chosen</w:t>
      </w:r>
      <w:r w:rsidRPr="002D1CD5">
        <w:t xml:space="preserve"> to re-litigate the same structure </w:t>
      </w:r>
      <w:r w:rsidRPr="008D1724">
        <w:t>which</w:t>
      </w:r>
      <w:r w:rsidRPr="002D1CD5">
        <w:t xml:space="preserve"> is already in place and </w:t>
      </w:r>
      <w:r w:rsidR="00361FBC">
        <w:t>that was the subject</w:t>
      </w:r>
      <w:r w:rsidRPr="002D1CD5">
        <w:t xml:space="preserve"> of the </w:t>
      </w:r>
      <w:r w:rsidR="00361FBC">
        <w:t xml:space="preserve">previous administrative </w:t>
      </w:r>
      <w:r w:rsidRPr="002D1CD5">
        <w:t xml:space="preserve">proceedings. </w:t>
      </w:r>
      <w:r w:rsidR="00251004">
        <w:t>C</w:t>
      </w:r>
      <w:r w:rsidRPr="002D1CD5">
        <w:t>ontrary to the authors</w:t>
      </w:r>
      <w:r w:rsidR="002D1A22">
        <w:t>’ statements,</w:t>
      </w:r>
      <w:r w:rsidRPr="002D1CD5">
        <w:t xml:space="preserve"> there is a significant difference in size between the previous addition and the one that is the subject of this communication. Specifically, there is a difference in built depth of about 2.4 metres (not 51 centimetres as alleged), which is readily apparent from the photos </w:t>
      </w:r>
      <w:r w:rsidR="004702C8">
        <w:t>available in the records</w:t>
      </w:r>
      <w:r w:rsidRPr="002D1CD5">
        <w:t xml:space="preserve">. </w:t>
      </w:r>
      <w:r w:rsidR="00251004">
        <w:t>T</w:t>
      </w:r>
      <w:r w:rsidRPr="002D1CD5">
        <w:t xml:space="preserve">hese developments reinforce </w:t>
      </w:r>
      <w:r w:rsidR="002D1A22">
        <w:t>the</w:t>
      </w:r>
      <w:r w:rsidRPr="002D1CD5">
        <w:t xml:space="preserve"> arguments </w:t>
      </w:r>
      <w:r w:rsidR="002D1A22">
        <w:t>that the</w:t>
      </w:r>
      <w:r w:rsidRPr="002D1CD5">
        <w:t xml:space="preserve"> communication is inadmissible both for non-substantiation and non-exhaustion of domestic remedies. Domestic remedies should be pursued with due diligence, as stated by the Committee</w:t>
      </w:r>
      <w:r w:rsidR="00056BE3">
        <w:rPr>
          <w:rStyle w:val="FootnoteReference"/>
        </w:rPr>
        <w:footnoteReference w:id="9"/>
      </w:r>
      <w:r w:rsidRPr="002D1CD5">
        <w:t>. Additionally, the State party recalls that the authors have not exhausted domestic remedies, as should be clear from this new information, given that the illegal addition is still standing and is once again back at the initial stages of the land use planning process and subject to review before the administrative and ordinary justice system</w:t>
      </w:r>
      <w:r w:rsidR="004702C8">
        <w:t>s</w:t>
      </w:r>
      <w:r w:rsidRPr="002D1CD5">
        <w:t>.</w:t>
      </w:r>
    </w:p>
    <w:p w14:paraId="679BBF03" w14:textId="641545F4" w:rsidR="004702C8" w:rsidRDefault="002D1CD5" w:rsidP="00E378FB">
      <w:pPr>
        <w:pStyle w:val="SingleTxtG"/>
      </w:pPr>
      <w:r>
        <w:lastRenderedPageBreak/>
        <w:t>7</w:t>
      </w:r>
      <w:r w:rsidR="008F1636" w:rsidRPr="005D7178">
        <w:t>.2</w:t>
      </w:r>
      <w:r w:rsidR="008F1636" w:rsidRPr="005D7178">
        <w:tab/>
      </w:r>
      <w:r w:rsidR="00C773E8">
        <w:t>A</w:t>
      </w:r>
      <w:r w:rsidRPr="002D1CD5">
        <w:t xml:space="preserve">ccording to the new information provided, the present communication should be found an abuse of the right of submission. According to the State party, the authors have provided wrong information to the Committee, attempting to minimize the depth of the addition in question relative to the previous structure, and failed to inform </w:t>
      </w:r>
      <w:r w:rsidR="00C773E8">
        <w:t xml:space="preserve">of </w:t>
      </w:r>
      <w:r w:rsidRPr="002D1CD5">
        <w:t xml:space="preserve">key developments, including the consent order agreed to just before the authors´ supplemental submission on 17 January 2012. Ms. </w:t>
      </w:r>
      <w:r w:rsidR="003619C3">
        <w:t>P.T</w:t>
      </w:r>
      <w:r w:rsidRPr="002D1CD5">
        <w:t xml:space="preserve">´s consent to the order of removal described above </w:t>
      </w:r>
      <w:r w:rsidRPr="00E378FB">
        <w:t>strongly</w:t>
      </w:r>
      <w:r w:rsidRPr="002D1CD5">
        <w:t xml:space="preserve"> suggests that this communication does not disclose any serious claims of violations under any </w:t>
      </w:r>
      <w:r w:rsidRPr="008D1724">
        <w:t>of</w:t>
      </w:r>
      <w:r w:rsidRPr="002D1CD5">
        <w:t xml:space="preserve"> the articles of the Covenant, and the new</w:t>
      </w:r>
      <w:r w:rsidR="00057DF4">
        <w:t xml:space="preserve"> opportunities for </w:t>
      </w:r>
      <w:r w:rsidRPr="002D1CD5">
        <w:t>access</w:t>
      </w:r>
      <w:r w:rsidR="00057DF4">
        <w:t>ing</w:t>
      </w:r>
      <w:r w:rsidRPr="002D1CD5">
        <w:t xml:space="preserve"> to justice suggest that the authors do not in fact have any serious concerns about the fairness of the process.</w:t>
      </w:r>
    </w:p>
    <w:p w14:paraId="634FB686" w14:textId="2D43ACE1" w:rsidR="008F1636" w:rsidRDefault="002D1CD5" w:rsidP="009F584B">
      <w:pPr>
        <w:pStyle w:val="SingleTxtG"/>
      </w:pPr>
      <w:r>
        <w:t>7</w:t>
      </w:r>
      <w:r w:rsidR="008F1636" w:rsidRPr="005D7178">
        <w:t>.3</w:t>
      </w:r>
      <w:r w:rsidR="008F1636" w:rsidRPr="005D7178">
        <w:tab/>
      </w:r>
      <w:r w:rsidRPr="002D1CD5">
        <w:t xml:space="preserve">Regarding the merits of the communication, the State party submits that the authors have chosen to demolish the old addition of their house and built a new one, impeding the benefit of the “legal non-conforming use” for </w:t>
      </w:r>
      <w:r w:rsidR="00056BE3">
        <w:t>those cases where structures are</w:t>
      </w:r>
      <w:r w:rsidRPr="002D1CD5">
        <w:t xml:space="preserve"> in place prior to the zoning by-law coming into force. In this communication, and even with an addition the same size as the old one, the home would have exceeded the maximum depth in the zoning by-law by 60%. If Toronto´s Planning Division were to acquiesce to the proposal of new structures simply because they are the same size as structures that were there previously, this would perpetuate non-compliance with the zoning by-law. The St</w:t>
      </w:r>
      <w:r>
        <w:t>ate party reiterates its initi</w:t>
      </w:r>
      <w:r w:rsidRPr="002D1CD5">
        <w:t>al submission to the effect that while property owners may be able to obtain minor variances in some cases throug</w:t>
      </w:r>
      <w:r w:rsidR="00056BE3">
        <w:t>h administrative procedures, these are</w:t>
      </w:r>
      <w:r w:rsidRPr="002D1CD5">
        <w:t xml:space="preserve"> based on an individuali</w:t>
      </w:r>
      <w:r w:rsidR="00056BE3">
        <w:t>zed consideration of the facts of each case, considering</w:t>
      </w:r>
      <w:r w:rsidRPr="002D1CD5">
        <w:t xml:space="preserve"> whether the proposed addition is consistent with the intent of the applicable zoning by-law.</w:t>
      </w:r>
    </w:p>
    <w:p w14:paraId="184BF634" w14:textId="5836E8AA" w:rsidR="00CE0CB4" w:rsidRPr="00CF498D" w:rsidRDefault="00822F54" w:rsidP="00CF498D">
      <w:pPr>
        <w:pStyle w:val="H4G"/>
      </w:pPr>
      <w:r>
        <w:tab/>
      </w:r>
      <w:r>
        <w:tab/>
      </w:r>
      <w:r w:rsidR="00CE0CB4">
        <w:t>Additional submission by the authors</w:t>
      </w:r>
    </w:p>
    <w:p w14:paraId="041A0B8C" w14:textId="0853A38B" w:rsidR="008F1636" w:rsidRPr="008244A8" w:rsidRDefault="008244A8" w:rsidP="008244A8">
      <w:pPr>
        <w:pStyle w:val="SingleTxtG"/>
      </w:pPr>
      <w:r>
        <w:t>8</w:t>
      </w:r>
      <w:r w:rsidR="008F1636" w:rsidRPr="005D7178">
        <w:t>.1</w:t>
      </w:r>
      <w:r w:rsidR="008F1636" w:rsidRPr="005D7178">
        <w:tab/>
      </w:r>
      <w:r w:rsidRPr="008244A8">
        <w:t>On 24 August 2012, the authors submitted additional comments, informing the Committee that they are no longer represent</w:t>
      </w:r>
      <w:r w:rsidR="00057DF4">
        <w:t>ed</w:t>
      </w:r>
      <w:r w:rsidR="00361FBC">
        <w:t xml:space="preserve"> by counsel.</w:t>
      </w:r>
    </w:p>
    <w:p w14:paraId="7639BDAB" w14:textId="2A962888" w:rsidR="008F1636" w:rsidRDefault="008244A8" w:rsidP="008F1636">
      <w:pPr>
        <w:pStyle w:val="SingleTxtG"/>
      </w:pPr>
      <w:r>
        <w:t>8</w:t>
      </w:r>
      <w:r w:rsidR="008F1636" w:rsidRPr="005D7178">
        <w:t>.2</w:t>
      </w:r>
      <w:r w:rsidR="008F1636" w:rsidRPr="005D7178">
        <w:tab/>
      </w:r>
      <w:r w:rsidRPr="008244A8">
        <w:t>On 12 January 2015, the authors submit that, on 16 December 2013, they have finally obtained a zoning approval and a building permit. However, t</w:t>
      </w:r>
      <w:r w:rsidR="00361FBC">
        <w:t>hey claim that the State party</w:t>
      </w:r>
      <w:r w:rsidRPr="008244A8">
        <w:t xml:space="preserve"> is attempting to inspect the addition, and has filed several request</w:t>
      </w:r>
      <w:r w:rsidR="00361FBC">
        <w:t>s</w:t>
      </w:r>
      <w:r w:rsidRPr="008244A8">
        <w:t xml:space="preserve"> for judicial orders to enter the house and inspect the two-storey addition to ensure that the construction and use of the building is in conformance with the issued buildin</w:t>
      </w:r>
      <w:r w:rsidR="00361FBC">
        <w:t>g permit. The authors also inform</w:t>
      </w:r>
      <w:r w:rsidRPr="008244A8">
        <w:t xml:space="preserve"> that these judicial orders are currently under appeal.</w:t>
      </w:r>
    </w:p>
    <w:p w14:paraId="202E31B9" w14:textId="78EA0B57" w:rsidR="001F6419" w:rsidRDefault="008244A8" w:rsidP="008244A8">
      <w:pPr>
        <w:pStyle w:val="SingleTxtG"/>
      </w:pPr>
      <w:r>
        <w:t>8.3</w:t>
      </w:r>
      <w:r>
        <w:tab/>
      </w:r>
      <w:r w:rsidRPr="008244A8">
        <w:t xml:space="preserve">The authors provided a copy of the judgment of the Ontario Superior Court of Justice, dated 7 August 2015, concluding that the City of Toronto is entitled to carry out an inspection of the property in order to satisfy itself that construction has been carried out in </w:t>
      </w:r>
      <w:r w:rsidR="00361FBC">
        <w:t xml:space="preserve">compliance </w:t>
      </w:r>
      <w:r w:rsidRPr="008244A8">
        <w:t xml:space="preserve">with the Building Code and the </w:t>
      </w:r>
      <w:r w:rsidR="00361FBC">
        <w:t>permit plan</w:t>
      </w:r>
      <w:r w:rsidRPr="008244A8">
        <w:t xml:space="preserve">. Moreover, the judgment ordered the authors to provide the permit plans, describe the construction performed and, eventually, in case of non-compliance with the previous orders, to authorize the City to uncover such portions of the construction </w:t>
      </w:r>
      <w:r w:rsidR="001A12D1">
        <w:t>that are relevant for the pertinent inspection.</w:t>
      </w:r>
    </w:p>
    <w:p w14:paraId="27364F90" w14:textId="2F4D7FA0" w:rsidR="008244A8" w:rsidRDefault="008244A8" w:rsidP="008D1724">
      <w:pPr>
        <w:pStyle w:val="SingleTxtG"/>
      </w:pPr>
      <w:r>
        <w:t>8.4</w:t>
      </w:r>
      <w:r>
        <w:tab/>
      </w:r>
      <w:r w:rsidRPr="008244A8">
        <w:t>On 28 and 29 July 2016, the authors claim that the City of Toronto has taken action, since 27 July 2016, to carry out the enforcement orders for forced inspections and uncovering of completed construction, entailing a forced eviction of their home</w:t>
      </w:r>
      <w:r w:rsidR="001F6419">
        <w:t xml:space="preserve"> for 5-6 days, a</w:t>
      </w:r>
      <w:r w:rsidRPr="008244A8">
        <w:t xml:space="preserve"> forced partial home demolition, </w:t>
      </w:r>
      <w:r w:rsidRPr="008D1724">
        <w:t>and</w:t>
      </w:r>
      <w:r w:rsidRPr="008244A8">
        <w:t xml:space="preserve"> a confiscation of their home, all at the cost of the authors. They further claim </w:t>
      </w:r>
      <w:r w:rsidRPr="008D1724">
        <w:t>that</w:t>
      </w:r>
      <w:r w:rsidRPr="008244A8">
        <w:t xml:space="preserve"> these activities by the State party entail a risk of serious in</w:t>
      </w:r>
      <w:r w:rsidR="00057DF4">
        <w:t>jury and imminent death to them</w:t>
      </w:r>
      <w:r w:rsidRPr="008244A8">
        <w:t>. Overall, these would constitute a violation of their rights to life and to be free from torture and ill-treatment, recognized in articles 6 and 7 of the Covenant</w:t>
      </w:r>
      <w:r w:rsidR="00D84872">
        <w:t xml:space="preserve">, and in article 1 of the Second Optional Protocol </w:t>
      </w:r>
      <w:r w:rsidR="00AD767A">
        <w:t>to</w:t>
      </w:r>
      <w:r w:rsidR="00D84872">
        <w:t xml:space="preserve"> the Covenant</w:t>
      </w:r>
      <w:r w:rsidRPr="008244A8">
        <w:t>.</w:t>
      </w:r>
      <w:r w:rsidR="00AC2E51">
        <w:t xml:space="preserve"> The authors also</w:t>
      </w:r>
      <w:r w:rsidRPr="008244A8">
        <w:t xml:space="preserve"> claim that the City of Toronto has received reports of their health status, and has carried on with the enforcement orders, </w:t>
      </w:r>
      <w:r w:rsidR="001F6419">
        <w:t>taking</w:t>
      </w:r>
      <w:r w:rsidRPr="008244A8">
        <w:t xml:space="preserve"> no action to stop or prevent alleged torture and ill-treatment. </w:t>
      </w:r>
    </w:p>
    <w:p w14:paraId="69971A7B" w14:textId="1924A4CF" w:rsidR="008244A8" w:rsidRDefault="008244A8" w:rsidP="008D1724">
      <w:pPr>
        <w:pStyle w:val="SingleTxtG"/>
      </w:pPr>
      <w:r>
        <w:t>8.5</w:t>
      </w:r>
      <w:r>
        <w:tab/>
      </w:r>
      <w:r w:rsidRPr="008244A8">
        <w:t xml:space="preserve">The authors also request that their daughter </w:t>
      </w:r>
      <w:r w:rsidR="003619C3">
        <w:t>P.T.</w:t>
      </w:r>
      <w:r w:rsidRPr="008244A8">
        <w:t xml:space="preserve">, born 4 October 1970, Canadian national, to be </w:t>
      </w:r>
      <w:r w:rsidRPr="008D1724">
        <w:t>included</w:t>
      </w:r>
      <w:r w:rsidRPr="008244A8">
        <w:t xml:space="preserve"> as an author of this communication. She alleges, for herself, a violation of her right to be free from inhuman treatment, and on behalf of her parents, a violation of their rights included in articles 6, 7, 14, and 2(3).</w:t>
      </w:r>
    </w:p>
    <w:p w14:paraId="64DFD259" w14:textId="45C1EF2F" w:rsidR="008244A8" w:rsidRDefault="008244A8" w:rsidP="00E378FB">
      <w:pPr>
        <w:pStyle w:val="SingleTxtG"/>
      </w:pPr>
      <w:r>
        <w:t>8.6</w:t>
      </w:r>
      <w:r>
        <w:tab/>
      </w:r>
      <w:r w:rsidR="00A43CF5">
        <w:t xml:space="preserve">The authors claim </w:t>
      </w:r>
      <w:r w:rsidRPr="008244A8">
        <w:t xml:space="preserve">that they have exhausted domestic remedies, even if the enforcement of the inspection orders sought by the City of Toronto are under appeal, because there is no automatic stay or </w:t>
      </w:r>
      <w:r w:rsidRPr="008D1724">
        <w:t>suspension</w:t>
      </w:r>
      <w:r w:rsidRPr="008244A8">
        <w:t xml:space="preserve"> of the enforcement actions during the appeal. </w:t>
      </w:r>
      <w:r w:rsidRPr="008244A8">
        <w:lastRenderedPageBreak/>
        <w:t>Moreover, they claim that domestic remedies are ineffective because they have satisfied their obligation to alert domestic authorities of alleged breaches of their right not to be tortured, and their right to life, without the State party providing them with legal aid concerning their allegations.</w:t>
      </w:r>
      <w:r w:rsidR="00A552C4">
        <w:rPr>
          <w:rStyle w:val="FootnoteReference"/>
        </w:rPr>
        <w:footnoteReference w:id="10"/>
      </w:r>
      <w:r w:rsidRPr="008244A8">
        <w:t xml:space="preserve"> </w:t>
      </w:r>
      <w:r w:rsidR="00057DF4">
        <w:t xml:space="preserve">The </w:t>
      </w:r>
      <w:r w:rsidRPr="008244A8">
        <w:t xml:space="preserve">City of Toronto has retaliated against the authors´ allegations by issuing enforcement orders, setting impossible-to-meet construction standards to disguise retaliation and intimidation against them. They also claim that there is no basis for the City of Toronto to reject as inadequate the authors´ independent and impartial reports of construction sufficiency, because the fire safety and electrical safety letters are from the State party´s authorities, and the letter of construction </w:t>
      </w:r>
      <w:proofErr w:type="spellStart"/>
      <w:r w:rsidRPr="008244A8">
        <w:t>sufficiencyis</w:t>
      </w:r>
      <w:proofErr w:type="spellEnd"/>
      <w:r w:rsidRPr="008244A8">
        <w:t xml:space="preserve"> from an independent professional engineer. Furthermore, the City of Toronto has also previously stated that if the authors obtained a building permit and minor variance zoning approval for their home addition, they would not have to go through a 5-6 day forced partial home eviction. The authors submit that there is no genuine construction sufficiency issue, and no genuine issue with the adequacy of the authors´ documentation of construction sufficiency.</w:t>
      </w:r>
      <w:r w:rsidR="00C43338">
        <w:t xml:space="preserve"> </w:t>
      </w:r>
    </w:p>
    <w:p w14:paraId="4C5C9247" w14:textId="35F53117" w:rsidR="00CE0CB4" w:rsidRPr="00CF498D" w:rsidRDefault="00822F54" w:rsidP="00CF498D">
      <w:pPr>
        <w:pStyle w:val="H4G"/>
      </w:pPr>
      <w:r>
        <w:tab/>
      </w:r>
      <w:r>
        <w:tab/>
      </w:r>
      <w:r w:rsidR="00CE0CB4">
        <w:t>Additional submission by the State party</w:t>
      </w:r>
    </w:p>
    <w:p w14:paraId="79A47750" w14:textId="14B4B3B3" w:rsidR="008244A8" w:rsidRDefault="00E378FB" w:rsidP="00E378FB">
      <w:pPr>
        <w:pStyle w:val="SingleTxtG"/>
        <w:rPr>
          <w:b/>
        </w:rPr>
      </w:pPr>
      <w:r>
        <w:tab/>
      </w:r>
      <w:r w:rsidR="008244A8" w:rsidRPr="008244A8">
        <w:t>9.1</w:t>
      </w:r>
      <w:r w:rsidR="008244A8" w:rsidRPr="008244A8">
        <w:tab/>
      </w:r>
      <w:r w:rsidR="00251004">
        <w:t>In its observations of</w:t>
      </w:r>
      <w:r w:rsidR="008244A8" w:rsidRPr="008244A8">
        <w:t xml:space="preserve"> 3 August 2017, the State party reiterates it previous </w:t>
      </w:r>
      <w:r w:rsidR="00251004">
        <w:t xml:space="preserve">inadmissibility </w:t>
      </w:r>
      <w:r w:rsidR="008244A8" w:rsidRPr="008244A8">
        <w:t>arguments</w:t>
      </w:r>
      <w:r w:rsidR="00251004">
        <w:t>.</w:t>
      </w:r>
      <w:r w:rsidR="008244A8" w:rsidRPr="008244A8">
        <w:t xml:space="preserve"> The State party also submits that given the authors´ propensity to make baseless and unreasonable </w:t>
      </w:r>
      <w:r w:rsidR="008244A8" w:rsidRPr="00E378FB">
        <w:t>allegations</w:t>
      </w:r>
      <w:r w:rsidR="008244A8" w:rsidRPr="008244A8">
        <w:t>, and failure to produce the requested documents and to provide credible evidence to support their allegations, the Committee should consider this communication as it now stands and not allow any further submissions.</w:t>
      </w:r>
    </w:p>
    <w:p w14:paraId="358230C6" w14:textId="54F781C0" w:rsidR="008244A8" w:rsidRDefault="008244A8" w:rsidP="00E378FB">
      <w:pPr>
        <w:pStyle w:val="SingleTxtG"/>
        <w:rPr>
          <w:b/>
        </w:rPr>
      </w:pPr>
      <w:r w:rsidRPr="008244A8">
        <w:tab/>
        <w:t>9.2</w:t>
      </w:r>
      <w:r w:rsidRPr="008244A8">
        <w:tab/>
        <w:t xml:space="preserve">The State </w:t>
      </w:r>
      <w:r w:rsidRPr="00E378FB">
        <w:t>party</w:t>
      </w:r>
      <w:r w:rsidRPr="008244A8">
        <w:t xml:space="preserve"> highlights that, on 18 July 2013, the Ontario Municipal Board determined that the authors´ two requested zoning variances met the criteria of the Planning Act as they were “desirable for the appropriate development and use of the land”, and were “minor variances”. However, the same decision found that the authors´ allegations </w:t>
      </w:r>
      <w:r w:rsidR="00E737DB">
        <w:t xml:space="preserve">concerning violations of the </w:t>
      </w:r>
      <w:r w:rsidRPr="008244A8">
        <w:t>Ontario Human Rights Code and the Canadian Charter of Rights and Freedoms were without merit. In particular, the Ontario Municipal Board dismissed the medical evidence presented by the authors, which was unhelpful and gave little weight to the authors´ allegations.</w:t>
      </w:r>
    </w:p>
    <w:p w14:paraId="5E95E762" w14:textId="2DD3657A" w:rsidR="008244A8" w:rsidRDefault="008244A8" w:rsidP="008D1724">
      <w:pPr>
        <w:pStyle w:val="SingleTxtG"/>
        <w:rPr>
          <w:b/>
        </w:rPr>
      </w:pPr>
      <w:r>
        <w:tab/>
      </w:r>
      <w:r w:rsidRPr="008244A8">
        <w:t>9.3</w:t>
      </w:r>
      <w:r w:rsidRPr="008244A8">
        <w:tab/>
        <w:t xml:space="preserve">The State party also recalls that the authors have obtained a building permit on 16 December 2013. However, in cases where the construction has begun without an inspection, the inspectors may require the permit holders to provide an engineer´s (or other qualified individual) report that certifies that the construction complies with the Building Code Act and the approved permit plan. Although it is the permit holders´ responsibility to contact the City of Toronto in this regard, the Toronto´s Deputy Chief Building Official sent several letters to the authors in order to arrange inspection under </w:t>
      </w:r>
      <w:r w:rsidRPr="008D1724">
        <w:t>section</w:t>
      </w:r>
      <w:r w:rsidRPr="008244A8">
        <w:t xml:space="preserve"> 10.2 of the Building Code Act. After a fourth letter, the authors finally responded on 21 February 2014, without addressing the engineer´s report, or the request to arrange for an inspection, and instead accusing the Deputy Chief Building Official of acts of torture, inhuman or other degrading treatments. After another round of letters, the authors filed an appeal to the Ontario Superior Court of Justice against the City of Toronto´s inspection order, basing their arguments on several human rights allegations. On 7 August 2015, the Ontario Superior Court of Justice determined that the City of Toronto was entitled to inspect the two-storey addition, and directed the authors to provide the report of the construction and to arrange for inspection. The judgment highlighted that the inspection would be done in a manner as to protect the health and safety of Mr. and Mrs. </w:t>
      </w:r>
      <w:r w:rsidR="003619C3" w:rsidRPr="008244A8">
        <w:t>T</w:t>
      </w:r>
      <w:r w:rsidR="003619C3">
        <w:t>.</w:t>
      </w:r>
      <w:r w:rsidRPr="008244A8">
        <w:t xml:space="preserve">, making different considerations on that regard. On 22 June 2016, the same court held a hearing to determine the City of Toronto´s entitlement to costs as the successful party, and determined that the authors must pay 20.000 Canadian dollars on legal costs, recalling that the authors have “unnecessarily lengthened the proceedings”, failed to comply with procedural timetables and duties, provided arguments with no support in authority, “and forced Toronto to involve new counsel by making an </w:t>
      </w:r>
      <w:r w:rsidRPr="008244A8">
        <w:lastRenderedPageBreak/>
        <w:t xml:space="preserve">unwarranted complaint as to </w:t>
      </w:r>
      <w:r w:rsidR="00E737DB">
        <w:t>the conduct of previous counsel</w:t>
      </w:r>
      <w:r w:rsidRPr="008244A8">
        <w:t>”. Against the latter judgment, the authors raised an appeal before a Panel of three members of the Divisional Court of the Ontario Superior Court of Justice, which found that the authors had principally renewed the arguments previously made, and that the authors´ claim concerning arbitrariness and a lack of natural justice were without foundation, and that the allegations regarding human or constitutional rights violations were “completely devoid of merit”, ordering the authors to pay additional costs of 1.000 Canadian dollars. Later, the authors´ sought leave to appeal, which was dismissed.</w:t>
      </w:r>
    </w:p>
    <w:p w14:paraId="37DA7112" w14:textId="1D751869" w:rsidR="008244A8" w:rsidRDefault="008244A8" w:rsidP="008D1724">
      <w:pPr>
        <w:pStyle w:val="SingleTxtG"/>
        <w:rPr>
          <w:b/>
        </w:rPr>
      </w:pPr>
      <w:r>
        <w:tab/>
      </w:r>
      <w:r w:rsidRPr="008244A8">
        <w:t>9.4</w:t>
      </w:r>
      <w:r w:rsidRPr="008244A8">
        <w:tab/>
        <w:t xml:space="preserve">Regarding the additional allegations made by the authors about violation </w:t>
      </w:r>
      <w:r w:rsidR="00A43CF5">
        <w:t>of article 2(</w:t>
      </w:r>
      <w:r w:rsidR="00E737DB">
        <w:t>3</w:t>
      </w:r>
      <w:r w:rsidR="00A43CF5">
        <w:t>)</w:t>
      </w:r>
      <w:r w:rsidR="00E737DB">
        <w:t xml:space="preserve"> of the Covenant</w:t>
      </w:r>
      <w:r w:rsidRPr="008244A8">
        <w:t>, the State party submits that on 7 August 2015, the Ontario Superior Court of Justice addressed the authors´ allegation of the City of Toronto´s alleged torture and cruel or other degrading treatment</w:t>
      </w:r>
      <w:r w:rsidR="00030724">
        <w:t>s</w:t>
      </w:r>
      <w:r w:rsidRPr="008244A8">
        <w:t>.</w:t>
      </w:r>
      <w:r w:rsidR="00E737DB">
        <w:t xml:space="preserve"> Moreover, t</w:t>
      </w:r>
      <w:r w:rsidRPr="008244A8">
        <w:t>he State party submits that the authors provide no evidence of being deprived of an effective legal remedy. Indeed, the authors´ numerous legal proceedings provide evidence to the contrary.</w:t>
      </w:r>
    </w:p>
    <w:p w14:paraId="52308A8B" w14:textId="0939A0C1" w:rsidR="008244A8" w:rsidRDefault="008244A8" w:rsidP="008D1724">
      <w:pPr>
        <w:pStyle w:val="SingleTxtG"/>
        <w:rPr>
          <w:b/>
        </w:rPr>
      </w:pPr>
      <w:r>
        <w:tab/>
      </w:r>
      <w:r w:rsidRPr="008244A8">
        <w:t>9.5</w:t>
      </w:r>
      <w:r w:rsidRPr="008244A8">
        <w:tab/>
        <w:t>Concerning the authors´ allegations of potential violations of article 6 sections (1), (2), and (5), the State party submits that article 6 (5) does not apply to the authors, as they are neither eighteen years of age or younger, nor they are pregnant; moreover, that paragraphs 222(5)(d) of the Criminal Code</w:t>
      </w:r>
      <w:r w:rsidR="00C43338">
        <w:t xml:space="preserve"> </w:t>
      </w:r>
      <w:r w:rsidR="00E737DB">
        <w:t xml:space="preserve">(homicide) </w:t>
      </w:r>
      <w:r w:rsidRPr="008244A8">
        <w:t>and section 142 of the Court of Justice Act</w:t>
      </w:r>
      <w:r w:rsidR="00E737DB">
        <w:t xml:space="preserve"> (good faith of enforcement of Court´s orders)</w:t>
      </w:r>
      <w:r w:rsidRPr="008244A8">
        <w:t>, which ground the authors´ arguments around “domestic impunity legislation”, do not apply to the authors</w:t>
      </w:r>
      <w:r w:rsidR="00E737DB">
        <w:t xml:space="preserve">. </w:t>
      </w:r>
      <w:r w:rsidRPr="008244A8">
        <w:t>The State party recalls that both the Ontario Superior Court of Justice and its Divisional Court suggested to the authors that if the presence of an inspector will disturb them, then they should briefly vacate the property at the time of inspection. Moreover, the State party submits that the City of Toronto´s safety concerns are legitimate and that the authors´ view of the inspection as equivalent to a mock execution from waterboarding or a capital punishment execution from lethal gas is unsupported.</w:t>
      </w:r>
    </w:p>
    <w:p w14:paraId="2B3FC985" w14:textId="21E8CFB7" w:rsidR="008244A8" w:rsidRDefault="008244A8" w:rsidP="008D1724">
      <w:pPr>
        <w:pStyle w:val="SingleTxtG"/>
        <w:rPr>
          <w:b/>
        </w:rPr>
      </w:pPr>
      <w:r>
        <w:tab/>
      </w:r>
      <w:r w:rsidRPr="008244A8">
        <w:t>9.6</w:t>
      </w:r>
      <w:r w:rsidRPr="008244A8">
        <w:tab/>
        <w:t>Regarding the authors´ allegations on violations of article 7 of the Covenant, the State party questions the m</w:t>
      </w:r>
      <w:r w:rsidR="00A43CF5">
        <w:t xml:space="preserve">edical report made by </w:t>
      </w:r>
      <w:proofErr w:type="spellStart"/>
      <w:r w:rsidR="00A43CF5">
        <w:t>Dr.</w:t>
      </w:r>
      <w:proofErr w:type="spellEnd"/>
      <w:r w:rsidR="00A43CF5">
        <w:t xml:space="preserve"> Roth</w:t>
      </w:r>
      <w:r w:rsidRPr="008244A8">
        <w:t xml:space="preserve">, on the grounds that this report was already addressed by the Ontario Municipal Board, which challenged the impartiality, veracity and relevance of it. For </w:t>
      </w:r>
      <w:r w:rsidRPr="008D1724">
        <w:t>example</w:t>
      </w:r>
      <w:r w:rsidRPr="008244A8">
        <w:t xml:space="preserve">, it questioned that </w:t>
      </w:r>
      <w:proofErr w:type="spellStart"/>
      <w:r w:rsidRPr="008244A8">
        <w:t>Dr.</w:t>
      </w:r>
      <w:proofErr w:type="spellEnd"/>
      <w:r w:rsidRPr="008244A8">
        <w:t xml:space="preserve"> Roth was not licensed to practice medicine in Ontario and that, for his report, Ms. </w:t>
      </w:r>
      <w:r w:rsidR="003619C3">
        <w:t>P.T.</w:t>
      </w:r>
      <w:r w:rsidRPr="008244A8">
        <w:t xml:space="preserve">, which is a party in this communication, acted as an interpreter of her parents’ statements. Moreover, the authors later submitted another medical report, made by </w:t>
      </w:r>
      <w:proofErr w:type="spellStart"/>
      <w:r w:rsidRPr="008244A8">
        <w:t>Dr.</w:t>
      </w:r>
      <w:proofErr w:type="spellEnd"/>
      <w:r w:rsidRPr="008244A8">
        <w:t xml:space="preserve"> </w:t>
      </w:r>
      <w:proofErr w:type="spellStart"/>
      <w:r w:rsidRPr="008244A8">
        <w:t>Ho</w:t>
      </w:r>
      <w:proofErr w:type="spellEnd"/>
      <w:r w:rsidRPr="008244A8">
        <w:t>, which stated inconsistent findings with the previous report. Finally, on the imposition of judicial fees by the Ontario Superior Court of Justice, the State party submits that the authors have mischaracterized the judicial proceedings and misinformed the Committee about the actual legal costs.</w:t>
      </w:r>
    </w:p>
    <w:p w14:paraId="4922B0AF" w14:textId="18C4A230" w:rsidR="008244A8" w:rsidRDefault="008244A8" w:rsidP="00E378FB">
      <w:pPr>
        <w:pStyle w:val="SingleTxtG"/>
        <w:rPr>
          <w:b/>
        </w:rPr>
      </w:pPr>
      <w:r>
        <w:tab/>
      </w:r>
      <w:r w:rsidRPr="008244A8">
        <w:t>9.7</w:t>
      </w:r>
      <w:r w:rsidRPr="008244A8">
        <w:tab/>
        <w:t>On the authors´ allegations of violations of article 14 of the Covenant, the State party submits that the authors were not denied legal aid, but were self-represented in some proceedings, or represented by over ten different lawyers throughout t</w:t>
      </w:r>
      <w:r w:rsidR="00E737DB">
        <w:t>heir numerous complaints</w:t>
      </w:r>
      <w:r w:rsidRPr="008244A8">
        <w:t>; moreover, on the authors´ presumed allegati</w:t>
      </w:r>
      <w:r w:rsidR="00A43CF5">
        <w:t>ons of violations of article 14</w:t>
      </w:r>
      <w:r w:rsidRPr="008244A8">
        <w:t xml:space="preserve">(3), the State party submits that these </w:t>
      </w:r>
      <w:r w:rsidRPr="00E378FB">
        <w:t>sections</w:t>
      </w:r>
      <w:r w:rsidRPr="008244A8">
        <w:t xml:space="preserve"> do not apply to the</w:t>
      </w:r>
      <w:r w:rsidR="00E737DB">
        <w:t xml:space="preserve"> authors, as this communication</w:t>
      </w:r>
      <w:r w:rsidRPr="008244A8">
        <w:t xml:space="preserve"> deal</w:t>
      </w:r>
      <w:r w:rsidR="00E737DB">
        <w:t>s</w:t>
      </w:r>
      <w:r w:rsidRPr="008244A8">
        <w:t xml:space="preserve"> with civil matters; overall, the State party submits that </w:t>
      </w:r>
      <w:r w:rsidR="00A43CF5">
        <w:t xml:space="preserve">the authors´ </w:t>
      </w:r>
      <w:r w:rsidRPr="008244A8">
        <w:t>communication is an attempt to appeal the negative decisions of their domestic proceedings by asking this Committee to be a tribunal of fourth instance.</w:t>
      </w:r>
    </w:p>
    <w:p w14:paraId="41993A92" w14:textId="7426F98D" w:rsidR="00AD767A" w:rsidRDefault="008244A8" w:rsidP="00E378FB">
      <w:pPr>
        <w:pStyle w:val="SingleTxtG"/>
      </w:pPr>
      <w:r>
        <w:tab/>
      </w:r>
      <w:r w:rsidRPr="008244A8">
        <w:t>9.8</w:t>
      </w:r>
      <w:r w:rsidRPr="008244A8">
        <w:tab/>
        <w:t xml:space="preserve">The State party also challenge the authors´ allegation concerning potential violations of article 1 of the Second Optional Protocol of the Covenant, because this provision is not applicable to the authors; </w:t>
      </w:r>
      <w:r w:rsidRPr="00E378FB">
        <w:t>because</w:t>
      </w:r>
      <w:r w:rsidRPr="008244A8">
        <w:t xml:space="preserve"> the death penalty has been abolished in Canada since 1976 and, moreover, because there is no reasonabl</w:t>
      </w:r>
      <w:r w:rsidR="00AD767A">
        <w:t>e basis for the authors´ claim.</w:t>
      </w:r>
    </w:p>
    <w:p w14:paraId="16409348" w14:textId="4EBEC1B9" w:rsidR="00CE0CB4" w:rsidRPr="00CF498D" w:rsidRDefault="00822F54" w:rsidP="00CF498D">
      <w:pPr>
        <w:pStyle w:val="H4G"/>
        <w:rPr>
          <w:b/>
        </w:rPr>
      </w:pPr>
      <w:r>
        <w:tab/>
      </w:r>
      <w:r>
        <w:tab/>
      </w:r>
      <w:r w:rsidR="00CE0CB4">
        <w:t xml:space="preserve">Additional submission by the authors </w:t>
      </w:r>
    </w:p>
    <w:p w14:paraId="06D37055" w14:textId="1D3A7748" w:rsidR="008244A8" w:rsidRPr="008244A8" w:rsidRDefault="008244A8" w:rsidP="00E378FB">
      <w:pPr>
        <w:pStyle w:val="SingleTxtG"/>
        <w:rPr>
          <w:b/>
        </w:rPr>
      </w:pPr>
      <w:r w:rsidRPr="008244A8">
        <w:t>10</w:t>
      </w:r>
      <w:r w:rsidRPr="008244A8">
        <w:tab/>
        <w:t>On 19 May 2017, the authors submitted additional comments, reiterating their previous arguments</w:t>
      </w:r>
      <w:r w:rsidR="00E737DB">
        <w:t xml:space="preserve">. </w:t>
      </w:r>
    </w:p>
    <w:p w14:paraId="78893422" w14:textId="77777777" w:rsidR="008F1636" w:rsidRPr="005D7178" w:rsidRDefault="008244A8" w:rsidP="00C773E8">
      <w:pPr>
        <w:pStyle w:val="H23G"/>
        <w:keepLines w:val="0"/>
      </w:pPr>
      <w:r>
        <w:lastRenderedPageBreak/>
        <w:tab/>
      </w:r>
      <w:r>
        <w:tab/>
      </w:r>
      <w:r w:rsidR="008F1636" w:rsidRPr="005D7178">
        <w:t>Issues and proceedings before the Committee</w:t>
      </w:r>
    </w:p>
    <w:p w14:paraId="42A1F297" w14:textId="77777777" w:rsidR="008F1636" w:rsidRPr="005D7178" w:rsidRDefault="008F1636" w:rsidP="00C773E8">
      <w:pPr>
        <w:pStyle w:val="H4G"/>
        <w:keepLines w:val="0"/>
      </w:pPr>
      <w:r w:rsidRPr="005D7178">
        <w:tab/>
      </w:r>
      <w:r w:rsidRPr="005D7178">
        <w:tab/>
        <w:t>Consideration of admissibility</w:t>
      </w:r>
    </w:p>
    <w:p w14:paraId="59E4569B" w14:textId="77777777" w:rsidR="008F1636" w:rsidRPr="005D7178" w:rsidRDefault="008244A8" w:rsidP="00E378FB">
      <w:pPr>
        <w:pStyle w:val="SingleTxtG"/>
      </w:pPr>
      <w:r>
        <w:t>11</w:t>
      </w:r>
      <w:r w:rsidR="008F1636" w:rsidRPr="005D7178">
        <w:t>.1</w:t>
      </w:r>
      <w:r w:rsidR="008F1636" w:rsidRPr="005D7178">
        <w:tab/>
        <w:t xml:space="preserve">Before considering any </w:t>
      </w:r>
      <w:r w:rsidR="008F1636" w:rsidRPr="00E378FB">
        <w:t>claim</w:t>
      </w:r>
      <w:r w:rsidR="008F1636" w:rsidRPr="005D7178">
        <w:t xml:space="preserve"> contained in a communication, the Human Rights Committee must, in accordance with rule 93 of its Rules of Procedure, decide whether or not the case is admissible under the Optional Protocol to the Covenant.</w:t>
      </w:r>
    </w:p>
    <w:p w14:paraId="27DB6AA7" w14:textId="77777777" w:rsidR="008F1636" w:rsidRPr="005D7178" w:rsidRDefault="001B12DF" w:rsidP="00E378FB">
      <w:pPr>
        <w:pStyle w:val="SingleTxtG"/>
      </w:pPr>
      <w:r>
        <w:t>11</w:t>
      </w:r>
      <w:r w:rsidR="008F1636" w:rsidRPr="005D7178">
        <w:t>.2</w:t>
      </w:r>
      <w:r w:rsidR="008F1636" w:rsidRPr="005D7178">
        <w:tab/>
        <w:t xml:space="preserve">The Committee has ascertained that the same matter is not being examined under any other procedure of international investigation or settlement, as required by article 5, paragraph 2 </w:t>
      </w:r>
      <w:r w:rsidR="00A43CF5">
        <w:t>(a), of the Optional Protocol</w:t>
      </w:r>
      <w:r w:rsidR="008F1636" w:rsidRPr="005D7178">
        <w:t>.</w:t>
      </w:r>
    </w:p>
    <w:p w14:paraId="27974330" w14:textId="265D678C" w:rsidR="008F1636" w:rsidRDefault="001B12DF" w:rsidP="00E378FB">
      <w:pPr>
        <w:pStyle w:val="SingleTxtG"/>
      </w:pPr>
      <w:r>
        <w:t>11</w:t>
      </w:r>
      <w:r w:rsidR="008F1636" w:rsidRPr="005D7178">
        <w:t>.3</w:t>
      </w:r>
      <w:r w:rsidR="008F1636" w:rsidRPr="005D7178">
        <w:tab/>
      </w:r>
      <w:r w:rsidR="00251004">
        <w:t>T</w:t>
      </w:r>
      <w:r w:rsidR="008F1636" w:rsidRPr="005D7178">
        <w:t>he Committee takes note of the State party</w:t>
      </w:r>
      <w:r w:rsidR="005D7178">
        <w:t>’</w:t>
      </w:r>
      <w:r w:rsidR="008F1636" w:rsidRPr="005D7178">
        <w:t>s arguments that the communication</w:t>
      </w:r>
      <w:r w:rsidR="00740D0E" w:rsidRPr="005D7178">
        <w:t xml:space="preserve"> </w:t>
      </w:r>
      <w:r w:rsidR="008F1636" w:rsidRPr="005D7178">
        <w:t>is inadmissible</w:t>
      </w:r>
      <w:r w:rsidR="000F7797">
        <w:t xml:space="preserve"> for </w:t>
      </w:r>
      <w:r w:rsidR="008F1636" w:rsidRPr="005D7178">
        <w:t>non-exhaustion of domestic remedies</w:t>
      </w:r>
      <w:r w:rsidR="00260FEC">
        <w:t>.</w:t>
      </w:r>
      <w:r w:rsidR="00CF2B35">
        <w:t xml:space="preserve"> According to the State party, the non-exhaustion is evidenced by the fact </w:t>
      </w:r>
      <w:r w:rsidR="00AF0319">
        <w:t>that the authors have been pursing domestic remedies while the communication was pending before this Committee</w:t>
      </w:r>
      <w:r w:rsidR="000F7797">
        <w:t>, which ultimately led to their obtaining a building permit on 16 December 2013</w:t>
      </w:r>
      <w:r w:rsidR="00AF0319">
        <w:t>.</w:t>
      </w:r>
      <w:r w:rsidR="00056BE3">
        <w:t xml:space="preserve"> </w:t>
      </w:r>
      <w:r w:rsidR="00030A15">
        <w:t xml:space="preserve">After this date, the authors have continued to challenge the legality of the </w:t>
      </w:r>
      <w:r w:rsidR="00A43CF5">
        <w:t xml:space="preserve">State party´s </w:t>
      </w:r>
      <w:r w:rsidR="00030A15">
        <w:t xml:space="preserve">decision </w:t>
      </w:r>
      <w:r w:rsidR="00030A15" w:rsidRPr="00AD767A">
        <w:t xml:space="preserve">to make an inspection of the house and enforce compliance with the approved building permit. The </w:t>
      </w:r>
      <w:r w:rsidR="00740D0E" w:rsidRPr="00AD767A">
        <w:t>Committee</w:t>
      </w:r>
      <w:r w:rsidR="00030A15" w:rsidRPr="00AD767A">
        <w:t xml:space="preserve"> also notes </w:t>
      </w:r>
      <w:r w:rsidR="00740D0E" w:rsidRPr="00AD767A">
        <w:t xml:space="preserve">the State party’s uncontested argument </w:t>
      </w:r>
      <w:r w:rsidR="00030A15" w:rsidRPr="00AD767A">
        <w:t xml:space="preserve">that the </w:t>
      </w:r>
      <w:r w:rsidR="00030A15" w:rsidRPr="00E378FB">
        <w:t>authors</w:t>
      </w:r>
      <w:r w:rsidR="00030A15" w:rsidRPr="00AD767A">
        <w:t xml:space="preserve"> have </w:t>
      </w:r>
      <w:r w:rsidR="00740D0E" w:rsidRPr="00AD767A">
        <w:t>never raised their claims based</w:t>
      </w:r>
      <w:r w:rsidR="00260FEC" w:rsidRPr="00AD767A">
        <w:t xml:space="preserve"> on</w:t>
      </w:r>
      <w:r w:rsidR="00030A15" w:rsidRPr="00AD767A">
        <w:t xml:space="preserve"> articles 6, 7, 17 and 26 of the Covenant</w:t>
      </w:r>
      <w:r w:rsidR="00740D0E" w:rsidRPr="00AD767A">
        <w:t xml:space="preserve"> before national courts</w:t>
      </w:r>
      <w:r w:rsidR="00972DB1" w:rsidRPr="00AD767A">
        <w:t xml:space="preserve"> through the appropriate legal remedies</w:t>
      </w:r>
      <w:r w:rsidR="00030A15" w:rsidRPr="00AD767A">
        <w:t>.</w:t>
      </w:r>
      <w:r w:rsidR="00030A15">
        <w:t xml:space="preserve"> Although many of these allegations have been raised as ancillary claims of the authors´ main cause of action,</w:t>
      </w:r>
      <w:r w:rsidR="00972DB1">
        <w:t xml:space="preserve"> </w:t>
      </w:r>
      <w:r w:rsidR="00E51814">
        <w:t>i.e.,</w:t>
      </w:r>
      <w:r w:rsidR="00972DB1">
        <w:t xml:space="preserve"> the approval of the building permit for the addition, </w:t>
      </w:r>
      <w:r w:rsidR="00030A15">
        <w:t>the Committee notes the availability of several constitutional, fundamental or human rights remedies that could have been triggered for these purposes.</w:t>
      </w:r>
      <w:r w:rsidR="00C43338">
        <w:t xml:space="preserve"> </w:t>
      </w:r>
    </w:p>
    <w:p w14:paraId="265F3A3E" w14:textId="571AFA47" w:rsidR="00E57BD8" w:rsidRDefault="00A676F2" w:rsidP="00E378FB">
      <w:pPr>
        <w:pStyle w:val="SingleTxtG"/>
      </w:pPr>
      <w:r>
        <w:t>11.4</w:t>
      </w:r>
      <w:r>
        <w:tab/>
        <w:t>In light of all the above, the Committee considers that, in failing to rai</w:t>
      </w:r>
      <w:r w:rsidR="00E57BD8">
        <w:t>se their claims based on articles</w:t>
      </w:r>
      <w:r w:rsidR="00AD767A">
        <w:t xml:space="preserve"> 6</w:t>
      </w:r>
      <w:r w:rsidR="00E57BD8">
        <w:t>, 7, 17 and 26 of the Covenant at the national level, the authors failed to exhaust domestic remedies and declares these claims inadmissible pursuant to article 5, paragraph 2 b) of the Optional Protocol.</w:t>
      </w:r>
    </w:p>
    <w:p w14:paraId="613E06AA" w14:textId="769960A8" w:rsidR="00A676F2" w:rsidRDefault="00E57BD8" w:rsidP="00E378FB">
      <w:pPr>
        <w:pStyle w:val="SingleTxtG"/>
      </w:pPr>
      <w:r>
        <w:t>11.5</w:t>
      </w:r>
      <w:r>
        <w:tab/>
        <w:t>With regard to the authors’ claims under article 14 of the Covenant</w:t>
      </w:r>
      <w:r w:rsidR="00740D0E">
        <w:t xml:space="preserve"> concerning </w:t>
      </w:r>
      <w:r w:rsidR="009B4123">
        <w:t>the assessment of evidence by the Ontario Municipal Board and its alleged lack of independence, the Committee recalls that it is generally for the organs of</w:t>
      </w:r>
      <w:r w:rsidR="009B4123" w:rsidRPr="00322B87">
        <w:t xml:space="preserve"> States parties to examine the facts and evidence of </w:t>
      </w:r>
      <w:r w:rsidR="009B4123">
        <w:t>a</w:t>
      </w:r>
      <w:r w:rsidR="009B4123" w:rsidRPr="00322B87">
        <w:t xml:space="preserve"> case, unless it can be established that the assessment was arbitrary or amounted to a manifest error or denial of justice</w:t>
      </w:r>
      <w:r w:rsidR="009B4123">
        <w:t>.</w:t>
      </w:r>
      <w:r w:rsidR="009B4123" w:rsidRPr="00322B87">
        <w:rPr>
          <w:rStyle w:val="FootnoteReference"/>
        </w:rPr>
        <w:footnoteReference w:id="11"/>
      </w:r>
      <w:r w:rsidR="009B4123">
        <w:t xml:space="preserve"> In the present case, the Committee </w:t>
      </w:r>
      <w:r w:rsidR="00E22E05">
        <w:t>notes the State party’s uncontested argument</w:t>
      </w:r>
      <w:r w:rsidR="008C25A9">
        <w:t>s</w:t>
      </w:r>
      <w:r w:rsidR="00E22E05">
        <w:t xml:space="preserve"> </w:t>
      </w:r>
      <w:r w:rsidR="00E22E05" w:rsidRPr="00E378FB">
        <w:t>that</w:t>
      </w:r>
      <w:r w:rsidR="00E22E05">
        <w:t xml:space="preserve"> the authors</w:t>
      </w:r>
      <w:r w:rsidR="008C25A9">
        <w:t>’ expert witness was not able to attend the hearing;</w:t>
      </w:r>
      <w:r w:rsidR="00AD767A">
        <w:t xml:space="preserve"> and</w:t>
      </w:r>
      <w:r w:rsidR="008C25A9">
        <w:t xml:space="preserve"> that the authors</w:t>
      </w:r>
      <w:r w:rsidR="00E22E05">
        <w:t xml:space="preserve"> chose to leave the Board’s hearing, waving their right to cross-examine the City expert</w:t>
      </w:r>
      <w:r w:rsidR="008C25A9">
        <w:t>. The Committee further notes that the authors have failed to justify their allegation that the Board was biased against them. In light of all the above, the Committee concludes that the authors have failed to sufficiently substantiate their claim based on article 14, paragraph 1, of the Covenant and declares it inadmissible pursuant to article 2 of the Optional Protocol.</w:t>
      </w:r>
    </w:p>
    <w:p w14:paraId="751E1553" w14:textId="4E712482" w:rsidR="00E51814" w:rsidRDefault="00E51814" w:rsidP="00E378FB">
      <w:pPr>
        <w:pStyle w:val="SingleTxtG"/>
      </w:pPr>
      <w:r>
        <w:t>11.6</w:t>
      </w:r>
      <w:r>
        <w:tab/>
        <w:t xml:space="preserve">Having </w:t>
      </w:r>
      <w:r w:rsidRPr="00E378FB">
        <w:t>found</w:t>
      </w:r>
      <w:r>
        <w:t xml:space="preserve"> the authors’ claims based on articles 6, 7, 14, 17 and 26 inadmissible, the Committee is precluded under article 1 of the Optional Protocol from separately examining the authors’ claims based on article 2 (3) of the Covenant</w:t>
      </w:r>
      <w:r w:rsidR="00064776">
        <w:t>, and declares those claims ina</w:t>
      </w:r>
      <w:r>
        <w:t xml:space="preserve">dmissible pursuant to article </w:t>
      </w:r>
      <w:r w:rsidR="00064776">
        <w:t>1 and 3 of the Optional Protocol.</w:t>
      </w:r>
      <w:r w:rsidR="00064776">
        <w:rPr>
          <w:rStyle w:val="FootnoteReference"/>
        </w:rPr>
        <w:footnoteReference w:id="12"/>
      </w:r>
    </w:p>
    <w:p w14:paraId="296FF8A6" w14:textId="77777777" w:rsidR="008F1636" w:rsidRPr="00F8714B" w:rsidRDefault="00485AD9" w:rsidP="00E378FB">
      <w:pPr>
        <w:pStyle w:val="SingleTxtG"/>
      </w:pPr>
      <w:r>
        <w:t>12</w:t>
      </w:r>
      <w:r w:rsidR="008F1636" w:rsidRPr="00F8714B">
        <w:t>.</w:t>
      </w:r>
      <w:r w:rsidR="008F1636" w:rsidRPr="00F8714B">
        <w:tab/>
        <w:t>Therefore, the Human Rights Committee decides:</w:t>
      </w:r>
    </w:p>
    <w:p w14:paraId="407E1BB8" w14:textId="6ADB812E" w:rsidR="008D5EB9" w:rsidRPr="00F8714B" w:rsidRDefault="008D5EB9" w:rsidP="008D5EB9">
      <w:pPr>
        <w:pStyle w:val="SingleTxtG"/>
        <w:ind w:firstLine="567"/>
      </w:pPr>
      <w:r w:rsidRPr="00F8714B">
        <w:t>(a)</w:t>
      </w:r>
      <w:r w:rsidRPr="00F8714B">
        <w:tab/>
        <w:t>That the communication is inadmissible under article</w:t>
      </w:r>
      <w:r>
        <w:t>s 1, 3 and</w:t>
      </w:r>
      <w:r w:rsidRPr="00F8714B">
        <w:t xml:space="preserve"> 5</w:t>
      </w:r>
      <w:r>
        <w:t>, paragraph 2 (b)</w:t>
      </w:r>
      <w:r w:rsidRPr="00F8714B">
        <w:t xml:space="preserve"> of the Optional Protocol; </w:t>
      </w:r>
    </w:p>
    <w:p w14:paraId="5A99D694" w14:textId="1B6783AF" w:rsidR="00434454" w:rsidRDefault="008D5EB9" w:rsidP="00CD51F9">
      <w:pPr>
        <w:pStyle w:val="SingleTxtG"/>
        <w:ind w:firstLine="567"/>
      </w:pPr>
      <w:r w:rsidRPr="00F8714B">
        <w:t>(b)</w:t>
      </w:r>
      <w:r w:rsidRPr="00F8714B">
        <w:tab/>
        <w:t>That the decision shall be transmitted to the State party and to the author</w:t>
      </w:r>
      <w:r>
        <w:t>s</w:t>
      </w:r>
      <w:r w:rsidR="00CD51F9">
        <w:t>.</w:t>
      </w:r>
    </w:p>
    <w:p w14:paraId="6D33A3AB" w14:textId="028E8A35" w:rsidR="00CD51F9" w:rsidRPr="00CD51F9" w:rsidRDefault="00CD51F9" w:rsidP="00CD51F9">
      <w:pPr>
        <w:pStyle w:val="SingleTxtG"/>
        <w:spacing w:before="240" w:after="0"/>
        <w:jc w:val="center"/>
        <w:rPr>
          <w:u w:val="single"/>
        </w:rPr>
      </w:pPr>
      <w:r>
        <w:rPr>
          <w:u w:val="single"/>
        </w:rPr>
        <w:tab/>
      </w:r>
      <w:r>
        <w:rPr>
          <w:u w:val="single"/>
        </w:rPr>
        <w:tab/>
      </w:r>
      <w:r>
        <w:rPr>
          <w:u w:val="single"/>
        </w:rPr>
        <w:tab/>
      </w:r>
      <w:r>
        <w:rPr>
          <w:u w:val="single"/>
        </w:rPr>
        <w:tab/>
      </w:r>
    </w:p>
    <w:sectPr w:rsidR="00CD51F9" w:rsidRPr="00CD51F9" w:rsidSect="00CD51F9">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E573" w14:textId="77777777" w:rsidR="00BB55E2" w:rsidRDefault="00BB55E2"/>
  </w:endnote>
  <w:endnote w:type="continuationSeparator" w:id="0">
    <w:p w14:paraId="30054D76" w14:textId="77777777" w:rsidR="00BB55E2" w:rsidRDefault="00BB55E2"/>
  </w:endnote>
  <w:endnote w:type="continuationNotice" w:id="1">
    <w:p w14:paraId="0A7B1C15" w14:textId="77777777" w:rsidR="00BB55E2" w:rsidRDefault="00BB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F5A2" w14:textId="320BBFD7" w:rsidR="00251004" w:rsidRPr="009E2CF9" w:rsidRDefault="00251004" w:rsidP="009E2CF9">
    <w:pPr>
      <w:pStyle w:val="Footer"/>
      <w:tabs>
        <w:tab w:val="right" w:pos="9598"/>
      </w:tabs>
    </w:pPr>
    <w:r w:rsidRPr="009E2CF9">
      <w:rPr>
        <w:b/>
        <w:sz w:val="18"/>
      </w:rPr>
      <w:fldChar w:fldCharType="begin"/>
    </w:r>
    <w:r w:rsidRPr="009E2CF9">
      <w:rPr>
        <w:b/>
        <w:sz w:val="18"/>
      </w:rPr>
      <w:instrText xml:space="preserve"> PAGE  \* MERGEFORMAT </w:instrText>
    </w:r>
    <w:r w:rsidRPr="009E2CF9">
      <w:rPr>
        <w:b/>
        <w:sz w:val="18"/>
      </w:rPr>
      <w:fldChar w:fldCharType="separate"/>
    </w:r>
    <w:r w:rsidR="004D15AD">
      <w:rPr>
        <w:b/>
        <w:noProof/>
        <w:sz w:val="18"/>
      </w:rPr>
      <w:t>12</w:t>
    </w:r>
    <w:r w:rsidRPr="009E2CF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DA8D" w14:textId="1FE58108" w:rsidR="00251004" w:rsidRPr="009E2CF9" w:rsidRDefault="00251004" w:rsidP="009E2CF9">
    <w:pPr>
      <w:pStyle w:val="Footer"/>
      <w:tabs>
        <w:tab w:val="right" w:pos="9598"/>
      </w:tabs>
      <w:rPr>
        <w:b/>
        <w:sz w:val="18"/>
      </w:rPr>
    </w:pPr>
    <w:r>
      <w:tab/>
    </w:r>
    <w:r w:rsidRPr="009E2CF9">
      <w:rPr>
        <w:b/>
        <w:sz w:val="18"/>
      </w:rPr>
      <w:fldChar w:fldCharType="begin"/>
    </w:r>
    <w:r w:rsidRPr="009E2CF9">
      <w:rPr>
        <w:b/>
        <w:sz w:val="18"/>
      </w:rPr>
      <w:instrText xml:space="preserve"> PAGE  \* MERGEFORMAT </w:instrText>
    </w:r>
    <w:r w:rsidRPr="009E2CF9">
      <w:rPr>
        <w:b/>
        <w:sz w:val="18"/>
      </w:rPr>
      <w:fldChar w:fldCharType="separate"/>
    </w:r>
    <w:r w:rsidR="004D15AD">
      <w:rPr>
        <w:b/>
        <w:noProof/>
        <w:sz w:val="18"/>
      </w:rPr>
      <w:t>13</w:t>
    </w:r>
    <w:r w:rsidRPr="009E2C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1FAB" w14:textId="2305EA56" w:rsidR="00D33AFA" w:rsidRPr="00D33AFA" w:rsidRDefault="00D33AFA" w:rsidP="00D33AFA">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37F2" w14:textId="77777777" w:rsidR="00BB55E2" w:rsidRPr="000B175B" w:rsidRDefault="00BB55E2" w:rsidP="000B175B">
      <w:pPr>
        <w:tabs>
          <w:tab w:val="right" w:pos="2155"/>
        </w:tabs>
        <w:spacing w:after="80"/>
        <w:ind w:left="680"/>
        <w:rPr>
          <w:u w:val="single"/>
        </w:rPr>
      </w:pPr>
      <w:r>
        <w:rPr>
          <w:u w:val="single"/>
        </w:rPr>
        <w:tab/>
      </w:r>
    </w:p>
  </w:footnote>
  <w:footnote w:type="continuationSeparator" w:id="0">
    <w:p w14:paraId="5A58C89C" w14:textId="77777777" w:rsidR="00BB55E2" w:rsidRPr="00FC68B7" w:rsidRDefault="00BB55E2" w:rsidP="00FC68B7">
      <w:pPr>
        <w:tabs>
          <w:tab w:val="left" w:pos="2155"/>
        </w:tabs>
        <w:spacing w:after="80"/>
        <w:ind w:left="680"/>
        <w:rPr>
          <w:u w:val="single"/>
        </w:rPr>
      </w:pPr>
      <w:r>
        <w:rPr>
          <w:u w:val="single"/>
        </w:rPr>
        <w:tab/>
      </w:r>
    </w:p>
  </w:footnote>
  <w:footnote w:type="continuationNotice" w:id="1">
    <w:p w14:paraId="0C705FB0" w14:textId="77777777" w:rsidR="00BB55E2" w:rsidRDefault="00BB55E2"/>
  </w:footnote>
  <w:footnote w:id="2">
    <w:p w14:paraId="1A0E9A57" w14:textId="7CF79BD1" w:rsidR="00CE0CB4" w:rsidRPr="00CF498D" w:rsidRDefault="008C2284" w:rsidP="00FB6500">
      <w:pPr>
        <w:pStyle w:val="FootnoteText"/>
      </w:pPr>
      <w:r>
        <w:rPr>
          <w:rStyle w:val="FootnoteReference"/>
        </w:rPr>
        <w:tab/>
      </w:r>
      <w:r w:rsidRPr="001E505F">
        <w:rPr>
          <w:rStyle w:val="FootnoteReference"/>
          <w:sz w:val="20"/>
          <w:vertAlign w:val="baseline"/>
        </w:rPr>
        <w:t>*</w:t>
      </w:r>
      <w:r>
        <w:rPr>
          <w:rStyle w:val="FootnoteReference"/>
          <w:sz w:val="20"/>
          <w:vertAlign w:val="baseline"/>
        </w:rPr>
        <w:tab/>
      </w:r>
      <w:r>
        <w:t>Adopted by the Committee during its 125</w:t>
      </w:r>
      <w:r w:rsidRPr="00970C4E">
        <w:rPr>
          <w:vertAlign w:val="superscript"/>
        </w:rPr>
        <w:t>th</w:t>
      </w:r>
      <w:r>
        <w:t xml:space="preserve"> session (4 – 29 March 2019)</w:t>
      </w:r>
    </w:p>
  </w:footnote>
  <w:footnote w:id="3">
    <w:p w14:paraId="791AC00A" w14:textId="29A5DFBA" w:rsidR="008177F8" w:rsidRDefault="008177F8" w:rsidP="008177F8">
      <w:pPr>
        <w:pStyle w:val="FootnoteText"/>
      </w:pPr>
      <w:r>
        <w:rPr>
          <w:rStyle w:val="FootnoteReference"/>
        </w:rPr>
        <w:tab/>
      </w:r>
      <w:r w:rsidRPr="008177F8">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Tania </w:t>
      </w:r>
      <w:proofErr w:type="spellStart"/>
      <w:r>
        <w:t>Abdo</w:t>
      </w:r>
      <w:proofErr w:type="spellEnd"/>
      <w:r>
        <w:t xml:space="preserve"> </w:t>
      </w:r>
      <w:proofErr w:type="spellStart"/>
      <w:r>
        <w:t>Rocholl</w:t>
      </w:r>
      <w:proofErr w:type="spellEnd"/>
      <w:r>
        <w:t xml:space="preserve">, </w:t>
      </w:r>
      <w:proofErr w:type="spellStart"/>
      <w:r>
        <w:t>Yadh</w:t>
      </w:r>
      <w:proofErr w:type="spellEnd"/>
      <w:r>
        <w:t xml:space="preserve"> Ben </w:t>
      </w:r>
      <w:proofErr w:type="spellStart"/>
      <w:r>
        <w:t>Achour</w:t>
      </w:r>
      <w:proofErr w:type="spellEnd"/>
      <w:r>
        <w:t xml:space="preserve">, </w:t>
      </w:r>
      <w:proofErr w:type="spellStart"/>
      <w:r>
        <w:t>Ilze</w:t>
      </w:r>
      <w:proofErr w:type="spellEnd"/>
      <w:r>
        <w:t xml:space="preserve"> Brands </w:t>
      </w:r>
      <w:proofErr w:type="spellStart"/>
      <w:r>
        <w:t>Kehris</w:t>
      </w:r>
      <w:proofErr w:type="spellEnd"/>
      <w:r>
        <w:t xml:space="preserve">, Christopher </w:t>
      </w:r>
      <w:proofErr w:type="spellStart"/>
      <w:r>
        <w:t>Arif</w:t>
      </w:r>
      <w:proofErr w:type="spellEnd"/>
      <w:r>
        <w:t xml:space="preserve"> </w:t>
      </w:r>
      <w:proofErr w:type="spellStart"/>
      <w:r>
        <w:t>Bulkan</w:t>
      </w:r>
      <w:proofErr w:type="spellEnd"/>
      <w:r>
        <w:t xml:space="preserve">, Ahmed Amin </w:t>
      </w:r>
      <w:proofErr w:type="spellStart"/>
      <w:r>
        <w:t>Fathalla</w:t>
      </w:r>
      <w:proofErr w:type="spellEnd"/>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t>Bamariam</w:t>
      </w:r>
      <w:proofErr w:type="spellEnd"/>
      <w:r>
        <w:t xml:space="preserve"> </w:t>
      </w:r>
      <w:proofErr w:type="spellStart"/>
      <w:r>
        <w:t>Koita</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Hernán</w:t>
      </w:r>
      <w:proofErr w:type="spellEnd"/>
      <w:r>
        <w:t xml:space="preserve"> Quezada, </w:t>
      </w:r>
      <w:proofErr w:type="spellStart"/>
      <w:r>
        <w:t>Vasilka</w:t>
      </w:r>
      <w:proofErr w:type="spellEnd"/>
      <w:r>
        <w:t xml:space="preserve"> </w:t>
      </w:r>
      <w:proofErr w:type="spellStart"/>
      <w:r>
        <w:t>Sancin</w:t>
      </w:r>
      <w:proofErr w:type="spellEnd"/>
      <w:r>
        <w:t xml:space="preserve">, José Manuel 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t xml:space="preserve">. In accordance with article 108 of the Rules of Procedure of the Committee, Marcia </w:t>
      </w:r>
      <w:proofErr w:type="spellStart"/>
      <w:r>
        <w:t>Kran</w:t>
      </w:r>
      <w:proofErr w:type="spellEnd"/>
      <w:r>
        <w:t>, member of the Committee, did not partici</w:t>
      </w:r>
      <w:r w:rsidR="004D15AD">
        <w:t>pate in</w:t>
      </w:r>
      <w:bookmarkStart w:id="0" w:name="_GoBack"/>
      <w:bookmarkEnd w:id="0"/>
      <w:r>
        <w:t xml:space="preserve"> the examination of the communication.</w:t>
      </w:r>
    </w:p>
    <w:p w14:paraId="0C85D250" w14:textId="5EEF6A89" w:rsidR="008177F8" w:rsidRPr="008177F8" w:rsidRDefault="008177F8">
      <w:pPr>
        <w:pStyle w:val="FootnoteText"/>
      </w:pPr>
    </w:p>
  </w:footnote>
  <w:footnote w:id="4">
    <w:p w14:paraId="7EA3D046" w14:textId="1465E3DC" w:rsidR="007F0358" w:rsidRPr="007F0358" w:rsidRDefault="007F0358" w:rsidP="009F584B">
      <w:pPr>
        <w:pStyle w:val="FootnoteText"/>
        <w:widowControl w:val="0"/>
      </w:pPr>
      <w:r>
        <w:tab/>
      </w:r>
      <w:r>
        <w:rPr>
          <w:rStyle w:val="FootnoteReference"/>
        </w:rPr>
        <w:footnoteRef/>
      </w:r>
      <w:r w:rsidR="00CD51F9">
        <w:tab/>
      </w:r>
      <w:r w:rsidR="002A6DF6">
        <w:t xml:space="preserve">The authors provide a copy of the transcription of the hearing before the Ontario Municipal Board. </w:t>
      </w:r>
    </w:p>
  </w:footnote>
  <w:footnote w:id="5">
    <w:p w14:paraId="17C62855" w14:textId="24262C6F" w:rsidR="00251004" w:rsidRPr="00F55986" w:rsidRDefault="00251004" w:rsidP="005255F9">
      <w:pPr>
        <w:pStyle w:val="FootnoteText"/>
        <w:widowControl w:val="0"/>
        <w:tabs>
          <w:tab w:val="clear" w:pos="1021"/>
          <w:tab w:val="right" w:pos="1020"/>
        </w:tabs>
        <w:jc w:val="both"/>
      </w:pPr>
      <w:r>
        <w:tab/>
      </w:r>
      <w:r>
        <w:rPr>
          <w:rStyle w:val="FootnoteReference"/>
        </w:rPr>
        <w:footnoteRef/>
      </w:r>
      <w:r w:rsidR="00CD51F9">
        <w:tab/>
      </w:r>
      <w:r>
        <w:t>C</w:t>
      </w:r>
      <w:r w:rsidRPr="00F55986">
        <w:t xml:space="preserve">ommunication </w:t>
      </w:r>
      <w:r>
        <w:t xml:space="preserve">No. </w:t>
      </w:r>
      <w:r w:rsidRPr="00F55986">
        <w:t>112/1981</w:t>
      </w:r>
      <w:r>
        <w:t xml:space="preserve">, </w:t>
      </w:r>
      <w:r w:rsidRPr="00F55986">
        <w:rPr>
          <w:i/>
        </w:rPr>
        <w:t>Y.L. v. Canada</w:t>
      </w:r>
      <w:r w:rsidRPr="00F55986">
        <w:t>,</w:t>
      </w:r>
      <w:r>
        <w:t xml:space="preserve"> decision on admissibility, adopted on 8 April 1986</w:t>
      </w:r>
      <w:r w:rsidRPr="00F55986">
        <w:t>.</w:t>
      </w:r>
    </w:p>
  </w:footnote>
  <w:footnote w:id="6">
    <w:p w14:paraId="28061222" w14:textId="48F64523" w:rsidR="00251004" w:rsidRPr="00FF17FC" w:rsidRDefault="00251004" w:rsidP="005255F9">
      <w:pPr>
        <w:pStyle w:val="FootnoteText"/>
        <w:widowControl w:val="0"/>
        <w:tabs>
          <w:tab w:val="clear" w:pos="1021"/>
          <w:tab w:val="right" w:pos="1020"/>
        </w:tabs>
        <w:jc w:val="both"/>
      </w:pPr>
      <w:r w:rsidRPr="00F55986">
        <w:tab/>
      </w:r>
      <w:r>
        <w:rPr>
          <w:rStyle w:val="FootnoteReference"/>
        </w:rPr>
        <w:footnoteRef/>
      </w:r>
      <w:r w:rsidR="00CD51F9">
        <w:tab/>
      </w:r>
      <w:r>
        <w:t xml:space="preserve">Communication No. 1185/2003, </w:t>
      </w:r>
      <w:r w:rsidRPr="00F55986">
        <w:rPr>
          <w:i/>
        </w:rPr>
        <w:t>Van Den Hemel v. Netherlands</w:t>
      </w:r>
      <w:r w:rsidRPr="00F55986">
        <w:t>, decision on admissibility</w:t>
      </w:r>
      <w:r>
        <w:t>, adopted on 25 July 2005,</w:t>
      </w:r>
      <w:r w:rsidRPr="00F55986">
        <w:t xml:space="preserve"> para. </w:t>
      </w:r>
      <w:r w:rsidRPr="00D56669">
        <w:t>6.5</w:t>
      </w:r>
      <w:r>
        <w:t xml:space="preserve">. </w:t>
      </w:r>
    </w:p>
  </w:footnote>
  <w:footnote w:id="7">
    <w:p w14:paraId="6AE35C7D" w14:textId="1E658D36" w:rsidR="00671FEF" w:rsidRPr="00671FEF" w:rsidRDefault="00671FEF" w:rsidP="00E378FB">
      <w:pPr>
        <w:pStyle w:val="FootnoteText"/>
      </w:pPr>
      <w:r>
        <w:tab/>
      </w:r>
      <w:r>
        <w:rPr>
          <w:rStyle w:val="FootnoteReference"/>
        </w:rPr>
        <w:footnoteRef/>
      </w:r>
      <w:r>
        <w:tab/>
      </w:r>
      <w:r w:rsidRPr="00671FEF">
        <w:t>The authors attach in this submission other cases of properties that have been allowed variances that are grosser than their addition in the very same street, and some of them brought by the very neighbours that opposed the authors´ application.</w:t>
      </w:r>
    </w:p>
  </w:footnote>
  <w:footnote w:id="8">
    <w:p w14:paraId="286FAB6C" w14:textId="33C16C1D" w:rsidR="00605288" w:rsidRPr="00FC7B77" w:rsidRDefault="00605288" w:rsidP="00E378FB">
      <w:pPr>
        <w:pStyle w:val="FootnoteText"/>
      </w:pPr>
      <w:r>
        <w:tab/>
      </w:r>
      <w:r>
        <w:rPr>
          <w:rStyle w:val="FootnoteReference"/>
        </w:rPr>
        <w:footnoteRef/>
      </w:r>
      <w:r>
        <w:tab/>
      </w:r>
      <w:r w:rsidR="00FC7B77">
        <w:t xml:space="preserve">Medical Report </w:t>
      </w:r>
      <w:r w:rsidR="00FC7B77" w:rsidRPr="00E378FB">
        <w:t>issued</w:t>
      </w:r>
      <w:r w:rsidR="00FC7B77">
        <w:t xml:space="preserve"> by </w:t>
      </w:r>
      <w:proofErr w:type="spellStart"/>
      <w:r w:rsidR="00FC7B77">
        <w:t>Dr.</w:t>
      </w:r>
      <w:proofErr w:type="spellEnd"/>
      <w:r w:rsidR="00FC7B77">
        <w:t xml:space="preserve"> Michael </w:t>
      </w:r>
      <w:proofErr w:type="spellStart"/>
      <w:r w:rsidR="00FC7B77">
        <w:t>Ho</w:t>
      </w:r>
      <w:proofErr w:type="spellEnd"/>
      <w:r w:rsidR="00FC7B77">
        <w:t xml:space="preserve"> M.D., on 10 October 2011; Records of Hospital, General Internal Medicine Discharge Summary, dated 26 January 2011; Medical Report issued by Mayo Clinic, on 31 August 2011; Neurologist´s report, dated 16 December 2011.</w:t>
      </w:r>
      <w:r w:rsidR="00C43338">
        <w:t xml:space="preserve"> </w:t>
      </w:r>
    </w:p>
  </w:footnote>
  <w:footnote w:id="9">
    <w:p w14:paraId="0BF2603F" w14:textId="462EE0D7" w:rsidR="00251004" w:rsidRPr="00F55986" w:rsidRDefault="00251004" w:rsidP="005255F9">
      <w:pPr>
        <w:pStyle w:val="FootnoteText"/>
        <w:widowControl w:val="0"/>
        <w:tabs>
          <w:tab w:val="clear" w:pos="1021"/>
          <w:tab w:val="right" w:pos="1020"/>
        </w:tabs>
        <w:jc w:val="both"/>
      </w:pPr>
      <w:r>
        <w:tab/>
      </w:r>
      <w:r>
        <w:rPr>
          <w:rStyle w:val="FootnoteReference"/>
        </w:rPr>
        <w:footnoteRef/>
      </w:r>
      <w:r w:rsidR="00CD51F9">
        <w:tab/>
      </w:r>
      <w:r>
        <w:t xml:space="preserve">See communication No. </w:t>
      </w:r>
      <w:r w:rsidRPr="00056BE3">
        <w:t>433/1990</w:t>
      </w:r>
      <w:r>
        <w:t xml:space="preserve">, </w:t>
      </w:r>
      <w:r w:rsidRPr="00F55986">
        <w:rPr>
          <w:i/>
        </w:rPr>
        <w:t>A.P.A. v Spain</w:t>
      </w:r>
      <w:r w:rsidRPr="00056BE3">
        <w:t xml:space="preserve">, </w:t>
      </w:r>
      <w:r>
        <w:t xml:space="preserve">decision of inadmissibility, adopted on 25 March 1994, </w:t>
      </w:r>
      <w:proofErr w:type="gramStart"/>
      <w:r w:rsidRPr="00056BE3">
        <w:t>para</w:t>
      </w:r>
      <w:proofErr w:type="gramEnd"/>
      <w:r w:rsidRPr="00056BE3">
        <w:t xml:space="preserve">. </w:t>
      </w:r>
      <w:r w:rsidRPr="00F55986">
        <w:t>6.2; No.</w:t>
      </w:r>
      <w:r>
        <w:t xml:space="preserve"> </w:t>
      </w:r>
      <w:r w:rsidRPr="00F55986">
        <w:t>1639/2007</w:t>
      </w:r>
      <w:r>
        <w:t>,</w:t>
      </w:r>
      <w:r w:rsidRPr="00F55986">
        <w:t xml:space="preserve"> </w:t>
      </w:r>
      <w:proofErr w:type="spellStart"/>
      <w:r w:rsidRPr="00F55986">
        <w:rPr>
          <w:i/>
        </w:rPr>
        <w:t>Vargay</w:t>
      </w:r>
      <w:proofErr w:type="spellEnd"/>
      <w:r w:rsidRPr="00F55986">
        <w:rPr>
          <w:i/>
        </w:rPr>
        <w:t xml:space="preserve"> v. Canada</w:t>
      </w:r>
      <w:r w:rsidRPr="00F55986">
        <w:t>,</w:t>
      </w:r>
      <w:r>
        <w:t xml:space="preserve"> decision of inadmissibility, adopted on 28 July 2009, para. 7.3.</w:t>
      </w:r>
    </w:p>
  </w:footnote>
  <w:footnote w:id="10">
    <w:p w14:paraId="1E766DB2" w14:textId="5CED36F6" w:rsidR="00A552C4" w:rsidRPr="00A552C4" w:rsidRDefault="00A552C4" w:rsidP="00671FEF">
      <w:pPr>
        <w:pStyle w:val="FootnoteText"/>
        <w:widowControl w:val="0"/>
        <w:jc w:val="both"/>
      </w:pPr>
      <w:r>
        <w:tab/>
      </w:r>
      <w:r>
        <w:rPr>
          <w:rStyle w:val="FootnoteReference"/>
        </w:rPr>
        <w:footnoteRef/>
      </w:r>
      <w:r>
        <w:tab/>
      </w:r>
      <w:r w:rsidRPr="00A552C4">
        <w:t xml:space="preserve">The authors attach several medical reports that document irreversible injuries to them caused by actions by City of Toronto public officials since 2006, such as the small stroke suffered by Mr. </w:t>
      </w:r>
      <w:r w:rsidR="002E3709">
        <w:t>S.D.P.T.</w:t>
      </w:r>
      <w:r w:rsidR="002E3709" w:rsidRPr="00A552C4">
        <w:t xml:space="preserve"> </w:t>
      </w:r>
      <w:r w:rsidRPr="00A552C4">
        <w:t xml:space="preserve">after an unauthorized inspection visit on 14 January 2011. They also attach an affidavit medical report that shows several irreparable injuries caused by torture, prepared by a medical expert, </w:t>
      </w:r>
      <w:proofErr w:type="spellStart"/>
      <w:r w:rsidRPr="00A552C4">
        <w:t>Dr.</w:t>
      </w:r>
      <w:proofErr w:type="spellEnd"/>
      <w:r w:rsidRPr="00A552C4">
        <w:t xml:space="preserve"> Barry H. Roth. The latter document concludes that the medical findings are fully consistent with torture being the primary cause for the worsening health conditions of Mr. and Mrs. T</w:t>
      </w:r>
      <w:r w:rsidR="002E3709">
        <w:t>.</w:t>
      </w:r>
      <w:r w:rsidRPr="00A552C4">
        <w:t>, whose lives are now in danger.</w:t>
      </w:r>
    </w:p>
  </w:footnote>
  <w:footnote w:id="11">
    <w:p w14:paraId="7A285F72" w14:textId="77777777" w:rsidR="009B4123" w:rsidRPr="00B96517" w:rsidRDefault="009B4123" w:rsidP="00E378FB">
      <w:pPr>
        <w:pStyle w:val="FootnoteText"/>
      </w:pPr>
      <w:r w:rsidRPr="00DE7C5C">
        <w:tab/>
      </w:r>
      <w:r>
        <w:rPr>
          <w:rStyle w:val="FootnoteReference"/>
        </w:rPr>
        <w:footnoteRef/>
      </w:r>
      <w:r>
        <w:tab/>
      </w:r>
      <w:r w:rsidRPr="00B96517">
        <w:t>See</w:t>
      </w:r>
      <w:r>
        <w:t>, among others,</w:t>
      </w:r>
      <w:r w:rsidRPr="00B96517">
        <w:t xml:space="preserve"> </w:t>
      </w:r>
      <w:r w:rsidRPr="00E378FB">
        <w:t>communications</w:t>
      </w:r>
      <w:r w:rsidRPr="00B96517">
        <w:t xml:space="preserve"> </w:t>
      </w:r>
      <w:r>
        <w:t>N</w:t>
      </w:r>
      <w:r w:rsidRPr="00436E7E">
        <w:t>o.</w:t>
      </w:r>
      <w:r>
        <w:t xml:space="preserve"> </w:t>
      </w:r>
      <w:r w:rsidRPr="00DE130F">
        <w:t xml:space="preserve">2272/2013, </w:t>
      </w:r>
      <w:r>
        <w:rPr>
          <w:i/>
        </w:rPr>
        <w:t xml:space="preserve">P.T. v. </w:t>
      </w:r>
      <w:r w:rsidRPr="00F3179F">
        <w:rPr>
          <w:i/>
          <w:iCs/>
        </w:rPr>
        <w:t>Denmark</w:t>
      </w:r>
      <w:r>
        <w:t xml:space="preserve">, para. 7.3; </w:t>
      </w:r>
      <w:r w:rsidRPr="00B96517">
        <w:t xml:space="preserve">No. </w:t>
      </w:r>
      <w:r>
        <w:t xml:space="preserve">2053/2011, </w:t>
      </w:r>
      <w:r>
        <w:rPr>
          <w:i/>
        </w:rPr>
        <w:t>B.L. v. Australia</w:t>
      </w:r>
      <w:r>
        <w:t>, Views adopted on 16 October 2014, para. 7.3;</w:t>
      </w:r>
      <w:r w:rsidRPr="00B96517">
        <w:t xml:space="preserve"> </w:t>
      </w:r>
      <w:r>
        <w:t xml:space="preserve">No. </w:t>
      </w:r>
      <w:r w:rsidRPr="00B96517">
        <w:t xml:space="preserve">2049/2011, </w:t>
      </w:r>
      <w:r w:rsidRPr="00B96517">
        <w:rPr>
          <w:i/>
        </w:rPr>
        <w:t xml:space="preserve">Z. </w:t>
      </w:r>
      <w:r>
        <w:rPr>
          <w:i/>
        </w:rPr>
        <w:t xml:space="preserve">v. </w:t>
      </w:r>
      <w:r w:rsidRPr="00B96517">
        <w:rPr>
          <w:i/>
        </w:rPr>
        <w:t>Australia</w:t>
      </w:r>
      <w:r w:rsidRPr="00B96517">
        <w:t xml:space="preserve">, Views adopted on 18 July </w:t>
      </w:r>
      <w:r w:rsidRPr="00E378FB">
        <w:t>2014</w:t>
      </w:r>
      <w:r w:rsidRPr="00B96517">
        <w:t>, para 9.</w:t>
      </w:r>
      <w:r>
        <w:t xml:space="preserve">3. </w:t>
      </w:r>
    </w:p>
  </w:footnote>
  <w:footnote w:id="12">
    <w:p w14:paraId="3D0389BD" w14:textId="6A731B0A" w:rsidR="00064776" w:rsidRDefault="00064776" w:rsidP="00E378FB">
      <w:pPr>
        <w:pStyle w:val="FootnoteText"/>
      </w:pPr>
      <w:r>
        <w:tab/>
      </w:r>
      <w:r>
        <w:rPr>
          <w:rStyle w:val="FootnoteReference"/>
        </w:rPr>
        <w:footnoteRef/>
      </w:r>
      <w:r w:rsidR="00CD51F9">
        <w:tab/>
      </w:r>
      <w:r>
        <w:t xml:space="preserve">See, </w:t>
      </w:r>
      <w:r w:rsidRPr="001F345E">
        <w:rPr>
          <w:iCs/>
        </w:rPr>
        <w:t>inter alia</w:t>
      </w:r>
      <w:r w:rsidRPr="00503462">
        <w:rPr>
          <w:iCs/>
        </w:rPr>
        <w:t>,</w:t>
      </w:r>
      <w:r>
        <w:t xml:space="preserve"> </w:t>
      </w:r>
      <w:r w:rsidRPr="00E378FB">
        <w:t>communications</w:t>
      </w:r>
      <w:r>
        <w:t xml:space="preserve"> No. 2195/2012, </w:t>
      </w:r>
      <w:proofErr w:type="spellStart"/>
      <w:r w:rsidRPr="00DA000D">
        <w:rPr>
          <w:i/>
        </w:rPr>
        <w:t>Ch.H.O</w:t>
      </w:r>
      <w:proofErr w:type="spellEnd"/>
      <w:r w:rsidRPr="00DA000D">
        <w:rPr>
          <w:i/>
        </w:rPr>
        <w:t xml:space="preserve">. </w:t>
      </w:r>
      <w:proofErr w:type="gramStart"/>
      <w:r w:rsidRPr="00DA000D">
        <w:rPr>
          <w:i/>
        </w:rPr>
        <w:t>v. Republic</w:t>
      </w:r>
      <w:proofErr w:type="gramEnd"/>
      <w:r w:rsidRPr="00DA000D">
        <w:rPr>
          <w:i/>
        </w:rPr>
        <w:t xml:space="preserve"> of Korea</w:t>
      </w:r>
      <w:r>
        <w:t xml:space="preserve">, decision of inadmissibility adopted on 3 November 2016, para. 9.4; and No. 1961/2010, </w:t>
      </w:r>
      <w:r w:rsidRPr="0000557E">
        <w:rPr>
          <w:i/>
        </w:rPr>
        <w:t>X v. Czech Republic</w:t>
      </w:r>
      <w:r>
        <w:t xml:space="preserve">, decision of inadmissibility adopted on 2 April 2015, </w:t>
      </w:r>
      <w:proofErr w:type="gramStart"/>
      <w:r>
        <w:t>para</w:t>
      </w:r>
      <w:proofErr w:type="gramEnd"/>
      <w:r>
        <w:t>. 6.6</w:t>
      </w:r>
      <w:r w:rsidRPr="007E3A57">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AE58" w14:textId="108A5BB3" w:rsidR="00251004" w:rsidRPr="009E2CF9" w:rsidRDefault="00F93E0A" w:rsidP="009E2CF9">
    <w:pPr>
      <w:pStyle w:val="Header"/>
    </w:pPr>
    <w:r w:rsidRPr="00F93E0A">
      <w:t>Advance unedited version</w:t>
    </w:r>
    <w:r>
      <w:t xml:space="preserve"> </w:t>
    </w:r>
    <w:r w:rsidR="00014EB7">
      <w:t>CCPR/C/125/D/2</w:t>
    </w:r>
    <w:r w:rsidR="00B633FF">
      <w:t>034/2011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B7CD" w14:textId="7F6030BB" w:rsidR="00251004" w:rsidRPr="009E2CF9" w:rsidRDefault="00F93E0A" w:rsidP="008D1724">
    <w:pPr>
      <w:pStyle w:val="Header"/>
      <w:jc w:val="right"/>
    </w:pPr>
    <w:r w:rsidRPr="00F93E0A">
      <w:t>Advance unedited version</w:t>
    </w:r>
    <w:r>
      <w:t xml:space="preserve"> </w:t>
    </w:r>
    <w:r w:rsidR="00014EB7">
      <w:t>CCPR/C125/D/2</w:t>
    </w:r>
    <w:r w:rsidR="00B633FF">
      <w:t>034/2011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B420" w14:textId="77777777" w:rsidR="00014EB7" w:rsidRDefault="0001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C"/>
    <w:rsid w:val="000067F4"/>
    <w:rsid w:val="00007338"/>
    <w:rsid w:val="00014EB7"/>
    <w:rsid w:val="00030724"/>
    <w:rsid w:val="00030A15"/>
    <w:rsid w:val="00050F6B"/>
    <w:rsid w:val="0005487E"/>
    <w:rsid w:val="00056BE3"/>
    <w:rsid w:val="00057DF4"/>
    <w:rsid w:val="00057E97"/>
    <w:rsid w:val="000607D1"/>
    <w:rsid w:val="00060C3A"/>
    <w:rsid w:val="00064776"/>
    <w:rsid w:val="000726BE"/>
    <w:rsid w:val="00072C8C"/>
    <w:rsid w:val="000733B5"/>
    <w:rsid w:val="00081815"/>
    <w:rsid w:val="0008312D"/>
    <w:rsid w:val="00086B35"/>
    <w:rsid w:val="000931C0"/>
    <w:rsid w:val="0009778C"/>
    <w:rsid w:val="00097FDC"/>
    <w:rsid w:val="000B175B"/>
    <w:rsid w:val="000B3A0F"/>
    <w:rsid w:val="000B4EF7"/>
    <w:rsid w:val="000C2C03"/>
    <w:rsid w:val="000C2D2E"/>
    <w:rsid w:val="000E0415"/>
    <w:rsid w:val="000E709D"/>
    <w:rsid w:val="000F7797"/>
    <w:rsid w:val="001103AA"/>
    <w:rsid w:val="001200E4"/>
    <w:rsid w:val="00155D8C"/>
    <w:rsid w:val="001566FE"/>
    <w:rsid w:val="00165F3A"/>
    <w:rsid w:val="00183968"/>
    <w:rsid w:val="001A12D1"/>
    <w:rsid w:val="001A6686"/>
    <w:rsid w:val="001A693D"/>
    <w:rsid w:val="001B017F"/>
    <w:rsid w:val="001B12DF"/>
    <w:rsid w:val="001B4B04"/>
    <w:rsid w:val="001B5196"/>
    <w:rsid w:val="001C6663"/>
    <w:rsid w:val="001C7895"/>
    <w:rsid w:val="001D0C8C"/>
    <w:rsid w:val="001D26DF"/>
    <w:rsid w:val="001D3A03"/>
    <w:rsid w:val="001F144C"/>
    <w:rsid w:val="001F20C3"/>
    <w:rsid w:val="001F2A7F"/>
    <w:rsid w:val="001F6419"/>
    <w:rsid w:val="00202DA8"/>
    <w:rsid w:val="00211E0B"/>
    <w:rsid w:val="0023210C"/>
    <w:rsid w:val="00251004"/>
    <w:rsid w:val="00253341"/>
    <w:rsid w:val="00260FEC"/>
    <w:rsid w:val="002653E3"/>
    <w:rsid w:val="00267CD1"/>
    <w:rsid w:val="00267F5F"/>
    <w:rsid w:val="00286B4D"/>
    <w:rsid w:val="002937F7"/>
    <w:rsid w:val="002A6DF6"/>
    <w:rsid w:val="002B7AA3"/>
    <w:rsid w:val="002D1A22"/>
    <w:rsid w:val="002D1CD5"/>
    <w:rsid w:val="002D4F83"/>
    <w:rsid w:val="002E3709"/>
    <w:rsid w:val="002F175C"/>
    <w:rsid w:val="003229D8"/>
    <w:rsid w:val="00323ECC"/>
    <w:rsid w:val="003274F7"/>
    <w:rsid w:val="00340A11"/>
    <w:rsid w:val="00343AB0"/>
    <w:rsid w:val="00352709"/>
    <w:rsid w:val="00353530"/>
    <w:rsid w:val="00354A1E"/>
    <w:rsid w:val="003619C3"/>
    <w:rsid w:val="00361FBC"/>
    <w:rsid w:val="003648C8"/>
    <w:rsid w:val="00367567"/>
    <w:rsid w:val="00371178"/>
    <w:rsid w:val="0037667C"/>
    <w:rsid w:val="00376C0B"/>
    <w:rsid w:val="003A6810"/>
    <w:rsid w:val="003A6FCF"/>
    <w:rsid w:val="003C2CC4"/>
    <w:rsid w:val="003C557E"/>
    <w:rsid w:val="003C5EE1"/>
    <w:rsid w:val="003D4B23"/>
    <w:rsid w:val="003E098C"/>
    <w:rsid w:val="003F78B6"/>
    <w:rsid w:val="00403FBE"/>
    <w:rsid w:val="004053FF"/>
    <w:rsid w:val="00406E0A"/>
    <w:rsid w:val="00410C89"/>
    <w:rsid w:val="00426B9B"/>
    <w:rsid w:val="004325CB"/>
    <w:rsid w:val="004326FE"/>
    <w:rsid w:val="00434454"/>
    <w:rsid w:val="00436B33"/>
    <w:rsid w:val="00442A83"/>
    <w:rsid w:val="0045495B"/>
    <w:rsid w:val="004702C8"/>
    <w:rsid w:val="00474364"/>
    <w:rsid w:val="00485AD9"/>
    <w:rsid w:val="00487488"/>
    <w:rsid w:val="004A43EB"/>
    <w:rsid w:val="004D15AD"/>
    <w:rsid w:val="004E796E"/>
    <w:rsid w:val="005040A6"/>
    <w:rsid w:val="0052136D"/>
    <w:rsid w:val="005255F9"/>
    <w:rsid w:val="0052775E"/>
    <w:rsid w:val="005420F2"/>
    <w:rsid w:val="00547BDA"/>
    <w:rsid w:val="005628B6"/>
    <w:rsid w:val="00577770"/>
    <w:rsid w:val="00577915"/>
    <w:rsid w:val="005848B3"/>
    <w:rsid w:val="00590A14"/>
    <w:rsid w:val="00593E99"/>
    <w:rsid w:val="00597051"/>
    <w:rsid w:val="005B34D3"/>
    <w:rsid w:val="005B3A5A"/>
    <w:rsid w:val="005B3DB3"/>
    <w:rsid w:val="005D7178"/>
    <w:rsid w:val="005F7717"/>
    <w:rsid w:val="005F7B75"/>
    <w:rsid w:val="006001EE"/>
    <w:rsid w:val="00605042"/>
    <w:rsid w:val="00605288"/>
    <w:rsid w:val="00611FC4"/>
    <w:rsid w:val="006176FB"/>
    <w:rsid w:val="0063197C"/>
    <w:rsid w:val="00640B26"/>
    <w:rsid w:val="00652D0A"/>
    <w:rsid w:val="00662BB6"/>
    <w:rsid w:val="00665BA8"/>
    <w:rsid w:val="00671FEF"/>
    <w:rsid w:val="00684C21"/>
    <w:rsid w:val="006D37AF"/>
    <w:rsid w:val="006D4525"/>
    <w:rsid w:val="006D51D0"/>
    <w:rsid w:val="006E564B"/>
    <w:rsid w:val="006E7191"/>
    <w:rsid w:val="006F6B02"/>
    <w:rsid w:val="00703577"/>
    <w:rsid w:val="00707FB6"/>
    <w:rsid w:val="0072632A"/>
    <w:rsid w:val="007327D5"/>
    <w:rsid w:val="00740D0E"/>
    <w:rsid w:val="00757F6E"/>
    <w:rsid w:val="007613C3"/>
    <w:rsid w:val="007629C8"/>
    <w:rsid w:val="00793899"/>
    <w:rsid w:val="007B6BA5"/>
    <w:rsid w:val="007B7AB4"/>
    <w:rsid w:val="007C3390"/>
    <w:rsid w:val="007C4F4B"/>
    <w:rsid w:val="007C784F"/>
    <w:rsid w:val="007E0B2D"/>
    <w:rsid w:val="007F0358"/>
    <w:rsid w:val="007F6611"/>
    <w:rsid w:val="007F79E6"/>
    <w:rsid w:val="008010E5"/>
    <w:rsid w:val="0080184A"/>
    <w:rsid w:val="0081137B"/>
    <w:rsid w:val="00813F15"/>
    <w:rsid w:val="0081425B"/>
    <w:rsid w:val="008177F8"/>
    <w:rsid w:val="00822F54"/>
    <w:rsid w:val="008242D7"/>
    <w:rsid w:val="008244A8"/>
    <w:rsid w:val="008257B1"/>
    <w:rsid w:val="00843767"/>
    <w:rsid w:val="00847E53"/>
    <w:rsid w:val="00864C53"/>
    <w:rsid w:val="008679D9"/>
    <w:rsid w:val="0087353A"/>
    <w:rsid w:val="00883BD3"/>
    <w:rsid w:val="00886C93"/>
    <w:rsid w:val="008979B1"/>
    <w:rsid w:val="008A1DB2"/>
    <w:rsid w:val="008A6B25"/>
    <w:rsid w:val="008A6C4F"/>
    <w:rsid w:val="008B2335"/>
    <w:rsid w:val="008C2284"/>
    <w:rsid w:val="008C25A9"/>
    <w:rsid w:val="008D1724"/>
    <w:rsid w:val="008D30DE"/>
    <w:rsid w:val="008D3B59"/>
    <w:rsid w:val="008D5EB9"/>
    <w:rsid w:val="008D72B0"/>
    <w:rsid w:val="008E0678"/>
    <w:rsid w:val="008F1636"/>
    <w:rsid w:val="008F6296"/>
    <w:rsid w:val="00910F40"/>
    <w:rsid w:val="0091168A"/>
    <w:rsid w:val="00912C08"/>
    <w:rsid w:val="0091523A"/>
    <w:rsid w:val="009223CA"/>
    <w:rsid w:val="0092313E"/>
    <w:rsid w:val="00940F93"/>
    <w:rsid w:val="00945C09"/>
    <w:rsid w:val="00951269"/>
    <w:rsid w:val="0095347F"/>
    <w:rsid w:val="00971254"/>
    <w:rsid w:val="00972DB1"/>
    <w:rsid w:val="009760F3"/>
    <w:rsid w:val="009909F5"/>
    <w:rsid w:val="009A0E8D"/>
    <w:rsid w:val="009A4916"/>
    <w:rsid w:val="009B26E7"/>
    <w:rsid w:val="009B4123"/>
    <w:rsid w:val="009C5BB1"/>
    <w:rsid w:val="009E2CF9"/>
    <w:rsid w:val="009F384A"/>
    <w:rsid w:val="009F584B"/>
    <w:rsid w:val="00A00A3F"/>
    <w:rsid w:val="00A01489"/>
    <w:rsid w:val="00A31B6F"/>
    <w:rsid w:val="00A338F1"/>
    <w:rsid w:val="00A37D33"/>
    <w:rsid w:val="00A43CF5"/>
    <w:rsid w:val="00A533DE"/>
    <w:rsid w:val="00A5407A"/>
    <w:rsid w:val="00A552C4"/>
    <w:rsid w:val="00A609B0"/>
    <w:rsid w:val="00A64FD8"/>
    <w:rsid w:val="00A66E99"/>
    <w:rsid w:val="00A676F2"/>
    <w:rsid w:val="00A72F22"/>
    <w:rsid w:val="00A7360F"/>
    <w:rsid w:val="00A748A6"/>
    <w:rsid w:val="00A769F4"/>
    <w:rsid w:val="00A776B4"/>
    <w:rsid w:val="00A81EAD"/>
    <w:rsid w:val="00A83BBB"/>
    <w:rsid w:val="00A86E1D"/>
    <w:rsid w:val="00A87F1B"/>
    <w:rsid w:val="00A94361"/>
    <w:rsid w:val="00AA293C"/>
    <w:rsid w:val="00AB4AEB"/>
    <w:rsid w:val="00AC2E51"/>
    <w:rsid w:val="00AD123E"/>
    <w:rsid w:val="00AD767A"/>
    <w:rsid w:val="00AF0319"/>
    <w:rsid w:val="00B13E9B"/>
    <w:rsid w:val="00B30179"/>
    <w:rsid w:val="00B339A7"/>
    <w:rsid w:val="00B33A86"/>
    <w:rsid w:val="00B51F54"/>
    <w:rsid w:val="00B56E4A"/>
    <w:rsid w:val="00B56E9C"/>
    <w:rsid w:val="00B633FF"/>
    <w:rsid w:val="00B64B1F"/>
    <w:rsid w:val="00B6553F"/>
    <w:rsid w:val="00B66E5E"/>
    <w:rsid w:val="00B77D05"/>
    <w:rsid w:val="00B81206"/>
    <w:rsid w:val="00B81DFC"/>
    <w:rsid w:val="00B81E12"/>
    <w:rsid w:val="00B82486"/>
    <w:rsid w:val="00B9067B"/>
    <w:rsid w:val="00B96F20"/>
    <w:rsid w:val="00BB55E2"/>
    <w:rsid w:val="00BC2C23"/>
    <w:rsid w:val="00BC74E9"/>
    <w:rsid w:val="00BC7529"/>
    <w:rsid w:val="00BE0C8E"/>
    <w:rsid w:val="00BF5011"/>
    <w:rsid w:val="00BF68A8"/>
    <w:rsid w:val="00BF7AD3"/>
    <w:rsid w:val="00C045E0"/>
    <w:rsid w:val="00C11A03"/>
    <w:rsid w:val="00C21AB5"/>
    <w:rsid w:val="00C31678"/>
    <w:rsid w:val="00C43338"/>
    <w:rsid w:val="00C463DD"/>
    <w:rsid w:val="00C4724C"/>
    <w:rsid w:val="00C54B36"/>
    <w:rsid w:val="00C629A0"/>
    <w:rsid w:val="00C74122"/>
    <w:rsid w:val="00C745C3"/>
    <w:rsid w:val="00C773E8"/>
    <w:rsid w:val="00C82E93"/>
    <w:rsid w:val="00C96B26"/>
    <w:rsid w:val="00CD51F9"/>
    <w:rsid w:val="00CD5549"/>
    <w:rsid w:val="00CE0CB4"/>
    <w:rsid w:val="00CE4A8F"/>
    <w:rsid w:val="00CE5F40"/>
    <w:rsid w:val="00CF2B35"/>
    <w:rsid w:val="00CF498D"/>
    <w:rsid w:val="00D014AE"/>
    <w:rsid w:val="00D02D99"/>
    <w:rsid w:val="00D17EDA"/>
    <w:rsid w:val="00D2031B"/>
    <w:rsid w:val="00D23A44"/>
    <w:rsid w:val="00D25FE2"/>
    <w:rsid w:val="00D33AFA"/>
    <w:rsid w:val="00D403E0"/>
    <w:rsid w:val="00D43252"/>
    <w:rsid w:val="00D464BA"/>
    <w:rsid w:val="00D47EEA"/>
    <w:rsid w:val="00D56669"/>
    <w:rsid w:val="00D64D7D"/>
    <w:rsid w:val="00D750EC"/>
    <w:rsid w:val="00D761C4"/>
    <w:rsid w:val="00D84872"/>
    <w:rsid w:val="00D91F98"/>
    <w:rsid w:val="00D92F7A"/>
    <w:rsid w:val="00D95303"/>
    <w:rsid w:val="00D978C6"/>
    <w:rsid w:val="00DA0132"/>
    <w:rsid w:val="00DA3111"/>
    <w:rsid w:val="00DA3C1C"/>
    <w:rsid w:val="00DB023C"/>
    <w:rsid w:val="00DB0C79"/>
    <w:rsid w:val="00DB7D67"/>
    <w:rsid w:val="00DF4DCF"/>
    <w:rsid w:val="00DF64DD"/>
    <w:rsid w:val="00E0600B"/>
    <w:rsid w:val="00E06571"/>
    <w:rsid w:val="00E146D1"/>
    <w:rsid w:val="00E22E05"/>
    <w:rsid w:val="00E2493B"/>
    <w:rsid w:val="00E27346"/>
    <w:rsid w:val="00E378FB"/>
    <w:rsid w:val="00E43260"/>
    <w:rsid w:val="00E50D0C"/>
    <w:rsid w:val="00E51814"/>
    <w:rsid w:val="00E57BD8"/>
    <w:rsid w:val="00E71BC8"/>
    <w:rsid w:val="00E7260F"/>
    <w:rsid w:val="00E737DB"/>
    <w:rsid w:val="00E779FC"/>
    <w:rsid w:val="00E818E7"/>
    <w:rsid w:val="00E82263"/>
    <w:rsid w:val="00E853D0"/>
    <w:rsid w:val="00E96630"/>
    <w:rsid w:val="00EA4C9B"/>
    <w:rsid w:val="00EB2581"/>
    <w:rsid w:val="00ED14F3"/>
    <w:rsid w:val="00ED7A2A"/>
    <w:rsid w:val="00EF1D7F"/>
    <w:rsid w:val="00F00577"/>
    <w:rsid w:val="00F01272"/>
    <w:rsid w:val="00F1050C"/>
    <w:rsid w:val="00F20C3D"/>
    <w:rsid w:val="00F43E9E"/>
    <w:rsid w:val="00F55986"/>
    <w:rsid w:val="00F661BA"/>
    <w:rsid w:val="00F8714B"/>
    <w:rsid w:val="00F9057C"/>
    <w:rsid w:val="00F906D7"/>
    <w:rsid w:val="00F93781"/>
    <w:rsid w:val="00F93E0A"/>
    <w:rsid w:val="00F959A8"/>
    <w:rsid w:val="00FB613B"/>
    <w:rsid w:val="00FB6500"/>
    <w:rsid w:val="00FC2FDA"/>
    <w:rsid w:val="00FC68B7"/>
    <w:rsid w:val="00FC7B77"/>
    <w:rsid w:val="00FD3676"/>
    <w:rsid w:val="00FE106A"/>
    <w:rsid w:val="00FF17FC"/>
    <w:rsid w:val="00FF7295"/>
    <w:rsid w:val="00FF7D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DF6A8B"/>
  <w15:docId w15:val="{C417A8E7-C02B-4924-B75E-301F17B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semiHidden/>
    <w:unhideWhenUsed/>
    <w:rsid w:val="00BC7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7529"/>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00577"/>
    <w:pPr>
      <w:spacing w:line="240" w:lineRule="auto"/>
    </w:pPr>
    <w:rPr>
      <w:b/>
      <w:bCs/>
    </w:rPr>
  </w:style>
  <w:style w:type="character" w:customStyle="1" w:styleId="CommentTextChar">
    <w:name w:val="Comment Text Char"/>
    <w:basedOn w:val="DefaultParagraphFont"/>
    <w:link w:val="CommentText"/>
    <w:semiHidden/>
    <w:rsid w:val="00F00577"/>
    <w:rPr>
      <w:lang w:val="en-GB" w:eastAsia="en-US"/>
    </w:rPr>
  </w:style>
  <w:style w:type="character" w:customStyle="1" w:styleId="CommentSubjectChar">
    <w:name w:val="Comment Subject Char"/>
    <w:basedOn w:val="CommentTextChar"/>
    <w:link w:val="CommentSubject"/>
    <w:semiHidden/>
    <w:rsid w:val="00F00577"/>
    <w:rPr>
      <w:b/>
      <w:bCs/>
      <w:lang w:val="en-GB" w:eastAsia="en-US"/>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rsid w:val="009B4123"/>
    <w:rPr>
      <w:sz w:val="18"/>
      <w:lang w:val="en-GB" w:eastAsia="en-US"/>
    </w:rPr>
  </w:style>
  <w:style w:type="table" w:customStyle="1" w:styleId="TableGrid10">
    <w:name w:val="Table Grid1"/>
    <w:basedOn w:val="TableNormal"/>
    <w:next w:val="TableGrid"/>
    <w:rsid w:val="00FB650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064776"/>
    <w:rPr>
      <w:lang w:val="en-GB" w:eastAsia="en-US"/>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064776"/>
    <w:rPr>
      <w:rFonts w:eastAsia="SimSun"/>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A7D81-D975-4F3E-A7B6-C9723C072CDC}"/>
</file>

<file path=customXml/itemProps2.xml><?xml version="1.0" encoding="utf-8"?>
<ds:datastoreItem xmlns:ds="http://schemas.openxmlformats.org/officeDocument/2006/customXml" ds:itemID="{29F92765-6EF2-4335-B5EE-DFBDA3A01ACF}"/>
</file>

<file path=customXml/itemProps3.xml><?xml version="1.0" encoding="utf-8"?>
<ds:datastoreItem xmlns:ds="http://schemas.openxmlformats.org/officeDocument/2006/customXml" ds:itemID="{4BF5C099-28E3-4E68-8DA2-93DEA6E4A02D}"/>
</file>

<file path=customXml/itemProps4.xml><?xml version="1.0" encoding="utf-8"?>
<ds:datastoreItem xmlns:ds="http://schemas.openxmlformats.org/officeDocument/2006/customXml" ds:itemID="{4AE1967E-4023-448D-B192-7BF8764A5A50}"/>
</file>

<file path=docProps/app.xml><?xml version="1.0" encoding="utf-8"?>
<Properties xmlns="http://schemas.openxmlformats.org/officeDocument/2006/extended-properties" xmlns:vt="http://schemas.openxmlformats.org/officeDocument/2006/docPropsVTypes">
  <Template>Normal.dotm</Template>
  <TotalTime>40</TotalTime>
  <Pages>13</Pages>
  <Words>8310</Words>
  <Characters>47370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CCPR/C/125/DR/2034/2011</vt:lpstr>
    </vt:vector>
  </TitlesOfParts>
  <Company>CSD</Company>
  <LinksUpToDate>false</LinksUpToDate>
  <CharactersWithSpaces>55569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CCPR/C/125/DR/2034/2011</dc:title>
  <dc:subject>1904058</dc:subject>
  <dc:creator>Pauline Escalante</dc:creator>
  <cp:keywords>CCPR/C/106/D/1891/2009</cp:keywords>
  <dc:description>final</dc:description>
  <cp:lastModifiedBy>ABDELAZIM Mohamed</cp:lastModifiedBy>
  <cp:revision>9</cp:revision>
  <cp:lastPrinted>2019-01-03T11:20:00Z</cp:lastPrinted>
  <dcterms:created xsi:type="dcterms:W3CDTF">2019-04-03T12:52:00Z</dcterms:created>
  <dcterms:modified xsi:type="dcterms:W3CDTF">2019-04-11T13:58:00Z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