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511FEA" w14:paraId="51B21143" w14:textId="77777777" w:rsidTr="002B7BC7">
        <w:trPr>
          <w:trHeight w:hRule="exact" w:val="851"/>
        </w:trPr>
        <w:tc>
          <w:tcPr>
            <w:tcW w:w="1276" w:type="dxa"/>
            <w:tcBorders>
              <w:bottom w:val="single" w:sz="4" w:space="0" w:color="auto"/>
            </w:tcBorders>
          </w:tcPr>
          <w:p w14:paraId="6B1FCEC1" w14:textId="77777777" w:rsidR="006F71EA" w:rsidRPr="00511FEA" w:rsidRDefault="006F71EA" w:rsidP="00132866">
            <w:pPr>
              <w:rPr>
                <w:sz w:val="22"/>
                <w:szCs w:val="22"/>
              </w:rPr>
            </w:pPr>
          </w:p>
        </w:tc>
        <w:tc>
          <w:tcPr>
            <w:tcW w:w="2268" w:type="dxa"/>
            <w:tcBorders>
              <w:bottom w:val="single" w:sz="4" w:space="0" w:color="auto"/>
            </w:tcBorders>
            <w:vAlign w:val="bottom"/>
          </w:tcPr>
          <w:p w14:paraId="3E4BA2D9" w14:textId="77777777" w:rsidR="006F71EA" w:rsidRPr="00336A72" w:rsidRDefault="006F71EA" w:rsidP="002B7BC7">
            <w:pPr>
              <w:spacing w:after="80" w:line="300" w:lineRule="exact"/>
              <w:rPr>
                <w:sz w:val="28"/>
                <w:szCs w:val="28"/>
              </w:rPr>
            </w:pPr>
            <w:r w:rsidRPr="00336A72">
              <w:rPr>
                <w:sz w:val="28"/>
                <w:szCs w:val="28"/>
              </w:rPr>
              <w:t>Nations Unies</w:t>
            </w:r>
          </w:p>
        </w:tc>
        <w:tc>
          <w:tcPr>
            <w:tcW w:w="6095" w:type="dxa"/>
            <w:gridSpan w:val="2"/>
            <w:tcBorders>
              <w:bottom w:val="single" w:sz="4" w:space="0" w:color="auto"/>
            </w:tcBorders>
            <w:vAlign w:val="bottom"/>
          </w:tcPr>
          <w:p w14:paraId="76B3257D" w14:textId="58555C81" w:rsidR="006F71EA" w:rsidRPr="00857026" w:rsidRDefault="00857026" w:rsidP="00857026">
            <w:pPr>
              <w:jc w:val="right"/>
              <w:rPr>
                <w:szCs w:val="22"/>
              </w:rPr>
            </w:pPr>
            <w:r w:rsidRPr="00857026">
              <w:rPr>
                <w:sz w:val="40"/>
                <w:szCs w:val="40"/>
              </w:rPr>
              <w:t>CCPR</w:t>
            </w:r>
            <w:r>
              <w:rPr>
                <w:szCs w:val="40"/>
              </w:rPr>
              <w:t>/C/123/D/2662/2015</w:t>
            </w:r>
          </w:p>
        </w:tc>
      </w:tr>
      <w:tr w:rsidR="006F71EA" w:rsidRPr="00511FEA" w14:paraId="03FE00CE" w14:textId="77777777" w:rsidTr="00360426">
        <w:trPr>
          <w:trHeight w:hRule="exact" w:val="2835"/>
        </w:trPr>
        <w:tc>
          <w:tcPr>
            <w:tcW w:w="1276" w:type="dxa"/>
            <w:tcBorders>
              <w:top w:val="single" w:sz="4" w:space="0" w:color="auto"/>
              <w:bottom w:val="single" w:sz="12" w:space="0" w:color="auto"/>
            </w:tcBorders>
          </w:tcPr>
          <w:p w14:paraId="374D2410" w14:textId="77777777" w:rsidR="006F71EA" w:rsidRPr="00511FEA" w:rsidRDefault="006F71EA" w:rsidP="002B7BC7">
            <w:pPr>
              <w:spacing w:before="120"/>
              <w:jc w:val="center"/>
              <w:rPr>
                <w:sz w:val="22"/>
                <w:szCs w:val="22"/>
              </w:rPr>
            </w:pPr>
            <w:r w:rsidRPr="00511FEA">
              <w:rPr>
                <w:noProof/>
                <w:sz w:val="22"/>
                <w:szCs w:val="22"/>
                <w:lang w:val="en-GB" w:eastAsia="en-GB"/>
              </w:rPr>
              <w:drawing>
                <wp:inline distT="0" distB="0" distL="0" distR="0" wp14:anchorId="05A76056" wp14:editId="01276F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26091D8" w14:textId="77777777" w:rsidR="006F71EA" w:rsidRDefault="006F71EA" w:rsidP="002B7BC7">
            <w:pPr>
              <w:spacing w:before="120" w:line="380" w:lineRule="exact"/>
              <w:rPr>
                <w:b/>
                <w:sz w:val="34"/>
                <w:szCs w:val="34"/>
              </w:rPr>
            </w:pPr>
            <w:r w:rsidRPr="00336A72">
              <w:rPr>
                <w:b/>
                <w:sz w:val="34"/>
                <w:szCs w:val="34"/>
              </w:rPr>
              <w:t>Pacte international relatif</w:t>
            </w:r>
            <w:r w:rsidR="00132866" w:rsidRPr="00336A72">
              <w:rPr>
                <w:b/>
                <w:sz w:val="34"/>
                <w:szCs w:val="34"/>
              </w:rPr>
              <w:t xml:space="preserve"> </w:t>
            </w:r>
            <w:r w:rsidRPr="00336A72">
              <w:rPr>
                <w:b/>
                <w:sz w:val="34"/>
                <w:szCs w:val="34"/>
              </w:rPr>
              <w:br/>
              <w:t>aux droits civils et politiques</w:t>
            </w:r>
          </w:p>
          <w:p w14:paraId="256D42CB" w14:textId="63B0486F" w:rsidR="005A5D9C" w:rsidRPr="00336A72" w:rsidRDefault="005A5D9C" w:rsidP="002B7BC7">
            <w:pPr>
              <w:spacing w:before="120" w:line="380" w:lineRule="exact"/>
              <w:rPr>
                <w:b/>
                <w:sz w:val="34"/>
                <w:szCs w:val="34"/>
              </w:rPr>
            </w:pPr>
            <w:r>
              <w:rPr>
                <w:sz w:val="34"/>
                <w:szCs w:val="34"/>
              </w:rPr>
              <w:t>Version non éditée</w:t>
            </w:r>
          </w:p>
        </w:tc>
        <w:tc>
          <w:tcPr>
            <w:tcW w:w="2835" w:type="dxa"/>
            <w:tcBorders>
              <w:top w:val="single" w:sz="4" w:space="0" w:color="auto"/>
              <w:bottom w:val="single" w:sz="12" w:space="0" w:color="auto"/>
            </w:tcBorders>
          </w:tcPr>
          <w:p w14:paraId="6BA83C70" w14:textId="40E599D4" w:rsidR="006F71EA" w:rsidRPr="00944DC5" w:rsidRDefault="000D54B4" w:rsidP="002B7BC7">
            <w:pPr>
              <w:spacing w:before="240"/>
            </w:pPr>
            <w:proofErr w:type="spellStart"/>
            <w:r>
              <w:t>Distr</w:t>
            </w:r>
            <w:proofErr w:type="spellEnd"/>
            <w:r>
              <w:t xml:space="preserve">. </w:t>
            </w:r>
            <w:proofErr w:type="gramStart"/>
            <w:r w:rsidR="00E45E2B">
              <w:t>générale</w:t>
            </w:r>
            <w:proofErr w:type="gramEnd"/>
          </w:p>
          <w:p w14:paraId="30237499" w14:textId="67DDE64E" w:rsidR="00132866" w:rsidRDefault="00583A6D" w:rsidP="000D54B4">
            <w:pPr>
              <w:spacing w:line="240" w:lineRule="exact"/>
            </w:pPr>
            <w:r>
              <w:t>10 août</w:t>
            </w:r>
            <w:r w:rsidR="005C1217">
              <w:t xml:space="preserve"> </w:t>
            </w:r>
            <w:r w:rsidR="00B2083D">
              <w:t>2018</w:t>
            </w:r>
          </w:p>
          <w:p w14:paraId="5B3CD83D" w14:textId="77777777" w:rsidR="00E80E04" w:rsidRPr="00944DC5" w:rsidRDefault="00E80E04" w:rsidP="000D54B4">
            <w:pPr>
              <w:spacing w:line="240" w:lineRule="exact"/>
            </w:pPr>
          </w:p>
          <w:p w14:paraId="48408103" w14:textId="77777777" w:rsidR="00132866" w:rsidRDefault="00360426" w:rsidP="00132866">
            <w:pPr>
              <w:spacing w:line="240" w:lineRule="exact"/>
            </w:pPr>
            <w:r w:rsidRPr="00944DC5">
              <w:t>Original : français</w:t>
            </w:r>
          </w:p>
          <w:p w14:paraId="6DA23CA9" w14:textId="13D72D1F" w:rsidR="008F38C9" w:rsidRPr="00511FEA" w:rsidRDefault="008F38C9" w:rsidP="00132866">
            <w:pPr>
              <w:spacing w:line="240" w:lineRule="exact"/>
              <w:rPr>
                <w:sz w:val="22"/>
                <w:szCs w:val="22"/>
              </w:rPr>
            </w:pPr>
          </w:p>
        </w:tc>
      </w:tr>
    </w:tbl>
    <w:p w14:paraId="42719768" w14:textId="77777777" w:rsidR="00C13AD4" w:rsidRDefault="00C13AD4" w:rsidP="00C13AD4">
      <w:pPr>
        <w:spacing w:before="120"/>
        <w:rPr>
          <w:b/>
          <w:sz w:val="24"/>
          <w:szCs w:val="24"/>
        </w:rPr>
      </w:pPr>
      <w:r w:rsidRPr="0076687F">
        <w:rPr>
          <w:b/>
          <w:sz w:val="24"/>
          <w:szCs w:val="24"/>
        </w:rPr>
        <w:t>Comité des droits de l’homme</w:t>
      </w:r>
    </w:p>
    <w:p w14:paraId="45A4271A" w14:textId="5E086C78" w:rsidR="00C13AD4" w:rsidRPr="00B545B7" w:rsidRDefault="00C13AD4" w:rsidP="00C13AD4">
      <w:pPr>
        <w:rPr>
          <w:b/>
          <w:bCs/>
        </w:rPr>
      </w:pPr>
    </w:p>
    <w:p w14:paraId="457CEEB5" w14:textId="5AE23673" w:rsidR="00C13AD4" w:rsidRPr="0076687F" w:rsidRDefault="00C13AD4" w:rsidP="00C13AD4">
      <w:pPr>
        <w:pStyle w:val="HChG"/>
        <w:rPr>
          <w:szCs w:val="28"/>
        </w:rPr>
      </w:pPr>
      <w:r w:rsidRPr="00511FEA">
        <w:rPr>
          <w:sz w:val="22"/>
          <w:szCs w:val="22"/>
        </w:rPr>
        <w:tab/>
      </w:r>
      <w:r w:rsidRPr="00511FEA">
        <w:rPr>
          <w:sz w:val="22"/>
          <w:szCs w:val="22"/>
        </w:rPr>
        <w:tab/>
      </w:r>
      <w:r w:rsidR="0041079B">
        <w:rPr>
          <w:szCs w:val="28"/>
        </w:rPr>
        <w:t>Constatations</w:t>
      </w:r>
      <w:r w:rsidR="00E45E2B">
        <w:rPr>
          <w:szCs w:val="28"/>
        </w:rPr>
        <w:t xml:space="preserve"> adoptée</w:t>
      </w:r>
      <w:r w:rsidR="0041079B">
        <w:rPr>
          <w:szCs w:val="28"/>
        </w:rPr>
        <w:t>s</w:t>
      </w:r>
      <w:r w:rsidR="00E45E2B">
        <w:rPr>
          <w:szCs w:val="28"/>
        </w:rPr>
        <w:t xml:space="preserve"> par le Comité en vertu du Protocol facultatif se rapportant au Pacte concernant la c</w:t>
      </w:r>
      <w:r w:rsidRPr="0076687F">
        <w:rPr>
          <w:szCs w:val="28"/>
        </w:rPr>
        <w:t>ommunication n</w:t>
      </w:r>
      <w:r w:rsidRPr="0076687F">
        <w:rPr>
          <w:szCs w:val="28"/>
          <w:vertAlign w:val="superscript"/>
        </w:rPr>
        <w:t>o</w:t>
      </w:r>
      <w:r w:rsidR="0041214D">
        <w:rPr>
          <w:szCs w:val="28"/>
        </w:rPr>
        <w:t> </w:t>
      </w:r>
      <w:r w:rsidR="00D81584">
        <w:rPr>
          <w:szCs w:val="28"/>
        </w:rPr>
        <w:t>2662/2015</w:t>
      </w:r>
      <w:r w:rsidR="00F508ED" w:rsidRPr="000F2FA1">
        <w:rPr>
          <w:rStyle w:val="FootnoteReference"/>
          <w:sz w:val="20"/>
          <w:szCs w:val="28"/>
          <w:vertAlign w:val="baseline"/>
        </w:rPr>
        <w:footnoteReference w:customMarkFollows="1" w:id="2"/>
        <w:t>*</w:t>
      </w:r>
      <w:r w:rsidR="00F508ED">
        <w:rPr>
          <w:rStyle w:val="FootnoteReference"/>
          <w:sz w:val="20"/>
          <w:szCs w:val="28"/>
          <w:vertAlign w:val="baseline"/>
        </w:rPr>
        <w:t>,</w:t>
      </w:r>
      <w:r w:rsidR="00F508ED" w:rsidRPr="000F2FA1">
        <w:rPr>
          <w:rStyle w:val="FootnoteReference"/>
          <w:sz w:val="20"/>
          <w:szCs w:val="28"/>
          <w:vertAlign w:val="baseline"/>
        </w:rPr>
        <w:footnoteReference w:customMarkFollows="1" w:id="3"/>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52"/>
        <w:gridCol w:w="4318"/>
      </w:tblGrid>
      <w:tr w:rsidR="000A047D" w:rsidRPr="0076687F" w14:paraId="6A449610" w14:textId="77777777" w:rsidTr="003347E5">
        <w:tc>
          <w:tcPr>
            <w:tcW w:w="3052" w:type="dxa"/>
          </w:tcPr>
          <w:p w14:paraId="4191CCBD" w14:textId="77777777" w:rsidR="000A047D" w:rsidRPr="0076687F" w:rsidRDefault="000A047D" w:rsidP="000A047D">
            <w:pPr>
              <w:pStyle w:val="SingleTxtG"/>
              <w:ind w:left="0" w:right="0"/>
              <w:jc w:val="left"/>
              <w:rPr>
                <w:i/>
              </w:rPr>
            </w:pPr>
            <w:r w:rsidRPr="0076687F">
              <w:rPr>
                <w:i/>
              </w:rPr>
              <w:t>Communication présentée par</w:t>
            </w:r>
            <w:r w:rsidRPr="0076687F">
              <w:t> :</w:t>
            </w:r>
          </w:p>
        </w:tc>
        <w:tc>
          <w:tcPr>
            <w:tcW w:w="4318" w:type="dxa"/>
          </w:tcPr>
          <w:p w14:paraId="116852FE" w14:textId="77777777" w:rsidR="000A047D" w:rsidRPr="0076687F" w:rsidRDefault="00D81584" w:rsidP="00A966F3">
            <w:pPr>
              <w:pStyle w:val="SingleTxtG"/>
              <w:ind w:left="0" w:right="0"/>
              <w:jc w:val="left"/>
            </w:pPr>
            <w:r>
              <w:t>F.A</w:t>
            </w:r>
            <w:r w:rsidR="005A74F1" w:rsidRPr="0076687F">
              <w:t>.</w:t>
            </w:r>
            <w:r>
              <w:t xml:space="preserve"> (représenté</w:t>
            </w:r>
            <w:r w:rsidR="0053200F">
              <w:t>e</w:t>
            </w:r>
            <w:r>
              <w:t xml:space="preserve"> par </w:t>
            </w:r>
            <w:r w:rsidR="00A966F3">
              <w:t xml:space="preserve">deux </w:t>
            </w:r>
            <w:r>
              <w:t>conseil</w:t>
            </w:r>
            <w:r w:rsidR="00A966F3">
              <w:t xml:space="preserve">s, Claire </w:t>
            </w:r>
            <w:proofErr w:type="spellStart"/>
            <w:r w:rsidR="00A966F3">
              <w:t>Waquet</w:t>
            </w:r>
            <w:proofErr w:type="spellEnd"/>
            <w:r w:rsidR="00A966F3">
              <w:t xml:space="preserve"> et Michel </w:t>
            </w:r>
            <w:proofErr w:type="spellStart"/>
            <w:r w:rsidR="00A966F3">
              <w:t>Henry.</w:t>
            </w:r>
            <w:r w:rsidR="00A966F3" w:rsidRPr="0076687F">
              <w:t>W.K</w:t>
            </w:r>
            <w:proofErr w:type="spellEnd"/>
            <w:r w:rsidR="000A047D" w:rsidRPr="0076687F">
              <w:t>)</w:t>
            </w:r>
          </w:p>
        </w:tc>
      </w:tr>
      <w:tr w:rsidR="000A047D" w:rsidRPr="0076687F" w14:paraId="3B98C6DC" w14:textId="77777777" w:rsidTr="003347E5">
        <w:tc>
          <w:tcPr>
            <w:tcW w:w="3052" w:type="dxa"/>
          </w:tcPr>
          <w:p w14:paraId="643DE211" w14:textId="77777777" w:rsidR="000A047D" w:rsidRPr="0076687F" w:rsidRDefault="000A047D" w:rsidP="000A047D">
            <w:pPr>
              <w:pStyle w:val="SingleTxtG"/>
              <w:ind w:left="0" w:right="0"/>
              <w:jc w:val="left"/>
              <w:rPr>
                <w:i/>
              </w:rPr>
            </w:pPr>
            <w:r w:rsidRPr="0076687F">
              <w:rPr>
                <w:i/>
              </w:rPr>
              <w:t>Au nom de</w:t>
            </w:r>
            <w:r w:rsidRPr="0076687F">
              <w:t> :</w:t>
            </w:r>
          </w:p>
        </w:tc>
        <w:tc>
          <w:tcPr>
            <w:tcW w:w="4318" w:type="dxa"/>
          </w:tcPr>
          <w:p w14:paraId="3516827D" w14:textId="77777777" w:rsidR="000A047D" w:rsidRPr="0076687F" w:rsidRDefault="000A047D" w:rsidP="000A047D">
            <w:pPr>
              <w:pStyle w:val="SingleTxtG"/>
              <w:ind w:left="0" w:right="0"/>
              <w:jc w:val="left"/>
            </w:pPr>
            <w:r w:rsidRPr="0076687F">
              <w:t>L’auteur</w:t>
            </w:r>
            <w:r w:rsidR="00D81584">
              <w:t>e</w:t>
            </w:r>
          </w:p>
        </w:tc>
      </w:tr>
      <w:tr w:rsidR="000A047D" w:rsidRPr="0076687F" w14:paraId="42703137" w14:textId="77777777" w:rsidTr="003347E5">
        <w:tc>
          <w:tcPr>
            <w:tcW w:w="3052" w:type="dxa"/>
          </w:tcPr>
          <w:p w14:paraId="6F11AA67" w14:textId="77777777" w:rsidR="000A047D" w:rsidRPr="0076687F" w:rsidRDefault="000A047D" w:rsidP="000A047D">
            <w:pPr>
              <w:pStyle w:val="SingleTxtG"/>
              <w:ind w:left="0" w:right="0"/>
              <w:jc w:val="left"/>
              <w:rPr>
                <w:i/>
              </w:rPr>
            </w:pPr>
            <w:r w:rsidRPr="0076687F">
              <w:rPr>
                <w:i/>
              </w:rPr>
              <w:t>État partie</w:t>
            </w:r>
            <w:r w:rsidRPr="0076687F">
              <w:t> :</w:t>
            </w:r>
          </w:p>
        </w:tc>
        <w:tc>
          <w:tcPr>
            <w:tcW w:w="4318" w:type="dxa"/>
          </w:tcPr>
          <w:p w14:paraId="13C3325F" w14:textId="5C9BABD5" w:rsidR="000A047D" w:rsidRPr="0076687F" w:rsidRDefault="005A5D9C" w:rsidP="000A047D">
            <w:pPr>
              <w:pStyle w:val="SingleTxtG"/>
              <w:ind w:left="0" w:right="0"/>
              <w:jc w:val="left"/>
            </w:pPr>
            <w:r>
              <w:t>France</w:t>
            </w:r>
          </w:p>
        </w:tc>
      </w:tr>
      <w:tr w:rsidR="000A047D" w:rsidRPr="0076687F" w14:paraId="7C9B8465" w14:textId="77777777" w:rsidTr="003347E5">
        <w:tc>
          <w:tcPr>
            <w:tcW w:w="3052" w:type="dxa"/>
          </w:tcPr>
          <w:p w14:paraId="651CE87D" w14:textId="77777777" w:rsidR="000A047D" w:rsidRPr="0076687F" w:rsidRDefault="000A047D" w:rsidP="000A047D">
            <w:pPr>
              <w:pStyle w:val="SingleTxtG"/>
              <w:ind w:left="0" w:right="0"/>
              <w:jc w:val="left"/>
              <w:rPr>
                <w:i/>
              </w:rPr>
            </w:pPr>
            <w:r w:rsidRPr="0076687F">
              <w:rPr>
                <w:i/>
              </w:rPr>
              <w:t>Date de la communication</w:t>
            </w:r>
            <w:r w:rsidRPr="0076687F">
              <w:t> :</w:t>
            </w:r>
          </w:p>
        </w:tc>
        <w:tc>
          <w:tcPr>
            <w:tcW w:w="4318" w:type="dxa"/>
          </w:tcPr>
          <w:p w14:paraId="210FF7A0" w14:textId="77777777" w:rsidR="000A047D" w:rsidRPr="0076687F" w:rsidRDefault="00D81584" w:rsidP="00D81584">
            <w:pPr>
              <w:pStyle w:val="SingleTxtG"/>
              <w:ind w:left="0" w:right="0"/>
              <w:jc w:val="left"/>
            </w:pPr>
            <w:r>
              <w:t>18 juin 2015</w:t>
            </w:r>
          </w:p>
        </w:tc>
      </w:tr>
      <w:tr w:rsidR="000A047D" w:rsidRPr="0076687F" w14:paraId="6577B1C7" w14:textId="77777777" w:rsidTr="003347E5">
        <w:tc>
          <w:tcPr>
            <w:tcW w:w="3052" w:type="dxa"/>
          </w:tcPr>
          <w:p w14:paraId="75331DA2" w14:textId="77777777" w:rsidR="000A047D" w:rsidRPr="0076687F" w:rsidRDefault="000A047D" w:rsidP="000A047D">
            <w:pPr>
              <w:pStyle w:val="SingleTxtG"/>
              <w:ind w:left="0" w:right="0"/>
              <w:jc w:val="left"/>
              <w:rPr>
                <w:i/>
              </w:rPr>
            </w:pPr>
            <w:r w:rsidRPr="0076687F">
              <w:rPr>
                <w:i/>
              </w:rPr>
              <w:t>Références</w:t>
            </w:r>
            <w:r w:rsidRPr="0076687F">
              <w:t> :</w:t>
            </w:r>
          </w:p>
        </w:tc>
        <w:tc>
          <w:tcPr>
            <w:tcW w:w="4318" w:type="dxa"/>
            <w:vAlign w:val="bottom"/>
          </w:tcPr>
          <w:p w14:paraId="4504D54D" w14:textId="0614520A" w:rsidR="000A047D" w:rsidRPr="0076687F" w:rsidRDefault="0041079B" w:rsidP="00D81584">
            <w:pPr>
              <w:pStyle w:val="SingleTxtG"/>
              <w:ind w:left="0" w:right="0"/>
              <w:jc w:val="left"/>
            </w:pPr>
            <w:r>
              <w:t>Constatations</w:t>
            </w:r>
            <w:r w:rsidR="000A047D" w:rsidRPr="0076687F">
              <w:t xml:space="preserve"> pr</w:t>
            </w:r>
            <w:r w:rsidR="00855C5D" w:rsidRPr="0076687F">
              <w:t>ise</w:t>
            </w:r>
            <w:r>
              <w:t>s</w:t>
            </w:r>
            <w:r w:rsidR="00855C5D" w:rsidRPr="0076687F">
              <w:t xml:space="preserve"> en application de l’article </w:t>
            </w:r>
            <w:r w:rsidR="000A047D" w:rsidRPr="0076687F">
              <w:t>97 du règlement intérieur, communiquée</w:t>
            </w:r>
            <w:r>
              <w:t>s</w:t>
            </w:r>
            <w:r w:rsidR="000A047D" w:rsidRPr="0076687F">
              <w:t xml:space="preserve"> à l’État partie le</w:t>
            </w:r>
            <w:r w:rsidR="00855C5D" w:rsidRPr="0076687F">
              <w:t xml:space="preserve"> </w:t>
            </w:r>
            <w:r w:rsidR="00534254">
              <w:t>2 </w:t>
            </w:r>
            <w:r w:rsidR="00D81584">
              <w:t>novembre 2015</w:t>
            </w:r>
            <w:r w:rsidR="000A047D" w:rsidRPr="0076687F">
              <w:t xml:space="preserve"> (non publiée</w:t>
            </w:r>
            <w:r>
              <w:t>s</w:t>
            </w:r>
            <w:r w:rsidR="000A047D" w:rsidRPr="0076687F">
              <w:t xml:space="preserve"> sous forme de document)</w:t>
            </w:r>
          </w:p>
        </w:tc>
      </w:tr>
      <w:tr w:rsidR="000A047D" w:rsidRPr="0076687F" w14:paraId="14FF002A" w14:textId="77777777" w:rsidTr="003347E5">
        <w:tc>
          <w:tcPr>
            <w:tcW w:w="3052" w:type="dxa"/>
          </w:tcPr>
          <w:p w14:paraId="3BEC1215" w14:textId="77777777" w:rsidR="000A047D" w:rsidRPr="0076687F" w:rsidRDefault="000A047D" w:rsidP="000A047D">
            <w:pPr>
              <w:pStyle w:val="SingleTxtG"/>
              <w:ind w:left="0" w:right="0"/>
              <w:jc w:val="left"/>
            </w:pPr>
            <w:r w:rsidRPr="0076687F">
              <w:rPr>
                <w:i/>
              </w:rPr>
              <w:t>Date des constatations</w:t>
            </w:r>
            <w:r w:rsidRPr="0076687F">
              <w:t> :</w:t>
            </w:r>
          </w:p>
        </w:tc>
        <w:tc>
          <w:tcPr>
            <w:tcW w:w="4318" w:type="dxa"/>
            <w:vAlign w:val="bottom"/>
          </w:tcPr>
          <w:p w14:paraId="6A7E93F5" w14:textId="3BFFA319" w:rsidR="000A047D" w:rsidRPr="0076687F" w:rsidRDefault="00E45E2B" w:rsidP="00D81584">
            <w:pPr>
              <w:pStyle w:val="SingleTxtG"/>
              <w:ind w:left="0" w:right="0"/>
              <w:jc w:val="left"/>
            </w:pPr>
            <w:r>
              <w:t xml:space="preserve">16 </w:t>
            </w:r>
            <w:r w:rsidR="00D81584">
              <w:t>juillet</w:t>
            </w:r>
            <w:r w:rsidR="00C13AD4" w:rsidRPr="0076687F">
              <w:t xml:space="preserve"> 2018</w:t>
            </w:r>
          </w:p>
        </w:tc>
      </w:tr>
      <w:tr w:rsidR="000A047D" w:rsidRPr="0076687F" w14:paraId="45E79953" w14:textId="77777777" w:rsidTr="003347E5">
        <w:tc>
          <w:tcPr>
            <w:tcW w:w="3052" w:type="dxa"/>
          </w:tcPr>
          <w:p w14:paraId="15B5FCCA" w14:textId="77777777" w:rsidR="000A047D" w:rsidRPr="0076687F" w:rsidRDefault="000A047D" w:rsidP="000A047D">
            <w:pPr>
              <w:pStyle w:val="SingleTxtG"/>
              <w:ind w:left="0" w:right="0"/>
              <w:jc w:val="left"/>
            </w:pPr>
            <w:r w:rsidRPr="0076687F">
              <w:rPr>
                <w:i/>
              </w:rPr>
              <w:t>Objet</w:t>
            </w:r>
            <w:r w:rsidRPr="0076687F">
              <w:t> :</w:t>
            </w:r>
          </w:p>
        </w:tc>
        <w:tc>
          <w:tcPr>
            <w:tcW w:w="4318" w:type="dxa"/>
            <w:vAlign w:val="bottom"/>
          </w:tcPr>
          <w:p w14:paraId="01AF8756" w14:textId="77777777" w:rsidR="000A047D" w:rsidRPr="0076687F" w:rsidRDefault="00D81584" w:rsidP="00A5115E">
            <w:pPr>
              <w:pStyle w:val="SingleTxtG"/>
              <w:ind w:left="0" w:right="0"/>
              <w:jc w:val="left"/>
            </w:pPr>
            <w:r>
              <w:t xml:space="preserve">Interdiction du port d’un voile dans le lieu </w:t>
            </w:r>
            <w:r w:rsidR="00A5115E">
              <w:t xml:space="preserve">de </w:t>
            </w:r>
            <w:r>
              <w:t>travail</w:t>
            </w:r>
          </w:p>
        </w:tc>
      </w:tr>
      <w:tr w:rsidR="000A047D" w:rsidRPr="0076687F" w14:paraId="26C285C8" w14:textId="77777777" w:rsidTr="003347E5">
        <w:tc>
          <w:tcPr>
            <w:tcW w:w="3052" w:type="dxa"/>
          </w:tcPr>
          <w:p w14:paraId="60F1F000" w14:textId="77777777" w:rsidR="000A047D" w:rsidRPr="0076687F" w:rsidRDefault="000A047D" w:rsidP="000A047D">
            <w:pPr>
              <w:pStyle w:val="SingleTxtG"/>
              <w:ind w:left="0" w:right="0"/>
              <w:jc w:val="left"/>
            </w:pPr>
            <w:r w:rsidRPr="0076687F">
              <w:rPr>
                <w:i/>
              </w:rPr>
              <w:t>Question(s) de procédure </w:t>
            </w:r>
            <w:r w:rsidRPr="0076687F">
              <w:t>:</w:t>
            </w:r>
          </w:p>
        </w:tc>
        <w:tc>
          <w:tcPr>
            <w:tcW w:w="4318" w:type="dxa"/>
            <w:vAlign w:val="bottom"/>
          </w:tcPr>
          <w:p w14:paraId="3C912198" w14:textId="77777777" w:rsidR="000A047D" w:rsidRPr="0076687F" w:rsidRDefault="000A047D" w:rsidP="000A047D">
            <w:pPr>
              <w:pStyle w:val="SingleTxtG"/>
              <w:ind w:left="0" w:right="0"/>
              <w:jc w:val="left"/>
            </w:pPr>
          </w:p>
        </w:tc>
      </w:tr>
      <w:tr w:rsidR="000A047D" w:rsidRPr="0076687F" w14:paraId="713D8832" w14:textId="77777777" w:rsidTr="003347E5">
        <w:tc>
          <w:tcPr>
            <w:tcW w:w="3052" w:type="dxa"/>
          </w:tcPr>
          <w:p w14:paraId="0F932107" w14:textId="77777777" w:rsidR="000A047D" w:rsidRPr="0076687F" w:rsidRDefault="000A047D" w:rsidP="000A047D">
            <w:pPr>
              <w:pStyle w:val="SingleTxtG"/>
              <w:ind w:left="0" w:right="0"/>
              <w:jc w:val="left"/>
            </w:pPr>
            <w:r w:rsidRPr="0076687F">
              <w:rPr>
                <w:i/>
              </w:rPr>
              <w:t>Question(s) de fond </w:t>
            </w:r>
            <w:r w:rsidRPr="0076687F">
              <w:t>:</w:t>
            </w:r>
          </w:p>
        </w:tc>
        <w:tc>
          <w:tcPr>
            <w:tcW w:w="4318" w:type="dxa"/>
            <w:vAlign w:val="bottom"/>
          </w:tcPr>
          <w:p w14:paraId="1A66B514" w14:textId="77777777" w:rsidR="000A047D" w:rsidRPr="0076687F" w:rsidRDefault="00996E02" w:rsidP="00A5115E">
            <w:pPr>
              <w:pStyle w:val="SingleTxtG"/>
              <w:ind w:left="0" w:right="0"/>
              <w:jc w:val="left"/>
            </w:pPr>
            <w:r>
              <w:t>Liberté de</w:t>
            </w:r>
            <w:r w:rsidR="007F64FB">
              <w:t xml:space="preserve"> manifester sa</w:t>
            </w:r>
            <w:r>
              <w:t xml:space="preserve"> religion, discrimination en raison de </w:t>
            </w:r>
            <w:r w:rsidR="00A5115E">
              <w:t xml:space="preserve">la </w:t>
            </w:r>
            <w:r>
              <w:t xml:space="preserve">religion et </w:t>
            </w:r>
            <w:r w:rsidR="00A5115E">
              <w:t xml:space="preserve">du </w:t>
            </w:r>
            <w:r>
              <w:t>genre</w:t>
            </w:r>
          </w:p>
        </w:tc>
      </w:tr>
      <w:tr w:rsidR="000A047D" w:rsidRPr="0076687F" w14:paraId="60CB5589" w14:textId="77777777" w:rsidTr="003347E5">
        <w:tc>
          <w:tcPr>
            <w:tcW w:w="3052" w:type="dxa"/>
          </w:tcPr>
          <w:p w14:paraId="609ECE63" w14:textId="77777777" w:rsidR="000A047D" w:rsidRPr="0076687F" w:rsidRDefault="000A047D" w:rsidP="000A047D">
            <w:pPr>
              <w:pStyle w:val="SingleTxtG"/>
              <w:ind w:left="0" w:right="0"/>
              <w:jc w:val="left"/>
            </w:pPr>
            <w:r w:rsidRPr="0076687F">
              <w:rPr>
                <w:i/>
              </w:rPr>
              <w:t>Article(s) du Pacte</w:t>
            </w:r>
            <w:r w:rsidRPr="0076687F">
              <w:t> :</w:t>
            </w:r>
          </w:p>
        </w:tc>
        <w:tc>
          <w:tcPr>
            <w:tcW w:w="4318" w:type="dxa"/>
            <w:vAlign w:val="bottom"/>
          </w:tcPr>
          <w:p w14:paraId="47609F48" w14:textId="77777777" w:rsidR="000A047D" w:rsidRPr="0076687F" w:rsidRDefault="00996E02" w:rsidP="000A047D">
            <w:pPr>
              <w:pStyle w:val="SingleTxtG"/>
              <w:ind w:left="0" w:right="0"/>
              <w:jc w:val="left"/>
            </w:pPr>
            <w:r>
              <w:t>18 et 26</w:t>
            </w:r>
          </w:p>
        </w:tc>
      </w:tr>
      <w:tr w:rsidR="000A047D" w:rsidRPr="0076687F" w14:paraId="7A557755" w14:textId="77777777" w:rsidTr="003347E5">
        <w:tc>
          <w:tcPr>
            <w:tcW w:w="3052" w:type="dxa"/>
          </w:tcPr>
          <w:p w14:paraId="739D5470" w14:textId="77777777" w:rsidR="000A047D" w:rsidRPr="0076687F" w:rsidRDefault="000A047D" w:rsidP="000A047D">
            <w:pPr>
              <w:pStyle w:val="SingleTxtG"/>
              <w:ind w:left="0" w:right="0"/>
              <w:jc w:val="left"/>
            </w:pPr>
            <w:r w:rsidRPr="0076687F">
              <w:rPr>
                <w:i/>
              </w:rPr>
              <w:t>Article(s) du Protocole facultatif</w:t>
            </w:r>
            <w:r w:rsidRPr="0076687F">
              <w:t> :</w:t>
            </w:r>
          </w:p>
        </w:tc>
        <w:tc>
          <w:tcPr>
            <w:tcW w:w="4318" w:type="dxa"/>
            <w:vAlign w:val="bottom"/>
          </w:tcPr>
          <w:p w14:paraId="75BD4D90" w14:textId="77777777" w:rsidR="000A047D" w:rsidRPr="0076687F" w:rsidRDefault="000A047D" w:rsidP="000A047D">
            <w:pPr>
              <w:pStyle w:val="SingleTxtG"/>
              <w:ind w:left="0" w:right="0"/>
              <w:jc w:val="left"/>
            </w:pPr>
            <w:r w:rsidRPr="00194F64">
              <w:t>2</w:t>
            </w:r>
          </w:p>
        </w:tc>
      </w:tr>
    </w:tbl>
    <w:p w14:paraId="348F8DD3" w14:textId="77777777" w:rsidR="000A047D" w:rsidRPr="0076687F" w:rsidRDefault="000A047D" w:rsidP="000A047D">
      <w:pPr>
        <w:pStyle w:val="SingleTxtG"/>
      </w:pPr>
      <w:r w:rsidRPr="0076687F">
        <w:t>1.</w:t>
      </w:r>
      <w:r w:rsidRPr="0076687F">
        <w:tab/>
      </w:r>
      <w:r w:rsidR="005A3939">
        <w:t>L’auteure de la communication</w:t>
      </w:r>
      <w:r w:rsidR="00A966F3">
        <w:t xml:space="preserve"> </w:t>
      </w:r>
      <w:r w:rsidR="005A3939">
        <w:t>est F.A., de nationalité marocaine, née en 1969. Elle</w:t>
      </w:r>
      <w:r w:rsidR="00A966F3">
        <w:t xml:space="preserve"> affirme que l’État partie a violé les droits qu</w:t>
      </w:r>
      <w:r w:rsidR="007371A3">
        <w:t>’</w:t>
      </w:r>
      <w:r w:rsidR="00A966F3">
        <w:t xml:space="preserve">elle tient des articles </w:t>
      </w:r>
      <w:r w:rsidR="005A3939">
        <w:t>18 et 26 du P</w:t>
      </w:r>
      <w:r w:rsidR="00DA7417">
        <w:t>acte. Elle est représentée par l</w:t>
      </w:r>
      <w:r w:rsidR="005A3939">
        <w:t xml:space="preserve">es avocats Claire </w:t>
      </w:r>
      <w:proofErr w:type="spellStart"/>
      <w:r w:rsidR="005A3939">
        <w:t>Waquet</w:t>
      </w:r>
      <w:proofErr w:type="spellEnd"/>
      <w:r w:rsidR="005A3939">
        <w:t xml:space="preserve"> et Michel </w:t>
      </w:r>
      <w:proofErr w:type="spellStart"/>
      <w:r w:rsidR="005A3939">
        <w:t>Henry.</w:t>
      </w:r>
      <w:r w:rsidR="00656650" w:rsidRPr="0076687F">
        <w:t>W</w:t>
      </w:r>
      <w:r w:rsidR="005A74F1" w:rsidRPr="0076687F">
        <w:t>.</w:t>
      </w:r>
      <w:r w:rsidR="00656650" w:rsidRPr="0076687F">
        <w:t>K</w:t>
      </w:r>
      <w:proofErr w:type="spellEnd"/>
      <w:r w:rsidRPr="0076687F">
        <w:t>.</w:t>
      </w:r>
      <w:r w:rsidR="00A966F3">
        <w:t xml:space="preserve"> Le Protocol facultatif est entré en vigueur pour l’État partie le 17 mai 1984.</w:t>
      </w:r>
    </w:p>
    <w:p w14:paraId="0240ACED" w14:textId="77777777" w:rsidR="000A047D" w:rsidRPr="0076687F" w:rsidRDefault="000A047D" w:rsidP="00DA6F78">
      <w:pPr>
        <w:pStyle w:val="H23G"/>
      </w:pPr>
      <w:r w:rsidRPr="0076687F">
        <w:tab/>
      </w:r>
      <w:r w:rsidRPr="0076687F">
        <w:tab/>
      </w:r>
      <w:r w:rsidR="00656650" w:rsidRPr="0076687F">
        <w:t>Rappel des faits tels que présentés par l’auteur</w:t>
      </w:r>
      <w:r w:rsidR="005A3939">
        <w:t>e</w:t>
      </w:r>
    </w:p>
    <w:p w14:paraId="0636A857" w14:textId="77777777" w:rsidR="005A3939" w:rsidRDefault="005A3939" w:rsidP="005A3939">
      <w:pPr>
        <w:pStyle w:val="SingleTxtG"/>
      </w:pPr>
      <w:r>
        <w:t>2.1</w:t>
      </w:r>
      <w:r w:rsidR="0008169D">
        <w:tab/>
      </w:r>
      <w:r>
        <w:t xml:space="preserve">L’auteure travaillait </w:t>
      </w:r>
      <w:r w:rsidR="00DA7417">
        <w:t xml:space="preserve">depuis 1991 comme éducatrice </w:t>
      </w:r>
      <w:r w:rsidR="009B17EF" w:rsidRPr="00AB62B7">
        <w:t>de</w:t>
      </w:r>
      <w:r w:rsidR="003D167A">
        <w:t xml:space="preserve"> jeunes </w:t>
      </w:r>
      <w:r w:rsidR="009B17EF">
        <w:t>enfants dans</w:t>
      </w:r>
      <w:r w:rsidR="003D167A">
        <w:t xml:space="preserve"> une crèche établie par une </w:t>
      </w:r>
      <w:r>
        <w:t>a</w:t>
      </w:r>
      <w:r w:rsidR="009B17EF">
        <w:t xml:space="preserve">ssociation privée. </w:t>
      </w:r>
      <w:r w:rsidR="00EE37C4">
        <w:t>En raison de ses convictions religieuses, elle</w:t>
      </w:r>
      <w:r w:rsidR="002D6D8B">
        <w:t xml:space="preserve"> a</w:t>
      </w:r>
      <w:r w:rsidR="00E317E9">
        <w:t>, depuis 1994,</w:t>
      </w:r>
      <w:r w:rsidR="002D6D8B">
        <w:t xml:space="preserve"> l’habitude de porter un foulard autour du visage couvrant ses cheveux. </w:t>
      </w:r>
      <w:r w:rsidR="009B17EF">
        <w:t xml:space="preserve">Peu avant son </w:t>
      </w:r>
      <w:r w:rsidR="009B17EF">
        <w:lastRenderedPageBreak/>
        <w:t xml:space="preserve">retour </w:t>
      </w:r>
      <w:r>
        <w:t xml:space="preserve">de congé </w:t>
      </w:r>
      <w:r w:rsidR="0008169D">
        <w:t>parental</w:t>
      </w:r>
      <w:r>
        <w:t xml:space="preserve"> en décembre 20</w:t>
      </w:r>
      <w:r w:rsidR="007F64FB">
        <w:t xml:space="preserve">08, la directrice de la crèche </w:t>
      </w:r>
      <w:r w:rsidR="00EE37C4">
        <w:t>l’</w:t>
      </w:r>
      <w:r w:rsidR="009B17EF">
        <w:t>a informé</w:t>
      </w:r>
      <w:r w:rsidR="00EE37C4">
        <w:t>e</w:t>
      </w:r>
      <w:r>
        <w:t xml:space="preserve"> </w:t>
      </w:r>
      <w:r w:rsidR="00EE37C4">
        <w:t xml:space="preserve">de ce </w:t>
      </w:r>
      <w:r>
        <w:t>qu’</w:t>
      </w:r>
      <w:r w:rsidR="00EE37C4">
        <w:t xml:space="preserve">en application des dispositions du règlement intérieur de la crèche, </w:t>
      </w:r>
      <w:r>
        <w:t>elle ne serait pas autorisé</w:t>
      </w:r>
      <w:r w:rsidR="0008169D">
        <w:t xml:space="preserve">e à revenir travailler vêtue d’un </w:t>
      </w:r>
      <w:r w:rsidR="00CC7A11">
        <w:t>foulard</w:t>
      </w:r>
      <w:r w:rsidR="00F95D94">
        <w:t>.</w:t>
      </w:r>
    </w:p>
    <w:p w14:paraId="79E4B379" w14:textId="77777777" w:rsidR="005A3939" w:rsidRDefault="0008169D" w:rsidP="005A3939">
      <w:pPr>
        <w:pStyle w:val="SingleTxtG"/>
      </w:pPr>
      <w:r>
        <w:t>2.2</w:t>
      </w:r>
      <w:r>
        <w:tab/>
        <w:t>Le 9</w:t>
      </w:r>
      <w:r w:rsidR="005A3939">
        <w:t xml:space="preserve"> décembre 2008,</w:t>
      </w:r>
      <w:r>
        <w:t xml:space="preserve"> convoquée pour reprendre son travail,</w:t>
      </w:r>
      <w:r w:rsidR="005A3939">
        <w:t xml:space="preserve"> l’auteure s’est présentée</w:t>
      </w:r>
      <w:r w:rsidR="00EE37C4">
        <w:t xml:space="preserve"> à la crèche</w:t>
      </w:r>
      <w:r w:rsidR="00CC7A11">
        <w:t xml:space="preserve"> portant</w:t>
      </w:r>
      <w:r w:rsidR="00EE37C4">
        <w:t>,</w:t>
      </w:r>
      <w:r w:rsidR="005A3939">
        <w:t xml:space="preserve"> </w:t>
      </w:r>
      <w:r w:rsidR="00EE37C4">
        <w:t xml:space="preserve">comme elle avait l’habitude de le faire, </w:t>
      </w:r>
      <w:r w:rsidR="00B932DB">
        <w:t>un foulard</w:t>
      </w:r>
      <w:r w:rsidR="005A3939">
        <w:t>. Par lettre du 19 décembre 2008, elle a été notifié</w:t>
      </w:r>
      <w:r w:rsidR="003D5852">
        <w:t>e</w:t>
      </w:r>
      <w:r w:rsidR="005A3939">
        <w:t xml:space="preserve"> de son licenciement pour faute grave pour insubordination</w:t>
      </w:r>
      <w:r w:rsidR="003D5852">
        <w:t>. Les motifs du licenciement étaient la violation du</w:t>
      </w:r>
      <w:r w:rsidR="005A3939">
        <w:t xml:space="preserve"> règlement intérieur</w:t>
      </w:r>
      <w:r w:rsidR="007F64FB">
        <w:t xml:space="preserve"> de la crèche</w:t>
      </w:r>
      <w:r w:rsidR="003D5852">
        <w:t xml:space="preserve"> pour avoir refusé</w:t>
      </w:r>
      <w:r w:rsidR="005A3939">
        <w:t xml:space="preserve"> d’ôter son « voile islamique »</w:t>
      </w:r>
      <w:r w:rsidR="003D5852">
        <w:t> ; le refus</w:t>
      </w:r>
      <w:r w:rsidR="005A3939">
        <w:t xml:space="preserve"> de quitter la crèche</w:t>
      </w:r>
      <w:r>
        <w:t xml:space="preserve"> au mépris de la mise à pied conservatoire prononcée</w:t>
      </w:r>
      <w:r w:rsidR="007F64FB">
        <w:t xml:space="preserve"> par la directrice de la crèche</w:t>
      </w:r>
      <w:r w:rsidR="003D5852">
        <w:t> ; et l</w:t>
      </w:r>
      <w:r w:rsidR="00F80AFD">
        <w:t>’</w:t>
      </w:r>
      <w:r w:rsidR="003D5852">
        <w:t>altercation » qui</w:t>
      </w:r>
      <w:r w:rsidR="00F80AFD">
        <w:t>, selon la directrice,</w:t>
      </w:r>
      <w:r w:rsidR="003D5852">
        <w:t xml:space="preserve"> aurait suivi ce refus</w:t>
      </w:r>
      <w:r w:rsidR="005A3939">
        <w:t>.</w:t>
      </w:r>
    </w:p>
    <w:p w14:paraId="55C61DAF" w14:textId="77777777" w:rsidR="005A3939" w:rsidRDefault="005A3939" w:rsidP="005A3939">
      <w:pPr>
        <w:pStyle w:val="SingleTxtG"/>
      </w:pPr>
      <w:r>
        <w:t>2.3</w:t>
      </w:r>
      <w:r>
        <w:tab/>
        <w:t xml:space="preserve">L’auteure a engagé une procédure devant les juridictions internes aux fins de voir reconnaître </w:t>
      </w:r>
      <w:r w:rsidR="00E370E6">
        <w:t xml:space="preserve">que son licenciement avait un </w:t>
      </w:r>
      <w:r>
        <w:t xml:space="preserve">caractère discriminatoire et attentatoire à sa liberté de manifester sa religion. </w:t>
      </w:r>
      <w:r w:rsidR="00E370E6">
        <w:t xml:space="preserve">Dans cette procédure, l’auteure a mis </w:t>
      </w:r>
      <w:r w:rsidR="00B37EFE">
        <w:t>en cause la légalité de la clause du règlement intérieur qui établissait</w:t>
      </w:r>
      <w:r w:rsidR="00E370E6">
        <w:t xml:space="preserve"> que</w:t>
      </w:r>
      <w:r w:rsidR="00B37EFE">
        <w:t xml:space="preserve"> : « le principe de la liberté de conscience et de religion de chacun des membres du personnel ne peut faire obstacle au respect des principes de laïcité et de neutralité qui s’appliquent dans l’exercice de l’ensemble des activités développées par (l’association) ». </w:t>
      </w:r>
      <w:r>
        <w:t>Un jugement du 13 décembre 2010</w:t>
      </w:r>
      <w:r w:rsidR="00DA7417">
        <w:t xml:space="preserve"> du Conseil de prud’hommes de Mantes-la-Jolie</w:t>
      </w:r>
      <w:r>
        <w:t xml:space="preserve">, puis, sur appel, un arrêt confirmatif de la Cour d’appel de Versailles du 27 octobre 2011, ont validé la clause du règlement intérieur et le licenciement. </w:t>
      </w:r>
    </w:p>
    <w:p w14:paraId="2C6DB37E" w14:textId="77777777" w:rsidR="005A3939" w:rsidRDefault="005A3939" w:rsidP="005A3939">
      <w:pPr>
        <w:pStyle w:val="SingleTxtG"/>
      </w:pPr>
      <w:r>
        <w:t>2.4</w:t>
      </w:r>
      <w:r>
        <w:tab/>
      </w:r>
      <w:r w:rsidR="00E370E6">
        <w:t xml:space="preserve">L’auteure a présenté un recours en cassation. </w:t>
      </w:r>
      <w:r>
        <w:t>Par arrêt du 19 mars 2013, la chambre sociale de la Cour de Cassation</w:t>
      </w:r>
      <w:r w:rsidR="00DA7417">
        <w:t xml:space="preserve"> </w:t>
      </w:r>
      <w:r>
        <w:t>a jugé que le principe de laïcité instauré par l’article 1er de la Constitution française n’est pas applicable aux salariés privés qui ne gèrent pas un service public et que les restrictions à la liberté religieuse doivent être justifiées par la nature de la tâche à accomplir,</w:t>
      </w:r>
      <w:r w:rsidR="00DA7417">
        <w:t xml:space="preserve"> doivent</w:t>
      </w:r>
      <w:r>
        <w:t xml:space="preserve"> répondre à une exigence professionnelle essentielle et déterminante et </w:t>
      </w:r>
      <w:r w:rsidR="00DA7417">
        <w:t xml:space="preserve">doivent être </w:t>
      </w:r>
      <w:r>
        <w:t>proportionnée</w:t>
      </w:r>
      <w:r w:rsidR="00DA7417">
        <w:t>s</w:t>
      </w:r>
      <w:r>
        <w:t xml:space="preserve"> au but recherché</w:t>
      </w:r>
      <w:r w:rsidR="00E370E6">
        <w:t xml:space="preserve">. La Cour a conclu </w:t>
      </w:r>
      <w:r>
        <w:t>que, contrairement</w:t>
      </w:r>
      <w:r w:rsidR="00DA7417">
        <w:t xml:space="preserve"> à ce qu’avait retenu l’arrêt de la Cour d’</w:t>
      </w:r>
      <w:r>
        <w:t>appel</w:t>
      </w:r>
      <w:r w:rsidR="00DA7417">
        <w:t xml:space="preserve"> de Versailles</w:t>
      </w:r>
      <w:r>
        <w:t>, la clause du règlement intérieur de la crèche instaur</w:t>
      </w:r>
      <w:r w:rsidR="00E370E6">
        <w:t>ait</w:t>
      </w:r>
      <w:r>
        <w:t xml:space="preserve"> une restriction générale et imprécise à la liberté religieuse de ses salariés, de sorte que le licenciement, prononcé pour motif discriminatoire, était nul.</w:t>
      </w:r>
    </w:p>
    <w:p w14:paraId="078BB85A" w14:textId="77777777" w:rsidR="005A3939" w:rsidRDefault="005A3939" w:rsidP="005A3939">
      <w:pPr>
        <w:pStyle w:val="SingleTxtG"/>
      </w:pPr>
      <w:r>
        <w:t>2.5</w:t>
      </w:r>
      <w:r>
        <w:tab/>
      </w:r>
      <w:r w:rsidR="00DD23F5">
        <w:t xml:space="preserve">Le 27 </w:t>
      </w:r>
      <w:r w:rsidR="00DD23F5" w:rsidRPr="00DD23F5">
        <w:t>novembre 2013, l</w:t>
      </w:r>
      <w:r w:rsidRPr="00DD23F5">
        <w:t>a Cour d’appel de Paris, statuant comme juridiction de renvoi après cassation,</w:t>
      </w:r>
      <w:r w:rsidR="00DD23F5">
        <w:t xml:space="preserve"> a de nouveau confirmé le jugement du Conseil de prud’hommes de Mantes-la-Jolie du 13 décembre 2010. L’arrêt de la Cour</w:t>
      </w:r>
      <w:r w:rsidR="006E7C84">
        <w:t xml:space="preserve"> </w:t>
      </w:r>
      <w:r w:rsidR="00F95D94">
        <w:t>s’est fondé sur la notion d</w:t>
      </w:r>
      <w:proofErr w:type="gramStart"/>
      <w:r w:rsidR="00F95D94">
        <w:t>’«</w:t>
      </w:r>
      <w:proofErr w:type="gramEnd"/>
      <w:r w:rsidR="00F95D94">
        <w:t> </w:t>
      </w:r>
      <w:r w:rsidR="00DD23F5">
        <w:t>entreprise de conviction »</w:t>
      </w:r>
      <w:r w:rsidRPr="00DD23F5">
        <w:t xml:space="preserve"> </w:t>
      </w:r>
      <w:r w:rsidR="00DD23F5">
        <w:t>selon laquelle une personne morale de droit privé qui assure une mission d’intérêt général peut</w:t>
      </w:r>
      <w:r w:rsidR="00923D25">
        <w:t>,</w:t>
      </w:r>
      <w:r w:rsidR="00DD23F5">
        <w:t xml:space="preserve"> </w:t>
      </w:r>
      <w:r w:rsidR="000D2796">
        <w:t>dans certaines circonstances</w:t>
      </w:r>
      <w:r w:rsidR="00923D25">
        <w:t>,</w:t>
      </w:r>
      <w:r w:rsidR="000D2796">
        <w:t xml:space="preserve"> </w:t>
      </w:r>
      <w:r w:rsidR="00C35226">
        <w:t>constituer une entreprise de conviction et se doter de statuts</w:t>
      </w:r>
      <w:r w:rsidR="00B57853">
        <w:t xml:space="preserve"> et d’un règlement intérieur</w:t>
      </w:r>
      <w:r w:rsidR="00C35226">
        <w:t xml:space="preserve"> prévoyant une obligation de neutralité du personnel dans l’exercice de ses tâches.</w:t>
      </w:r>
      <w:r w:rsidR="00B57853">
        <w:t xml:space="preserve"> La Cour a également considéré que telle obligation de neutralité emporte notamment interdiction de porter tout </w:t>
      </w:r>
      <w:r w:rsidR="003235F4">
        <w:t>signe</w:t>
      </w:r>
      <w:r w:rsidR="00EE37C4">
        <w:t xml:space="preserve"> religieux</w:t>
      </w:r>
      <w:r w:rsidR="00B57853">
        <w:t xml:space="preserve"> ostentatoire.</w:t>
      </w:r>
    </w:p>
    <w:p w14:paraId="162C046D" w14:textId="77777777" w:rsidR="000A047D" w:rsidRPr="0076687F" w:rsidRDefault="005A3939" w:rsidP="006F6991">
      <w:pPr>
        <w:pStyle w:val="SingleTxtG"/>
      </w:pPr>
      <w:r>
        <w:t>2.6</w:t>
      </w:r>
      <w:r>
        <w:tab/>
        <w:t>L’auteure a de nouveau formé un pourvoi</w:t>
      </w:r>
      <w:r w:rsidR="003D167A">
        <w:t xml:space="preserve"> en cassation</w:t>
      </w:r>
      <w:r>
        <w:t>, qui a été examiné en Assemblée plénière. Par arrêt du 25 juin 2014, la Cour a rejeté le pourvoi</w:t>
      </w:r>
      <w:r w:rsidR="006F6991">
        <w:t>. Tout en estimant que l’association ne pouvait être regardée comme une entreprise de conviction au regard de son objet social, la Cour a considéré</w:t>
      </w:r>
      <w:r>
        <w:t xml:space="preserve"> que la Cour d’appel pouvait déduire</w:t>
      </w:r>
      <w:r w:rsidR="006F6991">
        <w:t xml:space="preserve"> </w:t>
      </w:r>
      <w:r>
        <w:t>que la restriction à la liberté de manifester sa religion était suffisamment précise, justifiée par la nature des tâches accomplies par les salariés de l’association et pro</w:t>
      </w:r>
      <w:r w:rsidR="00BD04D6">
        <w:t>portionnée au but recherché</w:t>
      </w:r>
      <w:r w:rsidR="006F6991">
        <w:t xml:space="preserve"> en appréciant de manière concrète les conditions de fonctionnement d’une association de dimension réduite, dont les 18 salariés étaient en relation directe avec les enfants et parents</w:t>
      </w:r>
      <w:r w:rsidR="00BD04D6">
        <w:t>.</w:t>
      </w:r>
    </w:p>
    <w:p w14:paraId="31B29820" w14:textId="77777777" w:rsidR="000A047D" w:rsidRPr="0076687F" w:rsidRDefault="000A047D" w:rsidP="00DA6F78">
      <w:pPr>
        <w:pStyle w:val="H23G"/>
      </w:pPr>
      <w:r w:rsidRPr="0076687F">
        <w:tab/>
      </w:r>
      <w:r w:rsidRPr="0076687F">
        <w:tab/>
        <w:t>Teneur de la plainte</w:t>
      </w:r>
    </w:p>
    <w:p w14:paraId="2B82C4E4" w14:textId="77777777" w:rsidR="00297BF6" w:rsidRDefault="00BD04D6" w:rsidP="00297BF6">
      <w:pPr>
        <w:pStyle w:val="SingleTxtG"/>
        <w:numPr>
          <w:ilvl w:val="0"/>
          <w:numId w:val="21"/>
        </w:numPr>
        <w:ind w:left="1134" w:hanging="11"/>
      </w:pPr>
      <w:r>
        <w:t xml:space="preserve">L’auteure </w:t>
      </w:r>
      <w:r w:rsidR="006F6991">
        <w:t xml:space="preserve">considère que les faits dont elle a été victime constituent </w:t>
      </w:r>
      <w:r>
        <w:t xml:space="preserve">une violation </w:t>
      </w:r>
      <w:r w:rsidR="006F6991">
        <w:t xml:space="preserve">de ses droits en vertu </w:t>
      </w:r>
      <w:r w:rsidR="00297BF6">
        <w:t xml:space="preserve">des </w:t>
      </w:r>
      <w:r>
        <w:t>article</w:t>
      </w:r>
      <w:r w:rsidR="00297BF6">
        <w:t>s</w:t>
      </w:r>
      <w:r>
        <w:t xml:space="preserve"> 18</w:t>
      </w:r>
      <w:r w:rsidR="00297BF6">
        <w:t xml:space="preserve"> et 26</w:t>
      </w:r>
      <w:r>
        <w:t xml:space="preserve"> du Pacte. </w:t>
      </w:r>
    </w:p>
    <w:p w14:paraId="52C81A52" w14:textId="77777777" w:rsidR="0071350E" w:rsidRDefault="00297BF6" w:rsidP="00F93DBD">
      <w:pPr>
        <w:pStyle w:val="SingleTxtG"/>
        <w:numPr>
          <w:ilvl w:val="0"/>
          <w:numId w:val="21"/>
        </w:numPr>
        <w:ind w:left="1134" w:hanging="11"/>
      </w:pPr>
      <w:r>
        <w:t xml:space="preserve">L’auteure allègue que </w:t>
      </w:r>
      <w:r w:rsidR="00BD04D6">
        <w:t>la restriction qui lui a été imposée</w:t>
      </w:r>
      <w:r w:rsidR="00EA7F81">
        <w:t xml:space="preserve"> par </w:t>
      </w:r>
      <w:r w:rsidR="003860E1">
        <w:t>la</w:t>
      </w:r>
      <w:r w:rsidR="00EA7F81">
        <w:t xml:space="preserve"> clause du règlement in</w:t>
      </w:r>
      <w:r w:rsidR="000D2796">
        <w:t>térieur de la crèche constitue</w:t>
      </w:r>
      <w:r w:rsidR="00EA7F81">
        <w:t xml:space="preserve"> une restriction qui</w:t>
      </w:r>
      <w:r w:rsidR="00BD04D6">
        <w:t xml:space="preserve"> </w:t>
      </w:r>
      <w:r w:rsidR="006F6991">
        <w:t xml:space="preserve">n’est </w:t>
      </w:r>
      <w:r>
        <w:t>pas prévue par l</w:t>
      </w:r>
      <w:r w:rsidR="00BD04D6">
        <w:t>a loi</w:t>
      </w:r>
      <w:r w:rsidR="00B82BC4">
        <w:t>.</w:t>
      </w:r>
      <w:r w:rsidR="00BD04D6">
        <w:t xml:space="preserve"> </w:t>
      </w:r>
      <w:r w:rsidR="006F6991">
        <w:t>En ce sens, l</w:t>
      </w:r>
      <w:r w:rsidR="0071350E">
        <w:t>’</w:t>
      </w:r>
      <w:r w:rsidR="00E93166">
        <w:t xml:space="preserve">auteure </w:t>
      </w:r>
      <w:r w:rsidR="006F6991">
        <w:t>considère</w:t>
      </w:r>
      <w:r w:rsidR="00E93166">
        <w:t xml:space="preserve"> que la loi</w:t>
      </w:r>
      <w:r w:rsidR="00B82BC4">
        <w:t xml:space="preserve"> en vigueur au moment des faits</w:t>
      </w:r>
      <w:r w:rsidR="003860E1">
        <w:t xml:space="preserve"> ne permet</w:t>
      </w:r>
      <w:r w:rsidR="00B82BC4">
        <w:t>tait</w:t>
      </w:r>
      <w:r w:rsidR="003860E1">
        <w:t xml:space="preserve"> pas qu’un règlement intérieur impose une restriction dans les conditions du cas </w:t>
      </w:r>
      <w:r w:rsidR="006F6991">
        <w:t>d’</w:t>
      </w:r>
      <w:r w:rsidR="003860E1">
        <w:t>espèce</w:t>
      </w:r>
      <w:r w:rsidR="00E93166">
        <w:t>. Le</w:t>
      </w:r>
      <w:r w:rsidR="0071350E">
        <w:t xml:space="preserve"> principe de neutralité</w:t>
      </w:r>
      <w:r w:rsidR="00E93166">
        <w:t xml:space="preserve"> tel que prévu par la Constitution française</w:t>
      </w:r>
      <w:r w:rsidR="008A6CBF">
        <w:t xml:space="preserve"> est </w:t>
      </w:r>
      <w:r w:rsidR="006F6991">
        <w:t xml:space="preserve">uniquement </w:t>
      </w:r>
      <w:r w:rsidR="008A6CBF">
        <w:t xml:space="preserve">applicable </w:t>
      </w:r>
      <w:r w:rsidR="0071350E">
        <w:t xml:space="preserve">aux services publiques de l’État, </w:t>
      </w:r>
      <w:r w:rsidR="00F02D2A">
        <w:t>mais</w:t>
      </w:r>
      <w:r w:rsidR="001D0C38">
        <w:t xml:space="preserve"> pas</w:t>
      </w:r>
      <w:r w:rsidR="0071350E">
        <w:t xml:space="preserve"> à une crèche privée</w:t>
      </w:r>
      <w:r w:rsidR="003756FB">
        <w:t xml:space="preserve">. </w:t>
      </w:r>
      <w:r w:rsidR="001D0C38">
        <w:t xml:space="preserve">En outre, le </w:t>
      </w:r>
      <w:r w:rsidR="003756FB">
        <w:t>code du travail</w:t>
      </w:r>
      <w:r w:rsidR="0027334A" w:rsidRPr="0027334A">
        <w:t xml:space="preserve"> </w:t>
      </w:r>
      <w:r w:rsidR="0027334A">
        <w:lastRenderedPageBreak/>
        <w:t>applicable</w:t>
      </w:r>
      <w:r w:rsidR="0010689C">
        <w:rPr>
          <w:rStyle w:val="FootnoteReference"/>
        </w:rPr>
        <w:footnoteReference w:id="4"/>
      </w:r>
      <w:r w:rsidR="0027334A">
        <w:t xml:space="preserve"> à la date du licenciement</w:t>
      </w:r>
      <w:r w:rsidR="001D0C38">
        <w:t xml:space="preserve"> prévoyait</w:t>
      </w:r>
      <w:r w:rsidR="008E58F1">
        <w:t xml:space="preserve"> </w:t>
      </w:r>
      <w:r w:rsidR="001D0C38">
        <w:t>en son article L. 1121-1 que </w:t>
      </w:r>
      <w:r w:rsidR="0027334A">
        <w:t>: « Nul ne peut apporter aux droits des personnes et aux libertés individuelles et collectives de restrictions qui ne seraient pas justifiées par la nature de la tâche à accomplir ni proportionnées au but recherché »</w:t>
      </w:r>
      <w:r w:rsidR="001D0C38">
        <w:t>,</w:t>
      </w:r>
      <w:r w:rsidR="0071350E">
        <w:t xml:space="preserve"> et l’a</w:t>
      </w:r>
      <w:r w:rsidR="004A605F">
        <w:t>rticle L 1321-3</w:t>
      </w:r>
      <w:r w:rsidR="001D0C38">
        <w:t xml:space="preserve"> stipulait que</w:t>
      </w:r>
      <w:r w:rsidR="0071350E">
        <w:t xml:space="preserve"> : « </w:t>
      </w:r>
      <w:r w:rsidR="00EA34B3">
        <w:t xml:space="preserve">Le règlement intérieur ne peut contenir : (…) des dispositions apportant </w:t>
      </w:r>
      <w:r w:rsidR="0071350E">
        <w:t>aux droits</w:t>
      </w:r>
      <w:r w:rsidR="004A605F">
        <w:t xml:space="preserve"> des personnes</w:t>
      </w:r>
      <w:r w:rsidR="0071350E">
        <w:t xml:space="preserve"> et</w:t>
      </w:r>
      <w:r w:rsidR="004A605F">
        <w:t xml:space="preserve"> aux</w:t>
      </w:r>
      <w:r w:rsidR="0071350E">
        <w:t xml:space="preserve"> libertés individuelles et </w:t>
      </w:r>
      <w:r w:rsidR="004A605F">
        <w:t>collectives de</w:t>
      </w:r>
      <w:r w:rsidR="00EA34B3">
        <w:t>s</w:t>
      </w:r>
      <w:r w:rsidR="004A605F">
        <w:t xml:space="preserve"> restrictions qui ne seraient pas </w:t>
      </w:r>
      <w:r w:rsidR="0071350E">
        <w:t>justifiée</w:t>
      </w:r>
      <w:r w:rsidR="004A605F">
        <w:t>s</w:t>
      </w:r>
      <w:r w:rsidR="0071350E">
        <w:t xml:space="preserve"> par la nature de la tâche à accomplir </w:t>
      </w:r>
      <w:r w:rsidR="004A605F">
        <w:t>ni</w:t>
      </w:r>
      <w:r w:rsidR="0071350E">
        <w:t xml:space="preserve"> proportionnée</w:t>
      </w:r>
      <w:r w:rsidR="004A605F">
        <w:t>s</w:t>
      </w:r>
      <w:r w:rsidR="0071350E">
        <w:t xml:space="preserve"> au but recherché</w:t>
      </w:r>
      <w:r w:rsidR="00EA34B3">
        <w:t xml:space="preserve"> (…)</w:t>
      </w:r>
      <w:r w:rsidR="004A605F">
        <w:t xml:space="preserve"> ». </w:t>
      </w:r>
      <w:r w:rsidR="00F02D2A">
        <w:t>Enfin</w:t>
      </w:r>
      <w:r w:rsidR="004A605F">
        <w:t>, le code du travail</w:t>
      </w:r>
      <w:r w:rsidR="00F93DBD">
        <w:t xml:space="preserve"> applicable</w:t>
      </w:r>
      <w:r w:rsidR="004A605F">
        <w:t xml:space="preserve"> </w:t>
      </w:r>
      <w:r w:rsidR="001D0C38">
        <w:t xml:space="preserve">interdisait </w:t>
      </w:r>
      <w:r w:rsidR="004A605F">
        <w:t>toute discrimination, inter alia, en raison de sexe ou des convictions religieuses</w:t>
      </w:r>
      <w:r w:rsidR="00EA34B3">
        <w:t xml:space="preserve">. </w:t>
      </w:r>
      <w:r w:rsidR="00F02D2A">
        <w:t>Selon</w:t>
      </w:r>
      <w:r w:rsidR="00E93166">
        <w:t xml:space="preserve"> la jurisprudence constante</w:t>
      </w:r>
      <w:r w:rsidR="00BA42D1">
        <w:rPr>
          <w:rStyle w:val="FootnoteReference"/>
        </w:rPr>
        <w:footnoteReference w:id="5"/>
      </w:r>
      <w:r w:rsidR="003F707B">
        <w:t>,</w:t>
      </w:r>
      <w:r w:rsidR="00E93166">
        <w:t xml:space="preserve"> </w:t>
      </w:r>
      <w:r w:rsidR="00F02D2A">
        <w:t>un</w:t>
      </w:r>
      <w:r w:rsidR="0035028C">
        <w:t>e</w:t>
      </w:r>
      <w:r w:rsidR="00F02D2A">
        <w:t xml:space="preserve"> clause restrictive ne peut</w:t>
      </w:r>
      <w:r w:rsidR="008E58F1">
        <w:t xml:space="preserve"> </w:t>
      </w:r>
      <w:r w:rsidR="00E93166">
        <w:t xml:space="preserve">être légalement prévue par </w:t>
      </w:r>
      <w:r w:rsidR="00F02D2A">
        <w:t xml:space="preserve">un </w:t>
      </w:r>
      <w:r w:rsidR="00E93166">
        <w:t>règlement intérieur que si celui-ci précise « que les obligations qui en résultent doivent s’apprécier eu égard à la nature des fonctions exercées par les personnels qui y sont soumis »</w:t>
      </w:r>
      <w:r w:rsidR="00E93166">
        <w:rPr>
          <w:rStyle w:val="FootnoteReference"/>
        </w:rPr>
        <w:footnoteReference w:id="6"/>
      </w:r>
      <w:r w:rsidR="00E93166">
        <w:t>.</w:t>
      </w:r>
      <w:r w:rsidR="00681844">
        <w:t xml:space="preserve"> </w:t>
      </w:r>
      <w:r w:rsidR="00F02D2A" w:rsidRPr="00CC7A11">
        <w:t>En l’occurrence, le règlement de la crèche ne contenait aucune justification en ce sens</w:t>
      </w:r>
      <w:r w:rsidR="00B82BC4" w:rsidRPr="00CC7A11">
        <w:t xml:space="preserve">. L’auteure allègue </w:t>
      </w:r>
      <w:r w:rsidR="006E7C84" w:rsidRPr="00CC7A11">
        <w:t>donc</w:t>
      </w:r>
      <w:r w:rsidR="00B82BC4" w:rsidRPr="00CC7A11">
        <w:t xml:space="preserve"> que l’interprétation faite par les juridictions saisies dans son cas n’est pas conforme à leur propre jurisprudence</w:t>
      </w:r>
      <w:r w:rsidR="006E7C84" w:rsidRPr="00CC7A11">
        <w:t>, rendant</w:t>
      </w:r>
      <w:r w:rsidR="00B82BC4" w:rsidRPr="00CC7A11">
        <w:t xml:space="preserve"> la loi imprévisible </w:t>
      </w:r>
      <w:r w:rsidR="006E7C84" w:rsidRPr="00CC7A11">
        <w:t xml:space="preserve">et </w:t>
      </w:r>
      <w:r w:rsidR="00B82BC4" w:rsidRPr="00CC7A11">
        <w:t>la justice inaccessible</w:t>
      </w:r>
      <w:r w:rsidR="00770C51" w:rsidRPr="00CC7A11">
        <w:t xml:space="preserve"> dans son cas</w:t>
      </w:r>
      <w:r w:rsidR="00B82BC4" w:rsidRPr="00CC7A11">
        <w:t>.</w:t>
      </w:r>
      <w:r w:rsidR="00CE5E41" w:rsidRPr="00CC7A11">
        <w:t xml:space="preserve"> </w:t>
      </w:r>
      <w:r w:rsidR="00F02D2A" w:rsidRPr="00CC7A11">
        <w:t>L</w:t>
      </w:r>
      <w:r w:rsidR="00CE5E41" w:rsidRPr="00CC7A11">
        <w:t>’auteure</w:t>
      </w:r>
      <w:r w:rsidR="00F93DBD" w:rsidRPr="00CC7A11">
        <w:t xml:space="preserve"> </w:t>
      </w:r>
      <w:r w:rsidR="006E7C84" w:rsidRPr="00CC7A11">
        <w:t>conclut</w:t>
      </w:r>
      <w:r w:rsidR="00CC09FD" w:rsidRPr="00CC7A11">
        <w:t xml:space="preserve"> qu’elle a</w:t>
      </w:r>
      <w:r w:rsidR="00CE5E41" w:rsidRPr="00CC7A11">
        <w:t xml:space="preserve"> fait l’objet d’une restriction qui n’était pas prévue par la loi, en contradiction avec les exigences du paragraphe 3 de l’article 18 du Pacte.</w:t>
      </w:r>
    </w:p>
    <w:p w14:paraId="61A69E2B" w14:textId="77777777" w:rsidR="00CE5E41" w:rsidRPr="00CC7A11" w:rsidRDefault="00277753" w:rsidP="00E93166">
      <w:pPr>
        <w:pStyle w:val="SingleTxtG"/>
        <w:numPr>
          <w:ilvl w:val="0"/>
          <w:numId w:val="21"/>
        </w:numPr>
        <w:ind w:left="1134" w:hanging="11"/>
      </w:pPr>
      <w:r>
        <w:t>L’auteure fait aussi valoir que la restriction dont elle a fait l’objet n’était pas nécessaire dans une société démocratique</w:t>
      </w:r>
      <w:r w:rsidR="00F93DBD">
        <w:t>, car elle</w:t>
      </w:r>
      <w:r>
        <w:t xml:space="preserve"> ne peut pas être justifié</w:t>
      </w:r>
      <w:r w:rsidR="006657BD">
        <w:t>e</w:t>
      </w:r>
      <w:r>
        <w:t xml:space="preserve"> par la protection de la sécurité, l’ordre, ni la santé publique. L’auteure note que, selon la jurisprudence du Conseil d’État, le port d’un voile ne constitue pas un acte de prosélytisme</w:t>
      </w:r>
      <w:r>
        <w:rPr>
          <w:rStyle w:val="FootnoteReference"/>
        </w:rPr>
        <w:footnoteReference w:id="7"/>
      </w:r>
      <w:r>
        <w:t xml:space="preserve">. Seul un acte de pression ou de prosélytisme pourrait porter atteinte aux </w:t>
      </w:r>
      <w:r w:rsidR="00E317E9">
        <w:t xml:space="preserve">libertés et droits </w:t>
      </w:r>
      <w:r w:rsidR="00185475">
        <w:t>fondamentaux d’autrui</w:t>
      </w:r>
      <w:r w:rsidR="006B659F">
        <w:t>, or,</w:t>
      </w:r>
      <w:r w:rsidR="00DE19C6">
        <w:t xml:space="preserve"> le port d’un signe religieux par le personnel de la crèche n’interdit en rien aux parents de guider librement leur</w:t>
      </w:r>
      <w:r w:rsidR="006B659F">
        <w:t>s</w:t>
      </w:r>
      <w:r w:rsidR="00DE19C6">
        <w:t xml:space="preserve"> enfant</w:t>
      </w:r>
      <w:r w:rsidR="006B659F">
        <w:t>s</w:t>
      </w:r>
      <w:r w:rsidR="00DE19C6">
        <w:t xml:space="preserve"> dans l’exercice de leur liberté de conscience et de religion.</w:t>
      </w:r>
      <w:r w:rsidR="00D17E87">
        <w:t xml:space="preserve"> L’auteure note que le paragraphe 3 de l’article 18 exige également que la restriction soit proportionn</w:t>
      </w:r>
      <w:r w:rsidR="00B95731">
        <w:t xml:space="preserve">ée. Dans le cas </w:t>
      </w:r>
      <w:r w:rsidR="00680D85">
        <w:t>d’</w:t>
      </w:r>
      <w:r w:rsidR="00B95731">
        <w:t xml:space="preserve">espèce, </w:t>
      </w:r>
      <w:r w:rsidR="000E4A2D">
        <w:t>le</w:t>
      </w:r>
      <w:r w:rsidR="00B95731">
        <w:t xml:space="preserve"> refus</w:t>
      </w:r>
      <w:r w:rsidR="000E4A2D">
        <w:t xml:space="preserve"> de l’auteure</w:t>
      </w:r>
      <w:r w:rsidR="00B95731">
        <w:t xml:space="preserve"> d’ôter son voile a été à l’origine de sa perte d’emploi et a été qualifié de faute grave</w:t>
      </w:r>
      <w:r w:rsidR="000E4A2D">
        <w:t xml:space="preserve">, qualification particulièrement </w:t>
      </w:r>
      <w:proofErr w:type="spellStart"/>
      <w:r w:rsidR="000E4A2D">
        <w:t>stigmatisant</w:t>
      </w:r>
      <w:r w:rsidR="0010689C">
        <w:t>e</w:t>
      </w:r>
      <w:proofErr w:type="spellEnd"/>
      <w:r w:rsidR="000E4A2D">
        <w:t xml:space="preserve"> et privative de toute indemnité de rupture. </w:t>
      </w:r>
      <w:r w:rsidR="006E7C84">
        <w:t>En outre</w:t>
      </w:r>
      <w:r w:rsidR="006E7C84" w:rsidRPr="00CC7A11">
        <w:t xml:space="preserve">, la clause litigieuse est générale, imprécise, et donc disproportionnée. </w:t>
      </w:r>
    </w:p>
    <w:p w14:paraId="500EC46B" w14:textId="77777777" w:rsidR="000A047D" w:rsidRPr="00270CA2" w:rsidRDefault="00BD04D6" w:rsidP="00270CA2">
      <w:pPr>
        <w:pStyle w:val="SingleTxtG"/>
        <w:numPr>
          <w:ilvl w:val="0"/>
          <w:numId w:val="21"/>
        </w:numPr>
        <w:ind w:left="1134" w:hanging="11"/>
      </w:pPr>
      <w:r>
        <w:t>L’auteure invoque également une violation de l’article 26 du Pacte en ce qu’elle n’a pas bénéficié de la protection contre la discrimination prévue par la loi interne et a fait l’objet d’un licenciement discriminatoire.</w:t>
      </w:r>
      <w:r w:rsidR="003D67A6">
        <w:t xml:space="preserve"> L’auteure note que la mesure de licenciement ordonnée repose sur un m</w:t>
      </w:r>
      <w:r w:rsidR="00DE755A">
        <w:t>otif discriminatoire</w:t>
      </w:r>
      <w:r w:rsidR="003D67A6">
        <w:t xml:space="preserve"> touchant à ses convictions religieuses et que la clause du règlement intérieur qui lui a été appliqué</w:t>
      </w:r>
      <w:r w:rsidR="00100D81">
        <w:t>e</w:t>
      </w:r>
      <w:r w:rsidR="003D67A6">
        <w:t xml:space="preserve"> avait un effet indirectement discriminatoire</w:t>
      </w:r>
      <w:r w:rsidR="00100D81">
        <w:t>,</w:t>
      </w:r>
      <w:r w:rsidR="003D67A6">
        <w:t xml:space="preserve"> touchant </w:t>
      </w:r>
      <w:r w:rsidR="00100D81">
        <w:t xml:space="preserve">de manière </w:t>
      </w:r>
      <w:r w:rsidR="003D67A6">
        <w:t>spécialement désavantageuse et disproportionnée les femmes musulmanes.</w:t>
      </w:r>
    </w:p>
    <w:p w14:paraId="61920CD1" w14:textId="77777777" w:rsidR="000A047D" w:rsidRPr="0076687F" w:rsidRDefault="0033366D" w:rsidP="0033366D">
      <w:pPr>
        <w:pStyle w:val="H23G"/>
      </w:pPr>
      <w:r w:rsidRPr="0076687F">
        <w:tab/>
      </w:r>
      <w:r w:rsidRPr="0076687F">
        <w:tab/>
      </w:r>
      <w:r w:rsidR="000A047D" w:rsidRPr="0076687F">
        <w:t>Observations de l’État partie</w:t>
      </w:r>
      <w:r w:rsidR="00AC0EBB" w:rsidRPr="0076687F">
        <w:t xml:space="preserve"> sur le fond</w:t>
      </w:r>
      <w:r w:rsidR="00592491">
        <w:t xml:space="preserve"> et la recevabilité</w:t>
      </w:r>
    </w:p>
    <w:p w14:paraId="3B02A6DC" w14:textId="77777777" w:rsidR="00527D22" w:rsidRDefault="00592491" w:rsidP="005A2731">
      <w:pPr>
        <w:pStyle w:val="SingleTxtG"/>
        <w:numPr>
          <w:ilvl w:val="0"/>
          <w:numId w:val="22"/>
        </w:numPr>
        <w:ind w:left="1134" w:hanging="11"/>
        <w:rPr>
          <w:bCs/>
        </w:rPr>
      </w:pPr>
      <w:r>
        <w:rPr>
          <w:bCs/>
        </w:rPr>
        <w:t xml:space="preserve">Par note verbale du 4 janvier 2016, l’État partie a </w:t>
      </w:r>
      <w:r w:rsidR="00100D81">
        <w:rPr>
          <w:bCs/>
        </w:rPr>
        <w:t>indiqué ne pas souhaiter</w:t>
      </w:r>
      <w:r>
        <w:rPr>
          <w:bCs/>
        </w:rPr>
        <w:t xml:space="preserve"> contester l’admissibilité de la communication. </w:t>
      </w:r>
      <w:r w:rsidR="00117252">
        <w:rPr>
          <w:bCs/>
        </w:rPr>
        <w:t xml:space="preserve">Par note verbale du </w:t>
      </w:r>
      <w:r w:rsidR="00DE755A">
        <w:rPr>
          <w:bCs/>
        </w:rPr>
        <w:t>3 mai 2016,</w:t>
      </w:r>
      <w:r w:rsidR="00117252">
        <w:rPr>
          <w:bCs/>
        </w:rPr>
        <w:t xml:space="preserve"> </w:t>
      </w:r>
      <w:r w:rsidR="00100D81">
        <w:rPr>
          <w:bCs/>
        </w:rPr>
        <w:t>il</w:t>
      </w:r>
      <w:r w:rsidR="00B20EB7">
        <w:rPr>
          <w:bCs/>
        </w:rPr>
        <w:t xml:space="preserve"> </w:t>
      </w:r>
      <w:r w:rsidR="00117252">
        <w:rPr>
          <w:bCs/>
        </w:rPr>
        <w:t xml:space="preserve">a présenté ses observations sur le fond de la communication. </w:t>
      </w:r>
    </w:p>
    <w:p w14:paraId="6FC82634" w14:textId="77777777" w:rsidR="00117252" w:rsidRDefault="00DE755A" w:rsidP="005A2731">
      <w:pPr>
        <w:pStyle w:val="SingleTxtG"/>
        <w:numPr>
          <w:ilvl w:val="0"/>
          <w:numId w:val="22"/>
        </w:numPr>
        <w:ind w:left="1134" w:hanging="11"/>
        <w:rPr>
          <w:bCs/>
        </w:rPr>
      </w:pPr>
      <w:r>
        <w:rPr>
          <w:bCs/>
        </w:rPr>
        <w:t xml:space="preserve">L’État </w:t>
      </w:r>
      <w:r w:rsidR="00B20EB7">
        <w:rPr>
          <w:bCs/>
        </w:rPr>
        <w:t xml:space="preserve">partie </w:t>
      </w:r>
      <w:r>
        <w:rPr>
          <w:bCs/>
        </w:rPr>
        <w:t>présent</w:t>
      </w:r>
      <w:r w:rsidR="0010689C">
        <w:rPr>
          <w:bCs/>
        </w:rPr>
        <w:t>e</w:t>
      </w:r>
      <w:r w:rsidR="00117252">
        <w:rPr>
          <w:bCs/>
        </w:rPr>
        <w:t xml:space="preserve"> le droit applicable garantissant la liberté religieuse et la non-discrimination</w:t>
      </w:r>
      <w:r w:rsidR="00100D81">
        <w:rPr>
          <w:bCs/>
        </w:rPr>
        <w:t xml:space="preserve">, en faisant référence à </w:t>
      </w:r>
      <w:r w:rsidR="00117252">
        <w:rPr>
          <w:bCs/>
        </w:rPr>
        <w:t>l’article 10 de la Déclaration des droits de l’Homme et du Citoyen du 26 août 1789, les articles 1</w:t>
      </w:r>
      <w:r w:rsidR="00117252">
        <w:rPr>
          <w:bCs/>
          <w:vertAlign w:val="superscript"/>
        </w:rPr>
        <w:t xml:space="preserve"> </w:t>
      </w:r>
      <w:r w:rsidR="00117252">
        <w:rPr>
          <w:bCs/>
        </w:rPr>
        <w:t>et 2 de la Constitution du 4 octobre 1958, les articles 9 et 14 de la Convention européenne de sauvegardes des droits de l’homme et des libertés fondamentales, et les titres II et III du code du travail.</w:t>
      </w:r>
    </w:p>
    <w:p w14:paraId="6C6E8263" w14:textId="77777777" w:rsidR="00117252" w:rsidRDefault="009261DF" w:rsidP="005A2731">
      <w:pPr>
        <w:pStyle w:val="SingleTxtG"/>
        <w:numPr>
          <w:ilvl w:val="0"/>
          <w:numId w:val="22"/>
        </w:numPr>
        <w:ind w:left="1134" w:hanging="11"/>
        <w:rPr>
          <w:bCs/>
        </w:rPr>
      </w:pPr>
      <w:r>
        <w:rPr>
          <w:bCs/>
        </w:rPr>
        <w:t xml:space="preserve">L’État </w:t>
      </w:r>
      <w:r w:rsidR="00B20EB7">
        <w:rPr>
          <w:bCs/>
        </w:rPr>
        <w:t xml:space="preserve">partie </w:t>
      </w:r>
      <w:r>
        <w:rPr>
          <w:bCs/>
        </w:rPr>
        <w:t>note que, dans le milieu du travail privé, le principe est la libre manifestation de sa religion</w:t>
      </w:r>
      <w:r w:rsidR="00100D81">
        <w:rPr>
          <w:bCs/>
        </w:rPr>
        <w:t>. Toutefois</w:t>
      </w:r>
      <w:r>
        <w:rPr>
          <w:bCs/>
        </w:rPr>
        <w:t xml:space="preserve">, des restrictions peuvent être apportées </w:t>
      </w:r>
      <w:r w:rsidR="00100D81">
        <w:rPr>
          <w:bCs/>
        </w:rPr>
        <w:t xml:space="preserve">à cette liberté </w:t>
      </w:r>
      <w:r>
        <w:rPr>
          <w:bCs/>
        </w:rPr>
        <w:t xml:space="preserve">lorsqu’elles sont justifiées par la nature de la tâche à accomplir et proportionnées au but </w:t>
      </w:r>
      <w:r>
        <w:rPr>
          <w:bCs/>
        </w:rPr>
        <w:lastRenderedPageBreak/>
        <w:t xml:space="preserve">recherché. </w:t>
      </w:r>
      <w:r w:rsidR="00824C6E">
        <w:rPr>
          <w:bCs/>
        </w:rPr>
        <w:t>La détermination de l</w:t>
      </w:r>
      <w:r>
        <w:rPr>
          <w:bCs/>
        </w:rPr>
        <w:t xml:space="preserve">a conformité de ces restrictions avec les dispositions législatives </w:t>
      </w:r>
      <w:r w:rsidR="00824C6E">
        <w:rPr>
          <w:bCs/>
        </w:rPr>
        <w:t xml:space="preserve">est </w:t>
      </w:r>
      <w:r>
        <w:rPr>
          <w:bCs/>
        </w:rPr>
        <w:t>étroitement encadrée par l’inspection du travail et les autorités judiciaires. Un salarié peut, avant même qu’une clause du règlement intérieur ne lui soit appliquée, saisir l’inspection du travail de la légalité de cette clause.</w:t>
      </w:r>
    </w:p>
    <w:p w14:paraId="668D0693" w14:textId="77777777" w:rsidR="009261DF" w:rsidRDefault="004B1B71" w:rsidP="005A2731">
      <w:pPr>
        <w:pStyle w:val="SingleTxtG"/>
        <w:numPr>
          <w:ilvl w:val="0"/>
          <w:numId w:val="22"/>
        </w:numPr>
        <w:ind w:left="1134" w:hanging="11"/>
        <w:rPr>
          <w:bCs/>
        </w:rPr>
      </w:pPr>
      <w:r>
        <w:rPr>
          <w:bCs/>
        </w:rPr>
        <w:t xml:space="preserve">L’État </w:t>
      </w:r>
      <w:r w:rsidR="00B20EB7">
        <w:rPr>
          <w:bCs/>
        </w:rPr>
        <w:t xml:space="preserve">partie </w:t>
      </w:r>
      <w:r>
        <w:rPr>
          <w:bCs/>
        </w:rPr>
        <w:t xml:space="preserve">note que la liberté qui est en cause dans le cas </w:t>
      </w:r>
      <w:r w:rsidR="00824C6E">
        <w:rPr>
          <w:bCs/>
        </w:rPr>
        <w:t>d’</w:t>
      </w:r>
      <w:r>
        <w:rPr>
          <w:bCs/>
        </w:rPr>
        <w:t xml:space="preserve">espèce n’est pas celle </w:t>
      </w:r>
      <w:r w:rsidR="00920472">
        <w:rPr>
          <w:bCs/>
        </w:rPr>
        <w:t>d’avoir une religion</w:t>
      </w:r>
      <w:r w:rsidR="00824C6E">
        <w:rPr>
          <w:bCs/>
        </w:rPr>
        <w:t>,</w:t>
      </w:r>
      <w:r w:rsidR="00920472">
        <w:rPr>
          <w:bCs/>
        </w:rPr>
        <w:t xml:space="preserve"> mais celle de manifester sa religion et que cette liberté n’est pas absolue et peut faire l’objet de restrictions en accord avec le paragraphe 3 de l’article 18 du Pacte. L’État </w:t>
      </w:r>
      <w:r w:rsidR="00B20EB7">
        <w:rPr>
          <w:bCs/>
        </w:rPr>
        <w:t xml:space="preserve">partie </w:t>
      </w:r>
      <w:r w:rsidR="00920472">
        <w:rPr>
          <w:bCs/>
        </w:rPr>
        <w:t xml:space="preserve">note aussi que les actes dénoncés par </w:t>
      </w:r>
      <w:r w:rsidR="00824C6E">
        <w:rPr>
          <w:bCs/>
        </w:rPr>
        <w:t>l’auteure</w:t>
      </w:r>
      <w:r w:rsidR="00920472">
        <w:rPr>
          <w:bCs/>
        </w:rPr>
        <w:t xml:space="preserve"> ont été commis par une personne privée, la question étant donc d’examiner si l’État a respecté son obligation positive de protéger le droit des individus à la liberté de manifester leur religion.</w:t>
      </w:r>
      <w:r w:rsidR="00D41589">
        <w:rPr>
          <w:bCs/>
        </w:rPr>
        <w:t xml:space="preserve"> Dans le cas </w:t>
      </w:r>
      <w:r w:rsidR="00824C6E">
        <w:rPr>
          <w:bCs/>
        </w:rPr>
        <w:t>présent</w:t>
      </w:r>
      <w:r w:rsidR="00D41589">
        <w:rPr>
          <w:bCs/>
        </w:rPr>
        <w:t>, l’État rappelle que l’auteure a pu faire entendre ses arguments et a usé de toutes les voies de droit existantes en droit interne.</w:t>
      </w:r>
    </w:p>
    <w:p w14:paraId="4B4223EC" w14:textId="77777777" w:rsidR="0012779F" w:rsidRDefault="00D41589" w:rsidP="00CC09FD">
      <w:pPr>
        <w:pStyle w:val="SingleTxtG"/>
        <w:numPr>
          <w:ilvl w:val="0"/>
          <w:numId w:val="22"/>
        </w:numPr>
        <w:ind w:left="1134" w:hanging="11"/>
        <w:rPr>
          <w:bCs/>
        </w:rPr>
      </w:pPr>
      <w:r>
        <w:rPr>
          <w:bCs/>
        </w:rPr>
        <w:t xml:space="preserve">L’État </w:t>
      </w:r>
      <w:r w:rsidR="00B20EB7">
        <w:rPr>
          <w:bCs/>
        </w:rPr>
        <w:t xml:space="preserve">partie </w:t>
      </w:r>
      <w:r>
        <w:rPr>
          <w:bCs/>
        </w:rPr>
        <w:t xml:space="preserve">conteste les allégations de l’auteure </w:t>
      </w:r>
      <w:r w:rsidR="004C1576">
        <w:rPr>
          <w:bCs/>
        </w:rPr>
        <w:t>selon lesquelles</w:t>
      </w:r>
      <w:r>
        <w:rPr>
          <w:bCs/>
        </w:rPr>
        <w:t xml:space="preserve"> la restriction dont elle a fait l’</w:t>
      </w:r>
      <w:r w:rsidR="00100E6A">
        <w:rPr>
          <w:bCs/>
        </w:rPr>
        <w:t>o</w:t>
      </w:r>
      <w:r>
        <w:rPr>
          <w:bCs/>
        </w:rPr>
        <w:t xml:space="preserve">bjet n’était pas prévue par la loi. </w:t>
      </w:r>
      <w:r w:rsidR="00067637">
        <w:rPr>
          <w:bCs/>
        </w:rPr>
        <w:t>Il</w:t>
      </w:r>
      <w:r w:rsidR="00B20EB7">
        <w:rPr>
          <w:bCs/>
        </w:rPr>
        <w:t xml:space="preserve"> </w:t>
      </w:r>
      <w:r>
        <w:rPr>
          <w:bCs/>
        </w:rPr>
        <w:t>considère que la question de la légalité de la clause du règlement intérieur de la crèche est inopérant</w:t>
      </w:r>
      <w:r w:rsidR="00AD2F4D">
        <w:rPr>
          <w:bCs/>
        </w:rPr>
        <w:t>e</w:t>
      </w:r>
      <w:r>
        <w:rPr>
          <w:bCs/>
        </w:rPr>
        <w:t xml:space="preserve"> au regard de la condition selon laquelle la restriction doit être fixée par la loi</w:t>
      </w:r>
      <w:r w:rsidR="00AD2F4D">
        <w:rPr>
          <w:bCs/>
        </w:rPr>
        <w:t xml:space="preserve">. L’État partie ajoute que </w:t>
      </w:r>
      <w:r>
        <w:rPr>
          <w:bCs/>
        </w:rPr>
        <w:t xml:space="preserve">la seule question pertinente </w:t>
      </w:r>
      <w:r w:rsidR="00AD2F4D">
        <w:rPr>
          <w:bCs/>
        </w:rPr>
        <w:t xml:space="preserve">est </w:t>
      </w:r>
      <w:r>
        <w:rPr>
          <w:bCs/>
        </w:rPr>
        <w:t>celle de l’existence d’un cadre juridique régissant la procédure qui a cond</w:t>
      </w:r>
      <w:r w:rsidR="00CD4DE8">
        <w:rPr>
          <w:bCs/>
        </w:rPr>
        <w:t>uit l’association à licencier l’auteure</w:t>
      </w:r>
      <w:r>
        <w:rPr>
          <w:bCs/>
        </w:rPr>
        <w:t>.</w:t>
      </w:r>
      <w:r w:rsidR="00100E6A">
        <w:rPr>
          <w:bCs/>
        </w:rPr>
        <w:t xml:space="preserve"> L’État </w:t>
      </w:r>
      <w:r w:rsidR="00B20EB7">
        <w:rPr>
          <w:bCs/>
        </w:rPr>
        <w:t xml:space="preserve">partie </w:t>
      </w:r>
      <w:r w:rsidR="00100E6A">
        <w:rPr>
          <w:bCs/>
        </w:rPr>
        <w:t xml:space="preserve">considère ainsi que la mesure de licenciement contestée s’inscrivait dans un cadre juridique parfaitement défini par les articles L. 1121-1 et </w:t>
      </w:r>
      <w:r w:rsidR="00204487">
        <w:rPr>
          <w:bCs/>
        </w:rPr>
        <w:t>1321-3 du code de travail</w:t>
      </w:r>
      <w:r w:rsidR="00AD2F4D">
        <w:rPr>
          <w:bCs/>
        </w:rPr>
        <w:t>,</w:t>
      </w:r>
      <w:r w:rsidR="00204487">
        <w:rPr>
          <w:bCs/>
        </w:rPr>
        <w:t xml:space="preserve"> permettant aux employeurs de restreindre les libertés d’un salarié si les restrictions sont justifiées par la nature de la tâche à accomplir et proportionnées au but recherché. </w:t>
      </w:r>
    </w:p>
    <w:p w14:paraId="4368EB80" w14:textId="77777777" w:rsidR="00920472" w:rsidRDefault="00204487" w:rsidP="005A2731">
      <w:pPr>
        <w:pStyle w:val="SingleTxtG"/>
        <w:numPr>
          <w:ilvl w:val="0"/>
          <w:numId w:val="22"/>
        </w:numPr>
        <w:ind w:left="1134" w:hanging="11"/>
        <w:rPr>
          <w:bCs/>
        </w:rPr>
      </w:pPr>
      <w:r>
        <w:rPr>
          <w:bCs/>
        </w:rPr>
        <w:t>En ce qui concerne les allégations sur l’accessibilité et la prévisibilité du cadre juridique</w:t>
      </w:r>
      <w:r w:rsidR="00DF42DD">
        <w:rPr>
          <w:bCs/>
        </w:rPr>
        <w:t xml:space="preserve">, l’État </w:t>
      </w:r>
      <w:r w:rsidR="00B20EB7">
        <w:rPr>
          <w:bCs/>
        </w:rPr>
        <w:t xml:space="preserve">partie </w:t>
      </w:r>
      <w:r w:rsidR="00DF42DD">
        <w:rPr>
          <w:bCs/>
        </w:rPr>
        <w:t>rappelle que, selon les</w:t>
      </w:r>
      <w:r>
        <w:rPr>
          <w:bCs/>
        </w:rPr>
        <w:t xml:space="preserve"> constatations</w:t>
      </w:r>
      <w:r w:rsidR="00DF42DD">
        <w:rPr>
          <w:bCs/>
        </w:rPr>
        <w:t xml:space="preserve"> du Comité dans l’affaire </w:t>
      </w:r>
      <w:r w:rsidR="00DF42DD" w:rsidRPr="00BE2C3F">
        <w:rPr>
          <w:bCs/>
          <w:i/>
        </w:rPr>
        <w:t>Ross c. Canada</w:t>
      </w:r>
      <w:r w:rsidR="00591EFF">
        <w:rPr>
          <w:rStyle w:val="FootnoteReference"/>
          <w:bCs/>
        </w:rPr>
        <w:footnoteReference w:id="8"/>
      </w:r>
      <w:r w:rsidR="00DF42DD">
        <w:rPr>
          <w:bCs/>
        </w:rPr>
        <w:t xml:space="preserve"> : </w:t>
      </w:r>
      <w:r>
        <w:rPr>
          <w:bCs/>
        </w:rPr>
        <w:t xml:space="preserve">« il n’appartient pas au Comité de réévaluer les conclusions de la Cour suprême sur ce point et le Comité estime en conséquence que la restriction imposée était prévue par la loi ». </w:t>
      </w:r>
      <w:r w:rsidR="0012779F">
        <w:rPr>
          <w:bCs/>
        </w:rPr>
        <w:t xml:space="preserve">En outre, l’État </w:t>
      </w:r>
      <w:r w:rsidR="00B20EB7">
        <w:rPr>
          <w:bCs/>
        </w:rPr>
        <w:t xml:space="preserve">partie </w:t>
      </w:r>
      <w:r w:rsidR="0012779F">
        <w:rPr>
          <w:bCs/>
        </w:rPr>
        <w:t>fait valoir qu’au moment des faits, les juridictions nationales avai</w:t>
      </w:r>
      <w:r w:rsidR="002C57FF">
        <w:rPr>
          <w:bCs/>
        </w:rPr>
        <w:t>en</w:t>
      </w:r>
      <w:r w:rsidR="0012779F">
        <w:rPr>
          <w:bCs/>
        </w:rPr>
        <w:t>t déjà jugé à propos du voile islamique que le refus de l’employeur était ju</w:t>
      </w:r>
      <w:r w:rsidR="002C57FF">
        <w:rPr>
          <w:bCs/>
        </w:rPr>
        <w:t>stifié par la nature de la tâche</w:t>
      </w:r>
      <w:r w:rsidR="0012779F">
        <w:rPr>
          <w:bCs/>
        </w:rPr>
        <w:t xml:space="preserve"> à accomplir par une vendeuse nécessairemen</w:t>
      </w:r>
      <w:r w:rsidR="003A6C22">
        <w:rPr>
          <w:bCs/>
        </w:rPr>
        <w:t>t au contact d’un large public</w:t>
      </w:r>
      <w:r w:rsidR="0012779F">
        <w:rPr>
          <w:bCs/>
        </w:rPr>
        <w:t xml:space="preserve"> dont les convictions sont variées</w:t>
      </w:r>
      <w:r w:rsidR="0012779F">
        <w:rPr>
          <w:rStyle w:val="FootnoteReference"/>
          <w:bCs/>
        </w:rPr>
        <w:footnoteReference w:id="9"/>
      </w:r>
      <w:r w:rsidR="0012779F">
        <w:rPr>
          <w:bCs/>
        </w:rPr>
        <w:t>.</w:t>
      </w:r>
      <w:r w:rsidR="00EC05B7">
        <w:rPr>
          <w:bCs/>
        </w:rPr>
        <w:t xml:space="preserve"> </w:t>
      </w:r>
      <w:r w:rsidR="00591EFF">
        <w:rPr>
          <w:bCs/>
        </w:rPr>
        <w:t>La Cour de cassation a</w:t>
      </w:r>
      <w:r w:rsidR="004C1576">
        <w:rPr>
          <w:bCs/>
        </w:rPr>
        <w:t>vait</w:t>
      </w:r>
      <w:r w:rsidR="00591EFF">
        <w:rPr>
          <w:bCs/>
        </w:rPr>
        <w:t xml:space="preserve"> quant à elle admis qu’un employeur </w:t>
      </w:r>
      <w:r w:rsidR="007C6C35">
        <w:rPr>
          <w:bCs/>
        </w:rPr>
        <w:t xml:space="preserve">peut </w:t>
      </w:r>
      <w:r w:rsidR="00591EFF">
        <w:rPr>
          <w:bCs/>
        </w:rPr>
        <w:t>imposer aux salariés en contact avec la clientèle qu’ils portent une tenue vestimentaire en adéquation avec les fonctions ou les produits qu’ils sont chargés de vendre</w:t>
      </w:r>
      <w:r w:rsidR="00591EFF">
        <w:rPr>
          <w:rStyle w:val="FootnoteReference"/>
          <w:bCs/>
        </w:rPr>
        <w:footnoteReference w:id="10"/>
      </w:r>
      <w:r w:rsidR="00591EFF">
        <w:rPr>
          <w:bCs/>
        </w:rPr>
        <w:t>.</w:t>
      </w:r>
      <w:r w:rsidR="003C5CEC" w:rsidRPr="003C5CEC">
        <w:rPr>
          <w:bCs/>
        </w:rPr>
        <w:t xml:space="preserve"> </w:t>
      </w:r>
      <w:r w:rsidR="003C5CEC">
        <w:rPr>
          <w:bCs/>
        </w:rPr>
        <w:t>La Cour d’appel de Saint-Denis de la Réunion</w:t>
      </w:r>
      <w:r w:rsidR="003C5CEC">
        <w:rPr>
          <w:rStyle w:val="FootnoteReference"/>
          <w:bCs/>
        </w:rPr>
        <w:footnoteReference w:id="11"/>
      </w:r>
      <w:r w:rsidR="003C5CEC">
        <w:rPr>
          <w:bCs/>
        </w:rPr>
        <w:t xml:space="preserve"> a</w:t>
      </w:r>
      <w:r w:rsidR="004C1576">
        <w:rPr>
          <w:bCs/>
        </w:rPr>
        <w:t>vait</w:t>
      </w:r>
      <w:r w:rsidR="003C5CEC">
        <w:rPr>
          <w:bCs/>
        </w:rPr>
        <w:t xml:space="preserve"> également admis qu’un employeur puisse prohiber un style de vêtement en « totale opposition avec l’image de marque du magasin ». </w:t>
      </w:r>
      <w:r w:rsidR="00EC05B7">
        <w:rPr>
          <w:bCs/>
        </w:rPr>
        <w:t>Dans le cas en espèce, il s’agissait d’une association de dimension réduite, dont tous les salariés étaient ou pouvaient être en contact avec les enfants et leurs parents. L</w:t>
      </w:r>
      <w:r w:rsidR="00BB1F06">
        <w:rPr>
          <w:bCs/>
        </w:rPr>
        <w:t>’État partie considère donc que l</w:t>
      </w:r>
      <w:r w:rsidR="00EC05B7">
        <w:rPr>
          <w:bCs/>
        </w:rPr>
        <w:t>a Cour de cassation</w:t>
      </w:r>
      <w:r w:rsidR="00BB1F06">
        <w:rPr>
          <w:bCs/>
        </w:rPr>
        <w:t xml:space="preserve"> a respecté les critères de sa jurisprudence</w:t>
      </w:r>
      <w:r w:rsidR="00EC05B7">
        <w:rPr>
          <w:bCs/>
        </w:rPr>
        <w:t>.</w:t>
      </w:r>
    </w:p>
    <w:p w14:paraId="2B1F7461" w14:textId="77777777" w:rsidR="00EC05B7" w:rsidRDefault="00EC6BA0" w:rsidP="005A2731">
      <w:pPr>
        <w:pStyle w:val="SingleTxtG"/>
        <w:numPr>
          <w:ilvl w:val="0"/>
          <w:numId w:val="22"/>
        </w:numPr>
        <w:ind w:left="1134" w:hanging="11"/>
        <w:rPr>
          <w:bCs/>
        </w:rPr>
      </w:pPr>
      <w:r>
        <w:rPr>
          <w:bCs/>
        </w:rPr>
        <w:t xml:space="preserve">L’État </w:t>
      </w:r>
      <w:r w:rsidR="00B20EB7">
        <w:rPr>
          <w:bCs/>
        </w:rPr>
        <w:t xml:space="preserve">partie </w:t>
      </w:r>
      <w:r>
        <w:rPr>
          <w:bCs/>
        </w:rPr>
        <w:t xml:space="preserve">allègue également que la restriction dont l’auteure a fait l’objet avait un but légitime, à savoir la protection des droits et libertés d’autrui. L’État </w:t>
      </w:r>
      <w:r w:rsidR="00B20EB7">
        <w:rPr>
          <w:bCs/>
        </w:rPr>
        <w:t xml:space="preserve">partie </w:t>
      </w:r>
      <w:r w:rsidR="00566986">
        <w:rPr>
          <w:bCs/>
        </w:rPr>
        <w:t>rappelle que la Cour européenne des droits de l’homme a déjà considéré que le</w:t>
      </w:r>
      <w:r>
        <w:rPr>
          <w:bCs/>
        </w:rPr>
        <w:t xml:space="preserve"> </w:t>
      </w:r>
      <w:r w:rsidR="00566986">
        <w:rPr>
          <w:bCs/>
        </w:rPr>
        <w:t>foulard</w:t>
      </w:r>
      <w:r>
        <w:rPr>
          <w:bCs/>
        </w:rPr>
        <w:t xml:space="preserve"> islamique n’est pas en soi « un signe passif »</w:t>
      </w:r>
      <w:r w:rsidR="00D206B6">
        <w:rPr>
          <w:bCs/>
        </w:rPr>
        <w:t xml:space="preserve"> mais </w:t>
      </w:r>
      <w:r w:rsidR="00566986">
        <w:rPr>
          <w:bCs/>
        </w:rPr>
        <w:t xml:space="preserve">un </w:t>
      </w:r>
      <w:r w:rsidR="00D206B6">
        <w:rPr>
          <w:bCs/>
        </w:rPr>
        <w:t xml:space="preserve">« signe extérieur fort » </w:t>
      </w:r>
      <w:r w:rsidR="00566986">
        <w:rPr>
          <w:bCs/>
        </w:rPr>
        <w:t>et a reconnu la protection des droits et libertés d’autrui comme un but légitime des restrictions apporté</w:t>
      </w:r>
      <w:r w:rsidR="003A6C22">
        <w:rPr>
          <w:bCs/>
        </w:rPr>
        <w:t>e</w:t>
      </w:r>
      <w:r w:rsidR="00566986">
        <w:rPr>
          <w:bCs/>
        </w:rPr>
        <w:t>s par des employeurs à la liberté de manifester les religions au sein des entreprises</w:t>
      </w:r>
      <w:r w:rsidR="00D206B6">
        <w:rPr>
          <w:rStyle w:val="FootnoteReference"/>
          <w:bCs/>
        </w:rPr>
        <w:footnoteReference w:id="12"/>
      </w:r>
      <w:r w:rsidR="00D206B6">
        <w:rPr>
          <w:bCs/>
        </w:rPr>
        <w:t>.</w:t>
      </w:r>
      <w:r>
        <w:rPr>
          <w:bCs/>
        </w:rPr>
        <w:t xml:space="preserve"> </w:t>
      </w:r>
      <w:r w:rsidR="00D206B6">
        <w:rPr>
          <w:bCs/>
        </w:rPr>
        <w:t>L’association</w:t>
      </w:r>
      <w:r w:rsidR="002C57FF">
        <w:rPr>
          <w:bCs/>
        </w:rPr>
        <w:t xml:space="preserve"> gérant la crèche</w:t>
      </w:r>
      <w:r w:rsidR="00D206B6">
        <w:rPr>
          <w:bCs/>
        </w:rPr>
        <w:t xml:space="preserve"> avait pour objet de « développer une action orientée vers la petite enfance en milieu défavorisé et d’œuvrer pour l’insertion sociale et professionnelle des femmes (…) sans distinction d’opinion politique et confessionnelle » et à ce titre, </w:t>
      </w:r>
      <w:r w:rsidR="002C57FF">
        <w:rPr>
          <w:bCs/>
        </w:rPr>
        <w:t>elle</w:t>
      </w:r>
      <w:r w:rsidR="00D206B6">
        <w:rPr>
          <w:bCs/>
        </w:rPr>
        <w:t xml:space="preserve"> organisait mensuellement des réunions des femmes du quartier afin de leur permettre d’échanger à propos des difficultés qu’elles </w:t>
      </w:r>
      <w:r w:rsidR="00D52DD4">
        <w:rPr>
          <w:bCs/>
        </w:rPr>
        <w:t>rencontrent</w:t>
      </w:r>
      <w:r w:rsidR="00D206B6">
        <w:rPr>
          <w:bCs/>
        </w:rPr>
        <w:t xml:space="preserve"> et leur permettre d’élaborer leurs propres réponses. La crèche est donc un lieu d’accueil et de stabilité sociale d’enfants en bas âge, particulièrement influençables </w:t>
      </w:r>
      <w:r w:rsidR="00D206B6">
        <w:rPr>
          <w:bCs/>
        </w:rPr>
        <w:lastRenderedPageBreak/>
        <w:t xml:space="preserve">et </w:t>
      </w:r>
      <w:r w:rsidR="00D52DD4">
        <w:rPr>
          <w:bCs/>
        </w:rPr>
        <w:t>réceptifs</w:t>
      </w:r>
      <w:r w:rsidR="00D206B6">
        <w:rPr>
          <w:bCs/>
        </w:rPr>
        <w:t xml:space="preserve"> à leur environnement, qui n’ont pas à être confrontés à des manifestations ostentatoires d’appartenance religieuse. Les salariés d’une crèche sont en cont</w:t>
      </w:r>
      <w:r w:rsidR="00772779">
        <w:rPr>
          <w:bCs/>
        </w:rPr>
        <w:t xml:space="preserve">act avec </w:t>
      </w:r>
      <w:r w:rsidR="00D206B6">
        <w:rPr>
          <w:bCs/>
        </w:rPr>
        <w:t xml:space="preserve">un public particulier : des enfants et leurs parents. </w:t>
      </w:r>
      <w:r w:rsidR="00BB1F06">
        <w:rPr>
          <w:bCs/>
        </w:rPr>
        <w:t>La</w:t>
      </w:r>
      <w:r w:rsidR="00D52DD4">
        <w:rPr>
          <w:bCs/>
        </w:rPr>
        <w:t xml:space="preserve"> vulnérabilité particulière des enfants à toute exposition et, à plus forte raison, à toute expression religieuse de la part de leurs éducateurs, </w:t>
      </w:r>
      <w:r w:rsidR="00BB1F06">
        <w:rPr>
          <w:bCs/>
        </w:rPr>
        <w:t xml:space="preserve">justifie donc </w:t>
      </w:r>
      <w:r w:rsidR="00D52DD4">
        <w:rPr>
          <w:bCs/>
        </w:rPr>
        <w:t>la restriction imposée à l’auteure</w:t>
      </w:r>
      <w:r w:rsidR="00B55313">
        <w:rPr>
          <w:bCs/>
        </w:rPr>
        <w:t xml:space="preserve">. </w:t>
      </w:r>
      <w:r w:rsidR="00AD2F4D">
        <w:rPr>
          <w:bCs/>
        </w:rPr>
        <w:t>L</w:t>
      </w:r>
      <w:r w:rsidR="00B55313">
        <w:rPr>
          <w:bCs/>
        </w:rPr>
        <w:t>’État partie</w:t>
      </w:r>
      <w:r w:rsidR="00AD2F4D">
        <w:rPr>
          <w:bCs/>
        </w:rPr>
        <w:t xml:space="preserve"> considère donc que</w:t>
      </w:r>
      <w:r w:rsidR="00AD2F4D" w:rsidRPr="00AD2F4D">
        <w:rPr>
          <w:bCs/>
        </w:rPr>
        <w:t xml:space="preserve"> </w:t>
      </w:r>
      <w:r w:rsidR="00AD2F4D">
        <w:rPr>
          <w:bCs/>
        </w:rPr>
        <w:t>la clause litigeuse du règlement avait pour objectif de protéger</w:t>
      </w:r>
      <w:r w:rsidR="00B55313">
        <w:rPr>
          <w:bCs/>
        </w:rPr>
        <w:t xml:space="preserve"> le droit des enfants et celui de leurs parents de voir ces derniers soustraits à toute influence religieuse autre que la leur</w:t>
      </w:r>
      <w:r w:rsidR="00AD2F4D">
        <w:rPr>
          <w:bCs/>
        </w:rPr>
        <w:t>.</w:t>
      </w:r>
    </w:p>
    <w:p w14:paraId="70C06FC6" w14:textId="77777777" w:rsidR="00D52DD4" w:rsidRDefault="00D52DD4" w:rsidP="005A2731">
      <w:pPr>
        <w:pStyle w:val="SingleTxtG"/>
        <w:numPr>
          <w:ilvl w:val="0"/>
          <w:numId w:val="22"/>
        </w:numPr>
        <w:ind w:left="1134" w:hanging="11"/>
        <w:rPr>
          <w:bCs/>
        </w:rPr>
      </w:pPr>
      <w:r>
        <w:rPr>
          <w:bCs/>
        </w:rPr>
        <w:t xml:space="preserve">L’État </w:t>
      </w:r>
      <w:r w:rsidR="00B20EB7">
        <w:rPr>
          <w:bCs/>
        </w:rPr>
        <w:t xml:space="preserve">partie </w:t>
      </w:r>
      <w:r>
        <w:rPr>
          <w:bCs/>
        </w:rPr>
        <w:t>conteste</w:t>
      </w:r>
      <w:r w:rsidR="00BB1F06">
        <w:rPr>
          <w:bCs/>
        </w:rPr>
        <w:t xml:space="preserve"> par ailleurs</w:t>
      </w:r>
      <w:r>
        <w:rPr>
          <w:bCs/>
        </w:rPr>
        <w:t xml:space="preserve"> les allégations de l’auteure selon lesquelles la restriction dont elle a fait l’objet ne serait pas proportionnée au but poursuivi. </w:t>
      </w:r>
      <w:r w:rsidR="00BB1F06">
        <w:rPr>
          <w:bCs/>
        </w:rPr>
        <w:t xml:space="preserve">Il </w:t>
      </w:r>
      <w:r w:rsidR="00CF1243">
        <w:rPr>
          <w:bCs/>
        </w:rPr>
        <w:t>souligne l’importance de ce</w:t>
      </w:r>
      <w:r>
        <w:rPr>
          <w:bCs/>
        </w:rPr>
        <w:t xml:space="preserve"> que les États</w:t>
      </w:r>
      <w:r w:rsidR="004C1576">
        <w:rPr>
          <w:bCs/>
        </w:rPr>
        <w:t xml:space="preserve"> parties</w:t>
      </w:r>
      <w:r>
        <w:rPr>
          <w:bCs/>
        </w:rPr>
        <w:t xml:space="preserve"> jouissent d’une certaine marge d’</w:t>
      </w:r>
      <w:r w:rsidR="0098787B">
        <w:rPr>
          <w:bCs/>
        </w:rPr>
        <w:t>appréciation</w:t>
      </w:r>
      <w:r>
        <w:rPr>
          <w:bCs/>
        </w:rPr>
        <w:t xml:space="preserve"> pour </w:t>
      </w:r>
      <w:r w:rsidR="00CF1243">
        <w:rPr>
          <w:bCs/>
        </w:rPr>
        <w:t>déterminer</w:t>
      </w:r>
      <w:r>
        <w:rPr>
          <w:bCs/>
        </w:rPr>
        <w:t xml:space="preserve"> si et dans quelle mesure une ingérence est nécessaire. Dans le cas </w:t>
      </w:r>
      <w:r w:rsidR="00CF1243">
        <w:rPr>
          <w:bCs/>
        </w:rPr>
        <w:t>d</w:t>
      </w:r>
      <w:r w:rsidR="00006276">
        <w:rPr>
          <w:bCs/>
        </w:rPr>
        <w:t>’</w:t>
      </w:r>
      <w:r>
        <w:rPr>
          <w:bCs/>
        </w:rPr>
        <w:t xml:space="preserve">espèce, l’État </w:t>
      </w:r>
      <w:r w:rsidR="00B20EB7">
        <w:rPr>
          <w:bCs/>
        </w:rPr>
        <w:t xml:space="preserve">partie </w:t>
      </w:r>
      <w:r>
        <w:rPr>
          <w:bCs/>
        </w:rPr>
        <w:t xml:space="preserve">rappelle que </w:t>
      </w:r>
      <w:r w:rsidR="0098787B">
        <w:rPr>
          <w:bCs/>
        </w:rPr>
        <w:t xml:space="preserve">la restriction </w:t>
      </w:r>
      <w:r w:rsidR="00CF1243">
        <w:rPr>
          <w:bCs/>
        </w:rPr>
        <w:t>imposée</w:t>
      </w:r>
      <w:r w:rsidR="0098787B">
        <w:rPr>
          <w:bCs/>
        </w:rPr>
        <w:t xml:space="preserve"> ne porte que sur la liberté de manifester sa religion, s’agissant pour les salariés susceptibles d’être en contact avec des enfants en bas-âge d’agir avec réserve quant à l’expression de leur opinion religieuse. Cette restriction ne s’applique pas en dehors du champ d’activités de la crèche et se limite aux activités entrainant le contact du personnel avec les enfants. </w:t>
      </w:r>
      <w:r w:rsidR="00CF1243">
        <w:rPr>
          <w:bCs/>
        </w:rPr>
        <w:t xml:space="preserve">Prenant en compte </w:t>
      </w:r>
      <w:r w:rsidR="0098787B">
        <w:rPr>
          <w:bCs/>
        </w:rPr>
        <w:t xml:space="preserve">qu’il ne s’agissait pas d’une grande structure, tous les employés pouvaient être en relation avec ce public. L’État </w:t>
      </w:r>
      <w:r w:rsidR="00B20EB7">
        <w:rPr>
          <w:bCs/>
        </w:rPr>
        <w:t xml:space="preserve">partie </w:t>
      </w:r>
      <w:r w:rsidR="0098787B">
        <w:rPr>
          <w:bCs/>
        </w:rPr>
        <w:t>rappelle aussi que</w:t>
      </w:r>
      <w:r w:rsidR="0050772C">
        <w:rPr>
          <w:bCs/>
        </w:rPr>
        <w:t xml:space="preserve">, dans une affaire où la requérante de confession </w:t>
      </w:r>
      <w:r w:rsidR="004C1576">
        <w:rPr>
          <w:bCs/>
        </w:rPr>
        <w:t>catholique</w:t>
      </w:r>
      <w:r w:rsidR="0050772C">
        <w:rPr>
          <w:bCs/>
        </w:rPr>
        <w:t xml:space="preserve"> </w:t>
      </w:r>
      <w:r w:rsidR="004C1576">
        <w:rPr>
          <w:bCs/>
        </w:rPr>
        <w:t>travaillant</w:t>
      </w:r>
      <w:r w:rsidR="0050772C">
        <w:rPr>
          <w:bCs/>
        </w:rPr>
        <w:t xml:space="preserve"> dans une crèche </w:t>
      </w:r>
      <w:r w:rsidR="004C1576">
        <w:rPr>
          <w:bCs/>
        </w:rPr>
        <w:t>protestante</w:t>
      </w:r>
      <w:r w:rsidR="0050772C">
        <w:rPr>
          <w:bCs/>
        </w:rPr>
        <w:t xml:space="preserve"> était confrontée à une situation similaire, la Cour européenne des droits de l’homme s’est fondée sur la liberté contractuelle pour conclure à la non-violation de la liberté de religion</w:t>
      </w:r>
      <w:r w:rsidR="00694234">
        <w:rPr>
          <w:rStyle w:val="FootnoteReference"/>
          <w:bCs/>
        </w:rPr>
        <w:footnoteReference w:id="13"/>
      </w:r>
      <w:r w:rsidR="0098787B">
        <w:rPr>
          <w:bCs/>
        </w:rPr>
        <w:t>.</w:t>
      </w:r>
    </w:p>
    <w:p w14:paraId="218CE429" w14:textId="77777777" w:rsidR="0098787B" w:rsidRPr="0076687F" w:rsidRDefault="00CF1243" w:rsidP="005A2731">
      <w:pPr>
        <w:pStyle w:val="SingleTxtG"/>
        <w:numPr>
          <w:ilvl w:val="0"/>
          <w:numId w:val="22"/>
        </w:numPr>
        <w:ind w:left="1134" w:hanging="11"/>
        <w:rPr>
          <w:bCs/>
        </w:rPr>
      </w:pPr>
      <w:r>
        <w:rPr>
          <w:bCs/>
        </w:rPr>
        <w:t>Pour ce qui est</w:t>
      </w:r>
      <w:r w:rsidR="0098787B">
        <w:rPr>
          <w:bCs/>
        </w:rPr>
        <w:t xml:space="preserve"> </w:t>
      </w:r>
      <w:r>
        <w:rPr>
          <w:bCs/>
        </w:rPr>
        <w:t xml:space="preserve">des </w:t>
      </w:r>
      <w:r w:rsidR="0098787B">
        <w:rPr>
          <w:bCs/>
        </w:rPr>
        <w:t xml:space="preserve">allégations de l’auteure que son </w:t>
      </w:r>
      <w:r w:rsidR="007F64FB">
        <w:rPr>
          <w:bCs/>
        </w:rPr>
        <w:t>licenciement</w:t>
      </w:r>
      <w:r w:rsidR="0098787B">
        <w:rPr>
          <w:bCs/>
        </w:rPr>
        <w:t xml:space="preserve"> constituerait une discrimination </w:t>
      </w:r>
      <w:r>
        <w:rPr>
          <w:bCs/>
        </w:rPr>
        <w:t xml:space="preserve">en violation de </w:t>
      </w:r>
      <w:r w:rsidR="0098787B">
        <w:rPr>
          <w:bCs/>
        </w:rPr>
        <w:t>l’article 26 du Pacte</w:t>
      </w:r>
      <w:r>
        <w:rPr>
          <w:bCs/>
        </w:rPr>
        <w:t>, l</w:t>
      </w:r>
      <w:r w:rsidR="0098787B">
        <w:rPr>
          <w:bCs/>
        </w:rPr>
        <w:t xml:space="preserve">’État </w:t>
      </w:r>
      <w:r w:rsidR="00B20EB7">
        <w:rPr>
          <w:bCs/>
        </w:rPr>
        <w:t xml:space="preserve">partie </w:t>
      </w:r>
      <w:r w:rsidR="0098787B">
        <w:rPr>
          <w:bCs/>
        </w:rPr>
        <w:t>maintient que la clause du règlement intérieur de la crèche ne crée aucune discrimination en ce qu’elle ne visait aucune religion, aucune conviction philosophique</w:t>
      </w:r>
      <w:r w:rsidR="001640B0">
        <w:rPr>
          <w:bCs/>
        </w:rPr>
        <w:t>,</w:t>
      </w:r>
      <w:r w:rsidR="0098787B">
        <w:rPr>
          <w:bCs/>
        </w:rPr>
        <w:t xml:space="preserve"> ni aucun sexe. </w:t>
      </w:r>
      <w:r w:rsidR="00495597">
        <w:rPr>
          <w:bCs/>
        </w:rPr>
        <w:t>La clause du règlement intérieur peut être regardée comme aboutissant à traiter différemment les salariés qui souhaitent manifester leurs convictions religieuses et ceux qui ne</w:t>
      </w:r>
      <w:r w:rsidR="001640B0">
        <w:rPr>
          <w:bCs/>
        </w:rPr>
        <w:t xml:space="preserve"> le</w:t>
      </w:r>
      <w:r w:rsidR="00495597">
        <w:rPr>
          <w:bCs/>
        </w:rPr>
        <w:t xml:space="preserve"> souhaitent pas</w:t>
      </w:r>
      <w:r w:rsidR="00A334BF">
        <w:rPr>
          <w:bCs/>
        </w:rPr>
        <w:t>. Toutefois</w:t>
      </w:r>
      <w:r w:rsidR="00495597">
        <w:rPr>
          <w:bCs/>
        </w:rPr>
        <w:t>,</w:t>
      </w:r>
      <w:r w:rsidR="00A334BF">
        <w:rPr>
          <w:bCs/>
        </w:rPr>
        <w:t xml:space="preserve"> l’État partie rappelle que</w:t>
      </w:r>
      <w:r w:rsidR="00495597">
        <w:rPr>
          <w:bCs/>
        </w:rPr>
        <w:t xml:space="preserve"> selon la jurisprudence constante du Comité, le droit à l’égalité devant la loi ne signifie pas que toutes les différences de traitement </w:t>
      </w:r>
      <w:r w:rsidR="00A334BF">
        <w:rPr>
          <w:bCs/>
        </w:rPr>
        <w:t xml:space="preserve">sont </w:t>
      </w:r>
      <w:r w:rsidR="00495597">
        <w:rPr>
          <w:bCs/>
        </w:rPr>
        <w:t>discriminatoi</w:t>
      </w:r>
      <w:r w:rsidR="00F71439">
        <w:rPr>
          <w:bCs/>
        </w:rPr>
        <w:t xml:space="preserve">res, </w:t>
      </w:r>
      <w:r w:rsidR="00A334BF">
        <w:rPr>
          <w:bCs/>
        </w:rPr>
        <w:t xml:space="preserve">et </w:t>
      </w:r>
      <w:r w:rsidR="00F71439">
        <w:rPr>
          <w:bCs/>
        </w:rPr>
        <w:t>une différenciation fondée</w:t>
      </w:r>
      <w:r w:rsidR="00495597">
        <w:rPr>
          <w:bCs/>
        </w:rPr>
        <w:t xml:space="preserve"> sur des critères raisonnables et objectifs n’équivaut pas à une discrimination au sens de l’article 26 du Pacte. La différence de traitement induite par le règlement intérieur de la crèche était objective et n’était ni arbitraire ni déraisonnable.</w:t>
      </w:r>
    </w:p>
    <w:p w14:paraId="3519BBA8" w14:textId="77777777" w:rsidR="006E6173" w:rsidRPr="0076687F" w:rsidRDefault="006E6173" w:rsidP="006E6173">
      <w:pPr>
        <w:pStyle w:val="H23G"/>
        <w:ind w:left="0" w:firstLine="0"/>
        <w:jc w:val="both"/>
      </w:pPr>
      <w:r w:rsidRPr="0076687F">
        <w:tab/>
      </w:r>
      <w:r w:rsidRPr="0076687F">
        <w:tab/>
        <w:t>Commentaires de</w:t>
      </w:r>
      <w:r w:rsidR="001E701F">
        <w:t xml:space="preserve"> l’auteur</w:t>
      </w:r>
      <w:r w:rsidR="00975B90">
        <w:t>e</w:t>
      </w:r>
      <w:r w:rsidR="001E701F">
        <w:t xml:space="preserve"> sur les observations </w:t>
      </w:r>
      <w:r w:rsidRPr="0076687F">
        <w:t>de l’État partie</w:t>
      </w:r>
    </w:p>
    <w:p w14:paraId="3740EFCD" w14:textId="77777777" w:rsidR="006E6173" w:rsidRDefault="00B3557B" w:rsidP="009D1937">
      <w:pPr>
        <w:pStyle w:val="SingleTxtG"/>
        <w:numPr>
          <w:ilvl w:val="0"/>
          <w:numId w:val="23"/>
        </w:numPr>
        <w:ind w:left="1134" w:hanging="11"/>
        <w:rPr>
          <w:bCs/>
        </w:rPr>
      </w:pPr>
      <w:r>
        <w:rPr>
          <w:bCs/>
        </w:rPr>
        <w:t>Par lettre du 12 septembre</w:t>
      </w:r>
      <w:r w:rsidR="00F71439">
        <w:rPr>
          <w:bCs/>
        </w:rPr>
        <w:t xml:space="preserve"> de 2016, l’auteure a présenté s</w:t>
      </w:r>
      <w:r>
        <w:rPr>
          <w:bCs/>
        </w:rPr>
        <w:t xml:space="preserve">es commentaires sur les observations de l’État partie sur le fond de la communication. </w:t>
      </w:r>
    </w:p>
    <w:p w14:paraId="513C6829" w14:textId="77777777" w:rsidR="00B3557B" w:rsidRDefault="00B3557B" w:rsidP="009D1937">
      <w:pPr>
        <w:pStyle w:val="SingleTxtG"/>
        <w:numPr>
          <w:ilvl w:val="0"/>
          <w:numId w:val="23"/>
        </w:numPr>
        <w:ind w:left="1134" w:hanging="11"/>
        <w:rPr>
          <w:bCs/>
        </w:rPr>
      </w:pPr>
      <w:r>
        <w:rPr>
          <w:bCs/>
        </w:rPr>
        <w:t xml:space="preserve">L’auteure conteste l’affirmation de l’État partie selon laquelle la seule question pertinente concernant </w:t>
      </w:r>
      <w:r w:rsidR="0044481E">
        <w:rPr>
          <w:bCs/>
        </w:rPr>
        <w:t>la légalité de la restriction au droit de manifester sa religion</w:t>
      </w:r>
      <w:r>
        <w:rPr>
          <w:bCs/>
        </w:rPr>
        <w:t xml:space="preserve"> est celle </w:t>
      </w:r>
      <w:r w:rsidR="0044481E">
        <w:rPr>
          <w:bCs/>
        </w:rPr>
        <w:t xml:space="preserve">de l’existence </w:t>
      </w:r>
      <w:r>
        <w:rPr>
          <w:bCs/>
        </w:rPr>
        <w:t xml:space="preserve">d’un cadre juridique régissant la procédure qui a conduit l’association à </w:t>
      </w:r>
      <w:r w:rsidR="00A334BF">
        <w:rPr>
          <w:bCs/>
        </w:rPr>
        <w:t xml:space="preserve">la </w:t>
      </w:r>
      <w:r>
        <w:rPr>
          <w:bCs/>
        </w:rPr>
        <w:t>licencier</w:t>
      </w:r>
      <w:r w:rsidR="0044481E">
        <w:rPr>
          <w:bCs/>
        </w:rPr>
        <w:t>. L’auteure soutient que la clause</w:t>
      </w:r>
      <w:r w:rsidR="00A334BF">
        <w:rPr>
          <w:bCs/>
        </w:rPr>
        <w:t xml:space="preserve"> du règlement intérieur</w:t>
      </w:r>
      <w:r w:rsidR="0044481E">
        <w:rPr>
          <w:bCs/>
        </w:rPr>
        <w:t xml:space="preserve"> est au cœur </w:t>
      </w:r>
      <w:r w:rsidR="00A334BF">
        <w:rPr>
          <w:bCs/>
        </w:rPr>
        <w:t xml:space="preserve">de son </w:t>
      </w:r>
      <w:r w:rsidR="0044481E">
        <w:rPr>
          <w:bCs/>
        </w:rPr>
        <w:t>licenciement</w:t>
      </w:r>
      <w:r w:rsidR="00A334BF">
        <w:rPr>
          <w:bCs/>
        </w:rPr>
        <w:t>. Si elle était</w:t>
      </w:r>
      <w:r w:rsidR="0044481E">
        <w:rPr>
          <w:bCs/>
        </w:rPr>
        <w:t xml:space="preserve"> déclarée </w:t>
      </w:r>
      <w:r w:rsidR="00F71439">
        <w:rPr>
          <w:bCs/>
        </w:rPr>
        <w:t>illégale</w:t>
      </w:r>
      <w:r w:rsidR="0044481E">
        <w:rPr>
          <w:bCs/>
        </w:rPr>
        <w:t xml:space="preserve">, </w:t>
      </w:r>
      <w:r w:rsidR="00A334BF">
        <w:rPr>
          <w:bCs/>
        </w:rPr>
        <w:t xml:space="preserve">cela </w:t>
      </w:r>
      <w:r w:rsidR="0044481E">
        <w:rPr>
          <w:bCs/>
        </w:rPr>
        <w:t>entrain</w:t>
      </w:r>
      <w:r w:rsidR="00A500B6">
        <w:rPr>
          <w:bCs/>
        </w:rPr>
        <w:t>er</w:t>
      </w:r>
      <w:r w:rsidR="0044481E">
        <w:rPr>
          <w:bCs/>
        </w:rPr>
        <w:t xml:space="preserve">ait ipso facto la </w:t>
      </w:r>
      <w:r w:rsidR="00F71439">
        <w:rPr>
          <w:bCs/>
        </w:rPr>
        <w:t>nullité</w:t>
      </w:r>
      <w:r w:rsidR="0044481E">
        <w:rPr>
          <w:bCs/>
        </w:rPr>
        <w:t xml:space="preserve"> de la sanction disciplinaire lourde</w:t>
      </w:r>
      <w:r w:rsidR="00A334BF">
        <w:rPr>
          <w:bCs/>
        </w:rPr>
        <w:t xml:space="preserve"> qui lui a été imposée</w:t>
      </w:r>
      <w:r w:rsidR="0044481E">
        <w:rPr>
          <w:bCs/>
        </w:rPr>
        <w:t xml:space="preserve">. Or, selon </w:t>
      </w:r>
      <w:r w:rsidR="00BD460C">
        <w:rPr>
          <w:bCs/>
        </w:rPr>
        <w:t>le principe posé par les dispositions du</w:t>
      </w:r>
      <w:r w:rsidR="00A334BF">
        <w:rPr>
          <w:bCs/>
        </w:rPr>
        <w:t xml:space="preserve"> Code du</w:t>
      </w:r>
      <w:r w:rsidR="00BD460C">
        <w:rPr>
          <w:bCs/>
        </w:rPr>
        <w:t xml:space="preserve"> travail est clair : la liberté, y compris religieuse, est la règle ; l’interdiction, étant l’exception, est étroitement circonscrite à la nature de la tâche à accomplir, sous réserve de sa stricte proportionnalité au but poursuivi.</w:t>
      </w:r>
      <w:r w:rsidR="0044481E">
        <w:rPr>
          <w:bCs/>
        </w:rPr>
        <w:t xml:space="preserve"> </w:t>
      </w:r>
      <w:r w:rsidR="00BD460C">
        <w:rPr>
          <w:bCs/>
        </w:rPr>
        <w:t>La clause du règlement intérieur</w:t>
      </w:r>
      <w:r w:rsidR="00A334BF">
        <w:rPr>
          <w:bCs/>
        </w:rPr>
        <w:t xml:space="preserve"> ne pouvait donc se prévaloir d’aucun titre de légalité et entre donc</w:t>
      </w:r>
      <w:r w:rsidR="00BD460C">
        <w:rPr>
          <w:bCs/>
        </w:rPr>
        <w:t xml:space="preserve"> en contradiction avec la loi applicable. L’auteure fait noter que la récente modification du code du travail</w:t>
      </w:r>
      <w:r w:rsidR="00BD460C">
        <w:rPr>
          <w:rStyle w:val="FootnoteReference"/>
          <w:bCs/>
        </w:rPr>
        <w:footnoteReference w:id="14"/>
      </w:r>
      <w:r w:rsidR="00E86982">
        <w:rPr>
          <w:bCs/>
        </w:rPr>
        <w:t>,</w:t>
      </w:r>
      <w:r w:rsidR="00BD460C">
        <w:rPr>
          <w:bCs/>
        </w:rPr>
        <w:t xml:space="preserve"> </w:t>
      </w:r>
      <w:r w:rsidR="00A500B6">
        <w:rPr>
          <w:bCs/>
        </w:rPr>
        <w:t>qui prévoit</w:t>
      </w:r>
      <w:r w:rsidR="00BD460C">
        <w:rPr>
          <w:bCs/>
        </w:rPr>
        <w:t xml:space="preserve"> la possibilité pour les règlements intérieurs de contenir des dispositions inscrivant le principe de neutralité</w:t>
      </w:r>
      <w:r w:rsidR="00E86982">
        <w:rPr>
          <w:bCs/>
        </w:rPr>
        <w:t>,</w:t>
      </w:r>
      <w:r w:rsidR="00BD460C">
        <w:rPr>
          <w:bCs/>
        </w:rPr>
        <w:t xml:space="preserve"> </w:t>
      </w:r>
      <w:r w:rsidR="00C97D57">
        <w:rPr>
          <w:bCs/>
        </w:rPr>
        <w:t>démontre qu’une</w:t>
      </w:r>
      <w:r w:rsidR="00BD460C">
        <w:rPr>
          <w:bCs/>
        </w:rPr>
        <w:t xml:space="preserve"> telle </w:t>
      </w:r>
      <w:r w:rsidR="00C97D57">
        <w:rPr>
          <w:bCs/>
        </w:rPr>
        <w:t xml:space="preserve">option </w:t>
      </w:r>
      <w:r w:rsidR="00BD460C">
        <w:rPr>
          <w:bCs/>
        </w:rPr>
        <w:t xml:space="preserve">n’existait pas auparavant. </w:t>
      </w:r>
      <w:r w:rsidR="002669BA">
        <w:rPr>
          <w:bCs/>
        </w:rPr>
        <w:t>L’auteure considère que la question de la conformité de ce</w:t>
      </w:r>
      <w:r w:rsidR="000F427B">
        <w:rPr>
          <w:bCs/>
        </w:rPr>
        <w:t xml:space="preserve"> nouveau</w:t>
      </w:r>
      <w:r w:rsidR="002669BA">
        <w:rPr>
          <w:bCs/>
        </w:rPr>
        <w:t xml:space="preserve"> texte</w:t>
      </w:r>
      <w:r w:rsidR="000F427B">
        <w:rPr>
          <w:bCs/>
        </w:rPr>
        <w:t xml:space="preserve"> de loi</w:t>
      </w:r>
      <w:r w:rsidR="002669BA">
        <w:rPr>
          <w:bCs/>
        </w:rPr>
        <w:t xml:space="preserve"> au Pacte et aux droits et libertés constitutionnellement garantis se pose, mais le Conseil Constitutionnel n’en a pas été saisi pour l’instant.</w:t>
      </w:r>
    </w:p>
    <w:p w14:paraId="1574BAD3" w14:textId="77777777" w:rsidR="008463E4" w:rsidRDefault="00F90099" w:rsidP="009D1937">
      <w:pPr>
        <w:pStyle w:val="SingleTxtG"/>
        <w:numPr>
          <w:ilvl w:val="0"/>
          <w:numId w:val="23"/>
        </w:numPr>
        <w:ind w:left="1134" w:hanging="11"/>
        <w:rPr>
          <w:bCs/>
        </w:rPr>
      </w:pPr>
      <w:r>
        <w:rPr>
          <w:bCs/>
        </w:rPr>
        <w:lastRenderedPageBreak/>
        <w:t>L’auteure note que</w:t>
      </w:r>
      <w:r w:rsidR="0011295F">
        <w:rPr>
          <w:bCs/>
        </w:rPr>
        <w:t xml:space="preserve"> selon</w:t>
      </w:r>
      <w:r>
        <w:rPr>
          <w:bCs/>
        </w:rPr>
        <w:t xml:space="preserve"> l’État </w:t>
      </w:r>
      <w:r w:rsidR="00B20EB7">
        <w:rPr>
          <w:bCs/>
        </w:rPr>
        <w:t>partie</w:t>
      </w:r>
      <w:r w:rsidR="0011295F">
        <w:rPr>
          <w:bCs/>
        </w:rPr>
        <w:t>,</w:t>
      </w:r>
      <w:r w:rsidR="00B20EB7">
        <w:rPr>
          <w:bCs/>
        </w:rPr>
        <w:t xml:space="preserve"> </w:t>
      </w:r>
      <w:r>
        <w:rPr>
          <w:bCs/>
        </w:rPr>
        <w:t xml:space="preserve">la Cour de cassation a considéré que la restriction apportée à la liberté de manifester sa religion répondait aux critères législatifs, en se fondant sur un critère que la jurisprudence aurait déjà eu l’occasion d’appliquer et en appréciant de manière concrète la situation de l’auteure. Sur ce point, </w:t>
      </w:r>
      <w:r w:rsidR="0011295F">
        <w:rPr>
          <w:bCs/>
        </w:rPr>
        <w:t xml:space="preserve">elle </w:t>
      </w:r>
      <w:r w:rsidR="009947E8">
        <w:rPr>
          <w:bCs/>
        </w:rPr>
        <w:t xml:space="preserve">rappelle </w:t>
      </w:r>
      <w:r>
        <w:rPr>
          <w:bCs/>
        </w:rPr>
        <w:t xml:space="preserve">que la Cour de cassation </w:t>
      </w:r>
      <w:r w:rsidR="00F32701">
        <w:rPr>
          <w:bCs/>
        </w:rPr>
        <w:t xml:space="preserve">n’est pas </w:t>
      </w:r>
      <w:proofErr w:type="gramStart"/>
      <w:r w:rsidR="00F32701">
        <w:rPr>
          <w:bCs/>
        </w:rPr>
        <w:t>juge</w:t>
      </w:r>
      <w:proofErr w:type="gramEnd"/>
      <w:r w:rsidR="00F32701">
        <w:rPr>
          <w:bCs/>
        </w:rPr>
        <w:t xml:space="preserve"> du </w:t>
      </w:r>
      <w:r w:rsidR="009947E8">
        <w:rPr>
          <w:bCs/>
        </w:rPr>
        <w:t>fond</w:t>
      </w:r>
      <w:r w:rsidR="0011295F">
        <w:rPr>
          <w:bCs/>
        </w:rPr>
        <w:t>, mais que</w:t>
      </w:r>
      <w:r w:rsidR="009947E8">
        <w:rPr>
          <w:bCs/>
        </w:rPr>
        <w:t>,</w:t>
      </w:r>
      <w:r w:rsidR="00F32701">
        <w:rPr>
          <w:bCs/>
        </w:rPr>
        <w:t xml:space="preserve"> dans le cas </w:t>
      </w:r>
      <w:r w:rsidR="0011295F">
        <w:rPr>
          <w:bCs/>
        </w:rPr>
        <w:t>d’</w:t>
      </w:r>
      <w:r w:rsidR="00F32701">
        <w:rPr>
          <w:bCs/>
        </w:rPr>
        <w:t>espèce</w:t>
      </w:r>
      <w:r w:rsidR="0011295F">
        <w:rPr>
          <w:bCs/>
        </w:rPr>
        <w:t>,</w:t>
      </w:r>
      <w:r w:rsidR="008463E4">
        <w:rPr>
          <w:bCs/>
        </w:rPr>
        <w:t xml:space="preserve"> elle</w:t>
      </w:r>
      <w:r w:rsidR="00F32701">
        <w:rPr>
          <w:bCs/>
        </w:rPr>
        <w:t xml:space="preserve"> </w:t>
      </w:r>
      <w:r w:rsidR="009947E8">
        <w:rPr>
          <w:bCs/>
        </w:rPr>
        <w:t>a considéré</w:t>
      </w:r>
      <w:r w:rsidR="00F32701">
        <w:rPr>
          <w:bCs/>
        </w:rPr>
        <w:t xml:space="preserve"> que la cour d’appel </w:t>
      </w:r>
      <w:r w:rsidR="009947E8">
        <w:rPr>
          <w:bCs/>
        </w:rPr>
        <w:t>« </w:t>
      </w:r>
      <w:r w:rsidR="00F32701">
        <w:rPr>
          <w:bCs/>
        </w:rPr>
        <w:t>a pu en déduire, appréciant de manière concrète les conditions de fonctionnement d’une association de dimension réduite</w:t>
      </w:r>
      <w:r w:rsidR="009947E8">
        <w:rPr>
          <w:bCs/>
        </w:rPr>
        <w:t> »</w:t>
      </w:r>
      <w:r w:rsidR="00F32701">
        <w:rPr>
          <w:bCs/>
        </w:rPr>
        <w:t xml:space="preserve">, que tous les employés </w:t>
      </w:r>
      <w:r w:rsidR="008463E4">
        <w:rPr>
          <w:bCs/>
        </w:rPr>
        <w:t>pouvaient être en relation directe avec les enfants et leurs parent</w:t>
      </w:r>
      <w:r w:rsidR="0011295F">
        <w:rPr>
          <w:bCs/>
        </w:rPr>
        <w:t>s,</w:t>
      </w:r>
      <w:r w:rsidR="008463E4">
        <w:rPr>
          <w:bCs/>
        </w:rPr>
        <w:t xml:space="preserve"> justifiant</w:t>
      </w:r>
      <w:r w:rsidR="0011295F">
        <w:rPr>
          <w:bCs/>
        </w:rPr>
        <w:t xml:space="preserve"> ainsi</w:t>
      </w:r>
      <w:r w:rsidR="008463E4">
        <w:rPr>
          <w:bCs/>
        </w:rPr>
        <w:t xml:space="preserve"> la restriction à la liberté à manifester sa religion. </w:t>
      </w:r>
      <w:r w:rsidR="0011295F">
        <w:rPr>
          <w:bCs/>
        </w:rPr>
        <w:t>Toutefois</w:t>
      </w:r>
      <w:r w:rsidR="009947E8">
        <w:rPr>
          <w:bCs/>
        </w:rPr>
        <w:t>, selon l’auteure, la Cour d’appel ne s’était saisie ni de la dimension de l’association</w:t>
      </w:r>
      <w:r w:rsidR="0011295F">
        <w:rPr>
          <w:bCs/>
        </w:rPr>
        <w:t>,</w:t>
      </w:r>
      <w:r w:rsidR="009947E8">
        <w:rPr>
          <w:bCs/>
        </w:rPr>
        <w:t xml:space="preserve"> ni du nombre de se</w:t>
      </w:r>
      <w:r w:rsidR="00696BE4">
        <w:rPr>
          <w:bCs/>
        </w:rPr>
        <w:t>s</w:t>
      </w:r>
      <w:r w:rsidR="009947E8">
        <w:rPr>
          <w:bCs/>
        </w:rPr>
        <w:t xml:space="preserve"> salariés, ni de ses conditions concrètes de fonctionnement, sa décision étant fondée sur la qualification juridique d’entreprise de conviction qui justifierait, selon la jurisprudence de la Cour européenne des droits de l’homme, l’édiction d’un principe de neutralité applicable à tous les employés</w:t>
      </w:r>
      <w:r w:rsidR="0011295F">
        <w:rPr>
          <w:bCs/>
        </w:rPr>
        <w:t xml:space="preserve"> y travaillant</w:t>
      </w:r>
      <w:r w:rsidR="009947E8">
        <w:rPr>
          <w:bCs/>
        </w:rPr>
        <w:t>. La Cour d’appel a d’ailleurs cherché à restreindre la clause, contre</w:t>
      </w:r>
      <w:r w:rsidR="0011295F">
        <w:rPr>
          <w:bCs/>
        </w:rPr>
        <w:t xml:space="preserve"> toute</w:t>
      </w:r>
      <w:r w:rsidR="009947E8">
        <w:rPr>
          <w:bCs/>
        </w:rPr>
        <w:t xml:space="preserve"> évidence, considérant que la formulation </w:t>
      </w:r>
      <w:r w:rsidR="0011295F">
        <w:rPr>
          <w:bCs/>
        </w:rPr>
        <w:t xml:space="preserve">était </w:t>
      </w:r>
      <w:r w:rsidR="009947E8">
        <w:rPr>
          <w:bCs/>
        </w:rPr>
        <w:t xml:space="preserve">« suffisamment précise pour qu’elle soit entendue comme étant d’application limitée aux activités d’éveil et d’accompagnement des enfants à l’intérieur et à l’extérieur des locaux professionnels ». </w:t>
      </w:r>
      <w:r w:rsidR="00B72960">
        <w:rPr>
          <w:bCs/>
        </w:rPr>
        <w:t>Néanmoins, la situation d’emploi personnelle de l’auteure n’a jamais été examinée</w:t>
      </w:r>
      <w:r w:rsidR="001E1F8A">
        <w:rPr>
          <w:bCs/>
        </w:rPr>
        <w:t>.</w:t>
      </w:r>
      <w:r w:rsidR="00B72960">
        <w:rPr>
          <w:bCs/>
        </w:rPr>
        <w:t xml:space="preserve"> </w:t>
      </w:r>
    </w:p>
    <w:p w14:paraId="3A2FE088" w14:textId="77777777" w:rsidR="0044481E" w:rsidRDefault="00696BE4" w:rsidP="009D1937">
      <w:pPr>
        <w:pStyle w:val="SingleTxtG"/>
        <w:numPr>
          <w:ilvl w:val="0"/>
          <w:numId w:val="23"/>
        </w:numPr>
        <w:ind w:left="1134" w:hanging="11"/>
        <w:rPr>
          <w:bCs/>
        </w:rPr>
      </w:pPr>
      <w:r>
        <w:rPr>
          <w:bCs/>
        </w:rPr>
        <w:t xml:space="preserve">L’auteure </w:t>
      </w:r>
      <w:r w:rsidR="005140BD">
        <w:rPr>
          <w:bCs/>
        </w:rPr>
        <w:t xml:space="preserve">exprime en outre son désaccord avec </w:t>
      </w:r>
      <w:r>
        <w:rPr>
          <w:bCs/>
        </w:rPr>
        <w:t xml:space="preserve">l’affirmation de l’État </w:t>
      </w:r>
      <w:r w:rsidR="00B20EB7">
        <w:rPr>
          <w:bCs/>
        </w:rPr>
        <w:t xml:space="preserve">partie </w:t>
      </w:r>
      <w:r w:rsidR="005140BD">
        <w:rPr>
          <w:bCs/>
        </w:rPr>
        <w:t xml:space="preserve">selon laquelle </w:t>
      </w:r>
      <w:r>
        <w:rPr>
          <w:bCs/>
        </w:rPr>
        <w:t xml:space="preserve">il </w:t>
      </w:r>
      <w:r w:rsidR="005140BD">
        <w:rPr>
          <w:bCs/>
        </w:rPr>
        <w:t xml:space="preserve">existe </w:t>
      </w:r>
      <w:r>
        <w:rPr>
          <w:bCs/>
        </w:rPr>
        <w:t xml:space="preserve">une jurisprudence constante </w:t>
      </w:r>
      <w:r w:rsidR="005140BD">
        <w:rPr>
          <w:bCs/>
        </w:rPr>
        <w:t>permettant</w:t>
      </w:r>
      <w:r>
        <w:rPr>
          <w:bCs/>
        </w:rPr>
        <w:t xml:space="preserve"> de présager une telle restriction du droit à manifester sa religion. L’auteure considère que les arrêts cités par l’État </w:t>
      </w:r>
      <w:r w:rsidR="00B20EB7">
        <w:rPr>
          <w:bCs/>
        </w:rPr>
        <w:t xml:space="preserve">partie </w:t>
      </w:r>
      <w:r w:rsidR="005140BD">
        <w:rPr>
          <w:bCs/>
        </w:rPr>
        <w:t xml:space="preserve">portaient </w:t>
      </w:r>
      <w:r>
        <w:rPr>
          <w:bCs/>
        </w:rPr>
        <w:t xml:space="preserve">sur des cas </w:t>
      </w:r>
      <w:r w:rsidR="00171AEF">
        <w:rPr>
          <w:bCs/>
        </w:rPr>
        <w:t>très différents du sien</w:t>
      </w:r>
      <w:r>
        <w:rPr>
          <w:bCs/>
        </w:rPr>
        <w:t xml:space="preserve">, étant principalement liés à des </w:t>
      </w:r>
      <w:r w:rsidR="00E24F70">
        <w:rPr>
          <w:bCs/>
        </w:rPr>
        <w:t>restrictions individuelles justifié</w:t>
      </w:r>
      <w:r w:rsidR="00171AEF">
        <w:rPr>
          <w:bCs/>
        </w:rPr>
        <w:t>e</w:t>
      </w:r>
      <w:r w:rsidR="00E24F70">
        <w:rPr>
          <w:bCs/>
        </w:rPr>
        <w:t xml:space="preserve">s par la nature de la tâche ou par le but poursuivi, et non à des restrictions généralisées </w:t>
      </w:r>
      <w:r w:rsidR="00171AEF">
        <w:rPr>
          <w:bCs/>
        </w:rPr>
        <w:t>semblables à celle qui lui a été imposée</w:t>
      </w:r>
      <w:r w:rsidR="00E24F70">
        <w:rPr>
          <w:bCs/>
        </w:rPr>
        <w:t xml:space="preserve">. En outre, les arrêts de la Cour de cassation cités par l’État </w:t>
      </w:r>
      <w:r w:rsidR="00B20EB7">
        <w:rPr>
          <w:bCs/>
        </w:rPr>
        <w:t xml:space="preserve">partie </w:t>
      </w:r>
      <w:r w:rsidR="00E24F70">
        <w:rPr>
          <w:bCs/>
        </w:rPr>
        <w:t xml:space="preserve">sont relatifs à la liberté de se vêtir à sa guise, liberté qui n’entre pas dans la catégorie des libertés fondamentales, contrairement </w:t>
      </w:r>
      <w:r w:rsidR="00171AEF">
        <w:rPr>
          <w:bCs/>
        </w:rPr>
        <w:t>à la liberté de</w:t>
      </w:r>
      <w:r w:rsidR="00006276">
        <w:rPr>
          <w:bCs/>
        </w:rPr>
        <w:t xml:space="preserve"> manifester sa</w:t>
      </w:r>
      <w:r w:rsidR="00171AEF">
        <w:rPr>
          <w:bCs/>
        </w:rPr>
        <w:t xml:space="preserve"> religion</w:t>
      </w:r>
      <w:r w:rsidR="00E24F70">
        <w:rPr>
          <w:bCs/>
        </w:rPr>
        <w:t>. L’auteure ajoute que, si bien deux des arrêts</w:t>
      </w:r>
      <w:r w:rsidR="00F71E85">
        <w:rPr>
          <w:rStyle w:val="FootnoteReference"/>
          <w:bCs/>
        </w:rPr>
        <w:footnoteReference w:id="15"/>
      </w:r>
      <w:r w:rsidR="00E24F70">
        <w:rPr>
          <w:bCs/>
        </w:rPr>
        <w:t xml:space="preserve"> mentionnés par l’État </w:t>
      </w:r>
      <w:r w:rsidR="00B20EB7">
        <w:rPr>
          <w:bCs/>
        </w:rPr>
        <w:t xml:space="preserve">partie </w:t>
      </w:r>
      <w:r w:rsidR="00E24F70">
        <w:rPr>
          <w:bCs/>
        </w:rPr>
        <w:t xml:space="preserve">concernent un signe religieux, ils sont demeurés isolés, ont été très critiqués par la doctrine, et n’ont pas reçu l’onction de la Cour de cassation. </w:t>
      </w:r>
      <w:r w:rsidR="00AA02C9">
        <w:rPr>
          <w:bCs/>
        </w:rPr>
        <w:t>L’auteure rappelle que la Cour de cassation a décidé de saisir la Cour de Justice de l’Union Européenne</w:t>
      </w:r>
      <w:r w:rsidR="00372D66">
        <w:rPr>
          <w:rStyle w:val="FootnoteReference"/>
          <w:bCs/>
        </w:rPr>
        <w:footnoteReference w:id="16"/>
      </w:r>
      <w:r w:rsidR="00AA02C9">
        <w:rPr>
          <w:bCs/>
        </w:rPr>
        <w:t xml:space="preserve"> de la question de savoir si une interdiction de port</w:t>
      </w:r>
      <w:r w:rsidR="00171AEF">
        <w:rPr>
          <w:bCs/>
        </w:rPr>
        <w:t>er</w:t>
      </w:r>
      <w:r w:rsidR="00AA02C9">
        <w:rPr>
          <w:bCs/>
        </w:rPr>
        <w:t xml:space="preserve"> de</w:t>
      </w:r>
      <w:r w:rsidR="00171AEF">
        <w:rPr>
          <w:bCs/>
        </w:rPr>
        <w:t>s</w:t>
      </w:r>
      <w:r w:rsidR="00AA02C9">
        <w:rPr>
          <w:bCs/>
        </w:rPr>
        <w:t xml:space="preserve"> signes religieux pouvait être justifiée</w:t>
      </w:r>
      <w:r w:rsidR="00171AEF">
        <w:rPr>
          <w:bCs/>
        </w:rPr>
        <w:t>,</w:t>
      </w:r>
      <w:r w:rsidR="00AA02C9">
        <w:rPr>
          <w:bCs/>
        </w:rPr>
        <w:t xml:space="preserve"> dans l’intérêt de l’entreprise</w:t>
      </w:r>
      <w:r w:rsidR="00171AEF">
        <w:rPr>
          <w:bCs/>
        </w:rPr>
        <w:t>,</w:t>
      </w:r>
      <w:r w:rsidR="00AA02C9">
        <w:rPr>
          <w:bCs/>
        </w:rPr>
        <w:t xml:space="preserve"> par le souhait de la clientèle, </w:t>
      </w:r>
      <w:r w:rsidR="00171AEF">
        <w:rPr>
          <w:bCs/>
        </w:rPr>
        <w:t xml:space="preserve">démontrant par là-même </w:t>
      </w:r>
      <w:r w:rsidR="00AA02C9">
        <w:rPr>
          <w:bCs/>
        </w:rPr>
        <w:t>que la jurisprudence n’était pas fix</w:t>
      </w:r>
      <w:r w:rsidR="002669BA">
        <w:rPr>
          <w:bCs/>
        </w:rPr>
        <w:t>ée</w:t>
      </w:r>
      <w:r w:rsidR="00171AEF">
        <w:rPr>
          <w:bCs/>
        </w:rPr>
        <w:t xml:space="preserve"> sur le sujet</w:t>
      </w:r>
      <w:r w:rsidR="002669BA">
        <w:rPr>
          <w:bCs/>
        </w:rPr>
        <w:t>.</w:t>
      </w:r>
    </w:p>
    <w:p w14:paraId="59C59DDE" w14:textId="77777777" w:rsidR="002669BA" w:rsidRDefault="0076510D" w:rsidP="009D1937">
      <w:pPr>
        <w:pStyle w:val="SingleTxtG"/>
        <w:numPr>
          <w:ilvl w:val="0"/>
          <w:numId w:val="23"/>
        </w:numPr>
        <w:ind w:left="1134" w:hanging="11"/>
        <w:rPr>
          <w:bCs/>
        </w:rPr>
      </w:pPr>
      <w:r>
        <w:rPr>
          <w:bCs/>
        </w:rPr>
        <w:t>En ce qui concerne le but légitime poursuivi par la restriction, l’auteure considère que l’impérieuse nécessité d’une totale et permanente neutralité pour préserver la liberté de conscience des enfants et le choix éducatif des parents n’est pas caractérisé</w:t>
      </w:r>
      <w:r w:rsidR="00F14992">
        <w:rPr>
          <w:bCs/>
        </w:rPr>
        <w:t>e</w:t>
      </w:r>
      <w:r>
        <w:rPr>
          <w:bCs/>
        </w:rPr>
        <w:t xml:space="preserve"> dans le cas </w:t>
      </w:r>
      <w:r w:rsidR="00A26FAD">
        <w:rPr>
          <w:bCs/>
        </w:rPr>
        <w:t>d’</w:t>
      </w:r>
      <w:r>
        <w:rPr>
          <w:bCs/>
        </w:rPr>
        <w:t>espèce : les enfants âgés de trois ans et moins fréquentant la crèche, habitant dans un contexte de diversité ethnique et culturelle</w:t>
      </w:r>
      <w:r w:rsidR="00FA2485">
        <w:rPr>
          <w:bCs/>
        </w:rPr>
        <w:t>,</w:t>
      </w:r>
      <w:r>
        <w:rPr>
          <w:bCs/>
        </w:rPr>
        <w:t xml:space="preserve"> sont accoutumés à voir leurs parents et leurs proches revêtus de tenues qui évoquent les origines ethniques de chacun</w:t>
      </w:r>
      <w:r w:rsidR="00A26FAD">
        <w:rPr>
          <w:bCs/>
        </w:rPr>
        <w:t>. P</w:t>
      </w:r>
      <w:r>
        <w:rPr>
          <w:bCs/>
        </w:rPr>
        <w:t>our bon nombre d’entre eux</w:t>
      </w:r>
      <w:r w:rsidR="00A26FAD">
        <w:rPr>
          <w:bCs/>
        </w:rPr>
        <w:t>,</w:t>
      </w:r>
      <w:r>
        <w:rPr>
          <w:bCs/>
        </w:rPr>
        <w:t xml:space="preserve"> </w:t>
      </w:r>
      <w:r w:rsidR="00A26FAD">
        <w:rPr>
          <w:bCs/>
        </w:rPr>
        <w:t>ces tenues incluent le port d’</w:t>
      </w:r>
      <w:r>
        <w:rPr>
          <w:bCs/>
        </w:rPr>
        <w:t>un foulard, islamique ou non, cette distinction n’existant pas pour les enfants de cet âge</w:t>
      </w:r>
      <w:r w:rsidR="00A26FAD">
        <w:rPr>
          <w:bCs/>
        </w:rPr>
        <w:t>. L’auteure ajoute que</w:t>
      </w:r>
      <w:r>
        <w:rPr>
          <w:bCs/>
        </w:rPr>
        <w:t xml:space="preserve"> </w:t>
      </w:r>
      <w:r w:rsidRPr="00BC676A">
        <w:rPr>
          <w:bCs/>
        </w:rPr>
        <w:t xml:space="preserve">les enfants plus âgés </w:t>
      </w:r>
      <w:r w:rsidR="00A26FAD" w:rsidRPr="00BC676A">
        <w:rPr>
          <w:bCs/>
        </w:rPr>
        <w:t xml:space="preserve">ne sont </w:t>
      </w:r>
      <w:r w:rsidRPr="00BC676A">
        <w:rPr>
          <w:bCs/>
        </w:rPr>
        <w:t>reçus</w:t>
      </w:r>
      <w:r w:rsidR="00A26FAD" w:rsidRPr="00BC676A">
        <w:rPr>
          <w:bCs/>
        </w:rPr>
        <w:t xml:space="preserve"> à la crèche que</w:t>
      </w:r>
      <w:r w:rsidRPr="00BC676A">
        <w:rPr>
          <w:bCs/>
        </w:rPr>
        <w:t xml:space="preserve"> pour un accueil ponctuel ou exceptionnel</w:t>
      </w:r>
      <w:r w:rsidR="00A26FAD">
        <w:rPr>
          <w:bCs/>
        </w:rPr>
        <w:t>,</w:t>
      </w:r>
      <w:r>
        <w:rPr>
          <w:bCs/>
        </w:rPr>
        <w:t xml:space="preserve"> et</w:t>
      </w:r>
      <w:r w:rsidR="00A26FAD">
        <w:rPr>
          <w:bCs/>
        </w:rPr>
        <w:t xml:space="preserve"> que</w:t>
      </w:r>
      <w:r>
        <w:rPr>
          <w:bCs/>
        </w:rPr>
        <w:t xml:space="preserve"> les parents </w:t>
      </w:r>
      <w:r w:rsidR="00A26FAD">
        <w:rPr>
          <w:bCs/>
        </w:rPr>
        <w:t xml:space="preserve">n’ont </w:t>
      </w:r>
      <w:r>
        <w:rPr>
          <w:bCs/>
        </w:rPr>
        <w:t xml:space="preserve">jamais </w:t>
      </w:r>
      <w:r w:rsidR="00A26FAD">
        <w:rPr>
          <w:bCs/>
        </w:rPr>
        <w:t xml:space="preserve">indiqué </w:t>
      </w:r>
      <w:r w:rsidR="00527601">
        <w:rPr>
          <w:bCs/>
        </w:rPr>
        <w:t>ou</w:t>
      </w:r>
      <w:r w:rsidR="00A26FAD">
        <w:rPr>
          <w:bCs/>
        </w:rPr>
        <w:t xml:space="preserve"> démontré </w:t>
      </w:r>
      <w:r>
        <w:rPr>
          <w:bCs/>
        </w:rPr>
        <w:t xml:space="preserve">qu’ils </w:t>
      </w:r>
      <w:r w:rsidR="00A26FAD">
        <w:rPr>
          <w:bCs/>
        </w:rPr>
        <w:t>av</w:t>
      </w:r>
      <w:r>
        <w:rPr>
          <w:bCs/>
        </w:rPr>
        <w:t>aient adhéré à l’association à raison de la neutralité imposée à ses salariés, puisque ce principe figurait dans le règlement intérieur</w:t>
      </w:r>
      <w:r w:rsidR="009261E8">
        <w:rPr>
          <w:bCs/>
        </w:rPr>
        <w:t xml:space="preserve"> de la crèche</w:t>
      </w:r>
      <w:r>
        <w:rPr>
          <w:bCs/>
        </w:rPr>
        <w:t xml:space="preserve"> mais non dans </w:t>
      </w:r>
      <w:r w:rsidR="005A54D6">
        <w:rPr>
          <w:bCs/>
        </w:rPr>
        <w:t>le statut</w:t>
      </w:r>
      <w:r>
        <w:rPr>
          <w:bCs/>
        </w:rPr>
        <w:t xml:space="preserve"> de l’association.</w:t>
      </w:r>
      <w:r w:rsidR="001E1F8A" w:rsidRPr="001E1F8A">
        <w:rPr>
          <w:bCs/>
        </w:rPr>
        <w:t xml:space="preserve"> </w:t>
      </w:r>
      <w:r w:rsidR="002335E7">
        <w:rPr>
          <w:bCs/>
        </w:rPr>
        <w:t>L’</w:t>
      </w:r>
      <w:r w:rsidR="001E1F8A">
        <w:rPr>
          <w:bCs/>
        </w:rPr>
        <w:t xml:space="preserve">auteure considère profondément choquant </w:t>
      </w:r>
      <w:r w:rsidR="002335E7">
        <w:rPr>
          <w:bCs/>
        </w:rPr>
        <w:t>la position qui découle</w:t>
      </w:r>
      <w:r w:rsidR="00F84FD7">
        <w:rPr>
          <w:bCs/>
        </w:rPr>
        <w:t xml:space="preserve"> </w:t>
      </w:r>
      <w:r w:rsidR="00CB7673">
        <w:rPr>
          <w:bCs/>
        </w:rPr>
        <w:t>des observations de l’État partie</w:t>
      </w:r>
      <w:r w:rsidR="002335E7">
        <w:rPr>
          <w:bCs/>
        </w:rPr>
        <w:t xml:space="preserve"> selon laquelle</w:t>
      </w:r>
      <w:r w:rsidR="001E1F8A">
        <w:rPr>
          <w:bCs/>
        </w:rPr>
        <w:t xml:space="preserve"> les enfants ne devraient pas être approchés par une femme voilée.</w:t>
      </w:r>
    </w:p>
    <w:p w14:paraId="0D462D09" w14:textId="77777777" w:rsidR="0076510D" w:rsidRDefault="0076510D" w:rsidP="009D1937">
      <w:pPr>
        <w:pStyle w:val="SingleTxtG"/>
        <w:numPr>
          <w:ilvl w:val="0"/>
          <w:numId w:val="23"/>
        </w:numPr>
        <w:ind w:left="1134" w:hanging="11"/>
        <w:rPr>
          <w:bCs/>
        </w:rPr>
      </w:pPr>
      <w:r>
        <w:rPr>
          <w:bCs/>
        </w:rPr>
        <w:t xml:space="preserve">En ce qui concerne la </w:t>
      </w:r>
      <w:r w:rsidR="000C1893">
        <w:rPr>
          <w:bCs/>
        </w:rPr>
        <w:t>proportionnalité</w:t>
      </w:r>
      <w:r>
        <w:rPr>
          <w:bCs/>
        </w:rPr>
        <w:t xml:space="preserve"> de la restriction au but poursuivi, l’auteure note que </w:t>
      </w:r>
      <w:r w:rsidR="002335E7">
        <w:rPr>
          <w:bCs/>
        </w:rPr>
        <w:t xml:space="preserve">selon </w:t>
      </w:r>
      <w:r>
        <w:rPr>
          <w:bCs/>
        </w:rPr>
        <w:t xml:space="preserve">l’État </w:t>
      </w:r>
      <w:r w:rsidR="00B20EB7">
        <w:rPr>
          <w:bCs/>
        </w:rPr>
        <w:t>partie</w:t>
      </w:r>
      <w:r w:rsidR="002335E7">
        <w:rPr>
          <w:bCs/>
        </w:rPr>
        <w:t>,</w:t>
      </w:r>
      <w:r>
        <w:rPr>
          <w:bCs/>
        </w:rPr>
        <w:t xml:space="preserve"> la restriction </w:t>
      </w:r>
      <w:r w:rsidR="00117A74">
        <w:rPr>
          <w:bCs/>
        </w:rPr>
        <w:t>était proportionnelle en vue des fonctions de l’auteure</w:t>
      </w:r>
      <w:r w:rsidR="002335E7">
        <w:rPr>
          <w:bCs/>
        </w:rPr>
        <w:t>. Elle</w:t>
      </w:r>
      <w:r w:rsidR="00117A74">
        <w:rPr>
          <w:bCs/>
        </w:rPr>
        <w:t xml:space="preserve"> rappelle</w:t>
      </w:r>
      <w:r w:rsidR="002335E7">
        <w:rPr>
          <w:bCs/>
        </w:rPr>
        <w:t xml:space="preserve"> toutefois</w:t>
      </w:r>
      <w:r w:rsidR="00117A74">
        <w:rPr>
          <w:bCs/>
        </w:rPr>
        <w:t xml:space="preserve"> que ces affirmations ne se retrouvent pas dans les décisions des tribunaux français qui n’ont pas examiné ses fonctions</w:t>
      </w:r>
      <w:r w:rsidR="002335E7">
        <w:rPr>
          <w:bCs/>
        </w:rPr>
        <w:t xml:space="preserve"> et sa situation individuelle</w:t>
      </w:r>
      <w:r w:rsidR="00117A74">
        <w:rPr>
          <w:bCs/>
        </w:rPr>
        <w:t>.</w:t>
      </w:r>
      <w:r w:rsidR="007C7BB9">
        <w:rPr>
          <w:bCs/>
        </w:rPr>
        <w:t xml:space="preserve"> L’auteure a été renvoyée sans aucun effort d’aménagement de la part de l’employeur</w:t>
      </w:r>
      <w:r w:rsidR="002335E7">
        <w:rPr>
          <w:bCs/>
        </w:rPr>
        <w:t>,</w:t>
      </w:r>
      <w:r w:rsidR="007C7BB9">
        <w:rPr>
          <w:bCs/>
        </w:rPr>
        <w:t xml:space="preserve"> et sans que son foulard </w:t>
      </w:r>
      <w:r w:rsidR="002335E7">
        <w:rPr>
          <w:bCs/>
        </w:rPr>
        <w:t>n’</w:t>
      </w:r>
      <w:r w:rsidR="007C7BB9">
        <w:rPr>
          <w:bCs/>
        </w:rPr>
        <w:t>ait causé le moindre trouble.</w:t>
      </w:r>
    </w:p>
    <w:p w14:paraId="583A6E83" w14:textId="77777777" w:rsidR="00527601" w:rsidRPr="00AD2F4D" w:rsidRDefault="007C7BB9" w:rsidP="00AD2F4D">
      <w:pPr>
        <w:pStyle w:val="SingleTxtG"/>
        <w:numPr>
          <w:ilvl w:val="0"/>
          <w:numId w:val="23"/>
        </w:numPr>
        <w:ind w:left="1134" w:hanging="11"/>
        <w:rPr>
          <w:bCs/>
        </w:rPr>
      </w:pPr>
      <w:r w:rsidRPr="00527601">
        <w:rPr>
          <w:bCs/>
        </w:rPr>
        <w:lastRenderedPageBreak/>
        <w:t>Concernant l’argument de l’État</w:t>
      </w:r>
      <w:r w:rsidR="002335E7" w:rsidRPr="00527601">
        <w:rPr>
          <w:bCs/>
        </w:rPr>
        <w:t xml:space="preserve"> partie</w:t>
      </w:r>
      <w:r w:rsidRPr="00527601">
        <w:rPr>
          <w:bCs/>
        </w:rPr>
        <w:t xml:space="preserve"> selon lequel </w:t>
      </w:r>
      <w:r w:rsidR="00527601" w:rsidRPr="00527601">
        <w:rPr>
          <w:bCs/>
        </w:rPr>
        <w:t xml:space="preserve">elle </w:t>
      </w:r>
      <w:r w:rsidRPr="00527601">
        <w:rPr>
          <w:bCs/>
        </w:rPr>
        <w:t xml:space="preserve">aurait choisi librement d’exercer sa profession au sein de cette association et avait conscience des dispositions du règlement intérieur, l’auteure fait noter </w:t>
      </w:r>
      <w:r w:rsidR="004B20D0" w:rsidRPr="00527601">
        <w:rPr>
          <w:bCs/>
        </w:rPr>
        <w:t xml:space="preserve">que l’État </w:t>
      </w:r>
      <w:r w:rsidR="00B20EB7" w:rsidRPr="00527601">
        <w:rPr>
          <w:bCs/>
        </w:rPr>
        <w:t xml:space="preserve">partie </w:t>
      </w:r>
      <w:r w:rsidR="00527601" w:rsidRPr="00527601">
        <w:rPr>
          <w:bCs/>
        </w:rPr>
        <w:t>se fonde sur</w:t>
      </w:r>
      <w:r w:rsidRPr="00527601">
        <w:rPr>
          <w:bCs/>
        </w:rPr>
        <w:t xml:space="preserve"> un arrêt de la Cour européenne des droits de l’homme</w:t>
      </w:r>
      <w:r w:rsidR="004B20D0" w:rsidRPr="00527601">
        <w:rPr>
          <w:bCs/>
        </w:rPr>
        <w:t xml:space="preserve"> </w:t>
      </w:r>
      <w:r w:rsidRPr="00527601">
        <w:rPr>
          <w:bCs/>
        </w:rPr>
        <w:t>inopérant au cas d’espèce</w:t>
      </w:r>
      <w:r w:rsidR="00527601" w:rsidRPr="00527601">
        <w:rPr>
          <w:bCs/>
        </w:rPr>
        <w:t> : l’arrêt de la Cour</w:t>
      </w:r>
      <w:r w:rsidR="008E58F1">
        <w:rPr>
          <w:bCs/>
        </w:rPr>
        <w:t xml:space="preserve"> </w:t>
      </w:r>
      <w:r w:rsidRPr="00527601">
        <w:rPr>
          <w:bCs/>
        </w:rPr>
        <w:t xml:space="preserve">concerne une crèche protestante, </w:t>
      </w:r>
      <w:r w:rsidR="00527601" w:rsidRPr="00527601">
        <w:rPr>
          <w:bCs/>
        </w:rPr>
        <w:t xml:space="preserve">qui est donc une </w:t>
      </w:r>
      <w:r w:rsidRPr="00527601">
        <w:rPr>
          <w:bCs/>
        </w:rPr>
        <w:t xml:space="preserve">entreprise de conviction, </w:t>
      </w:r>
      <w:r w:rsidR="00527601" w:rsidRPr="00527601">
        <w:rPr>
          <w:bCs/>
        </w:rPr>
        <w:t>alors que</w:t>
      </w:r>
      <w:r w:rsidRPr="00527601">
        <w:rPr>
          <w:bCs/>
        </w:rPr>
        <w:t xml:space="preserve"> la crèche </w:t>
      </w:r>
      <w:r w:rsidR="00527601" w:rsidRPr="00527601">
        <w:rPr>
          <w:bCs/>
        </w:rPr>
        <w:t>dans laquelle elle travaillait</w:t>
      </w:r>
      <w:r w:rsidRPr="00527601">
        <w:rPr>
          <w:bCs/>
        </w:rPr>
        <w:t xml:space="preserve"> </w:t>
      </w:r>
      <w:r w:rsidR="00527601" w:rsidRPr="00527601">
        <w:rPr>
          <w:bCs/>
        </w:rPr>
        <w:t>n’entrait pas dans cette catégorie</w:t>
      </w:r>
      <w:r w:rsidRPr="00527601">
        <w:rPr>
          <w:bCs/>
        </w:rPr>
        <w:t>.</w:t>
      </w:r>
      <w:r w:rsidR="00AD2F4D">
        <w:rPr>
          <w:bCs/>
        </w:rPr>
        <w:t xml:space="preserve"> </w:t>
      </w:r>
      <w:r w:rsidR="00705A09" w:rsidRPr="00AD2F4D">
        <w:rPr>
          <w:bCs/>
        </w:rPr>
        <w:t>L’auteure joint un rapport sur l’impact de l’islamophobie sur les femmes en France</w:t>
      </w:r>
      <w:r w:rsidR="00705A09">
        <w:rPr>
          <w:rStyle w:val="FootnoteReference"/>
          <w:bCs/>
        </w:rPr>
        <w:footnoteReference w:id="17"/>
      </w:r>
      <w:r w:rsidR="00705A09" w:rsidRPr="00AD2F4D">
        <w:rPr>
          <w:bCs/>
        </w:rPr>
        <w:t>.</w:t>
      </w:r>
    </w:p>
    <w:p w14:paraId="54AE72ED" w14:textId="77777777" w:rsidR="00527601" w:rsidRPr="00527601" w:rsidRDefault="00DC08BB" w:rsidP="00DC08BB">
      <w:pPr>
        <w:pStyle w:val="H23G"/>
        <w:rPr>
          <w:bCs/>
        </w:rPr>
      </w:pPr>
      <w:r>
        <w:tab/>
      </w:r>
      <w:r>
        <w:tab/>
      </w:r>
      <w:r w:rsidR="00527601" w:rsidRPr="00527601">
        <w:t>Information additionnel</w:t>
      </w:r>
      <w:r w:rsidR="00527601">
        <w:t>le</w:t>
      </w:r>
      <w:r w:rsidR="00527601" w:rsidRPr="00527601">
        <w:t xml:space="preserve"> de l’État partie</w:t>
      </w:r>
    </w:p>
    <w:p w14:paraId="437BD80C" w14:textId="77777777" w:rsidR="00E64570" w:rsidRPr="00527601" w:rsidRDefault="00527601" w:rsidP="00527601">
      <w:pPr>
        <w:pStyle w:val="SingleTxtG"/>
        <w:rPr>
          <w:bCs/>
        </w:rPr>
      </w:pPr>
      <w:r>
        <w:rPr>
          <w:bCs/>
        </w:rPr>
        <w:t>6.1</w:t>
      </w:r>
      <w:r>
        <w:rPr>
          <w:bCs/>
        </w:rPr>
        <w:tab/>
      </w:r>
      <w:r w:rsidR="00FA2485" w:rsidRPr="00527601">
        <w:t xml:space="preserve">Par note verbale </w:t>
      </w:r>
      <w:r>
        <w:t>du</w:t>
      </w:r>
      <w:r w:rsidR="00E64570" w:rsidRPr="00527601">
        <w:t xml:space="preserve"> 1</w:t>
      </w:r>
      <w:r w:rsidR="00E64570" w:rsidRPr="00527601">
        <w:rPr>
          <w:vertAlign w:val="superscript"/>
        </w:rPr>
        <w:t>er</w:t>
      </w:r>
      <w:r w:rsidR="00E64570" w:rsidRPr="00527601">
        <w:t xml:space="preserve"> décembre 2016, l’État </w:t>
      </w:r>
      <w:r w:rsidR="00B20EB7" w:rsidRPr="00527601">
        <w:t xml:space="preserve">partie </w:t>
      </w:r>
      <w:r w:rsidR="00E64570" w:rsidRPr="00527601">
        <w:t xml:space="preserve">a communiqué des observations additionnelles. </w:t>
      </w:r>
    </w:p>
    <w:p w14:paraId="011C180F" w14:textId="77777777" w:rsidR="00FA2485" w:rsidRPr="00FA2485" w:rsidRDefault="007371A3" w:rsidP="000F2FA1">
      <w:pPr>
        <w:pStyle w:val="H23G"/>
        <w:tabs>
          <w:tab w:val="left" w:pos="1276"/>
        </w:tabs>
        <w:spacing w:before="120"/>
        <w:ind w:firstLine="0"/>
        <w:jc w:val="both"/>
        <w:rPr>
          <w:b w:val="0"/>
        </w:rPr>
      </w:pPr>
      <w:r>
        <w:rPr>
          <w:b w:val="0"/>
        </w:rPr>
        <w:t>6.</w:t>
      </w:r>
      <w:r w:rsidR="006077EA">
        <w:rPr>
          <w:b w:val="0"/>
        </w:rPr>
        <w:t>2</w:t>
      </w:r>
      <w:r>
        <w:rPr>
          <w:b w:val="0"/>
        </w:rPr>
        <w:tab/>
      </w:r>
      <w:r w:rsidR="00FA2485" w:rsidRPr="00FA2485">
        <w:rPr>
          <w:b w:val="0"/>
        </w:rPr>
        <w:t xml:space="preserve">L’État </w:t>
      </w:r>
      <w:r w:rsidR="00B20EB7">
        <w:rPr>
          <w:b w:val="0"/>
        </w:rPr>
        <w:t xml:space="preserve">partie </w:t>
      </w:r>
      <w:r w:rsidR="00FA2485" w:rsidRPr="00FA2485">
        <w:rPr>
          <w:b w:val="0"/>
        </w:rPr>
        <w:t>conteste l’interprétation de l’auteure</w:t>
      </w:r>
      <w:r w:rsidR="00FA2485">
        <w:rPr>
          <w:b w:val="0"/>
        </w:rPr>
        <w:t xml:space="preserve"> de</w:t>
      </w:r>
      <w:r w:rsidR="00FA2485" w:rsidRPr="00FA2485">
        <w:rPr>
          <w:b w:val="0"/>
        </w:rPr>
        <w:t xml:space="preserve"> la réforme du code du travail par la loi du 8 août 2016. </w:t>
      </w:r>
      <w:r w:rsidR="00527601">
        <w:rPr>
          <w:b w:val="0"/>
        </w:rPr>
        <w:t>Il</w:t>
      </w:r>
      <w:r w:rsidR="00B20EB7">
        <w:rPr>
          <w:b w:val="0"/>
        </w:rPr>
        <w:t xml:space="preserve"> </w:t>
      </w:r>
      <w:r w:rsidR="00FA2485" w:rsidRPr="00FA2485">
        <w:rPr>
          <w:b w:val="0"/>
        </w:rPr>
        <w:t>soutient que cette modification s’inscrit dans la continuité des principes posés par les arti</w:t>
      </w:r>
      <w:r w:rsidR="009261E8">
        <w:rPr>
          <w:b w:val="0"/>
        </w:rPr>
        <w:t>cles 1121-1 et 1321-3 du code du travail</w:t>
      </w:r>
      <w:r w:rsidR="00527601">
        <w:rPr>
          <w:b w:val="0"/>
        </w:rPr>
        <w:t>,</w:t>
      </w:r>
      <w:r w:rsidR="00FA2485" w:rsidRPr="00FA2485">
        <w:rPr>
          <w:b w:val="0"/>
        </w:rPr>
        <w:t xml:space="preserve"> applicables à l’époque des faits litigieux,</w:t>
      </w:r>
      <w:r w:rsidR="00527601">
        <w:rPr>
          <w:b w:val="0"/>
        </w:rPr>
        <w:t xml:space="preserve"> et</w:t>
      </w:r>
      <w:r w:rsidR="00FA2485" w:rsidRPr="00FA2485">
        <w:rPr>
          <w:b w:val="0"/>
        </w:rPr>
        <w:t xml:space="preserve"> qui permettaient déjà de restreindre l’expression des libertés, notamment de religion dans certains cas. Ainsi, la restriction</w:t>
      </w:r>
      <w:r w:rsidR="00B74E16">
        <w:rPr>
          <w:b w:val="0"/>
        </w:rPr>
        <w:t xml:space="preserve"> introduite</w:t>
      </w:r>
      <w:r w:rsidR="00FA2485" w:rsidRPr="00FA2485">
        <w:rPr>
          <w:b w:val="0"/>
        </w:rPr>
        <w:t xml:space="preserve"> par la clause du règlement intérieur de l’association disposait d’une base légale dans le cadre juridique antérieur à la loi 8 août 2016, </w:t>
      </w:r>
      <w:r w:rsidR="00B74E16">
        <w:rPr>
          <w:b w:val="0"/>
        </w:rPr>
        <w:t>laquelle</w:t>
      </w:r>
      <w:r w:rsidR="00FA2485" w:rsidRPr="00FA2485">
        <w:rPr>
          <w:b w:val="0"/>
        </w:rPr>
        <w:t xml:space="preserve"> n’ayant fait que préciser les circonstances dans lesquelles les règlements intérieurs peuvent contenir ce type de clause.</w:t>
      </w:r>
    </w:p>
    <w:p w14:paraId="2DD3A6CE" w14:textId="77777777" w:rsidR="000A047D" w:rsidRPr="0076687F" w:rsidRDefault="00FA2485" w:rsidP="00184AA8">
      <w:pPr>
        <w:pStyle w:val="H23G"/>
      </w:pPr>
      <w:r>
        <w:tab/>
      </w:r>
      <w:r>
        <w:tab/>
      </w:r>
      <w:r w:rsidR="000A047D" w:rsidRPr="0076687F">
        <w:t>Délibérations du Comité</w:t>
      </w:r>
    </w:p>
    <w:p w14:paraId="2BB2FEE3" w14:textId="77777777" w:rsidR="000A047D" w:rsidRPr="0076687F" w:rsidRDefault="000A047D" w:rsidP="00184AA8">
      <w:pPr>
        <w:pStyle w:val="H4G"/>
      </w:pPr>
      <w:r w:rsidRPr="0076687F">
        <w:tab/>
      </w:r>
      <w:r w:rsidRPr="0076687F">
        <w:tab/>
        <w:t>Examen de la recevabilité</w:t>
      </w:r>
    </w:p>
    <w:p w14:paraId="0CE90579" w14:textId="77777777" w:rsidR="000A047D" w:rsidRPr="0076687F" w:rsidRDefault="00B20EB7" w:rsidP="000A047D">
      <w:pPr>
        <w:pStyle w:val="SingleTxtG"/>
      </w:pPr>
      <w:r>
        <w:t>7</w:t>
      </w:r>
      <w:r w:rsidR="000A047D" w:rsidRPr="0076687F">
        <w:t>.1</w:t>
      </w:r>
      <w:r w:rsidR="000A047D" w:rsidRPr="0076687F">
        <w:tab/>
        <w:t>Avant d’examiner toute plainte soumise dans une communication, le Comité doit, conformément à l’article</w:t>
      </w:r>
      <w:r w:rsidR="001A6498">
        <w:t xml:space="preserve"> </w:t>
      </w:r>
      <w:r w:rsidR="000A047D" w:rsidRPr="0076687F">
        <w:t>93 de son règlement intérieur, déterminer si la communication est recevable en</w:t>
      </w:r>
      <w:r w:rsidR="00184AA8" w:rsidRPr="0076687F">
        <w:t xml:space="preserve"> vertu du Protocole facultatif.</w:t>
      </w:r>
    </w:p>
    <w:p w14:paraId="6283BB39" w14:textId="77777777" w:rsidR="0014572F" w:rsidRPr="0076687F" w:rsidRDefault="00B20EB7" w:rsidP="00DC08BB">
      <w:pPr>
        <w:pStyle w:val="SingleTxtG"/>
      </w:pPr>
      <w:r>
        <w:rPr>
          <w:bCs/>
        </w:rPr>
        <w:t>7</w:t>
      </w:r>
      <w:r w:rsidR="00DC08BB">
        <w:rPr>
          <w:bCs/>
        </w:rPr>
        <w:t>.</w:t>
      </w:r>
      <w:r w:rsidR="00DC08BB" w:rsidRPr="00DC08BB">
        <w:t>2</w:t>
      </w:r>
      <w:r w:rsidR="00DC08BB">
        <w:tab/>
      </w:r>
      <w:r w:rsidR="000A047D" w:rsidRPr="00DC08BB">
        <w:t>Le</w:t>
      </w:r>
      <w:r w:rsidR="000A047D" w:rsidRPr="0076687F">
        <w:t xml:space="preserve"> Comité s’est assuré, comme il est tenu de le f</w:t>
      </w:r>
      <w:r w:rsidR="001A6498">
        <w:t>aire conformément au paragraphe 2 </w:t>
      </w:r>
      <w:r w:rsidR="000A047D" w:rsidRPr="0076687F">
        <w:t>a) de l’article</w:t>
      </w:r>
      <w:r w:rsidR="001A6498">
        <w:t xml:space="preserve"> </w:t>
      </w:r>
      <w:r w:rsidR="000A047D" w:rsidRPr="0076687F">
        <w:t>5 du Protocole facultatif, que la même question n’était pas déjà en cours d’examen devant une autre instance internationale d’enquête ou de règlement.</w:t>
      </w:r>
    </w:p>
    <w:p w14:paraId="72B26E1B" w14:textId="77777777" w:rsidR="003A4C3D" w:rsidRPr="006A3D98" w:rsidRDefault="00B20EB7" w:rsidP="001118C1">
      <w:pPr>
        <w:pStyle w:val="SingleTxtG"/>
        <w:rPr>
          <w:bCs/>
        </w:rPr>
      </w:pPr>
      <w:r>
        <w:rPr>
          <w:bCs/>
        </w:rPr>
        <w:t>7</w:t>
      </w:r>
      <w:r w:rsidR="00146FE4" w:rsidRPr="00146FE4">
        <w:rPr>
          <w:bCs/>
        </w:rPr>
        <w:t>.3</w:t>
      </w:r>
      <w:r w:rsidR="00146FE4" w:rsidRPr="00146FE4">
        <w:rPr>
          <w:bCs/>
        </w:rPr>
        <w:tab/>
      </w:r>
      <w:r w:rsidR="006A3D98">
        <w:rPr>
          <w:bCs/>
        </w:rPr>
        <w:t xml:space="preserve">Le Comité note que l’État </w:t>
      </w:r>
      <w:r>
        <w:rPr>
          <w:bCs/>
        </w:rPr>
        <w:t xml:space="preserve">partie </w:t>
      </w:r>
      <w:r w:rsidR="006A3D98">
        <w:rPr>
          <w:bCs/>
        </w:rPr>
        <w:t>n’a pas contesté</w:t>
      </w:r>
      <w:r w:rsidR="00E16935">
        <w:rPr>
          <w:bCs/>
        </w:rPr>
        <w:t xml:space="preserve"> la recevabilité</w:t>
      </w:r>
      <w:r w:rsidR="006A3D98">
        <w:rPr>
          <w:bCs/>
        </w:rPr>
        <w:t xml:space="preserve"> de la communication. </w:t>
      </w:r>
      <w:r w:rsidR="004267D8">
        <w:rPr>
          <w:bCs/>
        </w:rPr>
        <w:t>En outre, il</w:t>
      </w:r>
      <w:r w:rsidR="006A3D98">
        <w:rPr>
          <w:bCs/>
        </w:rPr>
        <w:t xml:space="preserve"> note que l’auteure a présenté un recours de Cassation qui a été rejeté</w:t>
      </w:r>
      <w:r w:rsidR="004267D8">
        <w:rPr>
          <w:bCs/>
        </w:rPr>
        <w:t>, et qu’elle</w:t>
      </w:r>
      <w:r w:rsidR="00E317E9">
        <w:rPr>
          <w:bCs/>
        </w:rPr>
        <w:t xml:space="preserve"> maintient qu’elle</w:t>
      </w:r>
      <w:r w:rsidR="004267D8">
        <w:rPr>
          <w:bCs/>
        </w:rPr>
        <w:t xml:space="preserve"> a donc épuisé toutes les voies de recours interne</w:t>
      </w:r>
      <w:r w:rsidR="00E16935">
        <w:rPr>
          <w:bCs/>
        </w:rPr>
        <w:t>s</w:t>
      </w:r>
      <w:r w:rsidR="004267D8">
        <w:rPr>
          <w:bCs/>
        </w:rPr>
        <w:t xml:space="preserve"> disponibles</w:t>
      </w:r>
      <w:r w:rsidR="006A3D98">
        <w:rPr>
          <w:bCs/>
        </w:rPr>
        <w:t xml:space="preserve">. </w:t>
      </w:r>
      <w:r w:rsidR="006A3D98" w:rsidRPr="00146FE4">
        <w:t xml:space="preserve">En conséquence, le Comité considère que les dispositions </w:t>
      </w:r>
      <w:r w:rsidR="006A3D98">
        <w:t xml:space="preserve">du paragraphe 2 b) de l’article </w:t>
      </w:r>
      <w:r w:rsidR="006A3D98" w:rsidRPr="00146FE4">
        <w:t>5 du Protocole facultatif ne font pas obstacle à l’examen de la présente communication.</w:t>
      </w:r>
    </w:p>
    <w:p w14:paraId="4236F5A6" w14:textId="77777777" w:rsidR="000A047D" w:rsidRPr="00146FE4" w:rsidRDefault="00B20EB7" w:rsidP="00146FE4">
      <w:pPr>
        <w:pStyle w:val="SingleTxtG"/>
      </w:pPr>
      <w:r>
        <w:t>7</w:t>
      </w:r>
      <w:r w:rsidR="00146FE4" w:rsidRPr="00146FE4">
        <w:t>.4</w:t>
      </w:r>
      <w:r w:rsidR="00146FE4" w:rsidRPr="00146FE4">
        <w:tab/>
      </w:r>
      <w:r w:rsidR="00172EDE" w:rsidRPr="00146FE4">
        <w:t xml:space="preserve">Le Comité estime </w:t>
      </w:r>
      <w:r w:rsidR="004267D8">
        <w:t xml:space="preserve">par ailleurs </w:t>
      </w:r>
      <w:r w:rsidR="00172EDE" w:rsidRPr="00146FE4">
        <w:t>qu’aux fins de la recevabilité, l’auteur</w:t>
      </w:r>
      <w:r w:rsidR="006A3D98">
        <w:t>e</w:t>
      </w:r>
      <w:r w:rsidR="00FD1C1D">
        <w:t xml:space="preserve"> a</w:t>
      </w:r>
      <w:r w:rsidR="00172EDE" w:rsidRPr="00146FE4">
        <w:t xml:space="preserve"> suffisamment </w:t>
      </w:r>
      <w:r w:rsidR="00172EDE">
        <w:t>étayé ses allégations.</w:t>
      </w:r>
      <w:r w:rsidR="00001505">
        <w:t xml:space="preserve"> </w:t>
      </w:r>
      <w:r w:rsidR="00001505" w:rsidRPr="00001505">
        <w:t>Par conséquent</w:t>
      </w:r>
      <w:r w:rsidR="00001505">
        <w:t xml:space="preserve">, le </w:t>
      </w:r>
      <w:r w:rsidR="00146FE4" w:rsidRPr="00146FE4">
        <w:t xml:space="preserve">Comité déclare que la communication est recevable en ce qu’elle </w:t>
      </w:r>
      <w:r w:rsidR="00D31A5B" w:rsidRPr="00146FE4">
        <w:t>soul</w:t>
      </w:r>
      <w:r w:rsidR="00D31A5B">
        <w:t>ève</w:t>
      </w:r>
      <w:r w:rsidR="00D31A5B" w:rsidRPr="00146FE4">
        <w:t xml:space="preserve"> </w:t>
      </w:r>
      <w:r w:rsidR="00146FE4" w:rsidRPr="00146FE4">
        <w:t>des qu</w:t>
      </w:r>
      <w:r w:rsidR="001A6498">
        <w:t xml:space="preserve">estions au regard </w:t>
      </w:r>
      <w:r w:rsidR="006A3D98">
        <w:t>des articles 18 et 26 du Pacte</w:t>
      </w:r>
      <w:r w:rsidR="00146FE4" w:rsidRPr="00146FE4">
        <w:t xml:space="preserve"> et p</w:t>
      </w:r>
      <w:r w:rsidR="00146FE4">
        <w:t>asse à son examen au fond.</w:t>
      </w:r>
    </w:p>
    <w:p w14:paraId="517AB440" w14:textId="77777777" w:rsidR="000A047D" w:rsidRPr="0076687F" w:rsidRDefault="000A047D" w:rsidP="00FE32E5">
      <w:pPr>
        <w:pStyle w:val="H4G"/>
      </w:pPr>
      <w:r w:rsidRPr="0076687F">
        <w:tab/>
      </w:r>
      <w:r w:rsidRPr="0076687F">
        <w:tab/>
        <w:t>Examen au fond</w:t>
      </w:r>
    </w:p>
    <w:p w14:paraId="6B61D802" w14:textId="77777777" w:rsidR="00727E03" w:rsidRDefault="00727E03" w:rsidP="008953AF">
      <w:pPr>
        <w:pStyle w:val="SingleTxtG"/>
        <w:numPr>
          <w:ilvl w:val="0"/>
          <w:numId w:val="26"/>
        </w:numPr>
        <w:ind w:left="1134" w:firstLine="0"/>
      </w:pPr>
      <w:r>
        <w:t>Le Comité des droits de l’homme a examiné la présente communication en tenant compte de toutes les informations soumises par les parties, conformément au paragraphe 1 de l’article 5 du Protocole facultatif.</w:t>
      </w:r>
    </w:p>
    <w:p w14:paraId="23A8BFFC" w14:textId="77777777" w:rsidR="00B20EB7" w:rsidRDefault="00727E03" w:rsidP="008953AF">
      <w:pPr>
        <w:pStyle w:val="SingleTxtG"/>
        <w:numPr>
          <w:ilvl w:val="0"/>
          <w:numId w:val="26"/>
        </w:numPr>
        <w:ind w:left="1134" w:firstLine="0"/>
      </w:pPr>
      <w:r>
        <w:t>Le Comité note l’allégation de l’auteur</w:t>
      </w:r>
      <w:r w:rsidR="00F93E02">
        <w:t>e</w:t>
      </w:r>
      <w:r>
        <w:t xml:space="preserve"> qui affirme que </w:t>
      </w:r>
      <w:r w:rsidR="00B20EB7">
        <w:t>son licenciement pour faute grave, fondé sur le refus de retirer son foulard islamique</w:t>
      </w:r>
      <w:r w:rsidR="00A921F5">
        <w:t xml:space="preserve"> lorsqu’elle travaillait à la crèche</w:t>
      </w:r>
      <w:r w:rsidR="00B20EB7">
        <w:t>, a violé son droit à la liberté de manifester sa religion en vertu de l’article 18 du Pacte</w:t>
      </w:r>
      <w:r w:rsidR="00FD1C1D">
        <w:t xml:space="preserve"> puisqu’il constituerait une restriction qui</w:t>
      </w:r>
      <w:r w:rsidR="00B20EB7">
        <w:t xml:space="preserve"> ne serait ni prévue par la loi, nécessaire dans une société démocratique</w:t>
      </w:r>
      <w:r w:rsidR="00120AA6">
        <w:t>, ni proportionnée</w:t>
      </w:r>
      <w:r w:rsidR="00B20EB7">
        <w:t xml:space="preserve">. Il prend note de ce que l’État partie estime </w:t>
      </w:r>
      <w:r w:rsidR="00FD7344">
        <w:t xml:space="preserve">que la restriction </w:t>
      </w:r>
      <w:r w:rsidR="00A921F5">
        <w:t xml:space="preserve">à la </w:t>
      </w:r>
      <w:r w:rsidR="00FD7344">
        <w:t>liberté</w:t>
      </w:r>
      <w:r w:rsidR="00A921F5">
        <w:t xml:space="preserve"> de l’auteure</w:t>
      </w:r>
      <w:r w:rsidR="00FD7344">
        <w:t xml:space="preserve"> </w:t>
      </w:r>
      <w:r w:rsidR="00A921F5">
        <w:t xml:space="preserve">de </w:t>
      </w:r>
      <w:r w:rsidR="00FD7344">
        <w:t xml:space="preserve">manifester sa religion est </w:t>
      </w:r>
      <w:r w:rsidR="00A921F5">
        <w:rPr>
          <w:bCs/>
        </w:rPr>
        <w:t>prévue par la loi et est</w:t>
      </w:r>
      <w:r w:rsidR="00A921F5">
        <w:t xml:space="preserve"> </w:t>
      </w:r>
      <w:r w:rsidR="00FD7344">
        <w:t xml:space="preserve">proportionnelle au but légitime de </w:t>
      </w:r>
      <w:r w:rsidR="00FD7344">
        <w:rPr>
          <w:bCs/>
        </w:rPr>
        <w:t xml:space="preserve">la protection des </w:t>
      </w:r>
      <w:r w:rsidR="00E317E9">
        <w:rPr>
          <w:bCs/>
        </w:rPr>
        <w:t>libertés et droits fondamentaux</w:t>
      </w:r>
      <w:r w:rsidR="00FD7344">
        <w:rPr>
          <w:bCs/>
        </w:rPr>
        <w:t xml:space="preserve"> d’autrui, à savoir la liberté de conscience et de religion des enfants fréquentant la crèche</w:t>
      </w:r>
      <w:r w:rsidR="00571AF7">
        <w:rPr>
          <w:bCs/>
        </w:rPr>
        <w:t xml:space="preserve"> et de leurs parents</w:t>
      </w:r>
      <w:r w:rsidR="00FD7344">
        <w:rPr>
          <w:bCs/>
        </w:rPr>
        <w:t>.</w:t>
      </w:r>
    </w:p>
    <w:p w14:paraId="1BD9F8BF" w14:textId="77777777" w:rsidR="00CD4DE8" w:rsidRDefault="00727E03" w:rsidP="008953AF">
      <w:pPr>
        <w:pStyle w:val="SingleTxtG"/>
        <w:numPr>
          <w:ilvl w:val="0"/>
          <w:numId w:val="26"/>
        </w:numPr>
        <w:ind w:left="1134" w:firstLine="0"/>
      </w:pPr>
      <w:r>
        <w:lastRenderedPageBreak/>
        <w:t>Le Comité rappelle</w:t>
      </w:r>
      <w:r w:rsidR="00A921F5">
        <w:t xml:space="preserve"> que, comme indiqué dans</w:t>
      </w:r>
      <w:r>
        <w:t xml:space="preserve"> son observation générale nº 22</w:t>
      </w:r>
      <w:r w:rsidR="008953AF">
        <w:t>, paragraphe 4,</w:t>
      </w:r>
      <w:r>
        <w:t xml:space="preserve"> sur l’article 18 du Pacte</w:t>
      </w:r>
      <w:r w:rsidR="00A921F5">
        <w:t>,</w:t>
      </w:r>
      <w:r>
        <w:t xml:space="preserve"> la liberté de manifester sa religion englobe le port de vêtements o</w:t>
      </w:r>
      <w:r w:rsidR="00FD7344">
        <w:t xml:space="preserve">u de couvre-chefs distinctifs. </w:t>
      </w:r>
      <w:r w:rsidR="00A921F5">
        <w:t xml:space="preserve">Le Comité note également que </w:t>
      </w:r>
      <w:r w:rsidR="00655929">
        <w:t xml:space="preserve">le port d’un foulard couvrant la totalité ou une partie de la chevelure </w:t>
      </w:r>
      <w:r w:rsidR="00FD7344">
        <w:t xml:space="preserve">est </w:t>
      </w:r>
      <w:r w:rsidR="00A921F5">
        <w:t xml:space="preserve">une </w:t>
      </w:r>
      <w:r w:rsidR="00FD7344">
        <w:t xml:space="preserve">pratique habituelle </w:t>
      </w:r>
      <w:r w:rsidR="00A921F5">
        <w:t>pour</w:t>
      </w:r>
      <w:r w:rsidR="00FD7344">
        <w:t xml:space="preserve"> nombre de femmes musulmanes</w:t>
      </w:r>
      <w:r w:rsidR="00571AF7">
        <w:t>,</w:t>
      </w:r>
      <w:r w:rsidR="002531FE">
        <w:t xml:space="preserve"> qui</w:t>
      </w:r>
      <w:r w:rsidR="00095A27">
        <w:t xml:space="preserve"> le </w:t>
      </w:r>
      <w:r w:rsidR="00571AF7">
        <w:t>considèrent comme une partie intégrante de la manifestation de leur conviction religieuse</w:t>
      </w:r>
      <w:r>
        <w:t xml:space="preserve"> Le Comité </w:t>
      </w:r>
      <w:r w:rsidR="00FE19F7">
        <w:t>note</w:t>
      </w:r>
      <w:r w:rsidR="00571AF7">
        <w:t xml:space="preserve"> qu’il en est ainsi pour l’auteure et </w:t>
      </w:r>
      <w:r w:rsidR="00FE19F7">
        <w:t>considère</w:t>
      </w:r>
      <w:r w:rsidR="00571AF7">
        <w:t xml:space="preserve"> donc</w:t>
      </w:r>
      <w:r w:rsidR="00FE19F7">
        <w:t xml:space="preserve"> </w:t>
      </w:r>
      <w:r w:rsidR="00FF4185">
        <w:t xml:space="preserve">que l’interdiction </w:t>
      </w:r>
      <w:r w:rsidR="00571AF7">
        <w:t xml:space="preserve">qui lui a été faite </w:t>
      </w:r>
      <w:r w:rsidR="00FF4185">
        <w:t>de</w:t>
      </w:r>
      <w:r w:rsidR="00CC7A11">
        <w:t xml:space="preserve"> porter</w:t>
      </w:r>
      <w:r w:rsidR="00FF4185">
        <w:t xml:space="preserve"> </w:t>
      </w:r>
      <w:r w:rsidR="00571AF7">
        <w:t xml:space="preserve">son foulard </w:t>
      </w:r>
      <w:r w:rsidR="00540792">
        <w:t xml:space="preserve">sur son lieu de travail </w:t>
      </w:r>
      <w:r w:rsidR="00FF4185">
        <w:t>constitue une</w:t>
      </w:r>
      <w:r w:rsidR="00CD4DE8">
        <w:t xml:space="preserve"> ingérence dans l’exercice </w:t>
      </w:r>
      <w:r w:rsidR="00CB2554">
        <w:t xml:space="preserve">de son </w:t>
      </w:r>
      <w:r w:rsidR="00CD4DE8">
        <w:t>droit à la liberté de manifester sa religion.</w:t>
      </w:r>
      <w:r w:rsidR="001046C3">
        <w:t xml:space="preserve"> </w:t>
      </w:r>
    </w:p>
    <w:p w14:paraId="142874D5" w14:textId="77777777" w:rsidR="00DD5D2B" w:rsidRDefault="00727E03" w:rsidP="00DD5D2B">
      <w:pPr>
        <w:pStyle w:val="SingleTxtG"/>
        <w:numPr>
          <w:ilvl w:val="0"/>
          <w:numId w:val="26"/>
        </w:numPr>
        <w:ind w:left="1134" w:hanging="11"/>
      </w:pPr>
      <w:r>
        <w:t xml:space="preserve">Le </w:t>
      </w:r>
      <w:r w:rsidR="00CD4DE8">
        <w:t xml:space="preserve">Comité doit donc déterminer si </w:t>
      </w:r>
      <w:r>
        <w:t>la restriction à la liberté de l’auteur</w:t>
      </w:r>
      <w:r w:rsidR="00CD4DE8">
        <w:t>e</w:t>
      </w:r>
      <w:r>
        <w:t xml:space="preserve"> de manifester sa religion ou sa conviction (article 18, paragraphe 1) est </w:t>
      </w:r>
      <w:r w:rsidR="008729E5">
        <w:t xml:space="preserve">conforme aux principes énoncés </w:t>
      </w:r>
      <w:r>
        <w:t>par le paragraphe 3 de l’article 18 du Pacte</w:t>
      </w:r>
      <w:r w:rsidR="00E317E9">
        <w:t> : être prévue par la loi et nécessaire pour la protection de la sécurité, de l’ordre et de la santé publique, ou de la morale ou des libertés et droits fondamentaux d’autrui</w:t>
      </w:r>
      <w:r>
        <w:t>.</w:t>
      </w:r>
      <w:r w:rsidR="00DD5D2B">
        <w:t xml:space="preserve"> Le Comité rappelle que, comme indiqué dans son observation générale nº22, paragraphe 8, le paragraphe 3 de l’article 18 « doit être interprété au sens strict : les motifs de restriction qui n’y sont pas spécifiés ne sont pas recevables, même au cas où ils le seraient, au titre d’autres droits protégés par le Pacte, s’agissant de la sécurité nationale, par exemple. Les restrictions ne doivent être appliquées qu’aux fins pour lesquelles elles ont été prescrites et doivent être en rapport direct avec l’objectif spécifique qui les inspire et proportionnelles à celui-ci. Il ne peut être imposé de restrictions à des fins discriminatoires ni de façon discriminatoire ».</w:t>
      </w:r>
    </w:p>
    <w:p w14:paraId="6F16C0C1" w14:textId="77777777" w:rsidR="007C20DB" w:rsidRDefault="00CC7A11" w:rsidP="008953AF">
      <w:pPr>
        <w:pStyle w:val="SingleTxtG"/>
        <w:numPr>
          <w:ilvl w:val="0"/>
          <w:numId w:val="26"/>
        </w:numPr>
        <w:ind w:left="1134" w:firstLine="0"/>
      </w:pPr>
      <w:r>
        <w:t>Dans le cas présent, l</w:t>
      </w:r>
      <w:r w:rsidR="00DD5D2B">
        <w:t>e</w:t>
      </w:r>
      <w:r w:rsidR="007C20DB">
        <w:t xml:space="preserve"> Comité note que, selon l’auteure, la restriction qu’elle a subie </w:t>
      </w:r>
      <w:r w:rsidR="002531FE">
        <w:t>n’était</w:t>
      </w:r>
      <w:r w:rsidR="007C20DB">
        <w:t xml:space="preserve"> pas prévue par la loi</w:t>
      </w:r>
      <w:r w:rsidR="00BE2C3F">
        <w:t xml:space="preserve"> puisque le Code du travail applicable ne permettrait pas</w:t>
      </w:r>
      <w:r w:rsidR="00A3555E">
        <w:t xml:space="preserve"> l’adoption</w:t>
      </w:r>
      <w:r w:rsidR="00BE2C3F">
        <w:t xml:space="preserve"> de clauses restrictives dans les règlements intérieurs telles que celle qui lui a été appliquée. Le Comité note</w:t>
      </w:r>
      <w:r w:rsidR="00366A30">
        <w:t xml:space="preserve"> également</w:t>
      </w:r>
      <w:r w:rsidR="00BE2C3F">
        <w:t xml:space="preserve"> </w:t>
      </w:r>
      <w:r w:rsidR="007440B8">
        <w:t>l’argument de</w:t>
      </w:r>
      <w:r w:rsidR="00BE2C3F">
        <w:t xml:space="preserve"> l’État partie</w:t>
      </w:r>
      <w:r w:rsidR="007440B8">
        <w:t xml:space="preserve"> selon lequel</w:t>
      </w:r>
      <w:r w:rsidR="00BE2C3F">
        <w:t xml:space="preserve"> les </w:t>
      </w:r>
      <w:r w:rsidR="00BE2C3F">
        <w:rPr>
          <w:bCs/>
        </w:rPr>
        <w:t xml:space="preserve">articles L. 1121-1 et 1321-3 du </w:t>
      </w:r>
      <w:r w:rsidR="00366A30">
        <w:rPr>
          <w:bCs/>
        </w:rPr>
        <w:t>C</w:t>
      </w:r>
      <w:r w:rsidR="00BE2C3F">
        <w:rPr>
          <w:bCs/>
        </w:rPr>
        <w:t>ode de travail</w:t>
      </w:r>
      <w:r w:rsidR="002531FE">
        <w:rPr>
          <w:bCs/>
        </w:rPr>
        <w:t xml:space="preserve"> prévoyaient la possibilité d’introduire des clauses restrictives sous certaines conditions, qu’il considère remplies dans le cas d’espèce</w:t>
      </w:r>
      <w:r w:rsidR="00BE2C3F">
        <w:t xml:space="preserve">. </w:t>
      </w:r>
      <w:r w:rsidR="00366A30">
        <w:t xml:space="preserve">Le Comité prend également note de ce qu’aucun élément du dossier n’indique ou ne permet de </w:t>
      </w:r>
      <w:r w:rsidR="00E21B65">
        <w:t>conclu</w:t>
      </w:r>
      <w:r w:rsidR="008D5498">
        <w:t>r</w:t>
      </w:r>
      <w:r w:rsidR="00E21B65">
        <w:t>e que le règlement n’</w:t>
      </w:r>
      <w:r w:rsidR="00366A30">
        <w:t>aur</w:t>
      </w:r>
      <w:r w:rsidR="00E21B65">
        <w:t>a</w:t>
      </w:r>
      <w:r w:rsidR="00366A30">
        <w:t>it pas</w:t>
      </w:r>
      <w:r w:rsidR="00E21B65">
        <w:t xml:space="preserve"> été adopté en accord avec la loi</w:t>
      </w:r>
      <w:r w:rsidR="00366A30">
        <w:t xml:space="preserve"> en vigueur</w:t>
      </w:r>
      <w:r w:rsidR="00E21B65">
        <w:t xml:space="preserve">. Il ne peut donc pas être </w:t>
      </w:r>
      <w:r w:rsidR="00E317E9">
        <w:t xml:space="preserve">conclu </w:t>
      </w:r>
      <w:r w:rsidR="00E21B65">
        <w:t>qu</w:t>
      </w:r>
      <w:r w:rsidR="00BE2C3F">
        <w:t xml:space="preserve">e la restriction dont l’auteure a fait l’objet </w:t>
      </w:r>
      <w:r w:rsidR="00E21B65">
        <w:t>n’</w:t>
      </w:r>
      <w:r w:rsidR="00BE2C3F">
        <w:t>était</w:t>
      </w:r>
      <w:r w:rsidR="00E21B65">
        <w:t xml:space="preserve"> pas</w:t>
      </w:r>
      <w:r w:rsidR="00BE2C3F">
        <w:t xml:space="preserve"> prévu</w:t>
      </w:r>
      <w:r w:rsidR="00E21B65">
        <w:t>e</w:t>
      </w:r>
      <w:r w:rsidR="00BE2C3F">
        <w:t xml:space="preserve"> par la loi.</w:t>
      </w:r>
    </w:p>
    <w:p w14:paraId="56EDA0DA" w14:textId="77777777" w:rsidR="006449CB" w:rsidRDefault="00A3555E" w:rsidP="006449CB">
      <w:pPr>
        <w:pStyle w:val="SingleTxtG"/>
        <w:numPr>
          <w:ilvl w:val="0"/>
          <w:numId w:val="26"/>
        </w:numPr>
        <w:ind w:left="1134" w:hanging="11"/>
      </w:pPr>
      <w:r>
        <w:t>La question pour le Comité est donc de déterminer si la restriction subie par l’auteure peut être considérée comme</w:t>
      </w:r>
      <w:r w:rsidR="008729E5">
        <w:t xml:space="preserve"> </w:t>
      </w:r>
      <w:r w:rsidR="006449CB">
        <w:t>« </w:t>
      </w:r>
      <w:r w:rsidR="006449CB" w:rsidRPr="006449CB">
        <w:t>nécessaires à la protection de la sécurité, de l'ordre et de la santé publique, ou de la morale ou des libertés et droits fondamentaux d'autrui</w:t>
      </w:r>
      <w:r w:rsidR="006449CB">
        <w:t xml:space="preserve"> », conformément </w:t>
      </w:r>
      <w:r w:rsidR="001046C3">
        <w:t>au paragraphe 3 de l’article 18 du Pacte</w:t>
      </w:r>
      <w:r w:rsidR="001046C3" w:rsidRPr="001046C3">
        <w:t xml:space="preserve">. </w:t>
      </w:r>
      <w:r w:rsidR="00BC7F0E">
        <w:t xml:space="preserve">A cet égard, le Comité </w:t>
      </w:r>
      <w:r w:rsidR="006449CB">
        <w:t>rappelle que, selon le paragraphe 8 de son observation générale nº22</w:t>
      </w:r>
      <w:r w:rsidR="003F4B01">
        <w:rPr>
          <w:rStyle w:val="FootnoteReference"/>
        </w:rPr>
        <w:footnoteReference w:id="18"/>
      </w:r>
      <w:r w:rsidR="006449CB">
        <w:t xml:space="preserve">, les restrictions « doivent être en rapport direct avec l’objectif spécifique qui les inspire et proportionnelles à celui-ci ». Il fait également référence </w:t>
      </w:r>
      <w:r w:rsidR="006449CB" w:rsidRPr="003E1299">
        <w:rPr>
          <w:bCs/>
        </w:rPr>
        <w:t xml:space="preserve">aux critères établis par </w:t>
      </w:r>
      <w:r w:rsidR="006449CB">
        <w:t>la Rapporteuse spéciale sur la liberté de religion ou de conviction</w:t>
      </w:r>
      <w:r w:rsidR="008E58F1">
        <w:t xml:space="preserve"> </w:t>
      </w:r>
      <w:r w:rsidR="006449CB">
        <w:t>pour déterminer si le principe de proportionnalité est respecté lorsqu’une restriction est constatée</w:t>
      </w:r>
      <w:r w:rsidR="006449CB">
        <w:rPr>
          <w:rStyle w:val="FootnoteReference"/>
        </w:rPr>
        <w:footnoteReference w:id="19"/>
      </w:r>
      <w:r w:rsidR="009132AE">
        <w:t>.</w:t>
      </w:r>
    </w:p>
    <w:p w14:paraId="6E24C616" w14:textId="3C3BA4B9" w:rsidR="00256DA2" w:rsidRDefault="007371F3" w:rsidP="000F2FA1">
      <w:pPr>
        <w:pStyle w:val="SingleTxtG"/>
      </w:pPr>
      <w:r>
        <w:t>8.7</w:t>
      </w:r>
      <w:r>
        <w:tab/>
      </w:r>
      <w:r w:rsidR="006449CB">
        <w:t xml:space="preserve">Au vu de ce qui précède, le Comité prend </w:t>
      </w:r>
      <w:r w:rsidR="00BC7F0E">
        <w:t>note</w:t>
      </w:r>
      <w:r w:rsidR="006449CB">
        <w:t xml:space="preserve"> de</w:t>
      </w:r>
      <w:r w:rsidR="00BC7F0E">
        <w:t xml:space="preserve"> </w:t>
      </w:r>
      <w:r w:rsidR="009434FE">
        <w:t xml:space="preserve">l’argument de l’État </w:t>
      </w:r>
      <w:r w:rsidR="00BC7F0E">
        <w:t xml:space="preserve">partie </w:t>
      </w:r>
      <w:r w:rsidR="009434FE">
        <w:t xml:space="preserve">selon lequel </w:t>
      </w:r>
      <w:r w:rsidR="009434FE" w:rsidRPr="009434FE">
        <w:t>la restriction dont l’auteure a fait l’objet avait un but légitime, à savoir la protection des droits et libertés d</w:t>
      </w:r>
      <w:r w:rsidR="00750F91">
        <w:t>es enfants et de leurs parents</w:t>
      </w:r>
      <w:r w:rsidR="00B55313">
        <w:t>.</w:t>
      </w:r>
      <w:r w:rsidR="00E317E9">
        <w:t xml:space="preserve"> Le Comité comprend cet argument comme faisant référence à la protection des libertés et droits fondamentaux d’autrui tel que prévu</w:t>
      </w:r>
      <w:r w:rsidR="00BF446B">
        <w:t>e</w:t>
      </w:r>
      <w:r w:rsidR="00E317E9">
        <w:t xml:space="preserve"> par l’article 18 (3) du Pacte.</w:t>
      </w:r>
      <w:r w:rsidR="00B55313">
        <w:t xml:space="preserve"> Il </w:t>
      </w:r>
      <w:r w:rsidR="00BC7F0E">
        <w:t>note également que</w:t>
      </w:r>
      <w:r w:rsidR="00BF446B">
        <w:t>, faisant référence à la jurisprudence de la Cour européenne des droits de l’homme,</w:t>
      </w:r>
      <w:r w:rsidR="00BC7F0E">
        <w:t xml:space="preserve"> l’État partie</w:t>
      </w:r>
      <w:r w:rsidR="00BF446B">
        <w:t xml:space="preserve"> soumet que</w:t>
      </w:r>
      <w:r w:rsidR="00BC7F0E">
        <w:t xml:space="preserve"> </w:t>
      </w:r>
      <w:r w:rsidR="009434FE" w:rsidRPr="009434FE">
        <w:t>le foulard islamique n’est pas « un signe passif » m</w:t>
      </w:r>
      <w:r w:rsidR="009434FE">
        <w:t>ais un « signe extérieur fort</w:t>
      </w:r>
      <w:r w:rsidR="00A117AD">
        <w:t xml:space="preserve"> </w:t>
      </w:r>
      <w:r w:rsidR="009434FE">
        <w:t>»</w:t>
      </w:r>
      <w:r w:rsidR="00BC7F0E">
        <w:t> ; que</w:t>
      </w:r>
      <w:r w:rsidR="009434FE">
        <w:t xml:space="preserve"> l</w:t>
      </w:r>
      <w:r w:rsidR="009434FE" w:rsidRPr="009434FE">
        <w:t xml:space="preserve">a crèche est un lieu d’accueil et de stabilité sociale d’enfants en bas âge, particulièrement influençables et réceptifs à leur environnement, qui n’ont pas à être confrontés à des </w:t>
      </w:r>
      <w:r w:rsidR="00BC7F0E">
        <w:t>« </w:t>
      </w:r>
      <w:r w:rsidR="009434FE" w:rsidRPr="009434FE">
        <w:t xml:space="preserve">manifestations </w:t>
      </w:r>
      <w:r w:rsidR="009434FE" w:rsidRPr="009434FE">
        <w:lastRenderedPageBreak/>
        <w:t>ostentatoires d’appartenance religieuse</w:t>
      </w:r>
      <w:r w:rsidR="00BC7F0E">
        <w:t> »</w:t>
      </w:r>
      <w:r w:rsidR="009434FE" w:rsidRPr="009434FE">
        <w:t xml:space="preserve">. </w:t>
      </w:r>
      <w:r w:rsidR="009434FE">
        <w:t>Le Comité prend également note</w:t>
      </w:r>
      <w:r w:rsidR="001E1F8A">
        <w:t xml:space="preserve"> </w:t>
      </w:r>
      <w:r w:rsidR="00BC7F0E">
        <w:t xml:space="preserve">que selon l’auteure, seul un acte de pression ou prosélytisme pourrait porter atteinte aux </w:t>
      </w:r>
      <w:r w:rsidR="00A933F7">
        <w:t>libertés et droits fondamentaux</w:t>
      </w:r>
      <w:r w:rsidR="00BC7F0E">
        <w:t xml:space="preserve"> d’autrui, alors que le port d’un voile ne constitue pas un tel acte et n’interdit en rien aux parents de guider librement leurs enfants dans l’exercice de leur liberté de conscience et de religion. Le Comité note aussi l’argument de l’auteure selon lequel</w:t>
      </w:r>
      <w:r w:rsidR="001E1F8A">
        <w:rPr>
          <w:bCs/>
        </w:rPr>
        <w:t xml:space="preserve"> </w:t>
      </w:r>
      <w:r w:rsidR="00BC7F0E">
        <w:rPr>
          <w:bCs/>
        </w:rPr>
        <w:t xml:space="preserve">la </w:t>
      </w:r>
      <w:r w:rsidR="001E1F8A">
        <w:rPr>
          <w:bCs/>
        </w:rPr>
        <w:t xml:space="preserve">neutralité </w:t>
      </w:r>
      <w:r w:rsidR="00BC7F0E">
        <w:rPr>
          <w:bCs/>
        </w:rPr>
        <w:t>totale et permanente</w:t>
      </w:r>
      <w:r w:rsidR="00922AD6">
        <w:rPr>
          <w:bCs/>
        </w:rPr>
        <w:t xml:space="preserve"> des salariés de la crèche n’était pas nécessaire</w:t>
      </w:r>
      <w:r w:rsidR="00BC7F0E">
        <w:rPr>
          <w:bCs/>
        </w:rPr>
        <w:t xml:space="preserve"> </w:t>
      </w:r>
      <w:r w:rsidR="001E1F8A">
        <w:rPr>
          <w:bCs/>
        </w:rPr>
        <w:t xml:space="preserve">pour préserver la liberté de conscience des enfants et le choix éducatif </w:t>
      </w:r>
      <w:r w:rsidR="00BC7F0E">
        <w:rPr>
          <w:bCs/>
        </w:rPr>
        <w:t xml:space="preserve">de leurs </w:t>
      </w:r>
      <w:r w:rsidR="001E1F8A">
        <w:rPr>
          <w:bCs/>
        </w:rPr>
        <w:t xml:space="preserve">parents </w:t>
      </w:r>
      <w:r w:rsidR="003235F4">
        <w:rPr>
          <w:bCs/>
        </w:rPr>
        <w:t>puis</w:t>
      </w:r>
      <w:r w:rsidR="00750F91">
        <w:rPr>
          <w:bCs/>
        </w:rPr>
        <w:t xml:space="preserve">que les parents </w:t>
      </w:r>
      <w:r w:rsidR="00922AD6">
        <w:rPr>
          <w:bCs/>
        </w:rPr>
        <w:t>n’avaient</w:t>
      </w:r>
      <w:r w:rsidR="00750F91">
        <w:rPr>
          <w:bCs/>
        </w:rPr>
        <w:t xml:space="preserve"> jamais indiqué ou démontré qu’ils avaient adhéré à l’association </w:t>
      </w:r>
      <w:r w:rsidR="00BC7F0E">
        <w:rPr>
          <w:bCs/>
        </w:rPr>
        <w:t>en</w:t>
      </w:r>
      <w:r w:rsidR="00750F91">
        <w:rPr>
          <w:bCs/>
        </w:rPr>
        <w:t xml:space="preserve"> raison de la neutralité imposée à ses salariés</w:t>
      </w:r>
      <w:r w:rsidR="00BC7F0E">
        <w:rPr>
          <w:bCs/>
        </w:rPr>
        <w:t>, et ce d’autant plus que le</w:t>
      </w:r>
      <w:r w:rsidR="00750F91">
        <w:rPr>
          <w:bCs/>
        </w:rPr>
        <w:t xml:space="preserve"> principe</w:t>
      </w:r>
      <w:r w:rsidR="00BC7F0E">
        <w:rPr>
          <w:bCs/>
        </w:rPr>
        <w:t xml:space="preserve"> de neutralité des salariés</w:t>
      </w:r>
      <w:r w:rsidR="00750F91">
        <w:rPr>
          <w:bCs/>
        </w:rPr>
        <w:t xml:space="preserve"> figurait dans le règlement intérieur de la crèche</w:t>
      </w:r>
      <w:r w:rsidR="00BC7F0E">
        <w:rPr>
          <w:bCs/>
        </w:rPr>
        <w:t>,</w:t>
      </w:r>
      <w:r w:rsidR="00750F91">
        <w:rPr>
          <w:bCs/>
        </w:rPr>
        <w:t xml:space="preserve"> mais </w:t>
      </w:r>
      <w:r w:rsidR="00BC7F0E">
        <w:rPr>
          <w:bCs/>
        </w:rPr>
        <w:t>pas</w:t>
      </w:r>
      <w:r w:rsidR="00750F91">
        <w:rPr>
          <w:bCs/>
        </w:rPr>
        <w:t xml:space="preserve"> dans le</w:t>
      </w:r>
      <w:r w:rsidR="00922AD6">
        <w:rPr>
          <w:bCs/>
        </w:rPr>
        <w:t>s</w:t>
      </w:r>
      <w:r w:rsidR="00750F91">
        <w:rPr>
          <w:bCs/>
        </w:rPr>
        <w:t xml:space="preserve"> statut</w:t>
      </w:r>
      <w:r w:rsidR="00922AD6">
        <w:rPr>
          <w:bCs/>
        </w:rPr>
        <w:t>s</w:t>
      </w:r>
      <w:r w:rsidR="00750F91">
        <w:rPr>
          <w:bCs/>
        </w:rPr>
        <w:t xml:space="preserve"> de l’association</w:t>
      </w:r>
      <w:r w:rsidR="00951EDA">
        <w:rPr>
          <w:bCs/>
        </w:rPr>
        <w:t>. L</w:t>
      </w:r>
      <w:r w:rsidR="00BC7F0E">
        <w:rPr>
          <w:bCs/>
        </w:rPr>
        <w:t>e Comité note enfin la perception de l</w:t>
      </w:r>
      <w:r w:rsidR="00951EDA">
        <w:rPr>
          <w:bCs/>
        </w:rPr>
        <w:t xml:space="preserve">’auteure </w:t>
      </w:r>
      <w:r w:rsidR="00922AD6">
        <w:rPr>
          <w:bCs/>
        </w:rPr>
        <w:t xml:space="preserve">selon laquelle les observations de l’État partie semblent indiquer que </w:t>
      </w:r>
      <w:r w:rsidR="00951EDA">
        <w:rPr>
          <w:bCs/>
        </w:rPr>
        <w:t xml:space="preserve">les enfants ne devraient </w:t>
      </w:r>
      <w:r w:rsidR="00922AD6">
        <w:rPr>
          <w:bCs/>
        </w:rPr>
        <w:t xml:space="preserve">jamais </w:t>
      </w:r>
      <w:r w:rsidR="00951EDA">
        <w:rPr>
          <w:bCs/>
        </w:rPr>
        <w:t xml:space="preserve">être approchés par une femme </w:t>
      </w:r>
      <w:r w:rsidR="002D6D8B">
        <w:rPr>
          <w:bCs/>
        </w:rPr>
        <w:t>voilée</w:t>
      </w:r>
      <w:r w:rsidR="00256DA2">
        <w:rPr>
          <w:bCs/>
        </w:rPr>
        <w:t xml:space="preserve"> et qu’elle trouve cette position choquante</w:t>
      </w:r>
      <w:r w:rsidR="002D6D8B">
        <w:rPr>
          <w:bCs/>
        </w:rPr>
        <w:t>.</w:t>
      </w:r>
      <w:r w:rsidR="001E1F8A">
        <w:rPr>
          <w:bCs/>
        </w:rPr>
        <w:t xml:space="preserve"> </w:t>
      </w:r>
    </w:p>
    <w:p w14:paraId="1711D4A4" w14:textId="77777777" w:rsidR="000F2FA1" w:rsidRDefault="007371F3" w:rsidP="000F2FA1">
      <w:pPr>
        <w:pStyle w:val="SingleTxtG"/>
        <w:ind w:left="1123"/>
      </w:pPr>
      <w:r>
        <w:t>8.8</w:t>
      </w:r>
      <w:r>
        <w:tab/>
      </w:r>
      <w:r w:rsidR="001E1F8A">
        <w:t xml:space="preserve">Le Comité observe </w:t>
      </w:r>
      <w:r w:rsidR="00922AD6">
        <w:t xml:space="preserve">par ailleurs </w:t>
      </w:r>
      <w:r w:rsidR="001E1F8A">
        <w:t>que</w:t>
      </w:r>
      <w:r w:rsidR="00922AD6">
        <w:t xml:space="preserve"> l’É</w:t>
      </w:r>
      <w:r w:rsidR="001E1F8A">
        <w:t>tat partie</w:t>
      </w:r>
      <w:r w:rsidR="00951EDA" w:rsidRPr="00951EDA">
        <w:t xml:space="preserve"> n’explique pas en quelles mesures le port du foul</w:t>
      </w:r>
      <w:r w:rsidR="00951EDA">
        <w:t xml:space="preserve">ard serait incompatible avec la stabilité sociale et l’accueil promus au sein de la crèche. Il observe aussi que </w:t>
      </w:r>
      <w:r w:rsidR="00922AD6">
        <w:t xml:space="preserve">les arguments présentés par </w:t>
      </w:r>
      <w:r w:rsidR="00951EDA">
        <w:t>l’État partie n’explique</w:t>
      </w:r>
      <w:r w:rsidR="00922AD6">
        <w:t>nt</w:t>
      </w:r>
      <w:r w:rsidR="00951EDA">
        <w:t xml:space="preserve"> pas pourquoi le foulard serait incompatible avec le but de l’association gérant la crèche de « développer une action orientée vers la petite enfance en milieu défavorisé, et en même temps d’œuvrer pour l’insertion sociale et professionnelle des femmes du quartier »</w:t>
      </w:r>
      <w:r w:rsidR="00BC0895">
        <w:t>, d’autant plus qu</w:t>
      </w:r>
      <w:r w:rsidR="00922AD6">
        <w:t>e l</w:t>
      </w:r>
      <w:r w:rsidR="00BC0895">
        <w:t>’un des objectifs de l’association est de « permettre l’insertion économique, sociale et culturelle des femmes (…) sans distinction d’opinion politique ou confessionnelle »</w:t>
      </w:r>
      <w:r w:rsidR="00922AD6">
        <w:t>. L’insertion de l’auteure, quelle que soit son opinion confessionnelle, s’inscrivait bien dans cet objectif</w:t>
      </w:r>
      <w:r w:rsidR="00CD643F">
        <w:t>.</w:t>
      </w:r>
      <w:r w:rsidR="00922AD6">
        <w:t xml:space="preserve"> </w:t>
      </w:r>
      <w:r w:rsidR="00BC0895">
        <w:t xml:space="preserve">Enfin, </w:t>
      </w:r>
      <w:r w:rsidR="00836CF8">
        <w:t xml:space="preserve">le Comité </w:t>
      </w:r>
      <w:r w:rsidR="00785BB0">
        <w:t xml:space="preserve">considère </w:t>
      </w:r>
      <w:r w:rsidR="00836CF8">
        <w:t xml:space="preserve">que </w:t>
      </w:r>
      <w:r w:rsidR="00BC0895">
        <w:t>l’État partie</w:t>
      </w:r>
      <w:r w:rsidR="00951EDA">
        <w:t xml:space="preserve"> </w:t>
      </w:r>
      <w:r w:rsidR="001E1F8A">
        <w:t xml:space="preserve">n’a pas </w:t>
      </w:r>
      <w:r w:rsidR="00C54A79">
        <w:t xml:space="preserve">apporté </w:t>
      </w:r>
      <w:r w:rsidR="00C96848">
        <w:t xml:space="preserve">de </w:t>
      </w:r>
      <w:r w:rsidR="00C54A79">
        <w:t>justification</w:t>
      </w:r>
      <w:r w:rsidR="00A933F7">
        <w:t xml:space="preserve"> suffisante</w:t>
      </w:r>
      <w:r w:rsidR="00FF5339">
        <w:t xml:space="preserve"> </w:t>
      </w:r>
      <w:r w:rsidR="00785BB0">
        <w:t xml:space="preserve">qui permette de conclure que </w:t>
      </w:r>
      <w:r w:rsidR="001E1F8A">
        <w:t xml:space="preserve">le port d’un foulard </w:t>
      </w:r>
      <w:r w:rsidR="00C54A79">
        <w:t>par une</w:t>
      </w:r>
      <w:r w:rsidR="001E1F8A">
        <w:t xml:space="preserve"> éducatrice de la crèche porterait atteinte aux </w:t>
      </w:r>
      <w:r w:rsidR="00A933F7">
        <w:t>libertés et droits fondamentaux</w:t>
      </w:r>
      <w:r w:rsidR="001E1F8A">
        <w:t xml:space="preserve"> des enfants et </w:t>
      </w:r>
      <w:r w:rsidR="0060287E">
        <w:t xml:space="preserve">des </w:t>
      </w:r>
      <w:r w:rsidR="001E1F8A">
        <w:t>parents la fréquentant</w:t>
      </w:r>
      <w:r w:rsidR="00B42E07">
        <w:t xml:space="preserve">. </w:t>
      </w:r>
    </w:p>
    <w:p w14:paraId="36AE7DFA" w14:textId="16CB79F1" w:rsidR="00B42E07" w:rsidRDefault="007371F3" w:rsidP="000F2FA1">
      <w:pPr>
        <w:pStyle w:val="SingleTxtG"/>
        <w:ind w:left="1123"/>
      </w:pPr>
      <w:r>
        <w:t>8.9</w:t>
      </w:r>
      <w:r>
        <w:tab/>
      </w:r>
      <w:r w:rsidR="006449CB">
        <w:t>Pour ce qui est de la proportionnalité de la mesure, l</w:t>
      </w:r>
      <w:r w:rsidR="003E1299">
        <w:t xml:space="preserve">e Comité </w:t>
      </w:r>
      <w:r w:rsidR="00750F91">
        <w:t>prend note</w:t>
      </w:r>
      <w:r w:rsidR="005E5E60">
        <w:t xml:space="preserve"> </w:t>
      </w:r>
      <w:r w:rsidR="003E1299">
        <w:t>des arguments de l’État partie soulignant</w:t>
      </w:r>
      <w:r w:rsidR="003E1299" w:rsidRPr="003E1299">
        <w:t xml:space="preserve"> l’importance de ce que les États parties jouissent d’une certaine marge d’appréciation pour déterminer si et dans quelle mesure une ingérence est nécessaire</w:t>
      </w:r>
      <w:r w:rsidR="003E1299">
        <w:t> ; ainsi que du fait</w:t>
      </w:r>
      <w:r w:rsidR="003E1299" w:rsidRPr="003E1299">
        <w:t xml:space="preserve"> que la restriction imposée ne s’appliqu</w:t>
      </w:r>
      <w:r w:rsidR="003E1299">
        <w:t>ait</w:t>
      </w:r>
      <w:r w:rsidR="003E1299" w:rsidRPr="003E1299">
        <w:t xml:space="preserve"> pas en dehors du champ d’activités de la crèche et se limit</w:t>
      </w:r>
      <w:r w:rsidR="003E1299">
        <w:t>ait</w:t>
      </w:r>
      <w:r w:rsidR="003E1299" w:rsidRPr="003E1299">
        <w:t xml:space="preserve"> aux activités entrainant le contact du personnel avec les enfants. </w:t>
      </w:r>
      <w:r w:rsidR="003E1299">
        <w:t>Toutefois, le Comité note</w:t>
      </w:r>
      <w:r w:rsidR="006449CB">
        <w:t xml:space="preserve"> également</w:t>
      </w:r>
      <w:r w:rsidR="003E1299">
        <w:t xml:space="preserve"> que selon </w:t>
      </w:r>
      <w:r w:rsidR="00750F91">
        <w:t>l’auteure</w:t>
      </w:r>
      <w:r w:rsidR="00256DA2">
        <w:t>, qui avait utilisé un foulard depuis 1994, même au travail,</w:t>
      </w:r>
      <w:r w:rsidR="00750F91">
        <w:t xml:space="preserve"> </w:t>
      </w:r>
      <w:r w:rsidR="00EA0181">
        <w:t>la restriction</w:t>
      </w:r>
      <w:r w:rsidR="005E5E60">
        <w:t xml:space="preserve"> qui lui a été </w:t>
      </w:r>
      <w:r w:rsidR="00DC1976">
        <w:t>imposée n’était</w:t>
      </w:r>
      <w:r w:rsidR="00EA0181">
        <w:t xml:space="preserve"> pas proportionné</w:t>
      </w:r>
      <w:r w:rsidR="00836CF8">
        <w:t>e</w:t>
      </w:r>
      <w:r w:rsidR="00F322CE">
        <w:t xml:space="preserve"> </w:t>
      </w:r>
      <w:r w:rsidR="00EA0181">
        <w:t>puisqu</w:t>
      </w:r>
      <w:r w:rsidR="005E5E60">
        <w:t>’elle a donné lieu, sans autre motif que son refus de retirer son foulard, à son licenciement pour « faute grave »</w:t>
      </w:r>
      <w:r w:rsidR="005A56ED" w:rsidRPr="005A56ED">
        <w:t xml:space="preserve">, qualification particulièrement </w:t>
      </w:r>
      <w:proofErr w:type="spellStart"/>
      <w:r w:rsidR="005A56ED" w:rsidRPr="005A56ED">
        <w:t>stigmatisante</w:t>
      </w:r>
      <w:proofErr w:type="spellEnd"/>
      <w:r w:rsidR="005A56ED" w:rsidRPr="005A56ED">
        <w:t xml:space="preserve"> et privative</w:t>
      </w:r>
      <w:r w:rsidR="00EA0181">
        <w:t xml:space="preserve"> de toute indemnité de rupture</w:t>
      </w:r>
      <w:r w:rsidR="00EA0181" w:rsidRPr="003E1299">
        <w:t xml:space="preserve">. </w:t>
      </w:r>
      <w:r w:rsidR="0060287E">
        <w:t>Il</w:t>
      </w:r>
      <w:r w:rsidR="00C96848">
        <w:t xml:space="preserve"> note que </w:t>
      </w:r>
      <w:r w:rsidR="00256DA2">
        <w:t xml:space="preserve">l’information fournie par </w:t>
      </w:r>
      <w:r w:rsidR="00C96848">
        <w:t xml:space="preserve">l’État partie ne </w:t>
      </w:r>
      <w:r w:rsidR="00256DA2">
        <w:t>permet pas</w:t>
      </w:r>
      <w:r w:rsidR="00C96848">
        <w:t xml:space="preserve"> de conclure que l’interdiction du port du foulard dans les </w:t>
      </w:r>
      <w:r w:rsidR="00C96848" w:rsidRPr="002F5069">
        <w:t xml:space="preserve">circonstances du cas d’espèce pouvait contribuer aux objectifs de la crèche, </w:t>
      </w:r>
      <w:r w:rsidR="00256DA2">
        <w:t>ou à</w:t>
      </w:r>
      <w:r w:rsidR="00FE121D">
        <w:t xml:space="preserve"> ce</w:t>
      </w:r>
      <w:r w:rsidR="00A933F7">
        <w:t xml:space="preserve"> qu’une</w:t>
      </w:r>
      <w:r w:rsidR="00C96848" w:rsidRPr="002F5069">
        <w:t xml:space="preserve"> communauté religieuse</w:t>
      </w:r>
      <w:r w:rsidR="00A933F7">
        <w:t xml:space="preserve"> ne </w:t>
      </w:r>
      <w:r w:rsidR="00A12BF2">
        <w:t>soit</w:t>
      </w:r>
      <w:r w:rsidR="00A933F7">
        <w:t xml:space="preserve"> pas stigmatisée</w:t>
      </w:r>
      <w:r w:rsidR="00C96848" w:rsidRPr="002F5069">
        <w:t>.</w:t>
      </w:r>
      <w:r w:rsidR="00C96848">
        <w:t xml:space="preserve"> Le Comité rappelle finalement que le port d’un foulard </w:t>
      </w:r>
      <w:r w:rsidR="006449CB">
        <w:t>ne saurait</w:t>
      </w:r>
      <w:r w:rsidR="00C96848">
        <w:t xml:space="preserve"> en soi</w:t>
      </w:r>
      <w:r w:rsidR="006449CB">
        <w:t xml:space="preserve"> être considéré comme</w:t>
      </w:r>
      <w:r w:rsidR="00C96848">
        <w:t xml:space="preserve"> constitutif d’un acte de prosélytisme.</w:t>
      </w:r>
      <w:r w:rsidR="00DC1976">
        <w:t xml:space="preserve"> </w:t>
      </w:r>
      <w:r w:rsidR="00CD643F" w:rsidRPr="00DC1976">
        <w:t xml:space="preserve">Le Comité considère </w:t>
      </w:r>
      <w:r w:rsidR="00DC1976" w:rsidRPr="00DC1976">
        <w:t>donc que la restriction imposée et son application dans le cas de l’auteure n’est donc pas une mesure proportionnée à l’objectif recherché</w:t>
      </w:r>
      <w:r w:rsidR="00DC1976">
        <w:t>.</w:t>
      </w:r>
      <w:r w:rsidR="00A6293E">
        <w:t xml:space="preserve"> </w:t>
      </w:r>
      <w:r w:rsidR="000675CE">
        <w:t xml:space="preserve">Au regard de ce qui précède, le </w:t>
      </w:r>
      <w:r w:rsidR="00B42E07">
        <w:t>Comité considère</w:t>
      </w:r>
      <w:r w:rsidR="000675CE">
        <w:t xml:space="preserve"> que l’obligation imposée à l’auteure de retirer son foulard lors de sa présence à la crèche et</w:t>
      </w:r>
      <w:r w:rsidR="000675CE" w:rsidRPr="003E1299">
        <w:t xml:space="preserve"> </w:t>
      </w:r>
      <w:r w:rsidR="000675CE">
        <w:t>son</w:t>
      </w:r>
      <w:r w:rsidR="000675CE" w:rsidRPr="003E1299">
        <w:t xml:space="preserve"> </w:t>
      </w:r>
      <w:r w:rsidR="000675CE">
        <w:t xml:space="preserve">licenciement pour faute grave qui a suivi son refus d’agir en ce sens ne sauraient être considérés comme conformes aux principes du paragraphe 3 de l’article 18 du Pacte. </w:t>
      </w:r>
      <w:r w:rsidR="00B42E07">
        <w:t xml:space="preserve">Il conclut donc que </w:t>
      </w:r>
      <w:r w:rsidR="000675CE">
        <w:t xml:space="preserve">la restriction </w:t>
      </w:r>
      <w:r w:rsidR="00B42E07">
        <w:t>établie par le règlement intérieur de la crèche</w:t>
      </w:r>
      <w:r w:rsidR="000675CE">
        <w:t xml:space="preserve"> et sa mise en œuvre constituent</w:t>
      </w:r>
      <w:r w:rsidR="00B42E07">
        <w:t xml:space="preserve"> une restriction portant atteinte à la liberté de religion de l’auteure </w:t>
      </w:r>
      <w:r w:rsidR="000675CE">
        <w:t>en</w:t>
      </w:r>
      <w:r w:rsidR="00B42E07">
        <w:t xml:space="preserve"> violation de l’article 18 du Pacte.</w:t>
      </w:r>
    </w:p>
    <w:p w14:paraId="5F23BA7B" w14:textId="1D72F1D8" w:rsidR="00F306E8" w:rsidRPr="00F306E8" w:rsidRDefault="007371F3" w:rsidP="000F2FA1">
      <w:pPr>
        <w:pStyle w:val="SingleTxtG"/>
      </w:pPr>
      <w:r>
        <w:t>8.10</w:t>
      </w:r>
      <w:r>
        <w:tab/>
      </w:r>
      <w:r w:rsidR="00B42E07">
        <w:t xml:space="preserve">Le Comité prend note que l’auteure invoque également une violation de l’article 26 du Pacte en ce </w:t>
      </w:r>
      <w:r w:rsidR="001F06E1">
        <w:t xml:space="preserve">que </w:t>
      </w:r>
      <w:r w:rsidR="00B42E07">
        <w:t xml:space="preserve">son licenciement </w:t>
      </w:r>
      <w:r w:rsidR="00F228E6">
        <w:t>reposerait</w:t>
      </w:r>
      <w:r w:rsidR="00B42E07">
        <w:t xml:space="preserve"> sur une clause du </w:t>
      </w:r>
      <w:r w:rsidR="00B42E07" w:rsidRPr="007F2702">
        <w:t xml:space="preserve">règlement intérieur touchant </w:t>
      </w:r>
      <w:r w:rsidR="001F013F">
        <w:t>de manière spécialement désavantageuse et disproportionnée les femmes musulmanes</w:t>
      </w:r>
      <w:r w:rsidR="00256DA2">
        <w:t xml:space="preserve"> </w:t>
      </w:r>
      <w:r w:rsidR="00256DA2" w:rsidRPr="00C76903">
        <w:rPr>
          <w:bCs/>
        </w:rPr>
        <w:t>faisant le choix de porter un foulard</w:t>
      </w:r>
      <w:r w:rsidR="00874B1C">
        <w:t>, et serait donc discriminatoire</w:t>
      </w:r>
      <w:r w:rsidR="00B42E07" w:rsidRPr="007F2702">
        <w:t xml:space="preserve">. </w:t>
      </w:r>
      <w:r w:rsidR="007F2702" w:rsidRPr="007F2702">
        <w:t xml:space="preserve">Il prend note aussi </w:t>
      </w:r>
      <w:r w:rsidR="004F2857">
        <w:t>des arguments de l’État partie que les faits que l’auteure dénonce ont ét</w:t>
      </w:r>
      <w:r w:rsidR="003420FC">
        <w:t xml:space="preserve">é commis par une personne </w:t>
      </w:r>
      <w:r w:rsidR="004F2857">
        <w:t>privé</w:t>
      </w:r>
      <w:r w:rsidR="003420FC">
        <w:t>e ; que la seule</w:t>
      </w:r>
      <w:r w:rsidR="003420FC">
        <w:rPr>
          <w:bCs/>
        </w:rPr>
        <w:t xml:space="preserve"> question est donc d’examiner si l’État a respecté son obligation positive de protéger le droit des individus à la liberté de manifester leur religion </w:t>
      </w:r>
      <w:r w:rsidR="003420FC">
        <w:t>;</w:t>
      </w:r>
      <w:r w:rsidR="004F2857">
        <w:t xml:space="preserve"> </w:t>
      </w:r>
      <w:r w:rsidR="0060287E">
        <w:t xml:space="preserve">et </w:t>
      </w:r>
      <w:r w:rsidR="007F2702" w:rsidRPr="007F2702">
        <w:t>que</w:t>
      </w:r>
      <w:r w:rsidR="003420FC">
        <w:t xml:space="preserve"> </w:t>
      </w:r>
      <w:r w:rsidR="00165B55" w:rsidRPr="007F2702">
        <w:rPr>
          <w:bCs/>
        </w:rPr>
        <w:t xml:space="preserve">la clause du règlement intérieur de la crèche ne </w:t>
      </w:r>
      <w:r w:rsidR="00874B1C" w:rsidRPr="007F2702">
        <w:rPr>
          <w:bCs/>
        </w:rPr>
        <w:t>cré</w:t>
      </w:r>
      <w:r w:rsidR="00874B1C">
        <w:rPr>
          <w:bCs/>
        </w:rPr>
        <w:t>ait</w:t>
      </w:r>
      <w:r w:rsidR="00874B1C" w:rsidRPr="007F2702">
        <w:rPr>
          <w:bCs/>
        </w:rPr>
        <w:t xml:space="preserve"> </w:t>
      </w:r>
      <w:r w:rsidR="00165B55" w:rsidRPr="007F2702">
        <w:rPr>
          <w:bCs/>
        </w:rPr>
        <w:t>aucune discrimination en ce qu’elle ne visait aucune religion, aucune convicti</w:t>
      </w:r>
      <w:r w:rsidR="007F2702" w:rsidRPr="007F2702">
        <w:rPr>
          <w:bCs/>
        </w:rPr>
        <w:t>on philosophique</w:t>
      </w:r>
      <w:r w:rsidR="001F013F">
        <w:rPr>
          <w:bCs/>
        </w:rPr>
        <w:t>,</w:t>
      </w:r>
      <w:r w:rsidR="007F2702" w:rsidRPr="007F2702">
        <w:rPr>
          <w:bCs/>
        </w:rPr>
        <w:t xml:space="preserve"> ni aucun sexe</w:t>
      </w:r>
      <w:r w:rsidR="00FE121D">
        <w:rPr>
          <w:bCs/>
        </w:rPr>
        <w:t>,</w:t>
      </w:r>
      <w:r w:rsidR="003420FC">
        <w:rPr>
          <w:bCs/>
        </w:rPr>
        <w:t xml:space="preserve"> </w:t>
      </w:r>
      <w:r w:rsidR="003420FC" w:rsidRPr="007F2702">
        <w:rPr>
          <w:bCs/>
        </w:rPr>
        <w:t>n’abou</w:t>
      </w:r>
      <w:r w:rsidR="003420FC">
        <w:rPr>
          <w:bCs/>
        </w:rPr>
        <w:t>t</w:t>
      </w:r>
      <w:r w:rsidR="00FE121D">
        <w:rPr>
          <w:bCs/>
        </w:rPr>
        <w:t>iss</w:t>
      </w:r>
      <w:r w:rsidR="003420FC">
        <w:rPr>
          <w:bCs/>
        </w:rPr>
        <w:t>an</w:t>
      </w:r>
      <w:r w:rsidR="003420FC" w:rsidRPr="007F2702">
        <w:rPr>
          <w:bCs/>
        </w:rPr>
        <w:t xml:space="preserve">t qu’à un traitement différent entre les salariés qui souhaitent manifester leurs convictions religieuses et ceux qui </w:t>
      </w:r>
      <w:r w:rsidR="003420FC" w:rsidRPr="007F2702">
        <w:rPr>
          <w:bCs/>
        </w:rPr>
        <w:lastRenderedPageBreak/>
        <w:t>ne le souhaitent pas</w:t>
      </w:r>
      <w:r w:rsidR="00C93138">
        <w:rPr>
          <w:bCs/>
        </w:rPr>
        <w:t xml:space="preserve">. Le Comité note </w:t>
      </w:r>
      <w:r w:rsidR="003420FC">
        <w:rPr>
          <w:bCs/>
        </w:rPr>
        <w:t>finalement que selon</w:t>
      </w:r>
      <w:r w:rsidR="00C93138">
        <w:rPr>
          <w:bCs/>
        </w:rPr>
        <w:t xml:space="preserve"> l’État partie</w:t>
      </w:r>
      <w:r w:rsidR="00874B1C">
        <w:rPr>
          <w:bCs/>
        </w:rPr>
        <w:t xml:space="preserve"> </w:t>
      </w:r>
      <w:r w:rsidR="00C93138">
        <w:rPr>
          <w:bCs/>
        </w:rPr>
        <w:t xml:space="preserve">cette restriction </w:t>
      </w:r>
      <w:r w:rsidR="00165B55" w:rsidRPr="007F2702">
        <w:rPr>
          <w:bCs/>
        </w:rPr>
        <w:t>était objective et n’était</w:t>
      </w:r>
      <w:r w:rsidR="007F2702" w:rsidRPr="007F2702">
        <w:rPr>
          <w:bCs/>
        </w:rPr>
        <w:t xml:space="preserve"> ni arbitraire</w:t>
      </w:r>
      <w:r w:rsidR="00C93138">
        <w:rPr>
          <w:bCs/>
        </w:rPr>
        <w:t>,</w:t>
      </w:r>
      <w:r w:rsidR="007F2702" w:rsidRPr="007F2702">
        <w:rPr>
          <w:bCs/>
        </w:rPr>
        <w:t xml:space="preserve"> ni déraisonnable.</w:t>
      </w:r>
      <w:r w:rsidR="00165B55" w:rsidRPr="007F2702">
        <w:rPr>
          <w:bCs/>
        </w:rPr>
        <w:t xml:space="preserve"> </w:t>
      </w:r>
    </w:p>
    <w:p w14:paraId="78B5F8A4" w14:textId="1855DDF3" w:rsidR="00C76903" w:rsidRDefault="007371F3" w:rsidP="000F2FA1">
      <w:pPr>
        <w:pStyle w:val="SingleTxtG"/>
      </w:pPr>
      <w:r>
        <w:t>8.11</w:t>
      </w:r>
      <w:r>
        <w:tab/>
      </w:r>
      <w:r w:rsidR="007F2702" w:rsidRPr="00F306E8">
        <w:t>Le Comité rappelle son observation générale nº 18</w:t>
      </w:r>
      <w:r w:rsidR="00501AEC" w:rsidRPr="00F306E8">
        <w:t xml:space="preserve">, paragraphe </w:t>
      </w:r>
      <w:r w:rsidR="00835ED1" w:rsidRPr="00F306E8">
        <w:t>7</w:t>
      </w:r>
      <w:r w:rsidR="007F2702" w:rsidRPr="00F306E8">
        <w:t xml:space="preserve">qui définit la discrimination comme la « distinction, exclusion, restriction ou préférence fondée notamment sur la race, la couleur, le sexe, la langue, la religion, les opinions politiques ou autres, l’origine nationale ou sociale, la fortune, la naissance ou toute autre situation, et ayant pour effet ou pour but de compromettre ou de détruire la reconnaissance, la jouissance ou l’exercice par tous, dans des conditions d’égalité » de l’ensemble des droits humains et des libertés fondamentales. </w:t>
      </w:r>
      <w:r w:rsidR="00C76903" w:rsidRPr="00DC1B81">
        <w:t>Le Comité rappelle qu</w:t>
      </w:r>
      <w:r w:rsidR="003420FC">
        <w:t>e la prohibition de la discrimination s’applique tant à la sphère publique comme à la sphère privée et qu</w:t>
      </w:r>
      <w:r w:rsidR="00C76903" w:rsidRPr="00DC1B81">
        <w:t xml:space="preserve">’une violation de l’article 26 peut résulter </w:t>
      </w:r>
      <w:r w:rsidR="003420FC">
        <w:t>d’</w:t>
      </w:r>
      <w:r w:rsidR="00C76903" w:rsidRPr="00DC1B81">
        <w:t xml:space="preserve">une règle ou </w:t>
      </w:r>
      <w:r w:rsidR="00FE121D">
        <w:t>d’</w:t>
      </w:r>
      <w:r w:rsidR="00C76903" w:rsidRPr="00DC1B81">
        <w:t>une mesure apparemment neutre ou dénuée de toute intention discriminatoire</w:t>
      </w:r>
      <w:r w:rsidR="00A933F7">
        <w:t xml:space="preserve"> a un effet discriminatoire</w:t>
      </w:r>
      <w:r w:rsidR="00764115">
        <w:rPr>
          <w:rStyle w:val="FootnoteReference"/>
          <w:bCs/>
        </w:rPr>
        <w:footnoteReference w:id="20"/>
      </w:r>
      <w:r w:rsidR="00C76903" w:rsidRPr="00DC1B81">
        <w:t xml:space="preserve">. Toutefois, </w:t>
      </w:r>
      <w:r w:rsidR="00A933F7">
        <w:t xml:space="preserve">toute différenciation </w:t>
      </w:r>
      <w:r w:rsidR="00C76903" w:rsidRPr="00DC1B81">
        <w:t xml:space="preserve">en raison de </w:t>
      </w:r>
      <w:r w:rsidR="00A933F7">
        <w:t>la</w:t>
      </w:r>
      <w:r w:rsidR="00A933F7" w:rsidRPr="00DC1B81">
        <w:t xml:space="preserve"> </w:t>
      </w:r>
      <w:r w:rsidR="00C76903" w:rsidRPr="00DC1B81">
        <w:t>race,</w:t>
      </w:r>
      <w:r w:rsidR="00A933F7">
        <w:t xml:space="preserve"> la</w:t>
      </w:r>
      <w:r w:rsidR="00C76903" w:rsidRPr="00DC1B81">
        <w:t xml:space="preserve"> couleur,</w:t>
      </w:r>
      <w:r w:rsidR="00A933F7">
        <w:t xml:space="preserve"> le</w:t>
      </w:r>
      <w:r w:rsidR="00C76903" w:rsidRPr="00DC1B81">
        <w:t xml:space="preserve"> sexe,</w:t>
      </w:r>
      <w:r w:rsidR="00A933F7">
        <w:t xml:space="preserve"> la</w:t>
      </w:r>
      <w:r w:rsidR="00C76903" w:rsidRPr="00DC1B81">
        <w:t xml:space="preserve"> langue,</w:t>
      </w:r>
      <w:r w:rsidR="00A933F7">
        <w:t xml:space="preserve"> la</w:t>
      </w:r>
      <w:r w:rsidR="00C76903" w:rsidRPr="00DC1B81">
        <w:t xml:space="preserve"> religion, </w:t>
      </w:r>
      <w:r w:rsidR="00A933F7">
        <w:t>l’</w:t>
      </w:r>
      <w:r w:rsidR="00C76903" w:rsidRPr="00DC1B81">
        <w:t xml:space="preserve">opinion politique ou toute autre opinion, </w:t>
      </w:r>
      <w:r w:rsidR="00564169">
        <w:t>l’</w:t>
      </w:r>
      <w:r w:rsidR="00C76903" w:rsidRPr="00DC1B81">
        <w:t>origine nationale ou sociale,</w:t>
      </w:r>
      <w:r w:rsidR="00564169">
        <w:t xml:space="preserve"> la</w:t>
      </w:r>
      <w:r w:rsidR="00C76903" w:rsidRPr="00DC1B81">
        <w:t xml:space="preserve"> fortune, </w:t>
      </w:r>
      <w:r w:rsidR="00564169">
        <w:t xml:space="preserve">la </w:t>
      </w:r>
      <w:r w:rsidR="00C76903" w:rsidRPr="00DC1B81">
        <w:t>naissance ou toute autre situation</w:t>
      </w:r>
      <w:r w:rsidR="00764115">
        <w:t xml:space="preserve"> tel qu’indiqu</w:t>
      </w:r>
      <w:r w:rsidR="00564169">
        <w:t xml:space="preserve">é par le </w:t>
      </w:r>
      <w:r w:rsidR="00764115">
        <w:t xml:space="preserve">Pacte, ne constitue pas une discrimination, tant qu’elle </w:t>
      </w:r>
      <w:r w:rsidR="00564169">
        <w:t>est</w:t>
      </w:r>
      <w:r w:rsidR="00764115">
        <w:t xml:space="preserve"> </w:t>
      </w:r>
      <w:r w:rsidR="003A77C9">
        <w:t xml:space="preserve">basée sur un critère raisonnable et objectif </w:t>
      </w:r>
      <w:r w:rsidR="00A12BF2">
        <w:t>ayant</w:t>
      </w:r>
      <w:r w:rsidR="003A77C9">
        <w:t xml:space="preserve"> un but légitime</w:t>
      </w:r>
      <w:r w:rsidR="00A12BF2">
        <w:t>, tel que</w:t>
      </w:r>
      <w:r w:rsidR="003A77C9">
        <w:t xml:space="preserve"> prévu par le Pacte</w:t>
      </w:r>
      <w:r w:rsidR="009132AE">
        <w:t>.</w:t>
      </w:r>
      <w:r w:rsidR="00C76903">
        <w:t xml:space="preserve"> </w:t>
      </w:r>
    </w:p>
    <w:p w14:paraId="7810A45C" w14:textId="00FCF7E7" w:rsidR="00310029" w:rsidRPr="00CD6C3C" w:rsidRDefault="007371F3" w:rsidP="000F2FA1">
      <w:pPr>
        <w:pStyle w:val="SingleTxtG"/>
      </w:pPr>
      <w:r>
        <w:t>8.12</w:t>
      </w:r>
      <w:r>
        <w:tab/>
      </w:r>
      <w:r w:rsidR="00CD6C3C">
        <w:t xml:space="preserve">Le Comité note que, selon l’État partie citant la Cour européenne des droits de l’homme, </w:t>
      </w:r>
      <w:r w:rsidR="00CD6C3C" w:rsidRPr="00C76903">
        <w:t>le voile islamique est identifié comme un « signe extérieur fort ».</w:t>
      </w:r>
      <w:r w:rsidR="00CD6C3C">
        <w:t xml:space="preserve"> Néanmoins, il note que l’État parti</w:t>
      </w:r>
      <w:r w:rsidR="00564169">
        <w:t>e</w:t>
      </w:r>
      <w:r w:rsidR="00CD6C3C">
        <w:t xml:space="preserve"> n’a pas expliqué le critère utilisé pour </w:t>
      </w:r>
      <w:r w:rsidR="00F23E72">
        <w:t>arriver à cette conclusion</w:t>
      </w:r>
      <w:r w:rsidR="00CD6C3C">
        <w:t xml:space="preserve">. </w:t>
      </w:r>
      <w:r w:rsidR="00874B1C" w:rsidRPr="00C76903">
        <w:t xml:space="preserve">Dans le cas présent, le </w:t>
      </w:r>
      <w:r w:rsidR="007F2702" w:rsidRPr="00C76903">
        <w:t>Comité observe</w:t>
      </w:r>
      <w:r w:rsidR="0079596C" w:rsidRPr="00C76903">
        <w:t xml:space="preserve"> que</w:t>
      </w:r>
      <w:r w:rsidR="00DC1976" w:rsidRPr="00C76903">
        <w:t xml:space="preserve"> selon la décision de la Cour d’appel de Paris de 27 novembre 2013, la clause du règlement intérieur de la crèche « emporte notamment interdiction de porter tout signe ostentatoire de religion »</w:t>
      </w:r>
      <w:r w:rsidR="00DC1976">
        <w:rPr>
          <w:rStyle w:val="FootnoteReference"/>
          <w:bCs/>
        </w:rPr>
        <w:footnoteReference w:id="21"/>
      </w:r>
      <w:r w:rsidR="00874B1C">
        <w:t xml:space="preserve">. </w:t>
      </w:r>
      <w:r w:rsidR="00553571" w:rsidRPr="00C76903">
        <w:t xml:space="preserve">Le Comité note </w:t>
      </w:r>
      <w:r w:rsidR="00874B1C" w:rsidRPr="00C76903">
        <w:t xml:space="preserve">également </w:t>
      </w:r>
      <w:r w:rsidR="001565F8">
        <w:t>l’argument de l’auteure selon lequel la clause du règlement intérieur qui l</w:t>
      </w:r>
      <w:r w:rsidR="00FE121D">
        <w:t xml:space="preserve">ui </w:t>
      </w:r>
      <w:r w:rsidR="001565F8">
        <w:t>a été appliquée avait un effet discriminatoire indirect et que, d’après une publication du Ministère de l’éducation nationale mentionné</w:t>
      </w:r>
      <w:r w:rsidR="0060287E">
        <w:t>e</w:t>
      </w:r>
      <w:r w:rsidR="001565F8">
        <w:t xml:space="preserve"> dans le rapport du CCIF fourni par l’auteure, </w:t>
      </w:r>
      <w:r w:rsidR="00874B1C" w:rsidRPr="00785BB0">
        <w:t>la distinction entre les signes religieux « ostentatoires » ou « ostensibles »</w:t>
      </w:r>
      <w:r w:rsidR="00CD6C3C">
        <w:t xml:space="preserve"> et le</w:t>
      </w:r>
      <w:r w:rsidR="00FE121D">
        <w:t xml:space="preserve">s autres </w:t>
      </w:r>
      <w:r w:rsidR="00C50FFC" w:rsidRPr="00785BB0">
        <w:t xml:space="preserve"> a été identifiée comme affectant de façon disproportionnée les voiles ou foulards islamiques</w:t>
      </w:r>
      <w:r w:rsidR="009647C4">
        <w:rPr>
          <w:rStyle w:val="FootnoteReference"/>
          <w:bCs/>
        </w:rPr>
        <w:footnoteReference w:id="22"/>
      </w:r>
      <w:r w:rsidR="009132AE">
        <w:t>.</w:t>
      </w:r>
      <w:r w:rsidR="00553571" w:rsidRPr="00C76903">
        <w:t xml:space="preserve"> </w:t>
      </w:r>
      <w:r w:rsidR="00A74A8C" w:rsidRPr="00C76903">
        <w:t xml:space="preserve">Le Comité rappelle que, </w:t>
      </w:r>
      <w:r w:rsidR="00A74A8C" w:rsidRPr="00E32D73">
        <w:t xml:space="preserve">dans ses Observations finales concernant le cinquième rapport périodique de la France il </w:t>
      </w:r>
      <w:r w:rsidR="001565F8">
        <w:t>a fait référence aux restrictions à la liberté de manifester sa religion ou ses convictions</w:t>
      </w:r>
      <w:r w:rsidR="00FE121D">
        <w:t>,</w:t>
      </w:r>
      <w:r w:rsidR="001565F8">
        <w:t xml:space="preserve"> qui </w:t>
      </w:r>
      <w:r w:rsidR="0048754A" w:rsidRPr="0048754A">
        <w:t>affectent particulièrement les personnes appartenant à certaines religions et les filles</w:t>
      </w:r>
      <w:r w:rsidR="0048754A">
        <w:t>,</w:t>
      </w:r>
      <w:r w:rsidR="001565F8">
        <w:t xml:space="preserve"> </w:t>
      </w:r>
      <w:r w:rsidR="00A74A8C" w:rsidRPr="00785BB0">
        <w:t>tout en s’inquiétant de ce que les effets de ces lois sur le sentiment d’exclusion et de marginalisation de certains groupes pourraient aller à l’encontre des buts recherchés</w:t>
      </w:r>
      <w:r w:rsidR="00A74A8C">
        <w:rPr>
          <w:rStyle w:val="FootnoteReference"/>
          <w:bCs/>
        </w:rPr>
        <w:footnoteReference w:id="23"/>
      </w:r>
      <w:r w:rsidR="00A74A8C" w:rsidRPr="00C76903">
        <w:t xml:space="preserve">. </w:t>
      </w:r>
      <w:r w:rsidR="00CD6C3C">
        <w:t>L</w:t>
      </w:r>
      <w:r w:rsidR="00C50FFC" w:rsidRPr="00C76903">
        <w:t xml:space="preserve">e Comité conclut que la restriction du règlement intérieur </w:t>
      </w:r>
      <w:r w:rsidR="00553571" w:rsidRPr="00785BB0">
        <w:t>affecte de façon disproportionn</w:t>
      </w:r>
      <w:r w:rsidR="009647C4" w:rsidRPr="00785BB0">
        <w:t xml:space="preserve">ée </w:t>
      </w:r>
      <w:r w:rsidR="00F23E72">
        <w:t>les</w:t>
      </w:r>
      <w:r w:rsidR="00F23E72" w:rsidRPr="00785BB0">
        <w:t xml:space="preserve"> </w:t>
      </w:r>
      <w:r w:rsidR="0079596C" w:rsidRPr="00785BB0">
        <w:t>femmes musulmanes</w:t>
      </w:r>
      <w:r w:rsidR="00CD6C3C">
        <w:t>, telles que l’auteure,</w:t>
      </w:r>
      <w:r w:rsidR="0079596C" w:rsidRPr="00785BB0">
        <w:t xml:space="preserve"> </w:t>
      </w:r>
      <w:r w:rsidR="001F06E1" w:rsidRPr="00C76903">
        <w:t>faisant le choix</w:t>
      </w:r>
      <w:r w:rsidR="0079596C" w:rsidRPr="00C76903">
        <w:t xml:space="preserve"> de porter un foulard</w:t>
      </w:r>
      <w:r w:rsidR="00CD6C3C">
        <w:t>, ce qui constitue un traitement différencié</w:t>
      </w:r>
      <w:r w:rsidR="008D5442">
        <w:rPr>
          <w:rStyle w:val="FootnoteReference"/>
          <w:bCs/>
        </w:rPr>
        <w:footnoteReference w:id="24"/>
      </w:r>
      <w:r w:rsidR="0079596C" w:rsidRPr="00C76903">
        <w:t>.</w:t>
      </w:r>
      <w:r w:rsidR="00CD6C3C">
        <w:t xml:space="preserve"> </w:t>
      </w:r>
    </w:p>
    <w:p w14:paraId="640CB24D" w14:textId="04AA4A03" w:rsidR="008A29B2" w:rsidRDefault="007371F3" w:rsidP="008A29B2">
      <w:pPr>
        <w:pStyle w:val="SingleTxtG"/>
      </w:pPr>
      <w:r>
        <w:t>8.13</w:t>
      </w:r>
      <w:r>
        <w:tab/>
      </w:r>
      <w:r w:rsidR="00CD6C3C">
        <w:t xml:space="preserve">Le Comité doit, en conséquence, décider si le traitement différencié de l’auteure a un but légitime prévu par le Pacte et remplit les critères </w:t>
      </w:r>
      <w:r w:rsidR="00FF7D76">
        <w:t xml:space="preserve">du caractère raisonnable </w:t>
      </w:r>
      <w:r w:rsidR="00CD6C3C">
        <w:t xml:space="preserve">et </w:t>
      </w:r>
      <w:r w:rsidR="00ED50F1">
        <w:t>d’</w:t>
      </w:r>
      <w:r w:rsidR="00CD6C3C">
        <w:t xml:space="preserve">objectivité. </w:t>
      </w:r>
      <w:r w:rsidR="00ED50F1">
        <w:t xml:space="preserve">Le Comité note l’argument de l’État parti que la restriction imposée à l’auteure ainsi que son licenciement étaient fondés sur le règlement intérieur </w:t>
      </w:r>
      <w:r w:rsidR="00F23E72">
        <w:t xml:space="preserve">de la crèche </w:t>
      </w:r>
      <w:r w:rsidR="00ED50F1">
        <w:t>et le Code du travail et que le règlement intérieur n’était pas discriminatoire puisqu’</w:t>
      </w:r>
      <w:r w:rsidR="00D571D7">
        <w:t xml:space="preserve">il ne visait aucune religion, croyance ou sexe en particulier, mais avait comme but la protection des enfants de l’exposition à une quelconque influence religieuse </w:t>
      </w:r>
      <w:r w:rsidR="00FF7D76">
        <w:t>a</w:t>
      </w:r>
      <w:r w:rsidR="00D571D7">
        <w:t>utre que la leur. L’État parti</w:t>
      </w:r>
      <w:r w:rsidR="00564169">
        <w:t>e</w:t>
      </w:r>
      <w:r w:rsidR="00D571D7">
        <w:t xml:space="preserve"> déclare en termes généraux que le traitement différencié se basait sur un critère objectif qui n’était ni arbitraire ni déraisonnable, sans expliquer</w:t>
      </w:r>
      <w:r w:rsidR="0048754A">
        <w:t xml:space="preserve"> suffisamment</w:t>
      </w:r>
      <w:r w:rsidR="00D571D7">
        <w:t xml:space="preserve"> en quoi </w:t>
      </w:r>
      <w:r w:rsidR="0048754A">
        <w:t>le port du foulard empêcherait l’auteure de mener à bien ses fonctions et sans examiner la proportionnalité de cette mesure</w:t>
      </w:r>
      <w:r w:rsidR="00D571D7">
        <w:t>. Le Comité note néanmoins que l’auteure a été licencié</w:t>
      </w:r>
      <w:r w:rsidR="00564169">
        <w:t>e</w:t>
      </w:r>
      <w:r w:rsidR="00D571D7">
        <w:t xml:space="preserve"> sans indemnité de rupture parce qu’elle portait </w:t>
      </w:r>
      <w:r w:rsidR="00D571D7">
        <w:lastRenderedPageBreak/>
        <w:t xml:space="preserve">un foulard, </w:t>
      </w:r>
      <w:proofErr w:type="gramStart"/>
      <w:r w:rsidR="00D571D7">
        <w:t xml:space="preserve">sans </w:t>
      </w:r>
      <w:r w:rsidR="00FE121D">
        <w:t xml:space="preserve"> qui</w:t>
      </w:r>
      <w:proofErr w:type="gramEnd"/>
      <w:r w:rsidR="00FE121D">
        <w:t xml:space="preserve"> lui soit donné une </w:t>
      </w:r>
      <w:r w:rsidR="0048754A">
        <w:t>justification satisfaisante sur</w:t>
      </w:r>
      <w:r w:rsidR="00D571D7">
        <w:t xml:space="preserve"> comment ce foulard </w:t>
      </w:r>
      <w:r w:rsidR="00FE121D">
        <w:t>l’</w:t>
      </w:r>
      <w:r w:rsidR="00D571D7">
        <w:t xml:space="preserve">empêchait de </w:t>
      </w:r>
      <w:r w:rsidR="000F22E5">
        <w:t>mener à bien ses fonctions et sans</w:t>
      </w:r>
      <w:r w:rsidR="00FE083A">
        <w:t xml:space="preserve"> évaluer</w:t>
      </w:r>
      <w:r w:rsidR="000F22E5">
        <w:t xml:space="preserve"> la proportionnalité </w:t>
      </w:r>
      <w:r w:rsidR="0044717C">
        <w:t xml:space="preserve">de </w:t>
      </w:r>
      <w:r w:rsidR="000F22E5">
        <w:t xml:space="preserve">cette </w:t>
      </w:r>
      <w:r w:rsidR="00FE083A">
        <w:t>mesure</w:t>
      </w:r>
      <w:r w:rsidR="000F22E5">
        <w:t xml:space="preserve">. En conséquence, le Comité considère que l’État n’a pas </w:t>
      </w:r>
      <w:r w:rsidR="00564169">
        <w:t>suffisamment</w:t>
      </w:r>
      <w:r w:rsidR="000F22E5">
        <w:t xml:space="preserve"> </w:t>
      </w:r>
      <w:r w:rsidR="00564169">
        <w:t>étayé</w:t>
      </w:r>
      <w:r w:rsidR="000F22E5">
        <w:t xml:space="preserve"> </w:t>
      </w:r>
      <w:r w:rsidR="00FE083A">
        <w:t>la façon dont</w:t>
      </w:r>
      <w:r w:rsidR="000F22E5">
        <w:t xml:space="preserve"> le licenciement de l’auteure </w:t>
      </w:r>
      <w:r w:rsidR="0044717C">
        <w:t xml:space="preserve">en raison du port du </w:t>
      </w:r>
      <w:r w:rsidR="008C2045">
        <w:t>voile avait un</w:t>
      </w:r>
      <w:r w:rsidR="000F22E5">
        <w:t xml:space="preserve"> but légitime ou était proportionné à ce but. Le Comité conclu</w:t>
      </w:r>
      <w:r w:rsidR="00FE121D">
        <w:t>t</w:t>
      </w:r>
      <w:r w:rsidR="000F22E5">
        <w:t xml:space="preserve"> donc que le licenciement de l’auteure basé sur </w:t>
      </w:r>
      <w:r w:rsidR="00FE083A">
        <w:t>le</w:t>
      </w:r>
      <w:r w:rsidR="00564169">
        <w:t xml:space="preserve"> règlement intérieur de la crèche </w:t>
      </w:r>
      <w:r w:rsidR="00237667">
        <w:t xml:space="preserve">qui prévoit une obligation de neutralité du personnel dans l’exercice de ses tâches, et sur le Code du travail, ne reposait pas </w:t>
      </w:r>
      <w:r w:rsidR="000F22E5">
        <w:t>sur un critère raisonnable et objectif et constitue</w:t>
      </w:r>
      <w:r w:rsidR="00AD7370">
        <w:t xml:space="preserve"> donc</w:t>
      </w:r>
      <w:r w:rsidR="000F22E5">
        <w:t xml:space="preserve"> une discrimination inter</w:t>
      </w:r>
      <w:r w:rsidR="00AD7370">
        <w:t>-</w:t>
      </w:r>
      <w:r w:rsidR="000F22E5">
        <w:t>sectionnelle basée sur le genre et la religion, en violation de l’article 26 du Pacte.</w:t>
      </w:r>
      <w:r w:rsidR="00B42E07">
        <w:t>9.</w:t>
      </w:r>
      <w:r w:rsidR="00B42E07">
        <w:tab/>
        <w:t>Le Comité des droits de l’homme, agissant en vertu du paragraphe 4 de l’article 5 du Protocole facultatif se rapportant au Pacte international relatif aux droits civils et politiques, constate</w:t>
      </w:r>
      <w:r w:rsidR="00652A37">
        <w:t xml:space="preserve"> donc</w:t>
      </w:r>
      <w:r w:rsidR="00B42E07">
        <w:t xml:space="preserve"> que les faits qui lui ont été présentés fon</w:t>
      </w:r>
      <w:r w:rsidR="0079596C">
        <w:t xml:space="preserve">t apparaître une violation des </w:t>
      </w:r>
      <w:r w:rsidR="00B42E07">
        <w:t>article</w:t>
      </w:r>
      <w:r w:rsidR="0079596C">
        <w:t>s</w:t>
      </w:r>
      <w:r w:rsidR="00B42E07">
        <w:t xml:space="preserve"> 18</w:t>
      </w:r>
      <w:r w:rsidR="0079596C">
        <w:t xml:space="preserve"> et 26</w:t>
      </w:r>
      <w:r w:rsidR="008A29B2">
        <w:t xml:space="preserve"> du Pacte.</w:t>
      </w:r>
    </w:p>
    <w:p w14:paraId="56212557" w14:textId="77777777" w:rsidR="008A29B2" w:rsidRPr="008A29B2" w:rsidRDefault="00B42E07" w:rsidP="008A29B2">
      <w:pPr>
        <w:pStyle w:val="SingleTxtG"/>
      </w:pPr>
      <w:r>
        <w:t>10.</w:t>
      </w:r>
      <w:r>
        <w:tab/>
        <w:t>Conformément au paragraphe 3 a) de l’article 2 du Pacte, l’État partie est tenu de fournir à l’auteur</w:t>
      </w:r>
      <w:r w:rsidR="00FC61DD">
        <w:t>e</w:t>
      </w:r>
      <w:r>
        <w:t xml:space="preserve"> un recours utile</w:t>
      </w:r>
      <w:r w:rsidR="006E0830">
        <w:t xml:space="preserve">. Cela signifie qu’il doit accorder une réparation </w:t>
      </w:r>
      <w:r w:rsidR="00E8402D">
        <w:t>complète</w:t>
      </w:r>
      <w:r w:rsidR="006E0830">
        <w:t xml:space="preserve"> aux personnes dont les droits reconnus par le Pacte ont été violés. Dans le cas d’espèce, l’Etat parti e</w:t>
      </w:r>
      <w:r w:rsidR="00E8402D">
        <w:t>s</w:t>
      </w:r>
      <w:r w:rsidR="006E0830">
        <w:t>t tenu,</w:t>
      </w:r>
      <w:r w:rsidR="0044717C">
        <w:t xml:space="preserve"> entre autre</w:t>
      </w:r>
      <w:r w:rsidR="006E0830">
        <w:t xml:space="preserve"> : d’indemniser l’auteure de manière adéquate et de prendre des mesures </w:t>
      </w:r>
      <w:r w:rsidR="00EA144A">
        <w:t>de satisfaction</w:t>
      </w:r>
      <w:r w:rsidR="00B81AD9">
        <w:t xml:space="preserve"> </w:t>
      </w:r>
      <w:r w:rsidR="006E0830">
        <w:t>appropriées, incluant</w:t>
      </w:r>
      <w:r w:rsidR="0048754A">
        <w:t xml:space="preserve"> une </w:t>
      </w:r>
      <w:r w:rsidR="003E5EF7">
        <w:t>compensation</w:t>
      </w:r>
      <w:r w:rsidR="0048754A">
        <w:t xml:space="preserve"> pour la perte d’emploi sans indemnités et</w:t>
      </w:r>
      <w:r w:rsidR="006E0830">
        <w:t xml:space="preserve"> le remboursement de tout coût légal, ainsi que </w:t>
      </w:r>
      <w:r w:rsidR="00B81AD9">
        <w:t xml:space="preserve">de </w:t>
      </w:r>
      <w:r w:rsidR="006E0830">
        <w:t>toute perte non pécuniaire encourue par l’auteure</w:t>
      </w:r>
      <w:r w:rsidR="00AD7370">
        <w:t xml:space="preserve"> en raison des faits de l’espèce</w:t>
      </w:r>
      <w:r w:rsidR="006E0830">
        <w:t xml:space="preserve">. </w:t>
      </w:r>
      <w:r w:rsidR="008A29B2">
        <w:rPr>
          <w:iCs/>
        </w:rPr>
        <w:t xml:space="preserve">L’État partie est également tenu </w:t>
      </w:r>
      <w:r w:rsidR="00185475">
        <w:rPr>
          <w:iCs/>
        </w:rPr>
        <w:t>de prendre</w:t>
      </w:r>
      <w:r w:rsidR="006E0830">
        <w:rPr>
          <w:iCs/>
        </w:rPr>
        <w:t xml:space="preserve"> toutes les mesures nécessaires pour prévenir</w:t>
      </w:r>
      <w:r w:rsidR="008A29B2">
        <w:rPr>
          <w:iCs/>
        </w:rPr>
        <w:t xml:space="preserve"> des violations </w:t>
      </w:r>
      <w:r w:rsidR="00B81AD9">
        <w:rPr>
          <w:iCs/>
        </w:rPr>
        <w:t xml:space="preserve">similaires </w:t>
      </w:r>
      <w:r w:rsidR="008A29B2">
        <w:rPr>
          <w:iCs/>
        </w:rPr>
        <w:t xml:space="preserve">à </w:t>
      </w:r>
      <w:r w:rsidR="00185475">
        <w:rPr>
          <w:iCs/>
        </w:rPr>
        <w:t>l’avenir.</w:t>
      </w:r>
    </w:p>
    <w:p w14:paraId="50A24DA0" w14:textId="77777777" w:rsidR="00364D7E" w:rsidRDefault="00B42E07" w:rsidP="00727E03">
      <w:pPr>
        <w:pStyle w:val="SingleTxtG"/>
      </w:pPr>
      <w:r>
        <w:t>11.</w:t>
      </w:r>
      <w:r>
        <w:tab/>
        <w:t>Étant donné qu’en adhérant au Protocole facultatif, l’État partie a reconnu que le Comité avait compétence pour déterminer s’il y avait eu ou non violation du Pacte et que, conformément à l’article 2 de celui-ci, il s’est engagé à garantir à tous les individus se trouvant sur son territoire et relevant de sa juridic</w:t>
      </w:r>
      <w:r w:rsidR="0090047E">
        <w:t>tion les droits reconnus dans le</w:t>
      </w:r>
      <w:r>
        <w:t xml:space="preserve"> Pacte et à assurer un recours utile et exécutoire lorsqu’une violation a été établie, le Comité souhaite recevoir de l’État partie, dans un délai de 180 jours, des renseignements sur les mesures prises pour donner effet aux présentes constatations. L’État partie est invité, en outre, à rendre publiques les présentes constatations.</w:t>
      </w:r>
    </w:p>
    <w:p w14:paraId="7D88D6DA" w14:textId="77777777" w:rsidR="008F38C9" w:rsidRPr="00453732" w:rsidRDefault="008F38C9" w:rsidP="00453732">
      <w:pPr>
        <w:pStyle w:val="SingleTxtG"/>
        <w:spacing w:before="240" w:after="0"/>
        <w:jc w:val="center"/>
        <w:rPr>
          <w:u w:val="single"/>
        </w:rPr>
      </w:pPr>
      <w:r>
        <w:rPr>
          <w:u w:val="single"/>
        </w:rPr>
        <w:tab/>
      </w:r>
      <w:r>
        <w:rPr>
          <w:u w:val="single"/>
        </w:rPr>
        <w:tab/>
      </w:r>
      <w:r>
        <w:rPr>
          <w:u w:val="single"/>
        </w:rPr>
        <w:tab/>
      </w:r>
      <w:r w:rsidR="00B11C88">
        <w:rPr>
          <w:u w:val="single"/>
        </w:rPr>
        <w:tab/>
      </w:r>
    </w:p>
    <w:sectPr w:rsidR="008F38C9" w:rsidRPr="00453732" w:rsidSect="0013286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706D7" w14:textId="77777777" w:rsidR="00C24104" w:rsidRDefault="00C24104" w:rsidP="00F95C08">
      <w:pPr>
        <w:spacing w:line="240" w:lineRule="auto"/>
      </w:pPr>
    </w:p>
  </w:endnote>
  <w:endnote w:type="continuationSeparator" w:id="0">
    <w:p w14:paraId="3D138279" w14:textId="77777777" w:rsidR="00C24104" w:rsidRPr="00AC3823" w:rsidRDefault="00C24104" w:rsidP="00AC3823">
      <w:pPr>
        <w:pStyle w:val="Footer"/>
      </w:pPr>
    </w:p>
  </w:endnote>
  <w:endnote w:type="continuationNotice" w:id="1">
    <w:p w14:paraId="65C91DFF" w14:textId="77777777" w:rsidR="00C24104" w:rsidRDefault="00C241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F2357" w14:textId="31E50AD5" w:rsidR="009F0F2A" w:rsidRPr="00132866" w:rsidRDefault="009F0F2A" w:rsidP="00132866">
    <w:pPr>
      <w:pStyle w:val="Footer"/>
      <w:tabs>
        <w:tab w:val="right" w:pos="9638"/>
      </w:tabs>
    </w:pPr>
    <w:r w:rsidRPr="00132866">
      <w:rPr>
        <w:b/>
        <w:sz w:val="18"/>
      </w:rPr>
      <w:fldChar w:fldCharType="begin"/>
    </w:r>
    <w:r w:rsidRPr="00132866">
      <w:rPr>
        <w:b/>
        <w:sz w:val="18"/>
      </w:rPr>
      <w:instrText xml:space="preserve"> PAGE  \* MERGEFORMAT </w:instrText>
    </w:r>
    <w:r w:rsidRPr="00132866">
      <w:rPr>
        <w:b/>
        <w:sz w:val="18"/>
      </w:rPr>
      <w:fldChar w:fldCharType="separate"/>
    </w:r>
    <w:r w:rsidR="00404856">
      <w:rPr>
        <w:b/>
        <w:noProof/>
        <w:sz w:val="18"/>
      </w:rPr>
      <w:t>2</w:t>
    </w:r>
    <w:r w:rsidRPr="0013286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3B7D" w14:textId="6804E06D" w:rsidR="009F0F2A" w:rsidRPr="00132866" w:rsidRDefault="009F0F2A" w:rsidP="00132866">
    <w:pPr>
      <w:pStyle w:val="Footer"/>
      <w:tabs>
        <w:tab w:val="right" w:pos="9638"/>
      </w:tabs>
      <w:rPr>
        <w:b/>
        <w:sz w:val="18"/>
      </w:rPr>
    </w:pPr>
    <w:r>
      <w:tab/>
    </w:r>
    <w:r w:rsidRPr="00132866">
      <w:rPr>
        <w:b/>
        <w:sz w:val="18"/>
      </w:rPr>
      <w:fldChar w:fldCharType="begin"/>
    </w:r>
    <w:r w:rsidRPr="00132866">
      <w:rPr>
        <w:b/>
        <w:sz w:val="18"/>
      </w:rPr>
      <w:instrText xml:space="preserve"> PAGE  \* MERGEFORMAT </w:instrText>
    </w:r>
    <w:r w:rsidRPr="00132866">
      <w:rPr>
        <w:b/>
        <w:sz w:val="18"/>
      </w:rPr>
      <w:fldChar w:fldCharType="separate"/>
    </w:r>
    <w:r w:rsidR="00404856">
      <w:rPr>
        <w:b/>
        <w:noProof/>
        <w:sz w:val="18"/>
      </w:rPr>
      <w:t>11</w:t>
    </w:r>
    <w:r w:rsidRPr="001328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236F" w14:textId="318E4226" w:rsidR="00663045" w:rsidRPr="00857026" w:rsidRDefault="00857026" w:rsidP="00857026">
    <w:pPr>
      <w:pStyle w:val="Footer"/>
      <w:spacing w:before="120"/>
      <w:rPr>
        <w:sz w:val="20"/>
      </w:rPr>
    </w:pPr>
    <w:r w:rsidRPr="00857026">
      <w:rPr>
        <w:rFonts w:ascii="C39T30Lfz" w:hAnsi="C39T30Lfz"/>
        <w:noProof/>
        <w:sz w:val="56"/>
        <w:lang w:val="en-GB" w:eastAsia="en-GB"/>
      </w:rPr>
      <w:drawing>
        <wp:anchor distT="0" distB="0" distL="114300" distR="114300" simplePos="0" relativeHeight="251657216" behindDoc="0" locked="0" layoutInCell="1" allowOverlap="0" wp14:anchorId="09324FE7" wp14:editId="6A2FF7E1">
          <wp:simplePos x="0" y="0"/>
          <wp:positionH relativeFrom="margin">
            <wp:posOffset>4342843</wp:posOffset>
          </wp:positionH>
          <wp:positionV relativeFrom="margin">
            <wp:posOffset>9284645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8ED" w:rsidDel="00F508ED">
      <w:rPr>
        <w:sz w:val="20"/>
      </w:rPr>
      <w:t xml:space="preserve"> </w:t>
    </w:r>
    <w:r>
      <w:rPr>
        <w:sz w:val="20"/>
      </w:rPr>
      <w:br/>
    </w:r>
    <w:r>
      <w:rPr>
        <w:noProof/>
        <w:sz w:val="20"/>
        <w:lang w:val="en-GB" w:eastAsia="en-GB"/>
      </w:rPr>
      <w:drawing>
        <wp:anchor distT="0" distB="0" distL="114300" distR="114300" simplePos="0" relativeHeight="251658240" behindDoc="0" locked="0" layoutInCell="1" allowOverlap="1" wp14:anchorId="4D455DF6" wp14:editId="79327D6E">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CCPR/C/123/DR/2662/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R/2662/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74BB4" w14:textId="77777777" w:rsidR="00C24104" w:rsidRPr="00AC3823" w:rsidRDefault="00C24104" w:rsidP="00AC3823">
      <w:pPr>
        <w:pStyle w:val="Footer"/>
        <w:tabs>
          <w:tab w:val="right" w:pos="2155"/>
        </w:tabs>
        <w:spacing w:after="80" w:line="240" w:lineRule="atLeast"/>
        <w:ind w:left="680"/>
        <w:rPr>
          <w:u w:val="single"/>
        </w:rPr>
      </w:pPr>
      <w:r>
        <w:rPr>
          <w:u w:val="single"/>
        </w:rPr>
        <w:tab/>
      </w:r>
    </w:p>
  </w:footnote>
  <w:footnote w:type="continuationSeparator" w:id="0">
    <w:p w14:paraId="778F0068" w14:textId="77777777" w:rsidR="00C24104" w:rsidRPr="00AC3823" w:rsidRDefault="00C24104" w:rsidP="00AC3823">
      <w:pPr>
        <w:pStyle w:val="Footer"/>
        <w:tabs>
          <w:tab w:val="right" w:pos="2155"/>
        </w:tabs>
        <w:spacing w:after="80" w:line="240" w:lineRule="atLeast"/>
        <w:ind w:left="680"/>
        <w:rPr>
          <w:u w:val="single"/>
        </w:rPr>
      </w:pPr>
      <w:r>
        <w:rPr>
          <w:u w:val="single"/>
        </w:rPr>
        <w:tab/>
      </w:r>
    </w:p>
  </w:footnote>
  <w:footnote w:type="continuationNotice" w:id="1">
    <w:p w14:paraId="24477E50" w14:textId="77777777" w:rsidR="00C24104" w:rsidRPr="00AC3823" w:rsidRDefault="00C24104">
      <w:pPr>
        <w:spacing w:line="240" w:lineRule="auto"/>
        <w:rPr>
          <w:sz w:val="2"/>
          <w:szCs w:val="2"/>
        </w:rPr>
      </w:pPr>
    </w:p>
  </w:footnote>
  <w:footnote w:id="2">
    <w:p w14:paraId="177481E1" w14:textId="41FB2300" w:rsidR="00F508ED" w:rsidRPr="00F508ED" w:rsidRDefault="00F508ED">
      <w:pPr>
        <w:pStyle w:val="FootnoteText"/>
      </w:pPr>
      <w:r>
        <w:rPr>
          <w:rStyle w:val="FootnoteReference"/>
        </w:rPr>
        <w:tab/>
      </w:r>
      <w:r w:rsidRPr="000F2FA1">
        <w:rPr>
          <w:rStyle w:val="FootnoteReference"/>
          <w:sz w:val="20"/>
          <w:vertAlign w:val="baseline"/>
        </w:rPr>
        <w:t>*</w:t>
      </w:r>
      <w:r>
        <w:rPr>
          <w:rStyle w:val="FootnoteReference"/>
          <w:sz w:val="20"/>
          <w:vertAlign w:val="baseline"/>
        </w:rPr>
        <w:tab/>
      </w:r>
      <w:r>
        <w:t>Adoptées par le Comité à sa 123</w:t>
      </w:r>
      <w:r w:rsidRPr="003C600C">
        <w:rPr>
          <w:vertAlign w:val="superscript"/>
        </w:rPr>
        <w:t>ème</w:t>
      </w:r>
      <w:r>
        <w:t xml:space="preserve"> session (2-27 juillet 2018).</w:t>
      </w:r>
    </w:p>
  </w:footnote>
  <w:footnote w:id="3">
    <w:p w14:paraId="26FB6DC2" w14:textId="7BE0ED6D" w:rsidR="00F508ED" w:rsidRPr="00146147" w:rsidRDefault="00F508ED" w:rsidP="00F508ED">
      <w:pPr>
        <w:pStyle w:val="FootnoteText"/>
      </w:pPr>
      <w:r>
        <w:rPr>
          <w:rStyle w:val="FootnoteReference"/>
        </w:rPr>
        <w:tab/>
      </w:r>
      <w:r w:rsidRPr="000F2FA1">
        <w:rPr>
          <w:rStyle w:val="FootnoteReference"/>
          <w:sz w:val="20"/>
          <w:vertAlign w:val="baseline"/>
        </w:rPr>
        <w:t>**</w:t>
      </w:r>
      <w:r>
        <w:rPr>
          <w:rStyle w:val="FootnoteReference"/>
          <w:sz w:val="20"/>
          <w:vertAlign w:val="baseline"/>
        </w:rPr>
        <w:tab/>
      </w:r>
      <w:r>
        <w:rPr>
          <w:sz w:val="20"/>
        </w:rPr>
        <w:t>Les membres du Comité dont le nom suit ont participé</w:t>
      </w:r>
      <w:r w:rsidR="00404856">
        <w:rPr>
          <w:sz w:val="20"/>
        </w:rPr>
        <w:t xml:space="preserve"> </w:t>
      </w:r>
      <w:bookmarkStart w:id="0" w:name="_GoBack"/>
      <w:bookmarkEnd w:id="0"/>
      <w:r>
        <w:rPr>
          <w:sz w:val="20"/>
        </w:rPr>
        <w:t>à l’examen de la communication :</w:t>
      </w:r>
      <w:r w:rsidRPr="00F508ED">
        <w:t xml:space="preserve"> </w:t>
      </w:r>
      <w:r w:rsidRPr="00EC5121">
        <w:t xml:space="preserve">Tania María Abdo </w:t>
      </w:r>
      <w:proofErr w:type="spellStart"/>
      <w:r w:rsidRPr="00EC5121">
        <w:t>Rocholl</w:t>
      </w:r>
      <w:proofErr w:type="spellEnd"/>
      <w:r w:rsidRPr="00EC5121">
        <w:t xml:space="preserve">, </w:t>
      </w:r>
      <w:proofErr w:type="spellStart"/>
      <w:r w:rsidRPr="00EC5121">
        <w:t>Yadh</w:t>
      </w:r>
      <w:proofErr w:type="spellEnd"/>
      <w:r w:rsidRPr="00EC5121">
        <w:t xml:space="preserve"> Ben Achour, </w:t>
      </w:r>
      <w:proofErr w:type="spellStart"/>
      <w:r w:rsidRPr="00EC5121">
        <w:t>Ilze</w:t>
      </w:r>
      <w:proofErr w:type="spellEnd"/>
      <w:r w:rsidRPr="00EC5121">
        <w:t xml:space="preserve"> Brands </w:t>
      </w:r>
      <w:proofErr w:type="spellStart"/>
      <w:r w:rsidRPr="00EC5121">
        <w:t>Kehris</w:t>
      </w:r>
      <w:proofErr w:type="spellEnd"/>
      <w:r w:rsidRPr="00EC5121">
        <w:t>, S</w:t>
      </w:r>
      <w:r>
        <w:t xml:space="preserve">arah Cleveland, </w:t>
      </w:r>
      <w:r w:rsidRPr="00EC5121">
        <w:t xml:space="preserve">Ahmed Amin </w:t>
      </w:r>
      <w:proofErr w:type="spellStart"/>
      <w:r w:rsidRPr="00EC5121">
        <w:t>Fathalla</w:t>
      </w:r>
      <w:proofErr w:type="spellEnd"/>
      <w:r w:rsidRPr="00EC5121">
        <w:t xml:space="preserve">, </w:t>
      </w:r>
      <w:proofErr w:type="spellStart"/>
      <w:r w:rsidRPr="00EC5121">
        <w:t>Bamariam</w:t>
      </w:r>
      <w:proofErr w:type="spellEnd"/>
      <w:r w:rsidRPr="00EC5121">
        <w:t xml:space="preserve"> </w:t>
      </w:r>
      <w:proofErr w:type="spellStart"/>
      <w:r w:rsidRPr="00EC5121">
        <w:t>Koita</w:t>
      </w:r>
      <w:proofErr w:type="spellEnd"/>
      <w:r>
        <w:t>,</w:t>
      </w:r>
      <w:r w:rsidRPr="00EC5121">
        <w:t xml:space="preserve"> Marcia V. J. </w:t>
      </w:r>
      <w:proofErr w:type="spellStart"/>
      <w:r w:rsidRPr="00EC5121">
        <w:t>Kran</w:t>
      </w:r>
      <w:proofErr w:type="spellEnd"/>
      <w:r>
        <w:t xml:space="preserve">, Duncan </w:t>
      </w:r>
      <w:proofErr w:type="spellStart"/>
      <w:r>
        <w:t>Laki</w:t>
      </w:r>
      <w:proofErr w:type="spellEnd"/>
      <w:r>
        <w:t xml:space="preserve"> </w:t>
      </w:r>
      <w:proofErr w:type="spellStart"/>
      <w:r>
        <w:t>Muhumuza</w:t>
      </w:r>
      <w:proofErr w:type="spellEnd"/>
      <w:r>
        <w:t xml:space="preserve">, </w:t>
      </w:r>
      <w:r w:rsidRPr="00EC5121">
        <w:t xml:space="preserve">Mauro </w:t>
      </w:r>
      <w:proofErr w:type="spellStart"/>
      <w:r w:rsidRPr="00EC5121">
        <w:t>Politi</w:t>
      </w:r>
      <w:proofErr w:type="spellEnd"/>
      <w:r w:rsidRPr="00EC5121">
        <w:t xml:space="preserve">, José Manuel Santos Pais, Yuval </w:t>
      </w:r>
      <w:proofErr w:type="spellStart"/>
      <w:r w:rsidRPr="00EC5121">
        <w:t>Shany</w:t>
      </w:r>
      <w:proofErr w:type="spellEnd"/>
      <w:r w:rsidRPr="00EC5121">
        <w:t xml:space="preserve"> and Margo </w:t>
      </w:r>
      <w:proofErr w:type="spellStart"/>
      <w:r w:rsidRPr="00EC5121">
        <w:t>Waterval</w:t>
      </w:r>
      <w:proofErr w:type="spellEnd"/>
      <w:r>
        <w:rPr>
          <w:spacing w:val="-1"/>
        </w:rPr>
        <w:t xml:space="preserve">. </w:t>
      </w:r>
      <w:r w:rsidRPr="00650A09">
        <w:rPr>
          <w:rStyle w:val="FootnoteTextChar"/>
        </w:rPr>
        <w:t xml:space="preserve">Conformément à l’article 90 du Règlement intérieur du Comité, </w:t>
      </w:r>
      <w:r>
        <w:rPr>
          <w:rStyle w:val="FootnoteTextChar"/>
        </w:rPr>
        <w:t xml:space="preserve">Olivier de </w:t>
      </w:r>
      <w:proofErr w:type="spellStart"/>
      <w:r>
        <w:rPr>
          <w:rStyle w:val="FootnoteTextChar"/>
        </w:rPr>
        <w:t>Frouville</w:t>
      </w:r>
      <w:proofErr w:type="spellEnd"/>
      <w:r w:rsidRPr="00650A09">
        <w:rPr>
          <w:rStyle w:val="FootnoteTextChar"/>
        </w:rPr>
        <w:t>, membre du Comité, n’a pas pris part à l’examen de la communication.</w:t>
      </w:r>
    </w:p>
    <w:p w14:paraId="401A44D9" w14:textId="09FD68AE" w:rsidR="00F508ED" w:rsidRPr="00F508ED" w:rsidRDefault="00F508ED">
      <w:pPr>
        <w:pStyle w:val="FootnoteText"/>
      </w:pPr>
    </w:p>
  </w:footnote>
  <w:footnote w:id="4">
    <w:p w14:paraId="1E16AF3A" w14:textId="77777777" w:rsidR="009F0F2A" w:rsidRPr="008F38C9" w:rsidRDefault="009F0F2A" w:rsidP="008F4129">
      <w:pPr>
        <w:pStyle w:val="FootnoteText"/>
        <w:jc w:val="both"/>
      </w:pPr>
      <w:r>
        <w:tab/>
      </w:r>
      <w:r w:rsidRPr="008F38C9">
        <w:rPr>
          <w:rStyle w:val="FootnoteReference"/>
        </w:rPr>
        <w:footnoteRef/>
      </w:r>
      <w:r w:rsidR="008F38C9" w:rsidRPr="008F38C9">
        <w:tab/>
      </w:r>
      <w:r w:rsidRPr="008F38C9">
        <w:t>Code du travail selon sa version en vigueur au 19 décembre 2008</w:t>
      </w:r>
      <w:r w:rsidR="00F95D94">
        <w:t>.</w:t>
      </w:r>
    </w:p>
  </w:footnote>
  <w:footnote w:id="5">
    <w:p w14:paraId="674D113F" w14:textId="77777777" w:rsidR="009F0F2A" w:rsidRPr="008F38C9" w:rsidRDefault="008F38C9" w:rsidP="008F4129">
      <w:pPr>
        <w:pStyle w:val="FootnoteText"/>
        <w:jc w:val="both"/>
      </w:pPr>
      <w:r w:rsidRPr="008F38C9">
        <w:tab/>
      </w:r>
      <w:r w:rsidR="009F0F2A" w:rsidRPr="008F38C9">
        <w:rPr>
          <w:rStyle w:val="FootnoteReference"/>
        </w:rPr>
        <w:footnoteRef/>
      </w:r>
      <w:r w:rsidRPr="008F38C9">
        <w:tab/>
      </w:r>
      <w:r w:rsidR="009F0F2A" w:rsidRPr="008F38C9">
        <w:t>Conseil d’État, Corona, 1</w:t>
      </w:r>
      <w:r w:rsidR="009F0F2A" w:rsidRPr="00453732">
        <w:t>er</w:t>
      </w:r>
      <w:r w:rsidR="009F0F2A" w:rsidRPr="008F38C9">
        <w:t xml:space="preserve"> février 1980, précité nº 06361 ; Conseil d’État, 25 janvier 1989, Société industrielle Teinture et apprêts, nº 64296 ; Cour de cassation, chambre sociale, 9 juin 1998, B. nº 315, pourvoi nº 95-45019 ; </w:t>
      </w:r>
      <w:r w:rsidR="009F0F2A" w:rsidRPr="00BE2D6F">
        <w:rPr>
          <w:i/>
        </w:rPr>
        <w:t xml:space="preserve">Conseil d’État, Ministre du travail, de l’emploi et e </w:t>
      </w:r>
      <w:r w:rsidR="00BE2D6F" w:rsidRPr="00BE2D6F">
        <w:rPr>
          <w:i/>
        </w:rPr>
        <w:t>la santé</w:t>
      </w:r>
      <w:r w:rsidR="00BE2D6F">
        <w:t xml:space="preserve"> c. </w:t>
      </w:r>
      <w:r w:rsidR="009F0F2A" w:rsidRPr="00BE2D6F">
        <w:rPr>
          <w:i/>
        </w:rPr>
        <w:t>Société Caterpill</w:t>
      </w:r>
      <w:r w:rsidR="00F95D94" w:rsidRPr="00BE2D6F">
        <w:rPr>
          <w:i/>
        </w:rPr>
        <w:t>ar France</w:t>
      </w:r>
      <w:r w:rsidR="00F95D94">
        <w:t>, 12 novembre 2012, nº </w:t>
      </w:r>
      <w:r w:rsidR="009F0F2A" w:rsidRPr="008F38C9">
        <w:t>349365.</w:t>
      </w:r>
    </w:p>
  </w:footnote>
  <w:footnote w:id="6">
    <w:p w14:paraId="129B7B2D" w14:textId="77777777" w:rsidR="009F0F2A" w:rsidRPr="008F38C9" w:rsidRDefault="008F38C9" w:rsidP="008F4129">
      <w:pPr>
        <w:pStyle w:val="FootnoteText"/>
        <w:jc w:val="both"/>
      </w:pPr>
      <w:r w:rsidRPr="008F38C9">
        <w:tab/>
      </w:r>
      <w:r w:rsidR="009F0F2A" w:rsidRPr="008F38C9">
        <w:rPr>
          <w:rStyle w:val="FootnoteReference"/>
        </w:rPr>
        <w:footnoteRef/>
      </w:r>
      <w:r w:rsidRPr="008F38C9">
        <w:tab/>
      </w:r>
      <w:r w:rsidR="009F0F2A" w:rsidRPr="008F38C9">
        <w:t>Conseil d’État, 20 juillet 1990, nº 85429 ; 23 juillet 1993, nº 99391).</w:t>
      </w:r>
    </w:p>
  </w:footnote>
  <w:footnote w:id="7">
    <w:p w14:paraId="71D1264A" w14:textId="77777777" w:rsidR="009F0F2A" w:rsidRPr="008F38C9" w:rsidRDefault="008F38C9" w:rsidP="008F4129">
      <w:pPr>
        <w:pStyle w:val="FootnoteText"/>
        <w:jc w:val="both"/>
      </w:pPr>
      <w:r w:rsidRPr="008F38C9">
        <w:tab/>
      </w:r>
      <w:r w:rsidR="009F0F2A" w:rsidRPr="008F38C9">
        <w:rPr>
          <w:rStyle w:val="FootnoteReference"/>
        </w:rPr>
        <w:footnoteRef/>
      </w:r>
      <w:r w:rsidRPr="008F38C9">
        <w:tab/>
      </w:r>
      <w:r w:rsidR="009F0F2A" w:rsidRPr="008F38C9">
        <w:t>Conseil d’État, 20 octobre 1999, nº 181486; 27 novembre 1996, nº 172989; 7 novembre 1996, nº169522 ; nº 2009-117 du 6 avril 2009, para 35 et 36.</w:t>
      </w:r>
    </w:p>
  </w:footnote>
  <w:footnote w:id="8">
    <w:p w14:paraId="7FB6E6E1" w14:textId="77777777" w:rsidR="009F0F2A" w:rsidRPr="00663045" w:rsidRDefault="008F38C9" w:rsidP="008F4129">
      <w:pPr>
        <w:pStyle w:val="FootnoteText"/>
        <w:jc w:val="both"/>
      </w:pPr>
      <w:r>
        <w:tab/>
      </w:r>
      <w:r w:rsidR="009F0F2A" w:rsidRPr="008F38C9">
        <w:rPr>
          <w:rStyle w:val="FootnoteReference"/>
        </w:rPr>
        <w:footnoteRef/>
      </w:r>
      <w:r w:rsidRPr="00453732">
        <w:rPr>
          <w:lang w:val="es-ES"/>
        </w:rPr>
        <w:tab/>
      </w:r>
      <w:r w:rsidR="009F0F2A" w:rsidRPr="00256DA2">
        <w:rPr>
          <w:lang w:val="es-ES"/>
        </w:rPr>
        <w:t xml:space="preserve">Ross c. </w:t>
      </w:r>
      <w:proofErr w:type="spellStart"/>
      <w:r w:rsidR="009F0F2A" w:rsidRPr="00256DA2">
        <w:rPr>
          <w:lang w:val="es-ES"/>
        </w:rPr>
        <w:t>Canada</w:t>
      </w:r>
      <w:proofErr w:type="spellEnd"/>
      <w:r w:rsidR="009F0F2A" w:rsidRPr="00256DA2">
        <w:rPr>
          <w:lang w:val="es-ES"/>
        </w:rPr>
        <w:t xml:space="preserve"> (CCPR/C/85/D/1249/2004)</w:t>
      </w:r>
      <w:r w:rsidR="002749FE" w:rsidRPr="00256DA2">
        <w:rPr>
          <w:lang w:val="es-ES"/>
        </w:rPr>
        <w:t xml:space="preserve">, para. </w:t>
      </w:r>
      <w:r w:rsidR="002749FE" w:rsidRPr="00663045">
        <w:t>11.4</w:t>
      </w:r>
      <w:r w:rsidR="009F0F2A" w:rsidRPr="00663045">
        <w:t>.</w:t>
      </w:r>
    </w:p>
  </w:footnote>
  <w:footnote w:id="9">
    <w:p w14:paraId="26C44BA3" w14:textId="77777777" w:rsidR="009F0F2A" w:rsidRPr="008F38C9" w:rsidRDefault="008F38C9" w:rsidP="008F4129">
      <w:pPr>
        <w:pStyle w:val="FootnoteText"/>
        <w:jc w:val="both"/>
      </w:pPr>
      <w:r w:rsidRPr="00663045">
        <w:tab/>
      </w:r>
      <w:r w:rsidR="009F0F2A" w:rsidRPr="008F38C9">
        <w:rPr>
          <w:rStyle w:val="FootnoteReference"/>
        </w:rPr>
        <w:footnoteRef/>
      </w:r>
      <w:r>
        <w:tab/>
      </w:r>
      <w:r w:rsidR="009F0F2A" w:rsidRPr="008F38C9">
        <w:t>Cour d’Appel de Paris, 16 mars 2001, nº 99-31302</w:t>
      </w:r>
      <w:r w:rsidR="0063676E">
        <w:t>.</w:t>
      </w:r>
    </w:p>
  </w:footnote>
  <w:footnote w:id="10">
    <w:p w14:paraId="53967678" w14:textId="77777777" w:rsidR="009F0F2A" w:rsidRPr="008F38C9" w:rsidRDefault="008F38C9" w:rsidP="008F4129">
      <w:pPr>
        <w:pStyle w:val="FootnoteText"/>
        <w:jc w:val="both"/>
      </w:pPr>
      <w:r>
        <w:tab/>
      </w:r>
      <w:r w:rsidR="009F0F2A" w:rsidRPr="008F38C9">
        <w:rPr>
          <w:rStyle w:val="FootnoteReference"/>
        </w:rPr>
        <w:footnoteRef/>
      </w:r>
      <w:r w:rsidR="0063676E">
        <w:rPr>
          <w:rStyle w:val="FootnoteReference"/>
        </w:rPr>
        <w:tab/>
      </w:r>
      <w:r w:rsidR="009F0F2A" w:rsidRPr="008F38C9">
        <w:t>Salle sociale de la Cour de cassation, 6 novembre 2001, nº</w:t>
      </w:r>
      <w:r w:rsidR="00BE2D6F">
        <w:t xml:space="preserve"> </w:t>
      </w:r>
      <w:r w:rsidR="009F0F2A" w:rsidRPr="008F38C9">
        <w:t>99-43.988 ; Salle sociale de la Cour de cassatio</w:t>
      </w:r>
      <w:r w:rsidR="0063676E">
        <w:t>n, 28 mai 2003, nº 02-40.273.</w:t>
      </w:r>
    </w:p>
  </w:footnote>
  <w:footnote w:id="11">
    <w:p w14:paraId="4E4BB3A8" w14:textId="77777777" w:rsidR="009F0F2A" w:rsidRPr="008F38C9" w:rsidRDefault="008F38C9" w:rsidP="008F4129">
      <w:pPr>
        <w:pStyle w:val="FootnoteText"/>
        <w:jc w:val="both"/>
      </w:pPr>
      <w:r>
        <w:tab/>
      </w:r>
      <w:r w:rsidR="009F0F2A" w:rsidRPr="008F38C9">
        <w:rPr>
          <w:rStyle w:val="FootnoteReference"/>
        </w:rPr>
        <w:footnoteRef/>
      </w:r>
      <w:r>
        <w:tab/>
      </w:r>
      <w:r w:rsidR="009F0F2A" w:rsidRPr="008F38C9">
        <w:t>Cour d’appel de Saint-Denis de la Réunion, 9 Septembre 1997, nº 1997-930234</w:t>
      </w:r>
      <w:r w:rsidR="0063676E">
        <w:t>.</w:t>
      </w:r>
    </w:p>
  </w:footnote>
  <w:footnote w:id="12">
    <w:p w14:paraId="49381A9C" w14:textId="77777777" w:rsidR="009F0F2A" w:rsidRPr="008F38C9" w:rsidRDefault="008F38C9" w:rsidP="008F4129">
      <w:pPr>
        <w:pStyle w:val="FootnoteText"/>
        <w:jc w:val="both"/>
      </w:pPr>
      <w:r>
        <w:tab/>
      </w:r>
      <w:r w:rsidR="009F0F2A" w:rsidRPr="008F38C9">
        <w:rPr>
          <w:rStyle w:val="FootnoteReference"/>
        </w:rPr>
        <w:footnoteRef/>
      </w:r>
      <w:r w:rsidRPr="00453732">
        <w:rPr>
          <w:rStyle w:val="FootnoteReference"/>
        </w:rPr>
        <w:tab/>
      </w:r>
      <w:r w:rsidR="009F0F2A" w:rsidRPr="008F38C9">
        <w:t xml:space="preserve">Cour européenne des droits de l’homme, </w:t>
      </w:r>
      <w:proofErr w:type="spellStart"/>
      <w:r w:rsidR="009F0F2A" w:rsidRPr="00646059">
        <w:t>Leyla</w:t>
      </w:r>
      <w:proofErr w:type="spellEnd"/>
      <w:r w:rsidR="009F0F2A" w:rsidRPr="00646059">
        <w:t xml:space="preserve"> </w:t>
      </w:r>
      <w:proofErr w:type="spellStart"/>
      <w:r w:rsidR="009F0F2A" w:rsidRPr="00646059">
        <w:t>Sahin</w:t>
      </w:r>
      <w:proofErr w:type="spellEnd"/>
      <w:r w:rsidR="009F0F2A" w:rsidRPr="008F38C9">
        <w:t xml:space="preserve"> c. </w:t>
      </w:r>
      <w:r w:rsidR="009F0F2A" w:rsidRPr="00646059">
        <w:t>Turquie</w:t>
      </w:r>
      <w:r w:rsidR="009F0F2A" w:rsidRPr="008F38C9">
        <w:t xml:space="preserve">, </w:t>
      </w:r>
      <w:proofErr w:type="spellStart"/>
      <w:r w:rsidR="009F0F2A" w:rsidRPr="00646059">
        <w:t>Dahlab</w:t>
      </w:r>
      <w:proofErr w:type="spellEnd"/>
      <w:r w:rsidR="009F0F2A" w:rsidRPr="008F38C9">
        <w:t xml:space="preserve"> c. </w:t>
      </w:r>
      <w:r w:rsidR="009F0F2A" w:rsidRPr="00646059">
        <w:t>Suisse</w:t>
      </w:r>
      <w:r w:rsidR="009F0F2A" w:rsidRPr="008F38C9">
        <w:t xml:space="preserve">, </w:t>
      </w:r>
      <w:proofErr w:type="spellStart"/>
      <w:r w:rsidR="009F0F2A" w:rsidRPr="00646059">
        <w:t>Eweida</w:t>
      </w:r>
      <w:proofErr w:type="spellEnd"/>
      <w:r w:rsidR="009F0F2A" w:rsidRPr="008F38C9">
        <w:t xml:space="preserve"> </w:t>
      </w:r>
      <w:r w:rsidR="009F0F2A" w:rsidRPr="00646059">
        <w:t>et autres</w:t>
      </w:r>
      <w:r w:rsidR="009F0F2A" w:rsidRPr="008F38C9">
        <w:t xml:space="preserve"> c. </w:t>
      </w:r>
      <w:r w:rsidR="009F0F2A" w:rsidRPr="00646059">
        <w:t>Royaume-Unis</w:t>
      </w:r>
      <w:r w:rsidR="009F0F2A" w:rsidRPr="008F38C9">
        <w:t>, 15 janvier 2013, nº 48420/10</w:t>
      </w:r>
      <w:r w:rsidR="00E64D51">
        <w:t>.</w:t>
      </w:r>
    </w:p>
  </w:footnote>
  <w:footnote w:id="13">
    <w:p w14:paraId="08619FB4" w14:textId="77777777" w:rsidR="009F0F2A" w:rsidRPr="00DF3359" w:rsidRDefault="008F38C9" w:rsidP="008F4129">
      <w:pPr>
        <w:pStyle w:val="FootnoteText"/>
        <w:jc w:val="both"/>
      </w:pPr>
      <w:r>
        <w:tab/>
      </w:r>
      <w:r w:rsidR="009F0F2A" w:rsidRPr="008F38C9">
        <w:rPr>
          <w:rStyle w:val="FootnoteReference"/>
        </w:rPr>
        <w:footnoteRef/>
      </w:r>
      <w:r>
        <w:tab/>
      </w:r>
      <w:r w:rsidR="009F0F2A" w:rsidRPr="00DF3359">
        <w:t xml:space="preserve">Voir Cour européenne des droits de l’homme, </w:t>
      </w:r>
      <w:proofErr w:type="spellStart"/>
      <w:r w:rsidR="009F0F2A" w:rsidRPr="00DF3359">
        <w:t>Siebenhaar</w:t>
      </w:r>
      <w:proofErr w:type="spellEnd"/>
      <w:r w:rsidR="009F0F2A" w:rsidRPr="00DF3359">
        <w:t xml:space="preserve"> c Allemagne nº 18136/02, 3 février 2011.</w:t>
      </w:r>
    </w:p>
  </w:footnote>
  <w:footnote w:id="14">
    <w:p w14:paraId="24386561" w14:textId="77777777" w:rsidR="009F0F2A" w:rsidRPr="00DF3359" w:rsidRDefault="008F38C9" w:rsidP="008F4129">
      <w:pPr>
        <w:pStyle w:val="FootnoteText"/>
        <w:jc w:val="both"/>
      </w:pPr>
      <w:r>
        <w:tab/>
      </w:r>
      <w:r w:rsidR="009F0F2A" w:rsidRPr="008F38C9">
        <w:rPr>
          <w:rStyle w:val="FootnoteReference"/>
        </w:rPr>
        <w:footnoteRef/>
      </w:r>
      <w:r>
        <w:tab/>
      </w:r>
      <w:r w:rsidR="009F0F2A" w:rsidRPr="00DF3359">
        <w:t>Loi nº 2016-1088 du 8 août 2016</w:t>
      </w:r>
      <w:r w:rsidR="00E64D51" w:rsidRPr="00DF3359">
        <w:t>.</w:t>
      </w:r>
    </w:p>
  </w:footnote>
  <w:footnote w:id="15">
    <w:p w14:paraId="2295FB6E" w14:textId="77777777" w:rsidR="009F0F2A" w:rsidRPr="00646059" w:rsidRDefault="008F38C9" w:rsidP="008F4129">
      <w:pPr>
        <w:pStyle w:val="FootnoteText"/>
        <w:jc w:val="both"/>
      </w:pPr>
      <w:r>
        <w:tab/>
      </w:r>
      <w:r w:rsidR="009F0F2A" w:rsidRPr="008F38C9">
        <w:rPr>
          <w:rStyle w:val="FootnoteReference"/>
        </w:rPr>
        <w:footnoteRef/>
      </w:r>
      <w:r>
        <w:tab/>
      </w:r>
      <w:r w:rsidR="009F0F2A" w:rsidRPr="00646059">
        <w:t>Cour d’Appel de Paris, 16 mars 2001, nº 99-31302 ; Cour d’appel d</w:t>
      </w:r>
      <w:r w:rsidR="00BE2D6F" w:rsidRPr="00646059">
        <w:t>e Saint-Denis de la Réunion, 9 s</w:t>
      </w:r>
      <w:r w:rsidR="009F0F2A" w:rsidRPr="00646059">
        <w:t>eptembre 1997, nº 1997-930234</w:t>
      </w:r>
      <w:r w:rsidR="00E64D51" w:rsidRPr="00646059">
        <w:t>.</w:t>
      </w:r>
    </w:p>
  </w:footnote>
  <w:footnote w:id="16">
    <w:p w14:paraId="6EDB5F7C" w14:textId="77777777" w:rsidR="009F0F2A" w:rsidRPr="00646059" w:rsidRDefault="008F38C9" w:rsidP="008F4129">
      <w:pPr>
        <w:pStyle w:val="FootnoteText"/>
        <w:jc w:val="both"/>
      </w:pPr>
      <w:r>
        <w:tab/>
      </w:r>
      <w:r w:rsidR="009F0F2A" w:rsidRPr="008F38C9">
        <w:rPr>
          <w:rStyle w:val="FootnoteReference"/>
        </w:rPr>
        <w:footnoteRef/>
      </w:r>
      <w:r>
        <w:tab/>
      </w:r>
      <w:r w:rsidR="009F0F2A" w:rsidRPr="00646059">
        <w:t>Arrêt de la Cour de cassation du 9 avril 2015, numéro de pourvoi 13-19855</w:t>
      </w:r>
      <w:r w:rsidR="00E64D51" w:rsidRPr="00646059">
        <w:t>.</w:t>
      </w:r>
    </w:p>
  </w:footnote>
  <w:footnote w:id="17">
    <w:p w14:paraId="70EAFE8C" w14:textId="77777777" w:rsidR="009F0F2A" w:rsidRPr="008F38C9" w:rsidRDefault="008F38C9" w:rsidP="008F4129">
      <w:pPr>
        <w:pStyle w:val="FootnoteText"/>
        <w:jc w:val="both"/>
      </w:pPr>
      <w:r>
        <w:tab/>
      </w:r>
      <w:r w:rsidR="009F0F2A" w:rsidRPr="008F38C9">
        <w:rPr>
          <w:rStyle w:val="FootnoteReference"/>
        </w:rPr>
        <w:footnoteRef/>
      </w:r>
      <w:r w:rsidR="009F0F2A" w:rsidRPr="008F38C9">
        <w:tab/>
        <w:t>Rapport CCIF 2014/2015 : « Etre musulmane aujourd’hui en France : les femmes, premières victimes de l’islamophobie ».</w:t>
      </w:r>
    </w:p>
  </w:footnote>
  <w:footnote w:id="18">
    <w:p w14:paraId="02342D49" w14:textId="77777777" w:rsidR="009F0F2A" w:rsidRPr="003F4B01" w:rsidRDefault="008F38C9" w:rsidP="008F4129">
      <w:pPr>
        <w:pStyle w:val="FootnoteText"/>
        <w:jc w:val="both"/>
      </w:pPr>
      <w:r>
        <w:tab/>
      </w:r>
      <w:r w:rsidR="009F0F2A" w:rsidRPr="008F38C9">
        <w:rPr>
          <w:rStyle w:val="FootnoteReference"/>
        </w:rPr>
        <w:footnoteRef/>
      </w:r>
      <w:r w:rsidRPr="00453732">
        <w:rPr>
          <w:rStyle w:val="FootnoteReference"/>
        </w:rPr>
        <w:tab/>
      </w:r>
      <w:r w:rsidR="009F0F2A">
        <w:t xml:space="preserve">Voir </w:t>
      </w:r>
      <w:r w:rsidR="00DF1ED5">
        <w:t>o</w:t>
      </w:r>
      <w:r w:rsidR="009F0F2A" w:rsidRPr="003F4B01">
        <w:t xml:space="preserve">bservation </w:t>
      </w:r>
      <w:r w:rsidR="002749FE" w:rsidRPr="003F4B01">
        <w:t>Générale</w:t>
      </w:r>
      <w:r w:rsidR="00DF1ED5">
        <w:t xml:space="preserve"> </w:t>
      </w:r>
      <w:r w:rsidR="00DF1ED5" w:rsidRPr="00646059">
        <w:t>No</w:t>
      </w:r>
      <w:r w:rsidR="00DF1ED5">
        <w:t> </w:t>
      </w:r>
      <w:r w:rsidR="009F0F2A" w:rsidRPr="003F4B01">
        <w:t>22</w:t>
      </w:r>
      <w:r w:rsidR="009F0F2A">
        <w:t xml:space="preserve"> (1993) sur le droit à la liberté de pensée, de conscience et de religion</w:t>
      </w:r>
      <w:r w:rsidR="009F0F2A" w:rsidRPr="003F4B01">
        <w:t>,</w:t>
      </w:r>
      <w:r w:rsidR="00DF1ED5">
        <w:t xml:space="preserve"> par.</w:t>
      </w:r>
      <w:r w:rsidR="009F0F2A">
        <w:t xml:space="preserve"> 3</w:t>
      </w:r>
      <w:r w:rsidR="00B11C88">
        <w:t>.</w:t>
      </w:r>
    </w:p>
  </w:footnote>
  <w:footnote w:id="19">
    <w:p w14:paraId="26B9F6B4" w14:textId="77777777" w:rsidR="009F0F2A" w:rsidRPr="00646059" w:rsidRDefault="009F0F2A" w:rsidP="008F4129">
      <w:pPr>
        <w:pStyle w:val="FootnoteText"/>
        <w:jc w:val="both"/>
      </w:pPr>
      <w:r>
        <w:tab/>
      </w:r>
      <w:r w:rsidRPr="00646059">
        <w:rPr>
          <w:rStyle w:val="FootnoteReference"/>
        </w:rPr>
        <w:footnoteRef/>
      </w:r>
      <w:r w:rsidRPr="00646059">
        <w:rPr>
          <w:vertAlign w:val="superscript"/>
        </w:rPr>
        <w:tab/>
      </w:r>
      <w:r w:rsidRPr="00646059">
        <w:t xml:space="preserve">Rapport de la Rapporteuse spéciale sur la liberté de religion ou de conviction, Mme Asma </w:t>
      </w:r>
      <w:proofErr w:type="spellStart"/>
      <w:r w:rsidRPr="00646059">
        <w:t>Jahangi</w:t>
      </w:r>
      <w:proofErr w:type="spellEnd"/>
      <w:r w:rsidRPr="00646059">
        <w:t xml:space="preserve"> ; E/CN.4/2006/5 ; 9 </w:t>
      </w:r>
      <w:r w:rsidR="00DF1ED5" w:rsidRPr="00646059">
        <w:t>janvier 2006 par.</w:t>
      </w:r>
      <w:r w:rsidRPr="00646059">
        <w:t xml:space="preserve"> 58 : « L’ingérence, qui doit permettre de préserver l’intérêt légitime menacé, est-elle appropriée ? La mesure choisie est-elle celle qui restreint le moins le droit ou la liberté concerné ? La mesure est-elle proportionnée, c’est-à-dire établit-elle un juste équilibre entre des intérêts conflictuels ? La mesure choisie est-elle à même de promouvoir la tolérance religieuse ? La mesure a-t-elle pour résultat d’éviter la stigmatisation d’une communauté religieuse en particulier ? »</w:t>
      </w:r>
      <w:r w:rsidR="00B11C88" w:rsidRPr="00646059">
        <w:t>.</w:t>
      </w:r>
    </w:p>
  </w:footnote>
  <w:footnote w:id="20">
    <w:p w14:paraId="1BCACC47" w14:textId="77777777" w:rsidR="00764115" w:rsidRPr="00DC1B81" w:rsidRDefault="00764115" w:rsidP="008F4129">
      <w:pPr>
        <w:pStyle w:val="FootnoteText"/>
        <w:jc w:val="both"/>
      </w:pPr>
      <w:r>
        <w:tab/>
      </w:r>
      <w:r>
        <w:rPr>
          <w:rStyle w:val="FootnoteReference"/>
        </w:rPr>
        <w:footnoteRef/>
      </w:r>
      <w:r>
        <w:tab/>
        <w:t xml:space="preserve">Voir </w:t>
      </w:r>
      <w:proofErr w:type="spellStart"/>
      <w:r w:rsidRPr="00075C84">
        <w:rPr>
          <w:i/>
        </w:rPr>
        <w:t>Althammer</w:t>
      </w:r>
      <w:proofErr w:type="spellEnd"/>
      <w:r w:rsidRPr="004A39A2">
        <w:t xml:space="preserve"> et al c. </w:t>
      </w:r>
      <w:r w:rsidRPr="00075C84">
        <w:rPr>
          <w:i/>
        </w:rPr>
        <w:t>Autriche</w:t>
      </w:r>
      <w:r>
        <w:t xml:space="preserve"> (</w:t>
      </w:r>
      <w:r w:rsidRPr="002749FE">
        <w:t>CCPR/C/74/D/803/1998</w:t>
      </w:r>
      <w:r>
        <w:t>), para. 10.2.</w:t>
      </w:r>
      <w:r w:rsidRPr="004A39A2">
        <w:t xml:space="preserve"> </w:t>
      </w:r>
    </w:p>
  </w:footnote>
  <w:footnote w:id="21">
    <w:p w14:paraId="4E0B8BD8" w14:textId="77777777" w:rsidR="009F0F2A" w:rsidRPr="00DC1976" w:rsidRDefault="008F38C9" w:rsidP="008F4129">
      <w:pPr>
        <w:pStyle w:val="FootnoteText"/>
        <w:jc w:val="both"/>
      </w:pPr>
      <w:r>
        <w:tab/>
      </w:r>
      <w:r w:rsidR="009F0F2A">
        <w:rPr>
          <w:rStyle w:val="FootnoteReference"/>
        </w:rPr>
        <w:footnoteRef/>
      </w:r>
      <w:r>
        <w:tab/>
      </w:r>
      <w:r w:rsidR="009F0F2A">
        <w:t>Cour d’appel de Paris, Arrêt du 27 Novembre 2013, page 3</w:t>
      </w:r>
      <w:r w:rsidR="00B11C88">
        <w:t>.</w:t>
      </w:r>
    </w:p>
  </w:footnote>
  <w:footnote w:id="22">
    <w:p w14:paraId="2C00C552" w14:textId="77777777" w:rsidR="00646059" w:rsidRPr="00646059" w:rsidRDefault="008F38C9" w:rsidP="008F4129">
      <w:pPr>
        <w:pStyle w:val="FootnoteText"/>
        <w:jc w:val="both"/>
      </w:pPr>
      <w:r>
        <w:tab/>
      </w:r>
      <w:r w:rsidR="009F0F2A" w:rsidRPr="00646059">
        <w:rPr>
          <w:rStyle w:val="FootnoteReference"/>
        </w:rPr>
        <w:footnoteRef/>
      </w:r>
      <w:r w:rsidR="009F0F2A" w:rsidRPr="00646059">
        <w:tab/>
        <w:t xml:space="preserve">Rapport CCIF 2014/2015 : « Etre musulmane aujourd’hui en France : Les femmes, premières victimes de l’islamophobie » ; Ministère de l’éducation nationale de l’enseignement supérieur </w:t>
      </w:r>
    </w:p>
    <w:p w14:paraId="349EAB30" w14:textId="77777777" w:rsidR="00646059" w:rsidRPr="00646059" w:rsidRDefault="00646059" w:rsidP="008F4129">
      <w:pPr>
        <w:pStyle w:val="FootnoteText"/>
        <w:jc w:val="both"/>
      </w:pPr>
      <w:r w:rsidRPr="00646059">
        <w:tab/>
      </w:r>
      <w:r w:rsidRPr="00646059">
        <w:tab/>
      </w:r>
      <w:proofErr w:type="gramStart"/>
      <w:r w:rsidR="009F0F2A" w:rsidRPr="00646059">
        <w:t>et</w:t>
      </w:r>
      <w:proofErr w:type="gramEnd"/>
      <w:r w:rsidR="009F0F2A" w:rsidRPr="00646059">
        <w:t xml:space="preserve"> de la recherche : « Application de la loi du 15 mars 2004 sur le port des signes religieux </w:t>
      </w:r>
    </w:p>
    <w:p w14:paraId="461A2675" w14:textId="77777777" w:rsidR="009F0F2A" w:rsidRPr="00646059" w:rsidRDefault="00646059" w:rsidP="008F4129">
      <w:pPr>
        <w:pStyle w:val="FootnoteText"/>
        <w:jc w:val="both"/>
      </w:pPr>
      <w:r>
        <w:tab/>
      </w:r>
      <w:r>
        <w:tab/>
      </w:r>
      <w:proofErr w:type="gramStart"/>
      <w:r w:rsidR="009F0F2A" w:rsidRPr="00646059">
        <w:t>ostensibles</w:t>
      </w:r>
      <w:proofErr w:type="gramEnd"/>
      <w:r w:rsidR="009F0F2A" w:rsidRPr="00646059">
        <w:t xml:space="preserve"> dans les établissements d’enseignement publics ». Selon ce rapport, de 639 signes religieux « ostensibles » recensés, 626 étaient des voiles islamiques, onze étaient des turbans sikhs et deux étaient des grandes croix.</w:t>
      </w:r>
    </w:p>
  </w:footnote>
  <w:footnote w:id="23">
    <w:p w14:paraId="74421E0F" w14:textId="115162D6" w:rsidR="009F0F2A" w:rsidRPr="00DF3359" w:rsidRDefault="00DF3359" w:rsidP="008F4129">
      <w:pPr>
        <w:pStyle w:val="FootnoteText"/>
        <w:jc w:val="both"/>
        <w:rPr>
          <w:rFonts w:eastAsia="Times New Roman"/>
          <w:bCs/>
          <w:szCs w:val="18"/>
        </w:rPr>
      </w:pPr>
      <w:r>
        <w:tab/>
      </w:r>
      <w:r w:rsidR="009F0F2A">
        <w:rPr>
          <w:rStyle w:val="FootnoteReference"/>
        </w:rPr>
        <w:footnoteRef/>
      </w:r>
      <w:r w:rsidR="008F38C9">
        <w:tab/>
      </w:r>
      <w:r w:rsidR="009F0F2A" w:rsidRPr="00DF3359">
        <w:rPr>
          <w:rFonts w:eastAsia="Times New Roman"/>
          <w:bCs/>
          <w:szCs w:val="18"/>
        </w:rPr>
        <w:t>Voir Comité des droits de l’homme. Observations finales concernant le cinquième rapport périodique de la France 17 août 2015 CCPR/C/FRA/CO/5 paragraphe 22 :. </w:t>
      </w:r>
    </w:p>
  </w:footnote>
  <w:footnote w:id="24">
    <w:p w14:paraId="27881133" w14:textId="140DE613" w:rsidR="009F0F2A" w:rsidRPr="007371A3" w:rsidRDefault="008F38C9" w:rsidP="008F4129">
      <w:pPr>
        <w:pStyle w:val="FootnoteText"/>
        <w:jc w:val="both"/>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910C" w14:textId="1D1BB918" w:rsidR="009F0F2A" w:rsidRPr="00132866" w:rsidRDefault="005A5D9C" w:rsidP="00BC5889">
    <w:pPr>
      <w:pStyle w:val="Header"/>
    </w:pPr>
    <w:r w:rsidRPr="00813514">
      <w:t xml:space="preserve">Version non </w:t>
    </w:r>
    <w:r>
      <w:t>é</w:t>
    </w:r>
    <w:r w:rsidRPr="00813514">
      <w:t xml:space="preserve">ditée </w:t>
    </w:r>
    <w:r w:rsidR="009F0F2A">
      <w:t>CCPR/C/123/D/2662/2015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27BFA" w14:textId="715895D9" w:rsidR="009F0F2A" w:rsidRPr="00132866" w:rsidRDefault="005A5D9C">
    <w:pPr>
      <w:pStyle w:val="Header"/>
      <w:jc w:val="right"/>
    </w:pPr>
    <w:r w:rsidRPr="00813514">
      <w:t xml:space="preserve">Version non </w:t>
    </w:r>
    <w:r>
      <w:t>é</w:t>
    </w:r>
    <w:r w:rsidRPr="00813514">
      <w:t xml:space="preserve">ditée </w:t>
    </w:r>
    <w:r w:rsidR="009F0F2A">
      <w:t>CCPR/C/123</w:t>
    </w:r>
    <w:r w:rsidR="009F0F2A" w:rsidRPr="00C13AD4">
      <w:t>/D/</w:t>
    </w:r>
    <w:r w:rsidR="009F0F2A">
      <w:t>2662/2015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F9E4" w14:textId="77777777" w:rsidR="00CC794E" w:rsidRDefault="00CC794E" w:rsidP="000F2FA1">
    <w:pPr>
      <w:pStyle w:val="Header"/>
      <w:tabs>
        <w:tab w:val="left" w:pos="87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5682"/>
    <w:multiLevelType w:val="hybridMultilevel"/>
    <w:tmpl w:val="E07A6C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BE321A"/>
    <w:multiLevelType w:val="hybridMultilevel"/>
    <w:tmpl w:val="04DA8B58"/>
    <w:lvl w:ilvl="0" w:tplc="94E6E800">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06B23"/>
    <w:multiLevelType w:val="multilevel"/>
    <w:tmpl w:val="0A5CDD56"/>
    <w:lvl w:ilvl="0">
      <w:start w:val="1"/>
      <w:numFmt w:val="decimal"/>
      <w:suff w:val="space"/>
      <w:lvlText w:val="Chapter %1"/>
      <w:lvlJc w:val="left"/>
      <w:rPr>
        <w:rFonts w:ascii="Times New Roman" w:hAnsi="Times New Roman" w:cs="Times New Roman" w:hint="default"/>
        <w:color w:val="auto"/>
        <w:sz w:val="2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14C04CEA"/>
    <w:multiLevelType w:val="hybridMultilevel"/>
    <w:tmpl w:val="CA441A08"/>
    <w:lvl w:ilvl="0" w:tplc="4104A068">
      <w:start w:val="1"/>
      <w:numFmt w:val="decimal"/>
      <w:lvlText w:val="4.%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F7653D"/>
    <w:multiLevelType w:val="hybridMultilevel"/>
    <w:tmpl w:val="9FA63372"/>
    <w:lvl w:ilvl="0" w:tplc="12602922">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BC17771"/>
    <w:multiLevelType w:val="hybridMultilevel"/>
    <w:tmpl w:val="0DACC130"/>
    <w:lvl w:ilvl="0" w:tplc="C9101D2A">
      <w:start w:val="1"/>
      <w:numFmt w:val="decimal"/>
      <w:lvlText w:val="5.%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D0722C"/>
    <w:multiLevelType w:val="hybridMultilevel"/>
    <w:tmpl w:val="AF6A151E"/>
    <w:lvl w:ilvl="0" w:tplc="103C1A12">
      <w:start w:val="1"/>
      <w:numFmt w:val="decimal"/>
      <w:lvlText w:val="8.%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2921F5F"/>
    <w:multiLevelType w:val="hybridMultilevel"/>
    <w:tmpl w:val="4D1C87FE"/>
    <w:lvl w:ilvl="0" w:tplc="9FDC3CA2">
      <w:start w:val="1"/>
      <w:numFmt w:val="decimal"/>
      <w:lvlText w:val="3.%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BD1737"/>
    <w:multiLevelType w:val="hybridMultilevel"/>
    <w:tmpl w:val="93140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E860CB9"/>
    <w:multiLevelType w:val="multilevel"/>
    <w:tmpl w:val="AC583612"/>
    <w:lvl w:ilvl="0">
      <w:start w:val="8"/>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1CA1338"/>
    <w:multiLevelType w:val="hybridMultilevel"/>
    <w:tmpl w:val="11007846"/>
    <w:lvl w:ilvl="0" w:tplc="67EE91A4">
      <w:start w:val="1"/>
      <w:numFmt w:val="decimal"/>
      <w:lvlText w:val="6.%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1"/>
  </w:num>
  <w:num w:numId="17">
    <w:abstractNumId w:val="13"/>
  </w:num>
  <w:num w:numId="18">
    <w:abstractNumId w:val="15"/>
  </w:num>
  <w:num w:numId="19">
    <w:abstractNumId w:val="20"/>
  </w:num>
  <w:num w:numId="20">
    <w:abstractNumId w:val="10"/>
  </w:num>
  <w:num w:numId="21">
    <w:abstractNumId w:val="19"/>
  </w:num>
  <w:num w:numId="22">
    <w:abstractNumId w:val="14"/>
  </w:num>
  <w:num w:numId="23">
    <w:abstractNumId w:val="16"/>
  </w:num>
  <w:num w:numId="24">
    <w:abstractNumId w:val="23"/>
  </w:num>
  <w:num w:numId="25">
    <w:abstractNumId w:val="12"/>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H"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fr-CH"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es-ES" w:vendorID="64" w:dllVersion="131078" w:nlCheck="1" w:checkStyle="0"/>
  <w:activeWritingStyle w:appName="MSWord" w:lang="en-GB" w:vendorID="64" w:dllVersion="131078" w:nlCheck="1" w:checkStyle="1"/>
  <w:proofState w:spelling="clean" w:grammar="clean"/>
  <w:attachedTemplate r:id="rId1"/>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A7"/>
    <w:rsid w:val="00001505"/>
    <w:rsid w:val="000016A9"/>
    <w:rsid w:val="00006276"/>
    <w:rsid w:val="0001090D"/>
    <w:rsid w:val="00010B4B"/>
    <w:rsid w:val="00013219"/>
    <w:rsid w:val="00014AAB"/>
    <w:rsid w:val="00017F94"/>
    <w:rsid w:val="00020FB2"/>
    <w:rsid w:val="000226B9"/>
    <w:rsid w:val="00022775"/>
    <w:rsid w:val="00023842"/>
    <w:rsid w:val="000334F9"/>
    <w:rsid w:val="00034272"/>
    <w:rsid w:val="00036176"/>
    <w:rsid w:val="0004254A"/>
    <w:rsid w:val="00044333"/>
    <w:rsid w:val="0004529C"/>
    <w:rsid w:val="000470D5"/>
    <w:rsid w:val="0005244B"/>
    <w:rsid w:val="00055291"/>
    <w:rsid w:val="0005602C"/>
    <w:rsid w:val="000563C8"/>
    <w:rsid w:val="000675CE"/>
    <w:rsid w:val="00067637"/>
    <w:rsid w:val="0006796F"/>
    <w:rsid w:val="000710E4"/>
    <w:rsid w:val="00071329"/>
    <w:rsid w:val="000729BA"/>
    <w:rsid w:val="00075C84"/>
    <w:rsid w:val="0007796D"/>
    <w:rsid w:val="00077BF8"/>
    <w:rsid w:val="0008169D"/>
    <w:rsid w:val="0008791F"/>
    <w:rsid w:val="00091BAA"/>
    <w:rsid w:val="00095A27"/>
    <w:rsid w:val="000A047D"/>
    <w:rsid w:val="000A350E"/>
    <w:rsid w:val="000A3C04"/>
    <w:rsid w:val="000A6490"/>
    <w:rsid w:val="000A7A23"/>
    <w:rsid w:val="000B0D4D"/>
    <w:rsid w:val="000B6015"/>
    <w:rsid w:val="000B6514"/>
    <w:rsid w:val="000B7790"/>
    <w:rsid w:val="000C0935"/>
    <w:rsid w:val="000C1893"/>
    <w:rsid w:val="000C2225"/>
    <w:rsid w:val="000C5447"/>
    <w:rsid w:val="000C7AE6"/>
    <w:rsid w:val="000D2796"/>
    <w:rsid w:val="000D4364"/>
    <w:rsid w:val="000D4E62"/>
    <w:rsid w:val="000D54B4"/>
    <w:rsid w:val="000D7AB6"/>
    <w:rsid w:val="000E0520"/>
    <w:rsid w:val="000E05FF"/>
    <w:rsid w:val="000E4A2D"/>
    <w:rsid w:val="000F0D60"/>
    <w:rsid w:val="000F22E5"/>
    <w:rsid w:val="000F2FA1"/>
    <w:rsid w:val="000F427B"/>
    <w:rsid w:val="000F64E5"/>
    <w:rsid w:val="001007EA"/>
    <w:rsid w:val="00100D81"/>
    <w:rsid w:val="00100E6A"/>
    <w:rsid w:val="001046C3"/>
    <w:rsid w:val="0010477F"/>
    <w:rsid w:val="0010689C"/>
    <w:rsid w:val="001118C1"/>
    <w:rsid w:val="00111F2F"/>
    <w:rsid w:val="00112491"/>
    <w:rsid w:val="0011295F"/>
    <w:rsid w:val="00116A79"/>
    <w:rsid w:val="00117252"/>
    <w:rsid w:val="001175C1"/>
    <w:rsid w:val="00117A74"/>
    <w:rsid w:val="00120AA6"/>
    <w:rsid w:val="0012779F"/>
    <w:rsid w:val="001278BC"/>
    <w:rsid w:val="00132866"/>
    <w:rsid w:val="00134835"/>
    <w:rsid w:val="0014365E"/>
    <w:rsid w:val="0014572F"/>
    <w:rsid w:val="00146FE4"/>
    <w:rsid w:val="001565F8"/>
    <w:rsid w:val="00161AA7"/>
    <w:rsid w:val="001640B0"/>
    <w:rsid w:val="00165B55"/>
    <w:rsid w:val="00170458"/>
    <w:rsid w:val="00170B19"/>
    <w:rsid w:val="00171AEF"/>
    <w:rsid w:val="00172EDE"/>
    <w:rsid w:val="00175648"/>
    <w:rsid w:val="00176178"/>
    <w:rsid w:val="0018412E"/>
    <w:rsid w:val="00184AA8"/>
    <w:rsid w:val="00185475"/>
    <w:rsid w:val="001864A8"/>
    <w:rsid w:val="001879D1"/>
    <w:rsid w:val="00190D8A"/>
    <w:rsid w:val="00194F64"/>
    <w:rsid w:val="00195B0E"/>
    <w:rsid w:val="001965AE"/>
    <w:rsid w:val="001A62C7"/>
    <w:rsid w:val="001A6498"/>
    <w:rsid w:val="001B0F64"/>
    <w:rsid w:val="001B1A8E"/>
    <w:rsid w:val="001B379B"/>
    <w:rsid w:val="001B4539"/>
    <w:rsid w:val="001B48D3"/>
    <w:rsid w:val="001D0936"/>
    <w:rsid w:val="001D0C38"/>
    <w:rsid w:val="001D4171"/>
    <w:rsid w:val="001E1634"/>
    <w:rsid w:val="001E1F8A"/>
    <w:rsid w:val="001E2C76"/>
    <w:rsid w:val="001E6880"/>
    <w:rsid w:val="001E701F"/>
    <w:rsid w:val="001F013F"/>
    <w:rsid w:val="001F0496"/>
    <w:rsid w:val="001F06E1"/>
    <w:rsid w:val="001F525A"/>
    <w:rsid w:val="001F6F3D"/>
    <w:rsid w:val="001F7587"/>
    <w:rsid w:val="00202FC5"/>
    <w:rsid w:val="00204487"/>
    <w:rsid w:val="00205044"/>
    <w:rsid w:val="0021094A"/>
    <w:rsid w:val="00211C17"/>
    <w:rsid w:val="00213C00"/>
    <w:rsid w:val="00220D61"/>
    <w:rsid w:val="00223272"/>
    <w:rsid w:val="00223D65"/>
    <w:rsid w:val="002250E4"/>
    <w:rsid w:val="002335E7"/>
    <w:rsid w:val="00237667"/>
    <w:rsid w:val="002462B5"/>
    <w:rsid w:val="0024779E"/>
    <w:rsid w:val="00247B76"/>
    <w:rsid w:val="002531FE"/>
    <w:rsid w:val="00256DA2"/>
    <w:rsid w:val="00260236"/>
    <w:rsid w:val="00261C3A"/>
    <w:rsid w:val="00262F51"/>
    <w:rsid w:val="00265237"/>
    <w:rsid w:val="002669BA"/>
    <w:rsid w:val="00270CA2"/>
    <w:rsid w:val="00271419"/>
    <w:rsid w:val="0027334A"/>
    <w:rsid w:val="00273883"/>
    <w:rsid w:val="002749FE"/>
    <w:rsid w:val="002765A0"/>
    <w:rsid w:val="00277753"/>
    <w:rsid w:val="00293BA8"/>
    <w:rsid w:val="00296C79"/>
    <w:rsid w:val="00297BF6"/>
    <w:rsid w:val="002A034B"/>
    <w:rsid w:val="002A05E2"/>
    <w:rsid w:val="002A0F4E"/>
    <w:rsid w:val="002A12AE"/>
    <w:rsid w:val="002B1941"/>
    <w:rsid w:val="002B7BC7"/>
    <w:rsid w:val="002C57FF"/>
    <w:rsid w:val="002D0E0A"/>
    <w:rsid w:val="002D1F99"/>
    <w:rsid w:val="002D6D85"/>
    <w:rsid w:val="002D6D8B"/>
    <w:rsid w:val="002D7EC2"/>
    <w:rsid w:val="002E2D46"/>
    <w:rsid w:val="002F0D68"/>
    <w:rsid w:val="002F5069"/>
    <w:rsid w:val="003019E0"/>
    <w:rsid w:val="00301FFD"/>
    <w:rsid w:val="00310029"/>
    <w:rsid w:val="00311A74"/>
    <w:rsid w:val="0032225A"/>
    <w:rsid w:val="003222E5"/>
    <w:rsid w:val="003235F4"/>
    <w:rsid w:val="00326AF9"/>
    <w:rsid w:val="0032701B"/>
    <w:rsid w:val="00330CB8"/>
    <w:rsid w:val="0033172F"/>
    <w:rsid w:val="0033366D"/>
    <w:rsid w:val="0033433C"/>
    <w:rsid w:val="003347E5"/>
    <w:rsid w:val="00336A72"/>
    <w:rsid w:val="003402F1"/>
    <w:rsid w:val="00341CCC"/>
    <w:rsid w:val="003420FC"/>
    <w:rsid w:val="00342756"/>
    <w:rsid w:val="0034490F"/>
    <w:rsid w:val="0035028C"/>
    <w:rsid w:val="00351332"/>
    <w:rsid w:val="003515A1"/>
    <w:rsid w:val="00352976"/>
    <w:rsid w:val="00356EB5"/>
    <w:rsid w:val="00360426"/>
    <w:rsid w:val="00363A9E"/>
    <w:rsid w:val="00363F77"/>
    <w:rsid w:val="00364D7E"/>
    <w:rsid w:val="00366A30"/>
    <w:rsid w:val="00372D66"/>
    <w:rsid w:val="003756FB"/>
    <w:rsid w:val="0037642C"/>
    <w:rsid w:val="003819A6"/>
    <w:rsid w:val="00384154"/>
    <w:rsid w:val="003860E1"/>
    <w:rsid w:val="00387CE5"/>
    <w:rsid w:val="00394BF9"/>
    <w:rsid w:val="003964D1"/>
    <w:rsid w:val="003A04DC"/>
    <w:rsid w:val="003A2234"/>
    <w:rsid w:val="003A4C3D"/>
    <w:rsid w:val="003A4EDC"/>
    <w:rsid w:val="003A66CF"/>
    <w:rsid w:val="003A6C22"/>
    <w:rsid w:val="003A6E96"/>
    <w:rsid w:val="003A7195"/>
    <w:rsid w:val="003A77C9"/>
    <w:rsid w:val="003B1E6F"/>
    <w:rsid w:val="003B296A"/>
    <w:rsid w:val="003B344C"/>
    <w:rsid w:val="003B5BC1"/>
    <w:rsid w:val="003B74DA"/>
    <w:rsid w:val="003B78D8"/>
    <w:rsid w:val="003C0218"/>
    <w:rsid w:val="003C5CEC"/>
    <w:rsid w:val="003C7FB9"/>
    <w:rsid w:val="003D10E0"/>
    <w:rsid w:val="003D14DF"/>
    <w:rsid w:val="003D167A"/>
    <w:rsid w:val="003D1897"/>
    <w:rsid w:val="003D1B36"/>
    <w:rsid w:val="003D5852"/>
    <w:rsid w:val="003D67A6"/>
    <w:rsid w:val="003E1299"/>
    <w:rsid w:val="003E4569"/>
    <w:rsid w:val="003E5EF7"/>
    <w:rsid w:val="003E6B63"/>
    <w:rsid w:val="003E7D24"/>
    <w:rsid w:val="003F4B01"/>
    <w:rsid w:val="003F707B"/>
    <w:rsid w:val="00401D70"/>
    <w:rsid w:val="00402719"/>
    <w:rsid w:val="00404856"/>
    <w:rsid w:val="0041079B"/>
    <w:rsid w:val="0041214D"/>
    <w:rsid w:val="004155FF"/>
    <w:rsid w:val="004210EF"/>
    <w:rsid w:val="0042229A"/>
    <w:rsid w:val="004267D8"/>
    <w:rsid w:val="004277FF"/>
    <w:rsid w:val="00427CC0"/>
    <w:rsid w:val="004312FF"/>
    <w:rsid w:val="004321F0"/>
    <w:rsid w:val="004335E9"/>
    <w:rsid w:val="00436B15"/>
    <w:rsid w:val="004406D7"/>
    <w:rsid w:val="00441CE1"/>
    <w:rsid w:val="0044481E"/>
    <w:rsid w:val="00446FE5"/>
    <w:rsid w:val="0044717C"/>
    <w:rsid w:val="00452396"/>
    <w:rsid w:val="004526FB"/>
    <w:rsid w:val="00453732"/>
    <w:rsid w:val="004609CB"/>
    <w:rsid w:val="00464D60"/>
    <w:rsid w:val="00471662"/>
    <w:rsid w:val="00474798"/>
    <w:rsid w:val="00475B8B"/>
    <w:rsid w:val="004767DC"/>
    <w:rsid w:val="0048085E"/>
    <w:rsid w:val="004856F3"/>
    <w:rsid w:val="00486CFD"/>
    <w:rsid w:val="0048754A"/>
    <w:rsid w:val="00490516"/>
    <w:rsid w:val="00495597"/>
    <w:rsid w:val="004961FA"/>
    <w:rsid w:val="00496D86"/>
    <w:rsid w:val="004A26C2"/>
    <w:rsid w:val="004A4E0E"/>
    <w:rsid w:val="004A605F"/>
    <w:rsid w:val="004A6A54"/>
    <w:rsid w:val="004B09F8"/>
    <w:rsid w:val="004B1B71"/>
    <w:rsid w:val="004B20D0"/>
    <w:rsid w:val="004B435A"/>
    <w:rsid w:val="004C015F"/>
    <w:rsid w:val="004C1576"/>
    <w:rsid w:val="004D0CDB"/>
    <w:rsid w:val="004E1C02"/>
    <w:rsid w:val="004E367B"/>
    <w:rsid w:val="004E6517"/>
    <w:rsid w:val="004F1389"/>
    <w:rsid w:val="004F14E0"/>
    <w:rsid w:val="004F2857"/>
    <w:rsid w:val="004F4943"/>
    <w:rsid w:val="004F5DD2"/>
    <w:rsid w:val="004F7FA7"/>
    <w:rsid w:val="00501AEC"/>
    <w:rsid w:val="00501B41"/>
    <w:rsid w:val="0050228F"/>
    <w:rsid w:val="0050772C"/>
    <w:rsid w:val="00511FEA"/>
    <w:rsid w:val="005138E8"/>
    <w:rsid w:val="005140BD"/>
    <w:rsid w:val="005176A1"/>
    <w:rsid w:val="00522056"/>
    <w:rsid w:val="005226C0"/>
    <w:rsid w:val="00526077"/>
    <w:rsid w:val="00527549"/>
    <w:rsid w:val="00527601"/>
    <w:rsid w:val="00527D22"/>
    <w:rsid w:val="0053200F"/>
    <w:rsid w:val="00534254"/>
    <w:rsid w:val="005344C3"/>
    <w:rsid w:val="0053554A"/>
    <w:rsid w:val="00540792"/>
    <w:rsid w:val="00541CAC"/>
    <w:rsid w:val="005505B7"/>
    <w:rsid w:val="0055180F"/>
    <w:rsid w:val="00553571"/>
    <w:rsid w:val="005560E2"/>
    <w:rsid w:val="00563F44"/>
    <w:rsid w:val="00564169"/>
    <w:rsid w:val="005645AB"/>
    <w:rsid w:val="00566945"/>
    <w:rsid w:val="00566986"/>
    <w:rsid w:val="0057095B"/>
    <w:rsid w:val="00571AF7"/>
    <w:rsid w:val="00573BE5"/>
    <w:rsid w:val="00574B97"/>
    <w:rsid w:val="00577D91"/>
    <w:rsid w:val="00581774"/>
    <w:rsid w:val="00582455"/>
    <w:rsid w:val="00583A6D"/>
    <w:rsid w:val="0058686C"/>
    <w:rsid w:val="00586B05"/>
    <w:rsid w:val="00586ED3"/>
    <w:rsid w:val="00591EFF"/>
    <w:rsid w:val="00592491"/>
    <w:rsid w:val="00596AA9"/>
    <w:rsid w:val="005A2731"/>
    <w:rsid w:val="005A3939"/>
    <w:rsid w:val="005A54D6"/>
    <w:rsid w:val="005A56ED"/>
    <w:rsid w:val="005A5D9C"/>
    <w:rsid w:val="005A74F1"/>
    <w:rsid w:val="005B37E5"/>
    <w:rsid w:val="005B59D0"/>
    <w:rsid w:val="005C1217"/>
    <w:rsid w:val="005C5C2D"/>
    <w:rsid w:val="005D4A28"/>
    <w:rsid w:val="005D69A7"/>
    <w:rsid w:val="005E000A"/>
    <w:rsid w:val="005E0F26"/>
    <w:rsid w:val="005E194D"/>
    <w:rsid w:val="005E5E60"/>
    <w:rsid w:val="005F2161"/>
    <w:rsid w:val="005F2367"/>
    <w:rsid w:val="005F3266"/>
    <w:rsid w:val="005F65AC"/>
    <w:rsid w:val="005F707E"/>
    <w:rsid w:val="0060287E"/>
    <w:rsid w:val="00605FD0"/>
    <w:rsid w:val="006077EA"/>
    <w:rsid w:val="00607D94"/>
    <w:rsid w:val="006166BC"/>
    <w:rsid w:val="00617F53"/>
    <w:rsid w:val="00620CD4"/>
    <w:rsid w:val="006324BB"/>
    <w:rsid w:val="0063676E"/>
    <w:rsid w:val="00642519"/>
    <w:rsid w:val="00642D23"/>
    <w:rsid w:val="006447F1"/>
    <w:rsid w:val="006449CB"/>
    <w:rsid w:val="00645F11"/>
    <w:rsid w:val="00646059"/>
    <w:rsid w:val="00652543"/>
    <w:rsid w:val="00652A37"/>
    <w:rsid w:val="00655929"/>
    <w:rsid w:val="00656650"/>
    <w:rsid w:val="00663045"/>
    <w:rsid w:val="0066479A"/>
    <w:rsid w:val="00664CAF"/>
    <w:rsid w:val="006657BD"/>
    <w:rsid w:val="00667008"/>
    <w:rsid w:val="0067074B"/>
    <w:rsid w:val="00675887"/>
    <w:rsid w:val="00680D85"/>
    <w:rsid w:val="00681844"/>
    <w:rsid w:val="00682A3A"/>
    <w:rsid w:val="006856F4"/>
    <w:rsid w:val="00686E17"/>
    <w:rsid w:val="00694234"/>
    <w:rsid w:val="00696BE4"/>
    <w:rsid w:val="006A046B"/>
    <w:rsid w:val="006A3D98"/>
    <w:rsid w:val="006A571B"/>
    <w:rsid w:val="006B2C9A"/>
    <w:rsid w:val="006B35C3"/>
    <w:rsid w:val="006B3EB4"/>
    <w:rsid w:val="006B659F"/>
    <w:rsid w:val="006B70C8"/>
    <w:rsid w:val="006B74AA"/>
    <w:rsid w:val="006C177F"/>
    <w:rsid w:val="006C2C2A"/>
    <w:rsid w:val="006C3061"/>
    <w:rsid w:val="006D79E9"/>
    <w:rsid w:val="006E0830"/>
    <w:rsid w:val="006E228D"/>
    <w:rsid w:val="006E6173"/>
    <w:rsid w:val="006E712C"/>
    <w:rsid w:val="006E7C84"/>
    <w:rsid w:val="006F0C59"/>
    <w:rsid w:val="006F3594"/>
    <w:rsid w:val="006F4801"/>
    <w:rsid w:val="006F4E17"/>
    <w:rsid w:val="006F6991"/>
    <w:rsid w:val="006F7144"/>
    <w:rsid w:val="006F71EA"/>
    <w:rsid w:val="00704917"/>
    <w:rsid w:val="007050C7"/>
    <w:rsid w:val="00705A09"/>
    <w:rsid w:val="0071350E"/>
    <w:rsid w:val="007138D7"/>
    <w:rsid w:val="0071601D"/>
    <w:rsid w:val="00724445"/>
    <w:rsid w:val="00725F67"/>
    <w:rsid w:val="00726568"/>
    <w:rsid w:val="00727E03"/>
    <w:rsid w:val="00734F46"/>
    <w:rsid w:val="00736117"/>
    <w:rsid w:val="007371A3"/>
    <w:rsid w:val="007371F3"/>
    <w:rsid w:val="00743F8A"/>
    <w:rsid w:val="007440B8"/>
    <w:rsid w:val="00750F91"/>
    <w:rsid w:val="00753150"/>
    <w:rsid w:val="00764115"/>
    <w:rsid w:val="0076510D"/>
    <w:rsid w:val="0076687F"/>
    <w:rsid w:val="00770C51"/>
    <w:rsid w:val="00772779"/>
    <w:rsid w:val="00775336"/>
    <w:rsid w:val="0077732A"/>
    <w:rsid w:val="00782C62"/>
    <w:rsid w:val="007846BC"/>
    <w:rsid w:val="007848CA"/>
    <w:rsid w:val="00785BB0"/>
    <w:rsid w:val="00790BF0"/>
    <w:rsid w:val="00793E85"/>
    <w:rsid w:val="007948FF"/>
    <w:rsid w:val="007954AE"/>
    <w:rsid w:val="0079596C"/>
    <w:rsid w:val="007A1F91"/>
    <w:rsid w:val="007A40C3"/>
    <w:rsid w:val="007A611C"/>
    <w:rsid w:val="007A62E6"/>
    <w:rsid w:val="007B0739"/>
    <w:rsid w:val="007B2799"/>
    <w:rsid w:val="007B39DA"/>
    <w:rsid w:val="007B4B79"/>
    <w:rsid w:val="007B5C63"/>
    <w:rsid w:val="007C10D1"/>
    <w:rsid w:val="007C20DB"/>
    <w:rsid w:val="007C2191"/>
    <w:rsid w:val="007C25AA"/>
    <w:rsid w:val="007C643E"/>
    <w:rsid w:val="007C6C35"/>
    <w:rsid w:val="007C7BB9"/>
    <w:rsid w:val="007E2032"/>
    <w:rsid w:val="007E4B99"/>
    <w:rsid w:val="007E5D4D"/>
    <w:rsid w:val="007E60A6"/>
    <w:rsid w:val="007F2702"/>
    <w:rsid w:val="007F64FB"/>
    <w:rsid w:val="0080306E"/>
    <w:rsid w:val="0080684C"/>
    <w:rsid w:val="00811D5F"/>
    <w:rsid w:val="00820442"/>
    <w:rsid w:val="00824C6E"/>
    <w:rsid w:val="0083177C"/>
    <w:rsid w:val="00833226"/>
    <w:rsid w:val="00835C04"/>
    <w:rsid w:val="00835ED1"/>
    <w:rsid w:val="00836CF8"/>
    <w:rsid w:val="00841F1E"/>
    <w:rsid w:val="00842FED"/>
    <w:rsid w:val="00844085"/>
    <w:rsid w:val="00845B32"/>
    <w:rsid w:val="008463E4"/>
    <w:rsid w:val="00847E93"/>
    <w:rsid w:val="00850E3A"/>
    <w:rsid w:val="00852D73"/>
    <w:rsid w:val="008548C4"/>
    <w:rsid w:val="00854F58"/>
    <w:rsid w:val="00855C5D"/>
    <w:rsid w:val="00855E88"/>
    <w:rsid w:val="008560DB"/>
    <w:rsid w:val="00857026"/>
    <w:rsid w:val="008574EA"/>
    <w:rsid w:val="008608CA"/>
    <w:rsid w:val="0086219D"/>
    <w:rsid w:val="00862E70"/>
    <w:rsid w:val="00863154"/>
    <w:rsid w:val="008651B9"/>
    <w:rsid w:val="00866802"/>
    <w:rsid w:val="00867E69"/>
    <w:rsid w:val="0087166E"/>
    <w:rsid w:val="00871C75"/>
    <w:rsid w:val="008729E5"/>
    <w:rsid w:val="00872B5B"/>
    <w:rsid w:val="00874B1C"/>
    <w:rsid w:val="00875287"/>
    <w:rsid w:val="008776DC"/>
    <w:rsid w:val="00882260"/>
    <w:rsid w:val="00882ABD"/>
    <w:rsid w:val="008844FA"/>
    <w:rsid w:val="00887ECC"/>
    <w:rsid w:val="00890158"/>
    <w:rsid w:val="00892E4F"/>
    <w:rsid w:val="008953AF"/>
    <w:rsid w:val="008A29B2"/>
    <w:rsid w:val="008A56A6"/>
    <w:rsid w:val="008A6CBF"/>
    <w:rsid w:val="008A79E9"/>
    <w:rsid w:val="008B0674"/>
    <w:rsid w:val="008C0FC8"/>
    <w:rsid w:val="008C2045"/>
    <w:rsid w:val="008C3AD9"/>
    <w:rsid w:val="008D2617"/>
    <w:rsid w:val="008D5442"/>
    <w:rsid w:val="008D5498"/>
    <w:rsid w:val="008D57B3"/>
    <w:rsid w:val="008E58F1"/>
    <w:rsid w:val="008F38C9"/>
    <w:rsid w:val="008F4129"/>
    <w:rsid w:val="008F49EB"/>
    <w:rsid w:val="0090047E"/>
    <w:rsid w:val="00905EE3"/>
    <w:rsid w:val="0091272D"/>
    <w:rsid w:val="009132AE"/>
    <w:rsid w:val="00913402"/>
    <w:rsid w:val="0091488E"/>
    <w:rsid w:val="0091637C"/>
    <w:rsid w:val="00920448"/>
    <w:rsid w:val="00920472"/>
    <w:rsid w:val="00921B78"/>
    <w:rsid w:val="00922AD6"/>
    <w:rsid w:val="00923D25"/>
    <w:rsid w:val="00925F31"/>
    <w:rsid w:val="009261DF"/>
    <w:rsid w:val="009261E8"/>
    <w:rsid w:val="00932328"/>
    <w:rsid w:val="009429E2"/>
    <w:rsid w:val="009434FE"/>
    <w:rsid w:val="00944DC5"/>
    <w:rsid w:val="00951EDA"/>
    <w:rsid w:val="009647C4"/>
    <w:rsid w:val="00967155"/>
    <w:rsid w:val="0096798E"/>
    <w:rsid w:val="009705C8"/>
    <w:rsid w:val="00971789"/>
    <w:rsid w:val="00975B90"/>
    <w:rsid w:val="0098444E"/>
    <w:rsid w:val="0098787B"/>
    <w:rsid w:val="00991364"/>
    <w:rsid w:val="00993B9C"/>
    <w:rsid w:val="009947E8"/>
    <w:rsid w:val="00995C3A"/>
    <w:rsid w:val="0099672B"/>
    <w:rsid w:val="00996B19"/>
    <w:rsid w:val="00996E02"/>
    <w:rsid w:val="009A68A8"/>
    <w:rsid w:val="009B03EA"/>
    <w:rsid w:val="009B17EF"/>
    <w:rsid w:val="009B1E21"/>
    <w:rsid w:val="009B1E6C"/>
    <w:rsid w:val="009B26F6"/>
    <w:rsid w:val="009B4EF5"/>
    <w:rsid w:val="009C291F"/>
    <w:rsid w:val="009C319E"/>
    <w:rsid w:val="009C3381"/>
    <w:rsid w:val="009C473A"/>
    <w:rsid w:val="009C5F0A"/>
    <w:rsid w:val="009C61D9"/>
    <w:rsid w:val="009D1937"/>
    <w:rsid w:val="009D4FFD"/>
    <w:rsid w:val="009E2C6A"/>
    <w:rsid w:val="009E42E5"/>
    <w:rsid w:val="009F0F2A"/>
    <w:rsid w:val="009F5B02"/>
    <w:rsid w:val="00A00F51"/>
    <w:rsid w:val="00A02533"/>
    <w:rsid w:val="00A05B2F"/>
    <w:rsid w:val="00A06170"/>
    <w:rsid w:val="00A117AD"/>
    <w:rsid w:val="00A123E7"/>
    <w:rsid w:val="00A12414"/>
    <w:rsid w:val="00A12BF2"/>
    <w:rsid w:val="00A15523"/>
    <w:rsid w:val="00A175DE"/>
    <w:rsid w:val="00A21A05"/>
    <w:rsid w:val="00A21A7D"/>
    <w:rsid w:val="00A26FAD"/>
    <w:rsid w:val="00A324C0"/>
    <w:rsid w:val="00A334BF"/>
    <w:rsid w:val="00A3555E"/>
    <w:rsid w:val="00A4246E"/>
    <w:rsid w:val="00A47276"/>
    <w:rsid w:val="00A500B6"/>
    <w:rsid w:val="00A5115E"/>
    <w:rsid w:val="00A5482E"/>
    <w:rsid w:val="00A60304"/>
    <w:rsid w:val="00A60D80"/>
    <w:rsid w:val="00A6293E"/>
    <w:rsid w:val="00A677F4"/>
    <w:rsid w:val="00A70CD8"/>
    <w:rsid w:val="00A71440"/>
    <w:rsid w:val="00A71B52"/>
    <w:rsid w:val="00A7375C"/>
    <w:rsid w:val="00A74A8C"/>
    <w:rsid w:val="00A80CBE"/>
    <w:rsid w:val="00A84716"/>
    <w:rsid w:val="00A9151D"/>
    <w:rsid w:val="00A921F5"/>
    <w:rsid w:val="00A933F7"/>
    <w:rsid w:val="00A94957"/>
    <w:rsid w:val="00A966F3"/>
    <w:rsid w:val="00AA02C9"/>
    <w:rsid w:val="00AA08C2"/>
    <w:rsid w:val="00AA535F"/>
    <w:rsid w:val="00AA59F8"/>
    <w:rsid w:val="00AA6A35"/>
    <w:rsid w:val="00AB2AF2"/>
    <w:rsid w:val="00AB62B7"/>
    <w:rsid w:val="00AC0EBB"/>
    <w:rsid w:val="00AC24AB"/>
    <w:rsid w:val="00AC2B47"/>
    <w:rsid w:val="00AC3823"/>
    <w:rsid w:val="00AC3AB4"/>
    <w:rsid w:val="00AD018B"/>
    <w:rsid w:val="00AD0C78"/>
    <w:rsid w:val="00AD2F4D"/>
    <w:rsid w:val="00AD7370"/>
    <w:rsid w:val="00AD73E1"/>
    <w:rsid w:val="00AE0A8D"/>
    <w:rsid w:val="00AE220D"/>
    <w:rsid w:val="00AE323C"/>
    <w:rsid w:val="00AF2B3E"/>
    <w:rsid w:val="00B00181"/>
    <w:rsid w:val="00B0477F"/>
    <w:rsid w:val="00B0492F"/>
    <w:rsid w:val="00B11C88"/>
    <w:rsid w:val="00B135BD"/>
    <w:rsid w:val="00B2083D"/>
    <w:rsid w:val="00B20EB7"/>
    <w:rsid w:val="00B22509"/>
    <w:rsid w:val="00B2314E"/>
    <w:rsid w:val="00B272CD"/>
    <w:rsid w:val="00B3557B"/>
    <w:rsid w:val="00B35CFA"/>
    <w:rsid w:val="00B37EFE"/>
    <w:rsid w:val="00B42E07"/>
    <w:rsid w:val="00B51C9C"/>
    <w:rsid w:val="00B51F8D"/>
    <w:rsid w:val="00B545B7"/>
    <w:rsid w:val="00B55313"/>
    <w:rsid w:val="00B57853"/>
    <w:rsid w:val="00B60E0F"/>
    <w:rsid w:val="00B6429D"/>
    <w:rsid w:val="00B6537E"/>
    <w:rsid w:val="00B72960"/>
    <w:rsid w:val="00B73071"/>
    <w:rsid w:val="00B743B9"/>
    <w:rsid w:val="00B74E16"/>
    <w:rsid w:val="00B753E3"/>
    <w:rsid w:val="00B765F7"/>
    <w:rsid w:val="00B7660C"/>
    <w:rsid w:val="00B80CD7"/>
    <w:rsid w:val="00B8199A"/>
    <w:rsid w:val="00B81AD9"/>
    <w:rsid w:val="00B82BC4"/>
    <w:rsid w:val="00B83040"/>
    <w:rsid w:val="00B92118"/>
    <w:rsid w:val="00B922A3"/>
    <w:rsid w:val="00B922CC"/>
    <w:rsid w:val="00B932DB"/>
    <w:rsid w:val="00B94BFF"/>
    <w:rsid w:val="00B95731"/>
    <w:rsid w:val="00BA0CA9"/>
    <w:rsid w:val="00BA31BE"/>
    <w:rsid w:val="00BA42D1"/>
    <w:rsid w:val="00BA4E58"/>
    <w:rsid w:val="00BB149B"/>
    <w:rsid w:val="00BB1F06"/>
    <w:rsid w:val="00BB22EC"/>
    <w:rsid w:val="00BC0895"/>
    <w:rsid w:val="00BC2283"/>
    <w:rsid w:val="00BC5889"/>
    <w:rsid w:val="00BC676A"/>
    <w:rsid w:val="00BC7F0E"/>
    <w:rsid w:val="00BD04D6"/>
    <w:rsid w:val="00BD196D"/>
    <w:rsid w:val="00BD3BFF"/>
    <w:rsid w:val="00BD460C"/>
    <w:rsid w:val="00BE2C3F"/>
    <w:rsid w:val="00BE2D6F"/>
    <w:rsid w:val="00BE645D"/>
    <w:rsid w:val="00BF43AB"/>
    <w:rsid w:val="00BF446B"/>
    <w:rsid w:val="00BF56B6"/>
    <w:rsid w:val="00C01ACF"/>
    <w:rsid w:val="00C02897"/>
    <w:rsid w:val="00C10730"/>
    <w:rsid w:val="00C13AD4"/>
    <w:rsid w:val="00C13C87"/>
    <w:rsid w:val="00C14122"/>
    <w:rsid w:val="00C23338"/>
    <w:rsid w:val="00C24104"/>
    <w:rsid w:val="00C25D47"/>
    <w:rsid w:val="00C31801"/>
    <w:rsid w:val="00C35226"/>
    <w:rsid w:val="00C413BA"/>
    <w:rsid w:val="00C41C3E"/>
    <w:rsid w:val="00C4221B"/>
    <w:rsid w:val="00C50FFC"/>
    <w:rsid w:val="00C5332A"/>
    <w:rsid w:val="00C54A79"/>
    <w:rsid w:val="00C55F44"/>
    <w:rsid w:val="00C64A4E"/>
    <w:rsid w:val="00C65752"/>
    <w:rsid w:val="00C71905"/>
    <w:rsid w:val="00C76903"/>
    <w:rsid w:val="00C93138"/>
    <w:rsid w:val="00C94FFA"/>
    <w:rsid w:val="00C96848"/>
    <w:rsid w:val="00C97D57"/>
    <w:rsid w:val="00CA0865"/>
    <w:rsid w:val="00CA1EC0"/>
    <w:rsid w:val="00CA3D74"/>
    <w:rsid w:val="00CA5A5B"/>
    <w:rsid w:val="00CA64FF"/>
    <w:rsid w:val="00CA7BC4"/>
    <w:rsid w:val="00CB0EB5"/>
    <w:rsid w:val="00CB2554"/>
    <w:rsid w:val="00CB2592"/>
    <w:rsid w:val="00CB60D3"/>
    <w:rsid w:val="00CB7673"/>
    <w:rsid w:val="00CC09FD"/>
    <w:rsid w:val="00CC1ECC"/>
    <w:rsid w:val="00CC2894"/>
    <w:rsid w:val="00CC794E"/>
    <w:rsid w:val="00CC7A11"/>
    <w:rsid w:val="00CD207B"/>
    <w:rsid w:val="00CD2EEB"/>
    <w:rsid w:val="00CD3421"/>
    <w:rsid w:val="00CD4DE8"/>
    <w:rsid w:val="00CD643F"/>
    <w:rsid w:val="00CD6C3C"/>
    <w:rsid w:val="00CE037F"/>
    <w:rsid w:val="00CE5E41"/>
    <w:rsid w:val="00CF0D8C"/>
    <w:rsid w:val="00CF1243"/>
    <w:rsid w:val="00CF2C52"/>
    <w:rsid w:val="00CF6480"/>
    <w:rsid w:val="00D05667"/>
    <w:rsid w:val="00D059B7"/>
    <w:rsid w:val="00D1084E"/>
    <w:rsid w:val="00D11C18"/>
    <w:rsid w:val="00D12ECB"/>
    <w:rsid w:val="00D132ED"/>
    <w:rsid w:val="00D15D18"/>
    <w:rsid w:val="00D17E87"/>
    <w:rsid w:val="00D206B6"/>
    <w:rsid w:val="00D2397B"/>
    <w:rsid w:val="00D2699B"/>
    <w:rsid w:val="00D27513"/>
    <w:rsid w:val="00D31A5B"/>
    <w:rsid w:val="00D3439C"/>
    <w:rsid w:val="00D41589"/>
    <w:rsid w:val="00D43DE1"/>
    <w:rsid w:val="00D471C0"/>
    <w:rsid w:val="00D52DD4"/>
    <w:rsid w:val="00D571D7"/>
    <w:rsid w:val="00D6028B"/>
    <w:rsid w:val="00D608AC"/>
    <w:rsid w:val="00D609B8"/>
    <w:rsid w:val="00D625B0"/>
    <w:rsid w:val="00D63A84"/>
    <w:rsid w:val="00D7228B"/>
    <w:rsid w:val="00D74B2D"/>
    <w:rsid w:val="00D7521F"/>
    <w:rsid w:val="00D762B9"/>
    <w:rsid w:val="00D80E6A"/>
    <w:rsid w:val="00D81584"/>
    <w:rsid w:val="00D81E46"/>
    <w:rsid w:val="00D82CFE"/>
    <w:rsid w:val="00D83177"/>
    <w:rsid w:val="00D83F45"/>
    <w:rsid w:val="00D926DE"/>
    <w:rsid w:val="00DA538C"/>
    <w:rsid w:val="00DA6F78"/>
    <w:rsid w:val="00DA7417"/>
    <w:rsid w:val="00DB1831"/>
    <w:rsid w:val="00DB1AEE"/>
    <w:rsid w:val="00DB4098"/>
    <w:rsid w:val="00DB4B8B"/>
    <w:rsid w:val="00DB5847"/>
    <w:rsid w:val="00DC08BB"/>
    <w:rsid w:val="00DC1976"/>
    <w:rsid w:val="00DC1B81"/>
    <w:rsid w:val="00DC4AA2"/>
    <w:rsid w:val="00DC522E"/>
    <w:rsid w:val="00DC61EB"/>
    <w:rsid w:val="00DD23F5"/>
    <w:rsid w:val="00DD3BFD"/>
    <w:rsid w:val="00DD3D02"/>
    <w:rsid w:val="00DD5D2B"/>
    <w:rsid w:val="00DD7041"/>
    <w:rsid w:val="00DD7FC7"/>
    <w:rsid w:val="00DE19C6"/>
    <w:rsid w:val="00DE3240"/>
    <w:rsid w:val="00DE755A"/>
    <w:rsid w:val="00DF1ED5"/>
    <w:rsid w:val="00DF3359"/>
    <w:rsid w:val="00DF3E41"/>
    <w:rsid w:val="00DF42DD"/>
    <w:rsid w:val="00DF6678"/>
    <w:rsid w:val="00DF778B"/>
    <w:rsid w:val="00E02704"/>
    <w:rsid w:val="00E100C2"/>
    <w:rsid w:val="00E11EC5"/>
    <w:rsid w:val="00E12D39"/>
    <w:rsid w:val="00E1483E"/>
    <w:rsid w:val="00E159C9"/>
    <w:rsid w:val="00E16935"/>
    <w:rsid w:val="00E21B65"/>
    <w:rsid w:val="00E24F70"/>
    <w:rsid w:val="00E270D8"/>
    <w:rsid w:val="00E27A0F"/>
    <w:rsid w:val="00E317E9"/>
    <w:rsid w:val="00E32D73"/>
    <w:rsid w:val="00E33133"/>
    <w:rsid w:val="00E370E6"/>
    <w:rsid w:val="00E43976"/>
    <w:rsid w:val="00E45E2B"/>
    <w:rsid w:val="00E55FF3"/>
    <w:rsid w:val="00E5700E"/>
    <w:rsid w:val="00E60995"/>
    <w:rsid w:val="00E60B2E"/>
    <w:rsid w:val="00E64570"/>
    <w:rsid w:val="00E64D51"/>
    <w:rsid w:val="00E66108"/>
    <w:rsid w:val="00E661B5"/>
    <w:rsid w:val="00E665CA"/>
    <w:rsid w:val="00E74E41"/>
    <w:rsid w:val="00E80133"/>
    <w:rsid w:val="00E80E04"/>
    <w:rsid w:val="00E8402D"/>
    <w:rsid w:val="00E85C42"/>
    <w:rsid w:val="00E86982"/>
    <w:rsid w:val="00E91822"/>
    <w:rsid w:val="00E92C01"/>
    <w:rsid w:val="00E93166"/>
    <w:rsid w:val="00E94AAF"/>
    <w:rsid w:val="00E95C18"/>
    <w:rsid w:val="00E972F4"/>
    <w:rsid w:val="00EA0181"/>
    <w:rsid w:val="00EA12A5"/>
    <w:rsid w:val="00EA144A"/>
    <w:rsid w:val="00EA1C83"/>
    <w:rsid w:val="00EA1DB5"/>
    <w:rsid w:val="00EA3205"/>
    <w:rsid w:val="00EA34B3"/>
    <w:rsid w:val="00EA63CA"/>
    <w:rsid w:val="00EA7F81"/>
    <w:rsid w:val="00EB4E5F"/>
    <w:rsid w:val="00EC05B7"/>
    <w:rsid w:val="00EC1D88"/>
    <w:rsid w:val="00EC30D5"/>
    <w:rsid w:val="00EC4CE4"/>
    <w:rsid w:val="00EC6BA0"/>
    <w:rsid w:val="00EC73E3"/>
    <w:rsid w:val="00ED420A"/>
    <w:rsid w:val="00ED50F1"/>
    <w:rsid w:val="00ED5BA4"/>
    <w:rsid w:val="00EE1BD4"/>
    <w:rsid w:val="00EE2DE2"/>
    <w:rsid w:val="00EE37C4"/>
    <w:rsid w:val="00EF438E"/>
    <w:rsid w:val="00EF4395"/>
    <w:rsid w:val="00EF650A"/>
    <w:rsid w:val="00F0055D"/>
    <w:rsid w:val="00F024D7"/>
    <w:rsid w:val="00F02D2A"/>
    <w:rsid w:val="00F05CB4"/>
    <w:rsid w:val="00F12152"/>
    <w:rsid w:val="00F14992"/>
    <w:rsid w:val="00F1513D"/>
    <w:rsid w:val="00F22481"/>
    <w:rsid w:val="00F228E6"/>
    <w:rsid w:val="00F22FF1"/>
    <w:rsid w:val="00F2355F"/>
    <w:rsid w:val="00F23E72"/>
    <w:rsid w:val="00F24471"/>
    <w:rsid w:val="00F30486"/>
    <w:rsid w:val="00F306E8"/>
    <w:rsid w:val="00F322CE"/>
    <w:rsid w:val="00F32701"/>
    <w:rsid w:val="00F403A1"/>
    <w:rsid w:val="00F43E35"/>
    <w:rsid w:val="00F47B82"/>
    <w:rsid w:val="00F508ED"/>
    <w:rsid w:val="00F626C5"/>
    <w:rsid w:val="00F65222"/>
    <w:rsid w:val="00F660DF"/>
    <w:rsid w:val="00F66CC0"/>
    <w:rsid w:val="00F67928"/>
    <w:rsid w:val="00F67B0B"/>
    <w:rsid w:val="00F71439"/>
    <w:rsid w:val="00F71E85"/>
    <w:rsid w:val="00F72BDE"/>
    <w:rsid w:val="00F77190"/>
    <w:rsid w:val="00F77B97"/>
    <w:rsid w:val="00F80AFD"/>
    <w:rsid w:val="00F81CB0"/>
    <w:rsid w:val="00F8318F"/>
    <w:rsid w:val="00F84236"/>
    <w:rsid w:val="00F84FD7"/>
    <w:rsid w:val="00F85B2B"/>
    <w:rsid w:val="00F85BA9"/>
    <w:rsid w:val="00F87E0A"/>
    <w:rsid w:val="00F90099"/>
    <w:rsid w:val="00F93DBD"/>
    <w:rsid w:val="00F93E02"/>
    <w:rsid w:val="00F95C08"/>
    <w:rsid w:val="00F95D94"/>
    <w:rsid w:val="00F9673E"/>
    <w:rsid w:val="00FA0D79"/>
    <w:rsid w:val="00FA2485"/>
    <w:rsid w:val="00FA74E3"/>
    <w:rsid w:val="00FA75C1"/>
    <w:rsid w:val="00FA7F9B"/>
    <w:rsid w:val="00FB3918"/>
    <w:rsid w:val="00FB5874"/>
    <w:rsid w:val="00FB5958"/>
    <w:rsid w:val="00FC61DD"/>
    <w:rsid w:val="00FD1C1D"/>
    <w:rsid w:val="00FD2EEF"/>
    <w:rsid w:val="00FD57A3"/>
    <w:rsid w:val="00FD7344"/>
    <w:rsid w:val="00FD7F30"/>
    <w:rsid w:val="00FE083A"/>
    <w:rsid w:val="00FE121D"/>
    <w:rsid w:val="00FE19F7"/>
    <w:rsid w:val="00FE1AE4"/>
    <w:rsid w:val="00FE32E5"/>
    <w:rsid w:val="00FF1FFE"/>
    <w:rsid w:val="00FF4185"/>
    <w:rsid w:val="00FF5339"/>
    <w:rsid w:val="00FF5DD5"/>
    <w:rsid w:val="00FF742E"/>
    <w:rsid w:val="00FF7D3A"/>
    <w:rsid w:val="00FF7D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10BC4A"/>
  <w15:docId w15:val="{703C7EF4-E95A-4377-A871-5A3BF4F2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9151D"/>
    <w:pPr>
      <w:keepNext/>
      <w:keepLines/>
      <w:spacing w:after="0" w:line="240" w:lineRule="auto"/>
      <w:ind w:right="0"/>
      <w:jc w:val="left"/>
      <w:outlineLvl w:val="0"/>
    </w:pPr>
  </w:style>
  <w:style w:type="paragraph" w:styleId="Heading2">
    <w:name w:val="heading 2"/>
    <w:basedOn w:val="Normal"/>
    <w:next w:val="Normal"/>
    <w:link w:val="Heading2Char"/>
    <w:qFormat/>
    <w:rsid w:val="00A9151D"/>
    <w:pPr>
      <w:outlineLvl w:val="1"/>
    </w:pPr>
  </w:style>
  <w:style w:type="paragraph" w:styleId="Heading3">
    <w:name w:val="heading 3"/>
    <w:basedOn w:val="Normal"/>
    <w:next w:val="Normal"/>
    <w:link w:val="Heading3Char"/>
    <w:qFormat/>
    <w:rsid w:val="00793E85"/>
    <w:pPr>
      <w:outlineLvl w:val="2"/>
    </w:pPr>
  </w:style>
  <w:style w:type="paragraph" w:styleId="Heading4">
    <w:name w:val="heading 4"/>
    <w:basedOn w:val="Normal"/>
    <w:next w:val="Normal"/>
    <w:link w:val="Heading4Char"/>
    <w:qFormat/>
    <w:rsid w:val="00793E85"/>
    <w:pPr>
      <w:outlineLvl w:val="3"/>
    </w:pPr>
  </w:style>
  <w:style w:type="paragraph" w:styleId="Heading5">
    <w:name w:val="heading 5"/>
    <w:basedOn w:val="Normal"/>
    <w:next w:val="Normal"/>
    <w:link w:val="Heading5Char"/>
    <w:qFormat/>
    <w:rsid w:val="00793E85"/>
    <w:pPr>
      <w:outlineLvl w:val="4"/>
    </w:pPr>
  </w:style>
  <w:style w:type="paragraph" w:styleId="Heading6">
    <w:name w:val="heading 6"/>
    <w:basedOn w:val="Normal"/>
    <w:next w:val="Normal"/>
    <w:link w:val="Heading6Char"/>
    <w:qFormat/>
    <w:rsid w:val="00793E85"/>
    <w:pPr>
      <w:outlineLvl w:val="5"/>
    </w:pPr>
  </w:style>
  <w:style w:type="paragraph" w:styleId="Heading7">
    <w:name w:val="heading 7"/>
    <w:basedOn w:val="Normal"/>
    <w:next w:val="Normal"/>
    <w:link w:val="Heading7Char"/>
    <w:qFormat/>
    <w:rsid w:val="00793E85"/>
    <w:pPr>
      <w:outlineLvl w:val="6"/>
    </w:pPr>
  </w:style>
  <w:style w:type="paragraph" w:styleId="Heading8">
    <w:name w:val="heading 8"/>
    <w:basedOn w:val="Normal"/>
    <w:next w:val="Normal"/>
    <w:link w:val="Heading8Char"/>
    <w:qFormat/>
    <w:rsid w:val="00793E85"/>
    <w:pPr>
      <w:outlineLvl w:val="7"/>
    </w:pPr>
  </w:style>
  <w:style w:type="paragraph" w:styleId="Heading9">
    <w:name w:val="heading 9"/>
    <w:basedOn w:val="Normal"/>
    <w:next w:val="Normal"/>
    <w:link w:val="Heading9Char"/>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9151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9151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9151D"/>
    <w:pPr>
      <w:spacing w:line="240" w:lineRule="auto"/>
    </w:pPr>
    <w:rPr>
      <w:sz w:val="16"/>
    </w:rPr>
  </w:style>
  <w:style w:type="character" w:customStyle="1" w:styleId="FooterChar">
    <w:name w:val="Footer Char"/>
    <w:aliases w:val="3_G Char"/>
    <w:basedOn w:val="DefaultParagraphFont"/>
    <w:link w:val="Footer"/>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FootnoteReference">
    <w:name w:val="footnote reference"/>
    <w:aliases w:val="4_G,ftref,BVI fnr,16 Point,Superscript 6 Point,Footnote,Footnote symbol,Footnote Refernece,Texto de nota al pie,Fußnotenzeichen_Raxen,Footnote number,Footnotes refss,Style 10,referencia nota al pie,callout,Footnote text"/>
    <w:basedOn w:val="DefaultParagraphFont"/>
    <w:qFormat/>
    <w:rsid w:val="00A9151D"/>
    <w:rPr>
      <w:rFonts w:ascii="Times New Roman" w:hAnsi="Times New Roman"/>
      <w:sz w:val="18"/>
      <w:vertAlign w:val="superscript"/>
      <w:lang w:val="fr-CH"/>
    </w:rPr>
  </w:style>
  <w:style w:type="character" w:styleId="EndnoteReference">
    <w:name w:val="endnote reference"/>
    <w:aliases w:val="1_G"/>
    <w:basedOn w:val="FootnoteReference"/>
    <w:qFormat/>
    <w:rsid w:val="00A9151D"/>
    <w:rPr>
      <w:rFonts w:ascii="Times New Roman" w:hAnsi="Times New Roman"/>
      <w:sz w:val="18"/>
      <w:vertAlign w:val="superscript"/>
      <w:lang w:val="fr-CH"/>
    </w:rPr>
  </w:style>
  <w:style w:type="table" w:styleId="TableGrid">
    <w:name w:val="Table Grid"/>
    <w:basedOn w:val="Table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9151D"/>
    <w:rPr>
      <w:color w:val="0000FF"/>
      <w:u w:val="none"/>
    </w:rPr>
  </w:style>
  <w:style w:type="character" w:styleId="FollowedHyperlink">
    <w:name w:val="FollowedHyperlink"/>
    <w:basedOn w:val="DefaultParagraphFont"/>
    <w:unhideWhenUsed/>
    <w:rsid w:val="00A9151D"/>
    <w:rPr>
      <w:color w:val="0000FF"/>
      <w:u w:val="none"/>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
    <w:basedOn w:val="Normal"/>
    <w:link w:val="FootnoteTextChar"/>
    <w:qFormat/>
    <w:rsid w:val="00A9151D"/>
    <w:pPr>
      <w:tabs>
        <w:tab w:val="right" w:pos="1021"/>
      </w:tabs>
      <w:spacing w:line="220" w:lineRule="exact"/>
      <w:ind w:left="1134" w:right="1134" w:hanging="1134"/>
    </w:pPr>
    <w:rPr>
      <w:sz w:val="18"/>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qFormat/>
    <w:rsid w:val="00A9151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A9151D"/>
  </w:style>
  <w:style w:type="character" w:customStyle="1" w:styleId="EndnoteTextChar">
    <w:name w:val="Endnote Text Char"/>
    <w:aliases w:val="2_G Char"/>
    <w:basedOn w:val="DefaultParagraphFont"/>
    <w:link w:val="EndnoteText"/>
    <w:rsid w:val="00A9151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9151D"/>
    <w:rPr>
      <w:rFonts w:ascii="Times New Roman" w:hAnsi="Times New Roman"/>
      <w:b/>
      <w:sz w:val="18"/>
      <w:lang w:val="fr-CH"/>
    </w:rPr>
  </w:style>
  <w:style w:type="character" w:customStyle="1" w:styleId="Heading1Char">
    <w:name w:val="Heading 1 Char"/>
    <w:aliases w:val="Table_G Char"/>
    <w:basedOn w:val="DefaultParagraphFont"/>
    <w:link w:val="Heading1"/>
    <w:rsid w:val="00A9151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0A047D"/>
    <w:rPr>
      <w:rFonts w:ascii="Times New Roman" w:eastAsiaTheme="minorHAnsi" w:hAnsi="Times New Roman" w:cs="Times New Roman"/>
      <w:sz w:val="20"/>
      <w:szCs w:val="20"/>
      <w:lang w:eastAsia="en-US"/>
    </w:rPr>
  </w:style>
  <w:style w:type="character" w:customStyle="1" w:styleId="Astrisque10pt">
    <w:name w:val="Astérisque 10 pt"/>
    <w:basedOn w:val="DefaultParagraphFont"/>
    <w:uiPriority w:val="1"/>
    <w:qFormat/>
    <w:rsid w:val="000A047D"/>
    <w:rPr>
      <w:rFonts w:ascii="Times New Roman" w:hAnsi="Times New Roman"/>
      <w:sz w:val="20"/>
      <w:vertAlign w:val="baseline"/>
    </w:rPr>
  </w:style>
  <w:style w:type="character" w:styleId="CommentReference">
    <w:name w:val="annotation reference"/>
    <w:basedOn w:val="DefaultParagraphFont"/>
    <w:uiPriority w:val="99"/>
    <w:semiHidden/>
    <w:unhideWhenUsed/>
    <w:rsid w:val="00782C62"/>
    <w:rPr>
      <w:sz w:val="16"/>
      <w:szCs w:val="16"/>
    </w:rPr>
  </w:style>
  <w:style w:type="paragraph" w:styleId="CommentText">
    <w:name w:val="annotation text"/>
    <w:basedOn w:val="Normal"/>
    <w:link w:val="CommentTextChar"/>
    <w:uiPriority w:val="99"/>
    <w:semiHidden/>
    <w:unhideWhenUsed/>
    <w:rsid w:val="00782C62"/>
    <w:pPr>
      <w:spacing w:line="240" w:lineRule="auto"/>
    </w:pPr>
  </w:style>
  <w:style w:type="character" w:customStyle="1" w:styleId="CommentTextChar">
    <w:name w:val="Comment Text Char"/>
    <w:basedOn w:val="DefaultParagraphFont"/>
    <w:link w:val="CommentText"/>
    <w:uiPriority w:val="99"/>
    <w:semiHidden/>
    <w:rsid w:val="00782C62"/>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2C62"/>
    <w:rPr>
      <w:b/>
      <w:bCs/>
    </w:rPr>
  </w:style>
  <w:style w:type="character" w:customStyle="1" w:styleId="CommentSubjectChar">
    <w:name w:val="Comment Subject Char"/>
    <w:basedOn w:val="CommentTextChar"/>
    <w:link w:val="CommentSubject"/>
    <w:uiPriority w:val="99"/>
    <w:semiHidden/>
    <w:rsid w:val="00782C62"/>
    <w:rPr>
      <w:rFonts w:ascii="Times New Roman" w:eastAsiaTheme="minorHAnsi" w:hAnsi="Times New Roman" w:cs="Times New Roman"/>
      <w:b/>
      <w:bCs/>
      <w:sz w:val="20"/>
      <w:szCs w:val="20"/>
      <w:lang w:eastAsia="en-US"/>
    </w:rPr>
  </w:style>
  <w:style w:type="paragraph" w:styleId="ListParagraph">
    <w:name w:val="List Paragraph"/>
    <w:basedOn w:val="Normal"/>
    <w:uiPriority w:val="34"/>
    <w:qFormat/>
    <w:rsid w:val="005A56ED"/>
    <w:pPr>
      <w:ind w:left="720"/>
      <w:contextualSpacing/>
    </w:pPr>
  </w:style>
  <w:style w:type="character" w:customStyle="1" w:styleId="FootnoteTextChar1">
    <w:name w:val="Footnote Text Char1"/>
    <w:aliases w:val="5_G Char1,single space Char2,ft Char2,Footnote Text Char Char Char Char1,Footnote Text Char Char Char2,footnote text Char Char1,single space Char Char1,ft Char Char Char Char1,ft Char Char Char2,ft Char Char2,FOOTNOTES Char1,fn Char1"/>
    <w:basedOn w:val="DefaultParagraphFont"/>
    <w:locked/>
    <w:rsid w:val="00F508ED"/>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85622">
      <w:bodyDiv w:val="1"/>
      <w:marLeft w:val="0"/>
      <w:marRight w:val="0"/>
      <w:marTop w:val="0"/>
      <w:marBottom w:val="0"/>
      <w:divBdr>
        <w:top w:val="none" w:sz="0" w:space="0" w:color="auto"/>
        <w:left w:val="none" w:sz="0" w:space="0" w:color="auto"/>
        <w:bottom w:val="none" w:sz="0" w:space="0" w:color="auto"/>
        <w:right w:val="none" w:sz="0" w:space="0" w:color="auto"/>
      </w:divBdr>
    </w:div>
    <w:div w:id="820582930">
      <w:bodyDiv w:val="1"/>
      <w:marLeft w:val="0"/>
      <w:marRight w:val="0"/>
      <w:marTop w:val="0"/>
      <w:marBottom w:val="0"/>
      <w:divBdr>
        <w:top w:val="none" w:sz="0" w:space="0" w:color="auto"/>
        <w:left w:val="none" w:sz="0" w:space="0" w:color="auto"/>
        <w:bottom w:val="none" w:sz="0" w:space="0" w:color="auto"/>
        <w:right w:val="none" w:sz="0" w:space="0" w:color="auto"/>
      </w:divBdr>
    </w:div>
    <w:div w:id="1186603792">
      <w:bodyDiv w:val="1"/>
      <w:marLeft w:val="0"/>
      <w:marRight w:val="0"/>
      <w:marTop w:val="0"/>
      <w:marBottom w:val="0"/>
      <w:divBdr>
        <w:top w:val="none" w:sz="0" w:space="0" w:color="auto"/>
        <w:left w:val="none" w:sz="0" w:space="0" w:color="auto"/>
        <w:bottom w:val="none" w:sz="0" w:space="0" w:color="auto"/>
        <w:right w:val="none" w:sz="0" w:space="0" w:color="auto"/>
      </w:divBdr>
    </w:div>
    <w:div w:id="1310093462">
      <w:bodyDiv w:val="1"/>
      <w:marLeft w:val="0"/>
      <w:marRight w:val="0"/>
      <w:marTop w:val="0"/>
      <w:marBottom w:val="0"/>
      <w:divBdr>
        <w:top w:val="none" w:sz="0" w:space="0" w:color="auto"/>
        <w:left w:val="none" w:sz="0" w:space="0" w:color="auto"/>
        <w:bottom w:val="none" w:sz="0" w:space="0" w:color="auto"/>
        <w:right w:val="none" w:sz="0" w:space="0" w:color="auto"/>
      </w:divBdr>
    </w:div>
    <w:div w:id="1680352131">
      <w:bodyDiv w:val="1"/>
      <w:marLeft w:val="0"/>
      <w:marRight w:val="0"/>
      <w:marTop w:val="0"/>
      <w:marBottom w:val="0"/>
      <w:divBdr>
        <w:top w:val="none" w:sz="0" w:space="0" w:color="auto"/>
        <w:left w:val="none" w:sz="0" w:space="0" w:color="auto"/>
        <w:bottom w:val="none" w:sz="0" w:space="0" w:color="auto"/>
        <w:right w:val="none" w:sz="0" w:space="0" w:color="auto"/>
      </w:divBdr>
    </w:div>
    <w:div w:id="17835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FB2ABD-05F3-4C4B-A77C-4CE5AF2860A1}"/>
</file>

<file path=customXml/itemProps2.xml><?xml version="1.0" encoding="utf-8"?>
<ds:datastoreItem xmlns:ds="http://schemas.openxmlformats.org/officeDocument/2006/customXml" ds:itemID="{8F255DAA-CA0C-458E-B34F-993AF7800673}"/>
</file>

<file path=customXml/itemProps3.xml><?xml version="1.0" encoding="utf-8"?>
<ds:datastoreItem xmlns:ds="http://schemas.openxmlformats.org/officeDocument/2006/customXml" ds:itemID="{BB42FA63-0F92-47F7-B943-03ADFE783777}"/>
</file>

<file path=customXml/itemProps4.xml><?xml version="1.0" encoding="utf-8"?>
<ds:datastoreItem xmlns:ds="http://schemas.openxmlformats.org/officeDocument/2006/customXml" ds:itemID="{F5AA2B48-6A91-4A71-A202-73723C7A5FDC}"/>
</file>

<file path=docProps/app.xml><?xml version="1.0" encoding="utf-8"?>
<Properties xmlns="http://schemas.openxmlformats.org/officeDocument/2006/extended-properties" xmlns:vt="http://schemas.openxmlformats.org/officeDocument/2006/docPropsVTypes">
  <Template>CCPR.dotm</Template>
  <TotalTime>5</TotalTime>
  <Pages>11</Pages>
  <Words>6517</Words>
  <Characters>37148</Characters>
  <Application>Microsoft Office Word</Application>
  <DocSecurity>0</DocSecurity>
  <Lines>309</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CCPR/C/123/DR/2662/2015</vt:lpstr>
      <vt:lpstr>CCPR/C/WG/123/DR/2662/2015</vt:lpstr>
    </vt:vector>
  </TitlesOfParts>
  <Company>DCM</Company>
  <LinksUpToDate>false</LinksUpToDate>
  <CharactersWithSpaces>43578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CCPR/C/123/DR/2662/2015</dc:title>
  <dc:subject/>
  <dc:creator>DESCHAMPS</dc:creator>
  <cp:keywords/>
  <cp:lastModifiedBy>Marie Araksia Gulsadian</cp:lastModifiedBy>
  <cp:revision>6</cp:revision>
  <cp:lastPrinted>2018-07-05T05:13:00Z</cp:lastPrinted>
  <dcterms:created xsi:type="dcterms:W3CDTF">2018-08-09T17:50:00Z</dcterms:created>
  <dcterms:modified xsi:type="dcterms:W3CDTF">2018-08-10T13:46:00Z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