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128E3" w:rsidRPr="00607635" w14:paraId="20B7B75D" w14:textId="77777777" w:rsidTr="00B6553F">
        <w:trPr>
          <w:cantSplit/>
          <w:trHeight w:hRule="exact" w:val="851"/>
        </w:trPr>
        <w:tc>
          <w:tcPr>
            <w:tcW w:w="1276" w:type="dxa"/>
            <w:tcBorders>
              <w:bottom w:val="single" w:sz="4" w:space="0" w:color="auto"/>
            </w:tcBorders>
            <w:vAlign w:val="bottom"/>
          </w:tcPr>
          <w:p w14:paraId="2472CB81" w14:textId="77777777" w:rsidR="000128E3" w:rsidRPr="00607635" w:rsidRDefault="000128E3" w:rsidP="00B6553F">
            <w:pPr>
              <w:spacing w:after="80"/>
            </w:pPr>
          </w:p>
        </w:tc>
        <w:tc>
          <w:tcPr>
            <w:tcW w:w="2268" w:type="dxa"/>
            <w:tcBorders>
              <w:bottom w:val="single" w:sz="4" w:space="0" w:color="auto"/>
            </w:tcBorders>
            <w:vAlign w:val="bottom"/>
          </w:tcPr>
          <w:p w14:paraId="62F5D38D" w14:textId="77777777" w:rsidR="000128E3" w:rsidRPr="00607635" w:rsidRDefault="000128E3" w:rsidP="00B6553F">
            <w:pPr>
              <w:spacing w:after="80" w:line="300" w:lineRule="exact"/>
              <w:rPr>
                <w:b/>
                <w:sz w:val="24"/>
                <w:szCs w:val="24"/>
              </w:rPr>
            </w:pPr>
            <w:r w:rsidRPr="00607635">
              <w:rPr>
                <w:sz w:val="28"/>
                <w:szCs w:val="28"/>
              </w:rPr>
              <w:t>United Nations</w:t>
            </w:r>
          </w:p>
        </w:tc>
        <w:tc>
          <w:tcPr>
            <w:tcW w:w="6095" w:type="dxa"/>
            <w:gridSpan w:val="2"/>
            <w:tcBorders>
              <w:bottom w:val="single" w:sz="4" w:space="0" w:color="auto"/>
            </w:tcBorders>
            <w:vAlign w:val="bottom"/>
          </w:tcPr>
          <w:p w14:paraId="0BC1B133" w14:textId="7F356A73" w:rsidR="000128E3" w:rsidRPr="00607635" w:rsidRDefault="00B90CA2" w:rsidP="004D18B8">
            <w:r>
              <w:rPr>
                <w:sz w:val="40"/>
              </w:rPr>
              <w:t>CCPR</w:t>
            </w:r>
            <w:r>
              <w:t>/C/122/D/28</w:t>
            </w:r>
            <w:r w:rsidR="00B7483A">
              <w:t>59/2016</w:t>
            </w:r>
          </w:p>
        </w:tc>
      </w:tr>
      <w:tr w:rsidR="000128E3" w:rsidRPr="00607635" w14:paraId="42034E85" w14:textId="77777777" w:rsidTr="00B6553F">
        <w:trPr>
          <w:cantSplit/>
          <w:trHeight w:hRule="exact" w:val="2835"/>
        </w:trPr>
        <w:tc>
          <w:tcPr>
            <w:tcW w:w="1276" w:type="dxa"/>
            <w:tcBorders>
              <w:top w:val="single" w:sz="4" w:space="0" w:color="auto"/>
              <w:bottom w:val="single" w:sz="12" w:space="0" w:color="auto"/>
            </w:tcBorders>
          </w:tcPr>
          <w:p w14:paraId="4302295A" w14:textId="77777777" w:rsidR="000128E3" w:rsidRPr="00607635" w:rsidRDefault="00F145AF" w:rsidP="00B6553F">
            <w:pPr>
              <w:spacing w:before="120"/>
            </w:pPr>
            <w:r w:rsidRPr="00607635">
              <w:rPr>
                <w:noProof/>
                <w:lang w:eastAsia="en-GB"/>
              </w:rPr>
              <w:drawing>
                <wp:inline distT="0" distB="0" distL="0" distR="0" wp14:anchorId="52579A2E" wp14:editId="05C2C53C">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1B70F6" w14:textId="77777777" w:rsidR="00C7385F" w:rsidRDefault="000128E3" w:rsidP="00267F5F">
            <w:pPr>
              <w:spacing w:before="120" w:line="380" w:lineRule="exact"/>
              <w:rPr>
                <w:b/>
                <w:sz w:val="34"/>
                <w:szCs w:val="40"/>
              </w:rPr>
            </w:pPr>
            <w:r w:rsidRPr="00607635">
              <w:rPr>
                <w:b/>
                <w:sz w:val="34"/>
                <w:szCs w:val="40"/>
              </w:rPr>
              <w:t>International Covenant on</w:t>
            </w:r>
            <w:r w:rsidRPr="00607635">
              <w:rPr>
                <w:b/>
                <w:sz w:val="34"/>
                <w:szCs w:val="40"/>
              </w:rPr>
              <w:br/>
              <w:t>Civil and Political Rights</w:t>
            </w:r>
          </w:p>
          <w:p w14:paraId="28B2712D" w14:textId="77777777" w:rsidR="00684B48" w:rsidRDefault="00684B48" w:rsidP="00267F5F">
            <w:pPr>
              <w:spacing w:before="120" w:line="380" w:lineRule="exact"/>
              <w:rPr>
                <w:b/>
                <w:sz w:val="34"/>
                <w:szCs w:val="40"/>
              </w:rPr>
            </w:pPr>
          </w:p>
          <w:p w14:paraId="60AC9F57" w14:textId="77777777" w:rsidR="00684B48" w:rsidRPr="00153B0A" w:rsidRDefault="00684B48" w:rsidP="00684B48">
            <w:pPr>
              <w:spacing w:before="120" w:line="380" w:lineRule="exact"/>
              <w:rPr>
                <w:b/>
                <w:sz w:val="34"/>
                <w:szCs w:val="40"/>
              </w:rPr>
            </w:pPr>
            <w:r>
              <w:rPr>
                <w:sz w:val="34"/>
              </w:rPr>
              <w:t>Advance unedited version</w:t>
            </w:r>
          </w:p>
          <w:p w14:paraId="44F92EDF" w14:textId="29C9403F" w:rsidR="00684B48" w:rsidRPr="00607635" w:rsidRDefault="00684B48" w:rsidP="00267F5F">
            <w:pPr>
              <w:spacing w:before="120" w:line="380" w:lineRule="exact"/>
              <w:rPr>
                <w:b/>
                <w:sz w:val="34"/>
                <w:szCs w:val="40"/>
              </w:rPr>
            </w:pPr>
          </w:p>
        </w:tc>
        <w:tc>
          <w:tcPr>
            <w:tcW w:w="2835" w:type="dxa"/>
            <w:tcBorders>
              <w:top w:val="single" w:sz="4" w:space="0" w:color="auto"/>
              <w:bottom w:val="single" w:sz="12" w:space="0" w:color="auto"/>
            </w:tcBorders>
          </w:tcPr>
          <w:p w14:paraId="2687FE4D" w14:textId="3F41A94D" w:rsidR="000128E3" w:rsidRPr="00607635" w:rsidRDefault="000128E3" w:rsidP="007B1E62">
            <w:pPr>
              <w:spacing w:before="240" w:line="240" w:lineRule="exact"/>
            </w:pPr>
            <w:r w:rsidRPr="00607635">
              <w:t xml:space="preserve">Distr.: </w:t>
            </w:r>
            <w:r w:rsidR="00850F40">
              <w:t>General</w:t>
            </w:r>
          </w:p>
          <w:p w14:paraId="4A3388EB" w14:textId="28C2FB6E" w:rsidR="000128E3" w:rsidRPr="00607635" w:rsidRDefault="00BA5C4C" w:rsidP="007B1E62">
            <w:pPr>
              <w:spacing w:line="240" w:lineRule="exact"/>
            </w:pPr>
            <w:r>
              <w:t xml:space="preserve">18 September </w:t>
            </w:r>
            <w:r w:rsidR="009C7EFD" w:rsidRPr="00607635">
              <w:t>201</w:t>
            </w:r>
            <w:r w:rsidR="00B90F19">
              <w:t>8</w:t>
            </w:r>
          </w:p>
          <w:p w14:paraId="36187B02" w14:textId="77777777" w:rsidR="000128E3" w:rsidRPr="00607635" w:rsidRDefault="000128E3" w:rsidP="007B1E62">
            <w:pPr>
              <w:spacing w:line="240" w:lineRule="exact"/>
            </w:pPr>
          </w:p>
          <w:p w14:paraId="6433DB2F" w14:textId="77777777" w:rsidR="000128E3" w:rsidRPr="00607635" w:rsidRDefault="000128E3" w:rsidP="007B1E62">
            <w:pPr>
              <w:spacing w:line="240" w:lineRule="exact"/>
            </w:pPr>
            <w:r w:rsidRPr="00607635">
              <w:t>Original: English</w:t>
            </w:r>
          </w:p>
          <w:p w14:paraId="346C83A6" w14:textId="5B3483F9" w:rsidR="000128E3" w:rsidRPr="00607635" w:rsidRDefault="000128E3" w:rsidP="007113A4">
            <w:pPr>
              <w:spacing w:line="240" w:lineRule="exact"/>
            </w:pPr>
          </w:p>
        </w:tc>
      </w:tr>
    </w:tbl>
    <w:p w14:paraId="13E82EA5" w14:textId="77777777" w:rsidR="008C017D" w:rsidRPr="008A5196" w:rsidRDefault="008C017D" w:rsidP="008C017D">
      <w:pPr>
        <w:spacing w:line="20" w:lineRule="exact"/>
        <w:rPr>
          <w:b/>
          <w:sz w:val="2"/>
          <w:szCs w:val="24"/>
        </w:rPr>
      </w:pPr>
    </w:p>
    <w:p w14:paraId="4D5219C0" w14:textId="77777777" w:rsidR="00A707C0" w:rsidRPr="00A707C0" w:rsidRDefault="00A707C0" w:rsidP="00A707C0">
      <w:pPr>
        <w:spacing w:before="120"/>
        <w:rPr>
          <w:b/>
          <w:sz w:val="24"/>
          <w:szCs w:val="24"/>
        </w:rPr>
      </w:pPr>
      <w:r w:rsidRPr="00A707C0">
        <w:rPr>
          <w:b/>
          <w:sz w:val="24"/>
          <w:szCs w:val="24"/>
        </w:rPr>
        <w:t>Human Rights Committee</w:t>
      </w:r>
    </w:p>
    <w:p w14:paraId="5AF886CC" w14:textId="59F46D3A" w:rsidR="00A707C0" w:rsidRPr="00A707C0" w:rsidRDefault="00A707C0" w:rsidP="000555BF">
      <w:pPr>
        <w:pStyle w:val="HChG"/>
      </w:pPr>
      <w:r w:rsidRPr="00A707C0">
        <w:tab/>
      </w:r>
      <w:r w:rsidRPr="00A707C0">
        <w:tab/>
      </w:r>
      <w:r w:rsidR="0037323F">
        <w:t xml:space="preserve">Decision adopted by the Committee </w:t>
      </w:r>
      <w:r w:rsidR="0037323F" w:rsidRPr="0037323F">
        <w:t xml:space="preserve">under article 5 (4) of the Optional Protocol, concerning </w:t>
      </w:r>
      <w:r w:rsidR="0037323F">
        <w:t>c</w:t>
      </w:r>
      <w:r w:rsidRPr="00A707C0">
        <w:t xml:space="preserve">ommunication </w:t>
      </w:r>
      <w:r w:rsidR="00663AAF">
        <w:t>No. 2859/2016</w:t>
      </w:r>
      <w:proofErr w:type="gramStart"/>
      <w:r w:rsidR="00BA0960" w:rsidRPr="00806950">
        <w:rPr>
          <w:rFonts w:eastAsiaTheme="minorHAnsi"/>
          <w:b w:val="0"/>
          <w:sz w:val="20"/>
        </w:rPr>
        <w:footnoteReference w:customMarkFollows="1" w:id="2"/>
        <w:t>*</w:t>
      </w:r>
      <w:r w:rsidR="00BA0960" w:rsidRPr="00806950">
        <w:rPr>
          <w:rFonts w:eastAsiaTheme="minorHAnsi"/>
          <w:b w:val="0"/>
          <w:sz w:val="20"/>
          <w:vertAlign w:val="superscript"/>
        </w:rPr>
        <w:t>,</w:t>
      </w:r>
      <w:r w:rsidR="00BA0960" w:rsidRPr="00806950">
        <w:rPr>
          <w:rFonts w:eastAsiaTheme="minorHAnsi"/>
          <w:b w:val="0"/>
          <w:sz w:val="20"/>
        </w:rPr>
        <w:footnoteReference w:customMarkFollows="1" w:id="3"/>
        <w:t>*</w:t>
      </w:r>
      <w:proofErr w:type="gramEnd"/>
      <w:r w:rsidR="00BA0960" w:rsidRPr="00806950">
        <w:rPr>
          <w:rFonts w:eastAsiaTheme="minorHAnsi"/>
          <w:b w:val="0"/>
          <w:sz w:val="20"/>
        </w:rPr>
        <w:t>*</w:t>
      </w:r>
    </w:p>
    <w:p w14:paraId="4E9A88EE" w14:textId="46CD59D4" w:rsidR="000128E3" w:rsidRPr="00607635" w:rsidRDefault="00683EF7" w:rsidP="00985865">
      <w:pPr>
        <w:pStyle w:val="SingleTxtG"/>
        <w:ind w:left="4536" w:hanging="3402"/>
        <w:jc w:val="left"/>
      </w:pPr>
      <w:bookmarkStart w:id="0" w:name="_GoBack"/>
      <w:bookmarkEnd w:id="0"/>
      <w:r w:rsidRPr="00607635">
        <w:rPr>
          <w:i/>
        </w:rPr>
        <w:t>Communication s</w:t>
      </w:r>
      <w:r w:rsidR="000128E3" w:rsidRPr="00607635">
        <w:rPr>
          <w:i/>
        </w:rPr>
        <w:t>ubmitted by</w:t>
      </w:r>
      <w:r w:rsidR="000128E3" w:rsidRPr="00B814EC">
        <w:t>:</w:t>
      </w:r>
      <w:r w:rsidR="000128E3" w:rsidRPr="00607635">
        <w:tab/>
      </w:r>
      <w:r w:rsidR="00741C8A">
        <w:t>D.V.</w:t>
      </w:r>
      <w:r w:rsidR="00253158">
        <w:t xml:space="preserve"> (</w:t>
      </w:r>
      <w:r w:rsidR="00741C8A">
        <w:t>D.S.</w:t>
      </w:r>
      <w:r w:rsidR="00253158">
        <w:t>) (</w:t>
      </w:r>
      <w:r w:rsidR="000128E3" w:rsidRPr="00607635">
        <w:t>represented</w:t>
      </w:r>
      <w:r w:rsidR="00FC20C0" w:rsidRPr="00607635">
        <w:t xml:space="preserve"> by counsel</w:t>
      </w:r>
      <w:r w:rsidR="00C27929">
        <w:t xml:space="preserve">s, </w:t>
      </w:r>
      <w:proofErr w:type="spellStart"/>
      <w:r w:rsidR="00C27929" w:rsidRPr="00071930">
        <w:t>Sladana</w:t>
      </w:r>
      <w:proofErr w:type="spellEnd"/>
      <w:r w:rsidR="00C27929" w:rsidRPr="00071930">
        <w:t xml:space="preserve"> </w:t>
      </w:r>
      <w:proofErr w:type="spellStart"/>
      <w:r w:rsidR="00C27929" w:rsidRPr="00071930">
        <w:t>Čankovi</w:t>
      </w:r>
      <w:r w:rsidR="00B814EC">
        <w:t>ć</w:t>
      </w:r>
      <w:proofErr w:type="spellEnd"/>
      <w:r w:rsidR="00B814EC">
        <w:t xml:space="preserve"> and Goran </w:t>
      </w:r>
      <w:proofErr w:type="spellStart"/>
      <w:r w:rsidR="00B814EC">
        <w:t>Cvetic</w:t>
      </w:r>
      <w:proofErr w:type="spellEnd"/>
      <w:r w:rsidR="00B814EC">
        <w:t>)</w:t>
      </w:r>
    </w:p>
    <w:p w14:paraId="1983F8E4" w14:textId="77777777" w:rsidR="000128E3" w:rsidRPr="00607635" w:rsidRDefault="000128E3" w:rsidP="007113A4">
      <w:pPr>
        <w:pStyle w:val="SingleTxtG"/>
        <w:ind w:left="4536" w:hanging="3402"/>
        <w:jc w:val="left"/>
      </w:pPr>
      <w:r w:rsidRPr="00607635">
        <w:rPr>
          <w:i/>
        </w:rPr>
        <w:t>Alleged victim</w:t>
      </w:r>
      <w:r w:rsidRPr="00B814EC">
        <w:t>:</w:t>
      </w:r>
      <w:r w:rsidRPr="00607635">
        <w:tab/>
        <w:t>The author</w:t>
      </w:r>
    </w:p>
    <w:p w14:paraId="76F001EA" w14:textId="4EFBF79A" w:rsidR="000128E3" w:rsidRPr="00607635" w:rsidRDefault="000128E3" w:rsidP="007113A4">
      <w:pPr>
        <w:pStyle w:val="SingleTxtG"/>
        <w:ind w:left="4536" w:hanging="3402"/>
        <w:jc w:val="left"/>
      </w:pPr>
      <w:r w:rsidRPr="00607635">
        <w:rPr>
          <w:i/>
        </w:rPr>
        <w:t>State party</w:t>
      </w:r>
      <w:r w:rsidRPr="00B814EC">
        <w:t>:</w:t>
      </w:r>
      <w:r w:rsidRPr="00607635">
        <w:tab/>
      </w:r>
      <w:r w:rsidR="00253158">
        <w:t xml:space="preserve">Croatia </w:t>
      </w:r>
    </w:p>
    <w:p w14:paraId="70866BF6" w14:textId="39C52021" w:rsidR="000128E3" w:rsidRPr="00607635" w:rsidRDefault="000128E3" w:rsidP="007113A4">
      <w:pPr>
        <w:pStyle w:val="SingleTxtG"/>
        <w:ind w:left="4536" w:hanging="3402"/>
        <w:jc w:val="left"/>
      </w:pPr>
      <w:r w:rsidRPr="00607635">
        <w:rPr>
          <w:i/>
        </w:rPr>
        <w:t>Date of communication</w:t>
      </w:r>
      <w:r w:rsidRPr="00B814EC">
        <w:t>:</w:t>
      </w:r>
      <w:r w:rsidRPr="00607635">
        <w:tab/>
      </w:r>
      <w:r w:rsidR="00A458CC">
        <w:t>14</w:t>
      </w:r>
      <w:r w:rsidR="00E36605">
        <w:t xml:space="preserve"> July </w:t>
      </w:r>
      <w:r w:rsidR="000F7E27">
        <w:t>2016</w:t>
      </w:r>
      <w:r w:rsidRPr="00607635">
        <w:t xml:space="preserve"> (initial submission)</w:t>
      </w:r>
    </w:p>
    <w:p w14:paraId="6FE8A33E" w14:textId="1E04C105" w:rsidR="000128E3" w:rsidRPr="00607635" w:rsidRDefault="000128E3" w:rsidP="007113A4">
      <w:pPr>
        <w:pStyle w:val="SingleTxtG"/>
        <w:ind w:left="4536" w:hanging="3402"/>
        <w:jc w:val="left"/>
        <w:rPr>
          <w:i/>
        </w:rPr>
      </w:pPr>
      <w:r w:rsidRPr="00607635">
        <w:rPr>
          <w:i/>
        </w:rPr>
        <w:t xml:space="preserve">Date of adoption of </w:t>
      </w:r>
      <w:r w:rsidR="00A707C0">
        <w:rPr>
          <w:i/>
        </w:rPr>
        <w:t>decision</w:t>
      </w:r>
      <w:r w:rsidRPr="00B814EC">
        <w:t>:</w:t>
      </w:r>
      <w:r w:rsidRPr="00607635">
        <w:tab/>
      </w:r>
      <w:r w:rsidR="000851C9">
        <w:t>6</w:t>
      </w:r>
      <w:r w:rsidR="00253158">
        <w:t xml:space="preserve"> </w:t>
      </w:r>
      <w:r w:rsidR="000851C9">
        <w:t xml:space="preserve">April </w:t>
      </w:r>
      <w:r w:rsidRPr="00A707C0">
        <w:t>201</w:t>
      </w:r>
      <w:r w:rsidR="00253158">
        <w:t>8</w:t>
      </w:r>
    </w:p>
    <w:p w14:paraId="4ACB6A7F" w14:textId="2BD56ACF" w:rsidR="000128E3" w:rsidRPr="00607635" w:rsidRDefault="000128E3" w:rsidP="007113A4">
      <w:pPr>
        <w:pStyle w:val="SingleTxtG"/>
        <w:ind w:left="4536" w:hanging="3402"/>
        <w:jc w:val="left"/>
      </w:pPr>
      <w:r w:rsidRPr="00607635">
        <w:rPr>
          <w:i/>
          <w:iCs/>
        </w:rPr>
        <w:t>Subject matter</w:t>
      </w:r>
      <w:r w:rsidRPr="00B814EC">
        <w:rPr>
          <w:iCs/>
        </w:rPr>
        <w:t>:</w:t>
      </w:r>
      <w:r w:rsidRPr="00607635">
        <w:tab/>
      </w:r>
      <w:r w:rsidRPr="00607635">
        <w:tab/>
      </w:r>
      <w:r w:rsidR="00663AAF" w:rsidRPr="00663AAF">
        <w:t>Arbitrary detention</w:t>
      </w:r>
      <w:r w:rsidR="00663AAF">
        <w:t xml:space="preserve">; </w:t>
      </w:r>
      <w:r w:rsidR="00663AAF" w:rsidRPr="00663AAF">
        <w:t xml:space="preserve">fair trial; </w:t>
      </w:r>
      <w:r w:rsidR="00996450">
        <w:t xml:space="preserve">ill-treatment; </w:t>
      </w:r>
      <w:r w:rsidR="00663AAF">
        <w:t>non-discrimination</w:t>
      </w:r>
      <w:r w:rsidR="000F7E27">
        <w:t xml:space="preserve">; </w:t>
      </w:r>
      <w:r w:rsidR="00663AAF">
        <w:t xml:space="preserve">and </w:t>
      </w:r>
      <w:r w:rsidR="002D6B83">
        <w:t>lack of effective remedy</w:t>
      </w:r>
    </w:p>
    <w:p w14:paraId="78C17668" w14:textId="46A8C93C" w:rsidR="000128E3" w:rsidRPr="00607635" w:rsidRDefault="000128E3" w:rsidP="007113A4">
      <w:pPr>
        <w:pStyle w:val="SingleTxtG"/>
        <w:ind w:left="4536" w:hanging="3402"/>
        <w:jc w:val="left"/>
      </w:pPr>
      <w:r w:rsidRPr="00607635">
        <w:rPr>
          <w:i/>
          <w:iCs/>
        </w:rPr>
        <w:lastRenderedPageBreak/>
        <w:t>Procedural issue</w:t>
      </w:r>
      <w:r w:rsidR="000F7F76">
        <w:rPr>
          <w:i/>
          <w:iCs/>
        </w:rPr>
        <w:t>s</w:t>
      </w:r>
      <w:r w:rsidRPr="00A1533E">
        <w:rPr>
          <w:iCs/>
        </w:rPr>
        <w:t>:</w:t>
      </w:r>
      <w:r w:rsidRPr="00607635">
        <w:rPr>
          <w:i/>
          <w:iCs/>
        </w:rPr>
        <w:t xml:space="preserve"> </w:t>
      </w:r>
      <w:r w:rsidRPr="00607635">
        <w:rPr>
          <w:i/>
          <w:iCs/>
        </w:rPr>
        <w:tab/>
      </w:r>
      <w:r w:rsidR="00055096" w:rsidRPr="00607635">
        <w:rPr>
          <w:iCs/>
        </w:rPr>
        <w:t>E</w:t>
      </w:r>
      <w:r w:rsidR="00386AC2" w:rsidRPr="00607635">
        <w:t>xhaustion of domestic remedies</w:t>
      </w:r>
      <w:r w:rsidR="000F7E27">
        <w:t>; compatibility with the provisions of the Covenant</w:t>
      </w:r>
      <w:r w:rsidR="004A4366">
        <w:t>, substantiation of claim</w:t>
      </w:r>
      <w:r w:rsidR="008C19C3">
        <w:t>s</w:t>
      </w:r>
    </w:p>
    <w:p w14:paraId="30E85FAE" w14:textId="01A4D6E9" w:rsidR="000128E3" w:rsidRPr="00607635" w:rsidRDefault="000128E3" w:rsidP="007113A4">
      <w:pPr>
        <w:pStyle w:val="SingleTxtG"/>
        <w:ind w:left="4536" w:hanging="3402"/>
        <w:jc w:val="left"/>
      </w:pPr>
      <w:r w:rsidRPr="00607635">
        <w:rPr>
          <w:i/>
          <w:iCs/>
        </w:rPr>
        <w:t>Substantive issues</w:t>
      </w:r>
      <w:r w:rsidRPr="00A1533E">
        <w:rPr>
          <w:iCs/>
        </w:rPr>
        <w:t>:</w:t>
      </w:r>
      <w:r w:rsidRPr="00607635">
        <w:rPr>
          <w:i/>
          <w:iCs/>
        </w:rPr>
        <w:t xml:space="preserve"> </w:t>
      </w:r>
      <w:r w:rsidRPr="00607635">
        <w:rPr>
          <w:i/>
          <w:iCs/>
        </w:rPr>
        <w:tab/>
      </w:r>
      <w:r w:rsidR="000F7E27" w:rsidRPr="00607635">
        <w:tab/>
      </w:r>
      <w:r w:rsidR="00663AAF">
        <w:t>Arbitrary detention; fair trial</w:t>
      </w:r>
      <w:r w:rsidR="000F7E27">
        <w:t xml:space="preserve">; </w:t>
      </w:r>
      <w:r w:rsidR="00996450">
        <w:t xml:space="preserve">ill-treatment </w:t>
      </w:r>
      <w:r w:rsidR="00663AAF">
        <w:t xml:space="preserve">and </w:t>
      </w:r>
      <w:r w:rsidR="000F7E27">
        <w:t>non-discrimination</w:t>
      </w:r>
    </w:p>
    <w:p w14:paraId="5DAB5F44" w14:textId="51040BAD" w:rsidR="000128E3" w:rsidRPr="00607635" w:rsidRDefault="000128E3" w:rsidP="007113A4">
      <w:pPr>
        <w:pStyle w:val="SingleTxtG"/>
        <w:ind w:left="4536" w:hanging="3402"/>
        <w:jc w:val="left"/>
      </w:pPr>
      <w:r w:rsidRPr="00607635">
        <w:rPr>
          <w:i/>
          <w:iCs/>
        </w:rPr>
        <w:t>Articles of the Covenant</w:t>
      </w:r>
      <w:r w:rsidRPr="00A1533E">
        <w:rPr>
          <w:iCs/>
        </w:rPr>
        <w:t>:</w:t>
      </w:r>
      <w:r w:rsidRPr="00607635">
        <w:t xml:space="preserve"> </w:t>
      </w:r>
      <w:r w:rsidRPr="00607635">
        <w:tab/>
      </w:r>
      <w:r w:rsidR="000F7E27">
        <w:t xml:space="preserve">2; </w:t>
      </w:r>
      <w:r w:rsidR="008C19C3">
        <w:t>7; 9</w:t>
      </w:r>
      <w:r w:rsidR="001163B9">
        <w:t xml:space="preserve"> </w:t>
      </w:r>
      <w:r w:rsidR="001163B9" w:rsidRPr="001163B9">
        <w:t>(1) and (4)</w:t>
      </w:r>
      <w:r w:rsidR="008C19C3">
        <w:t>; 10</w:t>
      </w:r>
      <w:r w:rsidR="001163B9">
        <w:t xml:space="preserve"> (1)</w:t>
      </w:r>
      <w:r w:rsidR="008C19C3">
        <w:t xml:space="preserve">; </w:t>
      </w:r>
      <w:r w:rsidR="000F7E27">
        <w:t xml:space="preserve">14; </w:t>
      </w:r>
      <w:r w:rsidR="008C19C3">
        <w:t xml:space="preserve">15 and </w:t>
      </w:r>
      <w:r w:rsidR="000F7E27">
        <w:t>26</w:t>
      </w:r>
    </w:p>
    <w:p w14:paraId="1272915E" w14:textId="376D91F1" w:rsidR="000128E3" w:rsidRDefault="000128E3" w:rsidP="00683EF7">
      <w:pPr>
        <w:pStyle w:val="SingleTxtG"/>
        <w:ind w:left="4536" w:hanging="3402"/>
        <w:jc w:val="left"/>
        <w:rPr>
          <w:iCs/>
        </w:rPr>
      </w:pPr>
      <w:r w:rsidRPr="00607635">
        <w:rPr>
          <w:i/>
          <w:iCs/>
        </w:rPr>
        <w:t>Articles of the Optional Protocol</w:t>
      </w:r>
      <w:r w:rsidRPr="00A1533E">
        <w:rPr>
          <w:iCs/>
        </w:rPr>
        <w:t>:</w:t>
      </w:r>
      <w:r w:rsidRPr="00607635">
        <w:rPr>
          <w:i/>
          <w:iCs/>
        </w:rPr>
        <w:tab/>
      </w:r>
      <w:r w:rsidR="000F7E27" w:rsidRPr="000F7E27">
        <w:rPr>
          <w:iCs/>
        </w:rPr>
        <w:t xml:space="preserve">3; </w:t>
      </w:r>
      <w:r w:rsidR="004F56A1" w:rsidRPr="000F7E27">
        <w:rPr>
          <w:iCs/>
        </w:rPr>
        <w:t>5 (2) (b)</w:t>
      </w:r>
    </w:p>
    <w:p w14:paraId="2E016670" w14:textId="2A64F6A3" w:rsidR="00881C2D" w:rsidRPr="00EE5EE5" w:rsidRDefault="000128E3" w:rsidP="000D5D04">
      <w:pPr>
        <w:pStyle w:val="H23G"/>
        <w:numPr>
          <w:ilvl w:val="0"/>
          <w:numId w:val="9"/>
        </w:numPr>
        <w:spacing w:before="120" w:line="240" w:lineRule="auto"/>
        <w:ind w:left="1134" w:firstLine="0"/>
        <w:jc w:val="both"/>
        <w:rPr>
          <w:b w:val="0"/>
        </w:rPr>
      </w:pPr>
      <w:r w:rsidRPr="00881C2D">
        <w:rPr>
          <w:b w:val="0"/>
        </w:rPr>
        <w:t xml:space="preserve">The author of the communication </w:t>
      </w:r>
      <w:r w:rsidR="00B94F1C" w:rsidRPr="00881C2D">
        <w:rPr>
          <w:b w:val="0"/>
        </w:rPr>
        <w:t>is Mr. D</w:t>
      </w:r>
      <w:r w:rsidR="001C2798">
        <w:rPr>
          <w:b w:val="0"/>
        </w:rPr>
        <w:t>.</w:t>
      </w:r>
      <w:r w:rsidR="00B94F1C" w:rsidRPr="00881C2D">
        <w:rPr>
          <w:b w:val="0"/>
        </w:rPr>
        <w:t>V</w:t>
      </w:r>
      <w:r w:rsidR="001C2798">
        <w:rPr>
          <w:b w:val="0"/>
        </w:rPr>
        <w:t>.</w:t>
      </w:r>
      <w:r w:rsidR="00B94F1C" w:rsidRPr="00881C2D">
        <w:rPr>
          <w:b w:val="0"/>
        </w:rPr>
        <w:t xml:space="preserve"> (known as D</w:t>
      </w:r>
      <w:r w:rsidR="001C2798">
        <w:rPr>
          <w:b w:val="0"/>
        </w:rPr>
        <w:t>.</w:t>
      </w:r>
      <w:r w:rsidR="00B94F1C" w:rsidRPr="00881C2D">
        <w:rPr>
          <w:b w:val="0"/>
        </w:rPr>
        <w:t xml:space="preserve"> S</w:t>
      </w:r>
      <w:r w:rsidR="001C2798">
        <w:rPr>
          <w:b w:val="0"/>
        </w:rPr>
        <w:t>.</w:t>
      </w:r>
      <w:r w:rsidR="00B94F1C" w:rsidRPr="00881C2D">
        <w:rPr>
          <w:b w:val="0"/>
        </w:rPr>
        <w:t xml:space="preserve"> or “Captain Dragan”</w:t>
      </w:r>
      <w:r w:rsidR="001C2798">
        <w:rPr>
          <w:b w:val="0"/>
        </w:rPr>
        <w:t>)</w:t>
      </w:r>
      <w:r w:rsidR="00B94F1C" w:rsidRPr="00881C2D">
        <w:rPr>
          <w:b w:val="0"/>
        </w:rPr>
        <w:t xml:space="preserve">, a citizen of the Republic of Serbia and Australia, born on 12 December 1954. </w:t>
      </w:r>
      <w:r w:rsidR="00881C2D" w:rsidRPr="000555BF">
        <w:rPr>
          <w:b w:val="0"/>
        </w:rPr>
        <w:t>The author</w:t>
      </w:r>
      <w:r w:rsidR="00881C2D" w:rsidRPr="00EE5EE5">
        <w:rPr>
          <w:b w:val="0"/>
        </w:rPr>
        <w:t xml:space="preserve"> </w:t>
      </w:r>
      <w:r w:rsidR="00881C2D" w:rsidRPr="000555BF">
        <w:rPr>
          <w:b w:val="0"/>
        </w:rPr>
        <w:t>has been charged in the Republic of Croatia</w:t>
      </w:r>
      <w:r w:rsidR="00881C2D" w:rsidRPr="002B2183">
        <w:rPr>
          <w:rStyle w:val="FootnoteReference"/>
          <w:b w:val="0"/>
        </w:rPr>
        <w:footnoteReference w:id="4"/>
      </w:r>
      <w:r w:rsidR="00881C2D" w:rsidRPr="002B2183">
        <w:rPr>
          <w:b w:val="0"/>
        </w:rPr>
        <w:t xml:space="preserve"> </w:t>
      </w:r>
      <w:r w:rsidR="00881C2D" w:rsidRPr="000555BF">
        <w:rPr>
          <w:b w:val="0"/>
        </w:rPr>
        <w:t xml:space="preserve">for war crimes, due to </w:t>
      </w:r>
      <w:r w:rsidR="002D5776" w:rsidRPr="000555BF">
        <w:rPr>
          <w:b w:val="0"/>
        </w:rPr>
        <w:t xml:space="preserve">the </w:t>
      </w:r>
      <w:r w:rsidR="00881C2D" w:rsidRPr="000555BF">
        <w:rPr>
          <w:b w:val="0"/>
        </w:rPr>
        <w:t xml:space="preserve">killing of Croatian soldiers </w:t>
      </w:r>
      <w:r w:rsidR="000E0A42" w:rsidRPr="000555BF">
        <w:rPr>
          <w:b w:val="0"/>
        </w:rPr>
        <w:t>(</w:t>
      </w:r>
      <w:r w:rsidR="00881C2D" w:rsidRPr="000555BF">
        <w:rPr>
          <w:b w:val="0"/>
        </w:rPr>
        <w:t>prisoners of war</w:t>
      </w:r>
      <w:r w:rsidR="000E0A42" w:rsidRPr="000555BF">
        <w:rPr>
          <w:b w:val="0"/>
        </w:rPr>
        <w:t>)</w:t>
      </w:r>
      <w:r w:rsidR="00881C2D" w:rsidRPr="000555BF">
        <w:rPr>
          <w:b w:val="0"/>
        </w:rPr>
        <w:t xml:space="preserve"> and civilians, committed when he was a commander of a Serbian paramilitary group on the territory of Croatia in 1991 and 1993.</w:t>
      </w:r>
      <w:r w:rsidR="00881C2D" w:rsidRPr="00EE5EE5">
        <w:rPr>
          <w:b w:val="0"/>
        </w:rPr>
        <w:t xml:space="preserve"> </w:t>
      </w:r>
      <w:r w:rsidR="00881C2D" w:rsidRPr="000555BF">
        <w:rPr>
          <w:b w:val="0"/>
        </w:rPr>
        <w:t>He was arrested in Australia on the basis of an extradition request by Croatia in January 2006, and placed in detention</w:t>
      </w:r>
      <w:r w:rsidR="00881C2D" w:rsidRPr="002B2183">
        <w:rPr>
          <w:rStyle w:val="FootnoteReference"/>
          <w:b w:val="0"/>
        </w:rPr>
        <w:footnoteReference w:id="5"/>
      </w:r>
      <w:r w:rsidR="00881C2D" w:rsidRPr="000555BF">
        <w:rPr>
          <w:b w:val="0"/>
        </w:rPr>
        <w:t xml:space="preserve"> in anticipation of extradition to Croatia for prosecution. He was extradited to Croatia on 8 July 2015, after losing his thirteenth appeal</w:t>
      </w:r>
      <w:r w:rsidR="000E0A42" w:rsidRPr="000555BF">
        <w:rPr>
          <w:b w:val="0"/>
        </w:rPr>
        <w:t xml:space="preserve"> in Australia</w:t>
      </w:r>
      <w:r w:rsidR="00881C2D" w:rsidRPr="00EE5EE5">
        <w:rPr>
          <w:b w:val="0"/>
          <w:color w:val="000000"/>
          <w:shd w:val="clear" w:color="auto" w:fill="FFFFFF"/>
        </w:rPr>
        <w:t xml:space="preserve">. </w:t>
      </w:r>
    </w:p>
    <w:p w14:paraId="06C391A9" w14:textId="22166096" w:rsidR="00961946" w:rsidRDefault="00881C2D" w:rsidP="000D5D04">
      <w:pPr>
        <w:pStyle w:val="SingleTxtG"/>
        <w:numPr>
          <w:ilvl w:val="1"/>
          <w:numId w:val="9"/>
        </w:numPr>
        <w:tabs>
          <w:tab w:val="left" w:pos="1134"/>
        </w:tabs>
        <w:spacing w:line="240" w:lineRule="auto"/>
        <w:ind w:left="1134" w:firstLine="0"/>
        <w:rPr>
          <w:lang w:val="cs-CZ"/>
        </w:rPr>
      </w:pPr>
      <w:r w:rsidRPr="000555BF">
        <w:t>The author claims that Croatia</w:t>
      </w:r>
      <w:r w:rsidR="00996450">
        <w:rPr>
          <w:rStyle w:val="FootnoteReference"/>
        </w:rPr>
        <w:footnoteReference w:id="6"/>
      </w:r>
      <w:r w:rsidRPr="000555BF">
        <w:t xml:space="preserve"> ha</w:t>
      </w:r>
      <w:r w:rsidR="00996450">
        <w:t>s</w:t>
      </w:r>
      <w:r w:rsidRPr="000555BF">
        <w:t xml:space="preserve"> violated his rights under</w:t>
      </w:r>
      <w:r w:rsidDel="00EC6C29">
        <w:t xml:space="preserve"> </w:t>
      </w:r>
      <w:r w:rsidR="000128E3" w:rsidRPr="00607635">
        <w:t>article</w:t>
      </w:r>
      <w:r w:rsidR="0052434D" w:rsidRPr="00607635">
        <w:t>s</w:t>
      </w:r>
      <w:r w:rsidR="000128E3" w:rsidRPr="00607635">
        <w:t xml:space="preserve"> </w:t>
      </w:r>
      <w:r w:rsidR="00B94F1C" w:rsidRPr="00B94F1C">
        <w:t>2; 7; 9</w:t>
      </w:r>
      <w:r w:rsidR="0082194C">
        <w:t xml:space="preserve"> (1) and (4)</w:t>
      </w:r>
      <w:r w:rsidR="00B94F1C" w:rsidRPr="00B94F1C">
        <w:t>; 10</w:t>
      </w:r>
      <w:r w:rsidR="001163B9">
        <w:t xml:space="preserve"> (1)</w:t>
      </w:r>
      <w:r w:rsidR="00B94F1C" w:rsidRPr="00B94F1C">
        <w:t>; 14; 15 and 26</w:t>
      </w:r>
      <w:r w:rsidR="00B94F1C">
        <w:t xml:space="preserve"> </w:t>
      </w:r>
      <w:r w:rsidR="000128E3" w:rsidRPr="00607635">
        <w:t>of the Covenant</w:t>
      </w:r>
      <w:r w:rsidR="00942659">
        <w:t xml:space="preserve">, and </w:t>
      </w:r>
      <w:r w:rsidR="00996450">
        <w:t>h</w:t>
      </w:r>
      <w:r w:rsidR="00CB2631">
        <w:t>is trial is ongoing</w:t>
      </w:r>
      <w:r w:rsidR="00071930" w:rsidRPr="00071930">
        <w:t>.</w:t>
      </w:r>
      <w:r w:rsidR="00C55FE0" w:rsidRPr="002B2183">
        <w:rPr>
          <w:rStyle w:val="FootnoteReference"/>
        </w:rPr>
        <w:footnoteReference w:id="7"/>
      </w:r>
      <w:r w:rsidR="00071930" w:rsidRPr="00071930">
        <w:t xml:space="preserve"> The author </w:t>
      </w:r>
      <w:r w:rsidR="00071930">
        <w:t xml:space="preserve">has </w:t>
      </w:r>
      <w:r w:rsidR="00071930" w:rsidRPr="00071930">
        <w:t>r</w:t>
      </w:r>
      <w:r w:rsidR="00A45C27">
        <w:t xml:space="preserve">equested </w:t>
      </w:r>
      <w:r w:rsidR="00071930" w:rsidRPr="00071930">
        <w:t xml:space="preserve">the Committee to issue </w:t>
      </w:r>
      <w:r w:rsidR="000E0A42">
        <w:t xml:space="preserve">interim or </w:t>
      </w:r>
      <w:r w:rsidR="00180AF8">
        <w:t xml:space="preserve">protection </w:t>
      </w:r>
      <w:r w:rsidR="00961946">
        <w:t xml:space="preserve">measures </w:t>
      </w:r>
      <w:r w:rsidR="00071930" w:rsidRPr="00071930">
        <w:t xml:space="preserve">in the form of his immediate unconditional or conditional release </w:t>
      </w:r>
      <w:r w:rsidR="000E0A42">
        <w:t xml:space="preserve">on bail </w:t>
      </w:r>
      <w:r w:rsidR="00071930" w:rsidRPr="00071930">
        <w:t>by Croatia. The Optional Protocol entered into force for Croatia on 12 January 1996. The author is represented by counsels, Ms</w:t>
      </w:r>
      <w:r w:rsidR="00C27929">
        <w:t>.</w:t>
      </w:r>
      <w:r w:rsidR="00071930" w:rsidRPr="00071930">
        <w:t xml:space="preserve"> </w:t>
      </w:r>
      <w:proofErr w:type="spellStart"/>
      <w:r w:rsidR="00071930" w:rsidRPr="00071930">
        <w:t>Sladana</w:t>
      </w:r>
      <w:proofErr w:type="spellEnd"/>
      <w:r w:rsidR="00071930" w:rsidRPr="00071930">
        <w:t xml:space="preserve"> </w:t>
      </w:r>
      <w:proofErr w:type="spellStart"/>
      <w:r w:rsidR="00071930" w:rsidRPr="00071930">
        <w:t>Čankovi</w:t>
      </w:r>
      <w:r w:rsidR="005915E0">
        <w:t>ć</w:t>
      </w:r>
      <w:proofErr w:type="spellEnd"/>
      <w:r w:rsidR="00071930" w:rsidRPr="00071930">
        <w:t xml:space="preserve"> and Mr. </w:t>
      </w:r>
      <w:r w:rsidR="006038F9">
        <w:t xml:space="preserve">Goran </w:t>
      </w:r>
      <w:proofErr w:type="spellStart"/>
      <w:r w:rsidR="006038F9">
        <w:t>Cvetic</w:t>
      </w:r>
      <w:proofErr w:type="spellEnd"/>
      <w:r w:rsidR="006038F9">
        <w:t xml:space="preserve"> (Zagreb, Croatia).</w:t>
      </w:r>
      <w:r w:rsidR="00677369">
        <w:t xml:space="preserve"> </w:t>
      </w:r>
    </w:p>
    <w:p w14:paraId="17B7B200" w14:textId="53DE53AF" w:rsidR="000128E3" w:rsidRPr="00607635" w:rsidRDefault="00961946" w:rsidP="000D5D04">
      <w:pPr>
        <w:pStyle w:val="SingleTxtG"/>
        <w:numPr>
          <w:ilvl w:val="1"/>
          <w:numId w:val="9"/>
        </w:numPr>
        <w:tabs>
          <w:tab w:val="left" w:pos="1134"/>
        </w:tabs>
        <w:spacing w:line="240" w:lineRule="auto"/>
        <w:ind w:left="1134" w:firstLine="0"/>
      </w:pPr>
      <w:r>
        <w:rPr>
          <w:lang w:val="cs-CZ"/>
        </w:rPr>
        <w:t xml:space="preserve">On </w:t>
      </w:r>
      <w:r w:rsidR="00180AF8">
        <w:rPr>
          <w:lang w:val="cs-CZ"/>
        </w:rPr>
        <w:t>16 November 2016, the Committee</w:t>
      </w:r>
      <w:r w:rsidR="00180AF8" w:rsidRPr="00180AF8">
        <w:rPr>
          <w:lang w:val="cs-CZ"/>
        </w:rPr>
        <w:t xml:space="preserve">, acting through its Special Rapporteur on new communications and interim measures, </w:t>
      </w:r>
      <w:r w:rsidR="00A458CC">
        <w:rPr>
          <w:lang w:val="cs-CZ"/>
        </w:rPr>
        <w:t xml:space="preserve">registered the case while </w:t>
      </w:r>
      <w:r w:rsidR="00180AF8" w:rsidRPr="00180AF8">
        <w:rPr>
          <w:lang w:val="cs-CZ"/>
        </w:rPr>
        <w:t>not grant</w:t>
      </w:r>
      <w:r w:rsidR="00C55FE0">
        <w:rPr>
          <w:lang w:val="cs-CZ"/>
        </w:rPr>
        <w:t>ing</w:t>
      </w:r>
      <w:r w:rsidR="00180AF8" w:rsidRPr="00180AF8">
        <w:rPr>
          <w:lang w:val="cs-CZ"/>
        </w:rPr>
        <w:t xml:space="preserve"> the author’s request for </w:t>
      </w:r>
      <w:r w:rsidR="000E0A42">
        <w:rPr>
          <w:lang w:val="cs-CZ"/>
        </w:rPr>
        <w:t xml:space="preserve">interim or </w:t>
      </w:r>
      <w:r w:rsidR="00180AF8" w:rsidRPr="00180AF8">
        <w:rPr>
          <w:lang w:val="cs-CZ"/>
        </w:rPr>
        <w:t xml:space="preserve">protection measures </w:t>
      </w:r>
      <w:r w:rsidRPr="00961946">
        <w:t xml:space="preserve">as the criminal trial for war crimes </w:t>
      </w:r>
      <w:r w:rsidR="00180AF8">
        <w:t xml:space="preserve">had </w:t>
      </w:r>
      <w:r w:rsidRPr="00961946">
        <w:t>remain</w:t>
      </w:r>
      <w:r w:rsidR="00180AF8">
        <w:t xml:space="preserve">ed </w:t>
      </w:r>
      <w:r w:rsidRPr="00961946">
        <w:t>pending in Croatia,</w:t>
      </w:r>
      <w:r w:rsidR="00403EAD" w:rsidRPr="002B2183">
        <w:rPr>
          <w:rStyle w:val="FootnoteReference"/>
        </w:rPr>
        <w:footnoteReference w:id="8"/>
      </w:r>
      <w:r w:rsidRPr="00961946">
        <w:t xml:space="preserve"> and </w:t>
      </w:r>
      <w:r w:rsidR="007A7D21">
        <w:t xml:space="preserve">since </w:t>
      </w:r>
      <w:r w:rsidRPr="00961946">
        <w:t>the author ha</w:t>
      </w:r>
      <w:r w:rsidR="00180AF8">
        <w:t>d</w:t>
      </w:r>
      <w:r w:rsidRPr="00961946">
        <w:t xml:space="preserve"> not </w:t>
      </w:r>
      <w:r w:rsidRPr="00180AF8">
        <w:rPr>
          <w:i/>
        </w:rPr>
        <w:t>prima facie</w:t>
      </w:r>
      <w:r w:rsidRPr="00961946">
        <w:t xml:space="preserve"> substantiated that he would face any reprisals or discrimination while in detention</w:t>
      </w:r>
      <w:r w:rsidR="00A458CC" w:rsidRPr="002B2183">
        <w:rPr>
          <w:rStyle w:val="FootnoteReference"/>
        </w:rPr>
        <w:footnoteReference w:id="9"/>
      </w:r>
      <w:r w:rsidR="00A458CC">
        <w:t xml:space="preserve"> </w:t>
      </w:r>
      <w:r w:rsidR="00180AF8">
        <w:t>pending the proceeding</w:t>
      </w:r>
      <w:r w:rsidR="00A03545">
        <w:t>s</w:t>
      </w:r>
      <w:r w:rsidR="00180AF8">
        <w:t xml:space="preserve"> on the merits of the crimes alleged</w:t>
      </w:r>
      <w:r w:rsidRPr="00961946">
        <w:t>.</w:t>
      </w:r>
      <w:r w:rsidR="00A458CC" w:rsidRPr="002B2183">
        <w:rPr>
          <w:rStyle w:val="FootnoteReference"/>
        </w:rPr>
        <w:footnoteReference w:id="10"/>
      </w:r>
      <w:r w:rsidR="00A458CC">
        <w:t xml:space="preserve"> </w:t>
      </w:r>
    </w:p>
    <w:p w14:paraId="7D3466EA" w14:textId="77777777" w:rsidR="00EE5EE5" w:rsidRDefault="000128E3" w:rsidP="00097C2F">
      <w:pPr>
        <w:pStyle w:val="H23G"/>
      </w:pPr>
      <w:r w:rsidRPr="00607635">
        <w:lastRenderedPageBreak/>
        <w:tab/>
      </w:r>
      <w:r w:rsidRPr="00607635">
        <w:tab/>
      </w:r>
      <w:r w:rsidR="00EE5EE5">
        <w:t>The fact</w:t>
      </w:r>
      <w:r w:rsidR="006038F9">
        <w:t xml:space="preserve">s as </w:t>
      </w:r>
      <w:r w:rsidR="006038F9" w:rsidRPr="00097C2F">
        <w:t>submitted</w:t>
      </w:r>
      <w:r w:rsidR="006038F9">
        <w:t xml:space="preserve"> by the author</w:t>
      </w:r>
    </w:p>
    <w:p w14:paraId="5E5D12B2" w14:textId="133D414F" w:rsidR="006038F9" w:rsidRPr="006038F9" w:rsidRDefault="006038F9" w:rsidP="000D5D04">
      <w:pPr>
        <w:numPr>
          <w:ilvl w:val="1"/>
          <w:numId w:val="10"/>
        </w:numPr>
        <w:suppressAutoHyphens w:val="0"/>
        <w:spacing w:after="120" w:line="240" w:lineRule="auto"/>
        <w:ind w:left="1134" w:right="1134" w:firstLine="0"/>
        <w:jc w:val="both"/>
        <w:rPr>
          <w:rFonts w:eastAsia="Calibri"/>
          <w:shd w:val="clear" w:color="auto" w:fill="FFFFFF"/>
        </w:rPr>
      </w:pPr>
      <w:r w:rsidRPr="006038F9">
        <w:rPr>
          <w:rFonts w:eastAsia="Calibri"/>
          <w:shd w:val="clear" w:color="auto" w:fill="FFFFFF"/>
        </w:rPr>
        <w:t>In 1969, the author moved from Serbia to Australia, where he acquired the Australian citizenship in 1975.</w:t>
      </w:r>
      <w:r w:rsidRPr="002B2183">
        <w:rPr>
          <w:rStyle w:val="FootnoteReference"/>
          <w:rFonts w:eastAsia="Calibri"/>
        </w:rPr>
        <w:footnoteReference w:id="11"/>
      </w:r>
      <w:r w:rsidRPr="006038F9">
        <w:rPr>
          <w:rFonts w:eastAsia="Calibri"/>
          <w:shd w:val="clear" w:color="auto" w:fill="FFFFFF"/>
        </w:rPr>
        <w:t xml:space="preserve"> The author returned to Yugoslavia in 1990. According to the Croatian authorities, he took part in the Balkan war</w:t>
      </w:r>
      <w:r w:rsidR="00677369">
        <w:rPr>
          <w:rFonts w:eastAsia="Calibri"/>
          <w:shd w:val="clear" w:color="auto" w:fill="FFFFFF"/>
        </w:rPr>
        <w:t xml:space="preserve"> </w:t>
      </w:r>
      <w:r w:rsidRPr="006038F9">
        <w:rPr>
          <w:rFonts w:eastAsia="Calibri"/>
          <w:shd w:val="clear" w:color="auto" w:fill="FFFFFF"/>
        </w:rPr>
        <w:t xml:space="preserve">as a commander of a </w:t>
      </w:r>
      <w:r w:rsidR="00266E9E">
        <w:rPr>
          <w:rFonts w:eastAsia="Calibri"/>
          <w:shd w:val="clear" w:color="auto" w:fill="FFFFFF"/>
        </w:rPr>
        <w:t xml:space="preserve">Special Purpose Unit of </w:t>
      </w:r>
      <w:r w:rsidRPr="006038F9">
        <w:rPr>
          <w:rFonts w:eastAsia="Calibri"/>
          <w:shd w:val="clear" w:color="auto" w:fill="FFFFFF"/>
        </w:rPr>
        <w:t xml:space="preserve">Serbian paramilitary </w:t>
      </w:r>
      <w:r w:rsidR="00266E9E">
        <w:rPr>
          <w:rFonts w:eastAsia="Calibri"/>
          <w:shd w:val="clear" w:color="auto" w:fill="FFFFFF"/>
        </w:rPr>
        <w:t>troops</w:t>
      </w:r>
      <w:r w:rsidRPr="006038F9">
        <w:rPr>
          <w:rFonts w:eastAsia="Calibri"/>
          <w:shd w:val="clear" w:color="auto" w:fill="FFFFFF"/>
        </w:rPr>
        <w:t xml:space="preserve"> which involved in an armed conflict with Croatia’s armed forces in defence of the Serbian population living in the territory of Croatia (</w:t>
      </w:r>
      <w:r w:rsidR="00677369">
        <w:rPr>
          <w:rFonts w:eastAsia="Calibri"/>
          <w:shd w:val="clear" w:color="auto" w:fill="FFFFFF"/>
        </w:rPr>
        <w:t>within</w:t>
      </w:r>
      <w:r w:rsidR="00CB2631">
        <w:rPr>
          <w:rFonts w:eastAsia="Calibri"/>
          <w:shd w:val="clear" w:color="auto" w:fill="FFFFFF"/>
        </w:rPr>
        <w:t xml:space="preserve"> the</w:t>
      </w:r>
      <w:r w:rsidR="00677369">
        <w:rPr>
          <w:rFonts w:eastAsia="Calibri"/>
          <w:shd w:val="clear" w:color="auto" w:fill="FFFFFF"/>
        </w:rPr>
        <w:t xml:space="preserve"> </w:t>
      </w:r>
      <w:r w:rsidRPr="006038F9">
        <w:rPr>
          <w:rFonts w:eastAsia="Calibri"/>
          <w:shd w:val="clear" w:color="auto" w:fill="FFFFFF"/>
        </w:rPr>
        <w:t xml:space="preserve">unrecognized Republic of Serbian Krajina). </w:t>
      </w:r>
    </w:p>
    <w:p w14:paraId="33A321E3" w14:textId="03C1C62D" w:rsidR="006038F9" w:rsidRPr="006038F9" w:rsidRDefault="006038F9" w:rsidP="000D5D04">
      <w:pPr>
        <w:numPr>
          <w:ilvl w:val="1"/>
          <w:numId w:val="10"/>
        </w:numPr>
        <w:suppressAutoHyphens w:val="0"/>
        <w:spacing w:after="120" w:line="240" w:lineRule="auto"/>
        <w:ind w:left="1134" w:right="1134" w:firstLine="0"/>
        <w:jc w:val="both"/>
        <w:rPr>
          <w:rFonts w:eastAsia="Calibri"/>
          <w:shd w:val="clear" w:color="auto" w:fill="FFFFFF"/>
        </w:rPr>
      </w:pPr>
      <w:r w:rsidRPr="006038F9">
        <w:rPr>
          <w:rFonts w:eastAsia="Calibri"/>
          <w:shd w:val="clear" w:color="auto" w:fill="FFFFFF"/>
        </w:rPr>
        <w:t xml:space="preserve">The author </w:t>
      </w:r>
      <w:r w:rsidR="00266E9E">
        <w:rPr>
          <w:rFonts w:eastAsia="Calibri"/>
          <w:shd w:val="clear" w:color="auto" w:fill="FFFFFF"/>
        </w:rPr>
        <w:t xml:space="preserve">submits that when he </w:t>
      </w:r>
      <w:r w:rsidRPr="006038F9">
        <w:rPr>
          <w:rFonts w:eastAsia="Calibri"/>
          <w:shd w:val="clear" w:color="auto" w:fill="FFFFFF"/>
        </w:rPr>
        <w:t>moved to Australia in</w:t>
      </w:r>
      <w:r w:rsidR="00677369">
        <w:rPr>
          <w:rFonts w:eastAsia="Calibri"/>
          <w:shd w:val="clear" w:color="auto" w:fill="FFFFFF"/>
        </w:rPr>
        <w:t xml:space="preserve"> </w:t>
      </w:r>
      <w:r w:rsidRPr="006038F9">
        <w:rPr>
          <w:rFonts w:eastAsia="Calibri"/>
          <w:shd w:val="clear" w:color="auto" w:fill="FFFFFF"/>
        </w:rPr>
        <w:t xml:space="preserve">2004, he did not know about any intended criminal charges for the offences he had </w:t>
      </w:r>
      <w:r w:rsidR="00677369">
        <w:rPr>
          <w:rFonts w:eastAsia="Calibri"/>
          <w:shd w:val="clear" w:color="auto" w:fill="FFFFFF"/>
        </w:rPr>
        <w:t xml:space="preserve">reportedly </w:t>
      </w:r>
      <w:r w:rsidRPr="006038F9">
        <w:rPr>
          <w:rFonts w:eastAsia="Calibri"/>
          <w:shd w:val="clear" w:color="auto" w:fill="FFFFFF"/>
        </w:rPr>
        <w:t>committed in 1991 and 1993 in Croatia. In January 2006, Croatia</w:t>
      </w:r>
      <w:r w:rsidRPr="002B2183">
        <w:rPr>
          <w:rStyle w:val="FootnoteReference"/>
          <w:rFonts w:eastAsia="Calibri"/>
        </w:rPr>
        <w:footnoteReference w:id="12"/>
      </w:r>
      <w:r w:rsidRPr="006038F9">
        <w:rPr>
          <w:rFonts w:eastAsia="Calibri"/>
          <w:shd w:val="clear" w:color="auto" w:fill="FFFFFF"/>
        </w:rPr>
        <w:t xml:space="preserve"> issued a request to Australia for </w:t>
      </w:r>
      <w:r w:rsidR="00CB2631">
        <w:rPr>
          <w:rFonts w:eastAsia="Calibri"/>
          <w:shd w:val="clear" w:color="auto" w:fill="FFFFFF"/>
        </w:rPr>
        <w:t xml:space="preserve">the author’s </w:t>
      </w:r>
      <w:r w:rsidRPr="006038F9">
        <w:rPr>
          <w:rFonts w:eastAsia="Calibri"/>
          <w:shd w:val="clear" w:color="auto" w:fill="FFFFFF"/>
        </w:rPr>
        <w:t>extradition to face prosecution in Croatia for charges of war crimes</w:t>
      </w:r>
      <w:r w:rsidR="003A251F" w:rsidRPr="002B2183">
        <w:rPr>
          <w:rStyle w:val="FootnoteReference"/>
          <w:rFonts w:eastAsia="Calibri"/>
        </w:rPr>
        <w:footnoteReference w:id="13"/>
      </w:r>
      <w:r w:rsidR="00CB2631">
        <w:rPr>
          <w:rFonts w:eastAsia="Calibri"/>
          <w:shd w:val="clear" w:color="auto" w:fill="FFFFFF"/>
        </w:rPr>
        <w:t xml:space="preserve"> he allegedly</w:t>
      </w:r>
      <w:r w:rsidRPr="006038F9">
        <w:rPr>
          <w:rFonts w:eastAsia="Calibri"/>
          <w:shd w:val="clear" w:color="auto" w:fill="FFFFFF"/>
        </w:rPr>
        <w:t xml:space="preserve"> committed as commander of the Serbian paramilitary troops during the Croatian-Serbian conflict.</w:t>
      </w:r>
      <w:r w:rsidRPr="002B2183">
        <w:rPr>
          <w:rStyle w:val="FootnoteReference"/>
          <w:rFonts w:eastAsia="Calibri"/>
        </w:rPr>
        <w:footnoteReference w:id="14"/>
      </w:r>
      <w:r w:rsidRPr="006038F9">
        <w:rPr>
          <w:rFonts w:eastAsia="Calibri"/>
          <w:shd w:val="clear" w:color="auto" w:fill="FFFFFF"/>
        </w:rPr>
        <w:t xml:space="preserve"> The author was arrested in Sydney, Australia</w:t>
      </w:r>
      <w:r w:rsidR="00CB2631">
        <w:rPr>
          <w:rFonts w:eastAsia="Calibri"/>
          <w:shd w:val="clear" w:color="auto" w:fill="FFFFFF"/>
        </w:rPr>
        <w:t>,</w:t>
      </w:r>
      <w:r w:rsidRPr="006038F9">
        <w:rPr>
          <w:rFonts w:eastAsia="Calibri"/>
          <w:shd w:val="clear" w:color="auto" w:fill="FFFFFF"/>
        </w:rPr>
        <w:t xml:space="preserve"> on 19 January 2006, pursuant to a provisional arrest warrant issued under the Australian Extradition Act 19</w:t>
      </w:r>
      <w:r w:rsidR="00FB793B">
        <w:rPr>
          <w:rFonts w:eastAsia="Calibri"/>
          <w:shd w:val="clear" w:color="auto" w:fill="FFFFFF"/>
        </w:rPr>
        <w:t>8</w:t>
      </w:r>
      <w:r w:rsidRPr="006038F9">
        <w:rPr>
          <w:rFonts w:eastAsia="Calibri"/>
          <w:shd w:val="clear" w:color="auto" w:fill="FFFFFF"/>
        </w:rPr>
        <w:t xml:space="preserve">8. He was remanded in custody on 20 January 2006. The Act applies when no extradition treaty has been concluded between the requesting and extraditing </w:t>
      </w:r>
      <w:r w:rsidR="00CB2631">
        <w:rPr>
          <w:rFonts w:eastAsia="Calibri"/>
          <w:shd w:val="clear" w:color="auto" w:fill="FFFFFF"/>
        </w:rPr>
        <w:t>s</w:t>
      </w:r>
      <w:r w:rsidRPr="006038F9">
        <w:rPr>
          <w:rFonts w:eastAsia="Calibri"/>
          <w:shd w:val="clear" w:color="auto" w:fill="FFFFFF"/>
        </w:rPr>
        <w:t>tate</w:t>
      </w:r>
      <w:r w:rsidR="00CB2631">
        <w:rPr>
          <w:rFonts w:eastAsia="Calibri"/>
          <w:shd w:val="clear" w:color="auto" w:fill="FFFFFF"/>
        </w:rPr>
        <w:t>s</w:t>
      </w:r>
      <w:r w:rsidRPr="006038F9">
        <w:rPr>
          <w:rFonts w:eastAsia="Calibri"/>
          <w:shd w:val="clear" w:color="auto" w:fill="FFFFFF"/>
        </w:rPr>
        <w:t>.</w:t>
      </w:r>
      <w:r w:rsidRPr="002B2183">
        <w:rPr>
          <w:rStyle w:val="FootnoteReference"/>
          <w:rFonts w:eastAsia="Calibri"/>
        </w:rPr>
        <w:footnoteReference w:id="15"/>
      </w:r>
      <w:r w:rsidRPr="006038F9">
        <w:rPr>
          <w:rFonts w:eastAsia="Calibri"/>
          <w:shd w:val="clear" w:color="auto" w:fill="FFFFFF"/>
        </w:rPr>
        <w:t xml:space="preserve"> The author asserts that he </w:t>
      </w:r>
      <w:r w:rsidR="00EE0D0F">
        <w:rPr>
          <w:rFonts w:eastAsia="Calibri"/>
          <w:shd w:val="clear" w:color="auto" w:fill="FFFFFF"/>
        </w:rPr>
        <w:t>was</w:t>
      </w:r>
      <w:r w:rsidR="00EE0D0F" w:rsidRPr="006038F9">
        <w:rPr>
          <w:rFonts w:eastAsia="Calibri"/>
          <w:shd w:val="clear" w:color="auto" w:fill="FFFFFF"/>
        </w:rPr>
        <w:t xml:space="preserve"> </w:t>
      </w:r>
      <w:r w:rsidRPr="006038F9">
        <w:rPr>
          <w:rFonts w:eastAsia="Calibri"/>
          <w:shd w:val="clear" w:color="auto" w:fill="FFFFFF"/>
        </w:rPr>
        <w:t xml:space="preserve">not formally charged by Croatia for any allegedly committed acts until 8 January 2016, </w:t>
      </w:r>
      <w:r w:rsidR="00EE0D0F">
        <w:rPr>
          <w:rFonts w:eastAsia="Calibri"/>
          <w:shd w:val="clear" w:color="auto" w:fill="FFFFFF"/>
        </w:rPr>
        <w:t>namely</w:t>
      </w:r>
      <w:r w:rsidRPr="006038F9">
        <w:rPr>
          <w:rFonts w:eastAsia="Calibri"/>
          <w:shd w:val="clear" w:color="auto" w:fill="FFFFFF"/>
        </w:rPr>
        <w:t xml:space="preserve"> only six months after </w:t>
      </w:r>
      <w:r w:rsidR="00EE0D0F">
        <w:rPr>
          <w:rFonts w:eastAsia="Calibri"/>
          <w:shd w:val="clear" w:color="auto" w:fill="FFFFFF"/>
        </w:rPr>
        <w:t>his extradition</w:t>
      </w:r>
      <w:r w:rsidRPr="006038F9">
        <w:rPr>
          <w:rFonts w:eastAsia="Calibri"/>
          <w:shd w:val="clear" w:color="auto" w:fill="FFFFFF"/>
        </w:rPr>
        <w:t xml:space="preserve"> to Croatia. </w:t>
      </w:r>
      <w:r w:rsidR="00266E9E">
        <w:rPr>
          <w:rFonts w:eastAsia="Calibri"/>
          <w:shd w:val="clear" w:color="auto" w:fill="FFFFFF"/>
        </w:rPr>
        <w:t xml:space="preserve">At the time of </w:t>
      </w:r>
      <w:r w:rsidR="002D793C">
        <w:rPr>
          <w:rFonts w:eastAsia="Calibri"/>
          <w:shd w:val="clear" w:color="auto" w:fill="FFFFFF"/>
        </w:rPr>
        <w:t xml:space="preserve">his </w:t>
      </w:r>
      <w:r w:rsidR="00266E9E">
        <w:rPr>
          <w:rFonts w:eastAsia="Calibri"/>
          <w:shd w:val="clear" w:color="auto" w:fill="FFFFFF"/>
        </w:rPr>
        <w:t>initial communication, t</w:t>
      </w:r>
      <w:r w:rsidRPr="006038F9">
        <w:rPr>
          <w:rFonts w:eastAsia="Calibri"/>
          <w:shd w:val="clear" w:color="auto" w:fill="FFFFFF"/>
        </w:rPr>
        <w:t xml:space="preserve">he author </w:t>
      </w:r>
      <w:r w:rsidR="00266E9E">
        <w:rPr>
          <w:rFonts w:eastAsia="Calibri"/>
          <w:shd w:val="clear" w:color="auto" w:fill="FFFFFF"/>
        </w:rPr>
        <w:t>was</w:t>
      </w:r>
      <w:r w:rsidRPr="006038F9">
        <w:rPr>
          <w:rFonts w:eastAsia="Calibri"/>
          <w:shd w:val="clear" w:color="auto" w:fill="FFFFFF"/>
        </w:rPr>
        <w:t xml:space="preserve"> in prison in Split to stand trial, which opened on 20 September 2016.</w:t>
      </w:r>
    </w:p>
    <w:p w14:paraId="1457D889" w14:textId="5C899FAC" w:rsidR="006038F9" w:rsidRPr="006038F9" w:rsidRDefault="006038F9" w:rsidP="000D5D04">
      <w:pPr>
        <w:numPr>
          <w:ilvl w:val="1"/>
          <w:numId w:val="10"/>
        </w:numPr>
        <w:suppressAutoHyphens w:val="0"/>
        <w:spacing w:after="120" w:line="240" w:lineRule="auto"/>
        <w:ind w:left="1134" w:right="1134" w:firstLine="0"/>
        <w:jc w:val="both"/>
        <w:rPr>
          <w:rFonts w:eastAsia="Calibri"/>
          <w:shd w:val="clear" w:color="auto" w:fill="FFFFFF"/>
        </w:rPr>
      </w:pPr>
      <w:r w:rsidRPr="006038F9">
        <w:rPr>
          <w:rFonts w:eastAsia="Calibri"/>
          <w:shd w:val="clear" w:color="auto" w:fill="FFFFFF"/>
        </w:rPr>
        <w:t>The author spent 8 years, 9 months and 10 days in extradition detention in Australian prisons due to an extremely lengthy extradition procedure before the Australian courts. The author made three unsuccessful applications for bail on 27 January 2006, 3 March 2006, and 12 December 2007, respectively.</w:t>
      </w:r>
      <w:r w:rsidRPr="002B2183">
        <w:rPr>
          <w:rStyle w:val="FootnoteReference"/>
          <w:rFonts w:eastAsia="Calibri"/>
        </w:rPr>
        <w:footnoteReference w:id="16"/>
      </w:r>
      <w:r w:rsidRPr="006038F9">
        <w:rPr>
          <w:rFonts w:eastAsia="Calibri"/>
          <w:shd w:val="clear" w:color="auto" w:fill="FFFFFF"/>
        </w:rPr>
        <w:t xml:space="preserve"> </w:t>
      </w:r>
    </w:p>
    <w:p w14:paraId="091AB5CC" w14:textId="4F841948" w:rsidR="006038F9" w:rsidRPr="006038F9" w:rsidRDefault="006038F9" w:rsidP="000D5D04">
      <w:pPr>
        <w:numPr>
          <w:ilvl w:val="1"/>
          <w:numId w:val="10"/>
        </w:numPr>
        <w:suppressAutoHyphens w:val="0"/>
        <w:spacing w:after="120" w:line="240" w:lineRule="auto"/>
        <w:ind w:left="1134" w:right="1134" w:firstLine="0"/>
        <w:jc w:val="both"/>
        <w:rPr>
          <w:rFonts w:eastAsia="Calibri"/>
          <w:shd w:val="clear" w:color="auto" w:fill="FFFFFF"/>
        </w:rPr>
      </w:pPr>
      <w:r w:rsidRPr="006038F9">
        <w:rPr>
          <w:rFonts w:eastAsia="Calibri"/>
          <w:shd w:val="clear" w:color="auto" w:fill="FFFFFF"/>
        </w:rPr>
        <w:t>On 12 April 2007, the Sydney Local Court ruled that he was eligible for surrender to Croatia. On 2 September 2009, a full bench of Australia’s Federal Court granted the author’s appeal and reversed the extradition decision considering that he had established a substantial or real chance of prejudice if he w</w:t>
      </w:r>
      <w:r w:rsidR="00F234CB">
        <w:rPr>
          <w:rFonts w:eastAsia="Calibri"/>
          <w:shd w:val="clear" w:color="auto" w:fill="FFFFFF"/>
        </w:rPr>
        <w:t xml:space="preserve">ere </w:t>
      </w:r>
      <w:r w:rsidRPr="006038F9">
        <w:rPr>
          <w:rFonts w:eastAsia="Calibri"/>
          <w:shd w:val="clear" w:color="auto" w:fill="FFFFFF"/>
        </w:rPr>
        <w:t>sent to Croatia for trial. The author was released on 4 September 2009 after over three years and seven months in prison. The Croatian Government appealed the decision before Australia’s High Court. On 30 March 2010, the Court again ruled that the author was to be extradited to Croatia. On 12 May 2010, the author was re-arrested by the Australian Police. On 16 November 2012, the Australian government decided to extradite the author to Croatia. The author complained about the unlawfulness of his extradition on different grounds before the High Court</w:t>
      </w:r>
      <w:r w:rsidR="008E4138">
        <w:rPr>
          <w:rFonts w:eastAsia="Calibri"/>
          <w:shd w:val="clear" w:color="auto" w:fill="FFFFFF"/>
        </w:rPr>
        <w:t xml:space="preserve"> of Australia</w:t>
      </w:r>
      <w:r w:rsidRPr="006038F9">
        <w:rPr>
          <w:rFonts w:eastAsia="Calibri"/>
          <w:shd w:val="clear" w:color="auto" w:fill="FFFFFF"/>
        </w:rPr>
        <w:t>, the Federal Court (twice)</w:t>
      </w:r>
      <w:r w:rsidR="001C0376">
        <w:rPr>
          <w:rFonts w:eastAsia="Calibri"/>
          <w:shd w:val="clear" w:color="auto" w:fill="FFFFFF"/>
        </w:rPr>
        <w:t>,</w:t>
      </w:r>
      <w:r w:rsidRPr="002B2183">
        <w:rPr>
          <w:rStyle w:val="FootnoteReference"/>
          <w:rFonts w:eastAsia="Calibri"/>
        </w:rPr>
        <w:footnoteReference w:id="17"/>
      </w:r>
      <w:r w:rsidRPr="006038F9">
        <w:rPr>
          <w:rFonts w:eastAsia="Calibri"/>
          <w:shd w:val="clear" w:color="auto" w:fill="FFFFFF"/>
        </w:rPr>
        <w:t xml:space="preserve"> and before the </w:t>
      </w:r>
      <w:r w:rsidR="008E4138">
        <w:rPr>
          <w:rFonts w:eastAsia="Calibri"/>
          <w:shd w:val="clear" w:color="auto" w:fill="FFFFFF"/>
        </w:rPr>
        <w:t xml:space="preserve">Full Court of the </w:t>
      </w:r>
      <w:r w:rsidRPr="006038F9">
        <w:rPr>
          <w:rFonts w:eastAsia="Calibri"/>
          <w:shd w:val="clear" w:color="auto" w:fill="FFFFFF"/>
        </w:rPr>
        <w:t>Federal Court (twice).</w:t>
      </w:r>
      <w:r w:rsidRPr="002B2183">
        <w:rPr>
          <w:rStyle w:val="FootnoteReference"/>
          <w:rFonts w:eastAsia="Calibri"/>
        </w:rPr>
        <w:footnoteReference w:id="18"/>
      </w:r>
      <w:r w:rsidRPr="006038F9">
        <w:rPr>
          <w:rFonts w:eastAsia="Calibri"/>
          <w:shd w:val="clear" w:color="auto" w:fill="FFFFFF"/>
        </w:rPr>
        <w:t xml:space="preserve"> On 2 January 2015, the Serbian Justice Minister sent a letter to the Justice Minister of Australia requesting that Belgrade be allowed to prosecute the author, referring to its right to prosecute its own citizens and questioning the Croatian judiciary’s ability to ensure a fair trial of the author. This request was also rejected.</w:t>
      </w:r>
    </w:p>
    <w:p w14:paraId="60BD0529" w14:textId="0782F264" w:rsidR="006038F9" w:rsidRPr="006038F9" w:rsidRDefault="00B814EC" w:rsidP="000D5D04">
      <w:pPr>
        <w:suppressAutoHyphens w:val="0"/>
        <w:spacing w:after="120" w:line="240" w:lineRule="auto"/>
        <w:ind w:left="1134" w:right="1134"/>
        <w:jc w:val="both"/>
        <w:rPr>
          <w:rFonts w:eastAsia="Calibri"/>
          <w:shd w:val="clear" w:color="auto" w:fill="FFFFFF"/>
        </w:rPr>
      </w:pPr>
      <w:r>
        <w:rPr>
          <w:rFonts w:eastAsia="Calibri"/>
          <w:shd w:val="clear" w:color="auto" w:fill="FFFFFF"/>
        </w:rPr>
        <w:t>2.5</w:t>
      </w:r>
      <w:r w:rsidR="006038F9" w:rsidRPr="006038F9">
        <w:rPr>
          <w:rFonts w:eastAsia="Calibri"/>
          <w:shd w:val="clear" w:color="auto" w:fill="FFFFFF"/>
        </w:rPr>
        <w:tab/>
        <w:t xml:space="preserve">Upon his extradition to Croatia on 8 July 2015, the author was immediately placed in </w:t>
      </w:r>
      <w:r w:rsidR="00312936">
        <w:rPr>
          <w:rFonts w:eastAsia="Calibri"/>
          <w:shd w:val="clear" w:color="auto" w:fill="FFFFFF"/>
        </w:rPr>
        <w:t xml:space="preserve">an </w:t>
      </w:r>
      <w:r w:rsidR="006038F9" w:rsidRPr="006038F9">
        <w:rPr>
          <w:rFonts w:eastAsia="Calibri"/>
          <w:shd w:val="clear" w:color="auto" w:fill="FFFFFF"/>
        </w:rPr>
        <w:t>investigative detention</w:t>
      </w:r>
      <w:r w:rsidR="00312936">
        <w:rPr>
          <w:rFonts w:eastAsia="Calibri"/>
          <w:shd w:val="clear" w:color="auto" w:fill="FFFFFF"/>
        </w:rPr>
        <w:t xml:space="preserve"> for more than 12 months awaiting trial</w:t>
      </w:r>
      <w:r w:rsidR="006038F9" w:rsidRPr="006038F9">
        <w:rPr>
          <w:rFonts w:eastAsia="Calibri"/>
          <w:shd w:val="clear" w:color="auto" w:fill="FFFFFF"/>
        </w:rPr>
        <w:t xml:space="preserve">, on the basis of the Decision by the </w:t>
      </w:r>
      <w:proofErr w:type="spellStart"/>
      <w:r w:rsidR="006038F9" w:rsidRPr="006038F9">
        <w:rPr>
          <w:rFonts w:eastAsia="Calibri"/>
          <w:shd w:val="clear" w:color="auto" w:fill="FFFFFF"/>
        </w:rPr>
        <w:t>Sibenik</w:t>
      </w:r>
      <w:proofErr w:type="spellEnd"/>
      <w:r w:rsidR="006038F9" w:rsidRPr="006038F9">
        <w:rPr>
          <w:rFonts w:eastAsia="Calibri"/>
          <w:shd w:val="clear" w:color="auto" w:fill="FFFFFF"/>
        </w:rPr>
        <w:t xml:space="preserve"> County Court of 12 December 2005. All his appeals were rejected, ultimately by the Constitutional Court of Croatia on 5 April 2016.  </w:t>
      </w:r>
    </w:p>
    <w:p w14:paraId="4E7BDC9F" w14:textId="4C9AC473" w:rsidR="006038F9" w:rsidRPr="006038F9" w:rsidRDefault="00B814EC" w:rsidP="000D5D04">
      <w:pPr>
        <w:suppressAutoHyphens w:val="0"/>
        <w:spacing w:after="240" w:line="240" w:lineRule="auto"/>
        <w:ind w:left="1134" w:right="1134"/>
        <w:jc w:val="both"/>
        <w:rPr>
          <w:rFonts w:eastAsia="Calibri"/>
          <w:sz w:val="22"/>
          <w:szCs w:val="22"/>
          <w:shd w:val="clear" w:color="auto" w:fill="FFFFFF"/>
        </w:rPr>
      </w:pPr>
      <w:r>
        <w:rPr>
          <w:rFonts w:eastAsia="Calibri"/>
          <w:shd w:val="clear" w:color="auto" w:fill="FFFFFF"/>
        </w:rPr>
        <w:t>2.6</w:t>
      </w:r>
      <w:r w:rsidR="006038F9" w:rsidRPr="006038F9">
        <w:rPr>
          <w:rFonts w:eastAsia="Calibri"/>
          <w:shd w:val="clear" w:color="auto" w:fill="FFFFFF"/>
        </w:rPr>
        <w:tab/>
        <w:t>His indictment of 8 January 2016 was formally confirmed on 13 June 2016 and the preparatory hearing took place on 14 July 2016. The author claims that all domestic remedies were exhausted in Australia on 15 May 2015, and on 5 April 2016 in Croatia.</w:t>
      </w:r>
      <w:r w:rsidR="006038F9" w:rsidRPr="006038F9">
        <w:rPr>
          <w:rFonts w:eastAsia="Calibri"/>
          <w:sz w:val="22"/>
          <w:szCs w:val="22"/>
          <w:shd w:val="clear" w:color="auto" w:fill="FFFFFF"/>
        </w:rPr>
        <w:t xml:space="preserve"> </w:t>
      </w:r>
    </w:p>
    <w:p w14:paraId="00CB9ABB" w14:textId="4F80A156" w:rsidR="006038F9" w:rsidRPr="006038F9" w:rsidRDefault="00CD03DB" w:rsidP="00CD03DB">
      <w:pPr>
        <w:pStyle w:val="H23G"/>
        <w:rPr>
          <w:rFonts w:eastAsia="Calibri"/>
        </w:rPr>
      </w:pPr>
      <w:r>
        <w:rPr>
          <w:rFonts w:eastAsia="Calibri"/>
        </w:rPr>
        <w:tab/>
      </w:r>
      <w:r>
        <w:rPr>
          <w:rFonts w:eastAsia="Calibri"/>
        </w:rPr>
        <w:tab/>
      </w:r>
      <w:r w:rsidR="006038F9" w:rsidRPr="006038F9">
        <w:rPr>
          <w:rFonts w:eastAsia="Calibri"/>
        </w:rPr>
        <w:t>The complaint</w:t>
      </w:r>
    </w:p>
    <w:p w14:paraId="581D0D26" w14:textId="5C32028E" w:rsidR="006038F9" w:rsidRPr="00CD03DB" w:rsidRDefault="006038F9" w:rsidP="00652FD1">
      <w:pPr>
        <w:suppressAutoHyphens w:val="0"/>
        <w:spacing w:after="120" w:line="240" w:lineRule="auto"/>
        <w:ind w:left="1134" w:right="1134"/>
        <w:jc w:val="both"/>
        <w:rPr>
          <w:rFonts w:eastAsia="Calibri"/>
          <w:shd w:val="clear" w:color="auto" w:fill="FFFFFF"/>
        </w:rPr>
      </w:pPr>
      <w:r w:rsidRPr="006038F9">
        <w:rPr>
          <w:rFonts w:eastAsia="Calibri"/>
          <w:color w:val="000000"/>
          <w:shd w:val="clear" w:color="auto" w:fill="FFFFFF"/>
        </w:rPr>
        <w:t>3.1</w:t>
      </w:r>
      <w:r w:rsidRPr="006038F9">
        <w:rPr>
          <w:rFonts w:eastAsia="Calibri"/>
          <w:color w:val="000000"/>
          <w:shd w:val="clear" w:color="auto" w:fill="FFFFFF"/>
        </w:rPr>
        <w:tab/>
        <w:t xml:space="preserve">The author claims that Croatia </w:t>
      </w:r>
      <w:r w:rsidR="003670F9">
        <w:rPr>
          <w:rFonts w:eastAsia="Calibri"/>
          <w:color w:val="000000"/>
          <w:shd w:val="clear" w:color="auto" w:fill="FFFFFF"/>
        </w:rPr>
        <w:t>has</w:t>
      </w:r>
      <w:r w:rsidRPr="006038F9">
        <w:rPr>
          <w:rFonts w:eastAsia="Calibri"/>
          <w:color w:val="000000"/>
          <w:shd w:val="clear" w:color="auto" w:fill="FFFFFF"/>
        </w:rPr>
        <w:t xml:space="preserve"> violated articles 2, 7, 9(1) and 9(4), 10(1), 14, </w:t>
      </w:r>
      <w:r w:rsidRPr="006038F9">
        <w:rPr>
          <w:rFonts w:eastAsia="Calibri"/>
          <w:shd w:val="clear" w:color="auto" w:fill="FFFFFF"/>
        </w:rPr>
        <w:t>15</w:t>
      </w:r>
      <w:r w:rsidRPr="002B2183">
        <w:rPr>
          <w:rStyle w:val="FootnoteReference"/>
          <w:rFonts w:eastAsia="Calibri"/>
        </w:rPr>
        <w:footnoteReference w:id="19"/>
      </w:r>
      <w:r w:rsidRPr="006038F9">
        <w:rPr>
          <w:rFonts w:eastAsia="Calibri"/>
          <w:color w:val="000000"/>
          <w:shd w:val="clear" w:color="auto" w:fill="FFFFFF"/>
        </w:rPr>
        <w:t xml:space="preserve"> and 26 of the Covenant. </w:t>
      </w:r>
      <w:r w:rsidR="00352B43">
        <w:rPr>
          <w:rFonts w:eastAsia="Calibri"/>
          <w:color w:val="000000"/>
          <w:shd w:val="clear" w:color="auto" w:fill="FFFFFF"/>
        </w:rPr>
        <w:t xml:space="preserve">The author claims the continuous nature of violations of his rights by </w:t>
      </w:r>
      <w:r w:rsidR="003670F9">
        <w:rPr>
          <w:rFonts w:eastAsia="Calibri"/>
          <w:color w:val="000000"/>
          <w:shd w:val="clear" w:color="auto" w:fill="FFFFFF"/>
        </w:rPr>
        <w:t>the</w:t>
      </w:r>
      <w:r w:rsidR="00352B43">
        <w:rPr>
          <w:rFonts w:eastAsia="Calibri"/>
          <w:color w:val="000000"/>
          <w:shd w:val="clear" w:color="auto" w:fill="FFFFFF"/>
        </w:rPr>
        <w:t xml:space="preserve"> State part</w:t>
      </w:r>
      <w:r w:rsidR="003670F9">
        <w:rPr>
          <w:rFonts w:eastAsia="Calibri"/>
          <w:color w:val="000000"/>
          <w:shd w:val="clear" w:color="auto" w:fill="FFFFFF"/>
        </w:rPr>
        <w:t>y</w:t>
      </w:r>
      <w:r w:rsidR="009946B9">
        <w:rPr>
          <w:rFonts w:eastAsia="Calibri"/>
          <w:color w:val="000000"/>
          <w:shd w:val="clear" w:color="auto" w:fill="FFFFFF"/>
        </w:rPr>
        <w:t>.</w:t>
      </w:r>
      <w:r w:rsidR="00352B43">
        <w:rPr>
          <w:rFonts w:eastAsia="Calibri"/>
          <w:color w:val="000000"/>
          <w:shd w:val="clear" w:color="auto" w:fill="FFFFFF"/>
        </w:rPr>
        <w:t xml:space="preserve">  </w:t>
      </w:r>
    </w:p>
    <w:p w14:paraId="6D8E4A26" w14:textId="0598ED7D" w:rsidR="006038F9" w:rsidRPr="006038F9" w:rsidRDefault="006038F9" w:rsidP="000D5D04">
      <w:pPr>
        <w:suppressAutoHyphens w:val="0"/>
        <w:spacing w:after="120" w:line="240" w:lineRule="auto"/>
        <w:ind w:left="1134" w:right="1134"/>
        <w:jc w:val="both"/>
        <w:rPr>
          <w:rFonts w:eastAsia="Calibri"/>
          <w:color w:val="000000"/>
          <w:shd w:val="clear" w:color="auto" w:fill="FFFFFF"/>
        </w:rPr>
      </w:pPr>
      <w:r w:rsidRPr="006038F9">
        <w:rPr>
          <w:rFonts w:eastAsia="Calibri"/>
          <w:color w:val="000000"/>
          <w:shd w:val="clear" w:color="auto" w:fill="FFFFFF"/>
        </w:rPr>
        <w:t xml:space="preserve">3.2 </w:t>
      </w:r>
      <w:r w:rsidRPr="006038F9">
        <w:rPr>
          <w:rFonts w:eastAsia="Calibri"/>
          <w:color w:val="000000"/>
          <w:shd w:val="clear" w:color="auto" w:fill="FFFFFF"/>
        </w:rPr>
        <w:tab/>
        <w:t xml:space="preserve">Regarding article 9(1) and (4), the author alleges that his rights have been violated due to the unlawful, excessively long and therefore arbitrary detention in </w:t>
      </w:r>
      <w:r w:rsidR="009C1E7D">
        <w:rPr>
          <w:rFonts w:eastAsia="Calibri"/>
          <w:color w:val="000000"/>
          <w:shd w:val="clear" w:color="auto" w:fill="FFFFFF"/>
        </w:rPr>
        <w:t xml:space="preserve">both </w:t>
      </w:r>
      <w:r w:rsidR="00594BD6">
        <w:rPr>
          <w:rFonts w:eastAsia="Calibri"/>
          <w:color w:val="000000"/>
          <w:shd w:val="clear" w:color="auto" w:fill="FFFFFF"/>
        </w:rPr>
        <w:t xml:space="preserve">Australia and Croatia </w:t>
      </w:r>
      <w:r w:rsidRPr="006038F9">
        <w:rPr>
          <w:rFonts w:eastAsia="Calibri"/>
          <w:color w:val="000000"/>
          <w:shd w:val="clear" w:color="auto" w:fill="FFFFFF"/>
        </w:rPr>
        <w:t>,</w:t>
      </w:r>
      <w:r w:rsidR="00652FD1">
        <w:rPr>
          <w:rStyle w:val="FootnoteReference"/>
          <w:rFonts w:eastAsia="Calibri"/>
          <w:color w:val="000000"/>
          <w:shd w:val="clear" w:color="auto" w:fill="FFFFFF"/>
        </w:rPr>
        <w:footnoteReference w:id="20"/>
      </w:r>
      <w:r w:rsidRPr="006038F9">
        <w:rPr>
          <w:rFonts w:eastAsia="Calibri"/>
          <w:color w:val="000000"/>
          <w:shd w:val="clear" w:color="auto" w:fill="FFFFFF"/>
        </w:rPr>
        <w:t xml:space="preserve"> also in breach of his right to presumption of innocence, as he was denied bail and the right to effectively challenge the legality of his detention, without having been tried until July 2016. He claims that his unlawful and arbitrary detention in Australia and Croatia have the same legal basis, source and purpose</w:t>
      </w:r>
      <w:r w:rsidR="001C0376">
        <w:rPr>
          <w:rFonts w:eastAsia="Calibri"/>
          <w:color w:val="000000"/>
          <w:shd w:val="clear" w:color="auto" w:fill="FFFFFF"/>
        </w:rPr>
        <w:t>, namely</w:t>
      </w:r>
      <w:r w:rsidRPr="006038F9">
        <w:rPr>
          <w:rFonts w:eastAsia="Calibri"/>
          <w:color w:val="000000"/>
          <w:shd w:val="clear" w:color="auto" w:fill="FFFFFF"/>
        </w:rPr>
        <w:t xml:space="preserve"> his prosecution in Croatia. </w:t>
      </w:r>
    </w:p>
    <w:p w14:paraId="06BF8626" w14:textId="3C74FE1B" w:rsidR="006038F9" w:rsidRPr="006038F9" w:rsidRDefault="006038F9" w:rsidP="000D5D04">
      <w:pPr>
        <w:suppressAutoHyphens w:val="0"/>
        <w:spacing w:after="200" w:line="240" w:lineRule="auto"/>
        <w:ind w:left="1134" w:right="1134"/>
        <w:jc w:val="both"/>
        <w:rPr>
          <w:rFonts w:eastAsia="Calibri"/>
          <w:color w:val="000000"/>
          <w:shd w:val="clear" w:color="auto" w:fill="FFFFFF"/>
        </w:rPr>
      </w:pPr>
      <w:r w:rsidRPr="006038F9">
        <w:rPr>
          <w:rFonts w:eastAsia="Calibri"/>
          <w:color w:val="000000"/>
          <w:shd w:val="clear" w:color="auto" w:fill="FFFFFF"/>
        </w:rPr>
        <w:t xml:space="preserve">3.3 </w:t>
      </w:r>
      <w:r w:rsidRPr="006038F9">
        <w:rPr>
          <w:rFonts w:eastAsia="Calibri"/>
          <w:color w:val="000000"/>
          <w:shd w:val="clear" w:color="auto" w:fill="FFFFFF"/>
        </w:rPr>
        <w:tab/>
        <w:t xml:space="preserve">Regarding the claims of a violation of article 14(1), (2) and (5), he asserts that the examination of his detention was ill-founded </w:t>
      </w:r>
      <w:r w:rsidR="00627A1B">
        <w:rPr>
          <w:rFonts w:eastAsia="Calibri"/>
          <w:color w:val="000000"/>
          <w:shd w:val="clear" w:color="auto" w:fill="FFFFFF"/>
        </w:rPr>
        <w:t xml:space="preserve">in </w:t>
      </w:r>
      <w:r w:rsidRPr="006038F9">
        <w:rPr>
          <w:rFonts w:eastAsia="Calibri"/>
          <w:color w:val="000000"/>
          <w:shd w:val="clear" w:color="auto" w:fill="FFFFFF"/>
        </w:rPr>
        <w:t xml:space="preserve">both </w:t>
      </w:r>
      <w:r w:rsidR="00627A1B">
        <w:rPr>
          <w:rFonts w:eastAsia="Calibri"/>
          <w:color w:val="000000"/>
          <w:shd w:val="clear" w:color="auto" w:fill="FFFFFF"/>
        </w:rPr>
        <w:t>countries</w:t>
      </w:r>
      <w:r w:rsidRPr="006038F9">
        <w:rPr>
          <w:rFonts w:eastAsia="Calibri"/>
          <w:color w:val="000000"/>
          <w:shd w:val="clear" w:color="auto" w:fill="FFFFFF"/>
        </w:rPr>
        <w:t xml:space="preserve"> as he was not notified about the correspondence between the two countries.</w:t>
      </w:r>
      <w:r w:rsidR="00652FD1">
        <w:rPr>
          <w:rStyle w:val="FootnoteReference"/>
          <w:rFonts w:eastAsia="Calibri"/>
          <w:color w:val="000000"/>
          <w:shd w:val="clear" w:color="auto" w:fill="FFFFFF"/>
        </w:rPr>
        <w:t>.</w:t>
      </w:r>
    </w:p>
    <w:p w14:paraId="1E6B27D9" w14:textId="403C5663" w:rsidR="006038F9" w:rsidRPr="006038F9" w:rsidRDefault="006038F9" w:rsidP="007F7E39">
      <w:pPr>
        <w:suppressAutoHyphens w:val="0"/>
        <w:spacing w:after="120" w:line="240" w:lineRule="auto"/>
        <w:ind w:left="1134" w:right="1134"/>
        <w:jc w:val="both"/>
        <w:rPr>
          <w:rFonts w:eastAsia="Calibri"/>
          <w:color w:val="000000"/>
          <w:shd w:val="clear" w:color="auto" w:fill="FFFFFF"/>
        </w:rPr>
      </w:pPr>
      <w:r w:rsidRPr="006038F9">
        <w:rPr>
          <w:rFonts w:eastAsia="Calibri"/>
          <w:color w:val="000000"/>
          <w:shd w:val="clear" w:color="auto" w:fill="FFFFFF"/>
        </w:rPr>
        <w:t>3.</w:t>
      </w:r>
      <w:r w:rsidR="00652FD1">
        <w:rPr>
          <w:rFonts w:eastAsia="Calibri"/>
          <w:color w:val="000000"/>
          <w:shd w:val="clear" w:color="auto" w:fill="FFFFFF"/>
        </w:rPr>
        <w:t>4</w:t>
      </w:r>
      <w:r w:rsidRPr="006038F9">
        <w:rPr>
          <w:rFonts w:eastAsia="Calibri"/>
          <w:color w:val="000000"/>
          <w:shd w:val="clear" w:color="auto" w:fill="FFFFFF"/>
        </w:rPr>
        <w:t xml:space="preserve"> </w:t>
      </w:r>
      <w:r w:rsidRPr="006038F9">
        <w:rPr>
          <w:rFonts w:eastAsia="Calibri"/>
          <w:color w:val="000000"/>
          <w:shd w:val="clear" w:color="auto" w:fill="FFFFFF"/>
        </w:rPr>
        <w:tab/>
        <w:t xml:space="preserve">The author claims that Croatia has violated </w:t>
      </w:r>
      <w:r w:rsidR="00652FD1">
        <w:rPr>
          <w:rFonts w:eastAsia="Calibri"/>
          <w:color w:val="000000"/>
          <w:shd w:val="clear" w:color="auto" w:fill="FFFFFF"/>
        </w:rPr>
        <w:t xml:space="preserve">his rights under </w:t>
      </w:r>
      <w:r w:rsidRPr="006038F9">
        <w:rPr>
          <w:rFonts w:eastAsia="Calibri"/>
          <w:color w:val="000000"/>
          <w:shd w:val="clear" w:color="auto" w:fill="FFFFFF"/>
        </w:rPr>
        <w:t xml:space="preserve">articles 2(3), 9(1) and (4) and 14(1) because </w:t>
      </w:r>
      <w:r w:rsidR="005F53E0">
        <w:rPr>
          <w:rFonts w:eastAsia="Calibri"/>
          <w:color w:val="000000"/>
          <w:shd w:val="clear" w:color="auto" w:fill="FFFFFF"/>
        </w:rPr>
        <w:t xml:space="preserve">he considers that </w:t>
      </w:r>
      <w:r w:rsidRPr="006038F9">
        <w:rPr>
          <w:rFonts w:eastAsia="Calibri"/>
          <w:color w:val="000000"/>
          <w:shd w:val="clear" w:color="auto" w:fill="FFFFFF"/>
        </w:rPr>
        <w:t xml:space="preserve">all the decisions of the Croatian Courts on the investigative detention are illegal, arbitrary and developed </w:t>
      </w:r>
      <w:r w:rsidRPr="006038F9">
        <w:rPr>
          <w:rFonts w:eastAsia="Calibri"/>
          <w:i/>
          <w:color w:val="000000"/>
          <w:shd w:val="clear" w:color="auto" w:fill="FFFFFF"/>
        </w:rPr>
        <w:t xml:space="preserve">in </w:t>
      </w:r>
      <w:proofErr w:type="spellStart"/>
      <w:r w:rsidRPr="006038F9">
        <w:rPr>
          <w:rFonts w:eastAsia="Calibri"/>
          <w:i/>
          <w:color w:val="000000"/>
          <w:shd w:val="clear" w:color="auto" w:fill="FFFFFF"/>
        </w:rPr>
        <w:t>abstracto</w:t>
      </w:r>
      <w:proofErr w:type="spellEnd"/>
      <w:r w:rsidRPr="006038F9">
        <w:rPr>
          <w:rFonts w:eastAsia="Calibri"/>
          <w:color w:val="000000"/>
          <w:shd w:val="clear" w:color="auto" w:fill="FFFFFF"/>
        </w:rPr>
        <w:t>. He claims that there has been no risk that he would abscond or disturb the conduct of the criminal proceedings. He further submits that the Constitutional Court did not address the alleged shortcomings, including the absence of explanation as to how he could be “on the run” while in detention in Australia, why his request for bail</w:t>
      </w:r>
      <w:r w:rsidR="007B70F7" w:rsidRPr="002B2183">
        <w:rPr>
          <w:rStyle w:val="FootnoteReference"/>
          <w:rFonts w:eastAsia="Calibri"/>
        </w:rPr>
        <w:footnoteReference w:id="21"/>
      </w:r>
      <w:r w:rsidRPr="006038F9">
        <w:rPr>
          <w:rFonts w:eastAsia="Calibri"/>
          <w:color w:val="000000"/>
          <w:shd w:val="clear" w:color="auto" w:fill="FFFFFF"/>
        </w:rPr>
        <w:t xml:space="preserve"> was not acceptable, and why an amount of bail that would be satisfactory was never set, in violation of the Criminal Procedure Code. The Supreme Court, however, held that the trial court gave clear and sufficient and valid reasons to justify the need for investigative detention.</w:t>
      </w:r>
      <w:r w:rsidRPr="002B2183">
        <w:rPr>
          <w:rStyle w:val="FootnoteReference"/>
          <w:rFonts w:eastAsia="Calibri"/>
        </w:rPr>
        <w:footnoteReference w:id="22"/>
      </w:r>
      <w:r w:rsidRPr="006038F9">
        <w:rPr>
          <w:rFonts w:eastAsia="Calibri"/>
          <w:color w:val="000000"/>
          <w:shd w:val="clear" w:color="auto" w:fill="FFFFFF"/>
        </w:rPr>
        <w:t xml:space="preserve"> The author also claims to be discriminated against as he is held in investigative detention due to being a foreigner who could never meet the conditions </w:t>
      </w:r>
      <w:r w:rsidR="007B70F7">
        <w:rPr>
          <w:rFonts w:eastAsia="Calibri"/>
          <w:color w:val="000000"/>
          <w:shd w:val="clear" w:color="auto" w:fill="FFFFFF"/>
        </w:rPr>
        <w:t>referred to</w:t>
      </w:r>
      <w:r w:rsidRPr="006038F9">
        <w:rPr>
          <w:rFonts w:eastAsia="Calibri"/>
          <w:color w:val="000000"/>
          <w:shd w:val="clear" w:color="auto" w:fill="FFFFFF"/>
        </w:rPr>
        <w:t xml:space="preserve"> by the Supreme Court.</w:t>
      </w:r>
      <w:r w:rsidRPr="002B2183">
        <w:rPr>
          <w:rStyle w:val="FootnoteReference"/>
          <w:rFonts w:eastAsia="Calibri"/>
        </w:rPr>
        <w:footnoteReference w:id="23"/>
      </w:r>
      <w:r w:rsidRPr="006038F9">
        <w:rPr>
          <w:rFonts w:eastAsia="Calibri"/>
          <w:color w:val="000000"/>
          <w:shd w:val="clear" w:color="auto" w:fill="FFFFFF"/>
        </w:rPr>
        <w:t xml:space="preserve">    </w:t>
      </w:r>
    </w:p>
    <w:p w14:paraId="0FE4643F" w14:textId="65CAF871" w:rsidR="006038F9" w:rsidRPr="006038F9" w:rsidRDefault="006038F9" w:rsidP="00AA268D">
      <w:pPr>
        <w:suppressAutoHyphens w:val="0"/>
        <w:spacing w:after="240" w:line="240" w:lineRule="auto"/>
        <w:ind w:left="1134" w:right="1134"/>
        <w:jc w:val="both"/>
        <w:rPr>
          <w:rFonts w:eastAsia="Calibri"/>
          <w:color w:val="000000"/>
          <w:shd w:val="clear" w:color="auto" w:fill="FFFFFF"/>
        </w:rPr>
      </w:pPr>
      <w:r w:rsidRPr="006038F9">
        <w:rPr>
          <w:rFonts w:eastAsia="Calibri"/>
          <w:color w:val="000000"/>
          <w:shd w:val="clear" w:color="auto" w:fill="FFFFFF"/>
        </w:rPr>
        <w:t>3.</w:t>
      </w:r>
      <w:r w:rsidR="00652FD1">
        <w:rPr>
          <w:rFonts w:eastAsia="Calibri"/>
          <w:color w:val="000000"/>
          <w:shd w:val="clear" w:color="auto" w:fill="FFFFFF"/>
        </w:rPr>
        <w:t>5</w:t>
      </w:r>
      <w:r w:rsidRPr="006038F9">
        <w:rPr>
          <w:rFonts w:eastAsia="Calibri"/>
          <w:color w:val="000000"/>
          <w:shd w:val="clear" w:color="auto" w:fill="FFFFFF"/>
        </w:rPr>
        <w:tab/>
        <w:t xml:space="preserve">The author also requests his immediate release from detention, and the payment of compensation by Croatia for the suffering inflicted by his unlawful and arbitrary detention, including the legal costs incurred.  </w:t>
      </w:r>
    </w:p>
    <w:p w14:paraId="47E68DC1" w14:textId="20902915" w:rsidR="000128E3" w:rsidRPr="00F03C70" w:rsidRDefault="00CD03DB" w:rsidP="00CD03DB">
      <w:pPr>
        <w:pStyle w:val="H23G"/>
      </w:pPr>
      <w:r>
        <w:tab/>
      </w:r>
      <w:r>
        <w:tab/>
      </w:r>
      <w:r w:rsidR="000128E3" w:rsidRPr="00F03C70">
        <w:t>Issues and proceedings before the Committee</w:t>
      </w:r>
    </w:p>
    <w:p w14:paraId="72D90488" w14:textId="36A9F725" w:rsidR="00907937" w:rsidRPr="00BC411F" w:rsidRDefault="00907937" w:rsidP="00E53ECA">
      <w:pPr>
        <w:pStyle w:val="SingleTxtG"/>
      </w:pPr>
      <w:r>
        <w:t>4.1</w:t>
      </w:r>
      <w:r>
        <w:tab/>
      </w:r>
      <w:r w:rsidRPr="00BC411F">
        <w:t>Before considering any claim contained in a communication, the Committee must de</w:t>
      </w:r>
      <w:r w:rsidR="000D5D04">
        <w:t xml:space="preserve">cide, in accordance with rule 93 of its rules of procedure, </w:t>
      </w:r>
      <w:r w:rsidRPr="00BC411F">
        <w:t>whether it is admissible under the Optional Protocol</w:t>
      </w:r>
      <w:r w:rsidR="000D5D04">
        <w:t xml:space="preserve">. </w:t>
      </w:r>
    </w:p>
    <w:p w14:paraId="0A8FCEA5" w14:textId="77777777" w:rsidR="00907937" w:rsidRPr="00BE7A80" w:rsidRDefault="00907937" w:rsidP="00907937">
      <w:pPr>
        <w:pStyle w:val="SingleTxtG"/>
      </w:pPr>
      <w:r w:rsidRPr="00BC411F">
        <w:t>4.2</w:t>
      </w:r>
      <w:r w:rsidRPr="00BC411F">
        <w:tab/>
        <w:t>The Committee has ascertained, as required under article 5</w:t>
      </w:r>
      <w:r w:rsidR="000D5D04">
        <w:t xml:space="preserve"> </w:t>
      </w:r>
      <w:r w:rsidRPr="00BC411F">
        <w:t>2 (a)</w:t>
      </w:r>
      <w:r w:rsidR="000D5D04">
        <w:t xml:space="preserve"> </w:t>
      </w:r>
      <w:r w:rsidRPr="00BC411F">
        <w:t>of the Optional Protocol that the same matter is not being examined under another procedure of international investigation or settlement.</w:t>
      </w:r>
    </w:p>
    <w:p w14:paraId="49F73F85" w14:textId="0C7AEC21" w:rsidR="004D2E5A" w:rsidRDefault="00907937" w:rsidP="00C24180">
      <w:pPr>
        <w:pStyle w:val="SingleTxtG"/>
      </w:pPr>
      <w:r w:rsidRPr="00BC411F">
        <w:t>4.3</w:t>
      </w:r>
      <w:r w:rsidRPr="00BC411F">
        <w:tab/>
      </w:r>
      <w:r w:rsidR="00B77929">
        <w:t>T</w:t>
      </w:r>
      <w:r w:rsidR="0029255F">
        <w:t xml:space="preserve">he Committee notes </w:t>
      </w:r>
      <w:r w:rsidR="00484410">
        <w:t xml:space="preserve">that </w:t>
      </w:r>
      <w:r w:rsidR="00B77929">
        <w:t>the author’s</w:t>
      </w:r>
      <w:r w:rsidR="00484410">
        <w:t xml:space="preserve"> allegations </w:t>
      </w:r>
      <w:r w:rsidR="0029255F">
        <w:t xml:space="preserve">under articles </w:t>
      </w:r>
      <w:r w:rsidR="00AA268D">
        <w:t xml:space="preserve">2(3), </w:t>
      </w:r>
      <w:r w:rsidR="00CF75D3">
        <w:t xml:space="preserve">7, </w:t>
      </w:r>
      <w:r w:rsidR="0029255F">
        <w:t>9</w:t>
      </w:r>
      <w:r w:rsidR="00AA268D">
        <w:t xml:space="preserve">(1) and (4), </w:t>
      </w:r>
      <w:r w:rsidR="00CF75D3">
        <w:t xml:space="preserve">10 (1), </w:t>
      </w:r>
      <w:r w:rsidR="007A7D21">
        <w:t>14</w:t>
      </w:r>
      <w:r w:rsidR="00CF75D3">
        <w:t>, 15</w:t>
      </w:r>
      <w:r w:rsidR="007F20D2">
        <w:t xml:space="preserve"> </w:t>
      </w:r>
      <w:r w:rsidR="0029255F">
        <w:t xml:space="preserve">and 26 of the Covenant </w:t>
      </w:r>
      <w:r w:rsidR="00484410">
        <w:t xml:space="preserve">mainly </w:t>
      </w:r>
      <w:r w:rsidR="0029255F">
        <w:t xml:space="preserve">concern </w:t>
      </w:r>
      <w:r w:rsidR="0029255F" w:rsidRPr="0029255F">
        <w:t xml:space="preserve">the </w:t>
      </w:r>
      <w:r w:rsidR="0029255F">
        <w:t>im</w:t>
      </w:r>
      <w:r w:rsidR="0029255F" w:rsidRPr="0029255F">
        <w:t xml:space="preserve">permissibility of </w:t>
      </w:r>
      <w:r w:rsidR="0029255F">
        <w:t xml:space="preserve">his </w:t>
      </w:r>
      <w:r w:rsidR="0029255F" w:rsidRPr="0029255F">
        <w:t xml:space="preserve">pre-trial detention </w:t>
      </w:r>
      <w:r w:rsidR="0029255F">
        <w:t xml:space="preserve">due to the </w:t>
      </w:r>
      <w:r w:rsidR="00180CB4">
        <w:t xml:space="preserve">risk of absconding and </w:t>
      </w:r>
      <w:r w:rsidR="0029255F" w:rsidRPr="0029255F">
        <w:t xml:space="preserve">the gravity of the </w:t>
      </w:r>
      <w:r w:rsidR="0029255F">
        <w:t xml:space="preserve">criminal </w:t>
      </w:r>
      <w:r w:rsidR="0029255F" w:rsidRPr="0029255F">
        <w:t>charges</w:t>
      </w:r>
      <w:r w:rsidR="0029255F">
        <w:t xml:space="preserve"> for war crimes</w:t>
      </w:r>
      <w:r w:rsidR="005F53E0">
        <w:t>;</w:t>
      </w:r>
      <w:r w:rsidR="0029255F" w:rsidRPr="0029255F">
        <w:t xml:space="preserve"> the absence of release on bail and the alleged discrimination in placing </w:t>
      </w:r>
      <w:r w:rsidR="005F53E0">
        <w:t>him</w:t>
      </w:r>
      <w:r w:rsidR="0029255F" w:rsidRPr="0029255F">
        <w:t xml:space="preserve"> in detention as a foreigner. </w:t>
      </w:r>
      <w:r w:rsidR="007816DE">
        <w:t xml:space="preserve">In that context, the </w:t>
      </w:r>
      <w:r w:rsidR="00332EF2">
        <w:t xml:space="preserve">Committee </w:t>
      </w:r>
      <w:r w:rsidR="007816DE">
        <w:t xml:space="preserve">observes </w:t>
      </w:r>
      <w:r w:rsidR="00332EF2">
        <w:t xml:space="preserve">the </w:t>
      </w:r>
      <w:r w:rsidR="0029255F">
        <w:t xml:space="preserve">author’s claim </w:t>
      </w:r>
      <w:r w:rsidR="007816DE">
        <w:t xml:space="preserve">that </w:t>
      </w:r>
      <w:r w:rsidR="00C23895">
        <w:t>he never attempted to abscond.</w:t>
      </w:r>
      <w:r w:rsidR="00C23895" w:rsidRPr="002B2183">
        <w:rPr>
          <w:rStyle w:val="FootnoteReference"/>
        </w:rPr>
        <w:footnoteReference w:id="24"/>
      </w:r>
      <w:r w:rsidR="00C23895">
        <w:t xml:space="preserve"> </w:t>
      </w:r>
      <w:r w:rsidR="00484410">
        <w:t xml:space="preserve">Furthermore, </w:t>
      </w:r>
      <w:r w:rsidR="0017708A">
        <w:t xml:space="preserve">the Committee notes the author’s </w:t>
      </w:r>
      <w:r w:rsidR="00484410">
        <w:t xml:space="preserve">allegations </w:t>
      </w:r>
      <w:r w:rsidR="0017708A">
        <w:t xml:space="preserve">that he </w:t>
      </w:r>
      <w:r w:rsidR="00484410">
        <w:t xml:space="preserve">has </w:t>
      </w:r>
      <w:r w:rsidR="0017708A">
        <w:t xml:space="preserve">exhausted all available </w:t>
      </w:r>
      <w:r w:rsidR="005F53E0">
        <w:t xml:space="preserve">domestic </w:t>
      </w:r>
      <w:r w:rsidR="00484410">
        <w:t xml:space="preserve">remedies in respect to the </w:t>
      </w:r>
      <w:r w:rsidR="00180CB4">
        <w:t xml:space="preserve">articles invoked, </w:t>
      </w:r>
      <w:r w:rsidR="00484410">
        <w:t xml:space="preserve">by way of </w:t>
      </w:r>
      <w:r w:rsidR="0017708A">
        <w:t xml:space="preserve">appeals against the decision </w:t>
      </w:r>
      <w:r w:rsidR="009F3503">
        <w:t xml:space="preserve">of </w:t>
      </w:r>
      <w:r w:rsidR="0017708A">
        <w:t xml:space="preserve">the </w:t>
      </w:r>
      <w:proofErr w:type="spellStart"/>
      <w:r w:rsidR="0017708A">
        <w:t>Sibenik</w:t>
      </w:r>
      <w:proofErr w:type="spellEnd"/>
      <w:r w:rsidR="0017708A">
        <w:t xml:space="preserve"> County Court of 12 December 2005</w:t>
      </w:r>
      <w:r w:rsidR="007A7D21">
        <w:t xml:space="preserve">, which authorized </w:t>
      </w:r>
      <w:r w:rsidR="009F3503">
        <w:t xml:space="preserve">his investigative detention, </w:t>
      </w:r>
      <w:r w:rsidR="00800D06">
        <w:t xml:space="preserve">including a </w:t>
      </w:r>
      <w:r w:rsidR="009F3503">
        <w:t xml:space="preserve">complaint </w:t>
      </w:r>
      <w:r w:rsidR="00800D06">
        <w:t xml:space="preserve">to the </w:t>
      </w:r>
      <w:r w:rsidR="00AF6EDC" w:rsidRPr="00AF6EDC">
        <w:t xml:space="preserve">Constitutional Court of Croatia </w:t>
      </w:r>
      <w:r w:rsidR="009F3503">
        <w:t xml:space="preserve">which was rejected </w:t>
      </w:r>
      <w:r w:rsidR="00800D06">
        <w:t xml:space="preserve">on </w:t>
      </w:r>
      <w:r w:rsidR="00AF6EDC" w:rsidRPr="00AF6EDC">
        <w:t xml:space="preserve">5 April 2016. </w:t>
      </w:r>
      <w:r w:rsidR="00180CB4">
        <w:t xml:space="preserve">In </w:t>
      </w:r>
      <w:r w:rsidR="00E50ABD">
        <w:t xml:space="preserve">the circumstances </w:t>
      </w:r>
      <w:r w:rsidR="00DE56CA">
        <w:t>of the present case</w:t>
      </w:r>
      <w:r w:rsidR="00180CB4">
        <w:t xml:space="preserve">, the </w:t>
      </w:r>
      <w:r w:rsidR="00C24180">
        <w:t>Committee considers</w:t>
      </w:r>
      <w:r w:rsidR="00DE56CA">
        <w:t>,</w:t>
      </w:r>
      <w:r w:rsidR="00C24180">
        <w:t xml:space="preserve"> </w:t>
      </w:r>
      <w:r w:rsidR="00E50ABD">
        <w:t>however</w:t>
      </w:r>
      <w:r w:rsidR="00DE56CA">
        <w:t>,</w:t>
      </w:r>
      <w:r w:rsidR="00E50ABD">
        <w:t xml:space="preserve"> </w:t>
      </w:r>
      <w:r w:rsidR="00C24180">
        <w:t xml:space="preserve">that it is not </w:t>
      </w:r>
      <w:r w:rsidR="00B128C1">
        <w:t xml:space="preserve">in a position to review the current grounds for </w:t>
      </w:r>
      <w:r w:rsidR="00C24180">
        <w:t xml:space="preserve">the author’s </w:t>
      </w:r>
      <w:r w:rsidR="00B128C1">
        <w:t xml:space="preserve">detention </w:t>
      </w:r>
      <w:r w:rsidR="00C24180">
        <w:t xml:space="preserve">in Croatia </w:t>
      </w:r>
      <w:r w:rsidR="00180CB4">
        <w:t>while his c</w:t>
      </w:r>
      <w:r w:rsidR="00B128C1">
        <w:t xml:space="preserve">ase </w:t>
      </w:r>
      <w:r w:rsidR="005F53E0">
        <w:t>remains</w:t>
      </w:r>
      <w:r w:rsidR="00C24180">
        <w:t xml:space="preserve"> </w:t>
      </w:r>
      <w:r w:rsidR="00B128C1">
        <w:t>pending</w:t>
      </w:r>
      <w:r w:rsidR="00C24180">
        <w:t xml:space="preserve"> for a decision on the </w:t>
      </w:r>
      <w:r w:rsidR="00A44935">
        <w:t xml:space="preserve">merits </w:t>
      </w:r>
      <w:r w:rsidR="008924BE">
        <w:t>of criminal charges against him</w:t>
      </w:r>
      <w:r w:rsidR="00B77929">
        <w:t>,</w:t>
      </w:r>
      <w:r w:rsidR="009F3503">
        <w:t xml:space="preserve"> </w:t>
      </w:r>
      <w:r w:rsidR="007A7D21">
        <w:t xml:space="preserve">taking into account that </w:t>
      </w:r>
      <w:r w:rsidR="00A44935">
        <w:t>he</w:t>
      </w:r>
      <w:r w:rsidR="009F3503">
        <w:t xml:space="preserve"> has been detained </w:t>
      </w:r>
      <w:r w:rsidR="00A44935">
        <w:t>in compliance with domestic law, as part</w:t>
      </w:r>
      <w:r w:rsidR="009F3503">
        <w:t xml:space="preserve"> of th</w:t>
      </w:r>
      <w:r w:rsidR="00180CB4">
        <w:t xml:space="preserve">e </w:t>
      </w:r>
      <w:r w:rsidR="00A44935">
        <w:t xml:space="preserve">relevant </w:t>
      </w:r>
      <w:r w:rsidR="00180CB4">
        <w:t xml:space="preserve">criminal </w:t>
      </w:r>
      <w:r w:rsidR="009F3503">
        <w:t>proceeding</w:t>
      </w:r>
      <w:r w:rsidR="00180CB4">
        <w:t xml:space="preserve">. </w:t>
      </w:r>
      <w:r w:rsidR="007724C1">
        <w:t>T</w:t>
      </w:r>
      <w:r w:rsidR="007724C1" w:rsidRPr="007724C1">
        <w:t>he Committee is generally not in a position to review facts and evidence, or the application of domestic legislation, in a particular case, made by domestic courts, unless the author of the communication can demonstrate that such evaluation or application was clearly arbitrary or amounted to a manifest error or denial of justice, or that the courts otherwise violated its obligation of independence and impartiality</w:t>
      </w:r>
      <w:r w:rsidR="007724C1">
        <w:t>.</w:t>
      </w:r>
      <w:r w:rsidR="007724C1" w:rsidRPr="002B2183">
        <w:rPr>
          <w:rStyle w:val="FootnoteReference"/>
        </w:rPr>
        <w:footnoteReference w:id="25"/>
      </w:r>
      <w:r w:rsidR="007724C1" w:rsidRPr="007724C1">
        <w:t xml:space="preserve"> </w:t>
      </w:r>
      <w:r w:rsidR="00A44935">
        <w:t xml:space="preserve">The Committee </w:t>
      </w:r>
      <w:r w:rsidR="00C24180">
        <w:t xml:space="preserve">therefore finds </w:t>
      </w:r>
      <w:r w:rsidR="00A44935">
        <w:t xml:space="preserve">the author’s </w:t>
      </w:r>
      <w:r w:rsidR="00C24180">
        <w:t>claims inadmissible under article 5 (2) (b) of the Optional Protocol, for failure to exhaust domestic remedies</w:t>
      </w:r>
      <w:r w:rsidR="00373619">
        <w:t xml:space="preserve"> as his case remains pending</w:t>
      </w:r>
      <w:r w:rsidR="002C24BC">
        <w:t xml:space="preserve"> on the merits of criminal charges against him</w:t>
      </w:r>
      <w:r w:rsidR="00180CB4">
        <w:t>, a</w:t>
      </w:r>
      <w:r w:rsidR="008924BE">
        <w:t>s well as</w:t>
      </w:r>
      <w:r w:rsidR="00AA268D">
        <w:t xml:space="preserve"> </w:t>
      </w:r>
      <w:r w:rsidR="00180CB4">
        <w:t>under article 3 of the Optional Protocol</w:t>
      </w:r>
      <w:r w:rsidR="007A7D21">
        <w:t xml:space="preserve">, </w:t>
      </w:r>
      <w:r w:rsidR="00180CB4">
        <w:t>as incompatible with the provisions of the Covenant</w:t>
      </w:r>
      <w:r w:rsidR="007542A0">
        <w:t xml:space="preserve">, since the author’s appeals </w:t>
      </w:r>
      <w:r w:rsidR="002C24BC">
        <w:t xml:space="preserve">against his </w:t>
      </w:r>
      <w:r w:rsidR="00D1435F">
        <w:t xml:space="preserve">investigative </w:t>
      </w:r>
      <w:r w:rsidR="002C24BC">
        <w:t xml:space="preserve">detention </w:t>
      </w:r>
      <w:r w:rsidR="007542A0">
        <w:t>were examined by the State party’s courts and nothing on file suggests that the decisions of the courts were arbitrary or amounted to a denial of justice</w:t>
      </w:r>
      <w:r w:rsidR="00180CB4">
        <w:t>.</w:t>
      </w:r>
      <w:r w:rsidR="007542A0" w:rsidRPr="002B2183">
        <w:rPr>
          <w:rStyle w:val="FootnoteReference"/>
        </w:rPr>
        <w:footnoteReference w:id="26"/>
      </w:r>
      <w:r w:rsidR="00180CB4">
        <w:t xml:space="preserve"> </w:t>
      </w:r>
      <w:r w:rsidR="00C24180">
        <w:t xml:space="preserve"> </w:t>
      </w:r>
      <w:r w:rsidR="004D2E5A">
        <w:t xml:space="preserve"> </w:t>
      </w:r>
      <w:r>
        <w:t xml:space="preserve"> </w:t>
      </w:r>
    </w:p>
    <w:p w14:paraId="5E5DDA25" w14:textId="77777777" w:rsidR="00E53ECA" w:rsidRPr="00BC411F" w:rsidRDefault="00E53ECA" w:rsidP="00E53ECA">
      <w:pPr>
        <w:pStyle w:val="SingleTxtG"/>
        <w:spacing w:line="240" w:lineRule="auto"/>
      </w:pPr>
      <w:r w:rsidRPr="00BC411F">
        <w:t>5.</w:t>
      </w:r>
      <w:r w:rsidRPr="00BC411F">
        <w:tab/>
        <w:t>The Human Rights Committee therefore decides:</w:t>
      </w:r>
    </w:p>
    <w:p w14:paraId="5186A6DD" w14:textId="57956837" w:rsidR="00E53ECA" w:rsidRPr="00BC411F" w:rsidRDefault="00CF1BE1" w:rsidP="00B14DC1">
      <w:pPr>
        <w:pStyle w:val="SingleTxtG"/>
        <w:spacing w:line="240" w:lineRule="auto"/>
        <w:ind w:firstLine="567"/>
      </w:pPr>
      <w:r>
        <w:tab/>
      </w:r>
      <w:r w:rsidR="00E53ECA" w:rsidRPr="00BC411F">
        <w:t>(a)</w:t>
      </w:r>
      <w:r w:rsidR="00E53ECA" w:rsidRPr="00BC411F">
        <w:tab/>
        <w:t>That the communication is inadmissible under article</w:t>
      </w:r>
      <w:r w:rsidR="00E53ECA">
        <w:t>s</w:t>
      </w:r>
      <w:r w:rsidR="00E53ECA" w:rsidRPr="00BC411F">
        <w:t xml:space="preserve"> </w:t>
      </w:r>
      <w:r w:rsidR="00E53ECA">
        <w:t>3</w:t>
      </w:r>
      <w:r w:rsidR="004F5CB5">
        <w:t xml:space="preserve"> and </w:t>
      </w:r>
      <w:r w:rsidR="004F5CB5" w:rsidRPr="004F5CB5">
        <w:t>5 (2) (b)</w:t>
      </w:r>
      <w:r w:rsidR="004F5CB5">
        <w:t>,</w:t>
      </w:r>
      <w:r w:rsidR="00E53ECA" w:rsidRPr="00BC411F">
        <w:t xml:space="preserve"> of the Optional Protocol;</w:t>
      </w:r>
    </w:p>
    <w:p w14:paraId="35BC5BEE" w14:textId="41473F91" w:rsidR="00E53ECA" w:rsidRPr="00BC411F" w:rsidRDefault="00CF1BE1" w:rsidP="00B14DC1">
      <w:pPr>
        <w:pStyle w:val="SingleTxtG"/>
        <w:spacing w:line="240" w:lineRule="auto"/>
        <w:ind w:firstLine="567"/>
      </w:pPr>
      <w:r>
        <w:tab/>
      </w:r>
      <w:r w:rsidR="00E53ECA" w:rsidRPr="00BC411F">
        <w:t>(b)</w:t>
      </w:r>
      <w:r w:rsidR="00E53ECA" w:rsidRPr="00BC411F">
        <w:tab/>
        <w:t>That the decision be transmitted to the State part</w:t>
      </w:r>
      <w:r w:rsidR="002C24BC">
        <w:t>y</w:t>
      </w:r>
      <w:r w:rsidR="00F03C70">
        <w:t xml:space="preserve"> and to the author</w:t>
      </w:r>
      <w:r w:rsidR="00E53ECA" w:rsidRPr="00BC411F">
        <w:t>.</w:t>
      </w:r>
    </w:p>
    <w:p w14:paraId="161F85AA" w14:textId="76F14BDF" w:rsidR="000128E3" w:rsidRPr="00607635" w:rsidRDefault="00E53ECA" w:rsidP="00A707C0">
      <w:pPr>
        <w:pStyle w:val="SingleTxtG"/>
        <w:spacing w:before="240" w:after="0"/>
        <w:jc w:val="center"/>
        <w:rPr>
          <w:u w:val="single"/>
        </w:rPr>
      </w:pPr>
      <w:r>
        <w:rPr>
          <w:u w:val="single"/>
        </w:rPr>
        <w:tab/>
      </w:r>
      <w:r>
        <w:rPr>
          <w:u w:val="single"/>
        </w:rPr>
        <w:tab/>
      </w:r>
      <w:r>
        <w:rPr>
          <w:u w:val="single"/>
        </w:rPr>
        <w:tab/>
      </w:r>
      <w:r w:rsidR="00B14DC1">
        <w:rPr>
          <w:u w:val="single"/>
        </w:rPr>
        <w:tab/>
      </w:r>
    </w:p>
    <w:sectPr w:rsidR="000128E3" w:rsidRPr="00607635" w:rsidSect="00005BD8">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F331B" w14:textId="77777777" w:rsidR="009868C4" w:rsidRDefault="009868C4"/>
  </w:endnote>
  <w:endnote w:type="continuationSeparator" w:id="0">
    <w:p w14:paraId="05255DD5" w14:textId="77777777" w:rsidR="009868C4" w:rsidRDefault="009868C4"/>
  </w:endnote>
  <w:endnote w:type="continuationNotice" w:id="1">
    <w:p w14:paraId="1B4F1FD2" w14:textId="77777777" w:rsidR="009868C4" w:rsidRDefault="009868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60525" w14:textId="7F405B91" w:rsidR="008A5196" w:rsidRPr="00781C83" w:rsidRDefault="008A5196"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684B48">
      <w:rPr>
        <w:b/>
        <w:noProof/>
        <w:sz w:val="18"/>
      </w:rPr>
      <w:t>6</w:t>
    </w:r>
    <w:r w:rsidRPr="00781C8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00D3A" w14:textId="0F785E71" w:rsidR="008A5196" w:rsidRPr="00945FDD" w:rsidRDefault="008A5196" w:rsidP="00781C83">
    <w:pPr>
      <w:pStyle w:val="Footer"/>
      <w:tabs>
        <w:tab w:val="right" w:pos="9638"/>
      </w:tabs>
      <w:rPr>
        <w:b/>
        <w:bCs/>
        <w:sz w:val="18"/>
      </w:rPr>
    </w:pPr>
    <w:r>
      <w:rPr>
        <w:b/>
        <w:sz w:val="18"/>
      </w:rPr>
      <w:tab/>
    </w:r>
    <w:r w:rsidRPr="00945FDD">
      <w:rPr>
        <w:b/>
        <w:bCs/>
        <w:sz w:val="18"/>
      </w:rPr>
      <w:fldChar w:fldCharType="begin"/>
    </w:r>
    <w:r w:rsidRPr="00945FDD">
      <w:rPr>
        <w:b/>
        <w:bCs/>
        <w:sz w:val="18"/>
      </w:rPr>
      <w:instrText xml:space="preserve"> PAGE  \* MERGEFORMAT </w:instrText>
    </w:r>
    <w:r w:rsidRPr="00945FDD">
      <w:rPr>
        <w:b/>
        <w:bCs/>
        <w:sz w:val="18"/>
      </w:rPr>
      <w:fldChar w:fldCharType="separate"/>
    </w:r>
    <w:r w:rsidR="00684B48">
      <w:rPr>
        <w:b/>
        <w:bCs/>
        <w:noProof/>
        <w:sz w:val="18"/>
      </w:rPr>
      <w:t>5</w:t>
    </w:r>
    <w:r w:rsidRPr="00945FD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C2726" w14:textId="4F9B0EB7" w:rsidR="00A76D0E" w:rsidRDefault="00A76D0E" w:rsidP="00A76D0E">
    <w:pPr>
      <w:pStyle w:val="Footer"/>
    </w:pPr>
    <w:r>
      <w:rPr>
        <w:noProof/>
        <w:lang w:eastAsia="en-GB"/>
      </w:rPr>
      <w:drawing>
        <wp:anchor distT="0" distB="0" distL="114300" distR="114300" simplePos="0" relativeHeight="251659264" behindDoc="1" locked="1" layoutInCell="1" allowOverlap="1" wp14:anchorId="0B213939" wp14:editId="7A47092C">
          <wp:simplePos x="0" y="0"/>
          <wp:positionH relativeFrom="margin">
            <wp:posOffset>4462780</wp:posOffset>
          </wp:positionH>
          <wp:positionV relativeFrom="margin">
            <wp:posOffset>8277860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089F0621" w14:textId="4086C70C" w:rsidR="00A76D0E" w:rsidRPr="00A76D0E" w:rsidRDefault="00A76D0E" w:rsidP="00996450">
    <w:pPr>
      <w:pStyle w:val="Footer"/>
      <w:ind w:right="1134"/>
      <w:rPr>
        <w:rFonts w:ascii="C39T30Lfz" w:hAnsi="C39T30Lfz"/>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C85E0" w14:textId="77777777" w:rsidR="009868C4" w:rsidRPr="000B175B" w:rsidRDefault="009868C4" w:rsidP="000B175B">
      <w:pPr>
        <w:tabs>
          <w:tab w:val="right" w:pos="2155"/>
        </w:tabs>
        <w:spacing w:after="80"/>
        <w:ind w:left="680"/>
        <w:rPr>
          <w:u w:val="single"/>
        </w:rPr>
      </w:pPr>
      <w:r>
        <w:rPr>
          <w:u w:val="single"/>
        </w:rPr>
        <w:tab/>
      </w:r>
    </w:p>
  </w:footnote>
  <w:footnote w:type="continuationSeparator" w:id="0">
    <w:p w14:paraId="5508FE7B" w14:textId="77777777" w:rsidR="009868C4" w:rsidRPr="00FC68B7" w:rsidRDefault="009868C4" w:rsidP="00FC68B7">
      <w:pPr>
        <w:tabs>
          <w:tab w:val="left" w:pos="2155"/>
        </w:tabs>
        <w:spacing w:after="80"/>
        <w:ind w:left="680"/>
        <w:rPr>
          <w:u w:val="single"/>
        </w:rPr>
      </w:pPr>
      <w:r>
        <w:rPr>
          <w:u w:val="single"/>
        </w:rPr>
        <w:tab/>
      </w:r>
    </w:p>
  </w:footnote>
  <w:footnote w:type="continuationNotice" w:id="1">
    <w:p w14:paraId="04C92797" w14:textId="77777777" w:rsidR="009868C4" w:rsidRDefault="009868C4"/>
  </w:footnote>
  <w:footnote w:id="2">
    <w:p w14:paraId="0B1548F3" w14:textId="44986605" w:rsidR="00BA0960" w:rsidRPr="000E3709" w:rsidRDefault="00BA0960" w:rsidP="00BA0960">
      <w:pPr>
        <w:pStyle w:val="FootnoteText"/>
        <w:rPr>
          <w:lang w:val="en-GB"/>
        </w:rPr>
      </w:pPr>
      <w:r w:rsidRPr="00FF351E">
        <w:rPr>
          <w:rStyle w:val="FootnoteReference"/>
          <w:lang w:val="en-GB"/>
        </w:rPr>
        <w:tab/>
      </w:r>
      <w:r w:rsidRPr="00FF351E">
        <w:rPr>
          <w:rStyle w:val="FootnoteReference"/>
          <w:sz w:val="20"/>
          <w:lang w:val="en-GB"/>
        </w:rPr>
        <w:t>*</w:t>
      </w:r>
      <w:r w:rsidRPr="00FF351E">
        <w:rPr>
          <w:rStyle w:val="FootnoteReference"/>
          <w:sz w:val="20"/>
          <w:lang w:val="en-GB"/>
        </w:rPr>
        <w:tab/>
      </w:r>
      <w:r w:rsidR="008739D8" w:rsidRPr="00FF351E">
        <w:rPr>
          <w:lang w:val="en-GB"/>
        </w:rPr>
        <w:t xml:space="preserve">Adopted by the Committee at its 122nd session </w:t>
      </w:r>
      <w:r w:rsidRPr="00FF351E">
        <w:rPr>
          <w:lang w:val="en-GB"/>
        </w:rPr>
        <w:t xml:space="preserve">(12 </w:t>
      </w:r>
      <w:r w:rsidR="00806950">
        <w:rPr>
          <w:lang w:val="en-GB"/>
        </w:rPr>
        <w:t xml:space="preserve">March </w:t>
      </w:r>
      <w:r w:rsidRPr="00FF351E">
        <w:rPr>
          <w:lang w:val="en-GB"/>
        </w:rPr>
        <w:t>-</w:t>
      </w:r>
      <w:r w:rsidR="00806950">
        <w:rPr>
          <w:lang w:val="en-GB"/>
        </w:rPr>
        <w:t xml:space="preserve"> </w:t>
      </w:r>
      <w:r w:rsidRPr="00FF351E">
        <w:rPr>
          <w:lang w:val="en-GB"/>
        </w:rPr>
        <w:t xml:space="preserve">6 </w:t>
      </w:r>
      <w:r w:rsidR="00806950">
        <w:rPr>
          <w:lang w:val="en-GB"/>
        </w:rPr>
        <w:t xml:space="preserve">April </w:t>
      </w:r>
      <w:r w:rsidRPr="00FF351E">
        <w:rPr>
          <w:lang w:val="en-GB"/>
        </w:rPr>
        <w:t>2018).</w:t>
      </w:r>
    </w:p>
  </w:footnote>
  <w:footnote w:id="3">
    <w:p w14:paraId="4A9C5A35" w14:textId="0D8EE37D" w:rsidR="00BA0960" w:rsidRPr="00FF351E" w:rsidRDefault="00BA0960" w:rsidP="00BA0960">
      <w:pPr>
        <w:pStyle w:val="FootnoteText"/>
        <w:rPr>
          <w:lang w:val="en-GB"/>
        </w:rPr>
      </w:pPr>
      <w:r w:rsidRPr="00FF351E">
        <w:rPr>
          <w:rStyle w:val="FootnoteReference"/>
          <w:lang w:val="en-GB"/>
        </w:rPr>
        <w:tab/>
      </w:r>
      <w:r w:rsidRPr="00FF351E">
        <w:rPr>
          <w:rStyle w:val="FootnoteReference"/>
          <w:sz w:val="20"/>
          <w:lang w:val="en-GB"/>
        </w:rPr>
        <w:t>**</w:t>
      </w:r>
      <w:r w:rsidRPr="00FF351E">
        <w:rPr>
          <w:rStyle w:val="FootnoteReference"/>
          <w:sz w:val="20"/>
          <w:lang w:val="en-GB"/>
        </w:rPr>
        <w:tab/>
      </w:r>
      <w:r w:rsidR="000E3709" w:rsidRPr="00FF351E">
        <w:rPr>
          <w:lang w:val="en-GB"/>
        </w:rPr>
        <w:t>The following members of the Committee participated in the examination of the</w:t>
      </w:r>
      <w:r w:rsidR="000E3709">
        <w:rPr>
          <w:lang w:val="en-GB"/>
        </w:rPr>
        <w:t xml:space="preserve"> communication</w:t>
      </w:r>
      <w:r w:rsidRPr="00FF351E">
        <w:rPr>
          <w:lang w:val="en-GB"/>
        </w:rPr>
        <w:t xml:space="preserve">: </w:t>
      </w:r>
      <w:r w:rsidRPr="00FF351E">
        <w:rPr>
          <w:lang w:val="en-GB"/>
        </w:rPr>
        <w:br/>
      </w:r>
      <w:proofErr w:type="spellStart"/>
      <w:r w:rsidRPr="00FF351E">
        <w:rPr>
          <w:lang w:val="en-GB"/>
        </w:rPr>
        <w:t>Yadh</w:t>
      </w:r>
      <w:proofErr w:type="spellEnd"/>
      <w:r w:rsidRPr="00FF351E">
        <w:rPr>
          <w:lang w:val="en-GB"/>
        </w:rPr>
        <w:t xml:space="preserve"> Ben </w:t>
      </w:r>
      <w:proofErr w:type="spellStart"/>
      <w:r w:rsidRPr="00FF351E">
        <w:rPr>
          <w:lang w:val="en-GB"/>
        </w:rPr>
        <w:t>Achour</w:t>
      </w:r>
      <w:proofErr w:type="spellEnd"/>
      <w:r w:rsidRPr="00FF351E">
        <w:rPr>
          <w:lang w:val="en-GB"/>
        </w:rPr>
        <w:t xml:space="preserve">, </w:t>
      </w:r>
      <w:proofErr w:type="spellStart"/>
      <w:r w:rsidRPr="00FF351E">
        <w:rPr>
          <w:lang w:val="en-GB"/>
        </w:rPr>
        <w:t>Ilze</w:t>
      </w:r>
      <w:proofErr w:type="spellEnd"/>
      <w:r w:rsidRPr="00FF351E">
        <w:rPr>
          <w:lang w:val="en-GB"/>
        </w:rPr>
        <w:t xml:space="preserve"> Brands </w:t>
      </w:r>
      <w:proofErr w:type="spellStart"/>
      <w:r w:rsidRPr="00FF351E">
        <w:rPr>
          <w:lang w:val="en-GB"/>
        </w:rPr>
        <w:t>Kehris</w:t>
      </w:r>
      <w:proofErr w:type="spellEnd"/>
      <w:r w:rsidRPr="00FF351E">
        <w:rPr>
          <w:lang w:val="en-GB"/>
        </w:rPr>
        <w:t xml:space="preserve">, Ahmed </w:t>
      </w:r>
      <w:proofErr w:type="spellStart"/>
      <w:r w:rsidRPr="00FF351E">
        <w:rPr>
          <w:lang w:val="en-GB"/>
        </w:rPr>
        <w:t>Fathalla</w:t>
      </w:r>
      <w:proofErr w:type="spellEnd"/>
      <w:r w:rsidRPr="00FF351E">
        <w:rPr>
          <w:lang w:val="en-GB"/>
        </w:rPr>
        <w:t>,</w:t>
      </w:r>
      <w:r w:rsidR="00FF351E" w:rsidRPr="00FF351E">
        <w:t xml:space="preserve"> </w:t>
      </w:r>
      <w:r w:rsidR="00FF351E" w:rsidRPr="00FF351E">
        <w:rPr>
          <w:lang w:val="en-GB"/>
        </w:rPr>
        <w:t xml:space="preserve">Olivier de </w:t>
      </w:r>
      <w:proofErr w:type="spellStart"/>
      <w:r w:rsidR="00FF351E" w:rsidRPr="00FF351E">
        <w:rPr>
          <w:lang w:val="en-GB"/>
        </w:rPr>
        <w:t>Frouville</w:t>
      </w:r>
      <w:proofErr w:type="spellEnd"/>
      <w:r w:rsidR="00FF351E" w:rsidRPr="00FF351E">
        <w:rPr>
          <w:lang w:val="en-GB"/>
        </w:rPr>
        <w:t xml:space="preserve">, </w:t>
      </w:r>
      <w:proofErr w:type="spellStart"/>
      <w:r w:rsidRPr="00FF351E">
        <w:rPr>
          <w:lang w:val="en-GB"/>
        </w:rPr>
        <w:t>Christof</w:t>
      </w:r>
      <w:proofErr w:type="spellEnd"/>
      <w:r w:rsidRPr="00FF351E">
        <w:rPr>
          <w:lang w:val="en-GB"/>
        </w:rPr>
        <w:t xml:space="preserve"> </w:t>
      </w:r>
      <w:proofErr w:type="spellStart"/>
      <w:r w:rsidRPr="00FF351E">
        <w:rPr>
          <w:lang w:val="en-GB"/>
        </w:rPr>
        <w:t>Heyns</w:t>
      </w:r>
      <w:proofErr w:type="spellEnd"/>
      <w:r w:rsidRPr="00FF351E">
        <w:rPr>
          <w:lang w:val="en-GB"/>
        </w:rPr>
        <w:t xml:space="preserve">, Yuji </w:t>
      </w:r>
      <w:proofErr w:type="spellStart"/>
      <w:r w:rsidRPr="00FF351E">
        <w:rPr>
          <w:lang w:val="en-GB"/>
        </w:rPr>
        <w:t>Iwasawa</w:t>
      </w:r>
      <w:proofErr w:type="spellEnd"/>
      <w:r w:rsidRPr="00FF351E">
        <w:rPr>
          <w:lang w:val="en-GB"/>
        </w:rPr>
        <w:t>, Ivana </w:t>
      </w:r>
      <w:proofErr w:type="spellStart"/>
      <w:r w:rsidRPr="00FF351E">
        <w:rPr>
          <w:lang w:val="en-GB"/>
        </w:rPr>
        <w:t>Jeli</w:t>
      </w:r>
      <w:proofErr w:type="spellEnd"/>
      <w:r w:rsidR="00806950">
        <w:rPr>
          <w:lang w:val="cs-CZ"/>
        </w:rPr>
        <w:t>č</w:t>
      </w:r>
      <w:r w:rsidRPr="00FF351E">
        <w:rPr>
          <w:lang w:val="en-GB"/>
        </w:rPr>
        <w:t xml:space="preserve">, </w:t>
      </w:r>
      <w:proofErr w:type="spellStart"/>
      <w:r w:rsidRPr="00FF351E">
        <w:rPr>
          <w:lang w:val="en-GB"/>
        </w:rPr>
        <w:t>Bamariam</w:t>
      </w:r>
      <w:proofErr w:type="spellEnd"/>
      <w:r w:rsidRPr="00FF351E">
        <w:rPr>
          <w:lang w:val="en-GB"/>
        </w:rPr>
        <w:t xml:space="preserve"> </w:t>
      </w:r>
      <w:proofErr w:type="spellStart"/>
      <w:r w:rsidRPr="00FF351E">
        <w:rPr>
          <w:lang w:val="en-GB"/>
        </w:rPr>
        <w:t>Koita</w:t>
      </w:r>
      <w:proofErr w:type="spellEnd"/>
      <w:r w:rsidRPr="00FF351E">
        <w:rPr>
          <w:lang w:val="en-GB"/>
        </w:rPr>
        <w:t xml:space="preserve">, Marcia V. J. </w:t>
      </w:r>
      <w:proofErr w:type="spellStart"/>
      <w:r w:rsidRPr="00FF351E">
        <w:rPr>
          <w:lang w:val="en-GB"/>
        </w:rPr>
        <w:t>Kran</w:t>
      </w:r>
      <w:proofErr w:type="spellEnd"/>
      <w:r w:rsidRPr="00FF351E">
        <w:rPr>
          <w:lang w:val="en-GB"/>
        </w:rPr>
        <w:t xml:space="preserve">, Duncan </w:t>
      </w:r>
      <w:proofErr w:type="spellStart"/>
      <w:r w:rsidRPr="00FF351E">
        <w:rPr>
          <w:lang w:val="en-GB"/>
        </w:rPr>
        <w:t>Laki</w:t>
      </w:r>
      <w:proofErr w:type="spellEnd"/>
      <w:r w:rsidRPr="00FF351E">
        <w:rPr>
          <w:lang w:val="en-GB"/>
        </w:rPr>
        <w:t xml:space="preserve"> </w:t>
      </w:r>
      <w:proofErr w:type="spellStart"/>
      <w:r w:rsidRPr="00FF351E">
        <w:rPr>
          <w:lang w:val="en-GB"/>
        </w:rPr>
        <w:t>Muhumuza</w:t>
      </w:r>
      <w:proofErr w:type="spellEnd"/>
      <w:r w:rsidRPr="00FF351E">
        <w:rPr>
          <w:lang w:val="en-GB"/>
        </w:rPr>
        <w:t xml:space="preserve">, </w:t>
      </w:r>
      <w:proofErr w:type="spellStart"/>
      <w:r w:rsidRPr="00FF351E">
        <w:rPr>
          <w:lang w:val="en-GB"/>
        </w:rPr>
        <w:t>Photini</w:t>
      </w:r>
      <w:proofErr w:type="spellEnd"/>
      <w:r w:rsidRPr="00FF351E">
        <w:rPr>
          <w:lang w:val="en-GB"/>
        </w:rPr>
        <w:t xml:space="preserve"> </w:t>
      </w:r>
      <w:proofErr w:type="spellStart"/>
      <w:r w:rsidRPr="00FF351E">
        <w:rPr>
          <w:lang w:val="en-GB"/>
        </w:rPr>
        <w:t>Pazartzis</w:t>
      </w:r>
      <w:proofErr w:type="spellEnd"/>
      <w:r w:rsidRPr="00FF351E">
        <w:rPr>
          <w:lang w:val="en-GB"/>
        </w:rPr>
        <w:t xml:space="preserve">, Mauro </w:t>
      </w:r>
      <w:proofErr w:type="spellStart"/>
      <w:r w:rsidRPr="00FF351E">
        <w:rPr>
          <w:lang w:val="en-GB"/>
        </w:rPr>
        <w:t>Politi</w:t>
      </w:r>
      <w:proofErr w:type="spellEnd"/>
      <w:r w:rsidRPr="00FF351E">
        <w:rPr>
          <w:lang w:val="en-GB"/>
        </w:rPr>
        <w:t xml:space="preserve">, José Manuel Santos </w:t>
      </w:r>
      <w:proofErr w:type="spellStart"/>
      <w:r w:rsidRPr="00FF351E">
        <w:rPr>
          <w:lang w:val="en-GB"/>
        </w:rPr>
        <w:t>Pais</w:t>
      </w:r>
      <w:proofErr w:type="spellEnd"/>
      <w:r w:rsidRPr="00FF351E">
        <w:rPr>
          <w:lang w:val="en-GB"/>
        </w:rPr>
        <w:t xml:space="preserve">, Yuval </w:t>
      </w:r>
      <w:proofErr w:type="spellStart"/>
      <w:r w:rsidRPr="00FF351E">
        <w:rPr>
          <w:lang w:val="en-GB"/>
        </w:rPr>
        <w:t>Shany</w:t>
      </w:r>
      <w:proofErr w:type="spellEnd"/>
      <w:r w:rsidRPr="00FF351E">
        <w:rPr>
          <w:lang w:val="en-GB"/>
        </w:rPr>
        <w:t xml:space="preserve"> </w:t>
      </w:r>
      <w:r w:rsidR="004D18B8">
        <w:rPr>
          <w:lang w:val="en-GB"/>
        </w:rPr>
        <w:t>and</w:t>
      </w:r>
      <w:r w:rsidRPr="00FF351E">
        <w:rPr>
          <w:lang w:val="en-GB"/>
        </w:rPr>
        <w:t xml:space="preserve"> Margo </w:t>
      </w:r>
      <w:proofErr w:type="spellStart"/>
      <w:r w:rsidRPr="00FF351E">
        <w:rPr>
          <w:lang w:val="en-GB"/>
        </w:rPr>
        <w:t>Waterval</w:t>
      </w:r>
      <w:proofErr w:type="spellEnd"/>
      <w:r w:rsidRPr="00FF351E">
        <w:rPr>
          <w:lang w:val="en-GB"/>
        </w:rPr>
        <w:t>.</w:t>
      </w:r>
      <w:r w:rsidRPr="00FF351E">
        <w:rPr>
          <w:lang w:val="en-GB" w:eastAsia="en-GB"/>
        </w:rPr>
        <w:t xml:space="preserve"> </w:t>
      </w:r>
    </w:p>
    <w:p w14:paraId="6B3D8B7A" w14:textId="77777777" w:rsidR="00BA0960" w:rsidRPr="00996450" w:rsidRDefault="00BA0960" w:rsidP="00BA0960">
      <w:pPr>
        <w:pStyle w:val="FootnoteText"/>
        <w:rPr>
          <w:lang w:val="en-GB"/>
        </w:rPr>
      </w:pPr>
    </w:p>
    <w:p w14:paraId="331CBA90" w14:textId="77777777" w:rsidR="00BA0960" w:rsidRPr="00996450" w:rsidRDefault="00BA0960" w:rsidP="00BA0960">
      <w:pPr>
        <w:pStyle w:val="FootnoteText"/>
        <w:rPr>
          <w:lang w:val="en-GB"/>
        </w:rPr>
      </w:pPr>
    </w:p>
  </w:footnote>
  <w:footnote w:id="4">
    <w:p w14:paraId="2033358A" w14:textId="194B0D77" w:rsidR="00881C2D" w:rsidRPr="009D3B4B" w:rsidRDefault="002B2183" w:rsidP="002B2183">
      <w:pPr>
        <w:pStyle w:val="FootnoteText"/>
        <w:rPr>
          <w:lang w:val="en-GB"/>
        </w:rPr>
      </w:pPr>
      <w:r w:rsidRPr="00996450">
        <w:rPr>
          <w:lang w:val="en-GB"/>
        </w:rPr>
        <w:tab/>
      </w:r>
      <w:r w:rsidR="00881C2D" w:rsidRPr="002B2183">
        <w:rPr>
          <w:rStyle w:val="FootnoteReference"/>
        </w:rPr>
        <w:footnoteRef/>
      </w:r>
      <w:r>
        <w:rPr>
          <w:lang w:val="en-GB"/>
        </w:rPr>
        <w:tab/>
      </w:r>
      <w:r w:rsidR="006038F9">
        <w:rPr>
          <w:lang w:val="en-GB"/>
        </w:rPr>
        <w:t xml:space="preserve">He was </w:t>
      </w:r>
      <w:r w:rsidR="00881C2D" w:rsidRPr="009D3B4B">
        <w:rPr>
          <w:lang w:val="en-GB"/>
        </w:rPr>
        <w:t>sought on the basis of an arrest warrant by Interpol.</w:t>
      </w:r>
    </w:p>
  </w:footnote>
  <w:footnote w:id="5">
    <w:p w14:paraId="0CC0A3AF" w14:textId="3DB9FADE" w:rsidR="00881C2D" w:rsidRPr="009D3B4B" w:rsidRDefault="00BD0516" w:rsidP="002B2183">
      <w:pPr>
        <w:pStyle w:val="FootnoteText"/>
        <w:rPr>
          <w:lang w:val="en-GB"/>
        </w:rPr>
      </w:pPr>
      <w:r>
        <w:rPr>
          <w:lang w:val="en-GB"/>
        </w:rPr>
        <w:tab/>
      </w:r>
      <w:r w:rsidR="00881C2D" w:rsidRPr="002B2183">
        <w:rPr>
          <w:rStyle w:val="FootnoteReference"/>
        </w:rPr>
        <w:footnoteRef/>
      </w:r>
      <w:r>
        <w:rPr>
          <w:lang w:val="en-GB"/>
        </w:rPr>
        <w:tab/>
      </w:r>
      <w:r w:rsidR="00085553">
        <w:rPr>
          <w:lang w:val="en-GB"/>
        </w:rPr>
        <w:t xml:space="preserve">The decision of </w:t>
      </w:r>
      <w:r w:rsidR="00881C2D" w:rsidRPr="009D3B4B">
        <w:rPr>
          <w:lang w:val="en-GB"/>
        </w:rPr>
        <w:t>the High Court of Australia.</w:t>
      </w:r>
    </w:p>
  </w:footnote>
  <w:footnote w:id="6">
    <w:p w14:paraId="18674348" w14:textId="1BED991C" w:rsidR="00996450" w:rsidRDefault="00942659" w:rsidP="00942659">
      <w:pPr>
        <w:pStyle w:val="FootnoteText"/>
      </w:pPr>
      <w:r>
        <w:rPr>
          <w:lang w:val="en-GB"/>
        </w:rPr>
        <w:t xml:space="preserve">                     </w:t>
      </w:r>
      <w:r w:rsidR="00996450">
        <w:rPr>
          <w:rStyle w:val="FootnoteReference"/>
        </w:rPr>
        <w:footnoteRef/>
      </w:r>
      <w:r w:rsidR="00996450">
        <w:t xml:space="preserve"> </w:t>
      </w:r>
      <w:r>
        <w:t xml:space="preserve"> </w:t>
      </w:r>
      <w:r w:rsidR="00996450">
        <w:t xml:space="preserve">The author has claimed </w:t>
      </w:r>
      <w:r w:rsidR="00341EE6">
        <w:t xml:space="preserve">that both Australia and Croatia have continuously violated his rights under articles 2; 7; 9; 10; 14; 15 and 26 of the Covenant </w:t>
      </w:r>
      <w:r w:rsidR="00F72B93">
        <w:t>since</w:t>
      </w:r>
      <w:r w:rsidR="00341EE6">
        <w:t xml:space="preserve"> he has been subjected to an excessively long extradition and pre-trial investigative detention (over 10 years in total)</w:t>
      </w:r>
      <w:r>
        <w:t xml:space="preserve">, and </w:t>
      </w:r>
      <w:r w:rsidR="00341EE6">
        <w:t xml:space="preserve">his trial </w:t>
      </w:r>
      <w:r w:rsidR="00F72B93">
        <w:t xml:space="preserve">has been </w:t>
      </w:r>
      <w:r w:rsidR="00341EE6">
        <w:t xml:space="preserve">ongoing.  </w:t>
      </w:r>
    </w:p>
  </w:footnote>
  <w:footnote w:id="7">
    <w:p w14:paraId="74C5D95E" w14:textId="767D4B20" w:rsidR="00C55FE0" w:rsidRDefault="00BD0516" w:rsidP="002B2183">
      <w:pPr>
        <w:pStyle w:val="FootnoteText"/>
      </w:pPr>
      <w:r>
        <w:rPr>
          <w:lang w:val="en-GB"/>
        </w:rPr>
        <w:tab/>
      </w:r>
      <w:r w:rsidR="00C55FE0" w:rsidRPr="002B2183">
        <w:rPr>
          <w:rStyle w:val="FootnoteReference"/>
        </w:rPr>
        <w:footnoteRef/>
      </w:r>
      <w:r>
        <w:rPr>
          <w:lang w:val="en-GB"/>
        </w:rPr>
        <w:tab/>
      </w:r>
      <w:r w:rsidR="004A5F9C">
        <w:t xml:space="preserve">The </w:t>
      </w:r>
      <w:r w:rsidR="004A5F9C" w:rsidRPr="002B2183">
        <w:rPr>
          <w:lang w:val="en-GB"/>
        </w:rPr>
        <w:t>author’s</w:t>
      </w:r>
      <w:r w:rsidR="004A5F9C">
        <w:t xml:space="preserve"> trial begun on 20 September 2016 in Split County Court by opening statements of the prosecution and defense. </w:t>
      </w:r>
    </w:p>
  </w:footnote>
  <w:footnote w:id="8">
    <w:p w14:paraId="55541C08" w14:textId="26659686" w:rsidR="00403EAD" w:rsidRDefault="00BD0516">
      <w:pPr>
        <w:pStyle w:val="FootnoteText"/>
      </w:pPr>
      <w:r>
        <w:tab/>
      </w:r>
      <w:r w:rsidR="00403EAD" w:rsidRPr="002B2183">
        <w:rPr>
          <w:rStyle w:val="FootnoteReference"/>
        </w:rPr>
        <w:footnoteRef/>
      </w:r>
      <w:r>
        <w:tab/>
      </w:r>
      <w:r w:rsidR="00403EAD">
        <w:t xml:space="preserve">On 11 </w:t>
      </w:r>
      <w:r w:rsidR="00403EAD" w:rsidRPr="002B2183">
        <w:rPr>
          <w:lang w:val="en-GB"/>
        </w:rPr>
        <w:t>October</w:t>
      </w:r>
      <w:r w:rsidR="00403EAD">
        <w:t xml:space="preserve"> 2016, the Special Rapporteur decided to register 2 cases for a Special Rapporteur’s draft and deal with them jointly. </w:t>
      </w:r>
      <w:r w:rsidR="00942659">
        <w:t>On 6 April 2018, the Committee decided to deal with the claims against Australia separately and send th</w:t>
      </w:r>
      <w:r w:rsidR="00373619">
        <w:t xml:space="preserve">em </w:t>
      </w:r>
      <w:r w:rsidR="00942659">
        <w:t>to the State party for observations</w:t>
      </w:r>
      <w:r w:rsidR="00100CD9">
        <w:t xml:space="preserve"> on admissibility and the merits</w:t>
      </w:r>
      <w:r w:rsidR="00942659">
        <w:t xml:space="preserve">. </w:t>
      </w:r>
    </w:p>
  </w:footnote>
  <w:footnote w:id="9">
    <w:p w14:paraId="3171174E" w14:textId="1C58D0AA" w:rsidR="00A458CC" w:rsidRDefault="00BD0516" w:rsidP="00A458CC">
      <w:pPr>
        <w:pStyle w:val="FootnoteText"/>
      </w:pPr>
      <w:r>
        <w:rPr>
          <w:lang w:val="en-GB"/>
        </w:rPr>
        <w:tab/>
      </w:r>
      <w:r w:rsidR="00A458CC" w:rsidRPr="002B2183">
        <w:rPr>
          <w:rStyle w:val="FootnoteReference"/>
        </w:rPr>
        <w:footnoteRef/>
      </w:r>
      <w:r>
        <w:rPr>
          <w:lang w:val="en-GB"/>
        </w:rPr>
        <w:tab/>
      </w:r>
      <w:r w:rsidR="00A458CC" w:rsidRPr="002B2183">
        <w:rPr>
          <w:lang w:val="en-GB"/>
        </w:rPr>
        <w:t>According</w:t>
      </w:r>
      <w:r w:rsidR="00A458CC">
        <w:t xml:space="preserve"> to the information on file, the author’s </w:t>
      </w:r>
      <w:r w:rsidR="007228B1">
        <w:t xml:space="preserve">extradition and </w:t>
      </w:r>
      <w:r w:rsidR="00A458CC">
        <w:t>detention ha</w:t>
      </w:r>
      <w:r w:rsidR="007228B1">
        <w:t xml:space="preserve">ve </w:t>
      </w:r>
      <w:r w:rsidR="00A458CC">
        <w:t xml:space="preserve">been justified by </w:t>
      </w:r>
      <w:r w:rsidR="00C55FE0">
        <w:t xml:space="preserve">his </w:t>
      </w:r>
      <w:r w:rsidR="00EF1495">
        <w:t xml:space="preserve">charges for </w:t>
      </w:r>
      <w:r w:rsidR="007228B1">
        <w:t>offences against articles 120 and 122 of the Basic Penal Code of the Republic of Croatia (</w:t>
      </w:r>
      <w:r w:rsidR="00A458CC">
        <w:t>war crimes</w:t>
      </w:r>
      <w:r w:rsidR="007228B1">
        <w:t>)</w:t>
      </w:r>
      <w:r w:rsidR="00A458CC">
        <w:t xml:space="preserve">.  </w:t>
      </w:r>
    </w:p>
  </w:footnote>
  <w:footnote w:id="10">
    <w:p w14:paraId="7CD0E768" w14:textId="746459B1" w:rsidR="00A458CC" w:rsidRDefault="00A458CC">
      <w:pPr>
        <w:pStyle w:val="FootnoteText"/>
      </w:pPr>
      <w:r>
        <w:tab/>
      </w:r>
      <w:r w:rsidRPr="002B2183">
        <w:rPr>
          <w:rStyle w:val="FootnoteReference"/>
        </w:rPr>
        <w:footnoteRef/>
      </w:r>
      <w:r w:rsidR="00BD0516">
        <w:tab/>
      </w:r>
      <w:r w:rsidRPr="00A458CC">
        <w:t xml:space="preserve">On 21 </w:t>
      </w:r>
      <w:r w:rsidRPr="002B2183">
        <w:rPr>
          <w:lang w:val="en-GB"/>
        </w:rPr>
        <w:t>September</w:t>
      </w:r>
      <w:r w:rsidRPr="00A458CC">
        <w:t xml:space="preserve"> 2016, the author’s counsel informed</w:t>
      </w:r>
      <w:r>
        <w:t xml:space="preserve"> </w:t>
      </w:r>
      <w:r w:rsidR="00DA221B">
        <w:t xml:space="preserve">that the author had sustained a heart attack on 11 August 2016 in the Split </w:t>
      </w:r>
      <w:proofErr w:type="spellStart"/>
      <w:r w:rsidR="00DA221B">
        <w:t>Bilice</w:t>
      </w:r>
      <w:proofErr w:type="spellEnd"/>
      <w:r w:rsidR="00DA221B">
        <w:t xml:space="preserve"> prison, and had a stent implanted in the Split Clinical Hospital, prompting a priority consideration of the case due to the fact that the author had spent 10 years in pre-trial detention and due to his deteriorating health.</w:t>
      </w:r>
    </w:p>
  </w:footnote>
  <w:footnote w:id="11">
    <w:p w14:paraId="02C731C9" w14:textId="22D9E2ED" w:rsidR="006038F9" w:rsidRPr="00154F71" w:rsidRDefault="00BD0516" w:rsidP="002B2183">
      <w:pPr>
        <w:pStyle w:val="FootnoteText"/>
        <w:rPr>
          <w:lang w:val="en-GB"/>
        </w:rPr>
      </w:pPr>
      <w:r>
        <w:tab/>
      </w:r>
      <w:r w:rsidR="006038F9" w:rsidRPr="002B2183">
        <w:rPr>
          <w:rStyle w:val="FootnoteReference"/>
        </w:rPr>
        <w:footnoteRef/>
      </w:r>
      <w:r>
        <w:tab/>
      </w:r>
      <w:r w:rsidR="00266E9E">
        <w:rPr>
          <w:lang w:val="en-GB"/>
        </w:rPr>
        <w:t xml:space="preserve">When </w:t>
      </w:r>
      <w:r w:rsidR="006038F9">
        <w:rPr>
          <w:lang w:val="en-GB"/>
        </w:rPr>
        <w:t>assum</w:t>
      </w:r>
      <w:r w:rsidR="00266E9E">
        <w:rPr>
          <w:lang w:val="en-GB"/>
        </w:rPr>
        <w:t>ing Australian</w:t>
      </w:r>
      <w:r w:rsidR="006038F9">
        <w:rPr>
          <w:lang w:val="en-GB"/>
        </w:rPr>
        <w:t xml:space="preserve"> citizenship, </w:t>
      </w:r>
      <w:r w:rsidR="00266E9E">
        <w:rPr>
          <w:lang w:val="en-GB"/>
        </w:rPr>
        <w:t>t</w:t>
      </w:r>
      <w:r w:rsidR="006038F9">
        <w:rPr>
          <w:lang w:val="en-GB"/>
        </w:rPr>
        <w:t xml:space="preserve">he </w:t>
      </w:r>
      <w:r w:rsidR="00266E9E">
        <w:rPr>
          <w:lang w:val="en-GB"/>
        </w:rPr>
        <w:t xml:space="preserve">author </w:t>
      </w:r>
      <w:r w:rsidR="006038F9">
        <w:rPr>
          <w:lang w:val="en-GB"/>
        </w:rPr>
        <w:t xml:space="preserve">changed his name to </w:t>
      </w:r>
      <w:proofErr w:type="gramStart"/>
      <w:r w:rsidR="00741C8A">
        <w:rPr>
          <w:lang w:val="en-GB"/>
        </w:rPr>
        <w:t>D.S.</w:t>
      </w:r>
      <w:r w:rsidR="006038F9">
        <w:rPr>
          <w:lang w:val="en-GB"/>
        </w:rPr>
        <w:t>.</w:t>
      </w:r>
      <w:proofErr w:type="gramEnd"/>
    </w:p>
  </w:footnote>
  <w:footnote w:id="12">
    <w:p w14:paraId="2ECD9229" w14:textId="7F7B6F5A" w:rsidR="006038F9" w:rsidRPr="00B626B3" w:rsidRDefault="00BD0516" w:rsidP="002B2183">
      <w:pPr>
        <w:pStyle w:val="FootnoteText"/>
        <w:rPr>
          <w:lang w:val="en-GB"/>
        </w:rPr>
      </w:pPr>
      <w:r>
        <w:rPr>
          <w:lang w:val="en-GB"/>
        </w:rPr>
        <w:tab/>
      </w:r>
      <w:r w:rsidR="006038F9" w:rsidRPr="002B2183">
        <w:rPr>
          <w:rStyle w:val="FootnoteReference"/>
        </w:rPr>
        <w:footnoteRef/>
      </w:r>
      <w:r>
        <w:rPr>
          <w:lang w:val="en-GB"/>
        </w:rPr>
        <w:tab/>
      </w:r>
      <w:r w:rsidR="006038F9" w:rsidRPr="00B626B3">
        <w:rPr>
          <w:lang w:val="en-GB"/>
        </w:rPr>
        <w:t>On 28 November 2005</w:t>
      </w:r>
      <w:r w:rsidR="006038F9">
        <w:rPr>
          <w:lang w:val="en-GB"/>
        </w:rPr>
        <w:t xml:space="preserve">, </w:t>
      </w:r>
      <w:r w:rsidR="006038F9" w:rsidRPr="00B626B3">
        <w:rPr>
          <w:lang w:val="en-GB"/>
        </w:rPr>
        <w:t xml:space="preserve">the </w:t>
      </w:r>
      <w:proofErr w:type="spellStart"/>
      <w:r w:rsidR="006038F9" w:rsidRPr="00B626B3">
        <w:rPr>
          <w:lang w:val="en-GB"/>
        </w:rPr>
        <w:t>Sibenik</w:t>
      </w:r>
      <w:proofErr w:type="spellEnd"/>
      <w:r w:rsidR="006038F9" w:rsidRPr="00B626B3">
        <w:rPr>
          <w:lang w:val="en-GB"/>
        </w:rPr>
        <w:t xml:space="preserve"> County Public Prosecutor’s office submit</w:t>
      </w:r>
      <w:r w:rsidR="006038F9">
        <w:rPr>
          <w:lang w:val="en-GB"/>
        </w:rPr>
        <w:t xml:space="preserve">ted a request for investigation of the author for </w:t>
      </w:r>
      <w:r w:rsidR="006038F9" w:rsidRPr="00B626B3">
        <w:rPr>
          <w:lang w:val="en-GB"/>
        </w:rPr>
        <w:t>criminal offences</w:t>
      </w:r>
      <w:r w:rsidR="006038F9">
        <w:rPr>
          <w:lang w:val="en-GB"/>
        </w:rPr>
        <w:t xml:space="preserve">, </w:t>
      </w:r>
      <w:r w:rsidR="006038F9" w:rsidRPr="00B626B3">
        <w:rPr>
          <w:lang w:val="en-GB"/>
        </w:rPr>
        <w:t xml:space="preserve">which was accepted by the </w:t>
      </w:r>
      <w:proofErr w:type="spellStart"/>
      <w:r w:rsidR="006038F9" w:rsidRPr="00B626B3">
        <w:rPr>
          <w:lang w:val="en-GB"/>
        </w:rPr>
        <w:t>Sibenik</w:t>
      </w:r>
      <w:proofErr w:type="spellEnd"/>
      <w:r w:rsidR="006038F9" w:rsidRPr="00B626B3">
        <w:rPr>
          <w:lang w:val="en-GB"/>
        </w:rPr>
        <w:t xml:space="preserve"> County Court</w:t>
      </w:r>
      <w:r w:rsidR="006038F9" w:rsidRPr="00210DBF">
        <w:rPr>
          <w:lang w:val="en-GB"/>
        </w:rPr>
        <w:t xml:space="preserve"> on 12 December 2005</w:t>
      </w:r>
      <w:r w:rsidR="006038F9" w:rsidRPr="00B626B3">
        <w:rPr>
          <w:lang w:val="en-GB"/>
        </w:rPr>
        <w:t xml:space="preserve">. </w:t>
      </w:r>
    </w:p>
  </w:footnote>
  <w:footnote w:id="13">
    <w:p w14:paraId="5BE4BEB5" w14:textId="1CDBB78E" w:rsidR="003A251F" w:rsidRDefault="00CC6EC9" w:rsidP="00CC6EC9">
      <w:pPr>
        <w:pStyle w:val="FootnoteText"/>
      </w:pPr>
      <w:r>
        <w:tab/>
      </w:r>
      <w:r w:rsidR="003A251F" w:rsidRPr="002B2183">
        <w:rPr>
          <w:rStyle w:val="FootnoteReference"/>
        </w:rPr>
        <w:footnoteRef/>
      </w:r>
      <w:r>
        <w:tab/>
      </w:r>
      <w:r w:rsidR="003A251F" w:rsidRPr="00CC6EC9">
        <w:t>According</w:t>
      </w:r>
      <w:r w:rsidR="003A251F">
        <w:t xml:space="preserve"> to the author, Croatia alleges that during June and July 1991 in </w:t>
      </w:r>
      <w:proofErr w:type="spellStart"/>
      <w:r w:rsidR="003A251F">
        <w:t>Knin</w:t>
      </w:r>
      <w:proofErr w:type="spellEnd"/>
      <w:r w:rsidR="003A251F">
        <w:t>, in the Krajina region predominantly populated by the Serbs at the time, the author did not prevent members of the Unit who were his subordinates from mistreating captured members of the Croatian army and police and mistreated one such person himself. It also alleges that in February 1993</w:t>
      </w:r>
      <w:r w:rsidR="00FB793B">
        <w:t>,</w:t>
      </w:r>
      <w:r w:rsidR="003A251F">
        <w:t xml:space="preserve"> he commanded subordinate members of the Unit to interrogate and then execute two Croatian prisoners of war (alleged contraventions of article 122). He is further said to have commanded members of the Special Purpose Unit and a tank unit of the Yugoslav People’s Army to fire on a church and a school (alleged contraventions of article</w:t>
      </w:r>
      <w:r w:rsidR="002D793C">
        <w:t xml:space="preserve"> 120)</w:t>
      </w:r>
      <w:r w:rsidR="003A251F">
        <w:t xml:space="preserve">.    </w:t>
      </w:r>
    </w:p>
  </w:footnote>
  <w:footnote w:id="14">
    <w:p w14:paraId="1F6CF3D5" w14:textId="33281FA0" w:rsidR="006038F9" w:rsidRPr="00B626B3" w:rsidRDefault="00CC6EC9" w:rsidP="00CC6EC9">
      <w:pPr>
        <w:pStyle w:val="FootnoteText"/>
        <w:rPr>
          <w:lang w:val="en-GB"/>
        </w:rPr>
      </w:pPr>
      <w:r>
        <w:tab/>
      </w:r>
      <w:r w:rsidR="006038F9" w:rsidRPr="002B2183">
        <w:rPr>
          <w:rStyle w:val="FootnoteReference"/>
        </w:rPr>
        <w:footnoteRef/>
      </w:r>
      <w:r>
        <w:tab/>
      </w:r>
      <w:r w:rsidR="006038F9" w:rsidRPr="00B626B3">
        <w:rPr>
          <w:lang w:val="en-GB"/>
        </w:rPr>
        <w:t xml:space="preserve">The </w:t>
      </w:r>
      <w:r w:rsidR="006038F9" w:rsidRPr="00CC6EC9">
        <w:rPr>
          <w:rStyle w:val="FootnoteTextChar"/>
          <w:sz w:val="18"/>
          <w:lang w:val="en-US" w:eastAsia="zh-CN"/>
        </w:rPr>
        <w:t>extradition</w:t>
      </w:r>
      <w:r w:rsidR="006038F9" w:rsidRPr="00B626B3">
        <w:rPr>
          <w:lang w:val="en-GB"/>
        </w:rPr>
        <w:t xml:space="preserve"> request </w:t>
      </w:r>
      <w:r w:rsidR="00266E9E">
        <w:rPr>
          <w:lang w:val="en-GB"/>
        </w:rPr>
        <w:t xml:space="preserve">reportedly </w:t>
      </w:r>
      <w:r w:rsidR="006038F9" w:rsidRPr="00B626B3">
        <w:rPr>
          <w:lang w:val="en-GB"/>
        </w:rPr>
        <w:t>did not contain the assurance that Croatia will not prosecute the person sought for other offences than those stated in the extradition request</w:t>
      </w:r>
      <w:r w:rsidR="006038F9">
        <w:rPr>
          <w:lang w:val="en-GB"/>
        </w:rPr>
        <w:t xml:space="preserve">. </w:t>
      </w:r>
    </w:p>
  </w:footnote>
  <w:footnote w:id="15">
    <w:p w14:paraId="31D3010E" w14:textId="6925EE9A" w:rsidR="006038F9" w:rsidRPr="00573B79" w:rsidRDefault="00CC6EC9" w:rsidP="00CC6EC9">
      <w:pPr>
        <w:pStyle w:val="FootnoteText"/>
        <w:rPr>
          <w:lang w:val="en-GB"/>
        </w:rPr>
      </w:pPr>
      <w:r>
        <w:rPr>
          <w:lang w:val="en-GB"/>
        </w:rPr>
        <w:tab/>
      </w:r>
      <w:r w:rsidR="006038F9" w:rsidRPr="002B2183">
        <w:rPr>
          <w:rStyle w:val="FootnoteReference"/>
        </w:rPr>
        <w:footnoteRef/>
      </w:r>
      <w:r>
        <w:rPr>
          <w:lang w:val="en-GB"/>
        </w:rPr>
        <w:tab/>
      </w:r>
      <w:r w:rsidR="006038F9" w:rsidRPr="00573B79">
        <w:rPr>
          <w:lang w:val="en-GB"/>
        </w:rPr>
        <w:t xml:space="preserve">The author alleges that this act allows </w:t>
      </w:r>
      <w:r w:rsidR="006038F9" w:rsidRPr="00CC6EC9">
        <w:t>extradition</w:t>
      </w:r>
      <w:r w:rsidR="006038F9" w:rsidRPr="00573B79">
        <w:rPr>
          <w:lang w:val="en-GB"/>
        </w:rPr>
        <w:t xml:space="preserve"> to countries without evidence of a </w:t>
      </w:r>
      <w:r w:rsidR="006038F9" w:rsidRPr="00573B79">
        <w:rPr>
          <w:i/>
          <w:lang w:val="en-GB"/>
        </w:rPr>
        <w:t>prima facie</w:t>
      </w:r>
      <w:r w:rsidR="006038F9" w:rsidRPr="00573B79">
        <w:rPr>
          <w:lang w:val="en-GB"/>
        </w:rPr>
        <w:t xml:space="preserve"> case against the wanted person, calling it “no evidence” procedure. </w:t>
      </w:r>
    </w:p>
  </w:footnote>
  <w:footnote w:id="16">
    <w:p w14:paraId="06DC454A" w14:textId="13C2B2F8" w:rsidR="006038F9" w:rsidRPr="00573B79" w:rsidRDefault="00CC6EC9" w:rsidP="00CC6EC9">
      <w:pPr>
        <w:pStyle w:val="FootnoteText"/>
        <w:rPr>
          <w:lang w:val="en-GB"/>
        </w:rPr>
      </w:pPr>
      <w:r>
        <w:rPr>
          <w:lang w:val="en-GB"/>
        </w:rPr>
        <w:tab/>
      </w:r>
      <w:r w:rsidR="006038F9" w:rsidRPr="002B2183">
        <w:rPr>
          <w:rStyle w:val="FootnoteReference"/>
        </w:rPr>
        <w:footnoteRef/>
      </w:r>
      <w:r w:rsidR="00CD03DB">
        <w:rPr>
          <w:lang w:val="en-GB"/>
        </w:rPr>
        <w:tab/>
      </w:r>
      <w:r w:rsidR="006038F9" w:rsidRPr="00573B79">
        <w:rPr>
          <w:lang w:val="en-GB"/>
        </w:rPr>
        <w:t xml:space="preserve">The decisions of the Australian authorities have been attached.  </w:t>
      </w:r>
    </w:p>
  </w:footnote>
  <w:footnote w:id="17">
    <w:p w14:paraId="4B5ADB22" w14:textId="7FF8C9CE" w:rsidR="006038F9" w:rsidRPr="00573B79" w:rsidRDefault="00CD03DB" w:rsidP="00CC6EC9">
      <w:pPr>
        <w:pStyle w:val="FootnoteText"/>
        <w:rPr>
          <w:lang w:val="en-GB"/>
        </w:rPr>
      </w:pPr>
      <w:r>
        <w:rPr>
          <w:lang w:val="en-GB"/>
        </w:rPr>
        <w:tab/>
      </w:r>
      <w:r w:rsidR="006038F9" w:rsidRPr="002B2183">
        <w:rPr>
          <w:rStyle w:val="FootnoteReference"/>
        </w:rPr>
        <w:footnoteRef/>
      </w:r>
      <w:r>
        <w:rPr>
          <w:lang w:val="en-GB"/>
        </w:rPr>
        <w:tab/>
      </w:r>
      <w:r w:rsidR="00573F6F">
        <w:rPr>
          <w:lang w:val="en-GB"/>
        </w:rPr>
        <w:t>Examples of t</w:t>
      </w:r>
      <w:r w:rsidR="003670F9">
        <w:rPr>
          <w:lang w:val="en-GB"/>
        </w:rPr>
        <w:t>he decisions attached to the initial communication</w:t>
      </w:r>
      <w:r w:rsidR="00573F6F">
        <w:rPr>
          <w:lang w:val="en-GB"/>
        </w:rPr>
        <w:t xml:space="preserve"> include</w:t>
      </w:r>
      <w:r w:rsidR="006038F9" w:rsidRPr="00573B79">
        <w:rPr>
          <w:lang w:val="en-GB"/>
        </w:rPr>
        <w:t xml:space="preserve">: The Decision of the High Court </w:t>
      </w:r>
      <w:r w:rsidR="008E4138">
        <w:rPr>
          <w:lang w:val="en-GB"/>
        </w:rPr>
        <w:t xml:space="preserve">of Australia </w:t>
      </w:r>
      <w:r w:rsidR="006038F9" w:rsidRPr="00573B79">
        <w:rPr>
          <w:lang w:val="en-GB"/>
        </w:rPr>
        <w:t xml:space="preserve">of 15 June 2006 denying the claimed invalidity of the Extradition Act 1998; Decision of the Federal Court of 13 October 2006 reaffirming the authors eligibility for extradition; Decisions of the Federal Court of 3 February 2009, High Court of 19 May 2010 and of </w:t>
      </w:r>
      <w:r w:rsidR="00AB7C15">
        <w:rPr>
          <w:lang w:val="en-GB"/>
        </w:rPr>
        <w:t xml:space="preserve">the </w:t>
      </w:r>
      <w:r w:rsidR="006038F9" w:rsidRPr="00573B79">
        <w:rPr>
          <w:lang w:val="en-GB"/>
        </w:rPr>
        <w:t xml:space="preserve">Federal Court of 15 November 2013 and 12 December 2014 denying the author’s request for an order of habeas corpus against the Minister of Justice claiming that there was an excessive delay and thus no power of the Minister to extradite; and the High Court of Australia’s decision of 15 May 2015 to refuse the author’s special leave to appeal. </w:t>
      </w:r>
    </w:p>
  </w:footnote>
  <w:footnote w:id="18">
    <w:p w14:paraId="77958A7B" w14:textId="6215C682" w:rsidR="006038F9" w:rsidRPr="00573B79" w:rsidRDefault="00CD03DB" w:rsidP="00CD03DB">
      <w:pPr>
        <w:pStyle w:val="FootnoteText"/>
        <w:rPr>
          <w:lang w:val="en-GB"/>
        </w:rPr>
      </w:pPr>
      <w:r>
        <w:rPr>
          <w:lang w:val="en-GB"/>
        </w:rPr>
        <w:tab/>
      </w:r>
      <w:r w:rsidR="006038F9" w:rsidRPr="002B2183">
        <w:rPr>
          <w:rStyle w:val="FootnoteReference"/>
        </w:rPr>
        <w:footnoteRef/>
      </w:r>
      <w:r>
        <w:rPr>
          <w:lang w:val="en-GB"/>
        </w:rPr>
        <w:tab/>
      </w:r>
      <w:r w:rsidR="006038F9" w:rsidRPr="00573B79">
        <w:rPr>
          <w:lang w:val="en-GB"/>
        </w:rPr>
        <w:t xml:space="preserve">The decisions have been attached. </w:t>
      </w:r>
    </w:p>
  </w:footnote>
  <w:footnote w:id="19">
    <w:p w14:paraId="3EEE7670" w14:textId="4E772E06" w:rsidR="006038F9" w:rsidRPr="00573B79" w:rsidRDefault="00CD03DB" w:rsidP="00CC6EC9">
      <w:pPr>
        <w:pStyle w:val="FootnoteText"/>
        <w:rPr>
          <w:lang w:val="en-GB"/>
        </w:rPr>
      </w:pPr>
      <w:r>
        <w:rPr>
          <w:lang w:val="en-GB"/>
        </w:rPr>
        <w:tab/>
      </w:r>
      <w:r w:rsidR="006038F9" w:rsidRPr="002B2183">
        <w:rPr>
          <w:rStyle w:val="FootnoteReference"/>
        </w:rPr>
        <w:footnoteRef/>
      </w:r>
      <w:r>
        <w:rPr>
          <w:lang w:val="en-GB"/>
        </w:rPr>
        <w:tab/>
      </w:r>
      <w:r w:rsidR="006038F9" w:rsidRPr="00573B79">
        <w:rPr>
          <w:lang w:val="en-GB"/>
        </w:rPr>
        <w:t>The author does not substantiate his claim</w:t>
      </w:r>
      <w:r w:rsidR="006038F9">
        <w:rPr>
          <w:lang w:val="en-GB"/>
        </w:rPr>
        <w:t xml:space="preserve">s </w:t>
      </w:r>
      <w:r w:rsidR="006038F9" w:rsidRPr="00573B79">
        <w:rPr>
          <w:lang w:val="en-GB"/>
        </w:rPr>
        <w:t>of</w:t>
      </w:r>
      <w:r w:rsidR="006038F9">
        <w:rPr>
          <w:lang w:val="en-GB"/>
        </w:rPr>
        <w:t xml:space="preserve"> </w:t>
      </w:r>
      <w:r w:rsidR="006038F9" w:rsidRPr="00573B79">
        <w:rPr>
          <w:lang w:val="en-GB"/>
        </w:rPr>
        <w:t>violation of article 15.</w:t>
      </w:r>
    </w:p>
  </w:footnote>
  <w:footnote w:id="20">
    <w:p w14:paraId="03213E50" w14:textId="11F59D90" w:rsidR="00652FD1" w:rsidRDefault="00652FD1" w:rsidP="00652FD1">
      <w:pPr>
        <w:pStyle w:val="FootnoteText"/>
        <w:ind w:hanging="283"/>
      </w:pPr>
      <w:r>
        <w:t xml:space="preserve"> </w:t>
      </w:r>
      <w:r>
        <w:rPr>
          <w:rStyle w:val="FootnoteReference"/>
        </w:rPr>
        <w:footnoteRef/>
      </w:r>
      <w:r>
        <w:t xml:space="preserve">   </w:t>
      </w:r>
      <w:r w:rsidRPr="00652FD1">
        <w:t xml:space="preserve">The author refers to the Committee’s jurisprudence in communication </w:t>
      </w:r>
      <w:r w:rsidRPr="00AB7C15">
        <w:rPr>
          <w:i/>
        </w:rPr>
        <w:t>Griffith v. Australia</w:t>
      </w:r>
      <w:r w:rsidRPr="00652FD1">
        <w:t xml:space="preserve"> (CCPR/C/112/D/1973/2010), para. 7.5. In that case, the author was held for two and a half years in extradition detention by Australia.</w:t>
      </w:r>
    </w:p>
  </w:footnote>
  <w:footnote w:id="21">
    <w:p w14:paraId="6BEFCBA8" w14:textId="50931776" w:rsidR="007B70F7" w:rsidRDefault="006B297A" w:rsidP="000F18CA">
      <w:pPr>
        <w:pStyle w:val="FootnoteText"/>
      </w:pPr>
      <w:r>
        <w:rPr>
          <w:lang w:val="en-GB"/>
        </w:rPr>
        <w:tab/>
      </w:r>
      <w:r w:rsidR="007B70F7" w:rsidRPr="002B2183">
        <w:rPr>
          <w:rStyle w:val="FootnoteReference"/>
        </w:rPr>
        <w:footnoteRef/>
      </w:r>
      <w:r>
        <w:tab/>
      </w:r>
      <w:r>
        <w:tab/>
      </w:r>
      <w:r w:rsidR="007B70F7">
        <w:t xml:space="preserve">The </w:t>
      </w:r>
      <w:r w:rsidR="007B70F7" w:rsidRPr="00CC6EC9">
        <w:rPr>
          <w:lang w:val="en-GB"/>
        </w:rPr>
        <w:t>author</w:t>
      </w:r>
      <w:r w:rsidR="007B70F7">
        <w:t xml:space="preserve"> offered a bail of 700,000 EUR which was not accepted, </w:t>
      </w:r>
      <w:r w:rsidR="00044F4C">
        <w:t xml:space="preserve">and </w:t>
      </w:r>
      <w:r w:rsidR="00EB678F">
        <w:t xml:space="preserve">the courts </w:t>
      </w:r>
      <w:r w:rsidR="00A2096B">
        <w:t xml:space="preserve">did </w:t>
      </w:r>
      <w:r w:rsidR="00EB678F">
        <w:t xml:space="preserve">not set </w:t>
      </w:r>
      <w:r w:rsidR="007B70F7">
        <w:t xml:space="preserve">any alternative bail amount which would be considered </w:t>
      </w:r>
      <w:r w:rsidR="00A2096B">
        <w:t xml:space="preserve">as </w:t>
      </w:r>
      <w:r w:rsidR="007B70F7">
        <w:t>appropriate.</w:t>
      </w:r>
    </w:p>
  </w:footnote>
  <w:footnote w:id="22">
    <w:p w14:paraId="5966A271" w14:textId="2F1C8353" w:rsidR="006038F9" w:rsidRPr="007C76CD" w:rsidRDefault="006B297A" w:rsidP="00CC6EC9">
      <w:pPr>
        <w:pStyle w:val="FootnoteText"/>
      </w:pPr>
      <w:r>
        <w:rPr>
          <w:lang w:val="en-GB"/>
        </w:rPr>
        <w:tab/>
      </w:r>
      <w:r w:rsidR="006038F9" w:rsidRPr="002B2183">
        <w:rPr>
          <w:rStyle w:val="FootnoteReference"/>
        </w:rPr>
        <w:footnoteRef/>
      </w:r>
      <w:r>
        <w:rPr>
          <w:lang w:val="en-GB"/>
        </w:rPr>
        <w:tab/>
      </w:r>
      <w:r>
        <w:rPr>
          <w:lang w:val="en-GB"/>
        </w:rPr>
        <w:tab/>
      </w:r>
      <w:r w:rsidR="006038F9" w:rsidRPr="007C76CD">
        <w:t>The Supreme Court held that the information on file show</w:t>
      </w:r>
      <w:r w:rsidR="006038F9">
        <w:t>s</w:t>
      </w:r>
      <w:r w:rsidR="006038F9" w:rsidRPr="007C76CD">
        <w:t xml:space="preserve"> that the defendant has no permanent or temporary residence</w:t>
      </w:r>
      <w:r w:rsidR="006038F9">
        <w:t xml:space="preserve"> in Croatia, and is not related to that country in any way</w:t>
      </w:r>
      <w:r w:rsidR="00E00B98" w:rsidRPr="00E00B98">
        <w:t>, whether through personal, family</w:t>
      </w:r>
      <w:r w:rsidR="00044F4C">
        <w:t xml:space="preserve"> or </w:t>
      </w:r>
      <w:r w:rsidR="00E00B98" w:rsidRPr="00E00B98">
        <w:t>bus</w:t>
      </w:r>
      <w:r w:rsidR="00044F4C">
        <w:t>iness ties or in any other way</w:t>
      </w:r>
      <w:r w:rsidR="006038F9">
        <w:t xml:space="preserve">. </w:t>
      </w:r>
      <w:r w:rsidR="00A2096B">
        <w:t>Since t</w:t>
      </w:r>
      <w:r w:rsidR="006038F9">
        <w:t>he defendant has dual citizenship (Republic of Serbia and Australia)</w:t>
      </w:r>
      <w:r w:rsidR="00A2096B">
        <w:t xml:space="preserve">, and the crimes of which he is indicted may attract a sentence of 20 years of imprisonment, </w:t>
      </w:r>
      <w:r w:rsidR="00044F4C">
        <w:t xml:space="preserve">the Court held </w:t>
      </w:r>
      <w:r w:rsidR="00A2096B">
        <w:t>that the author’s investigative detention is lawful and legitimate</w:t>
      </w:r>
      <w:r w:rsidR="00044F4C">
        <w:t xml:space="preserve">, </w:t>
      </w:r>
      <w:r w:rsidR="008924BE">
        <w:t xml:space="preserve">as part of relevant </w:t>
      </w:r>
      <w:r w:rsidR="00A2096B">
        <w:t>criminal proce</w:t>
      </w:r>
      <w:r w:rsidR="008924BE">
        <w:t>eding</w:t>
      </w:r>
      <w:r w:rsidR="006038F9">
        <w:t xml:space="preserve">.  </w:t>
      </w:r>
      <w:r w:rsidR="006038F9" w:rsidRPr="007C76CD">
        <w:t xml:space="preserve">  </w:t>
      </w:r>
    </w:p>
  </w:footnote>
  <w:footnote w:id="23">
    <w:p w14:paraId="5172A43D" w14:textId="01672A47" w:rsidR="006038F9" w:rsidRPr="005F0506" w:rsidRDefault="006B297A" w:rsidP="00CC6EC9">
      <w:pPr>
        <w:pStyle w:val="FootnoteText"/>
      </w:pPr>
      <w:r>
        <w:rPr>
          <w:lang w:val="en-GB"/>
        </w:rPr>
        <w:tab/>
      </w:r>
      <w:r w:rsidR="006038F9" w:rsidRPr="002B2183">
        <w:rPr>
          <w:rStyle w:val="FootnoteReference"/>
        </w:rPr>
        <w:footnoteRef/>
      </w:r>
      <w:r>
        <w:rPr>
          <w:lang w:val="en-GB"/>
        </w:rPr>
        <w:tab/>
      </w:r>
      <w:r w:rsidR="00166DB3">
        <w:rPr>
          <w:lang w:val="en-GB"/>
        </w:rPr>
        <w:t>The a</w:t>
      </w:r>
      <w:r w:rsidR="00166DB3" w:rsidRPr="00166DB3">
        <w:rPr>
          <w:lang w:val="en-GB"/>
        </w:rPr>
        <w:t xml:space="preserve">uthor </w:t>
      </w:r>
      <w:r w:rsidR="00A2096B">
        <w:rPr>
          <w:lang w:val="en-GB"/>
        </w:rPr>
        <w:t xml:space="preserve">argues </w:t>
      </w:r>
      <w:r w:rsidR="00166DB3" w:rsidRPr="00166DB3">
        <w:rPr>
          <w:lang w:val="en-GB"/>
        </w:rPr>
        <w:t>that as a non-Croat, he can never achieve the conditions</w:t>
      </w:r>
      <w:r w:rsidR="00A2096B">
        <w:rPr>
          <w:lang w:val="en-GB"/>
        </w:rPr>
        <w:t xml:space="preserve"> referred above, and concludes that </w:t>
      </w:r>
      <w:r w:rsidR="00166DB3" w:rsidRPr="00166DB3">
        <w:rPr>
          <w:lang w:val="en-GB"/>
        </w:rPr>
        <w:t>illegal basis for his indefinite detention by the Croatian judiciary ha</w:t>
      </w:r>
      <w:r w:rsidR="00A2096B">
        <w:rPr>
          <w:lang w:val="en-GB"/>
        </w:rPr>
        <w:t xml:space="preserve">ve </w:t>
      </w:r>
      <w:r w:rsidR="00166DB3" w:rsidRPr="00166DB3">
        <w:rPr>
          <w:lang w:val="en-GB"/>
        </w:rPr>
        <w:t>been applied.</w:t>
      </w:r>
      <w:r w:rsidR="000F18CA">
        <w:rPr>
          <w:lang w:val="en-GB"/>
        </w:rPr>
        <w:t xml:space="preserve"> </w:t>
      </w:r>
      <w:r w:rsidR="00A2096B">
        <w:rPr>
          <w:lang w:val="en-GB"/>
        </w:rPr>
        <w:t xml:space="preserve">He also points to </w:t>
      </w:r>
      <w:r w:rsidR="006038F9" w:rsidRPr="005F0506">
        <w:t xml:space="preserve">the General Comment No. 35 in which the Committee stated that the </w:t>
      </w:r>
      <w:r w:rsidR="006038F9">
        <w:t xml:space="preserve">fact that a </w:t>
      </w:r>
      <w:r w:rsidR="006038F9" w:rsidRPr="005F0506">
        <w:t xml:space="preserve">defendant is a foreigner, </w:t>
      </w:r>
      <w:r w:rsidR="006038F9">
        <w:t>cannot be considered as</w:t>
      </w:r>
      <w:r w:rsidR="006038F9" w:rsidRPr="005F0506">
        <w:t xml:space="preserve"> sufficient to establish that </w:t>
      </w:r>
      <w:r w:rsidR="006038F9">
        <w:t>he/she may flee the jurisdiction</w:t>
      </w:r>
      <w:r w:rsidR="00A2096B">
        <w:t xml:space="preserve"> (</w:t>
      </w:r>
      <w:r w:rsidR="006038F9">
        <w:t>para. 38</w:t>
      </w:r>
      <w:r w:rsidR="00A2096B">
        <w:t>)</w:t>
      </w:r>
      <w:r w:rsidR="006038F9">
        <w:t>.</w:t>
      </w:r>
      <w:r w:rsidR="004F0D44">
        <w:t xml:space="preserve"> </w:t>
      </w:r>
    </w:p>
  </w:footnote>
  <w:footnote w:id="24">
    <w:p w14:paraId="3613942C" w14:textId="1A6BAA0A" w:rsidR="00C23895" w:rsidRDefault="006B297A" w:rsidP="000F18CA">
      <w:pPr>
        <w:pStyle w:val="FootnoteText"/>
      </w:pPr>
      <w:r>
        <w:tab/>
      </w:r>
      <w:r w:rsidR="00C23895" w:rsidRPr="002B2183">
        <w:rPr>
          <w:rStyle w:val="FootnoteReference"/>
        </w:rPr>
        <w:footnoteRef/>
      </w:r>
      <w:r>
        <w:tab/>
      </w:r>
      <w:r w:rsidR="00C23895">
        <w:t xml:space="preserve">The </w:t>
      </w:r>
      <w:r w:rsidR="0029255F" w:rsidRPr="00CC6EC9">
        <w:rPr>
          <w:lang w:val="en-GB"/>
        </w:rPr>
        <w:t>question</w:t>
      </w:r>
      <w:r w:rsidR="0029255F">
        <w:t xml:space="preserve"> of </w:t>
      </w:r>
      <w:r w:rsidR="00C23895">
        <w:t xml:space="preserve">proportionality of the author’s detention </w:t>
      </w:r>
      <w:r w:rsidR="00C23895" w:rsidRPr="00332EF2">
        <w:t xml:space="preserve">in Croatia </w:t>
      </w:r>
      <w:r w:rsidR="00C23895">
        <w:t xml:space="preserve">has been </w:t>
      </w:r>
      <w:r w:rsidR="00C23895" w:rsidRPr="00332EF2">
        <w:t xml:space="preserve">influenced by the </w:t>
      </w:r>
      <w:r w:rsidR="00C23895" w:rsidRPr="00CC6EC9">
        <w:rPr>
          <w:lang w:val="en-GB"/>
        </w:rPr>
        <w:t>proceedings</w:t>
      </w:r>
      <w:r w:rsidR="00C23895" w:rsidRPr="00332EF2">
        <w:t xml:space="preserve"> in Australia </w:t>
      </w:r>
      <w:r w:rsidR="00C23895">
        <w:t xml:space="preserve">and </w:t>
      </w:r>
      <w:r w:rsidR="00F24DE5">
        <w:t xml:space="preserve">has therefore </w:t>
      </w:r>
      <w:r w:rsidR="007F20D2">
        <w:t>represent</w:t>
      </w:r>
      <w:r w:rsidR="00F24DE5">
        <w:t>ed</w:t>
      </w:r>
      <w:r w:rsidR="007F20D2">
        <w:t xml:space="preserve"> </w:t>
      </w:r>
      <w:r w:rsidR="00C23895">
        <w:t xml:space="preserve">one of the </w:t>
      </w:r>
      <w:r w:rsidR="00180CB4">
        <w:t xml:space="preserve">reasons </w:t>
      </w:r>
      <w:r w:rsidR="00C23895">
        <w:t xml:space="preserve">for a joint consideration of admissibility. </w:t>
      </w:r>
    </w:p>
  </w:footnote>
  <w:footnote w:id="25">
    <w:p w14:paraId="546CC974" w14:textId="7DF7026F" w:rsidR="007724C1" w:rsidRDefault="00B14DC1" w:rsidP="00D005EF">
      <w:pPr>
        <w:pStyle w:val="FootnoteText"/>
      </w:pPr>
      <w:r>
        <w:tab/>
      </w:r>
      <w:r w:rsidR="007724C1" w:rsidRPr="002B2183">
        <w:rPr>
          <w:rStyle w:val="FootnoteReference"/>
        </w:rPr>
        <w:footnoteRef/>
      </w:r>
      <w:r>
        <w:tab/>
      </w:r>
      <w:r w:rsidR="007724C1">
        <w:t xml:space="preserve">See e.g. </w:t>
      </w:r>
      <w:r w:rsidR="009E3AE4" w:rsidRPr="00CC6EC9">
        <w:rPr>
          <w:lang w:val="en-GB"/>
        </w:rPr>
        <w:t>General</w:t>
      </w:r>
      <w:r w:rsidR="009E3AE4">
        <w:t xml:space="preserve"> Comment No. 32: </w:t>
      </w:r>
      <w:r w:rsidR="007724C1" w:rsidRPr="007724C1">
        <w:t>Article 14: Right to equality before courts and tribunals and to a fair trial</w:t>
      </w:r>
      <w:r w:rsidR="009E3AE4">
        <w:t xml:space="preserve"> (CCPR/C/GC/32 of 23 August 2007)</w:t>
      </w:r>
      <w:r w:rsidR="007724C1" w:rsidRPr="007724C1">
        <w:t>, para. 26.</w:t>
      </w:r>
      <w:r w:rsidR="00D005EF" w:rsidRPr="00D005EF">
        <w:t xml:space="preserve"> </w:t>
      </w:r>
      <w:r w:rsidR="00D005EF">
        <w:t xml:space="preserve">See also e.g. communications </w:t>
      </w:r>
      <w:r w:rsidR="00D005EF" w:rsidRPr="00D005EF">
        <w:rPr>
          <w:i/>
        </w:rPr>
        <w:t>Pillai et al. v. Canada</w:t>
      </w:r>
      <w:r w:rsidR="00CF36F8">
        <w:t xml:space="preserve"> (</w:t>
      </w:r>
      <w:r w:rsidR="00CF36F8" w:rsidRPr="00CF36F8">
        <w:t>CCPR/C/101/D/1763/2008</w:t>
      </w:r>
      <w:r w:rsidR="00CF36F8">
        <w:t>)</w:t>
      </w:r>
      <w:r w:rsidR="00D005EF">
        <w:t xml:space="preserve">, para. 11.4; and </w:t>
      </w:r>
      <w:r w:rsidR="00D005EF" w:rsidRPr="00D005EF">
        <w:rPr>
          <w:i/>
        </w:rPr>
        <w:t>Simms v. Jamaica</w:t>
      </w:r>
      <w:r w:rsidR="00977E91" w:rsidRPr="00977E91">
        <w:t xml:space="preserve"> </w:t>
      </w:r>
      <w:r w:rsidR="00977E91">
        <w:t>(</w:t>
      </w:r>
      <w:r w:rsidR="00977E91" w:rsidRPr="00977E91">
        <w:t>CCPR/C/53/D/541/1993</w:t>
      </w:r>
      <w:r w:rsidR="00977E91">
        <w:t>)</w:t>
      </w:r>
      <w:r w:rsidR="00D005EF">
        <w:t>, para. 6.2.</w:t>
      </w:r>
    </w:p>
  </w:footnote>
  <w:footnote w:id="26">
    <w:p w14:paraId="1D0AF61F" w14:textId="2782B46E" w:rsidR="007542A0" w:rsidRDefault="007542A0" w:rsidP="00CC6EC9">
      <w:pPr>
        <w:pStyle w:val="FootnoteText"/>
      </w:pPr>
      <w:r>
        <w:tab/>
      </w:r>
      <w:r w:rsidRPr="002B2183">
        <w:rPr>
          <w:rStyle w:val="FootnoteReference"/>
        </w:rPr>
        <w:footnoteRef/>
      </w:r>
      <w:r w:rsidR="00B14DC1">
        <w:tab/>
      </w:r>
      <w:r>
        <w:t xml:space="preserve">See e.g. communication </w:t>
      </w:r>
      <w:r w:rsidRPr="007542A0">
        <w:rPr>
          <w:i/>
        </w:rPr>
        <w:t>X. and Y. v. Canada</w:t>
      </w:r>
      <w:r w:rsidR="00B177B8">
        <w:rPr>
          <w:i/>
        </w:rPr>
        <w:t xml:space="preserve"> </w:t>
      </w:r>
      <w:r w:rsidR="00B177B8">
        <w:t>(</w:t>
      </w:r>
      <w:r w:rsidR="00B177B8" w:rsidRPr="00B177B8">
        <w:t>CCPR/C/</w:t>
      </w:r>
      <w:r w:rsidR="00806950">
        <w:t>118</w:t>
      </w:r>
      <w:r w:rsidR="00B177B8" w:rsidRPr="00B177B8">
        <w:t>/D</w:t>
      </w:r>
      <w:r w:rsidR="00806950">
        <w:t>/</w:t>
      </w:r>
      <w:r w:rsidR="00B177B8">
        <w:t>2771</w:t>
      </w:r>
      <w:r w:rsidR="00B177B8" w:rsidRPr="00B177B8">
        <w:t>/</w:t>
      </w:r>
      <w:r w:rsidR="00B177B8">
        <w:t>2016)</w:t>
      </w:r>
      <w:r w:rsidR="003A696C">
        <w:t>, para. 4.3</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5B7E0" w14:textId="33896160" w:rsidR="008A5196" w:rsidRPr="00781C83" w:rsidRDefault="000555BF" w:rsidP="0017676A">
    <w:pPr>
      <w:pStyle w:val="Header"/>
      <w:pBdr>
        <w:bottom w:val="single" w:sz="4" w:space="0" w:color="auto"/>
      </w:pBdr>
    </w:pPr>
    <w:r>
      <w:t>CCPR/C/</w:t>
    </w:r>
    <w:r w:rsidR="004D18B8">
      <w:t>122/</w:t>
    </w:r>
    <w:r>
      <w:t>D/</w:t>
    </w:r>
    <w:r w:rsidR="00B94F1C">
      <w:t>2859/2016</w:t>
    </w:r>
    <w:r w:rsidR="00684B48" w:rsidRPr="00684B48">
      <w:t xml:space="preserve"> Advance unedited version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537EC" w14:textId="5AC63CAB" w:rsidR="008A5196" w:rsidRPr="00781C83" w:rsidRDefault="000555BF" w:rsidP="007B1E62">
    <w:pPr>
      <w:pStyle w:val="Header"/>
      <w:pBdr>
        <w:bottom w:val="single" w:sz="4" w:space="0" w:color="auto"/>
      </w:pBdr>
      <w:jc w:val="right"/>
    </w:pPr>
    <w:r>
      <w:t>CCPR/C/122/D/</w:t>
    </w:r>
    <w:r w:rsidR="008F0BFE">
      <w:t>2859/2016</w:t>
    </w:r>
    <w:r w:rsidR="00684B48" w:rsidRPr="00684B48">
      <w:t xml:space="preserve"> Advance unedited version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531C2"/>
    <w:multiLevelType w:val="multilevel"/>
    <w:tmpl w:val="76609E1A"/>
    <w:lvl w:ilvl="0">
      <w:start w:val="1"/>
      <w:numFmt w:val="decimal"/>
      <w:lvlText w:val="%1."/>
      <w:lvlJc w:val="left"/>
      <w:pPr>
        <w:ind w:left="1494" w:hanging="360"/>
      </w:pPr>
      <w:rPr>
        <w:rFonts w:hint="default"/>
      </w:rPr>
    </w:lvl>
    <w:lvl w:ilvl="1">
      <w:start w:val="2"/>
      <w:numFmt w:val="decimal"/>
      <w:isLgl/>
      <w:lvlText w:val="%1.%2"/>
      <w:lvlJc w:val="left"/>
      <w:pPr>
        <w:ind w:left="1689" w:hanging="555"/>
      </w:pPr>
      <w:rPr>
        <w:rFonts w:hint="default"/>
        <w:color w:val="000000"/>
      </w:rPr>
    </w:lvl>
    <w:lvl w:ilvl="2">
      <w:start w:val="1"/>
      <w:numFmt w:val="decimal"/>
      <w:isLgl/>
      <w:lvlText w:val="%1.%2.%3"/>
      <w:lvlJc w:val="left"/>
      <w:pPr>
        <w:ind w:left="1854" w:hanging="720"/>
      </w:pPr>
      <w:rPr>
        <w:rFonts w:hint="default"/>
        <w:color w:val="000000"/>
      </w:rPr>
    </w:lvl>
    <w:lvl w:ilvl="3">
      <w:start w:val="1"/>
      <w:numFmt w:val="decimal"/>
      <w:isLgl/>
      <w:lvlText w:val="%1.%2.%3.%4"/>
      <w:lvlJc w:val="left"/>
      <w:pPr>
        <w:ind w:left="1854" w:hanging="720"/>
      </w:pPr>
      <w:rPr>
        <w:rFonts w:hint="default"/>
        <w:color w:val="000000"/>
      </w:rPr>
    </w:lvl>
    <w:lvl w:ilvl="4">
      <w:start w:val="1"/>
      <w:numFmt w:val="decimal"/>
      <w:isLgl/>
      <w:lvlText w:val="%1.%2.%3.%4.%5"/>
      <w:lvlJc w:val="left"/>
      <w:pPr>
        <w:ind w:left="1854" w:hanging="720"/>
      </w:pPr>
      <w:rPr>
        <w:rFonts w:hint="default"/>
        <w:color w:val="000000"/>
      </w:rPr>
    </w:lvl>
    <w:lvl w:ilvl="5">
      <w:start w:val="1"/>
      <w:numFmt w:val="decimal"/>
      <w:isLgl/>
      <w:lvlText w:val="%1.%2.%3.%4.%5.%6"/>
      <w:lvlJc w:val="left"/>
      <w:pPr>
        <w:ind w:left="2214" w:hanging="1080"/>
      </w:pPr>
      <w:rPr>
        <w:rFonts w:hint="default"/>
        <w:color w:val="000000"/>
      </w:rPr>
    </w:lvl>
    <w:lvl w:ilvl="6">
      <w:start w:val="1"/>
      <w:numFmt w:val="decimal"/>
      <w:isLgl/>
      <w:lvlText w:val="%1.%2.%3.%4.%5.%6.%7"/>
      <w:lvlJc w:val="left"/>
      <w:pPr>
        <w:ind w:left="2214" w:hanging="1080"/>
      </w:pPr>
      <w:rPr>
        <w:rFonts w:hint="default"/>
        <w:color w:val="000000"/>
      </w:rPr>
    </w:lvl>
    <w:lvl w:ilvl="7">
      <w:start w:val="1"/>
      <w:numFmt w:val="decimal"/>
      <w:isLgl/>
      <w:lvlText w:val="%1.%2.%3.%4.%5.%6.%7.%8"/>
      <w:lvlJc w:val="left"/>
      <w:pPr>
        <w:ind w:left="2574" w:hanging="1440"/>
      </w:pPr>
      <w:rPr>
        <w:rFonts w:hint="default"/>
        <w:color w:val="000000"/>
      </w:rPr>
    </w:lvl>
    <w:lvl w:ilvl="8">
      <w:start w:val="1"/>
      <w:numFmt w:val="decimal"/>
      <w:isLgl/>
      <w:lvlText w:val="%1.%2.%3.%4.%5.%6.%7.%8.%9"/>
      <w:lvlJc w:val="left"/>
      <w:pPr>
        <w:ind w:left="2574" w:hanging="1440"/>
      </w:pPr>
      <w:rPr>
        <w:rFonts w:hint="default"/>
        <w:color w:val="000000"/>
      </w:rPr>
    </w:lvl>
  </w:abstractNum>
  <w:abstractNum w:abstractNumId="2" w15:restartNumberingAfterBreak="0">
    <w:nsid w:val="13EB5B73"/>
    <w:multiLevelType w:val="multilevel"/>
    <w:tmpl w:val="06E0FFDC"/>
    <w:lvl w:ilvl="0">
      <w:start w:val="1"/>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256" w:hanging="72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7884" w:hanging="108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512" w:hanging="1440"/>
      </w:pPr>
      <w:rPr>
        <w:rFonts w:cs="Times New Roman" w:hint="default"/>
      </w:rPr>
    </w:lvl>
  </w:abstractNum>
  <w:abstractNum w:abstractNumId="3" w15:restartNumberingAfterBreak="0">
    <w:nsid w:val="1A12567D"/>
    <w:multiLevelType w:val="multilevel"/>
    <w:tmpl w:val="3CB68174"/>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B2D71F3"/>
    <w:multiLevelType w:val="multilevel"/>
    <w:tmpl w:val="700638AA"/>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F8E7DFA"/>
    <w:multiLevelType w:val="multilevel"/>
    <w:tmpl w:val="6F4044B6"/>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6" w15:restartNumberingAfterBreak="0">
    <w:nsid w:val="5A775397"/>
    <w:multiLevelType w:val="hybridMultilevel"/>
    <w:tmpl w:val="2C8432FC"/>
    <w:lvl w:ilvl="0" w:tplc="81868B0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62116750"/>
    <w:multiLevelType w:val="hybridMultilevel"/>
    <w:tmpl w:val="54828B94"/>
    <w:lvl w:ilvl="0" w:tplc="160AFEEC">
      <w:start w:val="1"/>
      <w:numFmt w:val="decimal"/>
      <w:lvlText w:val="%1."/>
      <w:lvlJc w:val="left"/>
      <w:pPr>
        <w:ind w:left="1710" w:hanging="576"/>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8" w15:restartNumberingAfterBreak="0">
    <w:nsid w:val="649579C7"/>
    <w:multiLevelType w:val="hybridMultilevel"/>
    <w:tmpl w:val="C21650E2"/>
    <w:lvl w:ilvl="0" w:tplc="05D403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7"/>
  </w:num>
  <w:num w:numId="4">
    <w:abstractNumId w:val="2"/>
  </w:num>
  <w:num w:numId="5">
    <w:abstractNumId w:val="8"/>
  </w:num>
  <w:num w:numId="6">
    <w:abstractNumId w:val="4"/>
  </w:num>
  <w:num w:numId="7">
    <w:abstractNumId w:val="5"/>
  </w:num>
  <w:num w:numId="8">
    <w:abstractNumId w:val="6"/>
  </w:num>
  <w:num w:numId="9">
    <w:abstractNumId w:val="1"/>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6A5"/>
    <w:rsid w:val="00002773"/>
    <w:rsid w:val="000044E2"/>
    <w:rsid w:val="00005BD8"/>
    <w:rsid w:val="00006140"/>
    <w:rsid w:val="00006B85"/>
    <w:rsid w:val="000128E3"/>
    <w:rsid w:val="00012A71"/>
    <w:rsid w:val="000135C3"/>
    <w:rsid w:val="000222FF"/>
    <w:rsid w:val="000227DC"/>
    <w:rsid w:val="00024133"/>
    <w:rsid w:val="00025269"/>
    <w:rsid w:val="00025370"/>
    <w:rsid w:val="00025418"/>
    <w:rsid w:val="00025D41"/>
    <w:rsid w:val="00026B06"/>
    <w:rsid w:val="000272B3"/>
    <w:rsid w:val="00027A45"/>
    <w:rsid w:val="00031D46"/>
    <w:rsid w:val="00032A3A"/>
    <w:rsid w:val="0003387B"/>
    <w:rsid w:val="00035F0E"/>
    <w:rsid w:val="00037807"/>
    <w:rsid w:val="00037AD0"/>
    <w:rsid w:val="0004092D"/>
    <w:rsid w:val="00041994"/>
    <w:rsid w:val="000419D2"/>
    <w:rsid w:val="00044EE9"/>
    <w:rsid w:val="00044F4C"/>
    <w:rsid w:val="000468D4"/>
    <w:rsid w:val="00050F6B"/>
    <w:rsid w:val="00053842"/>
    <w:rsid w:val="00055096"/>
    <w:rsid w:val="000555BF"/>
    <w:rsid w:val="0005782B"/>
    <w:rsid w:val="00057E97"/>
    <w:rsid w:val="00057F1A"/>
    <w:rsid w:val="00060074"/>
    <w:rsid w:val="00060C3A"/>
    <w:rsid w:val="0006235A"/>
    <w:rsid w:val="00066476"/>
    <w:rsid w:val="00067250"/>
    <w:rsid w:val="00071930"/>
    <w:rsid w:val="00072C8C"/>
    <w:rsid w:val="000733B5"/>
    <w:rsid w:val="0007628F"/>
    <w:rsid w:val="00081815"/>
    <w:rsid w:val="0008278D"/>
    <w:rsid w:val="0008317C"/>
    <w:rsid w:val="000834D6"/>
    <w:rsid w:val="000851C9"/>
    <w:rsid w:val="00085553"/>
    <w:rsid w:val="000908FA"/>
    <w:rsid w:val="000931C0"/>
    <w:rsid w:val="000970C1"/>
    <w:rsid w:val="00097C2F"/>
    <w:rsid w:val="000A2283"/>
    <w:rsid w:val="000A30D5"/>
    <w:rsid w:val="000A34F4"/>
    <w:rsid w:val="000A38FD"/>
    <w:rsid w:val="000A442E"/>
    <w:rsid w:val="000A50A8"/>
    <w:rsid w:val="000A6B47"/>
    <w:rsid w:val="000A7D92"/>
    <w:rsid w:val="000B175B"/>
    <w:rsid w:val="000B1788"/>
    <w:rsid w:val="000B2DA3"/>
    <w:rsid w:val="000B3A0F"/>
    <w:rsid w:val="000B4EF7"/>
    <w:rsid w:val="000B6CA3"/>
    <w:rsid w:val="000C2C03"/>
    <w:rsid w:val="000C2D2E"/>
    <w:rsid w:val="000C2E06"/>
    <w:rsid w:val="000C66ED"/>
    <w:rsid w:val="000C6F58"/>
    <w:rsid w:val="000C71A2"/>
    <w:rsid w:val="000C74AF"/>
    <w:rsid w:val="000D0A22"/>
    <w:rsid w:val="000D5D04"/>
    <w:rsid w:val="000E0415"/>
    <w:rsid w:val="000E0A42"/>
    <w:rsid w:val="000E0A4F"/>
    <w:rsid w:val="000E10B6"/>
    <w:rsid w:val="000E1CDA"/>
    <w:rsid w:val="000E2BE1"/>
    <w:rsid w:val="000E3709"/>
    <w:rsid w:val="000E42FA"/>
    <w:rsid w:val="000E536B"/>
    <w:rsid w:val="000E567F"/>
    <w:rsid w:val="000E7797"/>
    <w:rsid w:val="000E7B78"/>
    <w:rsid w:val="000F03D7"/>
    <w:rsid w:val="000F18CA"/>
    <w:rsid w:val="000F1BE3"/>
    <w:rsid w:val="000F46C4"/>
    <w:rsid w:val="000F4E65"/>
    <w:rsid w:val="000F570E"/>
    <w:rsid w:val="000F6BEA"/>
    <w:rsid w:val="000F76E4"/>
    <w:rsid w:val="000F7E27"/>
    <w:rsid w:val="000F7E69"/>
    <w:rsid w:val="000F7F76"/>
    <w:rsid w:val="00100CD9"/>
    <w:rsid w:val="00101383"/>
    <w:rsid w:val="00102AC0"/>
    <w:rsid w:val="001037D9"/>
    <w:rsid w:val="00106BFB"/>
    <w:rsid w:val="001103AA"/>
    <w:rsid w:val="0011184E"/>
    <w:rsid w:val="00114D25"/>
    <w:rsid w:val="00115DDE"/>
    <w:rsid w:val="001163B9"/>
    <w:rsid w:val="00123048"/>
    <w:rsid w:val="00124014"/>
    <w:rsid w:val="001252BD"/>
    <w:rsid w:val="001306DD"/>
    <w:rsid w:val="0013235B"/>
    <w:rsid w:val="00133611"/>
    <w:rsid w:val="00142286"/>
    <w:rsid w:val="0015032A"/>
    <w:rsid w:val="00151CCD"/>
    <w:rsid w:val="00156376"/>
    <w:rsid w:val="00161364"/>
    <w:rsid w:val="00161B02"/>
    <w:rsid w:val="001649C8"/>
    <w:rsid w:val="00165F3A"/>
    <w:rsid w:val="00166DB3"/>
    <w:rsid w:val="0017277A"/>
    <w:rsid w:val="00172B2B"/>
    <w:rsid w:val="00173150"/>
    <w:rsid w:val="0017551B"/>
    <w:rsid w:val="0017676A"/>
    <w:rsid w:val="00176FE1"/>
    <w:rsid w:val="0017708A"/>
    <w:rsid w:val="00180AF8"/>
    <w:rsid w:val="00180CB4"/>
    <w:rsid w:val="00182A46"/>
    <w:rsid w:val="00183968"/>
    <w:rsid w:val="00192A89"/>
    <w:rsid w:val="0019468C"/>
    <w:rsid w:val="00195FA5"/>
    <w:rsid w:val="00196CDF"/>
    <w:rsid w:val="001975D8"/>
    <w:rsid w:val="001A079F"/>
    <w:rsid w:val="001A09DE"/>
    <w:rsid w:val="001A2E0B"/>
    <w:rsid w:val="001A44F4"/>
    <w:rsid w:val="001A660B"/>
    <w:rsid w:val="001A6686"/>
    <w:rsid w:val="001A723C"/>
    <w:rsid w:val="001B300A"/>
    <w:rsid w:val="001B368C"/>
    <w:rsid w:val="001B4041"/>
    <w:rsid w:val="001B4B04"/>
    <w:rsid w:val="001B734D"/>
    <w:rsid w:val="001C0376"/>
    <w:rsid w:val="001C276E"/>
    <w:rsid w:val="001C2798"/>
    <w:rsid w:val="001C326D"/>
    <w:rsid w:val="001C51CB"/>
    <w:rsid w:val="001C538B"/>
    <w:rsid w:val="001C6016"/>
    <w:rsid w:val="001C657F"/>
    <w:rsid w:val="001C6663"/>
    <w:rsid w:val="001C7895"/>
    <w:rsid w:val="001D0C8C"/>
    <w:rsid w:val="001D26DF"/>
    <w:rsid w:val="001D2754"/>
    <w:rsid w:val="001D2861"/>
    <w:rsid w:val="001D384D"/>
    <w:rsid w:val="001D3A03"/>
    <w:rsid w:val="001D4B84"/>
    <w:rsid w:val="001D4CB9"/>
    <w:rsid w:val="001D5C81"/>
    <w:rsid w:val="001E10EC"/>
    <w:rsid w:val="001E357C"/>
    <w:rsid w:val="001E48A9"/>
    <w:rsid w:val="001E5A9C"/>
    <w:rsid w:val="001E68DA"/>
    <w:rsid w:val="001F176F"/>
    <w:rsid w:val="001F382A"/>
    <w:rsid w:val="001F6208"/>
    <w:rsid w:val="002012C3"/>
    <w:rsid w:val="00202DA8"/>
    <w:rsid w:val="00207ED3"/>
    <w:rsid w:val="00210AE2"/>
    <w:rsid w:val="00210CE0"/>
    <w:rsid w:val="002117EE"/>
    <w:rsid w:val="00211E0B"/>
    <w:rsid w:val="00214B06"/>
    <w:rsid w:val="00217DDD"/>
    <w:rsid w:val="00222DFC"/>
    <w:rsid w:val="0022501D"/>
    <w:rsid w:val="0022665C"/>
    <w:rsid w:val="00226F53"/>
    <w:rsid w:val="002310A9"/>
    <w:rsid w:val="002313C7"/>
    <w:rsid w:val="00231C9F"/>
    <w:rsid w:val="0023210C"/>
    <w:rsid w:val="00232832"/>
    <w:rsid w:val="00236D66"/>
    <w:rsid w:val="00244A62"/>
    <w:rsid w:val="00244EDE"/>
    <w:rsid w:val="002450F8"/>
    <w:rsid w:val="00252170"/>
    <w:rsid w:val="00253158"/>
    <w:rsid w:val="00253E54"/>
    <w:rsid w:val="002569AF"/>
    <w:rsid w:val="00262951"/>
    <w:rsid w:val="002632E7"/>
    <w:rsid w:val="0026447F"/>
    <w:rsid w:val="00266E9E"/>
    <w:rsid w:val="002671EF"/>
    <w:rsid w:val="00267CEE"/>
    <w:rsid w:val="00267F5F"/>
    <w:rsid w:val="002702D2"/>
    <w:rsid w:val="0027131E"/>
    <w:rsid w:val="002743EE"/>
    <w:rsid w:val="002744F0"/>
    <w:rsid w:val="0027570D"/>
    <w:rsid w:val="002767FA"/>
    <w:rsid w:val="00280D66"/>
    <w:rsid w:val="002824C8"/>
    <w:rsid w:val="002834E0"/>
    <w:rsid w:val="0028488D"/>
    <w:rsid w:val="0028645E"/>
    <w:rsid w:val="00286B4D"/>
    <w:rsid w:val="00290F51"/>
    <w:rsid w:val="002915E7"/>
    <w:rsid w:val="00291DC9"/>
    <w:rsid w:val="0029255F"/>
    <w:rsid w:val="0029319B"/>
    <w:rsid w:val="002974A6"/>
    <w:rsid w:val="002A03BE"/>
    <w:rsid w:val="002A239B"/>
    <w:rsid w:val="002A5E37"/>
    <w:rsid w:val="002A6DAC"/>
    <w:rsid w:val="002A71C4"/>
    <w:rsid w:val="002B2183"/>
    <w:rsid w:val="002B3574"/>
    <w:rsid w:val="002B3F1E"/>
    <w:rsid w:val="002B4AC8"/>
    <w:rsid w:val="002B56E0"/>
    <w:rsid w:val="002B7745"/>
    <w:rsid w:val="002C032D"/>
    <w:rsid w:val="002C24BC"/>
    <w:rsid w:val="002C3C84"/>
    <w:rsid w:val="002C3E59"/>
    <w:rsid w:val="002C4B41"/>
    <w:rsid w:val="002C4E74"/>
    <w:rsid w:val="002C5BCD"/>
    <w:rsid w:val="002D3AF5"/>
    <w:rsid w:val="002D46DB"/>
    <w:rsid w:val="002D5776"/>
    <w:rsid w:val="002D5ECE"/>
    <w:rsid w:val="002D6B83"/>
    <w:rsid w:val="002D793C"/>
    <w:rsid w:val="002D7FCC"/>
    <w:rsid w:val="002E1323"/>
    <w:rsid w:val="002E4AD6"/>
    <w:rsid w:val="002E6CA3"/>
    <w:rsid w:val="002F039C"/>
    <w:rsid w:val="002F053D"/>
    <w:rsid w:val="002F14CA"/>
    <w:rsid w:val="002F175C"/>
    <w:rsid w:val="002F4E01"/>
    <w:rsid w:val="002F709A"/>
    <w:rsid w:val="002F772E"/>
    <w:rsid w:val="002F781E"/>
    <w:rsid w:val="00300FEE"/>
    <w:rsid w:val="00301072"/>
    <w:rsid w:val="0030138D"/>
    <w:rsid w:val="00301BD4"/>
    <w:rsid w:val="00306124"/>
    <w:rsid w:val="00310F2C"/>
    <w:rsid w:val="003121FB"/>
    <w:rsid w:val="00312936"/>
    <w:rsid w:val="00314A18"/>
    <w:rsid w:val="00314A97"/>
    <w:rsid w:val="0031530A"/>
    <w:rsid w:val="0031790F"/>
    <w:rsid w:val="00320E07"/>
    <w:rsid w:val="003220F0"/>
    <w:rsid w:val="003229D8"/>
    <w:rsid w:val="0032348D"/>
    <w:rsid w:val="00323A2B"/>
    <w:rsid w:val="00326293"/>
    <w:rsid w:val="00327502"/>
    <w:rsid w:val="00330A3F"/>
    <w:rsid w:val="00331781"/>
    <w:rsid w:val="00332D5C"/>
    <w:rsid w:val="00332EF2"/>
    <w:rsid w:val="003335F5"/>
    <w:rsid w:val="00333921"/>
    <w:rsid w:val="00335D6C"/>
    <w:rsid w:val="00336FB0"/>
    <w:rsid w:val="00341EE6"/>
    <w:rsid w:val="00342D6C"/>
    <w:rsid w:val="003464C6"/>
    <w:rsid w:val="003475D1"/>
    <w:rsid w:val="00352709"/>
    <w:rsid w:val="00352B43"/>
    <w:rsid w:val="00352D2B"/>
    <w:rsid w:val="00354AA8"/>
    <w:rsid w:val="00355BD5"/>
    <w:rsid w:val="00361F39"/>
    <w:rsid w:val="0036213E"/>
    <w:rsid w:val="00362869"/>
    <w:rsid w:val="0036286A"/>
    <w:rsid w:val="003652A0"/>
    <w:rsid w:val="003661AB"/>
    <w:rsid w:val="0036645D"/>
    <w:rsid w:val="003670F9"/>
    <w:rsid w:val="00367567"/>
    <w:rsid w:val="003705C9"/>
    <w:rsid w:val="00371178"/>
    <w:rsid w:val="003719B4"/>
    <w:rsid w:val="0037204F"/>
    <w:rsid w:val="003721B4"/>
    <w:rsid w:val="003721BC"/>
    <w:rsid w:val="00372E2F"/>
    <w:rsid w:val="003730DD"/>
    <w:rsid w:val="0037323F"/>
    <w:rsid w:val="00373619"/>
    <w:rsid w:val="00374609"/>
    <w:rsid w:val="00381975"/>
    <w:rsid w:val="0038336C"/>
    <w:rsid w:val="00383F4C"/>
    <w:rsid w:val="00383F7E"/>
    <w:rsid w:val="0038400D"/>
    <w:rsid w:val="0038607B"/>
    <w:rsid w:val="00386A7B"/>
    <w:rsid w:val="00386AC2"/>
    <w:rsid w:val="00386EF5"/>
    <w:rsid w:val="003871ED"/>
    <w:rsid w:val="00390C23"/>
    <w:rsid w:val="00392A35"/>
    <w:rsid w:val="00392CB0"/>
    <w:rsid w:val="00394A4C"/>
    <w:rsid w:val="00395395"/>
    <w:rsid w:val="0039556A"/>
    <w:rsid w:val="00397223"/>
    <w:rsid w:val="003973D0"/>
    <w:rsid w:val="003A0984"/>
    <w:rsid w:val="003A1602"/>
    <w:rsid w:val="003A22FB"/>
    <w:rsid w:val="003A251F"/>
    <w:rsid w:val="003A3C43"/>
    <w:rsid w:val="003A3E7A"/>
    <w:rsid w:val="003A5830"/>
    <w:rsid w:val="003A6810"/>
    <w:rsid w:val="003A696C"/>
    <w:rsid w:val="003A6BB4"/>
    <w:rsid w:val="003B234B"/>
    <w:rsid w:val="003B483A"/>
    <w:rsid w:val="003B4890"/>
    <w:rsid w:val="003B592D"/>
    <w:rsid w:val="003B59D4"/>
    <w:rsid w:val="003B6175"/>
    <w:rsid w:val="003C02AB"/>
    <w:rsid w:val="003C2CC4"/>
    <w:rsid w:val="003C6AC9"/>
    <w:rsid w:val="003D0290"/>
    <w:rsid w:val="003D1310"/>
    <w:rsid w:val="003D3CF9"/>
    <w:rsid w:val="003D4143"/>
    <w:rsid w:val="003D4794"/>
    <w:rsid w:val="003D4B23"/>
    <w:rsid w:val="003E1596"/>
    <w:rsid w:val="003E1C43"/>
    <w:rsid w:val="003E219E"/>
    <w:rsid w:val="003E3782"/>
    <w:rsid w:val="003E3CF4"/>
    <w:rsid w:val="003E64CC"/>
    <w:rsid w:val="003E6D09"/>
    <w:rsid w:val="003E6F7E"/>
    <w:rsid w:val="003E723E"/>
    <w:rsid w:val="003F04A1"/>
    <w:rsid w:val="003F4A14"/>
    <w:rsid w:val="00400754"/>
    <w:rsid w:val="00400ACF"/>
    <w:rsid w:val="00401BF0"/>
    <w:rsid w:val="00402458"/>
    <w:rsid w:val="00403387"/>
    <w:rsid w:val="00403EAD"/>
    <w:rsid w:val="0040413A"/>
    <w:rsid w:val="004050B9"/>
    <w:rsid w:val="00405473"/>
    <w:rsid w:val="00410C89"/>
    <w:rsid w:val="00412A50"/>
    <w:rsid w:val="00412D2C"/>
    <w:rsid w:val="004147D4"/>
    <w:rsid w:val="00414931"/>
    <w:rsid w:val="00414B35"/>
    <w:rsid w:val="004165C5"/>
    <w:rsid w:val="00424479"/>
    <w:rsid w:val="00424AD8"/>
    <w:rsid w:val="0042621F"/>
    <w:rsid w:val="00426B9B"/>
    <w:rsid w:val="00431FE1"/>
    <w:rsid w:val="004325CB"/>
    <w:rsid w:val="004331A3"/>
    <w:rsid w:val="004346B9"/>
    <w:rsid w:val="0043559E"/>
    <w:rsid w:val="00435D83"/>
    <w:rsid w:val="00436142"/>
    <w:rsid w:val="00436B33"/>
    <w:rsid w:val="00442A83"/>
    <w:rsid w:val="00446B75"/>
    <w:rsid w:val="00450A3B"/>
    <w:rsid w:val="004514F6"/>
    <w:rsid w:val="0045495B"/>
    <w:rsid w:val="00456152"/>
    <w:rsid w:val="0045741F"/>
    <w:rsid w:val="00457E0B"/>
    <w:rsid w:val="00464277"/>
    <w:rsid w:val="004658A3"/>
    <w:rsid w:val="00466844"/>
    <w:rsid w:val="00466B4C"/>
    <w:rsid w:val="00467903"/>
    <w:rsid w:val="0047261F"/>
    <w:rsid w:val="004734D9"/>
    <w:rsid w:val="00473963"/>
    <w:rsid w:val="004821F5"/>
    <w:rsid w:val="004832AC"/>
    <w:rsid w:val="004838A6"/>
    <w:rsid w:val="00483D1D"/>
    <w:rsid w:val="00483EF4"/>
    <w:rsid w:val="00484410"/>
    <w:rsid w:val="00484B45"/>
    <w:rsid w:val="0048637B"/>
    <w:rsid w:val="00487256"/>
    <w:rsid w:val="00487488"/>
    <w:rsid w:val="0049219B"/>
    <w:rsid w:val="00493CC2"/>
    <w:rsid w:val="00493E1B"/>
    <w:rsid w:val="004976F2"/>
    <w:rsid w:val="004A2281"/>
    <w:rsid w:val="004A28A7"/>
    <w:rsid w:val="004A4366"/>
    <w:rsid w:val="004A5F9C"/>
    <w:rsid w:val="004B3D5D"/>
    <w:rsid w:val="004C0946"/>
    <w:rsid w:val="004C2A01"/>
    <w:rsid w:val="004C4A2B"/>
    <w:rsid w:val="004D18B8"/>
    <w:rsid w:val="004D1CEB"/>
    <w:rsid w:val="004D2E5A"/>
    <w:rsid w:val="004D4AAD"/>
    <w:rsid w:val="004D5A9F"/>
    <w:rsid w:val="004D5BEC"/>
    <w:rsid w:val="004D71B4"/>
    <w:rsid w:val="004E1541"/>
    <w:rsid w:val="004E64A6"/>
    <w:rsid w:val="004F0D44"/>
    <w:rsid w:val="004F5078"/>
    <w:rsid w:val="004F56A1"/>
    <w:rsid w:val="004F5CB5"/>
    <w:rsid w:val="0050121C"/>
    <w:rsid w:val="005058FF"/>
    <w:rsid w:val="00507186"/>
    <w:rsid w:val="00511106"/>
    <w:rsid w:val="00512945"/>
    <w:rsid w:val="00512D8B"/>
    <w:rsid w:val="00514916"/>
    <w:rsid w:val="00514BFF"/>
    <w:rsid w:val="00516701"/>
    <w:rsid w:val="00516A5D"/>
    <w:rsid w:val="0052136D"/>
    <w:rsid w:val="005240D4"/>
    <w:rsid w:val="0052434D"/>
    <w:rsid w:val="00524C98"/>
    <w:rsid w:val="00525395"/>
    <w:rsid w:val="0052775E"/>
    <w:rsid w:val="00527B53"/>
    <w:rsid w:val="00533CAC"/>
    <w:rsid w:val="00533E30"/>
    <w:rsid w:val="00533EFD"/>
    <w:rsid w:val="00534B41"/>
    <w:rsid w:val="005409DC"/>
    <w:rsid w:val="005420F2"/>
    <w:rsid w:val="00542BC7"/>
    <w:rsid w:val="005479E7"/>
    <w:rsid w:val="00547A47"/>
    <w:rsid w:val="00550BDA"/>
    <w:rsid w:val="00550D3B"/>
    <w:rsid w:val="005519D0"/>
    <w:rsid w:val="00552689"/>
    <w:rsid w:val="00553373"/>
    <w:rsid w:val="005545F1"/>
    <w:rsid w:val="005618F9"/>
    <w:rsid w:val="005628B6"/>
    <w:rsid w:val="00562B61"/>
    <w:rsid w:val="00562F4D"/>
    <w:rsid w:val="00564714"/>
    <w:rsid w:val="0056624F"/>
    <w:rsid w:val="005704D1"/>
    <w:rsid w:val="00571BB4"/>
    <w:rsid w:val="00571CA9"/>
    <w:rsid w:val="005722B3"/>
    <w:rsid w:val="00573F6F"/>
    <w:rsid w:val="0057414A"/>
    <w:rsid w:val="0057494C"/>
    <w:rsid w:val="00574EB0"/>
    <w:rsid w:val="00580700"/>
    <w:rsid w:val="005848B3"/>
    <w:rsid w:val="005853D7"/>
    <w:rsid w:val="00586059"/>
    <w:rsid w:val="00586ABA"/>
    <w:rsid w:val="0058726B"/>
    <w:rsid w:val="00590F87"/>
    <w:rsid w:val="005915E0"/>
    <w:rsid w:val="005928DF"/>
    <w:rsid w:val="00592C4A"/>
    <w:rsid w:val="00592C4B"/>
    <w:rsid w:val="00592D66"/>
    <w:rsid w:val="00594628"/>
    <w:rsid w:val="00594BD6"/>
    <w:rsid w:val="00594CF0"/>
    <w:rsid w:val="00596EFC"/>
    <w:rsid w:val="00597E6E"/>
    <w:rsid w:val="005A0415"/>
    <w:rsid w:val="005A084E"/>
    <w:rsid w:val="005A0C1C"/>
    <w:rsid w:val="005A1113"/>
    <w:rsid w:val="005A1B1D"/>
    <w:rsid w:val="005A3B8B"/>
    <w:rsid w:val="005A533E"/>
    <w:rsid w:val="005A72E7"/>
    <w:rsid w:val="005A7430"/>
    <w:rsid w:val="005B180A"/>
    <w:rsid w:val="005B31F6"/>
    <w:rsid w:val="005B3D4E"/>
    <w:rsid w:val="005B3DB3"/>
    <w:rsid w:val="005B5F27"/>
    <w:rsid w:val="005B6292"/>
    <w:rsid w:val="005C1CC7"/>
    <w:rsid w:val="005C5760"/>
    <w:rsid w:val="005C674E"/>
    <w:rsid w:val="005C6D98"/>
    <w:rsid w:val="005D0E65"/>
    <w:rsid w:val="005D2DFC"/>
    <w:rsid w:val="005D30B8"/>
    <w:rsid w:val="005D38A8"/>
    <w:rsid w:val="005D4877"/>
    <w:rsid w:val="005D542D"/>
    <w:rsid w:val="005D5721"/>
    <w:rsid w:val="005D5AF5"/>
    <w:rsid w:val="005D5FE7"/>
    <w:rsid w:val="005E06C2"/>
    <w:rsid w:val="005E2D2C"/>
    <w:rsid w:val="005E3F67"/>
    <w:rsid w:val="005E40FD"/>
    <w:rsid w:val="005E5034"/>
    <w:rsid w:val="005E60B1"/>
    <w:rsid w:val="005E783D"/>
    <w:rsid w:val="005E7981"/>
    <w:rsid w:val="005F494A"/>
    <w:rsid w:val="005F53E0"/>
    <w:rsid w:val="005F5699"/>
    <w:rsid w:val="005F575F"/>
    <w:rsid w:val="005F57AD"/>
    <w:rsid w:val="005F7717"/>
    <w:rsid w:val="005F7B75"/>
    <w:rsid w:val="005F7F93"/>
    <w:rsid w:val="006001EE"/>
    <w:rsid w:val="00601CA8"/>
    <w:rsid w:val="00602B75"/>
    <w:rsid w:val="006038F9"/>
    <w:rsid w:val="00605042"/>
    <w:rsid w:val="00606B2B"/>
    <w:rsid w:val="00607635"/>
    <w:rsid w:val="0061115C"/>
    <w:rsid w:val="00611FC4"/>
    <w:rsid w:val="00614C50"/>
    <w:rsid w:val="00616894"/>
    <w:rsid w:val="006176FB"/>
    <w:rsid w:val="00622E3D"/>
    <w:rsid w:val="00624677"/>
    <w:rsid w:val="00624F12"/>
    <w:rsid w:val="00625FB0"/>
    <w:rsid w:val="006264FB"/>
    <w:rsid w:val="006274AD"/>
    <w:rsid w:val="00627A1B"/>
    <w:rsid w:val="00627FB0"/>
    <w:rsid w:val="00630676"/>
    <w:rsid w:val="00632287"/>
    <w:rsid w:val="006353A1"/>
    <w:rsid w:val="00636EFE"/>
    <w:rsid w:val="006405BC"/>
    <w:rsid w:val="00640B26"/>
    <w:rsid w:val="0064226F"/>
    <w:rsid w:val="006478E6"/>
    <w:rsid w:val="00652D0A"/>
    <w:rsid w:val="00652FD1"/>
    <w:rsid w:val="00654777"/>
    <w:rsid w:val="00661597"/>
    <w:rsid w:val="006617E2"/>
    <w:rsid w:val="006619EB"/>
    <w:rsid w:val="00662BB6"/>
    <w:rsid w:val="00663AAF"/>
    <w:rsid w:val="00664C49"/>
    <w:rsid w:val="0066644D"/>
    <w:rsid w:val="00667887"/>
    <w:rsid w:val="006728FF"/>
    <w:rsid w:val="00674026"/>
    <w:rsid w:val="006743E9"/>
    <w:rsid w:val="00674D14"/>
    <w:rsid w:val="00677369"/>
    <w:rsid w:val="006779E8"/>
    <w:rsid w:val="00680461"/>
    <w:rsid w:val="00682284"/>
    <w:rsid w:val="006838C8"/>
    <w:rsid w:val="00683EF7"/>
    <w:rsid w:val="00684B48"/>
    <w:rsid w:val="00684C21"/>
    <w:rsid w:val="0068555B"/>
    <w:rsid w:val="0068599A"/>
    <w:rsid w:val="00685FA6"/>
    <w:rsid w:val="00686D64"/>
    <w:rsid w:val="00687350"/>
    <w:rsid w:val="0068743C"/>
    <w:rsid w:val="00687B62"/>
    <w:rsid w:val="00691F84"/>
    <w:rsid w:val="006924DD"/>
    <w:rsid w:val="00692BBE"/>
    <w:rsid w:val="00694AE6"/>
    <w:rsid w:val="00696929"/>
    <w:rsid w:val="0069763E"/>
    <w:rsid w:val="006976A6"/>
    <w:rsid w:val="006A1764"/>
    <w:rsid w:val="006A53B5"/>
    <w:rsid w:val="006B16C7"/>
    <w:rsid w:val="006B297A"/>
    <w:rsid w:val="006C3AD1"/>
    <w:rsid w:val="006C78CA"/>
    <w:rsid w:val="006D2401"/>
    <w:rsid w:val="006D2B97"/>
    <w:rsid w:val="006D37AF"/>
    <w:rsid w:val="006D51D0"/>
    <w:rsid w:val="006D75C7"/>
    <w:rsid w:val="006E1A90"/>
    <w:rsid w:val="006E3134"/>
    <w:rsid w:val="006E37EC"/>
    <w:rsid w:val="006E564B"/>
    <w:rsid w:val="006E7191"/>
    <w:rsid w:val="006F36AC"/>
    <w:rsid w:val="00700D48"/>
    <w:rsid w:val="0070287A"/>
    <w:rsid w:val="0070353B"/>
    <w:rsid w:val="00703577"/>
    <w:rsid w:val="0070405E"/>
    <w:rsid w:val="007053C1"/>
    <w:rsid w:val="00705625"/>
    <w:rsid w:val="00706ACA"/>
    <w:rsid w:val="007113A4"/>
    <w:rsid w:val="00711F00"/>
    <w:rsid w:val="00717631"/>
    <w:rsid w:val="0072226B"/>
    <w:rsid w:val="007228B1"/>
    <w:rsid w:val="00725F30"/>
    <w:rsid w:val="0072632A"/>
    <w:rsid w:val="00726F57"/>
    <w:rsid w:val="007327D5"/>
    <w:rsid w:val="00732B51"/>
    <w:rsid w:val="00735CA1"/>
    <w:rsid w:val="00736E08"/>
    <w:rsid w:val="0074018F"/>
    <w:rsid w:val="00740255"/>
    <w:rsid w:val="00741C8A"/>
    <w:rsid w:val="00746BB2"/>
    <w:rsid w:val="00746F1E"/>
    <w:rsid w:val="00751147"/>
    <w:rsid w:val="0075355B"/>
    <w:rsid w:val="00753BA9"/>
    <w:rsid w:val="007542A0"/>
    <w:rsid w:val="00754CD7"/>
    <w:rsid w:val="0076033B"/>
    <w:rsid w:val="00760F53"/>
    <w:rsid w:val="007627EE"/>
    <w:rsid w:val="007629C8"/>
    <w:rsid w:val="00764878"/>
    <w:rsid w:val="00767016"/>
    <w:rsid w:val="007723A1"/>
    <w:rsid w:val="007724C1"/>
    <w:rsid w:val="007757D4"/>
    <w:rsid w:val="007812BA"/>
    <w:rsid w:val="007816DE"/>
    <w:rsid w:val="007818F4"/>
    <w:rsid w:val="00781C83"/>
    <w:rsid w:val="007826F5"/>
    <w:rsid w:val="00782F90"/>
    <w:rsid w:val="0078300D"/>
    <w:rsid w:val="00784231"/>
    <w:rsid w:val="00784BCF"/>
    <w:rsid w:val="00784C71"/>
    <w:rsid w:val="00785623"/>
    <w:rsid w:val="00786F3A"/>
    <w:rsid w:val="00787E5D"/>
    <w:rsid w:val="0079151D"/>
    <w:rsid w:val="00791C81"/>
    <w:rsid w:val="007925AE"/>
    <w:rsid w:val="00793FEE"/>
    <w:rsid w:val="00795F7A"/>
    <w:rsid w:val="007965DB"/>
    <w:rsid w:val="007A1319"/>
    <w:rsid w:val="007A401C"/>
    <w:rsid w:val="007A4383"/>
    <w:rsid w:val="007A7D21"/>
    <w:rsid w:val="007B0D02"/>
    <w:rsid w:val="007B1E62"/>
    <w:rsid w:val="007B3B91"/>
    <w:rsid w:val="007B5F65"/>
    <w:rsid w:val="007B6BA5"/>
    <w:rsid w:val="007B70F7"/>
    <w:rsid w:val="007C203A"/>
    <w:rsid w:val="007C257B"/>
    <w:rsid w:val="007C3390"/>
    <w:rsid w:val="007C3A7C"/>
    <w:rsid w:val="007C3FFB"/>
    <w:rsid w:val="007C4F4B"/>
    <w:rsid w:val="007C5032"/>
    <w:rsid w:val="007C784F"/>
    <w:rsid w:val="007C7C57"/>
    <w:rsid w:val="007D0063"/>
    <w:rsid w:val="007D3316"/>
    <w:rsid w:val="007D42B0"/>
    <w:rsid w:val="007D5803"/>
    <w:rsid w:val="007E0B2D"/>
    <w:rsid w:val="007E16D9"/>
    <w:rsid w:val="007E3DF7"/>
    <w:rsid w:val="007E3E13"/>
    <w:rsid w:val="007E6F98"/>
    <w:rsid w:val="007F1247"/>
    <w:rsid w:val="007F20D2"/>
    <w:rsid w:val="007F3A2C"/>
    <w:rsid w:val="007F5AA8"/>
    <w:rsid w:val="007F6611"/>
    <w:rsid w:val="007F7246"/>
    <w:rsid w:val="007F75D2"/>
    <w:rsid w:val="007F7E17"/>
    <w:rsid w:val="007F7E39"/>
    <w:rsid w:val="00800D06"/>
    <w:rsid w:val="00803EEC"/>
    <w:rsid w:val="00805489"/>
    <w:rsid w:val="00806950"/>
    <w:rsid w:val="00806AAA"/>
    <w:rsid w:val="008076A7"/>
    <w:rsid w:val="008105B8"/>
    <w:rsid w:val="00810C74"/>
    <w:rsid w:val="008111BA"/>
    <w:rsid w:val="00812971"/>
    <w:rsid w:val="0081367C"/>
    <w:rsid w:val="0081534F"/>
    <w:rsid w:val="00815C52"/>
    <w:rsid w:val="00816972"/>
    <w:rsid w:val="0081770E"/>
    <w:rsid w:val="008216A5"/>
    <w:rsid w:val="0082194C"/>
    <w:rsid w:val="00821A8D"/>
    <w:rsid w:val="008242D7"/>
    <w:rsid w:val="00824F1B"/>
    <w:rsid w:val="00825659"/>
    <w:rsid w:val="008257B1"/>
    <w:rsid w:val="00827317"/>
    <w:rsid w:val="00833415"/>
    <w:rsid w:val="00834953"/>
    <w:rsid w:val="00840104"/>
    <w:rsid w:val="0084035B"/>
    <w:rsid w:val="0084126F"/>
    <w:rsid w:val="00843767"/>
    <w:rsid w:val="00846ED4"/>
    <w:rsid w:val="00850F40"/>
    <w:rsid w:val="00851259"/>
    <w:rsid w:val="00852B57"/>
    <w:rsid w:val="008538BE"/>
    <w:rsid w:val="00857E2C"/>
    <w:rsid w:val="008621E0"/>
    <w:rsid w:val="008655A1"/>
    <w:rsid w:val="008655A9"/>
    <w:rsid w:val="00867815"/>
    <w:rsid w:val="008678D8"/>
    <w:rsid w:val="008679D9"/>
    <w:rsid w:val="00871051"/>
    <w:rsid w:val="00871842"/>
    <w:rsid w:val="008739D8"/>
    <w:rsid w:val="00875FE5"/>
    <w:rsid w:val="008809FB"/>
    <w:rsid w:val="00880ECB"/>
    <w:rsid w:val="008817F2"/>
    <w:rsid w:val="00881C2D"/>
    <w:rsid w:val="00884110"/>
    <w:rsid w:val="008854BE"/>
    <w:rsid w:val="00885F41"/>
    <w:rsid w:val="0088636B"/>
    <w:rsid w:val="0089139E"/>
    <w:rsid w:val="008924BE"/>
    <w:rsid w:val="00894F8B"/>
    <w:rsid w:val="008979B1"/>
    <w:rsid w:val="008A1DB2"/>
    <w:rsid w:val="008A2B09"/>
    <w:rsid w:val="008A4733"/>
    <w:rsid w:val="008A5196"/>
    <w:rsid w:val="008A61F6"/>
    <w:rsid w:val="008A6B25"/>
    <w:rsid w:val="008A6C4F"/>
    <w:rsid w:val="008A778A"/>
    <w:rsid w:val="008B1EE4"/>
    <w:rsid w:val="008B2335"/>
    <w:rsid w:val="008B787D"/>
    <w:rsid w:val="008C017D"/>
    <w:rsid w:val="008C19C3"/>
    <w:rsid w:val="008C4EDC"/>
    <w:rsid w:val="008D1459"/>
    <w:rsid w:val="008D4BF5"/>
    <w:rsid w:val="008D4DE1"/>
    <w:rsid w:val="008D52B1"/>
    <w:rsid w:val="008D5553"/>
    <w:rsid w:val="008D72BD"/>
    <w:rsid w:val="008E0104"/>
    <w:rsid w:val="008E0678"/>
    <w:rsid w:val="008E1567"/>
    <w:rsid w:val="008E1FE2"/>
    <w:rsid w:val="008E27EC"/>
    <w:rsid w:val="008E4138"/>
    <w:rsid w:val="008E4C4F"/>
    <w:rsid w:val="008E6A47"/>
    <w:rsid w:val="008E7D8C"/>
    <w:rsid w:val="008F0BFE"/>
    <w:rsid w:val="008F109C"/>
    <w:rsid w:val="008F142A"/>
    <w:rsid w:val="008F4C04"/>
    <w:rsid w:val="00901CCF"/>
    <w:rsid w:val="0090237B"/>
    <w:rsid w:val="00902668"/>
    <w:rsid w:val="0090313A"/>
    <w:rsid w:val="00903876"/>
    <w:rsid w:val="00907937"/>
    <w:rsid w:val="00910CAA"/>
    <w:rsid w:val="00910F40"/>
    <w:rsid w:val="00911303"/>
    <w:rsid w:val="00912256"/>
    <w:rsid w:val="00912C08"/>
    <w:rsid w:val="00913616"/>
    <w:rsid w:val="00913F5E"/>
    <w:rsid w:val="0091460C"/>
    <w:rsid w:val="00914B6E"/>
    <w:rsid w:val="009152C3"/>
    <w:rsid w:val="00916567"/>
    <w:rsid w:val="009208C6"/>
    <w:rsid w:val="009223CA"/>
    <w:rsid w:val="00930D71"/>
    <w:rsid w:val="00933093"/>
    <w:rsid w:val="009331BF"/>
    <w:rsid w:val="0093571E"/>
    <w:rsid w:val="00935941"/>
    <w:rsid w:val="00940F93"/>
    <w:rsid w:val="00941AB8"/>
    <w:rsid w:val="00942659"/>
    <w:rsid w:val="00942E93"/>
    <w:rsid w:val="00943FBA"/>
    <w:rsid w:val="00945A23"/>
    <w:rsid w:val="00945FDD"/>
    <w:rsid w:val="009502AF"/>
    <w:rsid w:val="00951522"/>
    <w:rsid w:val="00951EAC"/>
    <w:rsid w:val="00952427"/>
    <w:rsid w:val="0095347F"/>
    <w:rsid w:val="00955194"/>
    <w:rsid w:val="009568BE"/>
    <w:rsid w:val="00956A6B"/>
    <w:rsid w:val="00961946"/>
    <w:rsid w:val="00964E2E"/>
    <w:rsid w:val="009669EA"/>
    <w:rsid w:val="00966D7C"/>
    <w:rsid w:val="00967F59"/>
    <w:rsid w:val="009701C4"/>
    <w:rsid w:val="00971C45"/>
    <w:rsid w:val="00972495"/>
    <w:rsid w:val="009735A8"/>
    <w:rsid w:val="009735EF"/>
    <w:rsid w:val="00973B67"/>
    <w:rsid w:val="00974EF5"/>
    <w:rsid w:val="00975230"/>
    <w:rsid w:val="00975C63"/>
    <w:rsid w:val="00975E5F"/>
    <w:rsid w:val="009760F3"/>
    <w:rsid w:val="00977E91"/>
    <w:rsid w:val="009803DA"/>
    <w:rsid w:val="009812E7"/>
    <w:rsid w:val="00983C0B"/>
    <w:rsid w:val="00985506"/>
    <w:rsid w:val="00985865"/>
    <w:rsid w:val="009868C4"/>
    <w:rsid w:val="00990941"/>
    <w:rsid w:val="009909F5"/>
    <w:rsid w:val="00993D77"/>
    <w:rsid w:val="009946B9"/>
    <w:rsid w:val="00996450"/>
    <w:rsid w:val="009A01E5"/>
    <w:rsid w:val="009A0E8D"/>
    <w:rsid w:val="009A46D6"/>
    <w:rsid w:val="009A56EA"/>
    <w:rsid w:val="009A5E1E"/>
    <w:rsid w:val="009A6988"/>
    <w:rsid w:val="009A7439"/>
    <w:rsid w:val="009B26E7"/>
    <w:rsid w:val="009B2EF2"/>
    <w:rsid w:val="009B3B6D"/>
    <w:rsid w:val="009C1404"/>
    <w:rsid w:val="009C1E7D"/>
    <w:rsid w:val="009C2C0D"/>
    <w:rsid w:val="009C6AEC"/>
    <w:rsid w:val="009C77E5"/>
    <w:rsid w:val="009C7EFD"/>
    <w:rsid w:val="009D04AC"/>
    <w:rsid w:val="009D0B1B"/>
    <w:rsid w:val="009D22A2"/>
    <w:rsid w:val="009D26D2"/>
    <w:rsid w:val="009D28AB"/>
    <w:rsid w:val="009D4BB8"/>
    <w:rsid w:val="009D7894"/>
    <w:rsid w:val="009D7E85"/>
    <w:rsid w:val="009E06D0"/>
    <w:rsid w:val="009E11CB"/>
    <w:rsid w:val="009E2F54"/>
    <w:rsid w:val="009E3AE4"/>
    <w:rsid w:val="009E445F"/>
    <w:rsid w:val="009E6A7F"/>
    <w:rsid w:val="009E7D26"/>
    <w:rsid w:val="009F2AC1"/>
    <w:rsid w:val="009F3272"/>
    <w:rsid w:val="009F3503"/>
    <w:rsid w:val="009F5D91"/>
    <w:rsid w:val="00A00A3F"/>
    <w:rsid w:val="00A01489"/>
    <w:rsid w:val="00A030AB"/>
    <w:rsid w:val="00A03545"/>
    <w:rsid w:val="00A036B3"/>
    <w:rsid w:val="00A054C0"/>
    <w:rsid w:val="00A069BB"/>
    <w:rsid w:val="00A10474"/>
    <w:rsid w:val="00A11A0C"/>
    <w:rsid w:val="00A11AD7"/>
    <w:rsid w:val="00A12518"/>
    <w:rsid w:val="00A130FE"/>
    <w:rsid w:val="00A14D3B"/>
    <w:rsid w:val="00A1533E"/>
    <w:rsid w:val="00A15A08"/>
    <w:rsid w:val="00A1776E"/>
    <w:rsid w:val="00A2096B"/>
    <w:rsid w:val="00A230A0"/>
    <w:rsid w:val="00A2561D"/>
    <w:rsid w:val="00A25E9B"/>
    <w:rsid w:val="00A262B7"/>
    <w:rsid w:val="00A266D4"/>
    <w:rsid w:val="00A2698E"/>
    <w:rsid w:val="00A31B81"/>
    <w:rsid w:val="00A338F1"/>
    <w:rsid w:val="00A36331"/>
    <w:rsid w:val="00A37DD8"/>
    <w:rsid w:val="00A4192B"/>
    <w:rsid w:val="00A44615"/>
    <w:rsid w:val="00A44935"/>
    <w:rsid w:val="00A458CC"/>
    <w:rsid w:val="00A45C27"/>
    <w:rsid w:val="00A45DB8"/>
    <w:rsid w:val="00A4722B"/>
    <w:rsid w:val="00A47396"/>
    <w:rsid w:val="00A4753A"/>
    <w:rsid w:val="00A50EFE"/>
    <w:rsid w:val="00A51282"/>
    <w:rsid w:val="00A55F52"/>
    <w:rsid w:val="00A57155"/>
    <w:rsid w:val="00A60E9F"/>
    <w:rsid w:val="00A622BD"/>
    <w:rsid w:val="00A674AA"/>
    <w:rsid w:val="00A707C0"/>
    <w:rsid w:val="00A708BB"/>
    <w:rsid w:val="00A710E2"/>
    <w:rsid w:val="00A71B51"/>
    <w:rsid w:val="00A72F22"/>
    <w:rsid w:val="00A7360F"/>
    <w:rsid w:val="00A73EDD"/>
    <w:rsid w:val="00A748A6"/>
    <w:rsid w:val="00A75355"/>
    <w:rsid w:val="00A769F4"/>
    <w:rsid w:val="00A76D0E"/>
    <w:rsid w:val="00A776B4"/>
    <w:rsid w:val="00A82504"/>
    <w:rsid w:val="00A85674"/>
    <w:rsid w:val="00A86F19"/>
    <w:rsid w:val="00A871D5"/>
    <w:rsid w:val="00A8780F"/>
    <w:rsid w:val="00A90E23"/>
    <w:rsid w:val="00A91499"/>
    <w:rsid w:val="00A94361"/>
    <w:rsid w:val="00A946AC"/>
    <w:rsid w:val="00A96457"/>
    <w:rsid w:val="00AA044C"/>
    <w:rsid w:val="00AA0619"/>
    <w:rsid w:val="00AA0F58"/>
    <w:rsid w:val="00AA268D"/>
    <w:rsid w:val="00AA293C"/>
    <w:rsid w:val="00AA2D0D"/>
    <w:rsid w:val="00AA42C6"/>
    <w:rsid w:val="00AA4F43"/>
    <w:rsid w:val="00AB19FA"/>
    <w:rsid w:val="00AB4E1A"/>
    <w:rsid w:val="00AB5043"/>
    <w:rsid w:val="00AB5D75"/>
    <w:rsid w:val="00AB7523"/>
    <w:rsid w:val="00AB7C15"/>
    <w:rsid w:val="00AB7C6D"/>
    <w:rsid w:val="00AC03E4"/>
    <w:rsid w:val="00AC0A14"/>
    <w:rsid w:val="00AC1844"/>
    <w:rsid w:val="00AC3312"/>
    <w:rsid w:val="00AC42CB"/>
    <w:rsid w:val="00AC4840"/>
    <w:rsid w:val="00AC63A2"/>
    <w:rsid w:val="00AD10F3"/>
    <w:rsid w:val="00AD1C54"/>
    <w:rsid w:val="00AD46B8"/>
    <w:rsid w:val="00AD48DE"/>
    <w:rsid w:val="00AD6EA8"/>
    <w:rsid w:val="00AD7999"/>
    <w:rsid w:val="00AE24FE"/>
    <w:rsid w:val="00AE2860"/>
    <w:rsid w:val="00AE5108"/>
    <w:rsid w:val="00AF1A44"/>
    <w:rsid w:val="00AF1E8E"/>
    <w:rsid w:val="00AF32E5"/>
    <w:rsid w:val="00AF5CCF"/>
    <w:rsid w:val="00AF6C3B"/>
    <w:rsid w:val="00AF6EDC"/>
    <w:rsid w:val="00B0141F"/>
    <w:rsid w:val="00B0282C"/>
    <w:rsid w:val="00B02BAA"/>
    <w:rsid w:val="00B033CC"/>
    <w:rsid w:val="00B033E8"/>
    <w:rsid w:val="00B03700"/>
    <w:rsid w:val="00B04543"/>
    <w:rsid w:val="00B06D66"/>
    <w:rsid w:val="00B07A2D"/>
    <w:rsid w:val="00B07A6A"/>
    <w:rsid w:val="00B128C1"/>
    <w:rsid w:val="00B12BB4"/>
    <w:rsid w:val="00B12E1C"/>
    <w:rsid w:val="00B13E9B"/>
    <w:rsid w:val="00B14DC1"/>
    <w:rsid w:val="00B177B8"/>
    <w:rsid w:val="00B201CC"/>
    <w:rsid w:val="00B2177C"/>
    <w:rsid w:val="00B25693"/>
    <w:rsid w:val="00B30179"/>
    <w:rsid w:val="00B339A7"/>
    <w:rsid w:val="00B34A3F"/>
    <w:rsid w:val="00B369CE"/>
    <w:rsid w:val="00B3784A"/>
    <w:rsid w:val="00B41ACB"/>
    <w:rsid w:val="00B427FA"/>
    <w:rsid w:val="00B43A0B"/>
    <w:rsid w:val="00B443E2"/>
    <w:rsid w:val="00B46096"/>
    <w:rsid w:val="00B4718F"/>
    <w:rsid w:val="00B47380"/>
    <w:rsid w:val="00B5092B"/>
    <w:rsid w:val="00B512C7"/>
    <w:rsid w:val="00B56E4A"/>
    <w:rsid w:val="00B56E9C"/>
    <w:rsid w:val="00B57481"/>
    <w:rsid w:val="00B60748"/>
    <w:rsid w:val="00B6380E"/>
    <w:rsid w:val="00B639A0"/>
    <w:rsid w:val="00B64B1F"/>
    <w:rsid w:val="00B654DC"/>
    <w:rsid w:val="00B6553F"/>
    <w:rsid w:val="00B65D1D"/>
    <w:rsid w:val="00B66E5E"/>
    <w:rsid w:val="00B67C9C"/>
    <w:rsid w:val="00B716A0"/>
    <w:rsid w:val="00B73439"/>
    <w:rsid w:val="00B7483A"/>
    <w:rsid w:val="00B77929"/>
    <w:rsid w:val="00B77D05"/>
    <w:rsid w:val="00B77EB1"/>
    <w:rsid w:val="00B81202"/>
    <w:rsid w:val="00B81206"/>
    <w:rsid w:val="00B814EC"/>
    <w:rsid w:val="00B81E12"/>
    <w:rsid w:val="00B8236D"/>
    <w:rsid w:val="00B83A07"/>
    <w:rsid w:val="00B84C4B"/>
    <w:rsid w:val="00B84D8C"/>
    <w:rsid w:val="00B857DE"/>
    <w:rsid w:val="00B874C1"/>
    <w:rsid w:val="00B878B3"/>
    <w:rsid w:val="00B879F3"/>
    <w:rsid w:val="00B9067B"/>
    <w:rsid w:val="00B90CA2"/>
    <w:rsid w:val="00B90F19"/>
    <w:rsid w:val="00B94491"/>
    <w:rsid w:val="00B94F1C"/>
    <w:rsid w:val="00B96520"/>
    <w:rsid w:val="00B97172"/>
    <w:rsid w:val="00B97C3C"/>
    <w:rsid w:val="00BA0960"/>
    <w:rsid w:val="00BA0CA7"/>
    <w:rsid w:val="00BA29D1"/>
    <w:rsid w:val="00BA4341"/>
    <w:rsid w:val="00BA5C4C"/>
    <w:rsid w:val="00BB22D5"/>
    <w:rsid w:val="00BB26B8"/>
    <w:rsid w:val="00BB37C3"/>
    <w:rsid w:val="00BB45E9"/>
    <w:rsid w:val="00BB577C"/>
    <w:rsid w:val="00BC01E3"/>
    <w:rsid w:val="00BC298A"/>
    <w:rsid w:val="00BC2C23"/>
    <w:rsid w:val="00BC48F3"/>
    <w:rsid w:val="00BC5A8B"/>
    <w:rsid w:val="00BC6B1E"/>
    <w:rsid w:val="00BC70AB"/>
    <w:rsid w:val="00BC74E9"/>
    <w:rsid w:val="00BD035A"/>
    <w:rsid w:val="00BD0516"/>
    <w:rsid w:val="00BD2AEB"/>
    <w:rsid w:val="00BD4E97"/>
    <w:rsid w:val="00BD5EB3"/>
    <w:rsid w:val="00BE0B12"/>
    <w:rsid w:val="00BE2C31"/>
    <w:rsid w:val="00BE59D7"/>
    <w:rsid w:val="00BE76EE"/>
    <w:rsid w:val="00BF09D4"/>
    <w:rsid w:val="00BF1D74"/>
    <w:rsid w:val="00BF3D9D"/>
    <w:rsid w:val="00BF4AA2"/>
    <w:rsid w:val="00BF5A65"/>
    <w:rsid w:val="00BF68A8"/>
    <w:rsid w:val="00BF6DBF"/>
    <w:rsid w:val="00C006A7"/>
    <w:rsid w:val="00C03905"/>
    <w:rsid w:val="00C11207"/>
    <w:rsid w:val="00C11A03"/>
    <w:rsid w:val="00C13B55"/>
    <w:rsid w:val="00C15217"/>
    <w:rsid w:val="00C154D2"/>
    <w:rsid w:val="00C15C4D"/>
    <w:rsid w:val="00C16605"/>
    <w:rsid w:val="00C227E8"/>
    <w:rsid w:val="00C2284D"/>
    <w:rsid w:val="00C237CB"/>
    <w:rsid w:val="00C23895"/>
    <w:rsid w:val="00C24180"/>
    <w:rsid w:val="00C2617F"/>
    <w:rsid w:val="00C2623D"/>
    <w:rsid w:val="00C2698D"/>
    <w:rsid w:val="00C27929"/>
    <w:rsid w:val="00C305FF"/>
    <w:rsid w:val="00C31D00"/>
    <w:rsid w:val="00C3279A"/>
    <w:rsid w:val="00C33936"/>
    <w:rsid w:val="00C34926"/>
    <w:rsid w:val="00C36CA4"/>
    <w:rsid w:val="00C37106"/>
    <w:rsid w:val="00C37550"/>
    <w:rsid w:val="00C40796"/>
    <w:rsid w:val="00C4279B"/>
    <w:rsid w:val="00C42AEC"/>
    <w:rsid w:val="00C44D68"/>
    <w:rsid w:val="00C463DD"/>
    <w:rsid w:val="00C46474"/>
    <w:rsid w:val="00C468A0"/>
    <w:rsid w:val="00C46A14"/>
    <w:rsid w:val="00C4724C"/>
    <w:rsid w:val="00C50356"/>
    <w:rsid w:val="00C52F3D"/>
    <w:rsid w:val="00C539D4"/>
    <w:rsid w:val="00C54F73"/>
    <w:rsid w:val="00C55779"/>
    <w:rsid w:val="00C55FE0"/>
    <w:rsid w:val="00C561E4"/>
    <w:rsid w:val="00C606D3"/>
    <w:rsid w:val="00C61F13"/>
    <w:rsid w:val="00C629A0"/>
    <w:rsid w:val="00C635B5"/>
    <w:rsid w:val="00C6410D"/>
    <w:rsid w:val="00C64A07"/>
    <w:rsid w:val="00C65F90"/>
    <w:rsid w:val="00C702EE"/>
    <w:rsid w:val="00C7385F"/>
    <w:rsid w:val="00C745C3"/>
    <w:rsid w:val="00C77C10"/>
    <w:rsid w:val="00C80A44"/>
    <w:rsid w:val="00C815DC"/>
    <w:rsid w:val="00C822D7"/>
    <w:rsid w:val="00C82416"/>
    <w:rsid w:val="00C8504E"/>
    <w:rsid w:val="00C8561F"/>
    <w:rsid w:val="00C866DB"/>
    <w:rsid w:val="00C868B6"/>
    <w:rsid w:val="00C9045B"/>
    <w:rsid w:val="00C909F8"/>
    <w:rsid w:val="00C90C8C"/>
    <w:rsid w:val="00C9183C"/>
    <w:rsid w:val="00C91BBB"/>
    <w:rsid w:val="00C934B4"/>
    <w:rsid w:val="00C96D26"/>
    <w:rsid w:val="00CA56DE"/>
    <w:rsid w:val="00CA5848"/>
    <w:rsid w:val="00CA7C33"/>
    <w:rsid w:val="00CB2631"/>
    <w:rsid w:val="00CB2CED"/>
    <w:rsid w:val="00CB335D"/>
    <w:rsid w:val="00CC1F58"/>
    <w:rsid w:val="00CC4C0C"/>
    <w:rsid w:val="00CC5635"/>
    <w:rsid w:val="00CC664C"/>
    <w:rsid w:val="00CC6EC9"/>
    <w:rsid w:val="00CD03DB"/>
    <w:rsid w:val="00CD47BD"/>
    <w:rsid w:val="00CD70B8"/>
    <w:rsid w:val="00CE1672"/>
    <w:rsid w:val="00CE170A"/>
    <w:rsid w:val="00CE3E66"/>
    <w:rsid w:val="00CE4904"/>
    <w:rsid w:val="00CE4A8F"/>
    <w:rsid w:val="00CE4D40"/>
    <w:rsid w:val="00CE5F5D"/>
    <w:rsid w:val="00CF1BE1"/>
    <w:rsid w:val="00CF21B3"/>
    <w:rsid w:val="00CF2919"/>
    <w:rsid w:val="00CF2C0D"/>
    <w:rsid w:val="00CF2C2A"/>
    <w:rsid w:val="00CF36F8"/>
    <w:rsid w:val="00CF6255"/>
    <w:rsid w:val="00CF75D3"/>
    <w:rsid w:val="00CF76CE"/>
    <w:rsid w:val="00CF7D0F"/>
    <w:rsid w:val="00D005EF"/>
    <w:rsid w:val="00D006CD"/>
    <w:rsid w:val="00D03D2C"/>
    <w:rsid w:val="00D04B04"/>
    <w:rsid w:val="00D06EAB"/>
    <w:rsid w:val="00D07060"/>
    <w:rsid w:val="00D07E0E"/>
    <w:rsid w:val="00D107D6"/>
    <w:rsid w:val="00D1131C"/>
    <w:rsid w:val="00D141CF"/>
    <w:rsid w:val="00D1435F"/>
    <w:rsid w:val="00D2031B"/>
    <w:rsid w:val="00D2276A"/>
    <w:rsid w:val="00D2305C"/>
    <w:rsid w:val="00D236D5"/>
    <w:rsid w:val="00D23C28"/>
    <w:rsid w:val="00D257E7"/>
    <w:rsid w:val="00D25FE2"/>
    <w:rsid w:val="00D2672E"/>
    <w:rsid w:val="00D34E31"/>
    <w:rsid w:val="00D354E1"/>
    <w:rsid w:val="00D377FC"/>
    <w:rsid w:val="00D41FE9"/>
    <w:rsid w:val="00D431EB"/>
    <w:rsid w:val="00D43252"/>
    <w:rsid w:val="00D4394C"/>
    <w:rsid w:val="00D47963"/>
    <w:rsid w:val="00D47A71"/>
    <w:rsid w:val="00D47B2C"/>
    <w:rsid w:val="00D47EEA"/>
    <w:rsid w:val="00D50C86"/>
    <w:rsid w:val="00D50E8D"/>
    <w:rsid w:val="00D50EE6"/>
    <w:rsid w:val="00D51532"/>
    <w:rsid w:val="00D5167F"/>
    <w:rsid w:val="00D537C3"/>
    <w:rsid w:val="00D70A01"/>
    <w:rsid w:val="00D71187"/>
    <w:rsid w:val="00D712FE"/>
    <w:rsid w:val="00D725AD"/>
    <w:rsid w:val="00D74355"/>
    <w:rsid w:val="00D84E70"/>
    <w:rsid w:val="00D8586C"/>
    <w:rsid w:val="00D90984"/>
    <w:rsid w:val="00D90A8D"/>
    <w:rsid w:val="00D90F93"/>
    <w:rsid w:val="00D9204F"/>
    <w:rsid w:val="00D95303"/>
    <w:rsid w:val="00D95A82"/>
    <w:rsid w:val="00D978C6"/>
    <w:rsid w:val="00DA221B"/>
    <w:rsid w:val="00DA2765"/>
    <w:rsid w:val="00DA3111"/>
    <w:rsid w:val="00DA3C1C"/>
    <w:rsid w:val="00DA3DC3"/>
    <w:rsid w:val="00DA49AA"/>
    <w:rsid w:val="00DA53E6"/>
    <w:rsid w:val="00DA7238"/>
    <w:rsid w:val="00DA7412"/>
    <w:rsid w:val="00DB0C79"/>
    <w:rsid w:val="00DB208A"/>
    <w:rsid w:val="00DB5B2F"/>
    <w:rsid w:val="00DB64C7"/>
    <w:rsid w:val="00DC128E"/>
    <w:rsid w:val="00DC290C"/>
    <w:rsid w:val="00DC4569"/>
    <w:rsid w:val="00DC6FE6"/>
    <w:rsid w:val="00DC71FF"/>
    <w:rsid w:val="00DD013D"/>
    <w:rsid w:val="00DD0339"/>
    <w:rsid w:val="00DD1B10"/>
    <w:rsid w:val="00DD2781"/>
    <w:rsid w:val="00DD30AB"/>
    <w:rsid w:val="00DD3D73"/>
    <w:rsid w:val="00DD56C3"/>
    <w:rsid w:val="00DE56CA"/>
    <w:rsid w:val="00DE79A8"/>
    <w:rsid w:val="00DF0447"/>
    <w:rsid w:val="00DF1E57"/>
    <w:rsid w:val="00DF374D"/>
    <w:rsid w:val="00DF4996"/>
    <w:rsid w:val="00DF50FB"/>
    <w:rsid w:val="00DF56AC"/>
    <w:rsid w:val="00DF5EFA"/>
    <w:rsid w:val="00DF6C8D"/>
    <w:rsid w:val="00DF740E"/>
    <w:rsid w:val="00E00B98"/>
    <w:rsid w:val="00E012C9"/>
    <w:rsid w:val="00E03890"/>
    <w:rsid w:val="00E0462F"/>
    <w:rsid w:val="00E138E5"/>
    <w:rsid w:val="00E13BBE"/>
    <w:rsid w:val="00E13CA7"/>
    <w:rsid w:val="00E209FD"/>
    <w:rsid w:val="00E20ACC"/>
    <w:rsid w:val="00E24886"/>
    <w:rsid w:val="00E25E54"/>
    <w:rsid w:val="00E26EF0"/>
    <w:rsid w:val="00E27346"/>
    <w:rsid w:val="00E3235C"/>
    <w:rsid w:val="00E33D68"/>
    <w:rsid w:val="00E3477A"/>
    <w:rsid w:val="00E36605"/>
    <w:rsid w:val="00E376E4"/>
    <w:rsid w:val="00E37733"/>
    <w:rsid w:val="00E40420"/>
    <w:rsid w:val="00E4081E"/>
    <w:rsid w:val="00E43EC4"/>
    <w:rsid w:val="00E4406C"/>
    <w:rsid w:val="00E50ABD"/>
    <w:rsid w:val="00E51BCB"/>
    <w:rsid w:val="00E53ECA"/>
    <w:rsid w:val="00E542F7"/>
    <w:rsid w:val="00E544C3"/>
    <w:rsid w:val="00E62BDD"/>
    <w:rsid w:val="00E632CC"/>
    <w:rsid w:val="00E65396"/>
    <w:rsid w:val="00E67476"/>
    <w:rsid w:val="00E67F91"/>
    <w:rsid w:val="00E71BC8"/>
    <w:rsid w:val="00E7260F"/>
    <w:rsid w:val="00E759A9"/>
    <w:rsid w:val="00E779FC"/>
    <w:rsid w:val="00E80B72"/>
    <w:rsid w:val="00E848D3"/>
    <w:rsid w:val="00E86349"/>
    <w:rsid w:val="00E863FD"/>
    <w:rsid w:val="00E87730"/>
    <w:rsid w:val="00E879CB"/>
    <w:rsid w:val="00E94088"/>
    <w:rsid w:val="00E9408F"/>
    <w:rsid w:val="00E96630"/>
    <w:rsid w:val="00EA1886"/>
    <w:rsid w:val="00EA3104"/>
    <w:rsid w:val="00EA31F7"/>
    <w:rsid w:val="00EA5005"/>
    <w:rsid w:val="00EA5836"/>
    <w:rsid w:val="00EB16A9"/>
    <w:rsid w:val="00EB1ECC"/>
    <w:rsid w:val="00EB2581"/>
    <w:rsid w:val="00EB678F"/>
    <w:rsid w:val="00EB7049"/>
    <w:rsid w:val="00EC1C71"/>
    <w:rsid w:val="00EC28F3"/>
    <w:rsid w:val="00EC6C29"/>
    <w:rsid w:val="00ED00C7"/>
    <w:rsid w:val="00ED06EC"/>
    <w:rsid w:val="00ED140E"/>
    <w:rsid w:val="00ED1515"/>
    <w:rsid w:val="00ED27C2"/>
    <w:rsid w:val="00ED68AD"/>
    <w:rsid w:val="00ED7A2A"/>
    <w:rsid w:val="00EE0B0F"/>
    <w:rsid w:val="00EE0D0F"/>
    <w:rsid w:val="00EE5084"/>
    <w:rsid w:val="00EE5BD5"/>
    <w:rsid w:val="00EE5E84"/>
    <w:rsid w:val="00EE5EE5"/>
    <w:rsid w:val="00EE6199"/>
    <w:rsid w:val="00EF0235"/>
    <w:rsid w:val="00EF1495"/>
    <w:rsid w:val="00EF1D7F"/>
    <w:rsid w:val="00EF1EF6"/>
    <w:rsid w:val="00EF65BA"/>
    <w:rsid w:val="00F004E2"/>
    <w:rsid w:val="00F02C8E"/>
    <w:rsid w:val="00F03190"/>
    <w:rsid w:val="00F03A99"/>
    <w:rsid w:val="00F03C70"/>
    <w:rsid w:val="00F04CDE"/>
    <w:rsid w:val="00F10E0C"/>
    <w:rsid w:val="00F12D79"/>
    <w:rsid w:val="00F1389A"/>
    <w:rsid w:val="00F145AF"/>
    <w:rsid w:val="00F148F2"/>
    <w:rsid w:val="00F1539A"/>
    <w:rsid w:val="00F15D67"/>
    <w:rsid w:val="00F20039"/>
    <w:rsid w:val="00F20C3D"/>
    <w:rsid w:val="00F234CB"/>
    <w:rsid w:val="00F24DE5"/>
    <w:rsid w:val="00F2528A"/>
    <w:rsid w:val="00F25E5E"/>
    <w:rsid w:val="00F26BC3"/>
    <w:rsid w:val="00F27F80"/>
    <w:rsid w:val="00F30F1F"/>
    <w:rsid w:val="00F318C1"/>
    <w:rsid w:val="00F31FB3"/>
    <w:rsid w:val="00F32003"/>
    <w:rsid w:val="00F36AFD"/>
    <w:rsid w:val="00F36C66"/>
    <w:rsid w:val="00F4204E"/>
    <w:rsid w:val="00F43E9E"/>
    <w:rsid w:val="00F45731"/>
    <w:rsid w:val="00F46719"/>
    <w:rsid w:val="00F46CDD"/>
    <w:rsid w:val="00F53F0E"/>
    <w:rsid w:val="00F63797"/>
    <w:rsid w:val="00F647F9"/>
    <w:rsid w:val="00F65E7F"/>
    <w:rsid w:val="00F7051B"/>
    <w:rsid w:val="00F70FF2"/>
    <w:rsid w:val="00F713E3"/>
    <w:rsid w:val="00F71BF6"/>
    <w:rsid w:val="00F72B93"/>
    <w:rsid w:val="00F75F5B"/>
    <w:rsid w:val="00F76E01"/>
    <w:rsid w:val="00F82380"/>
    <w:rsid w:val="00F8265D"/>
    <w:rsid w:val="00F8521C"/>
    <w:rsid w:val="00F86121"/>
    <w:rsid w:val="00F86289"/>
    <w:rsid w:val="00F9057C"/>
    <w:rsid w:val="00F906D7"/>
    <w:rsid w:val="00F90D84"/>
    <w:rsid w:val="00F90FD3"/>
    <w:rsid w:val="00F91FD2"/>
    <w:rsid w:val="00F93781"/>
    <w:rsid w:val="00F96BA5"/>
    <w:rsid w:val="00F976E7"/>
    <w:rsid w:val="00FA1718"/>
    <w:rsid w:val="00FA32C0"/>
    <w:rsid w:val="00FA380F"/>
    <w:rsid w:val="00FA447C"/>
    <w:rsid w:val="00FA56DB"/>
    <w:rsid w:val="00FA5D93"/>
    <w:rsid w:val="00FA6BE1"/>
    <w:rsid w:val="00FB1103"/>
    <w:rsid w:val="00FB1B6F"/>
    <w:rsid w:val="00FB5EB5"/>
    <w:rsid w:val="00FB613B"/>
    <w:rsid w:val="00FB6F7F"/>
    <w:rsid w:val="00FB7622"/>
    <w:rsid w:val="00FB793B"/>
    <w:rsid w:val="00FC20C0"/>
    <w:rsid w:val="00FC22CD"/>
    <w:rsid w:val="00FC6453"/>
    <w:rsid w:val="00FC68B7"/>
    <w:rsid w:val="00FD0381"/>
    <w:rsid w:val="00FD1954"/>
    <w:rsid w:val="00FD23D3"/>
    <w:rsid w:val="00FD4FB8"/>
    <w:rsid w:val="00FD72A6"/>
    <w:rsid w:val="00FD7631"/>
    <w:rsid w:val="00FE106A"/>
    <w:rsid w:val="00FE52FC"/>
    <w:rsid w:val="00FE6DC3"/>
    <w:rsid w:val="00FE7EF7"/>
    <w:rsid w:val="00FF0FD2"/>
    <w:rsid w:val="00FF1D1B"/>
    <w:rsid w:val="00FF351E"/>
    <w:rsid w:val="00FF3FD6"/>
    <w:rsid w:val="00FF67E9"/>
    <w:rsid w:val="00FF7920"/>
    <w:rsid w:val="00FF7D0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4442B7A"/>
  <w14:defaultImageDpi w14:val="0"/>
  <w15:docId w15:val="{81245C5F-A97C-43AA-B357-FAF22834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0272B3"/>
    <w:pPr>
      <w:spacing w:after="0" w:line="240" w:lineRule="auto"/>
      <w:ind w:right="0"/>
      <w:jc w:val="left"/>
      <w:outlineLvl w:val="0"/>
    </w:pPr>
  </w:style>
  <w:style w:type="paragraph" w:styleId="Heading2">
    <w:name w:val="heading 2"/>
    <w:basedOn w:val="Normal"/>
    <w:next w:val="Normal"/>
    <w:link w:val="Heading2Char"/>
    <w:uiPriority w:val="99"/>
    <w:qFormat/>
    <w:rsid w:val="000272B3"/>
    <w:pPr>
      <w:spacing w:line="240" w:lineRule="auto"/>
      <w:outlineLvl w:val="1"/>
    </w:pPr>
  </w:style>
  <w:style w:type="paragraph" w:styleId="Heading3">
    <w:name w:val="heading 3"/>
    <w:basedOn w:val="Normal"/>
    <w:next w:val="Normal"/>
    <w:link w:val="Heading3Char"/>
    <w:uiPriority w:val="99"/>
    <w:qFormat/>
    <w:rsid w:val="000272B3"/>
    <w:pPr>
      <w:spacing w:line="240" w:lineRule="auto"/>
      <w:outlineLvl w:val="2"/>
    </w:pPr>
  </w:style>
  <w:style w:type="paragraph" w:styleId="Heading4">
    <w:name w:val="heading 4"/>
    <w:basedOn w:val="Normal"/>
    <w:next w:val="Normal"/>
    <w:link w:val="Heading4Char"/>
    <w:uiPriority w:val="99"/>
    <w:qFormat/>
    <w:rsid w:val="000272B3"/>
    <w:pPr>
      <w:spacing w:line="240" w:lineRule="auto"/>
      <w:outlineLvl w:val="3"/>
    </w:pPr>
  </w:style>
  <w:style w:type="paragraph" w:styleId="Heading5">
    <w:name w:val="heading 5"/>
    <w:basedOn w:val="Normal"/>
    <w:next w:val="Normal"/>
    <w:link w:val="Heading5Char"/>
    <w:uiPriority w:val="99"/>
    <w:qFormat/>
    <w:rsid w:val="000272B3"/>
    <w:pPr>
      <w:spacing w:line="240" w:lineRule="auto"/>
      <w:outlineLvl w:val="4"/>
    </w:pPr>
  </w:style>
  <w:style w:type="paragraph" w:styleId="Heading6">
    <w:name w:val="heading 6"/>
    <w:basedOn w:val="Normal"/>
    <w:next w:val="Normal"/>
    <w:link w:val="Heading6Char"/>
    <w:uiPriority w:val="99"/>
    <w:qFormat/>
    <w:rsid w:val="000272B3"/>
    <w:pPr>
      <w:spacing w:line="240" w:lineRule="auto"/>
      <w:outlineLvl w:val="5"/>
    </w:pPr>
  </w:style>
  <w:style w:type="paragraph" w:styleId="Heading7">
    <w:name w:val="heading 7"/>
    <w:basedOn w:val="Normal"/>
    <w:next w:val="Normal"/>
    <w:link w:val="Heading7Char"/>
    <w:uiPriority w:val="99"/>
    <w:qFormat/>
    <w:rsid w:val="000272B3"/>
    <w:pPr>
      <w:spacing w:line="240" w:lineRule="auto"/>
      <w:outlineLvl w:val="6"/>
    </w:pPr>
  </w:style>
  <w:style w:type="paragraph" w:styleId="Heading8">
    <w:name w:val="heading 8"/>
    <w:basedOn w:val="Normal"/>
    <w:next w:val="Normal"/>
    <w:link w:val="Heading8Char"/>
    <w:uiPriority w:val="99"/>
    <w:qFormat/>
    <w:rsid w:val="000272B3"/>
    <w:pPr>
      <w:spacing w:line="240" w:lineRule="auto"/>
      <w:outlineLvl w:val="7"/>
    </w:pPr>
  </w:style>
  <w:style w:type="paragraph" w:styleId="Heading9">
    <w:name w:val="heading 9"/>
    <w:basedOn w:val="Normal"/>
    <w:next w:val="Normal"/>
    <w:link w:val="Heading9Char"/>
    <w:uiPriority w:val="99"/>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
    <w:rsid w:val="0099069F"/>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99069F"/>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99069F"/>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99069F"/>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99069F"/>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99069F"/>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99069F"/>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99069F"/>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99069F"/>
    <w:rPr>
      <w:rFonts w:asciiTheme="majorHAnsi" w:eastAsiaTheme="majorEastAsia" w:hAnsiTheme="majorHAnsi" w:cstheme="majorBidi"/>
      <w:lang w:val="en-GB" w:eastAsia="en-US"/>
    </w:rPr>
  </w:style>
  <w:style w:type="paragraph" w:styleId="BalloonText">
    <w:name w:val="Balloon Text"/>
    <w:basedOn w:val="Normal"/>
    <w:link w:val="BalloonTextChar"/>
    <w:uiPriority w:val="99"/>
    <w:rsid w:val="006743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6743E9"/>
    <w:rPr>
      <w:rFonts w:ascii="Tahoma" w:hAnsi="Tahoma"/>
      <w:sz w:val="16"/>
      <w:lang w:val="x-none" w:eastAsia="en-US"/>
    </w:rPr>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uiPriority w:val="99"/>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semiHidden/>
    <w:rsid w:val="0099069F"/>
    <w:rPr>
      <w:sz w:val="20"/>
      <w:szCs w:val="20"/>
      <w:lang w:val="en-GB" w:eastAsia="en-US"/>
    </w:rPr>
  </w:style>
  <w:style w:type="table" w:styleId="TableGrid">
    <w:name w:val="Table Grid"/>
    <w:basedOn w:val="TableNormal"/>
    <w:uiPriority w:val="99"/>
    <w:semiHidden/>
    <w:rsid w:val="000272B3"/>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semiHidden/>
    <w:rsid w:val="000272B3"/>
    <w:rPr>
      <w:rFonts w:cs="Times New Roman"/>
      <w:color w:val="auto"/>
      <w:u w:val="none"/>
    </w:rPr>
  </w:style>
  <w:style w:type="character" w:styleId="FollowedHyperlink">
    <w:name w:val="FollowedHyperlink"/>
    <w:basedOn w:val="DefaultParagraphFont"/>
    <w:uiPriority w:val="99"/>
    <w:semiHidden/>
    <w:rsid w:val="000272B3"/>
    <w:rPr>
      <w:rFonts w:cs="Times New Roman"/>
      <w:color w:val="auto"/>
      <w:u w:val="none"/>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1"/>
    <w:uiPriority w:val="99"/>
    <w:qFormat/>
    <w:rsid w:val="004D71B4"/>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character" w:customStyle="1" w:styleId="FootnoteTextChar">
    <w:name w:val="Footnote Text Char"/>
    <w:aliases w:val="Footnote Reference Char,4_G Char,Footnote number Char,ftref Char,Footnotes refss Char,Style 10 Char,Footnote Reference1 Char1,5_G Char,Footnote Text Char Char Char Char Char Char,Footnote Text Char Char Char Char Char1,FA Fu Char"/>
    <w:basedOn w:val="DefaultParagraphFont"/>
    <w:uiPriority w:val="99"/>
    <w:rsid w:val="0099069F"/>
    <w:rPr>
      <w:sz w:val="20"/>
      <w:szCs w:val="20"/>
      <w:lang w:val="en-GB" w:eastAsia="en-US"/>
    </w:rPr>
  </w:style>
  <w:style w:type="paragraph" w:styleId="EndnoteText">
    <w:name w:val="endnote text"/>
    <w:aliases w:val="2_G"/>
    <w:basedOn w:val="FootnoteText"/>
    <w:link w:val="EndnoteTextChar"/>
    <w:uiPriority w:val="99"/>
    <w:rsid w:val="000272B3"/>
  </w:style>
  <w:style w:type="character" w:customStyle="1" w:styleId="EndnoteTextChar">
    <w:name w:val="Endnote Text Char"/>
    <w:aliases w:val="2_G Char"/>
    <w:basedOn w:val="DefaultParagraphFont"/>
    <w:link w:val="EndnoteText"/>
    <w:uiPriority w:val="99"/>
    <w:semiHidden/>
    <w:rsid w:val="0099069F"/>
    <w:rPr>
      <w:sz w:val="20"/>
      <w:szCs w:val="20"/>
      <w:lang w:val="en-GB" w:eastAsia="en-US"/>
    </w:rPr>
  </w:style>
  <w:style w:type="paragraph" w:customStyle="1" w:styleId="SMG">
    <w:name w:val="__S_M_G"/>
    <w:basedOn w:val="Normal"/>
    <w:next w:val="Normal"/>
    <w:uiPriority w:val="99"/>
    <w:rsid w:val="000272B3"/>
    <w:pPr>
      <w:keepNext/>
      <w:keepLines/>
      <w:spacing w:before="240" w:after="240" w:line="420" w:lineRule="exact"/>
      <w:ind w:left="1134" w:right="1134"/>
    </w:pPr>
    <w:rPr>
      <w:b/>
      <w:sz w:val="40"/>
    </w:rPr>
  </w:style>
  <w:style w:type="paragraph" w:customStyle="1" w:styleId="SLG">
    <w:name w:val="__S_L_G"/>
    <w:basedOn w:val="Normal"/>
    <w:next w:val="Normal"/>
    <w:uiPriority w:val="99"/>
    <w:rsid w:val="000272B3"/>
    <w:pPr>
      <w:keepNext/>
      <w:keepLines/>
      <w:spacing w:before="240" w:after="240" w:line="580" w:lineRule="exact"/>
      <w:ind w:left="1134" w:right="1134"/>
    </w:pPr>
    <w:rPr>
      <w:b/>
      <w:sz w:val="56"/>
    </w:rPr>
  </w:style>
  <w:style w:type="paragraph" w:customStyle="1" w:styleId="SSG">
    <w:name w:val="__S_S_G"/>
    <w:basedOn w:val="Normal"/>
    <w:next w:val="Normal"/>
    <w:uiPriority w:val="99"/>
    <w:rsid w:val="000272B3"/>
    <w:pPr>
      <w:keepNext/>
      <w:keepLines/>
      <w:spacing w:before="240" w:after="240" w:line="300" w:lineRule="exact"/>
      <w:ind w:left="1134" w:right="1134"/>
    </w:pPr>
    <w:rPr>
      <w:b/>
      <w:sz w:val="28"/>
    </w:rPr>
  </w:style>
  <w:style w:type="character" w:styleId="EndnoteReference">
    <w:name w:val="endnote reference"/>
    <w:aliases w:val="1_G"/>
    <w:basedOn w:val="DefaultParagraphFont"/>
    <w:uiPriority w:val="99"/>
    <w:rsid w:val="000272B3"/>
    <w:rPr>
      <w:rFonts w:ascii="Times New Roman" w:hAnsi="Times New Roman" w:cs="Times New Roman"/>
      <w:sz w:val="18"/>
      <w:vertAlign w:val="superscript"/>
    </w:rPr>
  </w:style>
  <w:style w:type="character" w:styleId="PageNumber">
    <w:name w:val="page number"/>
    <w:aliases w:val="7_G"/>
    <w:basedOn w:val="DefaultParagraphFont"/>
    <w:uiPriority w:val="99"/>
    <w:rsid w:val="000272B3"/>
    <w:rPr>
      <w:rFonts w:ascii="Times New Roman" w:hAnsi="Times New Roman" w:cs="Times New Roman"/>
      <w:b/>
      <w:sz w:val="18"/>
    </w:rPr>
  </w:style>
  <w:style w:type="paragraph" w:customStyle="1" w:styleId="XLargeG">
    <w:name w:val="__XLarge_G"/>
    <w:basedOn w:val="Normal"/>
    <w:next w:val="Normal"/>
    <w:uiPriority w:val="99"/>
    <w:rsid w:val="000272B3"/>
    <w:pPr>
      <w:keepNext/>
      <w:keepLines/>
      <w:spacing w:before="240" w:after="240" w:line="420" w:lineRule="exact"/>
      <w:ind w:left="1134" w:right="1134"/>
    </w:pPr>
    <w:rPr>
      <w:b/>
      <w:sz w:val="40"/>
    </w:rPr>
  </w:style>
  <w:style w:type="paragraph" w:customStyle="1" w:styleId="Bullet1G">
    <w:name w:val="_Bullet 1_G"/>
    <w:basedOn w:val="Normal"/>
    <w:uiPriority w:val="99"/>
    <w:rsid w:val="000272B3"/>
    <w:pPr>
      <w:numPr>
        <w:numId w:val="1"/>
      </w:numPr>
      <w:spacing w:after="120"/>
      <w:ind w:right="1134"/>
      <w:jc w:val="both"/>
    </w:pPr>
  </w:style>
  <w:style w:type="paragraph" w:styleId="Footer">
    <w:name w:val="footer"/>
    <w:aliases w:val="3_G"/>
    <w:basedOn w:val="Normal"/>
    <w:link w:val="FooterChar"/>
    <w:uiPriority w:val="99"/>
    <w:rsid w:val="000272B3"/>
    <w:pPr>
      <w:spacing w:line="240" w:lineRule="auto"/>
    </w:pPr>
    <w:rPr>
      <w:sz w:val="16"/>
    </w:rPr>
  </w:style>
  <w:style w:type="character" w:customStyle="1" w:styleId="FooterChar">
    <w:name w:val="Footer Char"/>
    <w:aliases w:val="3_G Char"/>
    <w:basedOn w:val="DefaultParagraphFont"/>
    <w:link w:val="Footer"/>
    <w:uiPriority w:val="99"/>
    <w:semiHidden/>
    <w:rsid w:val="0099069F"/>
    <w:rPr>
      <w:sz w:val="20"/>
      <w:szCs w:val="20"/>
      <w:lang w:val="en-GB" w:eastAsia="en-US"/>
    </w:rPr>
  </w:style>
  <w:style w:type="paragraph" w:customStyle="1" w:styleId="Bullet2G">
    <w:name w:val="_Bullet 2_G"/>
    <w:basedOn w:val="Normal"/>
    <w:uiPriority w:val="99"/>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0272B3"/>
    <w:pPr>
      <w:keepNext/>
      <w:keepLines/>
      <w:tabs>
        <w:tab w:val="right" w:pos="851"/>
      </w:tabs>
      <w:spacing w:before="240" w:after="120" w:line="240" w:lineRule="exact"/>
      <w:ind w:left="1134" w:right="1134" w:hanging="1134"/>
    </w:pPr>
  </w:style>
  <w:style w:type="character" w:customStyle="1" w:styleId="FootnoteTextChar1">
    <w:name w:val="Footnote Text Char1"/>
    <w:aliases w:val="5_G Char1,Footnote Text Char Char Char Char Char Char1,Footnote Text Char Char Char Char Char2,Footnote reference Char,FA Fu Char1,Footnote Text Char Char Char Char1,Footnote Reference1 Char, Char Char,Char Char,ft Char,Style 27 Char"/>
    <w:link w:val="FootnoteText"/>
    <w:locked/>
    <w:rsid w:val="008216A5"/>
    <w:rPr>
      <w:rFonts w:eastAsia="SimSun"/>
      <w:sz w:val="18"/>
      <w:szCs w:val="20"/>
      <w:lang w:val="en-US" w:eastAsia="zh-CN"/>
    </w:rPr>
  </w:style>
  <w:style w:type="character" w:customStyle="1" w:styleId="sb8d990e2">
    <w:name w:val="sb8d990e2"/>
    <w:rsid w:val="001A09DE"/>
  </w:style>
  <w:style w:type="paragraph" w:customStyle="1" w:styleId="Default">
    <w:name w:val="Default"/>
    <w:uiPriority w:val="99"/>
    <w:rsid w:val="00E40420"/>
    <w:pPr>
      <w:autoSpaceDE w:val="0"/>
      <w:autoSpaceDN w:val="0"/>
      <w:adjustRightInd w:val="0"/>
    </w:pPr>
    <w:rPr>
      <w:color w:val="000000"/>
      <w:sz w:val="24"/>
      <w:szCs w:val="24"/>
      <w:lang w:val="en-GB" w:eastAsia="en-GB"/>
    </w:rPr>
  </w:style>
  <w:style w:type="paragraph" w:customStyle="1" w:styleId="CM55">
    <w:name w:val="CM55"/>
    <w:basedOn w:val="Default"/>
    <w:next w:val="Default"/>
    <w:uiPriority w:val="99"/>
    <w:rsid w:val="00E40420"/>
    <w:rPr>
      <w:color w:val="auto"/>
    </w:rPr>
  </w:style>
  <w:style w:type="character" w:customStyle="1" w:styleId="SingleTxtGChar">
    <w:name w:val="_ Single Txt_G Char"/>
    <w:link w:val="SingleTxtG"/>
    <w:locked/>
    <w:rsid w:val="00FF7920"/>
    <w:rPr>
      <w:lang w:val="x-none" w:eastAsia="en-US"/>
    </w:rPr>
  </w:style>
  <w:style w:type="character" w:styleId="CommentReference">
    <w:name w:val="annotation reference"/>
    <w:basedOn w:val="DefaultParagraphFont"/>
    <w:uiPriority w:val="99"/>
    <w:rsid w:val="00161B02"/>
    <w:rPr>
      <w:rFonts w:cs="Times New Roman"/>
      <w:sz w:val="16"/>
    </w:rPr>
  </w:style>
  <w:style w:type="paragraph" w:styleId="CommentText">
    <w:name w:val="annotation text"/>
    <w:basedOn w:val="Normal"/>
    <w:link w:val="CommentTextChar"/>
    <w:uiPriority w:val="99"/>
    <w:rsid w:val="00161B02"/>
  </w:style>
  <w:style w:type="character" w:customStyle="1" w:styleId="CommentTextChar">
    <w:name w:val="Comment Text Char"/>
    <w:basedOn w:val="DefaultParagraphFont"/>
    <w:link w:val="CommentText"/>
    <w:uiPriority w:val="99"/>
    <w:locked/>
    <w:rsid w:val="00161B02"/>
    <w:rPr>
      <w:lang w:val="x-none" w:eastAsia="en-US"/>
    </w:rPr>
  </w:style>
  <w:style w:type="paragraph" w:styleId="CommentSubject">
    <w:name w:val="annotation subject"/>
    <w:basedOn w:val="CommentText"/>
    <w:next w:val="CommentText"/>
    <w:link w:val="CommentSubjectChar"/>
    <w:uiPriority w:val="99"/>
    <w:rsid w:val="00161B02"/>
    <w:rPr>
      <w:b/>
      <w:bCs/>
    </w:rPr>
  </w:style>
  <w:style w:type="character" w:customStyle="1" w:styleId="CommentSubjectChar">
    <w:name w:val="Comment Subject Char"/>
    <w:basedOn w:val="CommentTextChar"/>
    <w:link w:val="CommentSubject"/>
    <w:uiPriority w:val="99"/>
    <w:locked/>
    <w:rsid w:val="00161B02"/>
    <w:rPr>
      <w:b/>
      <w:lang w:val="x-none" w:eastAsia="en-US"/>
    </w:rPr>
  </w:style>
  <w:style w:type="character" w:styleId="FootnoteReference">
    <w:name w:val="footnote reference"/>
    <w:aliases w:val="4_G,Footnote number,ftref,Footnotes refss,Style 10,BVI fnr,16 Point,Superscript 6 Point,Footnote,Footnote symbol,Footnote Refernece,Texto de nota al pie,Fußnotenzeichen_Raxen,Appel note de bas de p.,referencia nota al pie"/>
    <w:uiPriority w:val="99"/>
    <w:qFormat/>
    <w:locked/>
    <w:rsid w:val="004D71B4"/>
    <w:rPr>
      <w:rFonts w:ascii="Times New Roman" w:hAnsi="Times New Roman"/>
      <w:sz w:val="18"/>
      <w:vertAlign w:val="superscript"/>
    </w:rPr>
  </w:style>
  <w:style w:type="paragraph" w:customStyle="1" w:styleId="SingleTxt">
    <w:name w:val="__Single Txt"/>
    <w:basedOn w:val="Normal"/>
    <w:rsid w:val="00C36CA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paragraph" w:styleId="Revision">
    <w:name w:val="Revision"/>
    <w:hidden/>
    <w:uiPriority w:val="99"/>
    <w:semiHidden/>
    <w:rsid w:val="00AB5D75"/>
    <w:rPr>
      <w:sz w:val="20"/>
      <w:szCs w:val="20"/>
      <w:lang w:val="en-GB" w:eastAsia="en-US"/>
    </w:rPr>
  </w:style>
  <w:style w:type="character" w:customStyle="1" w:styleId="s32a37344">
    <w:name w:val="s32a37344"/>
    <w:rsid w:val="00956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64858">
      <w:marLeft w:val="0"/>
      <w:marRight w:val="0"/>
      <w:marTop w:val="0"/>
      <w:marBottom w:val="0"/>
      <w:divBdr>
        <w:top w:val="none" w:sz="0" w:space="0" w:color="auto"/>
        <w:left w:val="none" w:sz="0" w:space="0" w:color="auto"/>
        <w:bottom w:val="none" w:sz="0" w:space="0" w:color="auto"/>
        <w:right w:val="none" w:sz="0" w:space="0" w:color="auto"/>
      </w:divBdr>
    </w:div>
    <w:div w:id="527064859">
      <w:marLeft w:val="0"/>
      <w:marRight w:val="0"/>
      <w:marTop w:val="0"/>
      <w:marBottom w:val="0"/>
      <w:divBdr>
        <w:top w:val="none" w:sz="0" w:space="0" w:color="auto"/>
        <w:left w:val="none" w:sz="0" w:space="0" w:color="auto"/>
        <w:bottom w:val="none" w:sz="0" w:space="0" w:color="auto"/>
        <w:right w:val="none" w:sz="0" w:space="0" w:color="auto"/>
      </w:divBdr>
      <w:divsChild>
        <w:div w:id="527064865">
          <w:marLeft w:val="0"/>
          <w:marRight w:val="0"/>
          <w:marTop w:val="0"/>
          <w:marBottom w:val="0"/>
          <w:divBdr>
            <w:top w:val="none" w:sz="0" w:space="0" w:color="auto"/>
            <w:left w:val="single" w:sz="6" w:space="0" w:color="414141"/>
            <w:bottom w:val="none" w:sz="0" w:space="0" w:color="auto"/>
            <w:right w:val="single" w:sz="6" w:space="0" w:color="414141"/>
          </w:divBdr>
          <w:divsChild>
            <w:div w:id="527064861">
              <w:marLeft w:val="0"/>
              <w:marRight w:val="0"/>
              <w:marTop w:val="0"/>
              <w:marBottom w:val="0"/>
              <w:divBdr>
                <w:top w:val="none" w:sz="0" w:space="0" w:color="auto"/>
                <w:left w:val="none" w:sz="0" w:space="0" w:color="auto"/>
                <w:bottom w:val="none" w:sz="0" w:space="0" w:color="auto"/>
                <w:right w:val="none" w:sz="0" w:space="0" w:color="auto"/>
              </w:divBdr>
              <w:divsChild>
                <w:div w:id="5270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064860">
      <w:marLeft w:val="0"/>
      <w:marRight w:val="0"/>
      <w:marTop w:val="0"/>
      <w:marBottom w:val="0"/>
      <w:divBdr>
        <w:top w:val="none" w:sz="0" w:space="0" w:color="auto"/>
        <w:left w:val="none" w:sz="0" w:space="0" w:color="auto"/>
        <w:bottom w:val="none" w:sz="0" w:space="0" w:color="auto"/>
        <w:right w:val="none" w:sz="0" w:space="0" w:color="auto"/>
      </w:divBdr>
    </w:div>
    <w:div w:id="527064862">
      <w:marLeft w:val="0"/>
      <w:marRight w:val="0"/>
      <w:marTop w:val="0"/>
      <w:marBottom w:val="0"/>
      <w:divBdr>
        <w:top w:val="none" w:sz="0" w:space="0" w:color="auto"/>
        <w:left w:val="none" w:sz="0" w:space="0" w:color="auto"/>
        <w:bottom w:val="none" w:sz="0" w:space="0" w:color="auto"/>
        <w:right w:val="none" w:sz="0" w:space="0" w:color="auto"/>
      </w:divBdr>
    </w:div>
    <w:div w:id="527064863">
      <w:marLeft w:val="0"/>
      <w:marRight w:val="0"/>
      <w:marTop w:val="0"/>
      <w:marBottom w:val="0"/>
      <w:divBdr>
        <w:top w:val="none" w:sz="0" w:space="0" w:color="auto"/>
        <w:left w:val="none" w:sz="0" w:space="0" w:color="auto"/>
        <w:bottom w:val="none" w:sz="0" w:space="0" w:color="auto"/>
        <w:right w:val="none" w:sz="0" w:space="0" w:color="auto"/>
      </w:divBdr>
    </w:div>
    <w:div w:id="527064864">
      <w:marLeft w:val="0"/>
      <w:marRight w:val="0"/>
      <w:marTop w:val="0"/>
      <w:marBottom w:val="0"/>
      <w:divBdr>
        <w:top w:val="none" w:sz="0" w:space="0" w:color="auto"/>
        <w:left w:val="none" w:sz="0" w:space="0" w:color="auto"/>
        <w:bottom w:val="none" w:sz="0" w:space="0" w:color="auto"/>
        <w:right w:val="none" w:sz="0" w:space="0" w:color="auto"/>
      </w:divBdr>
    </w:div>
    <w:div w:id="527064866">
      <w:marLeft w:val="0"/>
      <w:marRight w:val="0"/>
      <w:marTop w:val="0"/>
      <w:marBottom w:val="0"/>
      <w:divBdr>
        <w:top w:val="none" w:sz="0" w:space="0" w:color="auto"/>
        <w:left w:val="none" w:sz="0" w:space="0" w:color="auto"/>
        <w:bottom w:val="none" w:sz="0" w:space="0" w:color="auto"/>
        <w:right w:val="none" w:sz="0" w:space="0" w:color="auto"/>
      </w:divBdr>
    </w:div>
    <w:div w:id="527064868">
      <w:marLeft w:val="0"/>
      <w:marRight w:val="0"/>
      <w:marTop w:val="0"/>
      <w:marBottom w:val="0"/>
      <w:divBdr>
        <w:top w:val="none" w:sz="0" w:space="0" w:color="auto"/>
        <w:left w:val="none" w:sz="0" w:space="0" w:color="auto"/>
        <w:bottom w:val="none" w:sz="0" w:space="0" w:color="auto"/>
        <w:right w:val="none" w:sz="0" w:space="0" w:color="auto"/>
      </w:divBdr>
    </w:div>
    <w:div w:id="527064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BB8489-8E4B-4DBE-9FC3-7730C5394136}">
  <ds:schemaRefs>
    <ds:schemaRef ds:uri="http://schemas.openxmlformats.org/officeDocument/2006/bibliography"/>
  </ds:schemaRefs>
</ds:datastoreItem>
</file>

<file path=customXml/itemProps2.xml><?xml version="1.0" encoding="utf-8"?>
<ds:datastoreItem xmlns:ds="http://schemas.openxmlformats.org/officeDocument/2006/customXml" ds:itemID="{6C20A27B-1392-4888-853E-228E1FF908EE}"/>
</file>

<file path=customXml/itemProps3.xml><?xml version="1.0" encoding="utf-8"?>
<ds:datastoreItem xmlns:ds="http://schemas.openxmlformats.org/officeDocument/2006/customXml" ds:itemID="{C049BBDA-EACC-401E-A99B-95520C09EC61}"/>
</file>

<file path=customXml/itemProps4.xml><?xml version="1.0" encoding="utf-8"?>
<ds:datastoreItem xmlns:ds="http://schemas.openxmlformats.org/officeDocument/2006/customXml" ds:itemID="{E1B4D524-0E74-4ECA-ACC4-E4A78CCC9971}"/>
</file>

<file path=docProps/app.xml><?xml version="1.0" encoding="utf-8"?>
<Properties xmlns="http://schemas.openxmlformats.org/officeDocument/2006/extended-properties" xmlns:vt="http://schemas.openxmlformats.org/officeDocument/2006/docPropsVTypes">
  <Template>CCPR_E.dotm</Template>
  <TotalTime>4</TotalTime>
  <Pages>6</Pages>
  <Words>1738</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1801675</vt:lpstr>
    </vt:vector>
  </TitlesOfParts>
  <Company>CSD</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1801675</dc:title>
  <dc:subject>CCPR/C/122/DR/2853/2016</dc:subject>
  <dc:creator>temp Neogi</dc:creator>
  <cp:keywords/>
  <dc:description/>
  <cp:lastModifiedBy>Mohamed Abdelazim</cp:lastModifiedBy>
  <cp:revision>3</cp:revision>
  <cp:lastPrinted>2022-02-02T10:25:00Z</cp:lastPrinted>
  <dcterms:created xsi:type="dcterms:W3CDTF">2022-02-02T10:18:00Z</dcterms:created>
  <dcterms:modified xsi:type="dcterms:W3CDTF">2022-02-02T10:26:00Z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